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FD11F7"/>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FD11F7" w:rsidP="00FD11F7">
            <w:pPr>
              <w:jc w:val="right"/>
            </w:pPr>
            <w:r w:rsidRPr="00FD11F7">
              <w:rPr>
                <w:sz w:val="40"/>
              </w:rPr>
              <w:t>CAT</w:t>
            </w:r>
            <w:r>
              <w:t>/C/64/D/615/2014</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FD11F7" w:rsidP="00A704A8">
            <w:pPr>
              <w:spacing w:before="240"/>
            </w:pPr>
            <w:proofErr w:type="spellStart"/>
            <w:r>
              <w:t>Distr</w:t>
            </w:r>
            <w:proofErr w:type="spellEnd"/>
            <w:r>
              <w:t>. générale</w:t>
            </w:r>
          </w:p>
          <w:p w:rsidR="00FD11F7" w:rsidRDefault="00FD11F7" w:rsidP="00FD11F7">
            <w:pPr>
              <w:spacing w:line="240" w:lineRule="exact"/>
            </w:pPr>
            <w:r>
              <w:t>12 septembre 2018</w:t>
            </w:r>
          </w:p>
          <w:p w:rsidR="00FD11F7" w:rsidRDefault="00FD11F7" w:rsidP="00FD11F7">
            <w:pPr>
              <w:spacing w:line="240" w:lineRule="exact"/>
            </w:pPr>
            <w:r>
              <w:t>Français</w:t>
            </w:r>
          </w:p>
          <w:p w:rsidR="00FD11F7" w:rsidRPr="00DB58B5" w:rsidRDefault="00FD11F7" w:rsidP="00FD11F7">
            <w:pPr>
              <w:spacing w:line="240" w:lineRule="exact"/>
            </w:pPr>
            <w:r>
              <w:t>Original : anglais</w:t>
            </w:r>
          </w:p>
        </w:tc>
      </w:tr>
    </w:tbl>
    <w:p w:rsidR="00EA3F83" w:rsidRDefault="00EA3F83" w:rsidP="00EA3F83">
      <w:pPr>
        <w:spacing w:before="120" w:line="240" w:lineRule="exact"/>
        <w:rPr>
          <w:b/>
          <w:sz w:val="24"/>
          <w:szCs w:val="24"/>
        </w:rPr>
      </w:pPr>
      <w:bookmarkStart w:id="0" w:name="_GoBack"/>
      <w:r w:rsidRPr="00FD511F">
        <w:rPr>
          <w:b/>
          <w:sz w:val="24"/>
          <w:szCs w:val="24"/>
        </w:rPr>
        <w:t xml:space="preserve">Comité </w:t>
      </w:r>
      <w:r>
        <w:rPr>
          <w:b/>
          <w:sz w:val="24"/>
          <w:szCs w:val="24"/>
        </w:rPr>
        <w:t>contre la torture</w:t>
      </w:r>
    </w:p>
    <w:bookmarkEnd w:id="0"/>
    <w:p w:rsidR="00FD11F7" w:rsidRPr="009F7F79" w:rsidRDefault="00E64F03" w:rsidP="00FD11F7">
      <w:pPr>
        <w:pStyle w:val="HChG"/>
      </w:pPr>
      <w:r>
        <w:tab/>
      </w:r>
      <w:r>
        <w:tab/>
      </w:r>
      <w:r w:rsidR="00FD11F7">
        <w:t>Décision adoptée par le Comité au titre de l</w:t>
      </w:r>
      <w:r w:rsidR="00C44708">
        <w:t>’</w:t>
      </w:r>
      <w:r w:rsidR="00FD11F7">
        <w:t xml:space="preserve">article 22 de la Convention, concernant la Communication </w:t>
      </w:r>
      <w:r w:rsidR="00FD11F7" w:rsidRPr="002D76F4">
        <w:rPr>
          <w:rFonts w:eastAsia="MS Mincho"/>
          <w:szCs w:val="22"/>
        </w:rPr>
        <w:t>n</w:t>
      </w:r>
      <w:r w:rsidR="00FD11F7" w:rsidRPr="002D76F4">
        <w:rPr>
          <w:rFonts w:eastAsia="MS Mincho"/>
          <w:szCs w:val="22"/>
          <w:vertAlign w:val="superscript"/>
        </w:rPr>
        <w:t>o</w:t>
      </w:r>
      <w:r w:rsidR="00FD11F7">
        <w:t> </w:t>
      </w:r>
      <w:r w:rsidR="00FD11F7" w:rsidRPr="00006D19">
        <w:rPr>
          <w:bCs/>
          <w:lang w:val="fr-FR"/>
        </w:rPr>
        <w:t>615/2014</w:t>
      </w:r>
      <w:r w:rsidRPr="00E64F03">
        <w:rPr>
          <w:rStyle w:val="Appelnotedebasdep"/>
          <w:b w:val="0"/>
          <w:sz w:val="20"/>
          <w:vertAlign w:val="baseline"/>
        </w:rPr>
        <w:footnoteReference w:customMarkFollows="1" w:id="2"/>
        <w:t>*</w:t>
      </w:r>
      <w:r w:rsidRPr="00E64F03">
        <w:rPr>
          <w:b w:val="0"/>
          <w:position w:val="6"/>
          <w:sz w:val="20"/>
        </w:rPr>
        <w:t>,</w:t>
      </w:r>
      <w:r w:rsidRPr="00E64F03">
        <w:rPr>
          <w:b w:val="0"/>
          <w:sz w:val="20"/>
        </w:rPr>
        <w:t xml:space="preserve"> </w:t>
      </w:r>
      <w:r w:rsidRPr="00E64F03">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FD11F7" w:rsidTr="00C44708">
        <w:tc>
          <w:tcPr>
            <w:tcW w:w="2694" w:type="dxa"/>
          </w:tcPr>
          <w:p w:rsidR="00FD11F7" w:rsidRDefault="00FD11F7" w:rsidP="00C44708">
            <w:pPr>
              <w:pStyle w:val="SingleTxtG"/>
              <w:ind w:left="0" w:right="0"/>
              <w:jc w:val="left"/>
              <w:rPr>
                <w:i/>
              </w:rPr>
            </w:pPr>
            <w:r>
              <w:rPr>
                <w:i/>
              </w:rPr>
              <w:t>Communication p</w:t>
            </w:r>
            <w:r w:rsidRPr="00FD511F">
              <w:rPr>
                <w:i/>
              </w:rPr>
              <w:t>résentée par</w:t>
            </w:r>
            <w:r>
              <w:t> :</w:t>
            </w:r>
          </w:p>
        </w:tc>
        <w:tc>
          <w:tcPr>
            <w:tcW w:w="4111" w:type="dxa"/>
          </w:tcPr>
          <w:p w:rsidR="00FD11F7" w:rsidRPr="00AE68FC" w:rsidRDefault="00FD11F7" w:rsidP="00C44708">
            <w:pPr>
              <w:pStyle w:val="SingleTxtG"/>
              <w:ind w:left="0" w:right="0"/>
              <w:jc w:val="left"/>
            </w:pPr>
            <w:r w:rsidRPr="00006D19">
              <w:rPr>
                <w:lang w:val="fr-FR"/>
              </w:rPr>
              <w:t xml:space="preserve">Joyce </w:t>
            </w:r>
            <w:proofErr w:type="spellStart"/>
            <w:r w:rsidRPr="00006D19">
              <w:rPr>
                <w:lang w:val="fr-FR"/>
              </w:rPr>
              <w:t>Nakato</w:t>
            </w:r>
            <w:proofErr w:type="spellEnd"/>
            <w:r w:rsidRPr="00006D19">
              <w:rPr>
                <w:lang w:val="fr-FR"/>
              </w:rPr>
              <w:t xml:space="preserve"> </w:t>
            </w:r>
            <w:proofErr w:type="spellStart"/>
            <w:r w:rsidRPr="00006D19">
              <w:rPr>
                <w:lang w:val="fr-FR"/>
              </w:rPr>
              <w:t>Nakawunde</w:t>
            </w:r>
            <w:proofErr w:type="spellEnd"/>
            <w:r w:rsidRPr="00006D19">
              <w:rPr>
                <w:lang w:val="fr-FR"/>
              </w:rPr>
              <w:t xml:space="preserve"> (non représentée par un</w:t>
            </w:r>
            <w:r>
              <w:rPr>
                <w:lang w:val="fr-FR"/>
              </w:rPr>
              <w:t> </w:t>
            </w:r>
            <w:r w:rsidRPr="00006D19">
              <w:rPr>
                <w:lang w:val="fr-FR"/>
              </w:rPr>
              <w:t xml:space="preserve">conseil) </w:t>
            </w:r>
          </w:p>
        </w:tc>
      </w:tr>
      <w:tr w:rsidR="00FD11F7" w:rsidTr="00C44708">
        <w:tc>
          <w:tcPr>
            <w:tcW w:w="2694" w:type="dxa"/>
          </w:tcPr>
          <w:p w:rsidR="00FD11F7" w:rsidRPr="00FD511F" w:rsidRDefault="00FD11F7" w:rsidP="00C44708">
            <w:pPr>
              <w:pStyle w:val="SingleTxtG"/>
              <w:ind w:left="0" w:right="0"/>
              <w:jc w:val="left"/>
              <w:rPr>
                <w:i/>
              </w:rPr>
            </w:pPr>
            <w:r w:rsidRPr="00FD511F">
              <w:rPr>
                <w:i/>
              </w:rPr>
              <w:t>Au nom de</w:t>
            </w:r>
            <w:r>
              <w:t> :</w:t>
            </w:r>
          </w:p>
        </w:tc>
        <w:tc>
          <w:tcPr>
            <w:tcW w:w="4111" w:type="dxa"/>
          </w:tcPr>
          <w:p w:rsidR="00FD11F7" w:rsidRDefault="00FD11F7" w:rsidP="00C44708">
            <w:pPr>
              <w:pStyle w:val="SingleTxtG"/>
              <w:ind w:left="0" w:right="0"/>
              <w:jc w:val="left"/>
            </w:pPr>
            <w:r w:rsidRPr="00006D19">
              <w:rPr>
                <w:lang w:val="fr-FR"/>
              </w:rPr>
              <w:t xml:space="preserve">Joyce </w:t>
            </w:r>
            <w:proofErr w:type="spellStart"/>
            <w:r w:rsidRPr="00006D19">
              <w:rPr>
                <w:lang w:val="fr-FR"/>
              </w:rPr>
              <w:t>Nakato</w:t>
            </w:r>
            <w:proofErr w:type="spellEnd"/>
            <w:r w:rsidRPr="00006D19">
              <w:rPr>
                <w:lang w:val="fr-FR"/>
              </w:rPr>
              <w:t xml:space="preserve"> </w:t>
            </w:r>
            <w:proofErr w:type="spellStart"/>
            <w:r w:rsidRPr="00006D19">
              <w:rPr>
                <w:lang w:val="fr-FR"/>
              </w:rPr>
              <w:t>Nakawunde</w:t>
            </w:r>
            <w:proofErr w:type="spellEnd"/>
          </w:p>
        </w:tc>
      </w:tr>
      <w:tr w:rsidR="00FD11F7" w:rsidTr="00C44708">
        <w:tc>
          <w:tcPr>
            <w:tcW w:w="2694" w:type="dxa"/>
          </w:tcPr>
          <w:p w:rsidR="00FD11F7" w:rsidRPr="00FD511F" w:rsidRDefault="00FD11F7" w:rsidP="00C44708">
            <w:pPr>
              <w:pStyle w:val="SingleTxtG"/>
              <w:ind w:left="0" w:right="0"/>
              <w:jc w:val="left"/>
              <w:rPr>
                <w:i/>
              </w:rPr>
            </w:pPr>
            <w:r w:rsidRPr="00FD511F">
              <w:rPr>
                <w:i/>
              </w:rPr>
              <w:t>État partie</w:t>
            </w:r>
            <w:r>
              <w:t> :</w:t>
            </w:r>
          </w:p>
        </w:tc>
        <w:tc>
          <w:tcPr>
            <w:tcW w:w="4111" w:type="dxa"/>
          </w:tcPr>
          <w:p w:rsidR="00FD11F7" w:rsidRDefault="00FD11F7" w:rsidP="00C44708">
            <w:pPr>
              <w:pStyle w:val="SingleTxtG"/>
              <w:ind w:left="0" w:right="0"/>
              <w:jc w:val="left"/>
            </w:pPr>
            <w:r w:rsidRPr="00006D19">
              <w:rPr>
                <w:lang w:val="fr-FR"/>
              </w:rPr>
              <w:t xml:space="preserve">Canada </w:t>
            </w:r>
          </w:p>
        </w:tc>
      </w:tr>
      <w:tr w:rsidR="00FD11F7" w:rsidTr="00C44708">
        <w:tc>
          <w:tcPr>
            <w:tcW w:w="2694" w:type="dxa"/>
          </w:tcPr>
          <w:p w:rsidR="00FD11F7" w:rsidRPr="00FD511F" w:rsidRDefault="00FD11F7" w:rsidP="00C44708">
            <w:pPr>
              <w:pStyle w:val="SingleTxtG"/>
              <w:ind w:left="0" w:right="0"/>
              <w:jc w:val="left"/>
              <w:rPr>
                <w:i/>
              </w:rPr>
            </w:pPr>
            <w:r w:rsidRPr="00FD511F">
              <w:rPr>
                <w:i/>
              </w:rPr>
              <w:t xml:space="preserve">Date de la </w:t>
            </w:r>
            <w:r>
              <w:rPr>
                <w:i/>
              </w:rPr>
              <w:t>requête</w:t>
            </w:r>
            <w:r>
              <w:t> :</w:t>
            </w:r>
          </w:p>
        </w:tc>
        <w:tc>
          <w:tcPr>
            <w:tcW w:w="4111" w:type="dxa"/>
          </w:tcPr>
          <w:p w:rsidR="00FD11F7" w:rsidRDefault="00FD11F7" w:rsidP="00C44708">
            <w:pPr>
              <w:pStyle w:val="SingleTxtG"/>
              <w:ind w:left="0" w:right="0"/>
              <w:jc w:val="left"/>
            </w:pPr>
            <w:r w:rsidRPr="00CC3FB8">
              <w:rPr>
                <w:lang w:val="fr-FR"/>
              </w:rPr>
              <w:t>25</w:t>
            </w:r>
            <w:r>
              <w:rPr>
                <w:lang w:val="fr-FR"/>
              </w:rPr>
              <w:t> juin</w:t>
            </w:r>
            <w:r w:rsidRPr="00CC3FB8">
              <w:rPr>
                <w:lang w:val="fr-FR"/>
              </w:rPr>
              <w:t xml:space="preserve"> 2014 (date de la lettre initiale)</w:t>
            </w:r>
          </w:p>
        </w:tc>
      </w:tr>
      <w:tr w:rsidR="00FD11F7" w:rsidTr="00C44708">
        <w:tc>
          <w:tcPr>
            <w:tcW w:w="2694" w:type="dxa"/>
          </w:tcPr>
          <w:p w:rsidR="00FD11F7" w:rsidRPr="00FD511F" w:rsidRDefault="00FD11F7" w:rsidP="00C44708">
            <w:pPr>
              <w:pStyle w:val="SingleTxtG"/>
              <w:ind w:left="0" w:right="0"/>
              <w:jc w:val="left"/>
              <w:rPr>
                <w:i/>
              </w:rPr>
            </w:pPr>
            <w:r w:rsidRPr="00CC3FB8">
              <w:rPr>
                <w:i/>
                <w:iCs/>
                <w:lang w:val="fr-FR"/>
              </w:rPr>
              <w:t>Références</w:t>
            </w:r>
            <w:r>
              <w:rPr>
                <w:i/>
                <w:iCs/>
                <w:lang w:val="fr-FR"/>
              </w:rPr>
              <w:t> </w:t>
            </w:r>
            <w:r>
              <w:t>:</w:t>
            </w:r>
          </w:p>
        </w:tc>
        <w:tc>
          <w:tcPr>
            <w:tcW w:w="4111" w:type="dxa"/>
            <w:vAlign w:val="bottom"/>
          </w:tcPr>
          <w:p w:rsidR="00FD11F7" w:rsidRDefault="00FD11F7" w:rsidP="00C44708">
            <w:pPr>
              <w:pStyle w:val="SingleTxtG"/>
              <w:ind w:left="0" w:right="0"/>
              <w:jc w:val="left"/>
            </w:pPr>
            <w:r w:rsidRPr="00CC3FB8">
              <w:rPr>
                <w:lang w:val="fr-FR"/>
              </w:rPr>
              <w:t>Décision prise en application des articles 114 et</w:t>
            </w:r>
            <w:r>
              <w:rPr>
                <w:lang w:val="fr-FR"/>
              </w:rPr>
              <w:t> </w:t>
            </w:r>
            <w:r w:rsidRPr="00CC3FB8">
              <w:rPr>
                <w:lang w:val="fr-FR"/>
              </w:rPr>
              <w:t xml:space="preserve">115 du </w:t>
            </w:r>
            <w:r>
              <w:rPr>
                <w:lang w:val="fr-FR"/>
              </w:rPr>
              <w:t>R</w:t>
            </w:r>
            <w:r w:rsidRPr="00CC3FB8">
              <w:rPr>
                <w:lang w:val="fr-FR"/>
              </w:rPr>
              <w:t>èglement intérieur du Comité, communiquée à l</w:t>
            </w:r>
            <w:r w:rsidR="00C44708">
              <w:rPr>
                <w:lang w:val="fr-FR"/>
              </w:rPr>
              <w:t>’</w:t>
            </w:r>
            <w:r w:rsidRPr="00CC3FB8">
              <w:rPr>
                <w:lang w:val="fr-FR"/>
              </w:rPr>
              <w:t>État partie le 30</w:t>
            </w:r>
            <w:r>
              <w:rPr>
                <w:lang w:val="fr-FR"/>
              </w:rPr>
              <w:t> juin</w:t>
            </w:r>
            <w:r w:rsidRPr="00CC3FB8">
              <w:rPr>
                <w:lang w:val="fr-FR"/>
              </w:rPr>
              <w:t xml:space="preserve"> 2014 </w:t>
            </w:r>
          </w:p>
        </w:tc>
      </w:tr>
      <w:tr w:rsidR="00FD11F7" w:rsidTr="00C44708">
        <w:tc>
          <w:tcPr>
            <w:tcW w:w="2694" w:type="dxa"/>
          </w:tcPr>
          <w:p w:rsidR="00FD11F7" w:rsidRPr="00CC3FB8" w:rsidRDefault="00FD11F7" w:rsidP="00C44708">
            <w:pPr>
              <w:pStyle w:val="SingleTxtG"/>
              <w:ind w:left="0" w:right="0"/>
              <w:jc w:val="left"/>
              <w:rPr>
                <w:i/>
                <w:iCs/>
                <w:lang w:val="fr-FR"/>
              </w:rPr>
            </w:pPr>
            <w:r w:rsidRPr="00CC3FB8">
              <w:rPr>
                <w:i/>
                <w:iCs/>
                <w:lang w:val="fr-FR"/>
              </w:rPr>
              <w:t>Date de la présente décision </w:t>
            </w:r>
            <w:r w:rsidRPr="00CC3FB8">
              <w:rPr>
                <w:iCs/>
                <w:lang w:val="fr-FR"/>
              </w:rPr>
              <w:t>:</w:t>
            </w:r>
          </w:p>
        </w:tc>
        <w:tc>
          <w:tcPr>
            <w:tcW w:w="4111" w:type="dxa"/>
            <w:vAlign w:val="bottom"/>
          </w:tcPr>
          <w:p w:rsidR="00FD11F7" w:rsidRPr="00CC3FB8" w:rsidRDefault="00FD11F7" w:rsidP="00C44708">
            <w:pPr>
              <w:pStyle w:val="SingleTxtG"/>
              <w:ind w:left="0" w:right="0"/>
              <w:jc w:val="left"/>
              <w:rPr>
                <w:lang w:val="fr-FR"/>
              </w:rPr>
            </w:pPr>
            <w:r>
              <w:rPr>
                <w:lang w:val="fr-FR"/>
              </w:rPr>
              <w:t>3</w:t>
            </w:r>
            <w:r w:rsidRPr="00CC3FB8">
              <w:rPr>
                <w:lang w:val="fr-FR"/>
              </w:rPr>
              <w:t xml:space="preserve"> </w:t>
            </w:r>
            <w:r w:rsidR="00E64F03">
              <w:rPr>
                <w:lang w:val="fr-FR"/>
              </w:rPr>
              <w:t>août</w:t>
            </w:r>
            <w:r w:rsidRPr="00CC3FB8">
              <w:rPr>
                <w:lang w:val="fr-FR"/>
              </w:rPr>
              <w:t xml:space="preserve"> 2018</w:t>
            </w:r>
          </w:p>
        </w:tc>
      </w:tr>
      <w:tr w:rsidR="00FD11F7" w:rsidTr="00C44708">
        <w:tc>
          <w:tcPr>
            <w:tcW w:w="2694" w:type="dxa"/>
          </w:tcPr>
          <w:p w:rsidR="00FD11F7" w:rsidRPr="00E472B5" w:rsidRDefault="00FD11F7" w:rsidP="00C44708">
            <w:pPr>
              <w:pStyle w:val="SingleTxtG"/>
              <w:ind w:left="0" w:right="0"/>
              <w:jc w:val="left"/>
            </w:pPr>
            <w:r>
              <w:rPr>
                <w:i/>
              </w:rPr>
              <w:t>Objet</w:t>
            </w:r>
            <w:r>
              <w:t> :</w:t>
            </w:r>
          </w:p>
        </w:tc>
        <w:tc>
          <w:tcPr>
            <w:tcW w:w="4111" w:type="dxa"/>
            <w:vAlign w:val="bottom"/>
          </w:tcPr>
          <w:p w:rsidR="00FD11F7" w:rsidRDefault="00FD11F7" w:rsidP="00C44708">
            <w:pPr>
              <w:pStyle w:val="SingleTxtG"/>
              <w:ind w:left="0" w:right="0"/>
              <w:jc w:val="left"/>
            </w:pPr>
            <w:r w:rsidRPr="00CC3FB8">
              <w:rPr>
                <w:lang w:val="fr-FR"/>
              </w:rPr>
              <w:t>Expulsion vers l</w:t>
            </w:r>
            <w:r w:rsidR="00C44708">
              <w:rPr>
                <w:lang w:val="fr-FR"/>
              </w:rPr>
              <w:t>’</w:t>
            </w:r>
            <w:r w:rsidRPr="00CC3FB8">
              <w:rPr>
                <w:lang w:val="fr-FR"/>
              </w:rPr>
              <w:t>Ouganda</w:t>
            </w:r>
          </w:p>
        </w:tc>
      </w:tr>
      <w:tr w:rsidR="00FD11F7" w:rsidTr="00C44708">
        <w:tc>
          <w:tcPr>
            <w:tcW w:w="2694" w:type="dxa"/>
          </w:tcPr>
          <w:p w:rsidR="00FD11F7" w:rsidRPr="00E472B5" w:rsidRDefault="00FD11F7" w:rsidP="00C44708">
            <w:pPr>
              <w:pStyle w:val="SingleTxtG"/>
              <w:ind w:left="0" w:right="0"/>
              <w:jc w:val="left"/>
            </w:pPr>
            <w:r>
              <w:rPr>
                <w:i/>
              </w:rPr>
              <w:t>Question(s) de procédure</w:t>
            </w:r>
            <w:r>
              <w:t> :</w:t>
            </w:r>
          </w:p>
        </w:tc>
        <w:tc>
          <w:tcPr>
            <w:tcW w:w="4111" w:type="dxa"/>
            <w:vAlign w:val="bottom"/>
          </w:tcPr>
          <w:p w:rsidR="00FD11F7" w:rsidRDefault="00FD11F7" w:rsidP="00C44708">
            <w:pPr>
              <w:pStyle w:val="SingleTxtG"/>
              <w:ind w:left="0" w:right="0"/>
              <w:jc w:val="left"/>
            </w:pPr>
            <w:r w:rsidRPr="00CC3FB8">
              <w:rPr>
                <w:lang w:val="fr-FR"/>
              </w:rPr>
              <w:t>Griefs non étayés ; non-épuisement des recours internes ; incompatibilité avec la Convention</w:t>
            </w:r>
          </w:p>
        </w:tc>
      </w:tr>
      <w:tr w:rsidR="00FD11F7" w:rsidTr="00C44708">
        <w:tc>
          <w:tcPr>
            <w:tcW w:w="2694" w:type="dxa"/>
          </w:tcPr>
          <w:p w:rsidR="00FD11F7" w:rsidRPr="00E472B5" w:rsidRDefault="00FD11F7" w:rsidP="00C44708">
            <w:pPr>
              <w:pStyle w:val="SingleTxtG"/>
              <w:ind w:left="0" w:right="0"/>
              <w:jc w:val="left"/>
            </w:pPr>
            <w:r>
              <w:rPr>
                <w:i/>
              </w:rPr>
              <w:t>Question(s) de fond</w:t>
            </w:r>
            <w:r>
              <w:t> :</w:t>
            </w:r>
          </w:p>
        </w:tc>
        <w:tc>
          <w:tcPr>
            <w:tcW w:w="4111" w:type="dxa"/>
            <w:vAlign w:val="bottom"/>
          </w:tcPr>
          <w:p w:rsidR="00FD11F7" w:rsidRDefault="00FD11F7" w:rsidP="00C44708">
            <w:pPr>
              <w:pStyle w:val="SingleTxtG"/>
              <w:ind w:left="0" w:right="0"/>
              <w:jc w:val="left"/>
            </w:pPr>
            <w:r w:rsidRPr="0060448B">
              <w:rPr>
                <w:lang w:val="fr-FR"/>
              </w:rPr>
              <w:t>Risque pour la vie et risque de torture ou de mauvais traitements en cas d</w:t>
            </w:r>
            <w:r w:rsidR="00C44708">
              <w:rPr>
                <w:lang w:val="fr-FR"/>
              </w:rPr>
              <w:t>’</w:t>
            </w:r>
            <w:r w:rsidRPr="0060448B">
              <w:rPr>
                <w:lang w:val="fr-FR"/>
              </w:rPr>
              <w:t>expulsion vers le pays d</w:t>
            </w:r>
            <w:r w:rsidR="00C44708">
              <w:rPr>
                <w:lang w:val="fr-FR"/>
              </w:rPr>
              <w:t>’</w:t>
            </w:r>
            <w:r w:rsidRPr="0060448B">
              <w:rPr>
                <w:lang w:val="fr-FR"/>
              </w:rPr>
              <w:t>origine</w:t>
            </w:r>
          </w:p>
        </w:tc>
      </w:tr>
      <w:tr w:rsidR="00FD11F7" w:rsidTr="00C44708">
        <w:tc>
          <w:tcPr>
            <w:tcW w:w="2694" w:type="dxa"/>
          </w:tcPr>
          <w:p w:rsidR="00FD11F7" w:rsidRPr="00E472B5" w:rsidRDefault="00FD11F7" w:rsidP="00C44708">
            <w:pPr>
              <w:pStyle w:val="SingleTxtG"/>
              <w:ind w:left="0" w:right="0"/>
              <w:jc w:val="left"/>
            </w:pPr>
            <w:r>
              <w:rPr>
                <w:i/>
              </w:rPr>
              <w:t>Article(s) de la Convention</w:t>
            </w:r>
            <w:r>
              <w:t> :</w:t>
            </w:r>
          </w:p>
        </w:tc>
        <w:tc>
          <w:tcPr>
            <w:tcW w:w="4111" w:type="dxa"/>
            <w:vAlign w:val="bottom"/>
          </w:tcPr>
          <w:p w:rsidR="00FD11F7" w:rsidRDefault="00FD11F7" w:rsidP="00C44708">
            <w:pPr>
              <w:pStyle w:val="SingleTxtG"/>
              <w:ind w:left="0" w:right="0"/>
              <w:jc w:val="left"/>
            </w:pPr>
            <w:r w:rsidRPr="00CC3FB8">
              <w:rPr>
                <w:lang w:val="fr-FR"/>
              </w:rPr>
              <w:t>1 et 3</w:t>
            </w:r>
          </w:p>
        </w:tc>
      </w:tr>
    </w:tbl>
    <w:p w:rsidR="00FD11F7" w:rsidRPr="00BF5805" w:rsidRDefault="00FD11F7" w:rsidP="00FD11F7">
      <w:pPr>
        <w:pStyle w:val="SingleTxtG"/>
        <w:spacing w:after="100" w:line="234" w:lineRule="exact"/>
        <w:rPr>
          <w:lang w:val="fr-FR"/>
        </w:rPr>
      </w:pPr>
      <w:r>
        <w:rPr>
          <w:lang w:val="fr-FR"/>
        </w:rPr>
        <w:t>1.1</w:t>
      </w:r>
      <w:r>
        <w:rPr>
          <w:lang w:val="fr-FR"/>
        </w:rPr>
        <w:tab/>
      </w:r>
      <w:r w:rsidRPr="00BF5805">
        <w:rPr>
          <w:lang w:val="fr-FR"/>
        </w:rPr>
        <w:t xml:space="preserve">La requérante est Joyce </w:t>
      </w:r>
      <w:proofErr w:type="spellStart"/>
      <w:r w:rsidRPr="00BF5805">
        <w:rPr>
          <w:lang w:val="fr-FR"/>
        </w:rPr>
        <w:t>Nakato</w:t>
      </w:r>
      <w:proofErr w:type="spellEnd"/>
      <w:r w:rsidRPr="00BF5805">
        <w:rPr>
          <w:lang w:val="fr-FR"/>
        </w:rPr>
        <w:t xml:space="preserve"> </w:t>
      </w:r>
      <w:proofErr w:type="spellStart"/>
      <w:r w:rsidRPr="00BF5805">
        <w:rPr>
          <w:lang w:val="fr-FR"/>
        </w:rPr>
        <w:t>Nakawunde</w:t>
      </w:r>
      <w:proofErr w:type="spellEnd"/>
      <w:r w:rsidRPr="00BF5805">
        <w:rPr>
          <w:lang w:val="fr-FR"/>
        </w:rPr>
        <w:t>, de nationalité ougandaise, née le 13</w:t>
      </w:r>
      <w:r>
        <w:rPr>
          <w:lang w:val="fr-FR"/>
        </w:rPr>
        <w:t> avril</w:t>
      </w:r>
      <w:r w:rsidRPr="00BF5805">
        <w:rPr>
          <w:lang w:val="fr-FR"/>
        </w:rPr>
        <w:t xml:space="preserve"> 1966. Elle soumet la requête en son nom et au nom de sa fille de 11</w:t>
      </w:r>
      <w:r w:rsidR="00E64F03">
        <w:rPr>
          <w:lang w:val="fr-FR"/>
        </w:rPr>
        <w:t> </w:t>
      </w:r>
      <w:r w:rsidRPr="00BF5805">
        <w:rPr>
          <w:lang w:val="fr-FR"/>
        </w:rPr>
        <w:t xml:space="preserve">ans, </w:t>
      </w:r>
      <w:proofErr w:type="spellStart"/>
      <w:r w:rsidRPr="00BF5805">
        <w:rPr>
          <w:lang w:val="fr-FR"/>
        </w:rPr>
        <w:t>Sanyu</w:t>
      </w:r>
      <w:proofErr w:type="spellEnd"/>
      <w:r w:rsidRPr="00BF5805">
        <w:rPr>
          <w:lang w:val="fr-FR"/>
        </w:rPr>
        <w:t>, née au Canada le 14</w:t>
      </w:r>
      <w:r>
        <w:rPr>
          <w:lang w:val="fr-FR"/>
        </w:rPr>
        <w:t xml:space="preserve"> mai </w:t>
      </w:r>
      <w:r w:rsidRPr="00BF5805">
        <w:rPr>
          <w:lang w:val="fr-FR"/>
        </w:rPr>
        <w:t>2004. La requérante, qui dit être lesbienne, fait l</w:t>
      </w:r>
      <w:r w:rsidR="00C44708">
        <w:rPr>
          <w:lang w:val="fr-FR"/>
        </w:rPr>
        <w:t>’</w:t>
      </w:r>
      <w:r w:rsidRPr="00BF5805">
        <w:rPr>
          <w:lang w:val="fr-FR"/>
        </w:rPr>
        <w:t>objet d</w:t>
      </w:r>
      <w:r w:rsidR="00C44708">
        <w:rPr>
          <w:lang w:val="fr-FR"/>
        </w:rPr>
        <w:t>’</w:t>
      </w:r>
      <w:r w:rsidRPr="00BF5805">
        <w:rPr>
          <w:lang w:val="fr-FR"/>
        </w:rPr>
        <w:t>un renvoi forcé du Canada vers l</w:t>
      </w:r>
      <w:r w:rsidR="00C44708">
        <w:rPr>
          <w:lang w:val="fr-FR"/>
        </w:rPr>
        <w:t>’</w:t>
      </w:r>
      <w:r w:rsidRPr="00BF5805">
        <w:rPr>
          <w:lang w:val="fr-FR"/>
        </w:rPr>
        <w:t>Ouganda parce qu</w:t>
      </w:r>
      <w:r w:rsidR="00C44708">
        <w:rPr>
          <w:lang w:val="fr-FR"/>
        </w:rPr>
        <w:t>’</w:t>
      </w:r>
      <w:r w:rsidRPr="00BF5805">
        <w:rPr>
          <w:lang w:val="fr-FR"/>
        </w:rPr>
        <w:t>elle est restée dans le pays au-delà de la durée de validité de son permis d</w:t>
      </w:r>
      <w:r w:rsidR="00C44708">
        <w:rPr>
          <w:lang w:val="fr-FR"/>
        </w:rPr>
        <w:t>’</w:t>
      </w:r>
      <w:r w:rsidRPr="00BF5805">
        <w:rPr>
          <w:lang w:val="fr-FR"/>
        </w:rPr>
        <w:t>études</w:t>
      </w:r>
      <w:r w:rsidRPr="00C44708">
        <w:rPr>
          <w:rStyle w:val="Appelnotedebasdep"/>
        </w:rPr>
        <w:footnoteReference w:id="4"/>
      </w:r>
      <w:r w:rsidRPr="00BF5805">
        <w:rPr>
          <w:lang w:val="fr-FR"/>
        </w:rPr>
        <w:t>. Elle affirme qu</w:t>
      </w:r>
      <w:r w:rsidR="00C44708">
        <w:rPr>
          <w:lang w:val="fr-FR"/>
        </w:rPr>
        <w:t>’</w:t>
      </w:r>
      <w:r w:rsidRPr="00BF5805">
        <w:rPr>
          <w:lang w:val="fr-FR"/>
        </w:rPr>
        <w:t>en la renvoyant de force en Ouganda, le Canada violerait les droits qu</w:t>
      </w:r>
      <w:r w:rsidR="00C44708">
        <w:rPr>
          <w:lang w:val="fr-FR"/>
        </w:rPr>
        <w:t>’</w:t>
      </w:r>
      <w:r w:rsidRPr="00BF5805">
        <w:rPr>
          <w:lang w:val="fr-FR"/>
        </w:rPr>
        <w:t>elle tient des articles 1 et 3 de la Convention contre la torture et autres peines ou traitements cruels, inhumains ou dégradants. Elle craint d</w:t>
      </w:r>
      <w:r w:rsidR="00C44708">
        <w:rPr>
          <w:lang w:val="fr-FR"/>
        </w:rPr>
        <w:t>’</w:t>
      </w:r>
      <w:r w:rsidRPr="00BF5805">
        <w:rPr>
          <w:lang w:val="fr-FR"/>
        </w:rPr>
        <w:t>être arrêtée, torturée, voire tuée par la police ougandaise et des groupes homophobes si elle est expulsée. La requérante n</w:t>
      </w:r>
      <w:r w:rsidR="00C44708">
        <w:rPr>
          <w:lang w:val="fr-FR"/>
        </w:rPr>
        <w:t>’</w:t>
      </w:r>
      <w:r w:rsidRPr="00BF5805">
        <w:rPr>
          <w:lang w:val="fr-FR"/>
        </w:rPr>
        <w:t>est pas représentée par un conseil.</w:t>
      </w:r>
    </w:p>
    <w:p w:rsidR="00FD11F7" w:rsidRPr="00BF5805" w:rsidRDefault="00FD11F7" w:rsidP="00FD11F7">
      <w:pPr>
        <w:pStyle w:val="SingleTxtG"/>
        <w:spacing w:after="100" w:line="234" w:lineRule="exact"/>
        <w:rPr>
          <w:lang w:val="fr-FR"/>
        </w:rPr>
      </w:pPr>
      <w:r>
        <w:rPr>
          <w:lang w:val="fr-FR"/>
        </w:rPr>
        <w:lastRenderedPageBreak/>
        <w:t>1.2</w:t>
      </w:r>
      <w:r>
        <w:rPr>
          <w:lang w:val="fr-FR"/>
        </w:rPr>
        <w:tab/>
      </w:r>
      <w:r w:rsidRPr="00BF5805">
        <w:rPr>
          <w:lang w:val="fr-FR"/>
        </w:rPr>
        <w:t>Le 30</w:t>
      </w:r>
      <w:r>
        <w:rPr>
          <w:lang w:val="fr-FR"/>
        </w:rPr>
        <w:t> juin</w:t>
      </w:r>
      <w:r w:rsidRPr="00BF5805">
        <w:rPr>
          <w:lang w:val="fr-FR"/>
        </w:rPr>
        <w:t xml:space="preserve"> 2014, </w:t>
      </w:r>
      <w:r w:rsidRPr="00285DE5">
        <w:t xml:space="preserve">conformément </w:t>
      </w:r>
      <w:r w:rsidR="00285DE5">
        <w:t>à</w:t>
      </w:r>
      <w:r>
        <w:t xml:space="preserve"> l</w:t>
      </w:r>
      <w:r w:rsidR="00C44708">
        <w:t>’</w:t>
      </w:r>
      <w:r>
        <w:t xml:space="preserve">article 114 de son règlement intérieur, </w:t>
      </w:r>
      <w:r w:rsidRPr="00BF5805">
        <w:rPr>
          <w:lang w:val="fr-FR"/>
        </w:rPr>
        <w:t>le Comité, agissant par l</w:t>
      </w:r>
      <w:r w:rsidR="00C44708">
        <w:rPr>
          <w:lang w:val="fr-FR"/>
        </w:rPr>
        <w:t>’</w:t>
      </w:r>
      <w:r w:rsidRPr="00BF5805">
        <w:rPr>
          <w:lang w:val="fr-FR"/>
        </w:rPr>
        <w:t>intermédiaire de son Rapporteur chargé des nouvelles requêtes et des mesures provisoires de protection, a prié l</w:t>
      </w:r>
      <w:r w:rsidR="00C44708">
        <w:rPr>
          <w:lang w:val="fr-FR"/>
        </w:rPr>
        <w:t>’</w:t>
      </w:r>
      <w:r w:rsidRPr="00BF5805">
        <w:rPr>
          <w:lang w:val="fr-FR"/>
        </w:rPr>
        <w:t>État partie de ne pas renvoyer l</w:t>
      </w:r>
      <w:r w:rsidR="00C44708">
        <w:rPr>
          <w:lang w:val="fr-FR"/>
        </w:rPr>
        <w:t>’</w:t>
      </w:r>
      <w:r>
        <w:rPr>
          <w:lang w:val="fr-FR"/>
        </w:rPr>
        <w:t>auteure</w:t>
      </w:r>
      <w:r w:rsidRPr="00BF5805">
        <w:rPr>
          <w:lang w:val="fr-FR"/>
        </w:rPr>
        <w:t xml:space="preserve"> en Ouganda tant que sa requête serait à l</w:t>
      </w:r>
      <w:r w:rsidR="00C44708">
        <w:rPr>
          <w:lang w:val="fr-FR"/>
        </w:rPr>
        <w:t>’</w:t>
      </w:r>
      <w:r w:rsidRPr="00BF5805">
        <w:rPr>
          <w:lang w:val="fr-FR"/>
        </w:rPr>
        <w:t xml:space="preserve">examen. </w:t>
      </w:r>
    </w:p>
    <w:p w:rsidR="00FD11F7" w:rsidRPr="00BF5805" w:rsidRDefault="00FD11F7" w:rsidP="00FD11F7">
      <w:pPr>
        <w:pStyle w:val="SingleTxtG"/>
        <w:spacing w:after="100" w:line="234" w:lineRule="exact"/>
        <w:rPr>
          <w:lang w:val="fr-FR"/>
        </w:rPr>
      </w:pPr>
      <w:r>
        <w:rPr>
          <w:lang w:val="fr-FR"/>
        </w:rPr>
        <w:t>1.3</w:t>
      </w:r>
      <w:r>
        <w:rPr>
          <w:lang w:val="fr-FR"/>
        </w:rPr>
        <w:tab/>
      </w:r>
      <w:r>
        <w:t>Le 2</w:t>
      </w:r>
      <w:r w:rsidR="00C44708">
        <w:t> </w:t>
      </w:r>
      <w:r>
        <w:t>septembre 2014, la Cour fédérale du Canada a autorisé la requérante à introduire une requête en contrôle judiciaire de la décision prise à l</w:t>
      </w:r>
      <w:r w:rsidR="00C44708">
        <w:t>’</w:t>
      </w:r>
      <w:r>
        <w:t>issue du deuxième examen des risques avant renvoi dont elle avait fait l</w:t>
      </w:r>
      <w:r w:rsidR="00C44708">
        <w:t>’</w:t>
      </w:r>
      <w:r>
        <w:t>objet. L</w:t>
      </w:r>
      <w:r w:rsidR="00C44708">
        <w:t>’</w:t>
      </w:r>
      <w:r>
        <w:t>audition, qui devait avoir lieu le 1</w:t>
      </w:r>
      <w:r w:rsidRPr="004A7C36">
        <w:rPr>
          <w:vertAlign w:val="superscript"/>
        </w:rPr>
        <w:t>er</w:t>
      </w:r>
      <w:r w:rsidR="002C0F7C">
        <w:t> </w:t>
      </w:r>
      <w:r>
        <w:t>décembre 2014, a ensuite été reportée au 20</w:t>
      </w:r>
      <w:r w:rsidR="002C0F7C">
        <w:t> </w:t>
      </w:r>
      <w:r>
        <w:t>janvier 2015 à la demande du conseil de la requérante. Une décision favorable aurait eu pour effet de donner droit à la requérante à un nouvel examen des risques avant renvoi et de surseoir à son renvoi dans l</w:t>
      </w:r>
      <w:r w:rsidR="00C44708">
        <w:t>’</w:t>
      </w:r>
      <w:r>
        <w:t>attente de la décision sur laquelle aurait débouché l</w:t>
      </w:r>
      <w:r w:rsidR="00C44708">
        <w:t>’</w:t>
      </w:r>
      <w:r>
        <w:t>examen.</w:t>
      </w:r>
      <w:r w:rsidR="00E9321A">
        <w:t xml:space="preserve"> </w:t>
      </w:r>
      <w:r>
        <w:t>Si, dans le cadre de cet examen, il avait été déterminé que la requérante avait besoin d</w:t>
      </w:r>
      <w:r w:rsidR="00C44708">
        <w:t>’</w:t>
      </w:r>
      <w:r>
        <w:t>une protection, elle n</w:t>
      </w:r>
      <w:r w:rsidR="00C44708">
        <w:t>’</w:t>
      </w:r>
      <w:r>
        <w:t>aurait pas été renvoyée et elle aurait pu faire une demande de statut de résident permanent.</w:t>
      </w:r>
      <w:r w:rsidRPr="00BF5805">
        <w:rPr>
          <w:lang w:val="fr-FR"/>
        </w:rPr>
        <w:t xml:space="preserve"> Le 21</w:t>
      </w:r>
      <w:r>
        <w:rPr>
          <w:lang w:val="fr-FR"/>
        </w:rPr>
        <w:t> novembre</w:t>
      </w:r>
      <w:r w:rsidRPr="00BF5805">
        <w:rPr>
          <w:lang w:val="fr-FR"/>
        </w:rPr>
        <w:t xml:space="preserve"> 2014, l</w:t>
      </w:r>
      <w:r w:rsidR="00C44708">
        <w:rPr>
          <w:lang w:val="fr-FR"/>
        </w:rPr>
        <w:t>’</w:t>
      </w:r>
      <w:r w:rsidRPr="00BF5805">
        <w:rPr>
          <w:lang w:val="fr-FR"/>
        </w:rPr>
        <w:t xml:space="preserve">État partie a </w:t>
      </w:r>
      <w:r>
        <w:rPr>
          <w:lang w:val="fr-FR"/>
        </w:rPr>
        <w:t xml:space="preserve">donc </w:t>
      </w:r>
      <w:r w:rsidRPr="00BF5805">
        <w:rPr>
          <w:lang w:val="fr-FR"/>
        </w:rPr>
        <w:t>demandé que l</w:t>
      </w:r>
      <w:r w:rsidR="00C44708">
        <w:rPr>
          <w:lang w:val="fr-FR"/>
        </w:rPr>
        <w:t>’</w:t>
      </w:r>
      <w:r w:rsidRPr="00BF5805">
        <w:rPr>
          <w:lang w:val="fr-FR"/>
        </w:rPr>
        <w:t>examen de la requête soit suspendu</w:t>
      </w:r>
      <w:r>
        <w:rPr>
          <w:lang w:val="fr-FR"/>
        </w:rPr>
        <w:t xml:space="preserve"> dans l</w:t>
      </w:r>
      <w:r w:rsidR="00C44708">
        <w:rPr>
          <w:lang w:val="fr-FR"/>
        </w:rPr>
        <w:t>’</w:t>
      </w:r>
      <w:r>
        <w:rPr>
          <w:lang w:val="fr-FR"/>
        </w:rPr>
        <w:t>attente du</w:t>
      </w:r>
      <w:r w:rsidRPr="00BF5805">
        <w:rPr>
          <w:lang w:val="fr-FR"/>
        </w:rPr>
        <w:t xml:space="preserve"> contrôle </w:t>
      </w:r>
      <w:r>
        <w:rPr>
          <w:lang w:val="fr-FR"/>
        </w:rPr>
        <w:t>judiciaire</w:t>
      </w:r>
      <w:r w:rsidRPr="00BF5805">
        <w:rPr>
          <w:lang w:val="fr-FR"/>
        </w:rPr>
        <w:t>. Le 10</w:t>
      </w:r>
      <w:r>
        <w:rPr>
          <w:lang w:val="fr-FR"/>
        </w:rPr>
        <w:t> mars</w:t>
      </w:r>
      <w:r w:rsidRPr="00BF5805">
        <w:rPr>
          <w:lang w:val="fr-FR"/>
        </w:rPr>
        <w:t xml:space="preserve"> 2015, compte tenu des informations dont il disposait, le Comité a décidé de suspendre l</w:t>
      </w:r>
      <w:r w:rsidR="00C44708">
        <w:rPr>
          <w:lang w:val="fr-FR"/>
        </w:rPr>
        <w:t>’</w:t>
      </w:r>
      <w:r w:rsidRPr="00BF5805">
        <w:rPr>
          <w:lang w:val="fr-FR"/>
        </w:rPr>
        <w:t>examen de la requête et les mesures provisoires jusqu</w:t>
      </w:r>
      <w:r w:rsidR="00C44708">
        <w:rPr>
          <w:lang w:val="fr-FR"/>
        </w:rPr>
        <w:t>’</w:t>
      </w:r>
      <w:r w:rsidRPr="00BF5805">
        <w:rPr>
          <w:lang w:val="fr-FR"/>
        </w:rPr>
        <w:t>à ce que toutes les procédures internes soient achevées. Le 17</w:t>
      </w:r>
      <w:r>
        <w:rPr>
          <w:lang w:val="fr-FR"/>
        </w:rPr>
        <w:t> avril</w:t>
      </w:r>
      <w:r w:rsidRPr="00BF5805">
        <w:rPr>
          <w:lang w:val="fr-FR"/>
        </w:rPr>
        <w:t xml:space="preserve"> 2015, l</w:t>
      </w:r>
      <w:r w:rsidR="00C44708">
        <w:rPr>
          <w:lang w:val="fr-FR"/>
        </w:rPr>
        <w:t>’</w:t>
      </w:r>
      <w:r w:rsidRPr="00BF5805">
        <w:rPr>
          <w:lang w:val="fr-FR"/>
        </w:rPr>
        <w:t xml:space="preserve">État partie a fait savoir </w:t>
      </w:r>
      <w:r>
        <w:rPr>
          <w:lang w:val="fr-FR"/>
        </w:rPr>
        <w:t xml:space="preserve">au Comité </w:t>
      </w:r>
      <w:r w:rsidRPr="00BF5805">
        <w:rPr>
          <w:lang w:val="fr-FR"/>
        </w:rPr>
        <w:t>que la Cour fédérale avait rejeté la demande de la requérante</w:t>
      </w:r>
      <w:r>
        <w:rPr>
          <w:lang w:val="fr-FR"/>
        </w:rPr>
        <w:t xml:space="preserve"> </w:t>
      </w:r>
      <w:r w:rsidRPr="00BF5805">
        <w:rPr>
          <w:lang w:val="fr-FR"/>
        </w:rPr>
        <w:t>et a demandé que la suspension de l</w:t>
      </w:r>
      <w:r w:rsidR="00C44708">
        <w:rPr>
          <w:lang w:val="fr-FR"/>
        </w:rPr>
        <w:t>’</w:t>
      </w:r>
      <w:r w:rsidRPr="00BF5805">
        <w:rPr>
          <w:lang w:val="fr-FR"/>
        </w:rPr>
        <w:t>examen de sa requête soit levée et qu</w:t>
      </w:r>
      <w:r w:rsidR="00C44708">
        <w:rPr>
          <w:lang w:val="fr-FR"/>
        </w:rPr>
        <w:t>’</w:t>
      </w:r>
      <w:r w:rsidRPr="00BF5805">
        <w:rPr>
          <w:lang w:val="fr-FR"/>
        </w:rPr>
        <w:t>une prorogation lui soit accordée pour soumettre ses observations sur la recevabilité et sur le fond. Le 7</w:t>
      </w:r>
      <w:r>
        <w:rPr>
          <w:lang w:val="fr-FR"/>
        </w:rPr>
        <w:t> août</w:t>
      </w:r>
      <w:r w:rsidRPr="00BF5805">
        <w:rPr>
          <w:lang w:val="fr-FR"/>
        </w:rPr>
        <w:t xml:space="preserve"> 2015, l</w:t>
      </w:r>
      <w:r w:rsidR="00C44708">
        <w:rPr>
          <w:lang w:val="fr-FR"/>
        </w:rPr>
        <w:t>’</w:t>
      </w:r>
      <w:r w:rsidRPr="00BF5805">
        <w:rPr>
          <w:lang w:val="fr-FR"/>
        </w:rPr>
        <w:t>État partie a demandé au Comité de retirer sa demande de mesures provisoires. Le 19</w:t>
      </w:r>
      <w:r>
        <w:rPr>
          <w:lang w:val="fr-FR"/>
        </w:rPr>
        <w:t> août</w:t>
      </w:r>
      <w:r w:rsidRPr="00BF5805">
        <w:rPr>
          <w:lang w:val="fr-FR"/>
        </w:rPr>
        <w:t xml:space="preserve"> 2015, le Comité a décidé de mettre fin à la suspension de l</w:t>
      </w:r>
      <w:r w:rsidR="00C44708">
        <w:rPr>
          <w:lang w:val="fr-FR"/>
        </w:rPr>
        <w:t>’</w:t>
      </w:r>
      <w:r w:rsidRPr="00BF5805">
        <w:rPr>
          <w:lang w:val="fr-FR"/>
        </w:rPr>
        <w:t>examen de la requête. Le 19</w:t>
      </w:r>
      <w:r>
        <w:rPr>
          <w:lang w:val="fr-FR"/>
        </w:rPr>
        <w:t> avril</w:t>
      </w:r>
      <w:r w:rsidRPr="00BF5805">
        <w:rPr>
          <w:lang w:val="fr-FR"/>
        </w:rPr>
        <w:t xml:space="preserve"> 2018</w:t>
      </w:r>
      <w:r>
        <w:rPr>
          <w:rStyle w:val="Appelnotedebasdep"/>
        </w:rPr>
        <w:footnoteReference w:id="5"/>
      </w:r>
      <w:r w:rsidRPr="00BF5805">
        <w:rPr>
          <w:lang w:val="fr-FR"/>
        </w:rPr>
        <w:t xml:space="preserve">, </w:t>
      </w:r>
      <w:r>
        <w:rPr>
          <w:lang w:val="fr-FR"/>
        </w:rPr>
        <w:t>agissant par l</w:t>
      </w:r>
      <w:r w:rsidR="00C44708">
        <w:rPr>
          <w:lang w:val="fr-FR"/>
        </w:rPr>
        <w:t>’</w:t>
      </w:r>
      <w:r>
        <w:rPr>
          <w:lang w:val="fr-FR"/>
        </w:rPr>
        <w:t xml:space="preserve">intermédiaire de son Rapporteur </w:t>
      </w:r>
      <w:r w:rsidRPr="004A7C36">
        <w:t>chargé des nouvelles requêtes et des mesures provisoires de protection</w:t>
      </w:r>
      <w:r>
        <w:t>,</w:t>
      </w:r>
      <w:r w:rsidRPr="004A7C36">
        <w:t xml:space="preserve"> </w:t>
      </w:r>
      <w:r>
        <w:t xml:space="preserve">le Comité </w:t>
      </w:r>
      <w:r w:rsidRPr="004A7C36">
        <w:t>a refus</w:t>
      </w:r>
      <w:r w:rsidRPr="00BF5805">
        <w:rPr>
          <w:lang w:val="fr-FR"/>
        </w:rPr>
        <w:t>é d</w:t>
      </w:r>
      <w:r w:rsidR="00C44708">
        <w:rPr>
          <w:lang w:val="fr-FR"/>
        </w:rPr>
        <w:t>’</w:t>
      </w:r>
      <w:r w:rsidRPr="00BF5805">
        <w:rPr>
          <w:lang w:val="fr-FR"/>
        </w:rPr>
        <w:t>accéder à la demande de l</w:t>
      </w:r>
      <w:r w:rsidR="00C44708">
        <w:rPr>
          <w:lang w:val="fr-FR"/>
        </w:rPr>
        <w:t>’</w:t>
      </w:r>
      <w:r w:rsidRPr="00BF5805">
        <w:rPr>
          <w:lang w:val="fr-FR"/>
        </w:rPr>
        <w:t xml:space="preserve">État partie tendant à ce que les mesures provisoires soient levées. </w:t>
      </w:r>
    </w:p>
    <w:p w:rsidR="00FD11F7" w:rsidRPr="00BF5805" w:rsidRDefault="00FD11F7" w:rsidP="00D14505">
      <w:pPr>
        <w:pStyle w:val="H23G"/>
        <w:tabs>
          <w:tab w:val="left" w:pos="2694"/>
        </w:tabs>
        <w:spacing w:after="100"/>
        <w:rPr>
          <w:lang w:val="fr-FR"/>
        </w:rPr>
      </w:pPr>
      <w:r w:rsidRPr="00BF5805">
        <w:rPr>
          <w:lang w:val="fr-FR"/>
        </w:rPr>
        <w:tab/>
      </w:r>
      <w:r w:rsidRPr="00BF5805">
        <w:rPr>
          <w:lang w:val="fr-FR"/>
        </w:rPr>
        <w:tab/>
        <w:t>Rappel des faits présentés par la requérante</w:t>
      </w:r>
    </w:p>
    <w:p w:rsidR="00FD11F7" w:rsidRPr="00BF5805" w:rsidRDefault="00FD11F7" w:rsidP="00FD11F7">
      <w:pPr>
        <w:pStyle w:val="SingleTxtG"/>
        <w:spacing w:after="100" w:line="234" w:lineRule="exact"/>
        <w:rPr>
          <w:lang w:val="fr-FR"/>
        </w:rPr>
      </w:pPr>
      <w:r w:rsidRPr="00BF5805">
        <w:rPr>
          <w:lang w:val="fr-FR"/>
        </w:rPr>
        <w:t>2.1</w:t>
      </w:r>
      <w:r w:rsidRPr="00BF5805">
        <w:rPr>
          <w:lang w:val="fr-FR"/>
        </w:rPr>
        <w:tab/>
        <w:t>La requérante est arrivée au Canada pour la première fois le 25</w:t>
      </w:r>
      <w:r>
        <w:rPr>
          <w:lang w:val="fr-FR"/>
        </w:rPr>
        <w:t> décembre</w:t>
      </w:r>
      <w:r w:rsidRPr="00BF5805">
        <w:rPr>
          <w:lang w:val="fr-FR"/>
        </w:rPr>
        <w:t xml:space="preserve"> 1999</w:t>
      </w:r>
      <w:r>
        <w:rPr>
          <w:lang w:val="fr-FR"/>
        </w:rPr>
        <w:t>,</w:t>
      </w:r>
      <w:r w:rsidRPr="00BF5805">
        <w:rPr>
          <w:lang w:val="fr-FR"/>
        </w:rPr>
        <w:t xml:space="preserve"> munie d</w:t>
      </w:r>
      <w:r w:rsidR="00C44708">
        <w:rPr>
          <w:lang w:val="fr-FR"/>
        </w:rPr>
        <w:t>’</w:t>
      </w:r>
      <w:r w:rsidRPr="00BF5805">
        <w:rPr>
          <w:lang w:val="fr-FR"/>
        </w:rPr>
        <w:t xml:space="preserve">un </w:t>
      </w:r>
      <w:r>
        <w:rPr>
          <w:lang w:val="fr-FR"/>
        </w:rPr>
        <w:t>visa d</w:t>
      </w:r>
      <w:r w:rsidR="00C44708">
        <w:rPr>
          <w:lang w:val="fr-FR"/>
        </w:rPr>
        <w:t>’</w:t>
      </w:r>
      <w:r>
        <w:rPr>
          <w:lang w:val="fr-FR"/>
        </w:rPr>
        <w:t>étudiant</w:t>
      </w:r>
      <w:r w:rsidRPr="00BF5805">
        <w:rPr>
          <w:lang w:val="fr-FR"/>
        </w:rPr>
        <w:t>. Après avoir obtenu son baccalauréat universitaire, elle a sollicité un permis de travail canadien, mais son dossier lui a été retourné, accompagné d</w:t>
      </w:r>
      <w:r w:rsidR="00C44708">
        <w:rPr>
          <w:lang w:val="fr-FR"/>
        </w:rPr>
        <w:t>’</w:t>
      </w:r>
      <w:r w:rsidRPr="00BF5805">
        <w:rPr>
          <w:lang w:val="fr-FR"/>
        </w:rPr>
        <w:t>une demande de renseignements complémentaires. Lorsqu</w:t>
      </w:r>
      <w:r w:rsidR="00C44708">
        <w:rPr>
          <w:lang w:val="fr-FR"/>
        </w:rPr>
        <w:t>’</w:t>
      </w:r>
      <w:r w:rsidRPr="00BF5805">
        <w:rPr>
          <w:lang w:val="fr-FR"/>
        </w:rPr>
        <w:t>elle a déposé à nouveau son dossier, on lui a dit qu</w:t>
      </w:r>
      <w:r w:rsidR="00C44708">
        <w:rPr>
          <w:lang w:val="fr-FR"/>
        </w:rPr>
        <w:t>’</w:t>
      </w:r>
      <w:r w:rsidRPr="00BF5805">
        <w:rPr>
          <w:lang w:val="fr-FR"/>
        </w:rPr>
        <w:t>elle avait manqué de peu la date butoir pour présenter une demande pour cette catégorie de visa d</w:t>
      </w:r>
      <w:r w:rsidR="00C44708">
        <w:rPr>
          <w:lang w:val="fr-FR"/>
        </w:rPr>
        <w:t>’</w:t>
      </w:r>
      <w:r w:rsidRPr="00BF5805">
        <w:rPr>
          <w:lang w:val="fr-FR"/>
        </w:rPr>
        <w:t>immigration et qu</w:t>
      </w:r>
      <w:r w:rsidR="00C44708">
        <w:rPr>
          <w:lang w:val="fr-FR"/>
        </w:rPr>
        <w:t>’</w:t>
      </w:r>
      <w:r w:rsidRPr="00BF5805">
        <w:rPr>
          <w:lang w:val="fr-FR"/>
        </w:rPr>
        <w:t>elle devait retourner en Ouganda. La requérante est restée illégalement au Canada d</w:t>
      </w:r>
      <w:r w:rsidR="00C44708">
        <w:rPr>
          <w:lang w:val="fr-FR"/>
        </w:rPr>
        <w:t>’</w:t>
      </w:r>
      <w:r w:rsidRPr="00BF5805">
        <w:rPr>
          <w:lang w:val="fr-FR"/>
        </w:rPr>
        <w:t>octobre 2006 à juin 2011.</w:t>
      </w:r>
    </w:p>
    <w:p w:rsidR="00FD11F7" w:rsidRPr="00BF5805" w:rsidRDefault="00FD11F7" w:rsidP="00FD11F7">
      <w:pPr>
        <w:pStyle w:val="SingleTxtG"/>
        <w:rPr>
          <w:lang w:val="fr-FR"/>
        </w:rPr>
      </w:pPr>
      <w:r w:rsidRPr="00BF5805">
        <w:rPr>
          <w:lang w:val="fr-FR"/>
        </w:rPr>
        <w:t>2.2</w:t>
      </w:r>
      <w:r w:rsidRPr="00BF5805">
        <w:rPr>
          <w:lang w:val="fr-FR"/>
        </w:rPr>
        <w:tab/>
        <w:t>La requérante s</w:t>
      </w:r>
      <w:r w:rsidR="00C44708">
        <w:rPr>
          <w:lang w:val="fr-FR"/>
        </w:rPr>
        <w:t>’</w:t>
      </w:r>
      <w:r w:rsidRPr="00BF5805">
        <w:rPr>
          <w:lang w:val="fr-FR"/>
        </w:rPr>
        <w:t xml:space="preserve">est toujours sentie fortement attirée par les femmes plutôt que par les hommes. </w:t>
      </w:r>
      <w:r>
        <w:rPr>
          <w:lang w:val="fr-FR"/>
        </w:rPr>
        <w:t>E</w:t>
      </w:r>
      <w:r w:rsidRPr="00BF5805">
        <w:rPr>
          <w:lang w:val="fr-FR"/>
        </w:rPr>
        <w:t xml:space="preserve">n Ouganda, </w:t>
      </w:r>
      <w:r>
        <w:rPr>
          <w:lang w:val="fr-FR"/>
        </w:rPr>
        <w:t xml:space="preserve">où les relations homosexuelles sont illégales, </w:t>
      </w:r>
      <w:r w:rsidRPr="00BF5805">
        <w:rPr>
          <w:lang w:val="fr-FR"/>
        </w:rPr>
        <w:t xml:space="preserve">elle a étouffé ses sentiments et est restée célibataire. En 2001, </w:t>
      </w:r>
      <w:r>
        <w:rPr>
          <w:lang w:val="fr-FR"/>
        </w:rPr>
        <w:t>à l</w:t>
      </w:r>
      <w:r w:rsidR="00C44708">
        <w:rPr>
          <w:lang w:val="fr-FR"/>
        </w:rPr>
        <w:t>’</w:t>
      </w:r>
      <w:r>
        <w:rPr>
          <w:lang w:val="fr-FR"/>
        </w:rPr>
        <w:t xml:space="preserve">Université de Winnipeg, </w:t>
      </w:r>
      <w:r w:rsidRPr="00BF5805">
        <w:rPr>
          <w:lang w:val="fr-FR"/>
        </w:rPr>
        <w:t>elle s</w:t>
      </w:r>
      <w:r w:rsidR="00C44708">
        <w:rPr>
          <w:lang w:val="fr-FR"/>
        </w:rPr>
        <w:t>’</w:t>
      </w:r>
      <w:r w:rsidRPr="00BF5805">
        <w:rPr>
          <w:lang w:val="fr-FR"/>
        </w:rPr>
        <w:t>est liée d</w:t>
      </w:r>
      <w:r w:rsidR="00C44708">
        <w:rPr>
          <w:lang w:val="fr-FR"/>
        </w:rPr>
        <w:t>’</w:t>
      </w:r>
      <w:r w:rsidRPr="00BF5805">
        <w:rPr>
          <w:lang w:val="fr-FR"/>
        </w:rPr>
        <w:t>amitié avec Ann, une Kényane ouvertement lesbienne. En 2007,</w:t>
      </w:r>
      <w:r>
        <w:rPr>
          <w:lang w:val="fr-FR"/>
        </w:rPr>
        <w:t xml:space="preserve"> la requérante a</w:t>
      </w:r>
      <w:r w:rsidRPr="00BF5805">
        <w:rPr>
          <w:lang w:val="fr-FR"/>
        </w:rPr>
        <w:t xml:space="preserve"> révél</w:t>
      </w:r>
      <w:r>
        <w:rPr>
          <w:lang w:val="fr-FR"/>
        </w:rPr>
        <w:t>é</w:t>
      </w:r>
      <w:r w:rsidRPr="00BF5805">
        <w:rPr>
          <w:lang w:val="fr-FR"/>
        </w:rPr>
        <w:t xml:space="preserve"> qu</w:t>
      </w:r>
      <w:r w:rsidR="00C44708">
        <w:rPr>
          <w:lang w:val="fr-FR"/>
        </w:rPr>
        <w:t>’</w:t>
      </w:r>
      <w:r w:rsidRPr="00BF5805">
        <w:rPr>
          <w:lang w:val="fr-FR"/>
        </w:rPr>
        <w:t>elle était lesbienne. Ann l</w:t>
      </w:r>
      <w:r w:rsidR="00C44708">
        <w:rPr>
          <w:lang w:val="fr-FR"/>
        </w:rPr>
        <w:t>’</w:t>
      </w:r>
      <w:r w:rsidRPr="00BF5805">
        <w:rPr>
          <w:lang w:val="fr-FR"/>
        </w:rPr>
        <w:t xml:space="preserve">a présentée à une canadienne, Lynne Martin, avec qui la requérante a eu une relation pendant deux ans environ. La requérante est devenue un membre actif de la communauté </w:t>
      </w:r>
      <w:r>
        <w:rPr>
          <w:lang w:val="fr-FR"/>
        </w:rPr>
        <w:t>lesbienne, gay, bisexuelle et transgenre</w:t>
      </w:r>
      <w:r w:rsidRPr="00BF5805">
        <w:rPr>
          <w:lang w:val="fr-FR"/>
        </w:rPr>
        <w:t xml:space="preserve"> de Winnipeg et a commencé à participer aux événements que celle-ci organisait. Au cours de sa relation</w:t>
      </w:r>
      <w:r>
        <w:rPr>
          <w:lang w:val="fr-FR"/>
        </w:rPr>
        <w:t xml:space="preserve"> avec </w:t>
      </w:r>
      <w:r w:rsidR="002C0F7C" w:rsidRPr="002C0F7C">
        <w:rPr>
          <w:lang w:val="fr-FR"/>
        </w:rPr>
        <w:t>M</w:t>
      </w:r>
      <w:r w:rsidR="002C0F7C" w:rsidRPr="002C0F7C">
        <w:rPr>
          <w:vertAlign w:val="superscript"/>
          <w:lang w:val="fr-FR"/>
        </w:rPr>
        <w:t>me</w:t>
      </w:r>
      <w:r w:rsidR="002C0F7C" w:rsidRPr="002C0F7C">
        <w:rPr>
          <w:lang w:val="fr-FR"/>
        </w:rPr>
        <w:t> </w:t>
      </w:r>
      <w:r>
        <w:rPr>
          <w:lang w:val="fr-FR"/>
        </w:rPr>
        <w:t>Martin</w:t>
      </w:r>
      <w:r w:rsidRPr="00BF5805">
        <w:rPr>
          <w:lang w:val="fr-FR"/>
        </w:rPr>
        <w:t>, elle a décidé de parler de son orientation sexuelle à sa famille en Ouganda. Si certains membres de sa famille l</w:t>
      </w:r>
      <w:r w:rsidR="00C44708">
        <w:rPr>
          <w:lang w:val="fr-FR"/>
        </w:rPr>
        <w:t>’</w:t>
      </w:r>
      <w:r w:rsidRPr="00BF5805">
        <w:rPr>
          <w:lang w:val="fr-FR"/>
        </w:rPr>
        <w:t>ont soutenue, d</w:t>
      </w:r>
      <w:r w:rsidR="00C44708">
        <w:rPr>
          <w:lang w:val="fr-FR"/>
        </w:rPr>
        <w:t>’</w:t>
      </w:r>
      <w:r w:rsidRPr="00BF5805">
        <w:rPr>
          <w:lang w:val="fr-FR"/>
        </w:rPr>
        <w:t>autres l</w:t>
      </w:r>
      <w:r w:rsidR="00C44708">
        <w:rPr>
          <w:lang w:val="fr-FR"/>
        </w:rPr>
        <w:t>’</w:t>
      </w:r>
      <w:r w:rsidRPr="00BF5805">
        <w:rPr>
          <w:lang w:val="fr-FR"/>
        </w:rPr>
        <w:t>ont rejetée, comme son père, qui lui a dit qu</w:t>
      </w:r>
      <w:r w:rsidR="00C44708">
        <w:rPr>
          <w:lang w:val="fr-FR"/>
        </w:rPr>
        <w:t>’</w:t>
      </w:r>
      <w:r w:rsidRPr="00BF5805">
        <w:rPr>
          <w:lang w:val="fr-FR"/>
        </w:rPr>
        <w:t>elle avait jeté la honte sur sa famille et a décidé de la renier. En tant que membre actif de l</w:t>
      </w:r>
      <w:r w:rsidR="00C44708">
        <w:rPr>
          <w:lang w:val="fr-FR"/>
        </w:rPr>
        <w:t>’</w:t>
      </w:r>
      <w:r w:rsidRPr="00BF5805">
        <w:rPr>
          <w:lang w:val="fr-FR"/>
        </w:rPr>
        <w:t xml:space="preserve">Église catholique, il a également informé tous les </w:t>
      </w:r>
      <w:r>
        <w:rPr>
          <w:lang w:val="fr-FR"/>
        </w:rPr>
        <w:t>membres de sa congrégation</w:t>
      </w:r>
      <w:r w:rsidRPr="00BF5805">
        <w:rPr>
          <w:lang w:val="fr-FR"/>
        </w:rPr>
        <w:t xml:space="preserve"> de l</w:t>
      </w:r>
      <w:r w:rsidR="00C44708">
        <w:rPr>
          <w:lang w:val="fr-FR"/>
        </w:rPr>
        <w:t>’</w:t>
      </w:r>
      <w:r w:rsidRPr="00BF5805">
        <w:rPr>
          <w:lang w:val="fr-FR"/>
        </w:rPr>
        <w:t>orientation sexuelle de sa fille au cours d</w:t>
      </w:r>
      <w:r w:rsidR="00C44708">
        <w:rPr>
          <w:lang w:val="fr-FR"/>
        </w:rPr>
        <w:t>’</w:t>
      </w:r>
      <w:r w:rsidRPr="00BF5805">
        <w:rPr>
          <w:lang w:val="fr-FR"/>
        </w:rPr>
        <w:t>une réunion d</w:t>
      </w:r>
      <w:r w:rsidR="00C44708">
        <w:rPr>
          <w:lang w:val="fr-FR"/>
        </w:rPr>
        <w:t>’</w:t>
      </w:r>
      <w:r w:rsidRPr="00BF5805">
        <w:rPr>
          <w:lang w:val="fr-FR"/>
        </w:rPr>
        <w:t>église. La famille de la requérante vivant dans une petite communauté, cette information a été diffusée auprès de nombreuses personnes.</w:t>
      </w:r>
    </w:p>
    <w:p w:rsidR="00FD11F7" w:rsidRPr="00BF5805" w:rsidRDefault="00FD11F7" w:rsidP="00FD11F7">
      <w:pPr>
        <w:pStyle w:val="SingleTxtG"/>
        <w:rPr>
          <w:lang w:val="fr-FR"/>
        </w:rPr>
      </w:pPr>
      <w:r w:rsidRPr="00BF5805">
        <w:rPr>
          <w:lang w:val="fr-FR"/>
        </w:rPr>
        <w:lastRenderedPageBreak/>
        <w:t>2.3</w:t>
      </w:r>
      <w:r w:rsidRPr="00BF5805">
        <w:rPr>
          <w:lang w:val="fr-FR"/>
        </w:rPr>
        <w:tab/>
        <w:t>Le père de la fille de la requérante aurait appelé un bureau d</w:t>
      </w:r>
      <w:r>
        <w:rPr>
          <w:lang w:val="fr-FR"/>
        </w:rPr>
        <w:t>e l</w:t>
      </w:r>
      <w:r w:rsidR="00C44708">
        <w:rPr>
          <w:lang w:val="fr-FR"/>
        </w:rPr>
        <w:t>’</w:t>
      </w:r>
      <w:r w:rsidRPr="00BF5805">
        <w:rPr>
          <w:lang w:val="fr-FR"/>
        </w:rPr>
        <w:t>immigration à Winnipeg pour signaler que ce</w:t>
      </w:r>
      <w:r>
        <w:rPr>
          <w:lang w:val="fr-FR"/>
        </w:rPr>
        <w:t>lle-ci</w:t>
      </w:r>
      <w:r w:rsidRPr="00BF5805">
        <w:rPr>
          <w:lang w:val="fr-FR"/>
        </w:rPr>
        <w:t xml:space="preserve"> séjournait et travaillait illégalement au Canada. À partir de</w:t>
      </w:r>
      <w:r>
        <w:rPr>
          <w:lang w:val="fr-FR"/>
        </w:rPr>
        <w:t> mars</w:t>
      </w:r>
      <w:r w:rsidRPr="00BF5805">
        <w:rPr>
          <w:lang w:val="fr-FR"/>
        </w:rPr>
        <w:t xml:space="preserve"> 2011, la requérante a commencé à avoir des problèmes avec les </w:t>
      </w:r>
      <w:r>
        <w:rPr>
          <w:lang w:val="fr-FR"/>
        </w:rPr>
        <w:t>services de l</w:t>
      </w:r>
      <w:r w:rsidR="00C44708">
        <w:rPr>
          <w:lang w:val="fr-FR"/>
        </w:rPr>
        <w:t>’</w:t>
      </w:r>
      <w:r w:rsidRPr="00BF5805">
        <w:rPr>
          <w:lang w:val="fr-FR"/>
        </w:rPr>
        <w:t>immigration</w:t>
      </w:r>
      <w:r>
        <w:rPr>
          <w:lang w:val="fr-FR"/>
        </w:rPr>
        <w:t>, et le 1</w:t>
      </w:r>
      <w:r w:rsidRPr="004A7C36">
        <w:rPr>
          <w:vertAlign w:val="superscript"/>
          <w:lang w:val="fr-FR"/>
        </w:rPr>
        <w:t>er</w:t>
      </w:r>
      <w:r w:rsidR="00D14505">
        <w:rPr>
          <w:lang w:val="fr-FR"/>
        </w:rPr>
        <w:t> </w:t>
      </w:r>
      <w:r>
        <w:rPr>
          <w:lang w:val="fr-FR"/>
        </w:rPr>
        <w:t>juin 2011, une mesure de renvoi a été prononcée à son égard</w:t>
      </w:r>
      <w:r w:rsidRPr="00BF5805">
        <w:rPr>
          <w:lang w:val="fr-FR"/>
        </w:rPr>
        <w:t xml:space="preserve">. </w:t>
      </w:r>
      <w:r>
        <w:rPr>
          <w:lang w:val="fr-FR"/>
        </w:rPr>
        <w:t>L</w:t>
      </w:r>
      <w:r w:rsidRPr="00BF5805">
        <w:rPr>
          <w:lang w:val="fr-FR"/>
        </w:rPr>
        <w:t>e Gouvernement canadien l</w:t>
      </w:r>
      <w:r w:rsidR="00C44708">
        <w:rPr>
          <w:lang w:val="fr-FR"/>
        </w:rPr>
        <w:t>’</w:t>
      </w:r>
      <w:r w:rsidRPr="00BF5805">
        <w:rPr>
          <w:lang w:val="fr-FR"/>
        </w:rPr>
        <w:t>a autorisée</w:t>
      </w:r>
      <w:r>
        <w:rPr>
          <w:lang w:val="fr-FR"/>
        </w:rPr>
        <w:t xml:space="preserve"> </w:t>
      </w:r>
      <w:r w:rsidRPr="00BF5805">
        <w:rPr>
          <w:lang w:val="fr-FR"/>
        </w:rPr>
        <w:t>à présenter une demande d</w:t>
      </w:r>
      <w:r w:rsidR="00C44708">
        <w:rPr>
          <w:lang w:val="fr-FR"/>
        </w:rPr>
        <w:t>’</w:t>
      </w:r>
      <w:r w:rsidRPr="00BF5805">
        <w:rPr>
          <w:lang w:val="fr-FR"/>
        </w:rPr>
        <w:t xml:space="preserve">examen des risques avant renvoi </w:t>
      </w:r>
      <w:r>
        <w:rPr>
          <w:lang w:val="fr-FR"/>
        </w:rPr>
        <w:t>en vue de s</w:t>
      </w:r>
      <w:r w:rsidR="00C44708">
        <w:rPr>
          <w:lang w:val="fr-FR"/>
        </w:rPr>
        <w:t>’</w:t>
      </w:r>
      <w:r>
        <w:rPr>
          <w:lang w:val="fr-FR"/>
        </w:rPr>
        <w:t>opposer à la</w:t>
      </w:r>
      <w:r w:rsidRPr="00BF5805">
        <w:rPr>
          <w:lang w:val="fr-FR"/>
        </w:rPr>
        <w:t xml:space="preserve"> mesure de renvoi</w:t>
      </w:r>
      <w:r w:rsidRPr="00D14505">
        <w:rPr>
          <w:rStyle w:val="Appelnotedebasdep"/>
        </w:rPr>
        <w:footnoteReference w:id="6"/>
      </w:r>
      <w:r w:rsidRPr="00BF5805">
        <w:rPr>
          <w:lang w:val="fr-FR"/>
        </w:rPr>
        <w:t xml:space="preserve">. </w:t>
      </w:r>
    </w:p>
    <w:p w:rsidR="00FD11F7" w:rsidRPr="00BF5805" w:rsidRDefault="00FD11F7" w:rsidP="00FD11F7">
      <w:pPr>
        <w:pStyle w:val="SingleTxtG"/>
        <w:rPr>
          <w:lang w:val="fr-FR"/>
        </w:rPr>
      </w:pPr>
      <w:r w:rsidRPr="00BF5805">
        <w:rPr>
          <w:lang w:val="fr-FR"/>
        </w:rPr>
        <w:t>2.4</w:t>
      </w:r>
      <w:r w:rsidRPr="00BF5805">
        <w:rPr>
          <w:lang w:val="fr-FR"/>
        </w:rPr>
        <w:tab/>
        <w:t>Dans la demande d</w:t>
      </w:r>
      <w:r w:rsidR="00C44708">
        <w:rPr>
          <w:lang w:val="fr-FR"/>
        </w:rPr>
        <w:t>’</w:t>
      </w:r>
      <w:r w:rsidRPr="007D2DE1">
        <w:rPr>
          <w:lang w:val="fr-FR"/>
        </w:rPr>
        <w:t xml:space="preserve">examen des risques avant renvoi </w:t>
      </w:r>
      <w:r w:rsidRPr="00BF5805">
        <w:rPr>
          <w:lang w:val="fr-FR"/>
        </w:rPr>
        <w:t>qu</w:t>
      </w:r>
      <w:r w:rsidR="00C44708">
        <w:rPr>
          <w:lang w:val="fr-FR"/>
        </w:rPr>
        <w:t>’</w:t>
      </w:r>
      <w:r w:rsidRPr="00BF5805">
        <w:rPr>
          <w:lang w:val="fr-FR"/>
        </w:rPr>
        <w:t>elle a présentée le 15</w:t>
      </w:r>
      <w:r>
        <w:rPr>
          <w:lang w:val="fr-FR"/>
        </w:rPr>
        <w:t> juin</w:t>
      </w:r>
      <w:r w:rsidRPr="00BF5805">
        <w:rPr>
          <w:lang w:val="fr-FR"/>
        </w:rPr>
        <w:t xml:space="preserve"> 2011, la requérante a affirmé que le père de sa fille voulait que </w:t>
      </w:r>
      <w:proofErr w:type="spellStart"/>
      <w:r w:rsidRPr="00BF5805">
        <w:rPr>
          <w:lang w:val="fr-FR"/>
        </w:rPr>
        <w:t>Sanyu</w:t>
      </w:r>
      <w:proofErr w:type="spellEnd"/>
      <w:r w:rsidRPr="00BF5805">
        <w:rPr>
          <w:lang w:val="fr-FR"/>
        </w:rPr>
        <w:t xml:space="preserve"> s</w:t>
      </w:r>
      <w:r>
        <w:rPr>
          <w:lang w:val="fr-FR"/>
        </w:rPr>
        <w:t>ubisse une mutilation génitale féminine</w:t>
      </w:r>
      <w:r w:rsidRPr="00BF5805">
        <w:rPr>
          <w:lang w:val="fr-FR"/>
        </w:rPr>
        <w:t xml:space="preserve"> et qu</w:t>
      </w:r>
      <w:r w:rsidR="00C44708">
        <w:rPr>
          <w:lang w:val="fr-FR"/>
        </w:rPr>
        <w:t>’</w:t>
      </w:r>
      <w:r w:rsidRPr="00BF5805">
        <w:rPr>
          <w:lang w:val="fr-FR"/>
        </w:rPr>
        <w:t xml:space="preserve">il tuerait </w:t>
      </w:r>
      <w:r>
        <w:rPr>
          <w:lang w:val="fr-FR"/>
        </w:rPr>
        <w:t xml:space="preserve">la requérante </w:t>
      </w:r>
      <w:r w:rsidRPr="00BF5805">
        <w:rPr>
          <w:lang w:val="fr-FR"/>
        </w:rPr>
        <w:t>si elle refusait d</w:t>
      </w:r>
      <w:r w:rsidR="00C44708">
        <w:rPr>
          <w:lang w:val="fr-FR"/>
        </w:rPr>
        <w:t>’</w:t>
      </w:r>
      <w:r>
        <w:rPr>
          <w:lang w:val="fr-FR"/>
        </w:rPr>
        <w:t>autoriser sa fille à subir cette intervention</w:t>
      </w:r>
      <w:r w:rsidRPr="00BF5805">
        <w:rPr>
          <w:lang w:val="fr-FR"/>
        </w:rPr>
        <w:t xml:space="preserve">. </w:t>
      </w:r>
      <w:r>
        <w:rPr>
          <w:lang w:val="fr-FR"/>
        </w:rPr>
        <w:t>La requérante</w:t>
      </w:r>
      <w:r w:rsidRPr="00BF5805">
        <w:rPr>
          <w:lang w:val="fr-FR"/>
        </w:rPr>
        <w:t xml:space="preserve"> craignait d</w:t>
      </w:r>
      <w:r w:rsidR="00C44708">
        <w:rPr>
          <w:lang w:val="fr-FR"/>
        </w:rPr>
        <w:t>’</w:t>
      </w:r>
      <w:r w:rsidRPr="00BF5805">
        <w:rPr>
          <w:lang w:val="fr-FR"/>
        </w:rPr>
        <w:t>être arrêtée par la police ougandaise, voire d</w:t>
      </w:r>
      <w:r w:rsidR="00C44708">
        <w:rPr>
          <w:lang w:val="fr-FR"/>
        </w:rPr>
        <w:t>’</w:t>
      </w:r>
      <w:r w:rsidRPr="00BF5805">
        <w:rPr>
          <w:lang w:val="fr-FR"/>
        </w:rPr>
        <w:t xml:space="preserve">être </w:t>
      </w:r>
      <w:r>
        <w:rPr>
          <w:lang w:val="fr-FR"/>
        </w:rPr>
        <w:t>lynchée</w:t>
      </w:r>
      <w:r w:rsidRPr="00BF5805">
        <w:rPr>
          <w:lang w:val="fr-FR"/>
        </w:rPr>
        <w:t xml:space="preserve"> par </w:t>
      </w:r>
      <w:r>
        <w:rPr>
          <w:lang w:val="fr-FR"/>
        </w:rPr>
        <w:t>un</w:t>
      </w:r>
      <w:r w:rsidRPr="00BF5805">
        <w:rPr>
          <w:lang w:val="fr-FR"/>
        </w:rPr>
        <w:t xml:space="preserve"> groupe homophobe en Ouganda, et avait particulièrement peur du père de </w:t>
      </w:r>
      <w:proofErr w:type="spellStart"/>
      <w:r w:rsidRPr="00BF5805">
        <w:rPr>
          <w:lang w:val="fr-FR"/>
        </w:rPr>
        <w:t>Sanyu</w:t>
      </w:r>
      <w:proofErr w:type="spellEnd"/>
      <w:r w:rsidRPr="00BF5805">
        <w:rPr>
          <w:lang w:val="fr-FR"/>
        </w:rPr>
        <w:t>, qui menaçait de s</w:t>
      </w:r>
      <w:r w:rsidR="00C44708">
        <w:rPr>
          <w:lang w:val="fr-FR"/>
        </w:rPr>
        <w:t>’</w:t>
      </w:r>
      <w:r w:rsidRPr="00BF5805">
        <w:rPr>
          <w:lang w:val="fr-FR"/>
        </w:rPr>
        <w:t>en prendre à elle parce qu</w:t>
      </w:r>
      <w:r w:rsidR="00C44708">
        <w:rPr>
          <w:lang w:val="fr-FR"/>
        </w:rPr>
        <w:t>’</w:t>
      </w:r>
      <w:r w:rsidRPr="00BF5805">
        <w:rPr>
          <w:lang w:val="fr-FR"/>
        </w:rPr>
        <w:t>elle était lesbienne et qu</w:t>
      </w:r>
      <w:r w:rsidR="00C44708">
        <w:rPr>
          <w:lang w:val="fr-FR"/>
        </w:rPr>
        <w:t>’</w:t>
      </w:r>
      <w:r w:rsidRPr="00BF5805">
        <w:rPr>
          <w:lang w:val="fr-FR"/>
        </w:rPr>
        <w:t>elle refusait de</w:t>
      </w:r>
      <w:r>
        <w:rPr>
          <w:lang w:val="fr-FR"/>
        </w:rPr>
        <w:t xml:space="preserve"> soumettre sa fille à une mutilation génitale</w:t>
      </w:r>
      <w:r w:rsidRPr="00BF5805">
        <w:rPr>
          <w:lang w:val="fr-FR"/>
        </w:rPr>
        <w:t>. La demande d</w:t>
      </w:r>
      <w:r w:rsidR="00C44708">
        <w:rPr>
          <w:lang w:val="fr-FR"/>
        </w:rPr>
        <w:t>’</w:t>
      </w:r>
      <w:r w:rsidRPr="00BD4F86">
        <w:rPr>
          <w:lang w:val="fr-FR"/>
        </w:rPr>
        <w:t>examen des risques avant renvoi</w:t>
      </w:r>
      <w:r w:rsidRPr="00BF5805">
        <w:rPr>
          <w:lang w:val="fr-FR"/>
        </w:rPr>
        <w:t xml:space="preserve"> présentée par la requérante a été rejetée le 11</w:t>
      </w:r>
      <w:r>
        <w:rPr>
          <w:lang w:val="fr-FR"/>
        </w:rPr>
        <w:t> juin</w:t>
      </w:r>
      <w:r w:rsidRPr="00BF5805">
        <w:rPr>
          <w:lang w:val="fr-FR"/>
        </w:rPr>
        <w:t xml:space="preserve"> 2012, car il a été considéré que la requérante ne risquait pas d</w:t>
      </w:r>
      <w:r w:rsidR="00C44708">
        <w:rPr>
          <w:lang w:val="fr-FR"/>
        </w:rPr>
        <w:t>’</w:t>
      </w:r>
      <w:r w:rsidRPr="00BF5805">
        <w:rPr>
          <w:lang w:val="fr-FR"/>
        </w:rPr>
        <w:t>être persécutée, tuée, torturée ou soumise à des peines ou traitements cruels ou inhumains si elle était renvoyée en Ouganda. La requérante a appris que la mesure de renvoi prononcée le 1</w:t>
      </w:r>
      <w:r w:rsidRPr="00BF5805">
        <w:rPr>
          <w:vertAlign w:val="superscript"/>
          <w:lang w:val="fr-FR"/>
        </w:rPr>
        <w:t>er</w:t>
      </w:r>
      <w:r>
        <w:rPr>
          <w:lang w:val="fr-FR"/>
        </w:rPr>
        <w:t> juin</w:t>
      </w:r>
      <w:r w:rsidRPr="00BF5805">
        <w:rPr>
          <w:lang w:val="fr-FR"/>
        </w:rPr>
        <w:t xml:space="preserve"> 2011 à son </w:t>
      </w:r>
      <w:r>
        <w:rPr>
          <w:lang w:val="fr-FR"/>
        </w:rPr>
        <w:t>encontre</w:t>
      </w:r>
      <w:r w:rsidRPr="00BF5805">
        <w:rPr>
          <w:lang w:val="fr-FR"/>
        </w:rPr>
        <w:t xml:space="preserve"> serait exécutée. Le 24</w:t>
      </w:r>
      <w:r>
        <w:rPr>
          <w:lang w:val="fr-FR"/>
        </w:rPr>
        <w:t> décembre</w:t>
      </w:r>
      <w:r w:rsidRPr="00BF5805">
        <w:rPr>
          <w:lang w:val="fr-FR"/>
        </w:rPr>
        <w:t xml:space="preserve"> 2012, elle a reçu un premier avis de renvoi, dans lequel il lui était demandé de se présenter à l</w:t>
      </w:r>
      <w:r w:rsidR="00C44708">
        <w:rPr>
          <w:lang w:val="fr-FR"/>
        </w:rPr>
        <w:t>’</w:t>
      </w:r>
      <w:r w:rsidRPr="00BF5805">
        <w:rPr>
          <w:lang w:val="fr-FR"/>
        </w:rPr>
        <w:t>aéroport le 22</w:t>
      </w:r>
      <w:r>
        <w:rPr>
          <w:lang w:val="fr-FR"/>
        </w:rPr>
        <w:t> janvier</w:t>
      </w:r>
      <w:r w:rsidRPr="00BF5805">
        <w:rPr>
          <w:lang w:val="fr-FR"/>
        </w:rPr>
        <w:t xml:space="preserve"> 2013</w:t>
      </w:r>
      <w:r w:rsidRPr="00D14505">
        <w:rPr>
          <w:rStyle w:val="Appelnotedebasdep"/>
        </w:rPr>
        <w:footnoteReference w:id="7"/>
      </w:r>
      <w:r w:rsidRPr="00BF5805">
        <w:rPr>
          <w:lang w:val="fr-FR"/>
        </w:rPr>
        <w:t>.</w:t>
      </w:r>
    </w:p>
    <w:p w:rsidR="00FD11F7" w:rsidRPr="00BF5805" w:rsidRDefault="00FD11F7" w:rsidP="00FD11F7">
      <w:pPr>
        <w:pStyle w:val="SingleTxtG"/>
        <w:rPr>
          <w:lang w:val="fr-FR"/>
        </w:rPr>
      </w:pPr>
      <w:r w:rsidRPr="00BF5805">
        <w:rPr>
          <w:lang w:val="fr-FR"/>
        </w:rPr>
        <w:t>2.5</w:t>
      </w:r>
      <w:r w:rsidRPr="00BF5805">
        <w:rPr>
          <w:lang w:val="fr-FR"/>
        </w:rPr>
        <w:tab/>
        <w:t>Le 31</w:t>
      </w:r>
      <w:r>
        <w:rPr>
          <w:lang w:val="fr-FR"/>
        </w:rPr>
        <w:t> décembre</w:t>
      </w:r>
      <w:r w:rsidRPr="00BF5805">
        <w:rPr>
          <w:lang w:val="fr-FR"/>
        </w:rPr>
        <w:t xml:space="preserve"> 2012, la requérante a saisi la Cour fédérale du Canada d</w:t>
      </w:r>
      <w:r w:rsidR="00C44708">
        <w:rPr>
          <w:lang w:val="fr-FR"/>
        </w:rPr>
        <w:t>’</w:t>
      </w:r>
      <w:r w:rsidRPr="00BF5805">
        <w:rPr>
          <w:lang w:val="fr-FR"/>
        </w:rPr>
        <w:t xml:space="preserve">une </w:t>
      </w:r>
      <w:r>
        <w:rPr>
          <w:lang w:val="fr-FR"/>
        </w:rPr>
        <w:t>requête en contrôle</w:t>
      </w:r>
      <w:r w:rsidRPr="00BF5805">
        <w:rPr>
          <w:lang w:val="fr-FR"/>
        </w:rPr>
        <w:t xml:space="preserve"> </w:t>
      </w:r>
      <w:r>
        <w:rPr>
          <w:lang w:val="fr-FR"/>
        </w:rPr>
        <w:t>judiciaire</w:t>
      </w:r>
      <w:r w:rsidRPr="00BF5805">
        <w:rPr>
          <w:lang w:val="fr-FR"/>
        </w:rPr>
        <w:t xml:space="preserve"> de la décision </w:t>
      </w:r>
      <w:r>
        <w:rPr>
          <w:lang w:val="fr-FR"/>
        </w:rPr>
        <w:t>concernant l</w:t>
      </w:r>
      <w:r w:rsidR="00C44708">
        <w:rPr>
          <w:lang w:val="fr-FR"/>
        </w:rPr>
        <w:t>’</w:t>
      </w:r>
      <w:r w:rsidRPr="00BD4F86">
        <w:rPr>
          <w:lang w:val="fr-FR"/>
        </w:rPr>
        <w:t>examen des risques avant renvoi</w:t>
      </w:r>
      <w:r w:rsidRPr="00BF5805">
        <w:rPr>
          <w:lang w:val="fr-FR"/>
        </w:rPr>
        <w:t xml:space="preserve"> du 11</w:t>
      </w:r>
      <w:r>
        <w:rPr>
          <w:lang w:val="fr-FR"/>
        </w:rPr>
        <w:t> juin</w:t>
      </w:r>
      <w:r w:rsidRPr="00BF5805">
        <w:rPr>
          <w:lang w:val="fr-FR"/>
        </w:rPr>
        <w:t xml:space="preserve"> 2012. Par une décision </w:t>
      </w:r>
      <w:r>
        <w:rPr>
          <w:lang w:val="fr-FR"/>
        </w:rPr>
        <w:t>en date</w:t>
      </w:r>
      <w:r w:rsidRPr="00BF5805">
        <w:rPr>
          <w:lang w:val="fr-FR"/>
        </w:rPr>
        <w:t xml:space="preserve"> du 22</w:t>
      </w:r>
      <w:r>
        <w:rPr>
          <w:lang w:val="fr-FR"/>
        </w:rPr>
        <w:t> février</w:t>
      </w:r>
      <w:r w:rsidRPr="00BF5805">
        <w:rPr>
          <w:lang w:val="fr-FR"/>
        </w:rPr>
        <w:t xml:space="preserve"> 2013, la Cour lui a accordé l</w:t>
      </w:r>
      <w:r w:rsidR="00C44708">
        <w:rPr>
          <w:lang w:val="fr-FR"/>
        </w:rPr>
        <w:t>’</w:t>
      </w:r>
      <w:r w:rsidRPr="00BF5805">
        <w:rPr>
          <w:lang w:val="fr-FR"/>
        </w:rPr>
        <w:t>autorisation d</w:t>
      </w:r>
      <w:r w:rsidR="00C44708">
        <w:rPr>
          <w:lang w:val="fr-FR"/>
        </w:rPr>
        <w:t>’</w:t>
      </w:r>
      <w:r>
        <w:rPr>
          <w:lang w:val="fr-FR"/>
        </w:rPr>
        <w:t>interjeter appel</w:t>
      </w:r>
      <w:r w:rsidRPr="00BF5805">
        <w:rPr>
          <w:lang w:val="fr-FR"/>
        </w:rPr>
        <w:t xml:space="preserve"> et a annulé la décision </w:t>
      </w:r>
      <w:r>
        <w:rPr>
          <w:lang w:val="fr-FR"/>
        </w:rPr>
        <w:t>concernant l</w:t>
      </w:r>
      <w:r w:rsidR="00C44708">
        <w:rPr>
          <w:lang w:val="fr-FR"/>
        </w:rPr>
        <w:t>’</w:t>
      </w:r>
      <w:r w:rsidRPr="00BD4F86">
        <w:rPr>
          <w:lang w:val="fr-FR"/>
        </w:rPr>
        <w:t>examen des risques avant renvoi</w:t>
      </w:r>
      <w:r w:rsidR="00E9321A">
        <w:rPr>
          <w:lang w:val="fr-FR"/>
        </w:rPr>
        <w:t xml:space="preserve"> </w:t>
      </w:r>
      <w:r w:rsidRPr="00BF5805">
        <w:rPr>
          <w:lang w:val="fr-FR"/>
        </w:rPr>
        <w:t>défavorable parce que l</w:t>
      </w:r>
      <w:r w:rsidR="00C44708">
        <w:rPr>
          <w:lang w:val="fr-FR"/>
        </w:rPr>
        <w:t>’</w:t>
      </w:r>
      <w:r w:rsidRPr="00BF5805">
        <w:rPr>
          <w:lang w:val="fr-FR"/>
        </w:rPr>
        <w:t>agent responsable n</w:t>
      </w:r>
      <w:r w:rsidR="00C44708">
        <w:rPr>
          <w:lang w:val="fr-FR"/>
        </w:rPr>
        <w:t>’</w:t>
      </w:r>
      <w:r w:rsidRPr="00BF5805">
        <w:rPr>
          <w:lang w:val="fr-FR"/>
        </w:rPr>
        <w:t xml:space="preserve">avait pas tenu compte de tous les éléments présentés par la requérante. </w:t>
      </w:r>
      <w:r>
        <w:rPr>
          <w:lang w:val="fr-FR"/>
        </w:rPr>
        <w:t>La Cour</w:t>
      </w:r>
      <w:r w:rsidRPr="00BF5805">
        <w:rPr>
          <w:lang w:val="fr-FR"/>
        </w:rPr>
        <w:t xml:space="preserve"> a ordonné que la demande d</w:t>
      </w:r>
      <w:r w:rsidR="00C44708">
        <w:rPr>
          <w:lang w:val="fr-FR"/>
        </w:rPr>
        <w:t>’</w:t>
      </w:r>
      <w:r w:rsidRPr="00BD4F86">
        <w:rPr>
          <w:lang w:val="fr-FR"/>
        </w:rPr>
        <w:t>examen des risques avant renvoi</w:t>
      </w:r>
      <w:r w:rsidRPr="00BF5805">
        <w:rPr>
          <w:lang w:val="fr-FR"/>
        </w:rPr>
        <w:t xml:space="preserve"> soit réexaminée par un autre agent. Le Ministère de la citoyenneté et de l</w:t>
      </w:r>
      <w:r w:rsidR="00C44708">
        <w:rPr>
          <w:lang w:val="fr-FR"/>
        </w:rPr>
        <w:t>’</w:t>
      </w:r>
      <w:r w:rsidRPr="00BF5805">
        <w:rPr>
          <w:lang w:val="fr-FR"/>
        </w:rPr>
        <w:t>immigration</w:t>
      </w:r>
      <w:r>
        <w:rPr>
          <w:lang w:val="fr-FR"/>
        </w:rPr>
        <w:t xml:space="preserve"> du Canada</w:t>
      </w:r>
      <w:r w:rsidRPr="00BF5805">
        <w:rPr>
          <w:lang w:val="fr-FR"/>
        </w:rPr>
        <w:t xml:space="preserve"> a </w:t>
      </w:r>
      <w:r>
        <w:rPr>
          <w:lang w:val="fr-FR"/>
        </w:rPr>
        <w:t>accordé les</w:t>
      </w:r>
      <w:r w:rsidRPr="00BF5805">
        <w:rPr>
          <w:lang w:val="fr-FR"/>
        </w:rPr>
        <w:t xml:space="preserve"> mesure</w:t>
      </w:r>
      <w:r>
        <w:rPr>
          <w:lang w:val="fr-FR"/>
        </w:rPr>
        <w:t>s</w:t>
      </w:r>
      <w:r w:rsidRPr="00BF5805">
        <w:rPr>
          <w:lang w:val="fr-FR"/>
        </w:rPr>
        <w:t xml:space="preserve"> de</w:t>
      </w:r>
      <w:r>
        <w:rPr>
          <w:lang w:val="fr-FR"/>
        </w:rPr>
        <w:t>mandées</w:t>
      </w:r>
      <w:r w:rsidRPr="00BF5805">
        <w:rPr>
          <w:lang w:val="fr-FR"/>
        </w:rPr>
        <w:t xml:space="preserve">, notamment en ce qui concernait le sursis du renvoi. </w:t>
      </w:r>
    </w:p>
    <w:p w:rsidR="00FD11F7" w:rsidRPr="00BF5805" w:rsidRDefault="00FD11F7" w:rsidP="00FD11F7">
      <w:pPr>
        <w:pStyle w:val="SingleTxtG"/>
        <w:rPr>
          <w:lang w:val="fr-FR"/>
        </w:rPr>
      </w:pPr>
      <w:r w:rsidRPr="00BF5805">
        <w:rPr>
          <w:lang w:val="fr-FR"/>
        </w:rPr>
        <w:t>2.6</w:t>
      </w:r>
      <w:r w:rsidRPr="00BF5805">
        <w:rPr>
          <w:lang w:val="fr-FR"/>
        </w:rPr>
        <w:tab/>
        <w:t>La seconde demande d</w:t>
      </w:r>
      <w:r w:rsidR="00C44708">
        <w:rPr>
          <w:lang w:val="fr-FR"/>
        </w:rPr>
        <w:t>’</w:t>
      </w:r>
      <w:r w:rsidRPr="00BD4F86">
        <w:rPr>
          <w:lang w:val="fr-FR"/>
        </w:rPr>
        <w:t>examen des risques avant renvoi</w:t>
      </w:r>
      <w:r w:rsidRPr="00BF5805">
        <w:rPr>
          <w:lang w:val="fr-FR"/>
        </w:rPr>
        <w:t xml:space="preserve"> a été rejetée le 19</w:t>
      </w:r>
      <w:r>
        <w:rPr>
          <w:lang w:val="fr-FR"/>
        </w:rPr>
        <w:t> mars</w:t>
      </w:r>
      <w:r w:rsidRPr="00BF5805">
        <w:rPr>
          <w:lang w:val="fr-FR"/>
        </w:rPr>
        <w:t xml:space="preserve"> 2014 pour les mêmes motifs que</w:t>
      </w:r>
      <w:r>
        <w:rPr>
          <w:lang w:val="fr-FR"/>
        </w:rPr>
        <w:t xml:space="preserve"> ceux de</w:t>
      </w:r>
      <w:r w:rsidRPr="00BF5805">
        <w:rPr>
          <w:lang w:val="fr-FR"/>
        </w:rPr>
        <w:t xml:space="preserve"> la décision </w:t>
      </w:r>
      <w:r>
        <w:rPr>
          <w:lang w:val="fr-FR"/>
        </w:rPr>
        <w:t>concernant l</w:t>
      </w:r>
      <w:r w:rsidR="00C44708">
        <w:rPr>
          <w:lang w:val="fr-FR"/>
        </w:rPr>
        <w:t>’</w:t>
      </w:r>
      <w:r w:rsidRPr="00BD4F86">
        <w:rPr>
          <w:lang w:val="fr-FR"/>
        </w:rPr>
        <w:t>examen des risques avant renvoi</w:t>
      </w:r>
      <w:r w:rsidRPr="00BF5805">
        <w:rPr>
          <w:lang w:val="fr-FR"/>
        </w:rPr>
        <w:t xml:space="preserve"> rendue le 11</w:t>
      </w:r>
      <w:r>
        <w:rPr>
          <w:lang w:val="fr-FR"/>
        </w:rPr>
        <w:t> juin</w:t>
      </w:r>
      <w:r w:rsidRPr="00BF5805">
        <w:rPr>
          <w:lang w:val="fr-FR"/>
        </w:rPr>
        <w:t xml:space="preserve"> 2012. Le 4</w:t>
      </w:r>
      <w:r>
        <w:rPr>
          <w:lang w:val="fr-FR"/>
        </w:rPr>
        <w:t xml:space="preserve"> mai </w:t>
      </w:r>
      <w:r w:rsidRPr="00BF5805">
        <w:rPr>
          <w:lang w:val="fr-FR"/>
        </w:rPr>
        <w:t>2014, la requérante a saisi la Cour fédérale d</w:t>
      </w:r>
      <w:r w:rsidR="00C44708">
        <w:rPr>
          <w:lang w:val="fr-FR"/>
        </w:rPr>
        <w:t>’</w:t>
      </w:r>
      <w:r w:rsidRPr="00BF5805">
        <w:rPr>
          <w:lang w:val="fr-FR"/>
        </w:rPr>
        <w:t>une demande d</w:t>
      </w:r>
      <w:r w:rsidR="00C44708">
        <w:rPr>
          <w:lang w:val="fr-FR"/>
        </w:rPr>
        <w:t>’</w:t>
      </w:r>
      <w:r w:rsidRPr="00BF5805">
        <w:rPr>
          <w:lang w:val="fr-FR"/>
        </w:rPr>
        <w:t>autorisation d</w:t>
      </w:r>
      <w:r w:rsidR="00C44708">
        <w:rPr>
          <w:lang w:val="fr-FR"/>
        </w:rPr>
        <w:t>’</w:t>
      </w:r>
      <w:r>
        <w:rPr>
          <w:lang w:val="fr-FR"/>
        </w:rPr>
        <w:t>introduire une requête en</w:t>
      </w:r>
      <w:r w:rsidRPr="00BF5805">
        <w:rPr>
          <w:lang w:val="fr-FR"/>
        </w:rPr>
        <w:t xml:space="preserve"> contrôle </w:t>
      </w:r>
      <w:r>
        <w:rPr>
          <w:lang w:val="fr-FR"/>
        </w:rPr>
        <w:t>judiciaire</w:t>
      </w:r>
      <w:r w:rsidRPr="00BF5805">
        <w:rPr>
          <w:lang w:val="fr-FR"/>
        </w:rPr>
        <w:t xml:space="preserve"> de cette seconde décision défavorable</w:t>
      </w:r>
      <w:r>
        <w:rPr>
          <w:lang w:val="fr-FR"/>
        </w:rPr>
        <w:t>,</w:t>
      </w:r>
      <w:r w:rsidRPr="00BF5805">
        <w:rPr>
          <w:lang w:val="fr-FR"/>
        </w:rPr>
        <w:t xml:space="preserve"> tout en demandant un sursis à </w:t>
      </w:r>
      <w:r>
        <w:rPr>
          <w:lang w:val="fr-FR"/>
        </w:rPr>
        <w:t>l</w:t>
      </w:r>
      <w:r w:rsidR="00C44708">
        <w:rPr>
          <w:lang w:val="fr-FR"/>
        </w:rPr>
        <w:t>’</w:t>
      </w:r>
      <w:r>
        <w:rPr>
          <w:lang w:val="fr-FR"/>
        </w:rPr>
        <w:t xml:space="preserve">exécution de </w:t>
      </w:r>
      <w:r w:rsidRPr="00BF5805">
        <w:rPr>
          <w:lang w:val="fr-FR"/>
        </w:rPr>
        <w:t>la mesure de renvoi. Le 14</w:t>
      </w:r>
      <w:r>
        <w:rPr>
          <w:lang w:val="fr-FR"/>
        </w:rPr>
        <w:t> juin</w:t>
      </w:r>
      <w:r w:rsidRPr="00BF5805">
        <w:rPr>
          <w:lang w:val="fr-FR"/>
        </w:rPr>
        <w:t xml:space="preserve"> 2014, elle a apporté un complément d</w:t>
      </w:r>
      <w:r w:rsidR="00C44708">
        <w:rPr>
          <w:lang w:val="fr-FR"/>
        </w:rPr>
        <w:t>’</w:t>
      </w:r>
      <w:r w:rsidRPr="00BF5805">
        <w:rPr>
          <w:lang w:val="fr-FR"/>
        </w:rPr>
        <w:t>information en réponse aux observations formulées par le Ministère de la citoyenneté et de l</w:t>
      </w:r>
      <w:r w:rsidR="00C44708">
        <w:rPr>
          <w:lang w:val="fr-FR"/>
        </w:rPr>
        <w:t>’</w:t>
      </w:r>
      <w:r w:rsidRPr="00BF5805">
        <w:rPr>
          <w:lang w:val="fr-FR"/>
        </w:rPr>
        <w:t>immigration</w:t>
      </w:r>
      <w:r>
        <w:rPr>
          <w:lang w:val="fr-FR"/>
        </w:rPr>
        <w:t>. Le 13</w:t>
      </w:r>
      <w:r w:rsidR="00E9321A">
        <w:rPr>
          <w:lang w:val="fr-FR"/>
        </w:rPr>
        <w:t> </w:t>
      </w:r>
      <w:r>
        <w:rPr>
          <w:lang w:val="fr-FR"/>
        </w:rPr>
        <w:t>mars 2015,</w:t>
      </w:r>
      <w:r w:rsidRPr="00BF5805">
        <w:rPr>
          <w:lang w:val="fr-FR"/>
        </w:rPr>
        <w:t xml:space="preserve"> La Cour fédérale a rejeté la demande d</w:t>
      </w:r>
      <w:r w:rsidR="00C44708">
        <w:rPr>
          <w:lang w:val="fr-FR"/>
        </w:rPr>
        <w:t>’</w:t>
      </w:r>
      <w:r w:rsidRPr="00BF5805">
        <w:rPr>
          <w:lang w:val="fr-FR"/>
        </w:rPr>
        <w:t>autorisation d</w:t>
      </w:r>
      <w:r w:rsidR="00C44708">
        <w:rPr>
          <w:lang w:val="fr-FR"/>
        </w:rPr>
        <w:t>’</w:t>
      </w:r>
      <w:r>
        <w:rPr>
          <w:lang w:val="fr-FR"/>
        </w:rPr>
        <w:t>introduire une requête en contrôle</w:t>
      </w:r>
      <w:r w:rsidRPr="00BF5805">
        <w:rPr>
          <w:lang w:val="fr-FR"/>
        </w:rPr>
        <w:t xml:space="preserve"> </w:t>
      </w:r>
      <w:r>
        <w:rPr>
          <w:lang w:val="fr-FR"/>
        </w:rPr>
        <w:t>judiciaire</w:t>
      </w:r>
      <w:r w:rsidRPr="00BF5805">
        <w:rPr>
          <w:lang w:val="fr-FR"/>
        </w:rPr>
        <w:t xml:space="preserve"> faute d</w:t>
      </w:r>
      <w:r w:rsidR="00C44708">
        <w:rPr>
          <w:lang w:val="fr-FR"/>
        </w:rPr>
        <w:t>’</w:t>
      </w:r>
      <w:r w:rsidRPr="00BF5805">
        <w:rPr>
          <w:lang w:val="fr-FR"/>
        </w:rPr>
        <w:t>éléments suffisants permettant d</w:t>
      </w:r>
      <w:r w:rsidR="00C44708">
        <w:rPr>
          <w:lang w:val="fr-FR"/>
        </w:rPr>
        <w:t>’</w:t>
      </w:r>
      <w:r w:rsidRPr="00BF5805">
        <w:rPr>
          <w:lang w:val="fr-FR"/>
        </w:rPr>
        <w:t>établir que la requérante risquerait d</w:t>
      </w:r>
      <w:r w:rsidR="00C44708">
        <w:rPr>
          <w:lang w:val="fr-FR"/>
        </w:rPr>
        <w:t>’</w:t>
      </w:r>
      <w:r w:rsidRPr="00BF5805">
        <w:rPr>
          <w:lang w:val="fr-FR"/>
        </w:rPr>
        <w:t>être tuée ou soumise à des peines ou traitements cruels ou inhumains si elle était renvoyée en Ouganda.</w:t>
      </w:r>
    </w:p>
    <w:p w:rsidR="00FD11F7" w:rsidRPr="00BF5805" w:rsidRDefault="00FD11F7" w:rsidP="00FD11F7">
      <w:pPr>
        <w:pStyle w:val="H23G"/>
        <w:rPr>
          <w:lang w:val="fr-FR"/>
        </w:rPr>
      </w:pPr>
      <w:r w:rsidRPr="00BF5805">
        <w:rPr>
          <w:lang w:val="fr-FR"/>
        </w:rPr>
        <w:tab/>
      </w:r>
      <w:r w:rsidRPr="00BF5805">
        <w:rPr>
          <w:lang w:val="fr-FR"/>
        </w:rPr>
        <w:tab/>
        <w:t>Teneur de la plainte</w:t>
      </w:r>
    </w:p>
    <w:p w:rsidR="00FD11F7" w:rsidRPr="00BF5805" w:rsidRDefault="00FD11F7" w:rsidP="00FD11F7">
      <w:pPr>
        <w:pStyle w:val="SingleTxtG"/>
        <w:rPr>
          <w:lang w:val="fr-FR"/>
        </w:rPr>
      </w:pPr>
      <w:r w:rsidRPr="00BF5805">
        <w:rPr>
          <w:lang w:val="fr-FR"/>
        </w:rPr>
        <w:t>3.1</w:t>
      </w:r>
      <w:r>
        <w:rPr>
          <w:lang w:val="fr-FR"/>
        </w:rPr>
        <w:tab/>
      </w:r>
      <w:r w:rsidRPr="00BF5805">
        <w:rPr>
          <w:lang w:val="fr-FR"/>
        </w:rPr>
        <w:t>La requérante affirme qu</w:t>
      </w:r>
      <w:r w:rsidR="00C44708">
        <w:rPr>
          <w:lang w:val="fr-FR"/>
        </w:rPr>
        <w:t>’</w:t>
      </w:r>
      <w:r w:rsidRPr="00BF5805">
        <w:rPr>
          <w:lang w:val="fr-FR"/>
        </w:rPr>
        <w:t>en la renvoyant de force en Ouganda, le Canada violerait les droits qu</w:t>
      </w:r>
      <w:r w:rsidR="00C44708">
        <w:rPr>
          <w:lang w:val="fr-FR"/>
        </w:rPr>
        <w:t>’</w:t>
      </w:r>
      <w:r w:rsidRPr="00BF5805">
        <w:rPr>
          <w:lang w:val="fr-FR"/>
        </w:rPr>
        <w:t>elle tient des articles 1 et 3 de la Convention. Elle soutient que son renvoi lui ferait courir un risque sérieux d</w:t>
      </w:r>
      <w:r w:rsidR="00C44708">
        <w:rPr>
          <w:lang w:val="fr-FR"/>
        </w:rPr>
        <w:t>’</w:t>
      </w:r>
      <w:r w:rsidRPr="00BF5805">
        <w:rPr>
          <w:lang w:val="fr-FR"/>
        </w:rPr>
        <w:t>être arrêtée, condamnée, torturée ou tuée en raison de son orientation sexuelle. Elle affirme que l</w:t>
      </w:r>
      <w:r w:rsidR="00C44708">
        <w:rPr>
          <w:lang w:val="fr-FR"/>
        </w:rPr>
        <w:t>’</w:t>
      </w:r>
      <w:r w:rsidRPr="00BF5805">
        <w:rPr>
          <w:lang w:val="fr-FR"/>
        </w:rPr>
        <w:t xml:space="preserve">Ouganda ne protège pas les lesbiennes, qui sont traitées comme des délinquantes, envoyées en prison et condamnées à mort. À cet égard, elle renvoie à la récente loi </w:t>
      </w:r>
      <w:r>
        <w:rPr>
          <w:lang w:val="fr-FR"/>
        </w:rPr>
        <w:t>ougandaise de 2014 contre l</w:t>
      </w:r>
      <w:r w:rsidR="00C44708">
        <w:rPr>
          <w:lang w:val="fr-FR"/>
        </w:rPr>
        <w:t>’</w:t>
      </w:r>
      <w:r>
        <w:rPr>
          <w:lang w:val="fr-FR"/>
        </w:rPr>
        <w:t xml:space="preserve">homosexualité, </w:t>
      </w:r>
      <w:r w:rsidRPr="00BF5805">
        <w:rPr>
          <w:lang w:val="fr-FR"/>
        </w:rPr>
        <w:t xml:space="preserve">qui </w:t>
      </w:r>
      <w:r>
        <w:rPr>
          <w:lang w:val="fr-FR"/>
        </w:rPr>
        <w:t xml:space="preserve">vise à tuer </w:t>
      </w:r>
      <w:r w:rsidRPr="00BF5805">
        <w:rPr>
          <w:lang w:val="fr-FR"/>
        </w:rPr>
        <w:t xml:space="preserve">les gays et les lesbiennes. Elle </w:t>
      </w:r>
      <w:r>
        <w:rPr>
          <w:lang w:val="fr-FR"/>
        </w:rPr>
        <w:t>craint également</w:t>
      </w:r>
      <w:r w:rsidRPr="00BF5805">
        <w:rPr>
          <w:lang w:val="fr-FR"/>
        </w:rPr>
        <w:t xml:space="preserve"> d</w:t>
      </w:r>
      <w:r w:rsidR="00C44708">
        <w:rPr>
          <w:lang w:val="fr-FR"/>
        </w:rPr>
        <w:t>’</w:t>
      </w:r>
      <w:r w:rsidRPr="00BF5805">
        <w:rPr>
          <w:lang w:val="fr-FR"/>
        </w:rPr>
        <w:t>être harcelée par des personnes qui connaissent son orientation sexuelle et affirme qu</w:t>
      </w:r>
      <w:r w:rsidR="00C44708">
        <w:rPr>
          <w:lang w:val="fr-FR"/>
        </w:rPr>
        <w:t>’</w:t>
      </w:r>
      <w:r w:rsidRPr="00BF5805">
        <w:rPr>
          <w:lang w:val="fr-FR"/>
        </w:rPr>
        <w:t>elle pourrait faire l</w:t>
      </w:r>
      <w:r w:rsidR="00C44708">
        <w:rPr>
          <w:lang w:val="fr-FR"/>
        </w:rPr>
        <w:t>’</w:t>
      </w:r>
      <w:r w:rsidRPr="00BF5805">
        <w:rPr>
          <w:lang w:val="fr-FR"/>
        </w:rPr>
        <w:t>objet d</w:t>
      </w:r>
      <w:r w:rsidR="00C44708">
        <w:rPr>
          <w:lang w:val="fr-FR"/>
        </w:rPr>
        <w:t>’</w:t>
      </w:r>
      <w:r w:rsidRPr="00BF5805">
        <w:rPr>
          <w:lang w:val="fr-FR"/>
        </w:rPr>
        <w:t>une enquête, puisque la législation ougandaise prévoit l</w:t>
      </w:r>
      <w:r w:rsidR="00C44708">
        <w:rPr>
          <w:lang w:val="fr-FR"/>
        </w:rPr>
        <w:t>’</w:t>
      </w:r>
      <w:r w:rsidRPr="00BF5805">
        <w:rPr>
          <w:lang w:val="fr-FR"/>
        </w:rPr>
        <w:t xml:space="preserve">obligation de dénoncer toute personne homosexuelle dans un délai de </w:t>
      </w:r>
      <w:r>
        <w:rPr>
          <w:lang w:val="fr-FR"/>
        </w:rPr>
        <w:t>vingt-quatre</w:t>
      </w:r>
      <w:r w:rsidRPr="00BF5805">
        <w:rPr>
          <w:lang w:val="fr-FR"/>
        </w:rPr>
        <w:t xml:space="preserve"> heures. Elle explique en détail ses craintes et son anxiété et joint des déclarations d</w:t>
      </w:r>
      <w:r w:rsidR="00C44708">
        <w:rPr>
          <w:lang w:val="fr-FR"/>
        </w:rPr>
        <w:t>’</w:t>
      </w:r>
      <w:r w:rsidRPr="00BF5805">
        <w:rPr>
          <w:lang w:val="fr-FR"/>
        </w:rPr>
        <w:t xml:space="preserve">amis appartenant à la communauté </w:t>
      </w:r>
      <w:r>
        <w:rPr>
          <w:lang w:val="fr-FR"/>
        </w:rPr>
        <w:t xml:space="preserve">lesbienne, gay, </w:t>
      </w:r>
      <w:r>
        <w:rPr>
          <w:lang w:val="fr-FR"/>
        </w:rPr>
        <w:lastRenderedPageBreak/>
        <w:t>bisexuelle et transgenre</w:t>
      </w:r>
      <w:r w:rsidRPr="00BF5805">
        <w:rPr>
          <w:lang w:val="fr-FR"/>
        </w:rPr>
        <w:t xml:space="preserve"> de Winnipeg, de ses médecins</w:t>
      </w:r>
      <w:r>
        <w:rPr>
          <w:lang w:val="fr-FR"/>
        </w:rPr>
        <w:t xml:space="preserve"> et</w:t>
      </w:r>
      <w:r w:rsidRPr="00BF5805">
        <w:rPr>
          <w:lang w:val="fr-FR"/>
        </w:rPr>
        <w:t xml:space="preserve"> de membres de sa famille au Canada et en Ouganda, qui décrivent le risque de préjudice qu</w:t>
      </w:r>
      <w:r w:rsidR="00C44708">
        <w:rPr>
          <w:lang w:val="fr-FR"/>
        </w:rPr>
        <w:t>’</w:t>
      </w:r>
      <w:r w:rsidRPr="00BF5805">
        <w:rPr>
          <w:lang w:val="fr-FR"/>
        </w:rPr>
        <w:t xml:space="preserve">elle </w:t>
      </w:r>
      <w:r>
        <w:rPr>
          <w:lang w:val="fr-FR"/>
        </w:rPr>
        <w:t>risquerait de subir</w:t>
      </w:r>
      <w:r w:rsidRPr="00BF5805">
        <w:rPr>
          <w:lang w:val="fr-FR"/>
        </w:rPr>
        <w:t xml:space="preserve"> si elle retournait </w:t>
      </w:r>
      <w:r>
        <w:rPr>
          <w:lang w:val="fr-FR"/>
        </w:rPr>
        <w:t>en Ouganda</w:t>
      </w:r>
      <w:r w:rsidRPr="00BF5805">
        <w:rPr>
          <w:lang w:val="fr-FR"/>
        </w:rPr>
        <w:t>.</w:t>
      </w:r>
    </w:p>
    <w:p w:rsidR="00FD11F7" w:rsidRPr="00BF5805" w:rsidRDefault="00FD11F7" w:rsidP="00FD11F7">
      <w:pPr>
        <w:pStyle w:val="SingleTxtG"/>
        <w:rPr>
          <w:lang w:val="fr-FR"/>
        </w:rPr>
      </w:pPr>
      <w:r w:rsidRPr="00BF5805">
        <w:rPr>
          <w:lang w:val="fr-FR"/>
        </w:rPr>
        <w:t>3.2</w:t>
      </w:r>
      <w:r w:rsidRPr="00BF5805">
        <w:rPr>
          <w:lang w:val="fr-FR"/>
        </w:rPr>
        <w:tab/>
        <w:t>La requérante dit en outre avoir particulièrement peur du père de sa fille, qui lui en veut d</w:t>
      </w:r>
      <w:r w:rsidR="00C44708">
        <w:rPr>
          <w:lang w:val="fr-FR"/>
        </w:rPr>
        <w:t>’</w:t>
      </w:r>
      <w:r w:rsidRPr="00BF5805">
        <w:rPr>
          <w:lang w:val="fr-FR"/>
        </w:rPr>
        <w:t>être lesbienne et pense qu</w:t>
      </w:r>
      <w:r w:rsidR="00C44708">
        <w:rPr>
          <w:lang w:val="fr-FR"/>
        </w:rPr>
        <w:t>’</w:t>
      </w:r>
      <w:r w:rsidRPr="00BF5805">
        <w:rPr>
          <w:lang w:val="fr-FR"/>
        </w:rPr>
        <w:t>elle ne devrait pas être en contact avec son enfant car elle est « mauvaise et sale ». Elle affirme qu</w:t>
      </w:r>
      <w:r w:rsidR="00C44708">
        <w:rPr>
          <w:lang w:val="fr-FR"/>
        </w:rPr>
        <w:t>’</w:t>
      </w:r>
      <w:r w:rsidRPr="00BF5805">
        <w:rPr>
          <w:lang w:val="fr-FR"/>
        </w:rPr>
        <w:t>il a menacé à plusieurs reprises de la tuer</w:t>
      </w:r>
      <w:r w:rsidRPr="00E9321A">
        <w:rPr>
          <w:rStyle w:val="Appelnotedebasdep"/>
        </w:rPr>
        <w:footnoteReference w:id="8"/>
      </w:r>
      <w:r w:rsidRPr="00BF5805">
        <w:rPr>
          <w:lang w:val="fr-FR"/>
        </w:rPr>
        <w:t xml:space="preserve"> et de faire </w:t>
      </w:r>
      <w:r>
        <w:rPr>
          <w:lang w:val="fr-FR"/>
        </w:rPr>
        <w:t xml:space="preserve">subir une mutilation génitale à </w:t>
      </w:r>
      <w:r w:rsidRPr="00BF5805">
        <w:rPr>
          <w:lang w:val="fr-FR"/>
        </w:rPr>
        <w:t>sa fille. Elle a expliqué qu</w:t>
      </w:r>
      <w:r w:rsidR="00C44708">
        <w:rPr>
          <w:lang w:val="fr-FR"/>
        </w:rPr>
        <w:t>’</w:t>
      </w:r>
      <w:r w:rsidRPr="00BF5805">
        <w:rPr>
          <w:lang w:val="fr-FR"/>
        </w:rPr>
        <w:t>elle ne s</w:t>
      </w:r>
      <w:r w:rsidR="00C44708">
        <w:rPr>
          <w:lang w:val="fr-FR"/>
        </w:rPr>
        <w:t>’</w:t>
      </w:r>
      <w:r w:rsidRPr="00BF5805">
        <w:rPr>
          <w:lang w:val="fr-FR"/>
        </w:rPr>
        <w:t>était même pas rendue aux funérailles de sa mère en Ouganda</w:t>
      </w:r>
      <w:r w:rsidRPr="00E9321A">
        <w:rPr>
          <w:rStyle w:val="Appelnotedebasdep"/>
        </w:rPr>
        <w:footnoteReference w:id="9"/>
      </w:r>
      <w:r w:rsidRPr="00BF5805">
        <w:rPr>
          <w:lang w:val="fr-FR"/>
        </w:rPr>
        <w:t>, car il continuait de proférer des menaces et que sa famille en Ouganda lui avait dit qu</w:t>
      </w:r>
      <w:r w:rsidR="00C44708">
        <w:rPr>
          <w:lang w:val="fr-FR"/>
        </w:rPr>
        <w:t>’</w:t>
      </w:r>
      <w:r w:rsidRPr="00BF5805">
        <w:rPr>
          <w:lang w:val="fr-FR"/>
        </w:rPr>
        <w:t xml:space="preserve">elle ne serait pas en sécurité dans le pays. </w:t>
      </w:r>
    </w:p>
    <w:p w:rsidR="00FD11F7" w:rsidRPr="00BF5805" w:rsidRDefault="00FD11F7" w:rsidP="00FD11F7">
      <w:pPr>
        <w:pStyle w:val="SingleTxtG"/>
        <w:rPr>
          <w:lang w:val="fr-FR"/>
        </w:rPr>
      </w:pPr>
      <w:r w:rsidRPr="00BF5805">
        <w:rPr>
          <w:lang w:val="fr-FR"/>
        </w:rPr>
        <w:t>3.3</w:t>
      </w:r>
      <w:r>
        <w:rPr>
          <w:lang w:val="fr-FR"/>
        </w:rPr>
        <w:tab/>
      </w:r>
      <w:r w:rsidRPr="00BF5805">
        <w:rPr>
          <w:lang w:val="fr-FR"/>
        </w:rPr>
        <w:t>La requérante affirme qu</w:t>
      </w:r>
      <w:r w:rsidR="00C44708">
        <w:rPr>
          <w:lang w:val="fr-FR"/>
        </w:rPr>
        <w:t>’</w:t>
      </w:r>
      <w:r w:rsidRPr="00BF5805">
        <w:rPr>
          <w:lang w:val="fr-FR"/>
        </w:rPr>
        <w:t>elle a épuisé tous les recours internes disponibles au Canada. Elle soutient que la</w:t>
      </w:r>
      <w:r>
        <w:rPr>
          <w:lang w:val="fr-FR"/>
        </w:rPr>
        <w:t xml:space="preserve"> requête en</w:t>
      </w:r>
      <w:r w:rsidRPr="00BF5805">
        <w:rPr>
          <w:lang w:val="fr-FR"/>
        </w:rPr>
        <w:t xml:space="preserve"> contrôle </w:t>
      </w:r>
      <w:r>
        <w:rPr>
          <w:lang w:val="fr-FR"/>
        </w:rPr>
        <w:t>judiciaire</w:t>
      </w:r>
      <w:r w:rsidRPr="00BF5805">
        <w:rPr>
          <w:lang w:val="fr-FR"/>
        </w:rPr>
        <w:t xml:space="preserve"> qu</w:t>
      </w:r>
      <w:r w:rsidR="00C44708">
        <w:rPr>
          <w:lang w:val="fr-FR"/>
        </w:rPr>
        <w:t>’</w:t>
      </w:r>
      <w:r w:rsidRPr="00BF5805">
        <w:rPr>
          <w:lang w:val="fr-FR"/>
        </w:rPr>
        <w:t>elle a déposée auprès de la Cour fédérale ne constitue pas un recours utile, car le plus souvent celle-ci ne permet ni de suspendre ni de retarder l</w:t>
      </w:r>
      <w:r w:rsidR="00C44708">
        <w:rPr>
          <w:lang w:val="fr-FR"/>
        </w:rPr>
        <w:t>’</w:t>
      </w:r>
      <w:r w:rsidRPr="00BF5805">
        <w:rPr>
          <w:lang w:val="fr-FR"/>
        </w:rPr>
        <w:t>expulsion. Elle renvoie en outre à la jurisprudence du Comité dans l</w:t>
      </w:r>
      <w:r w:rsidR="00C44708">
        <w:rPr>
          <w:lang w:val="fr-FR"/>
        </w:rPr>
        <w:t>’</w:t>
      </w:r>
      <w:r w:rsidRPr="00BF5805">
        <w:rPr>
          <w:lang w:val="fr-FR"/>
        </w:rPr>
        <w:t xml:space="preserve">affaire </w:t>
      </w:r>
      <w:proofErr w:type="spellStart"/>
      <w:r w:rsidRPr="00BF5805">
        <w:rPr>
          <w:i/>
          <w:iCs/>
          <w:lang w:val="fr-FR"/>
        </w:rPr>
        <w:t>Nirmal</w:t>
      </w:r>
      <w:proofErr w:type="spellEnd"/>
      <w:r w:rsidRPr="00BF5805">
        <w:rPr>
          <w:i/>
          <w:iCs/>
          <w:lang w:val="fr-FR"/>
        </w:rPr>
        <w:t xml:space="preserve"> Singh </w:t>
      </w:r>
      <w:r>
        <w:rPr>
          <w:i/>
          <w:iCs/>
          <w:lang w:val="fr-FR"/>
        </w:rPr>
        <w:t>c. </w:t>
      </w:r>
      <w:r w:rsidRPr="00BF5805">
        <w:rPr>
          <w:i/>
          <w:iCs/>
          <w:lang w:val="fr-FR"/>
        </w:rPr>
        <w:t>Canada</w:t>
      </w:r>
      <w:r>
        <w:rPr>
          <w:i/>
          <w:iCs/>
          <w:lang w:val="fr-FR"/>
        </w:rPr>
        <w:t xml:space="preserve"> </w:t>
      </w:r>
      <w:r>
        <w:rPr>
          <w:iCs/>
        </w:rPr>
        <w:t>(CAT/C/46/D/319/2007</w:t>
      </w:r>
      <w:r w:rsidRPr="00E25031">
        <w:rPr>
          <w:iCs/>
        </w:rPr>
        <w:t>, par.</w:t>
      </w:r>
      <w:r w:rsidR="00E9321A">
        <w:rPr>
          <w:iCs/>
        </w:rPr>
        <w:t> </w:t>
      </w:r>
      <w:r w:rsidRPr="00E25031">
        <w:rPr>
          <w:iCs/>
        </w:rPr>
        <w:t>8.8</w:t>
      </w:r>
      <w:r>
        <w:rPr>
          <w:iCs/>
        </w:rPr>
        <w:t>)</w:t>
      </w:r>
      <w:r w:rsidRPr="00BF5805">
        <w:rPr>
          <w:lang w:val="fr-FR"/>
        </w:rPr>
        <w:t xml:space="preserve">, dans laquelle le Comité a considéré que le contrôle </w:t>
      </w:r>
      <w:r>
        <w:rPr>
          <w:lang w:val="fr-FR"/>
        </w:rPr>
        <w:t>judiciaire</w:t>
      </w:r>
      <w:r w:rsidRPr="00BF5805">
        <w:rPr>
          <w:lang w:val="fr-FR"/>
        </w:rPr>
        <w:t xml:space="preserve"> d</w:t>
      </w:r>
      <w:r w:rsidR="00C44708">
        <w:rPr>
          <w:lang w:val="fr-FR"/>
        </w:rPr>
        <w:t>’</w:t>
      </w:r>
      <w:r w:rsidRPr="00BF5805">
        <w:rPr>
          <w:lang w:val="fr-FR"/>
        </w:rPr>
        <w:t>une décision de rejet d</w:t>
      </w:r>
      <w:r w:rsidR="00C44708">
        <w:rPr>
          <w:lang w:val="fr-FR"/>
        </w:rPr>
        <w:t>’</w:t>
      </w:r>
      <w:r w:rsidRPr="00BF5805">
        <w:rPr>
          <w:lang w:val="fr-FR"/>
        </w:rPr>
        <w:t>une demande d</w:t>
      </w:r>
      <w:r w:rsidR="00C44708">
        <w:rPr>
          <w:lang w:val="fr-FR"/>
        </w:rPr>
        <w:t>’</w:t>
      </w:r>
      <w:r w:rsidRPr="00BF5805">
        <w:rPr>
          <w:lang w:val="fr-FR"/>
        </w:rPr>
        <w:t>asile ou d</w:t>
      </w:r>
      <w:r w:rsidR="00C44708">
        <w:rPr>
          <w:lang w:val="fr-FR"/>
        </w:rPr>
        <w:t>’</w:t>
      </w:r>
      <w:r w:rsidRPr="00BF5805">
        <w:rPr>
          <w:lang w:val="fr-FR"/>
        </w:rPr>
        <w:t xml:space="preserve">une décision </w:t>
      </w:r>
      <w:r>
        <w:rPr>
          <w:lang w:val="fr-FR"/>
        </w:rPr>
        <w:t>concernant l</w:t>
      </w:r>
      <w:r w:rsidR="00C44708">
        <w:rPr>
          <w:lang w:val="fr-FR"/>
        </w:rPr>
        <w:t>’</w:t>
      </w:r>
      <w:r w:rsidRPr="00BD4F86">
        <w:rPr>
          <w:lang w:val="fr-FR"/>
        </w:rPr>
        <w:t>examen des risques avant renvoi</w:t>
      </w:r>
      <w:r w:rsidR="00E9321A">
        <w:rPr>
          <w:lang w:val="fr-FR"/>
        </w:rPr>
        <w:t xml:space="preserve"> </w:t>
      </w:r>
      <w:r w:rsidRPr="00BF5805">
        <w:rPr>
          <w:lang w:val="fr-FR"/>
        </w:rPr>
        <w:t>ne constituait pas un recours utile pour le requérant.</w:t>
      </w:r>
    </w:p>
    <w:p w:rsidR="00FD11F7" w:rsidRPr="00BF5805" w:rsidRDefault="00FD11F7" w:rsidP="00FD11F7">
      <w:pPr>
        <w:pStyle w:val="H23G"/>
        <w:rPr>
          <w:lang w:val="fr-FR"/>
        </w:rPr>
      </w:pPr>
      <w:r w:rsidRPr="00BF5805">
        <w:rPr>
          <w:lang w:val="fr-FR"/>
        </w:rPr>
        <w:tab/>
      </w:r>
      <w:r w:rsidRPr="00BF5805">
        <w:rPr>
          <w:lang w:val="fr-FR"/>
        </w:rPr>
        <w:tab/>
        <w:t>Observations de l</w:t>
      </w:r>
      <w:r w:rsidR="00C44708">
        <w:rPr>
          <w:lang w:val="fr-FR"/>
        </w:rPr>
        <w:t>’</w:t>
      </w:r>
      <w:r w:rsidRPr="00BF5805">
        <w:rPr>
          <w:lang w:val="fr-FR"/>
        </w:rPr>
        <w:t>État partie sur la recevabilité et sur le fond</w:t>
      </w:r>
    </w:p>
    <w:p w:rsidR="00FD11F7" w:rsidRPr="00BF5805" w:rsidRDefault="00FD11F7" w:rsidP="00FD11F7">
      <w:pPr>
        <w:pStyle w:val="SingleTxtG"/>
        <w:rPr>
          <w:lang w:val="fr-FR"/>
        </w:rPr>
      </w:pPr>
      <w:r w:rsidRPr="00BF5805">
        <w:rPr>
          <w:lang w:val="fr-FR"/>
        </w:rPr>
        <w:t>4.1</w:t>
      </w:r>
      <w:r w:rsidRPr="00BF5805">
        <w:rPr>
          <w:lang w:val="fr-FR"/>
        </w:rPr>
        <w:tab/>
        <w:t>Le 7</w:t>
      </w:r>
      <w:r>
        <w:rPr>
          <w:lang w:val="fr-FR"/>
        </w:rPr>
        <w:t> août</w:t>
      </w:r>
      <w:r w:rsidRPr="00BF5805">
        <w:rPr>
          <w:lang w:val="fr-FR"/>
        </w:rPr>
        <w:t xml:space="preserve"> 2015, l</w:t>
      </w:r>
      <w:r w:rsidR="00C44708">
        <w:rPr>
          <w:lang w:val="fr-FR"/>
        </w:rPr>
        <w:t>’</w:t>
      </w:r>
      <w:r w:rsidRPr="00BF5805">
        <w:rPr>
          <w:lang w:val="fr-FR"/>
        </w:rPr>
        <w:t xml:space="preserve">État partie a soumis ses observations sur la recevabilité et sur le fond de la requête. </w:t>
      </w:r>
    </w:p>
    <w:p w:rsidR="00FD11F7" w:rsidRPr="00BF5805" w:rsidRDefault="00FD11F7" w:rsidP="00FD11F7">
      <w:pPr>
        <w:pStyle w:val="SingleTxtG"/>
        <w:rPr>
          <w:lang w:val="fr-FR"/>
        </w:rPr>
      </w:pPr>
      <w:r w:rsidRPr="00BF5805">
        <w:rPr>
          <w:lang w:val="fr-FR"/>
        </w:rPr>
        <w:t>4.2</w:t>
      </w:r>
      <w:r w:rsidRPr="00BF5805">
        <w:rPr>
          <w:lang w:val="fr-FR"/>
        </w:rPr>
        <w:tab/>
        <w:t>En ce qui concerne la recevabilité de l</w:t>
      </w:r>
      <w:r w:rsidR="00C44708">
        <w:rPr>
          <w:lang w:val="fr-FR"/>
        </w:rPr>
        <w:t>’</w:t>
      </w:r>
      <w:r w:rsidRPr="00BF5805">
        <w:rPr>
          <w:lang w:val="fr-FR"/>
        </w:rPr>
        <w:t>affaire, l</w:t>
      </w:r>
      <w:r w:rsidR="00C44708">
        <w:rPr>
          <w:lang w:val="fr-FR"/>
        </w:rPr>
        <w:t>’</w:t>
      </w:r>
      <w:r w:rsidRPr="00BF5805">
        <w:rPr>
          <w:lang w:val="fr-FR"/>
        </w:rPr>
        <w:t xml:space="preserve">État partie indique que la requête est irrecevable pour deux motifs. </w:t>
      </w:r>
      <w:r>
        <w:rPr>
          <w:lang w:val="fr-FR"/>
        </w:rPr>
        <w:t>L</w:t>
      </w:r>
      <w:r w:rsidR="00C44708">
        <w:rPr>
          <w:lang w:val="fr-FR"/>
        </w:rPr>
        <w:t>’</w:t>
      </w:r>
      <w:r w:rsidRPr="00BF5805">
        <w:rPr>
          <w:lang w:val="fr-FR"/>
        </w:rPr>
        <w:t>État partie considère que la requérante n</w:t>
      </w:r>
      <w:r w:rsidR="00C44708">
        <w:rPr>
          <w:lang w:val="fr-FR"/>
        </w:rPr>
        <w:t>’</w:t>
      </w:r>
      <w:r w:rsidRPr="00BF5805">
        <w:rPr>
          <w:lang w:val="fr-FR"/>
        </w:rPr>
        <w:t>a pas épuisé tous les recours internes puisqu</w:t>
      </w:r>
      <w:r w:rsidR="00C44708">
        <w:rPr>
          <w:lang w:val="fr-FR"/>
        </w:rPr>
        <w:t>’</w:t>
      </w:r>
      <w:r w:rsidRPr="00BF5805">
        <w:rPr>
          <w:lang w:val="fr-FR"/>
        </w:rPr>
        <w:t>elle n</w:t>
      </w:r>
      <w:r w:rsidR="00C44708">
        <w:rPr>
          <w:lang w:val="fr-FR"/>
        </w:rPr>
        <w:t>’</w:t>
      </w:r>
      <w:r w:rsidRPr="00BF5805">
        <w:rPr>
          <w:lang w:val="fr-FR"/>
        </w:rPr>
        <w:t>a pas déposé de demande d</w:t>
      </w:r>
      <w:r w:rsidR="00C44708">
        <w:rPr>
          <w:lang w:val="fr-FR"/>
        </w:rPr>
        <w:t>’</w:t>
      </w:r>
      <w:r w:rsidRPr="00BF5805">
        <w:rPr>
          <w:lang w:val="fr-FR"/>
        </w:rPr>
        <w:t>asile ou de protection auprès de la Section de la protection des réfugiés. Il rappelle que la Section est un tribunal indépendant spécialisé et quasi judiciaire qui examine les demandes présentées par des ressortissants étrangers qui souhaitent obtenir la protection du Canada parce qu</w:t>
      </w:r>
      <w:r w:rsidR="00C44708">
        <w:rPr>
          <w:lang w:val="fr-FR"/>
        </w:rPr>
        <w:t>’</w:t>
      </w:r>
      <w:r w:rsidRPr="00BF5805">
        <w:rPr>
          <w:lang w:val="fr-FR"/>
        </w:rPr>
        <w:t>ils craignent d</w:t>
      </w:r>
      <w:r w:rsidR="00C44708">
        <w:rPr>
          <w:lang w:val="fr-FR"/>
        </w:rPr>
        <w:t>’</w:t>
      </w:r>
      <w:r w:rsidRPr="00BF5805">
        <w:rPr>
          <w:lang w:val="fr-FR"/>
        </w:rPr>
        <w:t>être persécutés ou torturés ou de subir d</w:t>
      </w:r>
      <w:r w:rsidR="00C44708">
        <w:rPr>
          <w:lang w:val="fr-FR"/>
        </w:rPr>
        <w:t>’</w:t>
      </w:r>
      <w:r w:rsidRPr="00BF5805">
        <w:rPr>
          <w:lang w:val="fr-FR"/>
        </w:rPr>
        <w:t>autres violations graves de leurs droits de l</w:t>
      </w:r>
      <w:r w:rsidR="00C44708">
        <w:rPr>
          <w:lang w:val="fr-FR"/>
        </w:rPr>
        <w:t>’</w:t>
      </w:r>
      <w:r w:rsidRPr="00BF5805">
        <w:rPr>
          <w:lang w:val="fr-FR"/>
        </w:rPr>
        <w:t>homme s</w:t>
      </w:r>
      <w:r w:rsidR="00C44708">
        <w:rPr>
          <w:lang w:val="fr-FR"/>
        </w:rPr>
        <w:t>’</w:t>
      </w:r>
      <w:r w:rsidRPr="00BF5805">
        <w:rPr>
          <w:lang w:val="fr-FR"/>
        </w:rPr>
        <w:t>ils sont renvoyés dans leur pays d</w:t>
      </w:r>
      <w:r w:rsidR="00C44708">
        <w:rPr>
          <w:lang w:val="fr-FR"/>
        </w:rPr>
        <w:t>’</w:t>
      </w:r>
      <w:r w:rsidRPr="00BF5805">
        <w:rPr>
          <w:lang w:val="fr-FR"/>
        </w:rPr>
        <w:t>origine. La Section détermine si un demandeur est une « personne à protéger » au regard de l</w:t>
      </w:r>
      <w:r w:rsidR="00C44708">
        <w:rPr>
          <w:lang w:val="fr-FR"/>
        </w:rPr>
        <w:t>’</w:t>
      </w:r>
      <w:r w:rsidRPr="00BF5805">
        <w:rPr>
          <w:lang w:val="fr-FR"/>
        </w:rPr>
        <w:t>article 97 de la loi sur l</w:t>
      </w:r>
      <w:r w:rsidR="00C44708">
        <w:rPr>
          <w:lang w:val="fr-FR"/>
        </w:rPr>
        <w:t>’</w:t>
      </w:r>
      <w:r w:rsidRPr="00BF5805">
        <w:rPr>
          <w:lang w:val="fr-FR"/>
        </w:rPr>
        <w:t xml:space="preserve">immigration et la protection des réfugiés, lequel prévoit la protection des personnes qui, si elles étaient expulsées du Canada, seraient exposées </w:t>
      </w:r>
      <w:r>
        <w:rPr>
          <w:lang w:val="fr-FR"/>
        </w:rPr>
        <w:t>à un</w:t>
      </w:r>
      <w:r w:rsidRPr="00BF5805">
        <w:rPr>
          <w:lang w:val="fr-FR"/>
        </w:rPr>
        <w:t xml:space="preserve"> risque réel d</w:t>
      </w:r>
      <w:r w:rsidR="00C44708">
        <w:rPr>
          <w:lang w:val="fr-FR"/>
        </w:rPr>
        <w:t>’</w:t>
      </w:r>
      <w:r w:rsidRPr="00BF5805">
        <w:rPr>
          <w:lang w:val="fr-FR"/>
        </w:rPr>
        <w:t>être soumises à la torture au sens de l</w:t>
      </w:r>
      <w:r w:rsidR="00C44708">
        <w:rPr>
          <w:lang w:val="fr-FR"/>
        </w:rPr>
        <w:t>’</w:t>
      </w:r>
      <w:r w:rsidRPr="00BF5805">
        <w:rPr>
          <w:lang w:val="fr-FR"/>
        </w:rPr>
        <w:t>article 1</w:t>
      </w:r>
      <w:r w:rsidRPr="00BF5805">
        <w:rPr>
          <w:vertAlign w:val="superscript"/>
          <w:lang w:val="fr-FR"/>
        </w:rPr>
        <w:t xml:space="preserve"> </w:t>
      </w:r>
      <w:r w:rsidRPr="00BF5805">
        <w:rPr>
          <w:lang w:val="fr-FR"/>
        </w:rPr>
        <w:t>de la Convention. Une personne qui relève de la définition d</w:t>
      </w:r>
      <w:r w:rsidR="00C44708">
        <w:rPr>
          <w:lang w:val="fr-FR"/>
        </w:rPr>
        <w:t>’</w:t>
      </w:r>
      <w:r w:rsidRPr="00BF5805">
        <w:rPr>
          <w:lang w:val="fr-FR"/>
        </w:rPr>
        <w:t>une « personne à protéger</w:t>
      </w:r>
      <w:r>
        <w:rPr>
          <w:lang w:val="fr-FR"/>
        </w:rPr>
        <w:t> </w:t>
      </w:r>
      <w:r w:rsidRPr="00BF5805">
        <w:rPr>
          <w:lang w:val="fr-FR"/>
        </w:rPr>
        <w:t xml:space="preserve">» a </w:t>
      </w:r>
      <w:r>
        <w:rPr>
          <w:lang w:val="fr-FR"/>
        </w:rPr>
        <w:t xml:space="preserve">le </w:t>
      </w:r>
      <w:r w:rsidRPr="00BF5805">
        <w:rPr>
          <w:lang w:val="fr-FR"/>
        </w:rPr>
        <w:t xml:space="preserve">droit </w:t>
      </w:r>
      <w:r>
        <w:rPr>
          <w:lang w:val="fr-FR"/>
        </w:rPr>
        <w:t>de</w:t>
      </w:r>
      <w:r w:rsidRPr="00BF5805">
        <w:rPr>
          <w:lang w:val="fr-FR"/>
        </w:rPr>
        <w:t xml:space="preserve"> ne pas être renvoyée, en application de l</w:t>
      </w:r>
      <w:r w:rsidR="00C44708">
        <w:rPr>
          <w:lang w:val="fr-FR"/>
        </w:rPr>
        <w:t>’</w:t>
      </w:r>
      <w:r w:rsidRPr="00BF5805">
        <w:rPr>
          <w:lang w:val="fr-FR"/>
        </w:rPr>
        <w:t>article</w:t>
      </w:r>
      <w:r w:rsidR="00B404A6">
        <w:rPr>
          <w:lang w:val="fr-FR"/>
        </w:rPr>
        <w:t> </w:t>
      </w:r>
      <w:r w:rsidRPr="00BF5805">
        <w:rPr>
          <w:lang w:val="fr-FR"/>
        </w:rPr>
        <w:t>115 de ladite loi. L</w:t>
      </w:r>
      <w:r w:rsidR="00C44708">
        <w:rPr>
          <w:lang w:val="fr-FR"/>
        </w:rPr>
        <w:t>’</w:t>
      </w:r>
      <w:r w:rsidRPr="00BF5805">
        <w:rPr>
          <w:lang w:val="fr-FR"/>
        </w:rPr>
        <w:t>État partie avance que la requérante n</w:t>
      </w:r>
      <w:r w:rsidR="00C44708">
        <w:rPr>
          <w:lang w:val="fr-FR"/>
        </w:rPr>
        <w:t>’</w:t>
      </w:r>
      <w:r w:rsidRPr="00BF5805">
        <w:rPr>
          <w:lang w:val="fr-FR"/>
        </w:rPr>
        <w:t>a pas expliqué au Comité pourquoi elle n</w:t>
      </w:r>
      <w:r w:rsidR="00C44708">
        <w:rPr>
          <w:lang w:val="fr-FR"/>
        </w:rPr>
        <w:t>’</w:t>
      </w:r>
      <w:r w:rsidRPr="00BF5805">
        <w:rPr>
          <w:lang w:val="fr-FR"/>
        </w:rPr>
        <w:t xml:space="preserve">avait pas demandé la protection du Canada auprès de la Section de la protection des réfugiés. Il </w:t>
      </w:r>
      <w:r>
        <w:rPr>
          <w:lang w:val="fr-FR"/>
        </w:rPr>
        <w:t>reconnaît</w:t>
      </w:r>
      <w:r w:rsidRPr="00BF5805">
        <w:rPr>
          <w:lang w:val="fr-FR"/>
        </w:rPr>
        <w:t xml:space="preserve"> que la requérante, après avoir été frappée</w:t>
      </w:r>
      <w:r>
        <w:rPr>
          <w:lang w:val="fr-FR"/>
        </w:rPr>
        <w:t>, le 1</w:t>
      </w:r>
      <w:r w:rsidRPr="004A7C36">
        <w:rPr>
          <w:vertAlign w:val="superscript"/>
          <w:lang w:val="fr-FR"/>
        </w:rPr>
        <w:t>er</w:t>
      </w:r>
      <w:r w:rsidR="00B404A6">
        <w:rPr>
          <w:lang w:val="fr-FR"/>
        </w:rPr>
        <w:t> </w:t>
      </w:r>
      <w:r>
        <w:rPr>
          <w:lang w:val="fr-FR"/>
        </w:rPr>
        <w:t xml:space="preserve">juin, </w:t>
      </w:r>
      <w:r w:rsidRPr="00BF5805">
        <w:rPr>
          <w:lang w:val="fr-FR"/>
        </w:rPr>
        <w:t>d</w:t>
      </w:r>
      <w:r w:rsidR="00C44708">
        <w:rPr>
          <w:lang w:val="fr-FR"/>
        </w:rPr>
        <w:t>’</w:t>
      </w:r>
      <w:r>
        <w:rPr>
          <w:lang w:val="fr-FR"/>
        </w:rPr>
        <w:t>une</w:t>
      </w:r>
      <w:r w:rsidRPr="00BF5805">
        <w:rPr>
          <w:lang w:val="fr-FR"/>
        </w:rPr>
        <w:t xml:space="preserve"> mesure de renvoi, ne remplissait plus les conditions pour présenter une demande de protection auprès de la Section ; elle aurait pu toutefois le faire avant</w:t>
      </w:r>
      <w:r>
        <w:rPr>
          <w:lang w:val="fr-FR"/>
        </w:rPr>
        <w:t>,</w:t>
      </w:r>
      <w:r w:rsidRPr="00BF5805">
        <w:rPr>
          <w:lang w:val="fr-FR"/>
        </w:rPr>
        <w:t xml:space="preserve"> mais ne l</w:t>
      </w:r>
      <w:r w:rsidR="00C44708">
        <w:rPr>
          <w:lang w:val="fr-FR"/>
        </w:rPr>
        <w:t>’</w:t>
      </w:r>
      <w:r w:rsidRPr="00BF5805">
        <w:rPr>
          <w:lang w:val="fr-FR"/>
        </w:rPr>
        <w:t>avait pas fait. Puisque la requérante n</w:t>
      </w:r>
      <w:r w:rsidR="00C44708">
        <w:rPr>
          <w:lang w:val="fr-FR"/>
        </w:rPr>
        <w:t>’</w:t>
      </w:r>
      <w:r w:rsidRPr="00BF5805">
        <w:rPr>
          <w:lang w:val="fr-FR"/>
        </w:rPr>
        <w:t>a pas déposé de demande auprès de la Section, l</w:t>
      </w:r>
      <w:r w:rsidR="00C44708">
        <w:rPr>
          <w:lang w:val="fr-FR"/>
        </w:rPr>
        <w:t>’</w:t>
      </w:r>
      <w:r w:rsidRPr="00BF5805">
        <w:rPr>
          <w:lang w:val="fr-FR"/>
        </w:rPr>
        <w:t>État partie considère que son argumentation et son comportement ne sont pas ceux d</w:t>
      </w:r>
      <w:r w:rsidR="00C44708">
        <w:rPr>
          <w:lang w:val="fr-FR"/>
        </w:rPr>
        <w:t>’</w:t>
      </w:r>
      <w:r w:rsidRPr="00BF5805">
        <w:rPr>
          <w:lang w:val="fr-FR"/>
        </w:rPr>
        <w:t xml:space="preserve">une personne </w:t>
      </w:r>
      <w:r>
        <w:rPr>
          <w:lang w:val="fr-FR"/>
        </w:rPr>
        <w:t>qui craint</w:t>
      </w:r>
      <w:r w:rsidRPr="00BF5805">
        <w:rPr>
          <w:lang w:val="fr-FR"/>
        </w:rPr>
        <w:t xml:space="preserve"> d</w:t>
      </w:r>
      <w:r w:rsidR="00C44708">
        <w:rPr>
          <w:lang w:val="fr-FR"/>
        </w:rPr>
        <w:t>’</w:t>
      </w:r>
      <w:r w:rsidRPr="00BF5805">
        <w:rPr>
          <w:lang w:val="fr-FR"/>
        </w:rPr>
        <w:t>être torturée ou soumise à des mauvais traitements en cas de renvoi dans son pays d</w:t>
      </w:r>
      <w:r w:rsidR="00C44708">
        <w:rPr>
          <w:lang w:val="fr-FR"/>
        </w:rPr>
        <w:t>’</w:t>
      </w:r>
      <w:r w:rsidRPr="00BF5805">
        <w:rPr>
          <w:lang w:val="fr-FR"/>
        </w:rPr>
        <w:t xml:space="preserve">origine. </w:t>
      </w:r>
    </w:p>
    <w:p w:rsidR="00FD11F7" w:rsidRPr="00BF5805" w:rsidRDefault="00FD11F7" w:rsidP="00FD11F7">
      <w:pPr>
        <w:pStyle w:val="SingleTxtG"/>
        <w:rPr>
          <w:lang w:val="fr-FR"/>
        </w:rPr>
      </w:pPr>
      <w:r w:rsidRPr="00BF5805">
        <w:rPr>
          <w:lang w:val="fr-FR"/>
        </w:rPr>
        <w:t>4.3</w:t>
      </w:r>
      <w:r w:rsidRPr="00BF5805">
        <w:rPr>
          <w:lang w:val="fr-FR"/>
        </w:rPr>
        <w:tab/>
      </w:r>
      <w:r>
        <w:rPr>
          <w:lang w:val="fr-FR"/>
        </w:rPr>
        <w:t>L</w:t>
      </w:r>
      <w:r w:rsidR="00C44708">
        <w:rPr>
          <w:lang w:val="fr-FR"/>
        </w:rPr>
        <w:t>’</w:t>
      </w:r>
      <w:r w:rsidRPr="00BF5805">
        <w:rPr>
          <w:lang w:val="fr-FR"/>
        </w:rPr>
        <w:t>État partie fait observer</w:t>
      </w:r>
      <w:r>
        <w:rPr>
          <w:lang w:val="fr-FR"/>
        </w:rPr>
        <w:t xml:space="preserve"> en outre</w:t>
      </w:r>
      <w:r w:rsidRPr="00BF5805">
        <w:rPr>
          <w:lang w:val="fr-FR"/>
        </w:rPr>
        <w:t xml:space="preserve"> que la requérante n</w:t>
      </w:r>
      <w:r w:rsidR="00C44708">
        <w:rPr>
          <w:lang w:val="fr-FR"/>
        </w:rPr>
        <w:t>’</w:t>
      </w:r>
      <w:r w:rsidRPr="00BF5805">
        <w:rPr>
          <w:lang w:val="fr-FR"/>
        </w:rPr>
        <w:t>a pas déposé de demande de résidence permanente fondée sur des considérations d</w:t>
      </w:r>
      <w:r w:rsidR="00C44708">
        <w:rPr>
          <w:lang w:val="fr-FR"/>
        </w:rPr>
        <w:t>’</w:t>
      </w:r>
      <w:r w:rsidRPr="00BF5805">
        <w:rPr>
          <w:lang w:val="fr-FR"/>
        </w:rPr>
        <w:t>ordre humanitaire. Il soutient que si elle avait présenté une telle demande depuis l</w:t>
      </w:r>
      <w:r w:rsidR="00C44708">
        <w:rPr>
          <w:lang w:val="fr-FR"/>
        </w:rPr>
        <w:t>’</w:t>
      </w:r>
      <w:r w:rsidRPr="00BF5805">
        <w:rPr>
          <w:lang w:val="fr-FR"/>
        </w:rPr>
        <w:t>étranger, elle aurait pu être autorisée à rester au Canada en tant que résidente permanente si le Ministère de la citoyenneté et de l</w:t>
      </w:r>
      <w:r w:rsidR="00C44708">
        <w:rPr>
          <w:lang w:val="fr-FR"/>
        </w:rPr>
        <w:t>’</w:t>
      </w:r>
      <w:r w:rsidRPr="00BF5805">
        <w:rPr>
          <w:lang w:val="fr-FR"/>
        </w:rPr>
        <w:t>immigration avait estimé qu</w:t>
      </w:r>
      <w:r w:rsidR="00C44708">
        <w:rPr>
          <w:lang w:val="fr-FR"/>
        </w:rPr>
        <w:t>’</w:t>
      </w:r>
      <w:r w:rsidRPr="00BF5805">
        <w:rPr>
          <w:lang w:val="fr-FR"/>
        </w:rPr>
        <w:t>elle serait exposée à des difficultés inhabituelles, injustifiées ou démesurées si elle quittait le pays</w:t>
      </w:r>
      <w:r w:rsidRPr="00B404A6">
        <w:rPr>
          <w:rStyle w:val="Appelnotedebasdep"/>
        </w:rPr>
        <w:footnoteReference w:id="10"/>
      </w:r>
      <w:r w:rsidRPr="00BF5805">
        <w:rPr>
          <w:lang w:val="fr-FR"/>
        </w:rPr>
        <w:t>. L</w:t>
      </w:r>
      <w:r w:rsidR="00C44708">
        <w:rPr>
          <w:lang w:val="fr-FR"/>
        </w:rPr>
        <w:t>’</w:t>
      </w:r>
      <w:r w:rsidRPr="00BF5805">
        <w:rPr>
          <w:lang w:val="fr-FR"/>
        </w:rPr>
        <w:t>État partie rappelle qu</w:t>
      </w:r>
      <w:r w:rsidR="00C44708">
        <w:rPr>
          <w:lang w:val="fr-FR"/>
        </w:rPr>
        <w:t>’</w:t>
      </w:r>
      <w:r w:rsidRPr="00BF5805">
        <w:rPr>
          <w:lang w:val="fr-FR"/>
        </w:rPr>
        <w:t xml:space="preserve">en vertu des modifications législatives apportées en 2010 au système </w:t>
      </w:r>
      <w:r>
        <w:rPr>
          <w:lang w:val="fr-FR"/>
        </w:rPr>
        <w:t xml:space="preserve">national </w:t>
      </w:r>
      <w:r w:rsidRPr="00BF5805">
        <w:rPr>
          <w:lang w:val="fr-FR"/>
        </w:rPr>
        <w:t>d</w:t>
      </w:r>
      <w:r w:rsidR="00C44708">
        <w:rPr>
          <w:lang w:val="fr-FR"/>
        </w:rPr>
        <w:t>’</w:t>
      </w:r>
      <w:r w:rsidRPr="00BF5805">
        <w:rPr>
          <w:lang w:val="fr-FR"/>
        </w:rPr>
        <w:t>accueil des réfugiés, les demandes fondées sur des considérations d</w:t>
      </w:r>
      <w:r w:rsidR="00C44708">
        <w:rPr>
          <w:lang w:val="fr-FR"/>
        </w:rPr>
        <w:t>’</w:t>
      </w:r>
      <w:r w:rsidRPr="00BF5805">
        <w:rPr>
          <w:lang w:val="fr-FR"/>
        </w:rPr>
        <w:t xml:space="preserve">ordre humanitaire ne doivent plus reposer sur un risque </w:t>
      </w:r>
      <w:r w:rsidRPr="00BF5805">
        <w:rPr>
          <w:lang w:val="fr-FR"/>
        </w:rPr>
        <w:lastRenderedPageBreak/>
        <w:t>pour la vie ou un risque de torture</w:t>
      </w:r>
      <w:r w:rsidRPr="00B404A6">
        <w:rPr>
          <w:rStyle w:val="Appelnotedebasdep"/>
        </w:rPr>
        <w:footnoteReference w:id="11"/>
      </w:r>
      <w:r w:rsidR="00B404A6">
        <w:rPr>
          <w:lang w:val="fr-FR"/>
        </w:rPr>
        <w:t> </w:t>
      </w:r>
      <w:r w:rsidRPr="00BF5805">
        <w:rPr>
          <w:lang w:val="fr-FR"/>
        </w:rPr>
        <w:t>; il s</w:t>
      </w:r>
      <w:r w:rsidR="00C44708">
        <w:rPr>
          <w:lang w:val="fr-FR"/>
        </w:rPr>
        <w:t>’</w:t>
      </w:r>
      <w:r w:rsidRPr="00BF5805">
        <w:rPr>
          <w:lang w:val="fr-FR"/>
        </w:rPr>
        <w:t>agit désormais d</w:t>
      </w:r>
      <w:r w:rsidR="00C44708">
        <w:rPr>
          <w:lang w:val="fr-FR"/>
        </w:rPr>
        <w:t>’</w:t>
      </w:r>
      <w:r w:rsidRPr="00BF5805">
        <w:rPr>
          <w:lang w:val="fr-FR"/>
        </w:rPr>
        <w:t>apporter la preuve que le demandeur rencontrerait directement et personnellement des difficultés inhabituelles, injustifiées ou démesurées dans son pays d</w:t>
      </w:r>
      <w:r w:rsidR="00C44708">
        <w:rPr>
          <w:lang w:val="fr-FR"/>
        </w:rPr>
        <w:t>’</w:t>
      </w:r>
      <w:r w:rsidRPr="00BF5805">
        <w:rPr>
          <w:lang w:val="fr-FR"/>
        </w:rPr>
        <w:t>origine. L</w:t>
      </w:r>
      <w:r w:rsidR="00C44708">
        <w:rPr>
          <w:lang w:val="fr-FR"/>
        </w:rPr>
        <w:t>’</w:t>
      </w:r>
      <w:r w:rsidRPr="00BF5805">
        <w:rPr>
          <w:lang w:val="fr-FR"/>
        </w:rPr>
        <w:t xml:space="preserve">État partie regrette donc </w:t>
      </w:r>
      <w:r>
        <w:rPr>
          <w:lang w:val="fr-FR"/>
        </w:rPr>
        <w:t>les</w:t>
      </w:r>
      <w:r w:rsidRPr="00BF5805">
        <w:rPr>
          <w:lang w:val="fr-FR"/>
        </w:rPr>
        <w:t xml:space="preserve"> décisions </w:t>
      </w:r>
      <w:r>
        <w:rPr>
          <w:lang w:val="fr-FR"/>
        </w:rPr>
        <w:t xml:space="preserve">adoptées par le Comité dans les affaires </w:t>
      </w:r>
      <w:proofErr w:type="spellStart"/>
      <w:r w:rsidRPr="00BF5805">
        <w:rPr>
          <w:i/>
          <w:iCs/>
          <w:lang w:val="fr-FR"/>
        </w:rPr>
        <w:t>Kalonzo</w:t>
      </w:r>
      <w:proofErr w:type="spellEnd"/>
      <w:r w:rsidRPr="00BF5805">
        <w:rPr>
          <w:i/>
          <w:iCs/>
          <w:lang w:val="fr-FR"/>
        </w:rPr>
        <w:t xml:space="preserve"> </w:t>
      </w:r>
      <w:r w:rsidRPr="00B404A6">
        <w:rPr>
          <w:i/>
          <w:lang w:val="fr-FR"/>
        </w:rPr>
        <w:t>c.</w:t>
      </w:r>
      <w:r>
        <w:rPr>
          <w:iCs/>
          <w:lang w:val="fr-FR"/>
        </w:rPr>
        <w:t> </w:t>
      </w:r>
      <w:r w:rsidRPr="00BF5805">
        <w:rPr>
          <w:i/>
          <w:iCs/>
          <w:lang w:val="fr-FR"/>
        </w:rPr>
        <w:t>Canada</w:t>
      </w:r>
      <w:r>
        <w:rPr>
          <w:lang w:val="fr-FR"/>
        </w:rPr>
        <w:t xml:space="preserve"> </w:t>
      </w:r>
      <w:r>
        <w:rPr>
          <w:iCs/>
        </w:rPr>
        <w:t>(</w:t>
      </w:r>
      <w:r w:rsidRPr="00E8055C">
        <w:rPr>
          <w:bCs/>
          <w:szCs w:val="18"/>
        </w:rPr>
        <w:t>CAT/C/48/D/343/2008)</w:t>
      </w:r>
      <w:r w:rsidRPr="008725A3">
        <w:t xml:space="preserve"> </w:t>
      </w:r>
      <w:r w:rsidRPr="00BF5805">
        <w:rPr>
          <w:lang w:val="fr-FR"/>
        </w:rPr>
        <w:t xml:space="preserve">et </w:t>
      </w:r>
      <w:r w:rsidRPr="00BF5805">
        <w:rPr>
          <w:i/>
          <w:iCs/>
          <w:lang w:val="fr-FR"/>
        </w:rPr>
        <w:t>T.</w:t>
      </w:r>
      <w:r>
        <w:rPr>
          <w:i/>
          <w:iCs/>
          <w:lang w:val="fr-FR"/>
        </w:rPr>
        <w:t> </w:t>
      </w:r>
      <w:r w:rsidRPr="00BF5805">
        <w:rPr>
          <w:i/>
          <w:iCs/>
          <w:lang w:val="fr-FR"/>
        </w:rPr>
        <w:t>I</w:t>
      </w:r>
      <w:r w:rsidRPr="00B404A6">
        <w:rPr>
          <w:i/>
          <w:iCs/>
          <w:lang w:val="fr-FR"/>
        </w:rPr>
        <w:t>. c.</w:t>
      </w:r>
      <w:r>
        <w:rPr>
          <w:iCs/>
          <w:lang w:val="fr-FR"/>
        </w:rPr>
        <w:t> </w:t>
      </w:r>
      <w:r w:rsidRPr="00BF5805">
        <w:rPr>
          <w:i/>
          <w:iCs/>
          <w:lang w:val="fr-FR"/>
        </w:rPr>
        <w:t>Canada</w:t>
      </w:r>
      <w:r>
        <w:rPr>
          <w:i/>
          <w:iCs/>
          <w:lang w:val="fr-FR"/>
        </w:rPr>
        <w:t xml:space="preserve"> </w:t>
      </w:r>
      <w:r>
        <w:rPr>
          <w:szCs w:val="18"/>
        </w:rPr>
        <w:t>(</w:t>
      </w:r>
      <w:r w:rsidRPr="00DF477A">
        <w:rPr>
          <w:bCs/>
          <w:szCs w:val="18"/>
        </w:rPr>
        <w:t>CAT/C/45/D/333/2007</w:t>
      </w:r>
      <w:r>
        <w:rPr>
          <w:bCs/>
          <w:szCs w:val="18"/>
        </w:rPr>
        <w:t>)</w:t>
      </w:r>
      <w:r w:rsidRPr="00BF5805">
        <w:rPr>
          <w:lang w:val="fr-FR"/>
        </w:rPr>
        <w:t xml:space="preserve">, </w:t>
      </w:r>
      <w:r>
        <w:rPr>
          <w:lang w:val="fr-FR"/>
        </w:rPr>
        <w:t>dans lesquelles il a considéré que</w:t>
      </w:r>
      <w:r w:rsidRPr="00BF5805">
        <w:rPr>
          <w:lang w:val="fr-FR"/>
        </w:rPr>
        <w:t xml:space="preserve"> les demandes fondées sur des considérations d</w:t>
      </w:r>
      <w:r w:rsidR="00C44708">
        <w:rPr>
          <w:lang w:val="fr-FR"/>
        </w:rPr>
        <w:t>’</w:t>
      </w:r>
      <w:r w:rsidRPr="00BF5805">
        <w:rPr>
          <w:lang w:val="fr-FR"/>
        </w:rPr>
        <w:t>ordre humanitaire ne constituaient pas un recours devant être épuisé aux fins de la recevabilité. Il affirme en outre que la requérante aurait même pu saisir la Cour fédérale d</w:t>
      </w:r>
      <w:r w:rsidR="00C44708">
        <w:rPr>
          <w:lang w:val="fr-FR"/>
        </w:rPr>
        <w:t>’</w:t>
      </w:r>
      <w:r w:rsidRPr="00BF5805">
        <w:rPr>
          <w:lang w:val="fr-FR"/>
        </w:rPr>
        <w:t>une demande d</w:t>
      </w:r>
      <w:r w:rsidR="00C44708">
        <w:rPr>
          <w:lang w:val="fr-FR"/>
        </w:rPr>
        <w:t>’</w:t>
      </w:r>
      <w:r w:rsidRPr="00BF5805">
        <w:rPr>
          <w:lang w:val="fr-FR"/>
        </w:rPr>
        <w:t>autorisation d</w:t>
      </w:r>
      <w:r w:rsidR="00C44708">
        <w:rPr>
          <w:lang w:val="fr-FR"/>
        </w:rPr>
        <w:t>’</w:t>
      </w:r>
      <w:r>
        <w:rPr>
          <w:lang w:val="fr-FR"/>
        </w:rPr>
        <w:t>introduire une requête en</w:t>
      </w:r>
      <w:r w:rsidRPr="00BF5805">
        <w:rPr>
          <w:lang w:val="fr-FR"/>
        </w:rPr>
        <w:t xml:space="preserve"> contrôle </w:t>
      </w:r>
      <w:r>
        <w:rPr>
          <w:lang w:val="fr-FR"/>
        </w:rPr>
        <w:t>judiciaire</w:t>
      </w:r>
      <w:r w:rsidRPr="00BF5805">
        <w:rPr>
          <w:lang w:val="fr-FR"/>
        </w:rPr>
        <w:t xml:space="preserve"> d</w:t>
      </w:r>
      <w:r w:rsidR="00C44708">
        <w:rPr>
          <w:lang w:val="fr-FR"/>
        </w:rPr>
        <w:t>’</w:t>
      </w:r>
      <w:r w:rsidRPr="00BF5805">
        <w:rPr>
          <w:lang w:val="fr-FR"/>
        </w:rPr>
        <w:t>une décision rendue par la Section de la protection des réfugiés ou d</w:t>
      </w:r>
      <w:r w:rsidR="00C44708">
        <w:rPr>
          <w:lang w:val="fr-FR"/>
        </w:rPr>
        <w:t>’</w:t>
      </w:r>
      <w:r w:rsidRPr="00BF5805">
        <w:rPr>
          <w:lang w:val="fr-FR"/>
        </w:rPr>
        <w:t>une décision concernant une demande fondée sur des considérations d</w:t>
      </w:r>
      <w:r w:rsidR="00C44708">
        <w:rPr>
          <w:lang w:val="fr-FR"/>
        </w:rPr>
        <w:t>’</w:t>
      </w:r>
      <w:r w:rsidRPr="00BF5805">
        <w:rPr>
          <w:lang w:val="fr-FR"/>
        </w:rPr>
        <w:t xml:space="preserve">ordre humanitaire. </w:t>
      </w:r>
    </w:p>
    <w:p w:rsidR="00FD11F7" w:rsidRPr="00BF5805" w:rsidRDefault="00FD11F7" w:rsidP="00FD11F7">
      <w:pPr>
        <w:pStyle w:val="SingleTxtG"/>
        <w:rPr>
          <w:lang w:val="fr-FR"/>
        </w:rPr>
      </w:pPr>
      <w:r w:rsidRPr="00BF5805">
        <w:rPr>
          <w:lang w:val="fr-FR"/>
        </w:rPr>
        <w:t>4.4</w:t>
      </w:r>
      <w:r w:rsidRPr="00BF5805">
        <w:rPr>
          <w:lang w:val="fr-FR"/>
        </w:rPr>
        <w:tab/>
        <w:t>En outre, l</w:t>
      </w:r>
      <w:r w:rsidR="00C44708">
        <w:rPr>
          <w:lang w:val="fr-FR"/>
        </w:rPr>
        <w:t>’</w:t>
      </w:r>
      <w:r w:rsidRPr="00BF5805">
        <w:rPr>
          <w:lang w:val="fr-FR"/>
        </w:rPr>
        <w:t>État partie soutient que la requérante, qui considère qu</w:t>
      </w:r>
      <w:r w:rsidR="00C44708">
        <w:rPr>
          <w:lang w:val="fr-FR"/>
        </w:rPr>
        <w:t>’</w:t>
      </w:r>
      <w:r w:rsidRPr="00BF5805">
        <w:rPr>
          <w:lang w:val="fr-FR"/>
        </w:rPr>
        <w:t xml:space="preserve">elle courrait </w:t>
      </w:r>
      <w:r>
        <w:rPr>
          <w:lang w:val="fr-FR"/>
        </w:rPr>
        <w:t xml:space="preserve">personnellement </w:t>
      </w:r>
      <w:r w:rsidRPr="00BF5805">
        <w:rPr>
          <w:lang w:val="fr-FR"/>
        </w:rPr>
        <w:t>un risque réel de</w:t>
      </w:r>
      <w:r>
        <w:rPr>
          <w:lang w:val="fr-FR"/>
        </w:rPr>
        <w:t xml:space="preserve"> subir un</w:t>
      </w:r>
      <w:r w:rsidRPr="00BF5805">
        <w:rPr>
          <w:lang w:val="fr-FR"/>
        </w:rPr>
        <w:t xml:space="preserve"> préjudice en Ouganda et que son expulsion constituerait une violation de l</w:t>
      </w:r>
      <w:r w:rsidR="00C44708">
        <w:rPr>
          <w:lang w:val="fr-FR"/>
        </w:rPr>
        <w:t>’</w:t>
      </w:r>
      <w:r w:rsidRPr="00BF5805">
        <w:rPr>
          <w:lang w:val="fr-FR"/>
        </w:rPr>
        <w:t>article 3 de la Convention, n</w:t>
      </w:r>
      <w:r w:rsidR="00C44708">
        <w:rPr>
          <w:lang w:val="fr-FR"/>
        </w:rPr>
        <w:t>’</w:t>
      </w:r>
      <w:r w:rsidRPr="00BF5805">
        <w:rPr>
          <w:lang w:val="fr-FR"/>
        </w:rPr>
        <w:t>a pas suffisamment étayé ses griefs. Il rappelle l</w:t>
      </w:r>
      <w:r w:rsidR="00C44708">
        <w:rPr>
          <w:lang w:val="fr-FR"/>
        </w:rPr>
        <w:t>’</w:t>
      </w:r>
      <w:r w:rsidRPr="00BF5805">
        <w:rPr>
          <w:lang w:val="fr-FR"/>
        </w:rPr>
        <w:t xml:space="preserve">approche adoptée par le Comité dans son observation générale </w:t>
      </w:r>
      <w:r w:rsidR="00B404A6" w:rsidRPr="00B404A6">
        <w:rPr>
          <w:rFonts w:eastAsia="MS Mincho"/>
          <w:szCs w:val="22"/>
          <w:lang w:val="fr-FR"/>
        </w:rPr>
        <w:t>n</w:t>
      </w:r>
      <w:r w:rsidR="00B404A6" w:rsidRPr="00B404A6">
        <w:rPr>
          <w:rFonts w:eastAsia="MS Mincho"/>
          <w:szCs w:val="22"/>
          <w:vertAlign w:val="superscript"/>
          <w:lang w:val="fr-FR"/>
        </w:rPr>
        <w:t>o</w:t>
      </w:r>
      <w:r w:rsidR="00B404A6">
        <w:rPr>
          <w:lang w:val="fr-FR"/>
        </w:rPr>
        <w:t> </w:t>
      </w:r>
      <w:r w:rsidRPr="00BF5805">
        <w:rPr>
          <w:lang w:val="fr-FR"/>
        </w:rPr>
        <w:t>1</w:t>
      </w:r>
      <w:r>
        <w:rPr>
          <w:lang w:val="fr-FR"/>
        </w:rPr>
        <w:t xml:space="preserve"> (1997) </w:t>
      </w:r>
      <w:r w:rsidRPr="004A7C36">
        <w:t>sur l</w:t>
      </w:r>
      <w:r w:rsidR="00C44708">
        <w:t>’</w:t>
      </w:r>
      <w:r w:rsidRPr="004A7C36">
        <w:t>application de l</w:t>
      </w:r>
      <w:r w:rsidR="00C44708">
        <w:t>’</w:t>
      </w:r>
      <w:r w:rsidRPr="004A7C36">
        <w:t>article 3 dans le contexte de l</w:t>
      </w:r>
      <w:r w:rsidR="00C44708">
        <w:t>’</w:t>
      </w:r>
      <w:r w:rsidRPr="004A7C36">
        <w:t>article 22 de la Convention</w:t>
      </w:r>
      <w:r w:rsidRPr="00B404A6">
        <w:rPr>
          <w:rStyle w:val="Appelnotedebasdep"/>
        </w:rPr>
        <w:footnoteReference w:id="12"/>
      </w:r>
      <w:r w:rsidRPr="00BF5805">
        <w:rPr>
          <w:lang w:val="fr-FR"/>
        </w:rPr>
        <w:t xml:space="preserve">, </w:t>
      </w:r>
      <w:r>
        <w:rPr>
          <w:lang w:val="fr-FR"/>
        </w:rPr>
        <w:t>dans</w:t>
      </w:r>
      <w:r w:rsidRPr="00BF5805">
        <w:rPr>
          <w:lang w:val="fr-FR"/>
        </w:rPr>
        <w:t xml:space="preserve"> laquelle</w:t>
      </w:r>
      <w:r>
        <w:rPr>
          <w:lang w:val="fr-FR"/>
        </w:rPr>
        <w:t xml:space="preserve"> il souligne que, conformément à</w:t>
      </w:r>
      <w:r w:rsidRPr="00BF5805">
        <w:rPr>
          <w:lang w:val="fr-FR"/>
        </w:rPr>
        <w:t xml:space="preserve"> l</w:t>
      </w:r>
      <w:r w:rsidR="00C44708">
        <w:rPr>
          <w:lang w:val="fr-FR"/>
        </w:rPr>
        <w:t>’</w:t>
      </w:r>
      <w:r w:rsidRPr="00BF5805">
        <w:rPr>
          <w:lang w:val="fr-FR"/>
        </w:rPr>
        <w:t>article 3</w:t>
      </w:r>
      <w:r>
        <w:rPr>
          <w:lang w:val="fr-FR"/>
        </w:rPr>
        <w:t xml:space="preserve">, </w:t>
      </w:r>
      <w:r w:rsidRPr="00BF5805">
        <w:rPr>
          <w:lang w:val="fr-FR"/>
        </w:rPr>
        <w:t>c</w:t>
      </w:r>
      <w:r w:rsidR="00C44708">
        <w:rPr>
          <w:lang w:val="fr-FR"/>
        </w:rPr>
        <w:t>’</w:t>
      </w:r>
      <w:r w:rsidRPr="00BF5805">
        <w:rPr>
          <w:lang w:val="fr-FR"/>
        </w:rPr>
        <w:t>est au requérant qu</w:t>
      </w:r>
      <w:r w:rsidR="00C44708">
        <w:rPr>
          <w:lang w:val="fr-FR"/>
        </w:rPr>
        <w:t>’</w:t>
      </w:r>
      <w:r w:rsidRPr="00BF5805">
        <w:rPr>
          <w:lang w:val="fr-FR"/>
        </w:rPr>
        <w:t>il incombe d</w:t>
      </w:r>
      <w:r w:rsidR="00C44708">
        <w:rPr>
          <w:lang w:val="fr-FR"/>
        </w:rPr>
        <w:t>’</w:t>
      </w:r>
      <w:r w:rsidRPr="00BF5805">
        <w:rPr>
          <w:lang w:val="fr-FR"/>
        </w:rPr>
        <w:t>établir qu</w:t>
      </w:r>
      <w:r w:rsidR="00C44708">
        <w:rPr>
          <w:lang w:val="fr-FR"/>
        </w:rPr>
        <w:t>’</w:t>
      </w:r>
      <w:r w:rsidRPr="00BF5805">
        <w:rPr>
          <w:lang w:val="fr-FR"/>
        </w:rPr>
        <w:t>il courrait personnellement un risque et que les motifs sur lesquels repose une plainte doivent être appréciés selon des éléments</w:t>
      </w:r>
      <w:r w:rsidR="00B404A6">
        <w:rPr>
          <w:lang w:val="fr-FR"/>
        </w:rPr>
        <w:t xml:space="preserve"> </w:t>
      </w:r>
      <w:r w:rsidRPr="00BF5805">
        <w:rPr>
          <w:lang w:val="fr-FR"/>
        </w:rPr>
        <w:t>qui ne se limitent pas à de simples supputations ou soupçons. L</w:t>
      </w:r>
      <w:r w:rsidR="00C44708">
        <w:rPr>
          <w:lang w:val="fr-FR"/>
        </w:rPr>
        <w:t>’</w:t>
      </w:r>
      <w:r w:rsidRPr="00BF5805">
        <w:rPr>
          <w:lang w:val="fr-FR"/>
        </w:rPr>
        <w:t>État partie fait observer que le Comité a adopté cette approche dans de nombreuses affaires</w:t>
      </w:r>
      <w:r w:rsidRPr="00B404A6">
        <w:rPr>
          <w:rStyle w:val="Appelnotedebasdep"/>
        </w:rPr>
        <w:footnoteReference w:id="13"/>
      </w:r>
      <w:r w:rsidRPr="00BF5805">
        <w:rPr>
          <w:lang w:val="fr-FR"/>
        </w:rPr>
        <w:t>. Rappelant</w:t>
      </w:r>
      <w:r>
        <w:rPr>
          <w:lang w:val="fr-FR"/>
        </w:rPr>
        <w:t xml:space="preserve"> la description faite de l</w:t>
      </w:r>
      <w:r w:rsidR="00C44708">
        <w:rPr>
          <w:lang w:val="fr-FR"/>
        </w:rPr>
        <w:t>’</w:t>
      </w:r>
      <w:r>
        <w:rPr>
          <w:lang w:val="fr-FR"/>
        </w:rPr>
        <w:t xml:space="preserve">appréciation du risque de torture </w:t>
      </w:r>
      <w:r w:rsidRPr="00BF5805">
        <w:rPr>
          <w:lang w:val="fr-FR"/>
        </w:rPr>
        <w:t>dans l</w:t>
      </w:r>
      <w:r w:rsidR="00C44708">
        <w:rPr>
          <w:lang w:val="fr-FR"/>
        </w:rPr>
        <w:t>’</w:t>
      </w:r>
      <w:r w:rsidRPr="00BF5805">
        <w:rPr>
          <w:lang w:val="fr-FR"/>
        </w:rPr>
        <w:t xml:space="preserve">observation générale </w:t>
      </w:r>
      <w:r w:rsidRPr="00006D4E">
        <w:rPr>
          <w:rFonts w:eastAsia="MS Mincho"/>
          <w:szCs w:val="22"/>
          <w:lang w:val="fr-FR"/>
        </w:rPr>
        <w:t>n</w:t>
      </w:r>
      <w:r w:rsidRPr="00006D4E">
        <w:rPr>
          <w:rFonts w:eastAsia="MS Mincho"/>
          <w:szCs w:val="22"/>
          <w:vertAlign w:val="superscript"/>
          <w:lang w:val="fr-FR"/>
        </w:rPr>
        <w:t>o</w:t>
      </w:r>
      <w:r>
        <w:rPr>
          <w:lang w:val="fr-FR"/>
        </w:rPr>
        <w:t> </w:t>
      </w:r>
      <w:r w:rsidRPr="00BF5805">
        <w:rPr>
          <w:lang w:val="fr-FR"/>
        </w:rPr>
        <w:t>1</w:t>
      </w:r>
      <w:r w:rsidRPr="00B404A6">
        <w:rPr>
          <w:rStyle w:val="Appelnotedebasdep"/>
        </w:rPr>
        <w:footnoteReference w:id="14"/>
      </w:r>
      <w:r w:rsidRPr="00BF5805">
        <w:rPr>
          <w:lang w:val="fr-FR"/>
        </w:rPr>
        <w:t>, l</w:t>
      </w:r>
      <w:r w:rsidR="00C44708">
        <w:rPr>
          <w:lang w:val="fr-FR"/>
        </w:rPr>
        <w:t>’</w:t>
      </w:r>
      <w:r w:rsidRPr="00BF5805">
        <w:rPr>
          <w:lang w:val="fr-FR"/>
        </w:rPr>
        <w:t>État partie conclut qu</w:t>
      </w:r>
      <w:r w:rsidR="00C44708">
        <w:rPr>
          <w:lang w:val="fr-FR"/>
        </w:rPr>
        <w:t>’</w:t>
      </w:r>
      <w:r w:rsidRPr="00BF5805">
        <w:rPr>
          <w:lang w:val="fr-FR"/>
        </w:rPr>
        <w:t>il n</w:t>
      </w:r>
      <w:r w:rsidR="00C44708">
        <w:rPr>
          <w:lang w:val="fr-FR"/>
        </w:rPr>
        <w:t>’</w:t>
      </w:r>
      <w:r w:rsidRPr="00BF5805">
        <w:rPr>
          <w:lang w:val="fr-FR"/>
        </w:rPr>
        <w:t>existe pas de motif sérieux de croire que la requérante risquerait d</w:t>
      </w:r>
      <w:r w:rsidR="00C44708">
        <w:rPr>
          <w:lang w:val="fr-FR"/>
        </w:rPr>
        <w:t>’</w:t>
      </w:r>
      <w:r w:rsidRPr="00BF5805">
        <w:rPr>
          <w:lang w:val="fr-FR"/>
        </w:rPr>
        <w:t>être soumise à la torture si elle était renvoyée en Ouganda. Il ajoute que le Comité n</w:t>
      </w:r>
      <w:r w:rsidR="00C44708">
        <w:rPr>
          <w:lang w:val="fr-FR"/>
        </w:rPr>
        <w:t>’</w:t>
      </w:r>
      <w:r w:rsidRPr="00BF5805">
        <w:rPr>
          <w:lang w:val="fr-FR"/>
        </w:rPr>
        <w:t>a pas pour rôle d</w:t>
      </w:r>
      <w:r w:rsidR="00C44708">
        <w:rPr>
          <w:lang w:val="fr-FR"/>
        </w:rPr>
        <w:t>’</w:t>
      </w:r>
      <w:r w:rsidRPr="00BF5805">
        <w:rPr>
          <w:lang w:val="fr-FR"/>
        </w:rPr>
        <w:t>apprécier les éléments de preuve ni de réexaminer les constatations de fait des juridictions nationales</w:t>
      </w:r>
      <w:r w:rsidRPr="00856F4E">
        <w:rPr>
          <w:rStyle w:val="Appelnotedebasdep"/>
        </w:rPr>
        <w:footnoteReference w:id="15"/>
      </w:r>
      <w:r w:rsidRPr="00BF5805">
        <w:rPr>
          <w:lang w:val="fr-FR"/>
        </w:rPr>
        <w:t>. Il fait observer que les allégations de la requérante ont été examinées par des juridictions internes compétentes et impartiales qui n</w:t>
      </w:r>
      <w:r w:rsidR="00C44708">
        <w:rPr>
          <w:lang w:val="fr-FR"/>
        </w:rPr>
        <w:t>’</w:t>
      </w:r>
      <w:r w:rsidRPr="00BF5805">
        <w:rPr>
          <w:lang w:val="fr-FR"/>
        </w:rPr>
        <w:t>ont pas estimé que l</w:t>
      </w:r>
      <w:r w:rsidR="00C44708">
        <w:rPr>
          <w:lang w:val="fr-FR"/>
        </w:rPr>
        <w:t>’</w:t>
      </w:r>
      <w:r w:rsidRPr="00BF5805">
        <w:rPr>
          <w:lang w:val="fr-FR"/>
        </w:rPr>
        <w:t>intéressée serait exposée à un risque personnel si elle était renvoyée en Ouganda. En outre, la requérante n</w:t>
      </w:r>
      <w:r w:rsidR="00C44708">
        <w:rPr>
          <w:lang w:val="fr-FR"/>
        </w:rPr>
        <w:t>’</w:t>
      </w:r>
      <w:r w:rsidRPr="00BF5805">
        <w:rPr>
          <w:lang w:val="fr-FR"/>
        </w:rPr>
        <w:t>a pas apporté la preuve qu</w:t>
      </w:r>
      <w:r w:rsidR="00C44708">
        <w:rPr>
          <w:lang w:val="fr-FR"/>
        </w:rPr>
        <w:t>’</w:t>
      </w:r>
      <w:r w:rsidRPr="00BF5805">
        <w:rPr>
          <w:lang w:val="fr-FR"/>
        </w:rPr>
        <w:t>elle avait été torturée dans le passé et qu</w:t>
      </w:r>
      <w:r w:rsidR="00C44708">
        <w:rPr>
          <w:lang w:val="fr-FR"/>
        </w:rPr>
        <w:t>’</w:t>
      </w:r>
      <w:r w:rsidRPr="00BF5805">
        <w:rPr>
          <w:lang w:val="fr-FR"/>
        </w:rPr>
        <w:t>elle courrait un risque prévisible et personnel d</w:t>
      </w:r>
      <w:r w:rsidR="00C44708">
        <w:rPr>
          <w:lang w:val="fr-FR"/>
        </w:rPr>
        <w:t>’</w:t>
      </w:r>
      <w:r w:rsidRPr="00BF5805">
        <w:rPr>
          <w:lang w:val="fr-FR"/>
        </w:rPr>
        <w:t>être torturée si elle était renvoyée dans son pays d</w:t>
      </w:r>
      <w:r w:rsidR="00C44708">
        <w:rPr>
          <w:lang w:val="fr-FR"/>
        </w:rPr>
        <w:t>’</w:t>
      </w:r>
      <w:r w:rsidRPr="00BF5805">
        <w:rPr>
          <w:lang w:val="fr-FR"/>
        </w:rPr>
        <w:t>origine. L</w:t>
      </w:r>
      <w:r w:rsidR="00C44708">
        <w:rPr>
          <w:lang w:val="fr-FR"/>
        </w:rPr>
        <w:t>’</w:t>
      </w:r>
      <w:r w:rsidRPr="00BF5805">
        <w:rPr>
          <w:lang w:val="fr-FR"/>
        </w:rPr>
        <w:t xml:space="preserve">État partie se fonde sur les conclusions des deux agents chargés de </w:t>
      </w:r>
      <w:r>
        <w:rPr>
          <w:lang w:val="fr-FR"/>
        </w:rPr>
        <w:t>l</w:t>
      </w:r>
      <w:r w:rsidR="00C44708">
        <w:rPr>
          <w:lang w:val="fr-FR"/>
        </w:rPr>
        <w:t>’</w:t>
      </w:r>
      <w:r w:rsidRPr="00BD4F86">
        <w:rPr>
          <w:lang w:val="fr-FR"/>
        </w:rPr>
        <w:t>examen des risques avant renvoi</w:t>
      </w:r>
      <w:r w:rsidRPr="00BF5805">
        <w:rPr>
          <w:lang w:val="fr-FR"/>
        </w:rPr>
        <w:t>, qui ont estimé que la requérante ne courrait pa</w:t>
      </w:r>
      <w:r>
        <w:rPr>
          <w:lang w:val="fr-FR"/>
        </w:rPr>
        <w:t>s</w:t>
      </w:r>
      <w:r w:rsidRPr="00BF5805">
        <w:rPr>
          <w:lang w:val="fr-FR"/>
        </w:rPr>
        <w:t xml:space="preserve"> un risque de persécution, de torture, de menace </w:t>
      </w:r>
      <w:r>
        <w:rPr>
          <w:lang w:val="fr-FR"/>
        </w:rPr>
        <w:t>pour</w:t>
      </w:r>
      <w:r w:rsidRPr="00BF5805">
        <w:rPr>
          <w:lang w:val="fr-FR"/>
        </w:rPr>
        <w:t xml:space="preserve"> la vie ou de peines ou traitements cruels, inhumains ou dégradants si elle était renvoyée en Ouganda. Il ressortait de la seconde décision </w:t>
      </w:r>
      <w:r>
        <w:rPr>
          <w:lang w:val="fr-FR"/>
        </w:rPr>
        <w:t>concernant l</w:t>
      </w:r>
      <w:r w:rsidR="00C44708">
        <w:rPr>
          <w:lang w:val="fr-FR"/>
        </w:rPr>
        <w:t>’</w:t>
      </w:r>
      <w:r w:rsidRPr="00BD4F86">
        <w:rPr>
          <w:lang w:val="fr-FR"/>
        </w:rPr>
        <w:t>examen des risques avant renvoi</w:t>
      </w:r>
      <w:r w:rsidR="00E9321A">
        <w:rPr>
          <w:lang w:val="fr-FR"/>
        </w:rPr>
        <w:t xml:space="preserve"> </w:t>
      </w:r>
      <w:r w:rsidRPr="00BF5805">
        <w:rPr>
          <w:lang w:val="fr-FR"/>
        </w:rPr>
        <w:t>qu</w:t>
      </w:r>
      <w:r w:rsidR="00C44708">
        <w:rPr>
          <w:lang w:val="fr-FR"/>
        </w:rPr>
        <w:t>’</w:t>
      </w:r>
      <w:r>
        <w:rPr>
          <w:lang w:val="fr-FR"/>
        </w:rPr>
        <w:t>elle</w:t>
      </w:r>
      <w:r w:rsidRPr="00BF5805">
        <w:rPr>
          <w:lang w:val="fr-FR"/>
        </w:rPr>
        <w:t xml:space="preserve"> n</w:t>
      </w:r>
      <w:r w:rsidR="00C44708">
        <w:rPr>
          <w:lang w:val="fr-FR"/>
        </w:rPr>
        <w:t>’</w:t>
      </w:r>
      <w:r w:rsidRPr="00BF5805">
        <w:rPr>
          <w:lang w:val="fr-FR"/>
        </w:rPr>
        <w:t>avait pas vécu en Ouganda depuis douze ans et que les éléments de preuve présentés ne permettaient pas d</w:t>
      </w:r>
      <w:r w:rsidR="00C44708">
        <w:rPr>
          <w:lang w:val="fr-FR"/>
        </w:rPr>
        <w:t>’</w:t>
      </w:r>
      <w:r w:rsidRPr="00BF5805">
        <w:rPr>
          <w:lang w:val="fr-FR"/>
        </w:rPr>
        <w:t>établir qu</w:t>
      </w:r>
      <w:r w:rsidR="00C44708">
        <w:rPr>
          <w:lang w:val="fr-FR"/>
        </w:rPr>
        <w:t>’</w:t>
      </w:r>
      <w:r w:rsidRPr="00BF5805">
        <w:rPr>
          <w:lang w:val="fr-FR"/>
        </w:rPr>
        <w:t>elle serait prise pour cible pour quelque raison que ce soit à son retour. Enfin, le Ministère de la citoyenneté et de l</w:t>
      </w:r>
      <w:r w:rsidR="00C44708">
        <w:rPr>
          <w:lang w:val="fr-FR"/>
        </w:rPr>
        <w:t>’</w:t>
      </w:r>
      <w:r w:rsidRPr="00BF5805">
        <w:rPr>
          <w:lang w:val="fr-FR"/>
        </w:rPr>
        <w:t>immigration a tenu compte de la situation dans le pays et de la situation personnelle de la requérante et a conclu que l</w:t>
      </w:r>
      <w:r w:rsidR="00C44708">
        <w:rPr>
          <w:lang w:val="fr-FR"/>
        </w:rPr>
        <w:t>’</w:t>
      </w:r>
      <w:r w:rsidRPr="00BF5805">
        <w:rPr>
          <w:lang w:val="fr-FR"/>
        </w:rPr>
        <w:t>intéressée n</w:t>
      </w:r>
      <w:r w:rsidR="00C44708">
        <w:rPr>
          <w:lang w:val="fr-FR"/>
        </w:rPr>
        <w:t>’</w:t>
      </w:r>
      <w:r w:rsidRPr="00BF5805">
        <w:rPr>
          <w:lang w:val="fr-FR"/>
        </w:rPr>
        <w:t>avait pas besoin d</w:t>
      </w:r>
      <w:r w:rsidR="00C44708">
        <w:rPr>
          <w:lang w:val="fr-FR"/>
        </w:rPr>
        <w:t>’</w:t>
      </w:r>
      <w:r w:rsidRPr="00BF5805">
        <w:rPr>
          <w:lang w:val="fr-FR"/>
        </w:rPr>
        <w:t xml:space="preserve">une protection. </w:t>
      </w:r>
    </w:p>
    <w:p w:rsidR="00FD11F7" w:rsidRPr="00BF5805" w:rsidRDefault="00FD11F7" w:rsidP="00FD11F7">
      <w:pPr>
        <w:pStyle w:val="SingleTxtG"/>
        <w:rPr>
          <w:lang w:val="fr-FR"/>
        </w:rPr>
      </w:pPr>
      <w:r w:rsidRPr="00BF5805">
        <w:rPr>
          <w:lang w:val="fr-FR"/>
        </w:rPr>
        <w:t>4.5</w:t>
      </w:r>
      <w:r w:rsidRPr="00BF5805">
        <w:rPr>
          <w:lang w:val="fr-FR"/>
        </w:rPr>
        <w:tab/>
        <w:t>L</w:t>
      </w:r>
      <w:r w:rsidR="00C44708">
        <w:rPr>
          <w:lang w:val="fr-FR"/>
        </w:rPr>
        <w:t>’</w:t>
      </w:r>
      <w:r w:rsidRPr="00BF5805">
        <w:rPr>
          <w:lang w:val="fr-FR"/>
        </w:rPr>
        <w:t>État partie relève que la requérante a soumis au Comité de nouveaux éléments de preuve, notamment des lettres de sa famille ainsi que de particuliers et d</w:t>
      </w:r>
      <w:r w:rsidR="00C44708">
        <w:rPr>
          <w:lang w:val="fr-FR"/>
        </w:rPr>
        <w:t>’</w:t>
      </w:r>
      <w:r w:rsidRPr="00BF5805">
        <w:rPr>
          <w:lang w:val="fr-FR"/>
        </w:rPr>
        <w:t>organisations au Canada</w:t>
      </w:r>
      <w:r>
        <w:rPr>
          <w:lang w:val="fr-FR"/>
        </w:rPr>
        <w:t>. Cependant, le Comité n</w:t>
      </w:r>
      <w:r w:rsidR="00C44708">
        <w:rPr>
          <w:lang w:val="fr-FR"/>
        </w:rPr>
        <w:t>’</w:t>
      </w:r>
      <w:r>
        <w:rPr>
          <w:lang w:val="fr-FR"/>
        </w:rPr>
        <w:t>a accordé aucun poids à ces éléments</w:t>
      </w:r>
      <w:r w:rsidR="00E9321A">
        <w:rPr>
          <w:lang w:val="fr-FR"/>
        </w:rPr>
        <w:t xml:space="preserve"> </w:t>
      </w:r>
      <w:r w:rsidRPr="00BF5805">
        <w:rPr>
          <w:lang w:val="fr-FR"/>
        </w:rPr>
        <w:t>car il ne s</w:t>
      </w:r>
      <w:r w:rsidR="00C44708">
        <w:rPr>
          <w:lang w:val="fr-FR"/>
        </w:rPr>
        <w:t>’</w:t>
      </w:r>
      <w:r w:rsidRPr="00BF5805">
        <w:rPr>
          <w:lang w:val="fr-FR"/>
        </w:rPr>
        <w:t>agissait pas d</w:t>
      </w:r>
      <w:r w:rsidR="00C44708">
        <w:rPr>
          <w:lang w:val="fr-FR"/>
        </w:rPr>
        <w:t>’</w:t>
      </w:r>
      <w:r w:rsidRPr="00BF5805">
        <w:rPr>
          <w:lang w:val="fr-FR"/>
        </w:rPr>
        <w:t>informations de première main et qu</w:t>
      </w:r>
      <w:r w:rsidR="00C44708">
        <w:rPr>
          <w:lang w:val="fr-FR"/>
        </w:rPr>
        <w:t>’</w:t>
      </w:r>
      <w:r w:rsidRPr="00BF5805">
        <w:rPr>
          <w:lang w:val="fr-FR"/>
        </w:rPr>
        <w:t>ils ne permettaient pas d</w:t>
      </w:r>
      <w:r w:rsidR="00C44708">
        <w:rPr>
          <w:lang w:val="fr-FR"/>
        </w:rPr>
        <w:t>’</w:t>
      </w:r>
      <w:r w:rsidRPr="00BF5805">
        <w:rPr>
          <w:lang w:val="fr-FR"/>
        </w:rPr>
        <w:t>établir que la requérante serait exposée à un risque réel et personnel d</w:t>
      </w:r>
      <w:r w:rsidR="00C44708">
        <w:rPr>
          <w:lang w:val="fr-FR"/>
        </w:rPr>
        <w:t>’</w:t>
      </w:r>
      <w:r w:rsidRPr="00BF5805">
        <w:rPr>
          <w:lang w:val="fr-FR"/>
        </w:rPr>
        <w:t xml:space="preserve">être torturée si elle </w:t>
      </w:r>
      <w:r>
        <w:rPr>
          <w:lang w:val="fr-FR"/>
        </w:rPr>
        <w:t>était renvoyée</w:t>
      </w:r>
      <w:r w:rsidRPr="00BF5805">
        <w:rPr>
          <w:lang w:val="fr-FR"/>
        </w:rPr>
        <w:t xml:space="preserve"> en Ouganda. </w:t>
      </w:r>
      <w:r>
        <w:rPr>
          <w:lang w:val="fr-FR"/>
        </w:rPr>
        <w:t xml:space="preserve">Ces éléments, qui comprenaient </w:t>
      </w:r>
      <w:r w:rsidRPr="00BF5805">
        <w:rPr>
          <w:lang w:val="fr-FR"/>
        </w:rPr>
        <w:t xml:space="preserve">une pétition ayant recueilli plus de 2 000 signatures, dans laquelle il était demandé au Canada de ne pas expulser la requérante </w:t>
      </w:r>
      <w:r w:rsidRPr="00BF5805">
        <w:rPr>
          <w:lang w:val="fr-FR"/>
        </w:rPr>
        <w:lastRenderedPageBreak/>
        <w:t>compte tenu des risques auxquels elle serait exposée en Ouganda en tant que lesbienne, ainsi qu</w:t>
      </w:r>
      <w:r w:rsidR="00C44708">
        <w:rPr>
          <w:lang w:val="fr-FR"/>
        </w:rPr>
        <w:t>’</w:t>
      </w:r>
      <w:r w:rsidRPr="00BF5805">
        <w:rPr>
          <w:lang w:val="fr-FR"/>
        </w:rPr>
        <w:t>une transcription du débat de la Chambre des communes en date du 4</w:t>
      </w:r>
      <w:r>
        <w:rPr>
          <w:lang w:val="fr-FR"/>
        </w:rPr>
        <w:t> juin</w:t>
      </w:r>
      <w:r w:rsidRPr="00BF5805">
        <w:rPr>
          <w:lang w:val="fr-FR"/>
        </w:rPr>
        <w:t xml:space="preserve"> 2014, </w:t>
      </w:r>
      <w:r>
        <w:rPr>
          <w:lang w:val="fr-FR"/>
        </w:rPr>
        <w:t>n</w:t>
      </w:r>
      <w:r w:rsidR="00C44708">
        <w:rPr>
          <w:lang w:val="fr-FR"/>
        </w:rPr>
        <w:t>’</w:t>
      </w:r>
      <w:r w:rsidRPr="00BF5805">
        <w:rPr>
          <w:lang w:val="fr-FR"/>
        </w:rPr>
        <w:t>établi</w:t>
      </w:r>
      <w:r>
        <w:rPr>
          <w:lang w:val="fr-FR"/>
        </w:rPr>
        <w:t>ssaient pas</w:t>
      </w:r>
      <w:r w:rsidRPr="00BF5805">
        <w:rPr>
          <w:lang w:val="fr-FR"/>
        </w:rPr>
        <w:t xml:space="preserve"> que la requérante courrait personnellement un risque d</w:t>
      </w:r>
      <w:r w:rsidR="00C44708">
        <w:rPr>
          <w:lang w:val="fr-FR"/>
        </w:rPr>
        <w:t>’</w:t>
      </w:r>
      <w:r w:rsidRPr="00BF5805">
        <w:rPr>
          <w:lang w:val="fr-FR"/>
        </w:rPr>
        <w:t>être torturée si elle était renvoyée en Ouganda. Dans ce contexte, l</w:t>
      </w:r>
      <w:r w:rsidR="00C44708">
        <w:rPr>
          <w:lang w:val="fr-FR"/>
        </w:rPr>
        <w:t>’</w:t>
      </w:r>
      <w:r w:rsidRPr="00BF5805">
        <w:rPr>
          <w:lang w:val="fr-FR"/>
        </w:rPr>
        <w:t>État partie relève que la requérante n</w:t>
      </w:r>
      <w:r w:rsidR="00C44708">
        <w:rPr>
          <w:lang w:val="fr-FR"/>
        </w:rPr>
        <w:t>’</w:t>
      </w:r>
      <w:r w:rsidRPr="00BF5805">
        <w:rPr>
          <w:lang w:val="fr-FR"/>
        </w:rPr>
        <w:t>a pas non plus demandé de sursis administratif à son renvoi auprès de l</w:t>
      </w:r>
      <w:r w:rsidR="00C44708">
        <w:rPr>
          <w:lang w:val="fr-FR"/>
        </w:rPr>
        <w:t>’</w:t>
      </w:r>
      <w:r w:rsidRPr="00BF5805">
        <w:rPr>
          <w:lang w:val="fr-FR"/>
        </w:rPr>
        <w:t>Agence des services frontaliers du Canada, alors que les requérants qui affirment avoir de nouvelles preuves de l</w:t>
      </w:r>
      <w:r w:rsidR="00C44708">
        <w:rPr>
          <w:lang w:val="fr-FR"/>
        </w:rPr>
        <w:t>’</w:t>
      </w:r>
      <w:r w:rsidRPr="00BF5805">
        <w:rPr>
          <w:lang w:val="fr-FR"/>
        </w:rPr>
        <w:t>existence d</w:t>
      </w:r>
      <w:r w:rsidR="00C44708">
        <w:rPr>
          <w:lang w:val="fr-FR"/>
        </w:rPr>
        <w:t>’</w:t>
      </w:r>
      <w:r w:rsidRPr="00BF5805">
        <w:rPr>
          <w:lang w:val="fr-FR"/>
        </w:rPr>
        <w:t>un risque personnel peuvent demander à l</w:t>
      </w:r>
      <w:r w:rsidR="00C44708">
        <w:rPr>
          <w:lang w:val="fr-FR"/>
        </w:rPr>
        <w:t>’</w:t>
      </w:r>
      <w:r w:rsidRPr="00BF5805">
        <w:rPr>
          <w:lang w:val="fr-FR"/>
        </w:rPr>
        <w:t>agent d</w:t>
      </w:r>
      <w:r w:rsidR="00C44708">
        <w:rPr>
          <w:lang w:val="fr-FR"/>
        </w:rPr>
        <w:t>’</w:t>
      </w:r>
      <w:r w:rsidRPr="00BF5805">
        <w:rPr>
          <w:lang w:val="fr-FR"/>
        </w:rPr>
        <w:t>exécution de l</w:t>
      </w:r>
      <w:r w:rsidR="00C44708">
        <w:rPr>
          <w:lang w:val="fr-FR"/>
        </w:rPr>
        <w:t>’</w:t>
      </w:r>
      <w:r w:rsidRPr="00BF5805">
        <w:rPr>
          <w:lang w:val="fr-FR"/>
        </w:rPr>
        <w:t xml:space="preserve">Agence de surseoir </w:t>
      </w:r>
      <w:r>
        <w:rPr>
          <w:lang w:val="fr-FR"/>
        </w:rPr>
        <w:t>à leur</w:t>
      </w:r>
      <w:r w:rsidRPr="00BF5805">
        <w:rPr>
          <w:lang w:val="fr-FR"/>
        </w:rPr>
        <w:t xml:space="preserve"> renvoi. La Cour d</w:t>
      </w:r>
      <w:r w:rsidR="00C44708">
        <w:rPr>
          <w:lang w:val="fr-FR"/>
        </w:rPr>
        <w:t>’</w:t>
      </w:r>
      <w:r w:rsidRPr="00BF5805">
        <w:rPr>
          <w:lang w:val="fr-FR"/>
        </w:rPr>
        <w:t>appel du Canada a statué que les agents d</w:t>
      </w:r>
      <w:r w:rsidR="00C44708">
        <w:rPr>
          <w:lang w:val="fr-FR"/>
        </w:rPr>
        <w:t>’</w:t>
      </w:r>
      <w:r w:rsidRPr="00BF5805">
        <w:rPr>
          <w:lang w:val="fr-FR"/>
        </w:rPr>
        <w:t>exécution devaient surseoir au renvoi s</w:t>
      </w:r>
      <w:r w:rsidR="00C44708">
        <w:rPr>
          <w:lang w:val="fr-FR"/>
        </w:rPr>
        <w:t>’</w:t>
      </w:r>
      <w:r w:rsidRPr="00BF5805">
        <w:rPr>
          <w:lang w:val="fr-FR"/>
        </w:rPr>
        <w:t>il était démontré clairement que celui-ci exposait la personne concernée à un « risque de mort, de sanctions excessives ou de traitement inhumain ». La requérante aurait aussi pu solliciter l</w:t>
      </w:r>
      <w:r w:rsidR="00C44708">
        <w:rPr>
          <w:lang w:val="fr-FR"/>
        </w:rPr>
        <w:t>’</w:t>
      </w:r>
      <w:r w:rsidRPr="00BF5805">
        <w:rPr>
          <w:lang w:val="fr-FR"/>
        </w:rPr>
        <w:t>autorisation d</w:t>
      </w:r>
      <w:r w:rsidR="00C44708">
        <w:rPr>
          <w:lang w:val="fr-FR"/>
        </w:rPr>
        <w:t>’</w:t>
      </w:r>
      <w:r>
        <w:rPr>
          <w:lang w:val="fr-FR"/>
        </w:rPr>
        <w:t>introduire une requête</w:t>
      </w:r>
      <w:r w:rsidRPr="00BF5805">
        <w:rPr>
          <w:lang w:val="fr-FR"/>
        </w:rPr>
        <w:t xml:space="preserve"> </w:t>
      </w:r>
      <w:r>
        <w:rPr>
          <w:lang w:val="fr-FR"/>
        </w:rPr>
        <w:t>en</w:t>
      </w:r>
      <w:r w:rsidRPr="00BF5805">
        <w:rPr>
          <w:lang w:val="fr-FR"/>
        </w:rPr>
        <w:t xml:space="preserve"> contrôle </w:t>
      </w:r>
      <w:r>
        <w:rPr>
          <w:lang w:val="fr-FR"/>
        </w:rPr>
        <w:t>judiciaire</w:t>
      </w:r>
      <w:r w:rsidRPr="00BF5805">
        <w:rPr>
          <w:lang w:val="fr-FR"/>
        </w:rPr>
        <w:t xml:space="preserve"> de la décision de refus d</w:t>
      </w:r>
      <w:r>
        <w:rPr>
          <w:lang w:val="fr-FR"/>
        </w:rPr>
        <w:t>e</w:t>
      </w:r>
      <w:r w:rsidRPr="00BF5805">
        <w:rPr>
          <w:lang w:val="fr-FR"/>
        </w:rPr>
        <w:t xml:space="preserve"> sursis administratif au renvoi et déposer une requête en sursis </w:t>
      </w:r>
      <w:r>
        <w:rPr>
          <w:lang w:val="fr-FR"/>
        </w:rPr>
        <w:t>à l</w:t>
      </w:r>
      <w:r w:rsidR="00C44708">
        <w:rPr>
          <w:lang w:val="fr-FR"/>
        </w:rPr>
        <w:t>’</w:t>
      </w:r>
      <w:r>
        <w:rPr>
          <w:lang w:val="fr-FR"/>
        </w:rPr>
        <w:t>exécution de la mesure de</w:t>
      </w:r>
      <w:r w:rsidRPr="00BF5805">
        <w:rPr>
          <w:lang w:val="fr-FR"/>
        </w:rPr>
        <w:t xml:space="preserve"> renvoi en attendant l</w:t>
      </w:r>
      <w:r w:rsidR="00C44708">
        <w:rPr>
          <w:lang w:val="fr-FR"/>
        </w:rPr>
        <w:t>’</w:t>
      </w:r>
      <w:r w:rsidRPr="00BF5805">
        <w:rPr>
          <w:lang w:val="fr-FR"/>
        </w:rPr>
        <w:t xml:space="preserve">issue de la </w:t>
      </w:r>
      <w:r>
        <w:rPr>
          <w:lang w:val="fr-FR"/>
        </w:rPr>
        <w:t>requête en contrôle</w:t>
      </w:r>
      <w:r w:rsidRPr="00BF5805">
        <w:rPr>
          <w:lang w:val="fr-FR"/>
        </w:rPr>
        <w:t xml:space="preserve"> </w:t>
      </w:r>
      <w:r>
        <w:rPr>
          <w:lang w:val="fr-FR"/>
        </w:rPr>
        <w:t>judiciaire</w:t>
      </w:r>
      <w:r w:rsidRPr="00BF5805">
        <w:rPr>
          <w:lang w:val="fr-FR"/>
        </w:rPr>
        <w:t xml:space="preserve">. </w:t>
      </w:r>
    </w:p>
    <w:p w:rsidR="00FD11F7" w:rsidRPr="00BF5805" w:rsidRDefault="00FD11F7" w:rsidP="00FD11F7">
      <w:pPr>
        <w:pStyle w:val="SingleTxtG"/>
        <w:spacing w:after="100" w:line="234" w:lineRule="exact"/>
        <w:rPr>
          <w:lang w:val="fr-FR"/>
        </w:rPr>
      </w:pPr>
      <w:r w:rsidRPr="00BF5805">
        <w:rPr>
          <w:lang w:val="fr-FR"/>
        </w:rPr>
        <w:t>4.6</w:t>
      </w:r>
      <w:r w:rsidRPr="00BF5805">
        <w:rPr>
          <w:lang w:val="fr-FR"/>
        </w:rPr>
        <w:tab/>
        <w:t>L</w:t>
      </w:r>
      <w:r w:rsidR="00C44708">
        <w:rPr>
          <w:lang w:val="fr-FR"/>
        </w:rPr>
        <w:t>’</w:t>
      </w:r>
      <w:r w:rsidRPr="00BF5805">
        <w:rPr>
          <w:lang w:val="fr-FR"/>
        </w:rPr>
        <w:t xml:space="preserve">État partie reconnaît toutefois que la situation des </w:t>
      </w:r>
      <w:r>
        <w:rPr>
          <w:lang w:val="fr-FR"/>
        </w:rPr>
        <w:t xml:space="preserve">lesbiennes, gays, bisexuels, transgenres et </w:t>
      </w:r>
      <w:proofErr w:type="spellStart"/>
      <w:r>
        <w:rPr>
          <w:lang w:val="fr-FR"/>
        </w:rPr>
        <w:t>intersexes</w:t>
      </w:r>
      <w:proofErr w:type="spellEnd"/>
      <w:r w:rsidRPr="00BF5805">
        <w:rPr>
          <w:lang w:val="fr-FR"/>
        </w:rPr>
        <w:t xml:space="preserve"> en Ouganda est difficile, en particulier en raison de la loi contre l</w:t>
      </w:r>
      <w:r w:rsidR="00C44708">
        <w:rPr>
          <w:lang w:val="fr-FR"/>
        </w:rPr>
        <w:t>’</w:t>
      </w:r>
      <w:r w:rsidRPr="00BF5805">
        <w:rPr>
          <w:lang w:val="fr-FR"/>
        </w:rPr>
        <w:t xml:space="preserve">homosexualité adoptée en 2014. Alors que certains comportements homosexuels consentis étaient </w:t>
      </w:r>
      <w:r>
        <w:rPr>
          <w:lang w:val="fr-FR"/>
        </w:rPr>
        <w:t>incriminés</w:t>
      </w:r>
      <w:r w:rsidRPr="00BF5805">
        <w:rPr>
          <w:lang w:val="fr-FR"/>
        </w:rPr>
        <w:t xml:space="preserve"> et déjà passibles d</w:t>
      </w:r>
      <w:r w:rsidR="00C44708">
        <w:rPr>
          <w:lang w:val="fr-FR"/>
        </w:rPr>
        <w:t>’</w:t>
      </w:r>
      <w:r w:rsidRPr="00BF5805">
        <w:rPr>
          <w:lang w:val="fr-FR"/>
        </w:rPr>
        <w:t>une peine d</w:t>
      </w:r>
      <w:r w:rsidR="00C44708">
        <w:rPr>
          <w:lang w:val="fr-FR"/>
        </w:rPr>
        <w:t>’</w:t>
      </w:r>
      <w:r w:rsidRPr="00BF5805">
        <w:rPr>
          <w:lang w:val="fr-FR"/>
        </w:rPr>
        <w:t>emprisonnement à perpétuité en vertu de l</w:t>
      </w:r>
      <w:r w:rsidR="00C44708">
        <w:rPr>
          <w:lang w:val="fr-FR"/>
        </w:rPr>
        <w:t>’</w:t>
      </w:r>
      <w:r w:rsidRPr="00BF5805">
        <w:rPr>
          <w:lang w:val="fr-FR"/>
        </w:rPr>
        <w:t>article 145 du Code pénal ougandais de 1950, la nouvelle loi contre l</w:t>
      </w:r>
      <w:r w:rsidR="00C44708">
        <w:rPr>
          <w:lang w:val="fr-FR"/>
        </w:rPr>
        <w:t>’</w:t>
      </w:r>
      <w:r w:rsidRPr="00BF5805">
        <w:rPr>
          <w:lang w:val="fr-FR"/>
        </w:rPr>
        <w:t>homosexualité prévoit une peine d</w:t>
      </w:r>
      <w:r w:rsidR="00C44708">
        <w:rPr>
          <w:lang w:val="fr-FR"/>
        </w:rPr>
        <w:t>’</w:t>
      </w:r>
      <w:r w:rsidRPr="00BF5805">
        <w:rPr>
          <w:lang w:val="fr-FR"/>
        </w:rPr>
        <w:t>emprisonnement à perpétuité pour un plus large éventail de comportements homosexuels et crée de nouvelles infractions passibles d</w:t>
      </w:r>
      <w:r w:rsidR="00C44708">
        <w:rPr>
          <w:lang w:val="fr-FR"/>
        </w:rPr>
        <w:t>’</w:t>
      </w:r>
      <w:r w:rsidRPr="00BF5805">
        <w:rPr>
          <w:lang w:val="fr-FR"/>
        </w:rPr>
        <w:t>une peine pouvant aller jusqu</w:t>
      </w:r>
      <w:r w:rsidR="00C44708">
        <w:rPr>
          <w:lang w:val="fr-FR"/>
        </w:rPr>
        <w:t>’</w:t>
      </w:r>
      <w:r w:rsidRPr="00BF5805">
        <w:rPr>
          <w:lang w:val="fr-FR"/>
        </w:rPr>
        <w:t>à sept ans d</w:t>
      </w:r>
      <w:r w:rsidR="00C44708">
        <w:rPr>
          <w:lang w:val="fr-FR"/>
        </w:rPr>
        <w:t>’</w:t>
      </w:r>
      <w:r w:rsidRPr="00BF5805">
        <w:rPr>
          <w:lang w:val="fr-FR"/>
        </w:rPr>
        <w:t>emprisonnement pour les personnes qui plaident en faveur des droits des homosexuels</w:t>
      </w:r>
      <w:r w:rsidRPr="00CA143A">
        <w:rPr>
          <w:rStyle w:val="Appelnotedebasdep"/>
        </w:rPr>
        <w:footnoteReference w:id="16"/>
      </w:r>
      <w:r w:rsidRPr="00BF5805">
        <w:rPr>
          <w:lang w:val="fr-FR"/>
        </w:rPr>
        <w:t>. L</w:t>
      </w:r>
      <w:r w:rsidR="00C44708">
        <w:rPr>
          <w:lang w:val="fr-FR"/>
        </w:rPr>
        <w:t>’</w:t>
      </w:r>
      <w:r w:rsidRPr="00BF5805">
        <w:rPr>
          <w:lang w:val="fr-FR"/>
        </w:rPr>
        <w:t>État partie rappelle que selon le rapport du Département d</w:t>
      </w:r>
      <w:r w:rsidR="00C44708">
        <w:rPr>
          <w:lang w:val="fr-FR"/>
        </w:rPr>
        <w:t>’</w:t>
      </w:r>
      <w:r w:rsidRPr="00BF5805">
        <w:rPr>
          <w:lang w:val="fr-FR"/>
        </w:rPr>
        <w:t>État des États-Unis de 2013</w:t>
      </w:r>
      <w:r>
        <w:rPr>
          <w:lang w:val="fr-FR"/>
        </w:rPr>
        <w:t xml:space="preserve"> sur les droits de l</w:t>
      </w:r>
      <w:r w:rsidR="00C44708">
        <w:rPr>
          <w:lang w:val="fr-FR"/>
        </w:rPr>
        <w:t>’</w:t>
      </w:r>
      <w:r>
        <w:rPr>
          <w:lang w:val="fr-FR"/>
        </w:rPr>
        <w:t>homme en Ouganda</w:t>
      </w:r>
      <w:r w:rsidRPr="00BF5805">
        <w:rPr>
          <w:lang w:val="fr-FR"/>
        </w:rPr>
        <w:t xml:space="preserve">, il y avait déjà eu des arrestations pour actes homosexuels </w:t>
      </w:r>
      <w:r>
        <w:rPr>
          <w:lang w:val="fr-FR"/>
        </w:rPr>
        <w:t>en vertu</w:t>
      </w:r>
      <w:r w:rsidRPr="00BF5805">
        <w:rPr>
          <w:lang w:val="fr-FR"/>
        </w:rPr>
        <w:t xml:space="preserve"> de l</w:t>
      </w:r>
      <w:r w:rsidR="00C44708">
        <w:rPr>
          <w:lang w:val="fr-FR"/>
        </w:rPr>
        <w:t>’</w:t>
      </w:r>
      <w:r w:rsidRPr="00BF5805">
        <w:rPr>
          <w:lang w:val="fr-FR"/>
        </w:rPr>
        <w:t>article 145 du Code pénal, mais que personne n</w:t>
      </w:r>
      <w:r w:rsidR="00C44708">
        <w:rPr>
          <w:lang w:val="fr-FR"/>
        </w:rPr>
        <w:t>’</w:t>
      </w:r>
      <w:r w:rsidRPr="00BF5805">
        <w:rPr>
          <w:lang w:val="fr-FR"/>
        </w:rPr>
        <w:t>avait jamais été reconnu coupable d</w:t>
      </w:r>
      <w:r w:rsidR="00C44708">
        <w:rPr>
          <w:lang w:val="fr-FR"/>
        </w:rPr>
        <w:t>’</w:t>
      </w:r>
      <w:r w:rsidRPr="00BF5805">
        <w:rPr>
          <w:lang w:val="fr-FR"/>
        </w:rPr>
        <w:t>homosexualité en Ouganda</w:t>
      </w:r>
      <w:r w:rsidRPr="00FA4588">
        <w:rPr>
          <w:rStyle w:val="Appelnotedebasdep"/>
        </w:rPr>
        <w:footnoteReference w:id="17"/>
      </w:r>
      <w:r w:rsidRPr="00BF5805">
        <w:rPr>
          <w:lang w:val="fr-FR"/>
        </w:rPr>
        <w:t>. Il soutient que le fait que l</w:t>
      </w:r>
      <w:r w:rsidR="00C44708">
        <w:rPr>
          <w:lang w:val="fr-FR"/>
        </w:rPr>
        <w:t>’</w:t>
      </w:r>
      <w:r w:rsidRPr="00BF5805">
        <w:rPr>
          <w:lang w:val="fr-FR"/>
        </w:rPr>
        <w:t xml:space="preserve">homosexualité </w:t>
      </w:r>
      <w:r>
        <w:rPr>
          <w:lang w:val="fr-FR"/>
        </w:rPr>
        <w:t>soit</w:t>
      </w:r>
      <w:r w:rsidRPr="00BF5805">
        <w:rPr>
          <w:lang w:val="fr-FR"/>
        </w:rPr>
        <w:t xml:space="preserve"> érigée en infraction pénale n</w:t>
      </w:r>
      <w:r w:rsidR="00C44708">
        <w:rPr>
          <w:lang w:val="fr-FR"/>
        </w:rPr>
        <w:t>’</w:t>
      </w:r>
      <w:r w:rsidRPr="00BF5805">
        <w:rPr>
          <w:lang w:val="fr-FR"/>
        </w:rPr>
        <w:t>est pas suffisant pour étayer des allégations d</w:t>
      </w:r>
      <w:r w:rsidR="00C44708">
        <w:rPr>
          <w:lang w:val="fr-FR"/>
        </w:rPr>
        <w:t>’</w:t>
      </w:r>
      <w:r w:rsidRPr="00BF5805">
        <w:rPr>
          <w:lang w:val="fr-FR"/>
        </w:rPr>
        <w:t>un risque personnel de torture et que la possibilité pour l</w:t>
      </w:r>
      <w:r w:rsidR="00C44708">
        <w:rPr>
          <w:lang w:val="fr-FR"/>
        </w:rPr>
        <w:t>’</w:t>
      </w:r>
      <w:r w:rsidRPr="00BF5805">
        <w:rPr>
          <w:lang w:val="fr-FR"/>
        </w:rPr>
        <w:t>État d</w:t>
      </w:r>
      <w:r w:rsidR="00C44708">
        <w:rPr>
          <w:lang w:val="fr-FR"/>
        </w:rPr>
        <w:t>’</w:t>
      </w:r>
      <w:r w:rsidRPr="00BF5805">
        <w:rPr>
          <w:lang w:val="fr-FR"/>
        </w:rPr>
        <w:t>engager des poursuites n</w:t>
      </w:r>
      <w:r w:rsidR="00C44708">
        <w:rPr>
          <w:lang w:val="fr-FR"/>
        </w:rPr>
        <w:t>’</w:t>
      </w:r>
      <w:r w:rsidRPr="00BF5805">
        <w:rPr>
          <w:lang w:val="fr-FR"/>
        </w:rPr>
        <w:t>équivaut pas à un acte de torture au sens de l</w:t>
      </w:r>
      <w:r w:rsidR="00C44708">
        <w:rPr>
          <w:lang w:val="fr-FR"/>
        </w:rPr>
        <w:t>’</w:t>
      </w:r>
      <w:r w:rsidRPr="00BF5805">
        <w:rPr>
          <w:lang w:val="fr-FR"/>
        </w:rPr>
        <w:t xml:space="preserve">article </w:t>
      </w:r>
      <w:r>
        <w:rPr>
          <w:lang w:val="fr-FR"/>
        </w:rPr>
        <w:t>premier</w:t>
      </w:r>
      <w:r w:rsidRPr="00BF5805">
        <w:rPr>
          <w:lang w:val="fr-FR"/>
        </w:rPr>
        <w:t xml:space="preserve"> de la Convention. L</w:t>
      </w:r>
      <w:r w:rsidR="00C44708">
        <w:rPr>
          <w:lang w:val="fr-FR"/>
        </w:rPr>
        <w:t>’</w:t>
      </w:r>
      <w:r w:rsidRPr="00BF5805">
        <w:rPr>
          <w:lang w:val="fr-FR"/>
        </w:rPr>
        <w:t>État partie rappelle les constatations du Comité, qui a considéré que des conditions difficiles dans un pays ne constituaient pas en soi un motif suffisant pour établir qu</w:t>
      </w:r>
      <w:r w:rsidR="00C44708">
        <w:rPr>
          <w:lang w:val="fr-FR"/>
        </w:rPr>
        <w:t>’</w:t>
      </w:r>
      <w:r w:rsidRPr="00BF5805">
        <w:rPr>
          <w:lang w:val="fr-FR"/>
        </w:rPr>
        <w:t>une personne risquait d</w:t>
      </w:r>
      <w:r w:rsidR="00C44708">
        <w:rPr>
          <w:lang w:val="fr-FR"/>
        </w:rPr>
        <w:t>’</w:t>
      </w:r>
      <w:r w:rsidRPr="00BF5805">
        <w:rPr>
          <w:lang w:val="fr-FR"/>
        </w:rPr>
        <w:t>être soumise à la torture en cas d</w:t>
      </w:r>
      <w:r w:rsidR="00C44708">
        <w:rPr>
          <w:lang w:val="fr-FR"/>
        </w:rPr>
        <w:t>’</w:t>
      </w:r>
      <w:r w:rsidRPr="00BF5805">
        <w:rPr>
          <w:lang w:val="fr-FR"/>
        </w:rPr>
        <w:t>expulsion vers ce pays et qu</w:t>
      </w:r>
      <w:r w:rsidR="00C44708">
        <w:rPr>
          <w:lang w:val="fr-FR"/>
        </w:rPr>
        <w:t>’</w:t>
      </w:r>
      <w:r w:rsidRPr="00BF5805">
        <w:rPr>
          <w:lang w:val="fr-FR"/>
        </w:rPr>
        <w:t>il devait exister des motifs supplémentaires de penser que l</w:t>
      </w:r>
      <w:r w:rsidR="00C44708">
        <w:rPr>
          <w:lang w:val="fr-FR"/>
        </w:rPr>
        <w:t>’</w:t>
      </w:r>
      <w:r w:rsidRPr="00BF5805">
        <w:rPr>
          <w:lang w:val="fr-FR"/>
        </w:rPr>
        <w:t>intéressé courrait personnellement un risque</w:t>
      </w:r>
      <w:r w:rsidRPr="00CA143A">
        <w:rPr>
          <w:rStyle w:val="Appelnotedebasdep"/>
        </w:rPr>
        <w:footnoteReference w:id="18"/>
      </w:r>
      <w:r w:rsidRPr="00BF5805">
        <w:rPr>
          <w:lang w:val="fr-FR"/>
        </w:rPr>
        <w:t xml:space="preserve">. </w:t>
      </w:r>
    </w:p>
    <w:p w:rsidR="00FD11F7" w:rsidRPr="00BF5805" w:rsidRDefault="00FD11F7" w:rsidP="00FD11F7">
      <w:pPr>
        <w:pStyle w:val="SingleTxtG"/>
        <w:spacing w:after="100" w:line="234" w:lineRule="exact"/>
        <w:rPr>
          <w:lang w:val="fr-FR"/>
        </w:rPr>
      </w:pPr>
      <w:r w:rsidRPr="00BF5805">
        <w:rPr>
          <w:lang w:val="fr-FR"/>
        </w:rPr>
        <w:t>4.7</w:t>
      </w:r>
      <w:r w:rsidRPr="00BF5805">
        <w:rPr>
          <w:lang w:val="fr-FR"/>
        </w:rPr>
        <w:tab/>
      </w:r>
      <w:r>
        <w:rPr>
          <w:lang w:val="fr-FR"/>
        </w:rPr>
        <w:t>L</w:t>
      </w:r>
      <w:r w:rsidR="00C44708">
        <w:rPr>
          <w:lang w:val="fr-FR"/>
        </w:rPr>
        <w:t>’</w:t>
      </w:r>
      <w:r w:rsidRPr="00BF5805">
        <w:rPr>
          <w:lang w:val="fr-FR"/>
        </w:rPr>
        <w:t xml:space="preserve">État partie soutient </w:t>
      </w:r>
      <w:r>
        <w:rPr>
          <w:lang w:val="fr-FR"/>
        </w:rPr>
        <w:t xml:space="preserve">par conséquent </w:t>
      </w:r>
      <w:r w:rsidRPr="00BF5805">
        <w:rPr>
          <w:lang w:val="fr-FR"/>
        </w:rPr>
        <w:t>que la requérante n</w:t>
      </w:r>
      <w:r w:rsidR="00C44708">
        <w:rPr>
          <w:lang w:val="fr-FR"/>
        </w:rPr>
        <w:t>’</w:t>
      </w:r>
      <w:r w:rsidRPr="00BF5805">
        <w:rPr>
          <w:lang w:val="fr-FR"/>
        </w:rPr>
        <w:t>a à première vue pas étayé son grief puisqu</w:t>
      </w:r>
      <w:r>
        <w:rPr>
          <w:lang w:val="fr-FR"/>
        </w:rPr>
        <w:t>e la réalité d</w:t>
      </w:r>
      <w:r w:rsidR="00C44708">
        <w:rPr>
          <w:lang w:val="fr-FR"/>
        </w:rPr>
        <w:t>’</w:t>
      </w:r>
      <w:r w:rsidRPr="00BF5805">
        <w:rPr>
          <w:lang w:val="fr-FR"/>
        </w:rPr>
        <w:t>aucun des motifs sur lesquels elle a fondé ses allégations de risque de torture, notamment le fait qu</w:t>
      </w:r>
      <w:r w:rsidR="00C44708">
        <w:rPr>
          <w:lang w:val="fr-FR"/>
        </w:rPr>
        <w:t>’</w:t>
      </w:r>
      <w:r w:rsidRPr="00BF5805">
        <w:rPr>
          <w:lang w:val="fr-FR"/>
        </w:rPr>
        <w:t>elle courrait un risque réel et personnel d</w:t>
      </w:r>
      <w:r w:rsidR="00C44708">
        <w:rPr>
          <w:lang w:val="fr-FR"/>
        </w:rPr>
        <w:t>’</w:t>
      </w:r>
      <w:r w:rsidRPr="00BF5805">
        <w:rPr>
          <w:lang w:val="fr-FR"/>
        </w:rPr>
        <w:t>être soumise à des actes de violence de la part du père de sa fille ainsi que d</w:t>
      </w:r>
      <w:r>
        <w:rPr>
          <w:lang w:val="fr-FR"/>
        </w:rPr>
        <w:t>u Gouvernement</w:t>
      </w:r>
      <w:r w:rsidRPr="00BF5805">
        <w:rPr>
          <w:lang w:val="fr-FR"/>
        </w:rPr>
        <w:t xml:space="preserve"> ougandais et de la société en général, n</w:t>
      </w:r>
      <w:r w:rsidR="00C44708">
        <w:rPr>
          <w:lang w:val="fr-FR"/>
        </w:rPr>
        <w:t>’</w:t>
      </w:r>
      <w:r w:rsidRPr="00BF5805">
        <w:rPr>
          <w:lang w:val="fr-FR"/>
        </w:rPr>
        <w:t>a été établi</w:t>
      </w:r>
      <w:r>
        <w:rPr>
          <w:lang w:val="fr-FR"/>
        </w:rPr>
        <w:t>e</w:t>
      </w:r>
      <w:r w:rsidRPr="00BF5805">
        <w:rPr>
          <w:lang w:val="fr-FR"/>
        </w:rPr>
        <w:t xml:space="preserve">. </w:t>
      </w:r>
    </w:p>
    <w:p w:rsidR="00FD11F7" w:rsidRPr="00BF5805" w:rsidRDefault="00FD11F7" w:rsidP="00FD11F7">
      <w:pPr>
        <w:pStyle w:val="SingleTxtG"/>
        <w:spacing w:after="100" w:line="234" w:lineRule="exact"/>
        <w:rPr>
          <w:lang w:val="fr-FR"/>
        </w:rPr>
      </w:pPr>
      <w:r w:rsidRPr="00BF5805">
        <w:rPr>
          <w:lang w:val="fr-FR"/>
        </w:rPr>
        <w:t>4.8</w:t>
      </w:r>
      <w:r>
        <w:rPr>
          <w:lang w:val="fr-FR"/>
        </w:rPr>
        <w:tab/>
      </w:r>
      <w:r w:rsidRPr="00BF5805">
        <w:rPr>
          <w:lang w:val="fr-FR"/>
        </w:rPr>
        <w:t>En ce qui concerne le fond de l</w:t>
      </w:r>
      <w:r w:rsidR="00C44708">
        <w:rPr>
          <w:lang w:val="fr-FR"/>
        </w:rPr>
        <w:t>’</w:t>
      </w:r>
      <w:r w:rsidRPr="00BF5805">
        <w:rPr>
          <w:lang w:val="fr-FR"/>
        </w:rPr>
        <w:t>affaire, l</w:t>
      </w:r>
      <w:r w:rsidR="00C44708">
        <w:rPr>
          <w:lang w:val="fr-FR"/>
        </w:rPr>
        <w:t>’</w:t>
      </w:r>
      <w:r w:rsidRPr="00BF5805">
        <w:rPr>
          <w:lang w:val="fr-FR"/>
        </w:rPr>
        <w:t>État partie estime que la requête est totalement dépourvue de fondement puisque rien dans celle-ci n</w:t>
      </w:r>
      <w:r w:rsidR="00C44708">
        <w:rPr>
          <w:lang w:val="fr-FR"/>
        </w:rPr>
        <w:t>’</w:t>
      </w:r>
      <w:r w:rsidRPr="00BF5805">
        <w:rPr>
          <w:lang w:val="fr-FR"/>
        </w:rPr>
        <w:t xml:space="preserve">indique que la requérante serait </w:t>
      </w:r>
      <w:r>
        <w:rPr>
          <w:lang w:val="fr-FR"/>
        </w:rPr>
        <w:t xml:space="preserve">personnellement </w:t>
      </w:r>
      <w:r w:rsidRPr="00BF5805">
        <w:rPr>
          <w:lang w:val="fr-FR"/>
        </w:rPr>
        <w:t>exposée à un risque prévisible</w:t>
      </w:r>
      <w:r>
        <w:rPr>
          <w:lang w:val="fr-FR"/>
        </w:rPr>
        <w:t xml:space="preserve"> et</w:t>
      </w:r>
      <w:r w:rsidRPr="00BF5805">
        <w:rPr>
          <w:lang w:val="fr-FR"/>
        </w:rPr>
        <w:t xml:space="preserve"> réel et si elle était renvoyée en Ouganda.</w:t>
      </w:r>
    </w:p>
    <w:p w:rsidR="00FD11F7" w:rsidRPr="00BF5805" w:rsidRDefault="00FD11F7" w:rsidP="00FD11F7">
      <w:pPr>
        <w:pStyle w:val="H23G"/>
        <w:spacing w:after="100"/>
        <w:rPr>
          <w:lang w:val="fr-FR"/>
        </w:rPr>
      </w:pPr>
      <w:r>
        <w:rPr>
          <w:lang w:val="fr-FR"/>
        </w:rPr>
        <w:tab/>
      </w:r>
      <w:r>
        <w:rPr>
          <w:lang w:val="fr-FR"/>
        </w:rPr>
        <w:tab/>
      </w:r>
      <w:r w:rsidRPr="00BF5805">
        <w:rPr>
          <w:lang w:val="fr-FR"/>
        </w:rPr>
        <w:t xml:space="preserve">Commentaires de la requérante </w:t>
      </w:r>
      <w:r>
        <w:rPr>
          <w:lang w:val="fr-FR"/>
        </w:rPr>
        <w:t>sur les observations de l</w:t>
      </w:r>
      <w:r w:rsidR="00C44708">
        <w:rPr>
          <w:lang w:val="fr-FR"/>
        </w:rPr>
        <w:t>’</w:t>
      </w:r>
      <w:r>
        <w:rPr>
          <w:lang w:val="fr-FR"/>
        </w:rPr>
        <w:t>État partie</w:t>
      </w:r>
    </w:p>
    <w:p w:rsidR="00FD11F7" w:rsidRPr="00BF5805" w:rsidRDefault="00FD11F7" w:rsidP="00FD11F7">
      <w:pPr>
        <w:pStyle w:val="SingleTxtG"/>
        <w:spacing w:after="100" w:line="234" w:lineRule="exact"/>
        <w:rPr>
          <w:lang w:val="fr-FR"/>
        </w:rPr>
      </w:pPr>
      <w:r w:rsidRPr="00BF5805">
        <w:rPr>
          <w:lang w:val="fr-FR"/>
        </w:rPr>
        <w:t>5.1</w:t>
      </w:r>
      <w:r w:rsidRPr="00BF5805">
        <w:rPr>
          <w:lang w:val="fr-FR"/>
        </w:rPr>
        <w:tab/>
        <w:t>Le 12</w:t>
      </w:r>
      <w:r>
        <w:rPr>
          <w:lang w:val="fr-FR"/>
        </w:rPr>
        <w:t> avril</w:t>
      </w:r>
      <w:r w:rsidRPr="00BF5805">
        <w:rPr>
          <w:lang w:val="fr-FR"/>
        </w:rPr>
        <w:t xml:space="preserve"> 2018, la requérante a transmis ses commentaires par l</w:t>
      </w:r>
      <w:r w:rsidR="00C44708">
        <w:rPr>
          <w:lang w:val="fr-FR"/>
        </w:rPr>
        <w:t>’</w:t>
      </w:r>
      <w:r w:rsidRPr="00BF5805">
        <w:rPr>
          <w:lang w:val="fr-FR"/>
        </w:rPr>
        <w:t>intermédiaire d</w:t>
      </w:r>
      <w:r w:rsidR="00C44708">
        <w:rPr>
          <w:lang w:val="fr-FR"/>
        </w:rPr>
        <w:t>’</w:t>
      </w:r>
      <w:r w:rsidRPr="00BF5805">
        <w:rPr>
          <w:lang w:val="fr-FR"/>
        </w:rPr>
        <w:t xml:space="preserve">un tiers, </w:t>
      </w:r>
      <w:r>
        <w:rPr>
          <w:lang w:val="fr-FR"/>
        </w:rPr>
        <w:t>M. </w:t>
      </w:r>
      <w:r w:rsidRPr="00BF5805">
        <w:rPr>
          <w:lang w:val="fr-FR"/>
        </w:rPr>
        <w:t xml:space="preserve">Alex </w:t>
      </w:r>
      <w:proofErr w:type="spellStart"/>
      <w:r w:rsidRPr="00BF5805">
        <w:rPr>
          <w:lang w:val="fr-FR"/>
        </w:rPr>
        <w:t>Varricchio</w:t>
      </w:r>
      <w:proofErr w:type="spellEnd"/>
      <w:r>
        <w:rPr>
          <w:lang w:val="fr-FR"/>
        </w:rPr>
        <w:t>, un ami au Canada</w:t>
      </w:r>
      <w:r w:rsidRPr="00FA4588">
        <w:rPr>
          <w:rStyle w:val="Appelnotedebasdep"/>
        </w:rPr>
        <w:footnoteReference w:id="19"/>
      </w:r>
      <w:r w:rsidRPr="00BF5805">
        <w:rPr>
          <w:lang w:val="fr-FR"/>
        </w:rPr>
        <w:t xml:space="preserve">. </w:t>
      </w:r>
    </w:p>
    <w:p w:rsidR="00FD11F7" w:rsidRPr="00BF5805" w:rsidRDefault="00FD11F7" w:rsidP="00FD11F7">
      <w:pPr>
        <w:pStyle w:val="SingleTxtG"/>
        <w:spacing w:after="100" w:line="234" w:lineRule="exact"/>
        <w:rPr>
          <w:lang w:val="fr-FR"/>
        </w:rPr>
      </w:pPr>
      <w:r w:rsidRPr="00BF5805">
        <w:rPr>
          <w:lang w:val="fr-FR"/>
        </w:rPr>
        <w:lastRenderedPageBreak/>
        <w:t>5.2</w:t>
      </w:r>
      <w:r w:rsidRPr="00BF5805">
        <w:rPr>
          <w:lang w:val="fr-FR"/>
        </w:rPr>
        <w:tab/>
        <w:t>En ce qui concerne l</w:t>
      </w:r>
      <w:r w:rsidR="00C44708">
        <w:rPr>
          <w:lang w:val="fr-FR"/>
        </w:rPr>
        <w:t>’</w:t>
      </w:r>
      <w:r w:rsidRPr="00BF5805">
        <w:rPr>
          <w:lang w:val="fr-FR"/>
        </w:rPr>
        <w:t>épuisement des recours internes, la requérante réfute l</w:t>
      </w:r>
      <w:r w:rsidR="00C44708">
        <w:rPr>
          <w:lang w:val="fr-FR"/>
        </w:rPr>
        <w:t>’</w:t>
      </w:r>
      <w:r w:rsidRPr="00BF5805">
        <w:rPr>
          <w:lang w:val="fr-FR"/>
        </w:rPr>
        <w:t>argument de l</w:t>
      </w:r>
      <w:r w:rsidR="00C44708">
        <w:rPr>
          <w:lang w:val="fr-FR"/>
        </w:rPr>
        <w:t>’</w:t>
      </w:r>
      <w:r w:rsidRPr="00BF5805">
        <w:rPr>
          <w:lang w:val="fr-FR"/>
        </w:rPr>
        <w:t>État partie selon lequel la requête est irrecevable pour non-épuisement des recours internes. Elle rappelle qu</w:t>
      </w:r>
      <w:r w:rsidR="00C44708">
        <w:rPr>
          <w:lang w:val="fr-FR"/>
        </w:rPr>
        <w:t>’</w:t>
      </w:r>
      <w:r w:rsidRPr="00BF5805">
        <w:rPr>
          <w:lang w:val="fr-FR"/>
        </w:rPr>
        <w:t>elle a été autorisée à séjourner au Canada de décembre 1999 à juin 2004 et de décembre 2004 à octobre 2006. Elle affirme qu</w:t>
      </w:r>
      <w:r w:rsidR="00C44708">
        <w:rPr>
          <w:lang w:val="fr-FR"/>
        </w:rPr>
        <w:t>’</w:t>
      </w:r>
      <w:r w:rsidRPr="00BF5805">
        <w:rPr>
          <w:lang w:val="fr-FR"/>
        </w:rPr>
        <w:t xml:space="preserve">elle </w:t>
      </w:r>
      <w:r>
        <w:rPr>
          <w:lang w:val="fr-FR"/>
        </w:rPr>
        <w:t>craignait</w:t>
      </w:r>
      <w:r w:rsidRPr="00BF5805">
        <w:rPr>
          <w:lang w:val="fr-FR"/>
        </w:rPr>
        <w:t xml:space="preserve"> d</w:t>
      </w:r>
      <w:r w:rsidR="00C44708">
        <w:rPr>
          <w:lang w:val="fr-FR"/>
        </w:rPr>
        <w:t>’</w:t>
      </w:r>
      <w:r w:rsidRPr="00BF5805">
        <w:rPr>
          <w:lang w:val="fr-FR"/>
        </w:rPr>
        <w:t>être expulsée de force vers l</w:t>
      </w:r>
      <w:r w:rsidR="00C44708">
        <w:rPr>
          <w:lang w:val="fr-FR"/>
        </w:rPr>
        <w:t>’</w:t>
      </w:r>
      <w:r w:rsidRPr="00BF5805">
        <w:rPr>
          <w:lang w:val="fr-FR"/>
        </w:rPr>
        <w:t>Ouganda et d</w:t>
      </w:r>
      <w:r w:rsidR="00C44708">
        <w:rPr>
          <w:lang w:val="fr-FR"/>
        </w:rPr>
        <w:t>’</w:t>
      </w:r>
      <w:r w:rsidRPr="00BF5805">
        <w:rPr>
          <w:lang w:val="fr-FR"/>
        </w:rPr>
        <w:t>être exposée au risque d</w:t>
      </w:r>
      <w:r w:rsidR="00C44708">
        <w:rPr>
          <w:lang w:val="fr-FR"/>
        </w:rPr>
        <w:t>’</w:t>
      </w:r>
      <w:r w:rsidRPr="00BF5805">
        <w:rPr>
          <w:lang w:val="fr-FR"/>
        </w:rPr>
        <w:t>être torturée, emprisonnée ou tuée. Elle ne savait pas quoi faire,</w:t>
      </w:r>
      <w:r>
        <w:rPr>
          <w:lang w:val="fr-FR"/>
        </w:rPr>
        <w:t xml:space="preserve"> </w:t>
      </w:r>
      <w:r w:rsidRPr="00BF5805">
        <w:rPr>
          <w:lang w:val="fr-FR"/>
        </w:rPr>
        <w:t>elle n</w:t>
      </w:r>
      <w:r w:rsidR="00C44708">
        <w:rPr>
          <w:lang w:val="fr-FR"/>
        </w:rPr>
        <w:t>’</w:t>
      </w:r>
      <w:r w:rsidRPr="00BF5805">
        <w:rPr>
          <w:lang w:val="fr-FR"/>
        </w:rPr>
        <w:t>avait pas d</w:t>
      </w:r>
      <w:r w:rsidR="00C44708">
        <w:rPr>
          <w:lang w:val="fr-FR"/>
        </w:rPr>
        <w:t>’</w:t>
      </w:r>
      <w:r w:rsidRPr="00BF5805">
        <w:rPr>
          <w:lang w:val="fr-FR"/>
        </w:rPr>
        <w:t>argent</w:t>
      </w:r>
      <w:r>
        <w:rPr>
          <w:lang w:val="fr-FR"/>
        </w:rPr>
        <w:t xml:space="preserve">, </w:t>
      </w:r>
      <w:r w:rsidRPr="00BF5805">
        <w:rPr>
          <w:lang w:val="fr-FR"/>
        </w:rPr>
        <w:t>avait très peur d</w:t>
      </w:r>
      <w:r w:rsidR="00C44708">
        <w:rPr>
          <w:lang w:val="fr-FR"/>
        </w:rPr>
        <w:t>’</w:t>
      </w:r>
      <w:r w:rsidRPr="00BF5805">
        <w:rPr>
          <w:lang w:val="fr-FR"/>
        </w:rPr>
        <w:t>être repérée par les autorités canadiennes</w:t>
      </w:r>
      <w:r>
        <w:rPr>
          <w:lang w:val="fr-FR"/>
        </w:rPr>
        <w:t xml:space="preserve"> et</w:t>
      </w:r>
      <w:r w:rsidRPr="00BF5805">
        <w:rPr>
          <w:lang w:val="fr-FR"/>
        </w:rPr>
        <w:t xml:space="preserve"> ne connaissait pas les voies de recours disponibles. </w:t>
      </w:r>
      <w:r>
        <w:rPr>
          <w:lang w:val="fr-FR"/>
        </w:rPr>
        <w:t>En une occasion</w:t>
      </w:r>
      <w:r w:rsidRPr="00BF5805">
        <w:rPr>
          <w:lang w:val="fr-FR"/>
        </w:rPr>
        <w:t>, elle a dit à un agent d</w:t>
      </w:r>
      <w:r>
        <w:rPr>
          <w:lang w:val="fr-FR"/>
        </w:rPr>
        <w:t>e l</w:t>
      </w:r>
      <w:r w:rsidR="00C44708">
        <w:rPr>
          <w:lang w:val="fr-FR"/>
        </w:rPr>
        <w:t>’</w:t>
      </w:r>
      <w:r w:rsidRPr="00BF5805">
        <w:rPr>
          <w:lang w:val="fr-FR"/>
        </w:rPr>
        <w:t>immigration canadien qu</w:t>
      </w:r>
      <w:r w:rsidR="00C44708">
        <w:rPr>
          <w:lang w:val="fr-FR"/>
        </w:rPr>
        <w:t>’</w:t>
      </w:r>
      <w:r w:rsidRPr="00BF5805">
        <w:rPr>
          <w:lang w:val="fr-FR"/>
        </w:rPr>
        <w:t>elle souhaitait présenter une demande d</w:t>
      </w:r>
      <w:r w:rsidR="00C44708">
        <w:rPr>
          <w:lang w:val="fr-FR"/>
        </w:rPr>
        <w:t>’</w:t>
      </w:r>
      <w:r w:rsidRPr="00BF5805">
        <w:rPr>
          <w:lang w:val="fr-FR"/>
        </w:rPr>
        <w:t>asile, mais celui-ci lui a répondu qu</w:t>
      </w:r>
      <w:r w:rsidR="00C44708">
        <w:rPr>
          <w:lang w:val="fr-FR"/>
        </w:rPr>
        <w:t>’</w:t>
      </w:r>
      <w:r w:rsidRPr="00BF5805">
        <w:rPr>
          <w:lang w:val="fr-FR"/>
        </w:rPr>
        <w:t xml:space="preserve">elle ne remplissait pas les critères requis pour </w:t>
      </w:r>
      <w:r>
        <w:rPr>
          <w:lang w:val="fr-FR"/>
        </w:rPr>
        <w:t>ce faire</w:t>
      </w:r>
      <w:r w:rsidRPr="00BF5805">
        <w:rPr>
          <w:lang w:val="fr-FR"/>
        </w:rPr>
        <w:t>. Elle soutient en outre que</w:t>
      </w:r>
      <w:r>
        <w:rPr>
          <w:lang w:val="fr-FR"/>
        </w:rPr>
        <w:t xml:space="preserve"> depuis que</w:t>
      </w:r>
      <w:r w:rsidRPr="00BF5805">
        <w:rPr>
          <w:lang w:val="fr-FR"/>
        </w:rPr>
        <w:t xml:space="preserve"> la mesure de renvoi dont elle fait l</w:t>
      </w:r>
      <w:r w:rsidR="00C44708">
        <w:rPr>
          <w:lang w:val="fr-FR"/>
        </w:rPr>
        <w:t>’</w:t>
      </w:r>
      <w:r w:rsidRPr="00BF5805">
        <w:rPr>
          <w:lang w:val="fr-FR"/>
        </w:rPr>
        <w:t>objet a été prononcée</w:t>
      </w:r>
      <w:r>
        <w:rPr>
          <w:lang w:val="fr-FR"/>
        </w:rPr>
        <w:t>,</w:t>
      </w:r>
      <w:r w:rsidRPr="00BF5805">
        <w:rPr>
          <w:lang w:val="fr-FR"/>
        </w:rPr>
        <w:t xml:space="preserve"> </w:t>
      </w:r>
      <w:r>
        <w:rPr>
          <w:lang w:val="fr-FR"/>
        </w:rPr>
        <w:t xml:space="preserve">soit </w:t>
      </w:r>
      <w:r w:rsidRPr="00BF5805">
        <w:rPr>
          <w:lang w:val="fr-FR"/>
        </w:rPr>
        <w:t>le 1</w:t>
      </w:r>
      <w:r w:rsidRPr="00BF5805">
        <w:rPr>
          <w:vertAlign w:val="superscript"/>
          <w:lang w:val="fr-FR"/>
        </w:rPr>
        <w:t>er</w:t>
      </w:r>
      <w:r>
        <w:rPr>
          <w:lang w:val="fr-FR"/>
        </w:rPr>
        <w:t> juin</w:t>
      </w:r>
      <w:r w:rsidRPr="00BF5805">
        <w:rPr>
          <w:lang w:val="fr-FR"/>
        </w:rPr>
        <w:t xml:space="preserve"> 2011, elle ne p</w:t>
      </w:r>
      <w:r>
        <w:rPr>
          <w:lang w:val="fr-FR"/>
        </w:rPr>
        <w:t>eut</w:t>
      </w:r>
      <w:r w:rsidRPr="00BF5805">
        <w:rPr>
          <w:lang w:val="fr-FR"/>
        </w:rPr>
        <w:t xml:space="preserve"> plus déposer une demande d</w:t>
      </w:r>
      <w:r w:rsidR="00C44708">
        <w:rPr>
          <w:lang w:val="fr-FR"/>
        </w:rPr>
        <w:t>’</w:t>
      </w:r>
      <w:r w:rsidRPr="00BF5805">
        <w:rPr>
          <w:lang w:val="fr-FR"/>
        </w:rPr>
        <w:t>asile au Canada. Elle affirme donc qu</w:t>
      </w:r>
      <w:r w:rsidR="00C44708">
        <w:rPr>
          <w:lang w:val="fr-FR"/>
        </w:rPr>
        <w:t>’</w:t>
      </w:r>
      <w:r w:rsidRPr="00BF5805">
        <w:rPr>
          <w:lang w:val="fr-FR"/>
        </w:rPr>
        <w:t>elle n</w:t>
      </w:r>
      <w:r w:rsidR="00C44708">
        <w:rPr>
          <w:lang w:val="fr-FR"/>
        </w:rPr>
        <w:t>’</w:t>
      </w:r>
      <w:r w:rsidRPr="00BF5805">
        <w:rPr>
          <w:lang w:val="fr-FR"/>
        </w:rPr>
        <w:t>avait pas d</w:t>
      </w:r>
      <w:r w:rsidR="00C44708">
        <w:rPr>
          <w:lang w:val="fr-FR"/>
        </w:rPr>
        <w:t>’</w:t>
      </w:r>
      <w:r w:rsidRPr="00BF5805">
        <w:rPr>
          <w:lang w:val="fr-FR"/>
        </w:rPr>
        <w:t>autre choix que de se cacher.</w:t>
      </w:r>
    </w:p>
    <w:p w:rsidR="00FD11F7" w:rsidRPr="00BF5805" w:rsidRDefault="00FD11F7" w:rsidP="00FD11F7">
      <w:pPr>
        <w:pStyle w:val="SingleTxtG"/>
        <w:spacing w:after="100" w:line="234" w:lineRule="exact"/>
        <w:rPr>
          <w:lang w:val="fr-FR"/>
        </w:rPr>
      </w:pPr>
      <w:r w:rsidRPr="00BF5805">
        <w:rPr>
          <w:lang w:val="fr-FR"/>
        </w:rPr>
        <w:t>5.3</w:t>
      </w:r>
      <w:r w:rsidRPr="00BF5805">
        <w:rPr>
          <w:lang w:val="fr-FR"/>
        </w:rPr>
        <w:tab/>
      </w:r>
      <w:r>
        <w:rPr>
          <w:lang w:val="fr-FR"/>
        </w:rPr>
        <w:t>L</w:t>
      </w:r>
      <w:r w:rsidRPr="00BF5805">
        <w:rPr>
          <w:lang w:val="fr-FR"/>
        </w:rPr>
        <w:t>a requérante affirme qu</w:t>
      </w:r>
      <w:r w:rsidR="00C44708">
        <w:rPr>
          <w:lang w:val="fr-FR"/>
        </w:rPr>
        <w:t>’</w:t>
      </w:r>
      <w:r w:rsidRPr="00BF5805">
        <w:rPr>
          <w:lang w:val="fr-FR"/>
        </w:rPr>
        <w:t>elle n</w:t>
      </w:r>
      <w:r w:rsidR="00C44708">
        <w:rPr>
          <w:lang w:val="fr-FR"/>
        </w:rPr>
        <w:t>’</w:t>
      </w:r>
      <w:r w:rsidRPr="00BF5805">
        <w:rPr>
          <w:lang w:val="fr-FR"/>
        </w:rPr>
        <w:t>a pas présenté de demande de résidence permanente fondée sur des motifs d</w:t>
      </w:r>
      <w:r w:rsidR="00C44708">
        <w:rPr>
          <w:lang w:val="fr-FR"/>
        </w:rPr>
        <w:t>’</w:t>
      </w:r>
      <w:r w:rsidRPr="00BF5805">
        <w:rPr>
          <w:lang w:val="fr-FR"/>
        </w:rPr>
        <w:t>ordre humanitaire parce qu</w:t>
      </w:r>
      <w:r w:rsidR="00C44708">
        <w:rPr>
          <w:lang w:val="fr-FR"/>
        </w:rPr>
        <w:t>’</w:t>
      </w:r>
      <w:r w:rsidRPr="00BF5805">
        <w:rPr>
          <w:lang w:val="fr-FR"/>
        </w:rPr>
        <w:t xml:space="preserve">elle pensait que sa demande serait certainement rejetée </w:t>
      </w:r>
      <w:r>
        <w:rPr>
          <w:lang w:val="fr-FR"/>
        </w:rPr>
        <w:t>compte tenu de la législation</w:t>
      </w:r>
      <w:r w:rsidRPr="00BF5805">
        <w:rPr>
          <w:lang w:val="fr-FR"/>
        </w:rPr>
        <w:t xml:space="preserve"> canadien</w:t>
      </w:r>
      <w:r>
        <w:rPr>
          <w:lang w:val="fr-FR"/>
        </w:rPr>
        <w:t>ne, et qu</w:t>
      </w:r>
      <w:r w:rsidR="00C44708">
        <w:rPr>
          <w:lang w:val="fr-FR"/>
        </w:rPr>
        <w:t>’</w:t>
      </w:r>
      <w:r>
        <w:rPr>
          <w:lang w:val="fr-FR"/>
        </w:rPr>
        <w:t xml:space="preserve">en tout état de cause </w:t>
      </w:r>
      <w:r w:rsidRPr="00BF5805">
        <w:rPr>
          <w:lang w:val="fr-FR"/>
        </w:rPr>
        <w:t>une demande fondée sur des motifs d</w:t>
      </w:r>
      <w:r w:rsidR="00C44708">
        <w:rPr>
          <w:lang w:val="fr-FR"/>
        </w:rPr>
        <w:t>’</w:t>
      </w:r>
      <w:r w:rsidRPr="00BF5805">
        <w:rPr>
          <w:lang w:val="fr-FR"/>
        </w:rPr>
        <w:t>ordre humanitaire en cours d</w:t>
      </w:r>
      <w:r w:rsidR="00C44708">
        <w:rPr>
          <w:lang w:val="fr-FR"/>
        </w:rPr>
        <w:t>’</w:t>
      </w:r>
      <w:r w:rsidRPr="00BF5805">
        <w:rPr>
          <w:lang w:val="fr-FR"/>
        </w:rPr>
        <w:t>examen n</w:t>
      </w:r>
      <w:r w:rsidR="00C44708">
        <w:rPr>
          <w:lang w:val="fr-FR"/>
        </w:rPr>
        <w:t>’</w:t>
      </w:r>
      <w:r w:rsidRPr="00BF5805">
        <w:rPr>
          <w:lang w:val="fr-FR"/>
        </w:rPr>
        <w:t>a pas pour effet de suspendre une mesure de renvoi devenue exécutoire</w:t>
      </w:r>
      <w:r w:rsidRPr="00DF2C53">
        <w:rPr>
          <w:rStyle w:val="Appelnotedebasdep"/>
        </w:rPr>
        <w:footnoteReference w:id="20"/>
      </w:r>
      <w:r w:rsidRPr="00BF5805">
        <w:rPr>
          <w:lang w:val="fr-FR"/>
        </w:rPr>
        <w:t>. Elle soutient en outre que dans la plupart des cas récents, la Cour fédérale a jugé que l</w:t>
      </w:r>
      <w:r w:rsidR="00C44708">
        <w:rPr>
          <w:lang w:val="fr-FR"/>
        </w:rPr>
        <w:t>’</w:t>
      </w:r>
      <w:r w:rsidRPr="00BF5805">
        <w:rPr>
          <w:lang w:val="fr-FR"/>
        </w:rPr>
        <w:t>agent d</w:t>
      </w:r>
      <w:r w:rsidR="00C44708">
        <w:rPr>
          <w:lang w:val="fr-FR"/>
        </w:rPr>
        <w:t>’</w:t>
      </w:r>
      <w:r w:rsidRPr="00BF5805">
        <w:rPr>
          <w:lang w:val="fr-FR"/>
        </w:rPr>
        <w:t>exécution n</w:t>
      </w:r>
      <w:r w:rsidR="00C44708">
        <w:rPr>
          <w:lang w:val="fr-FR"/>
        </w:rPr>
        <w:t>’</w:t>
      </w:r>
      <w:r w:rsidRPr="00BF5805">
        <w:rPr>
          <w:lang w:val="fr-FR"/>
        </w:rPr>
        <w:t>était pas tenu de surseoir au renvoi en attendant que la décision concernant la demande soit prise. Elle rappelle la jurisprudence du Comité dans l</w:t>
      </w:r>
      <w:r w:rsidR="00C44708">
        <w:rPr>
          <w:lang w:val="fr-FR"/>
        </w:rPr>
        <w:t>’</w:t>
      </w:r>
      <w:r w:rsidRPr="00BF5805">
        <w:rPr>
          <w:lang w:val="fr-FR"/>
        </w:rPr>
        <w:t xml:space="preserve">affaire </w:t>
      </w:r>
      <w:proofErr w:type="spellStart"/>
      <w:r w:rsidRPr="00BF5805">
        <w:rPr>
          <w:i/>
          <w:iCs/>
          <w:lang w:val="fr-FR"/>
        </w:rPr>
        <w:t>Kalonzo</w:t>
      </w:r>
      <w:proofErr w:type="spellEnd"/>
      <w:r w:rsidRPr="00BF5805">
        <w:rPr>
          <w:i/>
          <w:iCs/>
          <w:lang w:val="fr-FR"/>
        </w:rPr>
        <w:t xml:space="preserve"> </w:t>
      </w:r>
      <w:r w:rsidRPr="00DF2C53">
        <w:rPr>
          <w:i/>
          <w:lang w:val="fr-FR"/>
        </w:rPr>
        <w:t>c.</w:t>
      </w:r>
      <w:r>
        <w:rPr>
          <w:iCs/>
          <w:lang w:val="fr-FR"/>
        </w:rPr>
        <w:t> </w:t>
      </w:r>
      <w:r w:rsidRPr="00BF5805">
        <w:rPr>
          <w:i/>
          <w:iCs/>
          <w:lang w:val="fr-FR"/>
        </w:rPr>
        <w:t>Canada</w:t>
      </w:r>
      <w:r w:rsidRPr="00DF2C53">
        <w:rPr>
          <w:rStyle w:val="Appelnotedebasdep"/>
        </w:rPr>
        <w:footnoteReference w:id="21"/>
      </w:r>
      <w:r w:rsidRPr="00BF5805">
        <w:rPr>
          <w:lang w:val="fr-FR"/>
        </w:rPr>
        <w:t>, dans laquelle le Comité a estimé que les demandes fondées sur des motifs d</w:t>
      </w:r>
      <w:r w:rsidR="00C44708">
        <w:rPr>
          <w:lang w:val="fr-FR"/>
        </w:rPr>
        <w:t>’</w:t>
      </w:r>
      <w:r w:rsidRPr="00BF5805">
        <w:rPr>
          <w:lang w:val="fr-FR"/>
        </w:rPr>
        <w:t>ordre humanitaire ne constituaient pas un recours devant être épuisé aux fins de la recevabilité.</w:t>
      </w:r>
    </w:p>
    <w:p w:rsidR="00FD11F7" w:rsidRPr="00BF5805" w:rsidRDefault="00FD11F7" w:rsidP="00FD11F7">
      <w:pPr>
        <w:pStyle w:val="SingleTxtG"/>
        <w:rPr>
          <w:lang w:val="fr-FR"/>
        </w:rPr>
      </w:pPr>
      <w:r w:rsidRPr="00BF5805">
        <w:rPr>
          <w:lang w:val="fr-FR"/>
        </w:rPr>
        <w:t>5.4</w:t>
      </w:r>
      <w:r w:rsidRPr="00BF5805">
        <w:rPr>
          <w:lang w:val="fr-FR"/>
        </w:rPr>
        <w:tab/>
        <w:t>La requérante réfute en outre l</w:t>
      </w:r>
      <w:r w:rsidR="00C44708">
        <w:rPr>
          <w:lang w:val="fr-FR"/>
        </w:rPr>
        <w:t>’</w:t>
      </w:r>
      <w:r w:rsidRPr="00BF5805">
        <w:rPr>
          <w:lang w:val="fr-FR"/>
        </w:rPr>
        <w:t>argument de l</w:t>
      </w:r>
      <w:r w:rsidR="00C44708">
        <w:rPr>
          <w:lang w:val="fr-FR"/>
        </w:rPr>
        <w:t>’</w:t>
      </w:r>
      <w:r w:rsidRPr="00BF5805">
        <w:rPr>
          <w:lang w:val="fr-FR"/>
        </w:rPr>
        <w:t>État partie selon lequel elle aurait aussi pu déposer une demande de sursis administratif au renvoi auprès de l</w:t>
      </w:r>
      <w:r w:rsidR="00C44708">
        <w:rPr>
          <w:lang w:val="fr-FR"/>
        </w:rPr>
        <w:t>’</w:t>
      </w:r>
      <w:r w:rsidRPr="00BF5805">
        <w:rPr>
          <w:lang w:val="fr-FR"/>
        </w:rPr>
        <w:t xml:space="preserve">Agence des services frontaliers du Canada </w:t>
      </w:r>
      <w:r>
        <w:rPr>
          <w:lang w:val="fr-FR"/>
        </w:rPr>
        <w:t xml:space="preserve">ou </w:t>
      </w:r>
      <w:r w:rsidRPr="00BF5805">
        <w:rPr>
          <w:lang w:val="fr-FR"/>
        </w:rPr>
        <w:t>solliciter l</w:t>
      </w:r>
      <w:r w:rsidR="00C44708">
        <w:rPr>
          <w:lang w:val="fr-FR"/>
        </w:rPr>
        <w:t>’</w:t>
      </w:r>
      <w:r w:rsidRPr="00BF5805">
        <w:rPr>
          <w:lang w:val="fr-FR"/>
        </w:rPr>
        <w:t>autorisation d</w:t>
      </w:r>
      <w:r w:rsidR="00C44708">
        <w:rPr>
          <w:lang w:val="fr-FR"/>
        </w:rPr>
        <w:t>’</w:t>
      </w:r>
      <w:r>
        <w:rPr>
          <w:lang w:val="fr-FR"/>
        </w:rPr>
        <w:t>introduire une requête en</w:t>
      </w:r>
      <w:r w:rsidRPr="00BF5805">
        <w:rPr>
          <w:lang w:val="fr-FR"/>
        </w:rPr>
        <w:t xml:space="preserve"> contrôle </w:t>
      </w:r>
      <w:r>
        <w:rPr>
          <w:lang w:val="fr-FR"/>
        </w:rPr>
        <w:t>judiciaire</w:t>
      </w:r>
      <w:r w:rsidRPr="00BF5805">
        <w:rPr>
          <w:lang w:val="fr-FR"/>
        </w:rPr>
        <w:t xml:space="preserve"> de la décision défavorable rendue par la Cour fédérale. Elle rappelle que la demande de sursis au renvoi doit être présentée à l</w:t>
      </w:r>
      <w:r w:rsidR="00C44708">
        <w:rPr>
          <w:lang w:val="fr-FR"/>
        </w:rPr>
        <w:t>’</w:t>
      </w:r>
      <w:r w:rsidRPr="00BF5805">
        <w:rPr>
          <w:lang w:val="fr-FR"/>
        </w:rPr>
        <w:t>agent chargé du renvoi, qui est un agent d</w:t>
      </w:r>
      <w:r w:rsidR="00C44708">
        <w:rPr>
          <w:lang w:val="fr-FR"/>
        </w:rPr>
        <w:t>’</w:t>
      </w:r>
      <w:r w:rsidRPr="00BF5805">
        <w:rPr>
          <w:lang w:val="fr-FR"/>
        </w:rPr>
        <w:t>exécution travaillant au sein de l</w:t>
      </w:r>
      <w:r w:rsidR="00C44708">
        <w:rPr>
          <w:lang w:val="fr-FR"/>
        </w:rPr>
        <w:t>’</w:t>
      </w:r>
      <w:r w:rsidRPr="00BF5805">
        <w:rPr>
          <w:lang w:val="fr-FR"/>
        </w:rPr>
        <w:t>Agence des services frontaliers du Canada et qui est responsable de l</w:t>
      </w:r>
      <w:r w:rsidR="00C44708">
        <w:rPr>
          <w:lang w:val="fr-FR"/>
        </w:rPr>
        <w:t>’</w:t>
      </w:r>
      <w:r w:rsidRPr="00BF5805">
        <w:rPr>
          <w:lang w:val="fr-FR"/>
        </w:rPr>
        <w:t>expulsion de la personne concernée vers son pays d</w:t>
      </w:r>
      <w:r w:rsidR="00C44708">
        <w:rPr>
          <w:lang w:val="fr-FR"/>
        </w:rPr>
        <w:t>’</w:t>
      </w:r>
      <w:r w:rsidRPr="00BF5805">
        <w:rPr>
          <w:lang w:val="fr-FR"/>
        </w:rPr>
        <w:t>origine. Elle soutient qu</w:t>
      </w:r>
      <w:r w:rsidR="00C44708">
        <w:rPr>
          <w:lang w:val="fr-FR"/>
        </w:rPr>
        <w:t>’</w:t>
      </w:r>
      <w:r w:rsidRPr="00BF5805">
        <w:rPr>
          <w:lang w:val="fr-FR"/>
        </w:rPr>
        <w:t xml:space="preserve">au Canada, le pouvoir discrétionnaire de ces agents est quasi inexistant, </w:t>
      </w:r>
      <w:r>
        <w:rPr>
          <w:lang w:val="fr-FR"/>
        </w:rPr>
        <w:t xml:space="preserve">car </w:t>
      </w:r>
      <w:r w:rsidRPr="00BF5805">
        <w:rPr>
          <w:lang w:val="fr-FR"/>
        </w:rPr>
        <w:t>ils doivent renvoyer les personnes très rapidement</w:t>
      </w:r>
      <w:r>
        <w:rPr>
          <w:lang w:val="fr-FR"/>
        </w:rPr>
        <w:t>,</w:t>
      </w:r>
      <w:r w:rsidRPr="00BF5805">
        <w:rPr>
          <w:lang w:val="fr-FR"/>
        </w:rPr>
        <w:t xml:space="preserve"> et qu</w:t>
      </w:r>
      <w:r w:rsidR="00C44708">
        <w:rPr>
          <w:lang w:val="fr-FR"/>
        </w:rPr>
        <w:t>’</w:t>
      </w:r>
      <w:r>
        <w:rPr>
          <w:lang w:val="fr-FR"/>
        </w:rPr>
        <w:t>il n</w:t>
      </w:r>
      <w:r w:rsidR="00C44708">
        <w:rPr>
          <w:lang w:val="fr-FR"/>
        </w:rPr>
        <w:t>’</w:t>
      </w:r>
      <w:r>
        <w:rPr>
          <w:lang w:val="fr-FR"/>
        </w:rPr>
        <w:t>y a pas d</w:t>
      </w:r>
      <w:r w:rsidR="00C44708">
        <w:rPr>
          <w:lang w:val="fr-FR"/>
        </w:rPr>
        <w:t>’</w:t>
      </w:r>
      <w:r>
        <w:rPr>
          <w:lang w:val="fr-FR"/>
        </w:rPr>
        <w:t>uniformité dans les décisions de</w:t>
      </w:r>
      <w:r w:rsidRPr="00BF5805">
        <w:rPr>
          <w:lang w:val="fr-FR"/>
        </w:rPr>
        <w:t xml:space="preserve"> </w:t>
      </w:r>
      <w:r w:rsidR="00DF2C53">
        <w:rPr>
          <w:lang w:val="fr-FR"/>
        </w:rPr>
        <w:t xml:space="preserve">la </w:t>
      </w:r>
      <w:r w:rsidRPr="00BF5805">
        <w:rPr>
          <w:lang w:val="fr-FR"/>
        </w:rPr>
        <w:t xml:space="preserve">Cour fédérale </w:t>
      </w:r>
      <w:r>
        <w:rPr>
          <w:lang w:val="fr-FR"/>
        </w:rPr>
        <w:t>sur l</w:t>
      </w:r>
      <w:r w:rsidR="00C44708">
        <w:rPr>
          <w:lang w:val="fr-FR"/>
        </w:rPr>
        <w:t>’</w:t>
      </w:r>
      <w:r>
        <w:rPr>
          <w:lang w:val="fr-FR"/>
        </w:rPr>
        <w:t>opportunité</w:t>
      </w:r>
      <w:r w:rsidR="00E9321A">
        <w:rPr>
          <w:lang w:val="fr-FR"/>
        </w:rPr>
        <w:t xml:space="preserve"> </w:t>
      </w:r>
      <w:r w:rsidRPr="00BF5805">
        <w:rPr>
          <w:lang w:val="fr-FR"/>
        </w:rPr>
        <w:t xml:space="preserve">de surseoir à </w:t>
      </w:r>
      <w:r>
        <w:rPr>
          <w:lang w:val="fr-FR"/>
        </w:rPr>
        <w:t>une</w:t>
      </w:r>
      <w:r w:rsidRPr="00BF5805">
        <w:rPr>
          <w:lang w:val="fr-FR"/>
        </w:rPr>
        <w:t xml:space="preserve"> mesure de renvoi dans l</w:t>
      </w:r>
      <w:r w:rsidR="00C44708">
        <w:rPr>
          <w:lang w:val="fr-FR"/>
        </w:rPr>
        <w:t>’</w:t>
      </w:r>
      <w:r w:rsidRPr="00BF5805">
        <w:rPr>
          <w:lang w:val="fr-FR"/>
        </w:rPr>
        <w:t>attente du contrôle judiciaire d</w:t>
      </w:r>
      <w:r w:rsidR="00C44708">
        <w:rPr>
          <w:lang w:val="fr-FR"/>
        </w:rPr>
        <w:t>’</w:t>
      </w:r>
      <w:r>
        <w:rPr>
          <w:lang w:val="fr-FR"/>
        </w:rPr>
        <w:t>une</w:t>
      </w:r>
      <w:r w:rsidRPr="00BF5805">
        <w:rPr>
          <w:lang w:val="fr-FR"/>
        </w:rPr>
        <w:t xml:space="preserve"> décision défavorable concernant </w:t>
      </w:r>
      <w:r>
        <w:rPr>
          <w:lang w:val="fr-FR"/>
        </w:rPr>
        <w:t>une</w:t>
      </w:r>
      <w:r w:rsidRPr="00BF5805">
        <w:rPr>
          <w:lang w:val="fr-FR"/>
        </w:rPr>
        <w:t xml:space="preserve"> demande de sursis administratif. </w:t>
      </w:r>
    </w:p>
    <w:p w:rsidR="00FD11F7" w:rsidRPr="00BF5805" w:rsidRDefault="00FD11F7" w:rsidP="00FD11F7">
      <w:pPr>
        <w:pStyle w:val="SingleTxtG"/>
        <w:rPr>
          <w:lang w:val="fr-FR"/>
        </w:rPr>
      </w:pPr>
      <w:r w:rsidRPr="00BF5805">
        <w:rPr>
          <w:lang w:val="fr-FR"/>
        </w:rPr>
        <w:t>5.5</w:t>
      </w:r>
      <w:r w:rsidRPr="00BF5805">
        <w:rPr>
          <w:lang w:val="fr-FR"/>
        </w:rPr>
        <w:tab/>
        <w:t>Enfin, la requérante soutient que toute demande d</w:t>
      </w:r>
      <w:r w:rsidR="00C44708">
        <w:rPr>
          <w:lang w:val="fr-FR"/>
        </w:rPr>
        <w:t>’</w:t>
      </w:r>
      <w:r w:rsidRPr="00BF5805">
        <w:rPr>
          <w:lang w:val="fr-FR"/>
        </w:rPr>
        <w:t xml:space="preserve">autorisation </w:t>
      </w:r>
      <w:r>
        <w:rPr>
          <w:lang w:val="fr-FR"/>
        </w:rPr>
        <w:t>d</w:t>
      </w:r>
      <w:r w:rsidR="00C44708">
        <w:rPr>
          <w:lang w:val="fr-FR"/>
        </w:rPr>
        <w:t>’</w:t>
      </w:r>
      <w:r>
        <w:rPr>
          <w:lang w:val="fr-FR"/>
        </w:rPr>
        <w:t>interjeter appel</w:t>
      </w:r>
      <w:r w:rsidRPr="00BF5805">
        <w:rPr>
          <w:lang w:val="fr-FR"/>
        </w:rPr>
        <w:t xml:space="preserve"> et d</w:t>
      </w:r>
      <w:r w:rsidR="00C44708">
        <w:rPr>
          <w:lang w:val="fr-FR"/>
        </w:rPr>
        <w:t>’</w:t>
      </w:r>
      <w:r>
        <w:rPr>
          <w:lang w:val="fr-FR"/>
        </w:rPr>
        <w:t>introduire une requête en</w:t>
      </w:r>
      <w:r w:rsidRPr="00BF5805">
        <w:rPr>
          <w:lang w:val="fr-FR"/>
        </w:rPr>
        <w:t xml:space="preserve"> contrôle </w:t>
      </w:r>
      <w:r>
        <w:rPr>
          <w:lang w:val="fr-FR"/>
        </w:rPr>
        <w:t>judiciaire</w:t>
      </w:r>
      <w:r w:rsidRPr="00BF5805">
        <w:rPr>
          <w:lang w:val="fr-FR"/>
        </w:rPr>
        <w:t xml:space="preserve"> déposée auprès de la Cour fédérale du Canada contre une décision en matière d</w:t>
      </w:r>
      <w:r w:rsidR="00C44708">
        <w:rPr>
          <w:lang w:val="fr-FR"/>
        </w:rPr>
        <w:t>’</w:t>
      </w:r>
      <w:r w:rsidRPr="00BF5805">
        <w:rPr>
          <w:lang w:val="fr-FR"/>
        </w:rPr>
        <w:t>immigration rendue par le pouvoir exécutif relève du droit administratif. Lorsqu</w:t>
      </w:r>
      <w:r>
        <w:rPr>
          <w:lang w:val="fr-FR"/>
        </w:rPr>
        <w:t>e la Cour fédérale est saisie d</w:t>
      </w:r>
      <w:r w:rsidR="00C44708">
        <w:rPr>
          <w:lang w:val="fr-FR"/>
        </w:rPr>
        <w:t>’</w:t>
      </w:r>
      <w:r>
        <w:rPr>
          <w:lang w:val="fr-FR"/>
        </w:rPr>
        <w:t>une demande</w:t>
      </w:r>
      <w:r w:rsidRPr="00BF5805">
        <w:rPr>
          <w:lang w:val="fr-FR"/>
        </w:rPr>
        <w:t xml:space="preserve"> d</w:t>
      </w:r>
      <w:r w:rsidR="00C44708">
        <w:rPr>
          <w:lang w:val="fr-FR"/>
        </w:rPr>
        <w:t>’</w:t>
      </w:r>
      <w:r>
        <w:rPr>
          <w:lang w:val="fr-FR"/>
        </w:rPr>
        <w:t>autoriser un contrôle d</w:t>
      </w:r>
      <w:r w:rsidRPr="00BF5805">
        <w:rPr>
          <w:lang w:val="fr-FR"/>
        </w:rPr>
        <w:t xml:space="preserve">es faits et </w:t>
      </w:r>
      <w:r>
        <w:rPr>
          <w:lang w:val="fr-FR"/>
        </w:rPr>
        <w:t>d</w:t>
      </w:r>
      <w:r w:rsidRPr="00BF5805">
        <w:rPr>
          <w:lang w:val="fr-FR"/>
        </w:rPr>
        <w:t>es circonstances spécifiques sur lesquels un fonctionnaire s</w:t>
      </w:r>
      <w:r w:rsidR="00C44708">
        <w:rPr>
          <w:lang w:val="fr-FR"/>
        </w:rPr>
        <w:t>’</w:t>
      </w:r>
      <w:r w:rsidRPr="00BF5805">
        <w:rPr>
          <w:lang w:val="fr-FR"/>
        </w:rPr>
        <w:t xml:space="preserve">est fondé pour prendre sa décision, </w:t>
      </w:r>
      <w:r>
        <w:rPr>
          <w:lang w:val="fr-FR"/>
        </w:rPr>
        <w:t xml:space="preserve">elle ne peut, conformément à </w:t>
      </w:r>
      <w:r w:rsidRPr="00BF5805">
        <w:rPr>
          <w:lang w:val="fr-FR"/>
        </w:rPr>
        <w:t xml:space="preserve">la </w:t>
      </w:r>
      <w:r>
        <w:rPr>
          <w:lang w:val="fr-FR"/>
        </w:rPr>
        <w:t>législation canadienne, examiner la demande d</w:t>
      </w:r>
      <w:r w:rsidR="00C44708">
        <w:rPr>
          <w:lang w:val="fr-FR"/>
        </w:rPr>
        <w:t>’</w:t>
      </w:r>
      <w:r>
        <w:rPr>
          <w:lang w:val="fr-FR"/>
        </w:rPr>
        <w:t>autorisation d</w:t>
      </w:r>
      <w:r w:rsidR="00C44708">
        <w:rPr>
          <w:lang w:val="fr-FR"/>
        </w:rPr>
        <w:t>’</w:t>
      </w:r>
      <w:r>
        <w:rPr>
          <w:lang w:val="fr-FR"/>
        </w:rPr>
        <w:t>interjeter appel</w:t>
      </w:r>
      <w:r w:rsidRPr="00BF5805">
        <w:rPr>
          <w:lang w:val="fr-FR"/>
        </w:rPr>
        <w:t xml:space="preserve"> qu</w:t>
      </w:r>
      <w:r w:rsidR="00C44708">
        <w:rPr>
          <w:lang w:val="fr-FR"/>
        </w:rPr>
        <w:t>’</w:t>
      </w:r>
      <w:r>
        <w:rPr>
          <w:lang w:val="fr-FR"/>
        </w:rPr>
        <w:t>en appliquant la norme</w:t>
      </w:r>
      <w:r w:rsidRPr="00BF5805">
        <w:rPr>
          <w:lang w:val="fr-FR"/>
        </w:rPr>
        <w:t xml:space="preserve"> </w:t>
      </w:r>
      <w:r>
        <w:rPr>
          <w:lang w:val="fr-FR"/>
        </w:rPr>
        <w:t>de la décision</w:t>
      </w:r>
      <w:r w:rsidRPr="00BF5805">
        <w:rPr>
          <w:lang w:val="fr-FR"/>
        </w:rPr>
        <w:t xml:space="preserve"> raisonnable. La requérante soutient que le critère du caractère raisonnable sur lequel est fondé le contrôle ne constitue pas un recours suffisant, car elle se voit refuser la possibilité d</w:t>
      </w:r>
      <w:r w:rsidR="00C44708">
        <w:rPr>
          <w:lang w:val="fr-FR"/>
        </w:rPr>
        <w:t>’</w:t>
      </w:r>
      <w:r w:rsidRPr="00BF5805">
        <w:rPr>
          <w:lang w:val="fr-FR"/>
        </w:rPr>
        <w:t xml:space="preserve">obtenir un contrôle </w:t>
      </w:r>
      <w:r>
        <w:rPr>
          <w:lang w:val="fr-FR"/>
        </w:rPr>
        <w:t>judiciaire</w:t>
      </w:r>
      <w:r w:rsidRPr="00BF5805">
        <w:rPr>
          <w:lang w:val="fr-FR"/>
        </w:rPr>
        <w:t xml:space="preserve"> sur le fond de sa situation avant d</w:t>
      </w:r>
      <w:r w:rsidR="00C44708">
        <w:rPr>
          <w:lang w:val="fr-FR"/>
        </w:rPr>
        <w:t>’</w:t>
      </w:r>
      <w:r w:rsidRPr="00BF5805">
        <w:rPr>
          <w:lang w:val="fr-FR"/>
        </w:rPr>
        <w:t>être expulsée du Canada. Elle réaffirme donc qu</w:t>
      </w:r>
      <w:r w:rsidR="00C44708">
        <w:rPr>
          <w:lang w:val="fr-FR"/>
        </w:rPr>
        <w:t>’</w:t>
      </w:r>
      <w:r w:rsidRPr="00BF5805">
        <w:rPr>
          <w:lang w:val="fr-FR"/>
        </w:rPr>
        <w:t>elle a épuisé tous les recours internes disponibles et demande au Comité de déclarer sa communication recevable.</w:t>
      </w:r>
    </w:p>
    <w:p w:rsidR="00FD11F7" w:rsidRPr="00BF5805" w:rsidRDefault="00FD11F7" w:rsidP="00FD11F7">
      <w:pPr>
        <w:pStyle w:val="H23G"/>
        <w:rPr>
          <w:lang w:val="fr-FR"/>
        </w:rPr>
      </w:pPr>
      <w:r w:rsidRPr="00BF5805">
        <w:rPr>
          <w:lang w:val="fr-FR"/>
        </w:rPr>
        <w:tab/>
      </w:r>
      <w:r w:rsidRPr="00BF5805">
        <w:rPr>
          <w:lang w:val="fr-FR"/>
        </w:rPr>
        <w:tab/>
        <w:t>Délibérations du Comité</w:t>
      </w:r>
    </w:p>
    <w:p w:rsidR="00FD11F7" w:rsidRPr="00BF5805" w:rsidRDefault="00FD11F7" w:rsidP="00FD11F7">
      <w:pPr>
        <w:pStyle w:val="H4G"/>
        <w:rPr>
          <w:lang w:val="fr-FR"/>
        </w:rPr>
      </w:pPr>
      <w:r w:rsidRPr="00BF5805">
        <w:rPr>
          <w:lang w:val="fr-FR"/>
        </w:rPr>
        <w:tab/>
      </w:r>
      <w:r w:rsidRPr="00BF5805">
        <w:rPr>
          <w:lang w:val="fr-FR"/>
        </w:rPr>
        <w:tab/>
        <w:t>Examen de la recevabilité</w:t>
      </w:r>
    </w:p>
    <w:p w:rsidR="00FD11F7" w:rsidRPr="00BF5805" w:rsidRDefault="00FD11F7" w:rsidP="00FD11F7">
      <w:pPr>
        <w:pStyle w:val="SingleTxtG"/>
        <w:rPr>
          <w:lang w:val="fr-FR"/>
        </w:rPr>
      </w:pPr>
      <w:r w:rsidRPr="00BF5805">
        <w:rPr>
          <w:lang w:val="fr-FR"/>
        </w:rPr>
        <w:t>6.1</w:t>
      </w:r>
      <w:r w:rsidRPr="00BF5805">
        <w:rPr>
          <w:lang w:val="fr-FR"/>
        </w:rPr>
        <w:tab/>
        <w:t>Avant d</w:t>
      </w:r>
      <w:r w:rsidR="00C44708">
        <w:rPr>
          <w:lang w:val="fr-FR"/>
        </w:rPr>
        <w:t>’</w:t>
      </w:r>
      <w:r w:rsidRPr="00BF5805">
        <w:rPr>
          <w:lang w:val="fr-FR"/>
        </w:rPr>
        <w:t>examiner une plainte soumise dans une requête, le Comité doit déterminer si la requête est recevable en vertu de l</w:t>
      </w:r>
      <w:r w:rsidR="00C44708">
        <w:rPr>
          <w:lang w:val="fr-FR"/>
        </w:rPr>
        <w:t>’</w:t>
      </w:r>
      <w:r w:rsidRPr="00BF5805">
        <w:rPr>
          <w:lang w:val="fr-FR"/>
        </w:rPr>
        <w:t>article 22 de la Convention. Le Comité s</w:t>
      </w:r>
      <w:r w:rsidR="00C44708">
        <w:rPr>
          <w:lang w:val="fr-FR"/>
        </w:rPr>
        <w:t>’</w:t>
      </w:r>
      <w:r w:rsidRPr="00BF5805">
        <w:rPr>
          <w:lang w:val="fr-FR"/>
        </w:rPr>
        <w:t>est assuré, comme il est tenu de le faire conformément au paragraphe 5 a) de l</w:t>
      </w:r>
      <w:r w:rsidR="00C44708">
        <w:rPr>
          <w:lang w:val="fr-FR"/>
        </w:rPr>
        <w:t>’</w:t>
      </w:r>
      <w:r w:rsidRPr="00BF5805">
        <w:rPr>
          <w:lang w:val="fr-FR"/>
        </w:rPr>
        <w:t xml:space="preserve">article 22 de la </w:t>
      </w:r>
      <w:r w:rsidRPr="00BF5805">
        <w:rPr>
          <w:lang w:val="fr-FR"/>
        </w:rPr>
        <w:lastRenderedPageBreak/>
        <w:t>Convention, que la même question n</w:t>
      </w:r>
      <w:r w:rsidR="00C44708">
        <w:rPr>
          <w:lang w:val="fr-FR"/>
        </w:rPr>
        <w:t>’</w:t>
      </w:r>
      <w:r w:rsidRPr="00BF5805">
        <w:rPr>
          <w:lang w:val="fr-FR"/>
        </w:rPr>
        <w:t>a pas été et n</w:t>
      </w:r>
      <w:r w:rsidR="00C44708">
        <w:rPr>
          <w:lang w:val="fr-FR"/>
        </w:rPr>
        <w:t>’</w:t>
      </w:r>
      <w:r w:rsidRPr="00BF5805">
        <w:rPr>
          <w:lang w:val="fr-FR"/>
        </w:rPr>
        <w:t>est pas actuellement examinée par une autre instance internationale d</w:t>
      </w:r>
      <w:r w:rsidR="00C44708">
        <w:rPr>
          <w:lang w:val="fr-FR"/>
        </w:rPr>
        <w:t>’</w:t>
      </w:r>
      <w:r w:rsidRPr="00BF5805">
        <w:rPr>
          <w:lang w:val="fr-FR"/>
        </w:rPr>
        <w:t>enquête ou de règlement.</w:t>
      </w:r>
    </w:p>
    <w:p w:rsidR="00FD11F7" w:rsidRPr="00BF5805" w:rsidRDefault="00FD11F7" w:rsidP="00FD11F7">
      <w:pPr>
        <w:pStyle w:val="SingleTxtG"/>
        <w:rPr>
          <w:lang w:val="fr-FR"/>
        </w:rPr>
      </w:pPr>
      <w:r w:rsidRPr="00BF5805">
        <w:rPr>
          <w:lang w:val="fr-FR"/>
        </w:rPr>
        <w:t>6.2</w:t>
      </w:r>
      <w:r w:rsidRPr="00BF5805">
        <w:rPr>
          <w:lang w:val="fr-FR"/>
        </w:rPr>
        <w:tab/>
        <w:t>Le Comité rappelle que, conformément au paragraphe 5 b) de l</w:t>
      </w:r>
      <w:r w:rsidR="00C44708">
        <w:rPr>
          <w:lang w:val="fr-FR"/>
        </w:rPr>
        <w:t>’</w:t>
      </w:r>
      <w:r w:rsidRPr="00BF5805">
        <w:rPr>
          <w:lang w:val="fr-FR"/>
        </w:rPr>
        <w:t>article 22 de la Convention, il n</w:t>
      </w:r>
      <w:r w:rsidR="00C44708">
        <w:rPr>
          <w:lang w:val="fr-FR"/>
        </w:rPr>
        <w:t>’</w:t>
      </w:r>
      <w:r w:rsidRPr="00BF5805">
        <w:rPr>
          <w:lang w:val="fr-FR"/>
        </w:rPr>
        <w:t>examine aucune requête émanant d</w:t>
      </w:r>
      <w:r w:rsidR="00C44708">
        <w:rPr>
          <w:lang w:val="fr-FR"/>
        </w:rPr>
        <w:t>’</w:t>
      </w:r>
      <w:r w:rsidRPr="00BF5805">
        <w:rPr>
          <w:lang w:val="fr-FR"/>
        </w:rPr>
        <w:t>un particulier sans s</w:t>
      </w:r>
      <w:r w:rsidR="00C44708">
        <w:rPr>
          <w:lang w:val="fr-FR"/>
        </w:rPr>
        <w:t>’</w:t>
      </w:r>
      <w:r w:rsidRPr="00BF5805">
        <w:rPr>
          <w:lang w:val="fr-FR"/>
        </w:rPr>
        <w:t>être assuré que celui-ci a épuisé tous les recours internes disponibles. Cette règle ne s</w:t>
      </w:r>
      <w:r w:rsidR="00C44708">
        <w:rPr>
          <w:lang w:val="fr-FR"/>
        </w:rPr>
        <w:t>’</w:t>
      </w:r>
      <w:r w:rsidRPr="00BF5805">
        <w:rPr>
          <w:lang w:val="fr-FR"/>
        </w:rPr>
        <w:t>applique pas s</w:t>
      </w:r>
      <w:r w:rsidR="00C44708">
        <w:rPr>
          <w:lang w:val="fr-FR"/>
        </w:rPr>
        <w:t>’</w:t>
      </w:r>
      <w:r w:rsidRPr="00BF5805">
        <w:rPr>
          <w:lang w:val="fr-FR"/>
        </w:rPr>
        <w:t>il a été établi que les procédures de recours ont excédé des délais raisonnables ou qu</w:t>
      </w:r>
      <w:r w:rsidR="00C44708">
        <w:rPr>
          <w:lang w:val="fr-FR"/>
        </w:rPr>
        <w:t>’</w:t>
      </w:r>
      <w:r w:rsidRPr="00BF5805">
        <w:rPr>
          <w:lang w:val="fr-FR"/>
        </w:rPr>
        <w:t>il est peu probable que le requérant obtienne réparation par ce moyen</w:t>
      </w:r>
      <w:r w:rsidRPr="007C3C6B">
        <w:rPr>
          <w:rStyle w:val="Appelnotedebasdep"/>
        </w:rPr>
        <w:footnoteReference w:id="22"/>
      </w:r>
      <w:r w:rsidRPr="00BF5805">
        <w:rPr>
          <w:lang w:val="fr-FR"/>
        </w:rPr>
        <w:t xml:space="preserve">. </w:t>
      </w:r>
    </w:p>
    <w:p w:rsidR="00FD11F7" w:rsidRPr="00BF5805" w:rsidRDefault="00FD11F7" w:rsidP="00FD11F7">
      <w:pPr>
        <w:pStyle w:val="SingleTxtG"/>
        <w:rPr>
          <w:lang w:val="fr-FR"/>
        </w:rPr>
      </w:pPr>
      <w:r w:rsidRPr="00BF5805">
        <w:rPr>
          <w:lang w:val="fr-FR"/>
        </w:rPr>
        <w:t>6.3</w:t>
      </w:r>
      <w:r w:rsidRPr="00BF5805">
        <w:rPr>
          <w:lang w:val="fr-FR"/>
        </w:rPr>
        <w:tab/>
        <w:t>Le Comité prend note du fait que la requérante a en</w:t>
      </w:r>
      <w:r>
        <w:rPr>
          <w:lang w:val="fr-FR"/>
        </w:rPr>
        <w:t>gagé</w:t>
      </w:r>
      <w:r w:rsidRPr="00BF5805">
        <w:rPr>
          <w:lang w:val="fr-FR"/>
        </w:rPr>
        <w:t xml:space="preserve"> à deux reprises la procédure d</w:t>
      </w:r>
      <w:r w:rsidR="00C44708">
        <w:rPr>
          <w:lang w:val="fr-FR"/>
        </w:rPr>
        <w:t>’</w:t>
      </w:r>
      <w:r w:rsidRPr="00BF5805">
        <w:rPr>
          <w:lang w:val="fr-FR"/>
        </w:rPr>
        <w:t xml:space="preserve">examen des risques avant renvoi et a contesté les </w:t>
      </w:r>
      <w:r>
        <w:rPr>
          <w:lang w:val="fr-FR"/>
        </w:rPr>
        <w:t xml:space="preserve">décisions négatives </w:t>
      </w:r>
      <w:r w:rsidRPr="00D84D78">
        <w:rPr>
          <w:lang w:val="fr-FR"/>
        </w:rPr>
        <w:t>rendues à l</w:t>
      </w:r>
      <w:r w:rsidR="00C44708">
        <w:rPr>
          <w:lang w:val="fr-FR"/>
        </w:rPr>
        <w:t>’</w:t>
      </w:r>
      <w:r w:rsidRPr="00D84D78">
        <w:rPr>
          <w:lang w:val="fr-FR"/>
        </w:rPr>
        <w:t>issue de chacun de ces examens en saisissant la Cour fédérale d</w:t>
      </w:r>
      <w:r w:rsidR="00C44708">
        <w:rPr>
          <w:lang w:val="fr-FR"/>
        </w:rPr>
        <w:t>’</w:t>
      </w:r>
      <w:r w:rsidRPr="00D84D78">
        <w:rPr>
          <w:lang w:val="fr-FR"/>
        </w:rPr>
        <w:t xml:space="preserve">une </w:t>
      </w:r>
      <w:r>
        <w:rPr>
          <w:lang w:val="fr-FR"/>
        </w:rPr>
        <w:t xml:space="preserve">requête en </w:t>
      </w:r>
      <w:r w:rsidRPr="00D84D78">
        <w:rPr>
          <w:lang w:val="fr-FR"/>
        </w:rPr>
        <w:t>contrôle judiciaire.</w:t>
      </w:r>
      <w:r w:rsidRPr="00BF5805">
        <w:rPr>
          <w:lang w:val="fr-FR"/>
        </w:rPr>
        <w:t xml:space="preserve"> Il prend également note de l</w:t>
      </w:r>
      <w:r w:rsidR="00C44708">
        <w:rPr>
          <w:lang w:val="fr-FR"/>
        </w:rPr>
        <w:t>’</w:t>
      </w:r>
      <w:r w:rsidRPr="00BF5805">
        <w:rPr>
          <w:lang w:val="fr-FR"/>
        </w:rPr>
        <w:t>argument de l</w:t>
      </w:r>
      <w:r w:rsidR="00C44708">
        <w:rPr>
          <w:lang w:val="fr-FR"/>
        </w:rPr>
        <w:t>’</w:t>
      </w:r>
      <w:r w:rsidRPr="00BF5805">
        <w:rPr>
          <w:lang w:val="fr-FR"/>
        </w:rPr>
        <w:t>État partie selon lequel la requête devrait être déclarée irrecevable au regard du paragraphe 5 b) de l</w:t>
      </w:r>
      <w:r w:rsidR="00C44708">
        <w:rPr>
          <w:lang w:val="fr-FR"/>
        </w:rPr>
        <w:t>’</w:t>
      </w:r>
      <w:r w:rsidRPr="00BF5805">
        <w:rPr>
          <w:lang w:val="fr-FR"/>
        </w:rPr>
        <w:t>article 22 de la Convention au motif que la requérante n</w:t>
      </w:r>
      <w:r w:rsidR="00C44708">
        <w:rPr>
          <w:lang w:val="fr-FR"/>
        </w:rPr>
        <w:t>’</w:t>
      </w:r>
      <w:r w:rsidRPr="00BF5805">
        <w:rPr>
          <w:lang w:val="fr-FR"/>
        </w:rPr>
        <w:t>a pas épuisé tous les recours internes disponibles puisqu</w:t>
      </w:r>
      <w:r w:rsidR="00C44708">
        <w:rPr>
          <w:lang w:val="fr-FR"/>
        </w:rPr>
        <w:t>’</w:t>
      </w:r>
      <w:r w:rsidRPr="00BF5805">
        <w:rPr>
          <w:lang w:val="fr-FR"/>
        </w:rPr>
        <w:t>elle n</w:t>
      </w:r>
      <w:r w:rsidR="00C44708">
        <w:rPr>
          <w:lang w:val="fr-FR"/>
        </w:rPr>
        <w:t>’</w:t>
      </w:r>
      <w:r w:rsidRPr="00BF5805">
        <w:rPr>
          <w:lang w:val="fr-FR"/>
        </w:rPr>
        <w:t>a pas déposé de demande d</w:t>
      </w:r>
      <w:r w:rsidR="00C44708">
        <w:rPr>
          <w:lang w:val="fr-FR"/>
        </w:rPr>
        <w:t>’</w:t>
      </w:r>
      <w:r w:rsidRPr="00BF5805">
        <w:rPr>
          <w:lang w:val="fr-FR"/>
        </w:rPr>
        <w:t>asile ou de protection auprès de la Section de la protection des réfugiés, ni présenté de demande de résidence permanente fondée sur des considérations d</w:t>
      </w:r>
      <w:r w:rsidR="00C44708">
        <w:rPr>
          <w:lang w:val="fr-FR"/>
        </w:rPr>
        <w:t>’</w:t>
      </w:r>
      <w:r w:rsidRPr="00BF5805">
        <w:rPr>
          <w:lang w:val="fr-FR"/>
        </w:rPr>
        <w:t>ordre humanitaire, ni sollicité de sursis administratif au renvoi auprès de l</w:t>
      </w:r>
      <w:r w:rsidR="00C44708">
        <w:rPr>
          <w:lang w:val="fr-FR"/>
        </w:rPr>
        <w:t>’</w:t>
      </w:r>
      <w:r w:rsidRPr="00BF5805">
        <w:rPr>
          <w:lang w:val="fr-FR"/>
        </w:rPr>
        <w:t>Agence des services frontaliers du Canada. Le Comité relève en outre que l</w:t>
      </w:r>
      <w:r w:rsidR="00C44708">
        <w:rPr>
          <w:lang w:val="fr-FR"/>
        </w:rPr>
        <w:t>’</w:t>
      </w:r>
      <w:r w:rsidRPr="00BF5805">
        <w:rPr>
          <w:lang w:val="fr-FR"/>
        </w:rPr>
        <w:t>État partie a affirmé que la requérante aurait même pu saisir la Cour fédérale d</w:t>
      </w:r>
      <w:r w:rsidR="00C44708">
        <w:rPr>
          <w:lang w:val="fr-FR"/>
        </w:rPr>
        <w:t>’</w:t>
      </w:r>
      <w:r w:rsidRPr="00BF5805">
        <w:rPr>
          <w:lang w:val="fr-FR"/>
        </w:rPr>
        <w:t xml:space="preserve">une demande </w:t>
      </w:r>
      <w:r w:rsidR="007C3C6B">
        <w:rPr>
          <w:lang w:val="fr-FR"/>
        </w:rPr>
        <w:t xml:space="preserve">de </w:t>
      </w:r>
      <w:r>
        <w:rPr>
          <w:lang w:val="fr-FR"/>
        </w:rPr>
        <w:t>requête en</w:t>
      </w:r>
      <w:r w:rsidRPr="00BF5805">
        <w:rPr>
          <w:lang w:val="fr-FR"/>
        </w:rPr>
        <w:t xml:space="preserve"> contrôle </w:t>
      </w:r>
      <w:r>
        <w:rPr>
          <w:lang w:val="fr-FR"/>
        </w:rPr>
        <w:t>judiciaire</w:t>
      </w:r>
      <w:r w:rsidRPr="00BF5805">
        <w:rPr>
          <w:lang w:val="fr-FR"/>
        </w:rPr>
        <w:t xml:space="preserve"> de la décision émanant de la Section de la protection des réfugiés ou de la décision concernant la demande fondée sur des considérations d</w:t>
      </w:r>
      <w:r w:rsidR="00C44708">
        <w:rPr>
          <w:lang w:val="fr-FR"/>
        </w:rPr>
        <w:t>’</w:t>
      </w:r>
      <w:r w:rsidRPr="00BF5805">
        <w:rPr>
          <w:lang w:val="fr-FR"/>
        </w:rPr>
        <w:t>ordre humanitaire.</w:t>
      </w:r>
    </w:p>
    <w:p w:rsidR="00FD11F7" w:rsidRPr="00BF5805" w:rsidRDefault="00FD11F7" w:rsidP="00FD11F7">
      <w:pPr>
        <w:pStyle w:val="SingleTxtG"/>
        <w:keepNext/>
        <w:keepLines/>
        <w:rPr>
          <w:lang w:val="fr-FR"/>
        </w:rPr>
      </w:pPr>
      <w:r w:rsidRPr="00BF5805">
        <w:rPr>
          <w:lang w:val="fr-FR"/>
        </w:rPr>
        <w:t>6.4</w:t>
      </w:r>
      <w:r w:rsidRPr="00BF5805">
        <w:rPr>
          <w:lang w:val="fr-FR"/>
        </w:rPr>
        <w:tab/>
        <w:t>Le Comité rappelle sa jurisprudence selon laquelle la procédure permettant de demander la résidence pour des considérations d</w:t>
      </w:r>
      <w:r w:rsidR="00C44708">
        <w:rPr>
          <w:lang w:val="fr-FR"/>
        </w:rPr>
        <w:t>’</w:t>
      </w:r>
      <w:r w:rsidRPr="00BF5805">
        <w:rPr>
          <w:lang w:val="fr-FR"/>
        </w:rPr>
        <w:t>ordre humanitaire n</w:t>
      </w:r>
      <w:r w:rsidR="00C44708">
        <w:rPr>
          <w:lang w:val="fr-FR"/>
        </w:rPr>
        <w:t>’</w:t>
      </w:r>
      <w:r w:rsidRPr="00BF5805">
        <w:rPr>
          <w:lang w:val="fr-FR"/>
        </w:rPr>
        <w:t>est pas un recours utile aux fins de la détermination de la recevabilité au titre du paragraphe 5 b) de l</w:t>
      </w:r>
      <w:r w:rsidR="00C44708">
        <w:rPr>
          <w:lang w:val="fr-FR"/>
        </w:rPr>
        <w:t>’</w:t>
      </w:r>
      <w:r w:rsidRPr="00BF5805">
        <w:rPr>
          <w:lang w:val="fr-FR"/>
        </w:rPr>
        <w:t>article 22 de la Convention, en ce qu</w:t>
      </w:r>
      <w:r w:rsidR="00C44708">
        <w:rPr>
          <w:lang w:val="fr-FR"/>
        </w:rPr>
        <w:t>’</w:t>
      </w:r>
      <w:r w:rsidRPr="00BF5805">
        <w:rPr>
          <w:lang w:val="fr-FR"/>
        </w:rPr>
        <w:t>elle est discrétionnaire et non judiciaire et n</w:t>
      </w:r>
      <w:r w:rsidR="00C44708">
        <w:rPr>
          <w:lang w:val="fr-FR"/>
        </w:rPr>
        <w:t>’</w:t>
      </w:r>
      <w:r w:rsidRPr="00BF5805">
        <w:rPr>
          <w:lang w:val="fr-FR"/>
        </w:rPr>
        <w:t>emporte pas sursis du renvoi du requérant</w:t>
      </w:r>
      <w:r w:rsidRPr="007C3C6B">
        <w:rPr>
          <w:rStyle w:val="Appelnotedebasdep"/>
        </w:rPr>
        <w:footnoteReference w:id="23"/>
      </w:r>
      <w:r w:rsidRPr="00BF5805">
        <w:rPr>
          <w:lang w:val="fr-FR"/>
        </w:rPr>
        <w:t>. En conséquence, le Comité considère qu</w:t>
      </w:r>
      <w:r w:rsidR="00C44708">
        <w:rPr>
          <w:lang w:val="fr-FR"/>
        </w:rPr>
        <w:t>’</w:t>
      </w:r>
      <w:r w:rsidRPr="00BF5805">
        <w:rPr>
          <w:lang w:val="fr-FR"/>
        </w:rPr>
        <w:t>il n</w:t>
      </w:r>
      <w:r w:rsidR="00C44708">
        <w:rPr>
          <w:lang w:val="fr-FR"/>
        </w:rPr>
        <w:t>’</w:t>
      </w:r>
      <w:r w:rsidRPr="00BF5805">
        <w:rPr>
          <w:lang w:val="fr-FR"/>
        </w:rPr>
        <w:t>est pas nécessaire, aux fins de la recevabilité, que la requérante épuise la procédure de demande de résidence permanente fondée sur des considérations d</w:t>
      </w:r>
      <w:r w:rsidR="00C44708">
        <w:rPr>
          <w:lang w:val="fr-FR"/>
        </w:rPr>
        <w:t>’</w:t>
      </w:r>
      <w:r w:rsidRPr="00BF5805">
        <w:rPr>
          <w:lang w:val="fr-FR"/>
        </w:rPr>
        <w:t>ordre humanitaire</w:t>
      </w:r>
      <w:r w:rsidRPr="007C3C6B">
        <w:rPr>
          <w:rStyle w:val="Appelnotedebasdep"/>
        </w:rPr>
        <w:footnoteReference w:id="24"/>
      </w:r>
      <w:r w:rsidRPr="00BF5805">
        <w:rPr>
          <w:lang w:val="fr-FR"/>
        </w:rPr>
        <w:t xml:space="preserve">. </w:t>
      </w:r>
    </w:p>
    <w:p w:rsidR="00FD11F7" w:rsidRPr="00BF5805" w:rsidRDefault="00FD11F7" w:rsidP="00FD11F7">
      <w:pPr>
        <w:pStyle w:val="SingleTxtG"/>
        <w:rPr>
          <w:lang w:val="fr-FR"/>
        </w:rPr>
      </w:pPr>
      <w:r w:rsidRPr="00BF5805">
        <w:rPr>
          <w:lang w:val="fr-FR"/>
        </w:rPr>
        <w:t>6.5</w:t>
      </w:r>
      <w:r w:rsidRPr="00BF5805">
        <w:rPr>
          <w:lang w:val="fr-FR"/>
        </w:rPr>
        <w:tab/>
        <w:t>En ce qui concerne le fait que la requérante n</w:t>
      </w:r>
      <w:r w:rsidR="00C44708">
        <w:rPr>
          <w:lang w:val="fr-FR"/>
        </w:rPr>
        <w:t>’</w:t>
      </w:r>
      <w:r w:rsidRPr="00BF5805">
        <w:rPr>
          <w:lang w:val="fr-FR"/>
        </w:rPr>
        <w:t>a pas présenté de demande d</w:t>
      </w:r>
      <w:r w:rsidR="00C44708">
        <w:rPr>
          <w:lang w:val="fr-FR"/>
        </w:rPr>
        <w:t>’</w:t>
      </w:r>
      <w:r w:rsidRPr="00BF5805">
        <w:rPr>
          <w:lang w:val="fr-FR"/>
        </w:rPr>
        <w:t>asile ou de protection, le Comité prend note de l</w:t>
      </w:r>
      <w:r w:rsidR="00C44708">
        <w:rPr>
          <w:lang w:val="fr-FR"/>
        </w:rPr>
        <w:t>’</w:t>
      </w:r>
      <w:r w:rsidRPr="00BF5805">
        <w:rPr>
          <w:lang w:val="fr-FR"/>
        </w:rPr>
        <w:t>argument de l</w:t>
      </w:r>
      <w:r w:rsidR="00C44708">
        <w:rPr>
          <w:lang w:val="fr-FR"/>
        </w:rPr>
        <w:t>’</w:t>
      </w:r>
      <w:r w:rsidRPr="00BF5805">
        <w:rPr>
          <w:lang w:val="fr-FR"/>
        </w:rPr>
        <w:t>État partie qui explique que la Section de la protection des réfugiés examine les demandes déposées par des ressortissants étrangers souhaitant obtenir la protection du Canada parce qu</w:t>
      </w:r>
      <w:r w:rsidR="00C44708">
        <w:rPr>
          <w:lang w:val="fr-FR"/>
        </w:rPr>
        <w:t>’</w:t>
      </w:r>
      <w:r w:rsidRPr="00BF5805">
        <w:rPr>
          <w:lang w:val="fr-FR"/>
        </w:rPr>
        <w:t>ils craignent d</w:t>
      </w:r>
      <w:r w:rsidR="00C44708">
        <w:rPr>
          <w:lang w:val="fr-FR"/>
        </w:rPr>
        <w:t>’</w:t>
      </w:r>
      <w:r w:rsidRPr="00BF5805">
        <w:rPr>
          <w:lang w:val="fr-FR"/>
        </w:rPr>
        <w:t>être victimes de persécutions, d</w:t>
      </w:r>
      <w:r w:rsidR="00C44708">
        <w:rPr>
          <w:lang w:val="fr-FR"/>
        </w:rPr>
        <w:t>’</w:t>
      </w:r>
      <w:r w:rsidRPr="00BF5805">
        <w:rPr>
          <w:lang w:val="fr-FR"/>
        </w:rPr>
        <w:t>actes de torture ou d</w:t>
      </w:r>
      <w:r w:rsidR="00C44708">
        <w:rPr>
          <w:lang w:val="fr-FR"/>
        </w:rPr>
        <w:t>’</w:t>
      </w:r>
      <w:r w:rsidRPr="00BF5805">
        <w:rPr>
          <w:lang w:val="fr-FR"/>
        </w:rPr>
        <w:t>autres violations graves de leurs droits de l</w:t>
      </w:r>
      <w:r w:rsidR="00C44708">
        <w:rPr>
          <w:lang w:val="fr-FR"/>
        </w:rPr>
        <w:t>’</w:t>
      </w:r>
      <w:r w:rsidRPr="00BF5805">
        <w:rPr>
          <w:lang w:val="fr-FR"/>
        </w:rPr>
        <w:t>homme s</w:t>
      </w:r>
      <w:r w:rsidR="00C44708">
        <w:rPr>
          <w:lang w:val="fr-FR"/>
        </w:rPr>
        <w:t>’</w:t>
      </w:r>
      <w:r w:rsidRPr="00BF5805">
        <w:rPr>
          <w:lang w:val="fr-FR"/>
        </w:rPr>
        <w:t>ils sont renvoyés dans leur pays d</w:t>
      </w:r>
      <w:r w:rsidR="00C44708">
        <w:rPr>
          <w:lang w:val="fr-FR"/>
        </w:rPr>
        <w:t>’</w:t>
      </w:r>
      <w:r w:rsidRPr="00BF5805">
        <w:rPr>
          <w:lang w:val="fr-FR"/>
        </w:rPr>
        <w:t>origine</w:t>
      </w:r>
      <w:r>
        <w:rPr>
          <w:lang w:val="fr-FR"/>
        </w:rPr>
        <w:t>,</w:t>
      </w:r>
      <w:r w:rsidRPr="00BF5805">
        <w:rPr>
          <w:lang w:val="fr-FR"/>
        </w:rPr>
        <w:t xml:space="preserve"> et qu</w:t>
      </w:r>
      <w:r w:rsidR="00C44708">
        <w:rPr>
          <w:lang w:val="fr-FR"/>
        </w:rPr>
        <w:t>’</w:t>
      </w:r>
      <w:r w:rsidRPr="00BF5805">
        <w:rPr>
          <w:lang w:val="fr-FR"/>
        </w:rPr>
        <w:t>elle détermine si le demandeur est une « personne à protéger ».</w:t>
      </w:r>
      <w:r w:rsidR="00E9321A">
        <w:rPr>
          <w:lang w:val="fr-FR"/>
        </w:rPr>
        <w:t xml:space="preserve"> </w:t>
      </w:r>
      <w:r>
        <w:t>Le Comité prend également note de l</w:t>
      </w:r>
      <w:r w:rsidR="00C44708">
        <w:t>’</w:t>
      </w:r>
      <w:r>
        <w:t>observation de l</w:t>
      </w:r>
      <w:r w:rsidR="00C44708">
        <w:t>’</w:t>
      </w:r>
      <w:r>
        <w:t>État partie selon laquelle la requérante pouvait solliciter une protection auprès de la Section mais ne l</w:t>
      </w:r>
      <w:r w:rsidR="00C44708">
        <w:t>’</w:t>
      </w:r>
      <w:r>
        <w:t>a pas fait, et elle n</w:t>
      </w:r>
      <w:r w:rsidR="00C44708">
        <w:t>’</w:t>
      </w:r>
      <w:r>
        <w:t>était plus en droit de demander cette protection une fois qu</w:t>
      </w:r>
      <w:r w:rsidR="00C44708">
        <w:t>’</w:t>
      </w:r>
      <w:r>
        <w:t>une mesure de renvoi avait été prononcée à son encontre. Le Comité prend note en outre de l</w:t>
      </w:r>
      <w:r w:rsidR="00C44708">
        <w:t>’</w:t>
      </w:r>
      <w:r>
        <w:t xml:space="preserve">affirmation de </w:t>
      </w:r>
      <w:r w:rsidRPr="00BF5805">
        <w:rPr>
          <w:lang w:val="fr-FR"/>
        </w:rPr>
        <w:t>la requérante</w:t>
      </w:r>
      <w:r>
        <w:rPr>
          <w:lang w:val="fr-FR"/>
        </w:rPr>
        <w:t xml:space="preserve"> selon laquelle </w:t>
      </w:r>
      <w:r w:rsidRPr="00BF5805">
        <w:rPr>
          <w:lang w:val="fr-FR"/>
        </w:rPr>
        <w:t xml:space="preserve">elle </w:t>
      </w:r>
      <w:r>
        <w:rPr>
          <w:lang w:val="fr-FR"/>
        </w:rPr>
        <w:t xml:space="preserve">avait </w:t>
      </w:r>
      <w:r w:rsidRPr="00BF5805">
        <w:rPr>
          <w:lang w:val="fr-FR"/>
        </w:rPr>
        <w:t>envisag</w:t>
      </w:r>
      <w:r>
        <w:rPr>
          <w:lang w:val="fr-FR"/>
        </w:rPr>
        <w:t>é</w:t>
      </w:r>
      <w:r w:rsidRPr="00BF5805">
        <w:rPr>
          <w:lang w:val="fr-FR"/>
        </w:rPr>
        <w:t xml:space="preserve"> d</w:t>
      </w:r>
      <w:r w:rsidR="00C44708">
        <w:rPr>
          <w:lang w:val="fr-FR"/>
        </w:rPr>
        <w:t>’</w:t>
      </w:r>
      <w:r w:rsidRPr="00BF5805">
        <w:rPr>
          <w:lang w:val="fr-FR"/>
        </w:rPr>
        <w:t>exercer ce recours</w:t>
      </w:r>
      <w:r>
        <w:rPr>
          <w:lang w:val="fr-FR"/>
        </w:rPr>
        <w:t>, mais elle avait peur d</w:t>
      </w:r>
      <w:r w:rsidR="00C44708">
        <w:rPr>
          <w:lang w:val="fr-FR"/>
        </w:rPr>
        <w:t>’</w:t>
      </w:r>
      <w:r>
        <w:rPr>
          <w:lang w:val="fr-FR"/>
        </w:rPr>
        <w:t>être repérée par les autorités canadiennes et, de manière générale, elle ne connaissait pas les recours disponibles. À cet égard, le Comité prend note de l</w:t>
      </w:r>
      <w:r w:rsidR="00C44708">
        <w:rPr>
          <w:lang w:val="fr-FR"/>
        </w:rPr>
        <w:t>’</w:t>
      </w:r>
      <w:r>
        <w:rPr>
          <w:lang w:val="fr-FR"/>
        </w:rPr>
        <w:t>argument de la requérante selon lequel en une occasion</w:t>
      </w:r>
      <w:r w:rsidRPr="00BF5805">
        <w:rPr>
          <w:lang w:val="fr-FR"/>
        </w:rPr>
        <w:t>, elle a dit à un agent d</w:t>
      </w:r>
      <w:r>
        <w:rPr>
          <w:lang w:val="fr-FR"/>
        </w:rPr>
        <w:t>e l</w:t>
      </w:r>
      <w:r w:rsidR="00C44708">
        <w:rPr>
          <w:lang w:val="fr-FR"/>
        </w:rPr>
        <w:t>’</w:t>
      </w:r>
      <w:r w:rsidRPr="00BF5805">
        <w:rPr>
          <w:lang w:val="fr-FR"/>
        </w:rPr>
        <w:t>immigration canadien qu</w:t>
      </w:r>
      <w:r w:rsidR="00C44708">
        <w:rPr>
          <w:lang w:val="fr-FR"/>
        </w:rPr>
        <w:t>’</w:t>
      </w:r>
      <w:r w:rsidRPr="00BF5805">
        <w:rPr>
          <w:lang w:val="fr-FR"/>
        </w:rPr>
        <w:t>elle souhaitait présenter une demande d</w:t>
      </w:r>
      <w:r w:rsidR="00C44708">
        <w:rPr>
          <w:lang w:val="fr-FR"/>
        </w:rPr>
        <w:t>’</w:t>
      </w:r>
      <w:r w:rsidRPr="00BF5805">
        <w:rPr>
          <w:lang w:val="fr-FR"/>
        </w:rPr>
        <w:t>asile, mais celui-ci lui a répondu qu</w:t>
      </w:r>
      <w:r w:rsidR="00C44708">
        <w:rPr>
          <w:lang w:val="fr-FR"/>
        </w:rPr>
        <w:t>’</w:t>
      </w:r>
      <w:r w:rsidRPr="00BF5805">
        <w:rPr>
          <w:lang w:val="fr-FR"/>
        </w:rPr>
        <w:t xml:space="preserve">elle ne remplissait pas les critères requis pour </w:t>
      </w:r>
      <w:r>
        <w:rPr>
          <w:lang w:val="fr-FR"/>
        </w:rPr>
        <w:t>faire une telle demande</w:t>
      </w:r>
      <w:r w:rsidRPr="00BF5805">
        <w:rPr>
          <w:lang w:val="fr-FR"/>
        </w:rPr>
        <w:t xml:space="preserve">. </w:t>
      </w:r>
    </w:p>
    <w:p w:rsidR="00FD11F7" w:rsidRPr="00BF5805" w:rsidRDefault="00FD11F7" w:rsidP="00FD11F7">
      <w:pPr>
        <w:pStyle w:val="SingleTxtG"/>
        <w:rPr>
          <w:lang w:val="fr-FR"/>
        </w:rPr>
      </w:pPr>
      <w:r w:rsidRPr="00BF5805">
        <w:rPr>
          <w:lang w:val="fr-FR"/>
        </w:rPr>
        <w:t>6.6</w:t>
      </w:r>
      <w:r w:rsidRPr="00BF5805">
        <w:rPr>
          <w:lang w:val="fr-FR"/>
        </w:rPr>
        <w:tab/>
        <w:t>En ce qui concerne le fait que la requérante n</w:t>
      </w:r>
      <w:r w:rsidR="00C44708">
        <w:rPr>
          <w:lang w:val="fr-FR"/>
        </w:rPr>
        <w:t>’</w:t>
      </w:r>
      <w:r w:rsidRPr="00BF5805">
        <w:rPr>
          <w:lang w:val="fr-FR"/>
        </w:rPr>
        <w:t xml:space="preserve">a pas demandé </w:t>
      </w:r>
      <w:r>
        <w:rPr>
          <w:lang w:val="fr-FR"/>
        </w:rPr>
        <w:t>d</w:t>
      </w:r>
      <w:r w:rsidRPr="00BF5805">
        <w:rPr>
          <w:lang w:val="fr-FR"/>
        </w:rPr>
        <w:t xml:space="preserve">e sursis administratif </w:t>
      </w:r>
      <w:r>
        <w:rPr>
          <w:lang w:val="fr-FR"/>
        </w:rPr>
        <w:t>à</w:t>
      </w:r>
      <w:r w:rsidRPr="00BF5805">
        <w:rPr>
          <w:lang w:val="fr-FR"/>
        </w:rPr>
        <w:t xml:space="preserve"> son renvoi, le Comité prend note de l</w:t>
      </w:r>
      <w:r w:rsidR="00C44708">
        <w:rPr>
          <w:lang w:val="fr-FR"/>
        </w:rPr>
        <w:t>’</w:t>
      </w:r>
      <w:r w:rsidRPr="00BF5805">
        <w:rPr>
          <w:lang w:val="fr-FR"/>
        </w:rPr>
        <w:t>argument de l</w:t>
      </w:r>
      <w:r w:rsidR="00C44708">
        <w:rPr>
          <w:lang w:val="fr-FR"/>
        </w:rPr>
        <w:t>’</w:t>
      </w:r>
      <w:r w:rsidRPr="00BF5805">
        <w:rPr>
          <w:lang w:val="fr-FR"/>
        </w:rPr>
        <w:t>État partie selon lequel les personnes qui affirment pouvoir démontrer qu</w:t>
      </w:r>
      <w:r w:rsidR="00C44708">
        <w:rPr>
          <w:lang w:val="fr-FR"/>
        </w:rPr>
        <w:t>’</w:t>
      </w:r>
      <w:r w:rsidRPr="00BF5805">
        <w:rPr>
          <w:lang w:val="fr-FR"/>
        </w:rPr>
        <w:t>elles cour</w:t>
      </w:r>
      <w:r>
        <w:rPr>
          <w:lang w:val="fr-FR"/>
        </w:rPr>
        <w:t>rai</w:t>
      </w:r>
      <w:r w:rsidRPr="00BF5805">
        <w:rPr>
          <w:lang w:val="fr-FR"/>
        </w:rPr>
        <w:t xml:space="preserve">ent </w:t>
      </w:r>
      <w:r>
        <w:rPr>
          <w:lang w:val="fr-FR"/>
        </w:rPr>
        <w:t xml:space="preserve">personnellement </w:t>
      </w:r>
      <w:r w:rsidRPr="00BF5805">
        <w:rPr>
          <w:lang w:val="fr-FR"/>
        </w:rPr>
        <w:t>un risque au moyen de nouvelles preuves peuvent demander à l</w:t>
      </w:r>
      <w:r w:rsidR="00C44708">
        <w:rPr>
          <w:lang w:val="fr-FR"/>
        </w:rPr>
        <w:t>’</w:t>
      </w:r>
      <w:r w:rsidRPr="00BF5805">
        <w:rPr>
          <w:lang w:val="fr-FR"/>
        </w:rPr>
        <w:t>Agence des services frontaliers du Canada de surseoir à leur renvoi. Le Comité note que la requérante a présenté de nouveaux éléments de preuve dans le cadre de l</w:t>
      </w:r>
      <w:r w:rsidR="00C44708">
        <w:rPr>
          <w:lang w:val="fr-FR"/>
        </w:rPr>
        <w:t>’</w:t>
      </w:r>
      <w:r w:rsidRPr="00BF5805">
        <w:rPr>
          <w:lang w:val="fr-FR"/>
        </w:rPr>
        <w:t xml:space="preserve">examen des risques avant renvoi et du contrôle </w:t>
      </w:r>
      <w:r>
        <w:rPr>
          <w:lang w:val="fr-FR"/>
        </w:rPr>
        <w:t>judiciaire</w:t>
      </w:r>
      <w:r w:rsidRPr="00BF5805">
        <w:rPr>
          <w:lang w:val="fr-FR"/>
        </w:rPr>
        <w:t>, mais qu</w:t>
      </w:r>
      <w:r w:rsidR="00C44708">
        <w:rPr>
          <w:lang w:val="fr-FR"/>
        </w:rPr>
        <w:t>’</w:t>
      </w:r>
      <w:r w:rsidRPr="00BF5805">
        <w:rPr>
          <w:lang w:val="fr-FR"/>
        </w:rPr>
        <w:t>elle n</w:t>
      </w:r>
      <w:r w:rsidR="00C44708">
        <w:rPr>
          <w:lang w:val="fr-FR"/>
        </w:rPr>
        <w:t>’</w:t>
      </w:r>
      <w:r w:rsidRPr="00BF5805">
        <w:rPr>
          <w:lang w:val="fr-FR"/>
        </w:rPr>
        <w:t xml:space="preserve">a pas demandé le sursis administratif </w:t>
      </w:r>
      <w:r>
        <w:rPr>
          <w:lang w:val="fr-FR"/>
        </w:rPr>
        <w:t>à</w:t>
      </w:r>
      <w:r w:rsidRPr="00BF5805">
        <w:rPr>
          <w:lang w:val="fr-FR"/>
        </w:rPr>
        <w:t xml:space="preserve"> son renvoi. Il prend note </w:t>
      </w:r>
      <w:r>
        <w:rPr>
          <w:lang w:val="fr-FR"/>
        </w:rPr>
        <w:t xml:space="preserve">en outre </w:t>
      </w:r>
      <w:r w:rsidRPr="00BF5805">
        <w:rPr>
          <w:lang w:val="fr-FR"/>
        </w:rPr>
        <w:t xml:space="preserve">de </w:t>
      </w:r>
      <w:r w:rsidRPr="00BF5805">
        <w:rPr>
          <w:lang w:val="fr-FR"/>
        </w:rPr>
        <w:lastRenderedPageBreak/>
        <w:t>l</w:t>
      </w:r>
      <w:r w:rsidR="00C44708">
        <w:rPr>
          <w:lang w:val="fr-FR"/>
        </w:rPr>
        <w:t>’</w:t>
      </w:r>
      <w:r w:rsidRPr="00BF5805">
        <w:rPr>
          <w:lang w:val="fr-FR"/>
        </w:rPr>
        <w:t>observation de la requérante selon laquelle elle ne connaissait aucune de ces procédures. À cet égard, il considère qu</w:t>
      </w:r>
      <w:r w:rsidR="00C44708">
        <w:rPr>
          <w:lang w:val="fr-FR"/>
        </w:rPr>
        <w:t>’</w:t>
      </w:r>
      <w:r w:rsidRPr="00BF5805">
        <w:rPr>
          <w:lang w:val="fr-FR"/>
        </w:rPr>
        <w:t>à l</w:t>
      </w:r>
      <w:r w:rsidR="00C44708">
        <w:rPr>
          <w:lang w:val="fr-FR"/>
        </w:rPr>
        <w:t>’</w:t>
      </w:r>
      <w:r w:rsidRPr="00BF5805">
        <w:rPr>
          <w:lang w:val="fr-FR"/>
        </w:rPr>
        <w:t>exception du fait qu</w:t>
      </w:r>
      <w:r w:rsidR="00C44708">
        <w:rPr>
          <w:lang w:val="fr-FR"/>
        </w:rPr>
        <w:t>’</w:t>
      </w:r>
      <w:r w:rsidRPr="00BF5805">
        <w:rPr>
          <w:lang w:val="fr-FR"/>
        </w:rPr>
        <w:t>elle ne connaissait apparemment pas toutes les procédures disponibles pour épuiser les recours internes, la requérante n</w:t>
      </w:r>
      <w:r w:rsidR="00C44708">
        <w:rPr>
          <w:lang w:val="fr-FR"/>
        </w:rPr>
        <w:t>’</w:t>
      </w:r>
      <w:r w:rsidRPr="00BF5805">
        <w:rPr>
          <w:lang w:val="fr-FR"/>
        </w:rPr>
        <w:t>a fourni aucune information sur les efforts qu</w:t>
      </w:r>
      <w:r w:rsidR="00C44708">
        <w:rPr>
          <w:lang w:val="fr-FR"/>
        </w:rPr>
        <w:t>’</w:t>
      </w:r>
      <w:r w:rsidRPr="00BF5805">
        <w:rPr>
          <w:lang w:val="fr-FR"/>
        </w:rPr>
        <w:t>elle aurait déployés pour réussir à obtenir une aide ju</w:t>
      </w:r>
      <w:r>
        <w:rPr>
          <w:lang w:val="fr-FR"/>
        </w:rPr>
        <w:t>diciaire</w:t>
      </w:r>
      <w:r w:rsidRPr="00BF5805">
        <w:rPr>
          <w:lang w:val="fr-FR"/>
        </w:rPr>
        <w:t xml:space="preserve"> aux fins d</w:t>
      </w:r>
      <w:r w:rsidR="00C44708">
        <w:rPr>
          <w:lang w:val="fr-FR"/>
        </w:rPr>
        <w:t>’</w:t>
      </w:r>
      <w:r w:rsidRPr="00BF5805">
        <w:rPr>
          <w:lang w:val="fr-FR"/>
        </w:rPr>
        <w:t>engager de telles procédures</w:t>
      </w:r>
      <w:r w:rsidRPr="00BF5805">
        <w:rPr>
          <w:vertAlign w:val="superscript"/>
        </w:rPr>
        <w:footnoteReference w:id="25"/>
      </w:r>
      <w:r w:rsidRPr="00BF5805">
        <w:rPr>
          <w:lang w:val="fr-FR"/>
        </w:rPr>
        <w:t>, pas plus qu</w:t>
      </w:r>
      <w:r w:rsidR="00C44708">
        <w:rPr>
          <w:lang w:val="fr-FR"/>
        </w:rPr>
        <w:t>’</w:t>
      </w:r>
      <w:r w:rsidRPr="00BF5805">
        <w:rPr>
          <w:lang w:val="fr-FR"/>
        </w:rPr>
        <w:t>elle n</w:t>
      </w:r>
      <w:r w:rsidR="00C44708">
        <w:rPr>
          <w:lang w:val="fr-FR"/>
        </w:rPr>
        <w:t>’</w:t>
      </w:r>
      <w:r w:rsidRPr="00BF5805">
        <w:rPr>
          <w:lang w:val="fr-FR"/>
        </w:rPr>
        <w:t>a démontré que la demande d</w:t>
      </w:r>
      <w:r w:rsidR="00C44708">
        <w:rPr>
          <w:lang w:val="fr-FR"/>
        </w:rPr>
        <w:t>’</w:t>
      </w:r>
      <w:r w:rsidRPr="00BF5805">
        <w:rPr>
          <w:lang w:val="fr-FR"/>
        </w:rPr>
        <w:t>asile et la demande de sursis administratif au renvoi n</w:t>
      </w:r>
      <w:r w:rsidR="00C44708">
        <w:rPr>
          <w:lang w:val="fr-FR"/>
        </w:rPr>
        <w:t>’</w:t>
      </w:r>
      <w:r w:rsidRPr="00BF5805">
        <w:rPr>
          <w:lang w:val="fr-FR"/>
        </w:rPr>
        <w:t xml:space="preserve">étaient pas des recours disponibles ou </w:t>
      </w:r>
      <w:r>
        <w:rPr>
          <w:lang w:val="fr-FR"/>
        </w:rPr>
        <w:t>utile</w:t>
      </w:r>
      <w:r w:rsidRPr="00BF5805">
        <w:rPr>
          <w:lang w:val="fr-FR"/>
        </w:rPr>
        <w:t>s</w:t>
      </w:r>
      <w:r w:rsidRPr="00BF5805">
        <w:rPr>
          <w:vertAlign w:val="superscript"/>
        </w:rPr>
        <w:footnoteReference w:id="26"/>
      </w:r>
      <w:r w:rsidRPr="00BF5805">
        <w:rPr>
          <w:lang w:val="fr-FR"/>
        </w:rPr>
        <w:t>.</w:t>
      </w:r>
    </w:p>
    <w:p w:rsidR="00FD11F7" w:rsidRPr="00BF5805" w:rsidRDefault="00FD11F7" w:rsidP="00FD11F7">
      <w:pPr>
        <w:pStyle w:val="SingleTxtG"/>
        <w:rPr>
          <w:lang w:val="fr-FR"/>
        </w:rPr>
      </w:pPr>
      <w:r w:rsidRPr="00BF5805">
        <w:rPr>
          <w:lang w:val="fr-FR"/>
        </w:rPr>
        <w:t>6.7</w:t>
      </w:r>
      <w:r w:rsidR="00DF6AB4">
        <w:rPr>
          <w:lang w:val="fr-FR"/>
        </w:rPr>
        <w:tab/>
      </w:r>
      <w:r>
        <w:rPr>
          <w:lang w:val="fr-FR"/>
        </w:rPr>
        <w:t>L</w:t>
      </w:r>
      <w:r w:rsidRPr="00BF5805">
        <w:rPr>
          <w:lang w:val="fr-FR"/>
        </w:rPr>
        <w:t>e Comité prend note de l</w:t>
      </w:r>
      <w:r w:rsidR="00C44708">
        <w:rPr>
          <w:lang w:val="fr-FR"/>
        </w:rPr>
        <w:t>’</w:t>
      </w:r>
      <w:r w:rsidRPr="00BF5805">
        <w:rPr>
          <w:lang w:val="fr-FR"/>
        </w:rPr>
        <w:t>argument de l</w:t>
      </w:r>
      <w:r w:rsidR="00C44708">
        <w:rPr>
          <w:lang w:val="fr-FR"/>
        </w:rPr>
        <w:t>’</w:t>
      </w:r>
      <w:r w:rsidRPr="00BF5805">
        <w:rPr>
          <w:lang w:val="fr-FR"/>
        </w:rPr>
        <w:t>État partie selon lequel la requérante aurait également pu déposer une</w:t>
      </w:r>
      <w:r>
        <w:rPr>
          <w:lang w:val="fr-FR"/>
        </w:rPr>
        <w:t xml:space="preserve"> requête en</w:t>
      </w:r>
      <w:r w:rsidRPr="00BF5805">
        <w:rPr>
          <w:lang w:val="fr-FR"/>
        </w:rPr>
        <w:t xml:space="preserve"> contrôle </w:t>
      </w:r>
      <w:r>
        <w:rPr>
          <w:lang w:val="fr-FR"/>
        </w:rPr>
        <w:t>judiciaire</w:t>
      </w:r>
      <w:r w:rsidRPr="00BF5805">
        <w:rPr>
          <w:lang w:val="fr-FR"/>
        </w:rPr>
        <w:t xml:space="preserve"> de la décision de refus d</w:t>
      </w:r>
      <w:r w:rsidR="00C44708">
        <w:rPr>
          <w:lang w:val="fr-FR"/>
        </w:rPr>
        <w:t>’</w:t>
      </w:r>
      <w:r w:rsidRPr="00BF5805">
        <w:rPr>
          <w:lang w:val="fr-FR"/>
        </w:rPr>
        <w:t xml:space="preserve">asile ou de protection </w:t>
      </w:r>
      <w:r>
        <w:rPr>
          <w:lang w:val="fr-FR"/>
        </w:rPr>
        <w:t xml:space="preserve">rendue par la </w:t>
      </w:r>
      <w:r w:rsidRPr="00BF5805">
        <w:rPr>
          <w:lang w:val="fr-FR"/>
        </w:rPr>
        <w:t>Section de la protection des réfugiés</w:t>
      </w:r>
      <w:r>
        <w:rPr>
          <w:lang w:val="fr-FR"/>
        </w:rPr>
        <w:t>,</w:t>
      </w:r>
      <w:r w:rsidRPr="00BF5805">
        <w:rPr>
          <w:lang w:val="fr-FR"/>
        </w:rPr>
        <w:t xml:space="preserve"> ou une demande de sursis administratif </w:t>
      </w:r>
      <w:r>
        <w:rPr>
          <w:lang w:val="fr-FR"/>
        </w:rPr>
        <w:t>au</w:t>
      </w:r>
      <w:r w:rsidRPr="00BF5805">
        <w:rPr>
          <w:lang w:val="fr-FR"/>
        </w:rPr>
        <w:t xml:space="preserve"> renvoi</w:t>
      </w:r>
      <w:r>
        <w:rPr>
          <w:lang w:val="fr-FR"/>
        </w:rPr>
        <w:t xml:space="preserve"> ordonné par l</w:t>
      </w:r>
      <w:r w:rsidR="00C44708">
        <w:rPr>
          <w:lang w:val="fr-FR"/>
        </w:rPr>
        <w:t>’</w:t>
      </w:r>
      <w:r w:rsidRPr="00BF5805">
        <w:rPr>
          <w:lang w:val="fr-FR"/>
        </w:rPr>
        <w:t>Agence des services frontaliers du Canada, et aurait même pu déposer une requête en sursis au renvoi en attendant l</w:t>
      </w:r>
      <w:r w:rsidR="00C44708">
        <w:rPr>
          <w:lang w:val="fr-FR"/>
        </w:rPr>
        <w:t>’</w:t>
      </w:r>
      <w:r w:rsidRPr="00BF5805">
        <w:rPr>
          <w:lang w:val="fr-FR"/>
        </w:rPr>
        <w:t xml:space="preserve">issue de la </w:t>
      </w:r>
      <w:r>
        <w:rPr>
          <w:lang w:val="fr-FR"/>
        </w:rPr>
        <w:t>requête en contrôle</w:t>
      </w:r>
      <w:r w:rsidRPr="00BF5805">
        <w:rPr>
          <w:lang w:val="fr-FR"/>
        </w:rPr>
        <w:t xml:space="preserve"> </w:t>
      </w:r>
      <w:r>
        <w:rPr>
          <w:lang w:val="fr-FR"/>
        </w:rPr>
        <w:t>judiciaire</w:t>
      </w:r>
      <w:r w:rsidRPr="00BF5805">
        <w:rPr>
          <w:lang w:val="fr-FR"/>
        </w:rPr>
        <w:t xml:space="preserve">. Le Comité rappelle sa jurisprudence, dont il ressort que le contrôle </w:t>
      </w:r>
      <w:r>
        <w:rPr>
          <w:lang w:val="fr-FR"/>
        </w:rPr>
        <w:t>judiciaire</w:t>
      </w:r>
      <w:r w:rsidRPr="00BF5805">
        <w:rPr>
          <w:lang w:val="fr-FR"/>
        </w:rPr>
        <w:t xml:space="preserve"> dans l</w:t>
      </w:r>
      <w:r w:rsidR="00C44708">
        <w:rPr>
          <w:lang w:val="fr-FR"/>
        </w:rPr>
        <w:t>’</w:t>
      </w:r>
      <w:r w:rsidRPr="00BF5805">
        <w:rPr>
          <w:lang w:val="fr-FR"/>
        </w:rPr>
        <w:t>État partie n</w:t>
      </w:r>
      <w:r w:rsidR="00C44708">
        <w:rPr>
          <w:lang w:val="fr-FR"/>
        </w:rPr>
        <w:t>’</w:t>
      </w:r>
      <w:r w:rsidRPr="00BF5805">
        <w:rPr>
          <w:lang w:val="fr-FR"/>
        </w:rPr>
        <w:t>est pas qu</w:t>
      </w:r>
      <w:r w:rsidR="00C44708">
        <w:rPr>
          <w:lang w:val="fr-FR"/>
        </w:rPr>
        <w:t>’</w:t>
      </w:r>
      <w:r w:rsidRPr="00BF5805">
        <w:rPr>
          <w:lang w:val="fr-FR"/>
        </w:rPr>
        <w:t>une simple formalité et que la Cour fédérale peut procéder à un examen au fond si cela se justifie</w:t>
      </w:r>
      <w:r w:rsidRPr="00EC5E80">
        <w:rPr>
          <w:rStyle w:val="Appelnotedebasdep"/>
        </w:rPr>
        <w:footnoteReference w:id="27"/>
      </w:r>
      <w:r w:rsidRPr="00BF5805">
        <w:rPr>
          <w:lang w:val="fr-FR"/>
        </w:rPr>
        <w:t>. Tout en notant l</w:t>
      </w:r>
      <w:r w:rsidR="00C44708">
        <w:rPr>
          <w:lang w:val="fr-FR"/>
        </w:rPr>
        <w:t>’</w:t>
      </w:r>
      <w:r w:rsidRPr="00BF5805">
        <w:rPr>
          <w:lang w:val="fr-FR"/>
        </w:rPr>
        <w:t xml:space="preserve">argument de la requérante selon lequel le contrôle </w:t>
      </w:r>
      <w:r>
        <w:rPr>
          <w:lang w:val="fr-FR"/>
        </w:rPr>
        <w:t>judiciaire</w:t>
      </w:r>
      <w:r w:rsidRPr="00BF5805">
        <w:rPr>
          <w:lang w:val="fr-FR"/>
        </w:rPr>
        <w:t xml:space="preserve"> </w:t>
      </w:r>
      <w:r>
        <w:rPr>
          <w:lang w:val="fr-FR"/>
        </w:rPr>
        <w:t>devant</w:t>
      </w:r>
      <w:r w:rsidRPr="00BF5805">
        <w:rPr>
          <w:lang w:val="fr-FR"/>
        </w:rPr>
        <w:t xml:space="preserve"> la Cour fédérale n</w:t>
      </w:r>
      <w:r w:rsidR="00C44708">
        <w:rPr>
          <w:lang w:val="fr-FR"/>
        </w:rPr>
        <w:t>’</w:t>
      </w:r>
      <w:r w:rsidRPr="00BF5805">
        <w:rPr>
          <w:lang w:val="fr-FR"/>
        </w:rPr>
        <w:t>est pas un recours utile car dans la majorité des cas, il ne permet ni de suspendre ni de retarder l</w:t>
      </w:r>
      <w:r w:rsidR="00C44708">
        <w:rPr>
          <w:lang w:val="fr-FR"/>
        </w:rPr>
        <w:t>’</w:t>
      </w:r>
      <w:r w:rsidRPr="00BF5805">
        <w:rPr>
          <w:lang w:val="fr-FR"/>
        </w:rPr>
        <w:t>expulsion, le Comité considère que la requérante n</w:t>
      </w:r>
      <w:r w:rsidR="00C44708">
        <w:rPr>
          <w:lang w:val="fr-FR"/>
        </w:rPr>
        <w:t>’</w:t>
      </w:r>
      <w:r w:rsidRPr="00BF5805">
        <w:rPr>
          <w:lang w:val="fr-FR"/>
        </w:rPr>
        <w:t>a pas produit suffisamment d</w:t>
      </w:r>
      <w:r w:rsidR="00C44708">
        <w:rPr>
          <w:lang w:val="fr-FR"/>
        </w:rPr>
        <w:t>’</w:t>
      </w:r>
      <w:r w:rsidRPr="00BF5805">
        <w:rPr>
          <w:lang w:val="fr-FR"/>
        </w:rPr>
        <w:t xml:space="preserve">éléments de nature à démontrer que le contrôle </w:t>
      </w:r>
      <w:r>
        <w:rPr>
          <w:lang w:val="fr-FR"/>
        </w:rPr>
        <w:t>judiciaire</w:t>
      </w:r>
      <w:r w:rsidRPr="00BF5805">
        <w:rPr>
          <w:lang w:val="fr-FR"/>
        </w:rPr>
        <w:t xml:space="preserve"> de la décision de refus d</w:t>
      </w:r>
      <w:r w:rsidR="00C44708">
        <w:rPr>
          <w:lang w:val="fr-FR"/>
        </w:rPr>
        <w:t>’</w:t>
      </w:r>
      <w:r w:rsidRPr="00BF5805">
        <w:rPr>
          <w:lang w:val="fr-FR"/>
        </w:rPr>
        <w:t>asile ou de protection ainsi qu</w:t>
      </w:r>
      <w:r w:rsidR="00C44708">
        <w:rPr>
          <w:lang w:val="fr-FR"/>
        </w:rPr>
        <w:t>’</w:t>
      </w:r>
      <w:r w:rsidRPr="00BF5805">
        <w:rPr>
          <w:lang w:val="fr-FR"/>
        </w:rPr>
        <w:t>une demande de sursis administratif à l</w:t>
      </w:r>
      <w:r w:rsidR="00C44708">
        <w:rPr>
          <w:lang w:val="fr-FR"/>
        </w:rPr>
        <w:t>’</w:t>
      </w:r>
      <w:r w:rsidRPr="00BF5805">
        <w:rPr>
          <w:lang w:val="fr-FR"/>
        </w:rPr>
        <w:t>expulsion n</w:t>
      </w:r>
      <w:r w:rsidR="00C44708">
        <w:rPr>
          <w:lang w:val="fr-FR"/>
        </w:rPr>
        <w:t>’</w:t>
      </w:r>
      <w:r w:rsidRPr="00BF5805">
        <w:rPr>
          <w:lang w:val="fr-FR"/>
        </w:rPr>
        <w:t>auraient eu aucune chance d</w:t>
      </w:r>
      <w:r w:rsidR="00C44708">
        <w:rPr>
          <w:lang w:val="fr-FR"/>
        </w:rPr>
        <w:t>’</w:t>
      </w:r>
      <w:r w:rsidRPr="00BF5805">
        <w:rPr>
          <w:lang w:val="fr-FR"/>
        </w:rPr>
        <w:t>aboutir en l</w:t>
      </w:r>
      <w:r w:rsidR="00C44708">
        <w:rPr>
          <w:lang w:val="fr-FR"/>
        </w:rPr>
        <w:t>’</w:t>
      </w:r>
      <w:r w:rsidRPr="00BF5805">
        <w:rPr>
          <w:lang w:val="fr-FR"/>
        </w:rPr>
        <w:t>espèce, et qu</w:t>
      </w:r>
      <w:r w:rsidR="00C44708">
        <w:rPr>
          <w:lang w:val="fr-FR"/>
        </w:rPr>
        <w:t>’</w:t>
      </w:r>
      <w:r w:rsidRPr="00BF5805">
        <w:rPr>
          <w:lang w:val="fr-FR"/>
        </w:rPr>
        <w:t>elle n</w:t>
      </w:r>
      <w:r w:rsidR="00C44708">
        <w:rPr>
          <w:lang w:val="fr-FR"/>
        </w:rPr>
        <w:t>’</w:t>
      </w:r>
      <w:r w:rsidRPr="00BF5805">
        <w:rPr>
          <w:lang w:val="fr-FR"/>
        </w:rPr>
        <w:t>a pas expliqué pourquoi elle ne s</w:t>
      </w:r>
      <w:r w:rsidR="00C44708">
        <w:rPr>
          <w:lang w:val="fr-FR"/>
        </w:rPr>
        <w:t>’</w:t>
      </w:r>
      <w:r w:rsidRPr="00BF5805">
        <w:rPr>
          <w:lang w:val="fr-FR"/>
        </w:rPr>
        <w:t>était pas prévalue de ces différentes possibilités.</w:t>
      </w:r>
    </w:p>
    <w:p w:rsidR="00FD11F7" w:rsidRPr="00BF5805" w:rsidRDefault="00FD11F7" w:rsidP="00FD11F7">
      <w:pPr>
        <w:pStyle w:val="SingleTxtG"/>
        <w:rPr>
          <w:lang w:val="fr-FR"/>
        </w:rPr>
      </w:pPr>
      <w:r w:rsidRPr="00BF5805">
        <w:rPr>
          <w:lang w:val="fr-FR"/>
        </w:rPr>
        <w:t>6.8</w:t>
      </w:r>
      <w:r w:rsidRPr="00BF5805">
        <w:rPr>
          <w:lang w:val="fr-FR"/>
        </w:rPr>
        <w:tab/>
        <w:t>Le Comité conclu</w:t>
      </w:r>
      <w:r>
        <w:rPr>
          <w:lang w:val="fr-FR"/>
        </w:rPr>
        <w:t>t</w:t>
      </w:r>
      <w:r w:rsidRPr="00BF5805">
        <w:rPr>
          <w:lang w:val="fr-FR"/>
        </w:rPr>
        <w:t xml:space="preserve"> que</w:t>
      </w:r>
      <w:r w:rsidR="00EC5E80">
        <w:rPr>
          <w:lang w:val="fr-FR"/>
        </w:rPr>
        <w:t> </w:t>
      </w:r>
      <w:r>
        <w:rPr>
          <w:lang w:val="fr-FR"/>
        </w:rPr>
        <w:t>: a)</w:t>
      </w:r>
      <w:r w:rsidRPr="00BF5805">
        <w:rPr>
          <w:lang w:val="fr-FR"/>
        </w:rPr>
        <w:t xml:space="preserve"> la requérante</w:t>
      </w:r>
      <w:r w:rsidR="00EC5E80">
        <w:rPr>
          <w:lang w:val="fr-FR"/>
        </w:rPr>
        <w:t xml:space="preserve"> </w:t>
      </w:r>
      <w:r>
        <w:rPr>
          <w:lang w:val="fr-FR"/>
        </w:rPr>
        <w:t>aurait pu</w:t>
      </w:r>
      <w:r w:rsidRPr="00BF5805">
        <w:rPr>
          <w:lang w:val="fr-FR"/>
        </w:rPr>
        <w:t xml:space="preserve"> dépos</w:t>
      </w:r>
      <w:r>
        <w:rPr>
          <w:lang w:val="fr-FR"/>
        </w:rPr>
        <w:t>er</w:t>
      </w:r>
      <w:r w:rsidRPr="00BF5805">
        <w:rPr>
          <w:lang w:val="fr-FR"/>
        </w:rPr>
        <w:t xml:space="preserve"> </w:t>
      </w:r>
      <w:r>
        <w:rPr>
          <w:lang w:val="fr-FR"/>
        </w:rPr>
        <w:t>une</w:t>
      </w:r>
      <w:r w:rsidRPr="00BF5805">
        <w:rPr>
          <w:lang w:val="fr-FR"/>
        </w:rPr>
        <w:t xml:space="preserve"> demande d</w:t>
      </w:r>
      <w:r>
        <w:rPr>
          <w:lang w:val="fr-FR"/>
        </w:rPr>
        <w:t>e statut</w:t>
      </w:r>
      <w:r w:rsidRPr="00BF5805">
        <w:rPr>
          <w:lang w:val="fr-FR"/>
        </w:rPr>
        <w:t xml:space="preserve"> </w:t>
      </w:r>
      <w:r>
        <w:rPr>
          <w:lang w:val="fr-FR"/>
        </w:rPr>
        <w:t>de réfugié au Canada, mais cette possibilité ne s</w:t>
      </w:r>
      <w:r w:rsidR="00C44708">
        <w:rPr>
          <w:lang w:val="fr-FR"/>
        </w:rPr>
        <w:t>’</w:t>
      </w:r>
      <w:r>
        <w:rPr>
          <w:lang w:val="fr-FR"/>
        </w:rPr>
        <w:t>offrait plus lorsqu</w:t>
      </w:r>
      <w:r w:rsidR="00C44708">
        <w:rPr>
          <w:lang w:val="fr-FR"/>
        </w:rPr>
        <w:t>’</w:t>
      </w:r>
      <w:r>
        <w:rPr>
          <w:lang w:val="fr-FR"/>
        </w:rPr>
        <w:t>elle a voulu faire une demande, et la requérante ne répondait pas aux conditions voulues pour obtenir une protection</w:t>
      </w:r>
      <w:r w:rsidRPr="00BF5805">
        <w:rPr>
          <w:lang w:val="fr-FR"/>
        </w:rPr>
        <w:t xml:space="preserve"> de la Section de la protection des réfugiés </w:t>
      </w:r>
      <w:r>
        <w:rPr>
          <w:lang w:val="fr-FR"/>
        </w:rPr>
        <w:t>puisqu</w:t>
      </w:r>
      <w:r w:rsidR="00C44708">
        <w:rPr>
          <w:lang w:val="fr-FR"/>
        </w:rPr>
        <w:t>’</w:t>
      </w:r>
      <w:r>
        <w:rPr>
          <w:lang w:val="fr-FR"/>
        </w:rPr>
        <w:t>une mesure de renvoi avait été prononcée à son encontre</w:t>
      </w:r>
      <w:r w:rsidR="00EC5E80">
        <w:rPr>
          <w:lang w:val="fr-FR"/>
        </w:rPr>
        <w:t> </w:t>
      </w:r>
      <w:r>
        <w:rPr>
          <w:lang w:val="fr-FR"/>
        </w:rPr>
        <w:t>; b) la requérante n</w:t>
      </w:r>
      <w:r w:rsidR="00C44708">
        <w:rPr>
          <w:lang w:val="fr-FR"/>
        </w:rPr>
        <w:t>’</w:t>
      </w:r>
      <w:r>
        <w:rPr>
          <w:lang w:val="fr-FR"/>
        </w:rPr>
        <w:t>a pas demandé</w:t>
      </w:r>
      <w:r w:rsidRPr="00BF5805">
        <w:rPr>
          <w:lang w:val="fr-FR"/>
        </w:rPr>
        <w:t xml:space="preserve"> de sursis administratif </w:t>
      </w:r>
      <w:r>
        <w:rPr>
          <w:lang w:val="fr-FR"/>
        </w:rPr>
        <w:t>à son renvoi</w:t>
      </w:r>
      <w:r w:rsidRPr="00BF5805">
        <w:rPr>
          <w:lang w:val="fr-FR"/>
        </w:rPr>
        <w:t xml:space="preserve"> ; </w:t>
      </w:r>
      <w:r>
        <w:rPr>
          <w:lang w:val="fr-FR"/>
        </w:rPr>
        <w:t>c</w:t>
      </w:r>
      <w:r w:rsidRPr="00BF5805">
        <w:rPr>
          <w:lang w:val="fr-FR"/>
        </w:rPr>
        <w:t xml:space="preserve">) </w:t>
      </w:r>
      <w:r>
        <w:rPr>
          <w:lang w:val="fr-FR"/>
        </w:rPr>
        <w:t xml:space="preserve">la requérante </w:t>
      </w:r>
      <w:r w:rsidRPr="00BF5805">
        <w:rPr>
          <w:lang w:val="fr-FR"/>
        </w:rPr>
        <w:t>n</w:t>
      </w:r>
      <w:r w:rsidR="00C44708">
        <w:rPr>
          <w:lang w:val="fr-FR"/>
        </w:rPr>
        <w:t>’</w:t>
      </w:r>
      <w:r w:rsidRPr="00BF5805">
        <w:rPr>
          <w:lang w:val="fr-FR"/>
        </w:rPr>
        <w:t>a pas présenté de demande d</w:t>
      </w:r>
      <w:r w:rsidR="00C44708">
        <w:rPr>
          <w:lang w:val="fr-FR"/>
        </w:rPr>
        <w:t>’</w:t>
      </w:r>
      <w:r w:rsidRPr="00BF5805">
        <w:rPr>
          <w:lang w:val="fr-FR"/>
        </w:rPr>
        <w:t>autorisation d</w:t>
      </w:r>
      <w:r w:rsidR="00C44708">
        <w:rPr>
          <w:lang w:val="fr-FR"/>
        </w:rPr>
        <w:t>’</w:t>
      </w:r>
      <w:r>
        <w:rPr>
          <w:lang w:val="fr-FR"/>
        </w:rPr>
        <w:t>introduire une requête en</w:t>
      </w:r>
      <w:r w:rsidRPr="00BF5805">
        <w:rPr>
          <w:lang w:val="fr-FR"/>
        </w:rPr>
        <w:t xml:space="preserve"> contrôle </w:t>
      </w:r>
      <w:r>
        <w:rPr>
          <w:lang w:val="fr-FR"/>
        </w:rPr>
        <w:t>judiciaire</w:t>
      </w:r>
      <w:r w:rsidRPr="00BF5805">
        <w:rPr>
          <w:lang w:val="fr-FR"/>
        </w:rPr>
        <w:t xml:space="preserve"> des décisions défavorables rendues</w:t>
      </w:r>
      <w:r w:rsidR="00EC5E80">
        <w:rPr>
          <w:lang w:val="fr-FR"/>
        </w:rPr>
        <w:t xml:space="preserve"> </w:t>
      </w:r>
      <w:r>
        <w:rPr>
          <w:lang w:val="fr-FR"/>
        </w:rPr>
        <w:t xml:space="preserve">et </w:t>
      </w:r>
      <w:r w:rsidRPr="00BF5805">
        <w:rPr>
          <w:lang w:val="fr-FR"/>
        </w:rPr>
        <w:t>n</w:t>
      </w:r>
      <w:r w:rsidR="00C44708">
        <w:rPr>
          <w:lang w:val="fr-FR"/>
        </w:rPr>
        <w:t>’</w:t>
      </w:r>
      <w:r w:rsidRPr="00BF5805">
        <w:rPr>
          <w:lang w:val="fr-FR"/>
        </w:rPr>
        <w:t>a pas sollicité de sursis à son renvoi jusqu</w:t>
      </w:r>
      <w:r w:rsidR="00C44708">
        <w:rPr>
          <w:lang w:val="fr-FR"/>
        </w:rPr>
        <w:t>’</w:t>
      </w:r>
      <w:r w:rsidRPr="00BF5805">
        <w:rPr>
          <w:lang w:val="fr-FR"/>
        </w:rPr>
        <w:t>à ce qu</w:t>
      </w:r>
      <w:r w:rsidR="00C44708">
        <w:rPr>
          <w:lang w:val="fr-FR"/>
        </w:rPr>
        <w:t>’</w:t>
      </w:r>
      <w:r>
        <w:rPr>
          <w:lang w:val="fr-FR"/>
        </w:rPr>
        <w:t>il soit procédé à un</w:t>
      </w:r>
      <w:r w:rsidRPr="00BF5805">
        <w:rPr>
          <w:lang w:val="fr-FR"/>
        </w:rPr>
        <w:t xml:space="preserve"> tel contrôle.</w:t>
      </w:r>
      <w:r>
        <w:rPr>
          <w:lang w:val="fr-FR"/>
        </w:rPr>
        <w:t xml:space="preserve"> </w:t>
      </w:r>
    </w:p>
    <w:p w:rsidR="00FD11F7" w:rsidRPr="00BF5805" w:rsidRDefault="00FD11F7" w:rsidP="00FD11F7">
      <w:pPr>
        <w:pStyle w:val="SingleTxtG"/>
        <w:rPr>
          <w:lang w:val="fr-FR"/>
        </w:rPr>
      </w:pPr>
      <w:r w:rsidRPr="00BF5805">
        <w:rPr>
          <w:lang w:val="fr-FR"/>
        </w:rPr>
        <w:t>6.9</w:t>
      </w:r>
      <w:r w:rsidRPr="00BF5805">
        <w:rPr>
          <w:lang w:val="fr-FR"/>
        </w:rPr>
        <w:tab/>
        <w:t>Par conséquent, le Comité estime, comme l</w:t>
      </w:r>
      <w:r w:rsidR="00C44708">
        <w:rPr>
          <w:lang w:val="fr-FR"/>
        </w:rPr>
        <w:t>’</w:t>
      </w:r>
      <w:r w:rsidRPr="00BF5805">
        <w:rPr>
          <w:lang w:val="fr-FR"/>
        </w:rPr>
        <w:t>État partie, qu</w:t>
      </w:r>
      <w:r w:rsidR="00C44708">
        <w:rPr>
          <w:lang w:val="fr-FR"/>
        </w:rPr>
        <w:t>’</w:t>
      </w:r>
      <w:r w:rsidRPr="00BF5805">
        <w:rPr>
          <w:lang w:val="fr-FR"/>
        </w:rPr>
        <w:t>en l</w:t>
      </w:r>
      <w:r w:rsidR="00C44708">
        <w:rPr>
          <w:lang w:val="fr-FR"/>
        </w:rPr>
        <w:t>’</w:t>
      </w:r>
      <w:r w:rsidRPr="00BF5805">
        <w:rPr>
          <w:lang w:val="fr-FR"/>
        </w:rPr>
        <w:t>espèce la requérante disposait de recours utiles qu</w:t>
      </w:r>
      <w:r w:rsidR="00C44708">
        <w:rPr>
          <w:lang w:val="fr-FR"/>
        </w:rPr>
        <w:t>’</w:t>
      </w:r>
      <w:r w:rsidRPr="00BF5805">
        <w:rPr>
          <w:lang w:val="fr-FR"/>
        </w:rPr>
        <w:t>elle n</w:t>
      </w:r>
      <w:r w:rsidR="00C44708">
        <w:rPr>
          <w:lang w:val="fr-FR"/>
        </w:rPr>
        <w:t>’</w:t>
      </w:r>
      <w:r w:rsidRPr="00BF5805">
        <w:rPr>
          <w:lang w:val="fr-FR"/>
        </w:rPr>
        <w:t>a pas épuisés</w:t>
      </w:r>
      <w:r w:rsidRPr="00EC5E80">
        <w:rPr>
          <w:rStyle w:val="Appelnotedebasdep"/>
        </w:rPr>
        <w:footnoteReference w:id="28"/>
      </w:r>
      <w:r w:rsidRPr="00BF5805">
        <w:rPr>
          <w:lang w:val="fr-FR"/>
        </w:rPr>
        <w:t>. Compte tenu de cette conclusion, il considère qu</w:t>
      </w:r>
      <w:r w:rsidR="00C44708">
        <w:rPr>
          <w:lang w:val="fr-FR"/>
        </w:rPr>
        <w:t>’</w:t>
      </w:r>
      <w:r w:rsidRPr="00BF5805">
        <w:rPr>
          <w:lang w:val="fr-FR"/>
        </w:rPr>
        <w:t>il n</w:t>
      </w:r>
      <w:r w:rsidR="00C44708">
        <w:rPr>
          <w:lang w:val="fr-FR"/>
        </w:rPr>
        <w:t>’</w:t>
      </w:r>
      <w:r w:rsidRPr="00BF5805">
        <w:rPr>
          <w:lang w:val="fr-FR"/>
        </w:rPr>
        <w:t>est pas nécessaire d</w:t>
      </w:r>
      <w:r w:rsidR="00C44708">
        <w:rPr>
          <w:lang w:val="fr-FR"/>
        </w:rPr>
        <w:t>’</w:t>
      </w:r>
      <w:r w:rsidRPr="00BF5805">
        <w:rPr>
          <w:lang w:val="fr-FR"/>
        </w:rPr>
        <w:t>examiner l</w:t>
      </w:r>
      <w:r w:rsidR="00C44708">
        <w:rPr>
          <w:lang w:val="fr-FR"/>
        </w:rPr>
        <w:t>’</w:t>
      </w:r>
      <w:r w:rsidRPr="00BF5805">
        <w:rPr>
          <w:lang w:val="fr-FR"/>
        </w:rPr>
        <w:t>affirmation de l</w:t>
      </w:r>
      <w:r w:rsidR="00C44708">
        <w:rPr>
          <w:lang w:val="fr-FR"/>
        </w:rPr>
        <w:t>’</w:t>
      </w:r>
      <w:r w:rsidRPr="00BF5805">
        <w:rPr>
          <w:lang w:val="fr-FR"/>
        </w:rPr>
        <w:t>État partie selon laquelle la requête est irrecevable au motif qu</w:t>
      </w:r>
      <w:r w:rsidR="00C44708">
        <w:rPr>
          <w:lang w:val="fr-FR"/>
        </w:rPr>
        <w:t>’</w:t>
      </w:r>
      <w:r w:rsidRPr="00BF5805">
        <w:rPr>
          <w:lang w:val="fr-FR"/>
        </w:rPr>
        <w:t>elle est incompatible avec la Convention ou manifestement infondée.</w:t>
      </w:r>
      <w:r>
        <w:rPr>
          <w:lang w:val="fr-FR"/>
        </w:rPr>
        <w:t xml:space="preserve"> </w:t>
      </w:r>
      <w:r>
        <w:t>Toutefois, compte tenu des rapports d</w:t>
      </w:r>
      <w:r w:rsidR="00C44708">
        <w:t>’</w:t>
      </w:r>
      <w:r>
        <w:t>information sur la situation des gays et des lesbiennes en Ouganda (voir le paragraphe 4.6 ci-dessus), le Comité estime que la plaignante, en tant que lesbienne, risquerait d</w:t>
      </w:r>
      <w:r w:rsidR="00C44708">
        <w:t>’</w:t>
      </w:r>
      <w:r>
        <w:t>être arrêtée si elle était renvoyée en Ouganda. Dans les circonstances de l</w:t>
      </w:r>
      <w:r w:rsidR="00C44708">
        <w:t>’</w:t>
      </w:r>
      <w:r>
        <w:t>espèce, le Comité invite l</w:t>
      </w:r>
      <w:r w:rsidR="00C44708">
        <w:t>’</w:t>
      </w:r>
      <w:r>
        <w:t>État partie à faire en sorte que la requérante puisse disposer de recours en appel et de l</w:t>
      </w:r>
      <w:r w:rsidR="00C44708">
        <w:t>’</w:t>
      </w:r>
      <w:r>
        <w:t>aide judiciaire nécessaire pour contester les décisions défavorables conduisant à son renvoi forcé, et qu</w:t>
      </w:r>
      <w:r w:rsidR="00C44708">
        <w:t>’</w:t>
      </w:r>
      <w:r>
        <w:t>elle puisse faire une demande de résidence permanente fondée sur des considérations d</w:t>
      </w:r>
      <w:r w:rsidR="00C44708">
        <w:t>’</w:t>
      </w:r>
      <w:r>
        <w:t>ordre humanitaire, sachant que la requérante est une mère célibataire avec une fille mineure qui a la nationalité canadienne et qui ne fait pas l</w:t>
      </w:r>
      <w:r w:rsidR="00C44708">
        <w:t>’</w:t>
      </w:r>
      <w:r>
        <w:t>objet d</w:t>
      </w:r>
      <w:r w:rsidR="00C44708">
        <w:t>’</w:t>
      </w:r>
      <w:r>
        <w:t>une mesure de renvoi du Canada</w:t>
      </w:r>
      <w:r>
        <w:rPr>
          <w:rStyle w:val="Appelnotedebasdep"/>
        </w:rPr>
        <w:footnoteReference w:id="29"/>
      </w:r>
      <w:r w:rsidR="00EC5E80">
        <w:t>.</w:t>
      </w:r>
    </w:p>
    <w:p w:rsidR="00FD11F7" w:rsidRPr="00BF5805" w:rsidRDefault="00FD11F7" w:rsidP="00FD11F7">
      <w:pPr>
        <w:pStyle w:val="SingleTxtG"/>
        <w:rPr>
          <w:lang w:val="fr-FR"/>
        </w:rPr>
      </w:pPr>
      <w:r>
        <w:rPr>
          <w:lang w:val="fr-FR"/>
        </w:rPr>
        <w:t>6.10</w:t>
      </w:r>
      <w:r w:rsidRPr="00BF5805">
        <w:rPr>
          <w:lang w:val="fr-FR"/>
        </w:rPr>
        <w:t>.</w:t>
      </w:r>
      <w:r w:rsidRPr="00BF5805">
        <w:rPr>
          <w:lang w:val="fr-FR"/>
        </w:rPr>
        <w:tab/>
        <w:t xml:space="preserve">En conséquence, le Comité décide : </w:t>
      </w:r>
    </w:p>
    <w:p w:rsidR="00FD11F7" w:rsidRPr="00BF5805" w:rsidRDefault="00FD11F7" w:rsidP="00FD11F7">
      <w:pPr>
        <w:pStyle w:val="SingleTxtG"/>
        <w:ind w:firstLine="567"/>
        <w:rPr>
          <w:lang w:val="fr-FR"/>
        </w:rPr>
      </w:pPr>
      <w:r w:rsidRPr="00BF5805">
        <w:rPr>
          <w:lang w:val="fr-FR"/>
        </w:rPr>
        <w:t>a)</w:t>
      </w:r>
      <w:r w:rsidRPr="00BF5805">
        <w:rPr>
          <w:lang w:val="fr-FR"/>
        </w:rPr>
        <w:tab/>
        <w:t xml:space="preserve">Que la </w:t>
      </w:r>
      <w:r>
        <w:rPr>
          <w:lang w:val="fr-FR"/>
        </w:rPr>
        <w:t>communication</w:t>
      </w:r>
      <w:r w:rsidRPr="00BF5805">
        <w:rPr>
          <w:lang w:val="fr-FR"/>
        </w:rPr>
        <w:t xml:space="preserve"> est irrecevable au regard du paragraphe 5 b) de l</w:t>
      </w:r>
      <w:r w:rsidR="00C44708">
        <w:rPr>
          <w:lang w:val="fr-FR"/>
        </w:rPr>
        <w:t>’</w:t>
      </w:r>
      <w:r w:rsidRPr="00BF5805">
        <w:rPr>
          <w:lang w:val="fr-FR"/>
        </w:rPr>
        <w:t>article 22 de la Convention ;</w:t>
      </w:r>
    </w:p>
    <w:p w:rsidR="00BA41F4" w:rsidRDefault="00FD11F7" w:rsidP="00EC5E80">
      <w:pPr>
        <w:pStyle w:val="SingleTxtG"/>
        <w:ind w:firstLine="567"/>
        <w:rPr>
          <w:lang w:val="fr-FR"/>
        </w:rPr>
      </w:pPr>
      <w:r w:rsidRPr="00BF5805">
        <w:rPr>
          <w:lang w:val="fr-FR"/>
        </w:rPr>
        <w:t>b)</w:t>
      </w:r>
      <w:r w:rsidRPr="00BF5805">
        <w:rPr>
          <w:lang w:val="fr-FR"/>
        </w:rPr>
        <w:tab/>
        <w:t>Que la présente décision sera communiquée à la requérante et à l</w:t>
      </w:r>
      <w:r w:rsidR="00C44708">
        <w:rPr>
          <w:lang w:val="fr-FR"/>
        </w:rPr>
        <w:t>’</w:t>
      </w:r>
      <w:r w:rsidRPr="00BF5805">
        <w:rPr>
          <w:lang w:val="fr-FR"/>
        </w:rPr>
        <w:t>État partie.</w:t>
      </w:r>
    </w:p>
    <w:p w:rsidR="00442130" w:rsidRPr="00442130" w:rsidRDefault="00442130" w:rsidP="00442130">
      <w:pPr>
        <w:pStyle w:val="SingleTxtG"/>
        <w:spacing w:before="160" w:after="0"/>
        <w:jc w:val="center"/>
        <w:rPr>
          <w:u w:val="single"/>
        </w:rPr>
      </w:pPr>
      <w:r>
        <w:rPr>
          <w:u w:val="single"/>
        </w:rPr>
        <w:tab/>
      </w:r>
      <w:r>
        <w:rPr>
          <w:u w:val="single"/>
        </w:rPr>
        <w:tab/>
      </w:r>
      <w:r>
        <w:rPr>
          <w:u w:val="single"/>
        </w:rPr>
        <w:tab/>
      </w:r>
    </w:p>
    <w:sectPr w:rsidR="00442130" w:rsidRPr="00442130" w:rsidSect="00FD11F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708" w:rsidRPr="009C4D45" w:rsidRDefault="00C44708" w:rsidP="009C4D45">
      <w:pPr>
        <w:pStyle w:val="Pieddepage"/>
      </w:pPr>
    </w:p>
  </w:endnote>
  <w:endnote w:type="continuationSeparator" w:id="0">
    <w:p w:rsidR="00C44708" w:rsidRPr="009C4D45" w:rsidRDefault="00C44708" w:rsidP="009C4D45">
      <w:pPr>
        <w:pStyle w:val="Pieddepage"/>
      </w:pPr>
    </w:p>
  </w:endnote>
  <w:endnote w:type="continuationNotice" w:id="1">
    <w:p w:rsidR="00C44708" w:rsidRDefault="00C447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08" w:rsidRPr="00FD11F7" w:rsidRDefault="00C44708" w:rsidP="00FD11F7">
    <w:pPr>
      <w:pStyle w:val="Pieddepage"/>
      <w:tabs>
        <w:tab w:val="right" w:pos="9638"/>
      </w:tabs>
    </w:pPr>
    <w:r w:rsidRPr="00FD11F7">
      <w:rPr>
        <w:b/>
        <w:sz w:val="18"/>
      </w:rPr>
      <w:fldChar w:fldCharType="begin"/>
    </w:r>
    <w:r w:rsidRPr="00FD11F7">
      <w:rPr>
        <w:b/>
        <w:sz w:val="18"/>
      </w:rPr>
      <w:instrText xml:space="preserve"> PAGE  \* MERGEFORMAT </w:instrText>
    </w:r>
    <w:r w:rsidRPr="00FD11F7">
      <w:rPr>
        <w:b/>
        <w:sz w:val="18"/>
      </w:rPr>
      <w:fldChar w:fldCharType="separate"/>
    </w:r>
    <w:r w:rsidRPr="00FD11F7">
      <w:rPr>
        <w:b/>
        <w:noProof/>
        <w:sz w:val="18"/>
      </w:rPr>
      <w:t>2</w:t>
    </w:r>
    <w:r w:rsidRPr="00FD11F7">
      <w:rPr>
        <w:b/>
        <w:sz w:val="18"/>
      </w:rPr>
      <w:fldChar w:fldCharType="end"/>
    </w:r>
    <w:r>
      <w:rPr>
        <w:b/>
        <w:sz w:val="18"/>
      </w:rPr>
      <w:tab/>
    </w:r>
    <w:r>
      <w:t>GE.18-15137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08" w:rsidRPr="00FD11F7" w:rsidRDefault="00C44708" w:rsidP="00FD11F7">
    <w:pPr>
      <w:pStyle w:val="Pieddepage"/>
      <w:tabs>
        <w:tab w:val="right" w:pos="9638"/>
      </w:tabs>
      <w:rPr>
        <w:b/>
        <w:sz w:val="18"/>
      </w:rPr>
    </w:pPr>
    <w:r>
      <w:t>GE.18-15137</w:t>
    </w:r>
    <w:r>
      <w:tab/>
    </w:r>
    <w:r w:rsidRPr="00FD11F7">
      <w:rPr>
        <w:b/>
        <w:sz w:val="18"/>
      </w:rPr>
      <w:fldChar w:fldCharType="begin"/>
    </w:r>
    <w:r w:rsidRPr="00FD11F7">
      <w:rPr>
        <w:b/>
        <w:sz w:val="18"/>
      </w:rPr>
      <w:instrText xml:space="preserve"> PAGE  \* MERGEFORMAT </w:instrText>
    </w:r>
    <w:r w:rsidRPr="00FD11F7">
      <w:rPr>
        <w:b/>
        <w:sz w:val="18"/>
      </w:rPr>
      <w:fldChar w:fldCharType="separate"/>
    </w:r>
    <w:r w:rsidRPr="00FD11F7">
      <w:rPr>
        <w:b/>
        <w:noProof/>
        <w:sz w:val="18"/>
      </w:rPr>
      <w:t>3</w:t>
    </w:r>
    <w:r w:rsidRPr="00FD11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08" w:rsidRPr="00FD11F7" w:rsidRDefault="00C44708" w:rsidP="00FD11F7">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18-15137</w:t>
    </w:r>
    <w:r w:rsidR="00E9321A">
      <w:rPr>
        <w:sz w:val="20"/>
      </w:rPr>
      <w:t xml:space="preserve"> </w:t>
    </w:r>
    <w:r>
      <w:rPr>
        <w:sz w:val="20"/>
      </w:rPr>
      <w:t>(F)</w:t>
    </w:r>
    <w:r w:rsidR="00E9321A">
      <w:rPr>
        <w:sz w:val="20"/>
      </w:rPr>
      <w:t xml:space="preserve">  </w:t>
    </w:r>
    <w:r>
      <w:rPr>
        <w:sz w:val="20"/>
      </w:rPr>
      <w:t>250620</w:t>
    </w:r>
    <w:r w:rsidR="00E9321A">
      <w:rPr>
        <w:sz w:val="20"/>
      </w:rPr>
      <w:t xml:space="preserve">  </w:t>
    </w:r>
    <w:r>
      <w:rPr>
        <w:sz w:val="20"/>
      </w:rPr>
      <w:t>2</w:t>
    </w:r>
    <w:r w:rsidR="00285DE5">
      <w:rPr>
        <w:sz w:val="20"/>
      </w:rPr>
      <w:t>6</w:t>
    </w:r>
    <w:r>
      <w:rPr>
        <w:sz w:val="20"/>
      </w:rPr>
      <w:t>0620</w:t>
    </w:r>
    <w:r>
      <w:rPr>
        <w:sz w:val="20"/>
      </w:rPr>
      <w:br/>
    </w:r>
    <w:r w:rsidRPr="00FD11F7">
      <w:rPr>
        <w:rFonts w:ascii="C39T30Lfz" w:hAnsi="C39T30Lfz"/>
        <w:sz w:val="56"/>
      </w:rPr>
      <w:t></w:t>
    </w:r>
    <w:r w:rsidRPr="00FD11F7">
      <w:rPr>
        <w:rFonts w:ascii="C39T30Lfz" w:hAnsi="C39T30Lfz"/>
        <w:sz w:val="56"/>
      </w:rPr>
      <w:t></w:t>
    </w:r>
    <w:r w:rsidRPr="00FD11F7">
      <w:rPr>
        <w:rFonts w:ascii="C39T30Lfz" w:hAnsi="C39T30Lfz"/>
        <w:sz w:val="56"/>
      </w:rPr>
      <w:t></w:t>
    </w:r>
    <w:r w:rsidRPr="00FD11F7">
      <w:rPr>
        <w:rFonts w:ascii="C39T30Lfz" w:hAnsi="C39T30Lfz"/>
        <w:sz w:val="56"/>
      </w:rPr>
      <w:t></w:t>
    </w:r>
    <w:r w:rsidRPr="00FD11F7">
      <w:rPr>
        <w:rFonts w:ascii="C39T30Lfz" w:hAnsi="C39T30Lfz"/>
        <w:sz w:val="56"/>
      </w:rPr>
      <w:t></w:t>
    </w:r>
    <w:r w:rsidRPr="00FD11F7">
      <w:rPr>
        <w:rFonts w:ascii="C39T30Lfz" w:hAnsi="C39T30Lfz"/>
        <w:sz w:val="56"/>
      </w:rPr>
      <w:t></w:t>
    </w:r>
    <w:r w:rsidRPr="00FD11F7">
      <w:rPr>
        <w:rFonts w:ascii="C39T30Lfz" w:hAnsi="C39T30Lfz"/>
        <w:sz w:val="56"/>
      </w:rPr>
      <w:t></w:t>
    </w:r>
    <w:r w:rsidRPr="00FD11F7">
      <w:rPr>
        <w:rFonts w:ascii="C39T30Lfz" w:hAnsi="C39T30Lfz"/>
        <w:sz w:val="56"/>
      </w:rPr>
      <w:t></w:t>
    </w:r>
    <w:r w:rsidRPr="00FD11F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708" w:rsidRPr="009C4D45" w:rsidRDefault="00C44708" w:rsidP="009C4D45">
      <w:pPr>
        <w:pStyle w:val="Pieddepage"/>
        <w:tabs>
          <w:tab w:val="right" w:pos="2155"/>
        </w:tabs>
        <w:spacing w:after="80" w:line="240" w:lineRule="atLeast"/>
        <w:ind w:left="680"/>
        <w:rPr>
          <w:u w:val="single"/>
        </w:rPr>
      </w:pPr>
      <w:r>
        <w:rPr>
          <w:u w:val="single"/>
        </w:rPr>
        <w:tab/>
      </w:r>
    </w:p>
  </w:footnote>
  <w:footnote w:type="continuationSeparator" w:id="0">
    <w:p w:rsidR="00C44708" w:rsidRPr="00035AE4" w:rsidRDefault="00C44708" w:rsidP="00035AE4">
      <w:pPr>
        <w:pStyle w:val="Pieddepage"/>
        <w:tabs>
          <w:tab w:val="right" w:pos="2155"/>
        </w:tabs>
        <w:spacing w:after="80" w:line="240" w:lineRule="atLeast"/>
        <w:ind w:left="680"/>
        <w:rPr>
          <w:u w:val="single"/>
        </w:rPr>
      </w:pPr>
      <w:r>
        <w:rPr>
          <w:u w:val="single"/>
        </w:rPr>
        <w:tab/>
      </w:r>
    </w:p>
  </w:footnote>
  <w:footnote w:type="continuationNotice" w:id="1">
    <w:p w:rsidR="00C44708" w:rsidRPr="00035AE4" w:rsidRDefault="00C44708">
      <w:pPr>
        <w:spacing w:line="240" w:lineRule="auto"/>
        <w:rPr>
          <w:sz w:val="2"/>
          <w:szCs w:val="2"/>
        </w:rPr>
      </w:pPr>
    </w:p>
  </w:footnote>
  <w:footnote w:id="2">
    <w:p w:rsidR="00C44708" w:rsidRPr="00E64F03" w:rsidRDefault="00C44708">
      <w:pPr>
        <w:pStyle w:val="Notedebasdepage"/>
      </w:pPr>
      <w:r>
        <w:rPr>
          <w:rStyle w:val="Appelnotedebasdep"/>
        </w:rPr>
        <w:tab/>
      </w:r>
      <w:r w:rsidRPr="00E64F03">
        <w:rPr>
          <w:rStyle w:val="Appelnotedebasdep"/>
          <w:sz w:val="20"/>
          <w:vertAlign w:val="baseline"/>
        </w:rPr>
        <w:t>*</w:t>
      </w:r>
      <w:r>
        <w:rPr>
          <w:rStyle w:val="Appelnotedebasdep"/>
          <w:sz w:val="20"/>
          <w:vertAlign w:val="baseline"/>
        </w:rPr>
        <w:tab/>
      </w:r>
      <w:r>
        <w:t>Adoptée par le Comité à sa soixante-quatrième session (23 juillet-10 août 2018).</w:t>
      </w:r>
    </w:p>
  </w:footnote>
  <w:footnote w:id="3">
    <w:p w:rsidR="00C44708" w:rsidRPr="00E64F03" w:rsidRDefault="00C44708">
      <w:pPr>
        <w:pStyle w:val="Notedebasdepage"/>
      </w:pPr>
      <w:r>
        <w:rPr>
          <w:rStyle w:val="Appelnotedebasdep"/>
        </w:rPr>
        <w:tab/>
      </w:r>
      <w:r w:rsidRPr="00E64F03">
        <w:rPr>
          <w:rStyle w:val="Appelnotedebasdep"/>
          <w:sz w:val="20"/>
          <w:vertAlign w:val="baseline"/>
        </w:rPr>
        <w:t>**</w:t>
      </w:r>
      <w:r>
        <w:rPr>
          <w:rStyle w:val="Appelnotedebasdep"/>
          <w:sz w:val="20"/>
          <w:vertAlign w:val="baseline"/>
        </w:rPr>
        <w:tab/>
      </w:r>
      <w:r w:rsidRPr="00E64F03">
        <w:t>Les membres du Comité dont le nom suit ont participé à l</w:t>
      </w:r>
      <w:r>
        <w:t>’</w:t>
      </w:r>
      <w:r w:rsidRPr="00E64F03">
        <w:t>examen de la communication</w:t>
      </w:r>
      <w:r>
        <w:t> </w:t>
      </w:r>
      <w:r w:rsidRPr="00E64F03">
        <w:t xml:space="preserve">: </w:t>
      </w:r>
      <w:proofErr w:type="spellStart"/>
      <w:r w:rsidRPr="00E64F03">
        <w:t>Essadia</w:t>
      </w:r>
      <w:proofErr w:type="spellEnd"/>
      <w:r w:rsidRPr="00E64F03">
        <w:t xml:space="preserve"> </w:t>
      </w:r>
      <w:proofErr w:type="spellStart"/>
      <w:r w:rsidRPr="00E64F03">
        <w:t>Belmir</w:t>
      </w:r>
      <w:proofErr w:type="spellEnd"/>
      <w:r w:rsidRPr="00E64F03">
        <w:t xml:space="preserve">, Felice </w:t>
      </w:r>
      <w:proofErr w:type="spellStart"/>
      <w:r w:rsidRPr="00E64F03">
        <w:t>Gaer</w:t>
      </w:r>
      <w:proofErr w:type="spellEnd"/>
      <w:r w:rsidRPr="00E64F03">
        <w:t xml:space="preserve">, </w:t>
      </w:r>
      <w:proofErr w:type="spellStart"/>
      <w:r w:rsidRPr="00E64F03">
        <w:t>Abdelwahab</w:t>
      </w:r>
      <w:proofErr w:type="spellEnd"/>
      <w:r w:rsidRPr="00E64F03">
        <w:t xml:space="preserve"> Hani, Claude Heller </w:t>
      </w:r>
      <w:proofErr w:type="spellStart"/>
      <w:r w:rsidRPr="00E64F03">
        <w:t>Rouassant</w:t>
      </w:r>
      <w:proofErr w:type="spellEnd"/>
      <w:r w:rsidRPr="00E64F03">
        <w:t xml:space="preserve">, Jens </w:t>
      </w:r>
      <w:proofErr w:type="spellStart"/>
      <w:r w:rsidRPr="00E64F03">
        <w:t>Modvig</w:t>
      </w:r>
      <w:proofErr w:type="spellEnd"/>
      <w:r w:rsidRPr="00E64F03">
        <w:t xml:space="preserve">, Ana </w:t>
      </w:r>
      <w:proofErr w:type="spellStart"/>
      <w:r w:rsidRPr="00E64F03">
        <w:t>Racu</w:t>
      </w:r>
      <w:proofErr w:type="spellEnd"/>
      <w:r w:rsidRPr="00E64F03">
        <w:t xml:space="preserve">, Diego </w:t>
      </w:r>
      <w:proofErr w:type="spellStart"/>
      <w:r w:rsidRPr="00E64F03">
        <w:t>Rodríguez</w:t>
      </w:r>
      <w:proofErr w:type="spellEnd"/>
      <w:r w:rsidRPr="00E64F03">
        <w:t xml:space="preserve">-Pinzón, Sébastien </w:t>
      </w:r>
      <w:proofErr w:type="spellStart"/>
      <w:r w:rsidRPr="00E64F03">
        <w:t>Touzé</w:t>
      </w:r>
      <w:proofErr w:type="spellEnd"/>
      <w:r w:rsidRPr="00E64F03">
        <w:t xml:space="preserve">, </w:t>
      </w:r>
      <w:proofErr w:type="spellStart"/>
      <w:r w:rsidRPr="00E64F03">
        <w:t>Bakhtiyar</w:t>
      </w:r>
      <w:proofErr w:type="spellEnd"/>
      <w:r w:rsidRPr="00E64F03">
        <w:t xml:space="preserve"> </w:t>
      </w:r>
      <w:proofErr w:type="spellStart"/>
      <w:r w:rsidRPr="00E64F03">
        <w:t>Tuzmukhamedov</w:t>
      </w:r>
      <w:proofErr w:type="spellEnd"/>
      <w:r w:rsidRPr="00E64F03">
        <w:t xml:space="preserve"> </w:t>
      </w:r>
      <w:r>
        <w:t>et</w:t>
      </w:r>
      <w:r w:rsidRPr="00E64F03">
        <w:t xml:space="preserve"> </w:t>
      </w:r>
      <w:proofErr w:type="spellStart"/>
      <w:r w:rsidRPr="00E64F03">
        <w:t>Honghong</w:t>
      </w:r>
      <w:proofErr w:type="spellEnd"/>
      <w:r w:rsidRPr="00E64F03">
        <w:t xml:space="preserve"> Zhang.</w:t>
      </w:r>
    </w:p>
  </w:footnote>
  <w:footnote w:id="4">
    <w:p w:rsidR="00C44708" w:rsidRPr="00302DF3" w:rsidRDefault="00C44708" w:rsidP="00FD11F7">
      <w:pPr>
        <w:pStyle w:val="Notedebasdepage"/>
      </w:pPr>
      <w:r>
        <w:rPr>
          <w:lang w:val="fr-FR"/>
        </w:rPr>
        <w:tab/>
      </w:r>
      <w:r w:rsidRPr="001623D4">
        <w:rPr>
          <w:rStyle w:val="Appelnotedebasdep"/>
        </w:rPr>
        <w:footnoteRef/>
      </w:r>
      <w:r>
        <w:rPr>
          <w:lang w:val="fr-FR"/>
        </w:rPr>
        <w:tab/>
        <w:t>La requérante n’a pas déposé de demande d’asile au Canada. Son expulsion a été ordonnée après que sa demande d’examen des risques avant renvoi du 15 juin 2014 a été rejetée. Par son avis du 17 juin 2014, l’Agence des services frontaliers du Canada l’a avisée de ce que son expulsion était prévue pour le 8 juillet 2014, à 5 heures.</w:t>
      </w:r>
    </w:p>
  </w:footnote>
  <w:footnote w:id="5">
    <w:p w:rsidR="00C44708" w:rsidRDefault="002C0F7C" w:rsidP="00FD11F7">
      <w:pPr>
        <w:pStyle w:val="Notedebasdepage"/>
      </w:pPr>
      <w:r>
        <w:tab/>
      </w:r>
      <w:r w:rsidR="00C44708">
        <w:rPr>
          <w:rStyle w:val="Appelnotedebasdep"/>
        </w:rPr>
        <w:footnoteRef/>
      </w:r>
      <w:r>
        <w:tab/>
      </w:r>
      <w:r w:rsidR="00C44708">
        <w:t>Le 28</w:t>
      </w:r>
      <w:r>
        <w:t> </w:t>
      </w:r>
      <w:r w:rsidR="00C44708">
        <w:t>octobre 2015, la demande de l’État partie tendant à ce que les mesures provisoires soient levées a été transmise à la requérante pour commentaires, lesquels devaient être soumis le 28</w:t>
      </w:r>
      <w:r>
        <w:t> </w:t>
      </w:r>
      <w:r w:rsidR="00C44708">
        <w:t>décembre 2015 au plus tard. La requérante a répondu aux observations de l’État partie en date du 27</w:t>
      </w:r>
      <w:r>
        <w:t> </w:t>
      </w:r>
      <w:r w:rsidR="00C44708">
        <w:t>décembre 2015, mais le Comité n’a jamais reçu cette réponse. Le Comité a donc envoyé un rappel à la requérante le 10</w:t>
      </w:r>
      <w:r>
        <w:t> </w:t>
      </w:r>
      <w:r w:rsidR="00C44708">
        <w:t>avril 2018. Le 12</w:t>
      </w:r>
      <w:r>
        <w:t> </w:t>
      </w:r>
      <w:r w:rsidR="00C44708">
        <w:t>avril 2018, celle-ci a soumis une nouvelle fois ses commentaires en date du 27</w:t>
      </w:r>
      <w:r w:rsidR="00D14505">
        <w:t> </w:t>
      </w:r>
      <w:r w:rsidR="00C44708">
        <w:t>décembre 2015 sur les observations de l’État partie et a informé le Comité qu’elle se trouvait toujours au Canada, en vertu des mesures provisoires demandées par le Comité</w:t>
      </w:r>
    </w:p>
  </w:footnote>
  <w:footnote w:id="6">
    <w:p w:rsidR="00C44708" w:rsidRDefault="00C44708" w:rsidP="00FD11F7">
      <w:pPr>
        <w:pStyle w:val="Notedebasdepage"/>
      </w:pPr>
      <w:r>
        <w:rPr>
          <w:lang w:val="fr-FR"/>
        </w:rPr>
        <w:tab/>
      </w:r>
      <w:r w:rsidRPr="001623D4">
        <w:rPr>
          <w:rStyle w:val="Appelnotedebasdep"/>
        </w:rPr>
        <w:footnoteRef/>
      </w:r>
      <w:r>
        <w:rPr>
          <w:lang w:val="fr-FR"/>
        </w:rPr>
        <w:tab/>
        <w:t>La mesure de renvoi vise seulement la requérante et non sa fille, qui est de nationalité canadienne. Il ressort de l’</w:t>
      </w:r>
      <w:r w:rsidRPr="00BD4F86">
        <w:rPr>
          <w:lang w:val="fr-FR"/>
        </w:rPr>
        <w:t>examen des risques avant renvoi</w:t>
      </w:r>
      <w:r w:rsidR="00E9321A">
        <w:rPr>
          <w:lang w:val="fr-FR"/>
        </w:rPr>
        <w:t xml:space="preserve"> </w:t>
      </w:r>
      <w:r>
        <w:rPr>
          <w:lang w:val="fr-FR"/>
        </w:rPr>
        <w:t xml:space="preserve">que la requérante est arrivée en tant qu’étudiante en 1999, a brièvement quitté le Canada le 31 janvier 2004, puis a obtenu un visa d’étudiant valable du 3 décembre 2004 au 30 octobre 2006. </w:t>
      </w:r>
    </w:p>
  </w:footnote>
  <w:footnote w:id="7">
    <w:p w:rsidR="00C44708" w:rsidRDefault="00C44708" w:rsidP="00FD11F7">
      <w:pPr>
        <w:pStyle w:val="Notedebasdepage"/>
      </w:pPr>
      <w:r>
        <w:rPr>
          <w:lang w:val="fr-FR"/>
        </w:rPr>
        <w:tab/>
      </w:r>
      <w:r w:rsidRPr="001623D4">
        <w:rPr>
          <w:rStyle w:val="Appelnotedebasdep"/>
        </w:rPr>
        <w:footnoteRef/>
      </w:r>
      <w:r>
        <w:rPr>
          <w:lang w:val="fr-FR"/>
        </w:rPr>
        <w:tab/>
        <w:t xml:space="preserve">La mesure de renvoi ainsi que l’avis de renvoi sont joints à la requête. </w:t>
      </w:r>
    </w:p>
  </w:footnote>
  <w:footnote w:id="8">
    <w:p w:rsidR="00C44708" w:rsidRDefault="00C44708" w:rsidP="00FD11F7">
      <w:pPr>
        <w:pStyle w:val="Notedebasdepage"/>
      </w:pPr>
      <w:r>
        <w:rPr>
          <w:lang w:val="fr-FR"/>
        </w:rPr>
        <w:tab/>
      </w:r>
      <w:r w:rsidRPr="001623D4">
        <w:rPr>
          <w:rStyle w:val="Appelnotedebasdep"/>
        </w:rPr>
        <w:footnoteRef/>
      </w:r>
      <w:r>
        <w:rPr>
          <w:lang w:val="fr-FR"/>
        </w:rPr>
        <w:tab/>
        <w:t xml:space="preserve">La requérante précise qu’il a dit à des membres de la famille qu’il lui en coûterait 5 dollars canadiens de la faire tuer en Ouganda. </w:t>
      </w:r>
    </w:p>
  </w:footnote>
  <w:footnote w:id="9">
    <w:p w:rsidR="00C44708" w:rsidRDefault="00C44708" w:rsidP="00FD11F7">
      <w:pPr>
        <w:pStyle w:val="Notedebasdepage"/>
      </w:pPr>
      <w:r>
        <w:rPr>
          <w:lang w:val="fr-FR"/>
        </w:rPr>
        <w:tab/>
      </w:r>
      <w:r w:rsidRPr="001623D4">
        <w:rPr>
          <w:rStyle w:val="Appelnotedebasdep"/>
        </w:rPr>
        <w:footnoteRef/>
      </w:r>
      <w:r>
        <w:rPr>
          <w:lang w:val="fr-FR"/>
        </w:rPr>
        <w:tab/>
        <w:t xml:space="preserve">La date des funérailles n’a pas été précisée. </w:t>
      </w:r>
    </w:p>
  </w:footnote>
  <w:footnote w:id="10">
    <w:p w:rsidR="00C44708" w:rsidRDefault="00C44708" w:rsidP="00FD11F7">
      <w:pPr>
        <w:pStyle w:val="Notedebasdepage"/>
      </w:pPr>
      <w:r>
        <w:rPr>
          <w:lang w:val="fr-FR"/>
        </w:rPr>
        <w:tab/>
      </w:r>
      <w:r w:rsidRPr="001623D4">
        <w:rPr>
          <w:rStyle w:val="Appelnotedebasdep"/>
        </w:rPr>
        <w:footnoteRef/>
      </w:r>
      <w:r>
        <w:rPr>
          <w:lang w:val="fr-FR"/>
        </w:rPr>
        <w:tab/>
        <w:t xml:space="preserve">Le Ministère de la citoyenneté et de l’immigration considère en outre que l’intérêt supérieur de l’enfant peut directement influer sur une telle décision. </w:t>
      </w:r>
    </w:p>
  </w:footnote>
  <w:footnote w:id="11">
    <w:p w:rsidR="00C44708" w:rsidRDefault="00C44708" w:rsidP="00FD11F7">
      <w:pPr>
        <w:pStyle w:val="Notedebasdepage"/>
      </w:pPr>
      <w:r>
        <w:rPr>
          <w:lang w:val="fr-FR"/>
        </w:rPr>
        <w:tab/>
      </w:r>
      <w:r w:rsidRPr="001623D4">
        <w:rPr>
          <w:rStyle w:val="Appelnotedebasdep"/>
        </w:rPr>
        <w:footnoteRef/>
      </w:r>
      <w:r>
        <w:rPr>
          <w:lang w:val="fr-FR"/>
        </w:rPr>
        <w:tab/>
        <w:t>Voir la loi sur l’immigration et la protection des réfugiés, art. 25 (1.3) : « Le Ministre, dans l’étude de la demande d’un étranger se trouvant au Canada, ne tient compte d’aucun des facteurs servant à établir la qualité de réfugié − au sens de la Convention − aux termes de l’article 96 ou de personne à protéger au titre du paragraphe 97</w:t>
      </w:r>
      <w:r w:rsidR="00CA143A">
        <w:rPr>
          <w:lang w:val="fr-FR"/>
        </w:rPr>
        <w:t> </w:t>
      </w:r>
      <w:r>
        <w:rPr>
          <w:lang w:val="fr-FR"/>
        </w:rPr>
        <w:t>1) ; il tient compte, toutefois, des difficultés auxquelles l’étranger fait face</w:t>
      </w:r>
      <w:r w:rsidR="00856F4E">
        <w:rPr>
          <w:lang w:val="fr-FR"/>
        </w:rPr>
        <w:t>.</w:t>
      </w:r>
      <w:r>
        <w:rPr>
          <w:lang w:val="fr-FR"/>
        </w:rPr>
        <w:t> ».</w:t>
      </w:r>
    </w:p>
  </w:footnote>
  <w:footnote w:id="12">
    <w:p w:rsidR="00C44708" w:rsidRDefault="00C44708" w:rsidP="00FD11F7">
      <w:pPr>
        <w:pStyle w:val="Notedebasdepage"/>
      </w:pPr>
      <w:r>
        <w:rPr>
          <w:lang w:val="fr-FR"/>
        </w:rPr>
        <w:tab/>
      </w:r>
      <w:r w:rsidRPr="001623D4">
        <w:rPr>
          <w:rStyle w:val="Appelnotedebasdep"/>
        </w:rPr>
        <w:footnoteRef/>
      </w:r>
      <w:r>
        <w:rPr>
          <w:lang w:val="fr-FR"/>
        </w:rPr>
        <w:tab/>
        <w:t>Remplacée, depuis le 6</w:t>
      </w:r>
      <w:r w:rsidR="00856F4E">
        <w:rPr>
          <w:lang w:val="fr-FR"/>
        </w:rPr>
        <w:t> </w:t>
      </w:r>
      <w:r>
        <w:rPr>
          <w:lang w:val="fr-FR"/>
        </w:rPr>
        <w:t>décembre 2017,</w:t>
      </w:r>
      <w:r w:rsidR="00E9321A">
        <w:rPr>
          <w:lang w:val="fr-FR"/>
        </w:rPr>
        <w:t xml:space="preserve"> </w:t>
      </w:r>
      <w:r>
        <w:rPr>
          <w:lang w:val="fr-FR"/>
        </w:rPr>
        <w:t xml:space="preserve">par l’observation générale </w:t>
      </w:r>
      <w:r w:rsidRPr="00006D4E">
        <w:rPr>
          <w:rFonts w:eastAsia="MS Mincho"/>
          <w:szCs w:val="22"/>
          <w:lang w:val="fr-FR"/>
        </w:rPr>
        <w:t>n</w:t>
      </w:r>
      <w:r w:rsidRPr="00006D4E">
        <w:rPr>
          <w:rFonts w:eastAsia="MS Mincho"/>
          <w:szCs w:val="22"/>
          <w:vertAlign w:val="superscript"/>
          <w:lang w:val="fr-FR"/>
        </w:rPr>
        <w:t>o</w:t>
      </w:r>
      <w:r>
        <w:rPr>
          <w:lang w:val="fr-FR"/>
        </w:rPr>
        <w:t xml:space="preserve"> 4 (2017) sur l’application de l’article 3 dans le contexte de l’article 22. </w:t>
      </w:r>
    </w:p>
  </w:footnote>
  <w:footnote w:id="13">
    <w:p w:rsidR="00C44708" w:rsidRPr="004A7C36" w:rsidRDefault="00C44708" w:rsidP="00FD11F7">
      <w:pPr>
        <w:pStyle w:val="Notedebasdepage"/>
        <w:rPr>
          <w:lang w:val="es-ES"/>
        </w:rPr>
      </w:pPr>
      <w:r>
        <w:rPr>
          <w:lang w:val="fr-FR"/>
        </w:rPr>
        <w:tab/>
      </w:r>
      <w:r w:rsidRPr="001623D4">
        <w:rPr>
          <w:rStyle w:val="Appelnotedebasdep"/>
        </w:rPr>
        <w:footnoteRef/>
      </w:r>
      <w:r>
        <w:rPr>
          <w:lang w:val="fr-FR"/>
        </w:rPr>
        <w:tab/>
        <w:t xml:space="preserve">Voir </w:t>
      </w:r>
      <w:r>
        <w:rPr>
          <w:i/>
          <w:iCs/>
          <w:lang w:val="fr-FR"/>
        </w:rPr>
        <w:t xml:space="preserve">X </w:t>
      </w:r>
      <w:r w:rsidRPr="00856F4E">
        <w:rPr>
          <w:i/>
          <w:lang w:val="fr-FR"/>
        </w:rPr>
        <w:t>c.</w:t>
      </w:r>
      <w:r>
        <w:rPr>
          <w:iCs/>
          <w:lang w:val="fr-FR"/>
        </w:rPr>
        <w:t> </w:t>
      </w:r>
      <w:r>
        <w:rPr>
          <w:i/>
          <w:iCs/>
          <w:lang w:val="fr-FR"/>
        </w:rPr>
        <w:t xml:space="preserve">Pays-Bas </w:t>
      </w:r>
      <w:r>
        <w:rPr>
          <w:lang w:val="fr-FR"/>
        </w:rPr>
        <w:t>(CAT/C/16/D/36/1995), par. 7.2 ;</w:t>
      </w:r>
      <w:r w:rsidR="00E9321A">
        <w:rPr>
          <w:lang w:val="fr-FR"/>
        </w:rPr>
        <w:t xml:space="preserve"> </w:t>
      </w:r>
      <w:proofErr w:type="spellStart"/>
      <w:r>
        <w:rPr>
          <w:i/>
          <w:iCs/>
          <w:lang w:val="fr-FR"/>
        </w:rPr>
        <w:t>Dadar</w:t>
      </w:r>
      <w:proofErr w:type="spellEnd"/>
      <w:r>
        <w:rPr>
          <w:i/>
          <w:iCs/>
          <w:lang w:val="fr-FR"/>
        </w:rPr>
        <w:t xml:space="preserve"> </w:t>
      </w:r>
      <w:r w:rsidRPr="00856F4E">
        <w:rPr>
          <w:i/>
          <w:lang w:val="fr-FR"/>
        </w:rPr>
        <w:t>c.</w:t>
      </w:r>
      <w:r>
        <w:rPr>
          <w:iCs/>
          <w:lang w:val="fr-FR"/>
        </w:rPr>
        <w:t> </w:t>
      </w:r>
      <w:r>
        <w:rPr>
          <w:i/>
          <w:iCs/>
          <w:lang w:val="fr-FR"/>
        </w:rPr>
        <w:t>Canada</w:t>
      </w:r>
      <w:r>
        <w:rPr>
          <w:lang w:val="fr-FR"/>
        </w:rPr>
        <w:t xml:space="preserve">, (CAT/C/35/D/258/2004), par. 8.3 ; </w:t>
      </w:r>
      <w:r>
        <w:rPr>
          <w:i/>
          <w:iCs/>
          <w:lang w:val="fr-FR"/>
        </w:rPr>
        <w:t xml:space="preserve">S. P. A. </w:t>
      </w:r>
      <w:r w:rsidRPr="00856F4E">
        <w:rPr>
          <w:i/>
          <w:lang w:val="fr-FR"/>
        </w:rPr>
        <w:t>c.</w:t>
      </w:r>
      <w:r>
        <w:rPr>
          <w:iCs/>
          <w:lang w:val="fr-FR"/>
        </w:rPr>
        <w:t> </w:t>
      </w:r>
      <w:r>
        <w:rPr>
          <w:i/>
          <w:iCs/>
          <w:lang w:val="fr-FR"/>
        </w:rPr>
        <w:t>Canada</w:t>
      </w:r>
      <w:r>
        <w:rPr>
          <w:lang w:val="fr-FR"/>
        </w:rPr>
        <w:t xml:space="preserve"> </w:t>
      </w:r>
      <w:r w:rsidRPr="00A45A3B">
        <w:rPr>
          <w:spacing w:val="-2"/>
          <w:lang w:val="fr-FR"/>
        </w:rPr>
        <w:t xml:space="preserve">(CAT/C/37/D/282/2005), par. 7.1 ; </w:t>
      </w:r>
      <w:r w:rsidRPr="00A45A3B">
        <w:rPr>
          <w:i/>
          <w:iCs/>
          <w:spacing w:val="-2"/>
          <w:lang w:val="fr-FR"/>
        </w:rPr>
        <w:t>C. A. R. M.</w:t>
      </w:r>
      <w:r w:rsidR="00E9321A">
        <w:rPr>
          <w:i/>
          <w:iCs/>
          <w:spacing w:val="-2"/>
          <w:lang w:val="fr-FR"/>
        </w:rPr>
        <w:t xml:space="preserve"> </w:t>
      </w:r>
      <w:r w:rsidRPr="00856F4E">
        <w:rPr>
          <w:i/>
          <w:spacing w:val="-2"/>
          <w:lang w:val="es-ES"/>
        </w:rPr>
        <w:t>c. </w:t>
      </w:r>
      <w:proofErr w:type="spellStart"/>
      <w:r w:rsidRPr="004A7C36">
        <w:rPr>
          <w:i/>
          <w:iCs/>
          <w:spacing w:val="-2"/>
          <w:lang w:val="es-ES"/>
        </w:rPr>
        <w:t>Canada</w:t>
      </w:r>
      <w:proofErr w:type="spellEnd"/>
      <w:r w:rsidRPr="004A7C36">
        <w:rPr>
          <w:spacing w:val="-2"/>
          <w:lang w:val="es-ES"/>
        </w:rPr>
        <w:t xml:space="preserve"> (CAT/C/38/D/298/2006),</w:t>
      </w:r>
      <w:r w:rsidRPr="004A7C36">
        <w:rPr>
          <w:lang w:val="es-ES"/>
        </w:rPr>
        <w:t xml:space="preserve"> par. 8.7 ; </w:t>
      </w:r>
      <w:r w:rsidRPr="004A7C36">
        <w:rPr>
          <w:i/>
          <w:iCs/>
          <w:lang w:val="es-ES"/>
        </w:rPr>
        <w:t xml:space="preserve">T. I. </w:t>
      </w:r>
      <w:r w:rsidRPr="00856F4E">
        <w:rPr>
          <w:i/>
          <w:lang w:val="es-ES"/>
        </w:rPr>
        <w:t>c.</w:t>
      </w:r>
      <w:r w:rsidRPr="004A7C36">
        <w:rPr>
          <w:iCs/>
          <w:lang w:val="es-ES"/>
        </w:rPr>
        <w:t> </w:t>
      </w:r>
      <w:proofErr w:type="spellStart"/>
      <w:r w:rsidRPr="004A7C36">
        <w:rPr>
          <w:i/>
          <w:iCs/>
          <w:lang w:val="es-ES"/>
        </w:rPr>
        <w:t>Canada</w:t>
      </w:r>
      <w:proofErr w:type="spellEnd"/>
      <w:r w:rsidRPr="004A7C36">
        <w:rPr>
          <w:lang w:val="es-ES"/>
        </w:rPr>
        <w:t xml:space="preserve">, par. 7.3. </w:t>
      </w:r>
    </w:p>
  </w:footnote>
  <w:footnote w:id="14">
    <w:p w:rsidR="00C44708" w:rsidRPr="004A7C36" w:rsidRDefault="00C44708" w:rsidP="00FD11F7">
      <w:pPr>
        <w:pStyle w:val="Notedebasdepage"/>
      </w:pPr>
      <w:r w:rsidRPr="004A7C36">
        <w:rPr>
          <w:lang w:val="es-ES"/>
        </w:rPr>
        <w:tab/>
      </w:r>
      <w:r w:rsidRPr="001623D4">
        <w:rPr>
          <w:rStyle w:val="Appelnotedebasdep"/>
        </w:rPr>
        <w:footnoteRef/>
      </w:r>
      <w:r w:rsidRPr="004A7C36">
        <w:tab/>
        <w:t xml:space="preserve">Voir </w:t>
      </w:r>
      <w:proofErr w:type="spellStart"/>
      <w:r w:rsidRPr="004A7C36">
        <w:rPr>
          <w:i/>
          <w:iCs/>
        </w:rPr>
        <w:t>Kalonzo</w:t>
      </w:r>
      <w:proofErr w:type="spellEnd"/>
      <w:r w:rsidRPr="004A7C36">
        <w:rPr>
          <w:i/>
          <w:iCs/>
        </w:rPr>
        <w:t xml:space="preserve"> </w:t>
      </w:r>
      <w:r w:rsidRPr="00856F4E">
        <w:rPr>
          <w:i/>
        </w:rPr>
        <w:t>c.</w:t>
      </w:r>
      <w:r w:rsidRPr="004A7C36">
        <w:rPr>
          <w:iCs/>
        </w:rPr>
        <w:t> </w:t>
      </w:r>
      <w:r w:rsidRPr="004A7C36">
        <w:rPr>
          <w:i/>
          <w:iCs/>
        </w:rPr>
        <w:t>Canada</w:t>
      </w:r>
      <w:r w:rsidRPr="004A7C36">
        <w:t xml:space="preserve">, par. 9.2 et 9.3. </w:t>
      </w:r>
    </w:p>
  </w:footnote>
  <w:footnote w:id="15">
    <w:p w:rsidR="00C44708" w:rsidRDefault="00C44708" w:rsidP="00FD11F7">
      <w:pPr>
        <w:pStyle w:val="Notedebasdepage"/>
      </w:pPr>
      <w:r w:rsidRPr="004A7C36">
        <w:tab/>
      </w:r>
      <w:r w:rsidRPr="001623D4">
        <w:rPr>
          <w:rStyle w:val="Appelnotedebasdep"/>
        </w:rPr>
        <w:footnoteRef/>
      </w:r>
      <w:r>
        <w:rPr>
          <w:lang w:val="fr-FR"/>
        </w:rPr>
        <w:tab/>
        <w:t>Voir</w:t>
      </w:r>
      <w:r>
        <w:rPr>
          <w:i/>
          <w:iCs/>
          <w:lang w:val="fr-FR"/>
        </w:rPr>
        <w:t xml:space="preserve"> A. K</w:t>
      </w:r>
      <w:r w:rsidRPr="00856F4E">
        <w:rPr>
          <w:i/>
          <w:iCs/>
          <w:lang w:val="fr-FR"/>
        </w:rPr>
        <w:t>. c.</w:t>
      </w:r>
      <w:r>
        <w:rPr>
          <w:iCs/>
          <w:lang w:val="fr-FR"/>
        </w:rPr>
        <w:t> </w:t>
      </w:r>
      <w:r>
        <w:rPr>
          <w:i/>
          <w:iCs/>
          <w:lang w:val="fr-FR"/>
        </w:rPr>
        <w:t>Australie</w:t>
      </w:r>
      <w:r>
        <w:rPr>
          <w:lang w:val="fr-FR"/>
        </w:rPr>
        <w:t xml:space="preserve"> (CAT/C/32/D/148/1999), par. 6.4, et </w:t>
      </w:r>
      <w:r>
        <w:rPr>
          <w:i/>
          <w:iCs/>
          <w:lang w:val="fr-FR"/>
        </w:rPr>
        <w:t xml:space="preserve">G. A. van Meurs </w:t>
      </w:r>
      <w:r w:rsidRPr="00856F4E">
        <w:rPr>
          <w:i/>
          <w:lang w:val="fr-FR"/>
        </w:rPr>
        <w:t>c.</w:t>
      </w:r>
      <w:r>
        <w:rPr>
          <w:iCs/>
          <w:lang w:val="fr-FR"/>
        </w:rPr>
        <w:t> </w:t>
      </w:r>
      <w:r>
        <w:rPr>
          <w:i/>
          <w:iCs/>
          <w:lang w:val="fr-FR"/>
        </w:rPr>
        <w:t xml:space="preserve">Pays-Bas </w:t>
      </w:r>
      <w:r>
        <w:rPr>
          <w:lang w:val="fr-FR"/>
        </w:rPr>
        <w:t xml:space="preserve">(CCPR/C/39/D/215/1986), par. 7.1. </w:t>
      </w:r>
    </w:p>
  </w:footnote>
  <w:footnote w:id="16">
    <w:p w:rsidR="00C44708" w:rsidRDefault="00C44708" w:rsidP="00FD11F7">
      <w:pPr>
        <w:pStyle w:val="Notedebasdepage"/>
      </w:pPr>
      <w:r>
        <w:rPr>
          <w:lang w:val="fr-FR"/>
        </w:rPr>
        <w:tab/>
      </w:r>
      <w:r w:rsidRPr="001623D4">
        <w:rPr>
          <w:rStyle w:val="Appelnotedebasdep"/>
        </w:rPr>
        <w:footnoteRef/>
      </w:r>
      <w:r>
        <w:rPr>
          <w:lang w:val="fr-FR"/>
        </w:rPr>
        <w:tab/>
        <w:t xml:space="preserve">La peine de mort, que prévoyait une version antérieure de la loi, a été supprimée de la version finale. </w:t>
      </w:r>
    </w:p>
  </w:footnote>
  <w:footnote w:id="17">
    <w:p w:rsidR="00C44708" w:rsidRPr="001623D4" w:rsidRDefault="00C44708" w:rsidP="00FD11F7">
      <w:pPr>
        <w:pStyle w:val="Notedebasdepage"/>
        <w:rPr>
          <w:lang w:val="en-US"/>
        </w:rPr>
      </w:pPr>
      <w:r>
        <w:rPr>
          <w:lang w:val="fr-FR"/>
        </w:rPr>
        <w:tab/>
      </w:r>
      <w:r w:rsidRPr="001623D4">
        <w:rPr>
          <w:rStyle w:val="Appelnotedebasdep"/>
        </w:rPr>
        <w:footnoteRef/>
      </w:r>
      <w:r w:rsidRPr="001623D4">
        <w:rPr>
          <w:lang w:val="en-US"/>
        </w:rPr>
        <w:tab/>
      </w:r>
      <w:proofErr w:type="spellStart"/>
      <w:r w:rsidRPr="001623D4">
        <w:rPr>
          <w:lang w:val="en-US"/>
        </w:rPr>
        <w:t>Voir</w:t>
      </w:r>
      <w:proofErr w:type="spellEnd"/>
      <w:r>
        <w:rPr>
          <w:lang w:val="en-US"/>
        </w:rPr>
        <w:t xml:space="preserve"> </w:t>
      </w:r>
      <w:proofErr w:type="spellStart"/>
      <w:r>
        <w:rPr>
          <w:lang w:val="en-US"/>
        </w:rPr>
        <w:t>également</w:t>
      </w:r>
      <w:proofErr w:type="spellEnd"/>
      <w:r w:rsidRPr="001623D4">
        <w:rPr>
          <w:lang w:val="en-US"/>
        </w:rPr>
        <w:t xml:space="preserve"> Human Rights Watch, « Uganda : Anti-Homosexuality Act</w:t>
      </w:r>
      <w:r>
        <w:rPr>
          <w:lang w:val="en-US"/>
        </w:rPr>
        <w:t>’</w:t>
      </w:r>
      <w:r w:rsidRPr="001623D4">
        <w:rPr>
          <w:lang w:val="en-US"/>
        </w:rPr>
        <w:t>s Heavy Toll : Discriminatory Law Prompts Arrests, Attacks, Evictions and Flight », 1</w:t>
      </w:r>
      <w:r>
        <w:rPr>
          <w:lang w:val="en-US"/>
        </w:rPr>
        <w:t>4 </w:t>
      </w:r>
      <w:proofErr w:type="spellStart"/>
      <w:r>
        <w:rPr>
          <w:lang w:val="en-US"/>
        </w:rPr>
        <w:t>mai</w:t>
      </w:r>
      <w:proofErr w:type="spellEnd"/>
      <w:r>
        <w:rPr>
          <w:lang w:val="en-US"/>
        </w:rPr>
        <w:t xml:space="preserve"> </w:t>
      </w:r>
      <w:r w:rsidRPr="001623D4">
        <w:rPr>
          <w:lang w:val="en-US"/>
        </w:rPr>
        <w:t xml:space="preserve">2014. </w:t>
      </w:r>
    </w:p>
  </w:footnote>
  <w:footnote w:id="18">
    <w:p w:rsidR="00C44708" w:rsidRDefault="00C44708" w:rsidP="00FD11F7">
      <w:pPr>
        <w:pStyle w:val="Notedebasdepage"/>
      </w:pPr>
      <w:r w:rsidRPr="001623D4">
        <w:rPr>
          <w:lang w:val="en-US"/>
        </w:rPr>
        <w:tab/>
      </w:r>
      <w:r w:rsidRPr="001623D4">
        <w:rPr>
          <w:rStyle w:val="Appelnotedebasdep"/>
        </w:rPr>
        <w:footnoteRef/>
      </w:r>
      <w:r>
        <w:rPr>
          <w:lang w:val="fr-FR"/>
        </w:rPr>
        <w:tab/>
        <w:t xml:space="preserve">Voir </w:t>
      </w:r>
      <w:r w:rsidRPr="00B32011">
        <w:rPr>
          <w:i/>
          <w:iCs/>
          <w:lang w:val="fr-FR"/>
        </w:rPr>
        <w:t>E.</w:t>
      </w:r>
      <w:r>
        <w:rPr>
          <w:i/>
          <w:iCs/>
          <w:lang w:val="fr-FR"/>
        </w:rPr>
        <w:t> </w:t>
      </w:r>
      <w:proofErr w:type="spellStart"/>
      <w:r w:rsidRPr="00B32011">
        <w:rPr>
          <w:i/>
          <w:iCs/>
          <w:lang w:val="fr-FR"/>
        </w:rPr>
        <w:t>L</w:t>
      </w:r>
      <w:proofErr w:type="spellEnd"/>
      <w:r w:rsidRPr="00B32011">
        <w:rPr>
          <w:i/>
          <w:iCs/>
          <w:lang w:val="fr-FR"/>
        </w:rPr>
        <w:t xml:space="preserve"> </w:t>
      </w:r>
      <w:r w:rsidRPr="00FA4588">
        <w:rPr>
          <w:i/>
          <w:lang w:val="fr-FR"/>
        </w:rPr>
        <w:t>c.</w:t>
      </w:r>
      <w:r>
        <w:rPr>
          <w:iCs/>
          <w:lang w:val="fr-FR"/>
        </w:rPr>
        <w:t> </w:t>
      </w:r>
      <w:r w:rsidRPr="00B32011">
        <w:rPr>
          <w:i/>
          <w:iCs/>
          <w:lang w:val="fr-FR"/>
        </w:rPr>
        <w:t xml:space="preserve">Canada </w:t>
      </w:r>
      <w:r>
        <w:rPr>
          <w:lang w:val="fr-FR"/>
        </w:rPr>
        <w:t xml:space="preserve">(CAT/C/48/D/370/2009), par. 8.5, et </w:t>
      </w:r>
      <w:r>
        <w:rPr>
          <w:i/>
          <w:iCs/>
          <w:lang w:val="fr-FR"/>
        </w:rPr>
        <w:t>C. A. R. M.</w:t>
      </w:r>
      <w:r w:rsidR="00E9321A">
        <w:rPr>
          <w:i/>
          <w:iCs/>
          <w:lang w:val="fr-FR"/>
        </w:rPr>
        <w:t xml:space="preserve"> </w:t>
      </w:r>
      <w:r w:rsidRPr="00FA4588">
        <w:rPr>
          <w:i/>
          <w:lang w:val="fr-FR"/>
        </w:rPr>
        <w:t>c.</w:t>
      </w:r>
      <w:r>
        <w:rPr>
          <w:iCs/>
          <w:lang w:val="fr-FR"/>
        </w:rPr>
        <w:t> </w:t>
      </w:r>
      <w:r>
        <w:rPr>
          <w:i/>
          <w:iCs/>
          <w:lang w:val="fr-FR"/>
        </w:rPr>
        <w:t>Canada</w:t>
      </w:r>
      <w:r>
        <w:rPr>
          <w:lang w:val="fr-FR"/>
        </w:rPr>
        <w:t xml:space="preserve">, par. 8.6. </w:t>
      </w:r>
    </w:p>
  </w:footnote>
  <w:footnote w:id="19">
    <w:p w:rsidR="00C44708" w:rsidRPr="00775561" w:rsidRDefault="00C44708" w:rsidP="00FD11F7">
      <w:pPr>
        <w:pStyle w:val="Notedebasdepage"/>
        <w:rPr>
          <w:spacing w:val="-1"/>
        </w:rPr>
      </w:pPr>
      <w:r w:rsidRPr="00775561">
        <w:rPr>
          <w:spacing w:val="-1"/>
          <w:lang w:val="fr-FR"/>
        </w:rPr>
        <w:tab/>
      </w:r>
      <w:r w:rsidRPr="00775561">
        <w:rPr>
          <w:rStyle w:val="Appelnotedebasdep"/>
          <w:spacing w:val="-1"/>
        </w:rPr>
        <w:footnoteRef/>
      </w:r>
      <w:r w:rsidRPr="00775561">
        <w:rPr>
          <w:spacing w:val="-1"/>
          <w:lang w:val="fr-FR"/>
        </w:rPr>
        <w:tab/>
        <w:t>Le long délai entre les observations de l</w:t>
      </w:r>
      <w:r>
        <w:rPr>
          <w:spacing w:val="-1"/>
          <w:lang w:val="fr-FR"/>
        </w:rPr>
        <w:t>’</w:t>
      </w:r>
      <w:r w:rsidRPr="00775561">
        <w:rPr>
          <w:spacing w:val="-1"/>
          <w:lang w:val="fr-FR"/>
        </w:rPr>
        <w:t xml:space="preserve">État partie en août 2015 et les commentaires de la requérante du 12 avril 2018 est dû à des circonstances particulières. </w:t>
      </w:r>
      <w:r>
        <w:rPr>
          <w:spacing w:val="-1"/>
          <w:lang w:val="fr-FR"/>
        </w:rPr>
        <w:t>Bien que</w:t>
      </w:r>
      <w:r w:rsidRPr="00775561">
        <w:rPr>
          <w:spacing w:val="-1"/>
          <w:lang w:val="fr-FR"/>
        </w:rPr>
        <w:t xml:space="preserve"> la requérante a</w:t>
      </w:r>
      <w:r>
        <w:rPr>
          <w:spacing w:val="-1"/>
          <w:lang w:val="fr-FR"/>
        </w:rPr>
        <w:t>it initialement</w:t>
      </w:r>
      <w:r w:rsidRPr="00775561">
        <w:rPr>
          <w:spacing w:val="-1"/>
          <w:lang w:val="fr-FR"/>
        </w:rPr>
        <w:t xml:space="preserve"> soumis ses commentaires sur la recevabilité et le fond ainsi que sur la demande de l</w:t>
      </w:r>
      <w:r>
        <w:rPr>
          <w:spacing w:val="-1"/>
          <w:lang w:val="fr-FR"/>
        </w:rPr>
        <w:t>’</w:t>
      </w:r>
      <w:r w:rsidRPr="00775561">
        <w:rPr>
          <w:spacing w:val="-1"/>
          <w:lang w:val="fr-FR"/>
        </w:rPr>
        <w:t>État partie tendant à lever les mesures provisoires</w:t>
      </w:r>
      <w:r>
        <w:rPr>
          <w:spacing w:val="-1"/>
          <w:lang w:val="fr-FR"/>
        </w:rPr>
        <w:t xml:space="preserve"> le 27</w:t>
      </w:r>
      <w:r w:rsidR="00FA4588">
        <w:rPr>
          <w:spacing w:val="-1"/>
          <w:lang w:val="fr-FR"/>
        </w:rPr>
        <w:t> </w:t>
      </w:r>
      <w:r>
        <w:rPr>
          <w:spacing w:val="-1"/>
          <w:lang w:val="fr-FR"/>
        </w:rPr>
        <w:t>décembre 2015</w:t>
      </w:r>
      <w:r w:rsidRPr="00775561">
        <w:rPr>
          <w:spacing w:val="-1"/>
          <w:lang w:val="fr-FR"/>
        </w:rPr>
        <w:t>, le Comité ne les a jamais reçus</w:t>
      </w:r>
      <w:r>
        <w:rPr>
          <w:spacing w:val="-1"/>
          <w:lang w:val="fr-FR"/>
        </w:rPr>
        <w:t>. Voir également le paragraphe 1.3 ci-dessus.</w:t>
      </w:r>
      <w:r w:rsidRPr="00775561">
        <w:rPr>
          <w:spacing w:val="-1"/>
          <w:lang w:val="fr-FR"/>
        </w:rPr>
        <w:t xml:space="preserve"> </w:t>
      </w:r>
    </w:p>
  </w:footnote>
  <w:footnote w:id="20">
    <w:p w:rsidR="00C44708" w:rsidRDefault="00C44708" w:rsidP="00FD11F7">
      <w:pPr>
        <w:pStyle w:val="Notedebasdepage"/>
      </w:pPr>
      <w:r>
        <w:rPr>
          <w:lang w:val="fr-FR"/>
        </w:rPr>
        <w:tab/>
      </w:r>
      <w:r w:rsidRPr="001623D4">
        <w:rPr>
          <w:rStyle w:val="Appelnotedebasdep"/>
        </w:rPr>
        <w:footnoteRef/>
      </w:r>
      <w:r>
        <w:rPr>
          <w:lang w:val="fr-FR"/>
        </w:rPr>
        <w:tab/>
        <w:t xml:space="preserve">Voir </w:t>
      </w:r>
      <w:r w:rsidRPr="00810836">
        <w:rPr>
          <w:i/>
          <w:iCs/>
          <w:lang w:val="fr-FR"/>
        </w:rPr>
        <w:t xml:space="preserve">Wang </w:t>
      </w:r>
      <w:r>
        <w:rPr>
          <w:i/>
          <w:iCs/>
          <w:lang w:val="fr-FR"/>
        </w:rPr>
        <w:t>c. </w:t>
      </w:r>
      <w:r w:rsidRPr="00810836">
        <w:rPr>
          <w:i/>
          <w:iCs/>
          <w:lang w:val="fr-FR"/>
        </w:rPr>
        <w:t>Canada</w:t>
      </w:r>
      <w:r>
        <w:rPr>
          <w:i/>
          <w:iCs/>
          <w:lang w:val="fr-FR"/>
        </w:rPr>
        <w:t xml:space="preserve"> (Ministre de la citoyenneté et de l’immigration)</w:t>
      </w:r>
      <w:r>
        <w:rPr>
          <w:lang w:val="fr-FR"/>
        </w:rPr>
        <w:t>, [2001] 3 C.F. 682, 2001 CFPI 148</w:t>
      </w:r>
      <w:r w:rsidR="00FA4588">
        <w:rPr>
          <w:lang w:val="fr-FR"/>
        </w:rPr>
        <w:t>.</w:t>
      </w:r>
    </w:p>
  </w:footnote>
  <w:footnote w:id="21">
    <w:p w:rsidR="00C44708" w:rsidRPr="001623D4" w:rsidRDefault="00C44708" w:rsidP="00FD11F7">
      <w:pPr>
        <w:pStyle w:val="Notedebasdepage"/>
        <w:rPr>
          <w:lang w:val="es-ES"/>
        </w:rPr>
      </w:pPr>
      <w:r>
        <w:rPr>
          <w:lang w:val="fr-FR"/>
        </w:rPr>
        <w:tab/>
      </w:r>
      <w:r w:rsidRPr="001623D4">
        <w:rPr>
          <w:rStyle w:val="Appelnotedebasdep"/>
        </w:rPr>
        <w:footnoteRef/>
      </w:r>
      <w:r w:rsidRPr="001623D4">
        <w:rPr>
          <w:lang w:val="es-ES"/>
        </w:rPr>
        <w:tab/>
      </w:r>
      <w:proofErr w:type="spellStart"/>
      <w:r w:rsidRPr="001623D4">
        <w:rPr>
          <w:lang w:val="es-ES"/>
        </w:rPr>
        <w:t>Voir</w:t>
      </w:r>
      <w:proofErr w:type="spellEnd"/>
      <w:r w:rsidRPr="001623D4">
        <w:rPr>
          <w:lang w:val="es-ES"/>
        </w:rPr>
        <w:t xml:space="preserve"> </w:t>
      </w:r>
      <w:proofErr w:type="spellStart"/>
      <w:r w:rsidRPr="001623D4">
        <w:rPr>
          <w:i/>
          <w:iCs/>
          <w:lang w:val="es-ES"/>
        </w:rPr>
        <w:t>Kalonzo</w:t>
      </w:r>
      <w:proofErr w:type="spellEnd"/>
      <w:r w:rsidRPr="001623D4">
        <w:rPr>
          <w:i/>
          <w:iCs/>
          <w:lang w:val="es-ES"/>
        </w:rPr>
        <w:t xml:space="preserve"> </w:t>
      </w:r>
      <w:r w:rsidRPr="007C3C6B">
        <w:rPr>
          <w:i/>
          <w:lang w:val="es-ES"/>
        </w:rPr>
        <w:t>c.</w:t>
      </w:r>
      <w:r>
        <w:rPr>
          <w:iCs/>
          <w:lang w:val="es-ES"/>
        </w:rPr>
        <w:t> </w:t>
      </w:r>
      <w:proofErr w:type="spellStart"/>
      <w:r w:rsidRPr="001623D4">
        <w:rPr>
          <w:i/>
          <w:iCs/>
          <w:lang w:val="es-ES"/>
        </w:rPr>
        <w:t>Canada</w:t>
      </w:r>
      <w:proofErr w:type="spellEnd"/>
      <w:r w:rsidRPr="001623D4">
        <w:rPr>
          <w:lang w:val="es-ES"/>
        </w:rPr>
        <w:t xml:space="preserve">, </w:t>
      </w:r>
      <w:r>
        <w:rPr>
          <w:lang w:val="es-ES"/>
        </w:rPr>
        <w:t>par. </w:t>
      </w:r>
      <w:r w:rsidRPr="001623D4">
        <w:rPr>
          <w:lang w:val="es-ES"/>
        </w:rPr>
        <w:t>8</w:t>
      </w:r>
      <w:r>
        <w:rPr>
          <w:lang w:val="es-ES"/>
        </w:rPr>
        <w:t>.</w:t>
      </w:r>
      <w:r w:rsidRPr="001623D4">
        <w:rPr>
          <w:lang w:val="es-ES"/>
        </w:rPr>
        <w:t xml:space="preserve">3. </w:t>
      </w:r>
    </w:p>
  </w:footnote>
  <w:footnote w:id="22">
    <w:p w:rsidR="00C44708" w:rsidRDefault="00C44708" w:rsidP="00FD11F7">
      <w:pPr>
        <w:pStyle w:val="Notedebasdepage"/>
      </w:pPr>
      <w:r w:rsidRPr="001623D4">
        <w:rPr>
          <w:lang w:val="es-ES"/>
        </w:rPr>
        <w:tab/>
      </w:r>
      <w:r w:rsidRPr="001623D4">
        <w:rPr>
          <w:rStyle w:val="Appelnotedebasdep"/>
        </w:rPr>
        <w:footnoteRef/>
      </w:r>
      <w:r>
        <w:rPr>
          <w:lang w:val="fr-FR"/>
        </w:rPr>
        <w:tab/>
        <w:t xml:space="preserve">Voir </w:t>
      </w:r>
      <w:r>
        <w:rPr>
          <w:i/>
          <w:iCs/>
          <w:lang w:val="fr-FR"/>
        </w:rPr>
        <w:t xml:space="preserve">E. Y. </w:t>
      </w:r>
      <w:r w:rsidRPr="007C3C6B">
        <w:rPr>
          <w:i/>
          <w:lang w:val="fr-FR"/>
        </w:rPr>
        <w:t>c.</w:t>
      </w:r>
      <w:r>
        <w:rPr>
          <w:iCs/>
          <w:lang w:val="fr-FR"/>
        </w:rPr>
        <w:t> </w:t>
      </w:r>
      <w:r>
        <w:rPr>
          <w:i/>
          <w:iCs/>
          <w:lang w:val="fr-FR"/>
        </w:rPr>
        <w:t>Canada</w:t>
      </w:r>
      <w:r>
        <w:rPr>
          <w:lang w:val="fr-FR"/>
        </w:rPr>
        <w:t xml:space="preserve"> (CAT/C/43/D/306/2006/Rev.1), par. 9.2. Voir aussi l’observation générale </w:t>
      </w:r>
      <w:r w:rsidRPr="00006D4E">
        <w:rPr>
          <w:rFonts w:eastAsia="MS Mincho"/>
          <w:szCs w:val="22"/>
          <w:lang w:val="fr-FR"/>
        </w:rPr>
        <w:t>n</w:t>
      </w:r>
      <w:r w:rsidRPr="00006D4E">
        <w:rPr>
          <w:rFonts w:eastAsia="MS Mincho"/>
          <w:szCs w:val="22"/>
          <w:vertAlign w:val="superscript"/>
          <w:lang w:val="fr-FR"/>
        </w:rPr>
        <w:t>o</w:t>
      </w:r>
      <w:r>
        <w:rPr>
          <w:lang w:val="fr-FR"/>
        </w:rPr>
        <w:t xml:space="preserve"> 4 (2017) du Comité. </w:t>
      </w:r>
    </w:p>
  </w:footnote>
  <w:footnote w:id="23">
    <w:p w:rsidR="00C44708" w:rsidRPr="00E37CE9" w:rsidRDefault="00C44708" w:rsidP="00FD11F7">
      <w:pPr>
        <w:pStyle w:val="Notedebasdepage"/>
      </w:pPr>
      <w:r>
        <w:rPr>
          <w:lang w:val="fr-FR"/>
        </w:rPr>
        <w:tab/>
      </w:r>
      <w:r w:rsidRPr="001623D4">
        <w:rPr>
          <w:rStyle w:val="Appelnotedebasdep"/>
        </w:rPr>
        <w:footnoteRef/>
      </w:r>
      <w:r>
        <w:rPr>
          <w:lang w:val="fr-FR"/>
        </w:rPr>
        <w:tab/>
        <w:t xml:space="preserve">Voir </w:t>
      </w:r>
      <w:r>
        <w:rPr>
          <w:i/>
          <w:iCs/>
          <w:lang w:val="fr-FR"/>
        </w:rPr>
        <w:t xml:space="preserve">J. S. </w:t>
      </w:r>
      <w:r w:rsidRPr="007C3C6B">
        <w:rPr>
          <w:i/>
          <w:lang w:val="fr-FR"/>
        </w:rPr>
        <w:t>c.</w:t>
      </w:r>
      <w:r>
        <w:rPr>
          <w:iCs/>
          <w:lang w:val="fr-FR"/>
        </w:rPr>
        <w:t> </w:t>
      </w:r>
      <w:r>
        <w:rPr>
          <w:i/>
          <w:iCs/>
          <w:lang w:val="fr-FR"/>
        </w:rPr>
        <w:t>Canada</w:t>
      </w:r>
      <w:r>
        <w:rPr>
          <w:lang w:val="fr-FR"/>
        </w:rPr>
        <w:t xml:space="preserve"> (CAT/C/62/D/695/2015), par. 6.3 ; </w:t>
      </w:r>
      <w:r>
        <w:rPr>
          <w:i/>
          <w:iCs/>
          <w:lang w:val="fr-FR"/>
        </w:rPr>
        <w:t>J.</w:t>
      </w:r>
      <w:r w:rsidR="00DF6AB4">
        <w:rPr>
          <w:i/>
          <w:iCs/>
          <w:lang w:val="fr-FR"/>
        </w:rPr>
        <w:t> </w:t>
      </w:r>
      <w:r>
        <w:rPr>
          <w:i/>
          <w:iCs/>
          <w:lang w:val="fr-FR"/>
        </w:rPr>
        <w:t xml:space="preserve">M. </w:t>
      </w:r>
      <w:r w:rsidRPr="007C3C6B">
        <w:rPr>
          <w:i/>
          <w:lang w:val="fr-FR"/>
        </w:rPr>
        <w:t>c.</w:t>
      </w:r>
      <w:r>
        <w:rPr>
          <w:iCs/>
          <w:lang w:val="fr-FR"/>
        </w:rPr>
        <w:t> </w:t>
      </w:r>
      <w:r>
        <w:rPr>
          <w:i/>
          <w:iCs/>
          <w:lang w:val="fr-FR"/>
        </w:rPr>
        <w:t>Canada</w:t>
      </w:r>
      <w:r>
        <w:rPr>
          <w:lang w:val="fr-FR"/>
        </w:rPr>
        <w:t xml:space="preserve"> (CAT/C/60/D/699/2015), par. 6.2 ; </w:t>
      </w:r>
      <w:r>
        <w:rPr>
          <w:i/>
          <w:iCs/>
          <w:lang w:val="fr-FR"/>
        </w:rPr>
        <w:t xml:space="preserve">A. </w:t>
      </w:r>
      <w:r w:rsidRPr="007C3C6B">
        <w:rPr>
          <w:i/>
          <w:lang w:val="fr-FR"/>
        </w:rPr>
        <w:t>c.</w:t>
      </w:r>
      <w:r>
        <w:rPr>
          <w:iCs/>
          <w:lang w:val="fr-FR"/>
        </w:rPr>
        <w:t> </w:t>
      </w:r>
      <w:r>
        <w:rPr>
          <w:i/>
          <w:iCs/>
          <w:lang w:val="fr-FR"/>
        </w:rPr>
        <w:t xml:space="preserve">Canada </w:t>
      </w:r>
      <w:r>
        <w:rPr>
          <w:lang w:val="fr-FR"/>
        </w:rPr>
        <w:t xml:space="preserve">(CAT/C/57/D/583/2014), par. 6.2 ; </w:t>
      </w:r>
      <w:r>
        <w:rPr>
          <w:i/>
          <w:iCs/>
          <w:lang w:val="fr-FR"/>
        </w:rPr>
        <w:t>W.</w:t>
      </w:r>
      <w:r w:rsidR="00DF6AB4">
        <w:rPr>
          <w:i/>
          <w:iCs/>
          <w:lang w:val="fr-FR"/>
        </w:rPr>
        <w:t> </w:t>
      </w:r>
      <w:r>
        <w:rPr>
          <w:i/>
          <w:iCs/>
          <w:lang w:val="fr-FR"/>
        </w:rPr>
        <w:t>G.</w:t>
      </w:r>
      <w:r w:rsidR="00DF6AB4">
        <w:rPr>
          <w:i/>
          <w:iCs/>
          <w:lang w:val="fr-FR"/>
        </w:rPr>
        <w:t> </w:t>
      </w:r>
      <w:r>
        <w:rPr>
          <w:i/>
          <w:iCs/>
          <w:lang w:val="fr-FR"/>
        </w:rPr>
        <w:t xml:space="preserve">D. </w:t>
      </w:r>
      <w:r w:rsidRPr="007C3C6B">
        <w:rPr>
          <w:i/>
          <w:lang w:val="fr-FR"/>
        </w:rPr>
        <w:t>c.</w:t>
      </w:r>
      <w:r>
        <w:rPr>
          <w:iCs/>
          <w:lang w:val="fr-FR"/>
        </w:rPr>
        <w:t> </w:t>
      </w:r>
      <w:r>
        <w:rPr>
          <w:i/>
          <w:iCs/>
          <w:lang w:val="fr-FR"/>
        </w:rPr>
        <w:t>Canada</w:t>
      </w:r>
      <w:r>
        <w:rPr>
          <w:lang w:val="fr-FR"/>
        </w:rPr>
        <w:t xml:space="preserve"> (CAT/C/53/D/520/2012), par. 7.4. </w:t>
      </w:r>
    </w:p>
  </w:footnote>
  <w:footnote w:id="24">
    <w:p w:rsidR="00C44708" w:rsidRPr="0093383D" w:rsidRDefault="00C44708" w:rsidP="00FD11F7">
      <w:pPr>
        <w:pStyle w:val="Notedebasdepage"/>
      </w:pPr>
      <w:r>
        <w:rPr>
          <w:lang w:val="fr-FR"/>
        </w:rPr>
        <w:tab/>
      </w:r>
      <w:r w:rsidRPr="001623D4">
        <w:rPr>
          <w:rStyle w:val="Appelnotedebasdep"/>
        </w:rPr>
        <w:footnoteRef/>
      </w:r>
      <w:r>
        <w:rPr>
          <w:lang w:val="fr-FR"/>
        </w:rPr>
        <w:t xml:space="preserve"> </w:t>
      </w:r>
      <w:r>
        <w:rPr>
          <w:lang w:val="fr-FR"/>
        </w:rPr>
        <w:tab/>
        <w:t xml:space="preserve">Voir </w:t>
      </w:r>
      <w:r>
        <w:rPr>
          <w:i/>
          <w:iCs/>
          <w:lang w:val="fr-FR"/>
        </w:rPr>
        <w:t>S</w:t>
      </w:r>
      <w:r w:rsidR="00DF6AB4">
        <w:rPr>
          <w:i/>
          <w:iCs/>
          <w:lang w:val="fr-FR"/>
        </w:rPr>
        <w:t> </w:t>
      </w:r>
      <w:proofErr w:type="spellStart"/>
      <w:r>
        <w:rPr>
          <w:i/>
          <w:iCs/>
          <w:lang w:val="fr-FR"/>
        </w:rPr>
        <w:t>S</w:t>
      </w:r>
      <w:proofErr w:type="spellEnd"/>
      <w:r>
        <w:rPr>
          <w:i/>
          <w:iCs/>
          <w:lang w:val="fr-FR"/>
        </w:rPr>
        <w:t xml:space="preserve">. </w:t>
      </w:r>
      <w:r w:rsidRPr="007C3C6B">
        <w:rPr>
          <w:i/>
          <w:lang w:val="fr-FR"/>
        </w:rPr>
        <w:t>c.</w:t>
      </w:r>
      <w:r>
        <w:rPr>
          <w:iCs/>
          <w:lang w:val="fr-FR"/>
        </w:rPr>
        <w:t> </w:t>
      </w:r>
      <w:r>
        <w:rPr>
          <w:i/>
          <w:iCs/>
          <w:lang w:val="fr-FR"/>
        </w:rPr>
        <w:t xml:space="preserve">Canada </w:t>
      </w:r>
      <w:r>
        <w:rPr>
          <w:lang w:val="fr-FR"/>
        </w:rPr>
        <w:t>(CAT/C/62/D/715/2015), par. 6.3.</w:t>
      </w:r>
    </w:p>
  </w:footnote>
  <w:footnote w:id="25">
    <w:p w:rsidR="00C44708" w:rsidRPr="00D754AD" w:rsidRDefault="00C44708" w:rsidP="00FD11F7">
      <w:pPr>
        <w:pStyle w:val="Notedebasdepage"/>
      </w:pPr>
      <w:r>
        <w:rPr>
          <w:lang w:val="fr-FR"/>
        </w:rPr>
        <w:tab/>
      </w:r>
      <w:r w:rsidRPr="001623D4">
        <w:rPr>
          <w:rStyle w:val="Appelnotedebasdep"/>
        </w:rPr>
        <w:footnoteRef/>
      </w:r>
      <w:r>
        <w:rPr>
          <w:lang w:val="fr-FR"/>
        </w:rPr>
        <w:tab/>
        <w:t xml:space="preserve">Voir </w:t>
      </w:r>
      <w:r>
        <w:rPr>
          <w:i/>
          <w:iCs/>
          <w:lang w:val="fr-FR"/>
        </w:rPr>
        <w:t xml:space="preserve">R. S. A. N </w:t>
      </w:r>
      <w:r w:rsidRPr="00EC5E80">
        <w:rPr>
          <w:i/>
          <w:lang w:val="fr-FR"/>
        </w:rPr>
        <w:t>c.</w:t>
      </w:r>
      <w:r>
        <w:rPr>
          <w:iCs/>
          <w:lang w:val="fr-FR"/>
        </w:rPr>
        <w:t> </w:t>
      </w:r>
      <w:r>
        <w:rPr>
          <w:i/>
          <w:iCs/>
          <w:lang w:val="fr-FR"/>
        </w:rPr>
        <w:t>Canada</w:t>
      </w:r>
      <w:r>
        <w:rPr>
          <w:lang w:val="fr-FR"/>
        </w:rPr>
        <w:t xml:space="preserve"> (CAT/C/37/D/284/2006), par. 6.4.</w:t>
      </w:r>
    </w:p>
  </w:footnote>
  <w:footnote w:id="26">
    <w:p w:rsidR="00C44708" w:rsidRPr="00180541" w:rsidRDefault="00C44708" w:rsidP="00FD11F7">
      <w:pPr>
        <w:pStyle w:val="Notedebasdepage"/>
      </w:pPr>
      <w:r>
        <w:rPr>
          <w:lang w:val="fr-FR"/>
        </w:rPr>
        <w:tab/>
      </w:r>
      <w:r w:rsidRPr="001623D4">
        <w:rPr>
          <w:rStyle w:val="Appelnotedebasdep"/>
        </w:rPr>
        <w:footnoteRef/>
      </w:r>
      <w:r>
        <w:rPr>
          <w:lang w:val="fr-FR"/>
        </w:rPr>
        <w:tab/>
        <w:t xml:space="preserve">Voir </w:t>
      </w:r>
      <w:r>
        <w:rPr>
          <w:i/>
          <w:iCs/>
          <w:lang w:val="fr-FR"/>
        </w:rPr>
        <w:t xml:space="preserve">E. Y. </w:t>
      </w:r>
      <w:r w:rsidRPr="00EC5E80">
        <w:rPr>
          <w:i/>
          <w:lang w:val="fr-FR"/>
        </w:rPr>
        <w:t>c.</w:t>
      </w:r>
      <w:r>
        <w:rPr>
          <w:iCs/>
          <w:lang w:val="fr-FR"/>
        </w:rPr>
        <w:t> </w:t>
      </w:r>
      <w:r>
        <w:rPr>
          <w:i/>
          <w:iCs/>
          <w:lang w:val="fr-FR"/>
        </w:rPr>
        <w:t>Canada</w:t>
      </w:r>
      <w:r>
        <w:rPr>
          <w:lang w:val="fr-FR"/>
        </w:rPr>
        <w:t xml:space="preserve">, par. 9.3. Voir aussi l’observation générale </w:t>
      </w:r>
      <w:r w:rsidRPr="00006D4E">
        <w:rPr>
          <w:rFonts w:eastAsia="MS Mincho"/>
          <w:szCs w:val="22"/>
          <w:lang w:val="fr-FR"/>
        </w:rPr>
        <w:t>n</w:t>
      </w:r>
      <w:r w:rsidRPr="00006D4E">
        <w:rPr>
          <w:rFonts w:eastAsia="MS Mincho"/>
          <w:szCs w:val="22"/>
          <w:vertAlign w:val="superscript"/>
          <w:lang w:val="fr-FR"/>
        </w:rPr>
        <w:t>o</w:t>
      </w:r>
      <w:r>
        <w:rPr>
          <w:lang w:val="fr-FR"/>
        </w:rPr>
        <w:t xml:space="preserve"> 4 (2017) du Comité, par. 34. </w:t>
      </w:r>
    </w:p>
  </w:footnote>
  <w:footnote w:id="27">
    <w:p w:rsidR="00C44708" w:rsidRPr="006861FA" w:rsidRDefault="00C44708" w:rsidP="00FD11F7">
      <w:pPr>
        <w:pStyle w:val="Notedebasdepage"/>
      </w:pPr>
      <w:r>
        <w:rPr>
          <w:lang w:val="fr-FR"/>
        </w:rPr>
        <w:tab/>
      </w:r>
      <w:r w:rsidRPr="001623D4">
        <w:rPr>
          <w:rStyle w:val="Appelnotedebasdep"/>
        </w:rPr>
        <w:footnoteRef/>
      </w:r>
      <w:r>
        <w:rPr>
          <w:lang w:val="fr-FR"/>
        </w:rPr>
        <w:tab/>
        <w:t xml:space="preserve">Voir </w:t>
      </w:r>
      <w:r>
        <w:rPr>
          <w:i/>
          <w:iCs/>
          <w:lang w:val="fr-FR"/>
        </w:rPr>
        <w:t xml:space="preserve">Aung </w:t>
      </w:r>
      <w:r w:rsidRPr="00EC5E80">
        <w:rPr>
          <w:i/>
          <w:lang w:val="fr-FR"/>
        </w:rPr>
        <w:t>c.</w:t>
      </w:r>
      <w:r>
        <w:rPr>
          <w:iCs/>
          <w:lang w:val="fr-FR"/>
        </w:rPr>
        <w:t> </w:t>
      </w:r>
      <w:r>
        <w:rPr>
          <w:i/>
          <w:iCs/>
          <w:lang w:val="fr-FR"/>
        </w:rPr>
        <w:t>Canada</w:t>
      </w:r>
      <w:r>
        <w:rPr>
          <w:lang w:val="fr-FR"/>
        </w:rPr>
        <w:t xml:space="preserve"> (CAT/C/36/D/273/2005), par. 6.3.</w:t>
      </w:r>
    </w:p>
  </w:footnote>
  <w:footnote w:id="28">
    <w:p w:rsidR="00C44708" w:rsidRPr="006861FA" w:rsidRDefault="00C44708" w:rsidP="00FD11F7">
      <w:pPr>
        <w:pStyle w:val="Notedebasdepage"/>
      </w:pPr>
      <w:r>
        <w:rPr>
          <w:lang w:val="fr-FR"/>
        </w:rPr>
        <w:tab/>
      </w:r>
      <w:r w:rsidRPr="001623D4">
        <w:rPr>
          <w:rStyle w:val="Appelnotedebasdep"/>
        </w:rPr>
        <w:footnoteRef/>
      </w:r>
      <w:r>
        <w:rPr>
          <w:lang w:val="fr-FR"/>
        </w:rPr>
        <w:t xml:space="preserve"> </w:t>
      </w:r>
      <w:r>
        <w:rPr>
          <w:lang w:val="fr-FR"/>
        </w:rPr>
        <w:tab/>
        <w:t xml:space="preserve">Voir </w:t>
      </w:r>
      <w:r>
        <w:rPr>
          <w:i/>
          <w:iCs/>
          <w:lang w:val="fr-FR"/>
        </w:rPr>
        <w:t>J.</w:t>
      </w:r>
      <w:r w:rsidR="00442130">
        <w:rPr>
          <w:i/>
          <w:iCs/>
          <w:lang w:val="fr-FR"/>
        </w:rPr>
        <w:t> </w:t>
      </w:r>
      <w:r>
        <w:rPr>
          <w:i/>
          <w:iCs/>
          <w:lang w:val="fr-FR"/>
        </w:rPr>
        <w:t xml:space="preserve">S. </w:t>
      </w:r>
      <w:r w:rsidRPr="00EC5E80">
        <w:rPr>
          <w:i/>
          <w:lang w:val="fr-FR"/>
        </w:rPr>
        <w:t>c.</w:t>
      </w:r>
      <w:r>
        <w:rPr>
          <w:iCs/>
          <w:lang w:val="fr-FR"/>
        </w:rPr>
        <w:t> </w:t>
      </w:r>
      <w:r>
        <w:rPr>
          <w:i/>
          <w:iCs/>
          <w:lang w:val="fr-FR"/>
        </w:rPr>
        <w:t>Canada</w:t>
      </w:r>
      <w:r>
        <w:rPr>
          <w:lang w:val="fr-FR"/>
        </w:rPr>
        <w:t>, par. 6.6 ;</w:t>
      </w:r>
      <w:r w:rsidR="00E9321A">
        <w:rPr>
          <w:lang w:val="fr-FR"/>
        </w:rPr>
        <w:t xml:space="preserve"> </w:t>
      </w:r>
      <w:r>
        <w:rPr>
          <w:i/>
          <w:iCs/>
          <w:lang w:val="fr-FR"/>
        </w:rPr>
        <w:t xml:space="preserve">S. S. et P. S. </w:t>
      </w:r>
      <w:r w:rsidRPr="00EC5E80">
        <w:rPr>
          <w:i/>
          <w:lang w:val="fr-FR"/>
        </w:rPr>
        <w:t>c.</w:t>
      </w:r>
      <w:r>
        <w:rPr>
          <w:iCs/>
          <w:lang w:val="fr-FR"/>
        </w:rPr>
        <w:t> </w:t>
      </w:r>
      <w:r>
        <w:rPr>
          <w:i/>
          <w:iCs/>
          <w:lang w:val="fr-FR"/>
        </w:rPr>
        <w:t>Canada</w:t>
      </w:r>
      <w:r>
        <w:rPr>
          <w:lang w:val="fr-FR"/>
        </w:rPr>
        <w:t xml:space="preserve"> (CAT/C/62/D/702/2015), par. 6.6,; </w:t>
      </w:r>
      <w:proofErr w:type="spellStart"/>
      <w:r>
        <w:rPr>
          <w:i/>
          <w:iCs/>
          <w:lang w:val="fr-FR"/>
        </w:rPr>
        <w:t>Shodeinde</w:t>
      </w:r>
      <w:proofErr w:type="spellEnd"/>
      <w:r>
        <w:rPr>
          <w:i/>
          <w:iCs/>
          <w:lang w:val="fr-FR"/>
        </w:rPr>
        <w:t xml:space="preserve"> </w:t>
      </w:r>
      <w:r w:rsidRPr="00EC5E80">
        <w:rPr>
          <w:i/>
          <w:lang w:val="fr-FR"/>
        </w:rPr>
        <w:t>c.</w:t>
      </w:r>
      <w:r>
        <w:rPr>
          <w:iCs/>
          <w:lang w:val="fr-FR"/>
        </w:rPr>
        <w:t> </w:t>
      </w:r>
      <w:r>
        <w:rPr>
          <w:i/>
          <w:iCs/>
          <w:lang w:val="fr-FR"/>
        </w:rPr>
        <w:t xml:space="preserve">Canada </w:t>
      </w:r>
      <w:r>
        <w:rPr>
          <w:lang w:val="fr-FR"/>
        </w:rPr>
        <w:t xml:space="preserve">(CAT/C/63/D/621/2014), par. 6.8; </w:t>
      </w:r>
      <w:r>
        <w:rPr>
          <w:i/>
          <w:iCs/>
          <w:lang w:val="fr-FR"/>
        </w:rPr>
        <w:t xml:space="preserve">U. A. </w:t>
      </w:r>
      <w:r w:rsidRPr="00EC5E80">
        <w:rPr>
          <w:i/>
          <w:lang w:val="fr-FR"/>
        </w:rPr>
        <w:t>c.</w:t>
      </w:r>
      <w:r>
        <w:rPr>
          <w:iCs/>
          <w:lang w:val="fr-FR"/>
        </w:rPr>
        <w:t> </w:t>
      </w:r>
      <w:r>
        <w:rPr>
          <w:i/>
          <w:iCs/>
          <w:lang w:val="fr-FR"/>
        </w:rPr>
        <w:t>Canada</w:t>
      </w:r>
      <w:r>
        <w:rPr>
          <w:lang w:val="fr-FR"/>
        </w:rPr>
        <w:t xml:space="preserve"> (CAT/C/63/D/767/2016), par. 6.7. </w:t>
      </w:r>
    </w:p>
  </w:footnote>
  <w:footnote w:id="29">
    <w:p w:rsidR="00C44708" w:rsidRPr="004A7C36" w:rsidRDefault="00C44708" w:rsidP="00FD11F7">
      <w:pPr>
        <w:pStyle w:val="Notedebasdepage"/>
        <w:ind w:hanging="283"/>
        <w:rPr>
          <w:lang w:val="es-ES"/>
        </w:rPr>
      </w:pPr>
      <w:r>
        <w:rPr>
          <w:rStyle w:val="Appelnotedebasdep"/>
        </w:rPr>
        <w:footnoteRef/>
      </w:r>
      <w:r w:rsidRPr="004A7C36">
        <w:rPr>
          <w:lang w:val="es-ES"/>
        </w:rPr>
        <w:t xml:space="preserve"> </w:t>
      </w:r>
      <w:proofErr w:type="spellStart"/>
      <w:r w:rsidRPr="004A7C36">
        <w:rPr>
          <w:lang w:val="es-ES"/>
        </w:rPr>
        <w:t>Voir</w:t>
      </w:r>
      <w:proofErr w:type="spellEnd"/>
      <w:r w:rsidRPr="004A7C36">
        <w:rPr>
          <w:lang w:val="es-ES"/>
        </w:rPr>
        <w:t xml:space="preserve"> </w:t>
      </w:r>
      <w:proofErr w:type="spellStart"/>
      <w:r w:rsidRPr="004A7C36">
        <w:rPr>
          <w:i/>
          <w:iCs/>
          <w:lang w:val="es-ES"/>
        </w:rPr>
        <w:t>Shodeinde</w:t>
      </w:r>
      <w:proofErr w:type="spellEnd"/>
      <w:r>
        <w:rPr>
          <w:i/>
          <w:lang w:val="es-ES"/>
        </w:rPr>
        <w:t xml:space="preserve"> c</w:t>
      </w:r>
      <w:r w:rsidRPr="009B0FCD">
        <w:rPr>
          <w:i/>
          <w:lang w:val="es-ES"/>
        </w:rPr>
        <w:t xml:space="preserve">. </w:t>
      </w:r>
      <w:proofErr w:type="spellStart"/>
      <w:r w:rsidRPr="009B0FCD">
        <w:rPr>
          <w:i/>
          <w:lang w:val="es-ES"/>
        </w:rPr>
        <w:t>Canada</w:t>
      </w:r>
      <w:proofErr w:type="spellEnd"/>
      <w:r>
        <w:rPr>
          <w:lang w:val="es-ES"/>
        </w:rPr>
        <w:t>, par.</w:t>
      </w:r>
      <w:r w:rsidR="00EC5E80">
        <w:rPr>
          <w:lang w:val="es-ES"/>
        </w:rPr>
        <w:t> </w:t>
      </w:r>
      <w:r>
        <w:rPr>
          <w:lang w:val="es-ES"/>
        </w:rPr>
        <w:t>7 c).</w:t>
      </w:r>
    </w:p>
    <w:p w:rsidR="00C44708" w:rsidRPr="004A7C36" w:rsidRDefault="00C44708" w:rsidP="00FD11F7">
      <w:pPr>
        <w:pStyle w:val="Notedebasdepag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08" w:rsidRPr="00FD11F7" w:rsidRDefault="00442130">
    <w:pPr>
      <w:pStyle w:val="En-tte"/>
    </w:pPr>
    <w:fldSimple w:instr=" TITLE  \* MERGEFORMAT ">
      <w:r w:rsidR="00C44708">
        <w:t>CAT/C/64/D/615/2014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08" w:rsidRPr="00FD11F7" w:rsidRDefault="00442130" w:rsidP="00FD11F7">
    <w:pPr>
      <w:pStyle w:val="En-tte"/>
      <w:jc w:val="right"/>
    </w:pPr>
    <w:fldSimple w:instr=" TITLE  \* MERGEFORMAT ">
      <w:r w:rsidR="00C44708">
        <w:t>CAT/C/64/D/615/2014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11CE"/>
    <w:rsid w:val="00023842"/>
    <w:rsid w:val="00035AE4"/>
    <w:rsid w:val="00037DF1"/>
    <w:rsid w:val="0007796D"/>
    <w:rsid w:val="00101756"/>
    <w:rsid w:val="00111F2F"/>
    <w:rsid w:val="0014365E"/>
    <w:rsid w:val="00176178"/>
    <w:rsid w:val="001F525A"/>
    <w:rsid w:val="00285DE5"/>
    <w:rsid w:val="002C0F7C"/>
    <w:rsid w:val="00442130"/>
    <w:rsid w:val="00446FE5"/>
    <w:rsid w:val="004D6539"/>
    <w:rsid w:val="004F046A"/>
    <w:rsid w:val="00553A1F"/>
    <w:rsid w:val="00573BE5"/>
    <w:rsid w:val="00586ED3"/>
    <w:rsid w:val="00587A52"/>
    <w:rsid w:val="005970D5"/>
    <w:rsid w:val="005A51D3"/>
    <w:rsid w:val="005B4E23"/>
    <w:rsid w:val="00621144"/>
    <w:rsid w:val="007011CE"/>
    <w:rsid w:val="0071601D"/>
    <w:rsid w:val="007432FB"/>
    <w:rsid w:val="007C3C6B"/>
    <w:rsid w:val="0080684C"/>
    <w:rsid w:val="00807D21"/>
    <w:rsid w:val="00840C6C"/>
    <w:rsid w:val="00856F4E"/>
    <w:rsid w:val="00871C75"/>
    <w:rsid w:val="008776DC"/>
    <w:rsid w:val="009366A3"/>
    <w:rsid w:val="009705C8"/>
    <w:rsid w:val="009C4D45"/>
    <w:rsid w:val="009F531E"/>
    <w:rsid w:val="00A05770"/>
    <w:rsid w:val="00A37C92"/>
    <w:rsid w:val="00A704A8"/>
    <w:rsid w:val="00AA0CD3"/>
    <w:rsid w:val="00AB1B55"/>
    <w:rsid w:val="00AE323C"/>
    <w:rsid w:val="00B404A6"/>
    <w:rsid w:val="00BA41F4"/>
    <w:rsid w:val="00C02897"/>
    <w:rsid w:val="00C44708"/>
    <w:rsid w:val="00CA143A"/>
    <w:rsid w:val="00CA5CE1"/>
    <w:rsid w:val="00CD326D"/>
    <w:rsid w:val="00D14505"/>
    <w:rsid w:val="00D21E12"/>
    <w:rsid w:val="00DB1831"/>
    <w:rsid w:val="00DD3BFD"/>
    <w:rsid w:val="00DF2C53"/>
    <w:rsid w:val="00DF6AB4"/>
    <w:rsid w:val="00E554A4"/>
    <w:rsid w:val="00E64F03"/>
    <w:rsid w:val="00E9321A"/>
    <w:rsid w:val="00EA0D23"/>
    <w:rsid w:val="00EA3F83"/>
    <w:rsid w:val="00EC5E80"/>
    <w:rsid w:val="00EE6EA3"/>
    <w:rsid w:val="00F660DF"/>
    <w:rsid w:val="00F95C08"/>
    <w:rsid w:val="00FA4588"/>
    <w:rsid w:val="00FD11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31170"/>
  <w15:docId w15:val="{0DB42439-B4EB-4C15-998F-46B737E1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5199</Words>
  <Characters>29638</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CAT/C/64/D/615/2014</vt:lpstr>
    </vt:vector>
  </TitlesOfParts>
  <Company>DCM</Company>
  <LinksUpToDate>false</LinksUpToDate>
  <CharactersWithSpaces>34768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CAT/C/64/D/615/2014</dc:title>
  <dc:subject/>
  <dc:creator>Fabienne CRELIER</dc:creator>
  <cp:keywords/>
  <cp:lastModifiedBy>Fabienne CRELIER</cp:lastModifiedBy>
  <cp:revision>2</cp:revision>
  <dcterms:created xsi:type="dcterms:W3CDTF">2020-06-26T07:14:00Z</dcterms:created>
  <dcterms:modified xsi:type="dcterms:W3CDTF">2020-06-26T07:14:00Z</dcterms:modified>
</cp:coreProperties>
</file>