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4B1925"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bookmarkStart w:id="0" w:name="_GoBack"/>
            <w:bookmarkEnd w:id="0"/>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E846F6" w:rsidRDefault="00E846F6" w:rsidP="00E846F6">
            <w:pPr>
              <w:suppressAutoHyphens w:val="0"/>
              <w:jc w:val="right"/>
              <w:rPr>
                <w:lang w:val="en-GB"/>
              </w:rPr>
            </w:pPr>
            <w:r w:rsidRPr="00E846F6">
              <w:rPr>
                <w:sz w:val="40"/>
                <w:lang w:val="en-GB"/>
              </w:rPr>
              <w:t>CAT</w:t>
            </w:r>
            <w:r>
              <w:rPr>
                <w:lang w:val="en-GB"/>
              </w:rPr>
              <w:t>/C/MCO/CO/6/Add.1</w:t>
            </w:r>
          </w:p>
        </w:tc>
      </w:tr>
      <w:tr w:rsidR="001E498C" w:rsidRPr="00F43810" w:rsidTr="00981901">
        <w:trPr>
          <w:cantSplit/>
          <w:trHeight w:hRule="exact" w:val="2835"/>
        </w:trPr>
        <w:tc>
          <w:tcPr>
            <w:tcW w:w="1276" w:type="dxa"/>
            <w:tcBorders>
              <w:top w:val="single" w:sz="4" w:space="0" w:color="auto"/>
              <w:bottom w:val="single" w:sz="12" w:space="0" w:color="auto"/>
            </w:tcBorders>
          </w:tcPr>
          <w:p w:rsidR="001E498C" w:rsidRPr="00F43810" w:rsidRDefault="001E498C" w:rsidP="00981901">
            <w:pPr>
              <w:spacing w:before="120"/>
              <w:jc w:val="center"/>
            </w:pPr>
            <w:r w:rsidRPr="00F43810">
              <w:rPr>
                <w:noProof/>
                <w:lang w:eastAsia="fr-CH"/>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F43810" w:rsidP="00981901">
            <w:pPr>
              <w:spacing w:before="120" w:line="380" w:lineRule="exact"/>
            </w:pPr>
            <w:r w:rsidRPr="00F43810">
              <w:rPr>
                <w:b/>
                <w:sz w:val="34"/>
                <w:szCs w:val="34"/>
              </w:rPr>
              <w:t>Convention contre</w:t>
            </w:r>
            <w:r w:rsidRPr="00F43810">
              <w:rPr>
                <w:b/>
                <w:sz w:val="34"/>
                <w:szCs w:val="34"/>
              </w:rPr>
              <w:br/>
              <w:t>la torture et autres peines</w:t>
            </w:r>
            <w:r w:rsidRPr="00F43810">
              <w:rPr>
                <w:b/>
                <w:sz w:val="34"/>
                <w:szCs w:val="34"/>
              </w:rPr>
              <w:br/>
              <w:t>ou traitements cruels,</w:t>
            </w:r>
            <w:r w:rsidRPr="00F43810">
              <w:rPr>
                <w:b/>
                <w:sz w:val="34"/>
                <w:szCs w:val="34"/>
              </w:rPr>
              <w:br/>
              <w:t>inhumains ou dégradants</w:t>
            </w:r>
          </w:p>
        </w:tc>
        <w:tc>
          <w:tcPr>
            <w:tcW w:w="2835" w:type="dxa"/>
            <w:tcBorders>
              <w:top w:val="single" w:sz="4" w:space="0" w:color="auto"/>
              <w:bottom w:val="single" w:sz="12" w:space="0" w:color="auto"/>
            </w:tcBorders>
          </w:tcPr>
          <w:p w:rsidR="001E498C" w:rsidRPr="00F43810" w:rsidRDefault="001E498C" w:rsidP="00981901">
            <w:pPr>
              <w:suppressAutoHyphens w:val="0"/>
              <w:spacing w:before="240" w:line="240" w:lineRule="exact"/>
            </w:pPr>
            <w:r w:rsidRPr="00F43810">
              <w:t xml:space="preserve">Distr. </w:t>
            </w:r>
            <w:fldSimple w:instr=" DOCPROPERTY  dist  \* MERGEFORMAT ">
              <w:r w:rsidR="006056E0" w:rsidRPr="00F43810">
                <w:t>générale</w:t>
              </w:r>
            </w:fldSimple>
          </w:p>
          <w:p w:rsidR="001E498C" w:rsidRPr="00F43810" w:rsidRDefault="00A8604C" w:rsidP="00981901">
            <w:pPr>
              <w:suppressAutoHyphens w:val="0"/>
            </w:pPr>
            <w:fldSimple w:instr=" DOCPROPERTY  date  \* MERGEFORMAT ">
              <w:r w:rsidR="006056E0" w:rsidRPr="00F43810">
                <w:t>2</w:t>
              </w:r>
              <w:r w:rsidR="00CA01B0">
                <w:t>2</w:t>
              </w:r>
              <w:r w:rsidR="006056E0" w:rsidRPr="00F43810">
                <w:t xml:space="preserve"> décembre 2017</w:t>
              </w:r>
            </w:fldSimple>
          </w:p>
          <w:p w:rsidR="006056E0" w:rsidRPr="00F43810" w:rsidRDefault="0037014C" w:rsidP="00981901">
            <w:pPr>
              <w:suppressAutoHyphens w:val="0"/>
            </w:pPr>
            <w:r>
              <w:fldChar w:fldCharType="begin"/>
            </w:r>
            <w:r>
              <w:instrText xml:space="preserve"> DOCPROPERTY  tlang  \* MERGEFORMAT </w:instrText>
            </w:r>
            <w:r>
              <w:fldChar w:fldCharType="end"/>
            </w:r>
          </w:p>
          <w:p w:rsidR="001E498C" w:rsidRPr="00F43810" w:rsidRDefault="001E498C" w:rsidP="00981901">
            <w:pPr>
              <w:suppressAutoHyphens w:val="0"/>
            </w:pPr>
            <w:r w:rsidRPr="00F43810">
              <w:t>Original</w:t>
            </w:r>
            <w:r w:rsidR="007815DF">
              <w:t> </w:t>
            </w:r>
            <w:r w:rsidRPr="00F43810">
              <w:t xml:space="preserve">: </w:t>
            </w:r>
            <w:fldSimple w:instr=" DOCPROPERTY  olang  \* MERGEFORMAT ">
              <w:r w:rsidR="006056E0" w:rsidRPr="00F43810">
                <w:t>français</w:t>
              </w:r>
            </w:fldSimple>
          </w:p>
          <w:p w:rsidR="006056E0" w:rsidRPr="00F43810" w:rsidRDefault="00A8604C" w:rsidP="00981901">
            <w:pPr>
              <w:suppressAutoHyphens w:val="0"/>
            </w:pPr>
            <w:fldSimple w:instr=" DOCPROPERTY  virs  \* MERGEFORMAT ">
              <w:r w:rsidR="001336E3">
                <w:t>Anglais et f</w:t>
              </w:r>
              <w:r w:rsidR="006056E0" w:rsidRPr="00F43810">
                <w:t>rançais seulement</w:t>
              </w:r>
            </w:fldSimple>
          </w:p>
        </w:tc>
      </w:tr>
    </w:tbl>
    <w:p w:rsidR="00C54ED5" w:rsidRPr="00F43810" w:rsidRDefault="00C54ED5" w:rsidP="00C54ED5">
      <w:pPr>
        <w:spacing w:before="120"/>
        <w:rPr>
          <w:b/>
          <w:sz w:val="24"/>
          <w:szCs w:val="24"/>
        </w:rPr>
      </w:pPr>
      <w:r w:rsidRPr="00F43810">
        <w:rPr>
          <w:b/>
          <w:sz w:val="24"/>
          <w:szCs w:val="24"/>
        </w:rPr>
        <w:t>Comité contre la torture</w:t>
      </w:r>
    </w:p>
    <w:p w:rsidR="00C54ED5" w:rsidRPr="00775673" w:rsidRDefault="00C54ED5" w:rsidP="00970623">
      <w:pPr>
        <w:pStyle w:val="HChG"/>
      </w:pPr>
      <w:r>
        <w:tab/>
      </w:r>
      <w:r>
        <w:tab/>
      </w:r>
      <w:r w:rsidR="00970623" w:rsidRPr="000D2D65">
        <w:t>Observations finales concernant</w:t>
      </w:r>
      <w:r w:rsidR="00D16232">
        <w:t xml:space="preserve"> le</w:t>
      </w:r>
      <w:r w:rsidR="00970623" w:rsidRPr="000D2D65">
        <w:t xml:space="preserve"> </w:t>
      </w:r>
      <w:fldSimple w:instr=" DOCPROPERTY  prep  \* MERGEFORMAT ">
        <w:r w:rsidRPr="00F43810">
          <w:t>sixième rapport périodique de Monaco</w:t>
        </w:r>
      </w:fldSimple>
      <w:r w:rsidRPr="00F43810">
        <w:t xml:space="preserve"> </w:t>
      </w:r>
    </w:p>
    <w:p w:rsidR="0037014C" w:rsidRPr="00FE2DF1" w:rsidRDefault="0037014C" w:rsidP="0037014C">
      <w:pPr>
        <w:pStyle w:val="H23G"/>
        <w:rPr>
          <w:lang w:val="fr-FR"/>
        </w:rPr>
      </w:pPr>
      <w:r w:rsidRPr="00FE2DF1">
        <w:rPr>
          <w:lang w:val="fr-FR"/>
        </w:rPr>
        <w:tab/>
      </w:r>
      <w:r w:rsidRPr="00FE2DF1">
        <w:rPr>
          <w:lang w:val="fr-FR"/>
        </w:rPr>
        <w:tab/>
        <w:t>Additif</w:t>
      </w:r>
    </w:p>
    <w:p w:rsidR="00970623" w:rsidRDefault="0037014C" w:rsidP="007D34E1">
      <w:pPr>
        <w:pStyle w:val="HChG"/>
        <w:rPr>
          <w:b w:val="0"/>
          <w:sz w:val="20"/>
        </w:rPr>
      </w:pPr>
      <w:r w:rsidRPr="00FE2DF1">
        <w:rPr>
          <w:lang w:val="fr-FR"/>
        </w:rPr>
        <w:tab/>
      </w:r>
      <w:r w:rsidRPr="00FE2DF1">
        <w:rPr>
          <w:lang w:val="fr-FR"/>
        </w:rPr>
        <w:tab/>
      </w:r>
      <w:r w:rsidR="00970623">
        <w:t xml:space="preserve">Renseignements reçus </w:t>
      </w:r>
      <w:fldSimple w:instr=" DOCPROPERTY  count  \* MERGEFORMAT ">
        <w:r w:rsidR="00970623" w:rsidRPr="00F43810">
          <w:t>de Monaco</w:t>
        </w:r>
      </w:fldSimple>
      <w:r w:rsidR="00970623">
        <w:t xml:space="preserve"> au sujet de la suite donnée aux observations finales</w:t>
      </w:r>
      <w:r w:rsidR="00970623" w:rsidRPr="00970623">
        <w:rPr>
          <w:rStyle w:val="Appelnotedebasdep"/>
          <w:b w:val="0"/>
          <w:sz w:val="20"/>
          <w:vertAlign w:val="baseline"/>
        </w:rPr>
        <w:footnoteReference w:customMarkFollows="1" w:id="2"/>
        <w:t>*</w:t>
      </w:r>
    </w:p>
    <w:p w:rsidR="00944816" w:rsidRDefault="00970623" w:rsidP="00970623">
      <w:pPr>
        <w:pStyle w:val="SingleTxtG"/>
        <w:jc w:val="right"/>
      </w:pPr>
      <w:r>
        <w:t>[</w:t>
      </w:r>
      <w:r w:rsidRPr="00640E26">
        <w:t xml:space="preserve">Date de </w:t>
      </w:r>
      <w:r w:rsidRPr="00504199">
        <w:t>réception</w:t>
      </w:r>
      <w:r w:rsidR="00944816">
        <w:t> </w:t>
      </w:r>
      <w:r w:rsidRPr="00504199">
        <w:t xml:space="preserve">: </w:t>
      </w:r>
      <w:r w:rsidR="00235FBA" w:rsidRPr="00504199">
        <w:t>7 décembre 2017</w:t>
      </w:r>
      <w:r w:rsidRPr="00504199">
        <w:t>]</w:t>
      </w:r>
    </w:p>
    <w:p w:rsidR="00944816" w:rsidRDefault="00944816">
      <w:pPr>
        <w:suppressAutoHyphens w:val="0"/>
        <w:spacing w:after="200" w:line="276" w:lineRule="auto"/>
        <w:rPr>
          <w:rFonts w:eastAsiaTheme="minorHAnsi"/>
        </w:rPr>
      </w:pPr>
      <w:r>
        <w:br w:type="page"/>
      </w:r>
    </w:p>
    <w:p w:rsidR="00235FBA" w:rsidRPr="00235FBA" w:rsidRDefault="0008492E" w:rsidP="0008492E">
      <w:pPr>
        <w:pStyle w:val="SingleTxtG"/>
        <w:rPr>
          <w:lang w:val="fr-FR" w:eastAsia="fr-FR"/>
        </w:rPr>
      </w:pPr>
      <w:r w:rsidRPr="00235FBA">
        <w:rPr>
          <w:lang w:val="fr-FR" w:eastAsia="fr-FR"/>
        </w:rPr>
        <w:lastRenderedPageBreak/>
        <w:t>1.</w:t>
      </w:r>
      <w:r w:rsidRPr="00235FBA">
        <w:rPr>
          <w:lang w:val="fr-FR" w:eastAsia="fr-FR"/>
        </w:rPr>
        <w:tab/>
      </w:r>
      <w:r w:rsidR="00235FBA" w:rsidRPr="00235FBA">
        <w:rPr>
          <w:lang w:val="fr-FR" w:eastAsia="fr-FR"/>
        </w:rPr>
        <w:t>Le Comité contre la torture a examiné le sixième rapport périodique de Monaco (CAT/C/MCO/6) à ses 1468</w:t>
      </w:r>
      <w:r w:rsidR="00235FBA" w:rsidRPr="0008492E">
        <w:rPr>
          <w:vertAlign w:val="superscript"/>
          <w:lang w:val="fr-FR" w:eastAsia="fr-FR"/>
        </w:rPr>
        <w:t>e</w:t>
      </w:r>
      <w:r w:rsidR="00CA01B0">
        <w:rPr>
          <w:lang w:val="fr-FR" w:eastAsia="fr-FR"/>
        </w:rPr>
        <w:t xml:space="preserve"> </w:t>
      </w:r>
      <w:r w:rsidR="00235FBA" w:rsidRPr="00235FBA">
        <w:rPr>
          <w:lang w:val="fr-FR" w:eastAsia="fr-FR"/>
        </w:rPr>
        <w:t>et 1471</w:t>
      </w:r>
      <w:r w:rsidR="00235FBA" w:rsidRPr="0008492E">
        <w:rPr>
          <w:vertAlign w:val="superscript"/>
          <w:lang w:val="fr-FR" w:eastAsia="fr-FR"/>
        </w:rPr>
        <w:t>e</w:t>
      </w:r>
      <w:r w:rsidR="00CA01B0">
        <w:rPr>
          <w:lang w:val="fr-FR" w:eastAsia="fr-FR"/>
        </w:rPr>
        <w:t xml:space="preserve"> </w:t>
      </w:r>
      <w:r w:rsidR="00235FBA" w:rsidRPr="00235FBA">
        <w:rPr>
          <w:lang w:val="fr-FR" w:eastAsia="fr-FR"/>
        </w:rPr>
        <w:t>séances (CAT/C/SR.1468 et 1471), les 11 et 14</w:t>
      </w:r>
      <w:r w:rsidR="00CA01B0">
        <w:rPr>
          <w:lang w:val="fr-FR" w:eastAsia="fr-FR"/>
        </w:rPr>
        <w:t> </w:t>
      </w:r>
      <w:r w:rsidR="00235FBA" w:rsidRPr="00235FBA">
        <w:rPr>
          <w:lang w:val="fr-FR" w:eastAsia="fr-FR"/>
        </w:rPr>
        <w:t>novembre 2016, et a adopté à sa 1494</w:t>
      </w:r>
      <w:r w:rsidR="00235FBA" w:rsidRPr="0008492E">
        <w:rPr>
          <w:vertAlign w:val="superscript"/>
          <w:lang w:val="fr-FR" w:eastAsia="fr-FR"/>
        </w:rPr>
        <w:t>e</w:t>
      </w:r>
      <w:r w:rsidR="00CA01B0">
        <w:rPr>
          <w:lang w:val="fr-FR" w:eastAsia="fr-FR"/>
        </w:rPr>
        <w:t xml:space="preserve"> </w:t>
      </w:r>
      <w:r w:rsidR="00235FBA" w:rsidRPr="00235FBA">
        <w:rPr>
          <w:lang w:val="fr-FR" w:eastAsia="fr-FR"/>
        </w:rPr>
        <w:t>séance, le 30 novembre 2016, ses observations finales.</w:t>
      </w:r>
    </w:p>
    <w:p w:rsidR="00235FBA" w:rsidRPr="00235FBA" w:rsidRDefault="00230FC3" w:rsidP="0008492E">
      <w:pPr>
        <w:pStyle w:val="H1G"/>
        <w:rPr>
          <w:lang w:val="fr-FR" w:eastAsia="fr-FR"/>
        </w:rPr>
      </w:pPr>
      <w:r>
        <w:rPr>
          <w:lang w:val="fr-FR" w:eastAsia="fr-FR"/>
        </w:rPr>
        <w:tab/>
      </w:r>
      <w:r>
        <w:rPr>
          <w:lang w:val="fr-FR" w:eastAsia="fr-FR"/>
        </w:rPr>
        <w:tab/>
      </w:r>
      <w:r w:rsidR="00235FBA" w:rsidRPr="00235FBA">
        <w:rPr>
          <w:lang w:val="fr-FR" w:eastAsia="fr-FR"/>
        </w:rPr>
        <w:t xml:space="preserve">Procédure de suivi </w:t>
      </w:r>
    </w:p>
    <w:p w:rsidR="00235FBA" w:rsidRPr="0008492E" w:rsidRDefault="0008492E" w:rsidP="0008492E">
      <w:pPr>
        <w:pStyle w:val="SingleTxtG"/>
        <w:rPr>
          <w:lang w:val="fr-FR" w:eastAsia="fr-FR"/>
        </w:rPr>
      </w:pPr>
      <w:r w:rsidRPr="0008492E">
        <w:rPr>
          <w:lang w:val="fr-FR" w:eastAsia="fr-FR"/>
        </w:rPr>
        <w:t>2.</w:t>
      </w:r>
      <w:r w:rsidRPr="0008492E">
        <w:rPr>
          <w:lang w:val="fr-FR" w:eastAsia="fr-FR"/>
        </w:rPr>
        <w:tab/>
      </w:r>
      <w:r w:rsidR="00235FBA" w:rsidRPr="0057686A">
        <w:rPr>
          <w:spacing w:val="-2"/>
          <w:lang w:val="fr-FR" w:eastAsia="fr-FR"/>
        </w:rPr>
        <w:t>Le Comité demande à l’État partie de lui faire parvenir, d’ici au 7 décembre 2017, des renseignements sur la suite donnée aux recommandations</w:t>
      </w:r>
      <w:r w:rsidR="0057686A" w:rsidRPr="0057686A">
        <w:rPr>
          <w:spacing w:val="-2"/>
          <w:lang w:val="fr-FR" w:eastAsia="fr-FR"/>
        </w:rPr>
        <w:t xml:space="preserve"> formulées aux paragraphes </w:t>
      </w:r>
      <w:r w:rsidR="00235FBA" w:rsidRPr="0057686A">
        <w:rPr>
          <w:spacing w:val="-2"/>
          <w:lang w:val="fr-FR" w:eastAsia="fr-FR"/>
        </w:rPr>
        <w:t>13 et</w:t>
      </w:r>
      <w:r w:rsidR="002F6A13" w:rsidRPr="0057686A">
        <w:rPr>
          <w:spacing w:val="-2"/>
          <w:lang w:val="fr-FR" w:eastAsia="fr-FR"/>
        </w:rPr>
        <w:t> </w:t>
      </w:r>
      <w:r w:rsidR="00235FBA" w:rsidRPr="0057686A">
        <w:rPr>
          <w:spacing w:val="-2"/>
          <w:lang w:val="fr-FR" w:eastAsia="fr-FR"/>
        </w:rPr>
        <w:t>19.</w:t>
      </w:r>
      <w:r w:rsidR="00235FBA" w:rsidRPr="0008492E">
        <w:rPr>
          <w:lang w:val="fr-FR" w:eastAsia="fr-FR"/>
        </w:rPr>
        <w:t xml:space="preserve"> </w:t>
      </w:r>
    </w:p>
    <w:p w:rsidR="00235FBA" w:rsidRPr="00235FBA" w:rsidRDefault="00230FC3" w:rsidP="0008492E">
      <w:pPr>
        <w:pStyle w:val="H1G"/>
        <w:rPr>
          <w:lang w:val="fr-FR" w:eastAsia="fr-FR"/>
        </w:rPr>
      </w:pPr>
      <w:r>
        <w:rPr>
          <w:lang w:val="fr-FR" w:eastAsia="fr-FR"/>
        </w:rPr>
        <w:tab/>
      </w:r>
      <w:r>
        <w:rPr>
          <w:lang w:val="fr-FR" w:eastAsia="fr-FR"/>
        </w:rPr>
        <w:tab/>
      </w:r>
      <w:r w:rsidR="00235FBA" w:rsidRPr="00235FBA">
        <w:rPr>
          <w:lang w:val="fr-FR" w:eastAsia="fr-FR"/>
        </w:rPr>
        <w:t>Suites données aux recommandations formulées aux paragraphes 13 et</w:t>
      </w:r>
      <w:r w:rsidR="002F6A13">
        <w:rPr>
          <w:lang w:val="fr-FR" w:eastAsia="fr-FR"/>
        </w:rPr>
        <w:t> </w:t>
      </w:r>
      <w:r w:rsidR="00235FBA" w:rsidRPr="00235FBA">
        <w:rPr>
          <w:lang w:val="fr-FR" w:eastAsia="fr-FR"/>
        </w:rPr>
        <w:t>19</w:t>
      </w:r>
    </w:p>
    <w:p w:rsidR="00235FBA" w:rsidRPr="00235FBA" w:rsidRDefault="00230FC3" w:rsidP="00230FC3">
      <w:pPr>
        <w:pStyle w:val="H23G"/>
        <w:rPr>
          <w:lang w:val="fr-FR" w:eastAsia="fr-FR"/>
        </w:rPr>
      </w:pPr>
      <w:r>
        <w:rPr>
          <w:lang w:val="fr-FR" w:eastAsia="fr-FR"/>
        </w:rPr>
        <w:tab/>
      </w:r>
      <w:r>
        <w:rPr>
          <w:lang w:val="fr-FR" w:eastAsia="fr-FR"/>
        </w:rPr>
        <w:tab/>
      </w:r>
      <w:r w:rsidR="00235FBA" w:rsidRPr="00235FBA">
        <w:rPr>
          <w:lang w:val="fr-FR" w:eastAsia="fr-FR"/>
        </w:rPr>
        <w:t>Non-refoulement</w:t>
      </w:r>
    </w:p>
    <w:p w:rsidR="00235FBA" w:rsidRPr="0008492E" w:rsidRDefault="00235FBA" w:rsidP="00504199">
      <w:pPr>
        <w:pStyle w:val="SingleTxtG"/>
        <w:ind w:left="1701"/>
        <w:rPr>
          <w:lang w:val="fr-FR" w:eastAsia="fr-FR"/>
        </w:rPr>
      </w:pPr>
      <w:r w:rsidRPr="0008492E">
        <w:rPr>
          <w:lang w:val="fr-FR" w:eastAsia="fr-FR"/>
        </w:rPr>
        <w:t>13.</w:t>
      </w:r>
      <w:r w:rsidR="00CA01B0">
        <w:rPr>
          <w:lang w:val="fr-FR" w:eastAsia="fr-FR"/>
        </w:rPr>
        <w:tab/>
      </w:r>
      <w:r w:rsidRPr="0008492E">
        <w:rPr>
          <w:lang w:val="fr-FR" w:eastAsia="fr-FR"/>
        </w:rPr>
        <w:t xml:space="preserve">À des fins de sécurité juridique, l’État partie devrait s’assurer que les éléments de procédures applicables aux requérants d’asile ainsi que la procédure de coopération avec l’OFPRA sont établis de manière plus précise et accessible à tous. </w:t>
      </w:r>
    </w:p>
    <w:p w:rsidR="00235FBA" w:rsidRPr="0008492E" w:rsidRDefault="00235FBA" w:rsidP="00504199">
      <w:pPr>
        <w:pStyle w:val="SingleTxtG"/>
        <w:ind w:left="1701"/>
        <w:rPr>
          <w:lang w:val="fr-FR" w:eastAsia="fr-FR"/>
        </w:rPr>
      </w:pPr>
      <w:r w:rsidRPr="0008492E">
        <w:rPr>
          <w:lang w:val="fr-FR" w:eastAsia="fr-FR"/>
        </w:rPr>
        <w:t xml:space="preserve">De plus, le Comité souhaiterait disposer de données sur le nombre de demandes présentées et instruites par l’OFPRA, ainsi que sur le nombre de cas où les autorités monégasques ont suivi ou refusé l’avis de l’OFPRA et les raisons de l’acceptation ou du refus. </w:t>
      </w:r>
    </w:p>
    <w:p w:rsidR="00235FBA" w:rsidRPr="0008492E" w:rsidRDefault="00235FBA" w:rsidP="00504199">
      <w:pPr>
        <w:pStyle w:val="SingleTxtG"/>
        <w:ind w:left="1701"/>
        <w:rPr>
          <w:lang w:val="fr-FR" w:eastAsia="fr-FR"/>
        </w:rPr>
      </w:pPr>
      <w:r w:rsidRPr="0008492E">
        <w:rPr>
          <w:lang w:val="fr-FR" w:eastAsia="fr-FR"/>
        </w:rPr>
        <w:t>Le Comité souhaiterait également connaître les données sur le nombre d’appels relatifs à des ordres d’expulsion faits depuis 2011 et si ces demandes ont eu un effet suspensif pendant les délibérations de la Cour suprême. Le Comité réitère ses recommandations précédentes (CAT/C/MCO/CO/4-5, par.</w:t>
      </w:r>
      <w:r w:rsidR="008C2EA4">
        <w:rPr>
          <w:lang w:val="fr-FR" w:eastAsia="fr-FR"/>
        </w:rPr>
        <w:t> </w:t>
      </w:r>
      <w:r w:rsidRPr="0008492E">
        <w:rPr>
          <w:lang w:val="fr-FR" w:eastAsia="fr-FR"/>
        </w:rPr>
        <w:t>9) et prie l’État partie d’établir un mécanisme de suivi des dossiers de requérants d’asile auprès de l’OFPRA.</w:t>
      </w:r>
    </w:p>
    <w:p w:rsidR="00235FBA" w:rsidRPr="00235FBA" w:rsidRDefault="00230FC3" w:rsidP="00230FC3">
      <w:pPr>
        <w:pStyle w:val="H23G"/>
        <w:rPr>
          <w:color w:val="000000"/>
          <w:lang w:val="fr-FR" w:eastAsia="fr-FR"/>
        </w:rPr>
      </w:pPr>
      <w:r>
        <w:rPr>
          <w:lang w:val="fr-FR" w:eastAsia="fr-FR"/>
        </w:rPr>
        <w:tab/>
      </w:r>
      <w:r>
        <w:rPr>
          <w:lang w:val="fr-FR" w:eastAsia="fr-FR"/>
        </w:rPr>
        <w:tab/>
      </w:r>
      <w:r w:rsidR="00235FBA" w:rsidRPr="00235FBA">
        <w:rPr>
          <w:lang w:val="fr-FR" w:eastAsia="fr-FR"/>
        </w:rPr>
        <w:t>Réponses de Monaco</w:t>
      </w:r>
      <w:r w:rsidR="00235FBA" w:rsidRPr="00235FBA">
        <w:rPr>
          <w:color w:val="000000"/>
          <w:lang w:val="fr-FR" w:eastAsia="fr-FR"/>
        </w:rPr>
        <w:t xml:space="preserve"> </w:t>
      </w:r>
    </w:p>
    <w:p w:rsidR="00235FBA" w:rsidRPr="00235FBA" w:rsidRDefault="0008492E" w:rsidP="0008492E">
      <w:pPr>
        <w:pStyle w:val="SingleTxtG"/>
        <w:rPr>
          <w:lang w:val="fr-FR" w:eastAsia="fr-FR"/>
        </w:rPr>
      </w:pPr>
      <w:r w:rsidRPr="00235FBA">
        <w:rPr>
          <w:lang w:val="fr-FR" w:eastAsia="fr-FR"/>
        </w:rPr>
        <w:t>3.</w:t>
      </w:r>
      <w:r w:rsidRPr="00235FBA">
        <w:rPr>
          <w:lang w:val="fr-FR" w:eastAsia="fr-FR"/>
        </w:rPr>
        <w:tab/>
      </w:r>
      <w:r w:rsidR="008C2EA4">
        <w:rPr>
          <w:lang w:val="fr-FR" w:eastAsia="fr-FR"/>
        </w:rPr>
        <w:t>À</w:t>
      </w:r>
      <w:r w:rsidR="00235FBA" w:rsidRPr="00235FBA">
        <w:rPr>
          <w:lang w:val="fr-FR" w:eastAsia="fr-FR"/>
        </w:rPr>
        <w:t xml:space="preserve"> ce jour, une trentaine de réfugiés résident en Principauté, soit un réfugié pour mille habitants sur un territoire de 2</w:t>
      </w:r>
      <w:r w:rsidR="008C2EA4">
        <w:rPr>
          <w:lang w:val="fr-FR" w:eastAsia="fr-FR"/>
        </w:rPr>
        <w:t>km</w:t>
      </w:r>
      <w:r w:rsidR="00235FBA" w:rsidRPr="0008492E">
        <w:rPr>
          <w:sz w:val="16"/>
          <w:szCs w:val="16"/>
          <w:vertAlign w:val="superscript"/>
          <w:lang w:val="fr-FR" w:eastAsia="fr-FR"/>
        </w:rPr>
        <w:t>2</w:t>
      </w:r>
      <w:r w:rsidR="00235FBA" w:rsidRPr="00235FBA">
        <w:rPr>
          <w:lang w:val="fr-FR" w:eastAsia="fr-FR"/>
        </w:rPr>
        <w:t xml:space="preserve">. </w:t>
      </w:r>
    </w:p>
    <w:p w:rsidR="00235FBA" w:rsidRPr="00230FC3" w:rsidRDefault="00230FC3" w:rsidP="0008492E">
      <w:pPr>
        <w:pStyle w:val="H4G"/>
        <w:rPr>
          <w:lang w:val="fr-FR" w:eastAsia="fr-FR"/>
        </w:rPr>
      </w:pPr>
      <w:r>
        <w:rPr>
          <w:lang w:val="fr-FR" w:eastAsia="fr-FR"/>
        </w:rPr>
        <w:tab/>
      </w:r>
      <w:r>
        <w:rPr>
          <w:lang w:val="fr-FR" w:eastAsia="fr-FR"/>
        </w:rPr>
        <w:tab/>
      </w:r>
      <w:r w:rsidR="00235FBA" w:rsidRPr="00230FC3">
        <w:rPr>
          <w:lang w:val="fr-FR" w:eastAsia="fr-FR"/>
        </w:rPr>
        <w:t>Les demandes d’asile</w:t>
      </w:r>
    </w:p>
    <w:p w:rsidR="00235FBA" w:rsidRPr="00235FBA" w:rsidRDefault="0008492E" w:rsidP="0008492E">
      <w:pPr>
        <w:pStyle w:val="SingleTxtG"/>
        <w:rPr>
          <w:lang w:val="fr-FR" w:eastAsia="fr-FR"/>
        </w:rPr>
      </w:pPr>
      <w:r w:rsidRPr="00235FBA">
        <w:rPr>
          <w:lang w:val="fr-FR" w:eastAsia="fr-FR"/>
        </w:rPr>
        <w:t>4.</w:t>
      </w:r>
      <w:r w:rsidRPr="00235FBA">
        <w:rPr>
          <w:lang w:val="fr-FR" w:eastAsia="fr-FR"/>
        </w:rPr>
        <w:tab/>
      </w:r>
      <w:r w:rsidR="00235FBA" w:rsidRPr="00235FBA">
        <w:rPr>
          <w:lang w:val="fr-FR" w:eastAsia="fr-FR"/>
        </w:rPr>
        <w:t xml:space="preserve">Deux cas de figure peuvent se présenter : </w:t>
      </w:r>
    </w:p>
    <w:p w:rsidR="00235FBA" w:rsidRPr="00235FBA" w:rsidRDefault="00230FC3" w:rsidP="00230FC3">
      <w:pPr>
        <w:pStyle w:val="SingleTxtG"/>
        <w:ind w:firstLine="567"/>
        <w:rPr>
          <w:lang w:val="fr-FR" w:eastAsia="fr-FR"/>
        </w:rPr>
      </w:pPr>
      <w:r w:rsidRPr="00230FC3">
        <w:rPr>
          <w:lang w:val="fr-FR" w:eastAsia="fr-FR"/>
        </w:rPr>
        <w:t>a)</w:t>
      </w:r>
      <w:r>
        <w:rPr>
          <w:lang w:val="fr-FR" w:eastAsia="fr-FR"/>
        </w:rPr>
        <w:tab/>
      </w:r>
      <w:r w:rsidR="008C2EA4">
        <w:rPr>
          <w:lang w:val="fr-FR" w:eastAsia="fr-FR"/>
        </w:rPr>
        <w:t>U</w:t>
      </w:r>
      <w:r w:rsidR="00235FBA" w:rsidRPr="00235FBA">
        <w:rPr>
          <w:lang w:val="fr-FR" w:eastAsia="fr-FR"/>
        </w:rPr>
        <w:t>n individu formule une demande d’asile depuis son pays de résidence ou depuis Monaco. Il est à noter qu’il est extrêmement rare qu’un demandeur d’asile arrive directement à Monaco, compte tenu de la situation géographique de la Principauté, enclavée dans l’espace Schengen ;</w:t>
      </w:r>
      <w:r>
        <w:rPr>
          <w:lang w:val="fr-FR" w:eastAsia="fr-FR"/>
        </w:rPr>
        <w:t xml:space="preserve"> </w:t>
      </w:r>
    </w:p>
    <w:p w:rsidR="00235FBA" w:rsidRPr="00235FBA" w:rsidRDefault="00230FC3" w:rsidP="00230FC3">
      <w:pPr>
        <w:pStyle w:val="SingleTxtG"/>
        <w:ind w:firstLine="567"/>
        <w:rPr>
          <w:lang w:val="fr-FR" w:eastAsia="fr-FR"/>
        </w:rPr>
      </w:pPr>
      <w:r>
        <w:rPr>
          <w:lang w:val="fr-FR" w:eastAsia="fr-FR"/>
        </w:rPr>
        <w:t>b)</w:t>
      </w:r>
      <w:r>
        <w:rPr>
          <w:lang w:val="fr-FR" w:eastAsia="fr-FR"/>
        </w:rPr>
        <w:tab/>
      </w:r>
      <w:r w:rsidR="008C2EA4">
        <w:rPr>
          <w:lang w:val="fr-FR" w:eastAsia="fr-FR"/>
        </w:rPr>
        <w:t>U</w:t>
      </w:r>
      <w:r w:rsidR="00235FBA" w:rsidRPr="00235FBA">
        <w:rPr>
          <w:lang w:val="fr-FR" w:eastAsia="fr-FR"/>
        </w:rPr>
        <w:t>n requérant d’asile peut déjà bénéficier du statut de réfugié dans le pays d’accueil dans lequel il se trouve. S’il estime que ses conditions d’accueil ne répondent pas à ses demandes, il peut souhaiter s’établir à Monaco. Dans ce cas il s’agit d’une « réinstallation », le dossier est présenté par le HCR.</w:t>
      </w:r>
    </w:p>
    <w:p w:rsidR="00235FBA" w:rsidRPr="00235FBA" w:rsidRDefault="00230FC3" w:rsidP="0008492E">
      <w:pPr>
        <w:pStyle w:val="H4G"/>
        <w:rPr>
          <w:lang w:val="fr-FR" w:eastAsia="fr-FR"/>
        </w:rPr>
      </w:pPr>
      <w:r w:rsidRPr="00230FC3">
        <w:rPr>
          <w:lang w:val="fr-FR" w:eastAsia="fr-FR"/>
        </w:rPr>
        <w:tab/>
      </w:r>
      <w:r w:rsidRPr="00230FC3">
        <w:rPr>
          <w:lang w:val="fr-FR" w:eastAsia="fr-FR"/>
        </w:rPr>
        <w:tab/>
      </w:r>
      <w:r w:rsidR="00235FBA" w:rsidRPr="00235FBA">
        <w:rPr>
          <w:lang w:val="fr-FR" w:eastAsia="fr-FR"/>
        </w:rPr>
        <w:t xml:space="preserve">La procédure de demande d’asile ou de réinstallation </w:t>
      </w:r>
    </w:p>
    <w:p w:rsidR="00235FBA" w:rsidRPr="00235FBA" w:rsidRDefault="0008492E" w:rsidP="0008492E">
      <w:pPr>
        <w:pStyle w:val="SingleTxtG"/>
        <w:rPr>
          <w:lang w:val="fr-FR" w:eastAsia="fr-FR"/>
        </w:rPr>
      </w:pPr>
      <w:r w:rsidRPr="00235FBA">
        <w:rPr>
          <w:lang w:val="fr-FR" w:eastAsia="fr-FR"/>
        </w:rPr>
        <w:t>5.</w:t>
      </w:r>
      <w:r w:rsidRPr="00235FBA">
        <w:rPr>
          <w:lang w:val="fr-FR" w:eastAsia="fr-FR"/>
        </w:rPr>
        <w:tab/>
      </w:r>
      <w:r w:rsidR="00235FBA" w:rsidRPr="00235FBA">
        <w:rPr>
          <w:lang w:val="fr-FR" w:eastAsia="fr-FR"/>
        </w:rPr>
        <w:t>Qu’il s’agisse d’une demande d’asile proprement dite ou d’une « réinstallation », la procédure</w:t>
      </w:r>
      <w:r w:rsidR="00230FC3">
        <w:rPr>
          <w:lang w:val="fr-FR" w:eastAsia="fr-FR"/>
        </w:rPr>
        <w:t xml:space="preserve"> </w:t>
      </w:r>
      <w:r w:rsidR="00235FBA" w:rsidRPr="00235FBA">
        <w:rPr>
          <w:lang w:val="fr-FR" w:eastAsia="fr-FR"/>
        </w:rPr>
        <w:t>reste la même</w:t>
      </w:r>
      <w:r w:rsidR="00F673CA">
        <w:rPr>
          <w:lang w:val="fr-FR" w:eastAsia="fr-FR"/>
        </w:rPr>
        <w:t> </w:t>
      </w:r>
      <w:r w:rsidR="00235FBA" w:rsidRPr="00235FBA">
        <w:rPr>
          <w:lang w:val="fr-FR" w:eastAsia="fr-FR"/>
        </w:rPr>
        <w:t xml:space="preserve">: </w:t>
      </w:r>
    </w:p>
    <w:p w:rsidR="00235FBA" w:rsidRPr="00235FBA" w:rsidRDefault="0008492E" w:rsidP="0008492E">
      <w:pPr>
        <w:pStyle w:val="Bullet1G"/>
        <w:numPr>
          <w:ilvl w:val="0"/>
          <w:numId w:val="0"/>
        </w:numPr>
        <w:tabs>
          <w:tab w:val="left" w:pos="1701"/>
        </w:tabs>
        <w:ind w:left="1701" w:hanging="170"/>
        <w:rPr>
          <w:lang w:val="fr-FR" w:eastAsia="fr-FR"/>
        </w:rPr>
      </w:pPr>
      <w:r w:rsidRPr="00235FBA">
        <w:rPr>
          <w:lang w:val="fr-FR" w:eastAsia="fr-FR"/>
        </w:rPr>
        <w:t>•</w:t>
      </w:r>
      <w:r w:rsidRPr="00235FBA">
        <w:rPr>
          <w:lang w:val="fr-FR" w:eastAsia="fr-FR"/>
        </w:rPr>
        <w:tab/>
      </w:r>
      <w:r w:rsidR="008C2EA4" w:rsidRPr="00235FBA">
        <w:rPr>
          <w:lang w:val="fr-FR" w:eastAsia="fr-FR"/>
        </w:rPr>
        <w:t xml:space="preserve">Le </w:t>
      </w:r>
      <w:r w:rsidR="00235FBA" w:rsidRPr="00235FBA">
        <w:rPr>
          <w:lang w:val="fr-FR" w:eastAsia="fr-FR"/>
        </w:rPr>
        <w:t xml:space="preserve">Ministre d’Etat saisit l’OFPRA et transmet le dossier pour instruction et avis simple, si le Gouvernement Princier juge la demande justifiée ; </w:t>
      </w:r>
    </w:p>
    <w:p w:rsidR="00235FBA" w:rsidRPr="00235FBA" w:rsidRDefault="0008492E" w:rsidP="0008492E">
      <w:pPr>
        <w:pStyle w:val="Bullet1G"/>
        <w:numPr>
          <w:ilvl w:val="0"/>
          <w:numId w:val="0"/>
        </w:numPr>
        <w:tabs>
          <w:tab w:val="left" w:pos="1701"/>
        </w:tabs>
        <w:ind w:left="1701" w:hanging="170"/>
        <w:rPr>
          <w:lang w:val="fr-FR" w:eastAsia="fr-FR"/>
        </w:rPr>
      </w:pPr>
      <w:r w:rsidRPr="00235FBA">
        <w:rPr>
          <w:lang w:val="fr-FR" w:eastAsia="fr-FR"/>
        </w:rPr>
        <w:t>•</w:t>
      </w:r>
      <w:r w:rsidRPr="00235FBA">
        <w:rPr>
          <w:lang w:val="fr-FR" w:eastAsia="fr-FR"/>
        </w:rPr>
        <w:tab/>
      </w:r>
      <w:r w:rsidR="008C2EA4" w:rsidRPr="00235FBA">
        <w:rPr>
          <w:lang w:val="fr-FR" w:eastAsia="fr-FR"/>
        </w:rPr>
        <w:t xml:space="preserve">Une </w:t>
      </w:r>
      <w:r w:rsidR="00235FBA" w:rsidRPr="00235FBA">
        <w:rPr>
          <w:lang w:val="fr-FR" w:eastAsia="fr-FR"/>
        </w:rPr>
        <w:t xml:space="preserve">fois l’avis rendu, la décision Souveraine est alors notifiée aux demandeurs ; </w:t>
      </w:r>
    </w:p>
    <w:p w:rsidR="00235FBA" w:rsidRPr="00235FBA" w:rsidRDefault="0008492E" w:rsidP="0008492E">
      <w:pPr>
        <w:pStyle w:val="Bullet1G"/>
        <w:numPr>
          <w:ilvl w:val="0"/>
          <w:numId w:val="0"/>
        </w:numPr>
        <w:tabs>
          <w:tab w:val="left" w:pos="1701"/>
        </w:tabs>
        <w:ind w:left="1701" w:hanging="170"/>
        <w:rPr>
          <w:lang w:val="fr-FR" w:eastAsia="fr-FR"/>
        </w:rPr>
      </w:pPr>
      <w:r w:rsidRPr="00235FBA">
        <w:rPr>
          <w:lang w:val="fr-FR" w:eastAsia="fr-FR"/>
        </w:rPr>
        <w:t>•</w:t>
      </w:r>
      <w:r w:rsidRPr="00235FBA">
        <w:rPr>
          <w:lang w:val="fr-FR" w:eastAsia="fr-FR"/>
        </w:rPr>
        <w:tab/>
      </w:r>
      <w:r w:rsidR="008C2EA4" w:rsidRPr="00235FBA">
        <w:rPr>
          <w:lang w:val="fr-FR" w:eastAsia="fr-FR"/>
        </w:rPr>
        <w:t xml:space="preserve">La </w:t>
      </w:r>
      <w:r w:rsidR="00235FBA" w:rsidRPr="00235FBA">
        <w:rPr>
          <w:lang w:val="fr-FR" w:eastAsia="fr-FR"/>
        </w:rPr>
        <w:t>décision est notifiée par le département des Relations Extérieures et de la Coopération de Monaco</w:t>
      </w:r>
      <w:r w:rsidR="00230FC3">
        <w:rPr>
          <w:lang w:val="fr-FR" w:eastAsia="fr-FR"/>
        </w:rPr>
        <w:t xml:space="preserve"> </w:t>
      </w:r>
      <w:r w:rsidR="00235FBA" w:rsidRPr="00235FBA">
        <w:rPr>
          <w:lang w:val="fr-FR" w:eastAsia="fr-FR"/>
        </w:rPr>
        <w:t>au HCR et à l’OFPRA ;</w:t>
      </w:r>
    </w:p>
    <w:p w:rsidR="00235FBA" w:rsidRPr="00235FBA" w:rsidRDefault="0008492E" w:rsidP="0008492E">
      <w:pPr>
        <w:pStyle w:val="Bullet1G"/>
        <w:numPr>
          <w:ilvl w:val="0"/>
          <w:numId w:val="0"/>
        </w:numPr>
        <w:tabs>
          <w:tab w:val="left" w:pos="1701"/>
        </w:tabs>
        <w:ind w:left="1701" w:hanging="170"/>
        <w:rPr>
          <w:lang w:val="fr-FR" w:eastAsia="fr-FR"/>
        </w:rPr>
      </w:pPr>
      <w:r w:rsidRPr="00235FBA">
        <w:rPr>
          <w:lang w:val="fr-FR" w:eastAsia="fr-FR"/>
        </w:rPr>
        <w:lastRenderedPageBreak/>
        <w:t>•</w:t>
      </w:r>
      <w:r w:rsidRPr="00235FBA">
        <w:rPr>
          <w:lang w:val="fr-FR" w:eastAsia="fr-FR"/>
        </w:rPr>
        <w:tab/>
      </w:r>
      <w:r w:rsidR="008C2EA4" w:rsidRPr="00235FBA">
        <w:rPr>
          <w:lang w:val="fr-FR" w:eastAsia="fr-FR"/>
        </w:rPr>
        <w:t xml:space="preserve">En </w:t>
      </w:r>
      <w:r w:rsidR="00235FBA" w:rsidRPr="00235FBA">
        <w:rPr>
          <w:lang w:val="fr-FR" w:eastAsia="fr-FR"/>
        </w:rPr>
        <w:t>cas d’accord seulement, la décision est également notifiée au Département de l’Intérieur ainsi qu’à l’Ambassade de France à Monaco, en vue d’instruire la demande de visa d’établissement pour Monaco.</w:t>
      </w:r>
    </w:p>
    <w:p w:rsidR="00235FBA" w:rsidRPr="00235FBA" w:rsidRDefault="0008492E" w:rsidP="0008492E">
      <w:pPr>
        <w:pStyle w:val="SingleTxtG"/>
        <w:rPr>
          <w:lang w:val="fr-FR" w:eastAsia="fr-FR"/>
        </w:rPr>
      </w:pPr>
      <w:r w:rsidRPr="00235FBA">
        <w:rPr>
          <w:lang w:val="fr-FR" w:eastAsia="fr-FR"/>
        </w:rPr>
        <w:t>6.</w:t>
      </w:r>
      <w:r w:rsidRPr="00235FBA">
        <w:rPr>
          <w:lang w:val="fr-FR" w:eastAsia="fr-FR"/>
        </w:rPr>
        <w:tab/>
      </w:r>
      <w:r w:rsidR="00235FBA" w:rsidRPr="00235FBA">
        <w:rPr>
          <w:lang w:val="fr-FR" w:eastAsia="fr-FR"/>
        </w:rPr>
        <w:t xml:space="preserve">Dans le cas d’une demande d’asile, le voyage est organisé et est à la charge des demandeurs. Dans le cas d’une « réinstallation », le voyage est organisé par le HCR et pris en charge par Monaco. </w:t>
      </w:r>
    </w:p>
    <w:p w:rsidR="00235FBA" w:rsidRPr="00235FBA" w:rsidRDefault="0008492E" w:rsidP="0008492E">
      <w:pPr>
        <w:pStyle w:val="SingleTxtG"/>
        <w:rPr>
          <w:lang w:val="fr-FR" w:eastAsia="fr-FR"/>
        </w:rPr>
      </w:pPr>
      <w:r w:rsidRPr="00235FBA">
        <w:rPr>
          <w:lang w:val="fr-FR" w:eastAsia="fr-FR"/>
        </w:rPr>
        <w:t>7.</w:t>
      </w:r>
      <w:r w:rsidRPr="00235FBA">
        <w:rPr>
          <w:lang w:val="fr-FR" w:eastAsia="fr-FR"/>
        </w:rPr>
        <w:tab/>
      </w:r>
      <w:r w:rsidR="00235FBA" w:rsidRPr="00235FBA">
        <w:rPr>
          <w:lang w:val="fr-FR" w:eastAsia="fr-FR"/>
        </w:rPr>
        <w:t xml:space="preserve">Dans les deux cas, les Départements sont informés des décisions prises. </w:t>
      </w:r>
    </w:p>
    <w:p w:rsidR="00235FBA" w:rsidRPr="00235FBA" w:rsidRDefault="0008492E" w:rsidP="0008492E">
      <w:pPr>
        <w:pStyle w:val="SingleTxtG"/>
        <w:rPr>
          <w:lang w:val="fr-FR" w:eastAsia="fr-FR"/>
        </w:rPr>
      </w:pPr>
      <w:r w:rsidRPr="00235FBA">
        <w:rPr>
          <w:lang w:val="fr-FR" w:eastAsia="fr-FR"/>
        </w:rPr>
        <w:t>8.</w:t>
      </w:r>
      <w:r w:rsidRPr="00235FBA">
        <w:rPr>
          <w:lang w:val="fr-FR" w:eastAsia="fr-FR"/>
        </w:rPr>
        <w:tab/>
      </w:r>
      <w:r w:rsidR="00235FBA" w:rsidRPr="00235FBA">
        <w:rPr>
          <w:lang w:val="fr-FR" w:eastAsia="fr-FR"/>
        </w:rPr>
        <w:t>Concernant l’accueil de réfugiés sur le territoire, il revient au Secrétariat Général du Gouvernement de délivrer un titre de circulation et au Département de l’Intérieur, par le biais de la Direction de la Sûreté Publique, d’établir un titre de séjour à cet effet.</w:t>
      </w:r>
      <w:r w:rsidR="00230FC3">
        <w:rPr>
          <w:lang w:val="fr-FR" w:eastAsia="fr-FR"/>
        </w:rPr>
        <w:t xml:space="preserve"> </w:t>
      </w:r>
    </w:p>
    <w:p w:rsidR="00235FBA" w:rsidRPr="00235FBA" w:rsidRDefault="0008492E" w:rsidP="0008492E">
      <w:pPr>
        <w:pStyle w:val="SingleTxtG"/>
        <w:rPr>
          <w:lang w:val="fr-FR" w:eastAsia="fr-FR"/>
        </w:rPr>
      </w:pPr>
      <w:r w:rsidRPr="00235FBA">
        <w:rPr>
          <w:lang w:val="fr-FR" w:eastAsia="fr-FR"/>
        </w:rPr>
        <w:t>9.</w:t>
      </w:r>
      <w:r w:rsidRPr="00235FBA">
        <w:rPr>
          <w:lang w:val="fr-FR" w:eastAsia="fr-FR"/>
        </w:rPr>
        <w:tab/>
      </w:r>
      <w:r w:rsidR="00235FBA" w:rsidRPr="00235FBA">
        <w:rPr>
          <w:lang w:val="fr-FR" w:eastAsia="fr-FR"/>
        </w:rPr>
        <w:t>Ainsi, la décision d’octroyer ou non l’asile est prise uniquement par les autorités monégasques. En cas de refus, l’intéressé peut exercer un recours devant le Tribunal Suprême monégasque, compétent en la matière.</w:t>
      </w:r>
      <w:r w:rsidR="00230FC3">
        <w:rPr>
          <w:lang w:val="fr-FR" w:eastAsia="fr-FR"/>
        </w:rPr>
        <w:t xml:space="preserve"> </w:t>
      </w:r>
    </w:p>
    <w:p w:rsidR="00235FBA" w:rsidRPr="00230FC3" w:rsidRDefault="00230FC3" w:rsidP="0008492E">
      <w:pPr>
        <w:pStyle w:val="H4G"/>
        <w:rPr>
          <w:lang w:val="fr-FR" w:eastAsia="fr-FR"/>
        </w:rPr>
      </w:pPr>
      <w:r>
        <w:rPr>
          <w:lang w:val="fr-FR" w:eastAsia="fr-FR"/>
        </w:rPr>
        <w:tab/>
      </w:r>
      <w:r>
        <w:rPr>
          <w:lang w:val="fr-FR" w:eastAsia="fr-FR"/>
        </w:rPr>
        <w:tab/>
      </w:r>
      <w:r w:rsidR="00235FBA" w:rsidRPr="00230FC3">
        <w:rPr>
          <w:lang w:val="fr-FR" w:eastAsia="fr-FR"/>
        </w:rPr>
        <w:t>La procédure de coopération avec l’OFPRA</w:t>
      </w:r>
    </w:p>
    <w:p w:rsidR="00235FBA" w:rsidRPr="0008492E" w:rsidRDefault="0008492E" w:rsidP="0008492E">
      <w:pPr>
        <w:pStyle w:val="SingleTxtG"/>
        <w:rPr>
          <w:lang w:val="fr-FR" w:eastAsia="fr-FR"/>
        </w:rPr>
      </w:pPr>
      <w:r w:rsidRPr="0008492E">
        <w:rPr>
          <w:lang w:val="fr-FR" w:eastAsia="fr-FR"/>
        </w:rPr>
        <w:t>10.</w:t>
      </w:r>
      <w:r w:rsidRPr="0008492E">
        <w:rPr>
          <w:lang w:val="fr-FR" w:eastAsia="fr-FR"/>
        </w:rPr>
        <w:tab/>
      </w:r>
      <w:r w:rsidR="00235FBA" w:rsidRPr="00235FBA">
        <w:rPr>
          <w:lang w:val="fr-FR" w:eastAsia="fr-FR"/>
        </w:rPr>
        <w:t xml:space="preserve">Le principe de la consultation de l’OFPRA peut s’apprécier au regard des stipulations de la convention de voisinage franco-monégasque du 18 mai 1963. L’article 2 de cette convention indique que : </w:t>
      </w:r>
      <w:r w:rsidR="00235FBA" w:rsidRPr="0008492E">
        <w:rPr>
          <w:lang w:val="fr-FR" w:eastAsia="fr-FR"/>
        </w:rPr>
        <w:t>« Le</w:t>
      </w:r>
      <w:r w:rsidR="00230FC3" w:rsidRPr="0008492E">
        <w:rPr>
          <w:lang w:val="fr-FR" w:eastAsia="fr-FR"/>
        </w:rPr>
        <w:t xml:space="preserve"> </w:t>
      </w:r>
      <w:r w:rsidR="00235FBA" w:rsidRPr="0008492E">
        <w:rPr>
          <w:lang w:val="fr-FR" w:eastAsia="fr-FR"/>
        </w:rPr>
        <w:t xml:space="preserve">Gouvernement Princier s’engage à maintenir sa législation sur l’entrée, le séjour et l’établissement des étrangers en harmonie avec la législation française en la matière ». </w:t>
      </w:r>
    </w:p>
    <w:p w:rsidR="00235FBA" w:rsidRPr="00235FBA" w:rsidRDefault="0008492E" w:rsidP="0008492E">
      <w:pPr>
        <w:pStyle w:val="SingleTxtG"/>
        <w:rPr>
          <w:lang w:val="fr-FR" w:eastAsia="fr-FR"/>
        </w:rPr>
      </w:pPr>
      <w:r w:rsidRPr="00235FBA">
        <w:rPr>
          <w:lang w:val="fr-FR" w:eastAsia="fr-FR"/>
        </w:rPr>
        <w:t>11.</w:t>
      </w:r>
      <w:r w:rsidRPr="00235FBA">
        <w:rPr>
          <w:lang w:val="fr-FR" w:eastAsia="fr-FR"/>
        </w:rPr>
        <w:tab/>
      </w:r>
      <w:r w:rsidR="00235FBA" w:rsidRPr="00235FBA">
        <w:rPr>
          <w:lang w:val="fr-FR" w:eastAsia="fr-FR"/>
        </w:rPr>
        <w:t xml:space="preserve">Il peut être également apprécié au regard de la Convention du 8 novembre 2005, destinée à adapter et à approfondir la coopération administrative dans ce domaine. </w:t>
      </w:r>
    </w:p>
    <w:p w:rsidR="00235FBA" w:rsidRPr="00235FBA" w:rsidRDefault="0008492E" w:rsidP="0008492E">
      <w:pPr>
        <w:pStyle w:val="SingleTxtG"/>
        <w:rPr>
          <w:lang w:val="fr-FR" w:eastAsia="fr-FR"/>
        </w:rPr>
      </w:pPr>
      <w:r w:rsidRPr="00235FBA">
        <w:rPr>
          <w:lang w:val="fr-FR" w:eastAsia="fr-FR"/>
        </w:rPr>
        <w:t>12.</w:t>
      </w:r>
      <w:r w:rsidRPr="00235FBA">
        <w:rPr>
          <w:lang w:val="fr-FR" w:eastAsia="fr-FR"/>
        </w:rPr>
        <w:tab/>
      </w:r>
      <w:r w:rsidR="00235FBA" w:rsidRPr="00235FBA">
        <w:rPr>
          <w:lang w:val="fr-FR" w:eastAsia="fr-FR"/>
        </w:rPr>
        <w:t>Sous ce cadre général d’entraide administrative, et comme suite à l’adhésion de la Principauté à la Convention relative au statut des réfugiés de 1951, la question particulière de la gestion des demandes d’asile est régie par un échange de lettres datant de 1955, qui prévoit que la Principauté puisse solliciter l’OFPRA pour l’appuyer dans l’instruction de ces demandes.</w:t>
      </w:r>
      <w:r w:rsidR="00230FC3">
        <w:rPr>
          <w:lang w:val="fr-FR" w:eastAsia="fr-FR"/>
        </w:rPr>
        <w:t xml:space="preserve"> </w:t>
      </w:r>
    </w:p>
    <w:p w:rsidR="00235FBA" w:rsidRPr="00235FBA" w:rsidRDefault="0008492E" w:rsidP="0008492E">
      <w:pPr>
        <w:pStyle w:val="SingleTxtG"/>
        <w:rPr>
          <w:lang w:val="fr-FR" w:eastAsia="fr-FR"/>
        </w:rPr>
      </w:pPr>
      <w:r w:rsidRPr="00235FBA">
        <w:rPr>
          <w:lang w:val="fr-FR" w:eastAsia="fr-FR"/>
        </w:rPr>
        <w:t>13.</w:t>
      </w:r>
      <w:r w:rsidRPr="00235FBA">
        <w:rPr>
          <w:lang w:val="fr-FR" w:eastAsia="fr-FR"/>
        </w:rPr>
        <w:tab/>
      </w:r>
      <w:r w:rsidR="00235FBA" w:rsidRPr="00235FBA">
        <w:rPr>
          <w:lang w:val="fr-FR" w:eastAsia="fr-FR"/>
        </w:rPr>
        <w:t xml:space="preserve">L’OFPRA est sollicité pour mener une enquête et rendre un avis consultatif, les autorités monégasques prenant la décision finale. </w:t>
      </w:r>
    </w:p>
    <w:p w:rsidR="00235FBA" w:rsidRPr="00230FC3" w:rsidRDefault="00230FC3" w:rsidP="0008492E">
      <w:pPr>
        <w:pStyle w:val="H4G"/>
        <w:rPr>
          <w:lang w:val="fr-FR" w:eastAsia="fr-FR"/>
        </w:rPr>
      </w:pPr>
      <w:r>
        <w:rPr>
          <w:lang w:val="fr-FR" w:eastAsia="fr-FR"/>
        </w:rPr>
        <w:tab/>
      </w:r>
      <w:r>
        <w:rPr>
          <w:lang w:val="fr-FR" w:eastAsia="fr-FR"/>
        </w:rPr>
        <w:tab/>
      </w:r>
      <w:r w:rsidR="00235FBA" w:rsidRPr="00230FC3">
        <w:rPr>
          <w:lang w:val="fr-FR" w:eastAsia="fr-FR"/>
        </w:rPr>
        <w:t>Nombre de cas de rejet de demande de droit d’asile</w:t>
      </w:r>
    </w:p>
    <w:p w:rsidR="00235FBA" w:rsidRPr="00235FBA" w:rsidRDefault="0008492E" w:rsidP="0008492E">
      <w:pPr>
        <w:pStyle w:val="SingleTxtG"/>
        <w:rPr>
          <w:lang w:val="fr-FR" w:eastAsia="fr-FR"/>
        </w:rPr>
      </w:pPr>
      <w:r w:rsidRPr="00235FBA">
        <w:rPr>
          <w:lang w:val="fr-FR" w:eastAsia="fr-FR"/>
        </w:rPr>
        <w:t>14.</w:t>
      </w:r>
      <w:r w:rsidRPr="00235FBA">
        <w:rPr>
          <w:lang w:val="fr-FR" w:eastAsia="fr-FR"/>
        </w:rPr>
        <w:tab/>
      </w:r>
      <w:r w:rsidR="00235FBA" w:rsidRPr="00235FBA">
        <w:rPr>
          <w:lang w:val="fr-FR" w:eastAsia="fr-FR"/>
        </w:rPr>
        <w:t xml:space="preserve">Les décisions de rejet de demande de droit d’asile sont des actes administratifs individuels rendus par le Ministère d’Etat. Elles sont motivées en fait et en droit. </w:t>
      </w:r>
    </w:p>
    <w:p w:rsidR="00235FBA" w:rsidRPr="00235FBA" w:rsidRDefault="0008492E" w:rsidP="0008492E">
      <w:pPr>
        <w:pStyle w:val="SingleTxtG"/>
        <w:rPr>
          <w:lang w:val="fr-FR" w:eastAsia="fr-FR"/>
        </w:rPr>
      </w:pPr>
      <w:r w:rsidRPr="00235FBA">
        <w:rPr>
          <w:lang w:val="fr-FR" w:eastAsia="fr-FR"/>
        </w:rPr>
        <w:t>15.</w:t>
      </w:r>
      <w:r w:rsidRPr="00235FBA">
        <w:rPr>
          <w:lang w:val="fr-FR" w:eastAsia="fr-FR"/>
        </w:rPr>
        <w:tab/>
      </w:r>
      <w:r w:rsidR="00235FBA" w:rsidRPr="00235FBA">
        <w:rPr>
          <w:lang w:val="fr-FR" w:eastAsia="fr-FR"/>
        </w:rPr>
        <w:t>Elles sont susceptibles de recours gracieux devant l’Autorité réglementaire ou contentieux (recours en excès de pouvoir devant le tribunal Suprême). Ce recours n’est pas suspensif. En revanche, il peut être assorti d’une requ</w:t>
      </w:r>
      <w:r w:rsidR="0057686A">
        <w:rPr>
          <w:lang w:val="fr-FR" w:eastAsia="fr-FR"/>
        </w:rPr>
        <w:t>ête en sursis à exécution (art. </w:t>
      </w:r>
      <w:r w:rsidR="00235FBA" w:rsidRPr="00235FBA">
        <w:rPr>
          <w:lang w:val="fr-FR" w:eastAsia="fr-FR"/>
        </w:rPr>
        <w:t>39 et 4</w:t>
      </w:r>
      <w:r w:rsidR="0057686A">
        <w:rPr>
          <w:lang w:val="fr-FR" w:eastAsia="fr-FR"/>
        </w:rPr>
        <w:t>0 de l’Ordonnance souveraine n</w:t>
      </w:r>
      <w:r w:rsidR="0057686A" w:rsidRPr="0057686A">
        <w:rPr>
          <w:vertAlign w:val="superscript"/>
          <w:lang w:val="fr-FR" w:eastAsia="fr-FR"/>
        </w:rPr>
        <w:t>o</w:t>
      </w:r>
      <w:r w:rsidR="0057686A">
        <w:rPr>
          <w:lang w:val="fr-FR" w:eastAsia="fr-FR"/>
        </w:rPr>
        <w:t> </w:t>
      </w:r>
      <w:r w:rsidR="00235FBA" w:rsidRPr="00235FBA">
        <w:rPr>
          <w:lang w:val="fr-FR" w:eastAsia="fr-FR"/>
        </w:rPr>
        <w:t xml:space="preserve">2984 du 16/04/1963 sur l’organisation et le fonctionnement du Tribunal Suprême). </w:t>
      </w:r>
    </w:p>
    <w:p w:rsidR="00235FBA" w:rsidRPr="00235FBA" w:rsidRDefault="0008492E" w:rsidP="0008492E">
      <w:pPr>
        <w:pStyle w:val="SingleTxtG"/>
        <w:rPr>
          <w:lang w:val="fr-FR" w:eastAsia="fr-FR"/>
        </w:rPr>
      </w:pPr>
      <w:r w:rsidRPr="00235FBA">
        <w:rPr>
          <w:lang w:val="fr-FR" w:eastAsia="fr-FR"/>
        </w:rPr>
        <w:t>16.</w:t>
      </w:r>
      <w:r w:rsidRPr="00235FBA">
        <w:rPr>
          <w:lang w:val="fr-FR" w:eastAsia="fr-FR"/>
        </w:rPr>
        <w:tab/>
      </w:r>
      <w:r w:rsidR="00235FBA" w:rsidRPr="00235FBA">
        <w:rPr>
          <w:lang w:val="fr-FR" w:eastAsia="fr-FR"/>
        </w:rPr>
        <w:t xml:space="preserve">Rien n’interdit </w:t>
      </w:r>
      <w:r w:rsidR="00235FBA" w:rsidRPr="00235FBA">
        <w:rPr>
          <w:i/>
          <w:lang w:val="fr-FR" w:eastAsia="fr-FR"/>
        </w:rPr>
        <w:t>a priori</w:t>
      </w:r>
      <w:r w:rsidR="00235FBA" w:rsidRPr="00235FBA">
        <w:rPr>
          <w:lang w:val="fr-FR" w:eastAsia="fr-FR"/>
        </w:rPr>
        <w:t xml:space="preserve"> au demandeur d’être assisté d’un conseil dans l’exercice de l’un ou l’autre des recours, dans le respect des règles procédurales qui régissent l’audience devant la Haute Juridiction. </w:t>
      </w:r>
    </w:p>
    <w:p w:rsidR="00235FBA" w:rsidRPr="00235FBA" w:rsidRDefault="0008492E" w:rsidP="0008492E">
      <w:pPr>
        <w:pStyle w:val="SingleTxtG"/>
        <w:rPr>
          <w:lang w:val="fr-FR" w:eastAsia="fr-FR"/>
        </w:rPr>
      </w:pPr>
      <w:r w:rsidRPr="00235FBA">
        <w:rPr>
          <w:lang w:val="fr-FR" w:eastAsia="fr-FR"/>
        </w:rPr>
        <w:t>17.</w:t>
      </w:r>
      <w:r w:rsidRPr="00235FBA">
        <w:rPr>
          <w:lang w:val="fr-FR" w:eastAsia="fr-FR"/>
        </w:rPr>
        <w:tab/>
      </w:r>
      <w:r w:rsidR="00235FBA" w:rsidRPr="00235FBA">
        <w:rPr>
          <w:color w:val="000000"/>
          <w:lang w:val="fr-FR" w:eastAsia="fr-FR"/>
        </w:rPr>
        <w:t>Ci-</w:t>
      </w:r>
      <w:r w:rsidR="00235FBA" w:rsidRPr="00504199">
        <w:rPr>
          <w:lang w:val="fr-FR" w:eastAsia="fr-FR"/>
        </w:rPr>
        <w:t>après</w:t>
      </w:r>
      <w:r w:rsidR="00235FBA" w:rsidRPr="00235FBA">
        <w:rPr>
          <w:color w:val="000000"/>
          <w:lang w:val="fr-FR" w:eastAsia="fr-FR"/>
        </w:rPr>
        <w:t xml:space="preserve">, le nombre de cas où les autorités </w:t>
      </w:r>
      <w:r w:rsidR="00235FBA" w:rsidRPr="00235FBA">
        <w:rPr>
          <w:lang w:val="fr-FR" w:eastAsia="fr-FR"/>
        </w:rPr>
        <w:t xml:space="preserve">monégasques n’ont pas suivi les recommandations de l’OFPRA : </w:t>
      </w:r>
    </w:p>
    <w:p w:rsidR="00235FBA" w:rsidRPr="00235FBA" w:rsidRDefault="0008492E" w:rsidP="0008492E">
      <w:pPr>
        <w:pStyle w:val="Bullet1G"/>
        <w:numPr>
          <w:ilvl w:val="0"/>
          <w:numId w:val="0"/>
        </w:numPr>
        <w:tabs>
          <w:tab w:val="left" w:pos="1701"/>
        </w:tabs>
        <w:ind w:left="1701" w:hanging="170"/>
        <w:rPr>
          <w:lang w:val="fr-FR" w:eastAsia="fr-FR"/>
        </w:rPr>
      </w:pPr>
      <w:r w:rsidRPr="00235FBA">
        <w:rPr>
          <w:lang w:val="fr-FR" w:eastAsia="fr-FR"/>
        </w:rPr>
        <w:t>•</w:t>
      </w:r>
      <w:r w:rsidRPr="00235FBA">
        <w:rPr>
          <w:lang w:val="fr-FR" w:eastAsia="fr-FR"/>
        </w:rPr>
        <w:tab/>
      </w:r>
      <w:r w:rsidR="00235FBA" w:rsidRPr="00235FBA">
        <w:rPr>
          <w:lang w:val="fr-FR" w:eastAsia="fr-FR"/>
        </w:rPr>
        <w:t>2 avis non suivis ;</w:t>
      </w:r>
    </w:p>
    <w:p w:rsidR="00235FBA" w:rsidRPr="00235FBA" w:rsidRDefault="0008492E" w:rsidP="0008492E">
      <w:pPr>
        <w:pStyle w:val="Bullet1G"/>
        <w:numPr>
          <w:ilvl w:val="0"/>
          <w:numId w:val="0"/>
        </w:numPr>
        <w:tabs>
          <w:tab w:val="left" w:pos="1701"/>
        </w:tabs>
        <w:ind w:left="1701" w:hanging="170"/>
        <w:rPr>
          <w:color w:val="000000"/>
          <w:u w:val="single"/>
          <w:lang w:val="fr-FR" w:eastAsia="fr-FR"/>
        </w:rPr>
      </w:pPr>
      <w:r w:rsidRPr="00235FBA">
        <w:rPr>
          <w:color w:val="000000"/>
          <w:lang w:val="fr-FR" w:eastAsia="fr-FR"/>
        </w:rPr>
        <w:t>•</w:t>
      </w:r>
      <w:r w:rsidRPr="00235FBA">
        <w:rPr>
          <w:color w:val="000000"/>
          <w:lang w:val="fr-FR" w:eastAsia="fr-FR"/>
        </w:rPr>
        <w:tab/>
      </w:r>
      <w:r w:rsidR="00235FBA" w:rsidRPr="00235FBA">
        <w:rPr>
          <w:lang w:val="fr-FR" w:eastAsia="fr-FR"/>
        </w:rPr>
        <w:t xml:space="preserve">1 avis suivi. </w:t>
      </w:r>
    </w:p>
    <w:p w:rsidR="00235FBA" w:rsidRPr="00230FC3" w:rsidRDefault="00230FC3" w:rsidP="0008492E">
      <w:pPr>
        <w:pStyle w:val="H4G"/>
        <w:rPr>
          <w:lang w:val="fr-FR" w:eastAsia="fr-FR"/>
        </w:rPr>
      </w:pPr>
      <w:r>
        <w:rPr>
          <w:lang w:val="fr-FR" w:eastAsia="fr-FR"/>
        </w:rPr>
        <w:tab/>
      </w:r>
      <w:r>
        <w:rPr>
          <w:lang w:val="fr-FR" w:eastAsia="fr-FR"/>
        </w:rPr>
        <w:tab/>
      </w:r>
      <w:r w:rsidR="00235FBA" w:rsidRPr="00230FC3">
        <w:rPr>
          <w:lang w:val="fr-FR" w:eastAsia="fr-FR"/>
        </w:rPr>
        <w:t>Le refoulement à la suite d’un rejet d’une demande de droit d’asile</w:t>
      </w:r>
    </w:p>
    <w:p w:rsidR="00235FBA" w:rsidRPr="00235FBA" w:rsidRDefault="0008492E" w:rsidP="0008492E">
      <w:pPr>
        <w:pStyle w:val="SingleTxtG"/>
        <w:rPr>
          <w:lang w:val="fr-FR" w:eastAsia="fr-FR"/>
        </w:rPr>
      </w:pPr>
      <w:r w:rsidRPr="00235FBA">
        <w:rPr>
          <w:lang w:val="fr-FR" w:eastAsia="fr-FR"/>
        </w:rPr>
        <w:t>18.</w:t>
      </w:r>
      <w:r w:rsidRPr="00235FBA">
        <w:rPr>
          <w:lang w:val="fr-FR" w:eastAsia="fr-FR"/>
        </w:rPr>
        <w:tab/>
      </w:r>
      <w:r w:rsidR="00235FBA" w:rsidRPr="00235FBA">
        <w:rPr>
          <w:lang w:val="fr-FR" w:eastAsia="fr-FR"/>
        </w:rPr>
        <w:t>La mesure de refoulement est prévue par l’article 22 de l’Ordonnance Souveraine n</w:t>
      </w:r>
      <w:r w:rsidR="00F673CA" w:rsidRPr="0008492E">
        <w:rPr>
          <w:vertAlign w:val="superscript"/>
          <w:lang w:val="fr-FR" w:eastAsia="fr-FR"/>
        </w:rPr>
        <w:t>o</w:t>
      </w:r>
      <w:r w:rsidR="00F673CA">
        <w:rPr>
          <w:lang w:val="fr-FR" w:eastAsia="fr-FR"/>
        </w:rPr>
        <w:t> </w:t>
      </w:r>
      <w:r w:rsidR="00235FBA" w:rsidRPr="00235FBA">
        <w:rPr>
          <w:lang w:val="fr-FR" w:eastAsia="fr-FR"/>
        </w:rPr>
        <w:t xml:space="preserve">3.153 du19 mars 1964 relative aux conditions d’entrée et de séjour. Cette mesure est un acte administratif individuel motivé, pris à l’encontre de toute personne étrangère, résidente ou non. </w:t>
      </w:r>
    </w:p>
    <w:p w:rsidR="00235FBA" w:rsidRPr="0008492E" w:rsidRDefault="0008492E" w:rsidP="0008492E">
      <w:pPr>
        <w:pStyle w:val="SingleTxtG"/>
        <w:rPr>
          <w:lang w:val="fr-FR" w:eastAsia="fr-FR"/>
        </w:rPr>
      </w:pPr>
      <w:r w:rsidRPr="0008492E">
        <w:rPr>
          <w:lang w:val="fr-FR" w:eastAsia="fr-FR"/>
        </w:rPr>
        <w:lastRenderedPageBreak/>
        <w:t>19.</w:t>
      </w:r>
      <w:r w:rsidRPr="0008492E">
        <w:rPr>
          <w:lang w:val="fr-FR" w:eastAsia="fr-FR"/>
        </w:rPr>
        <w:tab/>
      </w:r>
      <w:r w:rsidR="00235FBA" w:rsidRPr="00235FBA">
        <w:rPr>
          <w:lang w:val="fr-FR" w:eastAsia="fr-FR"/>
        </w:rPr>
        <w:t xml:space="preserve">En tout état de cause, le demandeur n’est pas éloigné. Dans l’absolu, il devra demander un </w:t>
      </w:r>
      <w:r w:rsidR="00235FBA" w:rsidRPr="0008492E">
        <w:rPr>
          <w:lang w:val="fr-FR" w:eastAsia="fr-FR"/>
        </w:rPr>
        <w:t xml:space="preserve">visa de circulation C pour se maintenir et se déplacer dans l’espace Schengen auprès des autorités françaises ou solliciter l’asile. Au-delà de trois mois de séjour, il devra demander un visa D Schengen. </w:t>
      </w:r>
    </w:p>
    <w:p w:rsidR="00235FBA" w:rsidRPr="00230FC3" w:rsidRDefault="00230FC3" w:rsidP="0008492E">
      <w:pPr>
        <w:pStyle w:val="H4G"/>
        <w:rPr>
          <w:lang w:val="fr-FR" w:eastAsia="fr-FR"/>
        </w:rPr>
      </w:pPr>
      <w:r>
        <w:rPr>
          <w:lang w:val="fr-FR" w:eastAsia="fr-FR"/>
        </w:rPr>
        <w:tab/>
      </w:r>
      <w:r>
        <w:rPr>
          <w:lang w:val="fr-FR" w:eastAsia="fr-FR"/>
        </w:rPr>
        <w:tab/>
      </w:r>
      <w:r w:rsidR="00235FBA" w:rsidRPr="00230FC3">
        <w:rPr>
          <w:lang w:val="fr-FR" w:eastAsia="fr-FR"/>
        </w:rPr>
        <w:t>Le nombre d’ordres</w:t>
      </w:r>
      <w:r w:rsidR="00504199">
        <w:rPr>
          <w:lang w:val="fr-FR" w:eastAsia="fr-FR"/>
        </w:rPr>
        <w:t xml:space="preserve"> d’expulsion</w:t>
      </w:r>
    </w:p>
    <w:p w:rsidR="00235FBA" w:rsidRPr="00235FBA" w:rsidRDefault="0008492E" w:rsidP="0008492E">
      <w:pPr>
        <w:pStyle w:val="SingleTxtG"/>
        <w:rPr>
          <w:lang w:val="fr-FR" w:eastAsia="fr-FR"/>
        </w:rPr>
      </w:pPr>
      <w:r w:rsidRPr="00235FBA">
        <w:rPr>
          <w:lang w:val="fr-FR" w:eastAsia="fr-FR"/>
        </w:rPr>
        <w:t>20.</w:t>
      </w:r>
      <w:r w:rsidRPr="00235FBA">
        <w:rPr>
          <w:lang w:val="fr-FR" w:eastAsia="fr-FR"/>
        </w:rPr>
        <w:tab/>
      </w:r>
      <w:r w:rsidR="00235FBA" w:rsidRPr="00235FBA">
        <w:rPr>
          <w:lang w:val="fr-FR" w:eastAsia="fr-FR"/>
        </w:rPr>
        <w:t>S’agissant des données relatives aux nombres d’appel à des ordres d’expulsion depuis 2011, 13 recours ont eu lieu devant le Tribunal Suprême, formés contre des mesures de refoulement du territoire monégasque, dont un accompagné d’une demande de sursis à exécution.</w:t>
      </w:r>
      <w:r w:rsidR="00230FC3">
        <w:rPr>
          <w:lang w:val="fr-FR" w:eastAsia="fr-FR"/>
        </w:rPr>
        <w:t xml:space="preserve"> </w:t>
      </w:r>
    </w:p>
    <w:p w:rsidR="00235FBA" w:rsidRPr="00235FBA" w:rsidRDefault="00230FC3" w:rsidP="00230FC3">
      <w:pPr>
        <w:pStyle w:val="H23G"/>
        <w:rPr>
          <w:lang w:val="fr-FR" w:eastAsia="fr-FR"/>
        </w:rPr>
      </w:pPr>
      <w:r>
        <w:rPr>
          <w:lang w:val="fr-FR" w:eastAsia="fr-FR"/>
        </w:rPr>
        <w:tab/>
      </w:r>
      <w:r>
        <w:rPr>
          <w:lang w:val="fr-FR" w:eastAsia="fr-FR"/>
        </w:rPr>
        <w:tab/>
      </w:r>
      <w:r w:rsidR="00235FBA" w:rsidRPr="00235FBA">
        <w:rPr>
          <w:lang w:val="fr-FR" w:eastAsia="fr-FR"/>
        </w:rPr>
        <w:t>Suivi des conditions des détenus transférés</w:t>
      </w:r>
    </w:p>
    <w:p w:rsidR="00235FBA" w:rsidRPr="0008492E" w:rsidRDefault="00235FBA" w:rsidP="00504199">
      <w:pPr>
        <w:pStyle w:val="SingleTxtG"/>
        <w:ind w:left="1701"/>
        <w:rPr>
          <w:lang w:val="fr-FR" w:eastAsia="fr-FR"/>
        </w:rPr>
      </w:pPr>
      <w:r w:rsidRPr="0008492E">
        <w:rPr>
          <w:lang w:val="fr-FR" w:eastAsia="fr-FR"/>
        </w:rPr>
        <w:t>19.</w:t>
      </w:r>
      <w:r w:rsidR="00657DBD">
        <w:rPr>
          <w:lang w:val="fr-FR" w:eastAsia="fr-FR"/>
        </w:rPr>
        <w:tab/>
      </w:r>
      <w:r w:rsidRPr="0008492E">
        <w:rPr>
          <w:lang w:val="fr-FR" w:eastAsia="fr-FR"/>
        </w:rPr>
        <w:t xml:space="preserve">L’État partie devrait prendre d’urgence des mesures pour : </w:t>
      </w:r>
    </w:p>
    <w:p w:rsidR="00235FBA" w:rsidRPr="0008492E" w:rsidRDefault="0045246F" w:rsidP="0008492E">
      <w:pPr>
        <w:pStyle w:val="SingleTxtG"/>
        <w:ind w:left="1701" w:firstLine="567"/>
        <w:rPr>
          <w:lang w:val="fr-FR" w:eastAsia="fr-FR"/>
        </w:rPr>
      </w:pPr>
      <w:r>
        <w:rPr>
          <w:lang w:val="fr-FR" w:eastAsia="fr-FR"/>
        </w:rPr>
        <w:t>a)</w:t>
      </w:r>
      <w:r>
        <w:rPr>
          <w:lang w:val="fr-FR" w:eastAsia="fr-FR"/>
        </w:rPr>
        <w:tab/>
      </w:r>
      <w:r w:rsidR="00235FBA" w:rsidRPr="0008492E">
        <w:rPr>
          <w:lang w:val="fr-FR" w:eastAsia="fr-FR"/>
        </w:rPr>
        <w:t>S’assurer que le juge d’application des peines monégasque peut effectuer des visites de suivi des détenus qui exécutent leurs peines en France et transmettre au Comité les rapports de ces visites</w:t>
      </w:r>
      <w:r w:rsidR="00676988">
        <w:rPr>
          <w:lang w:val="fr-FR" w:eastAsia="fr-FR"/>
        </w:rPr>
        <w:t> </w:t>
      </w:r>
      <w:r w:rsidR="00235FBA" w:rsidRPr="0008492E">
        <w:rPr>
          <w:lang w:val="fr-FR" w:eastAsia="fr-FR"/>
        </w:rPr>
        <w:t xml:space="preserve">; </w:t>
      </w:r>
    </w:p>
    <w:p w:rsidR="00235FBA" w:rsidRPr="0008492E" w:rsidRDefault="0045246F" w:rsidP="0008492E">
      <w:pPr>
        <w:pStyle w:val="SingleTxtG"/>
        <w:ind w:left="1701" w:firstLine="567"/>
        <w:rPr>
          <w:lang w:val="fr-FR" w:eastAsia="fr-FR"/>
        </w:rPr>
      </w:pPr>
      <w:r>
        <w:rPr>
          <w:lang w:val="fr-FR" w:eastAsia="fr-FR"/>
        </w:rPr>
        <w:t>b)</w:t>
      </w:r>
      <w:r>
        <w:rPr>
          <w:lang w:val="fr-FR" w:eastAsia="fr-FR"/>
        </w:rPr>
        <w:tab/>
      </w:r>
      <w:r w:rsidR="00235FBA" w:rsidRPr="0008492E">
        <w:rPr>
          <w:lang w:val="fr-FR" w:eastAsia="fr-FR"/>
        </w:rPr>
        <w:t>Consacrer formellement par un texte la nécessité du consentement explicite des condamnés à Monaco à leur transfèrement en France, conformément aux recommandations précédentes du Comité (CAT/C/MCO/CO/4-5, par.</w:t>
      </w:r>
      <w:r w:rsidR="00DF6084">
        <w:rPr>
          <w:lang w:val="fr-FR" w:eastAsia="fr-FR"/>
        </w:rPr>
        <w:t> </w:t>
      </w:r>
      <w:r w:rsidR="00235FBA" w:rsidRPr="0008492E">
        <w:rPr>
          <w:lang w:val="fr-FR" w:eastAsia="fr-FR"/>
        </w:rPr>
        <w:t>10)</w:t>
      </w:r>
      <w:r w:rsidR="00676988">
        <w:rPr>
          <w:lang w:val="fr-FR" w:eastAsia="fr-FR"/>
        </w:rPr>
        <w:t> </w:t>
      </w:r>
      <w:r w:rsidR="00235FBA" w:rsidRPr="0008492E">
        <w:rPr>
          <w:lang w:val="fr-FR" w:eastAsia="fr-FR"/>
        </w:rPr>
        <w:t xml:space="preserve">; et </w:t>
      </w:r>
    </w:p>
    <w:p w:rsidR="00235FBA" w:rsidRPr="0008492E" w:rsidRDefault="0045246F" w:rsidP="0008492E">
      <w:pPr>
        <w:pStyle w:val="SingleTxtG"/>
        <w:ind w:left="1701" w:firstLine="567"/>
        <w:rPr>
          <w:lang w:val="fr-FR" w:eastAsia="fr-FR"/>
        </w:rPr>
      </w:pPr>
      <w:r>
        <w:rPr>
          <w:lang w:val="fr-FR" w:eastAsia="fr-FR"/>
        </w:rPr>
        <w:t>c)</w:t>
      </w:r>
      <w:r>
        <w:rPr>
          <w:lang w:val="fr-FR" w:eastAsia="fr-FR"/>
        </w:rPr>
        <w:tab/>
      </w:r>
      <w:r w:rsidR="00235FBA" w:rsidRPr="0008492E">
        <w:rPr>
          <w:lang w:val="fr-FR" w:eastAsia="fr-FR"/>
        </w:rPr>
        <w:t xml:space="preserve">Mettre en </w:t>
      </w:r>
      <w:proofErr w:type="spellStart"/>
      <w:r w:rsidR="00235FBA" w:rsidRPr="0008492E">
        <w:rPr>
          <w:lang w:val="fr-FR" w:eastAsia="fr-FR"/>
        </w:rPr>
        <w:t>oeuvre</w:t>
      </w:r>
      <w:proofErr w:type="spellEnd"/>
      <w:r w:rsidR="00235FBA" w:rsidRPr="0008492E">
        <w:rPr>
          <w:lang w:val="fr-FR" w:eastAsia="fr-FR"/>
        </w:rPr>
        <w:t xml:space="preserve"> la procédure relative à l’échange de lettres administratives entre le Ministre de la justice français et le Directeur des services judiciaires monégasques.</w:t>
      </w:r>
    </w:p>
    <w:p w:rsidR="00235FBA" w:rsidRPr="00235FBA" w:rsidRDefault="00230FC3" w:rsidP="00230FC3">
      <w:pPr>
        <w:pStyle w:val="H23G"/>
        <w:rPr>
          <w:lang w:val="fr-FR" w:eastAsia="fr-FR"/>
        </w:rPr>
      </w:pPr>
      <w:r>
        <w:rPr>
          <w:lang w:val="fr-FR" w:eastAsia="fr-FR"/>
        </w:rPr>
        <w:tab/>
      </w:r>
      <w:r>
        <w:rPr>
          <w:lang w:val="fr-FR" w:eastAsia="fr-FR"/>
        </w:rPr>
        <w:tab/>
      </w:r>
      <w:r w:rsidR="00235FBA" w:rsidRPr="00235FBA">
        <w:rPr>
          <w:lang w:val="fr-FR" w:eastAsia="fr-FR"/>
        </w:rPr>
        <w:t>Réponses de Monaco</w:t>
      </w:r>
    </w:p>
    <w:p w:rsidR="00235FBA" w:rsidRPr="00235FBA" w:rsidRDefault="0008492E" w:rsidP="0008492E">
      <w:pPr>
        <w:pStyle w:val="SingleTxtG"/>
        <w:rPr>
          <w:lang w:val="fr-FR" w:eastAsia="fr-FR"/>
        </w:rPr>
      </w:pPr>
      <w:r w:rsidRPr="00235FBA">
        <w:rPr>
          <w:lang w:val="fr-FR" w:eastAsia="fr-FR"/>
        </w:rPr>
        <w:t>21.</w:t>
      </w:r>
      <w:r w:rsidRPr="00235FBA">
        <w:rPr>
          <w:lang w:val="fr-FR" w:eastAsia="fr-FR"/>
        </w:rPr>
        <w:tab/>
      </w:r>
      <w:r w:rsidR="00230FC3" w:rsidRPr="00230FC3">
        <w:rPr>
          <w:lang w:val="fr-FR" w:eastAsia="fr-FR"/>
        </w:rPr>
        <w:t>a)</w:t>
      </w:r>
      <w:r w:rsidR="00230FC3">
        <w:rPr>
          <w:lang w:val="fr-FR" w:eastAsia="fr-FR"/>
        </w:rPr>
        <w:tab/>
      </w:r>
      <w:r w:rsidR="00235FBA" w:rsidRPr="00235FBA">
        <w:rPr>
          <w:lang w:val="fr-FR" w:eastAsia="fr-FR"/>
        </w:rPr>
        <w:t xml:space="preserve">Concernant le principe de visites du Juge de l’application des peines auprès de détenus ensuite transférés en France, s’il est acquis, il n’a toutefois pas encore donné lieu à application. En effet de telles visites semblent matériellement difficiles à organiser en considération de la dispersion desdits détenus entre les différents établissements pénitentiaires français et de leur éloignement. </w:t>
      </w:r>
      <w:r w:rsidR="004941C6" w:rsidRPr="00235FBA">
        <w:rPr>
          <w:lang w:val="fr-FR" w:eastAsia="fr-FR"/>
        </w:rPr>
        <w:t>Cependant la Direction des Services Judiciaires est en lien étroit avec le Mi</w:t>
      </w:r>
      <w:r w:rsidR="004941C6">
        <w:rPr>
          <w:lang w:val="fr-FR" w:eastAsia="fr-FR"/>
        </w:rPr>
        <w:t xml:space="preserve">nistère de la justice français </w:t>
      </w:r>
      <w:r w:rsidR="004941C6" w:rsidRPr="00235FBA">
        <w:rPr>
          <w:lang w:val="fr-FR" w:eastAsia="fr-FR"/>
        </w:rPr>
        <w:t>et une procédure a été mise en place consistant à transmettre régulièrement, au service français compétent, une liste à jour des personnes condamnées par la justice monégasque et transférée en France pour y purger leur peine, conformément à l’article 14 de la Convention franco-monégasque de voisinage de 1963. Cette liste est complétée par les services français qui indiquent le lieu de détention des détenus considérés.</w:t>
      </w:r>
      <w:r w:rsidR="004941C6">
        <w:rPr>
          <w:lang w:val="fr-FR" w:eastAsia="fr-FR"/>
        </w:rPr>
        <w:t xml:space="preserve"> </w:t>
      </w:r>
      <w:r w:rsidR="004941C6" w:rsidRPr="00235FBA">
        <w:rPr>
          <w:lang w:val="fr-FR" w:eastAsia="fr-FR"/>
        </w:rPr>
        <w:t>Cette procédure permet d’assurer un meilleur suivi des détenus condamnés par Monaco.</w:t>
      </w:r>
    </w:p>
    <w:p w:rsidR="00235FBA" w:rsidRPr="00235FBA" w:rsidRDefault="0008492E" w:rsidP="0008492E">
      <w:pPr>
        <w:pStyle w:val="SingleTxtG"/>
        <w:rPr>
          <w:lang w:val="fr-FR" w:eastAsia="fr-FR"/>
        </w:rPr>
      </w:pPr>
      <w:r w:rsidRPr="00235FBA">
        <w:rPr>
          <w:lang w:val="fr-FR" w:eastAsia="fr-FR"/>
        </w:rPr>
        <w:t>22.</w:t>
      </w:r>
      <w:r w:rsidRPr="00235FBA">
        <w:rPr>
          <w:lang w:val="fr-FR" w:eastAsia="fr-FR"/>
        </w:rPr>
        <w:tab/>
      </w:r>
      <w:r w:rsidR="00230FC3">
        <w:rPr>
          <w:lang w:val="fr-FR" w:eastAsia="fr-FR"/>
        </w:rPr>
        <w:t>b)</w:t>
      </w:r>
      <w:r w:rsidR="00230FC3">
        <w:rPr>
          <w:lang w:val="fr-FR" w:eastAsia="fr-FR"/>
        </w:rPr>
        <w:tab/>
      </w:r>
      <w:r w:rsidR="00235FBA" w:rsidRPr="00235FBA">
        <w:rPr>
          <w:lang w:val="fr-FR" w:eastAsia="fr-FR"/>
        </w:rPr>
        <w:t xml:space="preserve">La recommandation relative au consentement explicite des condamnées à leur transfèrement en France appellerait une modification normative. En effet, conformément aux dispositions en vigueur (article </w:t>
      </w:r>
      <w:r w:rsidR="00A47828">
        <w:rPr>
          <w:lang w:val="fr-FR" w:eastAsia="fr-FR"/>
        </w:rPr>
        <w:t>14 de l’Ordonnance Souveraine n</w:t>
      </w:r>
      <w:r w:rsidR="00A47828" w:rsidRPr="00A47828">
        <w:rPr>
          <w:vertAlign w:val="superscript"/>
          <w:lang w:val="fr-FR" w:eastAsia="fr-FR"/>
        </w:rPr>
        <w:t>o</w:t>
      </w:r>
      <w:r w:rsidR="00A47828">
        <w:rPr>
          <w:lang w:val="fr-FR" w:eastAsia="fr-FR"/>
        </w:rPr>
        <w:t> </w:t>
      </w:r>
      <w:r w:rsidR="00235FBA" w:rsidRPr="00235FBA">
        <w:rPr>
          <w:lang w:val="fr-FR" w:eastAsia="fr-FR"/>
        </w:rPr>
        <w:t>3.039 du 19 août 1963 rendant exécutoire Monaco la Convention de voisinage signée à Paris le 18 mai 1963), leur consentement n’est pas requis. Concrètement, leur transfèrement relève donc aujourd’hui de l’appréciation discrétionnaire et concertée des autorités judiciaire</w:t>
      </w:r>
      <w:r w:rsidR="00230FC3">
        <w:rPr>
          <w:lang w:val="fr-FR" w:eastAsia="fr-FR"/>
        </w:rPr>
        <w:t xml:space="preserve">s et pénitentiaires françaises </w:t>
      </w:r>
      <w:r w:rsidR="00235FBA" w:rsidRPr="00235FBA">
        <w:rPr>
          <w:lang w:val="fr-FR" w:eastAsia="fr-FR"/>
        </w:rPr>
        <w:t xml:space="preserve">et monégasques. </w:t>
      </w:r>
    </w:p>
    <w:p w:rsidR="00C54ED5" w:rsidRDefault="0008492E" w:rsidP="0008492E">
      <w:pPr>
        <w:pStyle w:val="SingleTxtG"/>
        <w:rPr>
          <w:lang w:val="fr-FR" w:eastAsia="fr-FR"/>
        </w:rPr>
      </w:pPr>
      <w:r>
        <w:rPr>
          <w:lang w:val="fr-FR" w:eastAsia="fr-FR"/>
        </w:rPr>
        <w:t>23.</w:t>
      </w:r>
      <w:r>
        <w:rPr>
          <w:lang w:val="fr-FR" w:eastAsia="fr-FR"/>
        </w:rPr>
        <w:tab/>
      </w:r>
      <w:r w:rsidR="00230FC3">
        <w:rPr>
          <w:lang w:val="fr-FR" w:eastAsia="fr-FR"/>
        </w:rPr>
        <w:t>c)</w:t>
      </w:r>
      <w:r w:rsidR="00230FC3">
        <w:rPr>
          <w:lang w:val="fr-FR" w:eastAsia="fr-FR"/>
        </w:rPr>
        <w:tab/>
      </w:r>
      <w:r w:rsidR="00235FBA" w:rsidRPr="00235FBA">
        <w:rPr>
          <w:lang w:val="fr-FR" w:eastAsia="fr-FR"/>
        </w:rPr>
        <w:t>La procédure a été dûment mise en œuvre, en ce sens que huit détenus ont été transférés récemment dans les prisons françaises, ce qui rend nécessaire d’aller leur rendre visite sur leur lieu de détention. A cet égard, un accord de principe a été retranscrit par un échange de lettres pour que le juge d’application des peines monégasque puisse se rendre dans les prisons françaises afin de s’enquérir des conditions</w:t>
      </w:r>
      <w:r w:rsidR="00230FC3">
        <w:rPr>
          <w:lang w:val="fr-FR" w:eastAsia="fr-FR"/>
        </w:rPr>
        <w:t xml:space="preserve"> de détention de ces personnes.</w:t>
      </w:r>
    </w:p>
    <w:p w:rsidR="00230FC3" w:rsidRPr="00230FC3" w:rsidRDefault="00230FC3" w:rsidP="00230FC3">
      <w:pPr>
        <w:pStyle w:val="SingleTxtG"/>
        <w:spacing w:before="240" w:after="0"/>
        <w:jc w:val="center"/>
        <w:rPr>
          <w:u w:val="single"/>
          <w:lang w:val="fr-FR" w:eastAsia="fr-FR"/>
        </w:rPr>
      </w:pPr>
      <w:r>
        <w:rPr>
          <w:u w:val="single"/>
          <w:lang w:val="fr-FR" w:eastAsia="fr-FR"/>
        </w:rPr>
        <w:tab/>
      </w:r>
      <w:r>
        <w:rPr>
          <w:u w:val="single"/>
          <w:lang w:val="fr-FR" w:eastAsia="fr-FR"/>
        </w:rPr>
        <w:tab/>
      </w:r>
      <w:r>
        <w:rPr>
          <w:u w:val="single"/>
          <w:lang w:val="fr-FR" w:eastAsia="fr-FR"/>
        </w:rPr>
        <w:tab/>
      </w:r>
      <w:r w:rsidR="00DF6084">
        <w:rPr>
          <w:u w:val="single"/>
          <w:lang w:val="fr-FR" w:eastAsia="fr-FR"/>
        </w:rPr>
        <w:tab/>
      </w:r>
    </w:p>
    <w:sectPr w:rsidR="00230FC3" w:rsidRPr="00230FC3" w:rsidSect="0057686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9D" w:rsidRDefault="00FE4E9D" w:rsidP="00F95C08">
      <w:pPr>
        <w:spacing w:line="240" w:lineRule="auto"/>
      </w:pPr>
    </w:p>
  </w:endnote>
  <w:endnote w:type="continuationSeparator" w:id="0">
    <w:p w:rsidR="00FE4E9D" w:rsidRPr="00AC3823" w:rsidRDefault="00FE4E9D" w:rsidP="00AC3823">
      <w:pPr>
        <w:pStyle w:val="Pieddepage"/>
      </w:pPr>
    </w:p>
  </w:endnote>
  <w:endnote w:type="continuationNotice" w:id="1">
    <w:p w:rsidR="00FE4E9D" w:rsidRDefault="00FE4E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291319">
      <w:rPr>
        <w:b/>
        <w:noProof/>
        <w:sz w:val="18"/>
      </w:rPr>
      <w:t>4</w:t>
    </w:r>
    <w:r w:rsidRPr="0072392D">
      <w:rPr>
        <w:b/>
        <w:sz w:val="18"/>
      </w:rPr>
      <w:fldChar w:fldCharType="end"/>
    </w:r>
    <w:r>
      <w:tab/>
    </w:r>
    <w:r w:rsidR="0037014C">
      <w:fldChar w:fldCharType="begin"/>
    </w:r>
    <w:r w:rsidR="0037014C">
      <w:instrText xml:space="preserve"> DOCPROPERTY  gdocf  \* MERGEFORMAT </w:instrText>
    </w:r>
    <w:r w:rsidR="0037014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37014C"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E846F6">
      <w:rPr>
        <w:b/>
        <w:noProof/>
        <w:sz w:val="18"/>
      </w:rPr>
      <w:t>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F6" w:rsidRPr="00E846F6" w:rsidRDefault="00E846F6" w:rsidP="00E846F6">
    <w:pPr>
      <w:pStyle w:val="Pieddepage"/>
      <w:spacing w:before="120"/>
      <w:rPr>
        <w:sz w:val="20"/>
      </w:rPr>
    </w:pP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8848014</wp:posOffset>
          </wp:positionV>
          <wp:extent cx="638175" cy="638175"/>
          <wp:effectExtent l="0" t="0" r="9525" b="9525"/>
          <wp:wrapNone/>
          <wp:docPr id="2" name="Image 1" descr="https://undocs.org/m2/QRCode.ashx?DS=CAT/C/MCO/CO/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CO/CO/6/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6F6">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4335170</wp:posOffset>
          </wp:positionH>
          <wp:positionV relativeFrom="margin">
            <wp:posOffset>9144228</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GE.17-23089  (F)</w:t>
    </w:r>
    <w:r>
      <w:rPr>
        <w:sz w:val="20"/>
      </w:rPr>
      <w:br/>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r w:rsidRPr="00E846F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9D" w:rsidRPr="00AC3823" w:rsidRDefault="00FE4E9D" w:rsidP="00AC3823">
      <w:pPr>
        <w:pStyle w:val="Pieddepage"/>
        <w:tabs>
          <w:tab w:val="right" w:pos="2155"/>
        </w:tabs>
        <w:spacing w:after="80" w:line="240" w:lineRule="atLeast"/>
        <w:ind w:left="680"/>
        <w:rPr>
          <w:u w:val="single"/>
        </w:rPr>
      </w:pPr>
      <w:r>
        <w:rPr>
          <w:u w:val="single"/>
        </w:rPr>
        <w:tab/>
      </w:r>
    </w:p>
  </w:footnote>
  <w:footnote w:type="continuationSeparator" w:id="0">
    <w:p w:rsidR="00FE4E9D" w:rsidRPr="00AC3823" w:rsidRDefault="00FE4E9D" w:rsidP="00AC3823">
      <w:pPr>
        <w:pStyle w:val="Pieddepage"/>
        <w:tabs>
          <w:tab w:val="right" w:pos="2155"/>
        </w:tabs>
        <w:spacing w:after="80" w:line="240" w:lineRule="atLeast"/>
        <w:ind w:left="680"/>
        <w:rPr>
          <w:u w:val="single"/>
        </w:rPr>
      </w:pPr>
      <w:r>
        <w:rPr>
          <w:u w:val="single"/>
        </w:rPr>
        <w:tab/>
      </w:r>
    </w:p>
  </w:footnote>
  <w:footnote w:type="continuationNotice" w:id="1">
    <w:p w:rsidR="00FE4E9D" w:rsidRPr="00AC3823" w:rsidRDefault="00FE4E9D">
      <w:pPr>
        <w:spacing w:line="240" w:lineRule="auto"/>
        <w:rPr>
          <w:sz w:val="2"/>
          <w:szCs w:val="2"/>
        </w:rPr>
      </w:pPr>
    </w:p>
  </w:footnote>
  <w:footnote w:id="2">
    <w:p w:rsidR="00970623" w:rsidRPr="00AE3BA2" w:rsidRDefault="00970623" w:rsidP="00944816">
      <w:pPr>
        <w:pStyle w:val="Notedebasdepage"/>
      </w:pPr>
      <w:r>
        <w:tab/>
      </w:r>
      <w:r w:rsidRPr="00970623">
        <w:rPr>
          <w:rStyle w:val="Appelnotedebasdep"/>
          <w:sz w:val="20"/>
          <w:vertAlign w:val="baseline"/>
        </w:rPr>
        <w:t>*</w:t>
      </w:r>
      <w:r>
        <w:rPr>
          <w:sz w:val="20"/>
        </w:rPr>
        <w:tab/>
      </w:r>
      <w:r>
        <w:t>L</w:t>
      </w:r>
      <w:r w:rsidR="00944816">
        <w:t>e</w:t>
      </w:r>
      <w:r>
        <w:t xml:space="preserve"> présent document n</w:t>
      </w:r>
      <w:r w:rsidRPr="00917F21">
        <w:t>’</w:t>
      </w:r>
      <w:r>
        <w:t>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A8604C">
    <w:pPr>
      <w:pStyle w:val="En-tte"/>
    </w:pPr>
    <w:fldSimple w:instr=" DOCPROPERTY  symh  \* MERGEFORMAT ">
      <w:r w:rsidR="007815DF">
        <w:t>CAT/C/MCO/CO/6/Add.1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A8604C" w:rsidP="005B6BC9">
    <w:pPr>
      <w:pStyle w:val="En-tte"/>
      <w:jc w:val="right"/>
    </w:pPr>
    <w:fldSimple w:instr=" DOCPROPERTY  symh  \* MERGEFORMAT ">
      <w:r w:rsidR="007815DF">
        <w:t>CAT/C/MCO/CO/6/Add.1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E63F1A"/>
    <w:multiLevelType w:val="hybridMultilevel"/>
    <w:tmpl w:val="C3681466"/>
    <w:lvl w:ilvl="0" w:tplc="D980876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1CB32E2C"/>
    <w:multiLevelType w:val="hybridMultilevel"/>
    <w:tmpl w:val="1B40EE12"/>
    <w:lvl w:ilvl="0" w:tplc="4D5408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0355A0A"/>
    <w:multiLevelType w:val="hybridMultilevel"/>
    <w:tmpl w:val="CFA20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B24368C"/>
    <w:multiLevelType w:val="hybridMultilevel"/>
    <w:tmpl w:val="0DEECA38"/>
    <w:lvl w:ilvl="0" w:tplc="746E1F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29B338D"/>
    <w:multiLevelType w:val="hybridMultilevel"/>
    <w:tmpl w:val="EA52FC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3015959"/>
    <w:multiLevelType w:val="hybridMultilevel"/>
    <w:tmpl w:val="00A40458"/>
    <w:lvl w:ilvl="0" w:tplc="F822DEFA">
      <w:start w:val="1"/>
      <w:numFmt w:val="bullet"/>
      <w:lvlText w:val=""/>
      <w:lvlJc w:val="righ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7"/>
  </w:num>
  <w:num w:numId="16">
    <w:abstractNumId w:val="12"/>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aveSubsetFonts/>
  <w:proofState w:spelling="clean"/>
  <w:defaultTabStop w:val="567"/>
  <w:hyphenationZone w:val="425"/>
  <w:evenAndOddHeaders/>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7F94"/>
    <w:rsid w:val="00023842"/>
    <w:rsid w:val="000334F9"/>
    <w:rsid w:val="0007796D"/>
    <w:rsid w:val="0008492E"/>
    <w:rsid w:val="00092016"/>
    <w:rsid w:val="000B7790"/>
    <w:rsid w:val="000C2875"/>
    <w:rsid w:val="000C390E"/>
    <w:rsid w:val="00111F2F"/>
    <w:rsid w:val="001336E3"/>
    <w:rsid w:val="0014365E"/>
    <w:rsid w:val="001459C9"/>
    <w:rsid w:val="00150DB2"/>
    <w:rsid w:val="00176178"/>
    <w:rsid w:val="001E171F"/>
    <w:rsid w:val="001E498C"/>
    <w:rsid w:val="001E512C"/>
    <w:rsid w:val="001F51B1"/>
    <w:rsid w:val="001F525A"/>
    <w:rsid w:val="00223272"/>
    <w:rsid w:val="00230FC3"/>
    <w:rsid w:val="00235FBA"/>
    <w:rsid w:val="0024779E"/>
    <w:rsid w:val="00290675"/>
    <w:rsid w:val="00291319"/>
    <w:rsid w:val="00291F1D"/>
    <w:rsid w:val="002A0540"/>
    <w:rsid w:val="002F6A13"/>
    <w:rsid w:val="00353ED5"/>
    <w:rsid w:val="0037014C"/>
    <w:rsid w:val="0037222C"/>
    <w:rsid w:val="0039005B"/>
    <w:rsid w:val="003D1AD0"/>
    <w:rsid w:val="003F1369"/>
    <w:rsid w:val="0041336D"/>
    <w:rsid w:val="00446FE5"/>
    <w:rsid w:val="00452396"/>
    <w:rsid w:val="0045246F"/>
    <w:rsid w:val="00461C9D"/>
    <w:rsid w:val="004941C6"/>
    <w:rsid w:val="004B1925"/>
    <w:rsid w:val="00504199"/>
    <w:rsid w:val="005505B7"/>
    <w:rsid w:val="00573BE5"/>
    <w:rsid w:val="0057686A"/>
    <w:rsid w:val="00582D63"/>
    <w:rsid w:val="00586ED3"/>
    <w:rsid w:val="00596AA9"/>
    <w:rsid w:val="005B6BC9"/>
    <w:rsid w:val="006056E0"/>
    <w:rsid w:val="00657DBD"/>
    <w:rsid w:val="00676988"/>
    <w:rsid w:val="006821C2"/>
    <w:rsid w:val="006910CE"/>
    <w:rsid w:val="00696079"/>
    <w:rsid w:val="006C7D7E"/>
    <w:rsid w:val="006D1553"/>
    <w:rsid w:val="00706E82"/>
    <w:rsid w:val="0071601D"/>
    <w:rsid w:val="00751EF4"/>
    <w:rsid w:val="00766CEC"/>
    <w:rsid w:val="007815DF"/>
    <w:rsid w:val="007A62E6"/>
    <w:rsid w:val="007D34E1"/>
    <w:rsid w:val="0080684C"/>
    <w:rsid w:val="00815502"/>
    <w:rsid w:val="008511E0"/>
    <w:rsid w:val="00867D17"/>
    <w:rsid w:val="008705F3"/>
    <w:rsid w:val="00871C75"/>
    <w:rsid w:val="008776DC"/>
    <w:rsid w:val="008A0E26"/>
    <w:rsid w:val="008C2EA4"/>
    <w:rsid w:val="008C7952"/>
    <w:rsid w:val="009271A0"/>
    <w:rsid w:val="00944816"/>
    <w:rsid w:val="00957790"/>
    <w:rsid w:val="009705C8"/>
    <w:rsid w:val="00970623"/>
    <w:rsid w:val="00981901"/>
    <w:rsid w:val="00992D6B"/>
    <w:rsid w:val="009E06AD"/>
    <w:rsid w:val="00A47828"/>
    <w:rsid w:val="00A8604C"/>
    <w:rsid w:val="00AC3823"/>
    <w:rsid w:val="00AC7C7A"/>
    <w:rsid w:val="00AE323C"/>
    <w:rsid w:val="00B00181"/>
    <w:rsid w:val="00B43C66"/>
    <w:rsid w:val="00B765F7"/>
    <w:rsid w:val="00BA0CA9"/>
    <w:rsid w:val="00BE4745"/>
    <w:rsid w:val="00BF3C2C"/>
    <w:rsid w:val="00C02897"/>
    <w:rsid w:val="00C54ED5"/>
    <w:rsid w:val="00CA01B0"/>
    <w:rsid w:val="00CC2887"/>
    <w:rsid w:val="00D16232"/>
    <w:rsid w:val="00D3439C"/>
    <w:rsid w:val="00DA22F4"/>
    <w:rsid w:val="00DB1831"/>
    <w:rsid w:val="00DD3BFD"/>
    <w:rsid w:val="00DE7FE8"/>
    <w:rsid w:val="00DF6084"/>
    <w:rsid w:val="00DF6678"/>
    <w:rsid w:val="00E018E1"/>
    <w:rsid w:val="00E22CF2"/>
    <w:rsid w:val="00E506F1"/>
    <w:rsid w:val="00E52D9F"/>
    <w:rsid w:val="00E846F6"/>
    <w:rsid w:val="00EA0791"/>
    <w:rsid w:val="00F164B0"/>
    <w:rsid w:val="00F3795B"/>
    <w:rsid w:val="00F43810"/>
    <w:rsid w:val="00F660DF"/>
    <w:rsid w:val="00F673CA"/>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75"/>
    <w:pPr>
      <w:suppressAutoHyphens/>
      <w:spacing w:after="0" w:line="240" w:lineRule="atLeast"/>
    </w:pPr>
    <w:rPr>
      <w:rFonts w:ascii="Times New Roman" w:eastAsia="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kinsoku w:val="0"/>
      <w:overflowPunct w:val="0"/>
      <w:autoSpaceDE w:val="0"/>
      <w:autoSpaceDN w:val="0"/>
      <w:adjustRightInd w:val="0"/>
      <w:snapToGrid w:val="0"/>
      <w:outlineLvl w:val="1"/>
    </w:pPr>
    <w:rPr>
      <w:rFonts w:eastAsiaTheme="minorHAnsi"/>
    </w:rPr>
  </w:style>
  <w:style w:type="paragraph" w:styleId="Titre3">
    <w:name w:val="heading 3"/>
    <w:basedOn w:val="Normal"/>
    <w:next w:val="Normal"/>
    <w:link w:val="Titre3Car"/>
    <w:semiHidden/>
    <w:qFormat/>
    <w:rsid w:val="00023842"/>
    <w:pPr>
      <w:kinsoku w:val="0"/>
      <w:overflowPunct w:val="0"/>
      <w:autoSpaceDE w:val="0"/>
      <w:autoSpaceDN w:val="0"/>
      <w:adjustRightInd w:val="0"/>
      <w:snapToGrid w:val="0"/>
      <w:outlineLvl w:val="2"/>
    </w:pPr>
    <w:rPr>
      <w:rFonts w:eastAsiaTheme="minorHAnsi"/>
    </w:rPr>
  </w:style>
  <w:style w:type="paragraph" w:styleId="Titre4">
    <w:name w:val="heading 4"/>
    <w:basedOn w:val="Normal"/>
    <w:next w:val="Normal"/>
    <w:link w:val="Titre4Car"/>
    <w:semiHidden/>
    <w:qFormat/>
    <w:rsid w:val="00023842"/>
    <w:pPr>
      <w:kinsoku w:val="0"/>
      <w:overflowPunct w:val="0"/>
      <w:autoSpaceDE w:val="0"/>
      <w:autoSpaceDN w:val="0"/>
      <w:adjustRightInd w:val="0"/>
      <w:snapToGrid w:val="0"/>
      <w:outlineLvl w:val="3"/>
    </w:pPr>
    <w:rPr>
      <w:rFonts w:eastAsiaTheme="minorHAnsi"/>
    </w:rPr>
  </w:style>
  <w:style w:type="paragraph" w:styleId="Titre5">
    <w:name w:val="heading 5"/>
    <w:basedOn w:val="Normal"/>
    <w:next w:val="Normal"/>
    <w:link w:val="Titre5Car"/>
    <w:semiHidden/>
    <w:qFormat/>
    <w:rsid w:val="00023842"/>
    <w:pPr>
      <w:kinsoku w:val="0"/>
      <w:overflowPunct w:val="0"/>
      <w:autoSpaceDE w:val="0"/>
      <w:autoSpaceDN w:val="0"/>
      <w:adjustRightInd w:val="0"/>
      <w:snapToGrid w:val="0"/>
      <w:outlineLvl w:val="4"/>
    </w:pPr>
    <w:rPr>
      <w:rFonts w:eastAsiaTheme="minorHAnsi"/>
    </w:rPr>
  </w:style>
  <w:style w:type="paragraph" w:styleId="Titre6">
    <w:name w:val="heading 6"/>
    <w:basedOn w:val="Normal"/>
    <w:next w:val="Normal"/>
    <w:link w:val="Titre6Car"/>
    <w:semiHidden/>
    <w:qFormat/>
    <w:rsid w:val="00023842"/>
    <w:pPr>
      <w:kinsoku w:val="0"/>
      <w:overflowPunct w:val="0"/>
      <w:autoSpaceDE w:val="0"/>
      <w:autoSpaceDN w:val="0"/>
      <w:adjustRightInd w:val="0"/>
      <w:snapToGrid w:val="0"/>
      <w:outlineLvl w:val="5"/>
    </w:pPr>
    <w:rPr>
      <w:rFonts w:eastAsiaTheme="minorHAnsi"/>
    </w:rPr>
  </w:style>
  <w:style w:type="paragraph" w:styleId="Titre7">
    <w:name w:val="heading 7"/>
    <w:basedOn w:val="Normal"/>
    <w:next w:val="Normal"/>
    <w:link w:val="Titre7Car"/>
    <w:semiHidden/>
    <w:qFormat/>
    <w:rsid w:val="00023842"/>
    <w:pPr>
      <w:kinsoku w:val="0"/>
      <w:overflowPunct w:val="0"/>
      <w:autoSpaceDE w:val="0"/>
      <w:autoSpaceDN w:val="0"/>
      <w:adjustRightInd w:val="0"/>
      <w:snapToGrid w:val="0"/>
      <w:outlineLvl w:val="6"/>
    </w:pPr>
    <w:rPr>
      <w:rFonts w:eastAsiaTheme="minorHAnsi"/>
    </w:rPr>
  </w:style>
  <w:style w:type="paragraph" w:styleId="Titre8">
    <w:name w:val="heading 8"/>
    <w:basedOn w:val="Normal"/>
    <w:next w:val="Normal"/>
    <w:link w:val="Titre8Car"/>
    <w:semiHidden/>
    <w:qFormat/>
    <w:rsid w:val="00023842"/>
    <w:pPr>
      <w:kinsoku w:val="0"/>
      <w:overflowPunct w:val="0"/>
      <w:autoSpaceDE w:val="0"/>
      <w:autoSpaceDN w:val="0"/>
      <w:adjustRightInd w:val="0"/>
      <w:snapToGrid w:val="0"/>
      <w:outlineLvl w:val="7"/>
    </w:pPr>
    <w:rPr>
      <w:rFonts w:eastAsiaTheme="minorHAnsi"/>
    </w:rPr>
  </w:style>
  <w:style w:type="paragraph" w:styleId="Titre9">
    <w:name w:val="heading 9"/>
    <w:basedOn w:val="Normal"/>
    <w:next w:val="Normal"/>
    <w:link w:val="Titre9Car"/>
    <w:semiHidden/>
    <w:qFormat/>
    <w:rsid w:val="00023842"/>
    <w:pPr>
      <w:kinsoku w:val="0"/>
      <w:overflowPunct w:val="0"/>
      <w:autoSpaceDE w:val="0"/>
      <w:autoSpaceDN w:val="0"/>
      <w:adjustRightInd w:val="0"/>
      <w:snapToGrid w:val="0"/>
      <w:outlineLvl w:val="8"/>
    </w:pPr>
    <w:rPr>
      <w:rFonts w:eastAsia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kinsoku w:val="0"/>
      <w:overflowPunct w:val="0"/>
      <w:autoSpaceDE w:val="0"/>
      <w:autoSpaceDN w:val="0"/>
      <w:adjustRightInd w:val="0"/>
      <w:snapToGrid w:val="0"/>
      <w:spacing w:line="240" w:lineRule="auto"/>
    </w:pPr>
    <w:rPr>
      <w:rFonts w:eastAsiaTheme="minorHAnsi"/>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kinsoku w:val="0"/>
      <w:overflowPunct w:val="0"/>
      <w:autoSpaceDE w:val="0"/>
      <w:autoSpaceDN w:val="0"/>
      <w:adjustRightInd w:val="0"/>
      <w:snapToGrid w:val="0"/>
      <w:spacing w:line="240" w:lineRule="auto"/>
    </w:pPr>
    <w:rPr>
      <w:rFonts w:eastAsiaTheme="minorHAnsi"/>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DF6678"/>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957790"/>
    <w:rPr>
      <w:color w:val="0000FF"/>
      <w:u w:val="none"/>
    </w:rPr>
  </w:style>
  <w:style w:type="character" w:styleId="Lienhypertextesuivivisit">
    <w:name w:val="FollowedHyperlink"/>
    <w:basedOn w:val="Policepardfaut"/>
    <w:semiHidden/>
    <w:rsid w:val="00957790"/>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8668</Characters>
  <Application>Microsoft Office Word</Application>
  <DocSecurity>0</DocSecurity>
  <Lines>166</Lines>
  <Paragraphs>75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CAT/C/MCO/CO/6/Add.1</vt:lpstr>
      <vt:lpstr>CAT/C/MCO/CO/6/Add.1</vt:lpstr>
      <vt:lpstr>a/hthhhh</vt:lpstr>
    </vt:vector>
  </TitlesOfParts>
  <Company>DCM</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CAT/C/MCO/CO/6/Add.1</dc:title>
  <dc:subject/>
  <dc:creator>Gloria</dc:creator>
  <cp:keywords/>
  <dc:description/>
  <cp:lastModifiedBy>Nicolas MORIN</cp:lastModifiedBy>
  <cp:revision>2</cp:revision>
  <cp:lastPrinted>2017-12-21T14:52:00Z</cp:lastPrinted>
  <dcterms:created xsi:type="dcterms:W3CDTF">2017-12-22T07:45:00Z</dcterms:created>
  <dcterms:modified xsi:type="dcterms:W3CDTF">2017-12-22T07:45:00Z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C/MCO/CO/6/Add.1</vt:lpwstr>
  </property>
  <property fmtid="{D5CDD505-2E9C-101B-9397-08002B2CF9AE}" pid="3" name="symh">
    <vt:lpwstr>CAT/C/MCO/CO/6/Add.1</vt:lpwstr>
  </property>
  <property fmtid="{D5CDD505-2E9C-101B-9397-08002B2CF9AE}" pid="4" name="dist">
    <vt:lpwstr>générale</vt:lpwstr>
  </property>
  <property fmtid="{D5CDD505-2E9C-101B-9397-08002B2CF9AE}" pid="5" name="date">
    <vt:lpwstr>20 décembre 2017</vt:lpwstr>
  </property>
  <property fmtid="{D5CDD505-2E9C-101B-9397-08002B2CF9AE}" pid="6" name="sdate">
    <vt:lpwstr>[Start-End Dates ]</vt:lpwstr>
  </property>
  <property fmtid="{D5CDD505-2E9C-101B-9397-08002B2CF9AE}" pid="7" name="virs">
    <vt:lpwstr>Anglais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Monaco </vt:lpwstr>
  </property>
  <property fmtid="{D5CDD505-2E9C-101B-9397-08002B2CF9AE}" pid="11" name="countw">
    <vt:lpwstr>Monaco </vt:lpwstr>
  </property>
  <property fmtid="{D5CDD505-2E9C-101B-9397-08002B2CF9AE}" pid="12" name="countwd">
    <vt:lpwstr>de Monaco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sixième rapport périodique de Monaco </vt:lpwstr>
  </property>
  <property fmtid="{D5CDD505-2E9C-101B-9397-08002B2CF9AE}" pid="19" name="prepw">
    <vt:lpwstr>sixième rapport périodique</vt:lpwstr>
  </property>
  <property fmtid="{D5CDD505-2E9C-101B-9397-08002B2CF9AE}" pid="20" name="prepwc">
    <vt:lpwstr>Sixième rapport périodique </vt:lpwstr>
  </property>
  <property fmtid="{D5CDD505-2E9C-101B-9397-08002B2CF9AE}" pid="21" name="olang">
    <vt:lpwstr>français</vt:lpwstr>
  </property>
  <property fmtid="{D5CDD505-2E9C-101B-9397-08002B2CF9AE}" pid="22" name="Date-Generated">
    <vt:filetime>2017-12-19T15:15:10Z</vt:filetime>
  </property>
  <property fmtid="{D5CDD505-2E9C-101B-9397-08002B2CF9AE}" pid="23" name="Author">
    <vt:lpwstr/>
  </property>
  <property fmtid="{D5CDD505-2E9C-101B-9397-08002B2CF9AE}" pid="24" name="bar">
    <vt:lpwstr/>
  </property>
</Properties>
</file>