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44F56E9" w14:textId="77777777" w:rsidTr="009D5F1A">
        <w:trPr>
          <w:trHeight w:hRule="exact" w:val="851"/>
        </w:trPr>
        <w:tc>
          <w:tcPr>
            <w:tcW w:w="1276" w:type="dxa"/>
            <w:tcBorders>
              <w:bottom w:val="single" w:sz="4" w:space="0" w:color="auto"/>
            </w:tcBorders>
          </w:tcPr>
          <w:p w14:paraId="778DE2C7" w14:textId="77777777" w:rsidR="00DC0149" w:rsidRPr="00DB58B5" w:rsidRDefault="00DC0149" w:rsidP="0052543D"/>
        </w:tc>
        <w:tc>
          <w:tcPr>
            <w:tcW w:w="2268" w:type="dxa"/>
            <w:tcBorders>
              <w:bottom w:val="single" w:sz="4" w:space="0" w:color="auto"/>
            </w:tcBorders>
            <w:vAlign w:val="bottom"/>
          </w:tcPr>
          <w:p w14:paraId="1941DDE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EA0F08" w14:textId="05890A5C" w:rsidR="00DC0149" w:rsidRPr="00DB58B5" w:rsidRDefault="0052543D" w:rsidP="0052543D">
            <w:pPr>
              <w:jc w:val="right"/>
            </w:pPr>
            <w:r w:rsidRPr="0052543D">
              <w:rPr>
                <w:sz w:val="40"/>
              </w:rPr>
              <w:t>CERD</w:t>
            </w:r>
            <w:r>
              <w:t>/C/VEN/22-24</w:t>
            </w:r>
          </w:p>
        </w:tc>
      </w:tr>
      <w:tr w:rsidR="00DC0149" w:rsidRPr="00DB58B5" w14:paraId="0496F29C" w14:textId="77777777" w:rsidTr="009D5F1A">
        <w:trPr>
          <w:trHeight w:hRule="exact" w:val="2835"/>
        </w:trPr>
        <w:tc>
          <w:tcPr>
            <w:tcW w:w="1276" w:type="dxa"/>
            <w:tcBorders>
              <w:top w:val="single" w:sz="4" w:space="0" w:color="auto"/>
              <w:bottom w:val="single" w:sz="12" w:space="0" w:color="auto"/>
            </w:tcBorders>
          </w:tcPr>
          <w:p w14:paraId="32C5FA8B" w14:textId="77777777" w:rsidR="00DC0149" w:rsidRPr="00DB58B5" w:rsidRDefault="00DC0149" w:rsidP="009D5F1A">
            <w:pPr>
              <w:spacing w:before="120"/>
              <w:jc w:val="center"/>
            </w:pPr>
            <w:r>
              <w:rPr>
                <w:noProof/>
                <w:lang w:eastAsia="fr-CH"/>
              </w:rPr>
              <w:drawing>
                <wp:inline distT="0" distB="0" distL="0" distR="0" wp14:anchorId="2C07D454" wp14:editId="436970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296E6D"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51EAA086" w14:textId="5D86A55C" w:rsidR="00DC0149" w:rsidRDefault="0052543D" w:rsidP="009D5F1A">
            <w:pPr>
              <w:spacing w:before="240"/>
            </w:pPr>
            <w:proofErr w:type="spellStart"/>
            <w:r>
              <w:t>Distr</w:t>
            </w:r>
            <w:proofErr w:type="spellEnd"/>
            <w:r w:rsidR="00244AED" w:rsidRPr="00244AED">
              <w:t>.</w:t>
            </w:r>
            <w:r>
              <w:t xml:space="preserve"> générale</w:t>
            </w:r>
          </w:p>
          <w:p w14:paraId="59356631" w14:textId="77777777" w:rsidR="0052543D" w:rsidRDefault="0052543D" w:rsidP="0052543D">
            <w:pPr>
              <w:spacing w:line="240" w:lineRule="exact"/>
            </w:pPr>
            <w:r>
              <w:t>30 mars 2022</w:t>
            </w:r>
          </w:p>
          <w:p w14:paraId="7710E445" w14:textId="77777777" w:rsidR="0052543D" w:rsidRDefault="0052543D" w:rsidP="0052543D">
            <w:pPr>
              <w:spacing w:line="240" w:lineRule="exact"/>
            </w:pPr>
            <w:r>
              <w:t>Français</w:t>
            </w:r>
          </w:p>
          <w:p w14:paraId="189261DE" w14:textId="77777777" w:rsidR="0052543D" w:rsidRDefault="0052543D" w:rsidP="0052543D">
            <w:pPr>
              <w:spacing w:line="240" w:lineRule="exact"/>
            </w:pPr>
            <w:r>
              <w:t>Original : espagnol</w:t>
            </w:r>
          </w:p>
          <w:p w14:paraId="007E33D4" w14:textId="19F5F33F" w:rsidR="0052543D" w:rsidRPr="00DB58B5" w:rsidRDefault="0052543D" w:rsidP="0052543D">
            <w:pPr>
              <w:spacing w:line="240" w:lineRule="exact"/>
            </w:pPr>
            <w:r>
              <w:t>Anglais, espagnol et français seulement</w:t>
            </w:r>
          </w:p>
        </w:tc>
      </w:tr>
    </w:tbl>
    <w:p w14:paraId="2DE5ECB1" w14:textId="77777777" w:rsidR="00623CA8" w:rsidRDefault="00623CA8" w:rsidP="00623CA8">
      <w:pPr>
        <w:spacing w:before="120"/>
        <w:rPr>
          <w:b/>
          <w:sz w:val="24"/>
          <w:szCs w:val="24"/>
        </w:rPr>
      </w:pPr>
      <w:r w:rsidRPr="00C56102">
        <w:rPr>
          <w:b/>
          <w:sz w:val="24"/>
          <w:szCs w:val="24"/>
        </w:rPr>
        <w:t>Comité pour l’élimination de la discrimination raciale</w:t>
      </w:r>
    </w:p>
    <w:p w14:paraId="5D647D29" w14:textId="77777777" w:rsidR="00F30B21" w:rsidRPr="00F30B21" w:rsidRDefault="00F30B21" w:rsidP="00F30B21">
      <w:pPr>
        <w:pStyle w:val="HMG"/>
        <w:rPr>
          <w:lang w:val="fr-FR"/>
        </w:rPr>
      </w:pPr>
      <w:r w:rsidRPr="003156E8">
        <w:rPr>
          <w:b w:val="0"/>
          <w:color w:val="000000"/>
          <w:lang w:val="fr-FR"/>
        </w:rPr>
        <w:tab/>
      </w:r>
      <w:r w:rsidRPr="003156E8">
        <w:rPr>
          <w:b w:val="0"/>
          <w:color w:val="000000"/>
          <w:lang w:val="fr-FR"/>
        </w:rPr>
        <w:tab/>
      </w:r>
      <w:r w:rsidRPr="003156E8">
        <w:rPr>
          <w:lang w:val="fr-FR"/>
        </w:rPr>
        <w:t>Rapport valant vingt-deuxième à vingt-quatrième rapports périodiques soumis par la République bolivarienne du Venezuela en application de l</w:t>
      </w:r>
      <w:r>
        <w:rPr>
          <w:lang w:val="fr-FR"/>
        </w:rPr>
        <w:t>’</w:t>
      </w:r>
      <w:r w:rsidRPr="003156E8">
        <w:rPr>
          <w:lang w:val="fr-FR"/>
        </w:rPr>
        <w:t>article 9 de la Convention, attendu en 2016</w:t>
      </w:r>
      <w:r w:rsidRPr="00F30B21">
        <w:rPr>
          <w:rStyle w:val="Appelnotedebasdep"/>
          <w:b w:val="0"/>
          <w:sz w:val="20"/>
          <w:vertAlign w:val="baseline"/>
          <w:lang w:val="fr-FR"/>
        </w:rPr>
        <w:footnoteReference w:customMarkFollows="1" w:id="2"/>
        <w:t>*</w:t>
      </w:r>
    </w:p>
    <w:p w14:paraId="73228554" w14:textId="77777777" w:rsidR="00F30B21" w:rsidRPr="003156E8" w:rsidRDefault="00F30B21" w:rsidP="00F30B21">
      <w:pPr>
        <w:pStyle w:val="SingleTxtG"/>
        <w:jc w:val="right"/>
        <w:rPr>
          <w:lang w:val="fr-FR"/>
        </w:rPr>
      </w:pPr>
      <w:r w:rsidRPr="003156E8">
        <w:rPr>
          <w:lang w:val="fr-FR"/>
        </w:rPr>
        <w:t>[Date de réception : 30 septembre 2021]</w:t>
      </w:r>
    </w:p>
    <w:p w14:paraId="0E61E15A" w14:textId="77777777" w:rsidR="00F30B21" w:rsidRPr="003156E8" w:rsidRDefault="00F30B21" w:rsidP="00F30B21">
      <w:pPr>
        <w:spacing w:line="240" w:lineRule="auto"/>
        <w:rPr>
          <w:lang w:val="fr-FR"/>
        </w:rPr>
      </w:pPr>
      <w:r w:rsidRPr="003156E8">
        <w:rPr>
          <w:lang w:val="fr-FR"/>
        </w:rPr>
        <w:br w:type="page"/>
      </w:r>
    </w:p>
    <w:p w14:paraId="5C0EFAA8" w14:textId="59117BEE" w:rsidR="00F30B21" w:rsidRPr="003156E8" w:rsidRDefault="00F30B21" w:rsidP="00F30B21">
      <w:pPr>
        <w:pStyle w:val="HChG"/>
        <w:rPr>
          <w:lang w:val="fr-FR"/>
        </w:rPr>
      </w:pPr>
      <w:r w:rsidRPr="003156E8">
        <w:rPr>
          <w:b w:val="0"/>
          <w:lang w:val="fr-FR"/>
        </w:rPr>
        <w:lastRenderedPageBreak/>
        <w:tab/>
      </w:r>
      <w:r w:rsidRPr="003156E8">
        <w:rPr>
          <w:bCs/>
          <w:lang w:val="fr-FR"/>
        </w:rPr>
        <w:t>I</w:t>
      </w:r>
      <w:r w:rsidR="00244AED" w:rsidRPr="00244AED">
        <w:rPr>
          <w:bCs/>
          <w:lang w:val="fr-FR"/>
        </w:rPr>
        <w:t>.</w:t>
      </w:r>
      <w:r w:rsidRPr="003156E8">
        <w:rPr>
          <w:bCs/>
          <w:lang w:val="fr-FR"/>
        </w:rPr>
        <w:tab/>
        <w:t>Introduction</w:t>
      </w:r>
    </w:p>
    <w:p w14:paraId="45B2EB61" w14:textId="745EC2DE" w:rsidR="00F30B21" w:rsidRPr="003156E8" w:rsidRDefault="00F30B21" w:rsidP="00F30B21">
      <w:pPr>
        <w:pStyle w:val="SingleTxtG"/>
        <w:rPr>
          <w:lang w:val="fr-FR"/>
        </w:rPr>
      </w:pPr>
      <w:r w:rsidRPr="003156E8">
        <w:rPr>
          <w:color w:val="000000" w:themeColor="text1"/>
          <w:lang w:val="fr-FR"/>
        </w:rPr>
        <w:t>1</w:t>
      </w:r>
      <w:r w:rsidR="00244AED" w:rsidRPr="00244AED">
        <w:rPr>
          <w:color w:val="000000" w:themeColor="text1"/>
          <w:lang w:val="fr-FR"/>
        </w:rPr>
        <w:t>.</w:t>
      </w:r>
      <w:r w:rsidRPr="003156E8">
        <w:rPr>
          <w:color w:val="000000" w:themeColor="text1"/>
          <w:lang w:val="fr-FR"/>
        </w:rPr>
        <w:tab/>
      </w:r>
      <w:r w:rsidRPr="003156E8">
        <w:rPr>
          <w:lang w:val="fr-FR"/>
        </w:rPr>
        <w:t xml:space="preserve">Le présent document vaut vingt-deuxième à vingt-quatrième rapports périodiques </w:t>
      </w:r>
      <w:r>
        <w:rPr>
          <w:lang w:val="fr-FR"/>
        </w:rPr>
        <w:t xml:space="preserve">de </w:t>
      </w:r>
      <w:r w:rsidRPr="003156E8">
        <w:rPr>
          <w:lang w:val="fr-FR"/>
        </w:rPr>
        <w:t>la République bolivarienne du Venezuela soumis en application de l</w:t>
      </w:r>
      <w:r>
        <w:rPr>
          <w:lang w:val="fr-FR"/>
        </w:rPr>
        <w:t>’</w:t>
      </w:r>
      <w:r w:rsidRPr="003156E8">
        <w:rPr>
          <w:lang w:val="fr-FR"/>
        </w:rPr>
        <w:t>article</w:t>
      </w:r>
      <w:r w:rsidR="00DC6BF9">
        <w:rPr>
          <w:lang w:val="fr-FR"/>
        </w:rPr>
        <w:t> </w:t>
      </w:r>
      <w:r w:rsidRPr="003156E8">
        <w:rPr>
          <w:lang w:val="fr-FR"/>
        </w:rPr>
        <w:t>9 de la Convention internationale sur l</w:t>
      </w:r>
      <w:r>
        <w:rPr>
          <w:lang w:val="fr-FR"/>
        </w:rPr>
        <w:t>’</w:t>
      </w:r>
      <w:r w:rsidRPr="003156E8">
        <w:rPr>
          <w:lang w:val="fr-FR"/>
        </w:rPr>
        <w:t>élimination de toutes les formes de discrimination raciale (ci</w:t>
      </w:r>
      <w:r w:rsidR="00DC6BF9">
        <w:rPr>
          <w:lang w:val="fr-FR"/>
        </w:rPr>
        <w:noBreakHyphen/>
      </w:r>
      <w:r w:rsidRPr="003156E8">
        <w:rPr>
          <w:lang w:val="fr-FR"/>
        </w:rPr>
        <w:t>après « la Convention »)</w:t>
      </w:r>
      <w:r w:rsidR="00244AED" w:rsidRPr="00244AED">
        <w:rPr>
          <w:lang w:val="fr-FR"/>
        </w:rPr>
        <w:t>.</w:t>
      </w:r>
      <w:r w:rsidRPr="003156E8">
        <w:rPr>
          <w:lang w:val="fr-FR"/>
        </w:rPr>
        <w:t xml:space="preserve"> </w:t>
      </w:r>
    </w:p>
    <w:p w14:paraId="7BFCB4BD" w14:textId="611B4599" w:rsidR="00F30B21" w:rsidRPr="003156E8" w:rsidRDefault="00F30B21" w:rsidP="00F30B21">
      <w:pPr>
        <w:pStyle w:val="SingleTxtG"/>
        <w:rPr>
          <w:lang w:val="fr-FR"/>
        </w:rPr>
      </w:pPr>
      <w:r w:rsidRPr="003156E8">
        <w:rPr>
          <w:color w:val="000000" w:themeColor="text1"/>
          <w:lang w:val="fr-FR"/>
        </w:rPr>
        <w:t>2</w:t>
      </w:r>
      <w:r w:rsidR="00244AED" w:rsidRPr="00244AED">
        <w:rPr>
          <w:color w:val="000000" w:themeColor="text1"/>
          <w:lang w:val="fr-FR"/>
        </w:rPr>
        <w:t>.</w:t>
      </w:r>
      <w:r w:rsidRPr="003156E8">
        <w:rPr>
          <w:color w:val="000000" w:themeColor="text1"/>
          <w:lang w:val="fr-FR"/>
        </w:rPr>
        <w:tab/>
      </w:r>
      <w:r w:rsidRPr="003156E8">
        <w:rPr>
          <w:lang w:val="fr-FR"/>
        </w:rPr>
        <w:t>Le Comité pour l</w:t>
      </w:r>
      <w:r>
        <w:rPr>
          <w:lang w:val="fr-FR"/>
        </w:rPr>
        <w:t>’</w:t>
      </w:r>
      <w:r w:rsidRPr="003156E8">
        <w:rPr>
          <w:lang w:val="fr-FR"/>
        </w:rPr>
        <w:t>élimination de la discrimination raciale (ci-après « le Comité ») a examiné le</w:t>
      </w:r>
      <w:r>
        <w:rPr>
          <w:lang w:val="fr-FR"/>
        </w:rPr>
        <w:t xml:space="preserve"> rapport de </w:t>
      </w:r>
      <w:r w:rsidRPr="003156E8">
        <w:rPr>
          <w:lang w:val="fr-FR"/>
        </w:rPr>
        <w:t xml:space="preserve">la République bolivarienne du Venezuela </w:t>
      </w:r>
      <w:r>
        <w:rPr>
          <w:lang w:val="fr-FR"/>
        </w:rPr>
        <w:t>valant</w:t>
      </w:r>
      <w:r w:rsidRPr="003156E8">
        <w:rPr>
          <w:lang w:val="fr-FR"/>
        </w:rPr>
        <w:t xml:space="preserve"> dix-neuvième à vingt et unième rapports périodiques (CERD/C/VEN/19-21), à ses 2241</w:t>
      </w:r>
      <w:r w:rsidRPr="003156E8">
        <w:rPr>
          <w:vertAlign w:val="superscript"/>
          <w:lang w:val="fr-FR"/>
        </w:rPr>
        <w:t>e</w:t>
      </w:r>
      <w:r w:rsidRPr="003156E8">
        <w:rPr>
          <w:lang w:val="fr-FR"/>
        </w:rPr>
        <w:t xml:space="preserve"> et 2242</w:t>
      </w:r>
      <w:r w:rsidRPr="003156E8">
        <w:rPr>
          <w:vertAlign w:val="superscript"/>
          <w:lang w:val="fr-FR"/>
        </w:rPr>
        <w:t>e</w:t>
      </w:r>
      <w:r w:rsidRPr="003156E8">
        <w:rPr>
          <w:lang w:val="fr-FR"/>
        </w:rPr>
        <w:t> séances (CERD/C/SR</w:t>
      </w:r>
      <w:r w:rsidR="00244AED" w:rsidRPr="00244AED">
        <w:rPr>
          <w:lang w:val="fr-FR"/>
        </w:rPr>
        <w:t>.</w:t>
      </w:r>
      <w:r w:rsidRPr="003156E8">
        <w:rPr>
          <w:lang w:val="fr-FR"/>
        </w:rPr>
        <w:t>2241 et CERD/C/SR</w:t>
      </w:r>
      <w:r w:rsidR="00244AED" w:rsidRPr="00244AED">
        <w:rPr>
          <w:lang w:val="fr-FR"/>
        </w:rPr>
        <w:t>.</w:t>
      </w:r>
      <w:r w:rsidRPr="003156E8">
        <w:rPr>
          <w:lang w:val="fr-FR"/>
        </w:rPr>
        <w:t>2242), les 15 et 16 août 2013, et a adopté ses observations finales (CERD/C/VEN/CO/</w:t>
      </w:r>
      <w:r w:rsidR="00DC6BF9">
        <w:rPr>
          <w:lang w:val="fr-FR"/>
        </w:rPr>
        <w:t>1</w:t>
      </w:r>
      <w:r w:rsidRPr="003156E8">
        <w:rPr>
          <w:lang w:val="fr-FR"/>
        </w:rPr>
        <w:t>9-21) à ses 2257</w:t>
      </w:r>
      <w:r w:rsidRPr="003156E8">
        <w:rPr>
          <w:vertAlign w:val="superscript"/>
          <w:lang w:val="fr-FR"/>
        </w:rPr>
        <w:t>e</w:t>
      </w:r>
      <w:r w:rsidRPr="003156E8">
        <w:rPr>
          <w:lang w:val="fr-FR"/>
        </w:rPr>
        <w:t xml:space="preserve"> et 2258</w:t>
      </w:r>
      <w:r w:rsidRPr="003156E8">
        <w:rPr>
          <w:vertAlign w:val="superscript"/>
          <w:lang w:val="fr-FR"/>
        </w:rPr>
        <w:t>e</w:t>
      </w:r>
      <w:r w:rsidRPr="003156E8">
        <w:rPr>
          <w:lang w:val="fr-FR"/>
        </w:rPr>
        <w:t xml:space="preserve"> séances (CERD/C/SR</w:t>
      </w:r>
      <w:r w:rsidR="00DC6BF9">
        <w:rPr>
          <w:lang w:val="fr-FR"/>
        </w:rPr>
        <w:t>.</w:t>
      </w:r>
      <w:r w:rsidRPr="003156E8">
        <w:rPr>
          <w:lang w:val="fr-FR"/>
        </w:rPr>
        <w:t>2257 et CERD/C/SR</w:t>
      </w:r>
      <w:r w:rsidR="00244AED" w:rsidRPr="00244AED">
        <w:rPr>
          <w:lang w:val="fr-FR"/>
        </w:rPr>
        <w:t>.</w:t>
      </w:r>
      <w:r w:rsidRPr="003156E8">
        <w:rPr>
          <w:lang w:val="fr-FR"/>
        </w:rPr>
        <w:t>2258), les 27 et 28 août 2013</w:t>
      </w:r>
      <w:r w:rsidR="00244AED" w:rsidRPr="00244AED">
        <w:rPr>
          <w:lang w:val="fr-FR"/>
        </w:rPr>
        <w:t>.</w:t>
      </w:r>
    </w:p>
    <w:p w14:paraId="28AEA1F6" w14:textId="2257B1D9" w:rsidR="00F30B21" w:rsidRPr="003156E8" w:rsidRDefault="00F30B21" w:rsidP="00F30B21">
      <w:pPr>
        <w:pStyle w:val="SingleTxtG"/>
        <w:rPr>
          <w:lang w:val="fr-FR"/>
        </w:rPr>
      </w:pPr>
      <w:r w:rsidRPr="003156E8">
        <w:rPr>
          <w:color w:val="000000" w:themeColor="text1"/>
          <w:lang w:val="fr-FR"/>
        </w:rPr>
        <w:t>3</w:t>
      </w:r>
      <w:r w:rsidR="00244AED" w:rsidRPr="00244AED">
        <w:rPr>
          <w:color w:val="000000" w:themeColor="text1"/>
          <w:lang w:val="fr-FR"/>
        </w:rPr>
        <w:t>.</w:t>
      </w:r>
      <w:r w:rsidRPr="003156E8">
        <w:rPr>
          <w:color w:val="000000" w:themeColor="text1"/>
          <w:lang w:val="fr-FR"/>
        </w:rPr>
        <w:tab/>
      </w:r>
      <w:r w:rsidRPr="003156E8">
        <w:rPr>
          <w:lang w:val="fr-FR"/>
        </w:rPr>
        <w:t>Le présent document</w:t>
      </w:r>
      <w:r>
        <w:rPr>
          <w:lang w:val="fr-FR"/>
        </w:rPr>
        <w:t>, qui</w:t>
      </w:r>
      <w:r w:rsidRPr="003156E8">
        <w:rPr>
          <w:lang w:val="fr-FR"/>
        </w:rPr>
        <w:t xml:space="preserve"> porte sur l</w:t>
      </w:r>
      <w:r>
        <w:rPr>
          <w:lang w:val="fr-FR"/>
        </w:rPr>
        <w:t xml:space="preserve">a période comprise entre </w:t>
      </w:r>
      <w:r w:rsidRPr="003156E8">
        <w:rPr>
          <w:lang w:val="fr-FR"/>
        </w:rPr>
        <w:t xml:space="preserve">la présentation du précédent rapport </w:t>
      </w:r>
      <w:r>
        <w:rPr>
          <w:lang w:val="fr-FR"/>
        </w:rPr>
        <w:t xml:space="preserve">et l’année </w:t>
      </w:r>
      <w:r w:rsidRPr="003156E8">
        <w:rPr>
          <w:lang w:val="fr-FR"/>
        </w:rPr>
        <w:t>2019</w:t>
      </w:r>
      <w:r>
        <w:rPr>
          <w:lang w:val="fr-FR"/>
        </w:rPr>
        <w:t xml:space="preserve">, prête </w:t>
      </w:r>
      <w:r w:rsidRPr="003156E8">
        <w:rPr>
          <w:lang w:val="fr-FR"/>
        </w:rPr>
        <w:t>une attention particulière aux questions soulevées par le Comité dans ses observations finales</w:t>
      </w:r>
      <w:r w:rsidR="00244AED" w:rsidRPr="00244AED">
        <w:rPr>
          <w:lang w:val="fr-FR"/>
        </w:rPr>
        <w:t>.</w:t>
      </w:r>
      <w:r w:rsidRPr="003156E8">
        <w:rPr>
          <w:lang w:val="fr-FR"/>
        </w:rPr>
        <w:t xml:space="preserve"> Il inclut les réponses aux recommandations du Comité et fournit également des renseignements sur certains événements survenus après 2019</w:t>
      </w:r>
      <w:r w:rsidR="00244AED" w:rsidRPr="00244AED">
        <w:rPr>
          <w:lang w:val="fr-FR"/>
        </w:rPr>
        <w:t>.</w:t>
      </w:r>
    </w:p>
    <w:p w14:paraId="4E88120A" w14:textId="3AABF26D" w:rsidR="00F30B21" w:rsidRPr="003156E8" w:rsidRDefault="00F30B21" w:rsidP="00F30B21">
      <w:pPr>
        <w:pStyle w:val="SingleTxtG"/>
        <w:rPr>
          <w:lang w:val="fr-FR"/>
        </w:rPr>
      </w:pPr>
      <w:r w:rsidRPr="003156E8">
        <w:rPr>
          <w:color w:val="000000" w:themeColor="text1"/>
          <w:lang w:val="fr-FR"/>
        </w:rPr>
        <w:t>4</w:t>
      </w:r>
      <w:r w:rsidR="00244AED" w:rsidRPr="00244AED">
        <w:rPr>
          <w:color w:val="000000" w:themeColor="text1"/>
          <w:lang w:val="fr-FR"/>
        </w:rPr>
        <w:t>.</w:t>
      </w:r>
      <w:r w:rsidRPr="003156E8">
        <w:rPr>
          <w:color w:val="000000" w:themeColor="text1"/>
          <w:lang w:val="fr-FR"/>
        </w:rPr>
        <w:tab/>
      </w:r>
      <w:r w:rsidRPr="003156E8">
        <w:rPr>
          <w:lang w:val="fr-FR"/>
        </w:rPr>
        <w:t>Les directives harmonisées concernant l</w:t>
      </w:r>
      <w:r>
        <w:rPr>
          <w:lang w:val="fr-FR"/>
        </w:rPr>
        <w:t>’</w:t>
      </w:r>
      <w:r w:rsidRPr="003156E8">
        <w:rPr>
          <w:lang w:val="fr-FR"/>
        </w:rPr>
        <w:t>établissement des rapports (HRI/GEN/2/Rev</w:t>
      </w:r>
      <w:r w:rsidR="00244AED" w:rsidRPr="00244AED">
        <w:rPr>
          <w:lang w:val="fr-FR"/>
        </w:rPr>
        <w:t>.</w:t>
      </w:r>
      <w:r w:rsidRPr="003156E8">
        <w:rPr>
          <w:lang w:val="fr-FR"/>
        </w:rPr>
        <w:t>6) et les directives pour l</w:t>
      </w:r>
      <w:r>
        <w:rPr>
          <w:lang w:val="fr-FR"/>
        </w:rPr>
        <w:t>’</w:t>
      </w:r>
      <w:r w:rsidRPr="003156E8">
        <w:rPr>
          <w:lang w:val="fr-FR"/>
        </w:rPr>
        <w:t>établissement du document se rapportant spécifiquement à la Convention sur l</w:t>
      </w:r>
      <w:r>
        <w:rPr>
          <w:lang w:val="fr-FR"/>
        </w:rPr>
        <w:t>’</w:t>
      </w:r>
      <w:r w:rsidRPr="003156E8">
        <w:rPr>
          <w:lang w:val="fr-FR"/>
        </w:rPr>
        <w:t>élimination de toutes les formes de discrimination raciale (CERD/C/2007/1) ont été dûment prises en compte lors de l</w:t>
      </w:r>
      <w:r>
        <w:rPr>
          <w:lang w:val="fr-FR"/>
        </w:rPr>
        <w:t>’</w:t>
      </w:r>
      <w:r w:rsidRPr="003156E8">
        <w:rPr>
          <w:lang w:val="fr-FR"/>
        </w:rPr>
        <w:t>élaboration du présent rapport</w:t>
      </w:r>
      <w:r w:rsidR="00244AED" w:rsidRPr="00244AED">
        <w:rPr>
          <w:lang w:val="fr-FR"/>
        </w:rPr>
        <w:t>.</w:t>
      </w:r>
    </w:p>
    <w:p w14:paraId="5528E1E6" w14:textId="50FDF5B3" w:rsidR="00F30B21" w:rsidRPr="003156E8" w:rsidRDefault="00F30B21" w:rsidP="00F30B21">
      <w:pPr>
        <w:pStyle w:val="SingleTxtG"/>
        <w:rPr>
          <w:lang w:val="fr-FR"/>
        </w:rPr>
      </w:pPr>
      <w:r w:rsidRPr="003156E8">
        <w:rPr>
          <w:color w:val="000000" w:themeColor="text1"/>
          <w:lang w:val="fr-FR"/>
        </w:rPr>
        <w:t>5</w:t>
      </w:r>
      <w:r w:rsidR="00244AED" w:rsidRPr="00244AED">
        <w:rPr>
          <w:color w:val="000000" w:themeColor="text1"/>
          <w:lang w:val="fr-FR"/>
        </w:rPr>
        <w:t>.</w:t>
      </w:r>
      <w:r w:rsidRPr="003156E8">
        <w:rPr>
          <w:color w:val="000000" w:themeColor="text1"/>
          <w:lang w:val="fr-FR"/>
        </w:rPr>
        <w:tab/>
      </w:r>
      <w:r w:rsidRPr="003156E8">
        <w:rPr>
          <w:lang w:val="fr-FR"/>
        </w:rPr>
        <w:t>Des organisations non gouvernementales de défense des droits de l</w:t>
      </w:r>
      <w:r>
        <w:rPr>
          <w:lang w:val="fr-FR"/>
        </w:rPr>
        <w:t>’</w:t>
      </w:r>
      <w:r w:rsidRPr="003156E8">
        <w:rPr>
          <w:lang w:val="fr-FR"/>
        </w:rPr>
        <w:t xml:space="preserve">homme </w:t>
      </w:r>
      <w:r>
        <w:rPr>
          <w:lang w:val="fr-FR"/>
        </w:rPr>
        <w:t>présentes</w:t>
      </w:r>
      <w:r w:rsidRPr="003156E8">
        <w:rPr>
          <w:lang w:val="fr-FR"/>
        </w:rPr>
        <w:t xml:space="preserve"> au Venezuela ont également été consultées et</w:t>
      </w:r>
      <w:r>
        <w:rPr>
          <w:lang w:val="fr-FR"/>
        </w:rPr>
        <w:t>,</w:t>
      </w:r>
      <w:r w:rsidRPr="00B27404">
        <w:rPr>
          <w:lang w:val="fr-FR"/>
        </w:rPr>
        <w:t xml:space="preserve"> </w:t>
      </w:r>
      <w:r w:rsidRPr="003156E8">
        <w:rPr>
          <w:lang w:val="fr-FR"/>
        </w:rPr>
        <w:t>au besoin</w:t>
      </w:r>
      <w:r>
        <w:rPr>
          <w:lang w:val="fr-FR"/>
        </w:rPr>
        <w:t>,</w:t>
      </w:r>
      <w:r w:rsidRPr="003156E8">
        <w:rPr>
          <w:lang w:val="fr-FR"/>
        </w:rPr>
        <w:t xml:space="preserve"> leurs préoccupations ont été intégrées au rapport</w:t>
      </w:r>
      <w:r w:rsidR="00244AED" w:rsidRPr="00244AED">
        <w:rPr>
          <w:lang w:val="fr-FR"/>
        </w:rPr>
        <w:t>.</w:t>
      </w:r>
    </w:p>
    <w:p w14:paraId="1C6F0D59" w14:textId="5DBB8C11" w:rsidR="00F30B21" w:rsidRPr="003156E8" w:rsidRDefault="00F30B21" w:rsidP="00F30B21">
      <w:pPr>
        <w:pStyle w:val="SingleTxtG"/>
        <w:rPr>
          <w:lang w:val="fr-FR"/>
        </w:rPr>
      </w:pPr>
      <w:r w:rsidRPr="003156E8">
        <w:rPr>
          <w:color w:val="000000" w:themeColor="text1"/>
          <w:lang w:val="fr-FR"/>
        </w:rPr>
        <w:t>6</w:t>
      </w:r>
      <w:r w:rsidR="00244AED" w:rsidRPr="00244AED">
        <w:rPr>
          <w:color w:val="000000" w:themeColor="text1"/>
          <w:lang w:val="fr-FR"/>
        </w:rPr>
        <w:t>.</w:t>
      </w:r>
      <w:r w:rsidRPr="003156E8">
        <w:rPr>
          <w:color w:val="000000" w:themeColor="text1"/>
          <w:lang w:val="fr-FR"/>
        </w:rPr>
        <w:tab/>
      </w:r>
      <w:r w:rsidRPr="003156E8">
        <w:rPr>
          <w:lang w:val="fr-FR"/>
        </w:rPr>
        <w:t xml:space="preserve">Au cours de la période </w:t>
      </w:r>
      <w:r>
        <w:rPr>
          <w:lang w:val="fr-FR"/>
        </w:rPr>
        <w:t>considérée</w:t>
      </w:r>
      <w:r w:rsidRPr="003156E8">
        <w:rPr>
          <w:lang w:val="fr-FR"/>
        </w:rPr>
        <w:t>, la République bolivarienne du Venezuela</w:t>
      </w:r>
      <w:r>
        <w:rPr>
          <w:lang w:val="fr-FR"/>
        </w:rPr>
        <w:t xml:space="preserve"> </w:t>
      </w:r>
      <w:r w:rsidRPr="003156E8">
        <w:rPr>
          <w:lang w:val="fr-FR"/>
        </w:rPr>
        <w:t>a subi</w:t>
      </w:r>
      <w:r>
        <w:rPr>
          <w:lang w:val="fr-FR"/>
        </w:rPr>
        <w:t>,</w:t>
      </w:r>
      <w:r w:rsidRPr="003156E8">
        <w:rPr>
          <w:lang w:val="fr-FR"/>
        </w:rPr>
        <w:t xml:space="preserve"> de la part du Gouvernement des États-Unis d</w:t>
      </w:r>
      <w:r>
        <w:rPr>
          <w:lang w:val="fr-FR"/>
        </w:rPr>
        <w:t>’</w:t>
      </w:r>
      <w:r w:rsidRPr="003156E8">
        <w:rPr>
          <w:lang w:val="fr-FR"/>
        </w:rPr>
        <w:t xml:space="preserve">Amérique, une agression multiforme qui a des </w:t>
      </w:r>
      <w:r>
        <w:rPr>
          <w:lang w:val="fr-FR"/>
        </w:rPr>
        <w:t>effets</w:t>
      </w:r>
      <w:r w:rsidRPr="003156E8">
        <w:rPr>
          <w:lang w:val="fr-FR"/>
        </w:rPr>
        <w:t xml:space="preserve"> néfastes sur l</w:t>
      </w:r>
      <w:r>
        <w:rPr>
          <w:lang w:val="fr-FR"/>
        </w:rPr>
        <w:t>’</w:t>
      </w:r>
      <w:r w:rsidRPr="003156E8">
        <w:rPr>
          <w:lang w:val="fr-FR"/>
        </w:rPr>
        <w:t>exercice des droits de l</w:t>
      </w:r>
      <w:r>
        <w:rPr>
          <w:lang w:val="fr-FR"/>
        </w:rPr>
        <w:t>’</w:t>
      </w:r>
      <w:r w:rsidRPr="003156E8">
        <w:rPr>
          <w:lang w:val="fr-FR"/>
        </w:rPr>
        <w:t xml:space="preserve">homme de la population vénézuélienne, y compris </w:t>
      </w:r>
      <w:r>
        <w:rPr>
          <w:lang w:val="fr-FR"/>
        </w:rPr>
        <w:t xml:space="preserve">sur </w:t>
      </w:r>
      <w:r w:rsidRPr="003156E8">
        <w:rPr>
          <w:lang w:val="fr-FR"/>
        </w:rPr>
        <w:t>les droits reconnus par la Convention</w:t>
      </w:r>
      <w:r w:rsidRPr="00F30B21">
        <w:rPr>
          <w:rStyle w:val="Appelnotedebasdep"/>
        </w:rPr>
        <w:footnoteReference w:id="3"/>
      </w:r>
      <w:r w:rsidR="00244AED" w:rsidRPr="00244AED">
        <w:rPr>
          <w:lang w:val="fr-FR"/>
        </w:rPr>
        <w:t>.</w:t>
      </w:r>
    </w:p>
    <w:p w14:paraId="6B5FCC2C" w14:textId="29867C35" w:rsidR="00F30B21" w:rsidRPr="003156E8" w:rsidRDefault="00F30B21" w:rsidP="00F30B21">
      <w:pPr>
        <w:pStyle w:val="SingleTxtG"/>
        <w:rPr>
          <w:lang w:val="fr-FR"/>
        </w:rPr>
      </w:pPr>
      <w:r w:rsidRPr="003156E8">
        <w:rPr>
          <w:color w:val="000000" w:themeColor="text1"/>
          <w:lang w:val="fr-FR"/>
        </w:rPr>
        <w:t>7</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agression contre le Venezuela se manifeste notamment par l</w:t>
      </w:r>
      <w:r>
        <w:rPr>
          <w:lang w:val="fr-FR"/>
        </w:rPr>
        <w:t>’</w:t>
      </w:r>
      <w:r w:rsidRPr="003156E8">
        <w:rPr>
          <w:lang w:val="fr-FR"/>
        </w:rPr>
        <w:t>adoption d</w:t>
      </w:r>
      <w:r>
        <w:rPr>
          <w:lang w:val="fr-FR"/>
        </w:rPr>
        <w:t>’</w:t>
      </w:r>
      <w:r w:rsidRPr="003156E8">
        <w:rPr>
          <w:lang w:val="fr-FR"/>
        </w:rPr>
        <w:t>un ensemble de mesures coercitives unilatérales</w:t>
      </w:r>
      <w:r w:rsidRPr="00F30B21">
        <w:rPr>
          <w:rStyle w:val="Appelnotedebasdep"/>
        </w:rPr>
        <w:footnoteReference w:id="4"/>
      </w:r>
      <w:r w:rsidRPr="003156E8">
        <w:rPr>
          <w:lang w:val="fr-FR"/>
        </w:rPr>
        <w:t xml:space="preserve"> dont les effets ont été décrits par le Conseil des droits de l</w:t>
      </w:r>
      <w:r>
        <w:rPr>
          <w:lang w:val="fr-FR"/>
        </w:rPr>
        <w:t>’</w:t>
      </w:r>
      <w:r w:rsidRPr="003156E8">
        <w:rPr>
          <w:lang w:val="fr-FR"/>
        </w:rPr>
        <w:t>homme</w:t>
      </w:r>
      <w:r w:rsidRPr="00F30B21">
        <w:rPr>
          <w:rStyle w:val="Appelnotedebasdep"/>
        </w:rPr>
        <w:footnoteReference w:id="5"/>
      </w:r>
      <w:r w:rsidRPr="003156E8">
        <w:rPr>
          <w:lang w:val="fr-FR"/>
        </w:rPr>
        <w:t xml:space="preserve">, la Rapporteuse spéciale sur les effets négatifs des mesures coercitives </w:t>
      </w:r>
      <w:r w:rsidRPr="003156E8">
        <w:rPr>
          <w:lang w:val="fr-FR"/>
        </w:rPr>
        <w:lastRenderedPageBreak/>
        <w:t>unilatérales sur l</w:t>
      </w:r>
      <w:r>
        <w:rPr>
          <w:lang w:val="fr-FR"/>
        </w:rPr>
        <w:t>’</w:t>
      </w:r>
      <w:r w:rsidRPr="003156E8">
        <w:rPr>
          <w:lang w:val="fr-FR"/>
        </w:rPr>
        <w:t>exercice des droits de l</w:t>
      </w:r>
      <w:r>
        <w:rPr>
          <w:lang w:val="fr-FR"/>
        </w:rPr>
        <w:t>’</w:t>
      </w:r>
      <w:r w:rsidRPr="003156E8">
        <w:rPr>
          <w:lang w:val="fr-FR"/>
        </w:rPr>
        <w:t>homme</w:t>
      </w:r>
      <w:r w:rsidRPr="00F30B21">
        <w:rPr>
          <w:rStyle w:val="Appelnotedebasdep"/>
        </w:rPr>
        <w:footnoteReference w:id="6"/>
      </w:r>
      <w:r w:rsidRPr="003156E8">
        <w:rPr>
          <w:lang w:val="fr-FR"/>
        </w:rPr>
        <w:t>, l</w:t>
      </w:r>
      <w:r>
        <w:rPr>
          <w:lang w:val="fr-FR"/>
        </w:rPr>
        <w:t>’</w:t>
      </w:r>
      <w:r w:rsidRPr="003156E8">
        <w:rPr>
          <w:lang w:val="fr-FR"/>
        </w:rPr>
        <w:t>Expert indépendant sur la promotion d</w:t>
      </w:r>
      <w:r>
        <w:rPr>
          <w:lang w:val="fr-FR"/>
        </w:rPr>
        <w:t>’</w:t>
      </w:r>
      <w:r w:rsidRPr="003156E8">
        <w:rPr>
          <w:lang w:val="fr-FR"/>
        </w:rPr>
        <w:t>un ordre international démocratique et équitable</w:t>
      </w:r>
      <w:r w:rsidRPr="00F30B21">
        <w:rPr>
          <w:rStyle w:val="Appelnotedebasdep"/>
        </w:rPr>
        <w:footnoteReference w:id="7"/>
      </w:r>
      <w:r w:rsidRPr="003156E8">
        <w:rPr>
          <w:lang w:val="fr-FR"/>
        </w:rPr>
        <w:t xml:space="preserve"> et la </w:t>
      </w:r>
      <w:proofErr w:type="spellStart"/>
      <w:r w:rsidRPr="003156E8">
        <w:rPr>
          <w:lang w:val="fr-FR"/>
        </w:rPr>
        <w:t>Haute-Commissaire</w:t>
      </w:r>
      <w:proofErr w:type="spellEnd"/>
      <w:r w:rsidRPr="003156E8">
        <w:rPr>
          <w:lang w:val="fr-FR"/>
        </w:rPr>
        <w:t xml:space="preserve"> des Nations Unies aux droits de l</w:t>
      </w:r>
      <w:r>
        <w:rPr>
          <w:lang w:val="fr-FR"/>
        </w:rPr>
        <w:t>’</w:t>
      </w:r>
      <w:r w:rsidRPr="003156E8">
        <w:rPr>
          <w:lang w:val="fr-FR"/>
        </w:rPr>
        <w:t>homme</w:t>
      </w:r>
      <w:r w:rsidRPr="00F30B21">
        <w:rPr>
          <w:rStyle w:val="Appelnotedebasdep"/>
        </w:rPr>
        <w:footnoteReference w:id="8"/>
      </w:r>
      <w:r w:rsidR="00244AED" w:rsidRPr="00244AED">
        <w:rPr>
          <w:lang w:val="fr-FR"/>
        </w:rPr>
        <w:t>.</w:t>
      </w:r>
    </w:p>
    <w:p w14:paraId="5528A0B4" w14:textId="64C374B5" w:rsidR="00F30B21" w:rsidRPr="003156E8" w:rsidRDefault="00F30B21" w:rsidP="00F30B21">
      <w:pPr>
        <w:pStyle w:val="SingleTxtG"/>
        <w:rPr>
          <w:lang w:val="fr-FR"/>
        </w:rPr>
      </w:pPr>
      <w:r w:rsidRPr="003156E8">
        <w:rPr>
          <w:color w:val="000000" w:themeColor="text1"/>
          <w:lang w:val="fr-FR"/>
        </w:rPr>
        <w:t>8</w:t>
      </w:r>
      <w:r w:rsidR="00244AED" w:rsidRPr="00244AED">
        <w:rPr>
          <w:color w:val="000000" w:themeColor="text1"/>
          <w:lang w:val="fr-FR"/>
        </w:rPr>
        <w:t>.</w:t>
      </w:r>
      <w:r w:rsidRPr="003156E8">
        <w:rPr>
          <w:color w:val="000000" w:themeColor="text1"/>
          <w:lang w:val="fr-FR"/>
        </w:rPr>
        <w:tab/>
      </w:r>
      <w:r w:rsidRPr="003156E8">
        <w:rPr>
          <w:lang w:val="fr-FR"/>
        </w:rPr>
        <w:t>Cette agression a eu un effet délétère sur la capacité de l</w:t>
      </w:r>
      <w:r>
        <w:rPr>
          <w:lang w:val="fr-FR"/>
        </w:rPr>
        <w:t>’</w:t>
      </w:r>
      <w:r w:rsidRPr="003156E8">
        <w:rPr>
          <w:lang w:val="fr-FR"/>
        </w:rPr>
        <w:t xml:space="preserve">État </w:t>
      </w:r>
      <w:r>
        <w:rPr>
          <w:lang w:val="fr-FR"/>
        </w:rPr>
        <w:t>d’</w:t>
      </w:r>
      <w:r w:rsidRPr="003156E8">
        <w:rPr>
          <w:lang w:val="fr-FR"/>
        </w:rPr>
        <w:t xml:space="preserve">obtenir les ressources financières, les biens et les services nécessaires pour subvenir pleinement aux principaux besoins de ses habitants, ainsi que sur sa capacité </w:t>
      </w:r>
      <w:r>
        <w:rPr>
          <w:lang w:val="fr-FR"/>
        </w:rPr>
        <w:t>d’</w:t>
      </w:r>
      <w:r w:rsidRPr="003156E8">
        <w:rPr>
          <w:lang w:val="fr-FR"/>
        </w:rPr>
        <w:t>assurer le bon fonctionnement des institutions chargées de garantir les droits reconnus par la Convention</w:t>
      </w:r>
      <w:r w:rsidRPr="00F30B21">
        <w:rPr>
          <w:rStyle w:val="Appelnotedebasdep"/>
        </w:rPr>
        <w:footnoteReference w:id="9"/>
      </w:r>
      <w:r w:rsidR="00244AED" w:rsidRPr="00244AED">
        <w:rPr>
          <w:lang w:val="fr-FR"/>
        </w:rPr>
        <w:t>.</w:t>
      </w:r>
    </w:p>
    <w:p w14:paraId="12AA08D0" w14:textId="065C9930" w:rsidR="00F30B21" w:rsidRPr="003156E8" w:rsidRDefault="00F30B21" w:rsidP="00F30B21">
      <w:pPr>
        <w:pStyle w:val="SingleTxtG"/>
        <w:rPr>
          <w:lang w:val="fr-FR"/>
        </w:rPr>
      </w:pPr>
      <w:r w:rsidRPr="003156E8">
        <w:rPr>
          <w:color w:val="000000" w:themeColor="text1"/>
          <w:lang w:val="fr-FR"/>
        </w:rPr>
        <w:t>9</w:t>
      </w:r>
      <w:r w:rsidR="00244AED" w:rsidRPr="00244AED">
        <w:rPr>
          <w:color w:val="000000" w:themeColor="text1"/>
          <w:lang w:val="fr-FR"/>
        </w:rPr>
        <w:t>.</w:t>
      </w:r>
      <w:r w:rsidRPr="003156E8">
        <w:rPr>
          <w:color w:val="000000" w:themeColor="text1"/>
          <w:lang w:val="fr-FR"/>
        </w:rPr>
        <w:tab/>
      </w:r>
      <w:r w:rsidRPr="003156E8">
        <w:rPr>
          <w:lang w:val="fr-FR"/>
        </w:rPr>
        <w:t>Du fait de cette agression, le revenu national a baissé de 99 %</w:t>
      </w:r>
      <w:r w:rsidRPr="00F30B21">
        <w:rPr>
          <w:rStyle w:val="Appelnotedebasdep"/>
        </w:rPr>
        <w:footnoteReference w:id="10"/>
      </w:r>
      <w:r w:rsidR="00244AED" w:rsidRPr="00244AED">
        <w:rPr>
          <w:lang w:val="fr-FR"/>
        </w:rPr>
        <w:t>.</w:t>
      </w:r>
      <w:r w:rsidRPr="003156E8">
        <w:rPr>
          <w:lang w:val="fr-FR"/>
        </w:rPr>
        <w:t xml:space="preserve"> En mai 2019, 5 470 030 645,29 dollars des États-Unis d</w:t>
      </w:r>
      <w:r>
        <w:rPr>
          <w:lang w:val="fr-FR"/>
        </w:rPr>
        <w:t>’</w:t>
      </w:r>
      <w:r w:rsidRPr="003156E8">
        <w:rPr>
          <w:lang w:val="fr-FR"/>
        </w:rPr>
        <w:t>Amérique (dollars É</w:t>
      </w:r>
      <w:r w:rsidR="00244AED" w:rsidRPr="00244AED">
        <w:rPr>
          <w:lang w:val="fr-FR"/>
        </w:rPr>
        <w:t>.</w:t>
      </w:r>
      <w:r w:rsidRPr="003156E8">
        <w:rPr>
          <w:lang w:val="fr-FR"/>
        </w:rPr>
        <w:t>-U</w:t>
      </w:r>
      <w:r w:rsidR="00244AED" w:rsidRPr="00244AED">
        <w:rPr>
          <w:lang w:val="fr-FR"/>
        </w:rPr>
        <w:t>.</w:t>
      </w:r>
      <w:r w:rsidRPr="003156E8">
        <w:rPr>
          <w:lang w:val="fr-FR"/>
        </w:rPr>
        <w:t>) appartenant à la République bolivarienne du Venezuela étaient illégalement bloqués par le système financier international</w:t>
      </w:r>
      <w:r w:rsidR="00244AED" w:rsidRPr="00244AED">
        <w:rPr>
          <w:lang w:val="fr-FR"/>
        </w:rPr>
        <w:t>.</w:t>
      </w:r>
      <w:r w:rsidRPr="003156E8">
        <w:rPr>
          <w:lang w:val="fr-FR"/>
        </w:rPr>
        <w:t xml:space="preserve"> Le pays a également été dépossédé d</w:t>
      </w:r>
      <w:r>
        <w:rPr>
          <w:lang w:val="fr-FR"/>
        </w:rPr>
        <w:t>’</w:t>
      </w:r>
      <w:r w:rsidRPr="003156E8">
        <w:rPr>
          <w:lang w:val="fr-FR"/>
        </w:rPr>
        <w:t>actifs à l</w:t>
      </w:r>
      <w:r>
        <w:rPr>
          <w:lang w:val="fr-FR"/>
        </w:rPr>
        <w:t>’</w:t>
      </w:r>
      <w:r w:rsidRPr="003156E8">
        <w:rPr>
          <w:lang w:val="fr-FR"/>
        </w:rPr>
        <w:t>étranger, estimés à plus de 30 milliards de dollars É</w:t>
      </w:r>
      <w:r w:rsidR="00244AED" w:rsidRPr="00244AED">
        <w:rPr>
          <w:lang w:val="fr-FR"/>
        </w:rPr>
        <w:t>.</w:t>
      </w:r>
      <w:r w:rsidRPr="003156E8">
        <w:rPr>
          <w:lang w:val="fr-FR"/>
        </w:rPr>
        <w:t>-U</w:t>
      </w:r>
      <w:r w:rsidR="00244AED" w:rsidRPr="00244AED">
        <w:rPr>
          <w:lang w:val="fr-FR"/>
        </w:rPr>
        <w:t>.</w:t>
      </w:r>
    </w:p>
    <w:p w14:paraId="2020CADD" w14:textId="4A0D0FFE" w:rsidR="00F30B21" w:rsidRPr="003156E8" w:rsidRDefault="00F30B21" w:rsidP="00F30B21">
      <w:pPr>
        <w:pStyle w:val="SingleTxtG"/>
        <w:rPr>
          <w:lang w:val="fr-FR"/>
        </w:rPr>
      </w:pPr>
      <w:r w:rsidRPr="003156E8">
        <w:rPr>
          <w:color w:val="000000" w:themeColor="text1"/>
          <w:lang w:val="fr-FR"/>
        </w:rPr>
        <w:t>10</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application de sanctions sur le critère du pays de résidence ou de la nationalité des populations visées peut constituer une violation de l</w:t>
      </w:r>
      <w:r>
        <w:rPr>
          <w:lang w:val="fr-FR"/>
        </w:rPr>
        <w:t>’</w:t>
      </w:r>
      <w:r w:rsidRPr="003156E8">
        <w:rPr>
          <w:lang w:val="fr-FR"/>
        </w:rPr>
        <w:t>interdiction de la discrimination raciale, en tant que norme impérative, ce qui est contraire, notamment, à l</w:t>
      </w:r>
      <w:r>
        <w:rPr>
          <w:lang w:val="fr-FR"/>
        </w:rPr>
        <w:t>’</w:t>
      </w:r>
      <w:r w:rsidRPr="003156E8">
        <w:rPr>
          <w:lang w:val="fr-FR"/>
        </w:rPr>
        <w:t>article 26 du Pacte international relatif aux droits civils et politiques et aux articles 1</w:t>
      </w:r>
      <w:r w:rsidRPr="003156E8">
        <w:rPr>
          <w:vertAlign w:val="superscript"/>
          <w:lang w:val="fr-FR"/>
        </w:rPr>
        <w:t>er</w:t>
      </w:r>
      <w:r w:rsidRPr="003156E8">
        <w:rPr>
          <w:lang w:val="fr-FR"/>
        </w:rPr>
        <w:t xml:space="preserve"> et 2 de la Convention internationale sur l</w:t>
      </w:r>
      <w:r>
        <w:rPr>
          <w:lang w:val="fr-FR"/>
        </w:rPr>
        <w:t>’</w:t>
      </w:r>
      <w:r w:rsidRPr="003156E8">
        <w:rPr>
          <w:lang w:val="fr-FR"/>
        </w:rPr>
        <w:t>élimination de toutes les formes de discrimination raciale</w:t>
      </w:r>
      <w:r w:rsidR="00244AED" w:rsidRPr="00244AED">
        <w:rPr>
          <w:lang w:val="fr-FR"/>
        </w:rPr>
        <w:t>.</w:t>
      </w:r>
    </w:p>
    <w:p w14:paraId="251335B6" w14:textId="0252ADB9" w:rsidR="00F30B21" w:rsidRPr="003156E8" w:rsidRDefault="00F30B21" w:rsidP="00F30B21">
      <w:pPr>
        <w:pStyle w:val="HChG"/>
        <w:rPr>
          <w:lang w:val="fr-FR"/>
        </w:rPr>
      </w:pPr>
      <w:r w:rsidRPr="003156E8">
        <w:rPr>
          <w:b w:val="0"/>
          <w:lang w:val="fr-FR"/>
        </w:rPr>
        <w:tab/>
      </w:r>
      <w:r w:rsidRPr="003156E8">
        <w:rPr>
          <w:bCs/>
          <w:lang w:val="fr-FR"/>
        </w:rPr>
        <w:t>II</w:t>
      </w:r>
      <w:r w:rsidR="00244AED" w:rsidRPr="00244AED">
        <w:rPr>
          <w:bCs/>
          <w:lang w:val="fr-FR"/>
        </w:rPr>
        <w:t>.</w:t>
      </w:r>
      <w:r w:rsidRPr="003156E8">
        <w:rPr>
          <w:bCs/>
          <w:lang w:val="fr-FR"/>
        </w:rPr>
        <w:tab/>
        <w:t>Données sur la population</w:t>
      </w:r>
    </w:p>
    <w:p w14:paraId="6D004E26" w14:textId="1B73A989" w:rsidR="00F30B21" w:rsidRPr="003156E8" w:rsidRDefault="00F30B21" w:rsidP="00F30B21">
      <w:pPr>
        <w:pStyle w:val="SingleTxtG"/>
        <w:rPr>
          <w:lang w:val="fr-FR"/>
        </w:rPr>
      </w:pPr>
      <w:r w:rsidRPr="003156E8">
        <w:rPr>
          <w:color w:val="000000" w:themeColor="text1"/>
          <w:lang w:val="fr-FR"/>
        </w:rPr>
        <w:t>11</w:t>
      </w:r>
      <w:r w:rsidR="00244AED" w:rsidRPr="00244AED">
        <w:rPr>
          <w:color w:val="000000" w:themeColor="text1"/>
          <w:lang w:val="fr-FR"/>
        </w:rPr>
        <w:t>.</w:t>
      </w:r>
      <w:r w:rsidRPr="003156E8">
        <w:rPr>
          <w:color w:val="000000" w:themeColor="text1"/>
          <w:lang w:val="fr-FR"/>
        </w:rPr>
        <w:tab/>
      </w:r>
      <w:r w:rsidRPr="003156E8">
        <w:rPr>
          <w:lang w:val="fr-FR"/>
        </w:rPr>
        <w:t xml:space="preserve">La République bolivarienne du Venezuela est une nation </w:t>
      </w:r>
      <w:proofErr w:type="spellStart"/>
      <w:r w:rsidRPr="003156E8">
        <w:rPr>
          <w:lang w:val="fr-FR"/>
        </w:rPr>
        <w:t>multiethnique</w:t>
      </w:r>
      <w:proofErr w:type="spellEnd"/>
      <w:r w:rsidRPr="003156E8">
        <w:rPr>
          <w:lang w:val="fr-FR"/>
        </w:rPr>
        <w:t xml:space="preserve"> et multiculturelle, qui reconnaît l</w:t>
      </w:r>
      <w:r>
        <w:rPr>
          <w:lang w:val="fr-FR"/>
        </w:rPr>
        <w:t>’</w:t>
      </w:r>
      <w:r w:rsidRPr="003156E8">
        <w:rPr>
          <w:lang w:val="fr-FR"/>
        </w:rPr>
        <w:t>existence d</w:t>
      </w:r>
      <w:r>
        <w:rPr>
          <w:lang w:val="fr-FR"/>
        </w:rPr>
        <w:t>’</w:t>
      </w:r>
      <w:r w:rsidRPr="003156E8">
        <w:rPr>
          <w:lang w:val="fr-FR"/>
        </w:rPr>
        <w:t xml:space="preserve">un ensemble de peuples autochtones </w:t>
      </w:r>
      <w:r>
        <w:rPr>
          <w:lang w:val="fr-FR"/>
        </w:rPr>
        <w:t>et</w:t>
      </w:r>
      <w:r w:rsidRPr="003156E8">
        <w:rPr>
          <w:lang w:val="fr-FR"/>
        </w:rPr>
        <w:t xml:space="preserve"> d</w:t>
      </w:r>
      <w:r>
        <w:rPr>
          <w:lang w:val="fr-FR"/>
        </w:rPr>
        <w:t>’</w:t>
      </w:r>
      <w:r w:rsidRPr="003156E8">
        <w:rPr>
          <w:lang w:val="fr-FR"/>
        </w:rPr>
        <w:t>une importante population d</w:t>
      </w:r>
      <w:r>
        <w:rPr>
          <w:lang w:val="fr-FR"/>
        </w:rPr>
        <w:t>’</w:t>
      </w:r>
      <w:r w:rsidRPr="003156E8">
        <w:rPr>
          <w:lang w:val="fr-FR"/>
        </w:rPr>
        <w:t>ascendance africaine, qui fait partie intégrante du territoire national</w:t>
      </w:r>
      <w:r w:rsidR="00244AED" w:rsidRPr="00244AED">
        <w:rPr>
          <w:lang w:val="fr-FR"/>
        </w:rPr>
        <w:t>.</w:t>
      </w:r>
    </w:p>
    <w:p w14:paraId="3FC2E923" w14:textId="3E483F3D" w:rsidR="00F30B21" w:rsidRPr="003156E8" w:rsidRDefault="00F30B21" w:rsidP="00F30B21">
      <w:pPr>
        <w:pStyle w:val="SingleTxtG"/>
        <w:rPr>
          <w:lang w:val="fr-FR"/>
        </w:rPr>
      </w:pPr>
      <w:r w:rsidRPr="003156E8">
        <w:rPr>
          <w:color w:val="000000" w:themeColor="text1"/>
          <w:lang w:val="fr-FR"/>
        </w:rPr>
        <w:t>12</w:t>
      </w:r>
      <w:r w:rsidR="00244AED" w:rsidRPr="00244AED">
        <w:rPr>
          <w:color w:val="000000" w:themeColor="text1"/>
          <w:lang w:val="fr-FR"/>
        </w:rPr>
        <w:t>.</w:t>
      </w:r>
      <w:r w:rsidRPr="003156E8">
        <w:rPr>
          <w:color w:val="000000" w:themeColor="text1"/>
          <w:lang w:val="fr-FR"/>
        </w:rPr>
        <w:tab/>
        <w:t>D</w:t>
      </w:r>
      <w:r>
        <w:rPr>
          <w:color w:val="000000" w:themeColor="text1"/>
          <w:lang w:val="fr-FR"/>
        </w:rPr>
        <w:t>’</w:t>
      </w:r>
      <w:r w:rsidRPr="003156E8">
        <w:rPr>
          <w:color w:val="000000" w:themeColor="text1"/>
          <w:lang w:val="fr-FR"/>
        </w:rPr>
        <w:t>après l</w:t>
      </w:r>
      <w:r w:rsidRPr="003156E8">
        <w:rPr>
          <w:lang w:val="fr-FR"/>
        </w:rPr>
        <w:t>e recensement national de 2011, la population totale du Venezuela s</w:t>
      </w:r>
      <w:r>
        <w:rPr>
          <w:lang w:val="fr-FR"/>
        </w:rPr>
        <w:t>’</w:t>
      </w:r>
      <w:r w:rsidRPr="003156E8">
        <w:rPr>
          <w:lang w:val="fr-FR"/>
        </w:rPr>
        <w:t>élève à 27 227 930 habitants et devrait atteindre 32 605 423 habitants en 2020</w:t>
      </w:r>
      <w:r w:rsidR="00244AED" w:rsidRPr="00244AED">
        <w:rPr>
          <w:lang w:val="fr-FR"/>
        </w:rPr>
        <w:t>.</w:t>
      </w:r>
      <w:r w:rsidRPr="003156E8">
        <w:rPr>
          <w:lang w:val="fr-FR"/>
        </w:rPr>
        <w:t xml:space="preserve"> Des questions concernant l</w:t>
      </w:r>
      <w:r>
        <w:rPr>
          <w:lang w:val="fr-FR"/>
        </w:rPr>
        <w:t>’</w:t>
      </w:r>
      <w:proofErr w:type="spellStart"/>
      <w:r w:rsidRPr="003156E8">
        <w:rPr>
          <w:lang w:val="fr-FR"/>
        </w:rPr>
        <w:t>auto-identification</w:t>
      </w:r>
      <w:proofErr w:type="spellEnd"/>
      <w:r w:rsidRPr="003156E8">
        <w:rPr>
          <w:lang w:val="fr-FR"/>
        </w:rPr>
        <w:t xml:space="preserve"> ethnique ont été introduites à l</w:t>
      </w:r>
      <w:r>
        <w:rPr>
          <w:lang w:val="fr-FR"/>
        </w:rPr>
        <w:t>’</w:t>
      </w:r>
      <w:r w:rsidRPr="003156E8">
        <w:rPr>
          <w:lang w:val="fr-FR"/>
        </w:rPr>
        <w:t>occasion de ce recensement</w:t>
      </w:r>
      <w:r w:rsidR="00244AED" w:rsidRPr="00244AED">
        <w:rPr>
          <w:lang w:val="fr-FR"/>
        </w:rPr>
        <w:t>.</w:t>
      </w:r>
      <w:r w:rsidRPr="003156E8">
        <w:rPr>
          <w:lang w:val="fr-FR"/>
        </w:rPr>
        <w:t xml:space="preserve"> Sur l</w:t>
      </w:r>
      <w:r>
        <w:rPr>
          <w:lang w:val="fr-FR"/>
        </w:rPr>
        <w:t>’</w:t>
      </w:r>
      <w:r w:rsidRPr="003156E8">
        <w:rPr>
          <w:lang w:val="fr-FR"/>
        </w:rPr>
        <w:t>ensemble des personnes recensées, 49,9 % s</w:t>
      </w:r>
      <w:r>
        <w:rPr>
          <w:lang w:val="fr-FR"/>
        </w:rPr>
        <w:t>’</w:t>
      </w:r>
      <w:r w:rsidRPr="003156E8">
        <w:rPr>
          <w:lang w:val="fr-FR"/>
        </w:rPr>
        <w:t xml:space="preserve">identifient comme métisses, 42,2 % comme blanches, 2,8 % comme noires, 0,7 % comme </w:t>
      </w:r>
      <w:r>
        <w:rPr>
          <w:lang w:val="fr-FR"/>
        </w:rPr>
        <w:t>d’</w:t>
      </w:r>
      <w:r w:rsidRPr="003156E8">
        <w:rPr>
          <w:lang w:val="fr-FR"/>
        </w:rPr>
        <w:t>ascendance africaine et 2,7 % comme autochtones</w:t>
      </w:r>
      <w:r w:rsidR="00244AED" w:rsidRPr="00244AED">
        <w:rPr>
          <w:lang w:val="fr-FR"/>
        </w:rPr>
        <w:t>.</w:t>
      </w:r>
    </w:p>
    <w:p w14:paraId="3376BBC2" w14:textId="46637AD0" w:rsidR="00F30B21" w:rsidRPr="003156E8" w:rsidRDefault="00F30B21" w:rsidP="0068054B">
      <w:pPr>
        <w:pStyle w:val="SingleTxtG"/>
        <w:keepNext/>
        <w:keepLines/>
        <w:rPr>
          <w:lang w:val="fr-FR"/>
        </w:rPr>
      </w:pPr>
      <w:r w:rsidRPr="003156E8">
        <w:rPr>
          <w:color w:val="000000" w:themeColor="text1"/>
          <w:lang w:val="fr-FR"/>
        </w:rPr>
        <w:lastRenderedPageBreak/>
        <w:t>13</w:t>
      </w:r>
      <w:r w:rsidR="00244AED" w:rsidRPr="00244AED">
        <w:rPr>
          <w:color w:val="000000" w:themeColor="text1"/>
          <w:lang w:val="fr-FR"/>
        </w:rPr>
        <w:t>.</w:t>
      </w:r>
      <w:r w:rsidRPr="003156E8">
        <w:rPr>
          <w:color w:val="000000" w:themeColor="text1"/>
          <w:lang w:val="fr-FR"/>
        </w:rPr>
        <w:tab/>
      </w:r>
      <w:r w:rsidRPr="003156E8">
        <w:rPr>
          <w:lang w:val="fr-FR"/>
        </w:rPr>
        <w:t xml:space="preserve">Ainsi, 936 867 Vénézuéliens se sont identifiés comme noirs ou </w:t>
      </w:r>
      <w:r>
        <w:rPr>
          <w:lang w:val="fr-FR"/>
        </w:rPr>
        <w:t>d’</w:t>
      </w:r>
      <w:r w:rsidRPr="003156E8">
        <w:rPr>
          <w:lang w:val="fr-FR"/>
        </w:rPr>
        <w:t xml:space="preserve">ascendance africaine dans les États suivants : Miranda (137 831), Zulia (90 389), Carabobo (76 085), District de la capitale (63 595), Aragua (58 934), Bolívar (55 852), Anzoátegui (55 548), Falcón (42 857), Guárico (42 579), Sucre (42 190), Lara (40 542), Monagas (40 147), Portuguesa (30 913), Yaracuy (29 156), Apure (24 472), Barinas (21 400), Vargas (19 696), Cojedes (13 590), Nueva Esparta (12 154), Táchira (9 554), Mérida (9 213), Delta </w:t>
      </w:r>
      <w:proofErr w:type="spellStart"/>
      <w:r w:rsidRPr="003156E8">
        <w:rPr>
          <w:lang w:val="fr-FR"/>
        </w:rPr>
        <w:t>Amacuro</w:t>
      </w:r>
      <w:proofErr w:type="spellEnd"/>
      <w:r w:rsidRPr="003156E8">
        <w:rPr>
          <w:lang w:val="fr-FR"/>
        </w:rPr>
        <w:t xml:space="preserve"> (8 706), Trujillo (8 591), Amazonas (2 780) et Dépendances fédérales (93)</w:t>
      </w:r>
      <w:r w:rsidR="00244AED" w:rsidRPr="00244AED">
        <w:rPr>
          <w:lang w:val="fr-FR"/>
        </w:rPr>
        <w:t>.</w:t>
      </w:r>
    </w:p>
    <w:p w14:paraId="6D0DC55C" w14:textId="2CEE4A59" w:rsidR="00F30B21" w:rsidRPr="003156E8" w:rsidRDefault="00F30B21" w:rsidP="00F30B21">
      <w:pPr>
        <w:pStyle w:val="SingleTxtG"/>
        <w:rPr>
          <w:lang w:val="fr-FR"/>
        </w:rPr>
      </w:pPr>
      <w:r w:rsidRPr="003156E8">
        <w:rPr>
          <w:color w:val="000000" w:themeColor="text1"/>
          <w:lang w:val="fr-FR"/>
        </w:rPr>
        <w:t>14</w:t>
      </w:r>
      <w:r w:rsidR="00244AED" w:rsidRPr="00244AED">
        <w:rPr>
          <w:color w:val="000000" w:themeColor="text1"/>
          <w:lang w:val="fr-FR"/>
        </w:rPr>
        <w:t>.</w:t>
      </w:r>
      <w:r w:rsidRPr="003156E8">
        <w:rPr>
          <w:color w:val="000000" w:themeColor="text1"/>
          <w:lang w:val="fr-FR"/>
        </w:rPr>
        <w:tab/>
      </w:r>
      <w:r w:rsidRPr="003156E8">
        <w:rPr>
          <w:lang w:val="fr-FR"/>
        </w:rPr>
        <w:t xml:space="preserve">Les données du recensement national de la population et du logement </w:t>
      </w:r>
      <w:r>
        <w:rPr>
          <w:lang w:val="fr-FR"/>
        </w:rPr>
        <w:t xml:space="preserve">de </w:t>
      </w:r>
      <w:r w:rsidRPr="003156E8">
        <w:rPr>
          <w:lang w:val="fr-FR"/>
        </w:rPr>
        <w:t>2011 font état de 724 592 habitants appartenant à 44 peuples autochtones</w:t>
      </w:r>
      <w:r w:rsidR="00244AED" w:rsidRPr="00244AED">
        <w:rPr>
          <w:lang w:val="fr-FR"/>
        </w:rPr>
        <w:t>.</w:t>
      </w:r>
      <w:r w:rsidRPr="003156E8">
        <w:rPr>
          <w:lang w:val="fr-FR"/>
        </w:rPr>
        <w:t xml:space="preserve"> Sur l</w:t>
      </w:r>
      <w:r>
        <w:rPr>
          <w:lang w:val="fr-FR"/>
        </w:rPr>
        <w:t>’</w:t>
      </w:r>
      <w:r w:rsidRPr="003156E8">
        <w:rPr>
          <w:lang w:val="fr-FR"/>
        </w:rPr>
        <w:t>ensemble des ménages vivant dans des logements familiaux, 2,88 % (202 054 ménages) comptent au moins un membre qui s</w:t>
      </w:r>
      <w:r>
        <w:rPr>
          <w:lang w:val="fr-FR"/>
        </w:rPr>
        <w:t>’</w:t>
      </w:r>
      <w:r w:rsidRPr="003156E8">
        <w:rPr>
          <w:lang w:val="fr-FR"/>
        </w:rPr>
        <w:t>identifie comme autochtone</w:t>
      </w:r>
      <w:r w:rsidR="00244AED" w:rsidRPr="00244AED">
        <w:rPr>
          <w:lang w:val="fr-FR"/>
        </w:rPr>
        <w:t>.</w:t>
      </w:r>
      <w:r w:rsidRPr="003156E8">
        <w:rPr>
          <w:lang w:val="fr-FR"/>
        </w:rPr>
        <w:t xml:space="preserve"> Les États où le pourcentage relatif de ménages exclusivement autochtones est le plus élevé sont Delta </w:t>
      </w:r>
      <w:proofErr w:type="spellStart"/>
      <w:r w:rsidRPr="003156E8">
        <w:rPr>
          <w:lang w:val="fr-FR"/>
        </w:rPr>
        <w:t>Amacuro</w:t>
      </w:r>
      <w:proofErr w:type="spellEnd"/>
      <w:r w:rsidRPr="003156E8">
        <w:rPr>
          <w:lang w:val="fr-FR"/>
        </w:rPr>
        <w:t xml:space="preserve"> (77,92 %), Amazonas (73,69 %), Bolívar (72,09 %), Apure (68,67 %), Sucre (68,56 %), Anzoátegui (59,13 %), Zulia (57,14 %) et Monagas (53,14 %)</w:t>
      </w:r>
      <w:r w:rsidR="00244AED" w:rsidRPr="00244AED">
        <w:rPr>
          <w:lang w:val="fr-FR"/>
        </w:rPr>
        <w:t>.</w:t>
      </w:r>
    </w:p>
    <w:p w14:paraId="445949FD" w14:textId="3F49DD43" w:rsidR="00F30B21" w:rsidRPr="003156E8" w:rsidRDefault="00F30B21" w:rsidP="00F30B21">
      <w:pPr>
        <w:pStyle w:val="SingleTxtG"/>
        <w:rPr>
          <w:lang w:val="fr-FR"/>
        </w:rPr>
      </w:pPr>
      <w:r w:rsidRPr="003156E8">
        <w:rPr>
          <w:color w:val="000000" w:themeColor="text1"/>
          <w:lang w:val="fr-FR"/>
        </w:rPr>
        <w:t>15</w:t>
      </w:r>
      <w:r w:rsidR="00244AED" w:rsidRPr="00244AED">
        <w:rPr>
          <w:color w:val="000000" w:themeColor="text1"/>
          <w:lang w:val="fr-FR"/>
        </w:rPr>
        <w:t>.</w:t>
      </w:r>
      <w:r w:rsidRPr="003156E8">
        <w:rPr>
          <w:color w:val="000000" w:themeColor="text1"/>
          <w:lang w:val="fr-FR"/>
        </w:rPr>
        <w:tab/>
      </w:r>
      <w:r w:rsidRPr="003156E8">
        <w:rPr>
          <w:lang w:val="fr-FR"/>
        </w:rPr>
        <w:t>Les résultats du recensement de 2011 montrent que 93,9 % des Vénézuéliens estiment n</w:t>
      </w:r>
      <w:r>
        <w:rPr>
          <w:lang w:val="fr-FR"/>
        </w:rPr>
        <w:t>’</w:t>
      </w:r>
      <w:r w:rsidRPr="003156E8">
        <w:rPr>
          <w:lang w:val="fr-FR"/>
        </w:rPr>
        <w:t xml:space="preserve">avoir aucun handicap, tandis que 6 % reconnaissent </w:t>
      </w:r>
      <w:r>
        <w:rPr>
          <w:lang w:val="fr-FR"/>
        </w:rPr>
        <w:t>avoir</w:t>
      </w:r>
      <w:r w:rsidRPr="003156E8">
        <w:rPr>
          <w:lang w:val="fr-FR"/>
        </w:rPr>
        <w:t xml:space="preserve"> un handicap : visuel (1,7 %), auditif (0,4 %), neurologique (0,7 %), </w:t>
      </w:r>
      <w:proofErr w:type="spellStart"/>
      <w:r w:rsidRPr="003156E8">
        <w:rPr>
          <w:lang w:val="fr-FR"/>
        </w:rPr>
        <w:t>musculo-squelettique</w:t>
      </w:r>
      <w:proofErr w:type="spellEnd"/>
      <w:r w:rsidRPr="003156E8">
        <w:rPr>
          <w:lang w:val="fr-FR"/>
        </w:rPr>
        <w:t xml:space="preserve"> (0,9 %), vocal et langagier (0,2 %), </w:t>
      </w:r>
      <w:proofErr w:type="spellStart"/>
      <w:r w:rsidRPr="003156E8">
        <w:rPr>
          <w:lang w:val="fr-FR"/>
        </w:rPr>
        <w:t>cardiovasculaire</w:t>
      </w:r>
      <w:proofErr w:type="spellEnd"/>
      <w:r w:rsidRPr="003156E8">
        <w:rPr>
          <w:lang w:val="fr-FR"/>
        </w:rPr>
        <w:t xml:space="preserve"> (1,0 %), mental d</w:t>
      </w:r>
      <w:r>
        <w:rPr>
          <w:lang w:val="fr-FR"/>
        </w:rPr>
        <w:t>’</w:t>
      </w:r>
      <w:r w:rsidRPr="003156E8">
        <w:rPr>
          <w:lang w:val="fr-FR"/>
        </w:rPr>
        <w:t>ordre intellectuel (0,5 %), respiratoire (0,6 %) et mental d</w:t>
      </w:r>
      <w:r>
        <w:rPr>
          <w:lang w:val="fr-FR"/>
        </w:rPr>
        <w:t>’</w:t>
      </w:r>
      <w:r w:rsidRPr="003156E8">
        <w:rPr>
          <w:lang w:val="fr-FR"/>
        </w:rPr>
        <w:t xml:space="preserve">ordre </w:t>
      </w:r>
      <w:proofErr w:type="spellStart"/>
      <w:r w:rsidRPr="003156E8">
        <w:rPr>
          <w:lang w:val="fr-FR"/>
        </w:rPr>
        <w:t>psychosocial</w:t>
      </w:r>
      <w:proofErr w:type="spellEnd"/>
      <w:r w:rsidRPr="003156E8">
        <w:rPr>
          <w:lang w:val="fr-FR"/>
        </w:rPr>
        <w:t xml:space="preserve"> (0,3 %)</w:t>
      </w:r>
      <w:r w:rsidR="00244AED" w:rsidRPr="00244AED">
        <w:rPr>
          <w:lang w:val="fr-FR"/>
        </w:rPr>
        <w:t>.</w:t>
      </w:r>
      <w:r w:rsidRPr="003156E8">
        <w:rPr>
          <w:lang w:val="fr-FR"/>
        </w:rPr>
        <w:t xml:space="preserve"> </w:t>
      </w:r>
    </w:p>
    <w:p w14:paraId="30785A95" w14:textId="726CFCAF" w:rsidR="00F30B21" w:rsidRPr="003156E8" w:rsidRDefault="00F30B21" w:rsidP="00F30B21">
      <w:pPr>
        <w:pStyle w:val="SingleTxtG"/>
        <w:rPr>
          <w:lang w:val="fr-FR"/>
        </w:rPr>
      </w:pPr>
      <w:r w:rsidRPr="003156E8">
        <w:rPr>
          <w:color w:val="000000" w:themeColor="text1"/>
          <w:lang w:val="fr-FR"/>
        </w:rPr>
        <w:t>16</w:t>
      </w:r>
      <w:r w:rsidR="00244AED" w:rsidRPr="00244AED">
        <w:rPr>
          <w:color w:val="000000" w:themeColor="text1"/>
          <w:lang w:val="fr-FR"/>
        </w:rPr>
        <w:t>.</w:t>
      </w:r>
      <w:r w:rsidRPr="003156E8">
        <w:rPr>
          <w:color w:val="000000" w:themeColor="text1"/>
          <w:lang w:val="fr-FR"/>
        </w:rPr>
        <w:tab/>
        <w:t>Selon l</w:t>
      </w:r>
      <w:r w:rsidRPr="003156E8">
        <w:rPr>
          <w:lang w:val="fr-FR"/>
        </w:rPr>
        <w:t>e recensement de 2011, le Venezuela compte 14 218 614 femmes</w:t>
      </w:r>
      <w:r w:rsidR="00244AED" w:rsidRPr="00244AED">
        <w:rPr>
          <w:lang w:val="fr-FR"/>
        </w:rPr>
        <w:t>.</w:t>
      </w:r>
      <w:r>
        <w:rPr>
          <w:lang w:val="fr-FR"/>
        </w:rPr>
        <w:t xml:space="preserve"> C</w:t>
      </w:r>
      <w:r w:rsidRPr="003156E8">
        <w:rPr>
          <w:lang w:val="fr-FR"/>
        </w:rPr>
        <w:t>e chiffre devrait atteindre 16 265 484 femmes en 2020, soit 49,88 % de la population totale</w:t>
      </w:r>
      <w:r w:rsidR="00244AED" w:rsidRPr="00244AED">
        <w:rPr>
          <w:lang w:val="fr-FR"/>
        </w:rPr>
        <w:t>.</w:t>
      </w:r>
    </w:p>
    <w:p w14:paraId="1437E0A5" w14:textId="029EC573" w:rsidR="00F30B21" w:rsidRPr="003156E8" w:rsidRDefault="00F30B21" w:rsidP="00F30B21">
      <w:pPr>
        <w:pStyle w:val="SingleTxtG"/>
        <w:rPr>
          <w:lang w:val="fr-FR"/>
        </w:rPr>
      </w:pPr>
      <w:r w:rsidRPr="003156E8">
        <w:rPr>
          <w:color w:val="000000" w:themeColor="text1"/>
          <w:lang w:val="fr-FR"/>
        </w:rPr>
        <w:t>17</w:t>
      </w:r>
      <w:r w:rsidR="00244AED" w:rsidRPr="00244AED">
        <w:rPr>
          <w:color w:val="000000" w:themeColor="text1"/>
          <w:lang w:val="fr-FR"/>
        </w:rPr>
        <w:t>.</w:t>
      </w:r>
      <w:r w:rsidRPr="003156E8">
        <w:rPr>
          <w:color w:val="000000" w:themeColor="text1"/>
          <w:lang w:val="fr-FR"/>
        </w:rPr>
        <w:tab/>
      </w:r>
      <w:r w:rsidRPr="003156E8">
        <w:rPr>
          <w:lang w:val="fr-FR"/>
        </w:rPr>
        <w:t>Selon les projections de l</w:t>
      </w:r>
      <w:r>
        <w:rPr>
          <w:lang w:val="fr-FR"/>
        </w:rPr>
        <w:t>’</w:t>
      </w:r>
      <w:r w:rsidRPr="003156E8">
        <w:rPr>
          <w:lang w:val="fr-FR"/>
        </w:rPr>
        <w:t>Institut national de statistique, la République bolivarienne du Venezuela présente actuellement un avantage démographique, puisque ses habitants sont majoritairement en âge de produire</w:t>
      </w:r>
      <w:r w:rsidR="00244AED" w:rsidRPr="00244AED">
        <w:rPr>
          <w:lang w:val="fr-FR"/>
        </w:rPr>
        <w:t>.</w:t>
      </w:r>
      <w:r w:rsidRPr="003156E8">
        <w:rPr>
          <w:lang w:val="fr-FR"/>
        </w:rPr>
        <w:t xml:space="preserve"> En 2020, la moitié des femmes auront entre 20 et 54 ans et seront donc en âge d</w:t>
      </w:r>
      <w:r>
        <w:rPr>
          <w:lang w:val="fr-FR"/>
        </w:rPr>
        <w:t>’avoir une activité productive</w:t>
      </w:r>
      <w:r w:rsidR="00244AED" w:rsidRPr="00244AED">
        <w:rPr>
          <w:lang w:val="fr-FR"/>
        </w:rPr>
        <w:t>.</w:t>
      </w:r>
      <w:r w:rsidRPr="003156E8">
        <w:rPr>
          <w:lang w:val="fr-FR"/>
        </w:rPr>
        <w:t xml:space="preserve"> Les données de cet institut indiquent </w:t>
      </w:r>
      <w:r>
        <w:rPr>
          <w:lang w:val="fr-FR"/>
        </w:rPr>
        <w:t>en outre</w:t>
      </w:r>
      <w:r w:rsidRPr="003156E8">
        <w:rPr>
          <w:lang w:val="fr-FR"/>
        </w:rPr>
        <w:t xml:space="preserve"> qu</w:t>
      </w:r>
      <w:r>
        <w:rPr>
          <w:lang w:val="fr-FR"/>
        </w:rPr>
        <w:t>’</w:t>
      </w:r>
      <w:r w:rsidRPr="003156E8">
        <w:rPr>
          <w:lang w:val="fr-FR"/>
        </w:rPr>
        <w:t>un tiers des femmes travaille dans le secteur public</w:t>
      </w:r>
      <w:r w:rsidR="00244AED" w:rsidRPr="00244AED">
        <w:rPr>
          <w:lang w:val="fr-FR"/>
        </w:rPr>
        <w:t>.</w:t>
      </w:r>
    </w:p>
    <w:p w14:paraId="3EB1DD9A" w14:textId="26C678FC" w:rsidR="00F30B21" w:rsidRPr="003156E8" w:rsidRDefault="00F30B21" w:rsidP="00F30B21">
      <w:pPr>
        <w:pStyle w:val="SingleTxtG"/>
        <w:rPr>
          <w:lang w:val="fr-FR"/>
        </w:rPr>
      </w:pPr>
      <w:r w:rsidRPr="003156E8">
        <w:rPr>
          <w:color w:val="000000" w:themeColor="text1"/>
          <w:lang w:val="fr-FR"/>
        </w:rPr>
        <w:t>18</w:t>
      </w:r>
      <w:r w:rsidR="00244AED" w:rsidRPr="00244AED">
        <w:rPr>
          <w:color w:val="000000" w:themeColor="text1"/>
          <w:lang w:val="fr-FR"/>
        </w:rPr>
        <w:t>.</w:t>
      </w:r>
      <w:r w:rsidRPr="003156E8">
        <w:rPr>
          <w:color w:val="000000" w:themeColor="text1"/>
          <w:lang w:val="fr-FR"/>
        </w:rPr>
        <w:tab/>
      </w:r>
      <w:r w:rsidRPr="003156E8">
        <w:rPr>
          <w:lang w:val="fr-FR"/>
        </w:rPr>
        <w:t>En 2011, le Venezuela comptait environ 8 937 456 enfants et adolescents (32,8 % de la population vénézuélienne), dont 3,6 % s</w:t>
      </w:r>
      <w:r>
        <w:rPr>
          <w:lang w:val="fr-FR"/>
        </w:rPr>
        <w:t>’</w:t>
      </w:r>
      <w:r w:rsidRPr="003156E8">
        <w:rPr>
          <w:lang w:val="fr-FR"/>
        </w:rPr>
        <w:t xml:space="preserve">identifiaient comme autochtones, 2,1 % comme noirs et seulement 0,5 % comme </w:t>
      </w:r>
      <w:r>
        <w:rPr>
          <w:lang w:val="fr-FR"/>
        </w:rPr>
        <w:t>d’</w:t>
      </w:r>
      <w:r w:rsidRPr="003156E8">
        <w:rPr>
          <w:lang w:val="fr-FR"/>
        </w:rPr>
        <w:t>ascendance africaine</w:t>
      </w:r>
      <w:r w:rsidR="00244AED" w:rsidRPr="00244AED">
        <w:rPr>
          <w:lang w:val="fr-FR"/>
        </w:rPr>
        <w:t>.</w:t>
      </w:r>
    </w:p>
    <w:p w14:paraId="488F379C" w14:textId="7E68AD85" w:rsidR="00F30B21" w:rsidRPr="003156E8" w:rsidRDefault="00F30B21" w:rsidP="00F30B21">
      <w:pPr>
        <w:pStyle w:val="HChG"/>
        <w:rPr>
          <w:lang w:val="fr-FR"/>
        </w:rPr>
      </w:pPr>
      <w:r w:rsidRPr="003156E8">
        <w:rPr>
          <w:b w:val="0"/>
          <w:lang w:val="fr-FR"/>
        </w:rPr>
        <w:tab/>
      </w:r>
      <w:r w:rsidRPr="003156E8">
        <w:rPr>
          <w:bCs/>
          <w:lang w:val="fr-FR"/>
        </w:rPr>
        <w:t>III</w:t>
      </w:r>
      <w:r w:rsidR="00244AED" w:rsidRPr="00244AED">
        <w:rPr>
          <w:bCs/>
          <w:lang w:val="fr-FR"/>
        </w:rPr>
        <w:t>.</w:t>
      </w:r>
      <w:r w:rsidRPr="003156E8">
        <w:rPr>
          <w:bCs/>
          <w:lang w:val="fr-FR"/>
        </w:rPr>
        <w:tab/>
        <w:t>Cadre institutionnel</w:t>
      </w:r>
    </w:p>
    <w:p w14:paraId="39552D45" w14:textId="40981536" w:rsidR="00F30B21" w:rsidRPr="003156E8" w:rsidRDefault="00F30B21" w:rsidP="00F30B21">
      <w:pPr>
        <w:pStyle w:val="SingleTxtG"/>
        <w:rPr>
          <w:lang w:val="fr-FR"/>
        </w:rPr>
      </w:pPr>
      <w:r w:rsidRPr="003156E8">
        <w:rPr>
          <w:color w:val="000000" w:themeColor="text1"/>
          <w:lang w:val="fr-FR"/>
        </w:rPr>
        <w:t>19</w:t>
      </w:r>
      <w:r w:rsidR="00244AED" w:rsidRPr="00244AED">
        <w:rPr>
          <w:color w:val="000000" w:themeColor="text1"/>
          <w:lang w:val="fr-FR"/>
        </w:rPr>
        <w:t>.</w:t>
      </w:r>
      <w:r w:rsidRPr="003156E8">
        <w:rPr>
          <w:color w:val="000000" w:themeColor="text1"/>
          <w:lang w:val="fr-FR"/>
        </w:rPr>
        <w:tab/>
      </w:r>
      <w:r>
        <w:rPr>
          <w:lang w:val="fr-FR"/>
        </w:rPr>
        <w:t>C</w:t>
      </w:r>
      <w:r w:rsidRPr="003156E8">
        <w:rPr>
          <w:lang w:val="fr-FR"/>
        </w:rPr>
        <w:t>réé en application de la loi organique contre la discrimination raciale</w:t>
      </w:r>
      <w:r w:rsidRPr="00F30B21">
        <w:rPr>
          <w:rStyle w:val="Appelnotedebasdep"/>
        </w:rPr>
        <w:footnoteReference w:id="11"/>
      </w:r>
      <w:r w:rsidRPr="003156E8">
        <w:rPr>
          <w:lang w:val="fr-FR"/>
        </w:rPr>
        <w:t xml:space="preserve">, </w:t>
      </w:r>
      <w:r>
        <w:rPr>
          <w:lang w:val="fr-FR"/>
        </w:rPr>
        <w:t>l’</w:t>
      </w:r>
      <w:r w:rsidRPr="003156E8">
        <w:rPr>
          <w:lang w:val="fr-FR"/>
        </w:rPr>
        <w:t>Institut national de lutte contre la discrimination raciale</w:t>
      </w:r>
      <w:r>
        <w:rPr>
          <w:lang w:val="fr-FR"/>
        </w:rPr>
        <w:t xml:space="preserve"> </w:t>
      </w:r>
      <w:r w:rsidRPr="003156E8">
        <w:rPr>
          <w:lang w:val="fr-FR"/>
        </w:rPr>
        <w:t xml:space="preserve">a pour mission de mettre en place des mécanismes pour prévenir, traiter, réprimer et éliminer la discrimination raciale </w:t>
      </w:r>
      <w:r>
        <w:rPr>
          <w:lang w:val="fr-FR"/>
        </w:rPr>
        <w:t xml:space="preserve">quel qu’en soit l’auteur (une </w:t>
      </w:r>
      <w:r w:rsidRPr="003156E8">
        <w:rPr>
          <w:lang w:val="fr-FR"/>
        </w:rPr>
        <w:t xml:space="preserve">personne, </w:t>
      </w:r>
      <w:r>
        <w:rPr>
          <w:lang w:val="fr-FR"/>
        </w:rPr>
        <w:t xml:space="preserve">un </w:t>
      </w:r>
      <w:r w:rsidRPr="003156E8">
        <w:rPr>
          <w:lang w:val="fr-FR"/>
        </w:rPr>
        <w:t xml:space="preserve">groupe de personnes, </w:t>
      </w:r>
      <w:r>
        <w:rPr>
          <w:lang w:val="fr-FR"/>
        </w:rPr>
        <w:t xml:space="preserve">des </w:t>
      </w:r>
      <w:r w:rsidRPr="003156E8">
        <w:rPr>
          <w:lang w:val="fr-FR"/>
        </w:rPr>
        <w:t>autorité</w:t>
      </w:r>
      <w:r>
        <w:rPr>
          <w:lang w:val="fr-FR"/>
        </w:rPr>
        <w:t>s</w:t>
      </w:r>
      <w:r w:rsidRPr="003156E8">
        <w:rPr>
          <w:lang w:val="fr-FR"/>
        </w:rPr>
        <w:t xml:space="preserve"> publique</w:t>
      </w:r>
      <w:r>
        <w:rPr>
          <w:lang w:val="fr-FR"/>
        </w:rPr>
        <w:t>s</w:t>
      </w:r>
      <w:r w:rsidRPr="003156E8">
        <w:rPr>
          <w:lang w:val="fr-FR"/>
        </w:rPr>
        <w:t xml:space="preserve">, </w:t>
      </w:r>
      <w:r>
        <w:rPr>
          <w:lang w:val="fr-FR"/>
        </w:rPr>
        <w:t xml:space="preserve">des </w:t>
      </w:r>
      <w:r w:rsidRPr="003156E8">
        <w:rPr>
          <w:lang w:val="fr-FR"/>
        </w:rPr>
        <w:t>institution</w:t>
      </w:r>
      <w:r>
        <w:rPr>
          <w:lang w:val="fr-FR"/>
        </w:rPr>
        <w:t>s</w:t>
      </w:r>
      <w:r w:rsidRPr="003156E8">
        <w:rPr>
          <w:lang w:val="fr-FR"/>
        </w:rPr>
        <w:t xml:space="preserve"> nationale</w:t>
      </w:r>
      <w:r>
        <w:rPr>
          <w:lang w:val="fr-FR"/>
        </w:rPr>
        <w:t>s</w:t>
      </w:r>
      <w:r w:rsidRPr="003156E8">
        <w:rPr>
          <w:lang w:val="fr-FR"/>
        </w:rPr>
        <w:t xml:space="preserve"> publique</w:t>
      </w:r>
      <w:r>
        <w:rPr>
          <w:lang w:val="fr-FR"/>
        </w:rPr>
        <w:t>s</w:t>
      </w:r>
      <w:r w:rsidRPr="003156E8">
        <w:rPr>
          <w:lang w:val="fr-FR"/>
        </w:rPr>
        <w:t xml:space="preserve"> ou privée</w:t>
      </w:r>
      <w:r>
        <w:rPr>
          <w:lang w:val="fr-FR"/>
        </w:rPr>
        <w:t>s</w:t>
      </w:r>
      <w:r w:rsidRPr="003156E8">
        <w:rPr>
          <w:lang w:val="fr-FR"/>
        </w:rPr>
        <w:t xml:space="preserve">, </w:t>
      </w:r>
      <w:r>
        <w:rPr>
          <w:lang w:val="fr-FR"/>
        </w:rPr>
        <w:t>des</w:t>
      </w:r>
      <w:r w:rsidRPr="003156E8">
        <w:rPr>
          <w:lang w:val="fr-FR"/>
        </w:rPr>
        <w:t xml:space="preserve"> institutions et organisations régionales et locales civiles, politiques, économiques, sociales et culturelles</w:t>
      </w:r>
      <w:r>
        <w:rPr>
          <w:lang w:val="fr-FR"/>
        </w:rPr>
        <w:t>)</w:t>
      </w:r>
      <w:r w:rsidR="00244AED" w:rsidRPr="00244AED">
        <w:rPr>
          <w:lang w:val="fr-FR"/>
        </w:rPr>
        <w:t>.</w:t>
      </w:r>
    </w:p>
    <w:p w14:paraId="13B6827E" w14:textId="3185FF16" w:rsidR="00F30B21" w:rsidRPr="003156E8" w:rsidRDefault="00F30B21" w:rsidP="00F30B21">
      <w:pPr>
        <w:pStyle w:val="SingleTxtG"/>
        <w:rPr>
          <w:lang w:val="fr-FR"/>
        </w:rPr>
      </w:pPr>
      <w:r w:rsidRPr="003156E8">
        <w:rPr>
          <w:color w:val="000000" w:themeColor="text1"/>
          <w:lang w:val="fr-FR"/>
        </w:rPr>
        <w:t>20</w:t>
      </w:r>
      <w:r w:rsidR="00244AED" w:rsidRPr="00244AED">
        <w:rPr>
          <w:color w:val="000000" w:themeColor="text1"/>
          <w:lang w:val="fr-FR"/>
        </w:rPr>
        <w:t>.</w:t>
      </w:r>
      <w:r w:rsidRPr="003156E8">
        <w:rPr>
          <w:color w:val="000000" w:themeColor="text1"/>
          <w:lang w:val="fr-FR"/>
        </w:rPr>
        <w:tab/>
      </w:r>
      <w:r w:rsidRPr="003156E8">
        <w:rPr>
          <w:lang w:val="fr-FR"/>
        </w:rPr>
        <w:t>La création et la mise en service de l</w:t>
      </w:r>
      <w:r>
        <w:rPr>
          <w:lang w:val="fr-FR"/>
        </w:rPr>
        <w:t>’</w:t>
      </w:r>
      <w:r w:rsidRPr="003156E8">
        <w:rPr>
          <w:lang w:val="fr-FR"/>
        </w:rPr>
        <w:t xml:space="preserve">Institut national de lutte contre la discrimination raciale a été achevée au cours de la période </w:t>
      </w:r>
      <w:r>
        <w:rPr>
          <w:lang w:val="fr-FR"/>
        </w:rPr>
        <w:t>considérée</w:t>
      </w:r>
      <w:r w:rsidR="00244AED" w:rsidRPr="00244AED">
        <w:rPr>
          <w:lang w:val="fr-FR"/>
        </w:rPr>
        <w:t>.</w:t>
      </w:r>
      <w:r w:rsidRPr="003156E8">
        <w:rPr>
          <w:lang w:val="fr-FR"/>
        </w:rPr>
        <w:t xml:space="preserve"> Cet institut comporte quatre unités opérationnelles : i) Prévention de la discrimination ; ii) Défense et garantie des droits des personnes victimes de discrimination ; iii) Recherche et suivi ; et iv) Gestion déc</w:t>
      </w:r>
      <w:r>
        <w:rPr>
          <w:lang w:val="fr-FR"/>
        </w:rPr>
        <w:t>oncentrée</w:t>
      </w:r>
      <w:r w:rsidR="00244AED" w:rsidRPr="00244AED">
        <w:rPr>
          <w:lang w:val="fr-FR"/>
        </w:rPr>
        <w:t>.</w:t>
      </w:r>
      <w:r w:rsidRPr="003156E8">
        <w:rPr>
          <w:lang w:val="fr-FR"/>
        </w:rPr>
        <w:t xml:space="preserve"> Au niveau des États, il dispose également de 28 bureaux répartis sur l</w:t>
      </w:r>
      <w:r>
        <w:rPr>
          <w:lang w:val="fr-FR"/>
        </w:rPr>
        <w:t>’</w:t>
      </w:r>
      <w:r w:rsidRPr="003156E8">
        <w:rPr>
          <w:lang w:val="fr-FR"/>
        </w:rPr>
        <w:t>ensemble du territoire national</w:t>
      </w:r>
      <w:r w:rsidR="00244AED" w:rsidRPr="00244AED">
        <w:rPr>
          <w:lang w:val="fr-FR"/>
        </w:rPr>
        <w:t>.</w:t>
      </w:r>
      <w:r w:rsidRPr="003156E8">
        <w:rPr>
          <w:lang w:val="fr-FR"/>
        </w:rPr>
        <w:t xml:space="preserve"> </w:t>
      </w:r>
    </w:p>
    <w:p w14:paraId="5BB8C7C1" w14:textId="6E45394E" w:rsidR="00F30B21" w:rsidRPr="003156E8" w:rsidRDefault="00F30B21" w:rsidP="00F30B21">
      <w:pPr>
        <w:pStyle w:val="SingleTxtG"/>
        <w:rPr>
          <w:lang w:val="fr-FR"/>
        </w:rPr>
      </w:pPr>
      <w:r w:rsidRPr="003156E8">
        <w:rPr>
          <w:color w:val="000000" w:themeColor="text1"/>
          <w:lang w:val="fr-FR"/>
        </w:rPr>
        <w:t>21</w:t>
      </w:r>
      <w:r w:rsidR="00244AED" w:rsidRPr="00244AED">
        <w:rPr>
          <w:color w:val="000000" w:themeColor="text1"/>
          <w:lang w:val="fr-FR"/>
        </w:rPr>
        <w:t>.</w:t>
      </w:r>
      <w:r w:rsidRPr="003156E8">
        <w:rPr>
          <w:color w:val="000000" w:themeColor="text1"/>
          <w:lang w:val="fr-FR"/>
        </w:rPr>
        <w:tab/>
      </w:r>
      <w:r w:rsidRPr="003156E8">
        <w:rPr>
          <w:lang w:val="fr-FR"/>
        </w:rPr>
        <w:t>Entre 2015 et 2017, le Venezuela a alloué 435 115 600 bolivars à l</w:t>
      </w:r>
      <w:r>
        <w:rPr>
          <w:lang w:val="fr-FR"/>
        </w:rPr>
        <w:t>’</w:t>
      </w:r>
      <w:r w:rsidRPr="003156E8">
        <w:rPr>
          <w:lang w:val="fr-FR"/>
        </w:rPr>
        <w:t>Institut national de lutte contre la discrimination raciale pour la mise en place de projets et le renforcement institutionnel</w:t>
      </w:r>
      <w:r w:rsidR="00244AED" w:rsidRPr="00244AED">
        <w:rPr>
          <w:lang w:val="fr-FR"/>
        </w:rPr>
        <w:t>.</w:t>
      </w:r>
      <w:r w:rsidRPr="003156E8">
        <w:rPr>
          <w:lang w:val="fr-FR"/>
        </w:rPr>
        <w:t xml:space="preserve"> Ce budget se répartit comme suit :</w:t>
      </w:r>
    </w:p>
    <w:p w14:paraId="1830290F" w14:textId="47C3A2EC" w:rsidR="00F30B21" w:rsidRPr="003156E8" w:rsidRDefault="00F30B21" w:rsidP="00F30B21">
      <w:pPr>
        <w:pStyle w:val="H23G"/>
        <w:rPr>
          <w:lang w:val="fr-FR"/>
        </w:rPr>
      </w:pPr>
      <w:r w:rsidRPr="003156E8">
        <w:rPr>
          <w:b w:val="0"/>
          <w:lang w:val="fr-FR"/>
        </w:rPr>
        <w:lastRenderedPageBreak/>
        <w:tab/>
      </w:r>
      <w:r w:rsidRPr="003156E8">
        <w:rPr>
          <w:b w:val="0"/>
          <w:lang w:val="fr-FR"/>
        </w:rPr>
        <w:tab/>
      </w:r>
      <w:r w:rsidRPr="00BC7455">
        <w:rPr>
          <w:b w:val="0"/>
          <w:lang w:val="fr-FR"/>
        </w:rPr>
        <w:t>Tableau I</w:t>
      </w:r>
      <w:r w:rsidR="00BC7455" w:rsidRPr="00BC7455">
        <w:rPr>
          <w:b w:val="0"/>
          <w:lang w:val="fr-FR"/>
        </w:rPr>
        <w:br/>
      </w:r>
      <w:r w:rsidRPr="003156E8">
        <w:rPr>
          <w:bCs/>
          <w:lang w:val="fr-FR"/>
        </w:rPr>
        <w:t>Ressources allouées à l</w:t>
      </w:r>
      <w:r>
        <w:rPr>
          <w:bCs/>
          <w:lang w:val="fr-FR"/>
        </w:rPr>
        <w:t>’</w:t>
      </w:r>
      <w:r w:rsidRPr="003156E8">
        <w:rPr>
          <w:bCs/>
          <w:lang w:val="fr-FR"/>
        </w:rPr>
        <w:t>Institut national de lutte contre la discrimination raciale</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114"/>
      </w:tblGrid>
      <w:tr w:rsidR="00F30B21" w:rsidRPr="003156E8" w14:paraId="5534B09C" w14:textId="77777777" w:rsidTr="001C3BF4">
        <w:trPr>
          <w:trHeight w:val="240"/>
          <w:tblHeader/>
        </w:trPr>
        <w:tc>
          <w:tcPr>
            <w:tcW w:w="3256" w:type="dxa"/>
            <w:tcBorders>
              <w:top w:val="single" w:sz="4" w:space="0" w:color="auto"/>
              <w:bottom w:val="single" w:sz="12" w:space="0" w:color="auto"/>
            </w:tcBorders>
            <w:shd w:val="clear" w:color="auto" w:fill="auto"/>
            <w:vAlign w:val="bottom"/>
          </w:tcPr>
          <w:p w14:paraId="0AA3F394" w14:textId="77777777" w:rsidR="00F30B21" w:rsidRPr="003156E8" w:rsidRDefault="00F30B21" w:rsidP="001C3BF4">
            <w:pPr>
              <w:keepNext/>
              <w:keepLines/>
              <w:spacing w:before="80" w:after="80" w:line="200" w:lineRule="exact"/>
              <w:rPr>
                <w:i/>
                <w:sz w:val="16"/>
              </w:rPr>
            </w:pPr>
            <w:r w:rsidRPr="003156E8">
              <w:rPr>
                <w:i/>
                <w:iCs/>
                <w:sz w:val="16"/>
              </w:rPr>
              <w:t xml:space="preserve">Année </w:t>
            </w:r>
          </w:p>
        </w:tc>
        <w:tc>
          <w:tcPr>
            <w:tcW w:w="4114" w:type="dxa"/>
            <w:tcBorders>
              <w:top w:val="single" w:sz="4" w:space="0" w:color="auto"/>
              <w:bottom w:val="single" w:sz="12" w:space="0" w:color="auto"/>
            </w:tcBorders>
            <w:shd w:val="clear" w:color="auto" w:fill="auto"/>
            <w:vAlign w:val="bottom"/>
          </w:tcPr>
          <w:p w14:paraId="4EC4210C" w14:textId="77777777" w:rsidR="00F30B21" w:rsidRPr="003156E8" w:rsidRDefault="00F30B21" w:rsidP="001C3BF4">
            <w:pPr>
              <w:keepNext/>
              <w:keepLines/>
              <w:spacing w:before="80" w:after="80" w:line="200" w:lineRule="exact"/>
              <w:ind w:left="113"/>
              <w:jc w:val="right"/>
              <w:rPr>
                <w:i/>
                <w:sz w:val="16"/>
              </w:rPr>
            </w:pPr>
            <w:r w:rsidRPr="003156E8">
              <w:rPr>
                <w:i/>
                <w:iCs/>
                <w:sz w:val="16"/>
              </w:rPr>
              <w:t>Montant en bolivars</w:t>
            </w:r>
          </w:p>
        </w:tc>
      </w:tr>
      <w:tr w:rsidR="00F30B21" w:rsidRPr="003156E8" w14:paraId="2DD82DC4" w14:textId="77777777" w:rsidTr="001C3BF4">
        <w:trPr>
          <w:trHeight w:val="240"/>
        </w:trPr>
        <w:tc>
          <w:tcPr>
            <w:tcW w:w="3256" w:type="dxa"/>
            <w:shd w:val="clear" w:color="auto" w:fill="auto"/>
          </w:tcPr>
          <w:p w14:paraId="484DA776" w14:textId="77777777" w:rsidR="00F30B21" w:rsidRPr="003156E8" w:rsidRDefault="00F30B21" w:rsidP="001C3BF4">
            <w:pPr>
              <w:keepNext/>
              <w:keepLines/>
              <w:spacing w:before="40" w:after="40" w:line="220" w:lineRule="exact"/>
              <w:rPr>
                <w:sz w:val="18"/>
              </w:rPr>
            </w:pPr>
            <w:r w:rsidRPr="003156E8">
              <w:rPr>
                <w:sz w:val="18"/>
              </w:rPr>
              <w:t>2015</w:t>
            </w:r>
          </w:p>
        </w:tc>
        <w:tc>
          <w:tcPr>
            <w:tcW w:w="4114" w:type="dxa"/>
            <w:shd w:val="clear" w:color="auto" w:fill="auto"/>
            <w:vAlign w:val="bottom"/>
          </w:tcPr>
          <w:p w14:paraId="661E2757" w14:textId="77777777" w:rsidR="00F30B21" w:rsidRPr="003156E8" w:rsidRDefault="00F30B21" w:rsidP="001C3BF4">
            <w:pPr>
              <w:keepNext/>
              <w:keepLines/>
              <w:spacing w:before="40" w:after="40" w:line="220" w:lineRule="exact"/>
              <w:ind w:left="113"/>
              <w:jc w:val="right"/>
              <w:rPr>
                <w:sz w:val="18"/>
              </w:rPr>
            </w:pPr>
            <w:r w:rsidRPr="003156E8">
              <w:rPr>
                <w:sz w:val="18"/>
              </w:rPr>
              <w:t>65 425 281</w:t>
            </w:r>
          </w:p>
        </w:tc>
      </w:tr>
      <w:tr w:rsidR="00F30B21" w:rsidRPr="003156E8" w14:paraId="293F8896" w14:textId="77777777" w:rsidTr="001C3BF4">
        <w:trPr>
          <w:trHeight w:val="240"/>
        </w:trPr>
        <w:tc>
          <w:tcPr>
            <w:tcW w:w="3256" w:type="dxa"/>
            <w:shd w:val="clear" w:color="auto" w:fill="auto"/>
          </w:tcPr>
          <w:p w14:paraId="59608707" w14:textId="77777777" w:rsidR="00F30B21" w:rsidRPr="003156E8" w:rsidRDefault="00F30B21" w:rsidP="001C3BF4">
            <w:pPr>
              <w:keepNext/>
              <w:keepLines/>
              <w:spacing w:before="40" w:after="40" w:line="220" w:lineRule="exact"/>
              <w:rPr>
                <w:sz w:val="18"/>
              </w:rPr>
            </w:pPr>
            <w:r w:rsidRPr="003156E8">
              <w:rPr>
                <w:sz w:val="18"/>
              </w:rPr>
              <w:t>2016</w:t>
            </w:r>
          </w:p>
        </w:tc>
        <w:tc>
          <w:tcPr>
            <w:tcW w:w="4114" w:type="dxa"/>
            <w:shd w:val="clear" w:color="auto" w:fill="auto"/>
            <w:vAlign w:val="bottom"/>
          </w:tcPr>
          <w:p w14:paraId="6728F4AD" w14:textId="77777777" w:rsidR="00F30B21" w:rsidRPr="003156E8" w:rsidRDefault="00F30B21" w:rsidP="001C3BF4">
            <w:pPr>
              <w:keepNext/>
              <w:keepLines/>
              <w:spacing w:before="40" w:after="40" w:line="220" w:lineRule="exact"/>
              <w:ind w:left="113"/>
              <w:jc w:val="right"/>
              <w:rPr>
                <w:sz w:val="18"/>
              </w:rPr>
            </w:pPr>
            <w:r w:rsidRPr="003156E8">
              <w:rPr>
                <w:sz w:val="18"/>
              </w:rPr>
              <w:t>178 413 206</w:t>
            </w:r>
          </w:p>
        </w:tc>
      </w:tr>
      <w:tr w:rsidR="00F30B21" w:rsidRPr="003156E8" w14:paraId="02C4D1F2" w14:textId="77777777" w:rsidTr="001C3BF4">
        <w:trPr>
          <w:trHeight w:val="240"/>
        </w:trPr>
        <w:tc>
          <w:tcPr>
            <w:tcW w:w="3256" w:type="dxa"/>
            <w:tcBorders>
              <w:bottom w:val="single" w:sz="4" w:space="0" w:color="auto"/>
            </w:tcBorders>
            <w:shd w:val="clear" w:color="auto" w:fill="auto"/>
          </w:tcPr>
          <w:p w14:paraId="0567A003" w14:textId="77777777" w:rsidR="00F30B21" w:rsidRPr="003156E8" w:rsidRDefault="00F30B21" w:rsidP="001C3BF4">
            <w:pPr>
              <w:keepNext/>
              <w:keepLines/>
              <w:spacing w:before="40" w:after="40" w:line="220" w:lineRule="exact"/>
              <w:rPr>
                <w:sz w:val="18"/>
              </w:rPr>
            </w:pPr>
            <w:r w:rsidRPr="003156E8">
              <w:rPr>
                <w:sz w:val="18"/>
              </w:rPr>
              <w:t>2017</w:t>
            </w:r>
          </w:p>
        </w:tc>
        <w:tc>
          <w:tcPr>
            <w:tcW w:w="4114" w:type="dxa"/>
            <w:tcBorders>
              <w:bottom w:val="single" w:sz="4" w:space="0" w:color="auto"/>
            </w:tcBorders>
            <w:shd w:val="clear" w:color="auto" w:fill="auto"/>
            <w:vAlign w:val="bottom"/>
          </w:tcPr>
          <w:p w14:paraId="73724B6F" w14:textId="77777777" w:rsidR="00F30B21" w:rsidRPr="003156E8" w:rsidRDefault="00F30B21" w:rsidP="001C3BF4">
            <w:pPr>
              <w:keepNext/>
              <w:keepLines/>
              <w:spacing w:before="40" w:after="40" w:line="220" w:lineRule="exact"/>
              <w:ind w:left="113"/>
              <w:jc w:val="right"/>
              <w:rPr>
                <w:sz w:val="18"/>
              </w:rPr>
            </w:pPr>
            <w:r w:rsidRPr="003156E8">
              <w:rPr>
                <w:sz w:val="18"/>
              </w:rPr>
              <w:t>191 277 113</w:t>
            </w:r>
          </w:p>
        </w:tc>
      </w:tr>
      <w:tr w:rsidR="00F30B21" w:rsidRPr="003156E8" w14:paraId="2AC171F5" w14:textId="77777777" w:rsidTr="001C3BF4">
        <w:trPr>
          <w:trHeight w:val="240"/>
        </w:trPr>
        <w:tc>
          <w:tcPr>
            <w:tcW w:w="3256" w:type="dxa"/>
            <w:tcBorders>
              <w:top w:val="single" w:sz="4" w:space="0" w:color="auto"/>
              <w:bottom w:val="single" w:sz="12" w:space="0" w:color="auto"/>
            </w:tcBorders>
            <w:shd w:val="clear" w:color="auto" w:fill="auto"/>
          </w:tcPr>
          <w:p w14:paraId="53B6E4B0" w14:textId="77777777" w:rsidR="00F30B21" w:rsidRPr="003156E8" w:rsidRDefault="00F30B21" w:rsidP="001C3BF4">
            <w:pPr>
              <w:keepNext/>
              <w:keepLines/>
              <w:spacing w:before="80" w:after="80" w:line="220" w:lineRule="exact"/>
              <w:ind w:left="283"/>
              <w:rPr>
                <w:b/>
                <w:sz w:val="18"/>
              </w:rPr>
            </w:pPr>
            <w:r w:rsidRPr="003156E8">
              <w:rPr>
                <w:b/>
                <w:bCs/>
                <w:sz w:val="18"/>
              </w:rPr>
              <w:t>Total</w:t>
            </w:r>
          </w:p>
        </w:tc>
        <w:tc>
          <w:tcPr>
            <w:tcW w:w="4114" w:type="dxa"/>
            <w:tcBorders>
              <w:top w:val="single" w:sz="4" w:space="0" w:color="auto"/>
              <w:bottom w:val="single" w:sz="12" w:space="0" w:color="auto"/>
            </w:tcBorders>
            <w:shd w:val="clear" w:color="auto" w:fill="auto"/>
            <w:vAlign w:val="bottom"/>
          </w:tcPr>
          <w:p w14:paraId="2A70217D" w14:textId="77777777" w:rsidR="00F30B21" w:rsidRPr="003156E8" w:rsidRDefault="00F30B21" w:rsidP="001C3BF4">
            <w:pPr>
              <w:keepNext/>
              <w:keepLines/>
              <w:spacing w:before="80" w:after="80" w:line="220" w:lineRule="exact"/>
              <w:jc w:val="right"/>
              <w:rPr>
                <w:b/>
                <w:sz w:val="18"/>
              </w:rPr>
            </w:pPr>
            <w:r w:rsidRPr="003156E8">
              <w:rPr>
                <w:b/>
                <w:bCs/>
                <w:sz w:val="18"/>
              </w:rPr>
              <w:t>435 115 600</w:t>
            </w:r>
          </w:p>
        </w:tc>
      </w:tr>
    </w:tbl>
    <w:p w14:paraId="5A3D8AA9" w14:textId="2D17BB53" w:rsidR="00F30B21" w:rsidRPr="003156E8" w:rsidRDefault="00F30B21" w:rsidP="00F30B21">
      <w:pPr>
        <w:pStyle w:val="SingleTxtG"/>
        <w:spacing w:before="240"/>
        <w:rPr>
          <w:lang w:val="fr-FR"/>
        </w:rPr>
      </w:pPr>
      <w:r w:rsidRPr="003156E8">
        <w:rPr>
          <w:color w:val="000000" w:themeColor="text1"/>
          <w:lang w:val="fr-FR"/>
        </w:rPr>
        <w:t>22</w:t>
      </w:r>
      <w:r w:rsidR="00244AED" w:rsidRPr="00244AED">
        <w:rPr>
          <w:color w:val="000000" w:themeColor="text1"/>
          <w:lang w:val="fr-FR"/>
        </w:rPr>
        <w:t>.</w:t>
      </w:r>
      <w:r w:rsidRPr="003156E8">
        <w:rPr>
          <w:color w:val="000000" w:themeColor="text1"/>
          <w:lang w:val="fr-FR"/>
        </w:rPr>
        <w:tab/>
      </w:r>
      <w:r w:rsidRPr="003156E8">
        <w:rPr>
          <w:lang w:val="fr-FR"/>
        </w:rPr>
        <w:t>Le Conseil national des communautés d</w:t>
      </w:r>
      <w:r>
        <w:rPr>
          <w:lang w:val="fr-FR"/>
        </w:rPr>
        <w:t>’</w:t>
      </w:r>
      <w:r w:rsidRPr="003156E8">
        <w:rPr>
          <w:lang w:val="fr-FR"/>
        </w:rPr>
        <w:t>ascendance africaine</w:t>
      </w:r>
      <w:r w:rsidRPr="00F30B21">
        <w:rPr>
          <w:rStyle w:val="Appelnotedebasdep"/>
        </w:rPr>
        <w:footnoteReference w:id="12"/>
      </w:r>
      <w:r w:rsidRPr="003156E8">
        <w:rPr>
          <w:lang w:val="fr-FR"/>
        </w:rPr>
        <w:t xml:space="preserve"> a été créé en 2012 pour mettre en œuvre des projets et des politiques publiques destinés à promouvoir l</w:t>
      </w:r>
      <w:r>
        <w:rPr>
          <w:lang w:val="fr-FR"/>
        </w:rPr>
        <w:t>’</w:t>
      </w:r>
      <w:r w:rsidRPr="003156E8">
        <w:rPr>
          <w:lang w:val="fr-FR"/>
        </w:rPr>
        <w:t>égalité, l</w:t>
      </w:r>
      <w:r>
        <w:rPr>
          <w:lang w:val="fr-FR"/>
        </w:rPr>
        <w:t>’</w:t>
      </w:r>
      <w:r w:rsidRPr="003156E8">
        <w:rPr>
          <w:lang w:val="fr-FR"/>
        </w:rPr>
        <w:t>inclusion, la justice, l</w:t>
      </w:r>
      <w:r>
        <w:rPr>
          <w:lang w:val="fr-FR"/>
        </w:rPr>
        <w:t>’</w:t>
      </w:r>
      <w:r w:rsidRPr="003156E8">
        <w:rPr>
          <w:lang w:val="fr-FR"/>
        </w:rPr>
        <w:t>équité, la pleine intégration sociale et le développement des communautés afro-vénézuéliennes</w:t>
      </w:r>
      <w:r w:rsidR="00244AED" w:rsidRPr="00244AED">
        <w:rPr>
          <w:lang w:val="fr-FR"/>
        </w:rPr>
        <w:t>.</w:t>
      </w:r>
      <w:r w:rsidRPr="003156E8">
        <w:rPr>
          <w:lang w:val="fr-FR"/>
        </w:rPr>
        <w:t xml:space="preserve"> Ce conseil réunit des représentants de la Vice-</w:t>
      </w:r>
      <w:r w:rsidR="002C3A0F">
        <w:rPr>
          <w:lang w:val="fr-FR"/>
        </w:rPr>
        <w:t>P</w:t>
      </w:r>
      <w:r w:rsidRPr="003156E8">
        <w:rPr>
          <w:lang w:val="fr-FR"/>
        </w:rPr>
        <w:t>résidence de la République, du Ministère du pouvoir populaire en charge des communes et des mouvements sociaux, du Ministère du pouvoir populaire en charge de la culture, du Ministère du pouvoir populaire en charge de l</w:t>
      </w:r>
      <w:r>
        <w:rPr>
          <w:lang w:val="fr-FR"/>
        </w:rPr>
        <w:t>’</w:t>
      </w:r>
      <w:proofErr w:type="spellStart"/>
      <w:r w:rsidRPr="003156E8">
        <w:rPr>
          <w:lang w:val="fr-FR"/>
        </w:rPr>
        <w:t>écosocialisme</w:t>
      </w:r>
      <w:proofErr w:type="spellEnd"/>
      <w:r w:rsidRPr="003156E8">
        <w:rPr>
          <w:lang w:val="fr-FR"/>
        </w:rPr>
        <w:t>, du Ministère du pouvoir populaire en charge de la santé, du Ministère du pouvoir populaire en charge de l</w:t>
      </w:r>
      <w:r>
        <w:rPr>
          <w:lang w:val="fr-FR"/>
        </w:rPr>
        <w:t>’</w:t>
      </w:r>
      <w:r w:rsidRPr="003156E8">
        <w:rPr>
          <w:lang w:val="fr-FR"/>
        </w:rPr>
        <w:t>agriculture et des terres, du Ministère du pouvoir populaire en charge de la communication et de l</w:t>
      </w:r>
      <w:r>
        <w:rPr>
          <w:lang w:val="fr-FR"/>
        </w:rPr>
        <w:t>’</w:t>
      </w:r>
      <w:r w:rsidRPr="003156E8">
        <w:rPr>
          <w:lang w:val="fr-FR"/>
        </w:rPr>
        <w:t>information, du Ministère du pouvoir populaire en charge de la science et de la technologie, du Ministère du pouvoir populaire en charge de l</w:t>
      </w:r>
      <w:r>
        <w:rPr>
          <w:lang w:val="fr-FR"/>
        </w:rPr>
        <w:t>’</w:t>
      </w:r>
      <w:r w:rsidRPr="003156E8">
        <w:rPr>
          <w:lang w:val="fr-FR"/>
        </w:rPr>
        <w:t>enseignement universitaire, du Ministère du pouvoir populaire en charge de la condition féminine et de l</w:t>
      </w:r>
      <w:r>
        <w:rPr>
          <w:lang w:val="fr-FR"/>
        </w:rPr>
        <w:t>’</w:t>
      </w:r>
      <w:r w:rsidRPr="003156E8">
        <w:rPr>
          <w:lang w:val="fr-FR"/>
        </w:rPr>
        <w:t>égalité des sexes, du Ministère du pouvoir populaire en charge de la jeunesse et des sports, de la Commission présidentielle pour la</w:t>
      </w:r>
      <w:r w:rsidR="002C3A0F">
        <w:rPr>
          <w:lang w:val="fr-FR"/>
        </w:rPr>
        <w:t> </w:t>
      </w:r>
      <w:r w:rsidRPr="003156E8">
        <w:rPr>
          <w:lang w:val="fr-FR"/>
        </w:rPr>
        <w:t>prévention et l</w:t>
      </w:r>
      <w:r>
        <w:rPr>
          <w:lang w:val="fr-FR"/>
        </w:rPr>
        <w:t>’</w:t>
      </w:r>
      <w:r w:rsidRPr="003156E8">
        <w:rPr>
          <w:lang w:val="fr-FR"/>
        </w:rPr>
        <w:t>élimination de toutes les formes de discrimination raciale et autres distinctions au sein du système éducatif et un représentant du réseau des associations afro</w:t>
      </w:r>
      <w:r w:rsidR="002C3A0F">
        <w:rPr>
          <w:lang w:val="fr-FR"/>
        </w:rPr>
        <w:noBreakHyphen/>
      </w:r>
      <w:r w:rsidRPr="003156E8">
        <w:rPr>
          <w:lang w:val="fr-FR"/>
        </w:rPr>
        <w:t>vénézuéliennes</w:t>
      </w:r>
      <w:r w:rsidR="00244AED" w:rsidRPr="00244AED">
        <w:rPr>
          <w:lang w:val="fr-FR"/>
        </w:rPr>
        <w:t>.</w:t>
      </w:r>
      <w:r w:rsidRPr="003156E8">
        <w:rPr>
          <w:lang w:val="fr-FR"/>
        </w:rPr>
        <w:t xml:space="preserve"> </w:t>
      </w:r>
    </w:p>
    <w:p w14:paraId="05FD5A40" w14:textId="241B18C3" w:rsidR="00F30B21" w:rsidRPr="003156E8" w:rsidRDefault="00F30B21" w:rsidP="00F30B21">
      <w:pPr>
        <w:pStyle w:val="SingleTxtG"/>
        <w:rPr>
          <w:lang w:val="fr-FR"/>
        </w:rPr>
      </w:pPr>
      <w:r w:rsidRPr="003156E8">
        <w:rPr>
          <w:color w:val="000000" w:themeColor="text1"/>
          <w:lang w:val="fr-FR"/>
        </w:rPr>
        <w:t>23</w:t>
      </w:r>
      <w:r w:rsidR="00244AED" w:rsidRPr="00244AED">
        <w:rPr>
          <w:color w:val="000000" w:themeColor="text1"/>
          <w:lang w:val="fr-FR"/>
        </w:rPr>
        <w:t>.</w:t>
      </w:r>
      <w:r w:rsidRPr="003156E8">
        <w:rPr>
          <w:color w:val="000000" w:themeColor="text1"/>
          <w:lang w:val="fr-FR"/>
        </w:rPr>
        <w:tab/>
      </w:r>
      <w:r>
        <w:rPr>
          <w:lang w:val="fr-FR"/>
        </w:rPr>
        <w:t>C</w:t>
      </w:r>
      <w:r w:rsidRPr="003156E8">
        <w:rPr>
          <w:lang w:val="fr-FR"/>
        </w:rPr>
        <w:t>réé en application de la loi relative aux langues autochtones</w:t>
      </w:r>
      <w:r>
        <w:rPr>
          <w:lang w:val="fr-FR"/>
        </w:rPr>
        <w:t>, l’</w:t>
      </w:r>
      <w:r w:rsidRPr="003156E8">
        <w:rPr>
          <w:lang w:val="fr-FR"/>
        </w:rPr>
        <w:t xml:space="preserve">Institut national des langues autochtones est devenu pleinement opérationnel au cours de la période </w:t>
      </w:r>
      <w:r>
        <w:rPr>
          <w:lang w:val="fr-FR"/>
        </w:rPr>
        <w:t>considérée</w:t>
      </w:r>
      <w:r w:rsidR="00244AED" w:rsidRPr="00244AED">
        <w:rPr>
          <w:lang w:val="fr-FR"/>
        </w:rPr>
        <w:t>.</w:t>
      </w:r>
      <w:r w:rsidRPr="003156E8">
        <w:rPr>
          <w:lang w:val="fr-FR"/>
        </w:rPr>
        <w:t xml:space="preserve"> Cet institut, rattaché au Ministère du pouvoir populaire en charge de l</w:t>
      </w:r>
      <w:r>
        <w:rPr>
          <w:lang w:val="fr-FR"/>
        </w:rPr>
        <w:t>’</w:t>
      </w:r>
      <w:r w:rsidRPr="003156E8">
        <w:rPr>
          <w:lang w:val="fr-FR"/>
        </w:rPr>
        <w:t>éducation, est un établissement universitaire décentralisé, doté de la personnalité juridique et disposant de fonds propres</w:t>
      </w:r>
      <w:r w:rsidR="00244AED" w:rsidRPr="00244AED">
        <w:rPr>
          <w:lang w:val="fr-FR"/>
        </w:rPr>
        <w:t>.</w:t>
      </w:r>
      <w:r w:rsidRPr="003156E8">
        <w:rPr>
          <w:lang w:val="fr-FR"/>
        </w:rPr>
        <w:t xml:space="preserve"> Il a pour mission de mettre en œuvre des politiques et des activités visant à assurer la protection, la défense, la promotion, la préservation, le développement, l</w:t>
      </w:r>
      <w:r>
        <w:rPr>
          <w:lang w:val="fr-FR"/>
        </w:rPr>
        <w:t>’</w:t>
      </w:r>
      <w:r w:rsidRPr="003156E8">
        <w:rPr>
          <w:lang w:val="fr-FR"/>
        </w:rPr>
        <w:t>étude, la recherche, la diffusion et le bon usage des langues autochtones</w:t>
      </w:r>
      <w:r w:rsidR="00244AED" w:rsidRPr="00244AED">
        <w:rPr>
          <w:lang w:val="fr-FR"/>
        </w:rPr>
        <w:t>.</w:t>
      </w:r>
    </w:p>
    <w:p w14:paraId="637C0F75" w14:textId="39888F06" w:rsidR="00F30B21" w:rsidRPr="003156E8" w:rsidRDefault="00F30B21" w:rsidP="00F30B21">
      <w:pPr>
        <w:pStyle w:val="SingleTxtG"/>
        <w:rPr>
          <w:lang w:val="fr-FR"/>
        </w:rPr>
      </w:pPr>
      <w:r w:rsidRPr="003156E8">
        <w:rPr>
          <w:color w:val="000000" w:themeColor="text1"/>
          <w:lang w:val="fr-FR"/>
        </w:rPr>
        <w:t>24</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Institut national des langues autochtones comporte une direction exécutive et un conseil des langues autochtones, organe consultatif en matière de politiques, plans, projets, programmes et activités visant à atteindre les objectifs de la loi relative aux langues autochtones</w:t>
      </w:r>
      <w:r w:rsidR="00244AED" w:rsidRPr="00244AED">
        <w:rPr>
          <w:lang w:val="fr-FR"/>
        </w:rPr>
        <w:t>.</w:t>
      </w:r>
      <w:r w:rsidRPr="003156E8">
        <w:rPr>
          <w:lang w:val="fr-FR"/>
        </w:rPr>
        <w:t xml:space="preserve"> Conformément à la politique linguistique </w:t>
      </w:r>
      <w:r>
        <w:rPr>
          <w:lang w:val="fr-FR"/>
        </w:rPr>
        <w:t>du Venezuela</w:t>
      </w:r>
      <w:r w:rsidRPr="003156E8">
        <w:rPr>
          <w:lang w:val="fr-FR"/>
        </w:rPr>
        <w:t>, l</w:t>
      </w:r>
      <w:r>
        <w:rPr>
          <w:lang w:val="fr-FR"/>
        </w:rPr>
        <w:t>’</w:t>
      </w:r>
      <w:r w:rsidRPr="003156E8">
        <w:rPr>
          <w:lang w:val="fr-FR"/>
        </w:rPr>
        <w:t>enseignement en langues autochtones est obligatoire dans tous les établissements d</w:t>
      </w:r>
      <w:r>
        <w:rPr>
          <w:lang w:val="fr-FR"/>
        </w:rPr>
        <w:t>’</w:t>
      </w:r>
      <w:r w:rsidRPr="003156E8">
        <w:rPr>
          <w:lang w:val="fr-FR"/>
        </w:rPr>
        <w:t>enseignement, publics et privés, situés sur les territoires autochtones</w:t>
      </w:r>
      <w:r w:rsidR="00244AED" w:rsidRPr="00244AED">
        <w:rPr>
          <w:lang w:val="fr-FR"/>
        </w:rPr>
        <w:t>.</w:t>
      </w:r>
      <w:r w:rsidRPr="003156E8">
        <w:rPr>
          <w:lang w:val="fr-FR"/>
        </w:rPr>
        <w:t xml:space="preserve"> Dans les zones urbaines et rurales peuplées par des autochtones, le principe de l</w:t>
      </w:r>
      <w:r>
        <w:rPr>
          <w:lang w:val="fr-FR"/>
        </w:rPr>
        <w:t>’</w:t>
      </w:r>
      <w:r w:rsidRPr="003156E8">
        <w:rPr>
          <w:lang w:val="fr-FR"/>
        </w:rPr>
        <w:t>interculturalité permet de garantir à la fois l</w:t>
      </w:r>
      <w:r>
        <w:rPr>
          <w:lang w:val="fr-FR"/>
        </w:rPr>
        <w:t>’</w:t>
      </w:r>
      <w:r w:rsidRPr="003156E8">
        <w:rPr>
          <w:lang w:val="fr-FR"/>
        </w:rPr>
        <w:t>éducation autochtone et le système éducatif</w:t>
      </w:r>
      <w:r w:rsidR="00244AED" w:rsidRPr="00244AED">
        <w:rPr>
          <w:lang w:val="fr-FR"/>
        </w:rPr>
        <w:t>.</w:t>
      </w:r>
    </w:p>
    <w:p w14:paraId="2969DCEA" w14:textId="1E12D381" w:rsidR="00F30B21" w:rsidRPr="003156E8" w:rsidRDefault="00F30B21" w:rsidP="00F30B21">
      <w:pPr>
        <w:pStyle w:val="SingleTxtG"/>
        <w:rPr>
          <w:lang w:val="fr-FR"/>
        </w:rPr>
      </w:pPr>
      <w:r w:rsidRPr="003156E8">
        <w:rPr>
          <w:color w:val="000000" w:themeColor="text1"/>
          <w:lang w:val="fr-FR"/>
        </w:rPr>
        <w:t>25</w:t>
      </w:r>
      <w:r w:rsidR="00244AED" w:rsidRPr="00244AED">
        <w:rPr>
          <w:color w:val="000000" w:themeColor="text1"/>
          <w:lang w:val="fr-FR"/>
        </w:rPr>
        <w:t>.</w:t>
      </w:r>
      <w:r w:rsidRPr="003156E8">
        <w:rPr>
          <w:color w:val="000000" w:themeColor="text1"/>
          <w:lang w:val="fr-FR"/>
        </w:rPr>
        <w:tab/>
      </w:r>
      <w:r w:rsidRPr="003156E8">
        <w:rPr>
          <w:lang w:val="fr-FR"/>
        </w:rPr>
        <w:t>Le Conseil présidentiel de gouvernement populaire des peuples autochtones a été créé en 2014 pour renforcer la participation de ces peuples</w:t>
      </w:r>
      <w:r w:rsidR="00244AED" w:rsidRPr="00244AED">
        <w:rPr>
          <w:lang w:val="fr-FR"/>
        </w:rPr>
        <w:t>.</w:t>
      </w:r>
      <w:r w:rsidRPr="003156E8">
        <w:rPr>
          <w:lang w:val="fr-FR"/>
        </w:rPr>
        <w:t xml:space="preserve"> En vue de sa mise en place et de la désignation de ses </w:t>
      </w:r>
      <w:proofErr w:type="spellStart"/>
      <w:r w:rsidRPr="003156E8">
        <w:rPr>
          <w:lang w:val="fr-FR"/>
        </w:rPr>
        <w:t>porte-paroles</w:t>
      </w:r>
      <w:proofErr w:type="spellEnd"/>
      <w:r w:rsidRPr="003156E8">
        <w:rPr>
          <w:lang w:val="fr-FR"/>
        </w:rPr>
        <w:t>, 325 assemblées ont été organisées, auxquelles ont participé 15</w:t>
      </w:r>
      <w:r w:rsidR="00BC7455">
        <w:rPr>
          <w:lang w:val="fr-FR"/>
        </w:rPr>
        <w:t> </w:t>
      </w:r>
      <w:r w:rsidRPr="003156E8">
        <w:rPr>
          <w:lang w:val="fr-FR"/>
        </w:rPr>
        <w:t>985</w:t>
      </w:r>
      <w:r w:rsidR="00BC7455">
        <w:rPr>
          <w:lang w:val="fr-FR"/>
        </w:rPr>
        <w:t> </w:t>
      </w:r>
      <w:r w:rsidRPr="003156E8">
        <w:rPr>
          <w:lang w:val="fr-FR"/>
        </w:rPr>
        <w:t>représentants des différents peuples autochtones</w:t>
      </w:r>
      <w:r w:rsidR="00244AED" w:rsidRPr="00244AED">
        <w:rPr>
          <w:lang w:val="fr-FR"/>
        </w:rPr>
        <w:t>.</w:t>
      </w:r>
      <w:r w:rsidRPr="003156E8">
        <w:rPr>
          <w:lang w:val="fr-FR"/>
        </w:rPr>
        <w:t xml:space="preserve"> Le Conseil présidentiel de gouvernement populaire des personnes handicapées a été créé en 2015 pour permettre l</w:t>
      </w:r>
      <w:r>
        <w:rPr>
          <w:lang w:val="fr-FR"/>
        </w:rPr>
        <w:t>’</w:t>
      </w:r>
      <w:r w:rsidRPr="003156E8">
        <w:rPr>
          <w:lang w:val="fr-FR"/>
        </w:rPr>
        <w:t xml:space="preserve">exercice de la coresponsabilité politique, fondée sur la complémentarité entre le </w:t>
      </w:r>
      <w:r>
        <w:rPr>
          <w:lang w:val="fr-FR"/>
        </w:rPr>
        <w:t>G</w:t>
      </w:r>
      <w:r w:rsidRPr="003156E8">
        <w:rPr>
          <w:lang w:val="fr-FR"/>
        </w:rPr>
        <w:t>ouvernement et les secteurs sociaux, dans le cadre de la démocratie participative et active</w:t>
      </w:r>
      <w:r w:rsidR="00244AED" w:rsidRPr="00244AED">
        <w:rPr>
          <w:lang w:val="fr-FR"/>
        </w:rPr>
        <w:t>.</w:t>
      </w:r>
      <w:r w:rsidRPr="003156E8">
        <w:rPr>
          <w:lang w:val="fr-FR"/>
        </w:rPr>
        <w:t xml:space="preserve"> </w:t>
      </w:r>
    </w:p>
    <w:p w14:paraId="5D4CB594" w14:textId="2A3E62F4" w:rsidR="00F30B21" w:rsidRPr="003156E8" w:rsidRDefault="00F30B21" w:rsidP="00F30B21">
      <w:pPr>
        <w:pStyle w:val="HChG"/>
        <w:rPr>
          <w:lang w:val="fr-FR"/>
        </w:rPr>
      </w:pPr>
      <w:r w:rsidRPr="003156E8">
        <w:rPr>
          <w:b w:val="0"/>
          <w:lang w:val="fr-FR"/>
        </w:rPr>
        <w:lastRenderedPageBreak/>
        <w:tab/>
      </w:r>
      <w:r w:rsidRPr="003156E8">
        <w:rPr>
          <w:bCs/>
          <w:lang w:val="fr-FR"/>
        </w:rPr>
        <w:t>IV</w:t>
      </w:r>
      <w:r w:rsidR="00244AED" w:rsidRPr="00244AED">
        <w:rPr>
          <w:bCs/>
          <w:lang w:val="fr-FR"/>
        </w:rPr>
        <w:t>.</w:t>
      </w:r>
      <w:r w:rsidRPr="003156E8">
        <w:rPr>
          <w:bCs/>
          <w:lang w:val="fr-FR"/>
        </w:rPr>
        <w:tab/>
        <w:t>Renseignements relatifs aux articles de la Convention</w:t>
      </w:r>
    </w:p>
    <w:p w14:paraId="62DECDEC" w14:textId="77777777" w:rsidR="00F30B21" w:rsidRPr="003156E8" w:rsidRDefault="00F30B21" w:rsidP="00F30B21">
      <w:pPr>
        <w:pStyle w:val="H1G"/>
        <w:rPr>
          <w:lang w:val="fr-FR"/>
        </w:rPr>
      </w:pPr>
      <w:r w:rsidRPr="003156E8">
        <w:rPr>
          <w:b w:val="0"/>
          <w:lang w:val="fr-FR"/>
        </w:rPr>
        <w:tab/>
      </w:r>
      <w:r w:rsidRPr="003156E8">
        <w:rPr>
          <w:b w:val="0"/>
          <w:lang w:val="fr-FR"/>
        </w:rPr>
        <w:tab/>
      </w:r>
      <w:r w:rsidRPr="003156E8">
        <w:rPr>
          <w:bCs/>
          <w:lang w:val="fr-FR"/>
        </w:rPr>
        <w:t>Article premier</w:t>
      </w:r>
    </w:p>
    <w:p w14:paraId="188ECACD" w14:textId="77777777" w:rsidR="00F30B21" w:rsidRPr="003156E8" w:rsidRDefault="00F30B21" w:rsidP="00F30B21">
      <w:pPr>
        <w:pStyle w:val="H23G"/>
        <w:rPr>
          <w:lang w:val="fr-FR"/>
        </w:rPr>
      </w:pPr>
      <w:r w:rsidRPr="003156E8">
        <w:rPr>
          <w:b w:val="0"/>
          <w:lang w:val="fr-FR"/>
        </w:rPr>
        <w:tab/>
      </w:r>
      <w:r w:rsidRPr="003156E8">
        <w:rPr>
          <w:b w:val="0"/>
          <w:lang w:val="fr-FR"/>
        </w:rPr>
        <w:tab/>
      </w:r>
      <w:r w:rsidRPr="003156E8">
        <w:rPr>
          <w:bCs/>
          <w:lang w:val="fr-FR"/>
        </w:rPr>
        <w:t>Définition de la discrimination raciale</w:t>
      </w:r>
    </w:p>
    <w:p w14:paraId="3906DBD0" w14:textId="5A0643FE" w:rsidR="00F30B21" w:rsidRPr="003156E8" w:rsidRDefault="00F30B21" w:rsidP="00F30B21">
      <w:pPr>
        <w:pStyle w:val="SingleTxtG"/>
        <w:rPr>
          <w:color w:val="000000"/>
          <w:shd w:val="clear" w:color="auto" w:fill="FFFFFF"/>
          <w:lang w:val="fr-FR"/>
        </w:rPr>
      </w:pPr>
      <w:r w:rsidRPr="003156E8">
        <w:rPr>
          <w:color w:val="000000" w:themeColor="text1"/>
          <w:lang w:val="fr-FR"/>
        </w:rPr>
        <w:t>26</w:t>
      </w:r>
      <w:r w:rsidR="00244AED" w:rsidRPr="00244AED">
        <w:rPr>
          <w:color w:val="000000" w:themeColor="text1"/>
          <w:lang w:val="fr-FR"/>
        </w:rPr>
        <w:t>.</w:t>
      </w:r>
      <w:r w:rsidRPr="003156E8">
        <w:rPr>
          <w:color w:val="000000" w:themeColor="text1"/>
          <w:lang w:val="fr-FR"/>
        </w:rPr>
        <w:tab/>
      </w:r>
      <w:r w:rsidRPr="003156E8">
        <w:rPr>
          <w:lang w:val="fr-FR"/>
        </w:rPr>
        <w:t>La Constitution de la République bolivarienne du Venezuela (ci-après « la Constitution ») dispose que toutes les personnes sont égales devant la loi</w:t>
      </w:r>
      <w:r w:rsidR="00244AED" w:rsidRPr="00244AED">
        <w:rPr>
          <w:lang w:val="fr-FR"/>
        </w:rPr>
        <w:t>.</w:t>
      </w:r>
      <w:r w:rsidRPr="003156E8">
        <w:rPr>
          <w:lang w:val="fr-FR"/>
        </w:rPr>
        <w:t xml:space="preserve"> En conséquence, toute discrimination fondée sur la race, le sexe, la croyance, </w:t>
      </w:r>
      <w:r>
        <w:rPr>
          <w:lang w:val="fr-FR"/>
        </w:rPr>
        <w:t>la situation</w:t>
      </w:r>
      <w:r w:rsidRPr="003156E8">
        <w:rPr>
          <w:lang w:val="fr-FR"/>
        </w:rPr>
        <w:t xml:space="preserve"> social</w:t>
      </w:r>
      <w:r>
        <w:rPr>
          <w:lang w:val="fr-FR"/>
        </w:rPr>
        <w:t>e</w:t>
      </w:r>
      <w:r w:rsidRPr="003156E8">
        <w:rPr>
          <w:lang w:val="fr-FR"/>
        </w:rPr>
        <w:t xml:space="preserve">, </w:t>
      </w:r>
      <w:r>
        <w:rPr>
          <w:lang w:val="fr-FR"/>
        </w:rPr>
        <w:t>et</w:t>
      </w:r>
      <w:r w:rsidRPr="003156E8">
        <w:rPr>
          <w:lang w:val="fr-FR"/>
        </w:rPr>
        <w:t xml:space="preserve"> toute autre discrimination ayant pour objet ou pour résultat d</w:t>
      </w:r>
      <w:r>
        <w:rPr>
          <w:lang w:val="fr-FR"/>
        </w:rPr>
        <w:t>’</w:t>
      </w:r>
      <w:r w:rsidRPr="003156E8">
        <w:rPr>
          <w:lang w:val="fr-FR"/>
        </w:rPr>
        <w:t>empêcher ou d</w:t>
      </w:r>
      <w:r>
        <w:rPr>
          <w:lang w:val="fr-FR"/>
        </w:rPr>
        <w:t>’</w:t>
      </w:r>
      <w:r w:rsidRPr="003156E8">
        <w:rPr>
          <w:lang w:val="fr-FR"/>
        </w:rPr>
        <w:t>entraver la reconnaissance, la jouissance ou l</w:t>
      </w:r>
      <w:r>
        <w:rPr>
          <w:lang w:val="fr-FR"/>
        </w:rPr>
        <w:t>’</w:t>
      </w:r>
      <w:r w:rsidRPr="003156E8">
        <w:rPr>
          <w:lang w:val="fr-FR"/>
        </w:rPr>
        <w:t>exercice, dans des conditions d</w:t>
      </w:r>
      <w:r>
        <w:rPr>
          <w:lang w:val="fr-FR"/>
        </w:rPr>
        <w:t>’</w:t>
      </w:r>
      <w:r w:rsidRPr="003156E8">
        <w:rPr>
          <w:lang w:val="fr-FR"/>
        </w:rPr>
        <w:t>égalité, des droits et des libertés de chacun, est interdite</w:t>
      </w:r>
      <w:r w:rsidR="00244AED" w:rsidRPr="00244AED">
        <w:rPr>
          <w:lang w:val="fr-FR"/>
        </w:rPr>
        <w:t>.</w:t>
      </w:r>
      <w:r w:rsidRPr="003156E8">
        <w:rPr>
          <w:lang w:val="fr-FR"/>
        </w:rPr>
        <w:t xml:space="preserve"> La Constitution précise en outre que la loi doit garantir les conditions juridiques et administratives nécessaires pour que l</w:t>
      </w:r>
      <w:r>
        <w:rPr>
          <w:lang w:val="fr-FR"/>
        </w:rPr>
        <w:t>’</w:t>
      </w:r>
      <w:r w:rsidRPr="003156E8">
        <w:rPr>
          <w:lang w:val="fr-FR"/>
        </w:rPr>
        <w:t>égalité devant la loi soit réelle et effective, prévoir l</w:t>
      </w:r>
      <w:r>
        <w:rPr>
          <w:lang w:val="fr-FR"/>
        </w:rPr>
        <w:t>’</w:t>
      </w:r>
      <w:r w:rsidRPr="003156E8">
        <w:rPr>
          <w:lang w:val="fr-FR"/>
        </w:rPr>
        <w:t>adoption de mesures positives en faveur des personnes ou groupes victimes de discrimination, marginalisés ou vulnérables, protéger tout spécialement les personnes qui, pour l</w:t>
      </w:r>
      <w:r>
        <w:rPr>
          <w:lang w:val="fr-FR"/>
        </w:rPr>
        <w:t>’</w:t>
      </w:r>
      <w:r w:rsidRPr="003156E8">
        <w:rPr>
          <w:lang w:val="fr-FR"/>
        </w:rPr>
        <w:t>une des raisons précitées, se trouveraient dans une situation de vulnérabilité manifeste, et réprimer les violences ou mauvais traitements commis à l</w:t>
      </w:r>
      <w:r>
        <w:rPr>
          <w:lang w:val="fr-FR"/>
        </w:rPr>
        <w:t>’</w:t>
      </w:r>
      <w:r w:rsidRPr="003156E8">
        <w:rPr>
          <w:lang w:val="fr-FR"/>
        </w:rPr>
        <w:t>égard de ces personnes (art</w:t>
      </w:r>
      <w:r w:rsidR="00244AED" w:rsidRPr="00244AED">
        <w:rPr>
          <w:lang w:val="fr-FR"/>
        </w:rPr>
        <w:t>.</w:t>
      </w:r>
      <w:r w:rsidRPr="003156E8">
        <w:rPr>
          <w:lang w:val="fr-FR"/>
        </w:rPr>
        <w:t xml:space="preserve"> 21)</w:t>
      </w:r>
      <w:r w:rsidR="00244AED" w:rsidRPr="00244AED">
        <w:rPr>
          <w:lang w:val="fr-FR"/>
        </w:rPr>
        <w:t>.</w:t>
      </w:r>
    </w:p>
    <w:p w14:paraId="572B7D06" w14:textId="60D86546" w:rsidR="00F30B21" w:rsidRPr="003156E8" w:rsidRDefault="00F30B21" w:rsidP="00F30B21">
      <w:pPr>
        <w:pStyle w:val="SingleTxtG"/>
        <w:rPr>
          <w:color w:val="000000"/>
          <w:shd w:val="clear" w:color="auto" w:fill="FFFFFF"/>
          <w:lang w:val="fr-FR"/>
        </w:rPr>
      </w:pPr>
      <w:r w:rsidRPr="003156E8">
        <w:rPr>
          <w:color w:val="000000" w:themeColor="text1"/>
          <w:lang w:val="fr-FR"/>
        </w:rPr>
        <w:t>27</w:t>
      </w:r>
      <w:r w:rsidR="00244AED" w:rsidRPr="00244AED">
        <w:rPr>
          <w:color w:val="000000" w:themeColor="text1"/>
          <w:lang w:val="fr-FR"/>
        </w:rPr>
        <w:t>.</w:t>
      </w:r>
      <w:r w:rsidRPr="003156E8">
        <w:rPr>
          <w:color w:val="000000" w:themeColor="text1"/>
          <w:lang w:val="fr-FR"/>
        </w:rPr>
        <w:tab/>
      </w:r>
      <w:r w:rsidRPr="003156E8">
        <w:rPr>
          <w:lang w:val="fr-FR"/>
        </w:rPr>
        <w:t>La loi organique contre la discrimination raciale définit la discrimination raciale comme toute distinction, exclusion, restriction, préférence, action ou omission fondée sur des idéologies racistes, sur des motifs d</w:t>
      </w:r>
      <w:r>
        <w:rPr>
          <w:lang w:val="fr-FR"/>
        </w:rPr>
        <w:t>’</w:t>
      </w:r>
      <w:r w:rsidRPr="003156E8">
        <w:rPr>
          <w:lang w:val="fr-FR"/>
        </w:rPr>
        <w:t>origine ethnique ou nationale ou sur des caractéristiques phénotypiques, qui a pour but de compromettre la reconnaissance, la jouissance et l</w:t>
      </w:r>
      <w:r>
        <w:rPr>
          <w:lang w:val="fr-FR"/>
        </w:rPr>
        <w:t>’</w:t>
      </w:r>
      <w:r w:rsidRPr="003156E8">
        <w:rPr>
          <w:lang w:val="fr-FR"/>
        </w:rPr>
        <w:t>exercice, dans des conditions d</w:t>
      </w:r>
      <w:r>
        <w:rPr>
          <w:lang w:val="fr-FR"/>
        </w:rPr>
        <w:t>’</w:t>
      </w:r>
      <w:r w:rsidRPr="003156E8">
        <w:rPr>
          <w:lang w:val="fr-FR"/>
        </w:rPr>
        <w:t>égalité, des droits de l</w:t>
      </w:r>
      <w:r>
        <w:rPr>
          <w:lang w:val="fr-FR"/>
        </w:rPr>
        <w:t>’</w:t>
      </w:r>
      <w:r w:rsidRPr="003156E8">
        <w:rPr>
          <w:lang w:val="fr-FR"/>
        </w:rPr>
        <w:t>homme et des libertés fondamentales de certaines personnes ou groupes de personnes</w:t>
      </w:r>
      <w:r w:rsidRPr="003156E8">
        <w:rPr>
          <w:b/>
          <w:bCs/>
          <w:kern w:val="1"/>
          <w:lang w:val="fr-FR"/>
        </w:rPr>
        <w:t xml:space="preserve"> </w:t>
      </w:r>
      <w:r w:rsidRPr="003156E8">
        <w:rPr>
          <w:color w:val="000000"/>
          <w:shd w:val="clear" w:color="auto" w:fill="FFFFFF"/>
          <w:lang w:val="fr-FR"/>
        </w:rPr>
        <w:t>(art</w:t>
      </w:r>
      <w:r w:rsidR="00244AED" w:rsidRPr="00244AED">
        <w:rPr>
          <w:color w:val="000000"/>
          <w:shd w:val="clear" w:color="auto" w:fill="FFFFFF"/>
          <w:lang w:val="fr-FR"/>
        </w:rPr>
        <w:t>.</w:t>
      </w:r>
      <w:r w:rsidRPr="003156E8">
        <w:rPr>
          <w:color w:val="000000"/>
          <w:shd w:val="clear" w:color="auto" w:fill="FFFFFF"/>
          <w:lang w:val="fr-FR"/>
        </w:rPr>
        <w:t xml:space="preserve"> 10)</w:t>
      </w:r>
      <w:r w:rsidR="00244AED" w:rsidRPr="00244AED">
        <w:rPr>
          <w:color w:val="000000"/>
          <w:shd w:val="clear" w:color="auto" w:fill="FFFFFF"/>
          <w:lang w:val="fr-FR"/>
        </w:rPr>
        <w:t>.</w:t>
      </w:r>
    </w:p>
    <w:p w14:paraId="3A682D71" w14:textId="60039F7E" w:rsidR="00F30B21" w:rsidRPr="003156E8" w:rsidRDefault="00F30B21" w:rsidP="00F30B21">
      <w:pPr>
        <w:pStyle w:val="SingleTxtG"/>
        <w:rPr>
          <w:color w:val="000000"/>
          <w:shd w:val="clear" w:color="auto" w:fill="FFFFFF"/>
          <w:lang w:val="fr-FR"/>
        </w:rPr>
      </w:pPr>
      <w:r w:rsidRPr="003156E8">
        <w:rPr>
          <w:color w:val="000000" w:themeColor="text1"/>
          <w:lang w:val="fr-FR"/>
        </w:rPr>
        <w:t>28</w:t>
      </w:r>
      <w:r w:rsidR="00244AED" w:rsidRPr="00244AED">
        <w:rPr>
          <w:color w:val="000000" w:themeColor="text1"/>
          <w:lang w:val="fr-FR"/>
        </w:rPr>
        <w:t>.</w:t>
      </w:r>
      <w:r w:rsidRPr="003156E8">
        <w:rPr>
          <w:color w:val="000000" w:themeColor="text1"/>
          <w:lang w:val="fr-FR"/>
        </w:rPr>
        <w:tab/>
      </w:r>
      <w:r>
        <w:rPr>
          <w:color w:val="000000"/>
          <w:shd w:val="clear" w:color="auto" w:fill="FFFFFF"/>
          <w:lang w:val="fr-FR"/>
        </w:rPr>
        <w:t>Comme suite</w:t>
      </w:r>
      <w:r w:rsidRPr="003156E8">
        <w:rPr>
          <w:color w:val="000000"/>
          <w:shd w:val="clear" w:color="auto" w:fill="FFFFFF"/>
          <w:lang w:val="fr-FR"/>
        </w:rPr>
        <w:t xml:space="preserve"> aux</w:t>
      </w:r>
      <w:r>
        <w:rPr>
          <w:color w:val="000000"/>
          <w:shd w:val="clear" w:color="auto" w:fill="FFFFFF"/>
          <w:lang w:val="fr-FR"/>
        </w:rPr>
        <w:t xml:space="preserve"> recommandations figurant dans les</w:t>
      </w:r>
      <w:r w:rsidRPr="003156E8">
        <w:rPr>
          <w:color w:val="000000"/>
          <w:shd w:val="clear" w:color="auto" w:fill="FFFFFF"/>
          <w:lang w:val="fr-FR"/>
        </w:rPr>
        <w:t xml:space="preserve"> observations finales du Comité, l</w:t>
      </w:r>
      <w:r>
        <w:rPr>
          <w:color w:val="000000"/>
          <w:shd w:val="clear" w:color="auto" w:fill="FFFFFF"/>
          <w:lang w:val="fr-FR"/>
        </w:rPr>
        <w:t>’</w:t>
      </w:r>
      <w:r w:rsidRPr="003156E8">
        <w:rPr>
          <w:color w:val="000000"/>
          <w:shd w:val="clear" w:color="auto" w:fill="FFFFFF"/>
          <w:lang w:val="fr-FR"/>
        </w:rPr>
        <w:t xml:space="preserve">État </w:t>
      </w:r>
      <w:r>
        <w:rPr>
          <w:color w:val="000000"/>
          <w:shd w:val="clear" w:color="auto" w:fill="FFFFFF"/>
          <w:lang w:val="fr-FR"/>
        </w:rPr>
        <w:t>s’attache à revoir</w:t>
      </w:r>
      <w:r w:rsidRPr="003156E8">
        <w:rPr>
          <w:color w:val="000000"/>
          <w:shd w:val="clear" w:color="auto" w:fill="FFFFFF"/>
          <w:lang w:val="fr-FR"/>
        </w:rPr>
        <w:t xml:space="preserve"> la définition de la discrimination raciale </w:t>
      </w:r>
      <w:r>
        <w:rPr>
          <w:color w:val="000000"/>
          <w:shd w:val="clear" w:color="auto" w:fill="FFFFFF"/>
          <w:lang w:val="fr-FR"/>
        </w:rPr>
        <w:t>qui figure</w:t>
      </w:r>
      <w:r w:rsidRPr="003156E8">
        <w:rPr>
          <w:color w:val="000000"/>
          <w:shd w:val="clear" w:color="auto" w:fill="FFFFFF"/>
          <w:lang w:val="fr-FR"/>
        </w:rPr>
        <w:t xml:space="preserve"> dans la loi organique contre la discrimination raciale</w:t>
      </w:r>
      <w:r>
        <w:rPr>
          <w:color w:val="000000"/>
          <w:shd w:val="clear" w:color="auto" w:fill="FFFFFF"/>
          <w:lang w:val="fr-FR"/>
        </w:rPr>
        <w:t>,</w:t>
      </w:r>
      <w:r w:rsidRPr="003156E8">
        <w:rPr>
          <w:color w:val="000000"/>
          <w:shd w:val="clear" w:color="auto" w:fill="FFFFFF"/>
          <w:lang w:val="fr-FR"/>
        </w:rPr>
        <w:t xml:space="preserve"> afin de garantir sa pleine compatibilité avec la Convention</w:t>
      </w:r>
      <w:r w:rsidR="00244AED" w:rsidRPr="00244AED">
        <w:rPr>
          <w:color w:val="000000"/>
          <w:shd w:val="clear" w:color="auto" w:fill="FFFFFF"/>
          <w:lang w:val="fr-FR"/>
        </w:rPr>
        <w:t>.</w:t>
      </w:r>
      <w:r w:rsidRPr="003156E8">
        <w:rPr>
          <w:color w:val="000000"/>
          <w:shd w:val="clear" w:color="auto" w:fill="FFFFFF"/>
          <w:lang w:val="fr-FR"/>
        </w:rPr>
        <w:t xml:space="preserve"> Entre 2016 et 2020, il a été difficile de donner suite à cette recommandation du Comité, en raison du non-respect des décisions de la Cour suprême de justice par l</w:t>
      </w:r>
      <w:r>
        <w:rPr>
          <w:color w:val="000000"/>
          <w:shd w:val="clear" w:color="auto" w:fill="FFFFFF"/>
          <w:lang w:val="fr-FR"/>
        </w:rPr>
        <w:t>’</w:t>
      </w:r>
      <w:r w:rsidRPr="003156E8">
        <w:rPr>
          <w:color w:val="000000"/>
          <w:shd w:val="clear" w:color="auto" w:fill="FFFFFF"/>
          <w:lang w:val="fr-FR"/>
        </w:rPr>
        <w:t>Assemblée nationale</w:t>
      </w:r>
      <w:r w:rsidRPr="00F30B21">
        <w:rPr>
          <w:rStyle w:val="Appelnotedebasdep"/>
        </w:rPr>
        <w:footnoteReference w:id="13"/>
      </w:r>
      <w:r w:rsidR="00244AED" w:rsidRPr="00244AED">
        <w:rPr>
          <w:color w:val="000000"/>
          <w:shd w:val="clear" w:color="auto" w:fill="FFFFFF"/>
          <w:lang w:val="fr-FR"/>
        </w:rPr>
        <w:t>.</w:t>
      </w:r>
    </w:p>
    <w:p w14:paraId="49A40EDC" w14:textId="77777777" w:rsidR="00F30B21" w:rsidRPr="003156E8" w:rsidRDefault="00F30B21" w:rsidP="00F30B21">
      <w:pPr>
        <w:pStyle w:val="H1G"/>
        <w:rPr>
          <w:lang w:val="fr-FR"/>
        </w:rPr>
      </w:pPr>
      <w:r w:rsidRPr="003156E8">
        <w:rPr>
          <w:b w:val="0"/>
          <w:lang w:val="fr-FR"/>
        </w:rPr>
        <w:tab/>
      </w:r>
      <w:r w:rsidRPr="003156E8">
        <w:rPr>
          <w:b w:val="0"/>
          <w:lang w:val="fr-FR"/>
        </w:rPr>
        <w:tab/>
      </w:r>
      <w:r w:rsidRPr="003156E8">
        <w:rPr>
          <w:bCs/>
          <w:lang w:val="fr-FR"/>
        </w:rPr>
        <w:t>Article 2</w:t>
      </w:r>
    </w:p>
    <w:p w14:paraId="35DADA5A" w14:textId="77777777" w:rsidR="00F30B21" w:rsidRPr="003156E8" w:rsidRDefault="00F30B21" w:rsidP="00F30B21">
      <w:pPr>
        <w:pStyle w:val="H23G"/>
        <w:rPr>
          <w:shd w:val="clear" w:color="auto" w:fill="FFFFFF"/>
          <w:lang w:val="fr-FR"/>
        </w:rPr>
      </w:pPr>
      <w:r w:rsidRPr="003156E8">
        <w:rPr>
          <w:b w:val="0"/>
          <w:lang w:val="fr-FR"/>
        </w:rPr>
        <w:tab/>
      </w:r>
      <w:r w:rsidRPr="003156E8">
        <w:rPr>
          <w:b w:val="0"/>
          <w:lang w:val="fr-FR"/>
        </w:rPr>
        <w:tab/>
      </w:r>
      <w:r w:rsidRPr="003156E8">
        <w:rPr>
          <w:bCs/>
          <w:lang w:val="fr-FR"/>
        </w:rPr>
        <w:t>Politiques tendant à éliminer toute forme de discrimination raciale</w:t>
      </w:r>
    </w:p>
    <w:p w14:paraId="27F76CAA" w14:textId="72520538" w:rsidR="00F30B21" w:rsidRPr="003156E8" w:rsidRDefault="00F30B21" w:rsidP="00F30B21">
      <w:pPr>
        <w:pStyle w:val="SingleTxtG"/>
        <w:rPr>
          <w:color w:val="000000"/>
          <w:shd w:val="clear" w:color="auto" w:fill="FFFFFF"/>
          <w:lang w:val="fr-FR"/>
        </w:rPr>
      </w:pPr>
      <w:r w:rsidRPr="003156E8">
        <w:rPr>
          <w:color w:val="000000" w:themeColor="text1"/>
          <w:lang w:val="fr-FR"/>
        </w:rPr>
        <w:t>29</w:t>
      </w:r>
      <w:r w:rsidR="00244AED" w:rsidRPr="00244AED">
        <w:rPr>
          <w:color w:val="000000" w:themeColor="text1"/>
          <w:lang w:val="fr-FR"/>
        </w:rPr>
        <w:t>.</w:t>
      </w:r>
      <w:r w:rsidRPr="003156E8">
        <w:rPr>
          <w:color w:val="000000" w:themeColor="text1"/>
          <w:lang w:val="fr-FR"/>
        </w:rPr>
        <w:tab/>
      </w:r>
      <w:r w:rsidRPr="003156E8">
        <w:rPr>
          <w:color w:val="000000"/>
          <w:shd w:val="clear" w:color="auto" w:fill="FFFFFF"/>
          <w:lang w:val="fr-FR"/>
        </w:rPr>
        <w:t>Dans le cadre de la mise en place d</w:t>
      </w:r>
      <w:r>
        <w:rPr>
          <w:color w:val="000000"/>
          <w:shd w:val="clear" w:color="auto" w:fill="FFFFFF"/>
          <w:lang w:val="fr-FR"/>
        </w:rPr>
        <w:t>’</w:t>
      </w:r>
      <w:r w:rsidRPr="003156E8">
        <w:rPr>
          <w:color w:val="000000"/>
          <w:shd w:val="clear" w:color="auto" w:fill="FFFFFF"/>
          <w:lang w:val="fr-FR"/>
        </w:rPr>
        <w:t xml:space="preserve">une structure institutionnelle permettant de garantir les droits consacrés par la Convention, diverses politiques publiques tendant à éliminer toutes les formes de discrimination ont été mises en œuvre pendant la période </w:t>
      </w:r>
      <w:r>
        <w:rPr>
          <w:color w:val="000000"/>
          <w:shd w:val="clear" w:color="auto" w:fill="FFFFFF"/>
          <w:lang w:val="fr-FR"/>
        </w:rPr>
        <w:t>considérée</w:t>
      </w:r>
      <w:r w:rsidR="00244AED" w:rsidRPr="00244AED">
        <w:rPr>
          <w:color w:val="000000"/>
          <w:shd w:val="clear" w:color="auto" w:fill="FFFFFF"/>
          <w:lang w:val="fr-FR"/>
        </w:rPr>
        <w:t>.</w:t>
      </w:r>
      <w:r w:rsidRPr="003156E8">
        <w:rPr>
          <w:color w:val="000000"/>
          <w:shd w:val="clear" w:color="auto" w:fill="FFFFFF"/>
          <w:lang w:val="fr-FR"/>
        </w:rPr>
        <w:t xml:space="preserve"> </w:t>
      </w:r>
    </w:p>
    <w:p w14:paraId="5A10718D" w14:textId="192DC1B3" w:rsidR="00F30B21" w:rsidRPr="003156E8" w:rsidRDefault="00F30B21" w:rsidP="00F30B21">
      <w:pPr>
        <w:pStyle w:val="SingleTxtG"/>
        <w:rPr>
          <w:color w:val="000000"/>
          <w:shd w:val="clear" w:color="auto" w:fill="FFFFFF"/>
          <w:lang w:val="fr-FR"/>
        </w:rPr>
      </w:pPr>
      <w:r w:rsidRPr="003156E8">
        <w:rPr>
          <w:color w:val="000000" w:themeColor="text1"/>
          <w:lang w:val="fr-FR"/>
        </w:rPr>
        <w:t>30</w:t>
      </w:r>
      <w:r w:rsidR="00244AED" w:rsidRPr="00244AED">
        <w:rPr>
          <w:color w:val="000000" w:themeColor="text1"/>
          <w:lang w:val="fr-FR"/>
        </w:rPr>
        <w:t>.</w:t>
      </w:r>
      <w:r w:rsidRPr="003156E8">
        <w:rPr>
          <w:color w:val="000000" w:themeColor="text1"/>
          <w:lang w:val="fr-FR"/>
        </w:rPr>
        <w:tab/>
      </w:r>
      <w:r w:rsidRPr="003156E8">
        <w:rPr>
          <w:color w:val="000000"/>
          <w:shd w:val="clear" w:color="auto" w:fill="FFFFFF"/>
          <w:lang w:val="fr-FR"/>
        </w:rPr>
        <w:t>En 2012, le pouvoir exécutif national a présenté le deuxième plan socialiste pour le développement économique et social de la Nation 2013-2019, qui a été adopté en tant que loi par l</w:t>
      </w:r>
      <w:r>
        <w:rPr>
          <w:color w:val="000000"/>
          <w:shd w:val="clear" w:color="auto" w:fill="FFFFFF"/>
          <w:lang w:val="fr-FR"/>
        </w:rPr>
        <w:t>’</w:t>
      </w:r>
      <w:r w:rsidRPr="003156E8">
        <w:rPr>
          <w:color w:val="000000"/>
          <w:shd w:val="clear" w:color="auto" w:fill="FFFFFF"/>
          <w:lang w:val="fr-FR"/>
        </w:rPr>
        <w:t>Assemblée nationale</w:t>
      </w:r>
      <w:r w:rsidRPr="00F30B21">
        <w:rPr>
          <w:rStyle w:val="Appelnotedebasdep"/>
        </w:rPr>
        <w:footnoteReference w:id="14"/>
      </w:r>
      <w:r w:rsidR="00244AED" w:rsidRPr="00244AED">
        <w:rPr>
          <w:color w:val="000000"/>
          <w:shd w:val="clear" w:color="auto" w:fill="FFFFFF"/>
          <w:lang w:val="fr-FR"/>
        </w:rPr>
        <w:t>.</w:t>
      </w:r>
      <w:r w:rsidRPr="003156E8">
        <w:rPr>
          <w:color w:val="000000"/>
          <w:shd w:val="clear" w:color="auto" w:fill="FFFFFF"/>
          <w:lang w:val="fr-FR"/>
        </w:rPr>
        <w:t xml:space="preserve"> L</w:t>
      </w:r>
      <w:r>
        <w:rPr>
          <w:color w:val="000000"/>
          <w:shd w:val="clear" w:color="auto" w:fill="FFFFFF"/>
          <w:lang w:val="fr-FR"/>
        </w:rPr>
        <w:t>’</w:t>
      </w:r>
      <w:r w:rsidRPr="003156E8">
        <w:rPr>
          <w:color w:val="000000"/>
          <w:shd w:val="clear" w:color="auto" w:fill="FFFFFF"/>
          <w:lang w:val="fr-FR"/>
        </w:rPr>
        <w:t>un des objectifs est de promouvoir la création d</w:t>
      </w:r>
      <w:r>
        <w:rPr>
          <w:color w:val="000000"/>
          <w:shd w:val="clear" w:color="auto" w:fill="FFFFFF"/>
          <w:lang w:val="fr-FR"/>
        </w:rPr>
        <w:t>’</w:t>
      </w:r>
      <w:r w:rsidRPr="003156E8">
        <w:rPr>
          <w:color w:val="000000"/>
          <w:shd w:val="clear" w:color="auto" w:fill="FFFFFF"/>
          <w:lang w:val="fr-FR"/>
        </w:rPr>
        <w:t>une société plus juste et plus égalitaire</w:t>
      </w:r>
      <w:r w:rsidR="00244AED" w:rsidRPr="00244AED">
        <w:rPr>
          <w:color w:val="000000"/>
          <w:shd w:val="clear" w:color="auto" w:fill="FFFFFF"/>
          <w:lang w:val="fr-FR"/>
        </w:rPr>
        <w:t>.</w:t>
      </w:r>
      <w:r w:rsidRPr="003156E8">
        <w:rPr>
          <w:color w:val="000000"/>
          <w:shd w:val="clear" w:color="auto" w:fill="FFFFFF"/>
          <w:lang w:val="fr-FR"/>
        </w:rPr>
        <w:t xml:space="preserve"> Il a notamment pour ambition : i) d</w:t>
      </w:r>
      <w:r>
        <w:rPr>
          <w:color w:val="000000"/>
          <w:shd w:val="clear" w:color="auto" w:fill="FFFFFF"/>
          <w:lang w:val="fr-FR"/>
        </w:rPr>
        <w:t>’</w:t>
      </w:r>
      <w:r w:rsidRPr="003156E8">
        <w:rPr>
          <w:color w:val="000000"/>
          <w:shd w:val="clear" w:color="auto" w:fill="FFFFFF"/>
          <w:lang w:val="fr-FR"/>
        </w:rPr>
        <w:t>améliorer l</w:t>
      </w:r>
      <w:r>
        <w:rPr>
          <w:color w:val="000000"/>
          <w:shd w:val="clear" w:color="auto" w:fill="FFFFFF"/>
          <w:lang w:val="fr-FR"/>
        </w:rPr>
        <w:t>’</w:t>
      </w:r>
      <w:r w:rsidRPr="003156E8">
        <w:rPr>
          <w:color w:val="000000"/>
          <w:shd w:val="clear" w:color="auto" w:fill="FFFFFF"/>
          <w:lang w:val="fr-FR"/>
        </w:rPr>
        <w:t>habitat et les infrastructures destinés aux peuples autochtones ; ii) d</w:t>
      </w:r>
      <w:r>
        <w:rPr>
          <w:color w:val="000000"/>
          <w:shd w:val="clear" w:color="auto" w:fill="FFFFFF"/>
          <w:lang w:val="fr-FR"/>
        </w:rPr>
        <w:t>’</w:t>
      </w:r>
      <w:r w:rsidRPr="003156E8">
        <w:rPr>
          <w:color w:val="000000"/>
          <w:shd w:val="clear" w:color="auto" w:fill="FFFFFF"/>
          <w:lang w:val="fr-FR"/>
        </w:rPr>
        <w:t>accélérer la délimitation des territoires des communautés autochtones en remettant à ces communautés des titres de propriété sur les terres qu</w:t>
      </w:r>
      <w:r>
        <w:rPr>
          <w:color w:val="000000"/>
          <w:shd w:val="clear" w:color="auto" w:fill="FFFFFF"/>
          <w:lang w:val="fr-FR"/>
        </w:rPr>
        <w:t>’</w:t>
      </w:r>
      <w:r w:rsidRPr="003156E8">
        <w:rPr>
          <w:color w:val="000000"/>
          <w:shd w:val="clear" w:color="auto" w:fill="FFFFFF"/>
          <w:lang w:val="fr-FR"/>
        </w:rPr>
        <w:t xml:space="preserve">elles occupent et en fournissant un logement décent à chaque famille autochtone en situation de vulnérabilité, en respectant ses préférences culturelles ; iii) de renforcer la </w:t>
      </w:r>
      <w:r w:rsidRPr="003156E8">
        <w:rPr>
          <w:color w:val="000000"/>
          <w:shd w:val="clear" w:color="auto" w:fill="FFFFFF"/>
          <w:lang w:val="fr-FR"/>
        </w:rPr>
        <w:lastRenderedPageBreak/>
        <w:t>présence des missions et des grandes missions socialistes dans les communautés autochtones, en reconnaissant et en respectant leur culture et leurs traditions</w:t>
      </w:r>
      <w:r w:rsidR="00244AED" w:rsidRPr="00244AED">
        <w:rPr>
          <w:color w:val="000000"/>
          <w:shd w:val="clear" w:color="auto" w:fill="FFFFFF"/>
          <w:lang w:val="fr-FR"/>
        </w:rPr>
        <w:t>.</w:t>
      </w:r>
      <w:r w:rsidR="003F4150">
        <w:rPr>
          <w:color w:val="000000"/>
          <w:shd w:val="clear" w:color="auto" w:fill="FFFFFF"/>
          <w:lang w:val="fr-FR"/>
        </w:rPr>
        <w:t xml:space="preserve"> </w:t>
      </w:r>
    </w:p>
    <w:p w14:paraId="43E1061D" w14:textId="48E17537" w:rsidR="00F30B21" w:rsidRPr="003156E8" w:rsidRDefault="00F30B21" w:rsidP="00F30B21">
      <w:pPr>
        <w:pStyle w:val="SingleTxtG"/>
        <w:rPr>
          <w:color w:val="000000"/>
          <w:shd w:val="clear" w:color="auto" w:fill="FFFFFF"/>
          <w:lang w:val="fr-FR"/>
        </w:rPr>
      </w:pPr>
      <w:r w:rsidRPr="003156E8">
        <w:rPr>
          <w:color w:val="000000" w:themeColor="text1"/>
          <w:lang w:val="fr-FR"/>
        </w:rPr>
        <w:t>31</w:t>
      </w:r>
      <w:r w:rsidR="00244AED" w:rsidRPr="00244AED">
        <w:rPr>
          <w:color w:val="000000" w:themeColor="text1"/>
          <w:lang w:val="fr-FR"/>
        </w:rPr>
        <w:t>.</w:t>
      </w:r>
      <w:r w:rsidRPr="003156E8">
        <w:rPr>
          <w:color w:val="000000" w:themeColor="text1"/>
          <w:lang w:val="fr-FR"/>
        </w:rPr>
        <w:tab/>
      </w:r>
      <w:r w:rsidRPr="003156E8">
        <w:rPr>
          <w:color w:val="000000"/>
          <w:shd w:val="clear" w:color="auto" w:fill="FFFFFF"/>
          <w:lang w:val="fr-FR"/>
        </w:rPr>
        <w:t>Le troisième plan socialiste pour le développement économique et social de la Nation, ou plan pour la Patrie 2019-2025, a été adopté en 2019</w:t>
      </w:r>
      <w:r w:rsidR="00244AED" w:rsidRPr="00244AED">
        <w:rPr>
          <w:color w:val="000000"/>
          <w:shd w:val="clear" w:color="auto" w:fill="FFFFFF"/>
          <w:lang w:val="fr-FR"/>
        </w:rPr>
        <w:t>.</w:t>
      </w:r>
      <w:r w:rsidRPr="003156E8">
        <w:rPr>
          <w:color w:val="000000"/>
          <w:shd w:val="clear" w:color="auto" w:fill="FFFFFF"/>
          <w:lang w:val="fr-FR"/>
        </w:rPr>
        <w:t xml:space="preserve"> L</w:t>
      </w:r>
      <w:r>
        <w:rPr>
          <w:color w:val="000000"/>
          <w:shd w:val="clear" w:color="auto" w:fill="FFFFFF"/>
          <w:lang w:val="fr-FR"/>
        </w:rPr>
        <w:t>’</w:t>
      </w:r>
      <w:r w:rsidRPr="003156E8">
        <w:rPr>
          <w:color w:val="000000"/>
          <w:shd w:val="clear" w:color="auto" w:fill="FFFFFF"/>
          <w:lang w:val="fr-FR"/>
        </w:rPr>
        <w:t>un de ses objectifs est d</w:t>
      </w:r>
      <w:r>
        <w:rPr>
          <w:color w:val="000000"/>
          <w:shd w:val="clear" w:color="auto" w:fill="FFFFFF"/>
          <w:lang w:val="fr-FR"/>
        </w:rPr>
        <w:t>’</w:t>
      </w:r>
      <w:r w:rsidRPr="003156E8">
        <w:rPr>
          <w:color w:val="000000"/>
          <w:shd w:val="clear" w:color="auto" w:fill="FFFFFF"/>
          <w:lang w:val="fr-FR"/>
        </w:rPr>
        <w:t>encourager les initiatives visant à faire connaître et à valoriser les cultures, ainsi qu</w:t>
      </w:r>
      <w:r>
        <w:rPr>
          <w:color w:val="000000"/>
          <w:shd w:val="clear" w:color="auto" w:fill="FFFFFF"/>
          <w:lang w:val="fr-FR"/>
        </w:rPr>
        <w:t>’</w:t>
      </w:r>
      <w:r w:rsidRPr="003156E8">
        <w:rPr>
          <w:color w:val="000000"/>
          <w:shd w:val="clear" w:color="auto" w:fill="FFFFFF"/>
          <w:lang w:val="fr-FR"/>
        </w:rPr>
        <w:t>à reconnaître les contributions culturelles des groupes de diverses origines qui composent la société vénézuélienne, par la mise en place d</w:t>
      </w:r>
      <w:r>
        <w:rPr>
          <w:color w:val="000000"/>
          <w:shd w:val="clear" w:color="auto" w:fill="FFFFFF"/>
          <w:lang w:val="fr-FR"/>
        </w:rPr>
        <w:t>’</w:t>
      </w:r>
      <w:r w:rsidRPr="003156E8">
        <w:rPr>
          <w:color w:val="000000"/>
          <w:shd w:val="clear" w:color="auto" w:fill="FFFFFF"/>
          <w:lang w:val="fr-FR"/>
        </w:rPr>
        <w:t>un cadre juridique visant à éliminer toute forme de discrimination fondée sur l</w:t>
      </w:r>
      <w:r>
        <w:rPr>
          <w:color w:val="000000"/>
          <w:shd w:val="clear" w:color="auto" w:fill="FFFFFF"/>
          <w:lang w:val="fr-FR"/>
        </w:rPr>
        <w:t>’</w:t>
      </w:r>
      <w:r w:rsidRPr="003156E8">
        <w:rPr>
          <w:color w:val="000000"/>
          <w:shd w:val="clear" w:color="auto" w:fill="FFFFFF"/>
          <w:lang w:val="fr-FR"/>
        </w:rPr>
        <w:t xml:space="preserve">origine sociale, le sexisme, le racisme, la xénophobie, les opinions politiques et le </w:t>
      </w:r>
      <w:r w:rsidRPr="003156E8">
        <w:rPr>
          <w:lang w:val="fr-FR"/>
        </w:rPr>
        <w:t>handicap</w:t>
      </w:r>
      <w:r w:rsidRPr="00F30B21">
        <w:rPr>
          <w:rStyle w:val="Appelnotedebasdep"/>
        </w:rPr>
        <w:footnoteReference w:id="15"/>
      </w:r>
      <w:r w:rsidR="00244AED" w:rsidRPr="00244AED">
        <w:rPr>
          <w:color w:val="000000"/>
          <w:shd w:val="clear" w:color="auto" w:fill="FFFFFF"/>
          <w:lang w:val="fr-FR"/>
        </w:rPr>
        <w:t>.</w:t>
      </w:r>
    </w:p>
    <w:p w14:paraId="2AB462D9" w14:textId="390E3911" w:rsidR="00F30B21" w:rsidRPr="003156E8" w:rsidRDefault="00F30B21" w:rsidP="00F30B21">
      <w:pPr>
        <w:pStyle w:val="SingleTxtG"/>
        <w:rPr>
          <w:color w:val="000000"/>
          <w:shd w:val="clear" w:color="auto" w:fill="FFFFFF"/>
          <w:lang w:val="fr-FR"/>
        </w:rPr>
      </w:pPr>
      <w:r w:rsidRPr="003156E8">
        <w:rPr>
          <w:color w:val="000000" w:themeColor="text1"/>
          <w:lang w:val="fr-FR"/>
        </w:rPr>
        <w:t>32</w:t>
      </w:r>
      <w:r w:rsidR="00244AED" w:rsidRPr="00244AED">
        <w:rPr>
          <w:color w:val="000000" w:themeColor="text1"/>
          <w:lang w:val="fr-FR"/>
        </w:rPr>
        <w:t>.</w:t>
      </w:r>
      <w:r w:rsidRPr="003156E8">
        <w:rPr>
          <w:color w:val="000000" w:themeColor="text1"/>
          <w:lang w:val="fr-FR"/>
        </w:rPr>
        <w:tab/>
      </w:r>
      <w:r w:rsidRPr="003156E8">
        <w:rPr>
          <w:color w:val="000000"/>
          <w:shd w:val="clear" w:color="auto" w:fill="FFFFFF"/>
          <w:lang w:val="fr-FR"/>
        </w:rPr>
        <w:t>Le plan pour la Patrie 2019-2025 prévoit notamment la modification de la formation des enseignants, des programmes et des pratiques pédagogiques de l</w:t>
      </w:r>
      <w:r>
        <w:rPr>
          <w:color w:val="000000"/>
          <w:shd w:val="clear" w:color="auto" w:fill="FFFFFF"/>
          <w:lang w:val="fr-FR"/>
        </w:rPr>
        <w:t>’</w:t>
      </w:r>
      <w:r w:rsidRPr="003156E8">
        <w:rPr>
          <w:color w:val="000000"/>
          <w:shd w:val="clear" w:color="auto" w:fill="FFFFFF"/>
          <w:lang w:val="fr-FR"/>
        </w:rPr>
        <w:t>enseignement de base</w:t>
      </w:r>
      <w:r>
        <w:rPr>
          <w:color w:val="000000"/>
          <w:shd w:val="clear" w:color="auto" w:fill="FFFFFF"/>
          <w:lang w:val="fr-FR"/>
        </w:rPr>
        <w:t>,</w:t>
      </w:r>
      <w:r w:rsidRPr="003156E8">
        <w:rPr>
          <w:color w:val="000000"/>
          <w:shd w:val="clear" w:color="auto" w:fill="FFFFFF"/>
          <w:lang w:val="fr-FR"/>
        </w:rPr>
        <w:t xml:space="preserve"> afin d</w:t>
      </w:r>
      <w:r>
        <w:rPr>
          <w:color w:val="000000"/>
          <w:shd w:val="clear" w:color="auto" w:fill="FFFFFF"/>
          <w:lang w:val="fr-FR"/>
        </w:rPr>
        <w:t>’</w:t>
      </w:r>
      <w:r w:rsidRPr="003156E8">
        <w:rPr>
          <w:color w:val="000000"/>
          <w:shd w:val="clear" w:color="auto" w:fill="FFFFFF"/>
          <w:lang w:val="fr-FR"/>
        </w:rPr>
        <w:t>y inclure la décolonisation, l</w:t>
      </w:r>
      <w:r>
        <w:rPr>
          <w:color w:val="000000"/>
          <w:shd w:val="clear" w:color="auto" w:fill="FFFFFF"/>
          <w:lang w:val="fr-FR"/>
        </w:rPr>
        <w:t>’</w:t>
      </w:r>
      <w:r w:rsidRPr="003156E8">
        <w:rPr>
          <w:color w:val="000000"/>
          <w:shd w:val="clear" w:color="auto" w:fill="FFFFFF"/>
          <w:lang w:val="fr-FR"/>
        </w:rPr>
        <w:t>élimination de toutes les formes de discrimination, l</w:t>
      </w:r>
      <w:r>
        <w:rPr>
          <w:color w:val="000000"/>
          <w:shd w:val="clear" w:color="auto" w:fill="FFFFFF"/>
          <w:lang w:val="fr-FR"/>
        </w:rPr>
        <w:t>’</w:t>
      </w:r>
      <w:r w:rsidRPr="003156E8">
        <w:rPr>
          <w:color w:val="000000"/>
          <w:shd w:val="clear" w:color="auto" w:fill="FFFFFF"/>
          <w:lang w:val="fr-FR"/>
        </w:rPr>
        <w:t>appropriation critique de la mémoire historique et territoriale et la coexistence interculturelle</w:t>
      </w:r>
      <w:r w:rsidR="00244AED" w:rsidRPr="00244AED">
        <w:rPr>
          <w:color w:val="000000"/>
          <w:shd w:val="clear" w:color="auto" w:fill="FFFFFF"/>
          <w:lang w:val="fr-FR"/>
        </w:rPr>
        <w:t>.</w:t>
      </w:r>
      <w:r w:rsidRPr="003156E8">
        <w:rPr>
          <w:color w:val="000000"/>
          <w:shd w:val="clear" w:color="auto" w:fill="FFFFFF"/>
          <w:lang w:val="fr-FR"/>
        </w:rPr>
        <w:t xml:space="preserve"> Il met également l</w:t>
      </w:r>
      <w:r>
        <w:rPr>
          <w:color w:val="000000"/>
          <w:shd w:val="clear" w:color="auto" w:fill="FFFFFF"/>
          <w:lang w:val="fr-FR"/>
        </w:rPr>
        <w:t>’</w:t>
      </w:r>
      <w:r w:rsidRPr="003156E8">
        <w:rPr>
          <w:color w:val="000000"/>
          <w:shd w:val="clear" w:color="auto" w:fill="FFFFFF"/>
          <w:lang w:val="fr-FR"/>
        </w:rPr>
        <w:t>accent sur l</w:t>
      </w:r>
      <w:r>
        <w:rPr>
          <w:color w:val="000000"/>
          <w:shd w:val="clear" w:color="auto" w:fill="FFFFFF"/>
          <w:lang w:val="fr-FR"/>
        </w:rPr>
        <w:t>’</w:t>
      </w:r>
      <w:r w:rsidRPr="003156E8">
        <w:rPr>
          <w:color w:val="000000"/>
          <w:shd w:val="clear" w:color="auto" w:fill="FFFFFF"/>
          <w:lang w:val="fr-FR"/>
        </w:rPr>
        <w:t xml:space="preserve">établissement de normes destinées à encourager la production et la diffusion, dans tous les </w:t>
      </w:r>
      <w:proofErr w:type="spellStart"/>
      <w:r w:rsidRPr="003156E8">
        <w:rPr>
          <w:color w:val="000000"/>
          <w:shd w:val="clear" w:color="auto" w:fill="FFFFFF"/>
          <w:lang w:val="fr-FR"/>
        </w:rPr>
        <w:t>médias</w:t>
      </w:r>
      <w:proofErr w:type="spellEnd"/>
      <w:r w:rsidRPr="003156E8">
        <w:rPr>
          <w:color w:val="000000"/>
          <w:shd w:val="clear" w:color="auto" w:fill="FFFFFF"/>
          <w:lang w:val="fr-FR"/>
        </w:rPr>
        <w:t xml:space="preserve"> et le système éducatif, de contenus affirmant l</w:t>
      </w:r>
      <w:r>
        <w:rPr>
          <w:color w:val="000000"/>
          <w:shd w:val="clear" w:color="auto" w:fill="FFFFFF"/>
          <w:lang w:val="fr-FR"/>
        </w:rPr>
        <w:t>’</w:t>
      </w:r>
      <w:r w:rsidRPr="003156E8">
        <w:rPr>
          <w:color w:val="000000"/>
          <w:shd w:val="clear" w:color="auto" w:fill="FFFFFF"/>
          <w:lang w:val="fr-FR"/>
        </w:rPr>
        <w:t>identité vénézuélienne, favorisant la connaissance et la valorisation de la diversité humaine et naturelle du pays, faisant connaître le patrimoine, les valeurs culturelles et les contributions des différents groupes qui composent la société vénézuélienne, en particulier les peuples autochtones et la population d</w:t>
      </w:r>
      <w:r>
        <w:rPr>
          <w:color w:val="000000"/>
          <w:shd w:val="clear" w:color="auto" w:fill="FFFFFF"/>
          <w:lang w:val="fr-FR"/>
        </w:rPr>
        <w:t>’</w:t>
      </w:r>
      <w:r w:rsidRPr="003156E8">
        <w:rPr>
          <w:color w:val="000000"/>
          <w:shd w:val="clear" w:color="auto" w:fill="FFFFFF"/>
          <w:lang w:val="fr-FR"/>
        </w:rPr>
        <w:t>ascendance africaine, favorisant l</w:t>
      </w:r>
      <w:r>
        <w:rPr>
          <w:color w:val="000000"/>
          <w:shd w:val="clear" w:color="auto" w:fill="FFFFFF"/>
          <w:lang w:val="fr-FR"/>
        </w:rPr>
        <w:t>’</w:t>
      </w:r>
      <w:r w:rsidRPr="003156E8">
        <w:rPr>
          <w:color w:val="000000"/>
          <w:shd w:val="clear" w:color="auto" w:fill="FFFFFF"/>
          <w:lang w:val="fr-FR"/>
        </w:rPr>
        <w:t>égalité femmes-hommes</w:t>
      </w:r>
      <w:r>
        <w:rPr>
          <w:color w:val="000000"/>
          <w:shd w:val="clear" w:color="auto" w:fill="FFFFFF"/>
          <w:lang w:val="fr-FR"/>
        </w:rPr>
        <w:t xml:space="preserve"> et </w:t>
      </w:r>
      <w:r>
        <w:rPr>
          <w:lang w:val="fr-FR"/>
        </w:rPr>
        <w:t xml:space="preserve">véhiculant </w:t>
      </w:r>
      <w:r w:rsidRPr="003156E8">
        <w:rPr>
          <w:color w:val="000000"/>
          <w:shd w:val="clear" w:color="auto" w:fill="FFFFFF"/>
          <w:lang w:val="fr-FR"/>
        </w:rPr>
        <w:t>une image positive des personnes handicapées</w:t>
      </w:r>
      <w:r w:rsidR="00244AED" w:rsidRPr="00244AED">
        <w:rPr>
          <w:color w:val="000000"/>
          <w:shd w:val="clear" w:color="auto" w:fill="FFFFFF"/>
          <w:lang w:val="fr-FR"/>
        </w:rPr>
        <w:t>.</w:t>
      </w:r>
    </w:p>
    <w:p w14:paraId="6540F047" w14:textId="3D1D8539" w:rsidR="00F30B21" w:rsidRPr="003156E8" w:rsidRDefault="00F30B21" w:rsidP="00F30B21">
      <w:pPr>
        <w:pStyle w:val="SingleTxtG"/>
        <w:rPr>
          <w:color w:val="000000"/>
          <w:shd w:val="clear" w:color="auto" w:fill="FFFFFF"/>
          <w:lang w:val="fr-FR"/>
        </w:rPr>
      </w:pPr>
      <w:r w:rsidRPr="003156E8">
        <w:rPr>
          <w:color w:val="000000" w:themeColor="text1"/>
          <w:lang w:val="fr-FR"/>
        </w:rPr>
        <w:t>33</w:t>
      </w:r>
      <w:r w:rsidR="00244AED" w:rsidRPr="00244AED">
        <w:rPr>
          <w:color w:val="000000" w:themeColor="text1"/>
          <w:lang w:val="fr-FR"/>
        </w:rPr>
        <w:t>.</w:t>
      </w:r>
      <w:r w:rsidRPr="003156E8">
        <w:rPr>
          <w:color w:val="000000" w:themeColor="text1"/>
          <w:lang w:val="fr-FR"/>
        </w:rPr>
        <w:tab/>
      </w:r>
      <w:r>
        <w:rPr>
          <w:color w:val="000000"/>
          <w:shd w:val="clear" w:color="auto" w:fill="FFFFFF"/>
          <w:lang w:val="fr-FR"/>
        </w:rPr>
        <w:t>Le plan pour la Patrie prévoit l’obligation de</w:t>
      </w:r>
      <w:r w:rsidRPr="003156E8">
        <w:rPr>
          <w:color w:val="000000"/>
          <w:shd w:val="clear" w:color="auto" w:fill="FFFFFF"/>
          <w:lang w:val="fr-FR"/>
        </w:rPr>
        <w:t xml:space="preserve"> </w:t>
      </w:r>
      <w:r>
        <w:rPr>
          <w:color w:val="000000"/>
          <w:shd w:val="clear" w:color="auto" w:fill="FFFFFF"/>
          <w:lang w:val="fr-FR"/>
        </w:rPr>
        <w:t>tenir compte</w:t>
      </w:r>
      <w:r w:rsidRPr="003156E8">
        <w:rPr>
          <w:color w:val="000000"/>
          <w:shd w:val="clear" w:color="auto" w:fill="FFFFFF"/>
          <w:lang w:val="fr-FR"/>
        </w:rPr>
        <w:t xml:space="preserve"> d</w:t>
      </w:r>
      <w:r>
        <w:rPr>
          <w:color w:val="000000"/>
          <w:shd w:val="clear" w:color="auto" w:fill="FFFFFF"/>
          <w:lang w:val="fr-FR"/>
        </w:rPr>
        <w:t>e l’</w:t>
      </w:r>
      <w:r w:rsidRPr="003156E8">
        <w:rPr>
          <w:color w:val="000000"/>
          <w:shd w:val="clear" w:color="auto" w:fill="FFFFFF"/>
          <w:lang w:val="fr-FR"/>
        </w:rPr>
        <w:t>égalité femmes</w:t>
      </w:r>
      <w:r w:rsidR="00634F0C">
        <w:rPr>
          <w:color w:val="000000"/>
          <w:shd w:val="clear" w:color="auto" w:fill="FFFFFF"/>
          <w:lang w:val="fr-FR"/>
        </w:rPr>
        <w:noBreakHyphen/>
      </w:r>
      <w:r w:rsidRPr="003156E8">
        <w:rPr>
          <w:color w:val="000000"/>
          <w:shd w:val="clear" w:color="auto" w:fill="FFFFFF"/>
          <w:lang w:val="fr-FR"/>
        </w:rPr>
        <w:t>hommes dans les politiques publiques afin de garantir les droits des femmes et de favoriser la non-discrimination et la protection des groupes socialement vulnérables</w:t>
      </w:r>
      <w:r w:rsidR="00244AED" w:rsidRPr="00244AED">
        <w:rPr>
          <w:color w:val="000000"/>
          <w:shd w:val="clear" w:color="auto" w:fill="FFFFFF"/>
          <w:lang w:val="fr-FR"/>
        </w:rPr>
        <w:t>.</w:t>
      </w:r>
    </w:p>
    <w:p w14:paraId="074EBEA5" w14:textId="7BCE3B03" w:rsidR="00F30B21" w:rsidRPr="003156E8" w:rsidRDefault="00F30B21" w:rsidP="00F30B21">
      <w:pPr>
        <w:pStyle w:val="SingleTxtG"/>
        <w:rPr>
          <w:lang w:val="fr-FR"/>
        </w:rPr>
      </w:pPr>
      <w:r w:rsidRPr="003156E8">
        <w:rPr>
          <w:color w:val="000000" w:themeColor="text1"/>
          <w:lang w:val="fr-FR"/>
        </w:rPr>
        <w:t>34</w:t>
      </w:r>
      <w:r w:rsidR="00244AED" w:rsidRPr="00244AED">
        <w:rPr>
          <w:color w:val="000000" w:themeColor="text1"/>
          <w:lang w:val="fr-FR"/>
        </w:rPr>
        <w:t>.</w:t>
      </w:r>
      <w:r w:rsidRPr="003156E8">
        <w:rPr>
          <w:color w:val="000000" w:themeColor="text1"/>
          <w:lang w:val="fr-FR"/>
        </w:rPr>
        <w:tab/>
      </w:r>
      <w:r w:rsidRPr="003156E8">
        <w:rPr>
          <w:lang w:val="fr-FR"/>
        </w:rPr>
        <w:t>La République bolivarienne du Venezuela a pris diverses mesures pour faire connaître la Convention et son applicabilité sur le territoire national, parmi lesquelles il convient de citer l</w:t>
      </w:r>
      <w:r>
        <w:rPr>
          <w:lang w:val="fr-FR"/>
        </w:rPr>
        <w:t>’</w:t>
      </w:r>
      <w:r w:rsidRPr="003156E8">
        <w:rPr>
          <w:lang w:val="fr-FR"/>
        </w:rPr>
        <w:t>adoption du premier plan national en faveur des droits de l</w:t>
      </w:r>
      <w:r>
        <w:rPr>
          <w:lang w:val="fr-FR"/>
        </w:rPr>
        <w:t>’</w:t>
      </w:r>
      <w:r w:rsidRPr="003156E8">
        <w:rPr>
          <w:lang w:val="fr-FR"/>
        </w:rPr>
        <w:t>homme 2016-2019</w:t>
      </w:r>
      <w:r w:rsidRPr="00F30B21">
        <w:rPr>
          <w:rStyle w:val="Appelnotedebasdep"/>
        </w:rPr>
        <w:footnoteReference w:id="16"/>
      </w:r>
      <w:r w:rsidR="00244AED" w:rsidRPr="00244AED">
        <w:rPr>
          <w:lang w:val="fr-FR"/>
        </w:rPr>
        <w:t>.</w:t>
      </w:r>
      <w:r w:rsidRPr="003156E8">
        <w:rPr>
          <w:lang w:val="fr-FR"/>
        </w:rPr>
        <w:t xml:space="preserve"> Les projets, les acti</w:t>
      </w:r>
      <w:r>
        <w:rPr>
          <w:lang w:val="fr-FR"/>
        </w:rPr>
        <w:t xml:space="preserve">vités </w:t>
      </w:r>
      <w:r w:rsidRPr="003156E8">
        <w:rPr>
          <w:lang w:val="fr-FR"/>
        </w:rPr>
        <w:t>et les ressources nécessaires à sa mise en œuvre ont été prévus dans les plans d</w:t>
      </w:r>
      <w:r>
        <w:rPr>
          <w:lang w:val="fr-FR"/>
        </w:rPr>
        <w:t>’</w:t>
      </w:r>
      <w:r w:rsidRPr="003156E8">
        <w:rPr>
          <w:lang w:val="fr-FR"/>
        </w:rPr>
        <w:t>exécution institutionnels des autorités publiques</w:t>
      </w:r>
      <w:r w:rsidR="00244AED" w:rsidRPr="00244AED">
        <w:rPr>
          <w:lang w:val="fr-FR"/>
        </w:rPr>
        <w:t>.</w:t>
      </w:r>
    </w:p>
    <w:p w14:paraId="72F4742A" w14:textId="7239A9C2" w:rsidR="00F30B21" w:rsidRPr="003156E8" w:rsidRDefault="00F30B21" w:rsidP="00F30B21">
      <w:pPr>
        <w:pStyle w:val="SingleTxtG"/>
        <w:rPr>
          <w:lang w:val="fr-FR"/>
        </w:rPr>
      </w:pPr>
      <w:r w:rsidRPr="003156E8">
        <w:rPr>
          <w:color w:val="000000" w:themeColor="text1"/>
          <w:lang w:val="fr-FR"/>
        </w:rPr>
        <w:t>35</w:t>
      </w:r>
      <w:r w:rsidR="00244AED" w:rsidRPr="00244AED">
        <w:rPr>
          <w:color w:val="000000" w:themeColor="text1"/>
          <w:lang w:val="fr-FR"/>
        </w:rPr>
        <w:t>.</w:t>
      </w:r>
      <w:r w:rsidRPr="003156E8">
        <w:rPr>
          <w:color w:val="000000" w:themeColor="text1"/>
          <w:lang w:val="fr-FR"/>
        </w:rPr>
        <w:tab/>
      </w:r>
      <w:r w:rsidRPr="003156E8">
        <w:rPr>
          <w:lang w:val="fr-FR"/>
        </w:rPr>
        <w:t>Le plan national en faveur des droits de l</w:t>
      </w:r>
      <w:r>
        <w:rPr>
          <w:lang w:val="fr-FR"/>
        </w:rPr>
        <w:t>’</w:t>
      </w:r>
      <w:r w:rsidRPr="003156E8">
        <w:rPr>
          <w:lang w:val="fr-FR"/>
        </w:rPr>
        <w:t>homme a fait l</w:t>
      </w:r>
      <w:r>
        <w:rPr>
          <w:lang w:val="fr-FR"/>
        </w:rPr>
        <w:t>’</w:t>
      </w:r>
      <w:r w:rsidRPr="003156E8">
        <w:rPr>
          <w:lang w:val="fr-FR"/>
        </w:rPr>
        <w:t>objet d</w:t>
      </w:r>
      <w:r>
        <w:rPr>
          <w:lang w:val="fr-FR"/>
        </w:rPr>
        <w:t>’</w:t>
      </w:r>
      <w:r w:rsidRPr="003156E8">
        <w:rPr>
          <w:lang w:val="fr-FR"/>
        </w:rPr>
        <w:t>une consultation de grande envergure sur tout le territoire national, auprès de 258 096 personnes</w:t>
      </w:r>
      <w:r w:rsidR="00244AED" w:rsidRPr="00244AED">
        <w:rPr>
          <w:lang w:val="fr-FR"/>
        </w:rPr>
        <w:t>.</w:t>
      </w:r>
      <w:r w:rsidRPr="003156E8">
        <w:rPr>
          <w:lang w:val="fr-FR"/>
        </w:rPr>
        <w:t xml:space="preserve"> Des espaces spécifiques ont été prévus pour la participation des peuples autochtones, des communautés d</w:t>
      </w:r>
      <w:r>
        <w:rPr>
          <w:lang w:val="fr-FR"/>
        </w:rPr>
        <w:t>’</w:t>
      </w:r>
      <w:r w:rsidRPr="003156E8">
        <w:rPr>
          <w:lang w:val="fr-FR"/>
        </w:rPr>
        <w:t>ascendance africaine, des femmes et des personnes ayant besoin d</w:t>
      </w:r>
      <w:r>
        <w:rPr>
          <w:lang w:val="fr-FR"/>
        </w:rPr>
        <w:t>’</w:t>
      </w:r>
      <w:r w:rsidRPr="003156E8">
        <w:rPr>
          <w:lang w:val="fr-FR"/>
        </w:rPr>
        <w:t>une protection internationale</w:t>
      </w:r>
      <w:r w:rsidR="00244AED" w:rsidRPr="00244AED">
        <w:rPr>
          <w:lang w:val="fr-FR"/>
        </w:rPr>
        <w:t>.</w:t>
      </w:r>
      <w:r w:rsidRPr="003156E8">
        <w:rPr>
          <w:lang w:val="fr-FR"/>
        </w:rPr>
        <w:t xml:space="preserve"> Les programmes et les organismes des Nations Unies en activité au Venezuela ont fourni un soutien et une assistance technique pour l</w:t>
      </w:r>
      <w:r>
        <w:rPr>
          <w:lang w:val="fr-FR"/>
        </w:rPr>
        <w:t>’</w:t>
      </w:r>
      <w:r w:rsidRPr="003156E8">
        <w:rPr>
          <w:lang w:val="fr-FR"/>
        </w:rPr>
        <w:t>organisation de ces consultations</w:t>
      </w:r>
      <w:r w:rsidR="00244AED" w:rsidRPr="00244AED">
        <w:rPr>
          <w:lang w:val="fr-FR"/>
        </w:rPr>
        <w:t>.</w:t>
      </w:r>
      <w:r w:rsidRPr="003156E8">
        <w:rPr>
          <w:lang w:val="fr-FR"/>
        </w:rPr>
        <w:t xml:space="preserve"> L</w:t>
      </w:r>
      <w:r>
        <w:rPr>
          <w:lang w:val="fr-FR"/>
        </w:rPr>
        <w:t>’</w:t>
      </w:r>
      <w:r w:rsidRPr="003156E8">
        <w:rPr>
          <w:lang w:val="fr-FR"/>
        </w:rPr>
        <w:t>un des axes structurants du plan porte sur les relations avec les organismes internationaux de défense des droits de l</w:t>
      </w:r>
      <w:r>
        <w:rPr>
          <w:lang w:val="fr-FR"/>
        </w:rPr>
        <w:t>’</w:t>
      </w:r>
      <w:r w:rsidRPr="003156E8">
        <w:rPr>
          <w:lang w:val="fr-FR"/>
        </w:rPr>
        <w:t>homme et inclut les mesures programmatiques suivantes : i)</w:t>
      </w:r>
      <w:r w:rsidR="00BC7455">
        <w:rPr>
          <w:lang w:val="fr-FR"/>
        </w:rPr>
        <w:t> </w:t>
      </w:r>
      <w:r w:rsidRPr="003156E8">
        <w:rPr>
          <w:lang w:val="fr-FR"/>
        </w:rPr>
        <w:t>sensibiliser, notamment les acteurs du système judiciaire et autres entités chargées de son application, au contenu des droits reconnus dans les traités internationaux relatifs aux droits de l</w:t>
      </w:r>
      <w:r>
        <w:rPr>
          <w:lang w:val="fr-FR"/>
        </w:rPr>
        <w:t>’</w:t>
      </w:r>
      <w:r w:rsidRPr="003156E8">
        <w:rPr>
          <w:lang w:val="fr-FR"/>
        </w:rPr>
        <w:t>homme et à la possibilité d</w:t>
      </w:r>
      <w:r>
        <w:rPr>
          <w:lang w:val="fr-FR"/>
        </w:rPr>
        <w:t>’</w:t>
      </w:r>
      <w:r w:rsidRPr="003156E8">
        <w:rPr>
          <w:lang w:val="fr-FR"/>
        </w:rPr>
        <w:t>invoquer ces traités devant les tribunaux ; et ii) diffuser largement les instruments internationaux relatifs aux droits de l</w:t>
      </w:r>
      <w:r>
        <w:rPr>
          <w:lang w:val="fr-FR"/>
        </w:rPr>
        <w:t>’</w:t>
      </w:r>
      <w:r w:rsidRPr="003156E8">
        <w:rPr>
          <w:lang w:val="fr-FR"/>
        </w:rPr>
        <w:t>homme signés par la République bolivarienne du Venezuela, ainsi que les recommandations formulées par le système des Nations Unies, y compris en les publiant dans des formats accessibles, comme le braille et les enregistrements audio</w:t>
      </w:r>
      <w:r w:rsidR="00244AED" w:rsidRPr="00244AED">
        <w:rPr>
          <w:lang w:val="fr-FR"/>
        </w:rPr>
        <w:t>.</w:t>
      </w:r>
    </w:p>
    <w:p w14:paraId="27196040" w14:textId="1C70B4BF" w:rsidR="00F30B21" w:rsidRPr="003156E8" w:rsidRDefault="00F30B21" w:rsidP="00F30B21">
      <w:pPr>
        <w:pStyle w:val="SingleTxtG"/>
        <w:rPr>
          <w:lang w:val="fr-FR"/>
        </w:rPr>
      </w:pPr>
      <w:r w:rsidRPr="003156E8">
        <w:rPr>
          <w:color w:val="000000" w:themeColor="text1"/>
          <w:lang w:val="fr-FR"/>
        </w:rPr>
        <w:t>36</w:t>
      </w:r>
      <w:r w:rsidR="00244AED" w:rsidRPr="00244AED">
        <w:rPr>
          <w:color w:val="000000" w:themeColor="text1"/>
          <w:lang w:val="fr-FR"/>
        </w:rPr>
        <w:t>.</w:t>
      </w:r>
      <w:r w:rsidRPr="003156E8">
        <w:rPr>
          <w:color w:val="000000" w:themeColor="text1"/>
          <w:lang w:val="fr-FR"/>
        </w:rPr>
        <w:tab/>
      </w:r>
      <w:r w:rsidRPr="003156E8">
        <w:rPr>
          <w:lang w:val="fr-FR"/>
        </w:rPr>
        <w:t>Dans le cadre du plan national en faveur des droits de l</w:t>
      </w:r>
      <w:r>
        <w:rPr>
          <w:lang w:val="fr-FR"/>
        </w:rPr>
        <w:t>’</w:t>
      </w:r>
      <w:r w:rsidRPr="003156E8">
        <w:rPr>
          <w:lang w:val="fr-FR"/>
        </w:rPr>
        <w:t>homme, les institutions de l</w:t>
      </w:r>
      <w:r>
        <w:rPr>
          <w:lang w:val="fr-FR"/>
        </w:rPr>
        <w:t>’</w:t>
      </w:r>
      <w:r w:rsidRPr="003156E8">
        <w:rPr>
          <w:lang w:val="fr-FR"/>
        </w:rPr>
        <w:t>État ont organisé, à l</w:t>
      </w:r>
      <w:r>
        <w:rPr>
          <w:lang w:val="fr-FR"/>
        </w:rPr>
        <w:t>’</w:t>
      </w:r>
      <w:r w:rsidRPr="003156E8">
        <w:rPr>
          <w:lang w:val="fr-FR"/>
        </w:rPr>
        <w:t>intention des agents de la fonction publique, plus de 1 290 forums, ateliers et activités de formation et de renforcement des capacités sur les droits de l</w:t>
      </w:r>
      <w:r>
        <w:rPr>
          <w:lang w:val="fr-FR"/>
        </w:rPr>
        <w:t>’</w:t>
      </w:r>
      <w:r w:rsidRPr="003156E8">
        <w:rPr>
          <w:lang w:val="fr-FR"/>
        </w:rPr>
        <w:t>homme et la Convention</w:t>
      </w:r>
      <w:r w:rsidR="00244AED" w:rsidRPr="00244AED">
        <w:rPr>
          <w:lang w:val="fr-FR"/>
        </w:rPr>
        <w:t>.</w:t>
      </w:r>
      <w:r w:rsidRPr="003156E8">
        <w:rPr>
          <w:lang w:val="fr-FR"/>
        </w:rPr>
        <w:t xml:space="preserve"> Plus de 82 800 personnes, dont des fonctionnaires, des agents des services judiciaires, des policiers, des militaires et des juges, y ont participé</w:t>
      </w:r>
      <w:r w:rsidR="00244AED" w:rsidRPr="00244AED">
        <w:rPr>
          <w:lang w:val="fr-FR"/>
        </w:rPr>
        <w:t>.</w:t>
      </w:r>
    </w:p>
    <w:p w14:paraId="138E4DCC" w14:textId="42C6DD13" w:rsidR="00F30B21" w:rsidRPr="003156E8" w:rsidRDefault="00F30B21" w:rsidP="00F30B21">
      <w:pPr>
        <w:pStyle w:val="SingleTxtG"/>
        <w:rPr>
          <w:lang w:val="fr-FR"/>
        </w:rPr>
      </w:pPr>
      <w:r w:rsidRPr="003156E8">
        <w:rPr>
          <w:color w:val="000000" w:themeColor="text1"/>
          <w:lang w:val="fr-FR"/>
        </w:rPr>
        <w:t>37</w:t>
      </w:r>
      <w:r w:rsidR="00244AED" w:rsidRPr="00244AED">
        <w:rPr>
          <w:color w:val="000000" w:themeColor="text1"/>
          <w:lang w:val="fr-FR"/>
        </w:rPr>
        <w:t>.</w:t>
      </w:r>
      <w:r w:rsidRPr="003156E8">
        <w:rPr>
          <w:color w:val="000000" w:themeColor="text1"/>
          <w:lang w:val="fr-FR"/>
        </w:rPr>
        <w:tab/>
        <w:t>L</w:t>
      </w:r>
      <w:r>
        <w:rPr>
          <w:color w:val="000000" w:themeColor="text1"/>
          <w:lang w:val="fr-FR"/>
        </w:rPr>
        <w:t>’</w:t>
      </w:r>
      <w:r w:rsidRPr="003156E8">
        <w:rPr>
          <w:color w:val="000000" w:themeColor="text1"/>
          <w:lang w:val="fr-FR"/>
        </w:rPr>
        <w:t>Institut national de lutte contre la discrimination raciale élabore et met en œuvre des programmes, des plans, des projets et des activités de sensibilisation, de formation, d</w:t>
      </w:r>
      <w:r>
        <w:rPr>
          <w:color w:val="000000" w:themeColor="text1"/>
          <w:lang w:val="fr-FR"/>
        </w:rPr>
        <w:t>’</w:t>
      </w:r>
      <w:r w:rsidRPr="003156E8">
        <w:rPr>
          <w:color w:val="000000" w:themeColor="text1"/>
          <w:lang w:val="fr-FR"/>
        </w:rPr>
        <w:t xml:space="preserve">information et de diffusion visant à prévenir la discrimination raciale au sein du grand </w:t>
      </w:r>
      <w:r w:rsidRPr="003156E8">
        <w:rPr>
          <w:color w:val="000000" w:themeColor="text1"/>
          <w:lang w:val="fr-FR"/>
        </w:rPr>
        <w:lastRenderedPageBreak/>
        <w:t>public</w:t>
      </w:r>
      <w:r w:rsidR="00244AED" w:rsidRPr="00244AED">
        <w:rPr>
          <w:color w:val="000000" w:themeColor="text1"/>
          <w:lang w:val="fr-FR"/>
        </w:rPr>
        <w:t>.</w:t>
      </w:r>
      <w:r w:rsidRPr="003156E8">
        <w:rPr>
          <w:color w:val="000000" w:themeColor="text1"/>
          <w:lang w:val="fr-FR"/>
        </w:rPr>
        <w:t xml:space="preserve"> Il convient notamment de citer </w:t>
      </w:r>
      <w:r>
        <w:rPr>
          <w:color w:val="000000" w:themeColor="text1"/>
          <w:lang w:val="fr-FR"/>
        </w:rPr>
        <w:t xml:space="preserve">la </w:t>
      </w:r>
      <w:r w:rsidRPr="003156E8">
        <w:rPr>
          <w:color w:val="000000" w:themeColor="text1"/>
          <w:lang w:val="fr-FR"/>
        </w:rPr>
        <w:t>mis</w:t>
      </w:r>
      <w:r>
        <w:rPr>
          <w:color w:val="000000" w:themeColor="text1"/>
          <w:lang w:val="fr-FR"/>
        </w:rPr>
        <w:t>e</w:t>
      </w:r>
      <w:r w:rsidRPr="003156E8">
        <w:rPr>
          <w:color w:val="000000" w:themeColor="text1"/>
          <w:lang w:val="fr-FR"/>
        </w:rPr>
        <w:t xml:space="preserve"> en œuvre</w:t>
      </w:r>
      <w:r>
        <w:rPr>
          <w:color w:val="000000" w:themeColor="text1"/>
          <w:lang w:val="fr-FR"/>
        </w:rPr>
        <w:t>,</w:t>
      </w:r>
      <w:r w:rsidRPr="003156E8">
        <w:rPr>
          <w:color w:val="000000" w:themeColor="text1"/>
          <w:lang w:val="fr-FR"/>
        </w:rPr>
        <w:t xml:space="preserve"> dans divers établissements d</w:t>
      </w:r>
      <w:r>
        <w:rPr>
          <w:color w:val="000000" w:themeColor="text1"/>
          <w:lang w:val="fr-FR"/>
        </w:rPr>
        <w:t>’</w:t>
      </w:r>
      <w:r w:rsidRPr="003156E8">
        <w:rPr>
          <w:color w:val="000000" w:themeColor="text1"/>
          <w:lang w:val="fr-FR"/>
        </w:rPr>
        <w:t>enseignement</w:t>
      </w:r>
      <w:r>
        <w:rPr>
          <w:color w:val="000000" w:themeColor="text1"/>
          <w:lang w:val="fr-FR"/>
        </w:rPr>
        <w:t>, du</w:t>
      </w:r>
      <w:r w:rsidRPr="003156E8">
        <w:rPr>
          <w:color w:val="000000" w:themeColor="text1"/>
          <w:lang w:val="fr-FR"/>
        </w:rPr>
        <w:t xml:space="preserve"> plan stratégique </w:t>
      </w:r>
      <w:r>
        <w:rPr>
          <w:color w:val="000000" w:themeColor="text1"/>
          <w:lang w:val="fr-FR"/>
        </w:rPr>
        <w:t xml:space="preserve">de </w:t>
      </w:r>
      <w:r w:rsidRPr="003156E8">
        <w:rPr>
          <w:color w:val="000000" w:themeColor="text1"/>
          <w:lang w:val="fr-FR"/>
        </w:rPr>
        <w:t xml:space="preserve">prévention globale </w:t>
      </w:r>
      <w:proofErr w:type="spellStart"/>
      <w:r w:rsidRPr="003156E8">
        <w:rPr>
          <w:i/>
          <w:iCs/>
          <w:color w:val="000000" w:themeColor="text1"/>
          <w:lang w:val="fr-FR"/>
        </w:rPr>
        <w:t>Ruta</w:t>
      </w:r>
      <w:proofErr w:type="spellEnd"/>
      <w:r w:rsidRPr="003156E8">
        <w:rPr>
          <w:i/>
          <w:iCs/>
          <w:color w:val="000000" w:themeColor="text1"/>
          <w:lang w:val="fr-FR"/>
        </w:rPr>
        <w:t xml:space="preserve"> </w:t>
      </w:r>
      <w:proofErr w:type="spellStart"/>
      <w:r w:rsidRPr="003156E8">
        <w:rPr>
          <w:i/>
          <w:iCs/>
          <w:color w:val="000000" w:themeColor="text1"/>
          <w:lang w:val="fr-FR"/>
        </w:rPr>
        <w:t>del</w:t>
      </w:r>
      <w:proofErr w:type="spellEnd"/>
      <w:r w:rsidRPr="003156E8">
        <w:rPr>
          <w:i/>
          <w:iCs/>
          <w:color w:val="000000" w:themeColor="text1"/>
          <w:lang w:val="fr-FR"/>
        </w:rPr>
        <w:t xml:space="preserve"> </w:t>
      </w:r>
      <w:proofErr w:type="spellStart"/>
      <w:r w:rsidRPr="003156E8">
        <w:rPr>
          <w:i/>
          <w:iCs/>
          <w:color w:val="000000" w:themeColor="text1"/>
          <w:lang w:val="fr-FR"/>
        </w:rPr>
        <w:t>Tambor</w:t>
      </w:r>
      <w:proofErr w:type="spellEnd"/>
      <w:r w:rsidRPr="003156E8">
        <w:rPr>
          <w:color w:val="000000" w:themeColor="text1"/>
          <w:lang w:val="fr-FR"/>
        </w:rPr>
        <w:t xml:space="preserve"> (</w:t>
      </w:r>
      <w:r>
        <w:rPr>
          <w:color w:val="000000" w:themeColor="text1"/>
          <w:lang w:val="fr-FR"/>
        </w:rPr>
        <w:t>r</w:t>
      </w:r>
      <w:r w:rsidRPr="003156E8">
        <w:rPr>
          <w:color w:val="000000" w:themeColor="text1"/>
          <w:lang w:val="fr-FR"/>
        </w:rPr>
        <w:t>oute du tambour)</w:t>
      </w:r>
      <w:r>
        <w:rPr>
          <w:color w:val="000000" w:themeColor="text1"/>
          <w:lang w:val="fr-FR"/>
        </w:rPr>
        <w:t xml:space="preserve"> </w:t>
      </w:r>
      <w:r w:rsidRPr="003156E8">
        <w:rPr>
          <w:color w:val="000000" w:themeColor="text1"/>
          <w:lang w:val="fr-FR"/>
        </w:rPr>
        <w:t xml:space="preserve">pour la promotion des traditions afro-vénézuéliennes, </w:t>
      </w:r>
      <w:r>
        <w:rPr>
          <w:color w:val="000000" w:themeColor="text1"/>
          <w:lang w:val="fr-FR"/>
        </w:rPr>
        <w:t xml:space="preserve">qui sont des </w:t>
      </w:r>
      <w:r w:rsidRPr="003156E8">
        <w:rPr>
          <w:color w:val="000000" w:themeColor="text1"/>
          <w:lang w:val="fr-FR"/>
        </w:rPr>
        <w:t>principes transversaux de la lutte culturelle pour une éthique anticoloniale</w:t>
      </w:r>
      <w:r w:rsidR="00244AED" w:rsidRPr="00244AED">
        <w:rPr>
          <w:color w:val="000000" w:themeColor="text1"/>
          <w:lang w:val="fr-FR"/>
        </w:rPr>
        <w:t>.</w:t>
      </w:r>
    </w:p>
    <w:p w14:paraId="554B36B7" w14:textId="6FEEA18E" w:rsidR="00F30B21" w:rsidRPr="003156E8" w:rsidRDefault="00F30B21" w:rsidP="00F30B21">
      <w:pPr>
        <w:pStyle w:val="SingleTxtG"/>
        <w:rPr>
          <w:lang w:val="fr-FR"/>
        </w:rPr>
      </w:pPr>
      <w:r w:rsidRPr="003156E8">
        <w:rPr>
          <w:color w:val="000000" w:themeColor="text1"/>
          <w:lang w:val="fr-FR"/>
        </w:rPr>
        <w:t>38</w:t>
      </w:r>
      <w:r w:rsidR="00244AED" w:rsidRPr="00244AED">
        <w:rPr>
          <w:color w:val="000000" w:themeColor="text1"/>
          <w:lang w:val="fr-FR"/>
        </w:rPr>
        <w:t>.</w:t>
      </w:r>
      <w:r w:rsidRPr="003156E8">
        <w:rPr>
          <w:color w:val="000000" w:themeColor="text1"/>
          <w:lang w:val="fr-FR"/>
        </w:rPr>
        <w:tab/>
      </w:r>
      <w:r w:rsidRPr="003156E8">
        <w:rPr>
          <w:lang w:val="fr-FR"/>
        </w:rPr>
        <w:t>Dans le cadre de la stratégie de communication visant à promouvoir le respect des droits de l</w:t>
      </w:r>
      <w:r>
        <w:rPr>
          <w:lang w:val="fr-FR"/>
        </w:rPr>
        <w:t>’</w:t>
      </w:r>
      <w:r w:rsidRPr="003156E8">
        <w:rPr>
          <w:lang w:val="fr-FR"/>
        </w:rPr>
        <w:t>homme et l</w:t>
      </w:r>
      <w:r>
        <w:rPr>
          <w:lang w:val="fr-FR"/>
        </w:rPr>
        <w:t>’</w:t>
      </w:r>
      <w:r w:rsidRPr="003156E8">
        <w:rPr>
          <w:lang w:val="fr-FR"/>
        </w:rPr>
        <w:t>élimination de toutes les formes de discrimination, l</w:t>
      </w:r>
      <w:r>
        <w:rPr>
          <w:lang w:val="fr-FR"/>
        </w:rPr>
        <w:t>’</w:t>
      </w:r>
      <w:r w:rsidRPr="003156E8">
        <w:rPr>
          <w:lang w:val="fr-FR"/>
        </w:rPr>
        <w:t>Institut national de lutte contre la discrimination raciale a apporté son soutien aux institutions, publiques et privées, de tout le pays sur les questions liées aux principes établis par la loi organique contre la discrimination raciale</w:t>
      </w:r>
      <w:r w:rsidR="00244AED" w:rsidRPr="00244AED">
        <w:rPr>
          <w:lang w:val="fr-FR"/>
        </w:rPr>
        <w:t>.</w:t>
      </w:r>
      <w:r w:rsidRPr="003156E8">
        <w:rPr>
          <w:lang w:val="fr-FR"/>
        </w:rPr>
        <w:t xml:space="preserve"> En juillet 2019, il a approuvé la procédure de mise en place des comités de lutte contre la discrimination raciale</w:t>
      </w:r>
      <w:r w:rsidRPr="00F30B21">
        <w:rPr>
          <w:rStyle w:val="Appelnotedebasdep"/>
        </w:rPr>
        <w:footnoteReference w:id="17"/>
      </w:r>
      <w:r w:rsidR="00244AED" w:rsidRPr="00244AED">
        <w:rPr>
          <w:lang w:val="fr-FR"/>
        </w:rPr>
        <w:t>.</w:t>
      </w:r>
      <w:r w:rsidRPr="003156E8">
        <w:rPr>
          <w:lang w:val="fr-FR"/>
        </w:rPr>
        <w:t xml:space="preserve"> Ces comités sont des instances de participation pleine et active des citoyens</w:t>
      </w:r>
      <w:r>
        <w:rPr>
          <w:lang w:val="fr-FR"/>
        </w:rPr>
        <w:t>,</w:t>
      </w:r>
      <w:r w:rsidRPr="003156E8">
        <w:rPr>
          <w:lang w:val="fr-FR"/>
        </w:rPr>
        <w:t xml:space="preserve"> </w:t>
      </w:r>
      <w:r>
        <w:rPr>
          <w:lang w:val="fr-FR"/>
        </w:rPr>
        <w:t>dont le</w:t>
      </w:r>
      <w:r w:rsidRPr="003156E8">
        <w:rPr>
          <w:lang w:val="fr-FR"/>
        </w:rPr>
        <w:t xml:space="preserve"> but </w:t>
      </w:r>
      <w:r>
        <w:rPr>
          <w:lang w:val="fr-FR"/>
        </w:rPr>
        <w:t xml:space="preserve">est </w:t>
      </w:r>
      <w:r w:rsidRPr="003156E8">
        <w:rPr>
          <w:lang w:val="fr-FR"/>
        </w:rPr>
        <w:t>d</w:t>
      </w:r>
      <w:r>
        <w:rPr>
          <w:lang w:val="fr-FR"/>
        </w:rPr>
        <w:t>’</w:t>
      </w:r>
      <w:r w:rsidRPr="003156E8">
        <w:rPr>
          <w:lang w:val="fr-FR"/>
        </w:rPr>
        <w:t>établir une coopération avec les institutions de l</w:t>
      </w:r>
      <w:r>
        <w:rPr>
          <w:lang w:val="fr-FR"/>
        </w:rPr>
        <w:t>’</w:t>
      </w:r>
      <w:r w:rsidRPr="003156E8">
        <w:rPr>
          <w:lang w:val="fr-FR"/>
        </w:rPr>
        <w:t>État compétentes en la matière pour prendre en charge, prévenir et éliminer la discrimination raciale, le racisme, l</w:t>
      </w:r>
      <w:r>
        <w:rPr>
          <w:lang w:val="fr-FR"/>
        </w:rPr>
        <w:t>’</w:t>
      </w:r>
      <w:proofErr w:type="spellStart"/>
      <w:r w:rsidRPr="003156E8">
        <w:rPr>
          <w:lang w:val="fr-FR"/>
        </w:rPr>
        <w:t>endoracisme</w:t>
      </w:r>
      <w:proofErr w:type="spellEnd"/>
      <w:r w:rsidRPr="003156E8">
        <w:rPr>
          <w:lang w:val="fr-FR"/>
        </w:rPr>
        <w:t xml:space="preserve"> et la xénophobie, en mettant en place des mécanismes de coordination et de suivi</w:t>
      </w:r>
      <w:r w:rsidR="00244AED" w:rsidRPr="00244AED">
        <w:rPr>
          <w:lang w:val="fr-FR"/>
        </w:rPr>
        <w:t>.</w:t>
      </w:r>
    </w:p>
    <w:p w14:paraId="417EFFBE" w14:textId="47726C07" w:rsidR="00F30B21" w:rsidRPr="003156E8" w:rsidRDefault="00F30B21" w:rsidP="00F30B21">
      <w:pPr>
        <w:pStyle w:val="SingleTxtG"/>
        <w:rPr>
          <w:lang w:val="fr-FR"/>
        </w:rPr>
      </w:pPr>
      <w:r w:rsidRPr="003156E8">
        <w:rPr>
          <w:color w:val="000000" w:themeColor="text1"/>
          <w:lang w:val="fr-FR"/>
        </w:rPr>
        <w:t>39</w:t>
      </w:r>
      <w:r w:rsidR="00244AED" w:rsidRPr="00244AED">
        <w:rPr>
          <w:color w:val="000000" w:themeColor="text1"/>
          <w:lang w:val="fr-FR"/>
        </w:rPr>
        <w:t>.</w:t>
      </w:r>
      <w:r w:rsidRPr="003156E8">
        <w:rPr>
          <w:color w:val="000000" w:themeColor="text1"/>
          <w:lang w:val="fr-FR"/>
        </w:rPr>
        <w:tab/>
      </w:r>
      <w:r w:rsidRPr="003156E8">
        <w:rPr>
          <w:lang w:val="fr-FR"/>
        </w:rPr>
        <w:t>Afin de garantir le droit d</w:t>
      </w:r>
      <w:r>
        <w:rPr>
          <w:lang w:val="fr-FR"/>
        </w:rPr>
        <w:t>’</w:t>
      </w:r>
      <w:r w:rsidRPr="003156E8">
        <w:rPr>
          <w:lang w:val="fr-FR"/>
        </w:rPr>
        <w:t>accès, sans discrimination aucune, à tous les lieux et services accueillant du public, l</w:t>
      </w:r>
      <w:r>
        <w:rPr>
          <w:lang w:val="fr-FR"/>
        </w:rPr>
        <w:t>’</w:t>
      </w:r>
      <w:r w:rsidRPr="003156E8">
        <w:rPr>
          <w:lang w:val="fr-FR"/>
        </w:rPr>
        <w:t>Institut national de lutte contre la discrimination raciale contrôle en permanence les locaux commerciaux, publics et privés, pour vérifier qu</w:t>
      </w:r>
      <w:r>
        <w:rPr>
          <w:lang w:val="fr-FR"/>
        </w:rPr>
        <w:t>’</w:t>
      </w:r>
      <w:r w:rsidRPr="003156E8">
        <w:rPr>
          <w:lang w:val="fr-FR"/>
        </w:rPr>
        <w:t>ils respectent les dispositions de la loi organique contre la discrimination raciale</w:t>
      </w:r>
      <w:r w:rsidR="00244AED" w:rsidRPr="00244AED">
        <w:rPr>
          <w:lang w:val="fr-FR"/>
        </w:rPr>
        <w:t>.</w:t>
      </w:r>
      <w:r w:rsidRPr="003156E8">
        <w:rPr>
          <w:lang w:val="fr-FR"/>
        </w:rPr>
        <w:t xml:space="preserve"> En juillet 2018, il a publié les règles concernant l</w:t>
      </w:r>
      <w:r>
        <w:rPr>
          <w:lang w:val="fr-FR"/>
        </w:rPr>
        <w:t>’</w:t>
      </w:r>
      <w:r w:rsidRPr="003156E8">
        <w:rPr>
          <w:lang w:val="fr-FR"/>
        </w:rPr>
        <w:t>affichage d</w:t>
      </w:r>
      <w:r>
        <w:rPr>
          <w:lang w:val="fr-FR"/>
        </w:rPr>
        <w:t>’</w:t>
      </w:r>
      <w:r w:rsidRPr="003156E8">
        <w:rPr>
          <w:lang w:val="fr-FR"/>
        </w:rPr>
        <w:t>une pancarte indiquant que tout acte de discrimination raciale est interdit sur le territoire national</w:t>
      </w:r>
      <w:r w:rsidRPr="00F30B21">
        <w:rPr>
          <w:rStyle w:val="Appelnotedebasdep"/>
        </w:rPr>
        <w:footnoteReference w:id="18"/>
      </w:r>
      <w:r w:rsidR="00244AED" w:rsidRPr="00244AED">
        <w:rPr>
          <w:lang w:val="fr-FR"/>
        </w:rPr>
        <w:t>.</w:t>
      </w:r>
      <w:r w:rsidRPr="003156E8">
        <w:rPr>
          <w:lang w:val="fr-FR"/>
        </w:rPr>
        <w:t xml:space="preserve"> Conformément aux dispositions de l</w:t>
      </w:r>
      <w:r>
        <w:rPr>
          <w:lang w:val="fr-FR"/>
        </w:rPr>
        <w:t>’</w:t>
      </w:r>
      <w:r w:rsidRPr="003156E8">
        <w:rPr>
          <w:lang w:val="fr-FR"/>
        </w:rPr>
        <w:t>article 20 de la loi organique contre la discrimination raciale, cette pancarte doit être affichée dans les locaux commerciaux, les lieux de divertissement, les salles de spectacle, les bars, les restaurants et, d</w:t>
      </w:r>
      <w:r>
        <w:rPr>
          <w:lang w:val="fr-FR"/>
        </w:rPr>
        <w:t>’</w:t>
      </w:r>
      <w:r w:rsidRPr="003156E8">
        <w:rPr>
          <w:lang w:val="fr-FR"/>
        </w:rPr>
        <w:t>une manière générale, dans tous les établissements, publics ou privés, qui accueillent du public</w:t>
      </w:r>
      <w:r w:rsidR="00244AED" w:rsidRPr="00244AED">
        <w:rPr>
          <w:lang w:val="fr-FR"/>
        </w:rPr>
        <w:t>.</w:t>
      </w:r>
    </w:p>
    <w:p w14:paraId="40260021" w14:textId="62A8EB01" w:rsidR="00F30B21" w:rsidRPr="003156E8" w:rsidRDefault="00F30B21" w:rsidP="00F30B21">
      <w:pPr>
        <w:pStyle w:val="SingleTxtG"/>
        <w:rPr>
          <w:lang w:val="fr-FR"/>
        </w:rPr>
      </w:pPr>
      <w:r w:rsidRPr="003156E8">
        <w:rPr>
          <w:color w:val="000000" w:themeColor="text1"/>
          <w:lang w:val="fr-FR"/>
        </w:rPr>
        <w:t>40</w:t>
      </w:r>
      <w:r w:rsidR="00244AED" w:rsidRPr="00244AED">
        <w:rPr>
          <w:color w:val="000000" w:themeColor="text1"/>
          <w:lang w:val="fr-FR"/>
        </w:rPr>
        <w:t>.</w:t>
      </w:r>
      <w:r w:rsidRPr="003156E8">
        <w:rPr>
          <w:color w:val="000000" w:themeColor="text1"/>
          <w:lang w:val="fr-FR"/>
        </w:rPr>
        <w:tab/>
      </w:r>
      <w:r w:rsidRPr="003156E8">
        <w:rPr>
          <w:lang w:val="fr-FR"/>
        </w:rPr>
        <w:t xml:space="preserve">Dans le cadre des politiques visant à promouvoir la participation sociale en matière de lutte contre la discrimination raciale, le </w:t>
      </w:r>
      <w:r>
        <w:rPr>
          <w:lang w:val="fr-FR"/>
        </w:rPr>
        <w:t>C</w:t>
      </w:r>
      <w:r w:rsidRPr="003156E8">
        <w:rPr>
          <w:lang w:val="fr-FR"/>
        </w:rPr>
        <w:t>ongrès de la Patrie a mis en place une commission représentant la population d</w:t>
      </w:r>
      <w:r>
        <w:rPr>
          <w:lang w:val="fr-FR"/>
        </w:rPr>
        <w:t>’</w:t>
      </w:r>
      <w:r w:rsidRPr="003156E8">
        <w:rPr>
          <w:lang w:val="fr-FR"/>
        </w:rPr>
        <w:t>ascendance africaine en 2016</w:t>
      </w:r>
      <w:r w:rsidR="00244AED" w:rsidRPr="00244AED">
        <w:rPr>
          <w:lang w:val="fr-FR"/>
        </w:rPr>
        <w:t>.</w:t>
      </w:r>
      <w:r>
        <w:rPr>
          <w:lang w:val="fr-FR"/>
        </w:rPr>
        <w:t xml:space="preserve"> L’objectif est de</w:t>
      </w:r>
      <w:r w:rsidRPr="003156E8">
        <w:rPr>
          <w:lang w:val="fr-FR"/>
        </w:rPr>
        <w:t xml:space="preserve"> créer un espace de dialogue et d</w:t>
      </w:r>
      <w:r>
        <w:rPr>
          <w:lang w:val="fr-FR"/>
        </w:rPr>
        <w:t>’</w:t>
      </w:r>
      <w:r w:rsidRPr="003156E8">
        <w:rPr>
          <w:lang w:val="fr-FR"/>
        </w:rPr>
        <w:t>échange sur les mesures destinées à promouvoir la reconnaissance des personnes d</w:t>
      </w:r>
      <w:r>
        <w:rPr>
          <w:lang w:val="fr-FR"/>
        </w:rPr>
        <w:t>’</w:t>
      </w:r>
      <w:r w:rsidRPr="003156E8">
        <w:rPr>
          <w:lang w:val="fr-FR"/>
        </w:rPr>
        <w:t>ascendance africaine, à revaloriser leur identité et à lutter contre le racisme, l</w:t>
      </w:r>
      <w:r>
        <w:rPr>
          <w:lang w:val="fr-FR"/>
        </w:rPr>
        <w:t>’</w:t>
      </w:r>
      <w:proofErr w:type="spellStart"/>
      <w:r w:rsidRPr="003156E8">
        <w:rPr>
          <w:lang w:val="fr-FR"/>
        </w:rPr>
        <w:t>endoracisme</w:t>
      </w:r>
      <w:proofErr w:type="spellEnd"/>
      <w:r w:rsidRPr="003156E8">
        <w:rPr>
          <w:lang w:val="fr-FR"/>
        </w:rPr>
        <w:t>, la discrimination raciale, la xénophobie et les autres formes d</w:t>
      </w:r>
      <w:r>
        <w:rPr>
          <w:lang w:val="fr-FR"/>
        </w:rPr>
        <w:t>’</w:t>
      </w:r>
      <w:r w:rsidRPr="003156E8">
        <w:rPr>
          <w:lang w:val="fr-FR"/>
        </w:rPr>
        <w:t xml:space="preserve">intolérance qui y sont associées, en accord avec le principe de </w:t>
      </w:r>
      <w:proofErr w:type="spellStart"/>
      <w:r w:rsidRPr="003156E8">
        <w:rPr>
          <w:lang w:val="fr-FR"/>
        </w:rPr>
        <w:t>multiculturalité</w:t>
      </w:r>
      <w:proofErr w:type="spellEnd"/>
      <w:r w:rsidRPr="003156E8">
        <w:rPr>
          <w:lang w:val="fr-FR"/>
        </w:rPr>
        <w:t xml:space="preserve"> inscrit dans la Constitution</w:t>
      </w:r>
      <w:r w:rsidR="00244AED" w:rsidRPr="00244AED">
        <w:rPr>
          <w:lang w:val="fr-FR"/>
        </w:rPr>
        <w:t>.</w:t>
      </w:r>
      <w:r w:rsidRPr="003156E8">
        <w:rPr>
          <w:lang w:val="fr-FR"/>
        </w:rPr>
        <w:t xml:space="preserve"> </w:t>
      </w:r>
    </w:p>
    <w:p w14:paraId="0CDFBF3E" w14:textId="77777777" w:rsidR="00F30B21" w:rsidRPr="003156E8" w:rsidRDefault="00F30B21" w:rsidP="00F30B21">
      <w:pPr>
        <w:pStyle w:val="H1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Article 3</w:t>
      </w:r>
    </w:p>
    <w:p w14:paraId="7EB86B69" w14:textId="77777777" w:rsidR="00F30B21" w:rsidRPr="003156E8" w:rsidRDefault="00F30B21" w:rsidP="00F30B21">
      <w:pPr>
        <w:pStyle w:val="H23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Prévention, interdiction et élimination de la ségrégation raciale et de l</w:t>
      </w:r>
      <w:r>
        <w:rPr>
          <w:bCs/>
          <w:shd w:val="clear" w:color="auto" w:fill="FFFFFF"/>
          <w:lang w:val="fr-FR"/>
        </w:rPr>
        <w:t>’</w:t>
      </w:r>
      <w:r w:rsidRPr="003156E8">
        <w:rPr>
          <w:bCs/>
          <w:shd w:val="clear" w:color="auto" w:fill="FFFFFF"/>
          <w:lang w:val="fr-FR"/>
        </w:rPr>
        <w:t xml:space="preserve">apartheid </w:t>
      </w:r>
    </w:p>
    <w:p w14:paraId="03FD9CB3" w14:textId="261ECF7F" w:rsidR="00F30B21" w:rsidRPr="003156E8" w:rsidRDefault="00F30B21" w:rsidP="00F30B21">
      <w:pPr>
        <w:pStyle w:val="SingleTxtG"/>
        <w:rPr>
          <w:lang w:val="fr-FR"/>
        </w:rPr>
      </w:pPr>
      <w:r w:rsidRPr="003156E8">
        <w:rPr>
          <w:color w:val="000000" w:themeColor="text1"/>
          <w:lang w:val="fr-FR"/>
        </w:rPr>
        <w:t>41</w:t>
      </w:r>
      <w:r w:rsidR="00244AED" w:rsidRPr="00244AED">
        <w:rPr>
          <w:color w:val="000000" w:themeColor="text1"/>
          <w:lang w:val="fr-FR"/>
        </w:rPr>
        <w:t>.</w:t>
      </w:r>
      <w:r w:rsidRPr="003156E8">
        <w:rPr>
          <w:color w:val="000000" w:themeColor="text1"/>
          <w:lang w:val="fr-FR"/>
        </w:rPr>
        <w:tab/>
      </w:r>
      <w:r w:rsidRPr="003156E8">
        <w:rPr>
          <w:lang w:val="fr-FR"/>
        </w:rPr>
        <w:t>Les renseignements fournis dans le dix-neuvième à vingt</w:t>
      </w:r>
      <w:r w:rsidR="00634F0C">
        <w:rPr>
          <w:lang w:val="fr-FR"/>
        </w:rPr>
        <w:t xml:space="preserve"> </w:t>
      </w:r>
      <w:r w:rsidRPr="003156E8">
        <w:rPr>
          <w:lang w:val="fr-FR"/>
        </w:rPr>
        <w:t>et</w:t>
      </w:r>
      <w:r w:rsidR="00634F0C">
        <w:rPr>
          <w:lang w:val="fr-FR"/>
        </w:rPr>
        <w:t xml:space="preserve"> </w:t>
      </w:r>
      <w:r w:rsidRPr="003156E8">
        <w:rPr>
          <w:lang w:val="fr-FR"/>
        </w:rPr>
        <w:t>unième rapport périodique de la République bolivarienne du Venezuela (CERD/C/VEN/19-21) restent inchangés</w:t>
      </w:r>
      <w:r w:rsidR="00244AED" w:rsidRPr="00244AED">
        <w:rPr>
          <w:lang w:val="fr-FR"/>
        </w:rPr>
        <w:t>.</w:t>
      </w:r>
      <w:r w:rsidRPr="003156E8">
        <w:rPr>
          <w:lang w:val="fr-FR"/>
        </w:rPr>
        <w:t xml:space="preserve"> Le Venezuela condamne la ségrégation raciale et l</w:t>
      </w:r>
      <w:r>
        <w:rPr>
          <w:lang w:val="fr-FR"/>
        </w:rPr>
        <w:t>’</w:t>
      </w:r>
      <w:r w:rsidRPr="003156E8">
        <w:rPr>
          <w:lang w:val="fr-FR"/>
        </w:rPr>
        <w:t>apartheid</w:t>
      </w:r>
      <w:r w:rsidR="00244AED" w:rsidRPr="00244AED">
        <w:rPr>
          <w:lang w:val="fr-FR"/>
        </w:rPr>
        <w:t>.</w:t>
      </w:r>
      <w:r w:rsidRPr="003156E8">
        <w:rPr>
          <w:lang w:val="fr-FR"/>
        </w:rPr>
        <w:t xml:space="preserve"> Toutes les pratiques de cette nature sont interdites sur son territoire</w:t>
      </w:r>
      <w:r w:rsidR="00244AED" w:rsidRPr="00244AED">
        <w:rPr>
          <w:lang w:val="fr-FR"/>
        </w:rPr>
        <w:t>.</w:t>
      </w:r>
      <w:r w:rsidRPr="003156E8">
        <w:rPr>
          <w:lang w:val="fr-FR"/>
        </w:rPr>
        <w:t xml:space="preserve"> Aucune pratique de ségrégation raciale ou d</w:t>
      </w:r>
      <w:r>
        <w:rPr>
          <w:lang w:val="fr-FR"/>
        </w:rPr>
        <w:t>’</w:t>
      </w:r>
      <w:r w:rsidRPr="003156E8">
        <w:rPr>
          <w:lang w:val="fr-FR"/>
        </w:rPr>
        <w:t>apartheid n</w:t>
      </w:r>
      <w:r>
        <w:rPr>
          <w:lang w:val="fr-FR"/>
        </w:rPr>
        <w:t>’</w:t>
      </w:r>
      <w:r w:rsidRPr="003156E8">
        <w:rPr>
          <w:lang w:val="fr-FR"/>
        </w:rPr>
        <w:t xml:space="preserve">a été constatée au cours de la période </w:t>
      </w:r>
      <w:r>
        <w:rPr>
          <w:lang w:val="fr-FR"/>
        </w:rPr>
        <w:t>considérée</w:t>
      </w:r>
      <w:r w:rsidR="00244AED" w:rsidRPr="00244AED">
        <w:rPr>
          <w:lang w:val="fr-FR"/>
        </w:rPr>
        <w:t>.</w:t>
      </w:r>
    </w:p>
    <w:p w14:paraId="337134C1" w14:textId="77777777" w:rsidR="00F30B21" w:rsidRPr="003156E8" w:rsidRDefault="00F30B21" w:rsidP="00F30B21">
      <w:pPr>
        <w:pStyle w:val="H1G"/>
        <w:rPr>
          <w:shd w:val="clear" w:color="auto" w:fill="FFFFFF"/>
          <w:lang w:val="fr-FR"/>
        </w:rPr>
      </w:pPr>
      <w:r w:rsidRPr="003156E8">
        <w:rPr>
          <w:b w:val="0"/>
          <w:shd w:val="clear" w:color="auto" w:fill="FFFFFF"/>
          <w:lang w:val="fr-FR"/>
        </w:rPr>
        <w:lastRenderedPageBreak/>
        <w:tab/>
      </w:r>
      <w:r w:rsidRPr="003156E8">
        <w:rPr>
          <w:b w:val="0"/>
          <w:shd w:val="clear" w:color="auto" w:fill="FFFFFF"/>
          <w:lang w:val="fr-FR"/>
        </w:rPr>
        <w:tab/>
      </w:r>
      <w:r w:rsidRPr="003156E8">
        <w:rPr>
          <w:bCs/>
          <w:shd w:val="clear" w:color="auto" w:fill="FFFFFF"/>
          <w:lang w:val="fr-FR"/>
        </w:rPr>
        <w:t xml:space="preserve">Article 4 </w:t>
      </w:r>
    </w:p>
    <w:p w14:paraId="19018CA8" w14:textId="03C580A7" w:rsidR="00F30B21" w:rsidRPr="003156E8" w:rsidRDefault="00F30B21" w:rsidP="00F30B21">
      <w:pPr>
        <w:pStyle w:val="H23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Mesures immédiates et positives visant à éliminer toute diffusion d</w:t>
      </w:r>
      <w:r>
        <w:rPr>
          <w:bCs/>
          <w:shd w:val="clear" w:color="auto" w:fill="FFFFFF"/>
          <w:lang w:val="fr-FR"/>
        </w:rPr>
        <w:t>’</w:t>
      </w:r>
      <w:r w:rsidRPr="003156E8">
        <w:rPr>
          <w:bCs/>
          <w:shd w:val="clear" w:color="auto" w:fill="FFFFFF"/>
          <w:lang w:val="fr-FR"/>
        </w:rPr>
        <w:t xml:space="preserve">idées fondées </w:t>
      </w:r>
      <w:r w:rsidR="00A92AEA">
        <w:rPr>
          <w:bCs/>
          <w:shd w:val="clear" w:color="auto" w:fill="FFFFFF"/>
          <w:lang w:val="fr-FR"/>
        </w:rPr>
        <w:br/>
      </w:r>
      <w:r w:rsidRPr="003156E8">
        <w:rPr>
          <w:bCs/>
          <w:shd w:val="clear" w:color="auto" w:fill="FFFFFF"/>
          <w:lang w:val="fr-FR"/>
        </w:rPr>
        <w:t>sur la supériorité, la haine ou la discrimination raciale, ainsi que tout acte de violence</w:t>
      </w:r>
    </w:p>
    <w:p w14:paraId="6B7DD9E0" w14:textId="3AC11D19" w:rsidR="00F30B21" w:rsidRPr="003156E8" w:rsidRDefault="00F30B21" w:rsidP="00F30B21">
      <w:pPr>
        <w:pStyle w:val="SingleTxtG"/>
        <w:rPr>
          <w:lang w:val="fr-FR"/>
        </w:rPr>
      </w:pPr>
      <w:r w:rsidRPr="003156E8">
        <w:rPr>
          <w:color w:val="000000" w:themeColor="text1"/>
          <w:lang w:val="fr-FR"/>
        </w:rPr>
        <w:t>42</w:t>
      </w:r>
      <w:r w:rsidR="00244AED" w:rsidRPr="00244AED">
        <w:rPr>
          <w:color w:val="000000" w:themeColor="text1"/>
          <w:lang w:val="fr-FR"/>
        </w:rPr>
        <w:t>.</w:t>
      </w:r>
      <w:r w:rsidRPr="003156E8">
        <w:rPr>
          <w:color w:val="000000" w:themeColor="text1"/>
          <w:lang w:val="fr-FR"/>
        </w:rPr>
        <w:tab/>
      </w:r>
      <w:r w:rsidRPr="003156E8">
        <w:rPr>
          <w:lang w:val="fr-FR"/>
        </w:rPr>
        <w:t>En réponse aux observations finales du Comité, la loi constitutionnelle contre la haine et pour la coexistence pacifique et la tolérance</w:t>
      </w:r>
      <w:r w:rsidRPr="00F30B21">
        <w:rPr>
          <w:rStyle w:val="Appelnotedebasdep"/>
        </w:rPr>
        <w:footnoteReference w:id="19"/>
      </w:r>
      <w:r w:rsidRPr="003156E8">
        <w:rPr>
          <w:lang w:val="fr-FR"/>
        </w:rPr>
        <w:t xml:space="preserve"> est entrée en vigueur en novembre 2017</w:t>
      </w:r>
      <w:r w:rsidR="00244AED" w:rsidRPr="00244AED">
        <w:rPr>
          <w:lang w:val="fr-FR"/>
        </w:rPr>
        <w:t>.</w:t>
      </w:r>
      <w:r w:rsidRPr="003156E8">
        <w:rPr>
          <w:lang w:val="fr-FR"/>
        </w:rPr>
        <w:t xml:space="preserve"> Cette loi prévoit l</w:t>
      </w:r>
      <w:r>
        <w:rPr>
          <w:lang w:val="fr-FR"/>
        </w:rPr>
        <w:t>’</w:t>
      </w:r>
      <w:r w:rsidRPr="003156E8">
        <w:rPr>
          <w:lang w:val="fr-FR"/>
        </w:rPr>
        <w:t>interdiction totale de la propagande et des messages en faveur de la guerre, de l</w:t>
      </w:r>
      <w:r>
        <w:rPr>
          <w:lang w:val="fr-FR"/>
        </w:rPr>
        <w:t>’</w:t>
      </w:r>
      <w:r w:rsidRPr="003156E8">
        <w:rPr>
          <w:lang w:val="fr-FR"/>
        </w:rPr>
        <w:t>apologie de la haine nationale, raciale, ethnique, religieuse, politique, sociale, idéologique et de la haine fondée sur le genre, l</w:t>
      </w:r>
      <w:r>
        <w:rPr>
          <w:lang w:val="fr-FR"/>
        </w:rPr>
        <w:t>’</w:t>
      </w:r>
      <w:r w:rsidRPr="003156E8">
        <w:rPr>
          <w:lang w:val="fr-FR"/>
        </w:rPr>
        <w:t>orientation sexuelle, l</w:t>
      </w:r>
      <w:r>
        <w:rPr>
          <w:lang w:val="fr-FR"/>
        </w:rPr>
        <w:t>’</w:t>
      </w:r>
      <w:r w:rsidRPr="003156E8">
        <w:rPr>
          <w:lang w:val="fr-FR"/>
        </w:rPr>
        <w:t>identité de genre, l</w:t>
      </w:r>
      <w:r>
        <w:rPr>
          <w:lang w:val="fr-FR"/>
        </w:rPr>
        <w:t>’</w:t>
      </w:r>
      <w:r w:rsidRPr="003156E8">
        <w:rPr>
          <w:lang w:val="fr-FR"/>
        </w:rPr>
        <w:t>expression de genre, ainsi que de toute autre forme de haine constituant une incitation à la discrimination, à l</w:t>
      </w:r>
      <w:r>
        <w:rPr>
          <w:lang w:val="fr-FR"/>
        </w:rPr>
        <w:t>’</w:t>
      </w:r>
      <w:r w:rsidRPr="003156E8">
        <w:rPr>
          <w:lang w:val="fr-FR"/>
        </w:rPr>
        <w:t>intolérance ou à la violence (art</w:t>
      </w:r>
      <w:r w:rsidR="00244AED" w:rsidRPr="00244AED">
        <w:rPr>
          <w:lang w:val="fr-FR"/>
        </w:rPr>
        <w:t>.</w:t>
      </w:r>
      <w:r w:rsidRPr="003156E8">
        <w:rPr>
          <w:lang w:val="fr-FR"/>
        </w:rPr>
        <w:t> 13)</w:t>
      </w:r>
      <w:r w:rsidR="00244AED" w:rsidRPr="00244AED">
        <w:rPr>
          <w:lang w:val="fr-FR"/>
        </w:rPr>
        <w:t>.</w:t>
      </w:r>
      <w:r w:rsidRPr="003156E8">
        <w:rPr>
          <w:lang w:val="fr-FR"/>
        </w:rPr>
        <w:t xml:space="preserve"> Elle érige en infraction l</w:t>
      </w:r>
      <w:r>
        <w:rPr>
          <w:lang w:val="fr-FR"/>
        </w:rPr>
        <w:t>’</w:t>
      </w:r>
      <w:r w:rsidRPr="003156E8">
        <w:rPr>
          <w:lang w:val="fr-FR"/>
        </w:rPr>
        <w:t>appel et l</w:t>
      </w:r>
      <w:r>
        <w:rPr>
          <w:lang w:val="fr-FR"/>
        </w:rPr>
        <w:t>’</w:t>
      </w:r>
      <w:r w:rsidRPr="003156E8">
        <w:rPr>
          <w:lang w:val="fr-FR"/>
        </w:rPr>
        <w:t>incitation à la haine et prévoit une peine de dix à vingt ans d</w:t>
      </w:r>
      <w:r>
        <w:rPr>
          <w:lang w:val="fr-FR"/>
        </w:rPr>
        <w:t>’</w:t>
      </w:r>
      <w:r w:rsidRPr="003156E8">
        <w:rPr>
          <w:lang w:val="fr-FR"/>
        </w:rPr>
        <w:t>emprisonnement pour les auteurs de tels actes (art</w:t>
      </w:r>
      <w:r w:rsidR="00244AED" w:rsidRPr="00244AED">
        <w:rPr>
          <w:lang w:val="fr-FR"/>
        </w:rPr>
        <w:t>.</w:t>
      </w:r>
      <w:r w:rsidRPr="003156E8">
        <w:rPr>
          <w:lang w:val="fr-FR"/>
        </w:rPr>
        <w:t> 20)</w:t>
      </w:r>
      <w:r w:rsidR="00244AED" w:rsidRPr="00244AED">
        <w:rPr>
          <w:lang w:val="fr-FR"/>
        </w:rPr>
        <w:t>.</w:t>
      </w:r>
      <w:r w:rsidRPr="003156E8">
        <w:rPr>
          <w:lang w:val="fr-FR"/>
        </w:rPr>
        <w:t xml:space="preserve"> Elle dispose également que les opérateurs de radio et de télévision du secteur privé doivent prendre part aux activités destinées à lutter contre les discours de haine (art</w:t>
      </w:r>
      <w:r w:rsidR="00244AED" w:rsidRPr="00244AED">
        <w:rPr>
          <w:lang w:val="fr-FR"/>
        </w:rPr>
        <w:t>.</w:t>
      </w:r>
      <w:r w:rsidRPr="003156E8">
        <w:rPr>
          <w:lang w:val="fr-FR"/>
        </w:rPr>
        <w:t> 12), par exemple en diffusant le contenu de la loi organique contre la discrimination raciale</w:t>
      </w:r>
      <w:r w:rsidR="00244AED" w:rsidRPr="00244AED">
        <w:rPr>
          <w:lang w:val="fr-FR"/>
        </w:rPr>
        <w:t>.</w:t>
      </w:r>
    </w:p>
    <w:p w14:paraId="561C6634" w14:textId="1FE24CA3" w:rsidR="00F30B21" w:rsidRPr="003156E8" w:rsidRDefault="00F30B21" w:rsidP="00F30B21">
      <w:pPr>
        <w:pStyle w:val="SingleTxtG"/>
        <w:rPr>
          <w:lang w:val="fr-FR"/>
        </w:rPr>
      </w:pPr>
      <w:r w:rsidRPr="003156E8">
        <w:rPr>
          <w:lang w:val="fr-FR"/>
        </w:rPr>
        <w:t>43</w:t>
      </w:r>
      <w:r w:rsidR="00244AED" w:rsidRPr="00244AED">
        <w:rPr>
          <w:lang w:val="fr-FR"/>
        </w:rPr>
        <w:t>.</w:t>
      </w:r>
      <w:r w:rsidRPr="003156E8">
        <w:rPr>
          <w:lang w:val="fr-FR"/>
        </w:rPr>
        <w:tab/>
        <w:t>La loi constitutionnelle précitée interdit la création de partis politiques, d</w:t>
      </w:r>
      <w:r>
        <w:rPr>
          <w:lang w:val="fr-FR"/>
        </w:rPr>
        <w:t>’</w:t>
      </w:r>
      <w:r w:rsidRPr="003156E8">
        <w:rPr>
          <w:lang w:val="fr-FR"/>
        </w:rPr>
        <w:t>organisations politiques, de personnes morales de droit privé, de mouvements et d</w:t>
      </w:r>
      <w:r>
        <w:rPr>
          <w:lang w:val="fr-FR"/>
        </w:rPr>
        <w:t>’</w:t>
      </w:r>
      <w:r w:rsidRPr="003156E8">
        <w:rPr>
          <w:lang w:val="fr-FR"/>
        </w:rPr>
        <w:t>organisations sociales dont les déclarations de principes, les actes de constitution, les programmes d</w:t>
      </w:r>
      <w:r>
        <w:rPr>
          <w:lang w:val="fr-FR"/>
        </w:rPr>
        <w:t>’</w:t>
      </w:r>
      <w:r w:rsidRPr="003156E8">
        <w:rPr>
          <w:lang w:val="fr-FR"/>
        </w:rPr>
        <w:t>action politique, les statuts ou les activités sont fondés sur ou encouragent le fascisme, l</w:t>
      </w:r>
      <w:r>
        <w:rPr>
          <w:lang w:val="fr-FR"/>
        </w:rPr>
        <w:t>’</w:t>
      </w:r>
      <w:r w:rsidRPr="003156E8">
        <w:rPr>
          <w:lang w:val="fr-FR"/>
        </w:rPr>
        <w:t>intolérance, la haine nationale, raciale, ethnique, religieuse, politique, sociale, idéologique, la haine fondée sur le genre, l</w:t>
      </w:r>
      <w:r>
        <w:rPr>
          <w:lang w:val="fr-FR"/>
        </w:rPr>
        <w:t>’</w:t>
      </w:r>
      <w:r w:rsidRPr="003156E8">
        <w:rPr>
          <w:lang w:val="fr-FR"/>
        </w:rPr>
        <w:t>orientation sexuelle, l</w:t>
      </w:r>
      <w:r>
        <w:rPr>
          <w:lang w:val="fr-FR"/>
        </w:rPr>
        <w:t>’</w:t>
      </w:r>
      <w:r w:rsidRPr="003156E8">
        <w:rPr>
          <w:lang w:val="fr-FR"/>
        </w:rPr>
        <w:t>identité de genre, l</w:t>
      </w:r>
      <w:r>
        <w:rPr>
          <w:lang w:val="fr-FR"/>
        </w:rPr>
        <w:t>’</w:t>
      </w:r>
      <w:r w:rsidRPr="003156E8">
        <w:rPr>
          <w:lang w:val="fr-FR"/>
        </w:rPr>
        <w:t>expression de genre et tout autre type de haine incitant à la discrimination et à la violence (art</w:t>
      </w:r>
      <w:r w:rsidR="00244AED" w:rsidRPr="00244AED">
        <w:rPr>
          <w:lang w:val="fr-FR"/>
        </w:rPr>
        <w:t>.</w:t>
      </w:r>
      <w:r w:rsidRPr="003156E8">
        <w:rPr>
          <w:lang w:val="fr-FR"/>
        </w:rPr>
        <w:t> 11)</w:t>
      </w:r>
      <w:r w:rsidR="00244AED" w:rsidRPr="00244AED">
        <w:rPr>
          <w:lang w:val="fr-FR"/>
        </w:rPr>
        <w:t>.</w:t>
      </w:r>
      <w:r w:rsidRPr="003156E8">
        <w:rPr>
          <w:lang w:val="fr-FR"/>
        </w:rPr>
        <w:t xml:space="preserve"> </w:t>
      </w:r>
    </w:p>
    <w:p w14:paraId="1A89AE3D" w14:textId="75444E52" w:rsidR="00F30B21" w:rsidRPr="003156E8" w:rsidRDefault="00F30B21" w:rsidP="00F30B21">
      <w:pPr>
        <w:pStyle w:val="SingleTxtG"/>
        <w:rPr>
          <w:lang w:val="fr-FR"/>
        </w:rPr>
      </w:pPr>
      <w:r w:rsidRPr="003156E8">
        <w:rPr>
          <w:color w:val="000000" w:themeColor="text1"/>
          <w:lang w:val="fr-FR"/>
        </w:rPr>
        <w:t>44</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article 21 de la loi constitutionnelle contre la haine et pour la coexistence pacifique et la tolérance dispose que l</w:t>
      </w:r>
      <w:r>
        <w:rPr>
          <w:lang w:val="fr-FR"/>
        </w:rPr>
        <w:t>’</w:t>
      </w:r>
      <w:r w:rsidRPr="003156E8">
        <w:rPr>
          <w:lang w:val="fr-FR"/>
        </w:rPr>
        <w:t>exécution ou l</w:t>
      </w:r>
      <w:r>
        <w:rPr>
          <w:lang w:val="fr-FR"/>
        </w:rPr>
        <w:t>’</w:t>
      </w:r>
      <w:r w:rsidRPr="003156E8">
        <w:rPr>
          <w:lang w:val="fr-FR"/>
        </w:rPr>
        <w:t>aggravation d</w:t>
      </w:r>
      <w:r>
        <w:rPr>
          <w:lang w:val="fr-FR"/>
        </w:rPr>
        <w:t>’</w:t>
      </w:r>
      <w:r w:rsidRPr="003156E8">
        <w:rPr>
          <w:lang w:val="fr-FR"/>
        </w:rPr>
        <w:t>une infraction en raison de l</w:t>
      </w:r>
      <w:r>
        <w:rPr>
          <w:lang w:val="fr-FR"/>
        </w:rPr>
        <w:t>’</w:t>
      </w:r>
      <w:r w:rsidRPr="003156E8">
        <w:rPr>
          <w:lang w:val="fr-FR"/>
        </w:rPr>
        <w:t>appartenance, réelle ou supposée, de la victime à un certain groupe racial, ethnique, religieux ou politique, en raison de son sexe, de son orientation sexuelle, de son identité de genre, de son expression de genre ou de tout autre motif discriminatoire</w:t>
      </w:r>
      <w:r>
        <w:rPr>
          <w:lang w:val="fr-FR"/>
        </w:rPr>
        <w:t>,</w:t>
      </w:r>
      <w:r w:rsidRPr="003156E8">
        <w:rPr>
          <w:lang w:val="fr-FR"/>
        </w:rPr>
        <w:t xml:space="preserve"> constitue une circonstance aggravante</w:t>
      </w:r>
      <w:r w:rsidR="00244AED" w:rsidRPr="00244AED">
        <w:rPr>
          <w:lang w:val="fr-FR"/>
        </w:rPr>
        <w:t>.</w:t>
      </w:r>
      <w:r w:rsidRPr="003156E8">
        <w:rPr>
          <w:lang w:val="fr-FR"/>
        </w:rPr>
        <w:t xml:space="preserve"> Dans un tel cas, la peine applicable est la peine maximale prévue pour l</w:t>
      </w:r>
      <w:r>
        <w:rPr>
          <w:lang w:val="fr-FR"/>
        </w:rPr>
        <w:t>’</w:t>
      </w:r>
      <w:r w:rsidRPr="003156E8">
        <w:rPr>
          <w:lang w:val="fr-FR"/>
        </w:rPr>
        <w:t>infraction commise</w:t>
      </w:r>
      <w:r w:rsidR="00244AED" w:rsidRPr="00244AED">
        <w:rPr>
          <w:lang w:val="fr-FR"/>
        </w:rPr>
        <w:t>.</w:t>
      </w:r>
      <w:r w:rsidRPr="003156E8">
        <w:rPr>
          <w:lang w:val="fr-FR"/>
        </w:rPr>
        <w:t xml:space="preserve"> La loi prévoit également une peine privative de liberté pour tout fonctionnaire de police ou militaire qui, dans l</w:t>
      </w:r>
      <w:r>
        <w:rPr>
          <w:lang w:val="fr-FR"/>
        </w:rPr>
        <w:t>’</w:t>
      </w:r>
      <w:r w:rsidRPr="003156E8">
        <w:rPr>
          <w:lang w:val="fr-FR"/>
        </w:rPr>
        <w:t>exercice de ses fonctions et de manière volontaire, s</w:t>
      </w:r>
      <w:r>
        <w:rPr>
          <w:lang w:val="fr-FR"/>
        </w:rPr>
        <w:t>’</w:t>
      </w:r>
      <w:r w:rsidRPr="003156E8">
        <w:rPr>
          <w:lang w:val="fr-FR"/>
        </w:rPr>
        <w:t>abstient ou omet d</w:t>
      </w:r>
      <w:r>
        <w:rPr>
          <w:lang w:val="fr-FR"/>
        </w:rPr>
        <w:t>’</w:t>
      </w:r>
      <w:r w:rsidRPr="003156E8">
        <w:rPr>
          <w:lang w:val="fr-FR"/>
        </w:rPr>
        <w:t>intervenir, ou retarde son intervention pour empêcher la commission de l</w:t>
      </w:r>
      <w:r>
        <w:rPr>
          <w:lang w:val="fr-FR"/>
        </w:rPr>
        <w:t>’</w:t>
      </w:r>
      <w:r w:rsidRPr="003156E8">
        <w:rPr>
          <w:lang w:val="fr-FR"/>
        </w:rPr>
        <w:t>une des infractions visées par la loi ou pour en arrêter l</w:t>
      </w:r>
      <w:r>
        <w:rPr>
          <w:lang w:val="fr-FR"/>
        </w:rPr>
        <w:t>’</w:t>
      </w:r>
      <w:r w:rsidRPr="003156E8">
        <w:rPr>
          <w:lang w:val="fr-FR"/>
        </w:rPr>
        <w:t>auteur</w:t>
      </w:r>
      <w:r w:rsidR="00244AED" w:rsidRPr="00244AED">
        <w:rPr>
          <w:lang w:val="fr-FR"/>
        </w:rPr>
        <w:t>.</w:t>
      </w:r>
      <w:r w:rsidRPr="003156E8">
        <w:rPr>
          <w:lang w:val="fr-FR"/>
        </w:rPr>
        <w:t xml:space="preserve"> Le même type de peine s</w:t>
      </w:r>
      <w:r>
        <w:rPr>
          <w:lang w:val="fr-FR"/>
        </w:rPr>
        <w:t>’</w:t>
      </w:r>
      <w:r w:rsidRPr="003156E8">
        <w:rPr>
          <w:lang w:val="fr-FR"/>
        </w:rPr>
        <w:t>applique à tout professionnel de santé qui, dans l</w:t>
      </w:r>
      <w:r>
        <w:rPr>
          <w:lang w:val="fr-FR"/>
        </w:rPr>
        <w:t>’</w:t>
      </w:r>
      <w:r w:rsidRPr="003156E8">
        <w:rPr>
          <w:lang w:val="fr-FR"/>
        </w:rPr>
        <w:t>exercice de ses fonctions, dans des établissements publics ou privés, s</w:t>
      </w:r>
      <w:r>
        <w:rPr>
          <w:lang w:val="fr-FR"/>
        </w:rPr>
        <w:t>’</w:t>
      </w:r>
      <w:r w:rsidRPr="003156E8">
        <w:rPr>
          <w:lang w:val="fr-FR"/>
        </w:rPr>
        <w:t>abstient ou omet de soigner, ou retarde la délivrance de soins, pour des motifs de haine, de discrimination, de mépris ou d</w:t>
      </w:r>
      <w:r>
        <w:rPr>
          <w:lang w:val="fr-FR"/>
        </w:rPr>
        <w:t>’</w:t>
      </w:r>
      <w:r w:rsidRPr="003156E8">
        <w:rPr>
          <w:lang w:val="fr-FR"/>
        </w:rPr>
        <w:t>intolérance (art</w:t>
      </w:r>
      <w:r w:rsidR="00244AED" w:rsidRPr="00244AED">
        <w:rPr>
          <w:lang w:val="fr-FR"/>
        </w:rPr>
        <w:t>.</w:t>
      </w:r>
      <w:r w:rsidRPr="003156E8">
        <w:rPr>
          <w:lang w:val="fr-FR"/>
        </w:rPr>
        <w:t xml:space="preserve"> 24)</w:t>
      </w:r>
      <w:r w:rsidR="00244AED" w:rsidRPr="00244AED">
        <w:rPr>
          <w:lang w:val="fr-FR"/>
        </w:rPr>
        <w:t>.</w:t>
      </w:r>
    </w:p>
    <w:p w14:paraId="2EEE095E" w14:textId="7669B826" w:rsidR="00F30B21" w:rsidRPr="003156E8" w:rsidRDefault="00F30B21" w:rsidP="00F30B21">
      <w:pPr>
        <w:pStyle w:val="SingleTxtG"/>
        <w:rPr>
          <w:lang w:val="fr-FR"/>
        </w:rPr>
      </w:pPr>
      <w:r w:rsidRPr="003156E8">
        <w:rPr>
          <w:color w:val="000000" w:themeColor="text1"/>
          <w:lang w:val="fr-FR"/>
        </w:rPr>
        <w:t>45</w:t>
      </w:r>
      <w:r w:rsidR="00244AED" w:rsidRPr="00244AED">
        <w:rPr>
          <w:color w:val="000000" w:themeColor="text1"/>
          <w:lang w:val="fr-FR"/>
        </w:rPr>
        <w:t>.</w:t>
      </w:r>
      <w:r w:rsidRPr="003156E8">
        <w:rPr>
          <w:color w:val="000000" w:themeColor="text1"/>
          <w:lang w:val="fr-FR"/>
        </w:rPr>
        <w:tab/>
      </w:r>
      <w:r w:rsidRPr="003156E8">
        <w:rPr>
          <w:lang w:val="fr-FR"/>
        </w:rPr>
        <w:t>En janvier 2017, le Président de la République a fixé les règles fondamentales concernant l</w:t>
      </w:r>
      <w:r>
        <w:rPr>
          <w:lang w:val="fr-FR"/>
        </w:rPr>
        <w:t>’</w:t>
      </w:r>
      <w:r w:rsidRPr="003156E8">
        <w:rPr>
          <w:lang w:val="fr-FR"/>
        </w:rPr>
        <w:t>action des fonctionnaires en matière de droits de l</w:t>
      </w:r>
      <w:r>
        <w:rPr>
          <w:lang w:val="fr-FR"/>
        </w:rPr>
        <w:t>’</w:t>
      </w:r>
      <w:r w:rsidRPr="003156E8">
        <w:rPr>
          <w:lang w:val="fr-FR"/>
        </w:rPr>
        <w:t>homme</w:t>
      </w:r>
      <w:r w:rsidRPr="00F30B21">
        <w:rPr>
          <w:rStyle w:val="Appelnotedebasdep"/>
        </w:rPr>
        <w:footnoteReference w:id="20"/>
      </w:r>
      <w:r w:rsidR="00244AED" w:rsidRPr="00244AED">
        <w:rPr>
          <w:lang w:val="fr-FR"/>
        </w:rPr>
        <w:t>.</w:t>
      </w:r>
      <w:r w:rsidRPr="003156E8">
        <w:rPr>
          <w:lang w:val="fr-FR"/>
        </w:rPr>
        <w:t xml:space="preserve"> Ces règles définissent les principales obligations et directives que tous les agents de la fonction publique doivent respecter dans ce domaine, afin de renforcer le respect, la garantie et la protection des droits de l</w:t>
      </w:r>
      <w:r>
        <w:rPr>
          <w:lang w:val="fr-FR"/>
        </w:rPr>
        <w:t>’</w:t>
      </w:r>
      <w:r w:rsidRPr="003156E8">
        <w:rPr>
          <w:lang w:val="fr-FR"/>
        </w:rPr>
        <w:t>homme sur le territoire national</w:t>
      </w:r>
      <w:r w:rsidR="00244AED" w:rsidRPr="00244AED">
        <w:rPr>
          <w:lang w:val="fr-FR"/>
        </w:rPr>
        <w:t>.</w:t>
      </w:r>
      <w:r w:rsidRPr="003156E8">
        <w:rPr>
          <w:lang w:val="fr-FR"/>
        </w:rPr>
        <w:t xml:space="preserve"> </w:t>
      </w:r>
    </w:p>
    <w:p w14:paraId="7CEA1F41" w14:textId="257CA4A6" w:rsidR="00F30B21" w:rsidRPr="003156E8" w:rsidRDefault="00F30B21" w:rsidP="00F30B21">
      <w:pPr>
        <w:pStyle w:val="SingleTxtG"/>
        <w:rPr>
          <w:lang w:val="fr-FR"/>
        </w:rPr>
      </w:pPr>
      <w:r w:rsidRPr="003156E8">
        <w:rPr>
          <w:color w:val="000000" w:themeColor="text1"/>
          <w:lang w:val="fr-FR"/>
        </w:rPr>
        <w:t>46</w:t>
      </w:r>
      <w:r w:rsidR="00244AED" w:rsidRPr="00244AED">
        <w:rPr>
          <w:color w:val="000000" w:themeColor="text1"/>
          <w:lang w:val="fr-FR"/>
        </w:rPr>
        <w:t>.</w:t>
      </w:r>
      <w:r w:rsidRPr="003156E8">
        <w:rPr>
          <w:color w:val="000000" w:themeColor="text1"/>
          <w:lang w:val="fr-FR"/>
        </w:rPr>
        <w:tab/>
      </w:r>
      <w:r w:rsidRPr="003156E8">
        <w:rPr>
          <w:lang w:val="fr-FR"/>
        </w:rPr>
        <w:t>Les règles précitées disposent que les fonctionnaires doivent s</w:t>
      </w:r>
      <w:r>
        <w:rPr>
          <w:lang w:val="fr-FR"/>
        </w:rPr>
        <w:t>’</w:t>
      </w:r>
      <w:r w:rsidRPr="003156E8">
        <w:rPr>
          <w:lang w:val="fr-FR"/>
        </w:rPr>
        <w:t>abstenir de tout acte ou comportement discriminatoire fondé sur l</w:t>
      </w:r>
      <w:r>
        <w:rPr>
          <w:lang w:val="fr-FR"/>
        </w:rPr>
        <w:t>’</w:t>
      </w:r>
      <w:r w:rsidRPr="003156E8">
        <w:rPr>
          <w:lang w:val="fr-FR"/>
        </w:rPr>
        <w:t>origine ethnique, la religion, le statut social, le genre, l</w:t>
      </w:r>
      <w:r>
        <w:rPr>
          <w:lang w:val="fr-FR"/>
        </w:rPr>
        <w:t>’</w:t>
      </w:r>
      <w:r w:rsidRPr="003156E8">
        <w:rPr>
          <w:lang w:val="fr-FR"/>
        </w:rPr>
        <w:t>orientation sexuelle, l</w:t>
      </w:r>
      <w:r>
        <w:rPr>
          <w:lang w:val="fr-FR"/>
        </w:rPr>
        <w:t>’</w:t>
      </w:r>
      <w:r w:rsidRPr="003156E8">
        <w:rPr>
          <w:lang w:val="fr-FR"/>
        </w:rPr>
        <w:t>identité de genre, l</w:t>
      </w:r>
      <w:r>
        <w:rPr>
          <w:lang w:val="fr-FR"/>
        </w:rPr>
        <w:t>’</w:t>
      </w:r>
      <w:r w:rsidRPr="003156E8">
        <w:rPr>
          <w:lang w:val="fr-FR"/>
        </w:rPr>
        <w:t>expression du genre, la langue, les opinions politiques, la nationalité ou l</w:t>
      </w:r>
      <w:r>
        <w:rPr>
          <w:lang w:val="fr-FR"/>
        </w:rPr>
        <w:t>’</w:t>
      </w:r>
      <w:r w:rsidRPr="003156E8">
        <w:rPr>
          <w:lang w:val="fr-FR"/>
        </w:rPr>
        <w:t>origine, l</w:t>
      </w:r>
      <w:r>
        <w:rPr>
          <w:lang w:val="fr-FR"/>
        </w:rPr>
        <w:t>’</w:t>
      </w:r>
      <w:r w:rsidRPr="003156E8">
        <w:rPr>
          <w:lang w:val="fr-FR"/>
        </w:rPr>
        <w:t>âge, la situation financière, le handicap, l</w:t>
      </w:r>
      <w:r>
        <w:rPr>
          <w:lang w:val="fr-FR"/>
        </w:rPr>
        <w:t>’</w:t>
      </w:r>
      <w:r w:rsidRPr="003156E8">
        <w:rPr>
          <w:lang w:val="fr-FR"/>
        </w:rPr>
        <w:t>état de santé ou sur toute autre caractéristique personnelle, juridique ou sociale, ayant pour objet ou pour résultat d</w:t>
      </w:r>
      <w:r>
        <w:rPr>
          <w:lang w:val="fr-FR"/>
        </w:rPr>
        <w:t>’</w:t>
      </w:r>
      <w:r w:rsidRPr="003156E8">
        <w:rPr>
          <w:lang w:val="fr-FR"/>
        </w:rPr>
        <w:t>empêcher ou d</w:t>
      </w:r>
      <w:r>
        <w:rPr>
          <w:lang w:val="fr-FR"/>
        </w:rPr>
        <w:t>’</w:t>
      </w:r>
      <w:r w:rsidRPr="003156E8">
        <w:rPr>
          <w:lang w:val="fr-FR"/>
        </w:rPr>
        <w:t>entraver la reconnaissance, la jouissance ou l</w:t>
      </w:r>
      <w:r>
        <w:rPr>
          <w:lang w:val="fr-FR"/>
        </w:rPr>
        <w:t>’</w:t>
      </w:r>
      <w:r w:rsidRPr="003156E8">
        <w:rPr>
          <w:lang w:val="fr-FR"/>
        </w:rPr>
        <w:t>exercice des droits de l</w:t>
      </w:r>
      <w:r>
        <w:rPr>
          <w:lang w:val="fr-FR"/>
        </w:rPr>
        <w:t>’</w:t>
      </w:r>
      <w:r w:rsidRPr="003156E8">
        <w:rPr>
          <w:lang w:val="fr-FR"/>
        </w:rPr>
        <w:t>homme (art</w:t>
      </w:r>
      <w:r w:rsidR="00244AED" w:rsidRPr="00244AED">
        <w:rPr>
          <w:lang w:val="fr-FR"/>
        </w:rPr>
        <w:t>.</w:t>
      </w:r>
      <w:r w:rsidRPr="003156E8">
        <w:rPr>
          <w:lang w:val="fr-FR"/>
        </w:rPr>
        <w:t xml:space="preserve"> 3)</w:t>
      </w:r>
      <w:r w:rsidR="00244AED" w:rsidRPr="00244AED">
        <w:rPr>
          <w:lang w:val="fr-FR"/>
        </w:rPr>
        <w:t>.</w:t>
      </w:r>
      <w:r w:rsidRPr="003156E8">
        <w:rPr>
          <w:lang w:val="fr-FR"/>
        </w:rPr>
        <w:t xml:space="preserve"> Les institutions du pouvoir exécutif national sont tenues de prendre des mesures appropriées pour mettre en œuvre ces règles et les services de supervision du personnel doivent veiller à ce qu</w:t>
      </w:r>
      <w:r>
        <w:rPr>
          <w:lang w:val="fr-FR"/>
        </w:rPr>
        <w:t>’</w:t>
      </w:r>
      <w:r w:rsidRPr="003156E8">
        <w:rPr>
          <w:lang w:val="fr-FR"/>
        </w:rPr>
        <w:t>elles soient respectées et appliquées</w:t>
      </w:r>
      <w:r w:rsidR="00244AED" w:rsidRPr="00244AED">
        <w:rPr>
          <w:lang w:val="fr-FR"/>
        </w:rPr>
        <w:t>.</w:t>
      </w:r>
      <w:r w:rsidRPr="003156E8">
        <w:rPr>
          <w:lang w:val="fr-FR"/>
        </w:rPr>
        <w:t xml:space="preserve"> </w:t>
      </w:r>
    </w:p>
    <w:p w14:paraId="3CBE0516" w14:textId="292AA2AC" w:rsidR="00F30B21" w:rsidRPr="003156E8" w:rsidRDefault="00F30B21" w:rsidP="00F30B21">
      <w:pPr>
        <w:pStyle w:val="SingleTxtG"/>
        <w:rPr>
          <w:lang w:val="fr-FR"/>
        </w:rPr>
      </w:pPr>
      <w:r w:rsidRPr="003156E8">
        <w:rPr>
          <w:color w:val="000000" w:themeColor="text1"/>
          <w:lang w:val="fr-FR"/>
        </w:rPr>
        <w:lastRenderedPageBreak/>
        <w:t>47</w:t>
      </w:r>
      <w:r w:rsidR="00244AED" w:rsidRPr="00244AED">
        <w:rPr>
          <w:color w:val="000000" w:themeColor="text1"/>
          <w:lang w:val="fr-FR"/>
        </w:rPr>
        <w:t>.</w:t>
      </w:r>
      <w:r w:rsidRPr="003156E8">
        <w:rPr>
          <w:color w:val="000000" w:themeColor="text1"/>
          <w:lang w:val="fr-FR"/>
        </w:rPr>
        <w:tab/>
      </w:r>
      <w:r w:rsidRPr="003156E8">
        <w:rPr>
          <w:lang w:val="fr-FR"/>
        </w:rPr>
        <w:t xml:space="preserve">En réponse aux observations finales du Comité concernant les peuples autochtones Yanomami et </w:t>
      </w:r>
      <w:proofErr w:type="spellStart"/>
      <w:r w:rsidRPr="003156E8">
        <w:rPr>
          <w:lang w:val="fr-FR"/>
        </w:rPr>
        <w:t>Yukpa</w:t>
      </w:r>
      <w:proofErr w:type="spellEnd"/>
      <w:r w:rsidRPr="003156E8">
        <w:rPr>
          <w:lang w:val="fr-FR"/>
        </w:rPr>
        <w:t xml:space="preserve">, la zone nationale de développement stratégique </w:t>
      </w:r>
      <w:r w:rsidRPr="003156E8">
        <w:rPr>
          <w:i/>
          <w:iCs/>
          <w:lang w:val="fr-FR"/>
        </w:rPr>
        <w:t xml:space="preserve">Arco </w:t>
      </w:r>
      <w:proofErr w:type="spellStart"/>
      <w:r w:rsidRPr="003156E8">
        <w:rPr>
          <w:i/>
          <w:iCs/>
          <w:lang w:val="fr-FR"/>
        </w:rPr>
        <w:t>Minero</w:t>
      </w:r>
      <w:proofErr w:type="spellEnd"/>
      <w:r w:rsidRPr="003156E8">
        <w:rPr>
          <w:i/>
          <w:iCs/>
          <w:lang w:val="fr-FR"/>
        </w:rPr>
        <w:t xml:space="preserve"> </w:t>
      </w:r>
      <w:proofErr w:type="spellStart"/>
      <w:r w:rsidRPr="003156E8">
        <w:rPr>
          <w:i/>
          <w:iCs/>
          <w:lang w:val="fr-FR"/>
        </w:rPr>
        <w:t>del</w:t>
      </w:r>
      <w:proofErr w:type="spellEnd"/>
      <w:r w:rsidRPr="003156E8">
        <w:rPr>
          <w:i/>
          <w:iCs/>
          <w:lang w:val="fr-FR"/>
        </w:rPr>
        <w:t xml:space="preserve"> Orinoco </w:t>
      </w:r>
      <w:r w:rsidRPr="003156E8">
        <w:rPr>
          <w:lang w:val="fr-FR"/>
        </w:rPr>
        <w:t xml:space="preserve">a été créée en 2016, en application du décret </w:t>
      </w:r>
      <w:r w:rsidR="00A92AEA" w:rsidRPr="00A92AEA">
        <w:rPr>
          <w:rFonts w:eastAsia="MS Mincho"/>
          <w:lang w:val="fr-FR"/>
        </w:rPr>
        <w:t>n</w:t>
      </w:r>
      <w:r w:rsidR="00A92AEA" w:rsidRPr="00A92AEA">
        <w:rPr>
          <w:rFonts w:eastAsia="MS Mincho"/>
          <w:vertAlign w:val="superscript"/>
          <w:lang w:val="fr-FR"/>
        </w:rPr>
        <w:t>o</w:t>
      </w:r>
      <w:r w:rsidR="00A92AEA">
        <w:rPr>
          <w:lang w:val="fr-FR"/>
        </w:rPr>
        <w:t> </w:t>
      </w:r>
      <w:r w:rsidRPr="003156E8">
        <w:rPr>
          <w:lang w:val="fr-FR"/>
        </w:rPr>
        <w:t>2 248</w:t>
      </w:r>
      <w:r w:rsidRPr="00F30B21">
        <w:rPr>
          <w:rStyle w:val="Appelnotedebasdep"/>
        </w:rPr>
        <w:footnoteReference w:id="21"/>
      </w:r>
      <w:r w:rsidR="00244AED" w:rsidRPr="00244AED">
        <w:rPr>
          <w:lang w:val="fr-FR"/>
        </w:rPr>
        <w:t>.</w:t>
      </w:r>
      <w:r w:rsidRPr="003156E8">
        <w:rPr>
          <w:lang w:val="fr-FR"/>
        </w:rPr>
        <w:t xml:space="preserve"> Ce décret prévoit des stratégies spéciales concernant le développement et la protection de l</w:t>
      </w:r>
      <w:r>
        <w:rPr>
          <w:lang w:val="fr-FR"/>
        </w:rPr>
        <w:t>’</w:t>
      </w:r>
      <w:r w:rsidRPr="003156E8">
        <w:rPr>
          <w:lang w:val="fr-FR"/>
        </w:rPr>
        <w:t>environnement et des communautés autochtones sur l</w:t>
      </w:r>
      <w:r>
        <w:rPr>
          <w:lang w:val="fr-FR"/>
        </w:rPr>
        <w:t>’</w:t>
      </w:r>
      <w:r w:rsidRPr="003156E8">
        <w:rPr>
          <w:lang w:val="fr-FR"/>
        </w:rPr>
        <w:t>ensemble du territoire concerné</w:t>
      </w:r>
      <w:r w:rsidR="00244AED" w:rsidRPr="00244AED">
        <w:rPr>
          <w:lang w:val="fr-FR"/>
        </w:rPr>
        <w:t>.</w:t>
      </w:r>
      <w:r w:rsidRPr="003156E8">
        <w:rPr>
          <w:lang w:val="fr-FR"/>
        </w:rPr>
        <w:t xml:space="preserve"> Il garantit la sauvegarde </w:t>
      </w:r>
      <w:proofErr w:type="spellStart"/>
      <w:r w:rsidRPr="003156E8">
        <w:rPr>
          <w:lang w:val="fr-FR"/>
        </w:rPr>
        <w:t>écosocialiste</w:t>
      </w:r>
      <w:proofErr w:type="spellEnd"/>
      <w:r w:rsidRPr="003156E8">
        <w:rPr>
          <w:lang w:val="fr-FR"/>
        </w:rPr>
        <w:t>, ainsi que les us et coutumes des peuples autochtones, dans le respect des règles relatives à la consultation préalable et informée des peuples et des communautés autochtones</w:t>
      </w:r>
      <w:r w:rsidR="00244AED" w:rsidRPr="00244AED">
        <w:rPr>
          <w:lang w:val="fr-FR"/>
        </w:rPr>
        <w:t>.</w:t>
      </w:r>
    </w:p>
    <w:p w14:paraId="60D5FC39" w14:textId="0049B661" w:rsidR="00F30B21" w:rsidRPr="003156E8" w:rsidRDefault="00F30B21" w:rsidP="00F30B21">
      <w:pPr>
        <w:pStyle w:val="SingleTxtG"/>
        <w:rPr>
          <w:lang w:val="fr-FR"/>
        </w:rPr>
      </w:pPr>
      <w:r w:rsidRPr="003156E8">
        <w:rPr>
          <w:color w:val="000000" w:themeColor="text1"/>
          <w:lang w:val="fr-FR"/>
        </w:rPr>
        <w:t>48</w:t>
      </w:r>
      <w:r w:rsidR="00244AED" w:rsidRPr="00244AED">
        <w:rPr>
          <w:color w:val="000000" w:themeColor="text1"/>
          <w:lang w:val="fr-FR"/>
        </w:rPr>
        <w:t>.</w:t>
      </w:r>
      <w:r w:rsidRPr="003156E8">
        <w:rPr>
          <w:color w:val="000000" w:themeColor="text1"/>
          <w:lang w:val="fr-FR"/>
        </w:rPr>
        <w:tab/>
      </w:r>
      <w:r w:rsidRPr="003156E8">
        <w:rPr>
          <w:lang w:val="fr-FR"/>
        </w:rPr>
        <w:t xml:space="preserve">La Commission présidentielle pour le développement </w:t>
      </w:r>
      <w:proofErr w:type="spellStart"/>
      <w:r w:rsidRPr="003156E8">
        <w:rPr>
          <w:lang w:val="fr-FR"/>
        </w:rPr>
        <w:t>écosocialiste</w:t>
      </w:r>
      <w:proofErr w:type="spellEnd"/>
      <w:r w:rsidRPr="003156E8">
        <w:rPr>
          <w:lang w:val="fr-FR"/>
        </w:rPr>
        <w:t xml:space="preserve"> et la protection des droits des peuples autochtones dans le secteur minier a également été créée pour conseiller l</w:t>
      </w:r>
      <w:r>
        <w:rPr>
          <w:lang w:val="fr-FR"/>
        </w:rPr>
        <w:t>’</w:t>
      </w:r>
      <w:r w:rsidRPr="003156E8">
        <w:rPr>
          <w:lang w:val="fr-FR"/>
        </w:rPr>
        <w:t xml:space="preserve">État en ce qui concerne les décisions relatives à la préservation des zones </w:t>
      </w:r>
      <w:r>
        <w:rPr>
          <w:lang w:val="fr-FR"/>
        </w:rPr>
        <w:t xml:space="preserve">ayant </w:t>
      </w:r>
      <w:r w:rsidRPr="003156E8">
        <w:rPr>
          <w:lang w:val="fr-FR"/>
        </w:rPr>
        <w:t>une importance écologique et hydrique particulière, afin de permettre un développement harmonieux des activités minières</w:t>
      </w:r>
      <w:r w:rsidRPr="00F30B21">
        <w:rPr>
          <w:rStyle w:val="Appelnotedebasdep"/>
        </w:rPr>
        <w:footnoteReference w:id="22"/>
      </w:r>
      <w:r w:rsidR="00244AED" w:rsidRPr="00244AED">
        <w:rPr>
          <w:lang w:val="fr-FR"/>
        </w:rPr>
        <w:t>.</w:t>
      </w:r>
    </w:p>
    <w:p w14:paraId="0C3A11BE" w14:textId="25198A5B" w:rsidR="00F30B21" w:rsidRPr="003156E8" w:rsidRDefault="00F30B21" w:rsidP="00F30B21">
      <w:pPr>
        <w:pStyle w:val="SingleTxtG"/>
        <w:rPr>
          <w:lang w:val="fr-FR"/>
        </w:rPr>
      </w:pPr>
      <w:r w:rsidRPr="003156E8">
        <w:rPr>
          <w:color w:val="000000" w:themeColor="text1"/>
          <w:lang w:val="fr-FR"/>
        </w:rPr>
        <w:t>49</w:t>
      </w:r>
      <w:r w:rsidR="00244AED" w:rsidRPr="00244AED">
        <w:rPr>
          <w:color w:val="000000" w:themeColor="text1"/>
          <w:lang w:val="fr-FR"/>
        </w:rPr>
        <w:t>.</w:t>
      </w:r>
      <w:r w:rsidRPr="003156E8">
        <w:rPr>
          <w:color w:val="000000" w:themeColor="text1"/>
          <w:lang w:val="fr-FR"/>
        </w:rPr>
        <w:tab/>
      </w:r>
      <w:r w:rsidRPr="003156E8">
        <w:rPr>
          <w:lang w:val="fr-FR"/>
        </w:rPr>
        <w:t>La création d</w:t>
      </w:r>
      <w:r>
        <w:rPr>
          <w:lang w:val="fr-FR"/>
        </w:rPr>
        <w:t>’</w:t>
      </w:r>
      <w:r w:rsidRPr="003156E8">
        <w:rPr>
          <w:lang w:val="fr-FR"/>
        </w:rPr>
        <w:t>un parc national sur le bassin hydrographique de la rivière Caura a été annoncée en 2017</w:t>
      </w:r>
      <w:r w:rsidR="00244AED" w:rsidRPr="00244AED">
        <w:rPr>
          <w:lang w:val="fr-FR"/>
        </w:rPr>
        <w:t>.</w:t>
      </w:r>
      <w:r w:rsidRPr="003156E8">
        <w:rPr>
          <w:lang w:val="fr-FR"/>
        </w:rPr>
        <w:t xml:space="preserve"> L</w:t>
      </w:r>
      <w:r>
        <w:rPr>
          <w:lang w:val="fr-FR"/>
        </w:rPr>
        <w:t>’</w:t>
      </w:r>
      <w:r w:rsidRPr="003156E8">
        <w:rPr>
          <w:lang w:val="fr-FR"/>
        </w:rPr>
        <w:t xml:space="preserve">objectif est de protéger le potentiel </w:t>
      </w:r>
      <w:proofErr w:type="spellStart"/>
      <w:r w:rsidRPr="003156E8">
        <w:rPr>
          <w:lang w:val="fr-FR"/>
        </w:rPr>
        <w:t>hydroélectrique</w:t>
      </w:r>
      <w:proofErr w:type="spellEnd"/>
      <w:r w:rsidRPr="003156E8">
        <w:rPr>
          <w:lang w:val="fr-FR"/>
        </w:rPr>
        <w:t xml:space="preserve"> et la biodiversité de ce territoire et de lancer des opérations de nettoyage environnemental nécessaires</w:t>
      </w:r>
      <w:r>
        <w:rPr>
          <w:lang w:val="fr-FR"/>
        </w:rPr>
        <w:t>,</w:t>
      </w:r>
      <w:r w:rsidRPr="003156E8">
        <w:rPr>
          <w:lang w:val="fr-FR"/>
        </w:rPr>
        <w:t xml:space="preserve"> en raison des effets </w:t>
      </w:r>
      <w:r>
        <w:rPr>
          <w:lang w:val="fr-FR"/>
        </w:rPr>
        <w:t>délétères</w:t>
      </w:r>
      <w:r w:rsidRPr="003156E8">
        <w:rPr>
          <w:lang w:val="fr-FR"/>
        </w:rPr>
        <w:t xml:space="preserve"> de l</w:t>
      </w:r>
      <w:r>
        <w:rPr>
          <w:lang w:val="fr-FR"/>
        </w:rPr>
        <w:t>’</w:t>
      </w:r>
      <w:r w:rsidRPr="003156E8">
        <w:rPr>
          <w:lang w:val="fr-FR"/>
        </w:rPr>
        <w:t>exploitation minière illégale</w:t>
      </w:r>
      <w:r w:rsidR="00244AED" w:rsidRPr="00244AED">
        <w:rPr>
          <w:lang w:val="fr-FR"/>
        </w:rPr>
        <w:t>.</w:t>
      </w:r>
      <w:r w:rsidRPr="003156E8">
        <w:rPr>
          <w:lang w:val="fr-FR"/>
        </w:rPr>
        <w:t xml:space="preserve"> Cette zone protégée couvre une surface de 7,5 millions d</w:t>
      </w:r>
      <w:r>
        <w:rPr>
          <w:lang w:val="fr-FR"/>
        </w:rPr>
        <w:t>’</w:t>
      </w:r>
      <w:r w:rsidRPr="003156E8">
        <w:rPr>
          <w:lang w:val="fr-FR"/>
        </w:rPr>
        <w:t xml:space="preserve">hectares, dont 4 millions sont peuplés par des communautés autochtones </w:t>
      </w:r>
      <w:proofErr w:type="spellStart"/>
      <w:r w:rsidRPr="003156E8">
        <w:rPr>
          <w:lang w:val="fr-FR"/>
        </w:rPr>
        <w:t>Sanemá</w:t>
      </w:r>
      <w:proofErr w:type="spellEnd"/>
      <w:r w:rsidRPr="003156E8">
        <w:rPr>
          <w:lang w:val="fr-FR"/>
        </w:rPr>
        <w:t xml:space="preserve">, </w:t>
      </w:r>
      <w:proofErr w:type="spellStart"/>
      <w:r w:rsidRPr="003156E8">
        <w:rPr>
          <w:lang w:val="fr-FR"/>
        </w:rPr>
        <w:t>Hoti</w:t>
      </w:r>
      <w:proofErr w:type="spellEnd"/>
      <w:r w:rsidRPr="003156E8">
        <w:rPr>
          <w:lang w:val="fr-FR"/>
        </w:rPr>
        <w:t xml:space="preserve"> et </w:t>
      </w:r>
      <w:proofErr w:type="spellStart"/>
      <w:r w:rsidRPr="003156E8">
        <w:rPr>
          <w:lang w:val="fr-FR"/>
        </w:rPr>
        <w:t>Yekwuana</w:t>
      </w:r>
      <w:proofErr w:type="spellEnd"/>
      <w:r w:rsidRPr="003156E8">
        <w:rPr>
          <w:lang w:val="fr-FR"/>
        </w:rPr>
        <w:t>, ainsi que par les communautés d</w:t>
      </w:r>
      <w:r>
        <w:rPr>
          <w:lang w:val="fr-FR"/>
        </w:rPr>
        <w:t>’</w:t>
      </w:r>
      <w:r w:rsidRPr="003156E8">
        <w:rPr>
          <w:lang w:val="fr-FR"/>
        </w:rPr>
        <w:t>ascendance africaine d</w:t>
      </w:r>
      <w:r>
        <w:rPr>
          <w:lang w:val="fr-FR"/>
        </w:rPr>
        <w:t>’</w:t>
      </w:r>
      <w:proofErr w:type="spellStart"/>
      <w:r w:rsidRPr="003156E8">
        <w:rPr>
          <w:lang w:val="fr-FR"/>
        </w:rPr>
        <w:t>Aripao</w:t>
      </w:r>
      <w:proofErr w:type="spellEnd"/>
      <w:r w:rsidR="00244AED" w:rsidRPr="00244AED">
        <w:rPr>
          <w:lang w:val="fr-FR"/>
        </w:rPr>
        <w:t>.</w:t>
      </w:r>
    </w:p>
    <w:p w14:paraId="2AC7633E" w14:textId="67CA26AB" w:rsidR="00F30B21" w:rsidRPr="003156E8" w:rsidRDefault="00F30B21" w:rsidP="00F30B21">
      <w:pPr>
        <w:pStyle w:val="SingleTxtG"/>
        <w:rPr>
          <w:lang w:val="fr-FR"/>
        </w:rPr>
      </w:pPr>
      <w:r w:rsidRPr="003156E8">
        <w:rPr>
          <w:color w:val="000000" w:themeColor="text1"/>
          <w:lang w:val="fr-FR"/>
        </w:rPr>
        <w:t>50</w:t>
      </w:r>
      <w:r w:rsidR="00244AED" w:rsidRPr="00244AED">
        <w:rPr>
          <w:color w:val="000000" w:themeColor="text1"/>
          <w:lang w:val="fr-FR"/>
        </w:rPr>
        <w:t>.</w:t>
      </w:r>
      <w:r w:rsidRPr="003156E8">
        <w:rPr>
          <w:color w:val="000000" w:themeColor="text1"/>
          <w:lang w:val="fr-FR"/>
        </w:rPr>
        <w:tab/>
      </w:r>
      <w:r w:rsidRPr="003156E8">
        <w:rPr>
          <w:lang w:val="fr-FR"/>
        </w:rPr>
        <w:t xml:space="preserve">Le plan global pour la défense, le développement et le renforcement des communes frontalières </w:t>
      </w:r>
      <w:proofErr w:type="spellStart"/>
      <w:r w:rsidRPr="003156E8">
        <w:rPr>
          <w:lang w:val="fr-FR"/>
        </w:rPr>
        <w:t>Machiques</w:t>
      </w:r>
      <w:proofErr w:type="spellEnd"/>
      <w:r w:rsidRPr="003156E8">
        <w:rPr>
          <w:lang w:val="fr-FR"/>
        </w:rPr>
        <w:t xml:space="preserve"> de </w:t>
      </w:r>
      <w:proofErr w:type="spellStart"/>
      <w:r w:rsidRPr="003156E8">
        <w:rPr>
          <w:lang w:val="fr-FR"/>
        </w:rPr>
        <w:t>Perijá</w:t>
      </w:r>
      <w:proofErr w:type="spellEnd"/>
      <w:r w:rsidRPr="003156E8">
        <w:rPr>
          <w:lang w:val="fr-FR"/>
        </w:rPr>
        <w:t xml:space="preserve">, Rosario de </w:t>
      </w:r>
      <w:proofErr w:type="spellStart"/>
      <w:r w:rsidRPr="003156E8">
        <w:rPr>
          <w:lang w:val="fr-FR"/>
        </w:rPr>
        <w:t>Perijá</w:t>
      </w:r>
      <w:proofErr w:type="spellEnd"/>
      <w:r w:rsidRPr="003156E8">
        <w:rPr>
          <w:lang w:val="fr-FR"/>
        </w:rPr>
        <w:t xml:space="preserve"> et </w:t>
      </w:r>
      <w:proofErr w:type="spellStart"/>
      <w:r w:rsidRPr="003156E8">
        <w:rPr>
          <w:lang w:val="fr-FR"/>
        </w:rPr>
        <w:t>Jesús</w:t>
      </w:r>
      <w:proofErr w:type="spellEnd"/>
      <w:r w:rsidRPr="003156E8">
        <w:rPr>
          <w:lang w:val="fr-FR"/>
        </w:rPr>
        <w:t xml:space="preserve"> Maria </w:t>
      </w:r>
      <w:proofErr w:type="spellStart"/>
      <w:r w:rsidRPr="003156E8">
        <w:rPr>
          <w:lang w:val="fr-FR"/>
        </w:rPr>
        <w:t>Sempr</w:t>
      </w:r>
      <w:r>
        <w:rPr>
          <w:lang w:val="fr-FR"/>
        </w:rPr>
        <w:t>ú</w:t>
      </w:r>
      <w:r w:rsidRPr="003156E8">
        <w:rPr>
          <w:lang w:val="fr-FR"/>
        </w:rPr>
        <w:t>m</w:t>
      </w:r>
      <w:proofErr w:type="spellEnd"/>
      <w:r w:rsidRPr="003156E8">
        <w:rPr>
          <w:lang w:val="fr-FR"/>
        </w:rPr>
        <w:t xml:space="preserve"> (communautés autochtones </w:t>
      </w:r>
      <w:proofErr w:type="spellStart"/>
      <w:r w:rsidRPr="003156E8">
        <w:rPr>
          <w:lang w:val="fr-FR"/>
        </w:rPr>
        <w:t>Yukpa</w:t>
      </w:r>
      <w:proofErr w:type="spellEnd"/>
      <w:r w:rsidRPr="003156E8">
        <w:rPr>
          <w:lang w:val="fr-FR"/>
        </w:rPr>
        <w:t xml:space="preserve">) a été mis en place au cours de la période </w:t>
      </w:r>
      <w:r>
        <w:rPr>
          <w:lang w:val="fr-FR"/>
        </w:rPr>
        <w:t>considérée</w:t>
      </w:r>
      <w:r w:rsidR="00244AED" w:rsidRPr="00244AED">
        <w:rPr>
          <w:lang w:val="fr-FR"/>
        </w:rPr>
        <w:t>.</w:t>
      </w:r>
      <w:r w:rsidRPr="003156E8">
        <w:rPr>
          <w:lang w:val="fr-FR"/>
        </w:rPr>
        <w:t xml:space="preserve"> Par la suite, le plan </w:t>
      </w:r>
      <w:proofErr w:type="spellStart"/>
      <w:r w:rsidRPr="003156E8">
        <w:rPr>
          <w:i/>
          <w:iCs/>
          <w:lang w:val="fr-FR"/>
        </w:rPr>
        <w:t>Yukpa</w:t>
      </w:r>
      <w:proofErr w:type="spellEnd"/>
      <w:r w:rsidRPr="003156E8">
        <w:rPr>
          <w:i/>
          <w:iCs/>
          <w:lang w:val="fr-FR"/>
        </w:rPr>
        <w:t xml:space="preserve"> </w:t>
      </w:r>
      <w:r w:rsidRPr="003156E8">
        <w:rPr>
          <w:lang w:val="fr-FR"/>
        </w:rPr>
        <w:t>a été mis en place pour</w:t>
      </w:r>
      <w:r w:rsidRPr="003156E8">
        <w:rPr>
          <w:i/>
          <w:iCs/>
          <w:lang w:val="fr-FR"/>
        </w:rPr>
        <w:t xml:space="preserve"> </w:t>
      </w:r>
      <w:r w:rsidRPr="003156E8">
        <w:rPr>
          <w:lang w:val="fr-FR"/>
        </w:rPr>
        <w:t xml:space="preserve">renforcer la </w:t>
      </w:r>
      <w:proofErr w:type="spellStart"/>
      <w:r w:rsidRPr="003156E8">
        <w:rPr>
          <w:lang w:val="fr-FR"/>
        </w:rPr>
        <w:t>plateforme</w:t>
      </w:r>
      <w:proofErr w:type="spellEnd"/>
      <w:r w:rsidRPr="003156E8">
        <w:rPr>
          <w:lang w:val="fr-FR"/>
        </w:rPr>
        <w:t xml:space="preserve"> institutionnelle et logistique chargée de coordonner, avec la participation de l</w:t>
      </w:r>
      <w:r>
        <w:rPr>
          <w:lang w:val="fr-FR"/>
        </w:rPr>
        <w:t>’</w:t>
      </w:r>
      <w:r w:rsidRPr="003156E8">
        <w:rPr>
          <w:lang w:val="fr-FR"/>
        </w:rPr>
        <w:t>État et des communautés, la défense, le développement et le renforcement des peuples autochtones vivant dans ces communes frontalières</w:t>
      </w:r>
      <w:r w:rsidR="00244AED" w:rsidRPr="00244AED">
        <w:rPr>
          <w:lang w:val="fr-FR"/>
        </w:rPr>
        <w:t>.</w:t>
      </w:r>
    </w:p>
    <w:p w14:paraId="3E37045C" w14:textId="77777777" w:rsidR="00F30B21" w:rsidRPr="003156E8" w:rsidRDefault="00F30B21" w:rsidP="00F30B21">
      <w:pPr>
        <w:pStyle w:val="H1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Article 5</w:t>
      </w:r>
    </w:p>
    <w:p w14:paraId="5FAF1829" w14:textId="2E02F265" w:rsidR="00F30B21" w:rsidRPr="003156E8" w:rsidRDefault="00F30B21" w:rsidP="00F30B21">
      <w:pPr>
        <w:pStyle w:val="H23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Obligation d</w:t>
      </w:r>
      <w:r>
        <w:rPr>
          <w:bCs/>
          <w:shd w:val="clear" w:color="auto" w:fill="FFFFFF"/>
          <w:lang w:val="fr-FR"/>
        </w:rPr>
        <w:t>’</w:t>
      </w:r>
      <w:r w:rsidRPr="003156E8">
        <w:rPr>
          <w:bCs/>
          <w:shd w:val="clear" w:color="auto" w:fill="FFFFFF"/>
          <w:lang w:val="fr-FR"/>
        </w:rPr>
        <w:t>interdire et d</w:t>
      </w:r>
      <w:r>
        <w:rPr>
          <w:bCs/>
          <w:shd w:val="clear" w:color="auto" w:fill="FFFFFF"/>
          <w:lang w:val="fr-FR"/>
        </w:rPr>
        <w:t>’</w:t>
      </w:r>
      <w:r w:rsidRPr="003156E8">
        <w:rPr>
          <w:bCs/>
          <w:shd w:val="clear" w:color="auto" w:fill="FFFFFF"/>
          <w:lang w:val="fr-FR"/>
        </w:rPr>
        <w:t xml:space="preserve">éliminer la discrimination raciale sous toutes ses formes </w:t>
      </w:r>
      <w:r w:rsidR="00A92AEA">
        <w:rPr>
          <w:bCs/>
          <w:shd w:val="clear" w:color="auto" w:fill="FFFFFF"/>
          <w:lang w:val="fr-FR"/>
        </w:rPr>
        <w:br/>
      </w:r>
      <w:r w:rsidRPr="003156E8">
        <w:rPr>
          <w:bCs/>
          <w:shd w:val="clear" w:color="auto" w:fill="FFFFFF"/>
          <w:lang w:val="fr-FR"/>
        </w:rPr>
        <w:t>et de garantir le droit de chacun à l</w:t>
      </w:r>
      <w:r>
        <w:rPr>
          <w:bCs/>
          <w:shd w:val="clear" w:color="auto" w:fill="FFFFFF"/>
          <w:lang w:val="fr-FR"/>
        </w:rPr>
        <w:t>’</w:t>
      </w:r>
      <w:r w:rsidRPr="003156E8">
        <w:rPr>
          <w:bCs/>
          <w:shd w:val="clear" w:color="auto" w:fill="FFFFFF"/>
          <w:lang w:val="fr-FR"/>
        </w:rPr>
        <w:t>égalité devant la loi</w:t>
      </w:r>
    </w:p>
    <w:p w14:paraId="5B3EB575" w14:textId="343DF8C1" w:rsidR="00F30B21" w:rsidRPr="003156E8" w:rsidRDefault="00F30B21" w:rsidP="00F30B21">
      <w:pPr>
        <w:pStyle w:val="SingleTxtG"/>
        <w:rPr>
          <w:lang w:val="fr-FR"/>
        </w:rPr>
      </w:pPr>
      <w:r w:rsidRPr="003156E8">
        <w:rPr>
          <w:color w:val="000000" w:themeColor="text1"/>
          <w:lang w:val="fr-FR"/>
        </w:rPr>
        <w:t>51</w:t>
      </w:r>
      <w:r w:rsidR="00244AED" w:rsidRPr="00244AED">
        <w:rPr>
          <w:color w:val="000000" w:themeColor="text1"/>
          <w:lang w:val="fr-FR"/>
        </w:rPr>
        <w:t>.</w:t>
      </w:r>
      <w:r w:rsidRPr="003156E8">
        <w:rPr>
          <w:color w:val="000000" w:themeColor="text1"/>
          <w:lang w:val="fr-FR"/>
        </w:rPr>
        <w:tab/>
      </w:r>
      <w:r w:rsidRPr="003156E8">
        <w:rPr>
          <w:lang w:val="fr-FR"/>
        </w:rPr>
        <w:t>La République bolivarienne du Venezuela s</w:t>
      </w:r>
      <w:r>
        <w:rPr>
          <w:lang w:val="fr-FR"/>
        </w:rPr>
        <w:t>’</w:t>
      </w:r>
      <w:r w:rsidRPr="003156E8">
        <w:rPr>
          <w:lang w:val="fr-FR"/>
        </w:rPr>
        <w:t>est engagée à interdire et à éliminer la discrimination raciale sous toutes ses formes et à garantir le droit de chacun à l</w:t>
      </w:r>
      <w:r>
        <w:rPr>
          <w:lang w:val="fr-FR"/>
        </w:rPr>
        <w:t>’</w:t>
      </w:r>
      <w:r w:rsidRPr="003156E8">
        <w:rPr>
          <w:lang w:val="fr-FR"/>
        </w:rPr>
        <w:t>égalité devant la loi, sans distinction de race, de couleur, d</w:t>
      </w:r>
      <w:r>
        <w:rPr>
          <w:lang w:val="fr-FR"/>
        </w:rPr>
        <w:t>’</w:t>
      </w:r>
      <w:r w:rsidRPr="003156E8">
        <w:rPr>
          <w:lang w:val="fr-FR"/>
        </w:rPr>
        <w:t>origine nationale ou ethnique</w:t>
      </w:r>
      <w:r w:rsidR="00244AED" w:rsidRPr="00244AED">
        <w:rPr>
          <w:lang w:val="fr-FR"/>
        </w:rPr>
        <w:t>.</w:t>
      </w:r>
      <w:r w:rsidRPr="003156E8">
        <w:rPr>
          <w:lang w:val="fr-FR"/>
        </w:rPr>
        <w:t xml:space="preserve"> </w:t>
      </w:r>
    </w:p>
    <w:p w14:paraId="0FC43E2C" w14:textId="75005D7D" w:rsidR="00F30B21" w:rsidRPr="003156E8" w:rsidRDefault="00F30B21" w:rsidP="00DC6BF9">
      <w:pPr>
        <w:pStyle w:val="H1G"/>
        <w:rPr>
          <w:i/>
          <w:lang w:val="fr-FR"/>
        </w:rPr>
      </w:pPr>
      <w:r w:rsidRPr="003156E8">
        <w:rPr>
          <w:lang w:val="fr-FR"/>
        </w:rPr>
        <w:tab/>
        <w:t>A</w:t>
      </w:r>
      <w:r w:rsidR="00244AED" w:rsidRPr="00244AED">
        <w:rPr>
          <w:lang w:val="fr-FR"/>
        </w:rPr>
        <w:t>.</w:t>
      </w:r>
      <w:r w:rsidRPr="003156E8">
        <w:rPr>
          <w:lang w:val="fr-FR"/>
        </w:rPr>
        <w:tab/>
        <w:t>Droit à un traitement égal devant les tribunaux et tout autre organe administrant la justice</w:t>
      </w:r>
    </w:p>
    <w:p w14:paraId="7691CA57" w14:textId="2E76A2C5" w:rsidR="00F30B21" w:rsidRPr="003156E8" w:rsidRDefault="00F30B21" w:rsidP="00F30B21">
      <w:pPr>
        <w:pStyle w:val="H56G"/>
        <w:rPr>
          <w:b/>
          <w:lang w:val="fr-FR"/>
        </w:rPr>
      </w:pPr>
      <w:r w:rsidRPr="003156E8">
        <w:rPr>
          <w:lang w:val="fr-FR"/>
        </w:rPr>
        <w:tab/>
      </w:r>
      <w:r w:rsidRPr="003156E8">
        <w:rPr>
          <w:b/>
          <w:bCs/>
          <w:lang w:val="fr-FR"/>
        </w:rPr>
        <w:t>1</w:t>
      </w:r>
      <w:r w:rsidR="00244AED" w:rsidRPr="00244AED">
        <w:rPr>
          <w:b/>
          <w:bCs/>
          <w:lang w:val="fr-FR"/>
        </w:rPr>
        <w:t>.</w:t>
      </w:r>
      <w:r w:rsidRPr="003156E8">
        <w:rPr>
          <w:b/>
          <w:bCs/>
          <w:lang w:val="fr-FR"/>
        </w:rPr>
        <w:tab/>
        <w:t>Peuples autochtones</w:t>
      </w:r>
    </w:p>
    <w:p w14:paraId="520C59D3" w14:textId="258B6FA1" w:rsidR="00F30B21" w:rsidRPr="003156E8" w:rsidRDefault="00F30B21" w:rsidP="00F30B21">
      <w:pPr>
        <w:pStyle w:val="SingleTxtG"/>
        <w:rPr>
          <w:lang w:val="fr-FR"/>
        </w:rPr>
      </w:pPr>
      <w:r w:rsidRPr="003156E8">
        <w:rPr>
          <w:color w:val="000000" w:themeColor="text1"/>
          <w:lang w:val="fr-FR"/>
        </w:rPr>
        <w:t>52</w:t>
      </w:r>
      <w:r w:rsidR="00244AED" w:rsidRPr="00244AED">
        <w:rPr>
          <w:color w:val="000000" w:themeColor="text1"/>
          <w:lang w:val="fr-FR"/>
        </w:rPr>
        <w:t>.</w:t>
      </w:r>
      <w:r w:rsidRPr="003156E8">
        <w:rPr>
          <w:color w:val="000000" w:themeColor="text1"/>
          <w:lang w:val="fr-FR"/>
        </w:rPr>
        <w:tab/>
      </w:r>
      <w:r w:rsidRPr="003156E8">
        <w:rPr>
          <w:lang w:val="fr-FR"/>
        </w:rPr>
        <w:t xml:space="preserve">La République bolivarienne du Venezuela reconnaît que le droit originel ou préhispanique des peuples autochtones, droit coutumier et ancestral figurant dans la </w:t>
      </w:r>
      <w:proofErr w:type="spellStart"/>
      <w:r w:rsidRPr="003156E8">
        <w:rPr>
          <w:i/>
          <w:iCs/>
          <w:lang w:val="fr-FR"/>
        </w:rPr>
        <w:t>Jurisdicción</w:t>
      </w:r>
      <w:proofErr w:type="spellEnd"/>
      <w:r w:rsidRPr="003156E8">
        <w:rPr>
          <w:i/>
          <w:iCs/>
          <w:lang w:val="fr-FR"/>
        </w:rPr>
        <w:t xml:space="preserve"> </w:t>
      </w:r>
      <w:proofErr w:type="spellStart"/>
      <w:r w:rsidRPr="003156E8">
        <w:rPr>
          <w:i/>
          <w:iCs/>
          <w:lang w:val="fr-FR"/>
        </w:rPr>
        <w:t>Especial</w:t>
      </w:r>
      <w:proofErr w:type="spellEnd"/>
      <w:r w:rsidRPr="003156E8">
        <w:rPr>
          <w:i/>
          <w:iCs/>
          <w:lang w:val="fr-FR"/>
        </w:rPr>
        <w:t xml:space="preserve"> </w:t>
      </w:r>
      <w:proofErr w:type="spellStart"/>
      <w:r w:rsidRPr="003156E8">
        <w:rPr>
          <w:i/>
          <w:iCs/>
          <w:lang w:val="fr-FR"/>
        </w:rPr>
        <w:t>Indígena</w:t>
      </w:r>
      <w:proofErr w:type="spellEnd"/>
      <w:r w:rsidRPr="003156E8">
        <w:rPr>
          <w:i/>
          <w:iCs/>
          <w:lang w:val="fr-FR"/>
        </w:rPr>
        <w:t xml:space="preserve"> </w:t>
      </w:r>
      <w:r w:rsidRPr="003156E8">
        <w:rPr>
          <w:lang w:val="fr-FR"/>
        </w:rPr>
        <w:t>(</w:t>
      </w:r>
      <w:r>
        <w:rPr>
          <w:lang w:val="fr-FR"/>
        </w:rPr>
        <w:t>j</w:t>
      </w:r>
      <w:r w:rsidRPr="003156E8">
        <w:rPr>
          <w:lang w:val="fr-FR"/>
        </w:rPr>
        <w:t>uridiction spéciale autochtone)</w:t>
      </w:r>
      <w:r>
        <w:rPr>
          <w:lang w:val="fr-FR"/>
        </w:rPr>
        <w:t>,</w:t>
      </w:r>
      <w:r w:rsidRPr="003156E8">
        <w:rPr>
          <w:lang w:val="fr-FR"/>
        </w:rPr>
        <w:t xml:space="preserve"> doit être appliqué, conformément aux dispositions de l</w:t>
      </w:r>
      <w:r>
        <w:rPr>
          <w:lang w:val="fr-FR"/>
        </w:rPr>
        <w:t>’</w:t>
      </w:r>
      <w:r w:rsidRPr="003156E8">
        <w:rPr>
          <w:lang w:val="fr-FR"/>
        </w:rPr>
        <w:t>article 260 de la Constitution</w:t>
      </w:r>
      <w:r w:rsidR="00244AED" w:rsidRPr="00244AED">
        <w:rPr>
          <w:lang w:val="fr-FR"/>
        </w:rPr>
        <w:t>.</w:t>
      </w:r>
    </w:p>
    <w:p w14:paraId="3EDED4FC" w14:textId="49E7F105" w:rsidR="00F30B21" w:rsidRPr="003156E8" w:rsidRDefault="00F30B21" w:rsidP="00F30B21">
      <w:pPr>
        <w:pStyle w:val="SingleTxtG"/>
        <w:rPr>
          <w:lang w:val="fr-FR"/>
        </w:rPr>
      </w:pPr>
      <w:r w:rsidRPr="003156E8">
        <w:rPr>
          <w:color w:val="000000" w:themeColor="text1"/>
          <w:lang w:val="fr-FR"/>
        </w:rPr>
        <w:t>53</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article 48 de la loi organique relative au ministère public porte création des parquets compétents en matière autochtone, composés de procureurs d</w:t>
      </w:r>
      <w:r>
        <w:rPr>
          <w:lang w:val="fr-FR"/>
        </w:rPr>
        <w:t>’</w:t>
      </w:r>
      <w:r w:rsidRPr="003156E8">
        <w:rPr>
          <w:lang w:val="fr-FR"/>
        </w:rPr>
        <w:t>origine autochtone connaissant suffisamment bien le sujet</w:t>
      </w:r>
      <w:r w:rsidR="00244AED" w:rsidRPr="00244AED">
        <w:rPr>
          <w:lang w:val="fr-FR"/>
        </w:rPr>
        <w:t>.</w:t>
      </w:r>
      <w:r w:rsidRPr="003156E8">
        <w:rPr>
          <w:lang w:val="fr-FR"/>
        </w:rPr>
        <w:t xml:space="preserve"> Ils sont principalement chargés de l</w:t>
      </w:r>
      <w:r>
        <w:rPr>
          <w:lang w:val="fr-FR"/>
        </w:rPr>
        <w:t>’</w:t>
      </w:r>
      <w:r w:rsidRPr="003156E8">
        <w:rPr>
          <w:lang w:val="fr-FR"/>
        </w:rPr>
        <w:t>exercice des actions ou des recours, en matière de droit administratif, de droit civil ou de droit du travail, en cas de violation des droits et garanties constitutionnels des membres des peuples ou communautés autochtones</w:t>
      </w:r>
      <w:r w:rsidR="00244AED" w:rsidRPr="00244AED">
        <w:rPr>
          <w:lang w:val="fr-FR"/>
        </w:rPr>
        <w:t>.</w:t>
      </w:r>
      <w:r w:rsidRPr="003156E8">
        <w:rPr>
          <w:lang w:val="fr-FR"/>
        </w:rPr>
        <w:t xml:space="preserve"> </w:t>
      </w:r>
    </w:p>
    <w:p w14:paraId="059D9F84" w14:textId="220A6000" w:rsidR="00F30B21" w:rsidRPr="003156E8" w:rsidRDefault="00F30B21" w:rsidP="007D2BB4">
      <w:pPr>
        <w:pStyle w:val="SingleTxtG"/>
        <w:keepNext/>
        <w:keepLines/>
        <w:rPr>
          <w:lang w:val="fr-FR"/>
        </w:rPr>
      </w:pPr>
      <w:r w:rsidRPr="003156E8">
        <w:rPr>
          <w:color w:val="000000" w:themeColor="text1"/>
          <w:lang w:val="fr-FR"/>
        </w:rPr>
        <w:lastRenderedPageBreak/>
        <w:t>54</w:t>
      </w:r>
      <w:r w:rsidR="00244AED" w:rsidRPr="00244AED">
        <w:rPr>
          <w:color w:val="000000" w:themeColor="text1"/>
          <w:lang w:val="fr-FR"/>
        </w:rPr>
        <w:t>.</w:t>
      </w:r>
      <w:r w:rsidRPr="003156E8">
        <w:rPr>
          <w:color w:val="000000" w:themeColor="text1"/>
          <w:lang w:val="fr-FR"/>
        </w:rPr>
        <w:tab/>
      </w:r>
      <w:r w:rsidRPr="003156E8">
        <w:rPr>
          <w:lang w:val="fr-FR"/>
        </w:rPr>
        <w:t>Le bureau du Défenseur du peuple compte un défenseur spécial ayant une compétence nationale en matière de peuples autochtones, qui veille au respect des droits de ces peuples et exerce les actions nécessaires à leur garantie et à leur protection effective (art</w:t>
      </w:r>
      <w:r w:rsidR="00244AED" w:rsidRPr="00244AED">
        <w:rPr>
          <w:lang w:val="fr-FR"/>
        </w:rPr>
        <w:t>.</w:t>
      </w:r>
      <w:r w:rsidRPr="003156E8">
        <w:rPr>
          <w:lang w:val="fr-FR"/>
        </w:rPr>
        <w:t xml:space="preserve"> 281</w:t>
      </w:r>
      <w:r w:rsidR="00244AED" w:rsidRPr="00244AED">
        <w:rPr>
          <w:lang w:val="fr-FR"/>
        </w:rPr>
        <w:t>.</w:t>
      </w:r>
      <w:r w:rsidRPr="003156E8">
        <w:rPr>
          <w:lang w:val="fr-FR"/>
        </w:rPr>
        <w:t>8 de la Constitution)</w:t>
      </w:r>
      <w:r w:rsidR="00244AED" w:rsidRPr="00244AED">
        <w:rPr>
          <w:lang w:val="fr-FR"/>
        </w:rPr>
        <w:t>.</w:t>
      </w:r>
      <w:r w:rsidRPr="003156E8">
        <w:rPr>
          <w:lang w:val="fr-FR"/>
        </w:rPr>
        <w:t xml:space="preserve"> </w:t>
      </w:r>
    </w:p>
    <w:p w14:paraId="0AFD47E0" w14:textId="73250A16" w:rsidR="00F30B21" w:rsidRPr="003156E8" w:rsidRDefault="00F30B21" w:rsidP="00F30B21">
      <w:pPr>
        <w:pStyle w:val="SingleTxtG"/>
        <w:rPr>
          <w:lang w:val="fr-FR"/>
        </w:rPr>
      </w:pPr>
      <w:r w:rsidRPr="003156E8">
        <w:rPr>
          <w:color w:val="000000" w:themeColor="text1"/>
          <w:lang w:val="fr-FR"/>
        </w:rPr>
        <w:t>55</w:t>
      </w:r>
      <w:r w:rsidR="00244AED" w:rsidRPr="00244AED">
        <w:rPr>
          <w:color w:val="000000" w:themeColor="text1"/>
          <w:lang w:val="fr-FR"/>
        </w:rPr>
        <w:t>.</w:t>
      </w:r>
      <w:r w:rsidRPr="003156E8">
        <w:rPr>
          <w:color w:val="000000" w:themeColor="text1"/>
          <w:lang w:val="fr-FR"/>
        </w:rPr>
        <w:tab/>
      </w:r>
      <w:r w:rsidRPr="003156E8">
        <w:rPr>
          <w:lang w:val="fr-FR"/>
        </w:rPr>
        <w:t xml:space="preserve">Le </w:t>
      </w:r>
      <w:r w:rsidRPr="000A116D">
        <w:rPr>
          <w:lang w:val="fr-FR"/>
        </w:rPr>
        <w:t>service de défense publique</w:t>
      </w:r>
      <w:r w:rsidRPr="003156E8">
        <w:rPr>
          <w:lang w:val="fr-FR"/>
        </w:rPr>
        <w:t xml:space="preserve"> compte des défenseurs autochtones chargés de fournir une assistance technique et juridique aux personnes autochtones et de les représenter en justice gratuitement</w:t>
      </w:r>
      <w:r w:rsidR="00244AED" w:rsidRPr="00244AED">
        <w:rPr>
          <w:lang w:val="fr-FR"/>
        </w:rPr>
        <w:t>.</w:t>
      </w:r>
      <w:r w:rsidRPr="003156E8">
        <w:rPr>
          <w:lang w:val="fr-FR"/>
        </w:rPr>
        <w:t xml:space="preserve"> Pour accomplir </w:t>
      </w:r>
      <w:r>
        <w:rPr>
          <w:lang w:val="fr-FR"/>
        </w:rPr>
        <w:t>leur</w:t>
      </w:r>
      <w:r w:rsidRPr="003156E8">
        <w:rPr>
          <w:lang w:val="fr-FR"/>
        </w:rPr>
        <w:t xml:space="preserve"> mission, il</w:t>
      </w:r>
      <w:r>
        <w:rPr>
          <w:lang w:val="fr-FR"/>
        </w:rPr>
        <w:t>s</w:t>
      </w:r>
      <w:r w:rsidRPr="003156E8">
        <w:rPr>
          <w:lang w:val="fr-FR"/>
        </w:rPr>
        <w:t xml:space="preserve"> bénéficie</w:t>
      </w:r>
      <w:r>
        <w:rPr>
          <w:lang w:val="fr-FR"/>
        </w:rPr>
        <w:t>nt</w:t>
      </w:r>
      <w:r w:rsidRPr="003156E8">
        <w:rPr>
          <w:lang w:val="fr-FR"/>
        </w:rPr>
        <w:t xml:space="preserve"> d</w:t>
      </w:r>
      <w:r>
        <w:rPr>
          <w:lang w:val="fr-FR"/>
        </w:rPr>
        <w:t>’</w:t>
      </w:r>
      <w:r w:rsidRPr="003156E8">
        <w:rPr>
          <w:lang w:val="fr-FR"/>
        </w:rPr>
        <w:t>une autonomie fonctionnelle et d</w:t>
      </w:r>
      <w:r>
        <w:rPr>
          <w:lang w:val="fr-FR"/>
        </w:rPr>
        <w:t>’</w:t>
      </w:r>
      <w:r w:rsidRPr="003156E8">
        <w:rPr>
          <w:lang w:val="fr-FR"/>
        </w:rPr>
        <w:t>une indépendance technique</w:t>
      </w:r>
      <w:r w:rsidR="00244AED" w:rsidRPr="00244AED">
        <w:rPr>
          <w:lang w:val="fr-FR"/>
        </w:rPr>
        <w:t>.</w:t>
      </w:r>
      <w:r w:rsidRPr="003156E8">
        <w:rPr>
          <w:lang w:val="fr-FR"/>
        </w:rPr>
        <w:t xml:space="preserve"> Les articles 77 et 78 de la loi organique relative au service de défense publique disposent que les défenseurs publics en matière autochtone doivent, autant que possible, parler la langue du peuple autochtone concerné</w:t>
      </w:r>
      <w:r w:rsidR="00244AED" w:rsidRPr="00244AED">
        <w:rPr>
          <w:lang w:val="fr-FR"/>
        </w:rPr>
        <w:t>.</w:t>
      </w:r>
      <w:r w:rsidRPr="003156E8">
        <w:rPr>
          <w:lang w:val="fr-FR"/>
        </w:rPr>
        <w:t xml:space="preserve"> </w:t>
      </w:r>
    </w:p>
    <w:p w14:paraId="31BB0357" w14:textId="322FA14B" w:rsidR="00F30B21" w:rsidRPr="003156E8" w:rsidRDefault="00F30B21" w:rsidP="00F30B21">
      <w:pPr>
        <w:pStyle w:val="SingleTxtG"/>
        <w:rPr>
          <w:lang w:val="fr-FR"/>
        </w:rPr>
      </w:pPr>
      <w:r w:rsidRPr="003156E8">
        <w:rPr>
          <w:color w:val="000000" w:themeColor="text1"/>
          <w:lang w:val="fr-FR"/>
        </w:rPr>
        <w:t>56</w:t>
      </w:r>
      <w:r w:rsidR="00244AED" w:rsidRPr="00244AED">
        <w:rPr>
          <w:color w:val="000000" w:themeColor="text1"/>
          <w:lang w:val="fr-FR"/>
        </w:rPr>
        <w:t>.</w:t>
      </w:r>
      <w:r w:rsidRPr="003156E8">
        <w:rPr>
          <w:color w:val="000000" w:themeColor="text1"/>
          <w:lang w:val="fr-FR"/>
        </w:rPr>
        <w:tab/>
      </w:r>
      <w:r w:rsidRPr="003156E8">
        <w:rPr>
          <w:lang w:val="fr-FR"/>
        </w:rPr>
        <w:t>Le service précité compte également des défenseurs publics qui sont spécialisés dans la protection des enfants et des adolescents et ont des compétences en matière autochtone</w:t>
      </w:r>
      <w:r w:rsidR="00244AED" w:rsidRPr="00244AED">
        <w:rPr>
          <w:lang w:val="fr-FR"/>
        </w:rPr>
        <w:t>.</w:t>
      </w:r>
      <w:r w:rsidRPr="003156E8">
        <w:rPr>
          <w:lang w:val="fr-FR"/>
        </w:rPr>
        <w:t xml:space="preserve"> Ils défendent les droits des enfants autochtones, en prenant en compte leur identité culturelle, et prennent en charge ces jeunes, qui sont parfois sans défense au sein de leurs propres communautés autochtones</w:t>
      </w:r>
      <w:r w:rsidR="00244AED" w:rsidRPr="00244AED">
        <w:rPr>
          <w:lang w:val="fr-FR"/>
        </w:rPr>
        <w:t>.</w:t>
      </w:r>
    </w:p>
    <w:p w14:paraId="6E7BE576" w14:textId="06D280A0" w:rsidR="00F30B21" w:rsidRPr="003156E8" w:rsidRDefault="00F30B21" w:rsidP="00F30B21">
      <w:pPr>
        <w:pStyle w:val="SingleTxtG"/>
        <w:rPr>
          <w:lang w:val="fr-FR"/>
        </w:rPr>
      </w:pPr>
      <w:r w:rsidRPr="003156E8">
        <w:rPr>
          <w:color w:val="000000" w:themeColor="text1"/>
          <w:lang w:val="fr-FR"/>
        </w:rPr>
        <w:t>57</w:t>
      </w:r>
      <w:r w:rsidR="00244AED" w:rsidRPr="00244AED">
        <w:rPr>
          <w:color w:val="000000" w:themeColor="text1"/>
          <w:lang w:val="fr-FR"/>
        </w:rPr>
        <w:t>.</w:t>
      </w:r>
      <w:r w:rsidRPr="003156E8">
        <w:rPr>
          <w:color w:val="000000" w:themeColor="text1"/>
          <w:lang w:val="fr-FR"/>
        </w:rPr>
        <w:tab/>
      </w:r>
      <w:r w:rsidRPr="003156E8">
        <w:rPr>
          <w:lang w:val="fr-FR"/>
        </w:rPr>
        <w:t>La Cour suprême de justice a rendu plusieurs arrêts reconnaissant les systèmes traditionnels de justice des peuples autochtones, conformément aux normes internationales</w:t>
      </w:r>
      <w:r w:rsidR="00244AED" w:rsidRPr="00244AED">
        <w:rPr>
          <w:lang w:val="fr-FR"/>
        </w:rPr>
        <w:t>.</w:t>
      </w:r>
    </w:p>
    <w:p w14:paraId="221EDD4D" w14:textId="2923FF4A" w:rsidR="00F30B21" w:rsidRPr="003156E8" w:rsidRDefault="00F30B21" w:rsidP="00F30B21">
      <w:pPr>
        <w:pStyle w:val="SingleTxtG"/>
        <w:rPr>
          <w:lang w:val="fr-FR"/>
        </w:rPr>
      </w:pPr>
      <w:r w:rsidRPr="003156E8">
        <w:rPr>
          <w:color w:val="000000" w:themeColor="text1"/>
          <w:lang w:val="fr-FR"/>
        </w:rPr>
        <w:t>58</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adoption de la loi relative à la juridiction spéciale autochtone fait partie des mesures prévues par le plan national relatif aux droits de l</w:t>
      </w:r>
      <w:r>
        <w:rPr>
          <w:lang w:val="fr-FR"/>
        </w:rPr>
        <w:t>’</w:t>
      </w:r>
      <w:r w:rsidRPr="003156E8">
        <w:rPr>
          <w:lang w:val="fr-FR"/>
        </w:rPr>
        <w:t>homme 2016-2019 et a pour objectif de réglementer et d</w:t>
      </w:r>
      <w:r>
        <w:rPr>
          <w:lang w:val="fr-FR"/>
        </w:rPr>
        <w:t>’</w:t>
      </w:r>
      <w:r w:rsidRPr="003156E8">
        <w:rPr>
          <w:lang w:val="fr-FR"/>
        </w:rPr>
        <w:t>harmoniser les fonctions, les compétences et les attributions respectives du système de justice des peuples autochtones et du système judiciaire national</w:t>
      </w:r>
      <w:r w:rsidR="00244AED" w:rsidRPr="00244AED">
        <w:rPr>
          <w:lang w:val="fr-FR"/>
        </w:rPr>
        <w:t>.</w:t>
      </w:r>
      <w:r w:rsidRPr="003156E8">
        <w:rPr>
          <w:lang w:val="fr-FR"/>
        </w:rPr>
        <w:t xml:space="preserve"> Il a cependant été difficile de donner suite à cette recommandation du Comité en raison du non-respect des décisions de la Cour suprême de justice par l</w:t>
      </w:r>
      <w:r>
        <w:rPr>
          <w:lang w:val="fr-FR"/>
        </w:rPr>
        <w:t>’</w:t>
      </w:r>
      <w:r w:rsidRPr="003156E8">
        <w:rPr>
          <w:lang w:val="fr-FR"/>
        </w:rPr>
        <w:t>Assemblée nationale</w:t>
      </w:r>
      <w:r w:rsidR="00244AED" w:rsidRPr="00244AED">
        <w:rPr>
          <w:lang w:val="fr-FR"/>
        </w:rPr>
        <w:t>.</w:t>
      </w:r>
    </w:p>
    <w:p w14:paraId="151C8926" w14:textId="685ACD4D" w:rsidR="00F30B21" w:rsidRPr="003156E8" w:rsidRDefault="00F30B21" w:rsidP="00F30B21">
      <w:pPr>
        <w:pStyle w:val="SingleTxtG"/>
        <w:rPr>
          <w:lang w:val="fr-FR"/>
        </w:rPr>
      </w:pPr>
      <w:r w:rsidRPr="003156E8">
        <w:rPr>
          <w:color w:val="000000" w:themeColor="text1"/>
          <w:lang w:val="fr-FR"/>
        </w:rPr>
        <w:t>59</w:t>
      </w:r>
      <w:r w:rsidR="00244AED" w:rsidRPr="00244AED">
        <w:rPr>
          <w:color w:val="000000" w:themeColor="text1"/>
          <w:lang w:val="fr-FR"/>
        </w:rPr>
        <w:t>.</w:t>
      </w:r>
      <w:r w:rsidRPr="003156E8">
        <w:rPr>
          <w:color w:val="000000" w:themeColor="text1"/>
          <w:lang w:val="fr-FR"/>
        </w:rPr>
        <w:tab/>
      </w:r>
      <w:r w:rsidRPr="003156E8">
        <w:rPr>
          <w:lang w:val="fr-FR"/>
        </w:rPr>
        <w:t xml:space="preserve">La Commission présidentielle pour le développement </w:t>
      </w:r>
      <w:proofErr w:type="spellStart"/>
      <w:r w:rsidRPr="003156E8">
        <w:rPr>
          <w:lang w:val="fr-FR"/>
        </w:rPr>
        <w:t>écosocialiste</w:t>
      </w:r>
      <w:proofErr w:type="spellEnd"/>
      <w:r w:rsidRPr="003156E8">
        <w:rPr>
          <w:lang w:val="fr-FR"/>
        </w:rPr>
        <w:t xml:space="preserve"> et la protection des droits des peuples autochtones dans le secteur minier a été créée en 2016 pour protéger les peuples autochtones face à l</w:t>
      </w:r>
      <w:r>
        <w:rPr>
          <w:lang w:val="fr-FR"/>
        </w:rPr>
        <w:t>’</w:t>
      </w:r>
      <w:r w:rsidRPr="003156E8">
        <w:rPr>
          <w:lang w:val="fr-FR"/>
        </w:rPr>
        <w:t>exploitation minière illégale dans les États d</w:t>
      </w:r>
      <w:r>
        <w:rPr>
          <w:lang w:val="fr-FR"/>
        </w:rPr>
        <w:t>’</w:t>
      </w:r>
      <w:r w:rsidRPr="003156E8">
        <w:rPr>
          <w:lang w:val="fr-FR"/>
        </w:rPr>
        <w:t>Amazonas, de Bolívar et de Zulia</w:t>
      </w:r>
      <w:r w:rsidR="00244AED" w:rsidRPr="00244AED">
        <w:rPr>
          <w:lang w:val="fr-FR"/>
        </w:rPr>
        <w:t>.</w:t>
      </w:r>
      <w:r w:rsidRPr="003156E8">
        <w:rPr>
          <w:lang w:val="fr-FR"/>
        </w:rPr>
        <w:t xml:space="preserve"> Elle est notamment chargée de la protection des droits de ces peuples, composante fondamentale de tout plan de développement </w:t>
      </w:r>
      <w:proofErr w:type="spellStart"/>
      <w:r w:rsidRPr="003156E8">
        <w:rPr>
          <w:lang w:val="fr-FR"/>
        </w:rPr>
        <w:t>écosocialiste</w:t>
      </w:r>
      <w:proofErr w:type="spellEnd"/>
      <w:r w:rsidRPr="003156E8">
        <w:rPr>
          <w:lang w:val="fr-FR"/>
        </w:rPr>
        <w:t xml:space="preserve"> de l</w:t>
      </w:r>
      <w:r>
        <w:rPr>
          <w:lang w:val="fr-FR"/>
        </w:rPr>
        <w:t>’</w:t>
      </w:r>
      <w:r w:rsidRPr="003156E8">
        <w:rPr>
          <w:lang w:val="fr-FR"/>
        </w:rPr>
        <w:t>activité minière et de tout autre plan sectoriel et territorial connexe</w:t>
      </w:r>
      <w:r w:rsidR="00244AED" w:rsidRPr="00244AED">
        <w:rPr>
          <w:lang w:val="fr-FR"/>
        </w:rPr>
        <w:t>.</w:t>
      </w:r>
    </w:p>
    <w:p w14:paraId="02C636CC" w14:textId="47037AE9" w:rsidR="00F30B21" w:rsidRPr="003156E8" w:rsidRDefault="00F30B21" w:rsidP="00F30B21">
      <w:pPr>
        <w:pStyle w:val="SingleTxtG"/>
        <w:rPr>
          <w:lang w:val="fr-FR"/>
        </w:rPr>
      </w:pPr>
      <w:r w:rsidRPr="003156E8">
        <w:rPr>
          <w:color w:val="000000" w:themeColor="text1"/>
          <w:lang w:val="fr-FR"/>
        </w:rPr>
        <w:t>60</w:t>
      </w:r>
      <w:r w:rsidR="00244AED" w:rsidRPr="00244AED">
        <w:rPr>
          <w:color w:val="000000" w:themeColor="text1"/>
          <w:lang w:val="fr-FR"/>
        </w:rPr>
        <w:t>.</w:t>
      </w:r>
      <w:r w:rsidRPr="003156E8">
        <w:rPr>
          <w:color w:val="000000" w:themeColor="text1"/>
          <w:lang w:val="fr-FR"/>
        </w:rPr>
        <w:tab/>
      </w:r>
      <w:r w:rsidRPr="003156E8">
        <w:rPr>
          <w:lang w:val="fr-FR"/>
        </w:rPr>
        <w:t>Pour sa part, le ministère public a engagé des poursuites contre 97 personnes dans 41 affaires d</w:t>
      </w:r>
      <w:r>
        <w:rPr>
          <w:lang w:val="fr-FR"/>
        </w:rPr>
        <w:t>’</w:t>
      </w:r>
      <w:r w:rsidRPr="003156E8">
        <w:rPr>
          <w:lang w:val="fr-FR"/>
        </w:rPr>
        <w:t>activités minières illégales dans les États d</w:t>
      </w:r>
      <w:r>
        <w:rPr>
          <w:lang w:val="fr-FR"/>
        </w:rPr>
        <w:t>’</w:t>
      </w:r>
      <w:r w:rsidRPr="003156E8">
        <w:rPr>
          <w:lang w:val="fr-FR"/>
        </w:rPr>
        <w:t>Amazonas et de Bolívar</w:t>
      </w:r>
      <w:r w:rsidR="00244AED" w:rsidRPr="00244AED">
        <w:rPr>
          <w:lang w:val="fr-FR"/>
        </w:rPr>
        <w:t>.</w:t>
      </w:r>
      <w:r w:rsidRPr="003156E8">
        <w:rPr>
          <w:lang w:val="fr-FR"/>
        </w:rPr>
        <w:t xml:space="preserve"> Il a également demandé aux tribunaux des États d</w:t>
      </w:r>
      <w:r>
        <w:rPr>
          <w:lang w:val="fr-FR"/>
        </w:rPr>
        <w:t>’</w:t>
      </w:r>
      <w:r w:rsidRPr="003156E8">
        <w:rPr>
          <w:lang w:val="fr-FR"/>
        </w:rPr>
        <w:t xml:space="preserve">Amazonas, de Bolívar et de Delta </w:t>
      </w:r>
      <w:proofErr w:type="spellStart"/>
      <w:r w:rsidRPr="003156E8">
        <w:rPr>
          <w:lang w:val="fr-FR"/>
        </w:rPr>
        <w:t>Amacuro</w:t>
      </w:r>
      <w:proofErr w:type="spellEnd"/>
      <w:r w:rsidRPr="003156E8">
        <w:rPr>
          <w:lang w:val="fr-FR"/>
        </w:rPr>
        <w:t xml:space="preserve"> de prononcer des mesures de précaution environnementale interdisant les activités minières et autorisant les forces armées nationales bolivariennes à détruire les campements </w:t>
      </w:r>
      <w:r>
        <w:rPr>
          <w:lang w:val="fr-FR"/>
        </w:rPr>
        <w:t xml:space="preserve">pour </w:t>
      </w:r>
      <w:r w:rsidRPr="003156E8">
        <w:rPr>
          <w:lang w:val="fr-FR"/>
        </w:rPr>
        <w:t>assurer la protection des rivières</w:t>
      </w:r>
      <w:r w:rsidR="00244AED" w:rsidRPr="00244AED">
        <w:rPr>
          <w:lang w:val="fr-FR"/>
        </w:rPr>
        <w:t>.</w:t>
      </w:r>
      <w:r w:rsidRPr="003156E8">
        <w:rPr>
          <w:lang w:val="fr-FR"/>
        </w:rPr>
        <w:t xml:space="preserve"> Cela a permis d</w:t>
      </w:r>
      <w:r>
        <w:rPr>
          <w:lang w:val="fr-FR"/>
        </w:rPr>
        <w:t>’</w:t>
      </w:r>
      <w:r w:rsidRPr="003156E8">
        <w:rPr>
          <w:lang w:val="fr-FR"/>
        </w:rPr>
        <w:t>engager des poursuites contre 72 personnes, dont 69 ont été mises en examen pour activités non autorisées et non-respect des plans d</w:t>
      </w:r>
      <w:r>
        <w:rPr>
          <w:lang w:val="fr-FR"/>
        </w:rPr>
        <w:t>’</w:t>
      </w:r>
      <w:r w:rsidRPr="003156E8">
        <w:rPr>
          <w:lang w:val="fr-FR"/>
        </w:rPr>
        <w:t>aménagement du territoire</w:t>
      </w:r>
      <w:r w:rsidR="00244AED" w:rsidRPr="00244AED">
        <w:rPr>
          <w:lang w:val="fr-FR"/>
        </w:rPr>
        <w:t>.</w:t>
      </w:r>
    </w:p>
    <w:p w14:paraId="0930E83C" w14:textId="6D8C1717" w:rsidR="00F30B21" w:rsidRPr="003156E8" w:rsidRDefault="00F30B21" w:rsidP="00F30B21">
      <w:pPr>
        <w:pStyle w:val="H56G"/>
        <w:rPr>
          <w:b/>
          <w:lang w:val="fr-FR"/>
        </w:rPr>
      </w:pPr>
      <w:r w:rsidRPr="003156E8">
        <w:rPr>
          <w:lang w:val="fr-FR"/>
        </w:rPr>
        <w:tab/>
      </w:r>
      <w:r w:rsidRPr="003156E8">
        <w:rPr>
          <w:b/>
          <w:bCs/>
          <w:lang w:val="fr-FR"/>
        </w:rPr>
        <w:t>2</w:t>
      </w:r>
      <w:r w:rsidR="00244AED" w:rsidRPr="00244AED">
        <w:rPr>
          <w:b/>
          <w:bCs/>
          <w:lang w:val="fr-FR"/>
        </w:rPr>
        <w:t>.</w:t>
      </w:r>
      <w:r w:rsidRPr="003156E8">
        <w:rPr>
          <w:b/>
          <w:bCs/>
          <w:lang w:val="fr-FR"/>
        </w:rPr>
        <w:tab/>
        <w:t>Femmes</w:t>
      </w:r>
    </w:p>
    <w:p w14:paraId="3449FB26" w14:textId="0AE68779" w:rsidR="00F30B21" w:rsidRPr="003156E8" w:rsidRDefault="00F30B21" w:rsidP="00F30B21">
      <w:pPr>
        <w:pStyle w:val="SingleTxtG"/>
        <w:rPr>
          <w:lang w:val="fr-FR"/>
        </w:rPr>
      </w:pPr>
      <w:r w:rsidRPr="003156E8">
        <w:rPr>
          <w:color w:val="000000" w:themeColor="text1"/>
          <w:lang w:val="fr-FR"/>
        </w:rPr>
        <w:t>61</w:t>
      </w:r>
      <w:r w:rsidR="00244AED" w:rsidRPr="00244AED">
        <w:rPr>
          <w:color w:val="000000" w:themeColor="text1"/>
          <w:lang w:val="fr-FR"/>
        </w:rPr>
        <w:t>.</w:t>
      </w:r>
      <w:r w:rsidRPr="003156E8">
        <w:rPr>
          <w:color w:val="000000" w:themeColor="text1"/>
          <w:lang w:val="fr-FR"/>
        </w:rPr>
        <w:tab/>
      </w:r>
      <w:r w:rsidRPr="003156E8">
        <w:rPr>
          <w:lang w:val="fr-FR"/>
        </w:rPr>
        <w:t>En décembre 2020, la juridiction spéciale en charge de la violence à l</w:t>
      </w:r>
      <w:r>
        <w:rPr>
          <w:lang w:val="fr-FR"/>
        </w:rPr>
        <w:t>’</w:t>
      </w:r>
      <w:r w:rsidRPr="003156E8">
        <w:rPr>
          <w:lang w:val="fr-FR"/>
        </w:rPr>
        <w:t>égard des femmes était organisée en 22 circonscriptions judiciaires et 106 tribunaux spéciaux, couvrant 19 États</w:t>
      </w:r>
      <w:r w:rsidR="00244AED" w:rsidRPr="00244AED">
        <w:rPr>
          <w:lang w:val="fr-FR"/>
        </w:rPr>
        <w:t>.</w:t>
      </w:r>
      <w:r w:rsidRPr="003156E8">
        <w:rPr>
          <w:lang w:val="fr-FR"/>
        </w:rPr>
        <w:t xml:space="preserve"> L</w:t>
      </w:r>
      <w:r>
        <w:rPr>
          <w:lang w:val="fr-FR"/>
        </w:rPr>
        <w:t>’</w:t>
      </w:r>
      <w:r w:rsidRPr="003156E8">
        <w:rPr>
          <w:lang w:val="fr-FR"/>
        </w:rPr>
        <w:t xml:space="preserve">arrêt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815, rendu le 29 novembre 2018 par la chambre constitutionnelle de la Cour suprême de justice, a par ailleurs conféré une compétence exceptionnelle en matière de contrôle aux tribunaux pénaux municipaux de première instance dans tous les États</w:t>
      </w:r>
      <w:r w:rsidR="00244AED" w:rsidRPr="00244AED">
        <w:rPr>
          <w:lang w:val="fr-FR"/>
        </w:rPr>
        <w:t>.</w:t>
      </w:r>
      <w:r w:rsidRPr="003156E8">
        <w:rPr>
          <w:lang w:val="fr-FR"/>
        </w:rPr>
        <w:t xml:space="preserve"> Le 4</w:t>
      </w:r>
      <w:r w:rsidR="00DC6BF9">
        <w:rPr>
          <w:lang w:val="fr-FR"/>
        </w:rPr>
        <w:t> </w:t>
      </w:r>
      <w:r w:rsidRPr="003156E8">
        <w:rPr>
          <w:lang w:val="fr-FR"/>
        </w:rPr>
        <w:t xml:space="preserve">novembre 2020, la chambre plénière de la Cour suprême de justice a établi des circonscriptions judiciaires pénales dans les États de Carabobo (site de Puerto </w:t>
      </w:r>
      <w:proofErr w:type="spellStart"/>
      <w:r w:rsidRPr="003156E8">
        <w:rPr>
          <w:lang w:val="fr-FR"/>
        </w:rPr>
        <w:t>Cabello</w:t>
      </w:r>
      <w:proofErr w:type="spellEnd"/>
      <w:r w:rsidRPr="003156E8">
        <w:rPr>
          <w:lang w:val="fr-FR"/>
        </w:rPr>
        <w:t xml:space="preserve">), de Portuguesa et de Táchira (site de San Antonio </w:t>
      </w:r>
      <w:r w:rsidR="00DC6BF9">
        <w:rPr>
          <w:lang w:val="fr-FR"/>
        </w:rPr>
        <w:t>−</w:t>
      </w:r>
      <w:r w:rsidRPr="003156E8">
        <w:rPr>
          <w:lang w:val="fr-FR"/>
        </w:rPr>
        <w:t xml:space="preserve"> zone frontalière)</w:t>
      </w:r>
      <w:r w:rsidR="00244AED" w:rsidRPr="00244AED">
        <w:rPr>
          <w:lang w:val="fr-FR"/>
        </w:rPr>
        <w:t>.</w:t>
      </w:r>
      <w:r w:rsidRPr="003156E8">
        <w:rPr>
          <w:lang w:val="fr-FR"/>
        </w:rPr>
        <w:t xml:space="preserve"> Des cours d</w:t>
      </w:r>
      <w:r>
        <w:rPr>
          <w:lang w:val="fr-FR"/>
        </w:rPr>
        <w:t>’</w:t>
      </w:r>
      <w:r w:rsidRPr="003156E8">
        <w:rPr>
          <w:lang w:val="fr-FR"/>
        </w:rPr>
        <w:t xml:space="preserve">appel spécialisées ont également été créées dans les États de Falcon, de Trujillo et de Yaracuy et des tribunaux de première instance compétents pour assurer le </w:t>
      </w:r>
      <w:r>
        <w:rPr>
          <w:lang w:val="fr-FR"/>
        </w:rPr>
        <w:t>contrôle</w:t>
      </w:r>
      <w:r w:rsidRPr="003156E8">
        <w:rPr>
          <w:lang w:val="fr-FR"/>
        </w:rPr>
        <w:t>, les audiences, les procédures, les jugements et l</w:t>
      </w:r>
      <w:r>
        <w:rPr>
          <w:lang w:val="fr-FR"/>
        </w:rPr>
        <w:t>’</w:t>
      </w:r>
      <w:r w:rsidRPr="003156E8">
        <w:rPr>
          <w:lang w:val="fr-FR"/>
        </w:rPr>
        <w:t>exécution des peines dans les affaires de violence à l</w:t>
      </w:r>
      <w:r>
        <w:rPr>
          <w:lang w:val="fr-FR"/>
        </w:rPr>
        <w:t>’</w:t>
      </w:r>
      <w:r w:rsidRPr="003156E8">
        <w:rPr>
          <w:lang w:val="fr-FR"/>
        </w:rPr>
        <w:t>égard des femmes ont été renforcés dans la zone métropolitaine de Caracas</w:t>
      </w:r>
      <w:r w:rsidR="00244AED" w:rsidRPr="00244AED">
        <w:rPr>
          <w:lang w:val="fr-FR"/>
        </w:rPr>
        <w:t>.</w:t>
      </w:r>
      <w:r w:rsidRPr="003156E8">
        <w:rPr>
          <w:lang w:val="fr-FR"/>
        </w:rPr>
        <w:t xml:space="preserve"> </w:t>
      </w:r>
    </w:p>
    <w:p w14:paraId="1534B7DD" w14:textId="37D75F81" w:rsidR="00F30B21" w:rsidRPr="003156E8" w:rsidRDefault="00F30B21" w:rsidP="00F30B21">
      <w:pPr>
        <w:pStyle w:val="SingleTxtG"/>
        <w:rPr>
          <w:lang w:val="fr-FR"/>
        </w:rPr>
      </w:pPr>
      <w:r w:rsidRPr="003156E8">
        <w:rPr>
          <w:color w:val="000000" w:themeColor="text1"/>
          <w:lang w:val="fr-FR"/>
        </w:rPr>
        <w:t>62</w:t>
      </w:r>
      <w:r w:rsidR="00244AED" w:rsidRPr="00244AED">
        <w:rPr>
          <w:color w:val="000000" w:themeColor="text1"/>
          <w:lang w:val="fr-FR"/>
        </w:rPr>
        <w:t>.</w:t>
      </w:r>
      <w:r w:rsidRPr="003156E8">
        <w:rPr>
          <w:color w:val="000000" w:themeColor="text1"/>
          <w:lang w:val="fr-FR"/>
        </w:rPr>
        <w:tab/>
        <w:t xml:space="preserve">Ainsi, la </w:t>
      </w:r>
      <w:r w:rsidRPr="003156E8">
        <w:rPr>
          <w:lang w:val="fr-FR"/>
        </w:rPr>
        <w:t xml:space="preserve">République bolivarienne du </w:t>
      </w:r>
      <w:r w:rsidRPr="003156E8">
        <w:rPr>
          <w:color w:val="000000" w:themeColor="text1"/>
          <w:lang w:val="fr-FR"/>
        </w:rPr>
        <w:t>Venezuela rend une justice spécialisée dans les questions de genre sur 100 </w:t>
      </w:r>
      <w:r>
        <w:rPr>
          <w:color w:val="000000" w:themeColor="text1"/>
          <w:lang w:val="fr-FR"/>
        </w:rPr>
        <w:t xml:space="preserve">% </w:t>
      </w:r>
      <w:r w:rsidRPr="003156E8">
        <w:rPr>
          <w:lang w:val="fr-FR"/>
        </w:rPr>
        <w:t xml:space="preserve">de son territoire, en créant à cette fin des circonscriptions judiciaires spéciales (75 %) et en établissant la compétence exceptionnelle des tribunaux </w:t>
      </w:r>
      <w:r w:rsidRPr="003156E8">
        <w:rPr>
          <w:lang w:val="fr-FR"/>
        </w:rPr>
        <w:lastRenderedPageBreak/>
        <w:t>pénaux municipaux pour connaître des affaires de violence à l</w:t>
      </w:r>
      <w:r>
        <w:rPr>
          <w:lang w:val="fr-FR"/>
        </w:rPr>
        <w:t>’</w:t>
      </w:r>
      <w:r w:rsidRPr="003156E8">
        <w:rPr>
          <w:lang w:val="fr-FR"/>
        </w:rPr>
        <w:t>égard des femmes dans les communes où de telles circonscriptions n</w:t>
      </w:r>
      <w:r>
        <w:rPr>
          <w:lang w:val="fr-FR"/>
        </w:rPr>
        <w:t>’</w:t>
      </w:r>
      <w:r w:rsidRPr="003156E8">
        <w:rPr>
          <w:lang w:val="fr-FR"/>
        </w:rPr>
        <w:t>ont pas encore été créées (25 %)</w:t>
      </w:r>
      <w:r w:rsidR="00244AED" w:rsidRPr="00244AED">
        <w:rPr>
          <w:lang w:val="fr-FR"/>
        </w:rPr>
        <w:t>.</w:t>
      </w:r>
    </w:p>
    <w:p w14:paraId="227E666D" w14:textId="2F7665F9" w:rsidR="00F30B21" w:rsidRPr="003156E8" w:rsidRDefault="00F30B21" w:rsidP="00F30B21">
      <w:pPr>
        <w:pStyle w:val="SingleTxtG"/>
        <w:rPr>
          <w:lang w:val="fr-FR"/>
        </w:rPr>
      </w:pPr>
      <w:r w:rsidRPr="003156E8">
        <w:rPr>
          <w:color w:val="000000" w:themeColor="text1"/>
          <w:lang w:val="fr-FR"/>
        </w:rPr>
        <w:t>63</w:t>
      </w:r>
      <w:r w:rsidR="00244AED" w:rsidRPr="00244AED">
        <w:rPr>
          <w:color w:val="000000" w:themeColor="text1"/>
          <w:lang w:val="fr-FR"/>
        </w:rPr>
        <w:t>.</w:t>
      </w:r>
      <w:r w:rsidRPr="003156E8">
        <w:rPr>
          <w:color w:val="000000" w:themeColor="text1"/>
          <w:lang w:val="fr-FR"/>
        </w:rPr>
        <w:tab/>
      </w:r>
      <w:r w:rsidRPr="003156E8">
        <w:rPr>
          <w:lang w:val="fr-FR"/>
        </w:rPr>
        <w:t xml:space="preserve">La Commission nationale du pouvoir judiciaire en charge de la </w:t>
      </w:r>
      <w:r w:rsidRPr="003156E8">
        <w:rPr>
          <w:color w:val="000000" w:themeColor="text1"/>
          <w:lang w:val="fr-FR"/>
        </w:rPr>
        <w:t>justice spécialisée dans les questions de genre</w:t>
      </w:r>
      <w:r w:rsidRPr="003156E8" w:rsidDel="00AA2D38">
        <w:rPr>
          <w:lang w:val="fr-FR"/>
        </w:rPr>
        <w:t xml:space="preserve"> </w:t>
      </w:r>
      <w:r w:rsidRPr="003156E8">
        <w:rPr>
          <w:lang w:val="fr-FR"/>
        </w:rPr>
        <w:t>et l</w:t>
      </w:r>
      <w:r>
        <w:rPr>
          <w:lang w:val="fr-FR"/>
        </w:rPr>
        <w:t>’</w:t>
      </w:r>
      <w:r w:rsidRPr="003156E8">
        <w:rPr>
          <w:lang w:val="fr-FR"/>
        </w:rPr>
        <w:t>École nationale de la magistrature organisent la formation continue dans ce domaine pour les juges et le personnel judiciaire, hommes et femmes, travaillant dans les circonscriptions judiciaires spécialisées et les tribunaux pénaux municipaux</w:t>
      </w:r>
      <w:r w:rsidR="00244AED" w:rsidRPr="00244AED">
        <w:rPr>
          <w:lang w:val="fr-FR"/>
        </w:rPr>
        <w:t>.</w:t>
      </w:r>
      <w:r w:rsidRPr="003156E8">
        <w:rPr>
          <w:lang w:val="fr-FR"/>
        </w:rPr>
        <w:t xml:space="preserve"> En 2020, la juridiction spéciale en charge de la violence à l</w:t>
      </w:r>
      <w:r>
        <w:rPr>
          <w:lang w:val="fr-FR"/>
        </w:rPr>
        <w:t>’</w:t>
      </w:r>
      <w:r w:rsidRPr="003156E8">
        <w:rPr>
          <w:lang w:val="fr-FR"/>
        </w:rPr>
        <w:t>égard des femmes comptait 128 juges titulaires (97 femmes et 31 hommes) et 106 juges itinérants et suppléants (86 femmes et 20</w:t>
      </w:r>
      <w:r w:rsidR="00DC6BF9">
        <w:rPr>
          <w:lang w:val="fr-FR"/>
        </w:rPr>
        <w:t> </w:t>
      </w:r>
      <w:r w:rsidRPr="003156E8">
        <w:rPr>
          <w:lang w:val="fr-FR"/>
        </w:rPr>
        <w:t>hommes), soit un total de 234 juges, hommes et femmes</w:t>
      </w:r>
      <w:r w:rsidR="00244AED" w:rsidRPr="00244AED">
        <w:rPr>
          <w:lang w:val="fr-FR"/>
        </w:rPr>
        <w:t>.</w:t>
      </w:r>
    </w:p>
    <w:p w14:paraId="662C2A37" w14:textId="75252F03" w:rsidR="00F30B21" w:rsidRPr="003156E8" w:rsidRDefault="00F30B21" w:rsidP="00DC6BF9">
      <w:pPr>
        <w:pStyle w:val="SingleTxtG"/>
        <w:keepNext/>
        <w:rPr>
          <w:lang w:val="fr-FR"/>
        </w:rPr>
      </w:pPr>
      <w:r w:rsidRPr="003156E8">
        <w:rPr>
          <w:color w:val="000000" w:themeColor="text1"/>
          <w:lang w:val="fr-FR"/>
        </w:rPr>
        <w:t>64</w:t>
      </w:r>
      <w:r w:rsidR="00244AED" w:rsidRPr="00244AED">
        <w:rPr>
          <w:color w:val="000000" w:themeColor="text1"/>
          <w:lang w:val="fr-FR"/>
        </w:rPr>
        <w:t>.</w:t>
      </w:r>
      <w:r w:rsidRPr="003156E8">
        <w:rPr>
          <w:color w:val="000000" w:themeColor="text1"/>
          <w:lang w:val="fr-FR"/>
        </w:rPr>
        <w:tab/>
      </w:r>
      <w:r w:rsidRPr="003156E8">
        <w:rPr>
          <w:lang w:val="fr-FR"/>
        </w:rPr>
        <w:t>La direction du ministère public en charge de la défense des femmes compte actuellement :</w:t>
      </w:r>
    </w:p>
    <w:p w14:paraId="475C7488" w14:textId="74D82936" w:rsidR="00F30B21" w:rsidRPr="003156E8" w:rsidRDefault="00F30B21" w:rsidP="00F30B21">
      <w:pPr>
        <w:pStyle w:val="SingleTxtG"/>
        <w:ind w:firstLine="567"/>
        <w:rPr>
          <w:lang w:val="fr-FR"/>
        </w:rPr>
      </w:pPr>
      <w:r w:rsidRPr="003156E8">
        <w:rPr>
          <w:lang w:val="fr-FR"/>
        </w:rPr>
        <w:t>a)</w:t>
      </w:r>
      <w:r w:rsidRPr="003156E8">
        <w:rPr>
          <w:lang w:val="fr-FR"/>
        </w:rPr>
        <w:tab/>
      </w:r>
      <w:r w:rsidR="00A92AEA">
        <w:rPr>
          <w:lang w:val="fr-FR"/>
        </w:rPr>
        <w:t>Soixante-douze</w:t>
      </w:r>
      <w:r w:rsidRPr="003156E8">
        <w:rPr>
          <w:lang w:val="fr-FR"/>
        </w:rPr>
        <w:t xml:space="preserve"> bureaux répartis sur l</w:t>
      </w:r>
      <w:r>
        <w:rPr>
          <w:lang w:val="fr-FR"/>
        </w:rPr>
        <w:t>’</w:t>
      </w:r>
      <w:r w:rsidRPr="003156E8">
        <w:rPr>
          <w:lang w:val="fr-FR"/>
        </w:rPr>
        <w:t xml:space="preserve">ensemble du territoire, dont </w:t>
      </w:r>
      <w:r w:rsidR="007D2BB4">
        <w:rPr>
          <w:lang w:val="fr-FR"/>
        </w:rPr>
        <w:t>quatre</w:t>
      </w:r>
      <w:r w:rsidRPr="003156E8">
        <w:rPr>
          <w:lang w:val="fr-FR"/>
        </w:rPr>
        <w:t xml:space="preserve"> ont une couverture nationale : </w:t>
      </w:r>
      <w:r w:rsidR="00A92AEA">
        <w:rPr>
          <w:lang w:val="fr-FR"/>
        </w:rPr>
        <w:t>1) </w:t>
      </w:r>
      <w:r w:rsidRPr="003156E8">
        <w:rPr>
          <w:lang w:val="fr-FR"/>
        </w:rPr>
        <w:t>deux spécialisés dans les enquêtes sur les féminicides et les atteintes à la liberté sexuelle des femmes (n</w:t>
      </w:r>
      <w:r w:rsidRPr="003156E8">
        <w:rPr>
          <w:vertAlign w:val="superscript"/>
          <w:lang w:val="fr-FR"/>
        </w:rPr>
        <w:t>o</w:t>
      </w:r>
      <w:r w:rsidR="00A92AEA">
        <w:rPr>
          <w:vertAlign w:val="superscript"/>
          <w:lang w:val="fr-FR"/>
        </w:rPr>
        <w:t>s</w:t>
      </w:r>
      <w:r w:rsidRPr="003156E8">
        <w:rPr>
          <w:lang w:val="fr-FR"/>
        </w:rPr>
        <w:t> 64 et 47)</w:t>
      </w:r>
      <w:r w:rsidR="00A92AEA">
        <w:rPr>
          <w:lang w:val="fr-FR"/>
        </w:rPr>
        <w:t> ;</w:t>
      </w:r>
      <w:r w:rsidRPr="003156E8">
        <w:rPr>
          <w:lang w:val="fr-FR"/>
        </w:rPr>
        <w:t xml:space="preserve"> </w:t>
      </w:r>
      <w:r w:rsidR="00A92AEA">
        <w:rPr>
          <w:lang w:val="fr-FR"/>
        </w:rPr>
        <w:t>2) </w:t>
      </w:r>
      <w:r w:rsidRPr="003156E8">
        <w:rPr>
          <w:lang w:val="fr-FR"/>
        </w:rPr>
        <w:t>un ayant une compétence étendue (n</w:t>
      </w:r>
      <w:r w:rsidRPr="003156E8">
        <w:rPr>
          <w:vertAlign w:val="superscript"/>
          <w:lang w:val="fr-FR"/>
        </w:rPr>
        <w:t>o</w:t>
      </w:r>
      <w:r w:rsidRPr="003156E8">
        <w:rPr>
          <w:lang w:val="fr-FR"/>
        </w:rPr>
        <w:t> 82)</w:t>
      </w:r>
      <w:r w:rsidR="007D2BB4">
        <w:rPr>
          <w:lang w:val="fr-FR"/>
        </w:rPr>
        <w:t> ;</w:t>
      </w:r>
      <w:r w:rsidRPr="003156E8">
        <w:rPr>
          <w:lang w:val="fr-FR"/>
        </w:rPr>
        <w:t xml:space="preserve"> et </w:t>
      </w:r>
      <w:r w:rsidR="00A92AEA">
        <w:rPr>
          <w:lang w:val="fr-FR"/>
        </w:rPr>
        <w:t>3) </w:t>
      </w:r>
      <w:r w:rsidRPr="003156E8">
        <w:rPr>
          <w:lang w:val="fr-FR"/>
        </w:rPr>
        <w:t>un spécialisé dans la lutte contre la traite des femmes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95) ;</w:t>
      </w:r>
    </w:p>
    <w:p w14:paraId="40EF60D2" w14:textId="6C67C333" w:rsidR="00F30B21" w:rsidRPr="003156E8" w:rsidRDefault="00F30B21" w:rsidP="00F30B21">
      <w:pPr>
        <w:pStyle w:val="SingleTxtG"/>
        <w:ind w:firstLine="567"/>
        <w:rPr>
          <w:lang w:val="fr-FR"/>
        </w:rPr>
      </w:pPr>
      <w:r w:rsidRPr="003156E8">
        <w:rPr>
          <w:lang w:val="fr-FR"/>
        </w:rPr>
        <w:t>b)</w:t>
      </w:r>
      <w:r w:rsidRPr="003156E8">
        <w:rPr>
          <w:lang w:val="fr-FR"/>
        </w:rPr>
        <w:tab/>
      </w:r>
      <w:r w:rsidR="00A92AEA">
        <w:rPr>
          <w:lang w:val="fr-FR"/>
        </w:rPr>
        <w:t>U</w:t>
      </w:r>
      <w:r w:rsidRPr="003156E8">
        <w:rPr>
          <w:lang w:val="fr-FR"/>
        </w:rPr>
        <w:t>n service de prise en charge des victimes d</w:t>
      </w:r>
      <w:r>
        <w:rPr>
          <w:lang w:val="fr-FR"/>
        </w:rPr>
        <w:t>’</w:t>
      </w:r>
      <w:r w:rsidRPr="003156E8">
        <w:rPr>
          <w:lang w:val="fr-FR"/>
        </w:rPr>
        <w:t>infractions liées à la violence fondée sur le genre</w:t>
      </w:r>
      <w:r w:rsidR="00244AED" w:rsidRPr="00244AED">
        <w:rPr>
          <w:lang w:val="fr-FR"/>
        </w:rPr>
        <w:t>.</w:t>
      </w:r>
    </w:p>
    <w:p w14:paraId="3A6222D8" w14:textId="338FD360" w:rsidR="00F30B21" w:rsidRPr="003156E8" w:rsidRDefault="00F30B21" w:rsidP="00F30B21">
      <w:pPr>
        <w:pStyle w:val="SingleTxtG"/>
        <w:rPr>
          <w:lang w:val="fr-FR"/>
        </w:rPr>
      </w:pPr>
      <w:r w:rsidRPr="003156E8">
        <w:rPr>
          <w:color w:val="000000" w:themeColor="text1"/>
          <w:lang w:val="fr-FR"/>
        </w:rPr>
        <w:t>65</w:t>
      </w:r>
      <w:r w:rsidR="00244AED" w:rsidRPr="00244AED">
        <w:rPr>
          <w:color w:val="000000" w:themeColor="text1"/>
          <w:lang w:val="fr-FR"/>
        </w:rPr>
        <w:t>.</w:t>
      </w:r>
      <w:r w:rsidRPr="003156E8">
        <w:rPr>
          <w:color w:val="000000" w:themeColor="text1"/>
          <w:lang w:val="fr-FR"/>
        </w:rPr>
        <w:tab/>
      </w:r>
      <w:r>
        <w:rPr>
          <w:lang w:val="fr-FR"/>
        </w:rPr>
        <w:t>E</w:t>
      </w:r>
      <w:r w:rsidRPr="003156E8">
        <w:rPr>
          <w:lang w:val="fr-FR"/>
        </w:rPr>
        <w:t>n matière pénale ordinaire concernant des enfants et des adolescents</w:t>
      </w:r>
      <w:r>
        <w:rPr>
          <w:lang w:val="fr-FR"/>
        </w:rPr>
        <w:t>, l</w:t>
      </w:r>
      <w:r w:rsidRPr="003156E8">
        <w:rPr>
          <w:lang w:val="fr-FR"/>
        </w:rPr>
        <w:t xml:space="preserve">a direction du ministère public en charge de la protection des familles compte actuellement : </w:t>
      </w:r>
    </w:p>
    <w:p w14:paraId="61DF880A" w14:textId="2F1D6ACC" w:rsidR="00F30B21" w:rsidRPr="003156E8" w:rsidRDefault="00F30B21" w:rsidP="00F30B21">
      <w:pPr>
        <w:pStyle w:val="SingleTxtG"/>
        <w:ind w:firstLine="567"/>
        <w:rPr>
          <w:lang w:val="fr-FR"/>
        </w:rPr>
      </w:pPr>
      <w:r w:rsidRPr="003156E8">
        <w:rPr>
          <w:lang w:val="fr-FR"/>
        </w:rPr>
        <w:t>a)</w:t>
      </w:r>
      <w:r w:rsidRPr="003156E8">
        <w:rPr>
          <w:lang w:val="fr-FR"/>
        </w:rPr>
        <w:tab/>
      </w:r>
      <w:r w:rsidR="00A92AEA">
        <w:rPr>
          <w:lang w:val="fr-FR"/>
        </w:rPr>
        <w:t>Cinquante-cinq</w:t>
      </w:r>
      <w:r w:rsidRPr="003156E8">
        <w:rPr>
          <w:lang w:val="fr-FR"/>
        </w:rPr>
        <w:t xml:space="preserve"> bureaux répartis sur l</w:t>
      </w:r>
      <w:r>
        <w:rPr>
          <w:lang w:val="fr-FR"/>
        </w:rPr>
        <w:t>’</w:t>
      </w:r>
      <w:r w:rsidRPr="003156E8">
        <w:rPr>
          <w:lang w:val="fr-FR"/>
        </w:rPr>
        <w:t xml:space="preserve">ensemble du territoire, dont </w:t>
      </w:r>
      <w:r w:rsidR="007D2BB4">
        <w:rPr>
          <w:lang w:val="fr-FR"/>
        </w:rPr>
        <w:t>trois</w:t>
      </w:r>
      <w:r w:rsidRPr="003156E8">
        <w:rPr>
          <w:lang w:val="fr-FR"/>
        </w:rPr>
        <w:t xml:space="preserve"> ont une couverture nationale : </w:t>
      </w:r>
      <w:r w:rsidR="00A92AEA">
        <w:rPr>
          <w:lang w:val="fr-FR"/>
        </w:rPr>
        <w:t>1) </w:t>
      </w:r>
      <w:r w:rsidRPr="003156E8">
        <w:rPr>
          <w:lang w:val="fr-FR"/>
        </w:rPr>
        <w:t>un spécialisé dans la lutte contre les infractions concernant des enfants et des adolescents (n</w:t>
      </w:r>
      <w:r w:rsidRPr="003156E8">
        <w:rPr>
          <w:vertAlign w:val="superscript"/>
          <w:lang w:val="fr-FR"/>
        </w:rPr>
        <w:t>o</w:t>
      </w:r>
      <w:r w:rsidRPr="003156E8">
        <w:rPr>
          <w:lang w:val="fr-FR"/>
        </w:rPr>
        <w:t> 96)</w:t>
      </w:r>
      <w:r w:rsidR="00A92AEA">
        <w:rPr>
          <w:lang w:val="fr-FR"/>
        </w:rPr>
        <w:t> ;</w:t>
      </w:r>
      <w:r w:rsidRPr="003156E8">
        <w:rPr>
          <w:lang w:val="fr-FR"/>
        </w:rPr>
        <w:t xml:space="preserve"> et </w:t>
      </w:r>
      <w:r w:rsidR="00A92AEA">
        <w:rPr>
          <w:lang w:val="fr-FR"/>
        </w:rPr>
        <w:t>2) </w:t>
      </w:r>
      <w:r w:rsidRPr="003156E8">
        <w:rPr>
          <w:lang w:val="fr-FR"/>
        </w:rPr>
        <w:t>deux ayant une compétence étendue (n</w:t>
      </w:r>
      <w:r w:rsidRPr="003156E8">
        <w:rPr>
          <w:vertAlign w:val="superscript"/>
          <w:lang w:val="fr-FR"/>
        </w:rPr>
        <w:t>o</w:t>
      </w:r>
      <w:r w:rsidR="00DC6BF9">
        <w:rPr>
          <w:vertAlign w:val="superscript"/>
          <w:lang w:val="fr-FR"/>
        </w:rPr>
        <w:t>s</w:t>
      </w:r>
      <w:r w:rsidRPr="003156E8">
        <w:rPr>
          <w:lang w:val="fr-FR"/>
        </w:rPr>
        <w:t> 66 et 79) ;</w:t>
      </w:r>
    </w:p>
    <w:p w14:paraId="5772E416" w14:textId="13477C15" w:rsidR="00F30B21" w:rsidRPr="003156E8" w:rsidRDefault="00F30B21" w:rsidP="00F30B21">
      <w:pPr>
        <w:pStyle w:val="SingleTxtG"/>
        <w:ind w:firstLine="567"/>
        <w:rPr>
          <w:lang w:val="fr-FR"/>
        </w:rPr>
      </w:pPr>
      <w:r w:rsidRPr="003156E8">
        <w:rPr>
          <w:lang w:val="fr-FR"/>
        </w:rPr>
        <w:t>b)</w:t>
      </w:r>
      <w:r w:rsidRPr="003156E8">
        <w:rPr>
          <w:lang w:val="fr-FR"/>
        </w:rPr>
        <w:tab/>
      </w:r>
      <w:r w:rsidR="007D2BB4">
        <w:rPr>
          <w:lang w:val="fr-FR"/>
        </w:rPr>
        <w:t>U</w:t>
      </w:r>
      <w:r w:rsidRPr="003156E8">
        <w:rPr>
          <w:lang w:val="fr-FR"/>
        </w:rPr>
        <w:t>ne section de prise en charge familiale au sein des bureaux du ministère public spécialisés dans la lutte contre la violence à l</w:t>
      </w:r>
      <w:r>
        <w:rPr>
          <w:lang w:val="fr-FR"/>
        </w:rPr>
        <w:t>’</w:t>
      </w:r>
      <w:r w:rsidRPr="003156E8">
        <w:rPr>
          <w:lang w:val="fr-FR"/>
        </w:rPr>
        <w:t>égard des femmes, des filles et des adolescentes, qui fournit un soutien psychologique et social aux enfants et aux adolescents victimes de sévices sexuels et de traitements cruels</w:t>
      </w:r>
      <w:r w:rsidR="00244AED" w:rsidRPr="00244AED">
        <w:rPr>
          <w:lang w:val="fr-FR"/>
        </w:rPr>
        <w:t>.</w:t>
      </w:r>
    </w:p>
    <w:p w14:paraId="6DA514E1" w14:textId="06760291" w:rsidR="00F30B21" w:rsidRPr="003156E8" w:rsidRDefault="00F30B21" w:rsidP="00F30B21">
      <w:pPr>
        <w:pStyle w:val="SingleTxtG"/>
        <w:rPr>
          <w:lang w:val="fr-FR"/>
        </w:rPr>
      </w:pPr>
      <w:r w:rsidRPr="003156E8">
        <w:rPr>
          <w:color w:val="000000" w:themeColor="text1"/>
          <w:lang w:val="fr-FR"/>
        </w:rPr>
        <w:t>66</w:t>
      </w:r>
      <w:r w:rsidR="00244AED" w:rsidRPr="00244AED">
        <w:rPr>
          <w:color w:val="000000" w:themeColor="text1"/>
          <w:lang w:val="fr-FR"/>
        </w:rPr>
        <w:t>.</w:t>
      </w:r>
      <w:r w:rsidRPr="003156E8">
        <w:rPr>
          <w:color w:val="000000" w:themeColor="text1"/>
          <w:lang w:val="fr-FR"/>
        </w:rPr>
        <w:tab/>
      </w:r>
      <w:r w:rsidRPr="003156E8">
        <w:rPr>
          <w:lang w:val="fr-FR"/>
        </w:rPr>
        <w:t>Les services d</w:t>
      </w:r>
      <w:r>
        <w:rPr>
          <w:lang w:val="fr-FR"/>
        </w:rPr>
        <w:t>’</w:t>
      </w:r>
      <w:r w:rsidRPr="003156E8">
        <w:rPr>
          <w:lang w:val="fr-FR"/>
        </w:rPr>
        <w:t xml:space="preserve">enquête scientifique, criminelle et criminalistique comptent </w:t>
      </w:r>
      <w:r w:rsidR="007D2BB4">
        <w:rPr>
          <w:lang w:val="fr-FR"/>
        </w:rPr>
        <w:t xml:space="preserve">neuf </w:t>
      </w:r>
      <w:r w:rsidRPr="003156E8">
        <w:rPr>
          <w:lang w:val="fr-FR"/>
        </w:rPr>
        <w:t>délégations municipales dans la zone métropolitaine de Caracas et 93 dans le reste du territoire</w:t>
      </w:r>
      <w:r w:rsidR="00244AED" w:rsidRPr="00244AED">
        <w:rPr>
          <w:lang w:val="fr-FR"/>
        </w:rPr>
        <w:t>.</w:t>
      </w:r>
      <w:r w:rsidRPr="003156E8">
        <w:rPr>
          <w:lang w:val="fr-FR"/>
        </w:rPr>
        <w:t xml:space="preserve"> La direction des enquêtes sur les infractions commises à l</w:t>
      </w:r>
      <w:r>
        <w:rPr>
          <w:lang w:val="fr-FR"/>
        </w:rPr>
        <w:t>’</w:t>
      </w:r>
      <w:r w:rsidRPr="003156E8">
        <w:rPr>
          <w:lang w:val="fr-FR"/>
        </w:rPr>
        <w:t>égard des femmes, des enfants et des adolescents est spécialisée dans les affaires de violence à l</w:t>
      </w:r>
      <w:r>
        <w:rPr>
          <w:lang w:val="fr-FR"/>
        </w:rPr>
        <w:t>’</w:t>
      </w:r>
      <w:r w:rsidRPr="003156E8">
        <w:rPr>
          <w:lang w:val="fr-FR"/>
        </w:rPr>
        <w:t>égard des femmes</w:t>
      </w:r>
      <w:r w:rsidR="00244AED" w:rsidRPr="00244AED">
        <w:rPr>
          <w:lang w:val="fr-FR"/>
        </w:rPr>
        <w:t>.</w:t>
      </w:r>
      <w:r w:rsidRPr="003156E8">
        <w:rPr>
          <w:lang w:val="fr-FR"/>
        </w:rPr>
        <w:t xml:space="preserve"> </w:t>
      </w:r>
    </w:p>
    <w:p w14:paraId="711EE35D" w14:textId="4DDADA7C" w:rsidR="00F30B21" w:rsidRPr="003156E8" w:rsidRDefault="00F30B21" w:rsidP="00F30B21">
      <w:pPr>
        <w:pStyle w:val="SingleTxtG"/>
        <w:rPr>
          <w:lang w:val="fr-FR"/>
        </w:rPr>
      </w:pPr>
      <w:r w:rsidRPr="003156E8">
        <w:rPr>
          <w:color w:val="000000" w:themeColor="text1"/>
          <w:lang w:val="fr-FR"/>
        </w:rPr>
        <w:t>67</w:t>
      </w:r>
      <w:r w:rsidR="00244AED" w:rsidRPr="00244AED">
        <w:rPr>
          <w:color w:val="000000" w:themeColor="text1"/>
          <w:lang w:val="fr-FR"/>
        </w:rPr>
        <w:t>.</w:t>
      </w:r>
      <w:r w:rsidRPr="003156E8">
        <w:rPr>
          <w:color w:val="000000" w:themeColor="text1"/>
          <w:lang w:val="fr-FR"/>
        </w:rPr>
        <w:tab/>
      </w:r>
      <w:r w:rsidRPr="003156E8">
        <w:rPr>
          <w:lang w:val="fr-FR"/>
        </w:rPr>
        <w:t>Des conseils juridiques et des renseignements d</w:t>
      </w:r>
      <w:r>
        <w:rPr>
          <w:lang w:val="fr-FR"/>
        </w:rPr>
        <w:t>’</w:t>
      </w:r>
      <w:r w:rsidRPr="003156E8">
        <w:rPr>
          <w:lang w:val="fr-FR"/>
        </w:rPr>
        <w:t xml:space="preserve">ordre général spécialement destinés aux femmes victimes de violence peuvent être obtenus grâce à la ligne téléphonique directe </w:t>
      </w:r>
      <w:r w:rsidRPr="003156E8">
        <w:rPr>
          <w:i/>
          <w:iCs/>
          <w:lang w:val="fr-FR"/>
        </w:rPr>
        <w:t xml:space="preserve">0800-Mujeres </w:t>
      </w:r>
      <w:r w:rsidRPr="003156E8">
        <w:rPr>
          <w:lang w:val="fr-FR"/>
        </w:rPr>
        <w:t>(0800-6853737)</w:t>
      </w:r>
      <w:r w:rsidR="00244AED" w:rsidRPr="00244AED">
        <w:rPr>
          <w:lang w:val="fr-FR"/>
        </w:rPr>
        <w:t>.</w:t>
      </w:r>
      <w:r w:rsidRPr="003156E8">
        <w:rPr>
          <w:lang w:val="fr-FR"/>
        </w:rPr>
        <w:t xml:space="preserve"> Au cours de la période 2014-2018, 42 240 appels ont été reçus sur cette ligne</w:t>
      </w:r>
      <w:r w:rsidR="00244AED" w:rsidRPr="00244AED">
        <w:rPr>
          <w:lang w:val="fr-FR"/>
        </w:rPr>
        <w:t>.</w:t>
      </w:r>
      <w:r w:rsidRPr="003156E8">
        <w:rPr>
          <w:lang w:val="fr-FR"/>
        </w:rPr>
        <w:t xml:space="preserve"> En 2019 et 2020, ce service a été perturbé en raison d</w:t>
      </w:r>
      <w:r>
        <w:rPr>
          <w:lang w:val="fr-FR"/>
        </w:rPr>
        <w:t>’</w:t>
      </w:r>
      <w:r w:rsidRPr="003156E8">
        <w:rPr>
          <w:lang w:val="fr-FR"/>
        </w:rPr>
        <w:t>importants dommages causés au réseau électrique national par des actes terroristes</w:t>
      </w:r>
      <w:r>
        <w:rPr>
          <w:lang w:val="fr-FR"/>
        </w:rPr>
        <w:t xml:space="preserve">, auxquels s’ajoute </w:t>
      </w:r>
      <w:r w:rsidRPr="003156E8">
        <w:rPr>
          <w:lang w:val="fr-FR"/>
        </w:rPr>
        <w:t>l</w:t>
      </w:r>
      <w:r>
        <w:rPr>
          <w:lang w:val="fr-FR"/>
        </w:rPr>
        <w:t>’</w:t>
      </w:r>
      <w:r w:rsidRPr="003156E8">
        <w:rPr>
          <w:lang w:val="fr-FR"/>
        </w:rPr>
        <w:t>impossibilité d</w:t>
      </w:r>
      <w:r>
        <w:rPr>
          <w:lang w:val="fr-FR"/>
        </w:rPr>
        <w:t>’</w:t>
      </w:r>
      <w:r w:rsidRPr="003156E8">
        <w:rPr>
          <w:lang w:val="fr-FR"/>
        </w:rPr>
        <w:t>obtenir les pièces de rechange nécessaires</w:t>
      </w:r>
      <w:r>
        <w:rPr>
          <w:lang w:val="fr-FR"/>
        </w:rPr>
        <w:t>,</w:t>
      </w:r>
      <w:r w:rsidRPr="003156E8">
        <w:rPr>
          <w:lang w:val="fr-FR"/>
        </w:rPr>
        <w:t xml:space="preserve"> du fait des mesures coercitives unilatérales</w:t>
      </w:r>
      <w:r w:rsidR="00244AED" w:rsidRPr="00244AED">
        <w:rPr>
          <w:lang w:val="fr-FR"/>
        </w:rPr>
        <w:t>.</w:t>
      </w:r>
      <w:r w:rsidRPr="003156E8">
        <w:rPr>
          <w:lang w:val="fr-FR"/>
        </w:rPr>
        <w:t xml:space="preserve"> La ligne a finalement été rétablie en novembre 2020</w:t>
      </w:r>
      <w:r w:rsidR="00244AED" w:rsidRPr="00244AED">
        <w:rPr>
          <w:lang w:val="fr-FR"/>
        </w:rPr>
        <w:t>.</w:t>
      </w:r>
    </w:p>
    <w:p w14:paraId="490548B7" w14:textId="6CAB601C" w:rsidR="00F30B21" w:rsidRPr="003156E8" w:rsidRDefault="00F30B21" w:rsidP="00F30B21">
      <w:pPr>
        <w:pStyle w:val="SingleTxtG"/>
        <w:rPr>
          <w:lang w:val="fr-FR"/>
        </w:rPr>
      </w:pPr>
      <w:r w:rsidRPr="003156E8">
        <w:rPr>
          <w:color w:val="000000" w:themeColor="text1"/>
          <w:lang w:val="fr-FR"/>
        </w:rPr>
        <w:t>68</w:t>
      </w:r>
      <w:r w:rsidR="00244AED" w:rsidRPr="00244AED">
        <w:rPr>
          <w:color w:val="000000" w:themeColor="text1"/>
          <w:lang w:val="fr-FR"/>
        </w:rPr>
        <w:t>.</w:t>
      </w:r>
      <w:r w:rsidRPr="003156E8">
        <w:rPr>
          <w:color w:val="000000" w:themeColor="text1"/>
          <w:lang w:val="fr-FR"/>
        </w:rPr>
        <w:tab/>
      </w:r>
      <w:r w:rsidRPr="003156E8">
        <w:rPr>
          <w:lang w:val="fr-FR"/>
        </w:rPr>
        <w:t>Le bureau national de prise en charge des victimes de violence</w:t>
      </w:r>
      <w:r w:rsidRPr="00F30B21">
        <w:rPr>
          <w:rStyle w:val="Appelnotedebasdep"/>
        </w:rPr>
        <w:footnoteReference w:id="23"/>
      </w:r>
      <w:r w:rsidRPr="003156E8">
        <w:rPr>
          <w:lang w:val="fr-FR"/>
        </w:rPr>
        <w:t xml:space="preserve"> a été mis en place en 2016</w:t>
      </w:r>
      <w:r w:rsidR="00244AED" w:rsidRPr="00244AED">
        <w:rPr>
          <w:lang w:val="fr-FR"/>
        </w:rPr>
        <w:t>.</w:t>
      </w:r>
      <w:r w:rsidRPr="003156E8">
        <w:rPr>
          <w:lang w:val="fr-FR"/>
        </w:rPr>
        <w:t xml:space="preserve"> Il fournit gratuitement une assistance juridique et psychologique aux victimes de violence, ainsi qu</w:t>
      </w:r>
      <w:r>
        <w:rPr>
          <w:lang w:val="fr-FR"/>
        </w:rPr>
        <w:t>’</w:t>
      </w:r>
      <w:r w:rsidRPr="003156E8">
        <w:rPr>
          <w:lang w:val="fr-FR"/>
        </w:rPr>
        <w:t>aux victimes de la traite des femmes, des filles et des adolescentes</w:t>
      </w:r>
      <w:r w:rsidR="00244AED" w:rsidRPr="00244AED">
        <w:rPr>
          <w:lang w:val="fr-FR"/>
        </w:rPr>
        <w:t>.</w:t>
      </w:r>
      <w:r w:rsidRPr="003156E8">
        <w:rPr>
          <w:lang w:val="fr-FR"/>
        </w:rPr>
        <w:t xml:space="preserve"> Il organise également des activités de sensibilisation et de formation sur la prévention et la prise en charge de la violence à l</w:t>
      </w:r>
      <w:r>
        <w:rPr>
          <w:lang w:val="fr-FR"/>
        </w:rPr>
        <w:t>’</w:t>
      </w:r>
      <w:r w:rsidRPr="003156E8">
        <w:rPr>
          <w:lang w:val="fr-FR"/>
        </w:rPr>
        <w:t>égard des femmes et des filles</w:t>
      </w:r>
      <w:r w:rsidR="00244AED" w:rsidRPr="00244AED">
        <w:rPr>
          <w:lang w:val="fr-FR"/>
        </w:rPr>
        <w:t>.</w:t>
      </w:r>
    </w:p>
    <w:p w14:paraId="6AC37DE7" w14:textId="756D9643" w:rsidR="00F30B21" w:rsidRPr="003156E8" w:rsidRDefault="00F30B21" w:rsidP="00F30B21">
      <w:pPr>
        <w:pStyle w:val="SingleTxtG"/>
        <w:rPr>
          <w:lang w:val="fr-FR"/>
        </w:rPr>
      </w:pPr>
      <w:r w:rsidRPr="003156E8">
        <w:rPr>
          <w:color w:val="000000" w:themeColor="text1"/>
          <w:lang w:val="fr-FR"/>
        </w:rPr>
        <w:t>69</w:t>
      </w:r>
      <w:r w:rsidR="00244AED" w:rsidRPr="00244AED">
        <w:rPr>
          <w:color w:val="000000" w:themeColor="text1"/>
          <w:lang w:val="fr-FR"/>
        </w:rPr>
        <w:t>.</w:t>
      </w:r>
      <w:r w:rsidRPr="003156E8">
        <w:rPr>
          <w:color w:val="000000" w:themeColor="text1"/>
          <w:lang w:val="fr-FR"/>
        </w:rPr>
        <w:tab/>
      </w:r>
      <w:r w:rsidRPr="003156E8">
        <w:rPr>
          <w:lang w:val="fr-FR"/>
        </w:rPr>
        <w:t>Entre janvier 2014 et septembre 2020, la direction du ministère public en charge de la protection des familles et des femmes a traité 399 742 affaires de violence fondée sur le genre, pour des faits tombant sous le coup de différentes lois</w:t>
      </w:r>
      <w:r w:rsidR="00244AED" w:rsidRPr="00244AED">
        <w:rPr>
          <w:lang w:val="fr-FR"/>
        </w:rPr>
        <w:t>.</w:t>
      </w:r>
    </w:p>
    <w:p w14:paraId="68C1F68F" w14:textId="5E1A559D" w:rsidR="00F30B21" w:rsidRPr="003156E8" w:rsidRDefault="00F30B21" w:rsidP="00F30B21">
      <w:pPr>
        <w:pStyle w:val="SingleTxtG"/>
        <w:rPr>
          <w:lang w:val="fr-FR"/>
        </w:rPr>
      </w:pPr>
      <w:r w:rsidRPr="003156E8">
        <w:rPr>
          <w:color w:val="000000" w:themeColor="text1"/>
          <w:lang w:val="fr-FR"/>
        </w:rPr>
        <w:t>70</w:t>
      </w:r>
      <w:r w:rsidR="00244AED" w:rsidRPr="00244AED">
        <w:rPr>
          <w:color w:val="000000" w:themeColor="text1"/>
          <w:lang w:val="fr-FR"/>
        </w:rPr>
        <w:t>.</w:t>
      </w:r>
      <w:r w:rsidRPr="003156E8">
        <w:rPr>
          <w:color w:val="000000" w:themeColor="text1"/>
          <w:lang w:val="fr-FR"/>
        </w:rPr>
        <w:tab/>
      </w:r>
      <w:r w:rsidRPr="003156E8">
        <w:rPr>
          <w:lang w:val="fr-FR"/>
        </w:rPr>
        <w:t>Le ministère public et les services d</w:t>
      </w:r>
      <w:r>
        <w:rPr>
          <w:lang w:val="fr-FR"/>
        </w:rPr>
        <w:t>’</w:t>
      </w:r>
      <w:r w:rsidRPr="003156E8">
        <w:rPr>
          <w:lang w:val="fr-FR"/>
        </w:rPr>
        <w:t>enquête scientifique, criminelle et criminalistique ont ordonné 57 727 mesures de protection et de sécurité dans des affaires de violence fondée sur le genre, entre janvier 2014 et septembre 2020</w:t>
      </w:r>
      <w:r w:rsidR="00244AED" w:rsidRPr="00244AED">
        <w:rPr>
          <w:lang w:val="fr-FR"/>
        </w:rPr>
        <w:t>.</w:t>
      </w:r>
      <w:r w:rsidRPr="003156E8">
        <w:rPr>
          <w:lang w:val="fr-FR"/>
        </w:rPr>
        <w:t xml:space="preserve"> Sur le nombre total de mesures, 35 % </w:t>
      </w:r>
      <w:r w:rsidRPr="003156E8">
        <w:rPr>
          <w:lang w:val="fr-FR"/>
        </w:rPr>
        <w:lastRenderedPageBreak/>
        <w:t>concernaient des actes de violence physique, 29 % des actes de violence psychologique, 18 % des menaces et 13 % des actes de harcèlement ou de harcèlement sexuel</w:t>
      </w:r>
      <w:r w:rsidR="00244AED" w:rsidRPr="00244AED">
        <w:rPr>
          <w:lang w:val="fr-FR"/>
        </w:rPr>
        <w:t>.</w:t>
      </w:r>
    </w:p>
    <w:p w14:paraId="741CBE83" w14:textId="69E4DEFB" w:rsidR="00F30B21" w:rsidRPr="003156E8" w:rsidRDefault="00F30B21" w:rsidP="00F30B21">
      <w:pPr>
        <w:pStyle w:val="SingleTxtG"/>
        <w:rPr>
          <w:lang w:val="fr-FR"/>
        </w:rPr>
      </w:pPr>
      <w:r w:rsidRPr="003156E8">
        <w:rPr>
          <w:color w:val="000000" w:themeColor="text1"/>
          <w:lang w:val="fr-FR"/>
        </w:rPr>
        <w:t>71</w:t>
      </w:r>
      <w:r w:rsidR="00244AED" w:rsidRPr="00244AED">
        <w:rPr>
          <w:color w:val="000000" w:themeColor="text1"/>
          <w:lang w:val="fr-FR"/>
        </w:rPr>
        <w:t>.</w:t>
      </w:r>
      <w:r w:rsidRPr="003156E8">
        <w:rPr>
          <w:color w:val="000000" w:themeColor="text1"/>
          <w:lang w:val="fr-FR"/>
        </w:rPr>
        <w:tab/>
      </w:r>
      <w:r w:rsidRPr="003156E8">
        <w:rPr>
          <w:lang w:val="fr-FR"/>
        </w:rPr>
        <w:t>Le bureau du Défenseur des droits des femmes offre un soutien, des conseils et une prise en charge judiciaire aux femmes victimes de violence</w:t>
      </w:r>
      <w:r>
        <w:rPr>
          <w:lang w:val="fr-FR"/>
        </w:rPr>
        <w:t>,</w:t>
      </w:r>
      <w:r w:rsidRPr="003156E8">
        <w:rPr>
          <w:lang w:val="fr-FR"/>
        </w:rPr>
        <w:t xml:space="preserve"> dans le cadre des procédures judiciaires et </w:t>
      </w:r>
      <w:proofErr w:type="spellStart"/>
      <w:r w:rsidRPr="003156E8">
        <w:rPr>
          <w:lang w:val="fr-FR"/>
        </w:rPr>
        <w:t>extrajudiciaires</w:t>
      </w:r>
      <w:proofErr w:type="spellEnd"/>
      <w:r w:rsidRPr="003156E8">
        <w:rPr>
          <w:lang w:val="fr-FR"/>
        </w:rPr>
        <w:t>, en accordant une attention particulière aux femmes les plus vulnérables</w:t>
      </w:r>
      <w:r w:rsidR="00244AED" w:rsidRPr="00244AED">
        <w:rPr>
          <w:lang w:val="fr-FR"/>
        </w:rPr>
        <w:t>.</w:t>
      </w:r>
      <w:r w:rsidRPr="003156E8">
        <w:rPr>
          <w:lang w:val="fr-FR"/>
        </w:rPr>
        <w:t xml:space="preserve"> Entre 2014 et 2020, 133 329 femmes ont été prises en charge</w:t>
      </w:r>
      <w:r w:rsidR="00244AED" w:rsidRPr="00244AED">
        <w:rPr>
          <w:lang w:val="fr-FR"/>
        </w:rPr>
        <w:t>.</w:t>
      </w:r>
      <w:r w:rsidRPr="003156E8">
        <w:rPr>
          <w:lang w:val="fr-FR"/>
        </w:rPr>
        <w:t xml:space="preserve"> </w:t>
      </w:r>
    </w:p>
    <w:p w14:paraId="0DC59D61" w14:textId="3E1E8F17" w:rsidR="00F30B21" w:rsidRPr="003156E8" w:rsidRDefault="00F30B21" w:rsidP="00F30B21">
      <w:pPr>
        <w:pStyle w:val="SingleTxtG"/>
        <w:rPr>
          <w:lang w:val="fr-FR"/>
        </w:rPr>
      </w:pPr>
      <w:r w:rsidRPr="003156E8">
        <w:rPr>
          <w:color w:val="000000" w:themeColor="text1"/>
          <w:lang w:val="fr-FR"/>
        </w:rPr>
        <w:t>72</w:t>
      </w:r>
      <w:r w:rsidR="00244AED" w:rsidRPr="00244AED">
        <w:rPr>
          <w:color w:val="000000" w:themeColor="text1"/>
          <w:lang w:val="fr-FR"/>
        </w:rPr>
        <w:t>.</w:t>
      </w:r>
      <w:r w:rsidRPr="003156E8">
        <w:rPr>
          <w:color w:val="000000" w:themeColor="text1"/>
          <w:lang w:val="fr-FR"/>
        </w:rPr>
        <w:tab/>
      </w:r>
      <w:r w:rsidRPr="003156E8">
        <w:rPr>
          <w:lang w:val="fr-FR"/>
        </w:rPr>
        <w:t>En 2013, le Ministère du pouvoir populaire en charge de la condition féminine et de l</w:t>
      </w:r>
      <w:r>
        <w:rPr>
          <w:lang w:val="fr-FR"/>
        </w:rPr>
        <w:t>’</w:t>
      </w:r>
      <w:r w:rsidRPr="003156E8">
        <w:rPr>
          <w:lang w:val="fr-FR"/>
        </w:rPr>
        <w:t>égalité des sexes a mis en place le programme des défenseures communautaires des droits des femmes pour inciter la communauté à participer à la prévention, à la formation, à l</w:t>
      </w:r>
      <w:r>
        <w:rPr>
          <w:lang w:val="fr-FR"/>
        </w:rPr>
        <w:t>’</w:t>
      </w:r>
      <w:r w:rsidRPr="003156E8">
        <w:rPr>
          <w:lang w:val="fr-FR"/>
        </w:rPr>
        <w:t>accueil et à l</w:t>
      </w:r>
      <w:r>
        <w:rPr>
          <w:lang w:val="fr-FR"/>
        </w:rPr>
        <w:t>’</w:t>
      </w:r>
      <w:r w:rsidRPr="003156E8">
        <w:rPr>
          <w:lang w:val="fr-FR"/>
        </w:rPr>
        <w:t>accompagnement des victimes de violence fondée sur le genre</w:t>
      </w:r>
      <w:r w:rsidR="00244AED" w:rsidRPr="00244AED">
        <w:rPr>
          <w:lang w:val="fr-FR"/>
        </w:rPr>
        <w:t>.</w:t>
      </w:r>
      <w:r w:rsidRPr="003156E8">
        <w:rPr>
          <w:lang w:val="fr-FR"/>
        </w:rPr>
        <w:t xml:space="preserve"> Au cours de la période 2013-2019, 54 272 femmes, dont 5 817 défenseures communautaires spécialisées dans les cas de violence obstétricale, ont pris part à des activités de formation et de sensibilisation</w:t>
      </w:r>
      <w:r w:rsidR="00244AED" w:rsidRPr="00244AED">
        <w:rPr>
          <w:lang w:val="fr-FR"/>
        </w:rPr>
        <w:t>.</w:t>
      </w:r>
    </w:p>
    <w:p w14:paraId="71335A64" w14:textId="2A7F101A" w:rsidR="00F30B21" w:rsidRPr="003156E8" w:rsidRDefault="00F30B21" w:rsidP="00F30B21">
      <w:pPr>
        <w:pStyle w:val="SingleTxtG"/>
        <w:rPr>
          <w:lang w:val="fr-FR"/>
        </w:rPr>
      </w:pPr>
      <w:r w:rsidRPr="003156E8">
        <w:rPr>
          <w:color w:val="000000" w:themeColor="text1"/>
          <w:lang w:val="fr-FR"/>
        </w:rPr>
        <w:t>73</w:t>
      </w:r>
      <w:r w:rsidR="00244AED" w:rsidRPr="00244AED">
        <w:rPr>
          <w:color w:val="000000" w:themeColor="text1"/>
          <w:lang w:val="fr-FR"/>
        </w:rPr>
        <w:t>.</w:t>
      </w:r>
      <w:r w:rsidRPr="003156E8">
        <w:rPr>
          <w:color w:val="000000" w:themeColor="text1"/>
          <w:lang w:val="fr-FR"/>
        </w:rPr>
        <w:tab/>
      </w:r>
      <w:r w:rsidRPr="003156E8">
        <w:rPr>
          <w:lang w:val="fr-FR"/>
        </w:rPr>
        <w:t>Entre 2015 et 2020, 180 personnes (65 femmes, 61 filles et 54 garçons) ont bénéficié de la sécurité et de la protection fournie par les centres d</w:t>
      </w:r>
      <w:r>
        <w:rPr>
          <w:lang w:val="fr-FR"/>
        </w:rPr>
        <w:t>’</w:t>
      </w:r>
      <w:r w:rsidRPr="003156E8">
        <w:rPr>
          <w:lang w:val="fr-FR"/>
        </w:rPr>
        <w:t>accueil du Ministère du pouvoir populaire en charge de la condition féminine et de l</w:t>
      </w:r>
      <w:r>
        <w:rPr>
          <w:lang w:val="fr-FR"/>
        </w:rPr>
        <w:t>’</w:t>
      </w:r>
      <w:r w:rsidRPr="003156E8">
        <w:rPr>
          <w:lang w:val="fr-FR"/>
        </w:rPr>
        <w:t>égalité des sexes</w:t>
      </w:r>
      <w:r w:rsidR="00244AED" w:rsidRPr="00244AED">
        <w:rPr>
          <w:lang w:val="fr-FR"/>
        </w:rPr>
        <w:t>.</w:t>
      </w:r>
      <w:r w:rsidRPr="003156E8">
        <w:rPr>
          <w:lang w:val="fr-FR"/>
        </w:rPr>
        <w:t xml:space="preserve"> Ces centres offrent, de manière confidentielle et sûre, un hébergement temporaire, une protection, des soins et un soutien aux femmes victimes et rescapées de </w:t>
      </w:r>
      <w:r>
        <w:rPr>
          <w:lang w:val="fr-FR"/>
        </w:rPr>
        <w:t xml:space="preserve">la </w:t>
      </w:r>
      <w:r w:rsidRPr="003156E8">
        <w:rPr>
          <w:lang w:val="fr-FR"/>
        </w:rPr>
        <w:t>violence</w:t>
      </w:r>
      <w:r>
        <w:rPr>
          <w:lang w:val="fr-FR"/>
        </w:rPr>
        <w:t xml:space="preserve"> </w:t>
      </w:r>
      <w:r w:rsidRPr="003156E8">
        <w:rPr>
          <w:lang w:val="fr-FR"/>
        </w:rPr>
        <w:t>fondée sur le genre, ainsi qu</w:t>
      </w:r>
      <w:r>
        <w:rPr>
          <w:lang w:val="fr-FR"/>
        </w:rPr>
        <w:t>’</w:t>
      </w:r>
      <w:r w:rsidRPr="003156E8">
        <w:rPr>
          <w:lang w:val="fr-FR"/>
        </w:rPr>
        <w:t>à leurs enfants de moins de 12 ans</w:t>
      </w:r>
      <w:r w:rsidR="00244AED" w:rsidRPr="00244AED">
        <w:rPr>
          <w:lang w:val="fr-FR"/>
        </w:rPr>
        <w:t>.</w:t>
      </w:r>
      <w:r w:rsidRPr="003156E8">
        <w:rPr>
          <w:lang w:val="fr-FR"/>
        </w:rPr>
        <w:t xml:space="preserve"> Les directives relatives aux centres d</w:t>
      </w:r>
      <w:r>
        <w:rPr>
          <w:lang w:val="fr-FR"/>
        </w:rPr>
        <w:t>’</w:t>
      </w:r>
      <w:r w:rsidRPr="003156E8">
        <w:rPr>
          <w:lang w:val="fr-FR"/>
        </w:rPr>
        <w:t>accueil, élaborées en 2016, définissent les normes applicables en matière d</w:t>
      </w:r>
      <w:r>
        <w:rPr>
          <w:lang w:val="fr-FR"/>
        </w:rPr>
        <w:t>’</w:t>
      </w:r>
      <w:r w:rsidRPr="003156E8">
        <w:rPr>
          <w:lang w:val="fr-FR"/>
        </w:rPr>
        <w:t>évaluation, d</w:t>
      </w:r>
      <w:r>
        <w:rPr>
          <w:lang w:val="fr-FR"/>
        </w:rPr>
        <w:t>’</w:t>
      </w:r>
      <w:r w:rsidRPr="003156E8">
        <w:rPr>
          <w:lang w:val="fr-FR"/>
        </w:rPr>
        <w:t>intervention, de protection, de sécurité, de confidentialité et de prise en charge psychologique et juridique pour les femmes victimes de formes extrêmes de violence fondée sur le genre</w:t>
      </w:r>
      <w:r w:rsidR="00244AED" w:rsidRPr="00244AED">
        <w:rPr>
          <w:lang w:val="fr-FR"/>
        </w:rPr>
        <w:t>.</w:t>
      </w:r>
      <w:r w:rsidRPr="003156E8">
        <w:rPr>
          <w:lang w:val="fr-FR"/>
        </w:rPr>
        <w:t xml:space="preserve"> Pendant cette période, quatre centres d</w:t>
      </w:r>
      <w:r>
        <w:rPr>
          <w:lang w:val="fr-FR"/>
        </w:rPr>
        <w:t>’</w:t>
      </w:r>
      <w:r w:rsidRPr="003156E8">
        <w:rPr>
          <w:lang w:val="fr-FR"/>
        </w:rPr>
        <w:t>accueil étaient opérationnels</w:t>
      </w:r>
      <w:r w:rsidR="00244AED" w:rsidRPr="00244AED">
        <w:rPr>
          <w:lang w:val="fr-FR"/>
        </w:rPr>
        <w:t>.</w:t>
      </w:r>
      <w:r w:rsidRPr="003156E8">
        <w:rPr>
          <w:lang w:val="fr-FR"/>
        </w:rPr>
        <w:t xml:space="preserve"> En décembre 2020, un centre était en activité, les autres faisaient l</w:t>
      </w:r>
      <w:r>
        <w:rPr>
          <w:lang w:val="fr-FR"/>
        </w:rPr>
        <w:t>’</w:t>
      </w:r>
      <w:r w:rsidRPr="003156E8">
        <w:rPr>
          <w:lang w:val="fr-FR"/>
        </w:rPr>
        <w:t>objet d</w:t>
      </w:r>
      <w:r>
        <w:rPr>
          <w:lang w:val="fr-FR"/>
        </w:rPr>
        <w:t>’</w:t>
      </w:r>
      <w:r w:rsidRPr="003156E8">
        <w:rPr>
          <w:lang w:val="fr-FR"/>
        </w:rPr>
        <w:t>une mise en conformité</w:t>
      </w:r>
      <w:r w:rsidR="00244AED" w:rsidRPr="00244AED">
        <w:rPr>
          <w:lang w:val="fr-FR"/>
        </w:rPr>
        <w:t>.</w:t>
      </w:r>
      <w:r w:rsidRPr="003156E8">
        <w:rPr>
          <w:lang w:val="fr-FR"/>
        </w:rPr>
        <w:t xml:space="preserve"> </w:t>
      </w:r>
    </w:p>
    <w:p w14:paraId="5A1FAB75" w14:textId="097F50AB" w:rsidR="00F30B21" w:rsidRPr="003156E8" w:rsidRDefault="00F30B21" w:rsidP="00F30B21">
      <w:pPr>
        <w:pStyle w:val="H56G"/>
        <w:rPr>
          <w:b/>
          <w:lang w:val="fr-FR"/>
        </w:rPr>
      </w:pPr>
      <w:r w:rsidRPr="003156E8">
        <w:rPr>
          <w:lang w:val="fr-FR"/>
        </w:rPr>
        <w:tab/>
      </w:r>
      <w:r w:rsidRPr="003156E8">
        <w:rPr>
          <w:b/>
          <w:bCs/>
          <w:lang w:val="fr-FR"/>
        </w:rPr>
        <w:t>3</w:t>
      </w:r>
      <w:r w:rsidR="00244AED" w:rsidRPr="00244AED">
        <w:rPr>
          <w:b/>
          <w:bCs/>
          <w:lang w:val="fr-FR"/>
        </w:rPr>
        <w:t>.</w:t>
      </w:r>
      <w:r w:rsidRPr="003156E8">
        <w:rPr>
          <w:b/>
          <w:bCs/>
          <w:lang w:val="fr-FR"/>
        </w:rPr>
        <w:tab/>
        <w:t>Enfants et adolescents</w:t>
      </w:r>
    </w:p>
    <w:p w14:paraId="0C018E89" w14:textId="7976EEED" w:rsidR="00F30B21" w:rsidRPr="003156E8" w:rsidRDefault="00F30B21" w:rsidP="00F30B21">
      <w:pPr>
        <w:pStyle w:val="SingleTxtG"/>
        <w:rPr>
          <w:rFonts w:eastAsia="Cambria"/>
          <w:color w:val="00000A"/>
          <w:lang w:val="fr-FR"/>
        </w:rPr>
      </w:pPr>
      <w:r w:rsidRPr="003156E8">
        <w:rPr>
          <w:color w:val="000000" w:themeColor="text1"/>
          <w:lang w:val="fr-FR"/>
        </w:rPr>
        <w:t>74</w:t>
      </w:r>
      <w:r w:rsidR="00244AED" w:rsidRPr="00244AED">
        <w:rPr>
          <w:color w:val="000000" w:themeColor="text1"/>
          <w:lang w:val="fr-FR"/>
        </w:rPr>
        <w:t>.</w:t>
      </w:r>
      <w:r w:rsidRPr="003156E8">
        <w:rPr>
          <w:color w:val="000000" w:themeColor="text1"/>
          <w:lang w:val="fr-FR"/>
        </w:rPr>
        <w:tab/>
      </w:r>
      <w:r w:rsidRPr="003156E8">
        <w:rPr>
          <w:color w:val="00000A"/>
          <w:lang w:val="fr-FR"/>
        </w:rPr>
        <w:t>La Constitution prévoit la création d</w:t>
      </w:r>
      <w:r>
        <w:rPr>
          <w:color w:val="00000A"/>
          <w:lang w:val="fr-FR"/>
        </w:rPr>
        <w:t>’</w:t>
      </w:r>
      <w:r w:rsidRPr="003156E8">
        <w:rPr>
          <w:color w:val="00000A"/>
          <w:lang w:val="fr-FR"/>
        </w:rPr>
        <w:t>un système national de protection des enfants et des adolescents (titre III, chap</w:t>
      </w:r>
      <w:r w:rsidR="00A92AEA">
        <w:rPr>
          <w:color w:val="00000A"/>
          <w:lang w:val="fr-FR"/>
        </w:rPr>
        <w:t>. </w:t>
      </w:r>
      <w:r w:rsidRPr="003156E8">
        <w:rPr>
          <w:color w:val="00000A"/>
          <w:lang w:val="fr-FR"/>
        </w:rPr>
        <w:t>V, art</w:t>
      </w:r>
      <w:r w:rsidR="00A92AEA">
        <w:rPr>
          <w:color w:val="00000A"/>
          <w:lang w:val="fr-FR"/>
        </w:rPr>
        <w:t>.</w:t>
      </w:r>
      <w:r w:rsidRPr="003156E8">
        <w:rPr>
          <w:color w:val="00000A"/>
          <w:lang w:val="fr-FR"/>
        </w:rPr>
        <w:t> 78)</w:t>
      </w:r>
      <w:r w:rsidR="00244AED" w:rsidRPr="00244AED">
        <w:rPr>
          <w:color w:val="00000A"/>
          <w:lang w:val="fr-FR"/>
        </w:rPr>
        <w:t>.</w:t>
      </w:r>
      <w:r w:rsidRPr="003156E8">
        <w:rPr>
          <w:color w:val="00000A"/>
          <w:lang w:val="fr-FR"/>
        </w:rPr>
        <w:t xml:space="preserve"> La loi organique relative à la protection des enfants et des adolescents (art</w:t>
      </w:r>
      <w:r w:rsidR="00244AED" w:rsidRPr="00244AED">
        <w:rPr>
          <w:color w:val="00000A"/>
          <w:lang w:val="fr-FR"/>
        </w:rPr>
        <w:t>.</w:t>
      </w:r>
      <w:r w:rsidR="00A92AEA">
        <w:rPr>
          <w:color w:val="00000A"/>
          <w:lang w:val="fr-FR"/>
        </w:rPr>
        <w:t> </w:t>
      </w:r>
      <w:r w:rsidRPr="003156E8">
        <w:rPr>
          <w:color w:val="00000A"/>
          <w:lang w:val="fr-FR"/>
        </w:rPr>
        <w:t>117) conçoit le système national de protection des enfants et des adolescents comme un ensemble d</w:t>
      </w:r>
      <w:r>
        <w:rPr>
          <w:color w:val="00000A"/>
          <w:lang w:val="fr-FR"/>
        </w:rPr>
        <w:t>’</w:t>
      </w:r>
      <w:r w:rsidRPr="003156E8">
        <w:rPr>
          <w:color w:val="00000A"/>
          <w:lang w:val="fr-FR"/>
        </w:rPr>
        <w:t>organes, d</w:t>
      </w:r>
      <w:r>
        <w:rPr>
          <w:color w:val="00000A"/>
          <w:lang w:val="fr-FR"/>
        </w:rPr>
        <w:t>’</w:t>
      </w:r>
      <w:r w:rsidRPr="003156E8">
        <w:rPr>
          <w:color w:val="00000A"/>
          <w:lang w:val="fr-FR"/>
        </w:rPr>
        <w:t>entités et de services ayant pour objet de garantir les moyens permettant l</w:t>
      </w:r>
      <w:r>
        <w:rPr>
          <w:color w:val="00000A"/>
          <w:lang w:val="fr-FR"/>
        </w:rPr>
        <w:t>’</w:t>
      </w:r>
      <w:r w:rsidRPr="003156E8">
        <w:rPr>
          <w:color w:val="00000A"/>
          <w:lang w:val="fr-FR"/>
        </w:rPr>
        <w:t>exercice effectif des droits et des garanties</w:t>
      </w:r>
      <w:r w:rsidR="00244AED" w:rsidRPr="00244AED">
        <w:rPr>
          <w:color w:val="00000A"/>
          <w:lang w:val="fr-FR"/>
        </w:rPr>
        <w:t>.</w:t>
      </w:r>
      <w:r w:rsidRPr="003156E8">
        <w:rPr>
          <w:color w:val="00000A"/>
          <w:lang w:val="fr-FR"/>
        </w:rPr>
        <w:t xml:space="preserve"> Il assure la conception, la coordination, l</w:t>
      </w:r>
      <w:r>
        <w:rPr>
          <w:color w:val="00000A"/>
          <w:lang w:val="fr-FR"/>
        </w:rPr>
        <w:t>’</w:t>
      </w:r>
      <w:r w:rsidRPr="003156E8">
        <w:rPr>
          <w:color w:val="00000A"/>
          <w:lang w:val="fr-FR"/>
        </w:rPr>
        <w:t>intégration, l</w:t>
      </w:r>
      <w:r>
        <w:rPr>
          <w:color w:val="00000A"/>
          <w:lang w:val="fr-FR"/>
        </w:rPr>
        <w:t>’</w:t>
      </w:r>
      <w:r w:rsidRPr="003156E8">
        <w:rPr>
          <w:color w:val="00000A"/>
          <w:lang w:val="fr-FR"/>
        </w:rPr>
        <w:t>orientation, le contrôle, l</w:t>
      </w:r>
      <w:r>
        <w:rPr>
          <w:color w:val="00000A"/>
          <w:lang w:val="fr-FR"/>
        </w:rPr>
        <w:t>’</w:t>
      </w:r>
      <w:r w:rsidRPr="003156E8">
        <w:rPr>
          <w:color w:val="00000A"/>
          <w:lang w:val="fr-FR"/>
        </w:rPr>
        <w:t>évaluation et le suivi des politiques, des programmes et des mesures d</w:t>
      </w:r>
      <w:r>
        <w:rPr>
          <w:color w:val="00000A"/>
          <w:lang w:val="fr-FR"/>
        </w:rPr>
        <w:t>’</w:t>
      </w:r>
      <w:r w:rsidRPr="003156E8">
        <w:rPr>
          <w:color w:val="00000A"/>
          <w:lang w:val="fr-FR"/>
        </w:rPr>
        <w:t>intérêt public visant à protéger les enfants et les adolescents et veille à ce que les obligations définies par la loi précitée soient respectées, aussi bien au niveau national, qu</w:t>
      </w:r>
      <w:r>
        <w:rPr>
          <w:color w:val="00000A"/>
          <w:lang w:val="fr-FR"/>
        </w:rPr>
        <w:t>’</w:t>
      </w:r>
      <w:r w:rsidRPr="003156E8">
        <w:rPr>
          <w:color w:val="00000A"/>
          <w:lang w:val="fr-FR"/>
        </w:rPr>
        <w:t>au niveau des États et des municipalités</w:t>
      </w:r>
      <w:r w:rsidR="00244AED" w:rsidRPr="00244AED">
        <w:rPr>
          <w:color w:val="00000A"/>
          <w:lang w:val="fr-FR"/>
        </w:rPr>
        <w:t>.</w:t>
      </w:r>
    </w:p>
    <w:p w14:paraId="32C5C7E1" w14:textId="6CCB22CF" w:rsidR="00F30B21" w:rsidRPr="003156E8" w:rsidRDefault="00F30B21" w:rsidP="00F30B21">
      <w:pPr>
        <w:pStyle w:val="SingleTxtG"/>
        <w:rPr>
          <w:rFonts w:eastAsia="Cambria"/>
          <w:color w:val="00000A"/>
          <w:lang w:val="fr-FR"/>
        </w:rPr>
      </w:pPr>
      <w:r w:rsidRPr="003156E8">
        <w:rPr>
          <w:color w:val="000000" w:themeColor="text1"/>
          <w:lang w:val="fr-FR"/>
        </w:rPr>
        <w:t>75</w:t>
      </w:r>
      <w:r w:rsidR="00244AED" w:rsidRPr="00244AED">
        <w:rPr>
          <w:color w:val="000000" w:themeColor="text1"/>
          <w:lang w:val="fr-FR"/>
        </w:rPr>
        <w:t>.</w:t>
      </w:r>
      <w:r w:rsidRPr="003156E8">
        <w:rPr>
          <w:color w:val="000000" w:themeColor="text1"/>
          <w:lang w:val="fr-FR"/>
        </w:rPr>
        <w:tab/>
      </w:r>
      <w:r w:rsidRPr="003156E8">
        <w:rPr>
          <w:color w:val="00000A"/>
          <w:lang w:val="fr-FR"/>
        </w:rPr>
        <w:t>En application de l</w:t>
      </w:r>
      <w:r>
        <w:rPr>
          <w:color w:val="00000A"/>
          <w:lang w:val="fr-FR"/>
        </w:rPr>
        <w:t>’</w:t>
      </w:r>
      <w:r w:rsidRPr="003156E8">
        <w:rPr>
          <w:color w:val="00000A"/>
          <w:lang w:val="fr-FR"/>
        </w:rPr>
        <w:t>article 19 de la loi organique précitée, le système national de protection des enfants et des adolescents inclut la société organisée et les entités et organismes publics suivants : Ministère du pouvoir populaire en charge de la protection des enfants et des adolescents ; conseils des droits des enfants et des adolescents ; conseils de protection des enfants et des adolescents ; tribunaux chargés de la protection de l</w:t>
      </w:r>
      <w:r>
        <w:rPr>
          <w:color w:val="00000A"/>
          <w:lang w:val="fr-FR"/>
        </w:rPr>
        <w:t>’</w:t>
      </w:r>
      <w:r w:rsidRPr="003156E8">
        <w:rPr>
          <w:color w:val="00000A"/>
          <w:lang w:val="fr-FR"/>
        </w:rPr>
        <w:t>enfance et de l</w:t>
      </w:r>
      <w:r>
        <w:rPr>
          <w:color w:val="00000A"/>
          <w:lang w:val="fr-FR"/>
        </w:rPr>
        <w:t>’</w:t>
      </w:r>
      <w:r w:rsidRPr="003156E8">
        <w:rPr>
          <w:color w:val="00000A"/>
          <w:lang w:val="fr-FR"/>
        </w:rPr>
        <w:t>adolescence ; chambre de cassation sociale de la Cour suprême de justice, ministère public ; bureau du Défenseur du peuple, service de défense publique ; organisations de prise en charge ; bureaux du Défenseur des enfants et des adolescents ; conseils communaux et autres formes d</w:t>
      </w:r>
      <w:r>
        <w:rPr>
          <w:color w:val="00000A"/>
          <w:lang w:val="fr-FR"/>
        </w:rPr>
        <w:t>’</w:t>
      </w:r>
      <w:r w:rsidRPr="003156E8">
        <w:rPr>
          <w:color w:val="00000A"/>
          <w:lang w:val="fr-FR"/>
        </w:rPr>
        <w:t xml:space="preserve">organisation populaire ; mission </w:t>
      </w:r>
      <w:proofErr w:type="spellStart"/>
      <w:r w:rsidRPr="003156E8">
        <w:rPr>
          <w:i/>
          <w:iCs/>
          <w:color w:val="00000A"/>
          <w:lang w:val="fr-FR"/>
        </w:rPr>
        <w:t>Niños</w:t>
      </w:r>
      <w:proofErr w:type="spellEnd"/>
      <w:r w:rsidRPr="003156E8">
        <w:rPr>
          <w:i/>
          <w:iCs/>
          <w:color w:val="00000A"/>
          <w:lang w:val="fr-FR"/>
        </w:rPr>
        <w:t xml:space="preserve"> y </w:t>
      </w:r>
      <w:proofErr w:type="spellStart"/>
      <w:r w:rsidRPr="003156E8">
        <w:rPr>
          <w:i/>
          <w:iCs/>
          <w:color w:val="00000A"/>
          <w:lang w:val="fr-FR"/>
        </w:rPr>
        <w:t>Niñas</w:t>
      </w:r>
      <w:proofErr w:type="spellEnd"/>
      <w:r w:rsidRPr="003156E8">
        <w:rPr>
          <w:i/>
          <w:iCs/>
          <w:color w:val="00000A"/>
          <w:lang w:val="fr-FR"/>
        </w:rPr>
        <w:t xml:space="preserve"> </w:t>
      </w:r>
      <w:proofErr w:type="spellStart"/>
      <w:r w:rsidRPr="003156E8">
        <w:rPr>
          <w:i/>
          <w:iCs/>
          <w:color w:val="00000A"/>
          <w:lang w:val="fr-FR"/>
        </w:rPr>
        <w:t>del</w:t>
      </w:r>
      <w:proofErr w:type="spellEnd"/>
      <w:r w:rsidRPr="003156E8">
        <w:rPr>
          <w:i/>
          <w:iCs/>
          <w:color w:val="00000A"/>
          <w:lang w:val="fr-FR"/>
        </w:rPr>
        <w:t xml:space="preserve"> Barrio</w:t>
      </w:r>
      <w:r w:rsidRPr="003156E8">
        <w:rPr>
          <w:color w:val="00000A"/>
          <w:lang w:val="fr-FR"/>
        </w:rPr>
        <w:t xml:space="preserve"> (</w:t>
      </w:r>
      <w:r>
        <w:rPr>
          <w:color w:val="00000A"/>
          <w:lang w:val="fr-FR"/>
        </w:rPr>
        <w:t>e</w:t>
      </w:r>
      <w:r w:rsidRPr="003156E8">
        <w:rPr>
          <w:color w:val="00000A"/>
          <w:lang w:val="fr-FR"/>
        </w:rPr>
        <w:t>nfants des quartiers) créée en 2008</w:t>
      </w:r>
      <w:r w:rsidR="00244AED" w:rsidRPr="00244AED">
        <w:rPr>
          <w:color w:val="00000A"/>
          <w:lang w:val="fr-FR"/>
        </w:rPr>
        <w:t>.</w:t>
      </w:r>
    </w:p>
    <w:p w14:paraId="6891DFB9" w14:textId="4313F3E3" w:rsidR="00F30B21" w:rsidRPr="003156E8" w:rsidRDefault="00F30B21" w:rsidP="00F30B21">
      <w:pPr>
        <w:pStyle w:val="H1G"/>
        <w:rPr>
          <w:i/>
          <w:lang w:val="fr-FR"/>
        </w:rPr>
      </w:pPr>
      <w:r w:rsidRPr="003156E8">
        <w:rPr>
          <w:b w:val="0"/>
          <w:lang w:val="fr-FR"/>
        </w:rPr>
        <w:tab/>
      </w:r>
      <w:r w:rsidRPr="003156E8">
        <w:rPr>
          <w:bCs/>
          <w:lang w:val="fr-FR"/>
        </w:rPr>
        <w:t>B</w:t>
      </w:r>
      <w:r w:rsidR="00244AED" w:rsidRPr="00244AED">
        <w:rPr>
          <w:bCs/>
          <w:lang w:val="fr-FR"/>
        </w:rPr>
        <w:t>.</w:t>
      </w:r>
      <w:r w:rsidRPr="003156E8">
        <w:rPr>
          <w:bCs/>
          <w:lang w:val="fr-FR"/>
        </w:rPr>
        <w:tab/>
        <w:t>Droit à la sécurité de la personne</w:t>
      </w:r>
    </w:p>
    <w:p w14:paraId="3F40A602" w14:textId="3B156169" w:rsidR="00F30B21" w:rsidRPr="003156E8" w:rsidRDefault="00F30B21" w:rsidP="00F30B21">
      <w:pPr>
        <w:pStyle w:val="SingleTxtG"/>
        <w:rPr>
          <w:rFonts w:eastAsia="Cambria"/>
          <w:color w:val="00000A"/>
          <w:lang w:val="fr-FR"/>
        </w:rPr>
      </w:pPr>
      <w:r w:rsidRPr="003156E8">
        <w:rPr>
          <w:color w:val="000000" w:themeColor="text1"/>
          <w:lang w:val="fr-FR"/>
        </w:rPr>
        <w:t>76</w:t>
      </w:r>
      <w:r w:rsidR="00244AED" w:rsidRPr="00244AED">
        <w:rPr>
          <w:color w:val="000000" w:themeColor="text1"/>
          <w:lang w:val="fr-FR"/>
        </w:rPr>
        <w:t>.</w:t>
      </w:r>
      <w:r w:rsidRPr="003156E8">
        <w:rPr>
          <w:color w:val="000000" w:themeColor="text1"/>
          <w:lang w:val="fr-FR"/>
        </w:rPr>
        <w:tab/>
      </w:r>
      <w:r w:rsidRPr="003156E8">
        <w:rPr>
          <w:color w:val="00000A"/>
          <w:lang w:val="fr-FR"/>
        </w:rPr>
        <w:t>La loi relative au désarmement et au contrôle des armes et des munitions</w:t>
      </w:r>
      <w:r w:rsidRPr="00F30B21">
        <w:rPr>
          <w:rStyle w:val="Appelnotedebasdep"/>
        </w:rPr>
        <w:footnoteReference w:id="24"/>
      </w:r>
      <w:r w:rsidRPr="003156E8">
        <w:rPr>
          <w:color w:val="00000A"/>
          <w:lang w:val="fr-FR"/>
        </w:rPr>
        <w:t xml:space="preserve"> a été adoptée en 2013 et son règlement d</w:t>
      </w:r>
      <w:r>
        <w:rPr>
          <w:color w:val="00000A"/>
          <w:lang w:val="fr-FR"/>
        </w:rPr>
        <w:t>’</w:t>
      </w:r>
      <w:r w:rsidRPr="003156E8">
        <w:rPr>
          <w:color w:val="00000A"/>
          <w:lang w:val="fr-FR"/>
        </w:rPr>
        <w:t>application en 2014</w:t>
      </w:r>
      <w:r w:rsidRPr="00F30B21">
        <w:rPr>
          <w:rStyle w:val="Appelnotedebasdep"/>
        </w:rPr>
        <w:footnoteReference w:id="25"/>
      </w:r>
      <w:r w:rsidR="00244AED" w:rsidRPr="00244AED">
        <w:rPr>
          <w:color w:val="00000A"/>
          <w:lang w:val="fr-FR"/>
        </w:rPr>
        <w:t>.</w:t>
      </w:r>
      <w:r w:rsidRPr="003156E8">
        <w:rPr>
          <w:color w:val="00000A"/>
          <w:lang w:val="fr-FR"/>
        </w:rPr>
        <w:t xml:space="preserve"> Le service national pour le désarmement, créé en application de ce règlement, a permis d</w:t>
      </w:r>
      <w:r>
        <w:rPr>
          <w:color w:val="00000A"/>
          <w:lang w:val="fr-FR"/>
        </w:rPr>
        <w:t>’</w:t>
      </w:r>
      <w:r w:rsidRPr="003156E8">
        <w:rPr>
          <w:color w:val="00000A"/>
          <w:lang w:val="fr-FR"/>
        </w:rPr>
        <w:t>intensifier les opérations de désarmement de la population civile</w:t>
      </w:r>
      <w:r w:rsidR="00244AED" w:rsidRPr="00244AED">
        <w:rPr>
          <w:color w:val="00000A"/>
          <w:lang w:val="fr-FR"/>
        </w:rPr>
        <w:t>.</w:t>
      </w:r>
      <w:r w:rsidRPr="003156E8">
        <w:rPr>
          <w:color w:val="00000A"/>
          <w:lang w:val="fr-FR"/>
        </w:rPr>
        <w:t xml:space="preserve"> Entre 2014 et 2018, 98 525 armes à feu ont été neutralisées et 127 552 armes à feu et armes blanches ont été détruites grâce à ce service</w:t>
      </w:r>
      <w:r w:rsidR="00244AED" w:rsidRPr="00244AED">
        <w:rPr>
          <w:color w:val="00000A"/>
          <w:lang w:val="fr-FR"/>
        </w:rPr>
        <w:t>.</w:t>
      </w:r>
      <w:r w:rsidRPr="003156E8">
        <w:rPr>
          <w:color w:val="00000A"/>
          <w:lang w:val="fr-FR"/>
        </w:rPr>
        <w:t xml:space="preserve"> Certaines de ces armes ont été remises de manière volontaire dans le cadre du plan de </w:t>
      </w:r>
      <w:r w:rsidRPr="003156E8">
        <w:rPr>
          <w:color w:val="00000A"/>
          <w:lang w:val="fr-FR"/>
        </w:rPr>
        <w:lastRenderedPageBreak/>
        <w:t>désarmement volontaire, tandis que d</w:t>
      </w:r>
      <w:r>
        <w:rPr>
          <w:color w:val="00000A"/>
          <w:lang w:val="fr-FR"/>
        </w:rPr>
        <w:t>’</w:t>
      </w:r>
      <w:r w:rsidRPr="003156E8">
        <w:rPr>
          <w:color w:val="00000A"/>
          <w:lang w:val="fr-FR"/>
        </w:rPr>
        <w:t>autres ont été saisies par les forces de l</w:t>
      </w:r>
      <w:r>
        <w:rPr>
          <w:color w:val="00000A"/>
          <w:lang w:val="fr-FR"/>
        </w:rPr>
        <w:t>’</w:t>
      </w:r>
      <w:r w:rsidRPr="003156E8">
        <w:rPr>
          <w:color w:val="00000A"/>
          <w:lang w:val="fr-FR"/>
        </w:rPr>
        <w:t>ordre</w:t>
      </w:r>
      <w:r w:rsidR="00244AED" w:rsidRPr="00244AED">
        <w:rPr>
          <w:color w:val="00000A"/>
          <w:lang w:val="fr-FR"/>
        </w:rPr>
        <w:t>.</w:t>
      </w:r>
      <w:r w:rsidRPr="003156E8">
        <w:rPr>
          <w:color w:val="00000A"/>
          <w:lang w:val="fr-FR"/>
        </w:rPr>
        <w:t xml:space="preserve"> En outre, 20 610 activités sportives, culturelles et de loisirs ont été organisées pour promouvoir le désarmement au sein de la population, et 1 045 opérations de contrôle ont été menées dans les locaux de conservation des scellés sur l</w:t>
      </w:r>
      <w:r>
        <w:rPr>
          <w:color w:val="00000A"/>
          <w:lang w:val="fr-FR"/>
        </w:rPr>
        <w:t>’</w:t>
      </w:r>
      <w:r w:rsidRPr="003156E8">
        <w:rPr>
          <w:color w:val="00000A"/>
          <w:lang w:val="fr-FR"/>
        </w:rPr>
        <w:t>ensemble du territoire national</w:t>
      </w:r>
      <w:r w:rsidR="00244AED" w:rsidRPr="00244AED">
        <w:rPr>
          <w:color w:val="00000A"/>
          <w:lang w:val="fr-FR"/>
        </w:rPr>
        <w:t>.</w:t>
      </w:r>
    </w:p>
    <w:p w14:paraId="2E2D607C" w14:textId="39ED9A7C" w:rsidR="00F30B21" w:rsidRPr="003156E8" w:rsidRDefault="00F30B21" w:rsidP="00F30B21">
      <w:pPr>
        <w:pStyle w:val="SingleTxtG"/>
        <w:rPr>
          <w:rFonts w:eastAsia="Cambria"/>
          <w:color w:val="00000A"/>
          <w:lang w:val="fr-FR"/>
        </w:rPr>
      </w:pPr>
      <w:r w:rsidRPr="003156E8">
        <w:rPr>
          <w:color w:val="000000" w:themeColor="text1"/>
          <w:lang w:val="fr-FR"/>
        </w:rPr>
        <w:t>77</w:t>
      </w:r>
      <w:r w:rsidR="00244AED" w:rsidRPr="00244AED">
        <w:rPr>
          <w:color w:val="000000" w:themeColor="text1"/>
          <w:lang w:val="fr-FR"/>
        </w:rPr>
        <w:t>.</w:t>
      </w:r>
      <w:r w:rsidRPr="003156E8">
        <w:rPr>
          <w:color w:val="000000" w:themeColor="text1"/>
          <w:lang w:val="fr-FR"/>
        </w:rPr>
        <w:tab/>
      </w:r>
      <w:r w:rsidRPr="003156E8">
        <w:rPr>
          <w:lang w:val="fr-FR"/>
        </w:rPr>
        <w:t xml:space="preserve">Au début du deuxième semestre 2018, la République bolivarienne du Venezuela a reformulé la politique publique relative à la sécurité de la personne, connue sous le nom de </w:t>
      </w:r>
      <w:r w:rsidRPr="003156E8">
        <w:rPr>
          <w:i/>
          <w:iCs/>
          <w:lang w:val="fr-FR"/>
        </w:rPr>
        <w:t xml:space="preserve">Gran </w:t>
      </w:r>
      <w:proofErr w:type="spellStart"/>
      <w:r w:rsidRPr="003156E8">
        <w:rPr>
          <w:i/>
          <w:iCs/>
          <w:lang w:val="fr-FR"/>
        </w:rPr>
        <w:t>Misión</w:t>
      </w:r>
      <w:proofErr w:type="spellEnd"/>
      <w:r w:rsidRPr="003156E8">
        <w:rPr>
          <w:i/>
          <w:iCs/>
          <w:lang w:val="fr-FR"/>
        </w:rPr>
        <w:t xml:space="preserve"> a </w:t>
      </w:r>
      <w:proofErr w:type="spellStart"/>
      <w:r w:rsidRPr="003156E8">
        <w:rPr>
          <w:i/>
          <w:iCs/>
          <w:lang w:val="fr-FR"/>
        </w:rPr>
        <w:t>Toda</w:t>
      </w:r>
      <w:proofErr w:type="spellEnd"/>
      <w:r w:rsidRPr="003156E8">
        <w:rPr>
          <w:i/>
          <w:iCs/>
          <w:lang w:val="fr-FR"/>
        </w:rPr>
        <w:t xml:space="preserve"> Vida Venezuela </w:t>
      </w:r>
      <w:r w:rsidRPr="003156E8">
        <w:rPr>
          <w:lang w:val="fr-FR"/>
        </w:rPr>
        <w:t>(</w:t>
      </w:r>
      <w:r>
        <w:rPr>
          <w:lang w:val="fr-FR"/>
        </w:rPr>
        <w:t>grande m</w:t>
      </w:r>
      <w:r w:rsidRPr="003156E8">
        <w:rPr>
          <w:lang w:val="fr-FR"/>
        </w:rPr>
        <w:t>ission Protéger toutes les vies au Venezuela), en vigueur depuis 2011, en instaurant la</w:t>
      </w:r>
      <w:r w:rsidRPr="003156E8">
        <w:rPr>
          <w:i/>
          <w:iCs/>
          <w:lang w:val="fr-FR"/>
        </w:rPr>
        <w:t xml:space="preserve"> Gran </w:t>
      </w:r>
      <w:proofErr w:type="spellStart"/>
      <w:r w:rsidRPr="003156E8">
        <w:rPr>
          <w:i/>
          <w:iCs/>
          <w:lang w:val="fr-FR"/>
        </w:rPr>
        <w:t>Misión</w:t>
      </w:r>
      <w:proofErr w:type="spellEnd"/>
      <w:r w:rsidRPr="003156E8">
        <w:rPr>
          <w:i/>
          <w:iCs/>
          <w:lang w:val="fr-FR"/>
        </w:rPr>
        <w:t xml:space="preserve"> </w:t>
      </w:r>
      <w:proofErr w:type="spellStart"/>
      <w:r w:rsidRPr="003156E8">
        <w:rPr>
          <w:i/>
          <w:iCs/>
          <w:lang w:val="fr-FR"/>
        </w:rPr>
        <w:t>Cuadrantes</w:t>
      </w:r>
      <w:proofErr w:type="spellEnd"/>
      <w:r w:rsidRPr="003156E8">
        <w:rPr>
          <w:i/>
          <w:iCs/>
          <w:lang w:val="fr-FR"/>
        </w:rPr>
        <w:t xml:space="preserve"> de Paz</w:t>
      </w:r>
      <w:r w:rsidRPr="003156E8">
        <w:rPr>
          <w:lang w:val="fr-FR"/>
        </w:rPr>
        <w:t xml:space="preserve"> (</w:t>
      </w:r>
      <w:r>
        <w:rPr>
          <w:lang w:val="fr-FR"/>
        </w:rPr>
        <w:t>grande m</w:t>
      </w:r>
      <w:r w:rsidRPr="003156E8">
        <w:rPr>
          <w:lang w:val="fr-FR"/>
        </w:rPr>
        <w:t>ission Patrouilles de la paix)</w:t>
      </w:r>
      <w:r w:rsidR="00244AED" w:rsidRPr="00244AED">
        <w:rPr>
          <w:lang w:val="fr-FR"/>
        </w:rPr>
        <w:t>.</w:t>
      </w:r>
      <w:r w:rsidRPr="003156E8">
        <w:rPr>
          <w:lang w:val="fr-FR"/>
        </w:rPr>
        <w:t xml:space="preserve"> Le plan national de prévention </w:t>
      </w:r>
      <w:proofErr w:type="spellStart"/>
      <w:r w:rsidRPr="003156E8">
        <w:rPr>
          <w:i/>
          <w:iCs/>
          <w:lang w:val="fr-FR"/>
        </w:rPr>
        <w:t>Cuadrante</w:t>
      </w:r>
      <w:proofErr w:type="spellEnd"/>
      <w:r w:rsidRPr="003156E8">
        <w:rPr>
          <w:i/>
          <w:iCs/>
          <w:lang w:val="fr-FR"/>
        </w:rPr>
        <w:t xml:space="preserve"> de Paz </w:t>
      </w:r>
      <w:r w:rsidRPr="003156E8">
        <w:rPr>
          <w:lang w:val="fr-FR"/>
        </w:rPr>
        <w:t>2019-2025, adopté dans le cadre de cette nouvelle politique, comporte un nouveau volet consacré à la prévention et à la gestion des risques</w:t>
      </w:r>
      <w:r w:rsidR="00244AED" w:rsidRPr="00244AED">
        <w:rPr>
          <w:lang w:val="fr-FR"/>
        </w:rPr>
        <w:t>.</w:t>
      </w:r>
      <w:r w:rsidRPr="003156E8">
        <w:rPr>
          <w:lang w:val="fr-FR"/>
        </w:rPr>
        <w:t xml:space="preserve"> Il est mis en œuvre par le </w:t>
      </w:r>
      <w:proofErr w:type="spellStart"/>
      <w:r w:rsidRPr="003156E8">
        <w:rPr>
          <w:i/>
          <w:iCs/>
          <w:lang w:val="fr-FR"/>
        </w:rPr>
        <w:t>Frente</w:t>
      </w:r>
      <w:proofErr w:type="spellEnd"/>
      <w:r w:rsidRPr="003156E8">
        <w:rPr>
          <w:i/>
          <w:iCs/>
          <w:lang w:val="fr-FR"/>
        </w:rPr>
        <w:t xml:space="preserve"> </w:t>
      </w:r>
      <w:proofErr w:type="spellStart"/>
      <w:r w:rsidRPr="003156E8">
        <w:rPr>
          <w:i/>
          <w:iCs/>
          <w:lang w:val="fr-FR"/>
        </w:rPr>
        <w:t>Preventivo</w:t>
      </w:r>
      <w:proofErr w:type="spellEnd"/>
      <w:r w:rsidRPr="003156E8">
        <w:rPr>
          <w:i/>
          <w:iCs/>
          <w:lang w:val="fr-FR"/>
        </w:rPr>
        <w:t xml:space="preserve"> </w:t>
      </w:r>
      <w:proofErr w:type="spellStart"/>
      <w:r w:rsidRPr="003156E8">
        <w:rPr>
          <w:i/>
          <w:iCs/>
          <w:lang w:val="fr-FR"/>
        </w:rPr>
        <w:t>por</w:t>
      </w:r>
      <w:proofErr w:type="spellEnd"/>
      <w:r w:rsidRPr="003156E8">
        <w:rPr>
          <w:i/>
          <w:iCs/>
          <w:lang w:val="fr-FR"/>
        </w:rPr>
        <w:t xml:space="preserve"> la Vida y la Paz</w:t>
      </w:r>
      <w:r w:rsidRPr="003156E8">
        <w:rPr>
          <w:lang w:val="fr-FR"/>
        </w:rPr>
        <w:t xml:space="preserve"> (</w:t>
      </w:r>
      <w:r>
        <w:rPr>
          <w:lang w:val="fr-FR"/>
        </w:rPr>
        <w:t>f</w:t>
      </w:r>
      <w:r w:rsidRPr="003156E8">
        <w:rPr>
          <w:lang w:val="fr-FR"/>
        </w:rPr>
        <w:t>ront de prévention pour la vie et la paix), qui intervient dans les 23 États et dans le district de la capitale et propose des activités éducatives, de loisirs, culturelles et sportives permettant de lutter contre les facteurs qui favorisent la violence et l</w:t>
      </w:r>
      <w:r>
        <w:rPr>
          <w:lang w:val="fr-FR"/>
        </w:rPr>
        <w:t>’</w:t>
      </w:r>
      <w:r w:rsidRPr="003156E8">
        <w:rPr>
          <w:lang w:val="fr-FR"/>
        </w:rPr>
        <w:t>augmentation de la criminalité, en récupérant des espaces pour la communauté et pour le pouvoir populaire organisé</w:t>
      </w:r>
      <w:r w:rsidR="00244AED" w:rsidRPr="00244AED">
        <w:rPr>
          <w:lang w:val="fr-FR"/>
        </w:rPr>
        <w:t>.</w:t>
      </w:r>
    </w:p>
    <w:p w14:paraId="1DDB5302" w14:textId="04F4CC18" w:rsidR="00F30B21" w:rsidRPr="003156E8" w:rsidRDefault="00F30B21" w:rsidP="00F30B21">
      <w:pPr>
        <w:pStyle w:val="SingleTxtG"/>
        <w:rPr>
          <w:rFonts w:eastAsia="Cambria"/>
          <w:color w:val="00000A"/>
          <w:lang w:val="fr-FR"/>
        </w:rPr>
      </w:pPr>
      <w:r w:rsidRPr="003156E8">
        <w:rPr>
          <w:lang w:val="fr-FR"/>
        </w:rPr>
        <w:t>78</w:t>
      </w:r>
      <w:r w:rsidR="00244AED" w:rsidRPr="00244AED">
        <w:rPr>
          <w:lang w:val="fr-FR"/>
        </w:rPr>
        <w:t>.</w:t>
      </w:r>
      <w:r w:rsidRPr="003156E8">
        <w:rPr>
          <w:lang w:val="fr-FR"/>
        </w:rPr>
        <w:tab/>
        <w:t>Les mesures mises en œuvre se sont traduites par une diminution constante du nombre d</w:t>
      </w:r>
      <w:r>
        <w:rPr>
          <w:lang w:val="fr-FR"/>
        </w:rPr>
        <w:t>’</w:t>
      </w:r>
      <w:r w:rsidRPr="003156E8">
        <w:rPr>
          <w:lang w:val="fr-FR"/>
        </w:rPr>
        <w:t>homicides en République bolivarienne du Venezuela</w:t>
      </w:r>
      <w:r w:rsidR="00244AED" w:rsidRPr="00244AED">
        <w:rPr>
          <w:lang w:val="fr-FR"/>
        </w:rPr>
        <w:t>.</w:t>
      </w:r>
      <w:r w:rsidRPr="003156E8">
        <w:rPr>
          <w:lang w:val="fr-FR"/>
        </w:rPr>
        <w:t xml:space="preserve"> Le nombre d</w:t>
      </w:r>
      <w:r>
        <w:rPr>
          <w:lang w:val="fr-FR"/>
        </w:rPr>
        <w:t>’</w:t>
      </w:r>
      <w:r w:rsidRPr="003156E8">
        <w:rPr>
          <w:lang w:val="fr-FR"/>
        </w:rPr>
        <w:t>homicides enregistrés était de 17 407 en 2016 (56 pour 100 000 habitants), 14 666 en 2017 (47 pour 100 000 habitants), 10 598 en 2018 (33 pour 100 000 habitants) et 6 710 homicides en 2019 (21 pour 100 000 habitants)</w:t>
      </w:r>
      <w:r w:rsidR="00244AED" w:rsidRPr="00244AED">
        <w:rPr>
          <w:lang w:val="fr-FR"/>
        </w:rPr>
        <w:t>.</w:t>
      </w:r>
      <w:r w:rsidRPr="003156E8">
        <w:rPr>
          <w:lang w:val="fr-FR"/>
        </w:rPr>
        <w:t xml:space="preserve"> </w:t>
      </w:r>
    </w:p>
    <w:p w14:paraId="020C4507" w14:textId="2C29AE15" w:rsidR="00F30B21" w:rsidRPr="003156E8" w:rsidRDefault="00F30B21" w:rsidP="00F30B21">
      <w:pPr>
        <w:pStyle w:val="H1G"/>
        <w:rPr>
          <w:i/>
          <w:lang w:val="fr-FR"/>
        </w:rPr>
      </w:pPr>
      <w:r w:rsidRPr="003156E8">
        <w:rPr>
          <w:b w:val="0"/>
          <w:lang w:val="fr-FR"/>
        </w:rPr>
        <w:tab/>
      </w:r>
      <w:r w:rsidRPr="003156E8">
        <w:rPr>
          <w:bCs/>
          <w:lang w:val="fr-FR"/>
        </w:rPr>
        <w:t>C</w:t>
      </w:r>
      <w:r w:rsidR="00244AED" w:rsidRPr="00244AED">
        <w:rPr>
          <w:bCs/>
          <w:lang w:val="fr-FR"/>
        </w:rPr>
        <w:t>.</w:t>
      </w:r>
      <w:r w:rsidRPr="003156E8">
        <w:rPr>
          <w:bCs/>
          <w:lang w:val="fr-FR"/>
        </w:rPr>
        <w:tab/>
        <w:t xml:space="preserve">Droits politiques, notamment droit de participer aux élections, </w:t>
      </w:r>
      <w:r w:rsidR="004C0C33">
        <w:rPr>
          <w:bCs/>
          <w:lang w:val="fr-FR"/>
        </w:rPr>
        <w:br/>
      </w:r>
      <w:r w:rsidRPr="003156E8">
        <w:rPr>
          <w:bCs/>
          <w:lang w:val="fr-FR"/>
        </w:rPr>
        <w:t>de voter et d</w:t>
      </w:r>
      <w:r>
        <w:rPr>
          <w:bCs/>
          <w:lang w:val="fr-FR"/>
        </w:rPr>
        <w:t>’</w:t>
      </w:r>
      <w:r w:rsidRPr="003156E8">
        <w:rPr>
          <w:bCs/>
          <w:lang w:val="fr-FR"/>
        </w:rPr>
        <w:t>être candidat</w:t>
      </w:r>
    </w:p>
    <w:p w14:paraId="2BC0D418" w14:textId="18562F63" w:rsidR="00F30B21" w:rsidRPr="003156E8" w:rsidRDefault="00F30B21" w:rsidP="00F30B21">
      <w:pPr>
        <w:pStyle w:val="SingleTxtG"/>
        <w:rPr>
          <w:rFonts w:eastAsia="Cambria"/>
          <w:color w:val="00000A"/>
          <w:lang w:val="fr-FR"/>
        </w:rPr>
      </w:pPr>
      <w:r w:rsidRPr="003156E8">
        <w:rPr>
          <w:color w:val="000000" w:themeColor="text1"/>
          <w:lang w:val="fr-FR"/>
        </w:rPr>
        <w:t>79</w:t>
      </w:r>
      <w:r w:rsidR="00244AED" w:rsidRPr="00244AED">
        <w:rPr>
          <w:color w:val="000000" w:themeColor="text1"/>
          <w:lang w:val="fr-FR"/>
        </w:rPr>
        <w:t>.</w:t>
      </w:r>
      <w:r w:rsidRPr="003156E8">
        <w:rPr>
          <w:color w:val="000000" w:themeColor="text1"/>
          <w:lang w:val="fr-FR"/>
        </w:rPr>
        <w:tab/>
      </w:r>
      <w:r w:rsidRPr="003156E8">
        <w:rPr>
          <w:color w:val="00000A"/>
          <w:lang w:val="fr-FR"/>
        </w:rPr>
        <w:t>L</w:t>
      </w:r>
      <w:r>
        <w:rPr>
          <w:color w:val="00000A"/>
          <w:lang w:val="fr-FR"/>
        </w:rPr>
        <w:t>’</w:t>
      </w:r>
      <w:r w:rsidRPr="003156E8">
        <w:rPr>
          <w:color w:val="00000A"/>
          <w:lang w:val="fr-FR"/>
        </w:rPr>
        <w:t>article 62 de la Constitution dispose que tous les citoyens ont le droit de participer librement aux affaires publiques, directement ou par l</w:t>
      </w:r>
      <w:r>
        <w:rPr>
          <w:color w:val="00000A"/>
          <w:lang w:val="fr-FR"/>
        </w:rPr>
        <w:t>’</w:t>
      </w:r>
      <w:r w:rsidRPr="003156E8">
        <w:rPr>
          <w:color w:val="00000A"/>
          <w:lang w:val="fr-FR"/>
        </w:rPr>
        <w:t>intermédiaire de leurs représentants élus</w:t>
      </w:r>
      <w:r w:rsidR="00244AED" w:rsidRPr="00244AED">
        <w:rPr>
          <w:color w:val="00000A"/>
          <w:lang w:val="fr-FR"/>
        </w:rPr>
        <w:t>.</w:t>
      </w:r>
    </w:p>
    <w:p w14:paraId="1F955931" w14:textId="1F95783B" w:rsidR="00F30B21" w:rsidRPr="003156E8" w:rsidRDefault="00F30B21" w:rsidP="00F30B21">
      <w:pPr>
        <w:pStyle w:val="SingleTxtG"/>
        <w:rPr>
          <w:rFonts w:eastAsia="Cambria"/>
          <w:color w:val="00000A"/>
          <w:lang w:val="fr-FR"/>
        </w:rPr>
      </w:pPr>
      <w:r w:rsidRPr="003156E8">
        <w:rPr>
          <w:color w:val="000000" w:themeColor="text1"/>
          <w:lang w:val="fr-FR"/>
        </w:rPr>
        <w:t>80</w:t>
      </w:r>
      <w:r w:rsidR="00244AED" w:rsidRPr="00244AED">
        <w:rPr>
          <w:color w:val="000000" w:themeColor="text1"/>
          <w:lang w:val="fr-FR"/>
        </w:rPr>
        <w:t>.</w:t>
      </w:r>
      <w:r w:rsidRPr="003156E8">
        <w:rPr>
          <w:color w:val="000000" w:themeColor="text1"/>
          <w:lang w:val="fr-FR"/>
        </w:rPr>
        <w:tab/>
      </w:r>
      <w:r w:rsidRPr="003156E8">
        <w:rPr>
          <w:lang w:val="fr-FR"/>
        </w:rPr>
        <w:t>Entre 2012 et 2020, 10 élections ont été organisées à l</w:t>
      </w:r>
      <w:r>
        <w:rPr>
          <w:lang w:val="fr-FR"/>
        </w:rPr>
        <w:t>’</w:t>
      </w:r>
      <w:r w:rsidRPr="003156E8">
        <w:rPr>
          <w:lang w:val="fr-FR"/>
        </w:rPr>
        <w:t>échelle nationale, dont trois élections présidentielles (2012, 2013 et 2018), deux élections législatives (2015 et 2020), deux élections régionales (2012 et 2017), deux élections municipales (2013 et 2018) et une élection pour l</w:t>
      </w:r>
      <w:r>
        <w:rPr>
          <w:lang w:val="fr-FR"/>
        </w:rPr>
        <w:t>’</w:t>
      </w:r>
      <w:r w:rsidRPr="003156E8">
        <w:rPr>
          <w:lang w:val="fr-FR"/>
        </w:rPr>
        <w:t>Assemblée nationale constituante (2017)</w:t>
      </w:r>
      <w:r w:rsidR="00244AED" w:rsidRPr="00244AED">
        <w:rPr>
          <w:lang w:val="fr-FR"/>
        </w:rPr>
        <w:t>.</w:t>
      </w:r>
      <w:r w:rsidRPr="003156E8">
        <w:rPr>
          <w:lang w:val="fr-FR"/>
        </w:rPr>
        <w:t xml:space="preserve"> En République bolivarienne du Venezuela, le vote est un droit et non un devoir</w:t>
      </w:r>
      <w:r w:rsidR="00244AED" w:rsidRPr="00244AED">
        <w:rPr>
          <w:lang w:val="fr-FR"/>
        </w:rPr>
        <w:t>.</w:t>
      </w:r>
      <w:r w:rsidRPr="003156E8">
        <w:rPr>
          <w:lang w:val="fr-FR"/>
        </w:rPr>
        <w:t xml:space="preserve"> Il repose donc entièrement sur une décision personnelle</w:t>
      </w:r>
      <w:r w:rsidR="00244AED" w:rsidRPr="00244AED">
        <w:rPr>
          <w:lang w:val="fr-FR"/>
        </w:rPr>
        <w:t>.</w:t>
      </w:r>
    </w:p>
    <w:p w14:paraId="3F8B6752" w14:textId="726FF198" w:rsidR="00F30B21" w:rsidRPr="003156E8" w:rsidRDefault="00F30B21" w:rsidP="00F30B21">
      <w:pPr>
        <w:pStyle w:val="SingleTxtG"/>
        <w:rPr>
          <w:rFonts w:eastAsia="Cambria"/>
          <w:color w:val="00000A"/>
          <w:lang w:val="fr-FR"/>
        </w:rPr>
      </w:pPr>
      <w:r w:rsidRPr="003156E8">
        <w:rPr>
          <w:color w:val="000000" w:themeColor="text1"/>
          <w:lang w:val="fr-FR"/>
        </w:rPr>
        <w:t>81</w:t>
      </w:r>
      <w:r w:rsidR="00244AED" w:rsidRPr="00244AED">
        <w:rPr>
          <w:color w:val="000000" w:themeColor="text1"/>
          <w:lang w:val="fr-FR"/>
        </w:rPr>
        <w:t>.</w:t>
      </w:r>
      <w:r w:rsidRPr="003156E8">
        <w:rPr>
          <w:color w:val="000000" w:themeColor="text1"/>
          <w:lang w:val="fr-FR"/>
        </w:rPr>
        <w:tab/>
      </w:r>
      <w:r w:rsidRPr="003156E8">
        <w:rPr>
          <w:lang w:val="fr-FR"/>
        </w:rPr>
        <w:t>Le système de vote vénézuélien, entièrement automatisé, peut être contrôlé à toutes ses étapes</w:t>
      </w:r>
      <w:r w:rsidR="00244AED" w:rsidRPr="00244AED">
        <w:rPr>
          <w:lang w:val="fr-FR"/>
        </w:rPr>
        <w:t>.</w:t>
      </w:r>
      <w:r w:rsidRPr="003156E8">
        <w:rPr>
          <w:lang w:val="fr-FR"/>
        </w:rPr>
        <w:t xml:space="preserve"> Plusieurs mesures permettent de vérifier la transparence du processus : i) pièce justificative imprimée sur papier de sécurité ; ii) sauvegarde des votes électroniques sur une mémoire externe sous forme cryptée ; iii) sauvegarde des votes électroniques sur la mémoire interne de la machine, également sous forme cryptée ; iv) procès-verbal de scrutin pour chaque bureau de vote ; v) procès-verbal de scrutin transmis au centre de dépouillement ; vi)</w:t>
      </w:r>
      <w:r w:rsidR="004C0C33">
        <w:rPr>
          <w:lang w:val="fr-FR"/>
        </w:rPr>
        <w:t> </w:t>
      </w:r>
      <w:r w:rsidRPr="003156E8">
        <w:rPr>
          <w:lang w:val="fr-FR"/>
        </w:rPr>
        <w:t>registre des votes obtenu, transmis directement au centre de dépouillement ; et vii)</w:t>
      </w:r>
      <w:r w:rsidR="004C0C33">
        <w:rPr>
          <w:lang w:val="fr-FR"/>
        </w:rPr>
        <w:t> </w:t>
      </w:r>
      <w:r w:rsidRPr="003156E8">
        <w:rPr>
          <w:lang w:val="fr-FR"/>
        </w:rPr>
        <w:t>procès</w:t>
      </w:r>
      <w:r w:rsidR="004C0C33">
        <w:rPr>
          <w:lang w:val="fr-FR"/>
        </w:rPr>
        <w:noBreakHyphen/>
      </w:r>
      <w:r w:rsidRPr="003156E8">
        <w:rPr>
          <w:lang w:val="fr-FR"/>
        </w:rPr>
        <w:t>verbal de dépouillement final, où les suffrages sont à nouveau comptés, avec leur identifiant numérique de série</w:t>
      </w:r>
      <w:r w:rsidR="00244AED" w:rsidRPr="00244AED">
        <w:rPr>
          <w:lang w:val="fr-FR"/>
        </w:rPr>
        <w:t>.</w:t>
      </w:r>
    </w:p>
    <w:p w14:paraId="6207894E" w14:textId="2A8E4AED" w:rsidR="00F30B21" w:rsidRPr="003156E8" w:rsidRDefault="00F30B21" w:rsidP="00F30B21">
      <w:pPr>
        <w:pStyle w:val="SingleTxtG"/>
        <w:rPr>
          <w:rFonts w:eastAsia="Cambria"/>
          <w:color w:val="00000A"/>
          <w:lang w:val="fr-FR"/>
        </w:rPr>
      </w:pPr>
      <w:r w:rsidRPr="003156E8">
        <w:rPr>
          <w:lang w:val="fr-FR"/>
        </w:rPr>
        <w:t>82</w:t>
      </w:r>
      <w:r w:rsidR="00244AED" w:rsidRPr="00244AED">
        <w:rPr>
          <w:lang w:val="fr-FR"/>
        </w:rPr>
        <w:t>.</w:t>
      </w:r>
      <w:r w:rsidRPr="003156E8">
        <w:rPr>
          <w:lang w:val="fr-FR"/>
        </w:rPr>
        <w:tab/>
        <w:t xml:space="preserve">Tous ces moyens de vérification permettent de comparer les résultats et de contrôler le bon fonctionnement de la </w:t>
      </w:r>
      <w:proofErr w:type="spellStart"/>
      <w:r w:rsidRPr="003156E8">
        <w:rPr>
          <w:lang w:val="fr-FR"/>
        </w:rPr>
        <w:t>plateforme</w:t>
      </w:r>
      <w:proofErr w:type="spellEnd"/>
      <w:r w:rsidRPr="003156E8">
        <w:rPr>
          <w:lang w:val="fr-FR"/>
        </w:rPr>
        <w:t xml:space="preserve"> électorale</w:t>
      </w:r>
      <w:r w:rsidR="00244AED" w:rsidRPr="00244AED">
        <w:rPr>
          <w:lang w:val="fr-FR"/>
        </w:rPr>
        <w:t>.</w:t>
      </w:r>
      <w:r w:rsidRPr="003156E8">
        <w:rPr>
          <w:lang w:val="fr-FR"/>
        </w:rPr>
        <w:t xml:space="preserve"> D</w:t>
      </w:r>
      <w:r>
        <w:rPr>
          <w:lang w:val="fr-FR"/>
        </w:rPr>
        <w:t>’</w:t>
      </w:r>
      <w:r w:rsidRPr="003156E8">
        <w:rPr>
          <w:lang w:val="fr-FR"/>
        </w:rPr>
        <w:t>autres dispositifs sont également contrôlés, notamment les listes d</w:t>
      </w:r>
      <w:r>
        <w:rPr>
          <w:lang w:val="fr-FR"/>
        </w:rPr>
        <w:t>’</w:t>
      </w:r>
      <w:r w:rsidRPr="003156E8">
        <w:rPr>
          <w:lang w:val="fr-FR"/>
        </w:rPr>
        <w:t>émargement, les listes électorales, les mémoires externes, les codes de programmation chargés dans le matériel électoral, les fichiers chargés dans le système et les moyens de transmission des données électorales le jour du vote en vue du dépouillement</w:t>
      </w:r>
      <w:r w:rsidR="00244AED" w:rsidRPr="00244AED">
        <w:rPr>
          <w:lang w:val="fr-FR"/>
        </w:rPr>
        <w:t>.</w:t>
      </w:r>
      <w:r w:rsidRPr="003156E8">
        <w:rPr>
          <w:lang w:val="fr-FR"/>
        </w:rPr>
        <w:t xml:space="preserve"> Des protocoles de contrôle du système intégré sont également mis en œuvre (vérifications du système biométrique, vérifications de la base de données d</w:t>
      </w:r>
      <w:r>
        <w:rPr>
          <w:lang w:val="fr-FR"/>
        </w:rPr>
        <w:t>’</w:t>
      </w:r>
      <w:r w:rsidRPr="003156E8">
        <w:rPr>
          <w:lang w:val="fr-FR"/>
        </w:rPr>
        <w:t>empreintes digitales du Conseil national électoral, contrôle des rapports de doublons enregistrés lors de chaque élection, entre autres)</w:t>
      </w:r>
      <w:r w:rsidR="00244AED" w:rsidRPr="00244AED">
        <w:rPr>
          <w:lang w:val="fr-FR"/>
        </w:rPr>
        <w:t>.</w:t>
      </w:r>
    </w:p>
    <w:p w14:paraId="562B7157" w14:textId="540D8154" w:rsidR="00F30B21" w:rsidRPr="003156E8" w:rsidRDefault="00F30B21" w:rsidP="00F30B21">
      <w:pPr>
        <w:pStyle w:val="H56G"/>
        <w:rPr>
          <w:b/>
          <w:lang w:val="fr-FR"/>
        </w:rPr>
      </w:pPr>
      <w:r w:rsidRPr="003156E8">
        <w:rPr>
          <w:lang w:val="fr-FR"/>
        </w:rPr>
        <w:tab/>
      </w:r>
      <w:r w:rsidRPr="003156E8">
        <w:rPr>
          <w:b/>
          <w:bCs/>
          <w:lang w:val="fr-FR"/>
        </w:rPr>
        <w:t>1</w:t>
      </w:r>
      <w:r w:rsidR="00244AED" w:rsidRPr="00244AED">
        <w:rPr>
          <w:b/>
          <w:bCs/>
          <w:lang w:val="fr-FR"/>
        </w:rPr>
        <w:t>.</w:t>
      </w:r>
      <w:r w:rsidRPr="003156E8">
        <w:rPr>
          <w:b/>
          <w:bCs/>
          <w:lang w:val="fr-FR"/>
        </w:rPr>
        <w:tab/>
        <w:t>Peuples autochtones</w:t>
      </w:r>
    </w:p>
    <w:p w14:paraId="5BA8080C" w14:textId="37EDC4C0" w:rsidR="00F30B21" w:rsidRPr="003156E8" w:rsidRDefault="00F30B21" w:rsidP="00F30B21">
      <w:pPr>
        <w:pStyle w:val="SingleTxtG"/>
        <w:rPr>
          <w:lang w:val="fr-FR"/>
        </w:rPr>
      </w:pPr>
      <w:r w:rsidRPr="003156E8">
        <w:rPr>
          <w:color w:val="000000" w:themeColor="text1"/>
          <w:lang w:val="fr-FR"/>
        </w:rPr>
        <w:t>83</w:t>
      </w:r>
      <w:r w:rsidR="00244AED" w:rsidRPr="00244AED">
        <w:rPr>
          <w:color w:val="000000" w:themeColor="text1"/>
          <w:lang w:val="fr-FR"/>
        </w:rPr>
        <w:t>.</w:t>
      </w:r>
      <w:r w:rsidRPr="003156E8">
        <w:rPr>
          <w:color w:val="000000" w:themeColor="text1"/>
          <w:lang w:val="fr-FR"/>
        </w:rPr>
        <w:tab/>
      </w:r>
      <w:r w:rsidRPr="003156E8">
        <w:rPr>
          <w:lang w:val="fr-FR"/>
        </w:rPr>
        <w:t>Les dirigeants autochtones, hommes et femmes, ont le droit de présenter des candidats aux élections législatives, municipales et autres élections prévues par la loi</w:t>
      </w:r>
      <w:r w:rsidR="00244AED" w:rsidRPr="00244AED">
        <w:rPr>
          <w:lang w:val="fr-FR"/>
        </w:rPr>
        <w:t>.</w:t>
      </w:r>
      <w:r w:rsidRPr="003156E8">
        <w:rPr>
          <w:lang w:val="fr-FR"/>
        </w:rPr>
        <w:t xml:space="preserve"> Huit </w:t>
      </w:r>
      <w:r w:rsidRPr="003156E8">
        <w:rPr>
          <w:lang w:val="fr-FR"/>
        </w:rPr>
        <w:lastRenderedPageBreak/>
        <w:t>représentants autochtones ont été élus, conformément à leurs coutumes ancestrales, lors de l</w:t>
      </w:r>
      <w:r>
        <w:rPr>
          <w:lang w:val="fr-FR"/>
        </w:rPr>
        <w:t>’</w:t>
      </w:r>
      <w:r w:rsidRPr="003156E8">
        <w:rPr>
          <w:lang w:val="fr-FR"/>
        </w:rPr>
        <w:t>élection des membres de l</w:t>
      </w:r>
      <w:r>
        <w:rPr>
          <w:lang w:val="fr-FR"/>
        </w:rPr>
        <w:t>’</w:t>
      </w:r>
      <w:r w:rsidRPr="003156E8">
        <w:rPr>
          <w:lang w:val="fr-FR"/>
        </w:rPr>
        <w:t>Assemblée nationale constituante (2017)</w:t>
      </w:r>
      <w:r w:rsidR="00244AED" w:rsidRPr="00244AED">
        <w:rPr>
          <w:lang w:val="fr-FR"/>
        </w:rPr>
        <w:t>.</w:t>
      </w:r>
      <w:r w:rsidRPr="003156E8">
        <w:rPr>
          <w:lang w:val="fr-FR"/>
        </w:rPr>
        <w:t xml:space="preserve"> </w:t>
      </w:r>
    </w:p>
    <w:p w14:paraId="58498E59" w14:textId="78A3C88E" w:rsidR="00F30B21" w:rsidRPr="003156E8" w:rsidRDefault="00F30B21" w:rsidP="00F30B21">
      <w:pPr>
        <w:pStyle w:val="SingleTxtG"/>
        <w:rPr>
          <w:lang w:val="fr-FR"/>
        </w:rPr>
      </w:pPr>
      <w:r w:rsidRPr="003156E8">
        <w:rPr>
          <w:color w:val="000000" w:themeColor="text1"/>
          <w:lang w:val="fr-FR"/>
        </w:rPr>
        <w:t>84</w:t>
      </w:r>
      <w:r w:rsidR="00244AED" w:rsidRPr="00244AED">
        <w:rPr>
          <w:color w:val="000000" w:themeColor="text1"/>
          <w:lang w:val="fr-FR"/>
        </w:rPr>
        <w:t>.</w:t>
      </w:r>
      <w:r w:rsidRPr="003156E8">
        <w:rPr>
          <w:color w:val="000000" w:themeColor="text1"/>
          <w:lang w:val="fr-FR"/>
        </w:rPr>
        <w:tab/>
      </w:r>
      <w:r w:rsidRPr="003156E8">
        <w:rPr>
          <w:lang w:val="fr-FR"/>
        </w:rPr>
        <w:t>Le règlement spécial relatif à l</w:t>
      </w:r>
      <w:r>
        <w:rPr>
          <w:lang w:val="fr-FR"/>
        </w:rPr>
        <w:t>’</w:t>
      </w:r>
      <w:r w:rsidRPr="003156E8">
        <w:rPr>
          <w:lang w:val="fr-FR"/>
        </w:rPr>
        <w:t>élection des représentants des peuples autochtones à l</w:t>
      </w:r>
      <w:r>
        <w:rPr>
          <w:lang w:val="fr-FR"/>
        </w:rPr>
        <w:t>’</w:t>
      </w:r>
      <w:r w:rsidRPr="003156E8">
        <w:rPr>
          <w:lang w:val="fr-FR"/>
        </w:rPr>
        <w:t>Assemblée nationale 2020</w:t>
      </w:r>
      <w:r w:rsidRPr="00F30B21">
        <w:rPr>
          <w:rStyle w:val="Appelnotedebasdep"/>
        </w:rPr>
        <w:footnoteReference w:id="26"/>
      </w:r>
      <w:r w:rsidRPr="003156E8">
        <w:rPr>
          <w:lang w:val="fr-FR"/>
        </w:rPr>
        <w:t xml:space="preserve"> a été adopté au cours de la période </w:t>
      </w:r>
      <w:r>
        <w:rPr>
          <w:lang w:val="fr-FR"/>
        </w:rPr>
        <w:t>considérée</w:t>
      </w:r>
      <w:r w:rsidR="00244AED" w:rsidRPr="00244AED">
        <w:rPr>
          <w:lang w:val="fr-FR"/>
        </w:rPr>
        <w:t>.</w:t>
      </w:r>
      <w:r w:rsidRPr="003156E8">
        <w:rPr>
          <w:lang w:val="fr-FR"/>
        </w:rPr>
        <w:t xml:space="preserve"> Il dispose que les représentants des peuples autochtones sont exclusivement élus par la population autochtone, en prenant en compte les us et coutumes ancestraux de chaque groupe ethnique</w:t>
      </w:r>
      <w:r w:rsidR="00244AED" w:rsidRPr="00244AED">
        <w:rPr>
          <w:lang w:val="fr-FR"/>
        </w:rPr>
        <w:t>.</w:t>
      </w:r>
      <w:r w:rsidRPr="003156E8">
        <w:rPr>
          <w:lang w:val="fr-FR"/>
        </w:rPr>
        <w:t xml:space="preserve"> Il abroge le système précédent, dans lequel ces représentants étaient choisis par l</w:t>
      </w:r>
      <w:r>
        <w:rPr>
          <w:lang w:val="fr-FR"/>
        </w:rPr>
        <w:t>’</w:t>
      </w:r>
      <w:r w:rsidRPr="003156E8">
        <w:rPr>
          <w:lang w:val="fr-FR"/>
        </w:rPr>
        <w:t xml:space="preserve">ensemble des électeurs des États où vivaient des communautés autochtones, ce qui empêchait </w:t>
      </w:r>
      <w:r>
        <w:rPr>
          <w:lang w:val="fr-FR"/>
        </w:rPr>
        <w:t>les</w:t>
      </w:r>
      <w:r w:rsidRPr="003156E8">
        <w:rPr>
          <w:lang w:val="fr-FR"/>
        </w:rPr>
        <w:t xml:space="preserve"> autochtone</w:t>
      </w:r>
      <w:r>
        <w:rPr>
          <w:lang w:val="fr-FR"/>
        </w:rPr>
        <w:t>s</w:t>
      </w:r>
      <w:r w:rsidRPr="003156E8">
        <w:rPr>
          <w:lang w:val="fr-FR"/>
        </w:rPr>
        <w:t xml:space="preserve"> d</w:t>
      </w:r>
      <w:r>
        <w:rPr>
          <w:lang w:val="fr-FR"/>
        </w:rPr>
        <w:t>’</w:t>
      </w:r>
      <w:r w:rsidRPr="003156E8">
        <w:rPr>
          <w:lang w:val="fr-FR"/>
        </w:rPr>
        <w:t>avoir une réelle influence sur les décisions la concernant</w:t>
      </w:r>
      <w:r w:rsidR="00244AED" w:rsidRPr="00244AED">
        <w:rPr>
          <w:lang w:val="fr-FR"/>
        </w:rPr>
        <w:t>.</w:t>
      </w:r>
    </w:p>
    <w:p w14:paraId="18E6CBF1" w14:textId="18BC5132" w:rsidR="00F30B21" w:rsidRPr="003156E8" w:rsidRDefault="00F30B21" w:rsidP="00F30B21">
      <w:pPr>
        <w:pStyle w:val="SingleTxtG"/>
        <w:rPr>
          <w:lang w:val="fr-FR"/>
        </w:rPr>
      </w:pPr>
      <w:r w:rsidRPr="003156E8">
        <w:rPr>
          <w:color w:val="000000" w:themeColor="text1"/>
          <w:lang w:val="fr-FR"/>
        </w:rPr>
        <w:t>85</w:t>
      </w:r>
      <w:r w:rsidR="00244AED" w:rsidRPr="00244AED">
        <w:rPr>
          <w:color w:val="000000" w:themeColor="text1"/>
          <w:lang w:val="fr-FR"/>
        </w:rPr>
        <w:t>.</w:t>
      </w:r>
      <w:r w:rsidRPr="003156E8">
        <w:rPr>
          <w:color w:val="000000" w:themeColor="text1"/>
          <w:lang w:val="fr-FR"/>
        </w:rPr>
        <w:tab/>
      </w:r>
      <w:r w:rsidRPr="003156E8">
        <w:rPr>
          <w:lang w:val="fr-FR"/>
        </w:rPr>
        <w:t>Dans le cadre de la promotion des droits et de la participation politique, un plus grand nombre de bureaux de vote a été mis en place dans les territoires autochtones afin de garantir la participation politique et civique des peuples concernés</w:t>
      </w:r>
      <w:r w:rsidR="00244AED" w:rsidRPr="00244AED">
        <w:rPr>
          <w:lang w:val="fr-FR"/>
        </w:rPr>
        <w:t>.</w:t>
      </w:r>
      <w:r w:rsidRPr="003156E8">
        <w:rPr>
          <w:lang w:val="fr-FR"/>
        </w:rPr>
        <w:t xml:space="preserve"> Cela a permis d</w:t>
      </w:r>
      <w:r>
        <w:rPr>
          <w:lang w:val="fr-FR"/>
        </w:rPr>
        <w:t>’</w:t>
      </w:r>
      <w:r w:rsidRPr="003156E8">
        <w:rPr>
          <w:lang w:val="fr-FR"/>
        </w:rPr>
        <w:t>augmenter considérablement le nombre de votants dans les circonscriptions où la présence autochtone est importante</w:t>
      </w:r>
      <w:r w:rsidR="00244AED" w:rsidRPr="00244AED">
        <w:rPr>
          <w:lang w:val="fr-FR"/>
        </w:rPr>
        <w:t>.</w:t>
      </w:r>
    </w:p>
    <w:p w14:paraId="692AADB2" w14:textId="493F13A1" w:rsidR="00F30B21" w:rsidRPr="003156E8" w:rsidRDefault="00F30B21" w:rsidP="00F30B21">
      <w:pPr>
        <w:pStyle w:val="SingleTxtG"/>
        <w:rPr>
          <w:lang w:val="fr-FR"/>
        </w:rPr>
      </w:pPr>
      <w:r w:rsidRPr="003156E8">
        <w:rPr>
          <w:lang w:val="fr-FR"/>
        </w:rPr>
        <w:t>86</w:t>
      </w:r>
      <w:r w:rsidR="00244AED" w:rsidRPr="00244AED">
        <w:rPr>
          <w:lang w:val="fr-FR"/>
        </w:rPr>
        <w:t>.</w:t>
      </w:r>
      <w:r w:rsidRPr="003156E8">
        <w:rPr>
          <w:lang w:val="fr-FR"/>
        </w:rPr>
        <w:tab/>
        <w:t xml:space="preserve">Afin </w:t>
      </w:r>
      <w:r>
        <w:rPr>
          <w:lang w:val="fr-FR"/>
        </w:rPr>
        <w:t>de faire</w:t>
      </w:r>
      <w:r w:rsidRPr="003156E8">
        <w:rPr>
          <w:lang w:val="fr-FR"/>
        </w:rPr>
        <w:t xml:space="preserve"> directement </w:t>
      </w:r>
      <w:r>
        <w:rPr>
          <w:lang w:val="fr-FR"/>
        </w:rPr>
        <w:t xml:space="preserve">participer </w:t>
      </w:r>
      <w:r w:rsidRPr="003156E8">
        <w:rPr>
          <w:lang w:val="fr-FR"/>
        </w:rPr>
        <w:t xml:space="preserve">les citoyens </w:t>
      </w:r>
      <w:r>
        <w:rPr>
          <w:lang w:val="fr-FR"/>
        </w:rPr>
        <w:t>aux</w:t>
      </w:r>
      <w:r w:rsidRPr="003156E8">
        <w:rPr>
          <w:lang w:val="fr-FR"/>
        </w:rPr>
        <w:t xml:space="preserve"> processus démocratiques de gestion locale et municipale, la Constitution prévoit une participation populaire dans tous les domaines de la vie sociale</w:t>
      </w:r>
      <w:r w:rsidR="00244AED" w:rsidRPr="00244AED">
        <w:rPr>
          <w:lang w:val="fr-FR"/>
        </w:rPr>
        <w:t>.</w:t>
      </w:r>
      <w:r w:rsidRPr="003156E8">
        <w:rPr>
          <w:lang w:val="fr-FR"/>
        </w:rPr>
        <w:t xml:space="preserve"> Des innovations ont ainsi pu être apportées aux modalités de participation, donnant lieu à la création d</w:t>
      </w:r>
      <w:r>
        <w:rPr>
          <w:lang w:val="fr-FR"/>
        </w:rPr>
        <w:t>’</w:t>
      </w:r>
      <w:r w:rsidRPr="003156E8">
        <w:rPr>
          <w:lang w:val="fr-FR"/>
        </w:rPr>
        <w:t>organes tels que les conseils communaux, les comités citoyens de contrôle policier, les comités de santé et les conseils éducatifs, qui ont eu une influence directe sur les politiques publiques dans chacun de ces domaines</w:t>
      </w:r>
      <w:r w:rsidR="00244AED" w:rsidRPr="00244AED">
        <w:rPr>
          <w:lang w:val="fr-FR"/>
        </w:rPr>
        <w:t>.</w:t>
      </w:r>
    </w:p>
    <w:p w14:paraId="25567B01" w14:textId="61D5F98C" w:rsidR="00F30B21" w:rsidRPr="003156E8" w:rsidRDefault="00F30B21" w:rsidP="00F30B21">
      <w:pPr>
        <w:pStyle w:val="SingleTxtG"/>
        <w:rPr>
          <w:lang w:val="fr-FR"/>
        </w:rPr>
      </w:pPr>
      <w:r w:rsidRPr="003156E8">
        <w:rPr>
          <w:color w:val="000000" w:themeColor="text1"/>
          <w:lang w:val="fr-FR"/>
        </w:rPr>
        <w:t>87</w:t>
      </w:r>
      <w:r w:rsidR="00244AED" w:rsidRPr="00244AED">
        <w:rPr>
          <w:color w:val="000000" w:themeColor="text1"/>
          <w:lang w:val="fr-FR"/>
        </w:rPr>
        <w:t>.</w:t>
      </w:r>
      <w:r w:rsidRPr="003156E8">
        <w:rPr>
          <w:color w:val="000000" w:themeColor="text1"/>
          <w:lang w:val="fr-FR"/>
        </w:rPr>
        <w:tab/>
      </w:r>
      <w:r w:rsidRPr="003156E8">
        <w:rPr>
          <w:lang w:val="fr-FR"/>
        </w:rPr>
        <w:t>En 2019, 47 917 conseils communaux étaient enregistrés sur l</w:t>
      </w:r>
      <w:r>
        <w:rPr>
          <w:lang w:val="fr-FR"/>
        </w:rPr>
        <w:t>’</w:t>
      </w:r>
      <w:r w:rsidRPr="003156E8">
        <w:rPr>
          <w:lang w:val="fr-FR"/>
        </w:rPr>
        <w:t>ensemble du territoire national, dont 2 626 concernaient des peuples et communautés autochtones</w:t>
      </w:r>
      <w:r w:rsidR="00244AED" w:rsidRPr="00244AED">
        <w:rPr>
          <w:lang w:val="fr-FR"/>
        </w:rPr>
        <w:t>.</w:t>
      </w:r>
      <w:r w:rsidRPr="003156E8">
        <w:rPr>
          <w:lang w:val="fr-FR"/>
        </w:rPr>
        <w:t xml:space="preserve"> Au niveau national, les conseils communaux comptaient 678 720 membres (58,43 % de femmes et 41,57 % d</w:t>
      </w:r>
      <w:r>
        <w:rPr>
          <w:lang w:val="fr-FR"/>
        </w:rPr>
        <w:t>’</w:t>
      </w:r>
      <w:r w:rsidRPr="003156E8">
        <w:rPr>
          <w:lang w:val="fr-FR"/>
        </w:rPr>
        <w:t>hommes) dont 1 569 autochtones</w:t>
      </w:r>
      <w:r w:rsidR="00244AED" w:rsidRPr="00244AED">
        <w:rPr>
          <w:lang w:val="fr-FR"/>
        </w:rPr>
        <w:t>.</w:t>
      </w:r>
      <w:r w:rsidRPr="003156E8">
        <w:rPr>
          <w:lang w:val="fr-FR"/>
        </w:rPr>
        <w:t xml:space="preserve"> </w:t>
      </w:r>
    </w:p>
    <w:p w14:paraId="01B99A14" w14:textId="1040015A" w:rsidR="00F30B21" w:rsidRPr="003156E8" w:rsidRDefault="00F30B21" w:rsidP="00F30B21">
      <w:pPr>
        <w:pStyle w:val="H56G"/>
        <w:rPr>
          <w:b/>
          <w:lang w:val="fr-FR"/>
        </w:rPr>
      </w:pPr>
      <w:r w:rsidRPr="003156E8">
        <w:rPr>
          <w:lang w:val="fr-FR"/>
        </w:rPr>
        <w:tab/>
      </w:r>
      <w:r w:rsidRPr="003156E8">
        <w:rPr>
          <w:b/>
          <w:bCs/>
          <w:lang w:val="fr-FR"/>
        </w:rPr>
        <w:t>2</w:t>
      </w:r>
      <w:r w:rsidR="00244AED" w:rsidRPr="00244AED">
        <w:rPr>
          <w:b/>
          <w:bCs/>
          <w:lang w:val="fr-FR"/>
        </w:rPr>
        <w:t>.</w:t>
      </w:r>
      <w:r w:rsidRPr="003156E8">
        <w:rPr>
          <w:b/>
          <w:bCs/>
          <w:lang w:val="fr-FR"/>
        </w:rPr>
        <w:tab/>
        <w:t>Personnes d</w:t>
      </w:r>
      <w:r>
        <w:rPr>
          <w:b/>
          <w:bCs/>
          <w:lang w:val="fr-FR"/>
        </w:rPr>
        <w:t>’</w:t>
      </w:r>
      <w:r w:rsidRPr="003156E8">
        <w:rPr>
          <w:b/>
          <w:bCs/>
          <w:lang w:val="fr-FR"/>
        </w:rPr>
        <w:t>ascendance africaine</w:t>
      </w:r>
    </w:p>
    <w:p w14:paraId="48589408" w14:textId="650F3288" w:rsidR="00F30B21" w:rsidRPr="003156E8" w:rsidRDefault="00F30B21" w:rsidP="00F30B21">
      <w:pPr>
        <w:pStyle w:val="SingleTxtG"/>
        <w:rPr>
          <w:lang w:val="fr-FR"/>
        </w:rPr>
      </w:pPr>
      <w:r w:rsidRPr="003156E8">
        <w:rPr>
          <w:color w:val="000000" w:themeColor="text1"/>
          <w:lang w:val="fr-FR"/>
        </w:rPr>
        <w:t>88</w:t>
      </w:r>
      <w:r w:rsidR="00244AED" w:rsidRPr="00244AED">
        <w:rPr>
          <w:color w:val="000000" w:themeColor="text1"/>
          <w:lang w:val="fr-FR"/>
        </w:rPr>
        <w:t>.</w:t>
      </w:r>
      <w:r w:rsidRPr="003156E8">
        <w:rPr>
          <w:color w:val="000000" w:themeColor="text1"/>
          <w:lang w:val="fr-FR"/>
        </w:rPr>
        <w:tab/>
      </w:r>
      <w:r w:rsidRPr="003156E8">
        <w:rPr>
          <w:lang w:val="fr-FR"/>
        </w:rPr>
        <w:t>La création du Conseil national des communautés d</w:t>
      </w:r>
      <w:r>
        <w:rPr>
          <w:lang w:val="fr-FR"/>
        </w:rPr>
        <w:t>’</w:t>
      </w:r>
      <w:r w:rsidRPr="003156E8">
        <w:rPr>
          <w:lang w:val="fr-FR"/>
        </w:rPr>
        <w:t>ascendance africaine a été un événement important pour la protection des droits de l</w:t>
      </w:r>
      <w:r>
        <w:rPr>
          <w:lang w:val="fr-FR"/>
        </w:rPr>
        <w:t>’</w:t>
      </w:r>
      <w:r w:rsidRPr="003156E8">
        <w:rPr>
          <w:lang w:val="fr-FR"/>
        </w:rPr>
        <w:t>homme de la population d</w:t>
      </w:r>
      <w:r>
        <w:rPr>
          <w:lang w:val="fr-FR"/>
        </w:rPr>
        <w:t>’</w:t>
      </w:r>
      <w:r w:rsidRPr="003156E8">
        <w:rPr>
          <w:lang w:val="fr-FR"/>
        </w:rPr>
        <w:t>ascendance africaine</w:t>
      </w:r>
      <w:r w:rsidR="00244AED" w:rsidRPr="00244AED">
        <w:rPr>
          <w:lang w:val="fr-FR"/>
        </w:rPr>
        <w:t>.</w:t>
      </w:r>
      <w:r w:rsidRPr="003156E8">
        <w:rPr>
          <w:lang w:val="fr-FR"/>
        </w:rPr>
        <w:t xml:space="preserve"> </w:t>
      </w:r>
      <w:r>
        <w:rPr>
          <w:lang w:val="fr-FR"/>
        </w:rPr>
        <w:t>Elle</w:t>
      </w:r>
      <w:r w:rsidRPr="003156E8">
        <w:rPr>
          <w:lang w:val="fr-FR"/>
        </w:rPr>
        <w:t xml:space="preserve"> a permis de mettre en place une série d</w:t>
      </w:r>
      <w:r>
        <w:rPr>
          <w:lang w:val="fr-FR"/>
        </w:rPr>
        <w:t>’</w:t>
      </w:r>
      <w:r w:rsidRPr="003156E8">
        <w:rPr>
          <w:lang w:val="fr-FR"/>
        </w:rPr>
        <w:t>activités visant à faciliter la participation active de la population afro-vénézuélienne, dans le cadre des communautés organisées, des collectifs et des organisations sociales</w:t>
      </w:r>
      <w:r>
        <w:rPr>
          <w:lang w:val="fr-FR"/>
        </w:rPr>
        <w:t>,</w:t>
      </w:r>
      <w:r w:rsidRPr="003156E8">
        <w:rPr>
          <w:lang w:val="fr-FR"/>
        </w:rPr>
        <w:t xml:space="preserve"> consultés à différents moments</w:t>
      </w:r>
      <w:r>
        <w:rPr>
          <w:lang w:val="fr-FR"/>
        </w:rPr>
        <w:t>,</w:t>
      </w:r>
      <w:r w:rsidRPr="003156E8">
        <w:rPr>
          <w:lang w:val="fr-FR"/>
        </w:rPr>
        <w:t xml:space="preserve"> en vue de formuler des politiques publiques et de promouvoir la participation politique</w:t>
      </w:r>
      <w:r w:rsidR="00244AED" w:rsidRPr="00244AED">
        <w:rPr>
          <w:lang w:val="fr-FR"/>
        </w:rPr>
        <w:t>.</w:t>
      </w:r>
    </w:p>
    <w:p w14:paraId="0933DB8A" w14:textId="0F29B193" w:rsidR="00F30B21" w:rsidRPr="003156E8" w:rsidRDefault="00F30B21" w:rsidP="00F30B21">
      <w:pPr>
        <w:pStyle w:val="SingleTxtG"/>
        <w:rPr>
          <w:lang w:val="fr-FR"/>
        </w:rPr>
      </w:pPr>
      <w:r w:rsidRPr="003156E8">
        <w:rPr>
          <w:color w:val="000000" w:themeColor="text1"/>
          <w:lang w:val="fr-FR"/>
        </w:rPr>
        <w:t>89</w:t>
      </w:r>
      <w:r w:rsidR="00244AED" w:rsidRPr="00244AED">
        <w:rPr>
          <w:color w:val="000000" w:themeColor="text1"/>
          <w:lang w:val="fr-FR"/>
        </w:rPr>
        <w:t>.</w:t>
      </w:r>
      <w:r w:rsidRPr="003156E8">
        <w:rPr>
          <w:color w:val="000000" w:themeColor="text1"/>
          <w:lang w:val="fr-FR"/>
        </w:rPr>
        <w:tab/>
      </w:r>
      <w:r w:rsidRPr="003156E8">
        <w:rPr>
          <w:lang w:val="fr-FR"/>
        </w:rPr>
        <w:t>En 2017, le conseil précité a mis l</w:t>
      </w:r>
      <w:r>
        <w:rPr>
          <w:lang w:val="fr-FR"/>
        </w:rPr>
        <w:t>’</w:t>
      </w:r>
      <w:r w:rsidRPr="003156E8">
        <w:rPr>
          <w:lang w:val="fr-FR"/>
        </w:rPr>
        <w:t>accent sur l</w:t>
      </w:r>
      <w:r>
        <w:rPr>
          <w:lang w:val="fr-FR"/>
        </w:rPr>
        <w:t>’</w:t>
      </w:r>
      <w:r w:rsidRPr="003156E8">
        <w:rPr>
          <w:lang w:val="fr-FR"/>
        </w:rPr>
        <w:t>intégration de personnes d</w:t>
      </w:r>
      <w:r>
        <w:rPr>
          <w:lang w:val="fr-FR"/>
        </w:rPr>
        <w:t>’</w:t>
      </w:r>
      <w:r w:rsidRPr="003156E8">
        <w:rPr>
          <w:lang w:val="fr-FR"/>
        </w:rPr>
        <w:t>ascendance africaine dans les conseils communaux et les communes existant dans les communautés des sept États ayant le plus grand nombre de citoyens auto-identifiés comme étant d</w:t>
      </w:r>
      <w:r>
        <w:rPr>
          <w:lang w:val="fr-FR"/>
        </w:rPr>
        <w:t>’</w:t>
      </w:r>
      <w:r w:rsidRPr="003156E8">
        <w:rPr>
          <w:lang w:val="fr-FR"/>
        </w:rPr>
        <w:t>ascendance africaine : Aragua, Guárico, Miranda, Sucre, Vargas, Yaracuy et Zulia</w:t>
      </w:r>
      <w:r w:rsidR="00244AED" w:rsidRPr="00244AED">
        <w:rPr>
          <w:lang w:val="fr-FR"/>
        </w:rPr>
        <w:t>.</w:t>
      </w:r>
      <w:r w:rsidRPr="003156E8">
        <w:rPr>
          <w:lang w:val="fr-FR"/>
        </w:rPr>
        <w:t xml:space="preserve"> Ces personnes sont principalement chargées de faciliter la mise en place de partenariats pour promouvoir et défendre les droits de l</w:t>
      </w:r>
      <w:r>
        <w:rPr>
          <w:lang w:val="fr-FR"/>
        </w:rPr>
        <w:t>’</w:t>
      </w:r>
      <w:r w:rsidRPr="003156E8">
        <w:rPr>
          <w:lang w:val="fr-FR"/>
        </w:rPr>
        <w:t>homme et la participation active des personnes et des communautés d</w:t>
      </w:r>
      <w:r>
        <w:rPr>
          <w:lang w:val="fr-FR"/>
        </w:rPr>
        <w:t>’</w:t>
      </w:r>
      <w:r w:rsidRPr="003156E8">
        <w:rPr>
          <w:lang w:val="fr-FR"/>
        </w:rPr>
        <w:t>ascendance africaine</w:t>
      </w:r>
      <w:r w:rsidR="00244AED" w:rsidRPr="00244AED">
        <w:rPr>
          <w:lang w:val="fr-FR"/>
        </w:rPr>
        <w:t>.</w:t>
      </w:r>
    </w:p>
    <w:p w14:paraId="257A0571" w14:textId="116D2173" w:rsidR="00F30B21" w:rsidRPr="003156E8" w:rsidRDefault="00F30B21" w:rsidP="00F30B21">
      <w:pPr>
        <w:pStyle w:val="SingleTxtG"/>
        <w:rPr>
          <w:lang w:val="fr-FR"/>
        </w:rPr>
      </w:pPr>
      <w:r w:rsidRPr="003156E8">
        <w:rPr>
          <w:color w:val="000000" w:themeColor="text1"/>
          <w:lang w:val="fr-FR"/>
        </w:rPr>
        <w:t>90</w:t>
      </w:r>
      <w:r w:rsidR="00244AED" w:rsidRPr="00244AED">
        <w:rPr>
          <w:color w:val="000000" w:themeColor="text1"/>
          <w:lang w:val="fr-FR"/>
        </w:rPr>
        <w:t>.</w:t>
      </w:r>
      <w:r w:rsidRPr="003156E8">
        <w:rPr>
          <w:color w:val="000000" w:themeColor="text1"/>
          <w:lang w:val="fr-FR"/>
        </w:rPr>
        <w:tab/>
      </w:r>
      <w:r w:rsidRPr="003156E8">
        <w:rPr>
          <w:lang w:val="fr-FR"/>
        </w:rPr>
        <w:t>Toujours en 2017, année marquée par une vague de violence politique dans le pays, le Conseil national des communautés d</w:t>
      </w:r>
      <w:r>
        <w:rPr>
          <w:lang w:val="fr-FR"/>
        </w:rPr>
        <w:t>’</w:t>
      </w:r>
      <w:r w:rsidRPr="003156E8">
        <w:rPr>
          <w:lang w:val="fr-FR"/>
        </w:rPr>
        <w:t xml:space="preserve">ascendance africaine a mis en œuvre une stratégie </w:t>
      </w:r>
      <w:r>
        <w:rPr>
          <w:lang w:val="fr-FR"/>
        </w:rPr>
        <w:t xml:space="preserve">qui </w:t>
      </w:r>
      <w:r w:rsidRPr="003156E8">
        <w:rPr>
          <w:lang w:val="fr-FR"/>
        </w:rPr>
        <w:t>combin</w:t>
      </w:r>
      <w:r>
        <w:rPr>
          <w:lang w:val="fr-FR"/>
        </w:rPr>
        <w:t>e</w:t>
      </w:r>
      <w:r w:rsidRPr="003156E8">
        <w:rPr>
          <w:lang w:val="fr-FR"/>
        </w:rPr>
        <w:t xml:space="preserve"> formation et participation politique des jeunes des communautés prioritaires </w:t>
      </w:r>
      <w:r>
        <w:rPr>
          <w:lang w:val="fr-FR"/>
        </w:rPr>
        <w:t>pour</w:t>
      </w:r>
      <w:r w:rsidRPr="003156E8">
        <w:rPr>
          <w:lang w:val="fr-FR"/>
        </w:rPr>
        <w:t xml:space="preserve"> la paix et la coexistence pacifique</w:t>
      </w:r>
      <w:r w:rsidR="00244AED" w:rsidRPr="00244AED">
        <w:rPr>
          <w:lang w:val="fr-FR"/>
        </w:rPr>
        <w:t>.</w:t>
      </w:r>
      <w:r w:rsidRPr="003156E8">
        <w:rPr>
          <w:lang w:val="fr-FR"/>
        </w:rPr>
        <w:t xml:space="preserve"> Dans le cadre de partenariats avec des institutions compétentes en matière de promotion et de garantie des droits de l</w:t>
      </w:r>
      <w:r>
        <w:rPr>
          <w:lang w:val="fr-FR"/>
        </w:rPr>
        <w:t>’</w:t>
      </w:r>
      <w:r w:rsidRPr="003156E8">
        <w:rPr>
          <w:lang w:val="fr-FR"/>
        </w:rPr>
        <w:t>homme, des formations ont été organisées au niveau national, sur des thèmes tels que l</w:t>
      </w:r>
      <w:r>
        <w:rPr>
          <w:lang w:val="fr-FR"/>
        </w:rPr>
        <w:t>’</w:t>
      </w:r>
      <w:proofErr w:type="spellStart"/>
      <w:r w:rsidRPr="003156E8">
        <w:rPr>
          <w:lang w:val="fr-FR"/>
        </w:rPr>
        <w:t>autoreconnaissance</w:t>
      </w:r>
      <w:proofErr w:type="spellEnd"/>
      <w:r w:rsidRPr="003156E8">
        <w:rPr>
          <w:lang w:val="fr-FR"/>
        </w:rPr>
        <w:t xml:space="preserve">, le développement </w:t>
      </w:r>
      <w:proofErr w:type="spellStart"/>
      <w:r w:rsidRPr="003156E8">
        <w:rPr>
          <w:lang w:val="fr-FR"/>
        </w:rPr>
        <w:t>socioproductif</w:t>
      </w:r>
      <w:proofErr w:type="spellEnd"/>
      <w:r w:rsidRPr="003156E8">
        <w:rPr>
          <w:lang w:val="fr-FR"/>
        </w:rPr>
        <w:t>, la culture pour la vie, la musique et les manifestations culturelles afro-vénézuéliennes, les droits de l</w:t>
      </w:r>
      <w:r>
        <w:rPr>
          <w:lang w:val="fr-FR"/>
        </w:rPr>
        <w:t>’</w:t>
      </w:r>
      <w:r w:rsidRPr="003156E8">
        <w:rPr>
          <w:lang w:val="fr-FR"/>
        </w:rPr>
        <w:t>homme des personnes afro-vénézuéliennes, l</w:t>
      </w:r>
      <w:r>
        <w:rPr>
          <w:lang w:val="fr-FR"/>
        </w:rPr>
        <w:t>’</w:t>
      </w:r>
      <w:r w:rsidRPr="003156E8">
        <w:rPr>
          <w:lang w:val="fr-FR"/>
        </w:rPr>
        <w:t>objectif étant de promouvoir une participation active favorisant l</w:t>
      </w:r>
      <w:r>
        <w:rPr>
          <w:lang w:val="fr-FR"/>
        </w:rPr>
        <w:t>’</w:t>
      </w:r>
      <w:r w:rsidRPr="003156E8">
        <w:rPr>
          <w:lang w:val="fr-FR"/>
        </w:rPr>
        <w:t>émergence de leaders et l</w:t>
      </w:r>
      <w:r>
        <w:rPr>
          <w:lang w:val="fr-FR"/>
        </w:rPr>
        <w:t>’</w:t>
      </w:r>
      <w:r w:rsidRPr="003156E8">
        <w:rPr>
          <w:lang w:val="fr-FR"/>
        </w:rPr>
        <w:t>exercice des droits civils des jeunes afro-vénézuéliens</w:t>
      </w:r>
      <w:r w:rsidR="00244AED" w:rsidRPr="00244AED">
        <w:rPr>
          <w:lang w:val="fr-FR"/>
        </w:rPr>
        <w:t>.</w:t>
      </w:r>
    </w:p>
    <w:p w14:paraId="552F7E64" w14:textId="49228141" w:rsidR="00F30B21" w:rsidRPr="003156E8" w:rsidRDefault="00F30B21" w:rsidP="00F30B21">
      <w:pPr>
        <w:pStyle w:val="H1G"/>
        <w:rPr>
          <w:i/>
          <w:lang w:val="fr-FR"/>
        </w:rPr>
      </w:pPr>
      <w:r w:rsidRPr="003156E8">
        <w:rPr>
          <w:b w:val="0"/>
          <w:lang w:val="fr-FR"/>
        </w:rPr>
        <w:lastRenderedPageBreak/>
        <w:tab/>
      </w:r>
      <w:r w:rsidRPr="003156E8">
        <w:rPr>
          <w:bCs/>
          <w:lang w:val="fr-FR"/>
        </w:rPr>
        <w:t>D</w:t>
      </w:r>
      <w:r w:rsidR="00244AED" w:rsidRPr="00244AED">
        <w:rPr>
          <w:bCs/>
          <w:lang w:val="fr-FR"/>
        </w:rPr>
        <w:t>.</w:t>
      </w:r>
      <w:r w:rsidRPr="003156E8">
        <w:rPr>
          <w:bCs/>
          <w:lang w:val="fr-FR"/>
        </w:rPr>
        <w:tab/>
        <w:t>Droits civils</w:t>
      </w:r>
    </w:p>
    <w:p w14:paraId="1A10A0F7" w14:textId="271A25C0" w:rsidR="00F30B21" w:rsidRPr="003156E8" w:rsidRDefault="00F30B21" w:rsidP="00F30B21">
      <w:pPr>
        <w:pStyle w:val="SingleTxtG"/>
        <w:rPr>
          <w:lang w:val="fr-FR"/>
        </w:rPr>
      </w:pPr>
      <w:r w:rsidRPr="003156E8">
        <w:rPr>
          <w:lang w:val="fr-FR"/>
        </w:rPr>
        <w:t>91</w:t>
      </w:r>
      <w:r w:rsidR="00244AED" w:rsidRPr="00244AED">
        <w:rPr>
          <w:lang w:val="fr-FR"/>
        </w:rPr>
        <w:t>.</w:t>
      </w:r>
      <w:r w:rsidRPr="003156E8">
        <w:rPr>
          <w:lang w:val="fr-FR"/>
        </w:rPr>
        <w:tab/>
        <w:t>Le droit de circuler librement sur tout le territoire national, consacré à l</w:t>
      </w:r>
      <w:r>
        <w:rPr>
          <w:lang w:val="fr-FR"/>
        </w:rPr>
        <w:t>’</w:t>
      </w:r>
      <w:r w:rsidRPr="003156E8">
        <w:rPr>
          <w:lang w:val="fr-FR"/>
        </w:rPr>
        <w:t>article 50 de la Constitution, peut être pleinement exercé dans le pays</w:t>
      </w:r>
      <w:r w:rsidR="00244AED" w:rsidRPr="00244AED">
        <w:rPr>
          <w:lang w:val="fr-FR"/>
        </w:rPr>
        <w:t>.</w:t>
      </w:r>
      <w:r w:rsidRPr="003156E8">
        <w:rPr>
          <w:lang w:val="fr-FR"/>
        </w:rPr>
        <w:t xml:space="preserve"> En ce qui concerne le droit de quitter librement le pays, la République bolivarienne du Venezuela, conformément à ses obligations, délivre des documents de voyage aux personnes qui en ont besoin et facilite l</w:t>
      </w:r>
      <w:r>
        <w:rPr>
          <w:lang w:val="fr-FR"/>
        </w:rPr>
        <w:t>’</w:t>
      </w:r>
      <w:r w:rsidRPr="003156E8">
        <w:rPr>
          <w:lang w:val="fr-FR"/>
        </w:rPr>
        <w:t>obtention de ces documents dans un délai raisonnable</w:t>
      </w:r>
      <w:r w:rsidR="00244AED" w:rsidRPr="00244AED">
        <w:rPr>
          <w:lang w:val="fr-FR"/>
        </w:rPr>
        <w:t>.</w:t>
      </w:r>
    </w:p>
    <w:p w14:paraId="0AFBE705" w14:textId="7767A52B" w:rsidR="00F30B21" w:rsidRPr="003156E8" w:rsidRDefault="00F30B21" w:rsidP="00F30B21">
      <w:pPr>
        <w:pStyle w:val="SingleTxtG"/>
        <w:rPr>
          <w:lang w:val="fr-FR"/>
        </w:rPr>
      </w:pPr>
      <w:r w:rsidRPr="003156E8">
        <w:rPr>
          <w:lang w:val="fr-FR"/>
        </w:rPr>
        <w:t>92</w:t>
      </w:r>
      <w:r w:rsidR="00244AED" w:rsidRPr="00244AED">
        <w:rPr>
          <w:lang w:val="fr-FR"/>
        </w:rPr>
        <w:t>.</w:t>
      </w:r>
      <w:r w:rsidRPr="003156E8">
        <w:rPr>
          <w:lang w:val="fr-FR"/>
        </w:rPr>
        <w:tab/>
        <w:t>Entre 2012 et 2018, 10 492 265 passeports ont été délivrés, ce qui correspond à environ 34 % de la population moyenne vénézuélienne pendant cette période</w:t>
      </w:r>
      <w:r w:rsidR="00244AED" w:rsidRPr="00244AED">
        <w:rPr>
          <w:lang w:val="fr-FR"/>
        </w:rPr>
        <w:t>.</w:t>
      </w:r>
      <w:r w:rsidRPr="003156E8">
        <w:rPr>
          <w:lang w:val="fr-FR"/>
        </w:rPr>
        <w:t xml:space="preserve"> Cependant, en compromettant l</w:t>
      </w:r>
      <w:r>
        <w:rPr>
          <w:lang w:val="fr-FR"/>
        </w:rPr>
        <w:t>’</w:t>
      </w:r>
      <w:r w:rsidRPr="003156E8">
        <w:rPr>
          <w:lang w:val="fr-FR"/>
        </w:rPr>
        <w:t xml:space="preserve">accès aux matériaux nécessaires à la fabrication des passeports, les mesures coercitives unilatérales prises </w:t>
      </w:r>
      <w:r>
        <w:rPr>
          <w:lang w:val="fr-FR"/>
        </w:rPr>
        <w:t>contre</w:t>
      </w:r>
      <w:r w:rsidRPr="003156E8">
        <w:rPr>
          <w:lang w:val="fr-FR"/>
        </w:rPr>
        <w:t xml:space="preserve"> la République bolivarienne du Venezuela ont eu un effet négatif </w:t>
      </w:r>
      <w:r>
        <w:rPr>
          <w:lang w:val="fr-FR"/>
        </w:rPr>
        <w:t>sur la délivrance de passeports</w:t>
      </w:r>
      <w:r w:rsidR="00244AED" w:rsidRPr="00244AED">
        <w:rPr>
          <w:lang w:val="fr-FR"/>
        </w:rPr>
        <w:t>.</w:t>
      </w:r>
      <w:r w:rsidRPr="003156E8">
        <w:rPr>
          <w:lang w:val="fr-FR"/>
        </w:rPr>
        <w:t xml:space="preserve"> Les connexions aériennes et terrestres vénézuéliennes ont également été perturbées</w:t>
      </w:r>
      <w:r w:rsidR="00244AED" w:rsidRPr="00244AED">
        <w:rPr>
          <w:lang w:val="fr-FR"/>
        </w:rPr>
        <w:t>.</w:t>
      </w:r>
      <w:r w:rsidRPr="003156E8">
        <w:rPr>
          <w:lang w:val="fr-FR"/>
        </w:rPr>
        <w:t xml:space="preserve"> Plus précisément, depuis le 15 mai 2019, le Département des transports des États-Unis d</w:t>
      </w:r>
      <w:r>
        <w:rPr>
          <w:lang w:val="fr-FR"/>
        </w:rPr>
        <w:t>’</w:t>
      </w:r>
      <w:r w:rsidRPr="003156E8">
        <w:rPr>
          <w:lang w:val="fr-FR"/>
        </w:rPr>
        <w:t>Amérique ne délivre des certificats et des autorisations de vol</w:t>
      </w:r>
      <w:r>
        <w:rPr>
          <w:lang w:val="fr-FR"/>
        </w:rPr>
        <w:t>,</w:t>
      </w:r>
      <w:r w:rsidRPr="003156E8">
        <w:rPr>
          <w:lang w:val="fr-FR"/>
        </w:rPr>
        <w:t xml:space="preserve"> vers et depuis son territoire</w:t>
      </w:r>
      <w:r>
        <w:rPr>
          <w:lang w:val="fr-FR"/>
        </w:rPr>
        <w:t>,</w:t>
      </w:r>
      <w:r w:rsidRPr="003156E8">
        <w:rPr>
          <w:lang w:val="fr-FR"/>
        </w:rPr>
        <w:t xml:space="preserve"> que si le transporteur n</w:t>
      </w:r>
      <w:r>
        <w:rPr>
          <w:lang w:val="fr-FR"/>
        </w:rPr>
        <w:t>’</w:t>
      </w:r>
      <w:r w:rsidRPr="003156E8">
        <w:rPr>
          <w:lang w:val="fr-FR"/>
        </w:rPr>
        <w:t>achemine pas de passagers et ne transporte aucune cargaison à destination ou en provenance d</w:t>
      </w:r>
      <w:r>
        <w:rPr>
          <w:lang w:val="fr-FR"/>
        </w:rPr>
        <w:t>’</w:t>
      </w:r>
      <w:r w:rsidRPr="003156E8">
        <w:rPr>
          <w:lang w:val="fr-FR"/>
        </w:rPr>
        <w:t>un aéroport situé au Venezuela</w:t>
      </w:r>
      <w:r w:rsidRPr="00F30B21">
        <w:rPr>
          <w:rStyle w:val="Appelnotedebasdep"/>
        </w:rPr>
        <w:footnoteReference w:id="27"/>
      </w:r>
      <w:r w:rsidR="00244AED" w:rsidRPr="00244AED">
        <w:rPr>
          <w:lang w:val="fr-FR"/>
        </w:rPr>
        <w:t>.</w:t>
      </w:r>
    </w:p>
    <w:p w14:paraId="7CDA62A2" w14:textId="0AFC6C0A" w:rsidR="00F30B21" w:rsidRPr="003156E8" w:rsidRDefault="00F30B21" w:rsidP="00F30B21">
      <w:pPr>
        <w:pStyle w:val="SingleTxtG"/>
        <w:rPr>
          <w:lang w:val="fr-FR"/>
        </w:rPr>
      </w:pPr>
      <w:r w:rsidRPr="003156E8">
        <w:rPr>
          <w:lang w:val="fr-FR"/>
        </w:rPr>
        <w:t>93</w:t>
      </w:r>
      <w:r w:rsidR="00244AED" w:rsidRPr="00244AED">
        <w:rPr>
          <w:lang w:val="fr-FR"/>
        </w:rPr>
        <w:t>.</w:t>
      </w:r>
      <w:r w:rsidRPr="003156E8">
        <w:rPr>
          <w:lang w:val="fr-FR"/>
        </w:rPr>
        <w:tab/>
        <w:t>La République bolivarienne du Venezuela a pris des mesures pour garantir l</w:t>
      </w:r>
      <w:r>
        <w:rPr>
          <w:lang w:val="fr-FR"/>
        </w:rPr>
        <w:t>’</w:t>
      </w:r>
      <w:r w:rsidRPr="003156E8">
        <w:rPr>
          <w:lang w:val="fr-FR"/>
        </w:rPr>
        <w:t>entrée de ses ressortissants sur son territoire</w:t>
      </w:r>
      <w:r w:rsidR="00244AED" w:rsidRPr="00244AED">
        <w:rPr>
          <w:lang w:val="fr-FR"/>
        </w:rPr>
        <w:t>.</w:t>
      </w:r>
      <w:r w:rsidRPr="003156E8">
        <w:rPr>
          <w:lang w:val="fr-FR"/>
        </w:rPr>
        <w:t xml:space="preserve"> Il convient notamment de mentionner le plan de retour au pays, qui a permis le retour volontaire de 17 785 Vénézuéliens dans leur pays jusqu</w:t>
      </w:r>
      <w:r>
        <w:rPr>
          <w:lang w:val="fr-FR"/>
        </w:rPr>
        <w:t>’</w:t>
      </w:r>
      <w:r w:rsidRPr="003156E8">
        <w:rPr>
          <w:lang w:val="fr-FR"/>
        </w:rPr>
        <w:t>au mois de février 2020</w:t>
      </w:r>
      <w:r w:rsidR="00244AED" w:rsidRPr="00244AED">
        <w:rPr>
          <w:lang w:val="fr-FR"/>
        </w:rPr>
        <w:t>.</w:t>
      </w:r>
      <w:r w:rsidRPr="003156E8">
        <w:rPr>
          <w:lang w:val="fr-FR"/>
        </w:rPr>
        <w:t xml:space="preserve"> À l</w:t>
      </w:r>
      <w:r>
        <w:rPr>
          <w:lang w:val="fr-FR"/>
        </w:rPr>
        <w:t>’</w:t>
      </w:r>
      <w:r w:rsidRPr="003156E8">
        <w:rPr>
          <w:lang w:val="fr-FR"/>
        </w:rPr>
        <w:t>étranger, 100 426 Vénézuéliens sont enregistrés comme bénéficiaires du programme</w:t>
      </w:r>
      <w:r w:rsidR="00244AED" w:rsidRPr="00244AED">
        <w:rPr>
          <w:lang w:val="fr-FR"/>
        </w:rPr>
        <w:t>.</w:t>
      </w:r>
      <w:r w:rsidRPr="003156E8">
        <w:rPr>
          <w:lang w:val="fr-FR"/>
        </w:rPr>
        <w:t xml:space="preserve"> Entre avril et juillet 2020, 72 517 personnes sont également rentrées au Venezuela par voie terrestre</w:t>
      </w:r>
      <w:r w:rsidR="00244AED" w:rsidRPr="00244AED">
        <w:rPr>
          <w:lang w:val="fr-FR"/>
        </w:rPr>
        <w:t>.</w:t>
      </w:r>
    </w:p>
    <w:p w14:paraId="6106ED6A" w14:textId="69B5D7F0" w:rsidR="00F30B21" w:rsidRPr="003156E8" w:rsidRDefault="00F30B21" w:rsidP="00F30B21">
      <w:pPr>
        <w:pStyle w:val="SingleTxtG"/>
        <w:rPr>
          <w:lang w:val="fr-FR"/>
        </w:rPr>
      </w:pPr>
      <w:r w:rsidRPr="003156E8">
        <w:rPr>
          <w:color w:val="000000" w:themeColor="text1"/>
          <w:lang w:val="fr-FR"/>
        </w:rPr>
        <w:t>94</w:t>
      </w:r>
      <w:r w:rsidR="00244AED" w:rsidRPr="00244AED">
        <w:rPr>
          <w:color w:val="000000" w:themeColor="text1"/>
          <w:lang w:val="fr-FR"/>
        </w:rPr>
        <w:t>.</w:t>
      </w:r>
      <w:r w:rsidRPr="003156E8">
        <w:rPr>
          <w:color w:val="000000" w:themeColor="text1"/>
          <w:lang w:val="fr-FR"/>
        </w:rPr>
        <w:tab/>
      </w:r>
      <w:r w:rsidRPr="003156E8">
        <w:rPr>
          <w:lang w:val="fr-FR"/>
        </w:rPr>
        <w:t xml:space="preserve">La mise en œuvre du plan de retour au pays a été perturbée par les mesures coercitives unilatérales prises </w:t>
      </w:r>
      <w:r>
        <w:rPr>
          <w:lang w:val="fr-FR"/>
        </w:rPr>
        <w:t>contre</w:t>
      </w:r>
      <w:r w:rsidRPr="003156E8">
        <w:rPr>
          <w:lang w:val="fr-FR"/>
        </w:rPr>
        <w:t xml:space="preserve"> l</w:t>
      </w:r>
      <w:r>
        <w:rPr>
          <w:lang w:val="fr-FR"/>
        </w:rPr>
        <w:t>’</w:t>
      </w:r>
      <w:r w:rsidRPr="003156E8">
        <w:rPr>
          <w:lang w:val="fr-FR"/>
        </w:rPr>
        <w:t>entreprise CONVIASA</w:t>
      </w:r>
      <w:r w:rsidRPr="00F30B21">
        <w:rPr>
          <w:rStyle w:val="Appelnotedebasdep"/>
        </w:rPr>
        <w:footnoteReference w:id="28"/>
      </w:r>
      <w:r w:rsidRPr="003156E8">
        <w:rPr>
          <w:lang w:val="fr-FR"/>
        </w:rPr>
        <w:t xml:space="preserve"> (</w:t>
      </w:r>
      <w:proofErr w:type="spellStart"/>
      <w:r w:rsidRPr="003156E8">
        <w:rPr>
          <w:i/>
          <w:iCs/>
          <w:lang w:val="fr-FR"/>
        </w:rPr>
        <w:t>Consorcio</w:t>
      </w:r>
      <w:proofErr w:type="spellEnd"/>
      <w:r w:rsidRPr="003156E8">
        <w:rPr>
          <w:i/>
          <w:iCs/>
          <w:lang w:val="fr-FR"/>
        </w:rPr>
        <w:t xml:space="preserve"> </w:t>
      </w:r>
      <w:proofErr w:type="spellStart"/>
      <w:r w:rsidRPr="003156E8">
        <w:rPr>
          <w:i/>
          <w:iCs/>
          <w:lang w:val="fr-FR"/>
        </w:rPr>
        <w:t>Venezolano</w:t>
      </w:r>
      <w:proofErr w:type="spellEnd"/>
      <w:r w:rsidRPr="003156E8">
        <w:rPr>
          <w:i/>
          <w:iCs/>
          <w:lang w:val="fr-FR"/>
        </w:rPr>
        <w:t xml:space="preserve"> De </w:t>
      </w:r>
      <w:proofErr w:type="spellStart"/>
      <w:r w:rsidRPr="003156E8">
        <w:rPr>
          <w:i/>
          <w:iCs/>
          <w:lang w:val="fr-FR"/>
        </w:rPr>
        <w:t>Industrias</w:t>
      </w:r>
      <w:proofErr w:type="spellEnd"/>
      <w:r w:rsidRPr="003156E8">
        <w:rPr>
          <w:i/>
          <w:iCs/>
          <w:lang w:val="fr-FR"/>
        </w:rPr>
        <w:t xml:space="preserve"> </w:t>
      </w:r>
      <w:proofErr w:type="spellStart"/>
      <w:r w:rsidRPr="003156E8">
        <w:rPr>
          <w:i/>
          <w:iCs/>
          <w:lang w:val="fr-FR"/>
        </w:rPr>
        <w:t>Aeronáuticas</w:t>
      </w:r>
      <w:proofErr w:type="spellEnd"/>
      <w:r w:rsidRPr="003156E8">
        <w:rPr>
          <w:i/>
          <w:iCs/>
          <w:lang w:val="fr-FR"/>
        </w:rPr>
        <w:t xml:space="preserve"> Y </w:t>
      </w:r>
      <w:proofErr w:type="spellStart"/>
      <w:r w:rsidRPr="003156E8">
        <w:rPr>
          <w:i/>
          <w:iCs/>
          <w:lang w:val="fr-FR"/>
        </w:rPr>
        <w:t>Servicios</w:t>
      </w:r>
      <w:proofErr w:type="spellEnd"/>
      <w:r w:rsidRPr="003156E8">
        <w:rPr>
          <w:i/>
          <w:iCs/>
          <w:lang w:val="fr-FR"/>
        </w:rPr>
        <w:t xml:space="preserve"> </w:t>
      </w:r>
      <w:proofErr w:type="spellStart"/>
      <w:r w:rsidRPr="003156E8">
        <w:rPr>
          <w:i/>
          <w:iCs/>
          <w:lang w:val="fr-FR"/>
        </w:rPr>
        <w:t>Aéreos</w:t>
      </w:r>
      <w:proofErr w:type="spellEnd"/>
      <w:r w:rsidRPr="003156E8">
        <w:rPr>
          <w:i/>
          <w:iCs/>
          <w:lang w:val="fr-FR"/>
        </w:rPr>
        <w:t>, S</w:t>
      </w:r>
      <w:r w:rsidR="00244AED" w:rsidRPr="00244AED">
        <w:rPr>
          <w:i/>
          <w:iCs/>
          <w:lang w:val="fr-FR"/>
        </w:rPr>
        <w:t>.</w:t>
      </w:r>
      <w:r w:rsidRPr="003156E8">
        <w:rPr>
          <w:i/>
          <w:iCs/>
          <w:lang w:val="fr-FR"/>
        </w:rPr>
        <w:t>A</w:t>
      </w:r>
      <w:r w:rsidRPr="003156E8">
        <w:rPr>
          <w:lang w:val="fr-FR"/>
        </w:rPr>
        <w:t>)</w:t>
      </w:r>
      <w:r w:rsidR="00244AED" w:rsidRPr="00244AED">
        <w:rPr>
          <w:lang w:val="fr-FR"/>
        </w:rPr>
        <w:t>.</w:t>
      </w:r>
      <w:r w:rsidRPr="003156E8">
        <w:rPr>
          <w:lang w:val="fr-FR"/>
        </w:rPr>
        <w:t xml:space="preserve"> Le 7 février 2020, le Département du trésor des États</w:t>
      </w:r>
      <w:r w:rsidR="0033235A">
        <w:rPr>
          <w:lang w:val="fr-FR"/>
        </w:rPr>
        <w:noBreakHyphen/>
      </w:r>
      <w:r w:rsidRPr="003156E8">
        <w:rPr>
          <w:lang w:val="fr-FR"/>
        </w:rPr>
        <w:t>Unis d</w:t>
      </w:r>
      <w:r>
        <w:rPr>
          <w:lang w:val="fr-FR"/>
        </w:rPr>
        <w:t>’</w:t>
      </w:r>
      <w:r w:rsidRPr="003156E8">
        <w:rPr>
          <w:lang w:val="fr-FR"/>
        </w:rPr>
        <w:t xml:space="preserve">Amérique a inscrit cette entreprise sur la liste des entités spécialement visées par le bureau de contrôle des actifs étrangers, en application du décret </w:t>
      </w:r>
      <w:r w:rsidR="0030329D" w:rsidRPr="0030329D">
        <w:rPr>
          <w:rFonts w:eastAsia="MS Mincho"/>
          <w:lang w:val="fr-FR"/>
        </w:rPr>
        <w:t>n</w:t>
      </w:r>
      <w:r w:rsidR="0030329D" w:rsidRPr="0030329D">
        <w:rPr>
          <w:rFonts w:eastAsia="MS Mincho"/>
          <w:vertAlign w:val="superscript"/>
          <w:lang w:val="fr-FR"/>
        </w:rPr>
        <w:t>o</w:t>
      </w:r>
      <w:r w:rsidR="0030329D">
        <w:rPr>
          <w:lang w:val="fr-FR"/>
        </w:rPr>
        <w:t> </w:t>
      </w:r>
      <w:r w:rsidRPr="003156E8">
        <w:rPr>
          <w:lang w:val="fr-FR"/>
        </w:rPr>
        <w:t>13 884 pris par le Président des États-Unis d</w:t>
      </w:r>
      <w:r>
        <w:rPr>
          <w:lang w:val="fr-FR"/>
        </w:rPr>
        <w:t>’</w:t>
      </w:r>
      <w:r w:rsidRPr="003156E8">
        <w:rPr>
          <w:lang w:val="fr-FR"/>
        </w:rPr>
        <w:t>Amérique le 5 août 2019</w:t>
      </w:r>
      <w:r w:rsidR="00244AED" w:rsidRPr="00244AED">
        <w:rPr>
          <w:lang w:val="fr-FR"/>
        </w:rPr>
        <w:t>.</w:t>
      </w:r>
    </w:p>
    <w:p w14:paraId="61CEF26B" w14:textId="726BCEFA" w:rsidR="00F30B21" w:rsidRPr="003156E8" w:rsidRDefault="00F30B21" w:rsidP="00F30B21">
      <w:pPr>
        <w:pStyle w:val="SingleTxtG"/>
        <w:rPr>
          <w:lang w:val="fr-FR"/>
        </w:rPr>
      </w:pPr>
      <w:r w:rsidRPr="003156E8">
        <w:rPr>
          <w:lang w:val="fr-FR"/>
        </w:rPr>
        <w:t>95</w:t>
      </w:r>
      <w:r w:rsidR="00244AED" w:rsidRPr="00244AED">
        <w:rPr>
          <w:lang w:val="fr-FR"/>
        </w:rPr>
        <w:t>.</w:t>
      </w:r>
      <w:r w:rsidRPr="003156E8">
        <w:rPr>
          <w:lang w:val="fr-FR"/>
        </w:rPr>
        <w:tab/>
        <w:t>Les mesures précitées disposent que les entreprises et les particuliers, à l</w:t>
      </w:r>
      <w:r>
        <w:rPr>
          <w:lang w:val="fr-FR"/>
        </w:rPr>
        <w:t>’</w:t>
      </w:r>
      <w:r w:rsidRPr="003156E8">
        <w:rPr>
          <w:lang w:val="fr-FR"/>
        </w:rPr>
        <w:t>échelle mondiale, ne sont pas autorisés à entretenir des relations commerciales avec l</w:t>
      </w:r>
      <w:r>
        <w:rPr>
          <w:lang w:val="fr-FR"/>
        </w:rPr>
        <w:t>’</w:t>
      </w:r>
      <w:r w:rsidRPr="003156E8">
        <w:rPr>
          <w:lang w:val="fr-FR"/>
        </w:rPr>
        <w:t>entreprise CONVIASA et à lui fournir des services</w:t>
      </w:r>
      <w:r w:rsidR="00244AED" w:rsidRPr="00244AED">
        <w:rPr>
          <w:lang w:val="fr-FR"/>
        </w:rPr>
        <w:t>.</w:t>
      </w:r>
      <w:r w:rsidRPr="003156E8">
        <w:rPr>
          <w:lang w:val="fr-FR"/>
        </w:rPr>
        <w:t xml:space="preserve"> En conséquence, la mise en œuvre du plan de retour au pays se heurte à des obstacles tels que l</w:t>
      </w:r>
      <w:r>
        <w:rPr>
          <w:lang w:val="fr-FR"/>
        </w:rPr>
        <w:t>’</w:t>
      </w:r>
      <w:r w:rsidRPr="003156E8">
        <w:rPr>
          <w:lang w:val="fr-FR"/>
        </w:rPr>
        <w:t>impossibilité d</w:t>
      </w:r>
      <w:r>
        <w:rPr>
          <w:lang w:val="fr-FR"/>
        </w:rPr>
        <w:t>’</w:t>
      </w:r>
      <w:r w:rsidRPr="003156E8">
        <w:rPr>
          <w:lang w:val="fr-FR"/>
        </w:rPr>
        <w:t>acheter du carburant ou des services aéroportuaires dans les pays où se trouvent des migrants vénézuéliens susceptibles de bénéficier du plan</w:t>
      </w:r>
      <w:r w:rsidR="00244AED" w:rsidRPr="00244AED">
        <w:rPr>
          <w:lang w:val="fr-FR"/>
        </w:rPr>
        <w:t>.</w:t>
      </w:r>
    </w:p>
    <w:p w14:paraId="61DC4254" w14:textId="1516562F" w:rsidR="00F30B21" w:rsidRPr="003156E8" w:rsidRDefault="00F30B21" w:rsidP="00F30B21">
      <w:pPr>
        <w:pStyle w:val="H23G"/>
        <w:rPr>
          <w:lang w:val="fr-FR"/>
        </w:rPr>
      </w:pPr>
      <w:r w:rsidRPr="003156E8">
        <w:rPr>
          <w:b w:val="0"/>
          <w:lang w:val="fr-FR"/>
        </w:rPr>
        <w:tab/>
      </w:r>
      <w:r w:rsidRPr="003156E8">
        <w:rPr>
          <w:b w:val="0"/>
          <w:lang w:val="fr-FR"/>
        </w:rPr>
        <w:tab/>
      </w:r>
      <w:r w:rsidRPr="0030329D">
        <w:rPr>
          <w:b w:val="0"/>
          <w:lang w:val="fr-FR"/>
        </w:rPr>
        <w:t>Tableau II</w:t>
      </w:r>
      <w:r w:rsidR="0030329D" w:rsidRPr="0030329D">
        <w:rPr>
          <w:b w:val="0"/>
          <w:lang w:val="fr-FR"/>
        </w:rPr>
        <w:t xml:space="preserve"> </w:t>
      </w:r>
      <w:r w:rsidR="0030329D" w:rsidRPr="0030329D">
        <w:rPr>
          <w:b w:val="0"/>
          <w:lang w:val="fr-FR"/>
        </w:rPr>
        <w:br/>
      </w:r>
      <w:r w:rsidRPr="003156E8">
        <w:rPr>
          <w:bCs/>
          <w:lang w:val="fr-FR"/>
        </w:rPr>
        <w:t>Nombre de migrants rapatriés dans le cadre du plan de retour au pays, par pays d</w:t>
      </w:r>
      <w:r>
        <w:rPr>
          <w:bCs/>
          <w:lang w:val="fr-FR"/>
        </w:rPr>
        <w:t>’</w:t>
      </w:r>
      <w:r w:rsidRPr="003156E8">
        <w:rPr>
          <w:bCs/>
          <w:lang w:val="fr-FR"/>
        </w:rPr>
        <w:t>origine, au 20 février 2020</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6"/>
      </w:tblGrid>
      <w:tr w:rsidR="00F30B21" w:rsidRPr="003156E8" w14:paraId="25003C1A" w14:textId="77777777" w:rsidTr="001C3BF4">
        <w:trPr>
          <w:trHeight w:val="240"/>
          <w:tblHeader/>
        </w:trPr>
        <w:tc>
          <w:tcPr>
            <w:tcW w:w="3684" w:type="dxa"/>
            <w:tcBorders>
              <w:top w:val="single" w:sz="4" w:space="0" w:color="auto"/>
              <w:bottom w:val="single" w:sz="12" w:space="0" w:color="auto"/>
            </w:tcBorders>
            <w:shd w:val="clear" w:color="auto" w:fill="auto"/>
            <w:vAlign w:val="bottom"/>
          </w:tcPr>
          <w:p w14:paraId="59E97D03" w14:textId="77777777" w:rsidR="00F30B21" w:rsidRPr="003156E8" w:rsidRDefault="00F30B21" w:rsidP="001C3BF4">
            <w:pPr>
              <w:spacing w:before="80" w:after="80" w:line="200" w:lineRule="exact"/>
              <w:rPr>
                <w:i/>
                <w:sz w:val="16"/>
              </w:rPr>
            </w:pPr>
            <w:r w:rsidRPr="003156E8">
              <w:rPr>
                <w:i/>
                <w:iCs/>
                <w:sz w:val="16"/>
              </w:rPr>
              <w:t>Pays</w:t>
            </w:r>
          </w:p>
        </w:tc>
        <w:tc>
          <w:tcPr>
            <w:tcW w:w="3686" w:type="dxa"/>
            <w:tcBorders>
              <w:top w:val="single" w:sz="4" w:space="0" w:color="auto"/>
              <w:bottom w:val="single" w:sz="12" w:space="0" w:color="auto"/>
            </w:tcBorders>
            <w:shd w:val="clear" w:color="auto" w:fill="auto"/>
            <w:vAlign w:val="bottom"/>
          </w:tcPr>
          <w:p w14:paraId="6D6DB687" w14:textId="77777777" w:rsidR="00F30B21" w:rsidRPr="003156E8" w:rsidRDefault="00F30B21" w:rsidP="001C3BF4">
            <w:pPr>
              <w:spacing w:before="80" w:after="80" w:line="200" w:lineRule="exact"/>
              <w:ind w:left="113"/>
              <w:jc w:val="right"/>
              <w:rPr>
                <w:i/>
                <w:sz w:val="16"/>
              </w:rPr>
            </w:pPr>
            <w:r w:rsidRPr="003156E8">
              <w:rPr>
                <w:i/>
                <w:iCs/>
                <w:sz w:val="16"/>
              </w:rPr>
              <w:t>Nombre de rapatriés</w:t>
            </w:r>
          </w:p>
        </w:tc>
      </w:tr>
      <w:tr w:rsidR="00F30B21" w:rsidRPr="003156E8" w14:paraId="2D5E7921" w14:textId="77777777" w:rsidTr="001C3BF4">
        <w:trPr>
          <w:trHeight w:val="240"/>
        </w:trPr>
        <w:tc>
          <w:tcPr>
            <w:tcW w:w="3684" w:type="dxa"/>
            <w:shd w:val="clear" w:color="auto" w:fill="auto"/>
          </w:tcPr>
          <w:p w14:paraId="1D16E200" w14:textId="77777777" w:rsidR="00F30B21" w:rsidRPr="003156E8" w:rsidRDefault="00F30B21" w:rsidP="001C3BF4">
            <w:pPr>
              <w:spacing w:before="40" w:after="40" w:line="220" w:lineRule="exact"/>
              <w:rPr>
                <w:sz w:val="18"/>
              </w:rPr>
            </w:pPr>
            <w:r w:rsidRPr="003156E8">
              <w:rPr>
                <w:sz w:val="18"/>
              </w:rPr>
              <w:t>Brésil</w:t>
            </w:r>
          </w:p>
        </w:tc>
        <w:tc>
          <w:tcPr>
            <w:tcW w:w="3686" w:type="dxa"/>
            <w:shd w:val="clear" w:color="auto" w:fill="auto"/>
            <w:vAlign w:val="bottom"/>
          </w:tcPr>
          <w:p w14:paraId="11E8DC77" w14:textId="77777777" w:rsidR="00F30B21" w:rsidRPr="003156E8" w:rsidRDefault="00F30B21" w:rsidP="001C3BF4">
            <w:pPr>
              <w:spacing w:before="40" w:after="40" w:line="220" w:lineRule="exact"/>
              <w:ind w:left="113"/>
              <w:jc w:val="right"/>
              <w:rPr>
                <w:sz w:val="18"/>
              </w:rPr>
            </w:pPr>
            <w:r w:rsidRPr="003156E8">
              <w:rPr>
                <w:sz w:val="18"/>
              </w:rPr>
              <w:t>7 285</w:t>
            </w:r>
          </w:p>
        </w:tc>
      </w:tr>
      <w:tr w:rsidR="00F30B21" w:rsidRPr="003156E8" w14:paraId="73F86718" w14:textId="77777777" w:rsidTr="001C3BF4">
        <w:trPr>
          <w:trHeight w:val="240"/>
        </w:trPr>
        <w:tc>
          <w:tcPr>
            <w:tcW w:w="3684" w:type="dxa"/>
            <w:shd w:val="clear" w:color="auto" w:fill="auto"/>
          </w:tcPr>
          <w:p w14:paraId="1C59ADCC" w14:textId="77777777" w:rsidR="00F30B21" w:rsidRPr="003156E8" w:rsidRDefault="00F30B21" w:rsidP="001C3BF4">
            <w:pPr>
              <w:spacing w:before="40" w:after="40" w:line="220" w:lineRule="exact"/>
              <w:rPr>
                <w:sz w:val="18"/>
              </w:rPr>
            </w:pPr>
            <w:r w:rsidRPr="003156E8">
              <w:rPr>
                <w:sz w:val="18"/>
              </w:rPr>
              <w:t>Pérou</w:t>
            </w:r>
          </w:p>
        </w:tc>
        <w:tc>
          <w:tcPr>
            <w:tcW w:w="3686" w:type="dxa"/>
            <w:shd w:val="clear" w:color="auto" w:fill="auto"/>
            <w:vAlign w:val="bottom"/>
          </w:tcPr>
          <w:p w14:paraId="376D3789" w14:textId="77777777" w:rsidR="00F30B21" w:rsidRPr="003156E8" w:rsidRDefault="00F30B21" w:rsidP="001C3BF4">
            <w:pPr>
              <w:spacing w:before="40" w:after="40" w:line="220" w:lineRule="exact"/>
              <w:ind w:left="113"/>
              <w:jc w:val="right"/>
              <w:rPr>
                <w:sz w:val="18"/>
              </w:rPr>
            </w:pPr>
            <w:r w:rsidRPr="003156E8">
              <w:rPr>
                <w:sz w:val="18"/>
              </w:rPr>
              <w:t>4 491</w:t>
            </w:r>
          </w:p>
        </w:tc>
      </w:tr>
      <w:tr w:rsidR="00F30B21" w:rsidRPr="003156E8" w14:paraId="14B686C7" w14:textId="77777777" w:rsidTr="001C3BF4">
        <w:trPr>
          <w:trHeight w:val="240"/>
        </w:trPr>
        <w:tc>
          <w:tcPr>
            <w:tcW w:w="3684" w:type="dxa"/>
            <w:shd w:val="clear" w:color="auto" w:fill="auto"/>
          </w:tcPr>
          <w:p w14:paraId="1B980C3E" w14:textId="77777777" w:rsidR="00F30B21" w:rsidRPr="003156E8" w:rsidRDefault="00F30B21" w:rsidP="001C3BF4">
            <w:pPr>
              <w:spacing w:before="40" w:after="40" w:line="220" w:lineRule="exact"/>
              <w:rPr>
                <w:sz w:val="18"/>
              </w:rPr>
            </w:pPr>
            <w:r w:rsidRPr="003156E8">
              <w:rPr>
                <w:sz w:val="18"/>
              </w:rPr>
              <w:t>Équateur</w:t>
            </w:r>
          </w:p>
        </w:tc>
        <w:tc>
          <w:tcPr>
            <w:tcW w:w="3686" w:type="dxa"/>
            <w:shd w:val="clear" w:color="auto" w:fill="auto"/>
            <w:vAlign w:val="bottom"/>
          </w:tcPr>
          <w:p w14:paraId="331A5834" w14:textId="77777777" w:rsidR="00F30B21" w:rsidRPr="003156E8" w:rsidRDefault="00F30B21" w:rsidP="001C3BF4">
            <w:pPr>
              <w:spacing w:before="40" w:after="40" w:line="220" w:lineRule="exact"/>
              <w:ind w:left="113"/>
              <w:jc w:val="right"/>
              <w:rPr>
                <w:sz w:val="18"/>
              </w:rPr>
            </w:pPr>
            <w:r w:rsidRPr="003156E8">
              <w:rPr>
                <w:sz w:val="18"/>
              </w:rPr>
              <w:t>3 247</w:t>
            </w:r>
          </w:p>
        </w:tc>
      </w:tr>
      <w:tr w:rsidR="00F30B21" w:rsidRPr="003156E8" w14:paraId="13F997D8" w14:textId="77777777" w:rsidTr="001C3BF4">
        <w:trPr>
          <w:trHeight w:val="240"/>
        </w:trPr>
        <w:tc>
          <w:tcPr>
            <w:tcW w:w="3684" w:type="dxa"/>
            <w:shd w:val="clear" w:color="auto" w:fill="auto"/>
          </w:tcPr>
          <w:p w14:paraId="395D4980" w14:textId="77777777" w:rsidR="00F30B21" w:rsidRPr="003156E8" w:rsidRDefault="00F30B21" w:rsidP="001C3BF4">
            <w:pPr>
              <w:spacing w:before="40" w:after="40" w:line="220" w:lineRule="exact"/>
              <w:rPr>
                <w:sz w:val="18"/>
              </w:rPr>
            </w:pPr>
            <w:r w:rsidRPr="003156E8">
              <w:rPr>
                <w:sz w:val="18"/>
              </w:rPr>
              <w:t>Colombie</w:t>
            </w:r>
          </w:p>
        </w:tc>
        <w:tc>
          <w:tcPr>
            <w:tcW w:w="3686" w:type="dxa"/>
            <w:shd w:val="clear" w:color="auto" w:fill="auto"/>
            <w:vAlign w:val="bottom"/>
          </w:tcPr>
          <w:p w14:paraId="4AD978BC" w14:textId="77777777" w:rsidR="00F30B21" w:rsidRPr="003156E8" w:rsidRDefault="00F30B21" w:rsidP="001C3BF4">
            <w:pPr>
              <w:spacing w:before="40" w:after="40" w:line="220" w:lineRule="exact"/>
              <w:ind w:left="113"/>
              <w:jc w:val="right"/>
              <w:rPr>
                <w:sz w:val="18"/>
              </w:rPr>
            </w:pPr>
            <w:r w:rsidRPr="003156E8">
              <w:rPr>
                <w:sz w:val="18"/>
              </w:rPr>
              <w:t>764</w:t>
            </w:r>
          </w:p>
        </w:tc>
      </w:tr>
      <w:tr w:rsidR="00F30B21" w:rsidRPr="003156E8" w14:paraId="23675941" w14:textId="77777777" w:rsidTr="001C3BF4">
        <w:trPr>
          <w:trHeight w:val="240"/>
        </w:trPr>
        <w:tc>
          <w:tcPr>
            <w:tcW w:w="3684" w:type="dxa"/>
            <w:shd w:val="clear" w:color="auto" w:fill="auto"/>
          </w:tcPr>
          <w:p w14:paraId="6943013F" w14:textId="77777777" w:rsidR="00F30B21" w:rsidRPr="003156E8" w:rsidRDefault="00F30B21" w:rsidP="001C3BF4">
            <w:pPr>
              <w:spacing w:before="40" w:after="40" w:line="220" w:lineRule="exact"/>
              <w:rPr>
                <w:sz w:val="18"/>
              </w:rPr>
            </w:pPr>
            <w:r w:rsidRPr="003156E8">
              <w:rPr>
                <w:sz w:val="18"/>
              </w:rPr>
              <w:t>République dominicaine</w:t>
            </w:r>
          </w:p>
        </w:tc>
        <w:tc>
          <w:tcPr>
            <w:tcW w:w="3686" w:type="dxa"/>
            <w:shd w:val="clear" w:color="auto" w:fill="auto"/>
            <w:vAlign w:val="bottom"/>
          </w:tcPr>
          <w:p w14:paraId="4A93CE8A" w14:textId="77777777" w:rsidR="00F30B21" w:rsidRPr="003156E8" w:rsidRDefault="00F30B21" w:rsidP="001C3BF4">
            <w:pPr>
              <w:spacing w:before="40" w:after="40" w:line="220" w:lineRule="exact"/>
              <w:ind w:left="113"/>
              <w:jc w:val="right"/>
              <w:rPr>
                <w:sz w:val="18"/>
              </w:rPr>
            </w:pPr>
            <w:r w:rsidRPr="003156E8">
              <w:rPr>
                <w:sz w:val="18"/>
              </w:rPr>
              <w:t>366</w:t>
            </w:r>
          </w:p>
        </w:tc>
      </w:tr>
      <w:tr w:rsidR="00F30B21" w:rsidRPr="003156E8" w14:paraId="190FDCB1" w14:textId="77777777" w:rsidTr="001C3BF4">
        <w:trPr>
          <w:trHeight w:val="240"/>
        </w:trPr>
        <w:tc>
          <w:tcPr>
            <w:tcW w:w="3684" w:type="dxa"/>
            <w:shd w:val="clear" w:color="auto" w:fill="auto"/>
          </w:tcPr>
          <w:p w14:paraId="4ED7D347" w14:textId="77777777" w:rsidR="00F30B21" w:rsidRPr="003156E8" w:rsidRDefault="00F30B21" w:rsidP="001C3BF4">
            <w:pPr>
              <w:spacing w:before="40" w:after="40" w:line="220" w:lineRule="exact"/>
              <w:rPr>
                <w:sz w:val="18"/>
              </w:rPr>
            </w:pPr>
            <w:r w:rsidRPr="003156E8">
              <w:rPr>
                <w:sz w:val="18"/>
              </w:rPr>
              <w:t>Argentine</w:t>
            </w:r>
          </w:p>
        </w:tc>
        <w:tc>
          <w:tcPr>
            <w:tcW w:w="3686" w:type="dxa"/>
            <w:shd w:val="clear" w:color="auto" w:fill="auto"/>
            <w:vAlign w:val="bottom"/>
          </w:tcPr>
          <w:p w14:paraId="48D11B44" w14:textId="77777777" w:rsidR="00F30B21" w:rsidRPr="003156E8" w:rsidRDefault="00F30B21" w:rsidP="001C3BF4">
            <w:pPr>
              <w:spacing w:before="40" w:after="40" w:line="220" w:lineRule="exact"/>
              <w:ind w:left="113"/>
              <w:jc w:val="right"/>
              <w:rPr>
                <w:sz w:val="18"/>
              </w:rPr>
            </w:pPr>
            <w:r w:rsidRPr="003156E8">
              <w:rPr>
                <w:sz w:val="18"/>
              </w:rPr>
              <w:t>434</w:t>
            </w:r>
          </w:p>
        </w:tc>
      </w:tr>
      <w:tr w:rsidR="00F30B21" w:rsidRPr="003156E8" w14:paraId="11873BD6" w14:textId="77777777" w:rsidTr="001C3BF4">
        <w:trPr>
          <w:trHeight w:val="240"/>
        </w:trPr>
        <w:tc>
          <w:tcPr>
            <w:tcW w:w="3684" w:type="dxa"/>
            <w:shd w:val="clear" w:color="auto" w:fill="auto"/>
          </w:tcPr>
          <w:p w14:paraId="109235BD" w14:textId="77777777" w:rsidR="00F30B21" w:rsidRPr="003156E8" w:rsidRDefault="00F30B21" w:rsidP="001C3BF4">
            <w:pPr>
              <w:spacing w:before="40" w:after="40" w:line="220" w:lineRule="exact"/>
              <w:rPr>
                <w:sz w:val="18"/>
              </w:rPr>
            </w:pPr>
            <w:r w:rsidRPr="003156E8">
              <w:rPr>
                <w:sz w:val="18"/>
              </w:rPr>
              <w:t>Chili</w:t>
            </w:r>
          </w:p>
        </w:tc>
        <w:tc>
          <w:tcPr>
            <w:tcW w:w="3686" w:type="dxa"/>
            <w:shd w:val="clear" w:color="auto" w:fill="auto"/>
            <w:vAlign w:val="bottom"/>
          </w:tcPr>
          <w:p w14:paraId="5424596B" w14:textId="77777777" w:rsidR="00F30B21" w:rsidRPr="003156E8" w:rsidRDefault="00F30B21" w:rsidP="001C3BF4">
            <w:pPr>
              <w:spacing w:before="40" w:after="40" w:line="220" w:lineRule="exact"/>
              <w:ind w:left="113"/>
              <w:jc w:val="right"/>
              <w:rPr>
                <w:sz w:val="18"/>
              </w:rPr>
            </w:pPr>
            <w:r w:rsidRPr="003156E8">
              <w:rPr>
                <w:sz w:val="18"/>
              </w:rPr>
              <w:t>1 162</w:t>
            </w:r>
          </w:p>
        </w:tc>
      </w:tr>
      <w:tr w:rsidR="00F30B21" w:rsidRPr="003156E8" w14:paraId="79BEBD4E" w14:textId="77777777" w:rsidTr="001C3BF4">
        <w:trPr>
          <w:trHeight w:val="240"/>
        </w:trPr>
        <w:tc>
          <w:tcPr>
            <w:tcW w:w="3684" w:type="dxa"/>
            <w:shd w:val="clear" w:color="auto" w:fill="auto"/>
          </w:tcPr>
          <w:p w14:paraId="0C0F2BAE" w14:textId="77777777" w:rsidR="00F30B21" w:rsidRPr="003156E8" w:rsidRDefault="00F30B21" w:rsidP="001C3BF4">
            <w:pPr>
              <w:spacing w:before="40" w:after="40" w:line="220" w:lineRule="exact"/>
              <w:rPr>
                <w:sz w:val="18"/>
              </w:rPr>
            </w:pPr>
            <w:r w:rsidRPr="003156E8">
              <w:rPr>
                <w:sz w:val="18"/>
              </w:rPr>
              <w:lastRenderedPageBreak/>
              <w:t>Panama</w:t>
            </w:r>
          </w:p>
        </w:tc>
        <w:tc>
          <w:tcPr>
            <w:tcW w:w="3686" w:type="dxa"/>
            <w:shd w:val="clear" w:color="auto" w:fill="auto"/>
            <w:vAlign w:val="bottom"/>
          </w:tcPr>
          <w:p w14:paraId="3D0B68C2" w14:textId="77777777" w:rsidR="00F30B21" w:rsidRPr="003156E8" w:rsidRDefault="00F30B21" w:rsidP="001C3BF4">
            <w:pPr>
              <w:spacing w:before="40" w:after="40" w:line="220" w:lineRule="exact"/>
              <w:ind w:left="113"/>
              <w:jc w:val="right"/>
              <w:rPr>
                <w:sz w:val="18"/>
              </w:rPr>
            </w:pPr>
            <w:r w:rsidRPr="003156E8">
              <w:rPr>
                <w:sz w:val="18"/>
              </w:rPr>
              <w:t>35</w:t>
            </w:r>
          </w:p>
        </w:tc>
      </w:tr>
      <w:tr w:rsidR="00F30B21" w:rsidRPr="003156E8" w14:paraId="2A546142" w14:textId="77777777" w:rsidTr="001C3BF4">
        <w:trPr>
          <w:trHeight w:val="240"/>
        </w:trPr>
        <w:tc>
          <w:tcPr>
            <w:tcW w:w="3684" w:type="dxa"/>
            <w:tcBorders>
              <w:bottom w:val="single" w:sz="4" w:space="0" w:color="auto"/>
            </w:tcBorders>
            <w:shd w:val="clear" w:color="auto" w:fill="auto"/>
          </w:tcPr>
          <w:p w14:paraId="25714995" w14:textId="77777777" w:rsidR="00F30B21" w:rsidRPr="003156E8" w:rsidRDefault="00F30B21" w:rsidP="001C3BF4">
            <w:pPr>
              <w:spacing w:before="40" w:after="40" w:line="220" w:lineRule="exact"/>
              <w:rPr>
                <w:sz w:val="18"/>
              </w:rPr>
            </w:pPr>
            <w:r w:rsidRPr="003156E8">
              <w:rPr>
                <w:sz w:val="18"/>
              </w:rPr>
              <w:t>Uruguay</w:t>
            </w:r>
          </w:p>
        </w:tc>
        <w:tc>
          <w:tcPr>
            <w:tcW w:w="3686" w:type="dxa"/>
            <w:tcBorders>
              <w:bottom w:val="single" w:sz="4" w:space="0" w:color="auto"/>
            </w:tcBorders>
            <w:shd w:val="clear" w:color="auto" w:fill="auto"/>
            <w:vAlign w:val="bottom"/>
          </w:tcPr>
          <w:p w14:paraId="06209081" w14:textId="77777777" w:rsidR="00F30B21" w:rsidRPr="003156E8" w:rsidRDefault="00F30B21" w:rsidP="001C3BF4">
            <w:pPr>
              <w:spacing w:before="40" w:after="40" w:line="220" w:lineRule="exact"/>
              <w:ind w:left="113"/>
              <w:jc w:val="right"/>
              <w:rPr>
                <w:sz w:val="18"/>
              </w:rPr>
            </w:pPr>
            <w:r w:rsidRPr="003156E8">
              <w:rPr>
                <w:sz w:val="18"/>
              </w:rPr>
              <w:t>1</w:t>
            </w:r>
          </w:p>
        </w:tc>
      </w:tr>
      <w:tr w:rsidR="00F30B21" w:rsidRPr="003156E8" w14:paraId="7B05356D" w14:textId="77777777" w:rsidTr="001C3BF4">
        <w:trPr>
          <w:trHeight w:val="240"/>
        </w:trPr>
        <w:tc>
          <w:tcPr>
            <w:tcW w:w="3684" w:type="dxa"/>
            <w:tcBorders>
              <w:top w:val="single" w:sz="4" w:space="0" w:color="auto"/>
              <w:bottom w:val="single" w:sz="12" w:space="0" w:color="auto"/>
            </w:tcBorders>
            <w:shd w:val="clear" w:color="auto" w:fill="auto"/>
          </w:tcPr>
          <w:p w14:paraId="0223E3E4" w14:textId="77777777" w:rsidR="00F30B21" w:rsidRPr="003156E8" w:rsidRDefault="00F30B21" w:rsidP="001C3BF4">
            <w:pPr>
              <w:spacing w:before="80" w:after="80" w:line="220" w:lineRule="exact"/>
              <w:ind w:left="283"/>
              <w:rPr>
                <w:b/>
                <w:sz w:val="18"/>
              </w:rPr>
            </w:pPr>
            <w:r w:rsidRPr="003156E8">
              <w:rPr>
                <w:b/>
                <w:bCs/>
                <w:sz w:val="18"/>
              </w:rPr>
              <w:t>Total</w:t>
            </w:r>
          </w:p>
        </w:tc>
        <w:tc>
          <w:tcPr>
            <w:tcW w:w="3686" w:type="dxa"/>
            <w:tcBorders>
              <w:top w:val="single" w:sz="4" w:space="0" w:color="auto"/>
              <w:bottom w:val="single" w:sz="12" w:space="0" w:color="auto"/>
            </w:tcBorders>
            <w:shd w:val="clear" w:color="auto" w:fill="auto"/>
            <w:vAlign w:val="bottom"/>
          </w:tcPr>
          <w:p w14:paraId="35EA5D2C" w14:textId="77777777" w:rsidR="00F30B21" w:rsidRPr="003156E8" w:rsidRDefault="00F30B21" w:rsidP="001C3BF4">
            <w:pPr>
              <w:spacing w:before="80" w:after="80" w:line="220" w:lineRule="exact"/>
              <w:jc w:val="right"/>
              <w:rPr>
                <w:b/>
                <w:sz w:val="18"/>
              </w:rPr>
            </w:pPr>
            <w:r w:rsidRPr="003156E8">
              <w:rPr>
                <w:b/>
                <w:bCs/>
                <w:sz w:val="18"/>
              </w:rPr>
              <w:t>17785</w:t>
            </w:r>
          </w:p>
        </w:tc>
      </w:tr>
    </w:tbl>
    <w:p w14:paraId="11DFA2A4" w14:textId="6DF98902" w:rsidR="00F30B21" w:rsidRPr="003156E8" w:rsidRDefault="00F30B21" w:rsidP="00F30B21">
      <w:pPr>
        <w:pStyle w:val="SingleTxtG"/>
        <w:spacing w:before="240"/>
        <w:rPr>
          <w:lang w:val="fr-FR"/>
        </w:rPr>
      </w:pPr>
      <w:r w:rsidRPr="003156E8">
        <w:rPr>
          <w:color w:val="000000" w:themeColor="text1"/>
          <w:lang w:val="fr-FR"/>
        </w:rPr>
        <w:t>96</w:t>
      </w:r>
      <w:r w:rsidR="00244AED" w:rsidRPr="00244AED">
        <w:rPr>
          <w:color w:val="000000" w:themeColor="text1"/>
          <w:lang w:val="fr-FR"/>
        </w:rPr>
        <w:t>.</w:t>
      </w:r>
      <w:r w:rsidRPr="003156E8">
        <w:rPr>
          <w:color w:val="000000" w:themeColor="text1"/>
          <w:lang w:val="fr-FR"/>
        </w:rPr>
        <w:tab/>
      </w:r>
      <w:r w:rsidRPr="003156E8">
        <w:rPr>
          <w:lang w:val="fr-FR"/>
        </w:rPr>
        <w:t>Les étrangers qui se trouvent légalement sur le territoire vénézuélien ne sont visés par aucune restriction générale à la liberté de circulation ni aucune limitation du droit de choisir librement leur lieu de résidence</w:t>
      </w:r>
      <w:r w:rsidR="00244AED" w:rsidRPr="00244AED">
        <w:rPr>
          <w:lang w:val="fr-FR"/>
        </w:rPr>
        <w:t>.</w:t>
      </w:r>
    </w:p>
    <w:p w14:paraId="4B6F33C9" w14:textId="5F2CC096" w:rsidR="00F30B21" w:rsidRPr="003156E8" w:rsidRDefault="00F30B21" w:rsidP="00F30B21">
      <w:pPr>
        <w:pStyle w:val="SingleTxtG"/>
        <w:rPr>
          <w:lang w:val="fr-FR"/>
        </w:rPr>
      </w:pPr>
      <w:r w:rsidRPr="003156E8">
        <w:rPr>
          <w:color w:val="000000" w:themeColor="text1"/>
          <w:lang w:val="fr-FR"/>
        </w:rPr>
        <w:t>97</w:t>
      </w:r>
      <w:r w:rsidR="00244AED" w:rsidRPr="00244AED">
        <w:rPr>
          <w:color w:val="000000" w:themeColor="text1"/>
          <w:lang w:val="fr-FR"/>
        </w:rPr>
        <w:t>.</w:t>
      </w:r>
      <w:r w:rsidRPr="003156E8">
        <w:rPr>
          <w:color w:val="000000" w:themeColor="text1"/>
          <w:lang w:val="fr-FR"/>
        </w:rPr>
        <w:tab/>
      </w:r>
      <w:r w:rsidRPr="003156E8">
        <w:rPr>
          <w:lang w:val="fr-FR"/>
        </w:rPr>
        <w:t>Le Conseil national électoral, en sa qualité d</w:t>
      </w:r>
      <w:r>
        <w:rPr>
          <w:lang w:val="fr-FR"/>
        </w:rPr>
        <w:t>’</w:t>
      </w:r>
      <w:r w:rsidRPr="003156E8">
        <w:rPr>
          <w:lang w:val="fr-FR"/>
        </w:rPr>
        <w:t>organe directeur du système national de l</w:t>
      </w:r>
      <w:r>
        <w:rPr>
          <w:lang w:val="fr-FR"/>
        </w:rPr>
        <w:t>’</w:t>
      </w:r>
      <w:r w:rsidRPr="003156E8">
        <w:rPr>
          <w:lang w:val="fr-FR"/>
        </w:rPr>
        <w:t>état civil est responsable des officiers d</w:t>
      </w:r>
      <w:r>
        <w:rPr>
          <w:lang w:val="fr-FR"/>
        </w:rPr>
        <w:t>’</w:t>
      </w:r>
      <w:r w:rsidRPr="003156E8">
        <w:rPr>
          <w:lang w:val="fr-FR"/>
        </w:rPr>
        <w:t>état civil, lesquels sont au service de l</w:t>
      </w:r>
      <w:r>
        <w:rPr>
          <w:lang w:val="fr-FR"/>
        </w:rPr>
        <w:t>’</w:t>
      </w:r>
      <w:r w:rsidRPr="003156E8">
        <w:rPr>
          <w:lang w:val="fr-FR"/>
        </w:rPr>
        <w:t>ensemble de la population, sans distinction ni discrimination aucune</w:t>
      </w:r>
      <w:r w:rsidR="00244AED" w:rsidRPr="00244AED">
        <w:rPr>
          <w:lang w:val="fr-FR"/>
        </w:rPr>
        <w:t>.</w:t>
      </w:r>
      <w:r w:rsidRPr="003156E8">
        <w:rPr>
          <w:lang w:val="fr-FR"/>
        </w:rPr>
        <w:t xml:space="preserve"> L</w:t>
      </w:r>
      <w:r>
        <w:rPr>
          <w:lang w:val="fr-FR"/>
        </w:rPr>
        <w:t>’</w:t>
      </w:r>
      <w:r w:rsidRPr="003156E8">
        <w:rPr>
          <w:lang w:val="fr-FR"/>
        </w:rPr>
        <w:t>identité culturelle des peuples et communautés autochtone</w:t>
      </w:r>
      <w:r w:rsidR="0033235A">
        <w:rPr>
          <w:lang w:val="fr-FR"/>
        </w:rPr>
        <w:t>s</w:t>
      </w:r>
      <w:r w:rsidRPr="003156E8">
        <w:rPr>
          <w:lang w:val="fr-FR"/>
        </w:rPr>
        <w:t xml:space="preserve"> doit être respectée, en prenant en compte leurs coutumes et traditions ancestrales</w:t>
      </w:r>
      <w:r w:rsidR="00244AED" w:rsidRPr="00244AED">
        <w:rPr>
          <w:lang w:val="fr-FR"/>
        </w:rPr>
        <w:t>.</w:t>
      </w:r>
      <w:r w:rsidRPr="003156E8">
        <w:rPr>
          <w:lang w:val="fr-FR"/>
        </w:rPr>
        <w:t xml:space="preserve"> À cet effet, les actes doivent, dans toute la mesure possible, être établis dans les deux langues et préserver à tout moment les noms et prénoms ancestraux et traditionnels, sans préciser la filiation ou la parenté</w:t>
      </w:r>
      <w:r w:rsidR="00244AED" w:rsidRPr="00244AED">
        <w:rPr>
          <w:lang w:val="fr-FR"/>
        </w:rPr>
        <w:t>.</w:t>
      </w:r>
      <w:r w:rsidRPr="003156E8">
        <w:rPr>
          <w:lang w:val="fr-FR"/>
        </w:rPr>
        <w:t xml:space="preserve"> Les membres des communautés autochtones peuvent s</w:t>
      </w:r>
      <w:r>
        <w:rPr>
          <w:lang w:val="fr-FR"/>
        </w:rPr>
        <w:t>’</w:t>
      </w:r>
      <w:r w:rsidRPr="003156E8">
        <w:rPr>
          <w:lang w:val="fr-FR"/>
        </w:rPr>
        <w:t>inscrire à l</w:t>
      </w:r>
      <w:r>
        <w:rPr>
          <w:lang w:val="fr-FR"/>
        </w:rPr>
        <w:t>’</w:t>
      </w:r>
      <w:r w:rsidRPr="003156E8">
        <w:rPr>
          <w:lang w:val="fr-FR"/>
        </w:rPr>
        <w:t>état civil, même s</w:t>
      </w:r>
      <w:r>
        <w:rPr>
          <w:lang w:val="fr-FR"/>
        </w:rPr>
        <w:t>’</w:t>
      </w:r>
      <w:r w:rsidRPr="003156E8">
        <w:rPr>
          <w:lang w:val="fr-FR"/>
        </w:rPr>
        <w:t>ils ont atteint l</w:t>
      </w:r>
      <w:r>
        <w:rPr>
          <w:lang w:val="fr-FR"/>
        </w:rPr>
        <w:t>’</w:t>
      </w:r>
      <w:r w:rsidRPr="003156E8">
        <w:rPr>
          <w:lang w:val="fr-FR"/>
        </w:rPr>
        <w:t>âge de 18</w:t>
      </w:r>
      <w:r>
        <w:rPr>
          <w:lang w:val="fr-FR"/>
        </w:rPr>
        <w:t> </w:t>
      </w:r>
      <w:r w:rsidRPr="003156E8">
        <w:rPr>
          <w:lang w:val="fr-FR"/>
        </w:rPr>
        <w:t>ans</w:t>
      </w:r>
      <w:r w:rsidR="00244AED" w:rsidRPr="00244AED">
        <w:rPr>
          <w:lang w:val="fr-FR"/>
        </w:rPr>
        <w:t>.</w:t>
      </w:r>
      <w:r w:rsidRPr="003156E8">
        <w:rPr>
          <w:lang w:val="fr-FR"/>
        </w:rPr>
        <w:t xml:space="preserve"> En plus des exigences établies dans la législation en vigueur, ils doivent fournir une déclaration de la personne qui, selon leurs coutumes, représente le peuple ou la communauté autochtone à laquelle ils appartiennent</w:t>
      </w:r>
      <w:r w:rsidR="00244AED" w:rsidRPr="00244AED">
        <w:rPr>
          <w:lang w:val="fr-FR"/>
        </w:rPr>
        <w:t>.</w:t>
      </w:r>
    </w:p>
    <w:p w14:paraId="0422876E" w14:textId="46C30E1B" w:rsidR="00F30B21" w:rsidRPr="003156E8" w:rsidRDefault="00F30B21" w:rsidP="00F30B21">
      <w:pPr>
        <w:pStyle w:val="SingleTxtG"/>
        <w:rPr>
          <w:lang w:val="fr-FR"/>
        </w:rPr>
      </w:pPr>
      <w:r w:rsidRPr="003156E8">
        <w:rPr>
          <w:color w:val="000000" w:themeColor="text1"/>
          <w:lang w:val="fr-FR"/>
        </w:rPr>
        <w:t>98</w:t>
      </w:r>
      <w:r w:rsidR="00244AED" w:rsidRPr="00244AED">
        <w:rPr>
          <w:color w:val="000000" w:themeColor="text1"/>
          <w:lang w:val="fr-FR"/>
        </w:rPr>
        <w:t>.</w:t>
      </w:r>
      <w:r w:rsidRPr="003156E8">
        <w:rPr>
          <w:color w:val="000000" w:themeColor="text1"/>
          <w:lang w:val="fr-FR"/>
        </w:rPr>
        <w:tab/>
      </w:r>
      <w:r w:rsidRPr="003156E8">
        <w:rPr>
          <w:lang w:val="fr-FR"/>
        </w:rPr>
        <w:t>Le fonctionnement de l</w:t>
      </w:r>
      <w:r>
        <w:rPr>
          <w:lang w:val="fr-FR"/>
        </w:rPr>
        <w:t>’</w:t>
      </w:r>
      <w:r w:rsidRPr="003156E8">
        <w:rPr>
          <w:lang w:val="fr-FR"/>
        </w:rPr>
        <w:t>état civil est régi par le principe de non-discrimination au sens large, qui s</w:t>
      </w:r>
      <w:r>
        <w:rPr>
          <w:lang w:val="fr-FR"/>
        </w:rPr>
        <w:t>’</w:t>
      </w:r>
      <w:r w:rsidRPr="003156E8">
        <w:rPr>
          <w:lang w:val="fr-FR"/>
        </w:rPr>
        <w:t>applique aussi à la répartition des services d</w:t>
      </w:r>
      <w:r>
        <w:rPr>
          <w:lang w:val="fr-FR"/>
        </w:rPr>
        <w:t>’</w:t>
      </w:r>
      <w:r w:rsidRPr="003156E8">
        <w:rPr>
          <w:lang w:val="fr-FR"/>
        </w:rPr>
        <w:t>état civil sur l</w:t>
      </w:r>
      <w:r>
        <w:rPr>
          <w:lang w:val="fr-FR"/>
        </w:rPr>
        <w:t>’</w:t>
      </w:r>
      <w:r w:rsidRPr="003156E8">
        <w:rPr>
          <w:lang w:val="fr-FR"/>
        </w:rPr>
        <w:t>ensemble du territoire national et à l</w:t>
      </w:r>
      <w:r>
        <w:rPr>
          <w:lang w:val="fr-FR"/>
        </w:rPr>
        <w:t>’</w:t>
      </w:r>
      <w:r w:rsidRPr="003156E8">
        <w:rPr>
          <w:lang w:val="fr-FR"/>
        </w:rPr>
        <w:t>accessibilité de ces services à l</w:t>
      </w:r>
      <w:r>
        <w:rPr>
          <w:lang w:val="fr-FR"/>
        </w:rPr>
        <w:t>’</w:t>
      </w:r>
      <w:r w:rsidRPr="003156E8">
        <w:rPr>
          <w:lang w:val="fr-FR"/>
        </w:rPr>
        <w:t>ensemble de la population, sans distinction de classe sociale, d</w:t>
      </w:r>
      <w:r>
        <w:rPr>
          <w:lang w:val="fr-FR"/>
        </w:rPr>
        <w:t>’</w:t>
      </w:r>
      <w:r w:rsidRPr="003156E8">
        <w:rPr>
          <w:lang w:val="fr-FR"/>
        </w:rPr>
        <w:t>origine ou de niveau d</w:t>
      </w:r>
      <w:r>
        <w:rPr>
          <w:lang w:val="fr-FR"/>
        </w:rPr>
        <w:t>’</w:t>
      </w:r>
      <w:r w:rsidRPr="003156E8">
        <w:rPr>
          <w:lang w:val="fr-FR"/>
        </w:rPr>
        <w:t>instruction</w:t>
      </w:r>
      <w:r w:rsidR="00244AED" w:rsidRPr="00244AED">
        <w:rPr>
          <w:lang w:val="fr-FR"/>
        </w:rPr>
        <w:t>.</w:t>
      </w:r>
      <w:r w:rsidRPr="003156E8">
        <w:rPr>
          <w:lang w:val="fr-FR"/>
        </w:rPr>
        <w:t xml:space="preserve"> Les services d</w:t>
      </w:r>
      <w:r>
        <w:rPr>
          <w:lang w:val="fr-FR"/>
        </w:rPr>
        <w:t>’</w:t>
      </w:r>
      <w:r w:rsidRPr="003156E8">
        <w:rPr>
          <w:lang w:val="fr-FR"/>
        </w:rPr>
        <w:t xml:space="preserve">état civil vénézuéliens comptent actuellement 335 bureaux municipaux, 643 unités paroissiales, 215 unités situées dans des établissements de santé et 6 unités spéciales dont </w:t>
      </w:r>
      <w:r w:rsidR="0033235A">
        <w:rPr>
          <w:lang w:val="fr-FR"/>
        </w:rPr>
        <w:t>5</w:t>
      </w:r>
      <w:r w:rsidRPr="003156E8">
        <w:rPr>
          <w:lang w:val="fr-FR"/>
        </w:rPr>
        <w:t xml:space="preserve"> dans les communautés autochtones de Gran </w:t>
      </w:r>
      <w:proofErr w:type="spellStart"/>
      <w:r w:rsidRPr="003156E8">
        <w:rPr>
          <w:lang w:val="fr-FR"/>
        </w:rPr>
        <w:t>Sabana</w:t>
      </w:r>
      <w:proofErr w:type="spellEnd"/>
      <w:r w:rsidRPr="003156E8">
        <w:rPr>
          <w:lang w:val="fr-FR"/>
        </w:rPr>
        <w:t>, dans l</w:t>
      </w:r>
      <w:r>
        <w:rPr>
          <w:lang w:val="fr-FR"/>
        </w:rPr>
        <w:t>’</w:t>
      </w:r>
      <w:r w:rsidRPr="003156E8">
        <w:rPr>
          <w:lang w:val="fr-FR"/>
        </w:rPr>
        <w:t xml:space="preserve">État de Bolívar, et </w:t>
      </w:r>
      <w:r w:rsidR="0033235A">
        <w:rPr>
          <w:lang w:val="fr-FR"/>
        </w:rPr>
        <w:t>1</w:t>
      </w:r>
      <w:r w:rsidRPr="003156E8">
        <w:rPr>
          <w:lang w:val="fr-FR"/>
        </w:rPr>
        <w:t xml:space="preserve"> dans le bureau de médecine légale de Bello Monte, dans le district de la capitale</w:t>
      </w:r>
      <w:r w:rsidR="00244AED" w:rsidRPr="00244AED">
        <w:rPr>
          <w:lang w:val="fr-FR"/>
        </w:rPr>
        <w:t>.</w:t>
      </w:r>
    </w:p>
    <w:p w14:paraId="3BB23F88" w14:textId="59EF991B" w:rsidR="00F30B21" w:rsidRPr="003156E8" w:rsidRDefault="00F30B21" w:rsidP="00F30B21">
      <w:pPr>
        <w:pStyle w:val="SingleTxtG"/>
        <w:rPr>
          <w:lang w:val="fr-FR"/>
        </w:rPr>
      </w:pPr>
      <w:r w:rsidRPr="003156E8">
        <w:rPr>
          <w:color w:val="000000" w:themeColor="text1"/>
          <w:lang w:val="fr-FR"/>
        </w:rPr>
        <w:t>99</w:t>
      </w:r>
      <w:r w:rsidR="00244AED" w:rsidRPr="00244AED">
        <w:rPr>
          <w:color w:val="000000" w:themeColor="text1"/>
          <w:lang w:val="fr-FR"/>
        </w:rPr>
        <w:t>.</w:t>
      </w:r>
      <w:r w:rsidRPr="003156E8">
        <w:rPr>
          <w:color w:val="000000" w:themeColor="text1"/>
          <w:lang w:val="fr-FR"/>
        </w:rPr>
        <w:tab/>
      </w:r>
      <w:r w:rsidRPr="003156E8">
        <w:rPr>
          <w:lang w:val="fr-FR"/>
        </w:rPr>
        <w:t>De même, afin d</w:t>
      </w:r>
      <w:r>
        <w:rPr>
          <w:lang w:val="fr-FR"/>
        </w:rPr>
        <w:t>’</w:t>
      </w:r>
      <w:r w:rsidRPr="003156E8">
        <w:rPr>
          <w:lang w:val="fr-FR"/>
        </w:rPr>
        <w:t>améliorer l</w:t>
      </w:r>
      <w:r>
        <w:rPr>
          <w:lang w:val="fr-FR"/>
        </w:rPr>
        <w:t>’</w:t>
      </w:r>
      <w:r w:rsidRPr="003156E8">
        <w:rPr>
          <w:lang w:val="fr-FR"/>
        </w:rPr>
        <w:t>accès de l</w:t>
      </w:r>
      <w:r>
        <w:rPr>
          <w:lang w:val="fr-FR"/>
        </w:rPr>
        <w:t>’</w:t>
      </w:r>
      <w:r w:rsidRPr="003156E8">
        <w:rPr>
          <w:lang w:val="fr-FR"/>
        </w:rPr>
        <w:t>ensemble de la population aux services de l</w:t>
      </w:r>
      <w:r>
        <w:rPr>
          <w:lang w:val="fr-FR"/>
        </w:rPr>
        <w:t>’</w:t>
      </w:r>
      <w:r w:rsidRPr="003156E8">
        <w:rPr>
          <w:lang w:val="fr-FR"/>
        </w:rPr>
        <w:t>état civil, des opérations spéciales sont menées dans tout le pays, dans le cadre desquelles des officiers d</w:t>
      </w:r>
      <w:r>
        <w:rPr>
          <w:lang w:val="fr-FR"/>
        </w:rPr>
        <w:t>’</w:t>
      </w:r>
      <w:r w:rsidRPr="003156E8">
        <w:rPr>
          <w:lang w:val="fr-FR"/>
        </w:rPr>
        <w:t xml:space="preserve">état civil se rendent directement auprès des communautés pour prendre en charge la population </w:t>
      </w:r>
      <w:r>
        <w:rPr>
          <w:lang w:val="fr-FR"/>
        </w:rPr>
        <w:t xml:space="preserve">en situation de </w:t>
      </w:r>
      <w:r w:rsidRPr="003156E8">
        <w:rPr>
          <w:lang w:val="fr-FR"/>
        </w:rPr>
        <w:t>vulnérab</w:t>
      </w:r>
      <w:r>
        <w:rPr>
          <w:lang w:val="fr-FR"/>
        </w:rPr>
        <w:t>ilité vis-</w:t>
      </w:r>
      <w:r w:rsidRPr="003156E8">
        <w:rPr>
          <w:lang w:val="fr-FR"/>
        </w:rPr>
        <w:t>à</w:t>
      </w:r>
      <w:r>
        <w:rPr>
          <w:lang w:val="fr-FR"/>
        </w:rPr>
        <w:t>-vis de l’état civil</w:t>
      </w:r>
      <w:r w:rsidR="00244AED" w:rsidRPr="00244AED">
        <w:rPr>
          <w:lang w:val="fr-FR"/>
        </w:rPr>
        <w:t>.</w:t>
      </w:r>
    </w:p>
    <w:p w14:paraId="403C2391" w14:textId="4936A60B" w:rsidR="00F30B21" w:rsidRPr="003156E8" w:rsidRDefault="00F30B21" w:rsidP="00F30B21">
      <w:pPr>
        <w:pStyle w:val="SingleTxtG"/>
        <w:rPr>
          <w:lang w:val="fr-FR"/>
        </w:rPr>
      </w:pPr>
      <w:r w:rsidRPr="003156E8">
        <w:rPr>
          <w:color w:val="000000" w:themeColor="text1"/>
          <w:lang w:val="fr-FR"/>
        </w:rPr>
        <w:t>100</w:t>
      </w:r>
      <w:r w:rsidR="00244AED" w:rsidRPr="00244AED">
        <w:rPr>
          <w:color w:val="000000" w:themeColor="text1"/>
          <w:lang w:val="fr-FR"/>
        </w:rPr>
        <w:t>.</w:t>
      </w:r>
      <w:r w:rsidRPr="003156E8">
        <w:rPr>
          <w:color w:val="000000" w:themeColor="text1"/>
          <w:lang w:val="fr-FR"/>
        </w:rPr>
        <w:tab/>
      </w:r>
      <w:r w:rsidRPr="003156E8">
        <w:rPr>
          <w:lang w:val="fr-FR"/>
        </w:rPr>
        <w:t>Afin de garantir le droit à l</w:t>
      </w:r>
      <w:r>
        <w:rPr>
          <w:lang w:val="fr-FR"/>
        </w:rPr>
        <w:t>’</w:t>
      </w:r>
      <w:r w:rsidRPr="003156E8">
        <w:rPr>
          <w:lang w:val="fr-FR"/>
        </w:rPr>
        <w:t xml:space="preserve">identité, la </w:t>
      </w:r>
      <w:r>
        <w:rPr>
          <w:lang w:val="fr-FR"/>
        </w:rPr>
        <w:t>c</w:t>
      </w:r>
      <w:r w:rsidRPr="003156E8">
        <w:rPr>
          <w:lang w:val="fr-FR"/>
        </w:rPr>
        <w:t>oordination nationale pour l</w:t>
      </w:r>
      <w:r>
        <w:rPr>
          <w:lang w:val="fr-FR"/>
        </w:rPr>
        <w:t>’</w:t>
      </w:r>
      <w:r w:rsidRPr="003156E8">
        <w:rPr>
          <w:lang w:val="fr-FR"/>
        </w:rPr>
        <w:t>identification des peuples autochtones a été lancée en 2014 par le service administratif de l</w:t>
      </w:r>
      <w:r>
        <w:rPr>
          <w:lang w:val="fr-FR"/>
        </w:rPr>
        <w:t>’</w:t>
      </w:r>
      <w:r w:rsidRPr="003156E8">
        <w:rPr>
          <w:lang w:val="fr-FR"/>
        </w:rPr>
        <w:t>identification, des migrations et des étrangers</w:t>
      </w:r>
      <w:r w:rsidR="00244AED" w:rsidRPr="00244AED">
        <w:rPr>
          <w:lang w:val="fr-FR"/>
        </w:rPr>
        <w:t>.</w:t>
      </w:r>
      <w:r w:rsidRPr="003156E8">
        <w:rPr>
          <w:lang w:val="fr-FR"/>
        </w:rPr>
        <w:t xml:space="preserve"> Elle a pour mission de prendre en charge la population autochtone inscrite à l</w:t>
      </w:r>
      <w:r>
        <w:rPr>
          <w:lang w:val="fr-FR"/>
        </w:rPr>
        <w:t>’</w:t>
      </w:r>
      <w:r w:rsidRPr="003156E8">
        <w:rPr>
          <w:lang w:val="fr-FR"/>
        </w:rPr>
        <w:t>état civil et de délivrer des cartes d</w:t>
      </w:r>
      <w:r>
        <w:rPr>
          <w:lang w:val="fr-FR"/>
        </w:rPr>
        <w:t>’</w:t>
      </w:r>
      <w:r w:rsidRPr="003156E8">
        <w:rPr>
          <w:lang w:val="fr-FR"/>
        </w:rPr>
        <w:t>identité aux personnes concernées</w:t>
      </w:r>
      <w:r w:rsidR="00244AED" w:rsidRPr="00244AED">
        <w:rPr>
          <w:lang w:val="fr-FR"/>
        </w:rPr>
        <w:t>.</w:t>
      </w:r>
    </w:p>
    <w:p w14:paraId="5E2D3F60" w14:textId="0E7ABF24" w:rsidR="00F30B21" w:rsidRPr="003156E8" w:rsidRDefault="00F30B21" w:rsidP="00F30B21">
      <w:pPr>
        <w:pStyle w:val="SingleTxtG"/>
        <w:rPr>
          <w:lang w:val="fr-FR"/>
        </w:rPr>
      </w:pPr>
      <w:r w:rsidRPr="003156E8">
        <w:rPr>
          <w:color w:val="000000" w:themeColor="text1"/>
          <w:lang w:val="fr-FR"/>
        </w:rPr>
        <w:t>101</w:t>
      </w:r>
      <w:r w:rsidR="00244AED" w:rsidRPr="00244AED">
        <w:rPr>
          <w:color w:val="000000" w:themeColor="text1"/>
          <w:lang w:val="fr-FR"/>
        </w:rPr>
        <w:t>.</w:t>
      </w:r>
      <w:r w:rsidRPr="003156E8">
        <w:rPr>
          <w:color w:val="000000" w:themeColor="text1"/>
          <w:lang w:val="fr-FR"/>
        </w:rPr>
        <w:tab/>
      </w:r>
      <w:r w:rsidRPr="003156E8">
        <w:rPr>
          <w:lang w:val="fr-FR"/>
        </w:rPr>
        <w:t>Conformément aux dispositions du règlement d</w:t>
      </w:r>
      <w:r>
        <w:rPr>
          <w:lang w:val="fr-FR"/>
        </w:rPr>
        <w:t>’</w:t>
      </w:r>
      <w:r w:rsidRPr="003156E8">
        <w:rPr>
          <w:lang w:val="fr-FR"/>
        </w:rPr>
        <w:t>application de la loi organique relative à l</w:t>
      </w:r>
      <w:r>
        <w:rPr>
          <w:lang w:val="fr-FR"/>
        </w:rPr>
        <w:t>’</w:t>
      </w:r>
      <w:r w:rsidRPr="003156E8">
        <w:rPr>
          <w:lang w:val="fr-FR"/>
        </w:rPr>
        <w:t>identification, les mécanismes qui permettent aux personnes appartenant à un peuple autochtone d</w:t>
      </w:r>
      <w:r>
        <w:rPr>
          <w:lang w:val="fr-FR"/>
        </w:rPr>
        <w:t>’</w:t>
      </w:r>
      <w:r w:rsidRPr="003156E8">
        <w:rPr>
          <w:lang w:val="fr-FR"/>
        </w:rPr>
        <w:t>obtenir une carte d</w:t>
      </w:r>
      <w:r>
        <w:rPr>
          <w:lang w:val="fr-FR"/>
        </w:rPr>
        <w:t>’</w:t>
      </w:r>
      <w:r w:rsidRPr="003156E8">
        <w:rPr>
          <w:lang w:val="fr-FR"/>
        </w:rPr>
        <w:t>identité autochtone ont été renforcés</w:t>
      </w:r>
      <w:r w:rsidR="00244AED" w:rsidRPr="00244AED">
        <w:rPr>
          <w:lang w:val="fr-FR"/>
        </w:rPr>
        <w:t>.</w:t>
      </w:r>
      <w:r w:rsidRPr="003156E8">
        <w:rPr>
          <w:lang w:val="fr-FR"/>
        </w:rPr>
        <w:t xml:space="preserve"> Le droit de conserver son identité ethnique et culturelle et de s</w:t>
      </w:r>
      <w:r>
        <w:rPr>
          <w:lang w:val="fr-FR"/>
        </w:rPr>
        <w:t>’</w:t>
      </w:r>
      <w:r w:rsidRPr="003156E8">
        <w:rPr>
          <w:lang w:val="fr-FR"/>
        </w:rPr>
        <w:t>auto-identifier en indiquant, de manière individuelle ou collective, son peuple ou sa communauté autochtone d</w:t>
      </w:r>
      <w:r>
        <w:rPr>
          <w:lang w:val="fr-FR"/>
        </w:rPr>
        <w:t>’</w:t>
      </w:r>
      <w:r w:rsidRPr="003156E8">
        <w:rPr>
          <w:lang w:val="fr-FR"/>
        </w:rPr>
        <w:t>appartenance</w:t>
      </w:r>
      <w:r w:rsidRPr="00F30B21">
        <w:rPr>
          <w:rStyle w:val="Appelnotedebasdep"/>
        </w:rPr>
        <w:footnoteReference w:id="29"/>
      </w:r>
      <w:r w:rsidRPr="003156E8">
        <w:rPr>
          <w:lang w:val="fr-FR"/>
        </w:rPr>
        <w:t>, est ainsi garanti</w:t>
      </w:r>
      <w:r w:rsidR="00244AED" w:rsidRPr="00244AED">
        <w:rPr>
          <w:lang w:val="fr-FR"/>
        </w:rPr>
        <w:t>.</w:t>
      </w:r>
      <w:r w:rsidRPr="003156E8">
        <w:rPr>
          <w:lang w:val="fr-FR"/>
        </w:rPr>
        <w:t xml:space="preserve"> Dans le cadre de journées organisées à cet effet, des cartes d</w:t>
      </w:r>
      <w:r>
        <w:rPr>
          <w:lang w:val="fr-FR"/>
        </w:rPr>
        <w:t>’</w:t>
      </w:r>
      <w:r w:rsidRPr="003156E8">
        <w:rPr>
          <w:lang w:val="fr-FR"/>
        </w:rPr>
        <w:t xml:space="preserve">identité sont délivrées directement dans les communautés autochtones des états suivants : Amazonas, Anzoátegui, Apure, Bolívar, Delta </w:t>
      </w:r>
      <w:proofErr w:type="spellStart"/>
      <w:r w:rsidRPr="003156E8">
        <w:rPr>
          <w:lang w:val="fr-FR"/>
        </w:rPr>
        <w:t>Amacuro</w:t>
      </w:r>
      <w:proofErr w:type="spellEnd"/>
      <w:r w:rsidRPr="003156E8">
        <w:rPr>
          <w:lang w:val="fr-FR"/>
        </w:rPr>
        <w:t>, Monagas et Zulia</w:t>
      </w:r>
      <w:r w:rsidR="00244AED" w:rsidRPr="00244AED">
        <w:rPr>
          <w:lang w:val="fr-FR"/>
        </w:rPr>
        <w:t>.</w:t>
      </w:r>
      <w:r w:rsidRPr="003156E8">
        <w:rPr>
          <w:lang w:val="fr-FR"/>
        </w:rPr>
        <w:t xml:space="preserve"> Le territoire de ces </w:t>
      </w:r>
      <w:r w:rsidRPr="007D2AE8">
        <w:rPr>
          <w:caps/>
          <w:lang w:val="fr-FR"/>
        </w:rPr>
        <w:t>é</w:t>
      </w:r>
      <w:r w:rsidRPr="003156E8">
        <w:rPr>
          <w:lang w:val="fr-FR"/>
        </w:rPr>
        <w:t xml:space="preserve">tats comporte des établissements humains ou des communautés autochtones de divers peuples (Yanomami, </w:t>
      </w:r>
      <w:proofErr w:type="spellStart"/>
      <w:r w:rsidRPr="003156E8">
        <w:rPr>
          <w:lang w:val="fr-FR"/>
        </w:rPr>
        <w:t>Jivi</w:t>
      </w:r>
      <w:proofErr w:type="spellEnd"/>
      <w:r w:rsidRPr="003156E8">
        <w:rPr>
          <w:lang w:val="fr-FR"/>
        </w:rPr>
        <w:t xml:space="preserve">, </w:t>
      </w:r>
      <w:proofErr w:type="spellStart"/>
      <w:r w:rsidRPr="003156E8">
        <w:rPr>
          <w:lang w:val="fr-FR"/>
        </w:rPr>
        <w:t>Piaroas</w:t>
      </w:r>
      <w:proofErr w:type="spellEnd"/>
      <w:r w:rsidRPr="003156E8">
        <w:rPr>
          <w:lang w:val="fr-FR"/>
        </w:rPr>
        <w:t xml:space="preserve">, </w:t>
      </w:r>
      <w:proofErr w:type="spellStart"/>
      <w:r w:rsidRPr="003156E8">
        <w:rPr>
          <w:lang w:val="fr-FR"/>
        </w:rPr>
        <w:t>Waraos</w:t>
      </w:r>
      <w:proofErr w:type="spellEnd"/>
      <w:r w:rsidRPr="003156E8">
        <w:rPr>
          <w:lang w:val="fr-FR"/>
        </w:rPr>
        <w:t xml:space="preserve">, </w:t>
      </w:r>
      <w:proofErr w:type="spellStart"/>
      <w:r w:rsidRPr="003156E8">
        <w:rPr>
          <w:lang w:val="fr-FR"/>
        </w:rPr>
        <w:t>Kariña</w:t>
      </w:r>
      <w:proofErr w:type="spellEnd"/>
      <w:r w:rsidRPr="003156E8">
        <w:rPr>
          <w:lang w:val="fr-FR"/>
        </w:rPr>
        <w:t xml:space="preserve">, </w:t>
      </w:r>
      <w:proofErr w:type="spellStart"/>
      <w:r w:rsidRPr="003156E8">
        <w:rPr>
          <w:lang w:val="fr-FR"/>
        </w:rPr>
        <w:t>Yekuana</w:t>
      </w:r>
      <w:proofErr w:type="spellEnd"/>
      <w:r w:rsidRPr="003156E8">
        <w:rPr>
          <w:lang w:val="fr-FR"/>
        </w:rPr>
        <w:t xml:space="preserve">, </w:t>
      </w:r>
      <w:proofErr w:type="spellStart"/>
      <w:r w:rsidRPr="003156E8">
        <w:rPr>
          <w:lang w:val="fr-FR"/>
        </w:rPr>
        <w:t>Wayuu</w:t>
      </w:r>
      <w:proofErr w:type="spellEnd"/>
      <w:r w:rsidRPr="003156E8">
        <w:rPr>
          <w:lang w:val="fr-FR"/>
        </w:rPr>
        <w:t>, parmi bien d</w:t>
      </w:r>
      <w:r>
        <w:rPr>
          <w:lang w:val="fr-FR"/>
        </w:rPr>
        <w:t>’</w:t>
      </w:r>
      <w:r w:rsidRPr="003156E8">
        <w:rPr>
          <w:lang w:val="fr-FR"/>
        </w:rPr>
        <w:t>autres)</w:t>
      </w:r>
      <w:r w:rsidR="00244AED" w:rsidRPr="00244AED">
        <w:rPr>
          <w:lang w:val="fr-FR"/>
        </w:rPr>
        <w:t>.</w:t>
      </w:r>
    </w:p>
    <w:p w14:paraId="08E52D94" w14:textId="1B67BC6A" w:rsidR="00F30B21" w:rsidRPr="003156E8" w:rsidRDefault="00F30B21" w:rsidP="00F30B21">
      <w:pPr>
        <w:pStyle w:val="SingleTxtG"/>
        <w:rPr>
          <w:lang w:val="fr-FR"/>
        </w:rPr>
      </w:pPr>
      <w:r w:rsidRPr="003156E8">
        <w:rPr>
          <w:color w:val="000000" w:themeColor="text1"/>
          <w:lang w:val="fr-FR"/>
        </w:rPr>
        <w:t>102</w:t>
      </w:r>
      <w:r w:rsidR="00244AED" w:rsidRPr="00244AED">
        <w:rPr>
          <w:color w:val="000000" w:themeColor="text1"/>
          <w:lang w:val="fr-FR"/>
        </w:rPr>
        <w:t>.</w:t>
      </w:r>
      <w:r w:rsidRPr="003156E8">
        <w:rPr>
          <w:color w:val="000000" w:themeColor="text1"/>
          <w:lang w:val="fr-FR"/>
        </w:rPr>
        <w:tab/>
      </w:r>
      <w:r w:rsidRPr="003156E8">
        <w:rPr>
          <w:lang w:val="fr-FR"/>
        </w:rPr>
        <w:t>Il convient de souligner que, pour garantir le droit à l</w:t>
      </w:r>
      <w:r>
        <w:rPr>
          <w:lang w:val="fr-FR"/>
        </w:rPr>
        <w:t>’</w:t>
      </w:r>
      <w:r w:rsidRPr="003156E8">
        <w:rPr>
          <w:lang w:val="fr-FR"/>
        </w:rPr>
        <w:t>identité de la population d</w:t>
      </w:r>
      <w:r>
        <w:rPr>
          <w:lang w:val="fr-FR"/>
        </w:rPr>
        <w:t>’</w:t>
      </w:r>
      <w:r w:rsidRPr="003156E8">
        <w:rPr>
          <w:lang w:val="fr-FR"/>
        </w:rPr>
        <w:t>ascendance africaine et son droit d</w:t>
      </w:r>
      <w:r>
        <w:rPr>
          <w:lang w:val="fr-FR"/>
        </w:rPr>
        <w:t>’</w:t>
      </w:r>
      <w:r w:rsidRPr="003156E8">
        <w:rPr>
          <w:lang w:val="fr-FR"/>
        </w:rPr>
        <w:t>être inscrite à l</w:t>
      </w:r>
      <w:r>
        <w:rPr>
          <w:lang w:val="fr-FR"/>
        </w:rPr>
        <w:t>’</w:t>
      </w:r>
      <w:r w:rsidRPr="003156E8">
        <w:rPr>
          <w:lang w:val="fr-FR"/>
        </w:rPr>
        <w:t>état civil, il existe des bureaux ou des unités d</w:t>
      </w:r>
      <w:r>
        <w:rPr>
          <w:lang w:val="fr-FR"/>
        </w:rPr>
        <w:t>’</w:t>
      </w:r>
      <w:r w:rsidRPr="003156E8">
        <w:rPr>
          <w:lang w:val="fr-FR"/>
        </w:rPr>
        <w:t>état civil dans les communautés qui se sont identifiées comme afro-vénézuéliennes lors du recensement de 2011 réalisé par l</w:t>
      </w:r>
      <w:r>
        <w:rPr>
          <w:lang w:val="fr-FR"/>
        </w:rPr>
        <w:t>’</w:t>
      </w:r>
      <w:r w:rsidRPr="003156E8">
        <w:rPr>
          <w:lang w:val="fr-FR"/>
        </w:rPr>
        <w:t>Institut national de la statistique</w:t>
      </w:r>
      <w:r w:rsidR="00244AED" w:rsidRPr="00244AED">
        <w:rPr>
          <w:lang w:val="fr-FR"/>
        </w:rPr>
        <w:t>.</w:t>
      </w:r>
      <w:r w:rsidRPr="003156E8">
        <w:rPr>
          <w:lang w:val="fr-FR"/>
        </w:rPr>
        <w:t xml:space="preserve"> Ils sont tenus par des personnes appartenant à ces communautés et garantissent à la fois un service exempt de </w:t>
      </w:r>
      <w:r w:rsidRPr="003156E8">
        <w:rPr>
          <w:lang w:val="fr-FR"/>
        </w:rPr>
        <w:lastRenderedPageBreak/>
        <w:t>discrimination raciale et l</w:t>
      </w:r>
      <w:r>
        <w:rPr>
          <w:lang w:val="fr-FR"/>
        </w:rPr>
        <w:t>’</w:t>
      </w:r>
      <w:r w:rsidRPr="003156E8">
        <w:rPr>
          <w:lang w:val="fr-FR"/>
        </w:rPr>
        <w:t>exercice concret du pouvoir communautaire et/ou local par cette population</w:t>
      </w:r>
      <w:r w:rsidR="00244AED" w:rsidRPr="00244AED">
        <w:rPr>
          <w:lang w:val="fr-FR"/>
        </w:rPr>
        <w:t>.</w:t>
      </w:r>
    </w:p>
    <w:p w14:paraId="5B12493A" w14:textId="342B32D9" w:rsidR="00F30B21" w:rsidRPr="003156E8" w:rsidRDefault="00F30B21" w:rsidP="00F30B21">
      <w:pPr>
        <w:pStyle w:val="SingleTxtG"/>
        <w:rPr>
          <w:lang w:val="fr-FR"/>
        </w:rPr>
      </w:pPr>
      <w:r w:rsidRPr="003156E8">
        <w:rPr>
          <w:color w:val="000000" w:themeColor="text1"/>
          <w:lang w:val="fr-FR"/>
        </w:rPr>
        <w:t>103</w:t>
      </w:r>
      <w:r w:rsidR="00244AED" w:rsidRPr="00244AED">
        <w:rPr>
          <w:color w:val="000000" w:themeColor="text1"/>
          <w:lang w:val="fr-FR"/>
        </w:rPr>
        <w:t>.</w:t>
      </w:r>
      <w:r w:rsidRPr="003156E8">
        <w:rPr>
          <w:color w:val="000000" w:themeColor="text1"/>
          <w:lang w:val="fr-FR"/>
        </w:rPr>
        <w:tab/>
      </w:r>
      <w:r w:rsidRPr="003156E8">
        <w:rPr>
          <w:lang w:val="fr-FR"/>
        </w:rPr>
        <w:t>Le droit à la liberté de religion et de culte est consacré à l</w:t>
      </w:r>
      <w:r>
        <w:rPr>
          <w:lang w:val="fr-FR"/>
        </w:rPr>
        <w:t>’</w:t>
      </w:r>
      <w:r w:rsidRPr="003156E8">
        <w:rPr>
          <w:lang w:val="fr-FR"/>
        </w:rPr>
        <w:t>article 59 de la Constitution</w:t>
      </w:r>
      <w:r w:rsidR="00244AED" w:rsidRPr="00244AED">
        <w:rPr>
          <w:lang w:val="fr-FR"/>
        </w:rPr>
        <w:t>.</w:t>
      </w:r>
      <w:r w:rsidRPr="003156E8">
        <w:rPr>
          <w:lang w:val="fr-FR"/>
        </w:rPr>
        <w:t xml:space="preserve"> Selon la législation vénézuélienne, ce droit comporte les éléments suivants : i) droit, pour l</w:t>
      </w:r>
      <w:r>
        <w:rPr>
          <w:lang w:val="fr-FR"/>
        </w:rPr>
        <w:t>’</w:t>
      </w:r>
      <w:r w:rsidRPr="003156E8">
        <w:rPr>
          <w:lang w:val="fr-FR"/>
        </w:rPr>
        <w:t>individu ou la collectivité, de professer la croyance religieuse de son choix ou de n</w:t>
      </w:r>
      <w:r>
        <w:rPr>
          <w:lang w:val="fr-FR"/>
        </w:rPr>
        <w:t>’</w:t>
      </w:r>
      <w:r w:rsidRPr="003156E8">
        <w:rPr>
          <w:lang w:val="fr-FR"/>
        </w:rPr>
        <w:t>en choisir aucune ; ii) droit de changer de religion ou d</w:t>
      </w:r>
      <w:r>
        <w:rPr>
          <w:lang w:val="fr-FR"/>
        </w:rPr>
        <w:t>’</w:t>
      </w:r>
      <w:r w:rsidRPr="003156E8">
        <w:rPr>
          <w:lang w:val="fr-FR"/>
        </w:rPr>
        <w:t xml:space="preserve">abandonner </w:t>
      </w:r>
      <w:r>
        <w:rPr>
          <w:lang w:val="fr-FR"/>
        </w:rPr>
        <w:t>s</w:t>
      </w:r>
      <w:r w:rsidRPr="003156E8">
        <w:rPr>
          <w:lang w:val="fr-FR"/>
        </w:rPr>
        <w:t xml:space="preserve">a religion </w:t>
      </w:r>
      <w:r>
        <w:rPr>
          <w:lang w:val="fr-FR"/>
        </w:rPr>
        <w:t>d’origine</w:t>
      </w:r>
      <w:r w:rsidRPr="003156E8">
        <w:rPr>
          <w:lang w:val="fr-FR"/>
        </w:rPr>
        <w:t> ; iii) droit de manifester librement ses convictions religieuses ou de s</w:t>
      </w:r>
      <w:r>
        <w:rPr>
          <w:lang w:val="fr-FR"/>
        </w:rPr>
        <w:t>’</w:t>
      </w:r>
      <w:r w:rsidRPr="003156E8">
        <w:rPr>
          <w:lang w:val="fr-FR"/>
        </w:rPr>
        <w:t>abstenir de le faire ; iv) droit de pratiquer un culte et de recevoir l</w:t>
      </w:r>
      <w:r>
        <w:rPr>
          <w:lang w:val="fr-FR"/>
        </w:rPr>
        <w:t>’</w:t>
      </w:r>
      <w:r w:rsidRPr="003156E8">
        <w:rPr>
          <w:lang w:val="fr-FR"/>
        </w:rPr>
        <w:t>assistance de sa propre religion ; v) droit de dispenser un enseignement de nature religieuse et d</w:t>
      </w:r>
      <w:r>
        <w:rPr>
          <w:lang w:val="fr-FR"/>
        </w:rPr>
        <w:t>’</w:t>
      </w:r>
      <w:r w:rsidRPr="003156E8">
        <w:rPr>
          <w:lang w:val="fr-FR"/>
        </w:rPr>
        <w:t>en bénéficier, dès lors que cet enseignement est conforme à ses propres convictions</w:t>
      </w:r>
      <w:r w:rsidR="00CC0F0F">
        <w:rPr>
          <w:lang w:val="fr-FR"/>
        </w:rPr>
        <w:t> ;</w:t>
      </w:r>
      <w:r w:rsidRPr="003156E8">
        <w:rPr>
          <w:lang w:val="fr-FR"/>
        </w:rPr>
        <w:t xml:space="preserve"> et vi) droit de se réunir et de manifester publiquement à des fins religieuses</w:t>
      </w:r>
      <w:r w:rsidR="00244AED" w:rsidRPr="00244AED">
        <w:rPr>
          <w:lang w:val="fr-FR"/>
        </w:rPr>
        <w:t>.</w:t>
      </w:r>
      <w:r w:rsidRPr="003156E8">
        <w:rPr>
          <w:lang w:val="fr-FR"/>
        </w:rPr>
        <w:t xml:space="preserve"> L</w:t>
      </w:r>
      <w:r>
        <w:rPr>
          <w:lang w:val="fr-FR"/>
        </w:rPr>
        <w:t>’</w:t>
      </w:r>
      <w:r w:rsidRPr="003156E8">
        <w:rPr>
          <w:lang w:val="fr-FR"/>
        </w:rPr>
        <w:t xml:space="preserve">article </w:t>
      </w:r>
      <w:r>
        <w:rPr>
          <w:lang w:val="fr-FR"/>
        </w:rPr>
        <w:t xml:space="preserve">59 </w:t>
      </w:r>
      <w:r w:rsidRPr="003156E8">
        <w:rPr>
          <w:lang w:val="fr-FR"/>
        </w:rPr>
        <w:t>de la Constitution dispose</w:t>
      </w:r>
      <w:r>
        <w:rPr>
          <w:lang w:val="fr-FR"/>
        </w:rPr>
        <w:t xml:space="preserve"> également</w:t>
      </w:r>
      <w:r w:rsidRPr="003156E8">
        <w:rPr>
          <w:lang w:val="fr-FR"/>
        </w:rPr>
        <w:t xml:space="preserve"> que les convictions religieuses ne peuvent pas être invoquées pour s</w:t>
      </w:r>
      <w:r>
        <w:rPr>
          <w:lang w:val="fr-FR"/>
        </w:rPr>
        <w:t>’</w:t>
      </w:r>
      <w:r w:rsidRPr="003156E8">
        <w:rPr>
          <w:lang w:val="fr-FR"/>
        </w:rPr>
        <w:t>abstenir de respecter la loi ou pour empêcher autrui d</w:t>
      </w:r>
      <w:r>
        <w:rPr>
          <w:lang w:val="fr-FR"/>
        </w:rPr>
        <w:t>’</w:t>
      </w:r>
      <w:r w:rsidRPr="003156E8">
        <w:rPr>
          <w:lang w:val="fr-FR"/>
        </w:rPr>
        <w:t>exercer ses droits</w:t>
      </w:r>
      <w:r w:rsidR="00244AED" w:rsidRPr="00244AED">
        <w:rPr>
          <w:lang w:val="fr-FR"/>
        </w:rPr>
        <w:t>.</w:t>
      </w:r>
      <w:r w:rsidRPr="003156E8">
        <w:rPr>
          <w:lang w:val="fr-FR"/>
        </w:rPr>
        <w:t xml:space="preserve"> </w:t>
      </w:r>
    </w:p>
    <w:p w14:paraId="67901454" w14:textId="0C97498A" w:rsidR="00F30B21" w:rsidRPr="003156E8" w:rsidRDefault="00F30B21" w:rsidP="00F30B21">
      <w:pPr>
        <w:pStyle w:val="SingleTxtG"/>
        <w:rPr>
          <w:lang w:val="fr-FR"/>
        </w:rPr>
      </w:pPr>
      <w:r w:rsidRPr="003156E8">
        <w:rPr>
          <w:lang w:val="fr-FR"/>
        </w:rPr>
        <w:t>104</w:t>
      </w:r>
      <w:r w:rsidR="00244AED" w:rsidRPr="00244AED">
        <w:rPr>
          <w:lang w:val="fr-FR"/>
        </w:rPr>
        <w:t>.</w:t>
      </w:r>
      <w:r w:rsidRPr="003156E8">
        <w:rPr>
          <w:lang w:val="fr-FR"/>
        </w:rPr>
        <w:tab/>
        <w:t>Les organisations proposant des services religieux sont de plus en plus nombreuses sur l</w:t>
      </w:r>
      <w:r>
        <w:rPr>
          <w:lang w:val="fr-FR"/>
        </w:rPr>
        <w:t>’</w:t>
      </w:r>
      <w:r w:rsidRPr="003156E8">
        <w:rPr>
          <w:lang w:val="fr-FR"/>
        </w:rPr>
        <w:t>ensemble du territoire national, ce qui montre bien que la liberté de religion et de culte existe en République bolivarienne du Venezuela</w:t>
      </w:r>
      <w:r w:rsidR="00244AED" w:rsidRPr="00244AED">
        <w:rPr>
          <w:lang w:val="fr-FR"/>
        </w:rPr>
        <w:t>.</w:t>
      </w:r>
      <w:r w:rsidRPr="003156E8">
        <w:rPr>
          <w:lang w:val="fr-FR"/>
        </w:rPr>
        <w:t xml:space="preserve"> Fin 2019, on comptait 18 224 organisations représentant diverses croyances et doctrines religieuses, ainsi que 271 fondations, écoles et séminaires appartenant à ces groupes religieux</w:t>
      </w:r>
      <w:r w:rsidR="00244AED" w:rsidRPr="00244AED">
        <w:rPr>
          <w:lang w:val="fr-FR"/>
        </w:rPr>
        <w:t>.</w:t>
      </w:r>
    </w:p>
    <w:p w14:paraId="1D68C7B0" w14:textId="7C8B1762" w:rsidR="00F30B21" w:rsidRPr="003156E8" w:rsidRDefault="00F30B21" w:rsidP="00F30B21">
      <w:pPr>
        <w:pStyle w:val="SingleTxtG"/>
        <w:rPr>
          <w:lang w:val="fr-FR"/>
        </w:rPr>
      </w:pPr>
      <w:r w:rsidRPr="003156E8">
        <w:rPr>
          <w:lang w:val="fr-FR"/>
        </w:rPr>
        <w:t>105</w:t>
      </w:r>
      <w:r w:rsidR="00244AED" w:rsidRPr="00244AED">
        <w:rPr>
          <w:lang w:val="fr-FR"/>
        </w:rPr>
        <w:t>.</w:t>
      </w:r>
      <w:r w:rsidRPr="003156E8">
        <w:rPr>
          <w:lang w:val="fr-FR"/>
        </w:rPr>
        <w:tab/>
        <w:t>Le droit à la liberté de conscience est consacré à l</w:t>
      </w:r>
      <w:r>
        <w:rPr>
          <w:lang w:val="fr-FR"/>
        </w:rPr>
        <w:t>’</w:t>
      </w:r>
      <w:r w:rsidRPr="003156E8">
        <w:rPr>
          <w:lang w:val="fr-FR"/>
        </w:rPr>
        <w:t>article 61 de la Constitution</w:t>
      </w:r>
      <w:r w:rsidR="00244AED" w:rsidRPr="00244AED">
        <w:rPr>
          <w:lang w:val="fr-FR"/>
        </w:rPr>
        <w:t>.</w:t>
      </w:r>
      <w:r w:rsidRPr="003156E8">
        <w:rPr>
          <w:lang w:val="fr-FR"/>
        </w:rPr>
        <w:t xml:space="preserve"> L</w:t>
      </w:r>
      <w:r>
        <w:rPr>
          <w:lang w:val="fr-FR"/>
        </w:rPr>
        <w:t>’</w:t>
      </w:r>
      <w:r w:rsidRPr="003156E8">
        <w:rPr>
          <w:lang w:val="fr-FR"/>
        </w:rPr>
        <w:t>objection de conscience n</w:t>
      </w:r>
      <w:r>
        <w:rPr>
          <w:lang w:val="fr-FR"/>
        </w:rPr>
        <w:t>’</w:t>
      </w:r>
      <w:r w:rsidRPr="003156E8">
        <w:rPr>
          <w:lang w:val="fr-FR"/>
        </w:rPr>
        <w:t>est toutefois pas autorisée</w:t>
      </w:r>
      <w:r w:rsidR="0030329D">
        <w:rPr>
          <w:lang w:val="fr-FR"/>
        </w:rPr>
        <w:t> :</w:t>
      </w:r>
      <w:r w:rsidRPr="003156E8">
        <w:rPr>
          <w:lang w:val="fr-FR"/>
        </w:rPr>
        <w:t xml:space="preserve"> </w:t>
      </w:r>
      <w:r w:rsidR="0030329D">
        <w:rPr>
          <w:lang w:val="fr-FR"/>
        </w:rPr>
        <w:t>i) </w:t>
      </w:r>
      <w:r w:rsidRPr="003156E8">
        <w:rPr>
          <w:lang w:val="fr-FR"/>
        </w:rPr>
        <w:t>lorsqu</w:t>
      </w:r>
      <w:r>
        <w:rPr>
          <w:lang w:val="fr-FR"/>
        </w:rPr>
        <w:t>’</w:t>
      </w:r>
      <w:r w:rsidRPr="003156E8">
        <w:rPr>
          <w:lang w:val="fr-FR"/>
        </w:rPr>
        <w:t>elle modifie la personnalité juridique du titulaire de droits</w:t>
      </w:r>
      <w:r w:rsidR="00CC0F0F">
        <w:rPr>
          <w:lang w:val="fr-FR"/>
        </w:rPr>
        <w:t> ;</w:t>
      </w:r>
      <w:r w:rsidRPr="003156E8">
        <w:rPr>
          <w:lang w:val="fr-FR"/>
        </w:rPr>
        <w:t xml:space="preserve"> et</w:t>
      </w:r>
      <w:r w:rsidR="0030329D">
        <w:rPr>
          <w:lang w:val="fr-FR"/>
        </w:rPr>
        <w:t xml:space="preserve"> ii) </w:t>
      </w:r>
      <w:r w:rsidRPr="003156E8">
        <w:rPr>
          <w:lang w:val="fr-FR"/>
        </w:rPr>
        <w:t>lorsqu</w:t>
      </w:r>
      <w:r>
        <w:rPr>
          <w:lang w:val="fr-FR"/>
        </w:rPr>
        <w:t>’</w:t>
      </w:r>
      <w:r w:rsidRPr="003156E8">
        <w:rPr>
          <w:lang w:val="fr-FR"/>
        </w:rPr>
        <w:t>elle empêche autrui de se conformer à la loi</w:t>
      </w:r>
      <w:r w:rsidR="00244AED" w:rsidRPr="00244AED">
        <w:rPr>
          <w:lang w:val="fr-FR"/>
        </w:rPr>
        <w:t>.</w:t>
      </w:r>
      <w:r w:rsidRPr="003156E8">
        <w:rPr>
          <w:lang w:val="fr-FR"/>
        </w:rPr>
        <w:t xml:space="preserve"> De ce fait, la liberté de conscience et la liberté religieuse sont considérées comme des manifestations de l</w:t>
      </w:r>
      <w:r>
        <w:rPr>
          <w:lang w:val="fr-FR"/>
        </w:rPr>
        <w:t>’</w:t>
      </w:r>
      <w:r w:rsidRPr="003156E8">
        <w:rPr>
          <w:lang w:val="fr-FR"/>
        </w:rPr>
        <w:t>activité consciente de l</w:t>
      </w:r>
      <w:r>
        <w:rPr>
          <w:lang w:val="fr-FR"/>
        </w:rPr>
        <w:t>’</w:t>
      </w:r>
      <w:r w:rsidRPr="003156E8">
        <w:rPr>
          <w:lang w:val="fr-FR"/>
        </w:rPr>
        <w:t>individu, dans la mesure où leur mise en œuvre concrète ne porte pas préjudice à des tiers</w:t>
      </w:r>
      <w:r w:rsidR="00244AED" w:rsidRPr="00244AED">
        <w:rPr>
          <w:lang w:val="fr-FR"/>
        </w:rPr>
        <w:t>.</w:t>
      </w:r>
    </w:p>
    <w:p w14:paraId="57C1775D" w14:textId="435497EB" w:rsidR="00F30B21" w:rsidRPr="003156E8" w:rsidRDefault="00F30B21" w:rsidP="00F30B21">
      <w:pPr>
        <w:pStyle w:val="SingleTxtG"/>
        <w:rPr>
          <w:lang w:val="fr-FR"/>
        </w:rPr>
      </w:pPr>
      <w:r w:rsidRPr="003156E8">
        <w:rPr>
          <w:lang w:val="fr-FR"/>
        </w:rPr>
        <w:t>106</w:t>
      </w:r>
      <w:r w:rsidR="00244AED" w:rsidRPr="00244AED">
        <w:rPr>
          <w:lang w:val="fr-FR"/>
        </w:rPr>
        <w:t>.</w:t>
      </w:r>
      <w:r w:rsidRPr="003156E8">
        <w:rPr>
          <w:lang w:val="fr-FR"/>
        </w:rPr>
        <w:tab/>
        <w:t>Entre 2012 et le premier trimestre 2019, le bureau du Défenseur du peuple a reçu 12 plaintes pour violation présumée du droit à la liberté de conscience et de religion</w:t>
      </w:r>
      <w:r w:rsidR="00244AED" w:rsidRPr="00244AED">
        <w:rPr>
          <w:lang w:val="fr-FR"/>
        </w:rPr>
        <w:t>.</w:t>
      </w:r>
    </w:p>
    <w:p w14:paraId="32593731" w14:textId="09360FB5" w:rsidR="00F30B21" w:rsidRPr="003156E8" w:rsidRDefault="00F30B21" w:rsidP="00F30B21">
      <w:pPr>
        <w:pStyle w:val="H23G"/>
      </w:pPr>
      <w:r w:rsidRPr="003156E8">
        <w:rPr>
          <w:b w:val="0"/>
          <w:lang w:val="fr-FR"/>
        </w:rPr>
        <w:tab/>
      </w:r>
      <w:r w:rsidRPr="003156E8">
        <w:rPr>
          <w:b w:val="0"/>
          <w:lang w:val="fr-FR"/>
        </w:rPr>
        <w:tab/>
      </w:r>
      <w:r w:rsidRPr="0030329D">
        <w:rPr>
          <w:b w:val="0"/>
          <w:lang w:val="fr-FR"/>
        </w:rPr>
        <w:t>Tableau III</w:t>
      </w:r>
      <w:r w:rsidR="0030329D" w:rsidRPr="0030329D">
        <w:rPr>
          <w:b w:val="0"/>
          <w:lang w:val="fr-FR"/>
        </w:rPr>
        <w:t xml:space="preserve"> </w:t>
      </w:r>
      <w:r w:rsidR="0030329D" w:rsidRPr="0030329D">
        <w:rPr>
          <w:b w:val="0"/>
          <w:lang w:val="fr-FR"/>
        </w:rPr>
        <w:br/>
      </w:r>
      <w:r w:rsidRPr="003156E8">
        <w:rPr>
          <w:bCs/>
          <w:lang w:val="fr-FR"/>
        </w:rPr>
        <w:t>Plaintes pour violation présumée du droit à la liberté de conscience et de religio</w:t>
      </w:r>
      <w:r w:rsidR="0030329D">
        <w:rPr>
          <w:bCs/>
          <w:lang w:val="fr-FR"/>
        </w:rPr>
        <w:t xml:space="preserve">n </w:t>
      </w:r>
      <w:r w:rsidR="0030329D">
        <w:rPr>
          <w:bCs/>
          <w:lang w:val="fr-FR"/>
        </w:rPr>
        <w:br/>
      </w:r>
      <w:r w:rsidRPr="003156E8">
        <w:rPr>
          <w:b w:val="0"/>
          <w:lang w:val="fr-FR"/>
        </w:rPr>
        <w:tab/>
      </w:r>
      <w:r w:rsidRPr="003156E8">
        <w:rPr>
          <w:bCs/>
        </w:rPr>
        <w:t>Bureau du Défenseur du peuple</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2623"/>
        <w:gridCol w:w="3123"/>
      </w:tblGrid>
      <w:tr w:rsidR="00F30B21" w:rsidRPr="003156E8" w14:paraId="0E9FE1B3" w14:textId="77777777" w:rsidTr="001C3BF4">
        <w:trPr>
          <w:trHeight w:val="240"/>
          <w:tblHeader/>
        </w:trPr>
        <w:tc>
          <w:tcPr>
            <w:tcW w:w="1624" w:type="dxa"/>
            <w:tcBorders>
              <w:top w:val="single" w:sz="4" w:space="0" w:color="auto"/>
              <w:bottom w:val="single" w:sz="12" w:space="0" w:color="auto"/>
            </w:tcBorders>
            <w:shd w:val="clear" w:color="auto" w:fill="auto"/>
            <w:vAlign w:val="bottom"/>
          </w:tcPr>
          <w:p w14:paraId="23A72F30" w14:textId="77777777" w:rsidR="00F30B21" w:rsidRPr="003156E8" w:rsidRDefault="00F30B21" w:rsidP="001C3BF4">
            <w:pPr>
              <w:spacing w:before="80" w:after="80" w:line="200" w:lineRule="exact"/>
              <w:rPr>
                <w:i/>
                <w:sz w:val="16"/>
              </w:rPr>
            </w:pPr>
            <w:r w:rsidRPr="003156E8">
              <w:rPr>
                <w:i/>
                <w:iCs/>
                <w:sz w:val="16"/>
              </w:rPr>
              <w:t xml:space="preserve">Année </w:t>
            </w:r>
          </w:p>
        </w:tc>
        <w:tc>
          <w:tcPr>
            <w:tcW w:w="2623" w:type="dxa"/>
            <w:tcBorders>
              <w:top w:val="single" w:sz="4" w:space="0" w:color="auto"/>
              <w:bottom w:val="single" w:sz="12" w:space="0" w:color="auto"/>
            </w:tcBorders>
            <w:shd w:val="clear" w:color="auto" w:fill="auto"/>
            <w:vAlign w:val="bottom"/>
          </w:tcPr>
          <w:p w14:paraId="5FCA1CDA" w14:textId="77777777" w:rsidR="00F30B21" w:rsidRPr="003156E8" w:rsidRDefault="00F30B21" w:rsidP="001C3BF4">
            <w:pPr>
              <w:spacing w:before="80" w:after="80" w:line="200" w:lineRule="exact"/>
              <w:ind w:left="113"/>
              <w:jc w:val="right"/>
              <w:rPr>
                <w:i/>
                <w:sz w:val="16"/>
                <w:lang w:val="fr-FR"/>
              </w:rPr>
            </w:pPr>
            <w:r w:rsidRPr="003156E8">
              <w:rPr>
                <w:i/>
                <w:iCs/>
                <w:sz w:val="16"/>
                <w:lang w:val="fr-FR"/>
              </w:rPr>
              <w:t>Liberté de religion et de culte</w:t>
            </w:r>
          </w:p>
        </w:tc>
        <w:tc>
          <w:tcPr>
            <w:tcW w:w="3123" w:type="dxa"/>
            <w:tcBorders>
              <w:top w:val="single" w:sz="4" w:space="0" w:color="auto"/>
              <w:bottom w:val="single" w:sz="12" w:space="0" w:color="auto"/>
            </w:tcBorders>
            <w:shd w:val="clear" w:color="auto" w:fill="auto"/>
            <w:vAlign w:val="bottom"/>
          </w:tcPr>
          <w:p w14:paraId="67C1BDEB" w14:textId="77777777" w:rsidR="00F30B21" w:rsidRPr="003156E8" w:rsidRDefault="00F30B21" w:rsidP="001C3BF4">
            <w:pPr>
              <w:spacing w:before="80" w:after="80" w:line="200" w:lineRule="exact"/>
              <w:ind w:left="113"/>
              <w:jc w:val="right"/>
              <w:rPr>
                <w:i/>
                <w:sz w:val="16"/>
              </w:rPr>
            </w:pPr>
            <w:r w:rsidRPr="003156E8">
              <w:rPr>
                <w:i/>
                <w:iCs/>
                <w:sz w:val="16"/>
              </w:rPr>
              <w:t>Liberté de conscience</w:t>
            </w:r>
          </w:p>
        </w:tc>
      </w:tr>
      <w:tr w:rsidR="00F30B21" w:rsidRPr="003156E8" w14:paraId="41E5E9BB" w14:textId="77777777" w:rsidTr="001C3BF4">
        <w:trPr>
          <w:trHeight w:val="240"/>
        </w:trPr>
        <w:tc>
          <w:tcPr>
            <w:tcW w:w="1624" w:type="dxa"/>
            <w:shd w:val="clear" w:color="auto" w:fill="auto"/>
          </w:tcPr>
          <w:p w14:paraId="0532BCB2" w14:textId="77777777" w:rsidR="00F30B21" w:rsidRPr="003156E8" w:rsidRDefault="00F30B21" w:rsidP="001C3BF4">
            <w:pPr>
              <w:spacing w:before="40" w:after="40" w:line="220" w:lineRule="exact"/>
              <w:rPr>
                <w:sz w:val="18"/>
              </w:rPr>
            </w:pPr>
            <w:r w:rsidRPr="003156E8">
              <w:rPr>
                <w:sz w:val="18"/>
              </w:rPr>
              <w:t>2012</w:t>
            </w:r>
          </w:p>
        </w:tc>
        <w:tc>
          <w:tcPr>
            <w:tcW w:w="2623" w:type="dxa"/>
            <w:shd w:val="clear" w:color="auto" w:fill="auto"/>
            <w:vAlign w:val="bottom"/>
          </w:tcPr>
          <w:p w14:paraId="067DA8FF" w14:textId="77777777" w:rsidR="00F30B21" w:rsidRPr="003156E8" w:rsidRDefault="00F30B21" w:rsidP="001C3BF4">
            <w:pPr>
              <w:spacing w:before="40" w:after="40" w:line="220" w:lineRule="exact"/>
              <w:ind w:left="113"/>
              <w:jc w:val="right"/>
              <w:rPr>
                <w:sz w:val="18"/>
              </w:rPr>
            </w:pPr>
            <w:r w:rsidRPr="003156E8">
              <w:rPr>
                <w:sz w:val="18"/>
              </w:rPr>
              <w:t>1</w:t>
            </w:r>
          </w:p>
        </w:tc>
        <w:tc>
          <w:tcPr>
            <w:tcW w:w="3123" w:type="dxa"/>
            <w:shd w:val="clear" w:color="auto" w:fill="auto"/>
            <w:vAlign w:val="bottom"/>
          </w:tcPr>
          <w:p w14:paraId="1DC8F82F"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57429146" w14:textId="77777777" w:rsidTr="001C3BF4">
        <w:trPr>
          <w:trHeight w:val="240"/>
        </w:trPr>
        <w:tc>
          <w:tcPr>
            <w:tcW w:w="1624" w:type="dxa"/>
            <w:shd w:val="clear" w:color="auto" w:fill="auto"/>
          </w:tcPr>
          <w:p w14:paraId="2C448FCA" w14:textId="77777777" w:rsidR="00F30B21" w:rsidRPr="003156E8" w:rsidRDefault="00F30B21" w:rsidP="001C3BF4">
            <w:pPr>
              <w:spacing w:before="40" w:after="40" w:line="220" w:lineRule="exact"/>
              <w:rPr>
                <w:sz w:val="18"/>
              </w:rPr>
            </w:pPr>
            <w:r w:rsidRPr="003156E8">
              <w:rPr>
                <w:sz w:val="18"/>
              </w:rPr>
              <w:t>2013</w:t>
            </w:r>
          </w:p>
        </w:tc>
        <w:tc>
          <w:tcPr>
            <w:tcW w:w="2623" w:type="dxa"/>
            <w:shd w:val="clear" w:color="auto" w:fill="auto"/>
            <w:vAlign w:val="bottom"/>
          </w:tcPr>
          <w:p w14:paraId="5D4CFE97" w14:textId="77777777" w:rsidR="00F30B21" w:rsidRPr="003156E8" w:rsidRDefault="00F30B21" w:rsidP="001C3BF4">
            <w:pPr>
              <w:spacing w:before="40" w:after="40" w:line="220" w:lineRule="exact"/>
              <w:ind w:left="113"/>
              <w:jc w:val="right"/>
              <w:rPr>
                <w:sz w:val="18"/>
              </w:rPr>
            </w:pPr>
            <w:r w:rsidRPr="003156E8">
              <w:rPr>
                <w:sz w:val="18"/>
              </w:rPr>
              <w:t>2</w:t>
            </w:r>
          </w:p>
        </w:tc>
        <w:tc>
          <w:tcPr>
            <w:tcW w:w="3123" w:type="dxa"/>
            <w:shd w:val="clear" w:color="auto" w:fill="auto"/>
            <w:vAlign w:val="bottom"/>
          </w:tcPr>
          <w:p w14:paraId="6DCFC843" w14:textId="77777777" w:rsidR="00F30B21" w:rsidRPr="003156E8" w:rsidRDefault="00F30B21" w:rsidP="001C3BF4">
            <w:pPr>
              <w:spacing w:before="40" w:after="40" w:line="220" w:lineRule="exact"/>
              <w:ind w:left="113"/>
              <w:jc w:val="right"/>
              <w:rPr>
                <w:sz w:val="18"/>
              </w:rPr>
            </w:pPr>
            <w:r w:rsidRPr="003156E8">
              <w:rPr>
                <w:sz w:val="18"/>
              </w:rPr>
              <w:t>3</w:t>
            </w:r>
          </w:p>
        </w:tc>
      </w:tr>
      <w:tr w:rsidR="00F30B21" w:rsidRPr="003156E8" w14:paraId="56D4C78C" w14:textId="77777777" w:rsidTr="001C3BF4">
        <w:trPr>
          <w:trHeight w:val="240"/>
        </w:trPr>
        <w:tc>
          <w:tcPr>
            <w:tcW w:w="1624" w:type="dxa"/>
            <w:shd w:val="clear" w:color="auto" w:fill="auto"/>
          </w:tcPr>
          <w:p w14:paraId="2FCC09AA" w14:textId="77777777" w:rsidR="00F30B21" w:rsidRPr="003156E8" w:rsidRDefault="00F30B21" w:rsidP="001C3BF4">
            <w:pPr>
              <w:spacing w:before="40" w:after="40" w:line="220" w:lineRule="exact"/>
              <w:rPr>
                <w:sz w:val="18"/>
              </w:rPr>
            </w:pPr>
            <w:r w:rsidRPr="003156E8">
              <w:rPr>
                <w:sz w:val="18"/>
              </w:rPr>
              <w:t>2014</w:t>
            </w:r>
          </w:p>
        </w:tc>
        <w:tc>
          <w:tcPr>
            <w:tcW w:w="2623" w:type="dxa"/>
            <w:shd w:val="clear" w:color="auto" w:fill="auto"/>
            <w:vAlign w:val="bottom"/>
          </w:tcPr>
          <w:p w14:paraId="419B936D" w14:textId="77777777" w:rsidR="00F30B21" w:rsidRPr="003156E8" w:rsidRDefault="00F30B21" w:rsidP="001C3BF4">
            <w:pPr>
              <w:spacing w:before="40" w:after="40" w:line="220" w:lineRule="exact"/>
              <w:ind w:left="113"/>
              <w:jc w:val="right"/>
              <w:rPr>
                <w:sz w:val="18"/>
              </w:rPr>
            </w:pPr>
            <w:r w:rsidRPr="003156E8">
              <w:rPr>
                <w:sz w:val="18"/>
              </w:rPr>
              <w:t>2</w:t>
            </w:r>
          </w:p>
        </w:tc>
        <w:tc>
          <w:tcPr>
            <w:tcW w:w="3123" w:type="dxa"/>
            <w:shd w:val="clear" w:color="auto" w:fill="auto"/>
            <w:vAlign w:val="bottom"/>
          </w:tcPr>
          <w:p w14:paraId="0873A02E"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06E67489" w14:textId="77777777" w:rsidTr="001C3BF4">
        <w:trPr>
          <w:trHeight w:val="240"/>
        </w:trPr>
        <w:tc>
          <w:tcPr>
            <w:tcW w:w="1624" w:type="dxa"/>
            <w:shd w:val="clear" w:color="auto" w:fill="auto"/>
          </w:tcPr>
          <w:p w14:paraId="3BF82099" w14:textId="77777777" w:rsidR="00F30B21" w:rsidRPr="003156E8" w:rsidRDefault="00F30B21" w:rsidP="001C3BF4">
            <w:pPr>
              <w:spacing w:before="40" w:after="40" w:line="220" w:lineRule="exact"/>
              <w:rPr>
                <w:sz w:val="18"/>
              </w:rPr>
            </w:pPr>
            <w:r w:rsidRPr="003156E8">
              <w:rPr>
                <w:sz w:val="18"/>
              </w:rPr>
              <w:t>2015</w:t>
            </w:r>
          </w:p>
        </w:tc>
        <w:tc>
          <w:tcPr>
            <w:tcW w:w="2623" w:type="dxa"/>
            <w:shd w:val="clear" w:color="auto" w:fill="auto"/>
            <w:vAlign w:val="bottom"/>
          </w:tcPr>
          <w:p w14:paraId="39076626" w14:textId="77777777" w:rsidR="00F30B21" w:rsidRPr="003156E8" w:rsidRDefault="00F30B21" w:rsidP="001C3BF4">
            <w:pPr>
              <w:spacing w:before="40" w:after="40" w:line="220" w:lineRule="exact"/>
              <w:ind w:left="113"/>
              <w:jc w:val="right"/>
              <w:rPr>
                <w:sz w:val="18"/>
              </w:rPr>
            </w:pPr>
            <w:r w:rsidRPr="003156E8">
              <w:rPr>
                <w:sz w:val="18"/>
              </w:rPr>
              <w:t>1</w:t>
            </w:r>
          </w:p>
        </w:tc>
        <w:tc>
          <w:tcPr>
            <w:tcW w:w="3123" w:type="dxa"/>
            <w:shd w:val="clear" w:color="auto" w:fill="auto"/>
            <w:vAlign w:val="bottom"/>
          </w:tcPr>
          <w:p w14:paraId="6BE68E1A"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604F1F3D" w14:textId="77777777" w:rsidTr="001C3BF4">
        <w:trPr>
          <w:trHeight w:val="240"/>
        </w:trPr>
        <w:tc>
          <w:tcPr>
            <w:tcW w:w="1624" w:type="dxa"/>
            <w:shd w:val="clear" w:color="auto" w:fill="auto"/>
          </w:tcPr>
          <w:p w14:paraId="52114D43" w14:textId="77777777" w:rsidR="00F30B21" w:rsidRPr="003156E8" w:rsidRDefault="00F30B21" w:rsidP="001C3BF4">
            <w:pPr>
              <w:spacing w:before="40" w:after="40" w:line="220" w:lineRule="exact"/>
              <w:rPr>
                <w:sz w:val="18"/>
              </w:rPr>
            </w:pPr>
            <w:r w:rsidRPr="003156E8">
              <w:rPr>
                <w:sz w:val="18"/>
              </w:rPr>
              <w:t>2016</w:t>
            </w:r>
          </w:p>
        </w:tc>
        <w:tc>
          <w:tcPr>
            <w:tcW w:w="2623" w:type="dxa"/>
            <w:shd w:val="clear" w:color="auto" w:fill="auto"/>
            <w:vAlign w:val="bottom"/>
          </w:tcPr>
          <w:p w14:paraId="7CCDE498" w14:textId="77777777" w:rsidR="00F30B21" w:rsidRPr="003156E8" w:rsidRDefault="00F30B21" w:rsidP="001C3BF4">
            <w:pPr>
              <w:spacing w:before="40" w:after="40" w:line="220" w:lineRule="exact"/>
              <w:ind w:left="113"/>
              <w:jc w:val="right"/>
              <w:rPr>
                <w:sz w:val="18"/>
              </w:rPr>
            </w:pPr>
            <w:r w:rsidRPr="003156E8">
              <w:rPr>
                <w:sz w:val="18"/>
              </w:rPr>
              <w:t>1</w:t>
            </w:r>
          </w:p>
        </w:tc>
        <w:tc>
          <w:tcPr>
            <w:tcW w:w="3123" w:type="dxa"/>
            <w:shd w:val="clear" w:color="auto" w:fill="auto"/>
            <w:vAlign w:val="bottom"/>
          </w:tcPr>
          <w:p w14:paraId="01C79295" w14:textId="77777777" w:rsidR="00F30B21" w:rsidRPr="003156E8" w:rsidRDefault="00F30B21" w:rsidP="001C3BF4">
            <w:pPr>
              <w:spacing w:before="40" w:after="40" w:line="220" w:lineRule="exact"/>
              <w:ind w:left="113"/>
              <w:jc w:val="right"/>
              <w:rPr>
                <w:sz w:val="18"/>
              </w:rPr>
            </w:pPr>
            <w:r w:rsidRPr="003156E8">
              <w:rPr>
                <w:sz w:val="18"/>
              </w:rPr>
              <w:t>2</w:t>
            </w:r>
          </w:p>
        </w:tc>
      </w:tr>
      <w:tr w:rsidR="00F30B21" w:rsidRPr="003156E8" w14:paraId="0EA124D6" w14:textId="77777777" w:rsidTr="001C3BF4">
        <w:trPr>
          <w:trHeight w:val="240"/>
        </w:trPr>
        <w:tc>
          <w:tcPr>
            <w:tcW w:w="1624" w:type="dxa"/>
            <w:shd w:val="clear" w:color="auto" w:fill="auto"/>
          </w:tcPr>
          <w:p w14:paraId="566E6172" w14:textId="77777777" w:rsidR="00F30B21" w:rsidRPr="003156E8" w:rsidRDefault="00F30B21" w:rsidP="001C3BF4">
            <w:pPr>
              <w:spacing w:before="40" w:after="40" w:line="220" w:lineRule="exact"/>
              <w:rPr>
                <w:sz w:val="18"/>
              </w:rPr>
            </w:pPr>
            <w:r w:rsidRPr="003156E8">
              <w:rPr>
                <w:sz w:val="18"/>
              </w:rPr>
              <w:t>2017</w:t>
            </w:r>
          </w:p>
        </w:tc>
        <w:tc>
          <w:tcPr>
            <w:tcW w:w="2623" w:type="dxa"/>
            <w:shd w:val="clear" w:color="auto" w:fill="auto"/>
            <w:vAlign w:val="bottom"/>
          </w:tcPr>
          <w:p w14:paraId="639D2DAD" w14:textId="77777777" w:rsidR="00F30B21" w:rsidRPr="003156E8" w:rsidRDefault="00F30B21" w:rsidP="001C3BF4">
            <w:pPr>
              <w:spacing w:before="40" w:after="40" w:line="220" w:lineRule="exact"/>
              <w:ind w:left="113"/>
              <w:jc w:val="right"/>
              <w:rPr>
                <w:sz w:val="18"/>
              </w:rPr>
            </w:pPr>
            <w:r w:rsidRPr="003156E8">
              <w:rPr>
                <w:sz w:val="18"/>
              </w:rPr>
              <w:t>-</w:t>
            </w:r>
          </w:p>
        </w:tc>
        <w:tc>
          <w:tcPr>
            <w:tcW w:w="3123" w:type="dxa"/>
            <w:shd w:val="clear" w:color="auto" w:fill="auto"/>
            <w:vAlign w:val="bottom"/>
          </w:tcPr>
          <w:p w14:paraId="1FEE28D5"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06706D9B" w14:textId="77777777" w:rsidTr="001C3BF4">
        <w:trPr>
          <w:trHeight w:val="240"/>
        </w:trPr>
        <w:tc>
          <w:tcPr>
            <w:tcW w:w="1624" w:type="dxa"/>
            <w:shd w:val="clear" w:color="auto" w:fill="auto"/>
          </w:tcPr>
          <w:p w14:paraId="570ED4B9" w14:textId="77777777" w:rsidR="00F30B21" w:rsidRPr="003156E8" w:rsidRDefault="00F30B21" w:rsidP="001C3BF4">
            <w:pPr>
              <w:spacing w:before="40" w:after="40" w:line="220" w:lineRule="exact"/>
              <w:rPr>
                <w:sz w:val="18"/>
              </w:rPr>
            </w:pPr>
            <w:r w:rsidRPr="003156E8">
              <w:rPr>
                <w:sz w:val="18"/>
              </w:rPr>
              <w:t>2018</w:t>
            </w:r>
          </w:p>
        </w:tc>
        <w:tc>
          <w:tcPr>
            <w:tcW w:w="2623" w:type="dxa"/>
            <w:shd w:val="clear" w:color="auto" w:fill="auto"/>
            <w:vAlign w:val="bottom"/>
          </w:tcPr>
          <w:p w14:paraId="6F0392C6" w14:textId="77777777" w:rsidR="00F30B21" w:rsidRPr="003156E8" w:rsidRDefault="00F30B21" w:rsidP="001C3BF4">
            <w:pPr>
              <w:spacing w:before="40" w:after="40" w:line="220" w:lineRule="exact"/>
              <w:ind w:left="113"/>
              <w:jc w:val="right"/>
              <w:rPr>
                <w:sz w:val="18"/>
              </w:rPr>
            </w:pPr>
            <w:r w:rsidRPr="003156E8">
              <w:rPr>
                <w:sz w:val="18"/>
              </w:rPr>
              <w:t>-</w:t>
            </w:r>
          </w:p>
        </w:tc>
        <w:tc>
          <w:tcPr>
            <w:tcW w:w="3123" w:type="dxa"/>
            <w:shd w:val="clear" w:color="auto" w:fill="auto"/>
            <w:vAlign w:val="bottom"/>
          </w:tcPr>
          <w:p w14:paraId="7722A066"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1970E730" w14:textId="77777777" w:rsidTr="001C3BF4">
        <w:trPr>
          <w:trHeight w:val="240"/>
        </w:trPr>
        <w:tc>
          <w:tcPr>
            <w:tcW w:w="1624" w:type="dxa"/>
            <w:tcBorders>
              <w:bottom w:val="single" w:sz="4" w:space="0" w:color="auto"/>
            </w:tcBorders>
            <w:shd w:val="clear" w:color="auto" w:fill="auto"/>
          </w:tcPr>
          <w:p w14:paraId="22299339" w14:textId="77777777" w:rsidR="00F30B21" w:rsidRPr="003156E8" w:rsidRDefault="00F30B21" w:rsidP="001C3BF4">
            <w:pPr>
              <w:spacing w:before="40" w:after="40" w:line="220" w:lineRule="exact"/>
              <w:rPr>
                <w:sz w:val="18"/>
              </w:rPr>
            </w:pPr>
            <w:r w:rsidRPr="003156E8">
              <w:rPr>
                <w:sz w:val="18"/>
              </w:rPr>
              <w:t>2019</w:t>
            </w:r>
          </w:p>
        </w:tc>
        <w:tc>
          <w:tcPr>
            <w:tcW w:w="2623" w:type="dxa"/>
            <w:tcBorders>
              <w:bottom w:val="single" w:sz="4" w:space="0" w:color="auto"/>
            </w:tcBorders>
            <w:shd w:val="clear" w:color="auto" w:fill="auto"/>
            <w:vAlign w:val="bottom"/>
          </w:tcPr>
          <w:p w14:paraId="3001C939" w14:textId="77777777" w:rsidR="00F30B21" w:rsidRPr="003156E8" w:rsidRDefault="00F30B21" w:rsidP="001C3BF4">
            <w:pPr>
              <w:spacing w:before="40" w:after="40" w:line="220" w:lineRule="exact"/>
              <w:ind w:left="113"/>
              <w:jc w:val="right"/>
              <w:rPr>
                <w:sz w:val="18"/>
              </w:rPr>
            </w:pPr>
            <w:r w:rsidRPr="003156E8">
              <w:rPr>
                <w:sz w:val="18"/>
              </w:rPr>
              <w:t>-</w:t>
            </w:r>
          </w:p>
        </w:tc>
        <w:tc>
          <w:tcPr>
            <w:tcW w:w="3123" w:type="dxa"/>
            <w:tcBorders>
              <w:bottom w:val="single" w:sz="4" w:space="0" w:color="auto"/>
            </w:tcBorders>
            <w:shd w:val="clear" w:color="auto" w:fill="auto"/>
            <w:vAlign w:val="bottom"/>
          </w:tcPr>
          <w:p w14:paraId="4F916F8A"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399A6421" w14:textId="77777777" w:rsidTr="001C3BF4">
        <w:trPr>
          <w:trHeight w:val="240"/>
        </w:trPr>
        <w:tc>
          <w:tcPr>
            <w:tcW w:w="1624" w:type="dxa"/>
            <w:tcBorders>
              <w:top w:val="single" w:sz="4" w:space="0" w:color="auto"/>
              <w:bottom w:val="single" w:sz="12" w:space="0" w:color="auto"/>
            </w:tcBorders>
            <w:shd w:val="clear" w:color="auto" w:fill="auto"/>
          </w:tcPr>
          <w:p w14:paraId="1B61DF0D" w14:textId="77777777" w:rsidR="00F30B21" w:rsidRPr="003156E8" w:rsidRDefault="00F30B21" w:rsidP="001C3BF4">
            <w:pPr>
              <w:spacing w:before="80" w:after="80" w:line="220" w:lineRule="exact"/>
              <w:ind w:left="283"/>
              <w:rPr>
                <w:b/>
                <w:sz w:val="18"/>
              </w:rPr>
            </w:pPr>
            <w:r w:rsidRPr="003156E8">
              <w:rPr>
                <w:b/>
                <w:bCs/>
                <w:sz w:val="18"/>
              </w:rPr>
              <w:t>Total</w:t>
            </w:r>
          </w:p>
        </w:tc>
        <w:tc>
          <w:tcPr>
            <w:tcW w:w="2623" w:type="dxa"/>
            <w:tcBorders>
              <w:top w:val="single" w:sz="4" w:space="0" w:color="auto"/>
              <w:bottom w:val="single" w:sz="12" w:space="0" w:color="auto"/>
            </w:tcBorders>
            <w:shd w:val="clear" w:color="auto" w:fill="auto"/>
            <w:vAlign w:val="bottom"/>
          </w:tcPr>
          <w:p w14:paraId="14B6BB8F" w14:textId="77777777" w:rsidR="00F30B21" w:rsidRPr="003156E8" w:rsidRDefault="00F30B21" w:rsidP="001C3BF4">
            <w:pPr>
              <w:spacing w:before="80" w:after="80" w:line="220" w:lineRule="exact"/>
              <w:jc w:val="right"/>
              <w:rPr>
                <w:b/>
                <w:sz w:val="18"/>
              </w:rPr>
            </w:pPr>
            <w:r w:rsidRPr="003156E8">
              <w:rPr>
                <w:b/>
                <w:bCs/>
                <w:sz w:val="18"/>
              </w:rPr>
              <w:t>7</w:t>
            </w:r>
          </w:p>
        </w:tc>
        <w:tc>
          <w:tcPr>
            <w:tcW w:w="3123" w:type="dxa"/>
            <w:tcBorders>
              <w:top w:val="single" w:sz="4" w:space="0" w:color="auto"/>
              <w:bottom w:val="single" w:sz="12" w:space="0" w:color="auto"/>
            </w:tcBorders>
            <w:shd w:val="clear" w:color="auto" w:fill="auto"/>
            <w:vAlign w:val="bottom"/>
          </w:tcPr>
          <w:p w14:paraId="41461B84" w14:textId="77777777" w:rsidR="00F30B21" w:rsidRPr="003156E8" w:rsidRDefault="00F30B21" w:rsidP="001C3BF4">
            <w:pPr>
              <w:spacing w:before="80" w:after="80" w:line="220" w:lineRule="exact"/>
              <w:jc w:val="right"/>
              <w:rPr>
                <w:b/>
                <w:sz w:val="18"/>
              </w:rPr>
            </w:pPr>
            <w:r w:rsidRPr="003156E8">
              <w:rPr>
                <w:b/>
                <w:bCs/>
                <w:sz w:val="18"/>
              </w:rPr>
              <w:t>5</w:t>
            </w:r>
          </w:p>
        </w:tc>
      </w:tr>
    </w:tbl>
    <w:p w14:paraId="73002345" w14:textId="670D5627" w:rsidR="00F30B21" w:rsidRPr="003156E8" w:rsidRDefault="00F30B21" w:rsidP="00F30B21">
      <w:pPr>
        <w:pStyle w:val="SingleTxtG"/>
        <w:spacing w:before="240"/>
        <w:rPr>
          <w:lang w:val="fr-FR"/>
        </w:rPr>
      </w:pPr>
      <w:r w:rsidRPr="003156E8">
        <w:rPr>
          <w:color w:val="000000" w:themeColor="text1"/>
          <w:lang w:val="fr-FR"/>
        </w:rPr>
        <w:t>107</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article 68 de la Constitution garantit à tout citoyen</w:t>
      </w:r>
      <w:r w:rsidRPr="003156E8" w:rsidDel="00FD78C5">
        <w:rPr>
          <w:lang w:val="fr-FR"/>
        </w:rPr>
        <w:t xml:space="preserve"> </w:t>
      </w:r>
      <w:r w:rsidRPr="003156E8">
        <w:rPr>
          <w:lang w:val="fr-FR"/>
        </w:rPr>
        <w:t>le droit de manifester pacifiquement et sans armes, sans autres conditions que celles fixées par la loi</w:t>
      </w:r>
      <w:r w:rsidR="00244AED" w:rsidRPr="00244AED">
        <w:rPr>
          <w:lang w:val="fr-FR"/>
        </w:rPr>
        <w:t>.</w:t>
      </w:r>
      <w:r w:rsidRPr="003156E8">
        <w:rPr>
          <w:lang w:val="fr-FR"/>
        </w:rPr>
        <w:t xml:space="preserve"> Il interdit l</w:t>
      </w:r>
      <w:r>
        <w:rPr>
          <w:lang w:val="fr-FR"/>
        </w:rPr>
        <w:t>’</w:t>
      </w:r>
      <w:r w:rsidRPr="003156E8">
        <w:rPr>
          <w:lang w:val="fr-FR"/>
        </w:rPr>
        <w:t>utilisation d</w:t>
      </w:r>
      <w:r>
        <w:rPr>
          <w:lang w:val="fr-FR"/>
        </w:rPr>
        <w:t>’</w:t>
      </w:r>
      <w:r w:rsidRPr="003156E8">
        <w:rPr>
          <w:lang w:val="fr-FR"/>
        </w:rPr>
        <w:t>armes à feu et de substances toxiques par les forces de sécurité chargées du contrôle des manifestations</w:t>
      </w:r>
      <w:r w:rsidR="00244AED" w:rsidRPr="00244AED">
        <w:rPr>
          <w:lang w:val="fr-FR"/>
        </w:rPr>
        <w:t>.</w:t>
      </w:r>
    </w:p>
    <w:p w14:paraId="675613BD" w14:textId="12DBC657" w:rsidR="00F30B21" w:rsidRPr="003156E8" w:rsidRDefault="00F30B21" w:rsidP="00F30B21">
      <w:pPr>
        <w:pStyle w:val="SingleTxtG"/>
        <w:rPr>
          <w:lang w:val="fr-FR"/>
        </w:rPr>
      </w:pPr>
      <w:r w:rsidRPr="003156E8">
        <w:rPr>
          <w:lang w:val="fr-FR"/>
        </w:rPr>
        <w:t>108</w:t>
      </w:r>
      <w:r w:rsidR="00244AED" w:rsidRPr="00244AED">
        <w:rPr>
          <w:lang w:val="fr-FR"/>
        </w:rPr>
        <w:t>.</w:t>
      </w:r>
      <w:r w:rsidRPr="003156E8">
        <w:rPr>
          <w:lang w:val="fr-FR"/>
        </w:rPr>
        <w:tab/>
        <w:t>Conformément à la loi de réforme partielle de la loi relative aux partis politiques, aux réunions publiques et aux manifestations (2010), les partis, les organisations politiques et les citoyens qui souhaitent organiser des réunions publiques ou des manifestations doivent demander, au moins vingt-quatre heures à l</w:t>
      </w:r>
      <w:r>
        <w:rPr>
          <w:lang w:val="fr-FR"/>
        </w:rPr>
        <w:t>’</w:t>
      </w:r>
      <w:r w:rsidRPr="003156E8">
        <w:rPr>
          <w:lang w:val="fr-FR"/>
        </w:rPr>
        <w:t>avance, une autorisation administrative devant la première autorité civile de la juridiction compétente</w:t>
      </w:r>
      <w:r w:rsidR="00244AED" w:rsidRPr="00244AED">
        <w:rPr>
          <w:lang w:val="fr-FR"/>
        </w:rPr>
        <w:t>.</w:t>
      </w:r>
      <w:r w:rsidRPr="003156E8">
        <w:rPr>
          <w:lang w:val="fr-FR"/>
        </w:rPr>
        <w:t xml:space="preserve"> Cette autorisation précis</w:t>
      </w:r>
      <w:r>
        <w:rPr>
          <w:lang w:val="fr-FR"/>
        </w:rPr>
        <w:t>e</w:t>
      </w:r>
      <w:r w:rsidRPr="003156E8">
        <w:rPr>
          <w:lang w:val="fr-FR"/>
        </w:rPr>
        <w:t xml:space="preserve"> quand</w:t>
      </w:r>
      <w:r>
        <w:rPr>
          <w:lang w:val="fr-FR"/>
        </w:rPr>
        <w:t>,</w:t>
      </w:r>
      <w:r w:rsidRPr="003156E8">
        <w:rPr>
          <w:lang w:val="fr-FR"/>
        </w:rPr>
        <w:t xml:space="preserve"> où </w:t>
      </w:r>
      <w:r>
        <w:rPr>
          <w:lang w:val="fr-FR"/>
        </w:rPr>
        <w:t xml:space="preserve">et dans quelles conditions </w:t>
      </w:r>
      <w:r w:rsidRPr="003156E8">
        <w:rPr>
          <w:lang w:val="fr-FR"/>
        </w:rPr>
        <w:t>l</w:t>
      </w:r>
      <w:r>
        <w:rPr>
          <w:lang w:val="fr-FR"/>
        </w:rPr>
        <w:t>’</w:t>
      </w:r>
      <w:r w:rsidRPr="003156E8">
        <w:rPr>
          <w:lang w:val="fr-FR"/>
        </w:rPr>
        <w:t>activité pourra se dérouler</w:t>
      </w:r>
      <w:r w:rsidR="00244AED" w:rsidRPr="00244AED">
        <w:rPr>
          <w:lang w:val="fr-FR"/>
        </w:rPr>
        <w:t>.</w:t>
      </w:r>
    </w:p>
    <w:p w14:paraId="6C40154C" w14:textId="618C6F4A" w:rsidR="00F30B21" w:rsidRPr="003156E8" w:rsidRDefault="00F30B21" w:rsidP="00F30B21">
      <w:pPr>
        <w:pStyle w:val="SingleTxtG"/>
        <w:rPr>
          <w:lang w:val="fr-FR"/>
        </w:rPr>
      </w:pPr>
      <w:r w:rsidRPr="003156E8">
        <w:rPr>
          <w:color w:val="000000" w:themeColor="text1"/>
          <w:lang w:val="fr-FR"/>
        </w:rPr>
        <w:lastRenderedPageBreak/>
        <w:t>109</w:t>
      </w:r>
      <w:r w:rsidR="00244AED" w:rsidRPr="00244AED">
        <w:rPr>
          <w:color w:val="000000" w:themeColor="text1"/>
          <w:lang w:val="fr-FR"/>
        </w:rPr>
        <w:t>.</w:t>
      </w:r>
      <w:r w:rsidRPr="003156E8">
        <w:rPr>
          <w:color w:val="000000" w:themeColor="text1"/>
          <w:lang w:val="fr-FR"/>
        </w:rPr>
        <w:tab/>
      </w:r>
      <w:r w:rsidRPr="003156E8">
        <w:rPr>
          <w:lang w:val="fr-FR"/>
        </w:rPr>
        <w:t>La loi garantit aux requérants le droit de faire appel de toute décision prise par la première autorité civile de la juridiction compétente, lorsqu</w:t>
      </w:r>
      <w:r>
        <w:rPr>
          <w:lang w:val="fr-FR"/>
        </w:rPr>
        <w:t>’</w:t>
      </w:r>
      <w:r w:rsidRPr="003156E8">
        <w:rPr>
          <w:lang w:val="fr-FR"/>
        </w:rPr>
        <w:t>ils considèrent que cette décision est injustifiée</w:t>
      </w:r>
      <w:r w:rsidR="00244AED" w:rsidRPr="00244AED">
        <w:rPr>
          <w:lang w:val="fr-FR"/>
        </w:rPr>
        <w:t>.</w:t>
      </w:r>
      <w:r w:rsidRPr="003156E8">
        <w:rPr>
          <w:lang w:val="fr-FR"/>
        </w:rPr>
        <w:t xml:space="preserve"> Ce recours doit être tranché dans un délai de quarante-huit heures</w:t>
      </w:r>
      <w:r w:rsidR="00244AED" w:rsidRPr="00244AED">
        <w:rPr>
          <w:lang w:val="fr-FR"/>
        </w:rPr>
        <w:t>.</w:t>
      </w:r>
      <w:r w:rsidRPr="003156E8">
        <w:rPr>
          <w:lang w:val="fr-FR"/>
        </w:rPr>
        <w:t xml:space="preserve"> Le ou les requérant(s) peuvent former un recours en annulation de cette décision devant la chambre politico-administrative de la Cour suprême de justice</w:t>
      </w:r>
      <w:r w:rsidR="00244AED" w:rsidRPr="00244AED">
        <w:rPr>
          <w:lang w:val="fr-FR"/>
        </w:rPr>
        <w:t>.</w:t>
      </w:r>
    </w:p>
    <w:p w14:paraId="717DE411" w14:textId="53C573DE" w:rsidR="00F30B21" w:rsidRPr="003156E8" w:rsidRDefault="00F30B21" w:rsidP="00F30B21">
      <w:pPr>
        <w:pStyle w:val="SingleTxtG"/>
        <w:rPr>
          <w:lang w:val="fr-FR"/>
        </w:rPr>
      </w:pPr>
      <w:r w:rsidRPr="003156E8">
        <w:rPr>
          <w:lang w:val="fr-FR"/>
        </w:rPr>
        <w:t>110</w:t>
      </w:r>
      <w:r w:rsidR="00244AED" w:rsidRPr="00244AED">
        <w:rPr>
          <w:lang w:val="fr-FR"/>
        </w:rPr>
        <w:t>.</w:t>
      </w:r>
      <w:r w:rsidRPr="003156E8">
        <w:rPr>
          <w:lang w:val="fr-FR"/>
        </w:rPr>
        <w:tab/>
        <w:t>La loi dispose également qu</w:t>
      </w:r>
      <w:r>
        <w:rPr>
          <w:lang w:val="fr-FR"/>
        </w:rPr>
        <w:t>’</w:t>
      </w:r>
      <w:r w:rsidRPr="003156E8">
        <w:rPr>
          <w:lang w:val="fr-FR"/>
        </w:rPr>
        <w:t>il appartient à la première autorité civile de déterminer périodiquement, par des décisions publiées dans les journaux officiels concernés, les lieux où aucune réunion publique ou manifestation ne pourra se tenir, en ayant préalablement entendu l</w:t>
      </w:r>
      <w:r>
        <w:rPr>
          <w:lang w:val="fr-FR"/>
        </w:rPr>
        <w:t>’</w:t>
      </w:r>
      <w:r w:rsidRPr="003156E8">
        <w:rPr>
          <w:lang w:val="fr-FR"/>
        </w:rPr>
        <w:t>avis des partis</w:t>
      </w:r>
      <w:r w:rsidR="00244AED" w:rsidRPr="00244AED">
        <w:rPr>
          <w:lang w:val="fr-FR"/>
        </w:rPr>
        <w:t>.</w:t>
      </w:r>
      <w:r w:rsidRPr="003156E8">
        <w:rPr>
          <w:lang w:val="fr-FR"/>
        </w:rPr>
        <w:t xml:space="preserve"> Les dispositions de la loi organique relative aux élections doivent être appliquées en priorité lors des processus électoraux</w:t>
      </w:r>
      <w:r w:rsidR="00244AED" w:rsidRPr="00244AED">
        <w:rPr>
          <w:lang w:val="fr-FR"/>
        </w:rPr>
        <w:t>.</w:t>
      </w:r>
    </w:p>
    <w:p w14:paraId="05A349E7" w14:textId="214F872F" w:rsidR="00F30B21" w:rsidRPr="003156E8" w:rsidRDefault="00F30B21" w:rsidP="00F30B21">
      <w:pPr>
        <w:pStyle w:val="SingleTxtG"/>
        <w:rPr>
          <w:lang w:val="fr-FR"/>
        </w:rPr>
      </w:pPr>
      <w:r w:rsidRPr="003156E8">
        <w:rPr>
          <w:lang w:val="fr-FR"/>
        </w:rPr>
        <w:t>111</w:t>
      </w:r>
      <w:r w:rsidR="00244AED" w:rsidRPr="00244AED">
        <w:rPr>
          <w:lang w:val="fr-FR"/>
        </w:rPr>
        <w:t>.</w:t>
      </w:r>
      <w:r w:rsidRPr="003156E8">
        <w:rPr>
          <w:lang w:val="fr-FR"/>
        </w:rPr>
        <w:tab/>
        <w:t>En avril 2014, la chambre constitutionnelle de la Cour suprême de justice a statué sur le recours en interprétation de l</w:t>
      </w:r>
      <w:r>
        <w:rPr>
          <w:lang w:val="fr-FR"/>
        </w:rPr>
        <w:t>’</w:t>
      </w:r>
      <w:r w:rsidRPr="003156E8">
        <w:rPr>
          <w:lang w:val="fr-FR"/>
        </w:rPr>
        <w:t>article 68 de la Constitution et des articles 41, 43, 44, 46 et</w:t>
      </w:r>
      <w:r w:rsidR="0030329D">
        <w:rPr>
          <w:lang w:val="fr-FR"/>
        </w:rPr>
        <w:t> </w:t>
      </w:r>
      <w:r w:rsidRPr="003156E8">
        <w:rPr>
          <w:lang w:val="fr-FR"/>
        </w:rPr>
        <w:t>50 de la loi de réforme partielle de la loi relative aux partis politiques, aux réunions publiques et aux manifestations</w:t>
      </w:r>
      <w:r w:rsidR="00244AED" w:rsidRPr="00244AED">
        <w:rPr>
          <w:lang w:val="fr-FR"/>
        </w:rPr>
        <w:t>.</w:t>
      </w:r>
      <w:r w:rsidRPr="003156E8">
        <w:rPr>
          <w:lang w:val="fr-FR"/>
        </w:rPr>
        <w:t xml:space="preserve"> La Cour a jugé que l</w:t>
      </w:r>
      <w:r>
        <w:rPr>
          <w:lang w:val="fr-FR"/>
        </w:rPr>
        <w:t>’</w:t>
      </w:r>
      <w:r w:rsidRPr="003156E8">
        <w:rPr>
          <w:lang w:val="fr-FR"/>
        </w:rPr>
        <w:t>exercice du droit de manifester ne peut être restreint que pour protéger d</w:t>
      </w:r>
      <w:r>
        <w:rPr>
          <w:lang w:val="fr-FR"/>
        </w:rPr>
        <w:t>’</w:t>
      </w:r>
      <w:r w:rsidRPr="003156E8">
        <w:rPr>
          <w:lang w:val="fr-FR"/>
        </w:rPr>
        <w:t>autres droits tels que les droits à la vie, à la santé, à l</w:t>
      </w:r>
      <w:r>
        <w:rPr>
          <w:lang w:val="fr-FR"/>
        </w:rPr>
        <w:t>’</w:t>
      </w:r>
      <w:r w:rsidRPr="003156E8">
        <w:rPr>
          <w:lang w:val="fr-FR"/>
        </w:rPr>
        <w:t>éducation, voire à la liberté de circulation</w:t>
      </w:r>
      <w:r w:rsidR="00244AED" w:rsidRPr="00244AED">
        <w:rPr>
          <w:lang w:val="fr-FR"/>
        </w:rPr>
        <w:t>.</w:t>
      </w:r>
    </w:p>
    <w:p w14:paraId="6456E1C8" w14:textId="5AACE678" w:rsidR="00F30B21" w:rsidRPr="003156E8" w:rsidRDefault="00F30B21" w:rsidP="00F30B21">
      <w:pPr>
        <w:pStyle w:val="SingleTxtG"/>
        <w:rPr>
          <w:lang w:val="fr-FR"/>
        </w:rPr>
      </w:pPr>
      <w:r w:rsidRPr="003156E8">
        <w:rPr>
          <w:lang w:val="fr-FR"/>
        </w:rPr>
        <w:t>112</w:t>
      </w:r>
      <w:r w:rsidR="00244AED" w:rsidRPr="00244AED">
        <w:rPr>
          <w:lang w:val="fr-FR"/>
        </w:rPr>
        <w:t>.</w:t>
      </w:r>
      <w:r w:rsidRPr="003156E8">
        <w:rPr>
          <w:lang w:val="fr-FR"/>
        </w:rPr>
        <w:tab/>
        <w:t>Entre 2012 et 2018, le bureau du Défenseur du peuple a reçu 53 plaintes pour violation présumée des droits de réunion et de manifestation pacifique</w:t>
      </w:r>
      <w:r w:rsidR="00244AED" w:rsidRPr="00244AED">
        <w:rPr>
          <w:lang w:val="fr-FR"/>
        </w:rPr>
        <w:t>.</w:t>
      </w:r>
    </w:p>
    <w:p w14:paraId="09ECF279" w14:textId="2F1A163E" w:rsidR="00F30B21" w:rsidRPr="003156E8" w:rsidRDefault="00F30B21" w:rsidP="00F30B21">
      <w:pPr>
        <w:pStyle w:val="H23G"/>
      </w:pPr>
      <w:r w:rsidRPr="003156E8">
        <w:rPr>
          <w:b w:val="0"/>
          <w:lang w:val="fr-FR"/>
        </w:rPr>
        <w:tab/>
      </w:r>
      <w:r w:rsidRPr="003156E8">
        <w:rPr>
          <w:b w:val="0"/>
          <w:lang w:val="fr-FR"/>
        </w:rPr>
        <w:tab/>
      </w:r>
      <w:r w:rsidRPr="0030329D">
        <w:rPr>
          <w:b w:val="0"/>
          <w:lang w:val="fr-FR"/>
        </w:rPr>
        <w:t>Tableau IV</w:t>
      </w:r>
      <w:r w:rsidR="0030329D" w:rsidRPr="0030329D">
        <w:rPr>
          <w:b w:val="0"/>
          <w:lang w:val="fr-FR"/>
        </w:rPr>
        <w:t xml:space="preserve"> </w:t>
      </w:r>
      <w:r w:rsidR="0030329D" w:rsidRPr="0030329D">
        <w:rPr>
          <w:b w:val="0"/>
          <w:lang w:val="fr-FR"/>
        </w:rPr>
        <w:br/>
      </w:r>
      <w:r w:rsidRPr="003156E8">
        <w:rPr>
          <w:bCs/>
          <w:lang w:val="fr-FR"/>
        </w:rPr>
        <w:t>Plaintes pour violation présumée du droit de réunion et de manifestation</w:t>
      </w:r>
      <w:r w:rsidR="0030329D">
        <w:rPr>
          <w:bCs/>
          <w:lang w:val="fr-FR"/>
        </w:rPr>
        <w:t xml:space="preserve"> </w:t>
      </w:r>
      <w:r w:rsidR="0030329D">
        <w:rPr>
          <w:bCs/>
          <w:lang w:val="fr-FR"/>
        </w:rPr>
        <w:br/>
      </w:r>
      <w:r w:rsidRPr="003156E8">
        <w:rPr>
          <w:b w:val="0"/>
          <w:lang w:val="fr-FR"/>
        </w:rPr>
        <w:tab/>
      </w:r>
      <w:r w:rsidRPr="003156E8">
        <w:rPr>
          <w:bCs/>
        </w:rPr>
        <w:t>Bureau du Défenseur du peuple</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381"/>
        <w:gridCol w:w="3515"/>
      </w:tblGrid>
      <w:tr w:rsidR="00F30B21" w:rsidRPr="003156E8" w14:paraId="58A8725F" w14:textId="77777777" w:rsidTr="001C3BF4">
        <w:trPr>
          <w:trHeight w:val="240"/>
          <w:tblHeader/>
        </w:trPr>
        <w:tc>
          <w:tcPr>
            <w:tcW w:w="1474" w:type="dxa"/>
            <w:tcBorders>
              <w:top w:val="single" w:sz="4" w:space="0" w:color="auto"/>
              <w:bottom w:val="single" w:sz="12" w:space="0" w:color="auto"/>
            </w:tcBorders>
            <w:shd w:val="clear" w:color="auto" w:fill="auto"/>
            <w:vAlign w:val="bottom"/>
          </w:tcPr>
          <w:p w14:paraId="621EBA1C" w14:textId="77777777" w:rsidR="00F30B21" w:rsidRPr="003156E8" w:rsidRDefault="00F30B21" w:rsidP="001C3BF4">
            <w:pPr>
              <w:spacing w:before="80" w:after="80" w:line="200" w:lineRule="exact"/>
              <w:rPr>
                <w:i/>
                <w:sz w:val="16"/>
              </w:rPr>
            </w:pPr>
            <w:r w:rsidRPr="003156E8">
              <w:rPr>
                <w:i/>
                <w:iCs/>
                <w:sz w:val="16"/>
              </w:rPr>
              <w:t xml:space="preserve">Année </w:t>
            </w:r>
          </w:p>
        </w:tc>
        <w:tc>
          <w:tcPr>
            <w:tcW w:w="2381" w:type="dxa"/>
            <w:tcBorders>
              <w:top w:val="single" w:sz="4" w:space="0" w:color="auto"/>
              <w:bottom w:val="single" w:sz="12" w:space="0" w:color="auto"/>
            </w:tcBorders>
            <w:shd w:val="clear" w:color="auto" w:fill="auto"/>
            <w:vAlign w:val="bottom"/>
          </w:tcPr>
          <w:p w14:paraId="4FD6C02D" w14:textId="77777777" w:rsidR="00F30B21" w:rsidRPr="003156E8" w:rsidRDefault="00F30B21" w:rsidP="001C3BF4">
            <w:pPr>
              <w:spacing w:before="80" w:after="80" w:line="200" w:lineRule="exact"/>
              <w:ind w:left="113"/>
              <w:jc w:val="right"/>
              <w:rPr>
                <w:i/>
                <w:sz w:val="16"/>
              </w:rPr>
            </w:pPr>
            <w:r w:rsidRPr="003156E8">
              <w:rPr>
                <w:i/>
                <w:iCs/>
                <w:sz w:val="16"/>
              </w:rPr>
              <w:t>Droit de réunion</w:t>
            </w:r>
          </w:p>
        </w:tc>
        <w:tc>
          <w:tcPr>
            <w:tcW w:w="3515" w:type="dxa"/>
            <w:tcBorders>
              <w:top w:val="single" w:sz="4" w:space="0" w:color="auto"/>
              <w:bottom w:val="single" w:sz="12" w:space="0" w:color="auto"/>
            </w:tcBorders>
            <w:shd w:val="clear" w:color="auto" w:fill="auto"/>
            <w:vAlign w:val="bottom"/>
          </w:tcPr>
          <w:p w14:paraId="7C976FC9" w14:textId="77777777" w:rsidR="00F30B21" w:rsidRPr="003156E8" w:rsidRDefault="00F30B21" w:rsidP="001C3BF4">
            <w:pPr>
              <w:spacing w:before="80" w:after="80" w:line="200" w:lineRule="exact"/>
              <w:ind w:left="113"/>
              <w:jc w:val="right"/>
              <w:rPr>
                <w:i/>
                <w:sz w:val="16"/>
              </w:rPr>
            </w:pPr>
            <w:r w:rsidRPr="003156E8">
              <w:rPr>
                <w:i/>
                <w:iCs/>
                <w:sz w:val="16"/>
              </w:rPr>
              <w:t>Droit de manifestation</w:t>
            </w:r>
          </w:p>
        </w:tc>
      </w:tr>
      <w:tr w:rsidR="00F30B21" w:rsidRPr="003156E8" w14:paraId="64DD6A04" w14:textId="77777777" w:rsidTr="001C3BF4">
        <w:trPr>
          <w:trHeight w:val="240"/>
        </w:trPr>
        <w:tc>
          <w:tcPr>
            <w:tcW w:w="1474" w:type="dxa"/>
            <w:shd w:val="clear" w:color="auto" w:fill="auto"/>
          </w:tcPr>
          <w:p w14:paraId="585AF87E" w14:textId="77777777" w:rsidR="00F30B21" w:rsidRPr="003156E8" w:rsidRDefault="00F30B21" w:rsidP="001C3BF4">
            <w:pPr>
              <w:spacing w:before="40" w:after="40" w:line="220" w:lineRule="exact"/>
              <w:rPr>
                <w:sz w:val="18"/>
              </w:rPr>
            </w:pPr>
            <w:r w:rsidRPr="003156E8">
              <w:rPr>
                <w:sz w:val="18"/>
              </w:rPr>
              <w:t>2012</w:t>
            </w:r>
          </w:p>
        </w:tc>
        <w:tc>
          <w:tcPr>
            <w:tcW w:w="2381" w:type="dxa"/>
            <w:shd w:val="clear" w:color="auto" w:fill="auto"/>
            <w:vAlign w:val="bottom"/>
          </w:tcPr>
          <w:p w14:paraId="34FBEF1D" w14:textId="77777777" w:rsidR="00F30B21" w:rsidRPr="003156E8" w:rsidRDefault="00F30B21" w:rsidP="001C3BF4">
            <w:pPr>
              <w:spacing w:before="40" w:after="40" w:line="220" w:lineRule="exact"/>
              <w:ind w:left="113"/>
              <w:jc w:val="right"/>
              <w:rPr>
                <w:sz w:val="18"/>
              </w:rPr>
            </w:pPr>
            <w:r w:rsidRPr="003156E8">
              <w:rPr>
                <w:sz w:val="18"/>
              </w:rPr>
              <w:t>3</w:t>
            </w:r>
          </w:p>
        </w:tc>
        <w:tc>
          <w:tcPr>
            <w:tcW w:w="3515" w:type="dxa"/>
            <w:shd w:val="clear" w:color="auto" w:fill="auto"/>
            <w:vAlign w:val="bottom"/>
          </w:tcPr>
          <w:p w14:paraId="4010F03F" w14:textId="77777777" w:rsidR="00F30B21" w:rsidRPr="003156E8" w:rsidRDefault="00F30B21" w:rsidP="001C3BF4">
            <w:pPr>
              <w:spacing w:before="40" w:after="40" w:line="220" w:lineRule="exact"/>
              <w:ind w:left="113"/>
              <w:jc w:val="right"/>
              <w:rPr>
                <w:sz w:val="18"/>
              </w:rPr>
            </w:pPr>
            <w:r w:rsidRPr="003156E8">
              <w:rPr>
                <w:sz w:val="18"/>
              </w:rPr>
              <w:t>5</w:t>
            </w:r>
          </w:p>
        </w:tc>
      </w:tr>
      <w:tr w:rsidR="00F30B21" w:rsidRPr="003156E8" w14:paraId="73AABB43" w14:textId="77777777" w:rsidTr="001C3BF4">
        <w:trPr>
          <w:trHeight w:val="240"/>
        </w:trPr>
        <w:tc>
          <w:tcPr>
            <w:tcW w:w="1474" w:type="dxa"/>
            <w:shd w:val="clear" w:color="auto" w:fill="auto"/>
          </w:tcPr>
          <w:p w14:paraId="1D390016" w14:textId="77777777" w:rsidR="00F30B21" w:rsidRPr="003156E8" w:rsidRDefault="00F30B21" w:rsidP="001C3BF4">
            <w:pPr>
              <w:spacing w:before="40" w:after="40" w:line="220" w:lineRule="exact"/>
              <w:rPr>
                <w:sz w:val="18"/>
              </w:rPr>
            </w:pPr>
            <w:r w:rsidRPr="003156E8">
              <w:rPr>
                <w:sz w:val="18"/>
              </w:rPr>
              <w:t>2013</w:t>
            </w:r>
          </w:p>
        </w:tc>
        <w:tc>
          <w:tcPr>
            <w:tcW w:w="2381" w:type="dxa"/>
            <w:shd w:val="clear" w:color="auto" w:fill="auto"/>
            <w:vAlign w:val="bottom"/>
          </w:tcPr>
          <w:p w14:paraId="2EC4FD4C" w14:textId="77777777" w:rsidR="00F30B21" w:rsidRPr="003156E8" w:rsidRDefault="00F30B21" w:rsidP="001C3BF4">
            <w:pPr>
              <w:spacing w:before="40" w:after="40" w:line="220" w:lineRule="exact"/>
              <w:ind w:left="113"/>
              <w:jc w:val="right"/>
              <w:rPr>
                <w:sz w:val="18"/>
              </w:rPr>
            </w:pPr>
            <w:r w:rsidRPr="003156E8">
              <w:rPr>
                <w:sz w:val="18"/>
              </w:rPr>
              <w:t>2</w:t>
            </w:r>
          </w:p>
        </w:tc>
        <w:tc>
          <w:tcPr>
            <w:tcW w:w="3515" w:type="dxa"/>
            <w:shd w:val="clear" w:color="auto" w:fill="auto"/>
            <w:vAlign w:val="bottom"/>
          </w:tcPr>
          <w:p w14:paraId="56361404" w14:textId="77777777" w:rsidR="00F30B21" w:rsidRPr="003156E8" w:rsidRDefault="00F30B21" w:rsidP="001C3BF4">
            <w:pPr>
              <w:spacing w:before="40" w:after="40" w:line="220" w:lineRule="exact"/>
              <w:ind w:left="113"/>
              <w:jc w:val="right"/>
              <w:rPr>
                <w:sz w:val="18"/>
              </w:rPr>
            </w:pPr>
            <w:r w:rsidRPr="003156E8">
              <w:rPr>
                <w:sz w:val="18"/>
              </w:rPr>
              <w:t>1</w:t>
            </w:r>
          </w:p>
        </w:tc>
      </w:tr>
      <w:tr w:rsidR="00F30B21" w:rsidRPr="003156E8" w14:paraId="22E90040" w14:textId="77777777" w:rsidTr="001C3BF4">
        <w:trPr>
          <w:trHeight w:val="240"/>
        </w:trPr>
        <w:tc>
          <w:tcPr>
            <w:tcW w:w="1474" w:type="dxa"/>
            <w:shd w:val="clear" w:color="auto" w:fill="auto"/>
          </w:tcPr>
          <w:p w14:paraId="77DEE310" w14:textId="77777777" w:rsidR="00F30B21" w:rsidRPr="003156E8" w:rsidRDefault="00F30B21" w:rsidP="001C3BF4">
            <w:pPr>
              <w:spacing w:before="40" w:after="40" w:line="220" w:lineRule="exact"/>
              <w:rPr>
                <w:sz w:val="18"/>
              </w:rPr>
            </w:pPr>
            <w:r w:rsidRPr="003156E8">
              <w:rPr>
                <w:sz w:val="18"/>
              </w:rPr>
              <w:t>2014</w:t>
            </w:r>
          </w:p>
        </w:tc>
        <w:tc>
          <w:tcPr>
            <w:tcW w:w="2381" w:type="dxa"/>
            <w:shd w:val="clear" w:color="auto" w:fill="auto"/>
            <w:vAlign w:val="bottom"/>
          </w:tcPr>
          <w:p w14:paraId="3CB9C20B" w14:textId="77777777" w:rsidR="00F30B21" w:rsidRPr="003156E8" w:rsidRDefault="00F30B21" w:rsidP="001C3BF4">
            <w:pPr>
              <w:spacing w:before="40" w:after="40" w:line="220" w:lineRule="exact"/>
              <w:ind w:left="113"/>
              <w:jc w:val="right"/>
              <w:rPr>
                <w:sz w:val="18"/>
              </w:rPr>
            </w:pPr>
            <w:r w:rsidRPr="003156E8">
              <w:rPr>
                <w:sz w:val="18"/>
              </w:rPr>
              <w:t>-</w:t>
            </w:r>
          </w:p>
        </w:tc>
        <w:tc>
          <w:tcPr>
            <w:tcW w:w="3515" w:type="dxa"/>
            <w:shd w:val="clear" w:color="auto" w:fill="auto"/>
            <w:vAlign w:val="bottom"/>
          </w:tcPr>
          <w:p w14:paraId="3D55E2C2" w14:textId="77777777" w:rsidR="00F30B21" w:rsidRPr="003156E8" w:rsidRDefault="00F30B21" w:rsidP="001C3BF4">
            <w:pPr>
              <w:spacing w:before="40" w:after="40" w:line="220" w:lineRule="exact"/>
              <w:ind w:left="113"/>
              <w:jc w:val="right"/>
              <w:rPr>
                <w:sz w:val="18"/>
              </w:rPr>
            </w:pPr>
            <w:r w:rsidRPr="003156E8">
              <w:rPr>
                <w:sz w:val="18"/>
              </w:rPr>
              <w:t>6</w:t>
            </w:r>
          </w:p>
        </w:tc>
      </w:tr>
      <w:tr w:rsidR="00F30B21" w:rsidRPr="003156E8" w14:paraId="53D8E8F0" w14:textId="77777777" w:rsidTr="001C3BF4">
        <w:trPr>
          <w:trHeight w:val="240"/>
        </w:trPr>
        <w:tc>
          <w:tcPr>
            <w:tcW w:w="1474" w:type="dxa"/>
            <w:shd w:val="clear" w:color="auto" w:fill="auto"/>
          </w:tcPr>
          <w:p w14:paraId="5FBB4D92" w14:textId="77777777" w:rsidR="00F30B21" w:rsidRPr="003156E8" w:rsidRDefault="00F30B21" w:rsidP="001C3BF4">
            <w:pPr>
              <w:spacing w:before="40" w:after="40" w:line="220" w:lineRule="exact"/>
              <w:rPr>
                <w:sz w:val="18"/>
              </w:rPr>
            </w:pPr>
            <w:r w:rsidRPr="003156E8">
              <w:rPr>
                <w:sz w:val="18"/>
              </w:rPr>
              <w:t>2015</w:t>
            </w:r>
          </w:p>
        </w:tc>
        <w:tc>
          <w:tcPr>
            <w:tcW w:w="2381" w:type="dxa"/>
            <w:shd w:val="clear" w:color="auto" w:fill="auto"/>
            <w:vAlign w:val="bottom"/>
          </w:tcPr>
          <w:p w14:paraId="2F9BCE54" w14:textId="77777777" w:rsidR="00F30B21" w:rsidRPr="003156E8" w:rsidRDefault="00F30B21" w:rsidP="001C3BF4">
            <w:pPr>
              <w:spacing w:before="40" w:after="40" w:line="220" w:lineRule="exact"/>
              <w:ind w:left="113"/>
              <w:jc w:val="right"/>
              <w:rPr>
                <w:sz w:val="18"/>
              </w:rPr>
            </w:pPr>
            <w:r w:rsidRPr="003156E8">
              <w:rPr>
                <w:sz w:val="18"/>
              </w:rPr>
              <w:t>-</w:t>
            </w:r>
          </w:p>
        </w:tc>
        <w:tc>
          <w:tcPr>
            <w:tcW w:w="3515" w:type="dxa"/>
            <w:shd w:val="clear" w:color="auto" w:fill="auto"/>
            <w:vAlign w:val="bottom"/>
          </w:tcPr>
          <w:p w14:paraId="074742C3" w14:textId="77777777" w:rsidR="00F30B21" w:rsidRPr="003156E8" w:rsidRDefault="00F30B21" w:rsidP="001C3BF4">
            <w:pPr>
              <w:spacing w:before="40" w:after="40" w:line="220" w:lineRule="exact"/>
              <w:ind w:left="113"/>
              <w:jc w:val="right"/>
              <w:rPr>
                <w:sz w:val="18"/>
              </w:rPr>
            </w:pPr>
            <w:r w:rsidRPr="003156E8">
              <w:rPr>
                <w:sz w:val="18"/>
              </w:rPr>
              <w:t>6</w:t>
            </w:r>
          </w:p>
        </w:tc>
      </w:tr>
      <w:tr w:rsidR="00F30B21" w:rsidRPr="003156E8" w14:paraId="4BB05FBE" w14:textId="77777777" w:rsidTr="001C3BF4">
        <w:trPr>
          <w:trHeight w:val="240"/>
        </w:trPr>
        <w:tc>
          <w:tcPr>
            <w:tcW w:w="1474" w:type="dxa"/>
            <w:shd w:val="clear" w:color="auto" w:fill="auto"/>
          </w:tcPr>
          <w:p w14:paraId="436D1E92" w14:textId="77777777" w:rsidR="00F30B21" w:rsidRPr="003156E8" w:rsidRDefault="00F30B21" w:rsidP="001C3BF4">
            <w:pPr>
              <w:spacing w:before="40" w:after="40" w:line="220" w:lineRule="exact"/>
              <w:rPr>
                <w:sz w:val="18"/>
              </w:rPr>
            </w:pPr>
            <w:r w:rsidRPr="003156E8">
              <w:rPr>
                <w:sz w:val="18"/>
              </w:rPr>
              <w:t>2016</w:t>
            </w:r>
          </w:p>
        </w:tc>
        <w:tc>
          <w:tcPr>
            <w:tcW w:w="2381" w:type="dxa"/>
            <w:shd w:val="clear" w:color="auto" w:fill="auto"/>
            <w:vAlign w:val="bottom"/>
          </w:tcPr>
          <w:p w14:paraId="4C3AA9A5" w14:textId="77777777" w:rsidR="00F30B21" w:rsidRPr="003156E8" w:rsidRDefault="00F30B21" w:rsidP="001C3BF4">
            <w:pPr>
              <w:spacing w:before="40" w:after="40" w:line="220" w:lineRule="exact"/>
              <w:ind w:left="113"/>
              <w:jc w:val="right"/>
              <w:rPr>
                <w:sz w:val="18"/>
              </w:rPr>
            </w:pPr>
            <w:r w:rsidRPr="003156E8">
              <w:rPr>
                <w:sz w:val="18"/>
              </w:rPr>
              <w:t>2</w:t>
            </w:r>
          </w:p>
        </w:tc>
        <w:tc>
          <w:tcPr>
            <w:tcW w:w="3515" w:type="dxa"/>
            <w:shd w:val="clear" w:color="auto" w:fill="auto"/>
            <w:vAlign w:val="bottom"/>
          </w:tcPr>
          <w:p w14:paraId="018AFA48" w14:textId="77777777" w:rsidR="00F30B21" w:rsidRPr="003156E8" w:rsidRDefault="00F30B21" w:rsidP="001C3BF4">
            <w:pPr>
              <w:spacing w:before="40" w:after="40" w:line="220" w:lineRule="exact"/>
              <w:ind w:left="113"/>
              <w:jc w:val="right"/>
              <w:rPr>
                <w:sz w:val="18"/>
              </w:rPr>
            </w:pPr>
            <w:r w:rsidRPr="003156E8">
              <w:rPr>
                <w:sz w:val="18"/>
              </w:rPr>
              <w:t>2</w:t>
            </w:r>
          </w:p>
        </w:tc>
      </w:tr>
      <w:tr w:rsidR="00F30B21" w:rsidRPr="003156E8" w14:paraId="49B9A990" w14:textId="77777777" w:rsidTr="001C3BF4">
        <w:trPr>
          <w:trHeight w:val="240"/>
        </w:trPr>
        <w:tc>
          <w:tcPr>
            <w:tcW w:w="1474" w:type="dxa"/>
            <w:shd w:val="clear" w:color="auto" w:fill="auto"/>
          </w:tcPr>
          <w:p w14:paraId="4855CFB8" w14:textId="77777777" w:rsidR="00F30B21" w:rsidRPr="003156E8" w:rsidRDefault="00F30B21" w:rsidP="001C3BF4">
            <w:pPr>
              <w:spacing w:before="40" w:after="40" w:line="220" w:lineRule="exact"/>
              <w:rPr>
                <w:sz w:val="18"/>
              </w:rPr>
            </w:pPr>
            <w:r w:rsidRPr="003156E8">
              <w:rPr>
                <w:sz w:val="18"/>
              </w:rPr>
              <w:t>2017</w:t>
            </w:r>
          </w:p>
        </w:tc>
        <w:tc>
          <w:tcPr>
            <w:tcW w:w="2381" w:type="dxa"/>
            <w:shd w:val="clear" w:color="auto" w:fill="auto"/>
            <w:vAlign w:val="bottom"/>
          </w:tcPr>
          <w:p w14:paraId="1F0EA707" w14:textId="77777777" w:rsidR="00F30B21" w:rsidRPr="003156E8" w:rsidRDefault="00F30B21" w:rsidP="001C3BF4">
            <w:pPr>
              <w:spacing w:before="40" w:after="40" w:line="220" w:lineRule="exact"/>
              <w:ind w:left="113"/>
              <w:jc w:val="right"/>
              <w:rPr>
                <w:sz w:val="18"/>
              </w:rPr>
            </w:pPr>
            <w:r w:rsidRPr="003156E8">
              <w:rPr>
                <w:sz w:val="18"/>
              </w:rPr>
              <w:t>2</w:t>
            </w:r>
          </w:p>
        </w:tc>
        <w:tc>
          <w:tcPr>
            <w:tcW w:w="3515" w:type="dxa"/>
            <w:shd w:val="clear" w:color="auto" w:fill="auto"/>
            <w:vAlign w:val="bottom"/>
          </w:tcPr>
          <w:p w14:paraId="102A8193" w14:textId="77777777" w:rsidR="00F30B21" w:rsidRPr="003156E8" w:rsidRDefault="00F30B21" w:rsidP="001C3BF4">
            <w:pPr>
              <w:spacing w:before="40" w:after="40" w:line="220" w:lineRule="exact"/>
              <w:ind w:left="113"/>
              <w:jc w:val="right"/>
              <w:rPr>
                <w:sz w:val="18"/>
              </w:rPr>
            </w:pPr>
            <w:r w:rsidRPr="003156E8">
              <w:rPr>
                <w:sz w:val="18"/>
              </w:rPr>
              <w:t>21</w:t>
            </w:r>
          </w:p>
        </w:tc>
      </w:tr>
      <w:tr w:rsidR="00F30B21" w:rsidRPr="003156E8" w14:paraId="1DDE3F58" w14:textId="77777777" w:rsidTr="001C3BF4">
        <w:trPr>
          <w:trHeight w:val="240"/>
        </w:trPr>
        <w:tc>
          <w:tcPr>
            <w:tcW w:w="1474" w:type="dxa"/>
            <w:tcBorders>
              <w:bottom w:val="single" w:sz="4" w:space="0" w:color="auto"/>
            </w:tcBorders>
            <w:shd w:val="clear" w:color="auto" w:fill="auto"/>
          </w:tcPr>
          <w:p w14:paraId="72AAC5E3" w14:textId="77777777" w:rsidR="00F30B21" w:rsidRPr="003156E8" w:rsidRDefault="00F30B21" w:rsidP="001C3BF4">
            <w:pPr>
              <w:spacing w:before="40" w:after="40" w:line="220" w:lineRule="exact"/>
              <w:rPr>
                <w:sz w:val="18"/>
              </w:rPr>
            </w:pPr>
            <w:r w:rsidRPr="003156E8">
              <w:rPr>
                <w:sz w:val="18"/>
              </w:rPr>
              <w:t>2018</w:t>
            </w:r>
          </w:p>
        </w:tc>
        <w:tc>
          <w:tcPr>
            <w:tcW w:w="2381" w:type="dxa"/>
            <w:tcBorders>
              <w:bottom w:val="single" w:sz="4" w:space="0" w:color="auto"/>
            </w:tcBorders>
            <w:shd w:val="clear" w:color="auto" w:fill="auto"/>
            <w:vAlign w:val="bottom"/>
          </w:tcPr>
          <w:p w14:paraId="1C7687BC" w14:textId="77777777" w:rsidR="00F30B21" w:rsidRPr="003156E8" w:rsidRDefault="00F30B21" w:rsidP="001C3BF4">
            <w:pPr>
              <w:spacing w:before="40" w:after="40" w:line="220" w:lineRule="exact"/>
              <w:ind w:left="113"/>
              <w:jc w:val="right"/>
              <w:rPr>
                <w:sz w:val="18"/>
              </w:rPr>
            </w:pPr>
            <w:r w:rsidRPr="003156E8">
              <w:rPr>
                <w:sz w:val="18"/>
              </w:rPr>
              <w:t>1</w:t>
            </w:r>
          </w:p>
        </w:tc>
        <w:tc>
          <w:tcPr>
            <w:tcW w:w="3515" w:type="dxa"/>
            <w:tcBorders>
              <w:bottom w:val="single" w:sz="4" w:space="0" w:color="auto"/>
            </w:tcBorders>
            <w:shd w:val="clear" w:color="auto" w:fill="auto"/>
            <w:vAlign w:val="bottom"/>
          </w:tcPr>
          <w:p w14:paraId="0A41EAED" w14:textId="77777777" w:rsidR="00F30B21" w:rsidRPr="003156E8" w:rsidRDefault="00F30B21" w:rsidP="001C3BF4">
            <w:pPr>
              <w:spacing w:before="40" w:after="40" w:line="220" w:lineRule="exact"/>
              <w:ind w:left="113"/>
              <w:jc w:val="right"/>
              <w:rPr>
                <w:sz w:val="18"/>
              </w:rPr>
            </w:pPr>
            <w:r w:rsidRPr="003156E8">
              <w:rPr>
                <w:sz w:val="18"/>
              </w:rPr>
              <w:t>2</w:t>
            </w:r>
          </w:p>
        </w:tc>
      </w:tr>
      <w:tr w:rsidR="00F30B21" w:rsidRPr="003156E8" w14:paraId="2E31FBDD" w14:textId="77777777" w:rsidTr="001C3BF4">
        <w:trPr>
          <w:trHeight w:val="240"/>
        </w:trPr>
        <w:tc>
          <w:tcPr>
            <w:tcW w:w="1474" w:type="dxa"/>
            <w:tcBorders>
              <w:top w:val="single" w:sz="4" w:space="0" w:color="auto"/>
              <w:bottom w:val="single" w:sz="12" w:space="0" w:color="auto"/>
            </w:tcBorders>
            <w:shd w:val="clear" w:color="auto" w:fill="auto"/>
          </w:tcPr>
          <w:p w14:paraId="7230E41D" w14:textId="77777777" w:rsidR="00F30B21" w:rsidRPr="003156E8" w:rsidRDefault="00F30B21" w:rsidP="001C3BF4">
            <w:pPr>
              <w:spacing w:before="80" w:after="80" w:line="220" w:lineRule="exact"/>
              <w:ind w:left="283"/>
              <w:rPr>
                <w:b/>
                <w:sz w:val="18"/>
              </w:rPr>
            </w:pPr>
            <w:r w:rsidRPr="003156E8">
              <w:rPr>
                <w:b/>
                <w:bCs/>
                <w:sz w:val="18"/>
              </w:rPr>
              <w:t>Total</w:t>
            </w:r>
          </w:p>
        </w:tc>
        <w:tc>
          <w:tcPr>
            <w:tcW w:w="2381" w:type="dxa"/>
            <w:tcBorders>
              <w:top w:val="single" w:sz="4" w:space="0" w:color="auto"/>
              <w:bottom w:val="single" w:sz="12" w:space="0" w:color="auto"/>
            </w:tcBorders>
            <w:shd w:val="clear" w:color="auto" w:fill="auto"/>
            <w:vAlign w:val="bottom"/>
          </w:tcPr>
          <w:p w14:paraId="58AC21DF" w14:textId="77777777" w:rsidR="00F30B21" w:rsidRPr="003156E8" w:rsidRDefault="00F30B21" w:rsidP="001C3BF4">
            <w:pPr>
              <w:spacing w:before="80" w:after="80" w:line="220" w:lineRule="exact"/>
              <w:jc w:val="right"/>
              <w:rPr>
                <w:b/>
                <w:sz w:val="18"/>
              </w:rPr>
            </w:pPr>
            <w:r w:rsidRPr="003156E8">
              <w:rPr>
                <w:b/>
                <w:bCs/>
                <w:sz w:val="18"/>
              </w:rPr>
              <w:t>10</w:t>
            </w:r>
          </w:p>
        </w:tc>
        <w:tc>
          <w:tcPr>
            <w:tcW w:w="3515" w:type="dxa"/>
            <w:tcBorders>
              <w:top w:val="single" w:sz="4" w:space="0" w:color="auto"/>
              <w:bottom w:val="single" w:sz="12" w:space="0" w:color="auto"/>
            </w:tcBorders>
            <w:shd w:val="clear" w:color="auto" w:fill="auto"/>
            <w:vAlign w:val="bottom"/>
          </w:tcPr>
          <w:p w14:paraId="5E9C533C" w14:textId="77777777" w:rsidR="00F30B21" w:rsidRPr="003156E8" w:rsidRDefault="00F30B21" w:rsidP="001C3BF4">
            <w:pPr>
              <w:spacing w:before="80" w:after="80" w:line="220" w:lineRule="exact"/>
              <w:jc w:val="right"/>
              <w:rPr>
                <w:b/>
                <w:sz w:val="18"/>
              </w:rPr>
            </w:pPr>
            <w:r w:rsidRPr="003156E8">
              <w:rPr>
                <w:b/>
                <w:bCs/>
                <w:sz w:val="18"/>
              </w:rPr>
              <w:t>43</w:t>
            </w:r>
          </w:p>
        </w:tc>
      </w:tr>
    </w:tbl>
    <w:p w14:paraId="4E9829AC" w14:textId="09682C87" w:rsidR="00F30B21" w:rsidRPr="003156E8" w:rsidRDefault="00F30B21" w:rsidP="00F30B21">
      <w:pPr>
        <w:pStyle w:val="SingleTxtG"/>
        <w:spacing w:before="240"/>
        <w:rPr>
          <w:lang w:val="fr-FR"/>
        </w:rPr>
      </w:pPr>
      <w:r w:rsidRPr="003156E8">
        <w:rPr>
          <w:lang w:val="fr-FR"/>
        </w:rPr>
        <w:t>113</w:t>
      </w:r>
      <w:r w:rsidR="00244AED" w:rsidRPr="00244AED">
        <w:rPr>
          <w:lang w:val="fr-FR"/>
        </w:rPr>
        <w:t>.</w:t>
      </w:r>
      <w:r w:rsidRPr="003156E8">
        <w:rPr>
          <w:lang w:val="fr-FR"/>
        </w:rPr>
        <w:tab/>
        <w:t>Entre 2012 et 2019, 849 organisations syndicales ont été enregistrées sur le territoire national, dont 820 syndicats d</w:t>
      </w:r>
      <w:r>
        <w:rPr>
          <w:lang w:val="fr-FR"/>
        </w:rPr>
        <w:t>’</w:t>
      </w:r>
      <w:r w:rsidRPr="003156E8">
        <w:rPr>
          <w:lang w:val="fr-FR"/>
        </w:rPr>
        <w:t>entreprise, 26 syndicats professionnels et 3 syndicats d</w:t>
      </w:r>
      <w:r>
        <w:rPr>
          <w:lang w:val="fr-FR"/>
        </w:rPr>
        <w:t>’</w:t>
      </w:r>
      <w:r w:rsidRPr="003156E8">
        <w:rPr>
          <w:lang w:val="fr-FR"/>
        </w:rPr>
        <w:t>industrie</w:t>
      </w:r>
      <w:r w:rsidR="00244AED" w:rsidRPr="00244AED">
        <w:rPr>
          <w:lang w:val="fr-FR"/>
        </w:rPr>
        <w:t>.</w:t>
      </w:r>
      <w:r w:rsidRPr="003156E8">
        <w:rPr>
          <w:lang w:val="fr-FR"/>
        </w:rPr>
        <w:t xml:space="preserve"> En mai 2019, le Ministère du pouvoir populaire en charge des communes et des mouvements sociaux avait enregistré 1 017 mouvements sociaux, au sein de 25 secteurs, et 23 052 associations productives (entreprises de production sociale, coopératives et autres)</w:t>
      </w:r>
      <w:r w:rsidR="00244AED" w:rsidRPr="00244AED">
        <w:rPr>
          <w:lang w:val="fr-FR"/>
        </w:rPr>
        <w:t>.</w:t>
      </w:r>
    </w:p>
    <w:p w14:paraId="3E8383E6" w14:textId="2E40721E" w:rsidR="00F30B21" w:rsidRPr="003156E8" w:rsidRDefault="00F30B21" w:rsidP="00F30B21">
      <w:pPr>
        <w:pStyle w:val="SingleTxtG"/>
        <w:rPr>
          <w:lang w:val="fr-FR"/>
        </w:rPr>
      </w:pPr>
      <w:r w:rsidRPr="003156E8">
        <w:rPr>
          <w:color w:val="000000" w:themeColor="text1"/>
          <w:lang w:val="fr-FR"/>
        </w:rPr>
        <w:t>114</w:t>
      </w:r>
      <w:r w:rsidR="00244AED" w:rsidRPr="00244AED">
        <w:rPr>
          <w:color w:val="000000" w:themeColor="text1"/>
          <w:lang w:val="fr-FR"/>
        </w:rPr>
        <w:t>.</w:t>
      </w:r>
      <w:r w:rsidRPr="003156E8">
        <w:rPr>
          <w:color w:val="000000" w:themeColor="text1"/>
          <w:lang w:val="fr-FR"/>
        </w:rPr>
        <w:tab/>
      </w:r>
      <w:r w:rsidRPr="003156E8">
        <w:rPr>
          <w:lang w:val="fr-FR"/>
        </w:rPr>
        <w:t>Entre 2012 et le premier trimestre 2019, le bureau du Défenseur du peuple a reçu 13 plaintes pour violation présumée du droit à la liberté d</w:t>
      </w:r>
      <w:r>
        <w:rPr>
          <w:lang w:val="fr-FR"/>
        </w:rPr>
        <w:t>’</w:t>
      </w:r>
      <w:r w:rsidRPr="003156E8">
        <w:rPr>
          <w:lang w:val="fr-FR"/>
        </w:rPr>
        <w:t>association</w:t>
      </w:r>
      <w:r w:rsidR="00244AED" w:rsidRPr="00244AED">
        <w:rPr>
          <w:lang w:val="fr-FR"/>
        </w:rPr>
        <w:t>.</w:t>
      </w:r>
    </w:p>
    <w:p w14:paraId="57A6BA5E" w14:textId="49B526DE" w:rsidR="00F30B21" w:rsidRPr="003156E8" w:rsidRDefault="00F30B21" w:rsidP="00F30B21">
      <w:pPr>
        <w:pStyle w:val="H23G"/>
      </w:pPr>
      <w:r w:rsidRPr="003156E8">
        <w:rPr>
          <w:b w:val="0"/>
          <w:lang w:val="fr-FR"/>
        </w:rPr>
        <w:tab/>
      </w:r>
      <w:r w:rsidRPr="003156E8">
        <w:rPr>
          <w:b w:val="0"/>
          <w:lang w:val="fr-FR"/>
        </w:rPr>
        <w:tab/>
      </w:r>
      <w:r w:rsidRPr="005C78F8">
        <w:rPr>
          <w:b w:val="0"/>
          <w:lang w:val="fr-FR"/>
        </w:rPr>
        <w:t>Tableau V</w:t>
      </w:r>
      <w:r w:rsidR="005C78F8">
        <w:rPr>
          <w:bCs/>
          <w:lang w:val="fr-FR"/>
        </w:rPr>
        <w:t xml:space="preserve"> </w:t>
      </w:r>
      <w:r w:rsidR="005C78F8">
        <w:rPr>
          <w:bCs/>
          <w:lang w:val="fr-FR"/>
        </w:rPr>
        <w:br/>
      </w:r>
      <w:r w:rsidRPr="003156E8">
        <w:rPr>
          <w:bCs/>
          <w:lang w:val="fr-FR"/>
        </w:rPr>
        <w:t>Plaintes pour violation présumée du droit à la liberté d</w:t>
      </w:r>
      <w:r>
        <w:rPr>
          <w:bCs/>
          <w:lang w:val="fr-FR"/>
        </w:rPr>
        <w:t>’</w:t>
      </w:r>
      <w:r w:rsidRPr="003156E8">
        <w:rPr>
          <w:bCs/>
          <w:lang w:val="fr-FR"/>
        </w:rPr>
        <w:t>association</w:t>
      </w:r>
      <w:r w:rsidR="005C78F8">
        <w:rPr>
          <w:bCs/>
          <w:lang w:val="fr-FR"/>
        </w:rPr>
        <w:t xml:space="preserve"> </w:t>
      </w:r>
      <w:r w:rsidR="005C78F8">
        <w:rPr>
          <w:bCs/>
          <w:lang w:val="fr-FR"/>
        </w:rPr>
        <w:br/>
      </w:r>
      <w:r w:rsidRPr="003156E8">
        <w:rPr>
          <w:bCs/>
        </w:rPr>
        <w:t>Bureau du Défenseur du peuple</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114"/>
      </w:tblGrid>
      <w:tr w:rsidR="00F30B21" w:rsidRPr="003156E8" w14:paraId="56D9A44E" w14:textId="77777777" w:rsidTr="001C3BF4">
        <w:trPr>
          <w:trHeight w:val="240"/>
          <w:tblHeader/>
        </w:trPr>
        <w:tc>
          <w:tcPr>
            <w:tcW w:w="3256" w:type="dxa"/>
            <w:tcBorders>
              <w:top w:val="single" w:sz="4" w:space="0" w:color="auto"/>
              <w:bottom w:val="single" w:sz="12" w:space="0" w:color="auto"/>
            </w:tcBorders>
            <w:shd w:val="clear" w:color="auto" w:fill="auto"/>
            <w:vAlign w:val="bottom"/>
          </w:tcPr>
          <w:p w14:paraId="32489086" w14:textId="77777777" w:rsidR="00F30B21" w:rsidRPr="003156E8" w:rsidRDefault="00F30B21" w:rsidP="001C3BF4">
            <w:pPr>
              <w:spacing w:before="80" w:after="80" w:line="200" w:lineRule="exact"/>
              <w:rPr>
                <w:i/>
                <w:sz w:val="16"/>
              </w:rPr>
            </w:pPr>
            <w:r w:rsidRPr="003156E8">
              <w:rPr>
                <w:i/>
                <w:iCs/>
                <w:sz w:val="16"/>
              </w:rPr>
              <w:t xml:space="preserve">Année </w:t>
            </w:r>
          </w:p>
        </w:tc>
        <w:tc>
          <w:tcPr>
            <w:tcW w:w="4114" w:type="dxa"/>
            <w:tcBorders>
              <w:top w:val="single" w:sz="4" w:space="0" w:color="auto"/>
              <w:bottom w:val="single" w:sz="12" w:space="0" w:color="auto"/>
            </w:tcBorders>
            <w:shd w:val="clear" w:color="auto" w:fill="auto"/>
            <w:vAlign w:val="bottom"/>
          </w:tcPr>
          <w:p w14:paraId="24DD3F7F" w14:textId="77777777" w:rsidR="00F30B21" w:rsidRPr="003156E8" w:rsidRDefault="00F30B21" w:rsidP="001C3BF4">
            <w:pPr>
              <w:spacing w:before="80" w:after="80" w:line="200" w:lineRule="exact"/>
              <w:ind w:left="113"/>
              <w:jc w:val="right"/>
              <w:rPr>
                <w:i/>
                <w:sz w:val="16"/>
              </w:rPr>
            </w:pPr>
            <w:r w:rsidRPr="003156E8">
              <w:rPr>
                <w:i/>
                <w:iCs/>
                <w:sz w:val="16"/>
              </w:rPr>
              <w:t>Nombre de plaintes</w:t>
            </w:r>
          </w:p>
        </w:tc>
      </w:tr>
      <w:tr w:rsidR="00F30B21" w:rsidRPr="003156E8" w14:paraId="08F97186" w14:textId="77777777" w:rsidTr="001C3BF4">
        <w:trPr>
          <w:trHeight w:val="240"/>
        </w:trPr>
        <w:tc>
          <w:tcPr>
            <w:tcW w:w="3256" w:type="dxa"/>
            <w:shd w:val="clear" w:color="auto" w:fill="auto"/>
          </w:tcPr>
          <w:p w14:paraId="68B2C7C9" w14:textId="77777777" w:rsidR="00F30B21" w:rsidRPr="003156E8" w:rsidRDefault="00F30B21" w:rsidP="001C3BF4">
            <w:pPr>
              <w:spacing w:before="40" w:after="40" w:line="220" w:lineRule="exact"/>
              <w:rPr>
                <w:sz w:val="18"/>
              </w:rPr>
            </w:pPr>
            <w:r w:rsidRPr="003156E8">
              <w:rPr>
                <w:sz w:val="18"/>
              </w:rPr>
              <w:t>2012</w:t>
            </w:r>
          </w:p>
        </w:tc>
        <w:tc>
          <w:tcPr>
            <w:tcW w:w="4114" w:type="dxa"/>
            <w:shd w:val="clear" w:color="auto" w:fill="auto"/>
            <w:vAlign w:val="bottom"/>
          </w:tcPr>
          <w:p w14:paraId="2DA75F22" w14:textId="77777777" w:rsidR="00F30B21" w:rsidRPr="003156E8" w:rsidRDefault="00F30B21" w:rsidP="001C3BF4">
            <w:pPr>
              <w:spacing w:before="40" w:after="40" w:line="220" w:lineRule="exact"/>
              <w:ind w:left="113"/>
              <w:jc w:val="right"/>
              <w:rPr>
                <w:sz w:val="18"/>
              </w:rPr>
            </w:pPr>
            <w:r w:rsidRPr="003156E8">
              <w:rPr>
                <w:sz w:val="18"/>
              </w:rPr>
              <w:t>1</w:t>
            </w:r>
          </w:p>
        </w:tc>
      </w:tr>
      <w:tr w:rsidR="00F30B21" w:rsidRPr="003156E8" w14:paraId="286273A0" w14:textId="77777777" w:rsidTr="001C3BF4">
        <w:trPr>
          <w:trHeight w:val="240"/>
        </w:trPr>
        <w:tc>
          <w:tcPr>
            <w:tcW w:w="3256" w:type="dxa"/>
            <w:shd w:val="clear" w:color="auto" w:fill="auto"/>
          </w:tcPr>
          <w:p w14:paraId="6484D0CF" w14:textId="77777777" w:rsidR="00F30B21" w:rsidRPr="003156E8" w:rsidRDefault="00F30B21" w:rsidP="001C3BF4">
            <w:pPr>
              <w:spacing w:before="40" w:after="40" w:line="220" w:lineRule="exact"/>
              <w:rPr>
                <w:sz w:val="18"/>
              </w:rPr>
            </w:pPr>
            <w:r w:rsidRPr="003156E8">
              <w:rPr>
                <w:sz w:val="18"/>
              </w:rPr>
              <w:t>2013</w:t>
            </w:r>
          </w:p>
        </w:tc>
        <w:tc>
          <w:tcPr>
            <w:tcW w:w="4114" w:type="dxa"/>
            <w:shd w:val="clear" w:color="auto" w:fill="auto"/>
            <w:vAlign w:val="bottom"/>
          </w:tcPr>
          <w:p w14:paraId="564B78B4" w14:textId="77777777" w:rsidR="00F30B21" w:rsidRPr="003156E8" w:rsidRDefault="00F30B21" w:rsidP="001C3BF4">
            <w:pPr>
              <w:spacing w:before="40" w:after="40" w:line="220" w:lineRule="exact"/>
              <w:ind w:left="113"/>
              <w:jc w:val="right"/>
              <w:rPr>
                <w:sz w:val="18"/>
              </w:rPr>
            </w:pPr>
            <w:r w:rsidRPr="003156E8">
              <w:rPr>
                <w:sz w:val="18"/>
              </w:rPr>
              <w:t>2</w:t>
            </w:r>
          </w:p>
        </w:tc>
      </w:tr>
      <w:tr w:rsidR="00F30B21" w:rsidRPr="003156E8" w14:paraId="1AE38277" w14:textId="77777777" w:rsidTr="001C3BF4">
        <w:trPr>
          <w:trHeight w:val="240"/>
        </w:trPr>
        <w:tc>
          <w:tcPr>
            <w:tcW w:w="3256" w:type="dxa"/>
            <w:shd w:val="clear" w:color="auto" w:fill="auto"/>
          </w:tcPr>
          <w:p w14:paraId="63FA799E" w14:textId="77777777" w:rsidR="00F30B21" w:rsidRPr="003156E8" w:rsidRDefault="00F30B21" w:rsidP="001C3BF4">
            <w:pPr>
              <w:spacing w:before="40" w:after="40" w:line="220" w:lineRule="exact"/>
              <w:rPr>
                <w:sz w:val="18"/>
              </w:rPr>
            </w:pPr>
            <w:r w:rsidRPr="003156E8">
              <w:rPr>
                <w:sz w:val="18"/>
              </w:rPr>
              <w:t>2014</w:t>
            </w:r>
          </w:p>
        </w:tc>
        <w:tc>
          <w:tcPr>
            <w:tcW w:w="4114" w:type="dxa"/>
            <w:shd w:val="clear" w:color="auto" w:fill="auto"/>
            <w:vAlign w:val="bottom"/>
          </w:tcPr>
          <w:p w14:paraId="1B18A0F4" w14:textId="77777777" w:rsidR="00F30B21" w:rsidRPr="003156E8" w:rsidRDefault="00F30B21" w:rsidP="001C3BF4">
            <w:pPr>
              <w:spacing w:before="40" w:after="40" w:line="220" w:lineRule="exact"/>
              <w:ind w:left="113"/>
              <w:jc w:val="right"/>
              <w:rPr>
                <w:sz w:val="18"/>
              </w:rPr>
            </w:pPr>
            <w:r w:rsidRPr="003156E8">
              <w:rPr>
                <w:sz w:val="18"/>
              </w:rPr>
              <w:t>2</w:t>
            </w:r>
          </w:p>
        </w:tc>
      </w:tr>
      <w:tr w:rsidR="00F30B21" w:rsidRPr="003156E8" w14:paraId="274A824F" w14:textId="77777777" w:rsidTr="001C3BF4">
        <w:trPr>
          <w:trHeight w:val="240"/>
        </w:trPr>
        <w:tc>
          <w:tcPr>
            <w:tcW w:w="3256" w:type="dxa"/>
            <w:shd w:val="clear" w:color="auto" w:fill="auto"/>
          </w:tcPr>
          <w:p w14:paraId="2510D032" w14:textId="77777777" w:rsidR="00F30B21" w:rsidRPr="003156E8" w:rsidRDefault="00F30B21" w:rsidP="001C3BF4">
            <w:pPr>
              <w:spacing w:before="40" w:after="40" w:line="220" w:lineRule="exact"/>
              <w:rPr>
                <w:sz w:val="18"/>
              </w:rPr>
            </w:pPr>
            <w:r w:rsidRPr="003156E8">
              <w:rPr>
                <w:sz w:val="18"/>
              </w:rPr>
              <w:t>2015</w:t>
            </w:r>
          </w:p>
        </w:tc>
        <w:tc>
          <w:tcPr>
            <w:tcW w:w="4114" w:type="dxa"/>
            <w:shd w:val="clear" w:color="auto" w:fill="auto"/>
            <w:vAlign w:val="bottom"/>
          </w:tcPr>
          <w:p w14:paraId="110FD426" w14:textId="77777777" w:rsidR="00F30B21" w:rsidRPr="003156E8" w:rsidRDefault="00F30B21" w:rsidP="001C3BF4">
            <w:pPr>
              <w:spacing w:before="40" w:after="40" w:line="220" w:lineRule="exact"/>
              <w:ind w:left="113"/>
              <w:jc w:val="right"/>
              <w:rPr>
                <w:sz w:val="18"/>
              </w:rPr>
            </w:pPr>
            <w:r w:rsidRPr="003156E8">
              <w:rPr>
                <w:sz w:val="18"/>
              </w:rPr>
              <w:t>3</w:t>
            </w:r>
          </w:p>
        </w:tc>
      </w:tr>
      <w:tr w:rsidR="00F30B21" w:rsidRPr="003156E8" w14:paraId="30CA2DCE" w14:textId="77777777" w:rsidTr="001C3BF4">
        <w:trPr>
          <w:trHeight w:val="240"/>
        </w:trPr>
        <w:tc>
          <w:tcPr>
            <w:tcW w:w="3256" w:type="dxa"/>
            <w:shd w:val="clear" w:color="auto" w:fill="auto"/>
          </w:tcPr>
          <w:p w14:paraId="7075D5A1" w14:textId="77777777" w:rsidR="00F30B21" w:rsidRPr="003156E8" w:rsidRDefault="00F30B21" w:rsidP="001C3BF4">
            <w:pPr>
              <w:spacing w:before="40" w:after="40" w:line="220" w:lineRule="exact"/>
              <w:rPr>
                <w:sz w:val="18"/>
              </w:rPr>
            </w:pPr>
            <w:r w:rsidRPr="003156E8">
              <w:rPr>
                <w:sz w:val="18"/>
              </w:rPr>
              <w:t>2016</w:t>
            </w:r>
          </w:p>
        </w:tc>
        <w:tc>
          <w:tcPr>
            <w:tcW w:w="4114" w:type="dxa"/>
            <w:shd w:val="clear" w:color="auto" w:fill="auto"/>
            <w:vAlign w:val="bottom"/>
          </w:tcPr>
          <w:p w14:paraId="739185E2" w14:textId="77777777" w:rsidR="00F30B21" w:rsidRPr="003156E8" w:rsidRDefault="00F30B21" w:rsidP="001C3BF4">
            <w:pPr>
              <w:spacing w:before="40" w:after="40" w:line="220" w:lineRule="exact"/>
              <w:ind w:left="113"/>
              <w:jc w:val="right"/>
              <w:rPr>
                <w:sz w:val="18"/>
              </w:rPr>
            </w:pPr>
            <w:r w:rsidRPr="003156E8">
              <w:rPr>
                <w:sz w:val="18"/>
              </w:rPr>
              <w:t>2</w:t>
            </w:r>
          </w:p>
        </w:tc>
      </w:tr>
      <w:tr w:rsidR="00F30B21" w:rsidRPr="003156E8" w14:paraId="10AF3DF6" w14:textId="77777777" w:rsidTr="001C3BF4">
        <w:trPr>
          <w:trHeight w:val="240"/>
        </w:trPr>
        <w:tc>
          <w:tcPr>
            <w:tcW w:w="3256" w:type="dxa"/>
            <w:shd w:val="clear" w:color="auto" w:fill="auto"/>
          </w:tcPr>
          <w:p w14:paraId="574C17AB" w14:textId="77777777" w:rsidR="00F30B21" w:rsidRPr="003156E8" w:rsidRDefault="00F30B21" w:rsidP="001C3BF4">
            <w:pPr>
              <w:spacing w:before="40" w:after="40" w:line="220" w:lineRule="exact"/>
              <w:rPr>
                <w:sz w:val="18"/>
              </w:rPr>
            </w:pPr>
            <w:r w:rsidRPr="003156E8">
              <w:rPr>
                <w:sz w:val="18"/>
              </w:rPr>
              <w:t>2017</w:t>
            </w:r>
          </w:p>
        </w:tc>
        <w:tc>
          <w:tcPr>
            <w:tcW w:w="4114" w:type="dxa"/>
            <w:shd w:val="clear" w:color="auto" w:fill="auto"/>
            <w:vAlign w:val="bottom"/>
          </w:tcPr>
          <w:p w14:paraId="1D34E12D" w14:textId="77777777" w:rsidR="00F30B21" w:rsidRPr="003156E8" w:rsidRDefault="00F30B21" w:rsidP="001C3BF4">
            <w:pPr>
              <w:spacing w:before="40" w:after="40" w:line="220" w:lineRule="exact"/>
              <w:ind w:left="113"/>
              <w:jc w:val="right"/>
              <w:rPr>
                <w:sz w:val="18"/>
              </w:rPr>
            </w:pPr>
            <w:r w:rsidRPr="003156E8">
              <w:rPr>
                <w:sz w:val="18"/>
              </w:rPr>
              <w:t>3</w:t>
            </w:r>
          </w:p>
        </w:tc>
      </w:tr>
      <w:tr w:rsidR="00F30B21" w:rsidRPr="003156E8" w14:paraId="1C4E46AF" w14:textId="77777777" w:rsidTr="001C3BF4">
        <w:trPr>
          <w:trHeight w:val="240"/>
        </w:trPr>
        <w:tc>
          <w:tcPr>
            <w:tcW w:w="3256" w:type="dxa"/>
            <w:shd w:val="clear" w:color="auto" w:fill="auto"/>
          </w:tcPr>
          <w:p w14:paraId="2DE8CC34" w14:textId="77777777" w:rsidR="00F30B21" w:rsidRPr="003156E8" w:rsidRDefault="00F30B21" w:rsidP="001C3BF4">
            <w:pPr>
              <w:spacing w:before="40" w:after="40" w:line="220" w:lineRule="exact"/>
              <w:rPr>
                <w:sz w:val="18"/>
              </w:rPr>
            </w:pPr>
            <w:r w:rsidRPr="003156E8">
              <w:rPr>
                <w:sz w:val="18"/>
              </w:rPr>
              <w:lastRenderedPageBreak/>
              <w:t>2018</w:t>
            </w:r>
          </w:p>
        </w:tc>
        <w:tc>
          <w:tcPr>
            <w:tcW w:w="4114" w:type="dxa"/>
            <w:shd w:val="clear" w:color="auto" w:fill="auto"/>
            <w:vAlign w:val="bottom"/>
          </w:tcPr>
          <w:p w14:paraId="56EEA574"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38F8AA0E" w14:textId="77777777" w:rsidTr="001C3BF4">
        <w:trPr>
          <w:trHeight w:val="240"/>
        </w:trPr>
        <w:tc>
          <w:tcPr>
            <w:tcW w:w="3256" w:type="dxa"/>
            <w:tcBorders>
              <w:bottom w:val="single" w:sz="4" w:space="0" w:color="auto"/>
            </w:tcBorders>
            <w:shd w:val="clear" w:color="auto" w:fill="auto"/>
          </w:tcPr>
          <w:p w14:paraId="01FA5E80" w14:textId="77777777" w:rsidR="00F30B21" w:rsidRPr="003156E8" w:rsidRDefault="00F30B21" w:rsidP="001C3BF4">
            <w:pPr>
              <w:spacing w:before="40" w:after="40" w:line="220" w:lineRule="exact"/>
              <w:rPr>
                <w:sz w:val="18"/>
              </w:rPr>
            </w:pPr>
            <w:r w:rsidRPr="003156E8">
              <w:rPr>
                <w:sz w:val="18"/>
              </w:rPr>
              <w:t>2019</w:t>
            </w:r>
          </w:p>
        </w:tc>
        <w:tc>
          <w:tcPr>
            <w:tcW w:w="4114" w:type="dxa"/>
            <w:tcBorders>
              <w:bottom w:val="single" w:sz="4" w:space="0" w:color="auto"/>
            </w:tcBorders>
            <w:shd w:val="clear" w:color="auto" w:fill="auto"/>
            <w:vAlign w:val="bottom"/>
          </w:tcPr>
          <w:p w14:paraId="7D080D71" w14:textId="77777777" w:rsidR="00F30B21" w:rsidRPr="003156E8" w:rsidRDefault="00F30B21" w:rsidP="001C3BF4">
            <w:pPr>
              <w:spacing w:before="40" w:after="40" w:line="220" w:lineRule="exact"/>
              <w:ind w:left="113"/>
              <w:jc w:val="right"/>
              <w:rPr>
                <w:sz w:val="18"/>
              </w:rPr>
            </w:pPr>
            <w:r w:rsidRPr="003156E8">
              <w:rPr>
                <w:sz w:val="18"/>
              </w:rPr>
              <w:t>-</w:t>
            </w:r>
          </w:p>
        </w:tc>
      </w:tr>
      <w:tr w:rsidR="00F30B21" w:rsidRPr="003156E8" w14:paraId="7DA6CE2B" w14:textId="77777777" w:rsidTr="001C3BF4">
        <w:trPr>
          <w:trHeight w:val="240"/>
        </w:trPr>
        <w:tc>
          <w:tcPr>
            <w:tcW w:w="3256" w:type="dxa"/>
            <w:tcBorders>
              <w:top w:val="single" w:sz="4" w:space="0" w:color="auto"/>
              <w:bottom w:val="single" w:sz="12" w:space="0" w:color="auto"/>
            </w:tcBorders>
            <w:shd w:val="clear" w:color="auto" w:fill="auto"/>
          </w:tcPr>
          <w:p w14:paraId="36A0AB2F" w14:textId="77777777" w:rsidR="00F30B21" w:rsidRPr="003156E8" w:rsidRDefault="00F30B21" w:rsidP="001C3BF4">
            <w:pPr>
              <w:spacing w:before="80" w:after="80" w:line="220" w:lineRule="exact"/>
              <w:ind w:left="283"/>
              <w:rPr>
                <w:b/>
                <w:sz w:val="18"/>
              </w:rPr>
            </w:pPr>
            <w:r w:rsidRPr="003156E8">
              <w:rPr>
                <w:b/>
                <w:bCs/>
                <w:sz w:val="18"/>
              </w:rPr>
              <w:t>Total</w:t>
            </w:r>
          </w:p>
        </w:tc>
        <w:tc>
          <w:tcPr>
            <w:tcW w:w="4114" w:type="dxa"/>
            <w:tcBorders>
              <w:top w:val="single" w:sz="4" w:space="0" w:color="auto"/>
              <w:bottom w:val="single" w:sz="12" w:space="0" w:color="auto"/>
            </w:tcBorders>
            <w:shd w:val="clear" w:color="auto" w:fill="auto"/>
            <w:vAlign w:val="bottom"/>
          </w:tcPr>
          <w:p w14:paraId="4CD40A95" w14:textId="77777777" w:rsidR="00F30B21" w:rsidRPr="003156E8" w:rsidRDefault="00F30B21" w:rsidP="001C3BF4">
            <w:pPr>
              <w:spacing w:before="80" w:after="80" w:line="220" w:lineRule="exact"/>
              <w:jc w:val="right"/>
              <w:rPr>
                <w:b/>
                <w:sz w:val="18"/>
              </w:rPr>
            </w:pPr>
            <w:r w:rsidRPr="003156E8">
              <w:rPr>
                <w:b/>
                <w:bCs/>
                <w:sz w:val="18"/>
              </w:rPr>
              <w:t>13</w:t>
            </w:r>
          </w:p>
        </w:tc>
      </w:tr>
    </w:tbl>
    <w:p w14:paraId="034031E0" w14:textId="74979D5C" w:rsidR="00F30B21" w:rsidRPr="003156E8" w:rsidRDefault="00F30B21" w:rsidP="00F30B21">
      <w:pPr>
        <w:pStyle w:val="H1G"/>
        <w:rPr>
          <w:i/>
          <w:lang w:val="fr-FR"/>
        </w:rPr>
      </w:pPr>
      <w:r w:rsidRPr="003156E8">
        <w:rPr>
          <w:b w:val="0"/>
          <w:lang w:val="fr-FR"/>
        </w:rPr>
        <w:tab/>
      </w:r>
      <w:r w:rsidRPr="003156E8">
        <w:rPr>
          <w:bCs/>
          <w:lang w:val="fr-FR"/>
        </w:rPr>
        <w:t>E</w:t>
      </w:r>
      <w:r w:rsidR="00244AED" w:rsidRPr="00244AED">
        <w:rPr>
          <w:bCs/>
          <w:lang w:val="fr-FR"/>
        </w:rPr>
        <w:t>.</w:t>
      </w:r>
      <w:r w:rsidRPr="003156E8">
        <w:rPr>
          <w:bCs/>
          <w:lang w:val="fr-FR"/>
        </w:rPr>
        <w:tab/>
        <w:t>Droits économiques, sociaux et culturels</w:t>
      </w:r>
    </w:p>
    <w:p w14:paraId="50C6015E" w14:textId="085330C6" w:rsidR="00F30B21" w:rsidRPr="003156E8" w:rsidRDefault="00F30B21" w:rsidP="00F30B21">
      <w:pPr>
        <w:pStyle w:val="SingleTxtG"/>
        <w:rPr>
          <w:lang w:val="fr-FR"/>
        </w:rPr>
      </w:pPr>
      <w:r w:rsidRPr="003156E8">
        <w:rPr>
          <w:color w:val="000000" w:themeColor="text1"/>
          <w:lang w:val="fr-FR"/>
        </w:rPr>
        <w:t>115</w:t>
      </w:r>
      <w:r w:rsidR="00244AED" w:rsidRPr="00244AED">
        <w:rPr>
          <w:color w:val="000000" w:themeColor="text1"/>
          <w:lang w:val="fr-FR"/>
        </w:rPr>
        <w:t>.</w:t>
      </w:r>
      <w:r w:rsidRPr="003156E8">
        <w:rPr>
          <w:color w:val="000000" w:themeColor="text1"/>
          <w:lang w:val="fr-FR"/>
        </w:rPr>
        <w:tab/>
      </w:r>
      <w:r w:rsidRPr="003156E8">
        <w:rPr>
          <w:lang w:val="fr-FR"/>
        </w:rPr>
        <w:t xml:space="preserve">Au cours de la période </w:t>
      </w:r>
      <w:r>
        <w:rPr>
          <w:lang w:val="fr-FR"/>
        </w:rPr>
        <w:t>considérée</w:t>
      </w:r>
      <w:r w:rsidRPr="003156E8">
        <w:rPr>
          <w:lang w:val="fr-FR"/>
        </w:rPr>
        <w:t>, la République bolivarienne du Venezuela a pris diverses mesures pour garantir l</w:t>
      </w:r>
      <w:r>
        <w:rPr>
          <w:lang w:val="fr-FR"/>
        </w:rPr>
        <w:t>’</w:t>
      </w:r>
      <w:r w:rsidRPr="003156E8">
        <w:rPr>
          <w:lang w:val="fr-FR"/>
        </w:rPr>
        <w:t>exercice des droits économiques, sociaux et culturels, sans distinction de race, de couleur, d</w:t>
      </w:r>
      <w:r>
        <w:rPr>
          <w:lang w:val="fr-FR"/>
        </w:rPr>
        <w:t>’</w:t>
      </w:r>
      <w:r w:rsidRPr="003156E8">
        <w:rPr>
          <w:lang w:val="fr-FR"/>
        </w:rPr>
        <w:t>origine nationale ou ethnique</w:t>
      </w:r>
    </w:p>
    <w:p w14:paraId="572F4652" w14:textId="0A527851" w:rsidR="00F30B21" w:rsidRPr="003156E8" w:rsidRDefault="00F30B21" w:rsidP="00F30B21">
      <w:pPr>
        <w:pStyle w:val="H56G"/>
        <w:rPr>
          <w:b/>
          <w:lang w:val="fr-FR"/>
        </w:rPr>
      </w:pPr>
      <w:r w:rsidRPr="003156E8">
        <w:rPr>
          <w:lang w:val="fr-FR"/>
        </w:rPr>
        <w:tab/>
      </w:r>
      <w:r w:rsidRPr="003156E8">
        <w:rPr>
          <w:b/>
          <w:bCs/>
          <w:lang w:val="fr-FR"/>
        </w:rPr>
        <w:t>1</w:t>
      </w:r>
      <w:r w:rsidR="00244AED" w:rsidRPr="00244AED">
        <w:rPr>
          <w:b/>
          <w:bCs/>
          <w:lang w:val="fr-FR"/>
        </w:rPr>
        <w:t>.</w:t>
      </w:r>
      <w:r w:rsidRPr="003156E8">
        <w:rPr>
          <w:b/>
          <w:bCs/>
          <w:lang w:val="fr-FR"/>
        </w:rPr>
        <w:tab/>
        <w:t>Droit au logement</w:t>
      </w:r>
    </w:p>
    <w:p w14:paraId="4BA99A18" w14:textId="19A32274" w:rsidR="00F30B21" w:rsidRPr="003156E8" w:rsidRDefault="00F30B21" w:rsidP="00F30B21">
      <w:pPr>
        <w:pStyle w:val="SingleTxtG"/>
        <w:rPr>
          <w:lang w:val="fr-FR"/>
        </w:rPr>
      </w:pPr>
      <w:r w:rsidRPr="003156E8">
        <w:rPr>
          <w:color w:val="000000" w:themeColor="text1"/>
          <w:lang w:val="fr-FR"/>
        </w:rPr>
        <w:t>116</w:t>
      </w:r>
      <w:r w:rsidR="00244AED" w:rsidRPr="00244AED">
        <w:rPr>
          <w:color w:val="000000" w:themeColor="text1"/>
          <w:lang w:val="fr-FR"/>
        </w:rPr>
        <w:t>.</w:t>
      </w:r>
      <w:r w:rsidRPr="003156E8">
        <w:rPr>
          <w:color w:val="000000" w:themeColor="text1"/>
          <w:lang w:val="fr-FR"/>
        </w:rPr>
        <w:tab/>
      </w:r>
      <w:r w:rsidRPr="003156E8">
        <w:rPr>
          <w:lang w:val="fr-FR"/>
        </w:rPr>
        <w:t>Afin de garantir le droit au logement, le Venezuela a remis à ce jour 3 595</w:t>
      </w:r>
      <w:r w:rsidR="005C78F8">
        <w:rPr>
          <w:lang w:val="fr-FR"/>
        </w:rPr>
        <w:t> </w:t>
      </w:r>
      <w:r w:rsidRPr="003156E8">
        <w:rPr>
          <w:lang w:val="fr-FR"/>
        </w:rPr>
        <w:t>587</w:t>
      </w:r>
      <w:r w:rsidR="005C78F8">
        <w:rPr>
          <w:lang w:val="fr-FR"/>
        </w:rPr>
        <w:t> </w:t>
      </w:r>
      <w:r w:rsidRPr="003156E8">
        <w:rPr>
          <w:lang w:val="fr-FR"/>
        </w:rPr>
        <w:t xml:space="preserve">logements subventionnés dans le cadre de la </w:t>
      </w:r>
      <w:r w:rsidRPr="003156E8">
        <w:rPr>
          <w:i/>
          <w:iCs/>
          <w:lang w:val="fr-FR"/>
        </w:rPr>
        <w:t xml:space="preserve">Gran </w:t>
      </w:r>
      <w:proofErr w:type="spellStart"/>
      <w:r w:rsidRPr="003156E8">
        <w:rPr>
          <w:i/>
          <w:iCs/>
          <w:lang w:val="fr-FR"/>
        </w:rPr>
        <w:t>Misión</w:t>
      </w:r>
      <w:proofErr w:type="spellEnd"/>
      <w:r w:rsidRPr="003156E8">
        <w:rPr>
          <w:i/>
          <w:iCs/>
          <w:lang w:val="fr-FR"/>
        </w:rPr>
        <w:t xml:space="preserve"> </w:t>
      </w:r>
      <w:proofErr w:type="spellStart"/>
      <w:r w:rsidRPr="003156E8">
        <w:rPr>
          <w:i/>
          <w:iCs/>
          <w:lang w:val="fr-FR"/>
        </w:rPr>
        <w:t>Vivienda</w:t>
      </w:r>
      <w:proofErr w:type="spellEnd"/>
      <w:r w:rsidRPr="003156E8">
        <w:rPr>
          <w:i/>
          <w:iCs/>
          <w:lang w:val="fr-FR"/>
        </w:rPr>
        <w:t xml:space="preserve"> Venezuela</w:t>
      </w:r>
      <w:r w:rsidRPr="003156E8">
        <w:rPr>
          <w:lang w:val="fr-FR"/>
        </w:rPr>
        <w:t xml:space="preserve"> (grande mission pour le logement au Venezuela)</w:t>
      </w:r>
      <w:r w:rsidR="00244AED" w:rsidRPr="00244AED">
        <w:rPr>
          <w:lang w:val="fr-FR"/>
        </w:rPr>
        <w:t>.</w:t>
      </w:r>
      <w:r w:rsidRPr="003156E8">
        <w:rPr>
          <w:lang w:val="fr-FR"/>
        </w:rPr>
        <w:t xml:space="preserve"> Les logements ont été attribués sans discrimination fondée sur la race, le sexe, la religion ou le statut social</w:t>
      </w:r>
      <w:r w:rsidR="00244AED" w:rsidRPr="00244AED">
        <w:rPr>
          <w:lang w:val="fr-FR"/>
        </w:rPr>
        <w:t>.</w:t>
      </w:r>
    </w:p>
    <w:p w14:paraId="4489708C" w14:textId="13C1DB1B" w:rsidR="00F30B21" w:rsidRPr="003156E8" w:rsidRDefault="00F30B21" w:rsidP="00F30B21">
      <w:pPr>
        <w:pStyle w:val="SingleTxtG"/>
        <w:rPr>
          <w:lang w:val="fr-FR"/>
        </w:rPr>
      </w:pPr>
      <w:r w:rsidRPr="003156E8">
        <w:rPr>
          <w:color w:val="000000" w:themeColor="text1"/>
          <w:lang w:val="fr-FR"/>
        </w:rPr>
        <w:t>117</w:t>
      </w:r>
      <w:r w:rsidR="00244AED" w:rsidRPr="00244AED">
        <w:rPr>
          <w:color w:val="000000" w:themeColor="text1"/>
          <w:lang w:val="fr-FR"/>
        </w:rPr>
        <w:t>.</w:t>
      </w:r>
      <w:r w:rsidRPr="003156E8">
        <w:rPr>
          <w:color w:val="000000" w:themeColor="text1"/>
          <w:lang w:val="fr-FR"/>
        </w:rPr>
        <w:tab/>
      </w:r>
      <w:r w:rsidRPr="003156E8">
        <w:rPr>
          <w:lang w:val="fr-FR"/>
        </w:rPr>
        <w:t xml:space="preserve">La grande mission pour le logement au Venezuela a permis de construire des logements pour </w:t>
      </w:r>
      <w:r>
        <w:rPr>
          <w:lang w:val="fr-FR"/>
        </w:rPr>
        <w:t>les</w:t>
      </w:r>
      <w:r w:rsidRPr="003156E8">
        <w:rPr>
          <w:lang w:val="fr-FR"/>
        </w:rPr>
        <w:t xml:space="preserve"> autochtone</w:t>
      </w:r>
      <w:r>
        <w:rPr>
          <w:lang w:val="fr-FR"/>
        </w:rPr>
        <w:t>s</w:t>
      </w:r>
      <w:r w:rsidRPr="003156E8">
        <w:rPr>
          <w:lang w:val="fr-FR"/>
        </w:rPr>
        <w:t xml:space="preserve">, en respectant </w:t>
      </w:r>
      <w:r>
        <w:rPr>
          <w:lang w:val="fr-FR"/>
        </w:rPr>
        <w:t>leurs</w:t>
      </w:r>
      <w:r w:rsidRPr="003156E8">
        <w:rPr>
          <w:lang w:val="fr-FR"/>
        </w:rPr>
        <w:t xml:space="preserve"> coutumes et </w:t>
      </w:r>
      <w:r>
        <w:rPr>
          <w:lang w:val="fr-FR"/>
        </w:rPr>
        <w:t>leurs</w:t>
      </w:r>
      <w:r w:rsidRPr="003156E8">
        <w:rPr>
          <w:lang w:val="fr-FR"/>
        </w:rPr>
        <w:t xml:space="preserve"> traditions</w:t>
      </w:r>
      <w:r w:rsidR="00244AED" w:rsidRPr="00244AED">
        <w:rPr>
          <w:lang w:val="fr-FR"/>
        </w:rPr>
        <w:t>.</w:t>
      </w:r>
      <w:r w:rsidRPr="003156E8">
        <w:rPr>
          <w:lang w:val="fr-FR"/>
        </w:rPr>
        <w:t xml:space="preserve"> Sur le total de logements construits, 2,3 % étaient destinés </w:t>
      </w:r>
      <w:r>
        <w:rPr>
          <w:lang w:val="fr-FR"/>
        </w:rPr>
        <w:t>à des autochtones</w:t>
      </w:r>
      <w:r w:rsidR="00244AED" w:rsidRPr="00244AED">
        <w:rPr>
          <w:lang w:val="fr-FR"/>
        </w:rPr>
        <w:t>.</w:t>
      </w:r>
      <w:r w:rsidRPr="003156E8">
        <w:rPr>
          <w:lang w:val="fr-FR"/>
        </w:rPr>
        <w:t xml:space="preserve"> Par ailleurs, l</w:t>
      </w:r>
      <w:r>
        <w:rPr>
          <w:lang w:val="fr-FR"/>
        </w:rPr>
        <w:t>’</w:t>
      </w:r>
      <w:r w:rsidRPr="003156E8">
        <w:rPr>
          <w:lang w:val="fr-FR"/>
        </w:rPr>
        <w:t>État a garanti le droit à un logement convenable à 438 110 immigrants, ce qui représente 16,84 % du nombre total de logements remis</w:t>
      </w:r>
      <w:r w:rsidR="00244AED" w:rsidRPr="00244AED">
        <w:rPr>
          <w:lang w:val="fr-FR"/>
        </w:rPr>
        <w:t>.</w:t>
      </w:r>
    </w:p>
    <w:p w14:paraId="67AF7EED" w14:textId="76761524" w:rsidR="00F30B21" w:rsidRPr="003156E8" w:rsidRDefault="00F30B21" w:rsidP="00F30B21">
      <w:pPr>
        <w:pStyle w:val="H56G"/>
        <w:rPr>
          <w:b/>
          <w:lang w:val="fr-FR"/>
        </w:rPr>
      </w:pPr>
      <w:r w:rsidRPr="003156E8">
        <w:rPr>
          <w:lang w:val="fr-FR"/>
        </w:rPr>
        <w:tab/>
      </w:r>
      <w:r w:rsidRPr="003156E8">
        <w:rPr>
          <w:b/>
          <w:bCs/>
          <w:lang w:val="fr-FR"/>
        </w:rPr>
        <w:t>2</w:t>
      </w:r>
      <w:r w:rsidR="00244AED" w:rsidRPr="00244AED">
        <w:rPr>
          <w:b/>
          <w:bCs/>
          <w:lang w:val="fr-FR"/>
        </w:rPr>
        <w:t>.</w:t>
      </w:r>
      <w:r w:rsidRPr="003156E8">
        <w:rPr>
          <w:b/>
          <w:bCs/>
          <w:lang w:val="fr-FR"/>
        </w:rPr>
        <w:tab/>
        <w:t>Droit à la santé</w:t>
      </w:r>
    </w:p>
    <w:p w14:paraId="52A542A8" w14:textId="29222E8F" w:rsidR="00F30B21" w:rsidRPr="003156E8" w:rsidRDefault="00F30B21" w:rsidP="00F30B21">
      <w:pPr>
        <w:pStyle w:val="SingleTxtG"/>
        <w:rPr>
          <w:lang w:val="fr-FR"/>
        </w:rPr>
      </w:pPr>
      <w:r w:rsidRPr="003156E8">
        <w:rPr>
          <w:color w:val="000000" w:themeColor="text1"/>
          <w:lang w:val="fr-FR"/>
        </w:rPr>
        <w:t>118</w:t>
      </w:r>
      <w:r w:rsidR="00244AED" w:rsidRPr="00244AED">
        <w:rPr>
          <w:color w:val="000000" w:themeColor="text1"/>
          <w:lang w:val="fr-FR"/>
        </w:rPr>
        <w:t>.</w:t>
      </w:r>
      <w:r w:rsidRPr="003156E8">
        <w:rPr>
          <w:color w:val="000000" w:themeColor="text1"/>
          <w:lang w:val="fr-FR"/>
        </w:rPr>
        <w:tab/>
      </w:r>
      <w:r w:rsidRPr="003156E8">
        <w:rPr>
          <w:lang w:val="fr-FR"/>
        </w:rPr>
        <w:t>En 2017, le Venezuela a participé à la consultation politique des pays d</w:t>
      </w:r>
      <w:r>
        <w:rPr>
          <w:lang w:val="fr-FR"/>
        </w:rPr>
        <w:t>’</w:t>
      </w:r>
      <w:r w:rsidRPr="003156E8">
        <w:rPr>
          <w:lang w:val="fr-FR"/>
        </w:rPr>
        <w:t>Amérique du Sud sur l</w:t>
      </w:r>
      <w:r>
        <w:rPr>
          <w:lang w:val="fr-FR"/>
        </w:rPr>
        <w:t>’</w:t>
      </w:r>
      <w:r w:rsidRPr="003156E8">
        <w:rPr>
          <w:lang w:val="fr-FR"/>
        </w:rPr>
        <w:t>appartenance ethnique et la santé, au cours de laquelle a été examiné le document de l</w:t>
      </w:r>
      <w:r>
        <w:rPr>
          <w:lang w:val="fr-FR"/>
        </w:rPr>
        <w:t>’</w:t>
      </w:r>
      <w:r w:rsidRPr="003156E8">
        <w:rPr>
          <w:lang w:val="fr-FR"/>
        </w:rPr>
        <w:t>Organisation panaméricaine de la santé</w:t>
      </w:r>
      <w:r w:rsidRPr="003156E8" w:rsidDel="0043587D">
        <w:rPr>
          <w:lang w:val="fr-FR"/>
        </w:rPr>
        <w:t xml:space="preserve"> </w:t>
      </w:r>
      <w:r w:rsidRPr="005D3A8E">
        <w:rPr>
          <w:i/>
          <w:iCs/>
          <w:lang w:val="fr-FR"/>
        </w:rPr>
        <w:t>Politique en matière d</w:t>
      </w:r>
      <w:r>
        <w:rPr>
          <w:i/>
          <w:iCs/>
          <w:lang w:val="fr-FR"/>
        </w:rPr>
        <w:t>’</w:t>
      </w:r>
      <w:r w:rsidRPr="005D3A8E">
        <w:rPr>
          <w:i/>
          <w:iCs/>
          <w:lang w:val="fr-FR"/>
        </w:rPr>
        <w:t xml:space="preserve">ethnicité et de santé </w:t>
      </w:r>
      <w:r w:rsidRPr="003156E8">
        <w:rPr>
          <w:lang w:val="fr-FR"/>
        </w:rPr>
        <w:t>pour les Amériques</w:t>
      </w:r>
      <w:r w:rsidR="00244AED" w:rsidRPr="00244AED">
        <w:rPr>
          <w:lang w:val="fr-FR"/>
        </w:rPr>
        <w:t>.</w:t>
      </w:r>
      <w:r w:rsidRPr="003156E8">
        <w:rPr>
          <w:lang w:val="fr-FR"/>
        </w:rPr>
        <w:t xml:space="preserve"> Ce document a pour objectif de favoriser des modèles de santé interculturels qui incluent les perspectives des savoirs et pratiques ancestraux et spirituels, de renforcer les capacités institutionnelles et communautaires des États membres et d</w:t>
      </w:r>
      <w:r>
        <w:rPr>
          <w:lang w:val="fr-FR"/>
        </w:rPr>
        <w:t>’</w:t>
      </w:r>
      <w:r w:rsidRPr="003156E8">
        <w:rPr>
          <w:lang w:val="fr-FR"/>
        </w:rPr>
        <w:t>élargir la participation sociale des groupes, communautés, peuples et nations autochtones et d</w:t>
      </w:r>
      <w:r>
        <w:rPr>
          <w:lang w:val="fr-FR"/>
        </w:rPr>
        <w:t>’</w:t>
      </w:r>
      <w:r w:rsidRPr="003156E8">
        <w:rPr>
          <w:lang w:val="fr-FR"/>
        </w:rPr>
        <w:t>ascendance africaine aux politiques de santé publique</w:t>
      </w:r>
      <w:r w:rsidR="00244AED" w:rsidRPr="00244AED">
        <w:rPr>
          <w:lang w:val="fr-FR"/>
        </w:rPr>
        <w:t>.</w:t>
      </w:r>
    </w:p>
    <w:p w14:paraId="28FB0AD6" w14:textId="2F45D0EC" w:rsidR="00F30B21" w:rsidRPr="003156E8" w:rsidRDefault="00F30B21" w:rsidP="00F30B21">
      <w:pPr>
        <w:pStyle w:val="SingleTxtG"/>
        <w:rPr>
          <w:lang w:val="fr-FR"/>
        </w:rPr>
      </w:pPr>
      <w:r w:rsidRPr="003156E8">
        <w:rPr>
          <w:color w:val="000000" w:themeColor="text1"/>
          <w:lang w:val="fr-FR"/>
        </w:rPr>
        <w:t>119</w:t>
      </w:r>
      <w:r w:rsidR="00244AED" w:rsidRPr="00244AED">
        <w:rPr>
          <w:color w:val="000000" w:themeColor="text1"/>
          <w:lang w:val="fr-FR"/>
        </w:rPr>
        <w:t>.</w:t>
      </w:r>
      <w:r w:rsidRPr="003156E8">
        <w:rPr>
          <w:color w:val="000000" w:themeColor="text1"/>
          <w:lang w:val="fr-FR"/>
        </w:rPr>
        <w:tab/>
      </w:r>
      <w:r w:rsidRPr="003156E8">
        <w:rPr>
          <w:lang w:val="fr-FR"/>
        </w:rPr>
        <w:t>La République bolivarienne du Venezuela œuvre pour éliminer toutes les formes de discrimination raciale ou ethnique dans l</w:t>
      </w:r>
      <w:r>
        <w:rPr>
          <w:lang w:val="fr-FR"/>
        </w:rPr>
        <w:t>’</w:t>
      </w:r>
      <w:r w:rsidRPr="003156E8">
        <w:rPr>
          <w:lang w:val="fr-FR"/>
        </w:rPr>
        <w:t>exercice du droit à la santé publique et aux soins médicaux</w:t>
      </w:r>
      <w:r w:rsidR="00244AED" w:rsidRPr="00244AED">
        <w:rPr>
          <w:lang w:val="fr-FR"/>
        </w:rPr>
        <w:t>.</w:t>
      </w:r>
      <w:r w:rsidRPr="003156E8">
        <w:rPr>
          <w:lang w:val="fr-FR"/>
        </w:rPr>
        <w:t xml:space="preserve"> À cette fin, une direction générale </w:t>
      </w:r>
      <w:r>
        <w:rPr>
          <w:lang w:val="fr-FR"/>
        </w:rPr>
        <w:t xml:space="preserve">chargée </w:t>
      </w:r>
      <w:r w:rsidRPr="003156E8">
        <w:rPr>
          <w:lang w:val="fr-FR"/>
        </w:rPr>
        <w:t>de la santé autochtone interculturelle et des thérapies complémentaires a été créée</w:t>
      </w:r>
      <w:r>
        <w:rPr>
          <w:lang w:val="fr-FR"/>
        </w:rPr>
        <w:t>,</w:t>
      </w:r>
      <w:r w:rsidRPr="003156E8">
        <w:rPr>
          <w:lang w:val="fr-FR"/>
        </w:rPr>
        <w:t xml:space="preserve"> au sein du Ministère du pouvoir populaire en charge de la santé</w:t>
      </w:r>
      <w:r>
        <w:rPr>
          <w:lang w:val="fr-FR"/>
        </w:rPr>
        <w:t>,</w:t>
      </w:r>
      <w:r w:rsidRPr="003156E8">
        <w:rPr>
          <w:lang w:val="fr-FR"/>
        </w:rPr>
        <w:t xml:space="preserve"> pour garantir des services de santé de qualité aux peuples et communautés autochtones et afro-vénézuéliens</w:t>
      </w:r>
      <w:r w:rsidR="00244AED" w:rsidRPr="00244AED">
        <w:rPr>
          <w:lang w:val="fr-FR"/>
        </w:rPr>
        <w:t>.</w:t>
      </w:r>
    </w:p>
    <w:p w14:paraId="41DB8B7C" w14:textId="5D862A0F" w:rsidR="00F30B21" w:rsidRPr="003156E8" w:rsidRDefault="00F30B21" w:rsidP="00F30B21">
      <w:pPr>
        <w:pStyle w:val="SingleTxtG"/>
        <w:rPr>
          <w:lang w:val="fr-FR"/>
        </w:rPr>
      </w:pPr>
      <w:r w:rsidRPr="003156E8">
        <w:rPr>
          <w:color w:val="000000" w:themeColor="text1"/>
          <w:lang w:val="fr-FR"/>
        </w:rPr>
        <w:t>120</w:t>
      </w:r>
      <w:r w:rsidR="00244AED" w:rsidRPr="00244AED">
        <w:rPr>
          <w:color w:val="000000" w:themeColor="text1"/>
          <w:lang w:val="fr-FR"/>
        </w:rPr>
        <w:t>.</w:t>
      </w:r>
      <w:r w:rsidRPr="003156E8">
        <w:rPr>
          <w:color w:val="000000" w:themeColor="text1"/>
          <w:lang w:val="fr-FR"/>
        </w:rPr>
        <w:tab/>
      </w:r>
      <w:r w:rsidRPr="003156E8">
        <w:rPr>
          <w:lang w:val="fr-FR"/>
        </w:rPr>
        <w:t>La direction générale précitée comporte</w:t>
      </w:r>
      <w:r w:rsidR="005C78F8">
        <w:rPr>
          <w:lang w:val="fr-FR"/>
        </w:rPr>
        <w:t> :</w:t>
      </w:r>
      <w:r w:rsidRPr="003156E8">
        <w:rPr>
          <w:lang w:val="fr-FR"/>
        </w:rPr>
        <w:t xml:space="preserve"> </w:t>
      </w:r>
      <w:r w:rsidR="005C78F8">
        <w:rPr>
          <w:lang w:val="fr-FR"/>
        </w:rPr>
        <w:t>i)</w:t>
      </w:r>
      <w:r w:rsidR="00CC0F0F">
        <w:rPr>
          <w:lang w:val="fr-FR"/>
        </w:rPr>
        <w:t> </w:t>
      </w:r>
      <w:r w:rsidRPr="003156E8">
        <w:rPr>
          <w:lang w:val="fr-FR"/>
        </w:rPr>
        <w:t>une direction chargée de la santé des populations autochtones</w:t>
      </w:r>
      <w:r w:rsidR="005C78F8">
        <w:rPr>
          <w:lang w:val="fr-FR"/>
        </w:rPr>
        <w:t> ;</w:t>
      </w:r>
      <w:r w:rsidRPr="003156E8">
        <w:rPr>
          <w:lang w:val="fr-FR"/>
        </w:rPr>
        <w:t xml:space="preserve"> et </w:t>
      </w:r>
      <w:r w:rsidR="005C78F8">
        <w:rPr>
          <w:lang w:val="fr-FR"/>
        </w:rPr>
        <w:t>ii)</w:t>
      </w:r>
      <w:r w:rsidR="00CC0F0F">
        <w:rPr>
          <w:lang w:val="fr-FR"/>
        </w:rPr>
        <w:t> </w:t>
      </w:r>
      <w:r w:rsidRPr="003156E8">
        <w:rPr>
          <w:lang w:val="fr-FR"/>
        </w:rPr>
        <w:t>une direction chargée de la santé des populations d</w:t>
      </w:r>
      <w:r>
        <w:rPr>
          <w:lang w:val="fr-FR"/>
        </w:rPr>
        <w:t>’</w:t>
      </w:r>
      <w:r w:rsidRPr="003156E8">
        <w:rPr>
          <w:lang w:val="fr-FR"/>
        </w:rPr>
        <w:t xml:space="preserve">ascendance africaine, qui </w:t>
      </w:r>
      <w:r>
        <w:rPr>
          <w:lang w:val="fr-FR"/>
        </w:rPr>
        <w:t>ont pour mission</w:t>
      </w:r>
      <w:r w:rsidRPr="003156E8">
        <w:rPr>
          <w:lang w:val="fr-FR"/>
        </w:rPr>
        <w:t xml:space="preserve"> de concevoir des stratégies pour mettre en œuvre et assurer le suivi des politiques de santé publique dans les communautés autochtones et afro-vénézuéliennes, respectivement, l</w:t>
      </w:r>
      <w:r>
        <w:rPr>
          <w:lang w:val="fr-FR"/>
        </w:rPr>
        <w:t>’</w:t>
      </w:r>
      <w:r w:rsidRPr="003156E8">
        <w:rPr>
          <w:lang w:val="fr-FR"/>
        </w:rPr>
        <w:t>objectif étant d</w:t>
      </w:r>
      <w:r>
        <w:rPr>
          <w:lang w:val="fr-FR"/>
        </w:rPr>
        <w:t>’</w:t>
      </w:r>
      <w:r w:rsidRPr="003156E8">
        <w:rPr>
          <w:lang w:val="fr-FR"/>
        </w:rPr>
        <w:t>intégrer l</w:t>
      </w:r>
      <w:r>
        <w:rPr>
          <w:lang w:val="fr-FR"/>
        </w:rPr>
        <w:t>’</w:t>
      </w:r>
      <w:r w:rsidRPr="003156E8">
        <w:rPr>
          <w:lang w:val="fr-FR"/>
        </w:rPr>
        <w:t>approche interculturelle dans les plans, les programmes et les projets de tous les services et programmes nationaux de santé du système national de santé publique</w:t>
      </w:r>
      <w:r w:rsidR="00244AED" w:rsidRPr="00244AED">
        <w:rPr>
          <w:lang w:val="fr-FR"/>
        </w:rPr>
        <w:t>.</w:t>
      </w:r>
    </w:p>
    <w:p w14:paraId="1E82E26D" w14:textId="5395D6D9" w:rsidR="00F30B21" w:rsidRPr="003156E8" w:rsidRDefault="00F30B21" w:rsidP="00F30B21">
      <w:pPr>
        <w:pStyle w:val="SingleTxtG"/>
        <w:rPr>
          <w:lang w:val="fr-FR"/>
        </w:rPr>
      </w:pPr>
      <w:r w:rsidRPr="003156E8">
        <w:rPr>
          <w:color w:val="000000" w:themeColor="text1"/>
          <w:lang w:val="fr-FR"/>
        </w:rPr>
        <w:t>121</w:t>
      </w:r>
      <w:r w:rsidR="00244AED" w:rsidRPr="00244AED">
        <w:rPr>
          <w:color w:val="000000" w:themeColor="text1"/>
          <w:lang w:val="fr-FR"/>
        </w:rPr>
        <w:t>.</w:t>
      </w:r>
      <w:r w:rsidRPr="003156E8">
        <w:rPr>
          <w:color w:val="000000" w:themeColor="text1"/>
          <w:lang w:val="fr-FR"/>
        </w:rPr>
        <w:tab/>
      </w:r>
      <w:r w:rsidRPr="003156E8">
        <w:rPr>
          <w:lang w:val="fr-FR"/>
        </w:rPr>
        <w:t>La République bolivarienne du Venezuela a encouragé l</w:t>
      </w:r>
      <w:r>
        <w:rPr>
          <w:lang w:val="fr-FR"/>
        </w:rPr>
        <w:t>’</w:t>
      </w:r>
      <w:r w:rsidRPr="003156E8">
        <w:rPr>
          <w:lang w:val="fr-FR"/>
        </w:rPr>
        <w:t>intégration de l</w:t>
      </w:r>
      <w:r>
        <w:rPr>
          <w:lang w:val="fr-FR"/>
        </w:rPr>
        <w:t>’</w:t>
      </w:r>
      <w:r w:rsidRPr="003156E8">
        <w:rPr>
          <w:lang w:val="fr-FR"/>
        </w:rPr>
        <w:t>approche interculturelle dans le système national de santé publique dans 11 États ayant une population autochtone, grâce à 38 services de prise en charge et d</w:t>
      </w:r>
      <w:r>
        <w:rPr>
          <w:lang w:val="fr-FR"/>
        </w:rPr>
        <w:t>’</w:t>
      </w:r>
      <w:r w:rsidRPr="003156E8">
        <w:rPr>
          <w:lang w:val="fr-FR"/>
        </w:rPr>
        <w:t>orientation de la population autochtone qui assurent, de manière transversale, à tous les niveaux de soins, une orientation, des conseils et un accompagnement des patients autochtones et de leurs proches</w:t>
      </w:r>
      <w:r w:rsidR="00244AED" w:rsidRPr="00244AED">
        <w:rPr>
          <w:lang w:val="fr-FR"/>
        </w:rPr>
        <w:t>.</w:t>
      </w:r>
    </w:p>
    <w:p w14:paraId="1E3522ED" w14:textId="3956B25C" w:rsidR="00F30B21" w:rsidRPr="003156E8" w:rsidRDefault="00F30B21" w:rsidP="00F30B21">
      <w:pPr>
        <w:pStyle w:val="SingleTxtG"/>
        <w:rPr>
          <w:lang w:val="fr-FR"/>
        </w:rPr>
      </w:pPr>
      <w:r w:rsidRPr="003156E8">
        <w:rPr>
          <w:color w:val="000000" w:themeColor="text1"/>
          <w:lang w:val="fr-FR"/>
        </w:rPr>
        <w:t>122</w:t>
      </w:r>
      <w:r w:rsidR="00244AED" w:rsidRPr="00244AED">
        <w:rPr>
          <w:color w:val="000000" w:themeColor="text1"/>
          <w:lang w:val="fr-FR"/>
        </w:rPr>
        <w:t>.</w:t>
      </w:r>
      <w:r w:rsidRPr="003156E8">
        <w:rPr>
          <w:color w:val="000000" w:themeColor="text1"/>
          <w:lang w:val="fr-FR"/>
        </w:rPr>
        <w:tab/>
      </w:r>
      <w:r w:rsidRPr="003156E8">
        <w:rPr>
          <w:lang w:val="fr-FR"/>
        </w:rPr>
        <w:t xml:space="preserve">Le projet </w:t>
      </w:r>
      <w:r w:rsidRPr="003156E8">
        <w:rPr>
          <w:i/>
          <w:iCs/>
          <w:lang w:val="fr-FR"/>
        </w:rPr>
        <w:t xml:space="preserve">Cacique </w:t>
      </w:r>
      <w:proofErr w:type="spellStart"/>
      <w:r w:rsidRPr="003156E8">
        <w:rPr>
          <w:i/>
          <w:iCs/>
          <w:lang w:val="fr-FR"/>
        </w:rPr>
        <w:t>Nigale</w:t>
      </w:r>
      <w:proofErr w:type="spellEnd"/>
      <w:r w:rsidRPr="003156E8">
        <w:rPr>
          <w:lang w:val="fr-FR"/>
        </w:rPr>
        <w:t xml:space="preserve"> a été mis en place dans le cadre d</w:t>
      </w:r>
      <w:r>
        <w:rPr>
          <w:lang w:val="fr-FR"/>
        </w:rPr>
        <w:t>’</w:t>
      </w:r>
      <w:r w:rsidRPr="003156E8">
        <w:rPr>
          <w:lang w:val="fr-FR"/>
        </w:rPr>
        <w:t>un accord entre le Ministère du pouvoir populaire en charge de la santé et l</w:t>
      </w:r>
      <w:r>
        <w:rPr>
          <w:lang w:val="fr-FR"/>
        </w:rPr>
        <w:t>’</w:t>
      </w:r>
      <w:r w:rsidRPr="003156E8">
        <w:rPr>
          <w:lang w:val="fr-FR"/>
        </w:rPr>
        <w:t xml:space="preserve">université </w:t>
      </w:r>
      <w:proofErr w:type="spellStart"/>
      <w:r w:rsidRPr="003156E8">
        <w:rPr>
          <w:lang w:val="fr-FR"/>
        </w:rPr>
        <w:t>Rómulo</w:t>
      </w:r>
      <w:proofErr w:type="spellEnd"/>
      <w:r w:rsidRPr="003156E8">
        <w:rPr>
          <w:lang w:val="fr-FR"/>
        </w:rPr>
        <w:t xml:space="preserve"> Gallegos de l</w:t>
      </w:r>
      <w:r>
        <w:rPr>
          <w:lang w:val="fr-FR"/>
        </w:rPr>
        <w:t>’</w:t>
      </w:r>
      <w:r w:rsidRPr="003156E8">
        <w:rPr>
          <w:lang w:val="fr-FR"/>
        </w:rPr>
        <w:t>État de Guárico</w:t>
      </w:r>
      <w:r w:rsidR="00244AED" w:rsidRPr="00244AED">
        <w:rPr>
          <w:lang w:val="fr-FR"/>
        </w:rPr>
        <w:t>.</w:t>
      </w:r>
      <w:r w:rsidRPr="003156E8">
        <w:rPr>
          <w:lang w:val="fr-FR"/>
        </w:rPr>
        <w:t xml:space="preserve"> Il a permis de créer les conditions nécessaires pour former des médecins </w:t>
      </w:r>
      <w:r w:rsidRPr="003156E8">
        <w:rPr>
          <w:lang w:val="fr-FR"/>
        </w:rPr>
        <w:lastRenderedPageBreak/>
        <w:t>généralistes autochtones : 49 médecins ont été diplômés et travaillent actuellement dans leurs communautés d</w:t>
      </w:r>
      <w:r>
        <w:rPr>
          <w:lang w:val="fr-FR"/>
        </w:rPr>
        <w:t>’</w:t>
      </w:r>
      <w:r w:rsidRPr="003156E8">
        <w:rPr>
          <w:lang w:val="fr-FR"/>
        </w:rPr>
        <w:t>origine</w:t>
      </w:r>
      <w:r w:rsidR="00244AED" w:rsidRPr="00244AED">
        <w:rPr>
          <w:lang w:val="fr-FR"/>
        </w:rPr>
        <w:t>.</w:t>
      </w:r>
    </w:p>
    <w:p w14:paraId="7789A1D4" w14:textId="0D3824C2" w:rsidR="00F30B21" w:rsidRPr="003156E8" w:rsidRDefault="00F30B21" w:rsidP="00F30B21">
      <w:pPr>
        <w:pStyle w:val="SingleTxtG"/>
        <w:rPr>
          <w:lang w:val="fr-FR"/>
        </w:rPr>
      </w:pPr>
      <w:r w:rsidRPr="003156E8">
        <w:rPr>
          <w:color w:val="000000" w:themeColor="text1"/>
          <w:lang w:val="fr-FR"/>
        </w:rPr>
        <w:t>123</w:t>
      </w:r>
      <w:r w:rsidR="00244AED" w:rsidRPr="00244AED">
        <w:rPr>
          <w:color w:val="000000" w:themeColor="text1"/>
          <w:lang w:val="fr-FR"/>
        </w:rPr>
        <w:t>.</w:t>
      </w:r>
      <w:r w:rsidRPr="003156E8">
        <w:rPr>
          <w:color w:val="000000" w:themeColor="text1"/>
          <w:lang w:val="fr-FR"/>
        </w:rPr>
        <w:tab/>
      </w:r>
      <w:r w:rsidRPr="003156E8">
        <w:rPr>
          <w:lang w:val="fr-FR"/>
        </w:rPr>
        <w:t xml:space="preserve">Le Ministère du pouvoir populaire en charge de la santé a également mis en œuvre le Plan de santé </w:t>
      </w:r>
      <w:r w:rsidRPr="003156E8">
        <w:rPr>
          <w:i/>
          <w:iCs/>
          <w:lang w:val="fr-FR"/>
        </w:rPr>
        <w:t>Yanomami</w:t>
      </w:r>
      <w:r w:rsidRPr="003156E8">
        <w:rPr>
          <w:lang w:val="fr-FR"/>
        </w:rPr>
        <w:t xml:space="preserve"> et le Plan de santé </w:t>
      </w:r>
      <w:r w:rsidRPr="003156E8">
        <w:rPr>
          <w:i/>
          <w:iCs/>
          <w:lang w:val="fr-FR"/>
        </w:rPr>
        <w:t>Apure</w:t>
      </w:r>
      <w:r w:rsidRPr="003156E8">
        <w:rPr>
          <w:lang w:val="fr-FR"/>
        </w:rPr>
        <w:t xml:space="preserve"> pour garantir l</w:t>
      </w:r>
      <w:r>
        <w:rPr>
          <w:lang w:val="fr-FR"/>
        </w:rPr>
        <w:t>’</w:t>
      </w:r>
      <w:r w:rsidRPr="003156E8">
        <w:rPr>
          <w:lang w:val="fr-FR"/>
        </w:rPr>
        <w:t>accès aux programmes prioritaires dans les communautés autochtones difficilement accessibles</w:t>
      </w:r>
      <w:r w:rsidR="00244AED" w:rsidRPr="00244AED">
        <w:rPr>
          <w:lang w:val="fr-FR"/>
        </w:rPr>
        <w:t>.</w:t>
      </w:r>
      <w:r w:rsidRPr="003156E8">
        <w:rPr>
          <w:lang w:val="fr-FR"/>
        </w:rPr>
        <w:t xml:space="preserve"> Dans le cadre de ce plan, 37 agents appartenant à la communauté Yanomami ont été formés pour fournir des soins de santé primaire aux communautés autochtones difficilement accessibles et frontalières de la municipalité d</w:t>
      </w:r>
      <w:r>
        <w:rPr>
          <w:lang w:val="fr-FR"/>
        </w:rPr>
        <w:t>’</w:t>
      </w:r>
      <w:r w:rsidRPr="003156E8">
        <w:rPr>
          <w:lang w:val="fr-FR"/>
        </w:rPr>
        <w:t>Alto Orinoco, dans l</w:t>
      </w:r>
      <w:r>
        <w:rPr>
          <w:lang w:val="fr-FR"/>
        </w:rPr>
        <w:t>’</w:t>
      </w:r>
      <w:r w:rsidRPr="003156E8">
        <w:rPr>
          <w:lang w:val="fr-FR"/>
        </w:rPr>
        <w:t>État d</w:t>
      </w:r>
      <w:r>
        <w:rPr>
          <w:lang w:val="fr-FR"/>
        </w:rPr>
        <w:t>’</w:t>
      </w:r>
      <w:r w:rsidRPr="003156E8">
        <w:rPr>
          <w:lang w:val="fr-FR"/>
        </w:rPr>
        <w:t>Amazonas</w:t>
      </w:r>
      <w:r w:rsidR="00244AED" w:rsidRPr="00244AED">
        <w:rPr>
          <w:lang w:val="fr-FR"/>
        </w:rPr>
        <w:t>.</w:t>
      </w:r>
    </w:p>
    <w:p w14:paraId="76124A02" w14:textId="2E284405" w:rsidR="00F30B21" w:rsidRPr="003156E8" w:rsidRDefault="00F30B21" w:rsidP="00F30B21">
      <w:pPr>
        <w:pStyle w:val="SingleTxtG"/>
        <w:rPr>
          <w:lang w:val="fr-FR"/>
        </w:rPr>
      </w:pPr>
      <w:r w:rsidRPr="003156E8">
        <w:rPr>
          <w:color w:val="000000" w:themeColor="text1"/>
          <w:lang w:val="fr-FR"/>
        </w:rPr>
        <w:t>124</w:t>
      </w:r>
      <w:r w:rsidR="00244AED" w:rsidRPr="00244AED">
        <w:rPr>
          <w:color w:val="000000" w:themeColor="text1"/>
          <w:lang w:val="fr-FR"/>
        </w:rPr>
        <w:t>.</w:t>
      </w:r>
      <w:r w:rsidRPr="003156E8">
        <w:rPr>
          <w:color w:val="000000" w:themeColor="text1"/>
          <w:lang w:val="fr-FR"/>
        </w:rPr>
        <w:tab/>
      </w:r>
      <w:r w:rsidRPr="003156E8">
        <w:rPr>
          <w:lang w:val="fr-FR"/>
        </w:rPr>
        <w:t>La direction chargée de la santé des populations d</w:t>
      </w:r>
      <w:r>
        <w:rPr>
          <w:lang w:val="fr-FR"/>
        </w:rPr>
        <w:t>’</w:t>
      </w:r>
      <w:r w:rsidRPr="003156E8">
        <w:rPr>
          <w:lang w:val="fr-FR"/>
        </w:rPr>
        <w:t>ascendance africaine compte deux départements</w:t>
      </w:r>
      <w:r>
        <w:rPr>
          <w:lang w:val="fr-FR"/>
        </w:rPr>
        <w:t>,</w:t>
      </w:r>
      <w:r w:rsidRPr="003156E8">
        <w:rPr>
          <w:lang w:val="fr-FR"/>
        </w:rPr>
        <w:t xml:space="preserve"> </w:t>
      </w:r>
      <w:r>
        <w:rPr>
          <w:lang w:val="fr-FR"/>
        </w:rPr>
        <w:t xml:space="preserve">qui </w:t>
      </w:r>
      <w:r w:rsidRPr="003156E8">
        <w:rPr>
          <w:lang w:val="fr-FR"/>
        </w:rPr>
        <w:t>mett</w:t>
      </w:r>
      <w:r>
        <w:rPr>
          <w:lang w:val="fr-FR"/>
        </w:rPr>
        <w:t>ent</w:t>
      </w:r>
      <w:r w:rsidRPr="003156E8">
        <w:rPr>
          <w:lang w:val="fr-FR"/>
        </w:rPr>
        <w:t xml:space="preserve"> en œuvre des mécanismes d</w:t>
      </w:r>
      <w:r>
        <w:rPr>
          <w:lang w:val="fr-FR"/>
        </w:rPr>
        <w:t>’</w:t>
      </w:r>
      <w:r w:rsidRPr="003156E8">
        <w:rPr>
          <w:lang w:val="fr-FR"/>
        </w:rPr>
        <w:t>action permettant de garantir aux p</w:t>
      </w:r>
      <w:r>
        <w:rPr>
          <w:lang w:val="fr-FR"/>
        </w:rPr>
        <w:t>opulations</w:t>
      </w:r>
      <w:r w:rsidRPr="003156E8">
        <w:rPr>
          <w:lang w:val="fr-FR"/>
        </w:rPr>
        <w:t xml:space="preserve"> et communautés afro-vénézuéliens l</w:t>
      </w:r>
      <w:r>
        <w:rPr>
          <w:lang w:val="fr-FR"/>
        </w:rPr>
        <w:t>’</w:t>
      </w:r>
      <w:r w:rsidRPr="003156E8">
        <w:rPr>
          <w:lang w:val="fr-FR"/>
        </w:rPr>
        <w:t>exercice du droit à la non-discrimination, à la santé publique, à l</w:t>
      </w:r>
      <w:r>
        <w:rPr>
          <w:lang w:val="fr-FR"/>
        </w:rPr>
        <w:t>’</w:t>
      </w:r>
      <w:r w:rsidRPr="003156E8">
        <w:rPr>
          <w:lang w:val="fr-FR"/>
        </w:rPr>
        <w:t>assistance médicale et aux services sociaux</w:t>
      </w:r>
      <w:r w:rsidR="00244AED" w:rsidRPr="00244AED">
        <w:rPr>
          <w:lang w:val="fr-FR"/>
        </w:rPr>
        <w:t>.</w:t>
      </w:r>
    </w:p>
    <w:p w14:paraId="36AE22A4" w14:textId="3B79E6C5" w:rsidR="00F30B21" w:rsidRPr="003156E8" w:rsidRDefault="00F30B21" w:rsidP="00F30B21">
      <w:pPr>
        <w:pStyle w:val="SingleTxtG"/>
        <w:rPr>
          <w:lang w:val="fr-FR"/>
        </w:rPr>
      </w:pPr>
      <w:r w:rsidRPr="003156E8">
        <w:rPr>
          <w:color w:val="000000" w:themeColor="text1"/>
          <w:lang w:val="fr-FR"/>
        </w:rPr>
        <w:t>125</w:t>
      </w:r>
      <w:r w:rsidR="00244AED" w:rsidRPr="00244AED">
        <w:rPr>
          <w:color w:val="000000" w:themeColor="text1"/>
          <w:lang w:val="fr-FR"/>
        </w:rPr>
        <w:t>.</w:t>
      </w:r>
      <w:r w:rsidRPr="003156E8">
        <w:rPr>
          <w:color w:val="000000" w:themeColor="text1"/>
          <w:lang w:val="fr-FR"/>
        </w:rPr>
        <w:tab/>
      </w:r>
      <w:r w:rsidRPr="003156E8">
        <w:rPr>
          <w:lang w:val="fr-FR"/>
        </w:rPr>
        <w:t>Le département des plans et des projets de santé destinés aux Afro-vénézuéliens a pour mission de concevoir des plans et des projets tenant compte du contexte géographique et environnemental et de la vision du monde des populations cibles, pour améliorer la qualité des services offerts aux communautés afro-vénézuéliennes, assurer leur évaluation, leur suivi et leur mise en œuvre et en mesurer les effets</w:t>
      </w:r>
      <w:r w:rsidR="00244AED" w:rsidRPr="00244AED">
        <w:rPr>
          <w:lang w:val="fr-FR"/>
        </w:rPr>
        <w:t>.</w:t>
      </w:r>
      <w:r w:rsidRPr="003156E8">
        <w:rPr>
          <w:lang w:val="fr-FR"/>
        </w:rPr>
        <w:t xml:space="preserve"> Il travaille dans le respect des politiques, des stratégies et des réglementations en vigueur, en coordination avec les communautés organisées et les différentes institutions gouvernementales et non gouvernementales de chaque région</w:t>
      </w:r>
      <w:r w:rsidR="00244AED" w:rsidRPr="00244AED">
        <w:rPr>
          <w:lang w:val="fr-FR"/>
        </w:rPr>
        <w:t>.</w:t>
      </w:r>
    </w:p>
    <w:p w14:paraId="5173C76B" w14:textId="57E51EC9" w:rsidR="00F30B21" w:rsidRPr="003156E8" w:rsidRDefault="00F30B21" w:rsidP="00F30B21">
      <w:pPr>
        <w:pStyle w:val="SingleTxtG"/>
        <w:rPr>
          <w:lang w:val="fr-FR"/>
        </w:rPr>
      </w:pPr>
      <w:r w:rsidRPr="003156E8">
        <w:rPr>
          <w:color w:val="000000" w:themeColor="text1"/>
          <w:lang w:val="fr-FR"/>
        </w:rPr>
        <w:t>126</w:t>
      </w:r>
      <w:r w:rsidR="00244AED" w:rsidRPr="00244AED">
        <w:rPr>
          <w:color w:val="000000" w:themeColor="text1"/>
          <w:lang w:val="fr-FR"/>
        </w:rPr>
        <w:t>.</w:t>
      </w:r>
      <w:r w:rsidRPr="003156E8">
        <w:rPr>
          <w:color w:val="000000" w:themeColor="text1"/>
          <w:lang w:val="fr-FR"/>
        </w:rPr>
        <w:tab/>
      </w:r>
      <w:r w:rsidRPr="003156E8">
        <w:rPr>
          <w:lang w:val="fr-FR"/>
        </w:rPr>
        <w:t>Le département de la pertinence socioculturelle et de la recherche sur la médecine ancestrale d</w:t>
      </w:r>
      <w:r>
        <w:rPr>
          <w:lang w:val="fr-FR"/>
        </w:rPr>
        <w:t>’</w:t>
      </w:r>
      <w:r w:rsidRPr="003156E8">
        <w:rPr>
          <w:lang w:val="fr-FR"/>
        </w:rPr>
        <w:t>origine africaine a pour mission de concevoir et d</w:t>
      </w:r>
      <w:r>
        <w:rPr>
          <w:lang w:val="fr-FR"/>
        </w:rPr>
        <w:t>’</w:t>
      </w:r>
      <w:r w:rsidRPr="003156E8">
        <w:rPr>
          <w:lang w:val="fr-FR"/>
        </w:rPr>
        <w:t>accompagner la mise en œuvre de mesures et de stratégies visant à respecter et à promouvoir une approche interculturelle et pertinente sur le plan ethnique et socioculturel</w:t>
      </w:r>
      <w:r w:rsidR="00244AED" w:rsidRPr="00244AED">
        <w:rPr>
          <w:lang w:val="fr-FR"/>
        </w:rPr>
        <w:t>.</w:t>
      </w:r>
      <w:r w:rsidRPr="003156E8">
        <w:rPr>
          <w:lang w:val="fr-FR"/>
        </w:rPr>
        <w:t xml:space="preserve"> Ces mesures doivent être adaptées aux besoins des communautés, garantir l</w:t>
      </w:r>
      <w:r>
        <w:rPr>
          <w:lang w:val="fr-FR"/>
        </w:rPr>
        <w:t>’</w:t>
      </w:r>
      <w:r w:rsidRPr="003156E8">
        <w:rPr>
          <w:lang w:val="fr-FR"/>
        </w:rPr>
        <w:t>intégration et la mise en œuvre des politiques de santé dans les plans, les programmes et les projets de santé, et favoriser la recherche et la dynamisation des connaissances et des pratiques thérapeutiques afro-vénézuéliennes afin de renforcer le patrimoine documentaire et informationnel sur la médecine ancestrale, les bonnes pratiques, les modes de vie, les comportements et les déterminants sociaux de la santé</w:t>
      </w:r>
      <w:r w:rsidR="00244AED" w:rsidRPr="00244AED">
        <w:rPr>
          <w:lang w:val="fr-FR"/>
        </w:rPr>
        <w:t>.</w:t>
      </w:r>
    </w:p>
    <w:p w14:paraId="61B6258B" w14:textId="157C164E" w:rsidR="00F30B21" w:rsidRPr="003156E8" w:rsidRDefault="00F30B21" w:rsidP="00F30B21">
      <w:pPr>
        <w:pStyle w:val="SingleTxtG"/>
        <w:rPr>
          <w:lang w:val="fr-FR"/>
        </w:rPr>
      </w:pPr>
      <w:r w:rsidRPr="003156E8">
        <w:rPr>
          <w:color w:val="000000" w:themeColor="text1"/>
          <w:lang w:val="fr-FR"/>
        </w:rPr>
        <w:t>127</w:t>
      </w:r>
      <w:r w:rsidR="00244AED" w:rsidRPr="00244AED">
        <w:rPr>
          <w:color w:val="000000" w:themeColor="text1"/>
          <w:lang w:val="fr-FR"/>
        </w:rPr>
        <w:t>.</w:t>
      </w:r>
      <w:r w:rsidRPr="003156E8">
        <w:rPr>
          <w:color w:val="000000" w:themeColor="text1"/>
          <w:lang w:val="fr-FR"/>
        </w:rPr>
        <w:tab/>
      </w:r>
      <w:r w:rsidRPr="003156E8">
        <w:rPr>
          <w:lang w:val="fr-FR"/>
        </w:rPr>
        <w:t>Grâce aux politiques de protection sociale mises en place, l</w:t>
      </w:r>
      <w:r>
        <w:rPr>
          <w:lang w:val="fr-FR"/>
        </w:rPr>
        <w:t>’</w:t>
      </w:r>
      <w:r w:rsidRPr="003156E8">
        <w:rPr>
          <w:lang w:val="fr-FR"/>
        </w:rPr>
        <w:t>espérance de vie des femmes a continué d</w:t>
      </w:r>
      <w:r>
        <w:rPr>
          <w:lang w:val="fr-FR"/>
        </w:rPr>
        <w:t>’</w:t>
      </w:r>
      <w:r w:rsidRPr="003156E8">
        <w:rPr>
          <w:lang w:val="fr-FR"/>
        </w:rPr>
        <w:t>augmenter, passant de 76,58 ans en 2014 à 78 ans en 2020</w:t>
      </w:r>
      <w:r w:rsidR="00244AED" w:rsidRPr="00244AED">
        <w:rPr>
          <w:lang w:val="fr-FR"/>
        </w:rPr>
        <w:t>.</w:t>
      </w:r>
    </w:p>
    <w:p w14:paraId="23CB1EE3" w14:textId="240D9727" w:rsidR="00F30B21" w:rsidRPr="003156E8" w:rsidRDefault="00F30B21" w:rsidP="00F30B21">
      <w:pPr>
        <w:pStyle w:val="SingleTxtG"/>
        <w:rPr>
          <w:lang w:val="fr-FR"/>
        </w:rPr>
      </w:pPr>
      <w:r w:rsidRPr="003156E8">
        <w:rPr>
          <w:color w:val="000000" w:themeColor="text1"/>
          <w:lang w:val="fr-FR"/>
        </w:rPr>
        <w:t>128</w:t>
      </w:r>
      <w:r w:rsidR="00244AED" w:rsidRPr="00244AED">
        <w:rPr>
          <w:color w:val="000000" w:themeColor="text1"/>
          <w:lang w:val="fr-FR"/>
        </w:rPr>
        <w:t>.</w:t>
      </w:r>
      <w:r w:rsidRPr="003156E8">
        <w:rPr>
          <w:color w:val="000000" w:themeColor="text1"/>
          <w:lang w:val="fr-FR"/>
        </w:rPr>
        <w:tab/>
      </w:r>
      <w:r w:rsidRPr="003156E8">
        <w:rPr>
          <w:lang w:val="fr-FR"/>
        </w:rPr>
        <w:t xml:space="preserve">En 2014, le premier plan national pour la protection des droits des femmes en matière de sexualité et de procréation </w:t>
      </w:r>
      <w:r>
        <w:rPr>
          <w:lang w:val="fr-FR"/>
        </w:rPr>
        <w:t>(</w:t>
      </w:r>
      <w:r w:rsidRPr="003156E8">
        <w:rPr>
          <w:lang w:val="fr-FR"/>
        </w:rPr>
        <w:t>2014-2019</w:t>
      </w:r>
      <w:r>
        <w:rPr>
          <w:lang w:val="fr-FR"/>
        </w:rPr>
        <w:t>)</w:t>
      </w:r>
      <w:r w:rsidRPr="003156E8">
        <w:rPr>
          <w:lang w:val="fr-FR"/>
        </w:rPr>
        <w:t xml:space="preserve"> a été formulé selon une approche participative et démocratique</w:t>
      </w:r>
      <w:r w:rsidR="00244AED" w:rsidRPr="00244AED">
        <w:rPr>
          <w:lang w:val="fr-FR"/>
        </w:rPr>
        <w:t>.</w:t>
      </w:r>
      <w:r w:rsidRPr="003156E8">
        <w:rPr>
          <w:lang w:val="fr-FR"/>
        </w:rPr>
        <w:t xml:space="preserve"> Le plan national pour un accouchement humanisé et le plan national de prévention des grossesses précoces ont été adoptés par la suite</w:t>
      </w:r>
      <w:r w:rsidR="00244AED" w:rsidRPr="00244AED">
        <w:rPr>
          <w:lang w:val="fr-FR"/>
        </w:rPr>
        <w:t>.</w:t>
      </w:r>
      <w:r w:rsidRPr="003156E8">
        <w:rPr>
          <w:lang w:val="fr-FR"/>
        </w:rPr>
        <w:t xml:space="preserve"> En 2020, une autre consultation publique a été organisée pour définir le contenu du plan pour les années suivantes</w:t>
      </w:r>
      <w:r w:rsidR="00244AED" w:rsidRPr="00244AED">
        <w:rPr>
          <w:lang w:val="fr-FR"/>
        </w:rPr>
        <w:t>.</w:t>
      </w:r>
    </w:p>
    <w:p w14:paraId="426CB8B1" w14:textId="00DDB83E" w:rsidR="00F30B21" w:rsidRPr="003156E8" w:rsidRDefault="00F30B21" w:rsidP="00F30B21">
      <w:pPr>
        <w:pStyle w:val="SingleTxtG"/>
        <w:rPr>
          <w:lang w:val="fr-FR"/>
        </w:rPr>
      </w:pPr>
      <w:r w:rsidRPr="003156E8">
        <w:rPr>
          <w:color w:val="000000" w:themeColor="text1"/>
          <w:lang w:val="fr-FR"/>
        </w:rPr>
        <w:t>129</w:t>
      </w:r>
      <w:r w:rsidR="00244AED" w:rsidRPr="00244AED">
        <w:rPr>
          <w:color w:val="000000" w:themeColor="text1"/>
          <w:lang w:val="fr-FR"/>
        </w:rPr>
        <w:t>.</w:t>
      </w:r>
      <w:r w:rsidRPr="003156E8">
        <w:rPr>
          <w:color w:val="000000" w:themeColor="text1"/>
          <w:lang w:val="fr-FR"/>
        </w:rPr>
        <w:tab/>
      </w:r>
      <w:r w:rsidRPr="003156E8">
        <w:rPr>
          <w:lang w:val="fr-FR"/>
        </w:rPr>
        <w:t xml:space="preserve">Les mesures coercitives unilatérales prises </w:t>
      </w:r>
      <w:r>
        <w:rPr>
          <w:lang w:val="fr-FR"/>
        </w:rPr>
        <w:t>contre</w:t>
      </w:r>
      <w:r w:rsidRPr="003156E8">
        <w:rPr>
          <w:lang w:val="fr-FR"/>
        </w:rPr>
        <w:t xml:space="preserve"> </w:t>
      </w:r>
      <w:r>
        <w:rPr>
          <w:lang w:val="fr-FR"/>
        </w:rPr>
        <w:t>le</w:t>
      </w:r>
      <w:r w:rsidRPr="003156E8">
        <w:rPr>
          <w:lang w:val="fr-FR"/>
        </w:rPr>
        <w:t xml:space="preserve"> Venezuela depuis 2014 ont eu un effet délétère et ont entraîné une augmentation de la mortalité maternelle, jusque-là stable</w:t>
      </w:r>
      <w:r w:rsidRPr="00F30B21">
        <w:rPr>
          <w:rStyle w:val="Appelnotedebasdep"/>
        </w:rPr>
        <w:footnoteReference w:id="30"/>
      </w:r>
      <w:r w:rsidR="00244AED" w:rsidRPr="00244AED">
        <w:rPr>
          <w:lang w:val="fr-FR"/>
        </w:rPr>
        <w:t>.</w:t>
      </w:r>
      <w:r w:rsidRPr="003156E8">
        <w:rPr>
          <w:lang w:val="fr-FR"/>
        </w:rPr>
        <w:t xml:space="preserve"> </w:t>
      </w:r>
      <w:r>
        <w:rPr>
          <w:lang w:val="fr-FR"/>
        </w:rPr>
        <w:t>Depuis</w:t>
      </w:r>
      <w:r w:rsidRPr="003156E8">
        <w:rPr>
          <w:lang w:val="fr-FR"/>
        </w:rPr>
        <w:t xml:space="preserve"> 2016, on observe une baisse de la mortalité maternelle grâce, notamment, à la stratégie concertée pour la réduction de la mortalité maternelle et </w:t>
      </w:r>
      <w:proofErr w:type="spellStart"/>
      <w:r w:rsidRPr="003156E8">
        <w:rPr>
          <w:lang w:val="fr-FR"/>
        </w:rPr>
        <w:t>néonatale</w:t>
      </w:r>
      <w:proofErr w:type="spellEnd"/>
      <w:r w:rsidRPr="00F30B21">
        <w:rPr>
          <w:rStyle w:val="Appelnotedebasdep"/>
        </w:rPr>
        <w:footnoteReference w:id="31"/>
      </w:r>
      <w:r w:rsidRPr="003156E8">
        <w:rPr>
          <w:lang w:val="fr-FR"/>
        </w:rPr>
        <w:t>, adoptée par l</w:t>
      </w:r>
      <w:r>
        <w:rPr>
          <w:lang w:val="fr-FR"/>
        </w:rPr>
        <w:t>’</w:t>
      </w:r>
      <w:r w:rsidRPr="003156E8">
        <w:rPr>
          <w:lang w:val="fr-FR"/>
        </w:rPr>
        <w:t>État en 2018 pour coordonner l</w:t>
      </w:r>
      <w:r>
        <w:rPr>
          <w:lang w:val="fr-FR"/>
        </w:rPr>
        <w:t>’</w:t>
      </w:r>
      <w:r w:rsidRPr="003156E8">
        <w:rPr>
          <w:lang w:val="fr-FR"/>
        </w:rPr>
        <w:t>action du Ministère du pouvoir populaire en charge de la santé, du Ministère du pouvoir populaire en charge de la condition féminine et de l</w:t>
      </w:r>
      <w:r>
        <w:rPr>
          <w:lang w:val="fr-FR"/>
        </w:rPr>
        <w:t>’</w:t>
      </w:r>
      <w:r w:rsidRPr="003156E8">
        <w:rPr>
          <w:lang w:val="fr-FR"/>
        </w:rPr>
        <w:t xml:space="preserve">égalité des sexes, des organisations non gouvernementales et des organismes de coopération </w:t>
      </w:r>
      <w:r w:rsidRPr="003156E8">
        <w:rPr>
          <w:lang w:val="fr-FR"/>
        </w:rPr>
        <w:lastRenderedPageBreak/>
        <w:t>internationale tels que l</w:t>
      </w:r>
      <w:r>
        <w:rPr>
          <w:lang w:val="fr-FR"/>
        </w:rPr>
        <w:t>’</w:t>
      </w:r>
      <w:r w:rsidRPr="003156E8">
        <w:rPr>
          <w:lang w:val="fr-FR"/>
        </w:rPr>
        <w:t>Organisation panaméricaine de la santé, le Fonds des Nations Unies pour la population et le Fonds des Nations Unies pour l</w:t>
      </w:r>
      <w:r>
        <w:rPr>
          <w:lang w:val="fr-FR"/>
        </w:rPr>
        <w:t>’</w:t>
      </w:r>
      <w:r w:rsidRPr="003156E8">
        <w:rPr>
          <w:lang w:val="fr-FR"/>
        </w:rPr>
        <w:t>enfance</w:t>
      </w:r>
      <w:r w:rsidR="00244AED" w:rsidRPr="00244AED">
        <w:rPr>
          <w:lang w:val="fr-FR"/>
        </w:rPr>
        <w:t>.</w:t>
      </w:r>
    </w:p>
    <w:p w14:paraId="5FF62A0D" w14:textId="2827ED65" w:rsidR="00F30B21" w:rsidRPr="003156E8" w:rsidRDefault="00F30B21" w:rsidP="00F30B21">
      <w:pPr>
        <w:pStyle w:val="SingleTxtG"/>
        <w:rPr>
          <w:lang w:val="fr-FR"/>
        </w:rPr>
      </w:pPr>
      <w:r w:rsidRPr="003156E8">
        <w:rPr>
          <w:color w:val="000000" w:themeColor="text1"/>
          <w:lang w:val="fr-FR"/>
        </w:rPr>
        <w:t>130</w:t>
      </w:r>
      <w:r w:rsidR="00244AED" w:rsidRPr="00244AED">
        <w:rPr>
          <w:color w:val="000000" w:themeColor="text1"/>
          <w:lang w:val="fr-FR"/>
        </w:rPr>
        <w:t>.</w:t>
      </w:r>
      <w:r w:rsidRPr="003156E8">
        <w:rPr>
          <w:color w:val="000000" w:themeColor="text1"/>
          <w:lang w:val="fr-FR"/>
        </w:rPr>
        <w:tab/>
      </w:r>
      <w:r w:rsidRPr="003156E8">
        <w:rPr>
          <w:lang w:val="fr-FR"/>
        </w:rPr>
        <w:t xml:space="preserve">Les mesures coercitives unilatérales prises </w:t>
      </w:r>
      <w:r>
        <w:rPr>
          <w:lang w:val="fr-FR"/>
        </w:rPr>
        <w:t>contre</w:t>
      </w:r>
      <w:r w:rsidRPr="003156E8">
        <w:rPr>
          <w:lang w:val="fr-FR"/>
        </w:rPr>
        <w:t xml:space="preserve"> </w:t>
      </w:r>
      <w:r>
        <w:rPr>
          <w:lang w:val="fr-FR"/>
        </w:rPr>
        <w:t>le</w:t>
      </w:r>
      <w:r w:rsidRPr="003156E8">
        <w:rPr>
          <w:lang w:val="fr-FR"/>
        </w:rPr>
        <w:t xml:space="preserve"> Venezuela ont également eu une incidence sur les politiques mises en place pour garantir l</w:t>
      </w:r>
      <w:r>
        <w:rPr>
          <w:lang w:val="fr-FR"/>
        </w:rPr>
        <w:t>’</w:t>
      </w:r>
      <w:r w:rsidRPr="003156E8">
        <w:rPr>
          <w:lang w:val="fr-FR"/>
        </w:rPr>
        <w:t>accès des femmes aux soins médicaux</w:t>
      </w:r>
      <w:r w:rsidR="00244AED" w:rsidRPr="00244AED">
        <w:rPr>
          <w:lang w:val="fr-FR"/>
        </w:rPr>
        <w:t>.</w:t>
      </w:r>
      <w:r w:rsidRPr="003156E8">
        <w:rPr>
          <w:lang w:val="fr-FR"/>
        </w:rPr>
        <w:t xml:space="preserve"> En effet, elles </w:t>
      </w:r>
      <w:r>
        <w:rPr>
          <w:lang w:val="fr-FR"/>
        </w:rPr>
        <w:t>entraînent des</w:t>
      </w:r>
      <w:r w:rsidRPr="003156E8">
        <w:rPr>
          <w:lang w:val="fr-FR"/>
        </w:rPr>
        <w:t xml:space="preserve"> difficultés pour acquérir des équipements spécialisés et des médicaments, ainsi que pour assurer l</w:t>
      </w:r>
      <w:r>
        <w:rPr>
          <w:lang w:val="fr-FR"/>
        </w:rPr>
        <w:t>’</w:t>
      </w:r>
      <w:r w:rsidRPr="003156E8">
        <w:rPr>
          <w:lang w:val="fr-FR"/>
        </w:rPr>
        <w:t>entretien des infrastructures et la disponibilité du personnel de santé</w:t>
      </w:r>
      <w:r w:rsidR="00244AED" w:rsidRPr="00244AED">
        <w:rPr>
          <w:lang w:val="fr-FR"/>
        </w:rPr>
        <w:t>.</w:t>
      </w:r>
    </w:p>
    <w:p w14:paraId="01B82711" w14:textId="3B1170F4" w:rsidR="00F30B21" w:rsidRPr="003156E8" w:rsidRDefault="00F30B21" w:rsidP="00F30B21">
      <w:pPr>
        <w:pStyle w:val="SingleTxtG"/>
        <w:rPr>
          <w:lang w:val="fr-FR"/>
        </w:rPr>
      </w:pPr>
      <w:r w:rsidRPr="003156E8">
        <w:rPr>
          <w:color w:val="000000" w:themeColor="text1"/>
          <w:lang w:val="fr-FR"/>
        </w:rPr>
        <w:t>131</w:t>
      </w:r>
      <w:r w:rsidR="00244AED" w:rsidRPr="00244AED">
        <w:rPr>
          <w:color w:val="000000" w:themeColor="text1"/>
          <w:lang w:val="fr-FR"/>
        </w:rPr>
        <w:t>.</w:t>
      </w:r>
      <w:r w:rsidRPr="003156E8">
        <w:rPr>
          <w:color w:val="000000" w:themeColor="text1"/>
          <w:lang w:val="fr-FR"/>
        </w:rPr>
        <w:tab/>
      </w:r>
      <w:r w:rsidRPr="003156E8">
        <w:rPr>
          <w:lang w:val="fr-FR"/>
        </w:rPr>
        <w:t>Le nombre de prestations médicales fournies aux femmes par l</w:t>
      </w:r>
      <w:r>
        <w:rPr>
          <w:lang w:val="fr-FR"/>
        </w:rPr>
        <w:t>’</w:t>
      </w:r>
      <w:r w:rsidRPr="003156E8">
        <w:rPr>
          <w:lang w:val="fr-FR"/>
        </w:rPr>
        <w:t>Institut vénézuélien de sécurité sociale est passé de 11 953 339 en 2014, avant l</w:t>
      </w:r>
      <w:r>
        <w:rPr>
          <w:lang w:val="fr-FR"/>
        </w:rPr>
        <w:t>’</w:t>
      </w:r>
      <w:r w:rsidRPr="003156E8">
        <w:rPr>
          <w:lang w:val="fr-FR"/>
        </w:rPr>
        <w:t>adoption des mesures coercitives unilatérales, à 3 700 097 en 2020 après leur mise en œuvre</w:t>
      </w:r>
      <w:r w:rsidR="00244AED" w:rsidRPr="00244AED">
        <w:rPr>
          <w:lang w:val="fr-FR"/>
        </w:rPr>
        <w:t>.</w:t>
      </w:r>
    </w:p>
    <w:p w14:paraId="10BF71B3" w14:textId="7B2B5669" w:rsidR="00F30B21" w:rsidRPr="003156E8" w:rsidRDefault="00F30B21" w:rsidP="00F30B21">
      <w:pPr>
        <w:pStyle w:val="SingleTxtG"/>
        <w:spacing w:after="240"/>
        <w:rPr>
          <w:lang w:val="fr-FR"/>
        </w:rPr>
      </w:pPr>
      <w:r w:rsidRPr="003156E8">
        <w:rPr>
          <w:color w:val="000000" w:themeColor="text1"/>
          <w:lang w:val="fr-FR"/>
        </w:rPr>
        <w:t>132</w:t>
      </w:r>
      <w:r w:rsidR="00244AED" w:rsidRPr="00244AED">
        <w:rPr>
          <w:color w:val="000000" w:themeColor="text1"/>
          <w:lang w:val="fr-FR"/>
        </w:rPr>
        <w:t>.</w:t>
      </w:r>
      <w:r w:rsidRPr="003156E8">
        <w:rPr>
          <w:color w:val="000000" w:themeColor="text1"/>
          <w:lang w:val="fr-FR"/>
        </w:rPr>
        <w:tab/>
      </w:r>
      <w:r w:rsidRPr="003156E8">
        <w:rPr>
          <w:lang w:val="fr-FR"/>
        </w:rPr>
        <w:t xml:space="preserve">Le programme </w:t>
      </w:r>
      <w:proofErr w:type="spellStart"/>
      <w:r w:rsidRPr="003156E8">
        <w:rPr>
          <w:i/>
          <w:iCs/>
          <w:lang w:val="fr-FR"/>
        </w:rPr>
        <w:t>Medicamentos</w:t>
      </w:r>
      <w:proofErr w:type="spellEnd"/>
      <w:r w:rsidRPr="003156E8">
        <w:rPr>
          <w:i/>
          <w:iCs/>
          <w:lang w:val="fr-FR"/>
        </w:rPr>
        <w:t xml:space="preserve"> de Alto </w:t>
      </w:r>
      <w:proofErr w:type="spellStart"/>
      <w:r w:rsidRPr="003156E8">
        <w:rPr>
          <w:i/>
          <w:iCs/>
          <w:lang w:val="fr-FR"/>
        </w:rPr>
        <w:t>Costo</w:t>
      </w:r>
      <w:proofErr w:type="spellEnd"/>
      <w:r w:rsidRPr="003156E8">
        <w:rPr>
          <w:lang w:val="fr-FR"/>
        </w:rPr>
        <w:t xml:space="preserve"> (</w:t>
      </w:r>
      <w:r>
        <w:rPr>
          <w:lang w:val="fr-FR"/>
        </w:rPr>
        <w:t>m</w:t>
      </w:r>
      <w:r w:rsidRPr="003156E8">
        <w:rPr>
          <w:lang w:val="fr-FR"/>
        </w:rPr>
        <w:t>édicaments onéreux) de l</w:t>
      </w:r>
      <w:r>
        <w:rPr>
          <w:lang w:val="fr-FR"/>
        </w:rPr>
        <w:t>’</w:t>
      </w:r>
      <w:r w:rsidRPr="003156E8">
        <w:rPr>
          <w:lang w:val="fr-FR"/>
        </w:rPr>
        <w:t xml:space="preserve">Institut vénézuélien de sécurité sociale, dans le cadre duquel ces médicaments sont fournis gratuitement aux personnes qui </w:t>
      </w:r>
      <w:r>
        <w:rPr>
          <w:lang w:val="fr-FR"/>
        </w:rPr>
        <w:t>ont</w:t>
      </w:r>
      <w:r w:rsidRPr="003156E8">
        <w:rPr>
          <w:lang w:val="fr-FR"/>
        </w:rPr>
        <w:t xml:space="preserve"> de</w:t>
      </w:r>
      <w:r>
        <w:rPr>
          <w:lang w:val="fr-FR"/>
        </w:rPr>
        <w:t>s</w:t>
      </w:r>
      <w:r w:rsidRPr="003156E8">
        <w:rPr>
          <w:lang w:val="fr-FR"/>
        </w:rPr>
        <w:t xml:space="preserve"> maladies chroniques ou qui nécessitent un traitement prolongé, notamment contre le cancer du sein ou du col de l</w:t>
      </w:r>
      <w:r>
        <w:rPr>
          <w:lang w:val="fr-FR"/>
        </w:rPr>
        <w:t>’</w:t>
      </w:r>
      <w:r w:rsidRPr="003156E8">
        <w:rPr>
          <w:lang w:val="fr-FR"/>
        </w:rPr>
        <w:t>utérus, a été particulièrement touché par les mesures coercitives</w:t>
      </w:r>
      <w:r w:rsidR="00244AED" w:rsidRPr="00244AED">
        <w:rPr>
          <w:lang w:val="fr-FR"/>
        </w:rPr>
        <w:t>.</w:t>
      </w:r>
      <w:r w:rsidRPr="003156E8">
        <w:rPr>
          <w:lang w:val="fr-FR"/>
        </w:rPr>
        <w:t xml:space="preserve"> Au cours de la période 2014-2020, 1 926 466 femmes ont été prises en charge par ce programme</w:t>
      </w:r>
      <w:r w:rsidR="00244AED" w:rsidRPr="00244AED">
        <w:rPr>
          <w:lang w:val="fr-FR"/>
        </w:rPr>
        <w:t>.</w:t>
      </w:r>
      <w:r w:rsidRPr="003156E8">
        <w:rPr>
          <w:lang w:val="fr-FR"/>
        </w:rPr>
        <w:t xml:space="preserve"> Avant l</w:t>
      </w:r>
      <w:r>
        <w:rPr>
          <w:lang w:val="fr-FR"/>
        </w:rPr>
        <w:t>’</w:t>
      </w:r>
      <w:r w:rsidRPr="003156E8">
        <w:rPr>
          <w:lang w:val="fr-FR"/>
        </w:rPr>
        <w:t>adoption des mesures coercitives unilatérales, 515 660 (en 2013) et 535 075 (en 2014) médicaments avaient été distribués dans le cadre de ce programme</w:t>
      </w:r>
      <w:r w:rsidR="00244AED" w:rsidRPr="00244AED">
        <w:rPr>
          <w:lang w:val="fr-FR"/>
        </w:rPr>
        <w:t>.</w:t>
      </w:r>
      <w:r w:rsidRPr="003156E8">
        <w:rPr>
          <w:lang w:val="fr-FR"/>
        </w:rPr>
        <w:t xml:space="preserve"> Après la mise en place des sanctions </w:t>
      </w:r>
      <w:r>
        <w:rPr>
          <w:lang w:val="fr-FR"/>
        </w:rPr>
        <w:t>contre</w:t>
      </w:r>
      <w:r w:rsidRPr="003156E8">
        <w:rPr>
          <w:lang w:val="fr-FR"/>
        </w:rPr>
        <w:t xml:space="preserve"> la République bolivarienne du Venezuela, ce nombre est descendu à 370 928 en 2016, 243 250 en 2017 et 72 413 en 2018</w:t>
      </w:r>
      <w:r w:rsidR="00244AED" w:rsidRPr="00244AED">
        <w:rPr>
          <w:lang w:val="fr-FR"/>
        </w:rPr>
        <w:t>.</w:t>
      </w:r>
      <w:r w:rsidRPr="003156E8">
        <w:rPr>
          <w:lang w:val="fr-FR"/>
        </w:rPr>
        <w:t xml:space="preserve"> Après une légère amélioration en 2019, il a atteint son point le plus bas de la deuxième décennie du XXI</w:t>
      </w:r>
      <w:r w:rsidRPr="003156E8">
        <w:rPr>
          <w:vertAlign w:val="superscript"/>
          <w:lang w:val="fr-FR"/>
        </w:rPr>
        <w:t>e</w:t>
      </w:r>
      <w:r w:rsidRPr="003156E8">
        <w:rPr>
          <w:lang w:val="fr-FR"/>
        </w:rPr>
        <w:t xml:space="preserve"> siècle, avec 64 078 médicaments distribués</w:t>
      </w:r>
      <w:r w:rsidR="00244AED" w:rsidRPr="00244AED">
        <w:rPr>
          <w:lang w:val="fr-FR"/>
        </w:rPr>
        <w:t>.</w:t>
      </w:r>
    </w:p>
    <w:p w14:paraId="1B798E30" w14:textId="77777777" w:rsidR="00F30B21" w:rsidRPr="003156E8" w:rsidRDefault="00F30B21" w:rsidP="00C87EE9">
      <w:pPr>
        <w:pStyle w:val="SingleTxtG"/>
        <w:spacing w:after="240"/>
        <w:jc w:val="center"/>
      </w:pPr>
      <w:r w:rsidRPr="003156E8">
        <w:rPr>
          <w:noProof/>
          <w:lang w:val="fr-FR" w:eastAsia="fr-FR"/>
        </w:rPr>
        <w:drawing>
          <wp:inline distT="0" distB="0" distL="0" distR="0" wp14:anchorId="16152A9E" wp14:editId="4510B382">
            <wp:extent cx="4348480" cy="2228850"/>
            <wp:effectExtent l="0" t="0" r="13970"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508DB9" w14:textId="1319FAFC" w:rsidR="00F30B21" w:rsidRPr="003156E8" w:rsidRDefault="00F30B21" w:rsidP="00C87EE9">
      <w:pPr>
        <w:pStyle w:val="H23G"/>
        <w:rPr>
          <w:lang w:val="fr-FR"/>
        </w:rPr>
      </w:pPr>
      <w:r w:rsidRPr="003156E8">
        <w:tab/>
      </w:r>
      <w:r w:rsidRPr="003156E8">
        <w:rPr>
          <w:lang w:val="fr-FR"/>
        </w:rPr>
        <w:t>3</w:t>
      </w:r>
      <w:r w:rsidR="00244AED" w:rsidRPr="00244AED">
        <w:rPr>
          <w:lang w:val="fr-FR"/>
        </w:rPr>
        <w:t>.</w:t>
      </w:r>
      <w:r w:rsidRPr="003156E8">
        <w:rPr>
          <w:lang w:val="fr-FR"/>
        </w:rPr>
        <w:tab/>
        <w:t>Droit à l</w:t>
      </w:r>
      <w:r>
        <w:rPr>
          <w:lang w:val="fr-FR"/>
        </w:rPr>
        <w:t>’</w:t>
      </w:r>
      <w:r w:rsidRPr="003156E8">
        <w:rPr>
          <w:lang w:val="fr-FR"/>
        </w:rPr>
        <w:t xml:space="preserve">éducation </w:t>
      </w:r>
    </w:p>
    <w:p w14:paraId="2A59B438" w14:textId="029290B0" w:rsidR="00F30B21" w:rsidRPr="003156E8" w:rsidRDefault="00F30B21" w:rsidP="00F30B21">
      <w:pPr>
        <w:pStyle w:val="SingleTxtG"/>
        <w:rPr>
          <w:lang w:val="fr-FR"/>
        </w:rPr>
      </w:pPr>
      <w:r w:rsidRPr="003156E8">
        <w:rPr>
          <w:color w:val="000000" w:themeColor="text1"/>
          <w:lang w:val="fr-FR"/>
        </w:rPr>
        <w:t>133</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éducation est un droit fondamental garanti par l</w:t>
      </w:r>
      <w:r>
        <w:rPr>
          <w:lang w:val="fr-FR"/>
        </w:rPr>
        <w:t>’</w:t>
      </w:r>
      <w:r w:rsidRPr="003156E8">
        <w:rPr>
          <w:lang w:val="fr-FR"/>
        </w:rPr>
        <w:t>État</w:t>
      </w:r>
      <w:r w:rsidR="00244AED" w:rsidRPr="00244AED">
        <w:rPr>
          <w:lang w:val="fr-FR"/>
        </w:rPr>
        <w:t>.</w:t>
      </w:r>
      <w:r w:rsidRPr="003156E8">
        <w:rPr>
          <w:lang w:val="fr-FR"/>
        </w:rPr>
        <w:t xml:space="preserve"> En 2018, l</w:t>
      </w:r>
      <w:r>
        <w:rPr>
          <w:lang w:val="fr-FR"/>
        </w:rPr>
        <w:t>’</w:t>
      </w:r>
      <w:r w:rsidRPr="003156E8">
        <w:rPr>
          <w:lang w:val="fr-FR"/>
        </w:rPr>
        <w:t>indice de parité hommes-femmes était de 0,97 dans l</w:t>
      </w:r>
      <w:r>
        <w:rPr>
          <w:lang w:val="fr-FR"/>
        </w:rPr>
        <w:t>’</w:t>
      </w:r>
      <w:r w:rsidRPr="003156E8">
        <w:rPr>
          <w:lang w:val="fr-FR"/>
        </w:rPr>
        <w:t>enseignement préscolaire, de 0,92 dans l</w:t>
      </w:r>
      <w:r>
        <w:rPr>
          <w:lang w:val="fr-FR"/>
        </w:rPr>
        <w:t>’</w:t>
      </w:r>
      <w:r w:rsidRPr="003156E8">
        <w:rPr>
          <w:lang w:val="fr-FR"/>
        </w:rPr>
        <w:t>enseignement primaire et de 1,04 dans l</w:t>
      </w:r>
      <w:r>
        <w:rPr>
          <w:lang w:val="fr-FR"/>
        </w:rPr>
        <w:t>’</w:t>
      </w:r>
      <w:r w:rsidRPr="003156E8">
        <w:rPr>
          <w:lang w:val="fr-FR"/>
        </w:rPr>
        <w:t>enseignement secondaire et autre</w:t>
      </w:r>
      <w:r w:rsidR="00244AED" w:rsidRPr="00244AED">
        <w:rPr>
          <w:lang w:val="fr-FR"/>
        </w:rPr>
        <w:t>.</w:t>
      </w:r>
      <w:r w:rsidRPr="003156E8">
        <w:rPr>
          <w:lang w:val="fr-FR"/>
        </w:rPr>
        <w:t xml:space="preserve"> Le niveau de scolarisation est sensiblement le même chez les filles et les garçons</w:t>
      </w:r>
      <w:r w:rsidR="00244AED" w:rsidRPr="00244AED">
        <w:rPr>
          <w:lang w:val="fr-FR"/>
        </w:rPr>
        <w:t>.</w:t>
      </w:r>
    </w:p>
    <w:p w14:paraId="4E63A328" w14:textId="513C26E6" w:rsidR="00F30B21" w:rsidRPr="003156E8" w:rsidRDefault="00F30B21" w:rsidP="00F30B21">
      <w:pPr>
        <w:pStyle w:val="SingleTxtG"/>
        <w:rPr>
          <w:lang w:val="fr-FR"/>
        </w:rPr>
      </w:pPr>
      <w:r w:rsidRPr="003156E8">
        <w:rPr>
          <w:color w:val="000000" w:themeColor="text1"/>
          <w:lang w:val="fr-FR"/>
        </w:rPr>
        <w:t>134</w:t>
      </w:r>
      <w:r w:rsidR="00244AED" w:rsidRPr="00244AED">
        <w:rPr>
          <w:color w:val="000000" w:themeColor="text1"/>
          <w:lang w:val="fr-FR"/>
        </w:rPr>
        <w:t>.</w:t>
      </w:r>
      <w:r w:rsidRPr="003156E8">
        <w:rPr>
          <w:color w:val="000000" w:themeColor="text1"/>
          <w:lang w:val="fr-FR"/>
        </w:rPr>
        <w:tab/>
      </w:r>
      <w:r w:rsidRPr="003156E8">
        <w:rPr>
          <w:lang w:val="fr-FR"/>
        </w:rPr>
        <w:t>La Constitution prévoit la mise en œuvre d</w:t>
      </w:r>
      <w:r>
        <w:rPr>
          <w:lang w:val="fr-FR"/>
        </w:rPr>
        <w:t>’</w:t>
      </w:r>
      <w:r w:rsidRPr="003156E8">
        <w:rPr>
          <w:lang w:val="fr-FR"/>
        </w:rPr>
        <w:t>un système éducatif reconnaissant l</w:t>
      </w:r>
      <w:r>
        <w:rPr>
          <w:lang w:val="fr-FR"/>
        </w:rPr>
        <w:t>’</w:t>
      </w:r>
      <w:r w:rsidRPr="003156E8">
        <w:rPr>
          <w:lang w:val="fr-FR"/>
        </w:rPr>
        <w:t>interculturalité, qui permet aux diverses cultures d</w:t>
      </w:r>
      <w:r>
        <w:rPr>
          <w:lang w:val="fr-FR"/>
        </w:rPr>
        <w:t>’</w:t>
      </w:r>
      <w:r w:rsidRPr="003156E8">
        <w:rPr>
          <w:lang w:val="fr-FR"/>
        </w:rPr>
        <w:t>être représentées, d</w:t>
      </w:r>
      <w:r>
        <w:rPr>
          <w:lang w:val="fr-FR"/>
        </w:rPr>
        <w:t>’</w:t>
      </w:r>
      <w:r w:rsidRPr="003156E8">
        <w:rPr>
          <w:lang w:val="fr-FR"/>
        </w:rPr>
        <w:t xml:space="preserve">interagir équitablement et de créer des expressions culturelles partagées, </w:t>
      </w:r>
      <w:r>
        <w:rPr>
          <w:lang w:val="fr-FR"/>
        </w:rPr>
        <w:t>issues du</w:t>
      </w:r>
      <w:r w:rsidRPr="003156E8">
        <w:rPr>
          <w:lang w:val="fr-FR"/>
        </w:rPr>
        <w:t xml:space="preserve"> dialogue et </w:t>
      </w:r>
      <w:r>
        <w:rPr>
          <w:lang w:val="fr-FR"/>
        </w:rPr>
        <w:t xml:space="preserve">du </w:t>
      </w:r>
      <w:r w:rsidRPr="003156E8">
        <w:rPr>
          <w:lang w:val="fr-FR"/>
        </w:rPr>
        <w:t>respect mutuel, sans distinction ni discrimination</w:t>
      </w:r>
      <w:r w:rsidR="00244AED" w:rsidRPr="00244AED">
        <w:rPr>
          <w:lang w:val="fr-FR"/>
        </w:rPr>
        <w:t>.</w:t>
      </w:r>
      <w:r w:rsidRPr="003156E8">
        <w:rPr>
          <w:lang w:val="fr-FR"/>
        </w:rPr>
        <w:t xml:space="preserve"> Le programme de l</w:t>
      </w:r>
      <w:r>
        <w:rPr>
          <w:lang w:val="fr-FR"/>
        </w:rPr>
        <w:t>’</w:t>
      </w:r>
      <w:r w:rsidRPr="003156E8">
        <w:rPr>
          <w:lang w:val="fr-FR"/>
        </w:rPr>
        <w:t>enseignement de base est expressément fondé sur l</w:t>
      </w:r>
      <w:r>
        <w:rPr>
          <w:lang w:val="fr-FR"/>
        </w:rPr>
        <w:t>’</w:t>
      </w:r>
      <w:r w:rsidRPr="003156E8">
        <w:rPr>
          <w:lang w:val="fr-FR"/>
        </w:rPr>
        <w:t>interculturalité, qui permet de reconnaître, de valoriser et de respecter les diverses cultures qui coexistent au Venezuela</w:t>
      </w:r>
      <w:r w:rsidR="00244AED" w:rsidRPr="00244AED">
        <w:rPr>
          <w:lang w:val="fr-FR"/>
        </w:rPr>
        <w:t>.</w:t>
      </w:r>
      <w:r w:rsidRPr="003156E8">
        <w:rPr>
          <w:lang w:val="fr-FR"/>
        </w:rPr>
        <w:t xml:space="preserve"> Conformément au principe inviolable de l</w:t>
      </w:r>
      <w:r>
        <w:rPr>
          <w:lang w:val="fr-FR"/>
        </w:rPr>
        <w:t>’</w:t>
      </w:r>
      <w:r w:rsidRPr="003156E8">
        <w:rPr>
          <w:lang w:val="fr-FR"/>
        </w:rPr>
        <w:t>égalité, les cultures des peuples autochtones, afro-descendants et autres, ont toute leur place dans le système éducatif</w:t>
      </w:r>
      <w:r w:rsidR="00244AED" w:rsidRPr="00244AED">
        <w:rPr>
          <w:lang w:val="fr-FR"/>
        </w:rPr>
        <w:t>.</w:t>
      </w:r>
    </w:p>
    <w:p w14:paraId="5F771510" w14:textId="6932D6A6" w:rsidR="00F30B21" w:rsidRPr="003156E8" w:rsidRDefault="00F30B21" w:rsidP="00F30B21">
      <w:pPr>
        <w:pStyle w:val="SingleTxtG"/>
        <w:rPr>
          <w:lang w:val="fr-FR"/>
        </w:rPr>
      </w:pPr>
      <w:r w:rsidRPr="003156E8">
        <w:rPr>
          <w:color w:val="000000" w:themeColor="text1"/>
          <w:lang w:val="fr-FR"/>
        </w:rPr>
        <w:t>135</w:t>
      </w:r>
      <w:r w:rsidR="00244AED" w:rsidRPr="00244AED">
        <w:rPr>
          <w:color w:val="000000" w:themeColor="text1"/>
          <w:lang w:val="fr-FR"/>
        </w:rPr>
        <w:t>.</w:t>
      </w:r>
      <w:r w:rsidRPr="003156E8">
        <w:rPr>
          <w:color w:val="000000" w:themeColor="text1"/>
          <w:lang w:val="fr-FR"/>
        </w:rPr>
        <w:tab/>
      </w:r>
      <w:r w:rsidRPr="003156E8">
        <w:rPr>
          <w:lang w:val="fr-FR"/>
        </w:rPr>
        <w:t>En 2019, 1 426 écoles interculturelles ont été recensées à l</w:t>
      </w:r>
      <w:r>
        <w:rPr>
          <w:lang w:val="fr-FR"/>
        </w:rPr>
        <w:t>’</w:t>
      </w:r>
      <w:r w:rsidRPr="003156E8">
        <w:rPr>
          <w:lang w:val="fr-FR"/>
        </w:rPr>
        <w:t>échelle nationale</w:t>
      </w:r>
      <w:r w:rsidR="00244AED" w:rsidRPr="00244AED">
        <w:rPr>
          <w:lang w:val="fr-FR"/>
        </w:rPr>
        <w:t>.</w:t>
      </w:r>
      <w:r w:rsidRPr="003156E8">
        <w:rPr>
          <w:lang w:val="fr-FR"/>
        </w:rPr>
        <w:t xml:space="preserve"> Plus de 240 000 élèves</w:t>
      </w:r>
      <w:r w:rsidR="0014270C">
        <w:rPr>
          <w:lang w:val="fr-FR"/>
        </w:rPr>
        <w:t xml:space="preserve"> </w:t>
      </w:r>
      <w:r w:rsidRPr="003156E8">
        <w:rPr>
          <w:lang w:val="fr-FR"/>
        </w:rPr>
        <w:t>y bénéficient d</w:t>
      </w:r>
      <w:r>
        <w:rPr>
          <w:lang w:val="fr-FR"/>
        </w:rPr>
        <w:t>’</w:t>
      </w:r>
      <w:r w:rsidRPr="003156E8">
        <w:rPr>
          <w:lang w:val="fr-FR"/>
        </w:rPr>
        <w:t>un enseignement interculturel bilingue prenant en compte la spécificité culturelle de chaque peuple autochtone, dispensé par 14 381 enseignants</w:t>
      </w:r>
      <w:r w:rsidR="00244AED" w:rsidRPr="00244AED">
        <w:rPr>
          <w:lang w:val="fr-FR"/>
        </w:rPr>
        <w:t>.</w:t>
      </w:r>
    </w:p>
    <w:p w14:paraId="766FF75A" w14:textId="3FED034F" w:rsidR="00F30B21" w:rsidRPr="003156E8" w:rsidRDefault="00F30B21" w:rsidP="0014270C">
      <w:pPr>
        <w:pStyle w:val="SingleTxtG"/>
        <w:keepNext/>
        <w:keepLines/>
        <w:rPr>
          <w:lang w:val="fr-FR"/>
        </w:rPr>
      </w:pPr>
      <w:r w:rsidRPr="003156E8">
        <w:rPr>
          <w:color w:val="000000" w:themeColor="text1"/>
          <w:lang w:val="fr-FR"/>
        </w:rPr>
        <w:lastRenderedPageBreak/>
        <w:t>136</w:t>
      </w:r>
      <w:r w:rsidR="00244AED" w:rsidRPr="00244AED">
        <w:rPr>
          <w:color w:val="000000" w:themeColor="text1"/>
          <w:lang w:val="fr-FR"/>
        </w:rPr>
        <w:t>.</w:t>
      </w:r>
      <w:r w:rsidRPr="003156E8">
        <w:rPr>
          <w:color w:val="000000" w:themeColor="text1"/>
          <w:lang w:val="fr-FR"/>
        </w:rPr>
        <w:tab/>
      </w:r>
      <w:r w:rsidRPr="003156E8">
        <w:rPr>
          <w:lang w:val="fr-FR"/>
        </w:rPr>
        <w:t xml:space="preserve">Des rencontres autour des pratiques et des savoirs ancestraux ont été organisées </w:t>
      </w:r>
      <w:r>
        <w:rPr>
          <w:lang w:val="fr-FR"/>
        </w:rPr>
        <w:t>en lien avec</w:t>
      </w:r>
      <w:r w:rsidRPr="003156E8">
        <w:rPr>
          <w:lang w:val="fr-FR"/>
        </w:rPr>
        <w:t xml:space="preserve"> la Décennie internationale des personnes d</w:t>
      </w:r>
      <w:r>
        <w:rPr>
          <w:lang w:val="fr-FR"/>
        </w:rPr>
        <w:t>’</w:t>
      </w:r>
      <w:r w:rsidRPr="003156E8">
        <w:rPr>
          <w:lang w:val="fr-FR"/>
        </w:rPr>
        <w:t>ascendance africaine</w:t>
      </w:r>
      <w:r>
        <w:rPr>
          <w:lang w:val="fr-FR"/>
        </w:rPr>
        <w:t>, dans le cadre de manifestations</w:t>
      </w:r>
      <w:r w:rsidRPr="003156E8">
        <w:rPr>
          <w:lang w:val="fr-FR"/>
        </w:rPr>
        <w:t xml:space="preserve"> nationa</w:t>
      </w:r>
      <w:r>
        <w:rPr>
          <w:lang w:val="fr-FR"/>
        </w:rPr>
        <w:t>les</w:t>
      </w:r>
      <w:r w:rsidRPr="003156E8">
        <w:rPr>
          <w:lang w:val="fr-FR"/>
        </w:rPr>
        <w:t>, historiques et scolaires</w:t>
      </w:r>
      <w:r w:rsidR="00244AED" w:rsidRPr="00244AED">
        <w:rPr>
          <w:lang w:val="fr-FR"/>
        </w:rPr>
        <w:t>.</w:t>
      </w:r>
      <w:r w:rsidRPr="003156E8">
        <w:rPr>
          <w:lang w:val="fr-FR"/>
        </w:rPr>
        <w:t xml:space="preserve"> Des </w:t>
      </w:r>
      <w:r>
        <w:rPr>
          <w:lang w:val="fr-FR"/>
        </w:rPr>
        <w:t xml:space="preserve">« passeurs </w:t>
      </w:r>
      <w:r w:rsidRPr="003156E8">
        <w:rPr>
          <w:lang w:val="fr-FR"/>
        </w:rPr>
        <w:t>culturels</w:t>
      </w:r>
      <w:r>
        <w:rPr>
          <w:lang w:val="fr-FR"/>
        </w:rPr>
        <w:t> »</w:t>
      </w:r>
      <w:r w:rsidRPr="003156E8">
        <w:rPr>
          <w:lang w:val="fr-FR"/>
        </w:rPr>
        <w:t xml:space="preserve">, des dirigeants sociaux, des enseignants, des personnels éducatifs et </w:t>
      </w:r>
      <w:r>
        <w:rPr>
          <w:lang w:val="fr-FR"/>
        </w:rPr>
        <w:t>des citoyens ordinaires</w:t>
      </w:r>
      <w:r w:rsidRPr="003156E8">
        <w:rPr>
          <w:lang w:val="fr-FR"/>
        </w:rPr>
        <w:t xml:space="preserve"> ont participé à ces rencontres, où ils ont pu présenter leurs connaissances, leurs coutumes et leurs traditions ancestrales, </w:t>
      </w:r>
      <w:r>
        <w:rPr>
          <w:lang w:val="fr-FR"/>
        </w:rPr>
        <w:t xml:space="preserve">qui ont été </w:t>
      </w:r>
      <w:r w:rsidRPr="003156E8">
        <w:rPr>
          <w:lang w:val="fr-FR"/>
        </w:rPr>
        <w:t>préservées grâce à la tradition orale</w:t>
      </w:r>
      <w:r w:rsidR="00244AED" w:rsidRPr="00244AED">
        <w:rPr>
          <w:lang w:val="fr-FR"/>
        </w:rPr>
        <w:t>.</w:t>
      </w:r>
    </w:p>
    <w:p w14:paraId="40713128" w14:textId="1FB7D0FB" w:rsidR="00F30B21" w:rsidRPr="003156E8" w:rsidRDefault="00F30B21" w:rsidP="00F30B21">
      <w:pPr>
        <w:pStyle w:val="SingleTxtG"/>
        <w:rPr>
          <w:lang w:val="fr-FR"/>
        </w:rPr>
      </w:pPr>
      <w:r w:rsidRPr="003156E8">
        <w:rPr>
          <w:color w:val="000000" w:themeColor="text1"/>
          <w:lang w:val="fr-FR"/>
        </w:rPr>
        <w:t>137</w:t>
      </w:r>
      <w:r w:rsidR="00244AED" w:rsidRPr="00244AED">
        <w:rPr>
          <w:color w:val="000000" w:themeColor="text1"/>
          <w:lang w:val="fr-FR"/>
        </w:rPr>
        <w:t>.</w:t>
      </w:r>
      <w:r w:rsidRPr="003156E8">
        <w:rPr>
          <w:color w:val="000000" w:themeColor="text1"/>
          <w:lang w:val="fr-FR"/>
        </w:rPr>
        <w:tab/>
      </w:r>
      <w:r w:rsidRPr="003156E8">
        <w:rPr>
          <w:lang w:val="fr-FR"/>
        </w:rPr>
        <w:t>La Commission présidentielle pour la prévention et l</w:t>
      </w:r>
      <w:r>
        <w:rPr>
          <w:lang w:val="fr-FR"/>
        </w:rPr>
        <w:t>’</w:t>
      </w:r>
      <w:r w:rsidRPr="003156E8">
        <w:rPr>
          <w:lang w:val="fr-FR"/>
        </w:rPr>
        <w:t>élimination de toutes les formes de discrimination raciale et autres distinctions au sein du système éducatif, mise en place en 2005, réunit des représentants de différents organismes publics et organisations afro</w:t>
      </w:r>
      <w:r w:rsidR="00B044C9">
        <w:rPr>
          <w:lang w:val="fr-FR"/>
        </w:rPr>
        <w:noBreakHyphen/>
      </w:r>
      <w:r w:rsidRPr="003156E8">
        <w:rPr>
          <w:lang w:val="fr-FR"/>
        </w:rPr>
        <w:t>vénézuéliennes</w:t>
      </w:r>
      <w:r w:rsidR="00244AED" w:rsidRPr="00244AED">
        <w:rPr>
          <w:lang w:val="fr-FR"/>
        </w:rPr>
        <w:t>.</w:t>
      </w:r>
      <w:r w:rsidRPr="003156E8">
        <w:rPr>
          <w:lang w:val="fr-FR"/>
        </w:rPr>
        <w:t xml:space="preserve"> Parmi ses missions figurent la conception, la formulation, la coordination, le suivi et l</w:t>
      </w:r>
      <w:r>
        <w:rPr>
          <w:lang w:val="fr-FR"/>
        </w:rPr>
        <w:t>’</w:t>
      </w:r>
      <w:r w:rsidRPr="003156E8">
        <w:rPr>
          <w:lang w:val="fr-FR"/>
        </w:rPr>
        <w:t>évaluation de programmes, de méthodes et de politiques publiques concernant le secteur de l</w:t>
      </w:r>
      <w:r>
        <w:rPr>
          <w:lang w:val="fr-FR"/>
        </w:rPr>
        <w:t>’</w:t>
      </w:r>
      <w:r w:rsidRPr="003156E8">
        <w:rPr>
          <w:lang w:val="fr-FR"/>
        </w:rPr>
        <w:t xml:space="preserve">éducation et visant à garantir </w:t>
      </w:r>
      <w:r>
        <w:rPr>
          <w:lang w:val="fr-FR"/>
        </w:rPr>
        <w:t>les mêmes</w:t>
      </w:r>
      <w:r w:rsidRPr="003156E8">
        <w:rPr>
          <w:lang w:val="fr-FR"/>
        </w:rPr>
        <w:t xml:space="preserve"> chances et </w:t>
      </w:r>
      <w:r>
        <w:rPr>
          <w:lang w:val="fr-FR"/>
        </w:rPr>
        <w:t>le même</w:t>
      </w:r>
      <w:r w:rsidRPr="003156E8">
        <w:rPr>
          <w:lang w:val="fr-FR"/>
        </w:rPr>
        <w:t xml:space="preserve"> traitement </w:t>
      </w:r>
      <w:r>
        <w:rPr>
          <w:lang w:val="fr-FR"/>
        </w:rPr>
        <w:t>pour toutes les personnes,</w:t>
      </w:r>
      <w:r w:rsidRPr="003156E8">
        <w:rPr>
          <w:lang w:val="fr-FR"/>
        </w:rPr>
        <w:t xml:space="preserve"> dans la jouissance et l</w:t>
      </w:r>
      <w:r>
        <w:rPr>
          <w:lang w:val="fr-FR"/>
        </w:rPr>
        <w:t>’</w:t>
      </w:r>
      <w:r w:rsidRPr="003156E8">
        <w:rPr>
          <w:lang w:val="fr-FR"/>
        </w:rPr>
        <w:t>exercice effectif du droit à l</w:t>
      </w:r>
      <w:r>
        <w:rPr>
          <w:lang w:val="fr-FR"/>
        </w:rPr>
        <w:t>’</w:t>
      </w:r>
      <w:r w:rsidRPr="003156E8">
        <w:rPr>
          <w:lang w:val="fr-FR"/>
        </w:rPr>
        <w:t>éducation</w:t>
      </w:r>
      <w:r w:rsidR="00244AED" w:rsidRPr="00244AED">
        <w:rPr>
          <w:lang w:val="fr-FR"/>
        </w:rPr>
        <w:t>.</w:t>
      </w:r>
      <w:r w:rsidRPr="003156E8">
        <w:rPr>
          <w:lang w:val="fr-FR"/>
        </w:rPr>
        <w:t xml:space="preserve"> L</w:t>
      </w:r>
      <w:r>
        <w:rPr>
          <w:lang w:val="fr-FR"/>
        </w:rPr>
        <w:t>’</w:t>
      </w:r>
      <w:r w:rsidRPr="003156E8">
        <w:rPr>
          <w:lang w:val="fr-FR"/>
        </w:rPr>
        <w:t>objectif est de promouvoir l</w:t>
      </w:r>
      <w:r>
        <w:rPr>
          <w:lang w:val="fr-FR"/>
        </w:rPr>
        <w:t>’</w:t>
      </w:r>
      <w:r w:rsidRPr="003156E8">
        <w:rPr>
          <w:lang w:val="fr-FR"/>
        </w:rPr>
        <w:t>interculturalité, l</w:t>
      </w:r>
      <w:r>
        <w:rPr>
          <w:lang w:val="fr-FR"/>
        </w:rPr>
        <w:t>’</w:t>
      </w:r>
      <w:r w:rsidRPr="003156E8">
        <w:rPr>
          <w:lang w:val="fr-FR"/>
        </w:rPr>
        <w:t>inclusion, le respect et la reconnaissance de la contribution historique, culturelle, économique, technologique, sociale et religieuse de la population d</w:t>
      </w:r>
      <w:r>
        <w:rPr>
          <w:lang w:val="fr-FR"/>
        </w:rPr>
        <w:t>’</w:t>
      </w:r>
      <w:r w:rsidRPr="003156E8">
        <w:rPr>
          <w:lang w:val="fr-FR"/>
        </w:rPr>
        <w:t>ascendance africaine, des peuples autochtones et autres groupes établis au Venezuela</w:t>
      </w:r>
      <w:r w:rsidR="00244AED" w:rsidRPr="00244AED">
        <w:rPr>
          <w:lang w:val="fr-FR"/>
        </w:rPr>
        <w:t>.</w:t>
      </w:r>
    </w:p>
    <w:p w14:paraId="51778FF1" w14:textId="1E3CCCB5" w:rsidR="00F30B21" w:rsidRPr="003156E8" w:rsidRDefault="00F30B21" w:rsidP="00F30B21">
      <w:pPr>
        <w:pStyle w:val="SingleTxtG"/>
        <w:rPr>
          <w:lang w:val="fr-FR"/>
        </w:rPr>
      </w:pPr>
      <w:r w:rsidRPr="003156E8">
        <w:rPr>
          <w:color w:val="000000" w:themeColor="text1"/>
          <w:lang w:val="fr-FR"/>
        </w:rPr>
        <w:t>138</w:t>
      </w:r>
      <w:r w:rsidR="00244AED" w:rsidRPr="00244AED">
        <w:rPr>
          <w:color w:val="000000" w:themeColor="text1"/>
          <w:lang w:val="fr-FR"/>
        </w:rPr>
        <w:t>.</w:t>
      </w:r>
      <w:r w:rsidRPr="003156E8">
        <w:rPr>
          <w:color w:val="000000" w:themeColor="text1"/>
          <w:lang w:val="fr-FR"/>
        </w:rPr>
        <w:tab/>
      </w:r>
      <w:r w:rsidRPr="003156E8">
        <w:rPr>
          <w:lang w:val="fr-FR"/>
        </w:rPr>
        <w:t xml:space="preserve">En 2011, le Centre des savoirs africains, américains et caribéens a été créé pour promouvoir des études, des formations, des savoirs et </w:t>
      </w:r>
      <w:r>
        <w:rPr>
          <w:lang w:val="fr-FR"/>
        </w:rPr>
        <w:t>la production de</w:t>
      </w:r>
      <w:r w:rsidRPr="003156E8">
        <w:rPr>
          <w:lang w:val="fr-FR"/>
        </w:rPr>
        <w:t xml:space="preserve"> </w:t>
      </w:r>
      <w:r>
        <w:rPr>
          <w:lang w:val="fr-FR"/>
        </w:rPr>
        <w:t>matériels</w:t>
      </w:r>
      <w:r w:rsidRPr="003156E8">
        <w:rPr>
          <w:lang w:val="fr-FR"/>
        </w:rPr>
        <w:t xml:space="preserve"> d</w:t>
      </w:r>
      <w:r>
        <w:rPr>
          <w:lang w:val="fr-FR"/>
        </w:rPr>
        <w:t>’</w:t>
      </w:r>
      <w:r w:rsidRPr="003156E8">
        <w:rPr>
          <w:lang w:val="fr-FR"/>
        </w:rPr>
        <w:t>information</w:t>
      </w:r>
      <w:r>
        <w:rPr>
          <w:lang w:val="fr-FR"/>
        </w:rPr>
        <w:t>,</w:t>
      </w:r>
      <w:r w:rsidRPr="003156E8">
        <w:rPr>
          <w:lang w:val="fr-FR"/>
        </w:rPr>
        <w:t xml:space="preserve"> dans le but d</w:t>
      </w:r>
      <w:r>
        <w:rPr>
          <w:lang w:val="fr-FR"/>
        </w:rPr>
        <w:t>’</w:t>
      </w:r>
      <w:r w:rsidRPr="003156E8">
        <w:rPr>
          <w:lang w:val="fr-FR"/>
        </w:rPr>
        <w:t>encourager la recherche, l</w:t>
      </w:r>
      <w:r>
        <w:rPr>
          <w:lang w:val="fr-FR"/>
        </w:rPr>
        <w:t>’</w:t>
      </w:r>
      <w:r w:rsidRPr="003156E8">
        <w:rPr>
          <w:lang w:val="fr-FR"/>
        </w:rPr>
        <w:t>étude et la communication sur des thèmes liées à l</w:t>
      </w:r>
      <w:r>
        <w:rPr>
          <w:lang w:val="fr-FR"/>
        </w:rPr>
        <w:t>’</w:t>
      </w:r>
      <w:r w:rsidRPr="003156E8">
        <w:rPr>
          <w:lang w:val="fr-FR"/>
        </w:rPr>
        <w:t>Afrique et à la diaspora africaine dans les Amériques</w:t>
      </w:r>
      <w:r w:rsidR="00244AED" w:rsidRPr="00244AED">
        <w:rPr>
          <w:lang w:val="fr-FR"/>
        </w:rPr>
        <w:t>.</w:t>
      </w:r>
      <w:r w:rsidRPr="003156E8">
        <w:rPr>
          <w:lang w:val="fr-FR"/>
        </w:rPr>
        <w:t xml:space="preserve"> Le centre s</w:t>
      </w:r>
      <w:r>
        <w:rPr>
          <w:lang w:val="fr-FR"/>
        </w:rPr>
        <w:t>’</w:t>
      </w:r>
      <w:r w:rsidRPr="003156E8">
        <w:rPr>
          <w:lang w:val="fr-FR"/>
        </w:rPr>
        <w:t>efforce également de mettre en place un groupe de chercheurs spécialisés dans ce domaine, qui prend de plus en plus d</w:t>
      </w:r>
      <w:r>
        <w:rPr>
          <w:lang w:val="fr-FR"/>
        </w:rPr>
        <w:t>’</w:t>
      </w:r>
      <w:r w:rsidRPr="003156E8">
        <w:rPr>
          <w:lang w:val="fr-FR"/>
        </w:rPr>
        <w:t>importance, au niveau national comme au niveau international</w:t>
      </w:r>
      <w:r w:rsidR="00244AED" w:rsidRPr="00244AED">
        <w:rPr>
          <w:lang w:val="fr-FR"/>
        </w:rPr>
        <w:t>.</w:t>
      </w:r>
    </w:p>
    <w:p w14:paraId="72D9E42B" w14:textId="3711F247" w:rsidR="00F30B21" w:rsidRPr="003156E8" w:rsidRDefault="00F30B21" w:rsidP="00F30B21">
      <w:pPr>
        <w:pStyle w:val="H56G"/>
        <w:rPr>
          <w:b/>
          <w:lang w:val="fr-FR"/>
        </w:rPr>
      </w:pPr>
      <w:r w:rsidRPr="003156E8">
        <w:rPr>
          <w:lang w:val="fr-FR"/>
        </w:rPr>
        <w:tab/>
      </w:r>
      <w:r w:rsidRPr="003156E8">
        <w:rPr>
          <w:b/>
          <w:bCs/>
          <w:lang w:val="fr-FR"/>
        </w:rPr>
        <w:t>4</w:t>
      </w:r>
      <w:r w:rsidR="00244AED" w:rsidRPr="00244AED">
        <w:rPr>
          <w:b/>
          <w:bCs/>
          <w:lang w:val="fr-FR"/>
        </w:rPr>
        <w:t>.</w:t>
      </w:r>
      <w:r w:rsidRPr="003156E8">
        <w:rPr>
          <w:b/>
          <w:bCs/>
          <w:lang w:val="fr-FR"/>
        </w:rPr>
        <w:tab/>
        <w:t>Travailleurs migrants</w:t>
      </w:r>
    </w:p>
    <w:p w14:paraId="2C133ABC" w14:textId="2139B7FD" w:rsidR="00F30B21" w:rsidRPr="003156E8" w:rsidRDefault="00F30B21" w:rsidP="00F30B21">
      <w:pPr>
        <w:pStyle w:val="SingleTxtG"/>
        <w:rPr>
          <w:lang w:val="fr-FR"/>
        </w:rPr>
      </w:pPr>
      <w:r w:rsidRPr="003156E8">
        <w:rPr>
          <w:lang w:val="fr-FR"/>
        </w:rPr>
        <w:t>139</w:t>
      </w:r>
      <w:r w:rsidR="00244AED" w:rsidRPr="00244AED">
        <w:rPr>
          <w:lang w:val="fr-FR"/>
        </w:rPr>
        <w:t>.</w:t>
      </w:r>
      <w:r w:rsidRPr="003156E8">
        <w:rPr>
          <w:lang w:val="fr-FR"/>
        </w:rPr>
        <w:tab/>
        <w:t>La Constitution consacre le droit à l</w:t>
      </w:r>
      <w:r>
        <w:rPr>
          <w:lang w:val="fr-FR"/>
        </w:rPr>
        <w:t>’</w:t>
      </w:r>
      <w:r w:rsidRPr="003156E8">
        <w:rPr>
          <w:lang w:val="fr-FR"/>
        </w:rPr>
        <w:t>égalité et à la non-discrimination (art</w:t>
      </w:r>
      <w:r w:rsidR="00244AED" w:rsidRPr="00244AED">
        <w:rPr>
          <w:lang w:val="fr-FR"/>
        </w:rPr>
        <w:t>.</w:t>
      </w:r>
      <w:r w:rsidRPr="003156E8">
        <w:rPr>
          <w:lang w:val="fr-FR"/>
        </w:rPr>
        <w:t xml:space="preserve"> 21)</w:t>
      </w:r>
      <w:r w:rsidR="00244AED" w:rsidRPr="00244AED">
        <w:rPr>
          <w:lang w:val="fr-FR"/>
        </w:rPr>
        <w:t>.</w:t>
      </w:r>
      <w:r w:rsidRPr="003156E8">
        <w:rPr>
          <w:lang w:val="fr-FR"/>
        </w:rPr>
        <w:t xml:space="preserve"> Elle interdit la discrimination fondée sur la race, le sexe, la croyance, le statut social, ainsi que toute autre discrimination ayant pour objet ou pour résultat d</w:t>
      </w:r>
      <w:r>
        <w:rPr>
          <w:lang w:val="fr-FR"/>
        </w:rPr>
        <w:t>’</w:t>
      </w:r>
      <w:r w:rsidRPr="003156E8">
        <w:rPr>
          <w:lang w:val="fr-FR"/>
        </w:rPr>
        <w:t>empêcher ou d</w:t>
      </w:r>
      <w:r>
        <w:rPr>
          <w:lang w:val="fr-FR"/>
        </w:rPr>
        <w:t>’</w:t>
      </w:r>
      <w:r w:rsidRPr="003156E8">
        <w:rPr>
          <w:lang w:val="fr-FR"/>
        </w:rPr>
        <w:t>entraver la reconnaissance, la jouissance ou l</w:t>
      </w:r>
      <w:r>
        <w:rPr>
          <w:lang w:val="fr-FR"/>
        </w:rPr>
        <w:t>’</w:t>
      </w:r>
      <w:r w:rsidRPr="003156E8">
        <w:rPr>
          <w:lang w:val="fr-FR"/>
        </w:rPr>
        <w:t>exercice, dans des conditions d</w:t>
      </w:r>
      <w:r>
        <w:rPr>
          <w:lang w:val="fr-FR"/>
        </w:rPr>
        <w:t>’</w:t>
      </w:r>
      <w:r w:rsidRPr="003156E8">
        <w:rPr>
          <w:lang w:val="fr-FR"/>
        </w:rPr>
        <w:t>égalité, des droits et des libertés de chacun</w:t>
      </w:r>
      <w:r w:rsidR="00244AED" w:rsidRPr="00244AED">
        <w:rPr>
          <w:lang w:val="fr-FR"/>
        </w:rPr>
        <w:t>.</w:t>
      </w:r>
    </w:p>
    <w:p w14:paraId="78C11489" w14:textId="2C324B22" w:rsidR="00F30B21" w:rsidRPr="003156E8" w:rsidRDefault="00F30B21" w:rsidP="00F30B21">
      <w:pPr>
        <w:pStyle w:val="SingleTxtG"/>
        <w:rPr>
          <w:lang w:val="fr-FR"/>
        </w:rPr>
      </w:pPr>
      <w:r w:rsidRPr="003156E8">
        <w:rPr>
          <w:color w:val="000000" w:themeColor="text1"/>
          <w:lang w:val="fr-FR"/>
        </w:rPr>
        <w:t>140</w:t>
      </w:r>
      <w:r w:rsidR="00244AED" w:rsidRPr="00244AED">
        <w:rPr>
          <w:color w:val="000000" w:themeColor="text1"/>
          <w:lang w:val="fr-FR"/>
        </w:rPr>
        <w:t>.</w:t>
      </w:r>
      <w:r w:rsidRPr="003156E8">
        <w:rPr>
          <w:color w:val="000000" w:themeColor="text1"/>
          <w:lang w:val="fr-FR"/>
        </w:rPr>
        <w:tab/>
      </w:r>
      <w:r w:rsidRPr="003156E8">
        <w:rPr>
          <w:lang w:val="fr-FR"/>
        </w:rPr>
        <w:t>La Constitution dispose que chacun a le droit et le devoir de travailler et que l</w:t>
      </w:r>
      <w:r>
        <w:rPr>
          <w:lang w:val="fr-FR"/>
        </w:rPr>
        <w:t>’</w:t>
      </w:r>
      <w:r w:rsidRPr="003156E8">
        <w:rPr>
          <w:lang w:val="fr-FR"/>
        </w:rPr>
        <w:t>État est tenu de garantir l</w:t>
      </w:r>
      <w:r>
        <w:rPr>
          <w:lang w:val="fr-FR"/>
        </w:rPr>
        <w:t>’</w:t>
      </w:r>
      <w:r w:rsidRPr="003156E8">
        <w:rPr>
          <w:lang w:val="fr-FR"/>
        </w:rPr>
        <w:t xml:space="preserve">exercice de ce droit et de prendre les mesures nécessaires pour que </w:t>
      </w:r>
      <w:r>
        <w:rPr>
          <w:lang w:val="fr-FR"/>
        </w:rPr>
        <w:t>chacun</w:t>
      </w:r>
      <w:r w:rsidRPr="003156E8">
        <w:rPr>
          <w:lang w:val="fr-FR"/>
        </w:rPr>
        <w:t xml:space="preserve"> puisse avoir un emploi productif lui assurant une vie digne et décente (art</w:t>
      </w:r>
      <w:r w:rsidR="00244AED" w:rsidRPr="00244AED">
        <w:rPr>
          <w:lang w:val="fr-FR"/>
        </w:rPr>
        <w:t>.</w:t>
      </w:r>
      <w:r w:rsidRPr="003156E8">
        <w:rPr>
          <w:lang w:val="fr-FR"/>
        </w:rPr>
        <w:t xml:space="preserve"> 87)</w:t>
      </w:r>
      <w:r w:rsidR="00244AED" w:rsidRPr="00244AED">
        <w:rPr>
          <w:lang w:val="fr-FR"/>
        </w:rPr>
        <w:t>.</w:t>
      </w:r>
      <w:r w:rsidRPr="003156E8">
        <w:rPr>
          <w:lang w:val="fr-FR"/>
        </w:rPr>
        <w:t xml:space="preserve"> </w:t>
      </w:r>
    </w:p>
    <w:p w14:paraId="223DCE99" w14:textId="301FD63A" w:rsidR="00F30B21" w:rsidRPr="003156E8" w:rsidRDefault="00F30B21" w:rsidP="00F30B21">
      <w:pPr>
        <w:pStyle w:val="SingleTxtG"/>
        <w:rPr>
          <w:lang w:val="fr-FR"/>
        </w:rPr>
      </w:pPr>
      <w:r w:rsidRPr="003156E8">
        <w:rPr>
          <w:color w:val="000000" w:themeColor="text1"/>
          <w:lang w:val="fr-FR"/>
        </w:rPr>
        <w:t>141</w:t>
      </w:r>
      <w:r w:rsidR="00244AED" w:rsidRPr="00244AED">
        <w:rPr>
          <w:color w:val="000000" w:themeColor="text1"/>
          <w:lang w:val="fr-FR"/>
        </w:rPr>
        <w:t>.</w:t>
      </w:r>
      <w:r w:rsidRPr="003156E8">
        <w:rPr>
          <w:color w:val="000000" w:themeColor="text1"/>
          <w:lang w:val="fr-FR"/>
        </w:rPr>
        <w:tab/>
      </w:r>
      <w:r w:rsidRPr="003156E8">
        <w:rPr>
          <w:lang w:val="fr-FR"/>
        </w:rPr>
        <w:t>La Constitution dispose également que le travail est un droit social qui bénéficie de la pleine protection de l</w:t>
      </w:r>
      <w:r>
        <w:rPr>
          <w:lang w:val="fr-FR"/>
        </w:rPr>
        <w:t>’</w:t>
      </w:r>
      <w:r w:rsidRPr="003156E8">
        <w:rPr>
          <w:lang w:val="fr-FR"/>
        </w:rPr>
        <w:t>État et que les mesures nécessaires doivent être prises pour améliorer la situation matérielle, morale et intellectuelle des travailleurs (art</w:t>
      </w:r>
      <w:r w:rsidR="00244AED" w:rsidRPr="00244AED">
        <w:rPr>
          <w:lang w:val="fr-FR"/>
        </w:rPr>
        <w:t>.</w:t>
      </w:r>
      <w:r w:rsidRPr="003156E8">
        <w:rPr>
          <w:lang w:val="fr-FR"/>
        </w:rPr>
        <w:t xml:space="preserve"> 89)</w:t>
      </w:r>
      <w:r w:rsidR="00244AED" w:rsidRPr="00244AED">
        <w:rPr>
          <w:lang w:val="fr-FR"/>
        </w:rPr>
        <w:t>.</w:t>
      </w:r>
      <w:r w:rsidRPr="003156E8">
        <w:rPr>
          <w:lang w:val="fr-FR"/>
        </w:rPr>
        <w:t xml:space="preserve"> </w:t>
      </w:r>
    </w:p>
    <w:p w14:paraId="382B7CC1" w14:textId="33215390" w:rsidR="00F30B21" w:rsidRPr="003156E8" w:rsidRDefault="00F30B21" w:rsidP="00F30B21">
      <w:pPr>
        <w:pStyle w:val="SingleTxtG"/>
        <w:rPr>
          <w:lang w:val="fr-FR"/>
        </w:rPr>
      </w:pPr>
      <w:r w:rsidRPr="003156E8">
        <w:rPr>
          <w:color w:val="000000" w:themeColor="text1"/>
          <w:lang w:val="fr-FR"/>
        </w:rPr>
        <w:t>142</w:t>
      </w:r>
      <w:r w:rsidR="00244AED" w:rsidRPr="00244AED">
        <w:rPr>
          <w:color w:val="000000" w:themeColor="text1"/>
          <w:lang w:val="fr-FR"/>
        </w:rPr>
        <w:t>.</w:t>
      </w:r>
      <w:r w:rsidRPr="003156E8">
        <w:rPr>
          <w:color w:val="000000" w:themeColor="text1"/>
          <w:lang w:val="fr-FR"/>
        </w:rPr>
        <w:tab/>
      </w:r>
      <w:r w:rsidRPr="003156E8">
        <w:rPr>
          <w:lang w:val="fr-FR"/>
        </w:rPr>
        <w:t>La loi organique relative au travail</w:t>
      </w:r>
      <w:r>
        <w:rPr>
          <w:lang w:val="fr-FR"/>
        </w:rPr>
        <w:t xml:space="preserve"> et</w:t>
      </w:r>
      <w:r w:rsidRPr="003156E8">
        <w:rPr>
          <w:lang w:val="fr-FR"/>
        </w:rPr>
        <w:t xml:space="preserve"> aux travailleurs</w:t>
      </w:r>
      <w:r w:rsidRPr="00F30B21">
        <w:rPr>
          <w:rStyle w:val="Appelnotedebasdep"/>
        </w:rPr>
        <w:footnoteReference w:id="32"/>
      </w:r>
      <w:r w:rsidRPr="003156E8">
        <w:rPr>
          <w:lang w:val="fr-FR"/>
        </w:rPr>
        <w:t xml:space="preserve"> inscrit la promotion du droit à la non-discrimination au nombre de ses principes directeurs (art</w:t>
      </w:r>
      <w:r w:rsidR="00244AED" w:rsidRPr="00244AED">
        <w:rPr>
          <w:lang w:val="fr-FR"/>
        </w:rPr>
        <w:t>.</w:t>
      </w:r>
      <w:r w:rsidRPr="003156E8">
        <w:rPr>
          <w:lang w:val="fr-FR"/>
        </w:rPr>
        <w:t xml:space="preserve"> 18</w:t>
      </w:r>
      <w:r w:rsidR="00244AED" w:rsidRPr="00244AED">
        <w:rPr>
          <w:lang w:val="fr-FR"/>
        </w:rPr>
        <w:t>.</w:t>
      </w:r>
      <w:r w:rsidRPr="003156E8">
        <w:rPr>
          <w:lang w:val="fr-FR"/>
        </w:rPr>
        <w:t>7)</w:t>
      </w:r>
      <w:r w:rsidR="00244AED" w:rsidRPr="00244AED">
        <w:rPr>
          <w:lang w:val="fr-FR"/>
        </w:rPr>
        <w:t>.</w:t>
      </w:r>
      <w:r w:rsidRPr="003156E8">
        <w:rPr>
          <w:lang w:val="fr-FR"/>
        </w:rPr>
        <w:t xml:space="preserve"> En matière d</w:t>
      </w:r>
      <w:r>
        <w:rPr>
          <w:lang w:val="fr-FR"/>
        </w:rPr>
        <w:t>’</w:t>
      </w:r>
      <w:r w:rsidRPr="003156E8">
        <w:rPr>
          <w:lang w:val="fr-FR"/>
        </w:rPr>
        <w:t>accès au travail et de conditions de travail, elle interdit toute distinction, exclusion, préférence ou restriction fondée sur la race, le sexe, l</w:t>
      </w:r>
      <w:r>
        <w:rPr>
          <w:lang w:val="fr-FR"/>
        </w:rPr>
        <w:t>’</w:t>
      </w:r>
      <w:r w:rsidRPr="003156E8">
        <w:rPr>
          <w:lang w:val="fr-FR"/>
        </w:rPr>
        <w:t>âge, l</w:t>
      </w:r>
      <w:r>
        <w:rPr>
          <w:lang w:val="fr-FR"/>
        </w:rPr>
        <w:t>’</w:t>
      </w:r>
      <w:r w:rsidRPr="003156E8">
        <w:rPr>
          <w:lang w:val="fr-FR"/>
        </w:rPr>
        <w:t>état civil, l</w:t>
      </w:r>
      <w:r>
        <w:rPr>
          <w:lang w:val="fr-FR"/>
        </w:rPr>
        <w:t>’</w:t>
      </w:r>
      <w:r w:rsidRPr="003156E8">
        <w:rPr>
          <w:lang w:val="fr-FR"/>
        </w:rPr>
        <w:t>affiliation syndicale, la religion, les opinions politiques, la nationalité, l</w:t>
      </w:r>
      <w:r>
        <w:rPr>
          <w:lang w:val="fr-FR"/>
        </w:rPr>
        <w:t>’</w:t>
      </w:r>
      <w:r w:rsidRPr="003156E8">
        <w:rPr>
          <w:lang w:val="fr-FR"/>
        </w:rPr>
        <w:t>orientation sexuelle, le handicap ou l</w:t>
      </w:r>
      <w:r>
        <w:rPr>
          <w:lang w:val="fr-FR"/>
        </w:rPr>
        <w:t>’</w:t>
      </w:r>
      <w:r w:rsidRPr="003156E8">
        <w:rPr>
          <w:lang w:val="fr-FR"/>
        </w:rPr>
        <w:t>origine sociale (art</w:t>
      </w:r>
      <w:r w:rsidR="00244AED" w:rsidRPr="00244AED">
        <w:rPr>
          <w:lang w:val="fr-FR"/>
        </w:rPr>
        <w:t>.</w:t>
      </w:r>
      <w:r w:rsidR="005C78F8">
        <w:rPr>
          <w:lang w:val="fr-FR"/>
        </w:rPr>
        <w:t> </w:t>
      </w:r>
      <w:r w:rsidRPr="003156E8">
        <w:rPr>
          <w:lang w:val="fr-FR"/>
        </w:rPr>
        <w:t>21)</w:t>
      </w:r>
      <w:r w:rsidR="00244AED" w:rsidRPr="00244AED">
        <w:rPr>
          <w:lang w:val="fr-FR"/>
        </w:rPr>
        <w:t>.</w:t>
      </w:r>
      <w:r w:rsidRPr="003156E8">
        <w:rPr>
          <w:lang w:val="fr-FR"/>
        </w:rPr>
        <w:t xml:space="preserve"> </w:t>
      </w:r>
    </w:p>
    <w:p w14:paraId="775DC24A" w14:textId="29BB5BD5" w:rsidR="00F30B21" w:rsidRPr="003156E8" w:rsidRDefault="00F30B21" w:rsidP="00F30B21">
      <w:pPr>
        <w:pStyle w:val="SingleTxtG"/>
        <w:rPr>
          <w:lang w:val="fr-FR"/>
        </w:rPr>
      </w:pPr>
      <w:r w:rsidRPr="003156E8">
        <w:rPr>
          <w:color w:val="000000" w:themeColor="text1"/>
          <w:lang w:val="fr-FR"/>
        </w:rPr>
        <w:t>143</w:t>
      </w:r>
      <w:r w:rsidR="00244AED" w:rsidRPr="00244AED">
        <w:rPr>
          <w:color w:val="000000" w:themeColor="text1"/>
          <w:lang w:val="fr-FR"/>
        </w:rPr>
        <w:t>.</w:t>
      </w:r>
      <w:r w:rsidRPr="003156E8">
        <w:rPr>
          <w:color w:val="000000" w:themeColor="text1"/>
          <w:lang w:val="fr-FR"/>
        </w:rPr>
        <w:tab/>
      </w:r>
      <w:r>
        <w:rPr>
          <w:lang w:val="fr-FR"/>
        </w:rPr>
        <w:t>La</w:t>
      </w:r>
      <w:r w:rsidRPr="003156E8">
        <w:rPr>
          <w:lang w:val="fr-FR"/>
        </w:rPr>
        <w:t xml:space="preserve"> loi </w:t>
      </w:r>
      <w:r>
        <w:rPr>
          <w:lang w:val="fr-FR"/>
        </w:rPr>
        <w:t xml:space="preserve">précitée </w:t>
      </w:r>
      <w:r w:rsidRPr="003156E8">
        <w:rPr>
          <w:lang w:val="fr-FR"/>
        </w:rPr>
        <w:t>garantit l</w:t>
      </w:r>
      <w:r>
        <w:rPr>
          <w:lang w:val="fr-FR"/>
        </w:rPr>
        <w:t>’</w:t>
      </w:r>
      <w:r w:rsidRPr="003156E8">
        <w:rPr>
          <w:lang w:val="fr-FR"/>
        </w:rPr>
        <w:t>égalité et l</w:t>
      </w:r>
      <w:r>
        <w:rPr>
          <w:lang w:val="fr-FR"/>
        </w:rPr>
        <w:t>’</w:t>
      </w:r>
      <w:r w:rsidRPr="003156E8">
        <w:rPr>
          <w:lang w:val="fr-FR"/>
        </w:rPr>
        <w:t>équité entre hommes et femmes dans l</w:t>
      </w:r>
      <w:r>
        <w:rPr>
          <w:lang w:val="fr-FR"/>
        </w:rPr>
        <w:t>’</w:t>
      </w:r>
      <w:r w:rsidRPr="003156E8">
        <w:rPr>
          <w:lang w:val="fr-FR"/>
        </w:rPr>
        <w:t>exercice du droit au travail</w:t>
      </w:r>
      <w:r w:rsidR="00244AED" w:rsidRPr="00244AED">
        <w:rPr>
          <w:lang w:val="fr-FR"/>
        </w:rPr>
        <w:t>.</w:t>
      </w:r>
      <w:r w:rsidRPr="003156E8">
        <w:rPr>
          <w:lang w:val="fr-FR"/>
        </w:rPr>
        <w:t xml:space="preserve"> Elle dispose que les employeurs doivent respecter des critères d</w:t>
      </w:r>
      <w:r>
        <w:rPr>
          <w:lang w:val="fr-FR"/>
        </w:rPr>
        <w:t>’</w:t>
      </w:r>
      <w:r w:rsidRPr="003156E8">
        <w:rPr>
          <w:lang w:val="fr-FR"/>
        </w:rPr>
        <w:t>égalité et d</w:t>
      </w:r>
      <w:r>
        <w:rPr>
          <w:lang w:val="fr-FR"/>
        </w:rPr>
        <w:t>’</w:t>
      </w:r>
      <w:r w:rsidRPr="003156E8">
        <w:rPr>
          <w:lang w:val="fr-FR"/>
        </w:rPr>
        <w:t>équité en ce qui concerne la sélection, la formation, la promotion et la stabilité de l</w:t>
      </w:r>
      <w:r>
        <w:rPr>
          <w:lang w:val="fr-FR"/>
        </w:rPr>
        <w:t>’</w:t>
      </w:r>
      <w:r w:rsidRPr="003156E8">
        <w:rPr>
          <w:lang w:val="fr-FR"/>
        </w:rPr>
        <w:t>emploi, la formation professionnelle et la rémunération et qu</w:t>
      </w:r>
      <w:r>
        <w:rPr>
          <w:lang w:val="fr-FR"/>
        </w:rPr>
        <w:t>’</w:t>
      </w:r>
      <w:r w:rsidRPr="003156E8">
        <w:rPr>
          <w:lang w:val="fr-FR"/>
        </w:rPr>
        <w:t>ils sont tenus de promouvoir la participation paritaire des femmes et des hommes aux postes de direction, dans le cadre du travail (art</w:t>
      </w:r>
      <w:r w:rsidR="00244AED" w:rsidRPr="00244AED">
        <w:rPr>
          <w:lang w:val="fr-FR"/>
        </w:rPr>
        <w:t>.</w:t>
      </w:r>
      <w:r w:rsidRPr="003156E8">
        <w:rPr>
          <w:lang w:val="fr-FR"/>
        </w:rPr>
        <w:t xml:space="preserve"> 20)</w:t>
      </w:r>
      <w:r w:rsidR="00244AED" w:rsidRPr="00244AED">
        <w:rPr>
          <w:lang w:val="fr-FR"/>
        </w:rPr>
        <w:t>.</w:t>
      </w:r>
    </w:p>
    <w:p w14:paraId="62F38A57" w14:textId="5DF6EDB6" w:rsidR="00F30B21" w:rsidRPr="003156E8" w:rsidRDefault="00F30B21" w:rsidP="00F30B21">
      <w:pPr>
        <w:pStyle w:val="SingleTxtG"/>
        <w:rPr>
          <w:lang w:val="fr-FR"/>
        </w:rPr>
      </w:pPr>
      <w:r w:rsidRPr="003156E8">
        <w:rPr>
          <w:lang w:val="fr-FR"/>
        </w:rPr>
        <w:t>144</w:t>
      </w:r>
      <w:r w:rsidR="00244AED" w:rsidRPr="00244AED">
        <w:rPr>
          <w:lang w:val="fr-FR"/>
        </w:rPr>
        <w:t>.</w:t>
      </w:r>
      <w:r w:rsidRPr="003156E8">
        <w:rPr>
          <w:lang w:val="fr-FR"/>
        </w:rPr>
        <w:tab/>
        <w:t>La loi organique relative au travail</w:t>
      </w:r>
      <w:r>
        <w:rPr>
          <w:lang w:val="fr-FR"/>
        </w:rPr>
        <w:t xml:space="preserve"> et</w:t>
      </w:r>
      <w:r w:rsidRPr="003156E8">
        <w:rPr>
          <w:lang w:val="fr-FR"/>
        </w:rPr>
        <w:t xml:space="preserve"> aux travailleurs dispose que les Vénézuéliens et les étrangers</w:t>
      </w:r>
      <w:r w:rsidRPr="003156E8" w:rsidDel="004B57A9">
        <w:rPr>
          <w:lang w:val="fr-FR"/>
        </w:rPr>
        <w:t xml:space="preserve"> </w:t>
      </w:r>
      <w:r w:rsidRPr="003156E8">
        <w:rPr>
          <w:lang w:val="fr-FR"/>
        </w:rPr>
        <w:t>ont droit à une rémunération et à des conditions de travail identiques (art</w:t>
      </w:r>
      <w:r w:rsidR="00244AED" w:rsidRPr="00244AED">
        <w:rPr>
          <w:lang w:val="fr-FR"/>
        </w:rPr>
        <w:t>.</w:t>
      </w:r>
      <w:r w:rsidRPr="003156E8">
        <w:rPr>
          <w:lang w:val="fr-FR"/>
        </w:rPr>
        <w:t xml:space="preserve"> 3 et 109)</w:t>
      </w:r>
      <w:r w:rsidR="00244AED" w:rsidRPr="00244AED">
        <w:rPr>
          <w:lang w:val="fr-FR"/>
        </w:rPr>
        <w:t>.</w:t>
      </w:r>
      <w:r w:rsidRPr="003156E8">
        <w:rPr>
          <w:lang w:val="fr-FR"/>
        </w:rPr>
        <w:t xml:space="preserve"> Elle prévoit également des sanctions pour les employeurs qui maintiennent les </w:t>
      </w:r>
      <w:r w:rsidRPr="003156E8">
        <w:rPr>
          <w:lang w:val="fr-FR"/>
        </w:rPr>
        <w:lastRenderedPageBreak/>
        <w:t>travailleurs migrants en situation irrégulière et clandestine, conformément aux dispositions de la loi relative aux étrangers et aux migrations (art</w:t>
      </w:r>
      <w:r w:rsidR="00244AED" w:rsidRPr="00244AED">
        <w:rPr>
          <w:lang w:val="fr-FR"/>
        </w:rPr>
        <w:t>.</w:t>
      </w:r>
      <w:r w:rsidRPr="003156E8">
        <w:rPr>
          <w:lang w:val="fr-FR"/>
        </w:rPr>
        <w:t xml:space="preserve"> 52 à 59)</w:t>
      </w:r>
      <w:r w:rsidR="00244AED" w:rsidRPr="00244AED">
        <w:rPr>
          <w:lang w:val="fr-FR"/>
        </w:rPr>
        <w:t>.</w:t>
      </w:r>
    </w:p>
    <w:p w14:paraId="340F1661" w14:textId="46A98FDF" w:rsidR="00F30B21" w:rsidRPr="003156E8" w:rsidRDefault="00F30B21" w:rsidP="00F30B21">
      <w:pPr>
        <w:pStyle w:val="SingleTxtG"/>
        <w:rPr>
          <w:lang w:val="fr-FR"/>
        </w:rPr>
      </w:pPr>
      <w:r w:rsidRPr="003156E8">
        <w:rPr>
          <w:lang w:val="fr-FR"/>
        </w:rPr>
        <w:t>145</w:t>
      </w:r>
      <w:r w:rsidR="00244AED" w:rsidRPr="00244AED">
        <w:rPr>
          <w:lang w:val="fr-FR"/>
        </w:rPr>
        <w:t>.</w:t>
      </w:r>
      <w:r w:rsidRPr="003156E8">
        <w:rPr>
          <w:lang w:val="fr-FR"/>
        </w:rPr>
        <w:tab/>
        <w:t>La loi relative aux étrangers et aux migrations dispose que les étrangers se trouvant sur le territoire vénézuélien ont les mêmes droits que les ressortissants vénézuéliens, sans autres limitations que celles établies par la Constitution et les lois</w:t>
      </w:r>
      <w:r w:rsidR="00244AED" w:rsidRPr="00244AED">
        <w:rPr>
          <w:lang w:val="fr-FR"/>
        </w:rPr>
        <w:t>.</w:t>
      </w:r>
      <w:r w:rsidRPr="003156E8">
        <w:rPr>
          <w:lang w:val="fr-FR"/>
        </w:rPr>
        <w:t xml:space="preserve"> </w:t>
      </w:r>
    </w:p>
    <w:p w14:paraId="41DA5ADC" w14:textId="72E0FE19" w:rsidR="00F30B21" w:rsidRPr="003156E8" w:rsidRDefault="00F30B21" w:rsidP="00F30B21">
      <w:pPr>
        <w:pStyle w:val="SingleTxtG"/>
        <w:rPr>
          <w:lang w:val="fr-FR"/>
        </w:rPr>
      </w:pPr>
      <w:r w:rsidRPr="003156E8">
        <w:rPr>
          <w:lang w:val="fr-FR"/>
        </w:rPr>
        <w:t>146</w:t>
      </w:r>
      <w:r w:rsidR="00244AED" w:rsidRPr="00244AED">
        <w:rPr>
          <w:lang w:val="fr-FR"/>
        </w:rPr>
        <w:t>.</w:t>
      </w:r>
      <w:r w:rsidRPr="003156E8">
        <w:rPr>
          <w:lang w:val="fr-FR"/>
        </w:rPr>
        <w:tab/>
        <w:t>Depuis 2004, le Venezuela dispose d</w:t>
      </w:r>
      <w:r>
        <w:rPr>
          <w:lang w:val="fr-FR"/>
        </w:rPr>
        <w:t>’</w:t>
      </w:r>
      <w:r w:rsidRPr="003156E8">
        <w:rPr>
          <w:lang w:val="fr-FR"/>
        </w:rPr>
        <w:t>un plan permanent de régularisation migratoire, en application du décret 2 823</w:t>
      </w:r>
      <w:r w:rsidRPr="00F30B21">
        <w:rPr>
          <w:rStyle w:val="Appelnotedebasdep"/>
        </w:rPr>
        <w:footnoteReference w:id="33"/>
      </w:r>
      <w:r w:rsidRPr="003156E8">
        <w:rPr>
          <w:lang w:val="fr-FR"/>
        </w:rPr>
        <w:t xml:space="preserve"> prévoyant que tous les étrangers qui remplissent les conditions requises peuvent demander un permis de séjour ou la nationalité vénézuélienne, selon les cas</w:t>
      </w:r>
      <w:r w:rsidR="00244AED" w:rsidRPr="00244AED">
        <w:rPr>
          <w:lang w:val="fr-FR"/>
        </w:rPr>
        <w:t>.</w:t>
      </w:r>
    </w:p>
    <w:p w14:paraId="70DC78AB" w14:textId="25E59FDB" w:rsidR="00F30B21" w:rsidRPr="003156E8" w:rsidRDefault="00F30B21" w:rsidP="00F30B21">
      <w:pPr>
        <w:pStyle w:val="SingleTxtG"/>
        <w:rPr>
          <w:lang w:val="fr-FR"/>
        </w:rPr>
      </w:pPr>
      <w:r w:rsidRPr="003156E8">
        <w:rPr>
          <w:color w:val="000000" w:themeColor="text1"/>
          <w:lang w:val="fr-FR"/>
        </w:rPr>
        <w:t>147</w:t>
      </w:r>
      <w:r w:rsidR="00244AED" w:rsidRPr="00244AED">
        <w:rPr>
          <w:color w:val="000000" w:themeColor="text1"/>
          <w:lang w:val="fr-FR"/>
        </w:rPr>
        <w:t>.</w:t>
      </w:r>
      <w:r w:rsidRPr="003156E8">
        <w:rPr>
          <w:color w:val="000000" w:themeColor="text1"/>
          <w:lang w:val="fr-FR"/>
        </w:rPr>
        <w:tab/>
      </w:r>
      <w:r w:rsidRPr="003156E8">
        <w:rPr>
          <w:lang w:val="fr-FR"/>
        </w:rPr>
        <w:t>La loi relative aux étrangers et aux migrations dispose que toutes les personnes qui entrent sur le territoire de la République bolivarienne du Venezuela</w:t>
      </w:r>
      <w:r>
        <w:rPr>
          <w:lang w:val="fr-FR"/>
        </w:rPr>
        <w:t>,</w:t>
      </w:r>
      <w:r w:rsidRPr="003156E8">
        <w:rPr>
          <w:lang w:val="fr-FR"/>
        </w:rPr>
        <w:t xml:space="preserve"> dans le cadre d</w:t>
      </w:r>
      <w:r>
        <w:rPr>
          <w:lang w:val="fr-FR"/>
        </w:rPr>
        <w:t>’</w:t>
      </w:r>
      <w:r w:rsidRPr="003156E8">
        <w:rPr>
          <w:lang w:val="fr-FR"/>
        </w:rPr>
        <w:t>un contrat de travail</w:t>
      </w:r>
      <w:r>
        <w:rPr>
          <w:lang w:val="fr-FR"/>
        </w:rPr>
        <w:t>,</w:t>
      </w:r>
      <w:r w:rsidRPr="003156E8">
        <w:rPr>
          <w:lang w:val="fr-FR"/>
        </w:rPr>
        <w:t xml:space="preserve"> doivent obtenir une autorisation de travail (art</w:t>
      </w:r>
      <w:r w:rsidR="00244AED" w:rsidRPr="00244AED">
        <w:rPr>
          <w:lang w:val="fr-FR"/>
        </w:rPr>
        <w:t>.</w:t>
      </w:r>
      <w:r w:rsidRPr="003156E8">
        <w:rPr>
          <w:lang w:val="fr-FR"/>
        </w:rPr>
        <w:t xml:space="preserve"> 16)</w:t>
      </w:r>
      <w:r w:rsidR="00244AED" w:rsidRPr="00244AED">
        <w:rPr>
          <w:lang w:val="fr-FR"/>
        </w:rPr>
        <w:t>.</w:t>
      </w:r>
      <w:r w:rsidRPr="003156E8">
        <w:rPr>
          <w:lang w:val="fr-FR"/>
        </w:rPr>
        <w:t xml:space="preserve"> Elle prévoit également les exceptions et les cas dans lesquels cette autorisation n</w:t>
      </w:r>
      <w:r>
        <w:rPr>
          <w:lang w:val="fr-FR"/>
        </w:rPr>
        <w:t>’</w:t>
      </w:r>
      <w:r w:rsidRPr="003156E8">
        <w:rPr>
          <w:lang w:val="fr-FR"/>
        </w:rPr>
        <w:t>est pas exigée</w:t>
      </w:r>
      <w:r w:rsidR="00244AED" w:rsidRPr="00244AED">
        <w:rPr>
          <w:lang w:val="fr-FR"/>
        </w:rPr>
        <w:t>.</w:t>
      </w:r>
      <w:r w:rsidRPr="003156E8">
        <w:rPr>
          <w:lang w:val="fr-FR"/>
        </w:rPr>
        <w:t xml:space="preserve"> </w:t>
      </w:r>
    </w:p>
    <w:p w14:paraId="550E34A7" w14:textId="4931A343" w:rsidR="00F30B21" w:rsidRPr="003156E8" w:rsidRDefault="00F30B21" w:rsidP="00F30B21">
      <w:pPr>
        <w:pStyle w:val="SingleTxtG"/>
        <w:rPr>
          <w:lang w:val="fr-FR"/>
        </w:rPr>
      </w:pPr>
      <w:r w:rsidRPr="003156E8">
        <w:rPr>
          <w:color w:val="000000" w:themeColor="text1"/>
          <w:lang w:val="fr-FR"/>
        </w:rPr>
        <w:t>148</w:t>
      </w:r>
      <w:r w:rsidR="00244AED" w:rsidRPr="00244AED">
        <w:rPr>
          <w:color w:val="000000" w:themeColor="text1"/>
          <w:lang w:val="fr-FR"/>
        </w:rPr>
        <w:t>.</w:t>
      </w:r>
      <w:r w:rsidRPr="003156E8">
        <w:rPr>
          <w:color w:val="000000" w:themeColor="text1"/>
          <w:lang w:val="fr-FR"/>
        </w:rPr>
        <w:tab/>
      </w:r>
      <w:r w:rsidRPr="003156E8">
        <w:rPr>
          <w:lang w:val="fr-FR"/>
        </w:rPr>
        <w:t>Cette même loi dispose que les employeurs sont tenus de demander au travailleur étranger de présenter ses papiers d</w:t>
      </w:r>
      <w:r>
        <w:rPr>
          <w:lang w:val="fr-FR"/>
        </w:rPr>
        <w:t>’</w:t>
      </w:r>
      <w:r w:rsidRPr="003156E8">
        <w:rPr>
          <w:lang w:val="fr-FR"/>
        </w:rPr>
        <w:t xml:space="preserve">identité et doivent notifier par écrit les conditions du contrat de travail au </w:t>
      </w:r>
      <w:r>
        <w:rPr>
          <w:lang w:val="fr-FR"/>
        </w:rPr>
        <w:t>r</w:t>
      </w:r>
      <w:r w:rsidRPr="003156E8">
        <w:rPr>
          <w:lang w:val="fr-FR"/>
        </w:rPr>
        <w:t xml:space="preserve">egistre national des </w:t>
      </w:r>
      <w:r w:rsidRPr="007A5301">
        <w:rPr>
          <w:lang w:val="fr-FR"/>
        </w:rPr>
        <w:t xml:space="preserve">étrangers (art. </w:t>
      </w:r>
      <w:r w:rsidR="007A5301" w:rsidRPr="007A5301">
        <w:rPr>
          <w:lang w:val="fr-FR"/>
        </w:rPr>
        <w:t>24</w:t>
      </w:r>
      <w:r w:rsidRPr="003156E8">
        <w:rPr>
          <w:lang w:val="fr-FR"/>
        </w:rPr>
        <w:t>)</w:t>
      </w:r>
      <w:r w:rsidR="00244AED" w:rsidRPr="00244AED">
        <w:rPr>
          <w:lang w:val="fr-FR"/>
        </w:rPr>
        <w:t>.</w:t>
      </w:r>
    </w:p>
    <w:p w14:paraId="1D06C050" w14:textId="4160ACEE" w:rsidR="00F30B21" w:rsidRPr="003156E8" w:rsidRDefault="00F30B21" w:rsidP="00F30B21">
      <w:pPr>
        <w:pStyle w:val="SingleTxtG"/>
        <w:rPr>
          <w:lang w:val="fr-FR"/>
        </w:rPr>
      </w:pPr>
      <w:r w:rsidRPr="003156E8">
        <w:rPr>
          <w:color w:val="000000" w:themeColor="text1"/>
          <w:lang w:val="fr-FR"/>
        </w:rPr>
        <w:t>149</w:t>
      </w:r>
      <w:r w:rsidR="00244AED" w:rsidRPr="00244AED">
        <w:rPr>
          <w:color w:val="000000" w:themeColor="text1"/>
          <w:lang w:val="fr-FR"/>
        </w:rPr>
        <w:t>.</w:t>
      </w:r>
      <w:r w:rsidRPr="003156E8">
        <w:rPr>
          <w:color w:val="000000" w:themeColor="text1"/>
          <w:lang w:val="fr-FR"/>
        </w:rPr>
        <w:tab/>
      </w:r>
      <w:r w:rsidRPr="003156E8">
        <w:rPr>
          <w:lang w:val="fr-FR"/>
        </w:rPr>
        <w:t>Afin de lutter contre l</w:t>
      </w:r>
      <w:r>
        <w:rPr>
          <w:lang w:val="fr-FR"/>
        </w:rPr>
        <w:t>’</w:t>
      </w:r>
      <w:r w:rsidRPr="003156E8">
        <w:rPr>
          <w:lang w:val="fr-FR"/>
        </w:rPr>
        <w:t>exploitation par le travail des travailleurs migrants, qu</w:t>
      </w:r>
      <w:r>
        <w:rPr>
          <w:lang w:val="fr-FR"/>
        </w:rPr>
        <w:t>’</w:t>
      </w:r>
      <w:r w:rsidRPr="003156E8">
        <w:rPr>
          <w:lang w:val="fr-FR"/>
        </w:rPr>
        <w:t>ils soient en situation régulière ou irrégulière, le Ministère du pouvoir populaire en charge du travail fournit des services d</w:t>
      </w:r>
      <w:r>
        <w:rPr>
          <w:lang w:val="fr-FR"/>
        </w:rPr>
        <w:t>’</w:t>
      </w:r>
      <w:r w:rsidRPr="003156E8">
        <w:rPr>
          <w:lang w:val="fr-FR"/>
        </w:rPr>
        <w:t>orientation et de conseil sur les démarches et les procédures concernant les autorisations de travail accordées aux travailleurs étrangers, ainsi que sur les exceptions prévues</w:t>
      </w:r>
      <w:r w:rsidR="00244AED" w:rsidRPr="00244AED">
        <w:rPr>
          <w:lang w:val="fr-FR"/>
        </w:rPr>
        <w:t>.</w:t>
      </w:r>
      <w:r w:rsidRPr="003156E8">
        <w:rPr>
          <w:lang w:val="fr-FR"/>
        </w:rPr>
        <w:t xml:space="preserve"> Ces services sont proposés dans le cadre d</w:t>
      </w:r>
      <w:r>
        <w:rPr>
          <w:lang w:val="fr-FR"/>
        </w:rPr>
        <w:t>’</w:t>
      </w:r>
      <w:r w:rsidRPr="003156E8">
        <w:rPr>
          <w:lang w:val="fr-FR"/>
        </w:rPr>
        <w:t>une coordination interinstitutionnelle avec les organismes nationaux compétents en matière de migration, de politique extérieure, de politique intérieure et de défense, ainsi qu</w:t>
      </w:r>
      <w:r>
        <w:rPr>
          <w:lang w:val="fr-FR"/>
        </w:rPr>
        <w:t>’</w:t>
      </w:r>
      <w:r w:rsidRPr="003156E8">
        <w:rPr>
          <w:lang w:val="fr-FR"/>
        </w:rPr>
        <w:t>avec les organes du pouvoir citoyen</w:t>
      </w:r>
      <w:r w:rsidR="00244AED" w:rsidRPr="00244AED">
        <w:rPr>
          <w:lang w:val="fr-FR"/>
        </w:rPr>
        <w:t>.</w:t>
      </w:r>
    </w:p>
    <w:p w14:paraId="270C8824" w14:textId="7CA3D86D" w:rsidR="00F30B21" w:rsidRPr="003156E8" w:rsidRDefault="00F30B21" w:rsidP="00F30B21">
      <w:pPr>
        <w:pStyle w:val="SingleTxtG"/>
        <w:rPr>
          <w:lang w:val="fr-FR"/>
        </w:rPr>
      </w:pPr>
      <w:r w:rsidRPr="003156E8">
        <w:rPr>
          <w:color w:val="000000" w:themeColor="text1"/>
          <w:lang w:val="fr-FR"/>
        </w:rPr>
        <w:t>150</w:t>
      </w:r>
      <w:r w:rsidR="00244AED" w:rsidRPr="00244AED">
        <w:rPr>
          <w:color w:val="000000" w:themeColor="text1"/>
          <w:lang w:val="fr-FR"/>
        </w:rPr>
        <w:t>.</w:t>
      </w:r>
      <w:r w:rsidRPr="003156E8">
        <w:rPr>
          <w:color w:val="000000" w:themeColor="text1"/>
          <w:lang w:val="fr-FR"/>
        </w:rPr>
        <w:tab/>
      </w:r>
      <w:r w:rsidRPr="003156E8">
        <w:rPr>
          <w:lang w:val="fr-FR"/>
        </w:rPr>
        <w:t>Des inspections sont organisées dans les structures qui emploient de la main-d</w:t>
      </w:r>
      <w:r>
        <w:rPr>
          <w:lang w:val="fr-FR"/>
        </w:rPr>
        <w:t>’</w:t>
      </w:r>
      <w:r w:rsidRPr="003156E8">
        <w:rPr>
          <w:lang w:val="fr-FR"/>
        </w:rPr>
        <w:t>œuvre étrangère qualifiée, avec l</w:t>
      </w:r>
      <w:r>
        <w:rPr>
          <w:lang w:val="fr-FR"/>
        </w:rPr>
        <w:t>’</w:t>
      </w:r>
      <w:r w:rsidRPr="003156E8">
        <w:rPr>
          <w:lang w:val="fr-FR"/>
        </w:rPr>
        <w:t xml:space="preserve">autorisation de la </w:t>
      </w:r>
      <w:r>
        <w:rPr>
          <w:lang w:val="fr-FR"/>
        </w:rPr>
        <w:t>d</w:t>
      </w:r>
      <w:r w:rsidRPr="003156E8">
        <w:rPr>
          <w:lang w:val="fr-FR"/>
        </w:rPr>
        <w:t>irection des migrations aux fins d</w:t>
      </w:r>
      <w:r>
        <w:rPr>
          <w:lang w:val="fr-FR"/>
        </w:rPr>
        <w:t>’</w:t>
      </w:r>
      <w:r w:rsidRPr="003156E8">
        <w:rPr>
          <w:lang w:val="fr-FR"/>
        </w:rPr>
        <w:t>emploi, afin d</w:t>
      </w:r>
      <w:r>
        <w:rPr>
          <w:lang w:val="fr-FR"/>
        </w:rPr>
        <w:t>’</w:t>
      </w:r>
      <w:r w:rsidRPr="003156E8">
        <w:rPr>
          <w:lang w:val="fr-FR"/>
        </w:rPr>
        <w:t>en assurer le contrôle et le suivi</w:t>
      </w:r>
      <w:r w:rsidR="00244AED" w:rsidRPr="00244AED">
        <w:rPr>
          <w:lang w:val="fr-FR"/>
        </w:rPr>
        <w:t>.</w:t>
      </w:r>
      <w:r w:rsidRPr="003156E8">
        <w:rPr>
          <w:lang w:val="fr-FR"/>
        </w:rPr>
        <w:t xml:space="preserve"> À certaines périodes, à titre exceptionnel et temporaire, les entreprises publiques, privées et mixtes qui en font la demande peuvent obtenir des autorisations de travail en nombre supérieur au pourcentage de travailleurs étrangers habituellement autorisé</w:t>
      </w:r>
      <w:r w:rsidR="00244AED" w:rsidRPr="00244AED">
        <w:rPr>
          <w:lang w:val="fr-FR"/>
        </w:rPr>
        <w:t>.</w:t>
      </w:r>
      <w:r w:rsidRPr="003156E8">
        <w:rPr>
          <w:lang w:val="fr-FR"/>
        </w:rPr>
        <w:t xml:space="preserve"> Dans ce cas, il est possible d</w:t>
      </w:r>
      <w:r>
        <w:rPr>
          <w:lang w:val="fr-FR"/>
        </w:rPr>
        <w:t>’</w:t>
      </w:r>
      <w:r w:rsidRPr="003156E8">
        <w:rPr>
          <w:lang w:val="fr-FR"/>
        </w:rPr>
        <w:t>embaucher un pourcentage de travailleurs migrants étrangers supplémentaire (+10 %), notamment dans le secteur pétrolier</w:t>
      </w:r>
      <w:r w:rsidR="00244AED" w:rsidRPr="00244AED">
        <w:rPr>
          <w:lang w:val="fr-FR"/>
        </w:rPr>
        <w:t>.</w:t>
      </w:r>
    </w:p>
    <w:p w14:paraId="26CFA712" w14:textId="6013FC87" w:rsidR="00F30B21" w:rsidRPr="003156E8" w:rsidRDefault="00F30B21" w:rsidP="00F30B21">
      <w:pPr>
        <w:pStyle w:val="SingleTxtG"/>
        <w:rPr>
          <w:lang w:val="fr-FR"/>
        </w:rPr>
      </w:pPr>
      <w:r w:rsidRPr="003156E8">
        <w:rPr>
          <w:color w:val="000000" w:themeColor="text1"/>
          <w:lang w:val="fr-FR"/>
        </w:rPr>
        <w:t>151</w:t>
      </w:r>
      <w:r w:rsidR="00244AED" w:rsidRPr="00244AED">
        <w:rPr>
          <w:color w:val="000000" w:themeColor="text1"/>
          <w:lang w:val="fr-FR"/>
        </w:rPr>
        <w:t>.</w:t>
      </w:r>
      <w:r w:rsidRPr="003156E8">
        <w:rPr>
          <w:color w:val="000000" w:themeColor="text1"/>
          <w:lang w:val="fr-FR"/>
        </w:rPr>
        <w:tab/>
      </w:r>
      <w:r w:rsidRPr="003156E8">
        <w:rPr>
          <w:lang w:val="fr-FR"/>
        </w:rPr>
        <w:t>La coopération interinstitutionnelle entre le Ministère du pouvoir populaire en charge du travail et le Ministère du pouvoir populaire en charge des relations extérieures a été renforcée en ce qui concerne la délivrance des autorisations de travail à des travailleurs étrangers par les services consulaires</w:t>
      </w:r>
      <w:r w:rsidR="00244AED" w:rsidRPr="00244AED">
        <w:rPr>
          <w:lang w:val="fr-FR"/>
        </w:rPr>
        <w:t>.</w:t>
      </w:r>
      <w:r w:rsidRPr="003156E8">
        <w:rPr>
          <w:lang w:val="fr-FR"/>
        </w:rPr>
        <w:t xml:space="preserve"> La coopération entre les consulats du Venezuela à l</w:t>
      </w:r>
      <w:r>
        <w:rPr>
          <w:lang w:val="fr-FR"/>
        </w:rPr>
        <w:t>’</w:t>
      </w:r>
      <w:r w:rsidRPr="003156E8">
        <w:rPr>
          <w:lang w:val="fr-FR"/>
        </w:rPr>
        <w:t xml:space="preserve">étranger, le </w:t>
      </w:r>
      <w:r>
        <w:rPr>
          <w:lang w:val="fr-FR"/>
        </w:rPr>
        <w:t>s</w:t>
      </w:r>
      <w:r w:rsidRPr="003156E8">
        <w:rPr>
          <w:lang w:val="fr-FR"/>
        </w:rPr>
        <w:t>ervice administratif de l</w:t>
      </w:r>
      <w:r>
        <w:rPr>
          <w:lang w:val="fr-FR"/>
        </w:rPr>
        <w:t>’</w:t>
      </w:r>
      <w:r w:rsidRPr="003156E8">
        <w:rPr>
          <w:lang w:val="fr-FR"/>
        </w:rPr>
        <w:t xml:space="preserve">identification, des migrations et des étrangers et la </w:t>
      </w:r>
      <w:r>
        <w:rPr>
          <w:lang w:val="fr-FR"/>
        </w:rPr>
        <w:t>d</w:t>
      </w:r>
      <w:r w:rsidRPr="003156E8">
        <w:rPr>
          <w:lang w:val="fr-FR"/>
        </w:rPr>
        <w:t>irection des migrations aux fins d</w:t>
      </w:r>
      <w:r>
        <w:rPr>
          <w:lang w:val="fr-FR"/>
        </w:rPr>
        <w:t>’</w:t>
      </w:r>
      <w:r w:rsidRPr="003156E8">
        <w:rPr>
          <w:lang w:val="fr-FR"/>
        </w:rPr>
        <w:t>emploi a pour objet de faciliter l</w:t>
      </w:r>
      <w:r>
        <w:rPr>
          <w:lang w:val="fr-FR"/>
        </w:rPr>
        <w:t>’</w:t>
      </w:r>
      <w:r w:rsidRPr="003156E8">
        <w:rPr>
          <w:lang w:val="fr-FR"/>
        </w:rPr>
        <w:t>octroi du visa de travail</w:t>
      </w:r>
      <w:r w:rsidR="00244AED" w:rsidRPr="00244AED">
        <w:rPr>
          <w:lang w:val="fr-FR"/>
        </w:rPr>
        <w:t>.</w:t>
      </w:r>
    </w:p>
    <w:p w14:paraId="074916CA" w14:textId="67E0701E" w:rsidR="00F30B21" w:rsidRPr="003156E8" w:rsidRDefault="00F30B21" w:rsidP="00F30B21">
      <w:pPr>
        <w:pStyle w:val="SingleTxtG"/>
        <w:rPr>
          <w:lang w:val="fr-FR"/>
        </w:rPr>
      </w:pPr>
      <w:r w:rsidRPr="003156E8">
        <w:rPr>
          <w:color w:val="000000" w:themeColor="text1"/>
          <w:lang w:val="fr-FR"/>
        </w:rPr>
        <w:t>152</w:t>
      </w:r>
      <w:r w:rsidR="00244AED" w:rsidRPr="00244AED">
        <w:rPr>
          <w:color w:val="000000" w:themeColor="text1"/>
          <w:lang w:val="fr-FR"/>
        </w:rPr>
        <w:t>.</w:t>
      </w:r>
      <w:r w:rsidRPr="003156E8">
        <w:rPr>
          <w:color w:val="000000" w:themeColor="text1"/>
          <w:lang w:val="fr-FR"/>
        </w:rPr>
        <w:tab/>
      </w:r>
      <w:r w:rsidRPr="003156E8">
        <w:rPr>
          <w:lang w:val="fr-FR"/>
        </w:rPr>
        <w:t>Le Ministère du pouvoir populaire en charge du travail et les organes qui y sont rattachés, tels que l</w:t>
      </w:r>
      <w:r>
        <w:rPr>
          <w:lang w:val="fr-FR"/>
        </w:rPr>
        <w:t>’</w:t>
      </w:r>
      <w:r w:rsidRPr="003156E8">
        <w:rPr>
          <w:lang w:val="fr-FR"/>
        </w:rPr>
        <w:t>Institut vénézuélien de sécurité sociale et l</w:t>
      </w:r>
      <w:r>
        <w:rPr>
          <w:lang w:val="fr-FR"/>
        </w:rPr>
        <w:t>’</w:t>
      </w:r>
      <w:r w:rsidRPr="003156E8">
        <w:rPr>
          <w:lang w:val="fr-FR"/>
        </w:rPr>
        <w:t>Institut national de prévention, de santé et de sécurité au travail, gèrent le système d</w:t>
      </w:r>
      <w:r>
        <w:rPr>
          <w:lang w:val="fr-FR"/>
        </w:rPr>
        <w:t>’</w:t>
      </w:r>
      <w:r w:rsidRPr="003156E8">
        <w:rPr>
          <w:lang w:val="fr-FR"/>
        </w:rPr>
        <w:t>inspection en matière de travail et de sécurité sociale</w:t>
      </w:r>
      <w:r w:rsidR="00244AED" w:rsidRPr="00244AED">
        <w:rPr>
          <w:lang w:val="fr-FR"/>
        </w:rPr>
        <w:t>.</w:t>
      </w:r>
      <w:r w:rsidRPr="003156E8">
        <w:rPr>
          <w:lang w:val="fr-FR"/>
        </w:rPr>
        <w:t xml:space="preserve"> L</w:t>
      </w:r>
      <w:r>
        <w:rPr>
          <w:lang w:val="fr-FR"/>
        </w:rPr>
        <w:t>’</w:t>
      </w:r>
      <w:r w:rsidRPr="003156E8">
        <w:rPr>
          <w:lang w:val="fr-FR"/>
        </w:rPr>
        <w:t>objectif est de contrôler les conditions de travail et de vérifier que tous les travailleurs, en zone urbaine comme en zone rurale, sont affiliés à la sécurité sociale</w:t>
      </w:r>
      <w:r w:rsidR="00244AED" w:rsidRPr="00244AED">
        <w:rPr>
          <w:lang w:val="fr-FR"/>
        </w:rPr>
        <w:t>.</w:t>
      </w:r>
      <w:r w:rsidRPr="003156E8">
        <w:rPr>
          <w:lang w:val="fr-FR"/>
        </w:rPr>
        <w:t xml:space="preserve"> En zone rurale, ces inspections sont réalisées dans le cadre du programme complet d</w:t>
      </w:r>
      <w:r>
        <w:rPr>
          <w:lang w:val="fr-FR"/>
        </w:rPr>
        <w:t>’</w:t>
      </w:r>
      <w:r w:rsidRPr="003156E8">
        <w:rPr>
          <w:lang w:val="fr-FR"/>
        </w:rPr>
        <w:t>inspection agraire</w:t>
      </w:r>
      <w:r w:rsidR="00244AED" w:rsidRPr="00244AED">
        <w:rPr>
          <w:lang w:val="fr-FR"/>
        </w:rPr>
        <w:t>.</w:t>
      </w:r>
    </w:p>
    <w:p w14:paraId="19FBEE2B" w14:textId="77F7D116" w:rsidR="00F30B21" w:rsidRPr="003156E8" w:rsidRDefault="00F30B21" w:rsidP="00F30B21">
      <w:pPr>
        <w:pStyle w:val="SingleTxtG"/>
        <w:rPr>
          <w:lang w:val="fr-FR"/>
        </w:rPr>
      </w:pPr>
      <w:r w:rsidRPr="003156E8">
        <w:rPr>
          <w:color w:val="000000" w:themeColor="text1"/>
          <w:lang w:val="fr-FR"/>
        </w:rPr>
        <w:t>153</w:t>
      </w:r>
      <w:r w:rsidR="00244AED" w:rsidRPr="00244AED">
        <w:rPr>
          <w:color w:val="000000" w:themeColor="text1"/>
          <w:lang w:val="fr-FR"/>
        </w:rPr>
        <w:t>.</w:t>
      </w:r>
      <w:r w:rsidRPr="003156E8">
        <w:rPr>
          <w:color w:val="000000" w:themeColor="text1"/>
          <w:lang w:val="fr-FR"/>
        </w:rPr>
        <w:tab/>
      </w:r>
      <w:r w:rsidRPr="003156E8">
        <w:rPr>
          <w:lang w:val="fr-FR"/>
        </w:rPr>
        <w:t>Les inspections interdisciplinaires menées dans le cadre du programme précité ont pour but de vérifier que les employeurs respectent les dispositions légales en vigueur en ce qui concerne les conditions de production, les conditions de travail, la sécurité sociale, la santé et la sécurité au travail, la migration aux fins d</w:t>
      </w:r>
      <w:r>
        <w:rPr>
          <w:lang w:val="fr-FR"/>
        </w:rPr>
        <w:t>’</w:t>
      </w:r>
      <w:r w:rsidRPr="003156E8">
        <w:rPr>
          <w:lang w:val="fr-FR"/>
        </w:rPr>
        <w:t>emploi et la promotion des droits dans le domaine du travail</w:t>
      </w:r>
      <w:r w:rsidR="00244AED" w:rsidRPr="00244AED">
        <w:rPr>
          <w:lang w:val="fr-FR"/>
        </w:rPr>
        <w:t>.</w:t>
      </w:r>
      <w:r w:rsidRPr="003156E8">
        <w:rPr>
          <w:lang w:val="fr-FR"/>
        </w:rPr>
        <w:t xml:space="preserve"> Elles visent à vérifier que les entreprises respectent la législation, mais également à conseiller et à aider les personnes qui travaillent dans les secteurs suivants : </w:t>
      </w:r>
      <w:r w:rsidRPr="003156E8">
        <w:rPr>
          <w:lang w:val="fr-FR"/>
        </w:rPr>
        <w:lastRenderedPageBreak/>
        <w:t xml:space="preserve">agriculture, aviculture, élevage, sylviculture, aquaculture, pêche artisanale et industrie </w:t>
      </w:r>
      <w:proofErr w:type="spellStart"/>
      <w:r w:rsidRPr="003156E8">
        <w:rPr>
          <w:lang w:val="fr-FR"/>
        </w:rPr>
        <w:t>agroalimentaire</w:t>
      </w:r>
      <w:proofErr w:type="spellEnd"/>
      <w:r w:rsidR="00244AED" w:rsidRPr="00244AED">
        <w:rPr>
          <w:lang w:val="fr-FR"/>
        </w:rPr>
        <w:t>.</w:t>
      </w:r>
    </w:p>
    <w:p w14:paraId="70ECB698" w14:textId="1BF1890C" w:rsidR="00F30B21" w:rsidRPr="003156E8" w:rsidRDefault="00F30B21" w:rsidP="00F30B21">
      <w:pPr>
        <w:pStyle w:val="SingleTxtG"/>
        <w:rPr>
          <w:lang w:val="fr-FR"/>
        </w:rPr>
      </w:pPr>
      <w:r w:rsidRPr="003156E8">
        <w:rPr>
          <w:color w:val="000000" w:themeColor="text1"/>
          <w:lang w:val="fr-FR"/>
        </w:rPr>
        <w:t>154</w:t>
      </w:r>
      <w:r w:rsidR="00244AED" w:rsidRPr="00244AED">
        <w:rPr>
          <w:color w:val="000000" w:themeColor="text1"/>
          <w:lang w:val="fr-FR"/>
        </w:rPr>
        <w:t>.</w:t>
      </w:r>
      <w:r w:rsidRPr="003156E8">
        <w:rPr>
          <w:color w:val="000000" w:themeColor="text1"/>
          <w:lang w:val="fr-FR"/>
        </w:rPr>
        <w:tab/>
      </w:r>
      <w:r w:rsidRPr="003156E8">
        <w:rPr>
          <w:lang w:val="fr-FR"/>
        </w:rPr>
        <w:t>À titre d</w:t>
      </w:r>
      <w:r>
        <w:rPr>
          <w:lang w:val="fr-FR"/>
        </w:rPr>
        <w:t>’</w:t>
      </w:r>
      <w:r w:rsidRPr="003156E8">
        <w:rPr>
          <w:lang w:val="fr-FR"/>
        </w:rPr>
        <w:t>exemple, 202 unités de production agricole ont été inspectées en mai 2019 dans l</w:t>
      </w:r>
      <w:r>
        <w:rPr>
          <w:lang w:val="fr-FR"/>
        </w:rPr>
        <w:t>’</w:t>
      </w:r>
      <w:r w:rsidRPr="003156E8">
        <w:rPr>
          <w:lang w:val="fr-FR"/>
        </w:rPr>
        <w:t>État de Mérida, concernant 737 travailleurs, dont 4 étrangers</w:t>
      </w:r>
      <w:r w:rsidR="00244AED" w:rsidRPr="00244AED">
        <w:rPr>
          <w:lang w:val="fr-FR"/>
        </w:rPr>
        <w:t>.</w:t>
      </w:r>
      <w:r w:rsidRPr="003156E8">
        <w:rPr>
          <w:lang w:val="fr-FR"/>
        </w:rPr>
        <w:t xml:space="preserve"> </w:t>
      </w:r>
    </w:p>
    <w:p w14:paraId="4425D04B" w14:textId="77777777" w:rsidR="00F30B21" w:rsidRPr="003156E8" w:rsidRDefault="00F30B21" w:rsidP="00F30B21">
      <w:pPr>
        <w:pStyle w:val="H1G"/>
        <w:rPr>
          <w:lang w:val="fr-FR"/>
        </w:rPr>
      </w:pPr>
      <w:r w:rsidRPr="003156E8">
        <w:rPr>
          <w:b w:val="0"/>
          <w:lang w:val="fr-FR"/>
        </w:rPr>
        <w:tab/>
      </w:r>
      <w:r w:rsidRPr="003156E8">
        <w:rPr>
          <w:b w:val="0"/>
          <w:lang w:val="fr-FR"/>
        </w:rPr>
        <w:tab/>
      </w:r>
      <w:r w:rsidRPr="003156E8">
        <w:rPr>
          <w:bCs/>
          <w:lang w:val="fr-FR"/>
        </w:rPr>
        <w:t>Article 6</w:t>
      </w:r>
    </w:p>
    <w:p w14:paraId="79B49673" w14:textId="77777777" w:rsidR="00F30B21" w:rsidRPr="003156E8" w:rsidRDefault="00F30B21" w:rsidP="00F30B21">
      <w:pPr>
        <w:pStyle w:val="H23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Protection et voies de recours effectives, devant les tribunaux nationaux et autres organismes d</w:t>
      </w:r>
      <w:r>
        <w:rPr>
          <w:bCs/>
          <w:shd w:val="clear" w:color="auto" w:fill="FFFFFF"/>
          <w:lang w:val="fr-FR"/>
        </w:rPr>
        <w:t>’</w:t>
      </w:r>
      <w:r w:rsidRPr="003156E8">
        <w:rPr>
          <w:bCs/>
          <w:shd w:val="clear" w:color="auto" w:fill="FFFFFF"/>
          <w:lang w:val="fr-FR"/>
        </w:rPr>
        <w:t>État compétents, contre tous actes de discrimination raciale</w:t>
      </w:r>
    </w:p>
    <w:p w14:paraId="1FFCA560" w14:textId="05E3B7B6" w:rsidR="00F30B21" w:rsidRPr="003156E8" w:rsidRDefault="00F30B21" w:rsidP="00F30B21">
      <w:pPr>
        <w:pStyle w:val="SingleTxtG"/>
        <w:rPr>
          <w:lang w:val="fr-FR"/>
        </w:rPr>
      </w:pPr>
      <w:r w:rsidRPr="003156E8">
        <w:rPr>
          <w:color w:val="000000" w:themeColor="text1"/>
          <w:lang w:val="fr-FR"/>
        </w:rPr>
        <w:t>155</w:t>
      </w:r>
      <w:r w:rsidR="00244AED" w:rsidRPr="00244AED">
        <w:rPr>
          <w:color w:val="000000" w:themeColor="text1"/>
          <w:lang w:val="fr-FR"/>
        </w:rPr>
        <w:t>.</w:t>
      </w:r>
      <w:r w:rsidRPr="003156E8">
        <w:rPr>
          <w:color w:val="000000" w:themeColor="text1"/>
          <w:lang w:val="fr-FR"/>
        </w:rPr>
        <w:tab/>
      </w:r>
      <w:r w:rsidRPr="003156E8">
        <w:rPr>
          <w:lang w:val="fr-FR"/>
        </w:rPr>
        <w:t xml:space="preserve">Au cours de la période </w:t>
      </w:r>
      <w:r>
        <w:rPr>
          <w:lang w:val="fr-FR"/>
        </w:rPr>
        <w:t>considérée</w:t>
      </w:r>
      <w:r w:rsidRPr="003156E8">
        <w:rPr>
          <w:lang w:val="fr-FR"/>
        </w:rPr>
        <w:t>, les progrès accomplis sur le plan juridique ont permis de renforcer les garanties relatives à la protection judiciaire effective des victimes, au procès équitable et au droit à la défense, ainsi qu</w:t>
      </w:r>
      <w:r>
        <w:rPr>
          <w:lang w:val="fr-FR"/>
        </w:rPr>
        <w:t>’</w:t>
      </w:r>
      <w:r w:rsidRPr="003156E8">
        <w:rPr>
          <w:lang w:val="fr-FR"/>
        </w:rPr>
        <w:t>au droit d</w:t>
      </w:r>
      <w:r>
        <w:rPr>
          <w:lang w:val="fr-FR"/>
        </w:rPr>
        <w:t>’</w:t>
      </w:r>
      <w:r w:rsidRPr="003156E8">
        <w:rPr>
          <w:lang w:val="fr-FR"/>
        </w:rPr>
        <w:t>obtenir des coupables la réparation des dommages causés, consacrés respectivement par l</w:t>
      </w:r>
      <w:r>
        <w:rPr>
          <w:lang w:val="fr-FR"/>
        </w:rPr>
        <w:t>’</w:t>
      </w:r>
      <w:r w:rsidRPr="003156E8">
        <w:rPr>
          <w:lang w:val="fr-FR"/>
        </w:rPr>
        <w:t>article 26, l</w:t>
      </w:r>
      <w:r>
        <w:rPr>
          <w:lang w:val="fr-FR"/>
        </w:rPr>
        <w:t>’</w:t>
      </w:r>
      <w:r w:rsidRPr="003156E8">
        <w:rPr>
          <w:lang w:val="fr-FR"/>
        </w:rPr>
        <w:t>article 49 et le dernier paragraphe de l</w:t>
      </w:r>
      <w:r>
        <w:rPr>
          <w:lang w:val="fr-FR"/>
        </w:rPr>
        <w:t>’</w:t>
      </w:r>
      <w:r w:rsidRPr="003156E8">
        <w:rPr>
          <w:lang w:val="fr-FR"/>
        </w:rPr>
        <w:t>article 30 de la Constitution</w:t>
      </w:r>
      <w:r w:rsidR="00244AED" w:rsidRPr="00244AED">
        <w:rPr>
          <w:lang w:val="fr-FR"/>
        </w:rPr>
        <w:t>.</w:t>
      </w:r>
    </w:p>
    <w:p w14:paraId="3A61276C" w14:textId="75962632" w:rsidR="00F30B21" w:rsidRPr="003156E8" w:rsidRDefault="00F30B21" w:rsidP="00F30B21">
      <w:pPr>
        <w:pStyle w:val="SingleTxtG"/>
        <w:rPr>
          <w:lang w:val="fr-FR"/>
        </w:rPr>
      </w:pPr>
      <w:r w:rsidRPr="003156E8">
        <w:rPr>
          <w:color w:val="000000" w:themeColor="text1"/>
          <w:lang w:val="fr-FR"/>
        </w:rPr>
        <w:t>156</w:t>
      </w:r>
      <w:r w:rsidR="00244AED" w:rsidRPr="00244AED">
        <w:rPr>
          <w:color w:val="000000" w:themeColor="text1"/>
          <w:lang w:val="fr-FR"/>
        </w:rPr>
        <w:t>.</w:t>
      </w:r>
      <w:r w:rsidRPr="003156E8">
        <w:rPr>
          <w:color w:val="000000" w:themeColor="text1"/>
          <w:lang w:val="fr-FR"/>
        </w:rPr>
        <w:tab/>
      </w:r>
      <w:r w:rsidRPr="003156E8">
        <w:rPr>
          <w:lang w:val="fr-FR"/>
        </w:rPr>
        <w:t>En août 2012, la chambre constitutionnelle de la Cour suprême de justice a établi que, dans les procédures pénales relevant de la procédure spéciale prévue par la loi organique relative au droit des femmes à une vie sans violence, la victime directe ou indirecte peut porter plainte elle-même contre le mis en cause devant le juge du contrôle, indépendamment du ministère public, si l</w:t>
      </w:r>
      <w:r>
        <w:rPr>
          <w:lang w:val="fr-FR"/>
        </w:rPr>
        <w:t>’</w:t>
      </w:r>
      <w:r w:rsidRPr="003156E8">
        <w:rPr>
          <w:lang w:val="fr-FR"/>
        </w:rPr>
        <w:t>enquête menée par le parquet n</w:t>
      </w:r>
      <w:r>
        <w:rPr>
          <w:lang w:val="fr-FR"/>
        </w:rPr>
        <w:t>’</w:t>
      </w:r>
      <w:r w:rsidRPr="003156E8">
        <w:rPr>
          <w:lang w:val="fr-FR"/>
        </w:rPr>
        <w:t>était pas achevée dans les délais prévus par la loi spéciale</w:t>
      </w:r>
      <w:r w:rsidR="00244AED" w:rsidRPr="00244AED">
        <w:rPr>
          <w:lang w:val="fr-FR"/>
        </w:rPr>
        <w:t>.</w:t>
      </w:r>
    </w:p>
    <w:p w14:paraId="3C322204" w14:textId="6D22C40A" w:rsidR="00F30B21" w:rsidRPr="003156E8" w:rsidRDefault="00F30B21" w:rsidP="00F30B21">
      <w:pPr>
        <w:pStyle w:val="SingleTxtG"/>
        <w:rPr>
          <w:lang w:val="fr-FR"/>
        </w:rPr>
      </w:pPr>
      <w:r w:rsidRPr="003156E8">
        <w:rPr>
          <w:color w:val="000000" w:themeColor="text1"/>
          <w:lang w:val="fr-FR"/>
        </w:rPr>
        <w:t>157</w:t>
      </w:r>
      <w:r w:rsidR="00244AED" w:rsidRPr="00244AED">
        <w:rPr>
          <w:color w:val="000000" w:themeColor="text1"/>
          <w:lang w:val="fr-FR"/>
        </w:rPr>
        <w:t>.</w:t>
      </w:r>
      <w:r w:rsidRPr="003156E8">
        <w:rPr>
          <w:color w:val="000000" w:themeColor="text1"/>
          <w:lang w:val="fr-FR"/>
        </w:rPr>
        <w:tab/>
      </w:r>
      <w:r w:rsidRPr="003156E8">
        <w:rPr>
          <w:lang w:val="fr-FR"/>
        </w:rPr>
        <w:t>En décembre 2018, cette même chambre a étendu cette règle à la procédure pénale ordinaire et à la procédure spéciale pour les délits mineurs</w:t>
      </w:r>
      <w:r w:rsidR="00244AED" w:rsidRPr="00244AED">
        <w:rPr>
          <w:lang w:val="fr-FR"/>
        </w:rPr>
        <w:t>.</w:t>
      </w:r>
      <w:r w:rsidRPr="003156E8">
        <w:rPr>
          <w:lang w:val="fr-FR"/>
        </w:rPr>
        <w:t xml:space="preserve"> L</w:t>
      </w:r>
      <w:r>
        <w:rPr>
          <w:lang w:val="fr-FR"/>
        </w:rPr>
        <w:t>’</w:t>
      </w:r>
      <w:r w:rsidRPr="003156E8">
        <w:rPr>
          <w:lang w:val="fr-FR"/>
        </w:rPr>
        <w:t>arrêt établit que la victime directe ou indirecte des faits répréhensibles visés par une enquête dans le cadre de ces procédures peut, indépendamment du ministère public, porter plainte elle-même contre le mis en cause, lorsque le parquet n</w:t>
      </w:r>
      <w:r>
        <w:rPr>
          <w:lang w:val="fr-FR"/>
        </w:rPr>
        <w:t>’</w:t>
      </w:r>
      <w:r w:rsidRPr="003156E8">
        <w:rPr>
          <w:lang w:val="fr-FR"/>
        </w:rPr>
        <w:t>a pas présenté ses conclusions dans les délais fixés par le juge chargé du contrôle et prévus par le Code de procédure pénale</w:t>
      </w:r>
      <w:r w:rsidR="00244AED" w:rsidRPr="00244AED">
        <w:rPr>
          <w:lang w:val="fr-FR"/>
        </w:rPr>
        <w:t>.</w:t>
      </w:r>
    </w:p>
    <w:p w14:paraId="6A4FCDBD" w14:textId="24439A1A" w:rsidR="00F30B21" w:rsidRPr="003156E8" w:rsidRDefault="00F30B21" w:rsidP="00F30B21">
      <w:pPr>
        <w:pStyle w:val="SingleTxtG"/>
        <w:rPr>
          <w:lang w:val="fr-FR"/>
        </w:rPr>
      </w:pPr>
      <w:r w:rsidRPr="003156E8">
        <w:rPr>
          <w:color w:val="000000" w:themeColor="text1"/>
          <w:lang w:val="fr-FR"/>
        </w:rPr>
        <w:t>158</w:t>
      </w:r>
      <w:r w:rsidR="00244AED" w:rsidRPr="00244AED">
        <w:rPr>
          <w:color w:val="000000" w:themeColor="text1"/>
          <w:lang w:val="fr-FR"/>
        </w:rPr>
        <w:t>.</w:t>
      </w:r>
      <w:r w:rsidRPr="003156E8">
        <w:rPr>
          <w:color w:val="000000" w:themeColor="text1"/>
          <w:lang w:val="fr-FR"/>
        </w:rPr>
        <w:tab/>
      </w:r>
      <w:r w:rsidRPr="003156E8">
        <w:rPr>
          <w:lang w:val="fr-FR"/>
        </w:rPr>
        <w:t>Dans le domaine civil, la chambre de cassation civile de la Cour suprême de justice a fixé en août 2019 les règles de la procédure civile unique</w:t>
      </w:r>
      <w:r w:rsidR="00244AED" w:rsidRPr="00244AED">
        <w:rPr>
          <w:lang w:val="fr-FR"/>
        </w:rPr>
        <w:t>.</w:t>
      </w:r>
      <w:r w:rsidRPr="003156E8">
        <w:rPr>
          <w:lang w:val="fr-FR"/>
        </w:rPr>
        <w:t xml:space="preserve"> Ces nouvelles dispositions prévoient l</w:t>
      </w:r>
      <w:r>
        <w:rPr>
          <w:lang w:val="fr-FR"/>
        </w:rPr>
        <w:t>’</w:t>
      </w:r>
      <w:r w:rsidRPr="003156E8">
        <w:rPr>
          <w:lang w:val="fr-FR"/>
        </w:rPr>
        <w:t>adoption d</w:t>
      </w:r>
      <w:r>
        <w:rPr>
          <w:lang w:val="fr-FR"/>
        </w:rPr>
        <w:t>’</w:t>
      </w:r>
      <w:r w:rsidRPr="003156E8">
        <w:rPr>
          <w:lang w:val="fr-FR"/>
        </w:rPr>
        <w:t>une procédure orale, le raccourcissement des délais et la simplification des formalités de notification, l</w:t>
      </w:r>
      <w:r>
        <w:rPr>
          <w:lang w:val="fr-FR"/>
        </w:rPr>
        <w:t>’</w:t>
      </w:r>
      <w:r w:rsidRPr="003156E8">
        <w:rPr>
          <w:lang w:val="fr-FR"/>
        </w:rPr>
        <w:t>objectif étant de parvenir à une justice rapide et simple dans le cadre d</w:t>
      </w:r>
      <w:r>
        <w:rPr>
          <w:lang w:val="fr-FR"/>
        </w:rPr>
        <w:t>’</w:t>
      </w:r>
      <w:r w:rsidRPr="003156E8">
        <w:rPr>
          <w:lang w:val="fr-FR"/>
        </w:rPr>
        <w:t>une procédure régie par les principes de rapidité, d</w:t>
      </w:r>
      <w:r>
        <w:rPr>
          <w:lang w:val="fr-FR"/>
        </w:rPr>
        <w:t>’</w:t>
      </w:r>
      <w:r w:rsidRPr="003156E8">
        <w:rPr>
          <w:lang w:val="fr-FR"/>
        </w:rPr>
        <w:t>équité, de publicité et de probité, garantissant les droits de la défense et le droit à une procédure régulière</w:t>
      </w:r>
      <w:r w:rsidR="00244AED" w:rsidRPr="00244AED">
        <w:rPr>
          <w:lang w:val="fr-FR"/>
        </w:rPr>
        <w:t>.</w:t>
      </w:r>
      <w:r w:rsidRPr="003156E8">
        <w:rPr>
          <w:lang w:val="fr-FR"/>
        </w:rPr>
        <w:t xml:space="preserve"> Cette mesure constitue une avancée notable, dans un contexte où l</w:t>
      </w:r>
      <w:r>
        <w:rPr>
          <w:lang w:val="fr-FR"/>
        </w:rPr>
        <w:t>’</w:t>
      </w:r>
      <w:r w:rsidRPr="003156E8">
        <w:rPr>
          <w:lang w:val="fr-FR"/>
        </w:rPr>
        <w:t>accès de certaines catégories de la population à la justice était limité par le fait que porter un litige devant la juridiction civile pouvait représenter une lourde charge pour les parties, aussi bien en termes financiers qu</w:t>
      </w:r>
      <w:r>
        <w:rPr>
          <w:lang w:val="fr-FR"/>
        </w:rPr>
        <w:t>’</w:t>
      </w:r>
      <w:r w:rsidRPr="003156E8">
        <w:rPr>
          <w:lang w:val="fr-FR"/>
        </w:rPr>
        <w:t>en termes de délais</w:t>
      </w:r>
      <w:r w:rsidR="00244AED" w:rsidRPr="00244AED">
        <w:rPr>
          <w:lang w:val="fr-FR"/>
        </w:rPr>
        <w:t>.</w:t>
      </w:r>
    </w:p>
    <w:p w14:paraId="1294C725" w14:textId="68500ED3" w:rsidR="00F30B21" w:rsidRPr="003156E8" w:rsidRDefault="00F30B21" w:rsidP="00F30B21">
      <w:pPr>
        <w:pStyle w:val="SingleTxtG"/>
        <w:rPr>
          <w:lang w:val="fr-FR"/>
        </w:rPr>
      </w:pPr>
      <w:r w:rsidRPr="003156E8">
        <w:rPr>
          <w:color w:val="000000" w:themeColor="text1"/>
          <w:lang w:val="fr-FR"/>
        </w:rPr>
        <w:t>159</w:t>
      </w:r>
      <w:r w:rsidR="00244AED" w:rsidRPr="00244AED">
        <w:rPr>
          <w:color w:val="000000" w:themeColor="text1"/>
          <w:lang w:val="fr-FR"/>
        </w:rPr>
        <w:t>.</w:t>
      </w:r>
      <w:r w:rsidRPr="003156E8">
        <w:rPr>
          <w:color w:val="000000" w:themeColor="text1"/>
          <w:lang w:val="fr-FR"/>
        </w:rPr>
        <w:tab/>
      </w:r>
      <w:r w:rsidRPr="003156E8">
        <w:rPr>
          <w:lang w:val="fr-FR"/>
        </w:rPr>
        <w:t xml:space="preserve">Au cours de la période </w:t>
      </w:r>
      <w:r>
        <w:rPr>
          <w:lang w:val="fr-FR"/>
        </w:rPr>
        <w:t>considérée</w:t>
      </w:r>
      <w:r w:rsidRPr="003156E8">
        <w:rPr>
          <w:lang w:val="fr-FR"/>
        </w:rPr>
        <w:t>, les principes d</w:t>
      </w:r>
      <w:r>
        <w:rPr>
          <w:lang w:val="fr-FR"/>
        </w:rPr>
        <w:t>’</w:t>
      </w:r>
      <w:r w:rsidRPr="003156E8">
        <w:rPr>
          <w:lang w:val="fr-FR"/>
        </w:rPr>
        <w:t>indépendance et d</w:t>
      </w:r>
      <w:r>
        <w:rPr>
          <w:lang w:val="fr-FR"/>
        </w:rPr>
        <w:t>’</w:t>
      </w:r>
      <w:r w:rsidRPr="003156E8">
        <w:rPr>
          <w:lang w:val="fr-FR"/>
        </w:rPr>
        <w:t>impartialité des juges, le droit à une protection judiciaire effective et le droit à une procédure régulière ont également été renforcés par la suspension à titre préventif, décidée par la chambre constitutionnelle en juillet 2017, de la procédure prévue à l</w:t>
      </w:r>
      <w:r>
        <w:rPr>
          <w:lang w:val="fr-FR"/>
        </w:rPr>
        <w:t>’</w:t>
      </w:r>
      <w:r w:rsidRPr="003156E8">
        <w:rPr>
          <w:lang w:val="fr-FR"/>
        </w:rPr>
        <w:t>article 305 du Code de procédure pénale</w:t>
      </w:r>
      <w:r w:rsidR="00244AED" w:rsidRPr="00244AED">
        <w:rPr>
          <w:lang w:val="fr-FR"/>
        </w:rPr>
        <w:t>.</w:t>
      </w:r>
      <w:r w:rsidRPr="003156E8">
        <w:rPr>
          <w:lang w:val="fr-FR"/>
        </w:rPr>
        <w:t xml:space="preserve"> La règle suspendue exigeait que le juge de première instance en matière pénale, agissant dans l</w:t>
      </w:r>
      <w:r>
        <w:rPr>
          <w:lang w:val="fr-FR"/>
        </w:rPr>
        <w:t>’</w:t>
      </w:r>
      <w:r w:rsidRPr="003156E8">
        <w:rPr>
          <w:lang w:val="fr-FR"/>
        </w:rPr>
        <w:t>exercice de ses fonctions de contrôle, prononce le non-lieu préalablement demandé par le représentant du ministère public</w:t>
      </w:r>
      <w:r>
        <w:rPr>
          <w:lang w:val="fr-FR"/>
        </w:rPr>
        <w:t xml:space="preserve">, </w:t>
      </w:r>
      <w:r w:rsidRPr="003156E8">
        <w:rPr>
          <w:lang w:val="fr-FR"/>
        </w:rPr>
        <w:t>ce qui le privait de son autonomie fonctionnelle</w:t>
      </w:r>
      <w:r w:rsidRPr="00D70347">
        <w:rPr>
          <w:lang w:val="fr-FR"/>
        </w:rPr>
        <w:t xml:space="preserve">, </w:t>
      </w:r>
      <w:r>
        <w:rPr>
          <w:lang w:val="fr-FR"/>
        </w:rPr>
        <w:t>même s’il avait la possibilité de formuler un avis divergent</w:t>
      </w:r>
      <w:r w:rsidR="00244AED" w:rsidRPr="00244AED">
        <w:rPr>
          <w:lang w:val="fr-FR"/>
        </w:rPr>
        <w:t>.</w:t>
      </w:r>
    </w:p>
    <w:p w14:paraId="70A8971A" w14:textId="1EB98423" w:rsidR="00F30B21" w:rsidRPr="003156E8" w:rsidRDefault="00F30B21" w:rsidP="00F30B21">
      <w:pPr>
        <w:pStyle w:val="SingleTxtG"/>
        <w:rPr>
          <w:lang w:val="fr-FR"/>
        </w:rPr>
      </w:pPr>
      <w:r w:rsidRPr="003156E8">
        <w:rPr>
          <w:color w:val="000000" w:themeColor="text1"/>
          <w:lang w:val="fr-FR"/>
        </w:rPr>
        <w:t>160</w:t>
      </w:r>
      <w:r w:rsidR="00244AED" w:rsidRPr="00244AED">
        <w:rPr>
          <w:color w:val="000000" w:themeColor="text1"/>
          <w:lang w:val="fr-FR"/>
        </w:rPr>
        <w:t>.</w:t>
      </w:r>
      <w:r w:rsidRPr="003156E8">
        <w:rPr>
          <w:color w:val="000000" w:themeColor="text1"/>
          <w:lang w:val="fr-FR"/>
        </w:rPr>
        <w:tab/>
      </w:r>
      <w:r w:rsidRPr="003156E8">
        <w:rPr>
          <w:lang w:val="fr-FR"/>
        </w:rPr>
        <w:t>Les règles relatives à l</w:t>
      </w:r>
      <w:r>
        <w:rPr>
          <w:lang w:val="fr-FR"/>
        </w:rPr>
        <w:t>’</w:t>
      </w:r>
      <w:r w:rsidRPr="003156E8">
        <w:rPr>
          <w:lang w:val="fr-FR"/>
        </w:rPr>
        <w:t>évaluation et au concours de recrutement pour l</w:t>
      </w:r>
      <w:r>
        <w:rPr>
          <w:lang w:val="fr-FR"/>
        </w:rPr>
        <w:t>’</w:t>
      </w:r>
      <w:r w:rsidRPr="003156E8">
        <w:rPr>
          <w:lang w:val="fr-FR"/>
        </w:rPr>
        <w:t>entrée et la promotion au sein de la fonction judiciaire, énoncées par la chambre plénière de la Cour suprême de justice, ont été publiées en 2016</w:t>
      </w:r>
      <w:r w:rsidRPr="00F30B21">
        <w:rPr>
          <w:rStyle w:val="Appelnotedebasdep"/>
        </w:rPr>
        <w:footnoteReference w:id="34"/>
      </w:r>
      <w:r w:rsidR="00244AED" w:rsidRPr="00244AED">
        <w:rPr>
          <w:lang w:val="fr-FR"/>
        </w:rPr>
        <w:t>.</w:t>
      </w:r>
      <w:r w:rsidRPr="003156E8">
        <w:rPr>
          <w:lang w:val="fr-FR"/>
        </w:rPr>
        <w:t xml:space="preserve"> Elles régissent et organisent l</w:t>
      </w:r>
      <w:r>
        <w:rPr>
          <w:lang w:val="fr-FR"/>
        </w:rPr>
        <w:t>’</w:t>
      </w:r>
      <w:r w:rsidRPr="003156E8">
        <w:rPr>
          <w:lang w:val="fr-FR"/>
        </w:rPr>
        <w:t>intégration et la promotion des juges vénézuéliens, ainsi que leur maintien en poste, par la voie de</w:t>
      </w:r>
      <w:r>
        <w:rPr>
          <w:lang w:val="fr-FR"/>
        </w:rPr>
        <w:t>s</w:t>
      </w:r>
      <w:r w:rsidRPr="003156E8">
        <w:rPr>
          <w:lang w:val="fr-FR"/>
        </w:rPr>
        <w:t xml:space="preserve"> concours de recrutement publics et d</w:t>
      </w:r>
      <w:r>
        <w:rPr>
          <w:lang w:val="fr-FR"/>
        </w:rPr>
        <w:t>e l’</w:t>
      </w:r>
      <w:r w:rsidRPr="003156E8">
        <w:rPr>
          <w:lang w:val="fr-FR"/>
        </w:rPr>
        <w:t>évaluation des performances</w:t>
      </w:r>
      <w:r w:rsidR="00244AED" w:rsidRPr="00244AED">
        <w:rPr>
          <w:lang w:val="fr-FR"/>
        </w:rPr>
        <w:t>.</w:t>
      </w:r>
    </w:p>
    <w:p w14:paraId="0EB9B749" w14:textId="0DAE5DF0" w:rsidR="00F30B21" w:rsidRPr="003156E8" w:rsidRDefault="00F30B21" w:rsidP="00F30B21">
      <w:pPr>
        <w:pStyle w:val="SingleTxtG"/>
        <w:rPr>
          <w:lang w:val="fr-FR"/>
        </w:rPr>
      </w:pPr>
      <w:r w:rsidRPr="003156E8">
        <w:rPr>
          <w:color w:val="000000" w:themeColor="text1"/>
          <w:lang w:val="fr-FR"/>
        </w:rPr>
        <w:t>161</w:t>
      </w:r>
      <w:r w:rsidR="00244AED" w:rsidRPr="00244AED">
        <w:rPr>
          <w:color w:val="000000" w:themeColor="text1"/>
          <w:lang w:val="fr-FR"/>
        </w:rPr>
        <w:t>.</w:t>
      </w:r>
      <w:r w:rsidRPr="003156E8">
        <w:rPr>
          <w:color w:val="000000" w:themeColor="text1"/>
          <w:lang w:val="fr-FR"/>
        </w:rPr>
        <w:tab/>
      </w:r>
      <w:r w:rsidRPr="003156E8">
        <w:rPr>
          <w:lang w:val="fr-FR"/>
        </w:rPr>
        <w:t>La procédure établie respecte notamment les principes d</w:t>
      </w:r>
      <w:r>
        <w:rPr>
          <w:lang w:val="fr-FR"/>
        </w:rPr>
        <w:t>’</w:t>
      </w:r>
      <w:r w:rsidRPr="003156E8">
        <w:rPr>
          <w:lang w:val="fr-FR"/>
        </w:rPr>
        <w:t xml:space="preserve">égalité de traitement, de publicité et de participation populaire et désigne la commission judiciaire de la Cour suprême de justice pour </w:t>
      </w:r>
      <w:r>
        <w:rPr>
          <w:lang w:val="fr-FR"/>
        </w:rPr>
        <w:t>mener à bien le processus</w:t>
      </w:r>
      <w:r w:rsidR="00244AED" w:rsidRPr="00244AED">
        <w:rPr>
          <w:lang w:val="fr-FR"/>
        </w:rPr>
        <w:t>.</w:t>
      </w:r>
      <w:r w:rsidRPr="003156E8">
        <w:rPr>
          <w:lang w:val="fr-FR"/>
        </w:rPr>
        <w:t xml:space="preserve"> Cette commission organise l</w:t>
      </w:r>
      <w:r>
        <w:rPr>
          <w:lang w:val="fr-FR"/>
        </w:rPr>
        <w:t>’</w:t>
      </w:r>
      <w:r w:rsidRPr="003156E8">
        <w:rPr>
          <w:lang w:val="fr-FR"/>
        </w:rPr>
        <w:t xml:space="preserve">appel à candidatures, </w:t>
      </w:r>
      <w:r w:rsidRPr="003156E8">
        <w:rPr>
          <w:lang w:val="fr-FR"/>
        </w:rPr>
        <w:lastRenderedPageBreak/>
        <w:t>dans le cadre duquel les candidats présentent leur demande d</w:t>
      </w:r>
      <w:r>
        <w:rPr>
          <w:lang w:val="fr-FR"/>
        </w:rPr>
        <w:t>’</w:t>
      </w:r>
      <w:r w:rsidRPr="003156E8">
        <w:rPr>
          <w:lang w:val="fr-FR"/>
        </w:rPr>
        <w:t>inscription, accompagnée des justificatifs requis</w:t>
      </w:r>
      <w:r w:rsidR="00244AED" w:rsidRPr="00244AED">
        <w:rPr>
          <w:lang w:val="fr-FR"/>
        </w:rPr>
        <w:t>.</w:t>
      </w:r>
      <w:r w:rsidRPr="003156E8">
        <w:rPr>
          <w:lang w:val="fr-FR"/>
        </w:rPr>
        <w:t xml:space="preserve"> La chambre plénière et la commission judiciaire choisissent ensuite le jury d</w:t>
      </w:r>
      <w:r>
        <w:rPr>
          <w:lang w:val="fr-FR"/>
        </w:rPr>
        <w:t>’</w:t>
      </w:r>
      <w:r w:rsidRPr="003156E8">
        <w:rPr>
          <w:lang w:val="fr-FR"/>
        </w:rPr>
        <w:t>évaluation, à partir d</w:t>
      </w:r>
      <w:r>
        <w:rPr>
          <w:lang w:val="fr-FR"/>
        </w:rPr>
        <w:t>’</w:t>
      </w:r>
      <w:r w:rsidRPr="003156E8">
        <w:rPr>
          <w:lang w:val="fr-FR"/>
        </w:rPr>
        <w:t>une liste de jurés titulaires et suppléants</w:t>
      </w:r>
      <w:r w:rsidR="00244AED" w:rsidRPr="00244AED">
        <w:rPr>
          <w:lang w:val="fr-FR"/>
        </w:rPr>
        <w:t>.</w:t>
      </w:r>
      <w:r w:rsidRPr="003156E8">
        <w:rPr>
          <w:lang w:val="fr-FR"/>
        </w:rPr>
        <w:t xml:space="preserve"> Avec l</w:t>
      </w:r>
      <w:r>
        <w:rPr>
          <w:lang w:val="fr-FR"/>
        </w:rPr>
        <w:t>’</w:t>
      </w:r>
      <w:r w:rsidRPr="003156E8">
        <w:rPr>
          <w:lang w:val="fr-FR"/>
        </w:rPr>
        <w:t>appui de la commission judiciaire, le jury étudie les candidatures et les documents présentés et met en œuvre les tests médicaux, psychologiques et psychotechniques permettant d</w:t>
      </w:r>
      <w:r>
        <w:rPr>
          <w:lang w:val="fr-FR"/>
        </w:rPr>
        <w:t>’</w:t>
      </w:r>
      <w:r w:rsidRPr="003156E8">
        <w:rPr>
          <w:lang w:val="fr-FR"/>
        </w:rPr>
        <w:t>évaluer les connaissances et les aptitudes des candidats</w:t>
      </w:r>
      <w:r w:rsidR="00244AED" w:rsidRPr="00244AED">
        <w:rPr>
          <w:lang w:val="fr-FR"/>
        </w:rPr>
        <w:t>.</w:t>
      </w:r>
      <w:r w:rsidRPr="003156E8">
        <w:rPr>
          <w:lang w:val="fr-FR"/>
        </w:rPr>
        <w:t xml:space="preserve"> À l</w:t>
      </w:r>
      <w:r>
        <w:rPr>
          <w:lang w:val="fr-FR"/>
        </w:rPr>
        <w:t>’</w:t>
      </w:r>
      <w:r w:rsidRPr="003156E8">
        <w:rPr>
          <w:lang w:val="fr-FR"/>
        </w:rPr>
        <w:t>issue de cette étape, la phase d</w:t>
      </w:r>
      <w:r>
        <w:rPr>
          <w:lang w:val="fr-FR"/>
        </w:rPr>
        <w:t>’</w:t>
      </w:r>
      <w:r w:rsidRPr="003156E8">
        <w:rPr>
          <w:lang w:val="fr-FR"/>
        </w:rPr>
        <w:t>évaluation est lancée par le jury d</w:t>
      </w:r>
      <w:r>
        <w:rPr>
          <w:lang w:val="fr-FR"/>
        </w:rPr>
        <w:t>’</w:t>
      </w:r>
      <w:r w:rsidRPr="003156E8">
        <w:rPr>
          <w:lang w:val="fr-FR"/>
        </w:rPr>
        <w:t>évaluation et la commission judiciaire, avec l</w:t>
      </w:r>
      <w:r>
        <w:rPr>
          <w:lang w:val="fr-FR"/>
        </w:rPr>
        <w:t xml:space="preserve">’appui </w:t>
      </w:r>
      <w:r w:rsidRPr="003156E8">
        <w:rPr>
          <w:lang w:val="fr-FR"/>
        </w:rPr>
        <w:t>de la participation populaire et citoyenne</w:t>
      </w:r>
      <w:r w:rsidR="00244AED" w:rsidRPr="00244AED">
        <w:rPr>
          <w:lang w:val="fr-FR"/>
        </w:rPr>
        <w:t>.</w:t>
      </w:r>
      <w:r w:rsidRPr="003156E8">
        <w:rPr>
          <w:lang w:val="fr-FR"/>
        </w:rPr>
        <w:t xml:space="preserve"> Il est procédé à la sélection des candidats aux postes de juge, lesquels seront évalués pendant une période probatoire de six mois, au terme desquels les personnes qui auront réussi seront nommées juges titulaires</w:t>
      </w:r>
      <w:r w:rsidR="00244AED" w:rsidRPr="00244AED">
        <w:rPr>
          <w:lang w:val="fr-FR"/>
        </w:rPr>
        <w:t>.</w:t>
      </w:r>
    </w:p>
    <w:p w14:paraId="05B9224C" w14:textId="2727C88A" w:rsidR="00F30B21" w:rsidRPr="003156E8" w:rsidRDefault="00F30B21" w:rsidP="00F30B21">
      <w:pPr>
        <w:pStyle w:val="SingleTxtG"/>
        <w:rPr>
          <w:lang w:val="fr-FR"/>
        </w:rPr>
      </w:pPr>
      <w:r w:rsidRPr="003156E8">
        <w:rPr>
          <w:color w:val="000000" w:themeColor="text1"/>
          <w:lang w:val="fr-FR"/>
        </w:rPr>
        <w:t>162</w:t>
      </w:r>
      <w:r w:rsidR="00244AED" w:rsidRPr="00244AED">
        <w:rPr>
          <w:color w:val="000000" w:themeColor="text1"/>
          <w:lang w:val="fr-FR"/>
        </w:rPr>
        <w:t>.</w:t>
      </w:r>
      <w:r w:rsidRPr="003156E8">
        <w:rPr>
          <w:color w:val="000000" w:themeColor="text1"/>
          <w:lang w:val="fr-FR"/>
        </w:rPr>
        <w:tab/>
      </w:r>
      <w:r w:rsidRPr="003156E8">
        <w:rPr>
          <w:lang w:val="fr-FR"/>
        </w:rPr>
        <w:t xml:space="preserve">Au cours de la période </w:t>
      </w:r>
      <w:r>
        <w:rPr>
          <w:lang w:val="fr-FR"/>
        </w:rPr>
        <w:t>considérée</w:t>
      </w:r>
      <w:r w:rsidRPr="003156E8">
        <w:rPr>
          <w:lang w:val="fr-FR"/>
        </w:rPr>
        <w:t>, la Cour suprême de justice a décidé que les juridictions pénales seraient désormais accessibles pendant les cent dix-huit jours non ouvrables et fériés du calendrier</w:t>
      </w:r>
      <w:r w:rsidR="00244AED" w:rsidRPr="00244AED">
        <w:rPr>
          <w:lang w:val="fr-FR"/>
        </w:rPr>
        <w:t>.</w:t>
      </w:r>
      <w:r w:rsidRPr="003156E8">
        <w:rPr>
          <w:lang w:val="fr-FR"/>
        </w:rPr>
        <w:t xml:space="preserve"> </w:t>
      </w:r>
    </w:p>
    <w:p w14:paraId="2A65689F" w14:textId="095E3030" w:rsidR="00F30B21" w:rsidRPr="003156E8" w:rsidRDefault="00F30B21" w:rsidP="00F30B21">
      <w:pPr>
        <w:pStyle w:val="SingleTxtG"/>
        <w:rPr>
          <w:lang w:val="fr-FR"/>
        </w:rPr>
      </w:pPr>
      <w:r w:rsidRPr="003156E8">
        <w:rPr>
          <w:color w:val="000000" w:themeColor="text1"/>
          <w:lang w:val="fr-FR"/>
        </w:rPr>
        <w:t>163</w:t>
      </w:r>
      <w:r w:rsidR="00244AED" w:rsidRPr="00244AED">
        <w:rPr>
          <w:color w:val="000000" w:themeColor="text1"/>
          <w:lang w:val="fr-FR"/>
        </w:rPr>
        <w:t>.</w:t>
      </w:r>
      <w:r w:rsidRPr="003156E8">
        <w:rPr>
          <w:color w:val="000000" w:themeColor="text1"/>
          <w:lang w:val="fr-FR"/>
        </w:rPr>
        <w:tab/>
      </w:r>
      <w:r w:rsidRPr="003156E8">
        <w:rPr>
          <w:lang w:val="fr-FR"/>
        </w:rPr>
        <w:t>En mars 2020, le pays comptait au total 2 059 tribunaux, répartis comme suit : 492 tribunaux municipaux en matière civile et pénale ; 1 323 tribunaux de première instance compétents dans les domaines du droit pénal, des faits de violence à l</w:t>
      </w:r>
      <w:r>
        <w:rPr>
          <w:lang w:val="fr-FR"/>
        </w:rPr>
        <w:t>’</w:t>
      </w:r>
      <w:r w:rsidRPr="003156E8">
        <w:rPr>
          <w:lang w:val="fr-FR"/>
        </w:rPr>
        <w:t>égard des femmes, de la responsabilité pénale des adolescents, du droit civil, de la protection de l</w:t>
      </w:r>
      <w:r>
        <w:rPr>
          <w:lang w:val="fr-FR"/>
        </w:rPr>
        <w:t>’</w:t>
      </w:r>
      <w:r w:rsidRPr="003156E8">
        <w:rPr>
          <w:lang w:val="fr-FR"/>
        </w:rPr>
        <w:t>enfance et de l</w:t>
      </w:r>
      <w:r>
        <w:rPr>
          <w:lang w:val="fr-FR"/>
        </w:rPr>
        <w:t>’</w:t>
      </w:r>
      <w:r w:rsidRPr="003156E8">
        <w:rPr>
          <w:lang w:val="fr-FR"/>
        </w:rPr>
        <w:t>adolescence, du travail, ainsi qu</w:t>
      </w:r>
      <w:r>
        <w:rPr>
          <w:lang w:val="fr-FR"/>
        </w:rPr>
        <w:t>’</w:t>
      </w:r>
      <w:r w:rsidRPr="003156E8">
        <w:rPr>
          <w:lang w:val="fr-FR"/>
        </w:rPr>
        <w:t>en matière agraire et maritime ; 185 tribunaux ayant une compétence supérieure dans les domaines du droit civil, de la protection de l</w:t>
      </w:r>
      <w:r>
        <w:rPr>
          <w:lang w:val="fr-FR"/>
        </w:rPr>
        <w:t>’</w:t>
      </w:r>
      <w:r w:rsidRPr="003156E8">
        <w:rPr>
          <w:lang w:val="fr-FR"/>
        </w:rPr>
        <w:t>enfance et de l</w:t>
      </w:r>
      <w:r>
        <w:rPr>
          <w:lang w:val="fr-FR"/>
        </w:rPr>
        <w:t>’</w:t>
      </w:r>
      <w:r w:rsidRPr="003156E8">
        <w:rPr>
          <w:lang w:val="fr-FR"/>
        </w:rPr>
        <w:t>adolescence, du travail, du contentieux administratif et fiscal, ainsi qu</w:t>
      </w:r>
      <w:r>
        <w:rPr>
          <w:lang w:val="fr-FR"/>
        </w:rPr>
        <w:t>’</w:t>
      </w:r>
      <w:r w:rsidRPr="003156E8">
        <w:rPr>
          <w:lang w:val="fr-FR"/>
        </w:rPr>
        <w:t>en matière agraire et maritime ; et 59 cours d</w:t>
      </w:r>
      <w:r>
        <w:rPr>
          <w:lang w:val="fr-FR"/>
        </w:rPr>
        <w:t>’</w:t>
      </w:r>
      <w:r w:rsidRPr="003156E8">
        <w:rPr>
          <w:lang w:val="fr-FR"/>
        </w:rPr>
        <w:t>appel compétentes dans les domaines du contentieux administratif, du droit pénal, des faits de violence à l</w:t>
      </w:r>
      <w:r>
        <w:rPr>
          <w:lang w:val="fr-FR"/>
        </w:rPr>
        <w:t>’</w:t>
      </w:r>
      <w:r w:rsidRPr="003156E8">
        <w:rPr>
          <w:lang w:val="fr-FR"/>
        </w:rPr>
        <w:t>égard des femmes et de la responsabilité pénale des adolescents</w:t>
      </w:r>
      <w:r w:rsidR="00244AED" w:rsidRPr="00244AED">
        <w:rPr>
          <w:lang w:val="fr-FR"/>
        </w:rPr>
        <w:t>.</w:t>
      </w:r>
    </w:p>
    <w:p w14:paraId="0F6B5948" w14:textId="04E1CB5D" w:rsidR="00F30B21" w:rsidRPr="003156E8" w:rsidRDefault="00F30B21" w:rsidP="00F30B21">
      <w:pPr>
        <w:pStyle w:val="SingleTxtG"/>
        <w:rPr>
          <w:lang w:val="fr-FR"/>
        </w:rPr>
      </w:pPr>
      <w:r w:rsidRPr="003156E8">
        <w:rPr>
          <w:color w:val="000000" w:themeColor="text1"/>
          <w:lang w:val="fr-FR"/>
        </w:rPr>
        <w:t>164</w:t>
      </w:r>
      <w:r w:rsidR="00244AED" w:rsidRPr="00244AED">
        <w:rPr>
          <w:color w:val="000000" w:themeColor="text1"/>
          <w:lang w:val="fr-FR"/>
        </w:rPr>
        <w:t>.</w:t>
      </w:r>
      <w:r w:rsidRPr="003156E8">
        <w:rPr>
          <w:color w:val="000000" w:themeColor="text1"/>
          <w:lang w:val="fr-FR"/>
        </w:rPr>
        <w:tab/>
      </w:r>
      <w:r w:rsidRPr="003156E8">
        <w:rPr>
          <w:lang w:val="fr-FR"/>
        </w:rPr>
        <w:t>Entre 2014 et 2018, 638 766 affaires ont été ouvertes et 1 302 425 condamnations ont été prononcées en moyenne chaque année par les tribunaux de la République bolivarienne du Venezuela</w:t>
      </w:r>
      <w:r w:rsidR="00244AED" w:rsidRPr="00244AED">
        <w:rPr>
          <w:lang w:val="fr-FR"/>
        </w:rPr>
        <w:t>.</w:t>
      </w:r>
    </w:p>
    <w:p w14:paraId="244CD781" w14:textId="00A2C8F0" w:rsidR="00F30B21" w:rsidRPr="003156E8" w:rsidRDefault="00F30B21" w:rsidP="00F30B21">
      <w:pPr>
        <w:pStyle w:val="SingleTxtG"/>
        <w:rPr>
          <w:lang w:val="fr-FR"/>
        </w:rPr>
      </w:pPr>
      <w:r w:rsidRPr="003156E8">
        <w:rPr>
          <w:color w:val="000000" w:themeColor="text1"/>
          <w:lang w:val="fr-FR"/>
        </w:rPr>
        <w:t>165</w:t>
      </w:r>
      <w:r w:rsidR="00244AED" w:rsidRPr="00244AED">
        <w:rPr>
          <w:color w:val="000000" w:themeColor="text1"/>
          <w:lang w:val="fr-FR"/>
        </w:rPr>
        <w:t>.</w:t>
      </w:r>
      <w:r w:rsidRPr="003156E8">
        <w:rPr>
          <w:color w:val="000000" w:themeColor="text1"/>
          <w:lang w:val="fr-FR"/>
        </w:rPr>
        <w:tab/>
      </w:r>
      <w:r w:rsidRPr="003156E8">
        <w:rPr>
          <w:lang w:val="fr-FR"/>
        </w:rPr>
        <w:t>Le pouvoir judiciaire dispose d</w:t>
      </w:r>
      <w:r>
        <w:rPr>
          <w:lang w:val="fr-FR"/>
        </w:rPr>
        <w:t>’</w:t>
      </w:r>
      <w:r w:rsidRPr="003156E8">
        <w:rPr>
          <w:lang w:val="fr-FR"/>
        </w:rPr>
        <w:t>unités d</w:t>
      </w:r>
      <w:r>
        <w:rPr>
          <w:lang w:val="fr-FR"/>
        </w:rPr>
        <w:t>’</w:t>
      </w:r>
      <w:r w:rsidRPr="003156E8">
        <w:rPr>
          <w:lang w:val="fr-FR"/>
        </w:rPr>
        <w:t>accueil et d</w:t>
      </w:r>
      <w:r>
        <w:rPr>
          <w:lang w:val="fr-FR"/>
        </w:rPr>
        <w:t>’</w:t>
      </w:r>
      <w:r w:rsidRPr="003156E8">
        <w:rPr>
          <w:lang w:val="fr-FR"/>
        </w:rPr>
        <w:t>information du public et de guichets d</w:t>
      </w:r>
      <w:r>
        <w:rPr>
          <w:lang w:val="fr-FR"/>
        </w:rPr>
        <w:t>’</w:t>
      </w:r>
      <w:r w:rsidRPr="003156E8">
        <w:rPr>
          <w:lang w:val="fr-FR"/>
        </w:rPr>
        <w:t>aide aux citoyens, qui permettent aux avocats et au public d</w:t>
      </w:r>
      <w:r>
        <w:rPr>
          <w:lang w:val="fr-FR"/>
        </w:rPr>
        <w:t>’</w:t>
      </w:r>
      <w:r w:rsidRPr="003156E8">
        <w:rPr>
          <w:lang w:val="fr-FR"/>
        </w:rPr>
        <w:t>obtenir plus facilement des informations sur les affaires qui les concernent, ainsi que des conseils juridiques</w:t>
      </w:r>
      <w:r w:rsidR="00244AED" w:rsidRPr="00244AED">
        <w:rPr>
          <w:lang w:val="fr-FR"/>
        </w:rPr>
        <w:t>.</w:t>
      </w:r>
      <w:r w:rsidRPr="003156E8">
        <w:rPr>
          <w:lang w:val="fr-FR"/>
        </w:rPr>
        <w:t xml:space="preserve"> Il existe également différents services qui fournissent des informations aux parties</w:t>
      </w:r>
      <w:r w:rsidR="00244AED" w:rsidRPr="00244AED">
        <w:rPr>
          <w:lang w:val="fr-FR"/>
        </w:rPr>
        <w:t>.</w:t>
      </w:r>
      <w:r w:rsidRPr="003156E8">
        <w:rPr>
          <w:lang w:val="fr-FR"/>
        </w:rPr>
        <w:t xml:space="preserve"> Il convient notamment de citer les moteurs de recherche en ligne permettant de consulter le statut des affaires sur le portail Web de la Cour suprême de justice, ainsi que le lien </w:t>
      </w:r>
      <w:r w:rsidRPr="003156E8">
        <w:rPr>
          <w:i/>
          <w:iCs/>
          <w:lang w:val="fr-FR"/>
        </w:rPr>
        <w:t>TSJ-</w:t>
      </w:r>
      <w:proofErr w:type="spellStart"/>
      <w:r w:rsidRPr="003156E8">
        <w:rPr>
          <w:i/>
          <w:iCs/>
          <w:lang w:val="fr-FR"/>
        </w:rPr>
        <w:t>Regiones</w:t>
      </w:r>
      <w:proofErr w:type="spellEnd"/>
      <w:r w:rsidRPr="003156E8">
        <w:rPr>
          <w:lang w:val="fr-FR"/>
        </w:rPr>
        <w:t xml:space="preserve"> où sont publiés les résultats relatifs à la gestion des tribunaux (statistiques sur les décisions et actes judiciaires, publication des décisions, résultats des audiences, calendrier des audiences, entre autres)</w:t>
      </w:r>
      <w:r w:rsidR="00244AED" w:rsidRPr="00244AED">
        <w:rPr>
          <w:lang w:val="fr-FR"/>
        </w:rPr>
        <w:t>.</w:t>
      </w:r>
      <w:r w:rsidRPr="003156E8">
        <w:rPr>
          <w:lang w:val="fr-FR"/>
        </w:rPr>
        <w:t xml:space="preserve"> Par ailleurs, le programme stratégique </w:t>
      </w:r>
      <w:r w:rsidRPr="003156E8">
        <w:rPr>
          <w:i/>
          <w:iCs/>
          <w:lang w:val="fr-FR"/>
        </w:rPr>
        <w:t xml:space="preserve">Tribunal </w:t>
      </w:r>
      <w:proofErr w:type="spellStart"/>
      <w:r w:rsidRPr="003156E8">
        <w:rPr>
          <w:i/>
          <w:iCs/>
          <w:lang w:val="fr-FR"/>
        </w:rPr>
        <w:t>Móvil</w:t>
      </w:r>
      <w:proofErr w:type="spellEnd"/>
      <w:r w:rsidRPr="003156E8">
        <w:rPr>
          <w:i/>
          <w:iCs/>
          <w:lang w:val="fr-FR"/>
        </w:rPr>
        <w:t xml:space="preserve"> </w:t>
      </w:r>
      <w:r w:rsidRPr="003156E8">
        <w:rPr>
          <w:lang w:val="fr-FR"/>
        </w:rPr>
        <w:t>de la Cour suprême de justice offre une assistance juridique gratuite aux personnes les plus vulnérables qui ne peuvent pas se rendre dans les locaux de la justice, afin de faciliter l</w:t>
      </w:r>
      <w:r>
        <w:rPr>
          <w:lang w:val="fr-FR"/>
        </w:rPr>
        <w:t>’</w:t>
      </w:r>
      <w:r w:rsidRPr="003156E8">
        <w:rPr>
          <w:lang w:val="fr-FR"/>
        </w:rPr>
        <w:t>accès de ces personnes à la justice</w:t>
      </w:r>
      <w:r w:rsidR="00244AED" w:rsidRPr="00244AED">
        <w:rPr>
          <w:lang w:val="fr-FR"/>
        </w:rPr>
        <w:t>.</w:t>
      </w:r>
    </w:p>
    <w:p w14:paraId="32F43A1E" w14:textId="49CD9D2F" w:rsidR="00F30B21" w:rsidRPr="003156E8" w:rsidRDefault="00F30B21" w:rsidP="00F30B21">
      <w:pPr>
        <w:pStyle w:val="SingleTxtG"/>
        <w:rPr>
          <w:lang w:val="fr-FR"/>
        </w:rPr>
      </w:pPr>
      <w:r w:rsidRPr="003156E8">
        <w:rPr>
          <w:color w:val="000000" w:themeColor="text1"/>
          <w:lang w:val="fr-FR"/>
        </w:rPr>
        <w:t>166</w:t>
      </w:r>
      <w:r w:rsidR="00244AED" w:rsidRPr="00244AED">
        <w:rPr>
          <w:color w:val="000000" w:themeColor="text1"/>
          <w:lang w:val="fr-FR"/>
        </w:rPr>
        <w:t>.</w:t>
      </w:r>
      <w:r w:rsidRPr="003156E8">
        <w:rPr>
          <w:color w:val="000000" w:themeColor="text1"/>
          <w:lang w:val="fr-FR"/>
        </w:rPr>
        <w:tab/>
      </w:r>
      <w:r w:rsidRPr="003156E8">
        <w:rPr>
          <w:lang w:val="fr-FR"/>
        </w:rPr>
        <w:t>L</w:t>
      </w:r>
      <w:r>
        <w:rPr>
          <w:lang w:val="fr-FR"/>
        </w:rPr>
        <w:t>’</w:t>
      </w:r>
      <w:r w:rsidRPr="003156E8">
        <w:rPr>
          <w:lang w:val="fr-FR"/>
        </w:rPr>
        <w:t>un des principaux défis auquel est confronté le pouvoir judiciaire consiste à maintenir son fonctionnement et ses performances, dans le contexte de l</w:t>
      </w:r>
      <w:r>
        <w:rPr>
          <w:lang w:val="fr-FR"/>
        </w:rPr>
        <w:t>’</w:t>
      </w:r>
      <w:r w:rsidRPr="003156E8">
        <w:rPr>
          <w:lang w:val="fr-FR"/>
        </w:rPr>
        <w:t>importante baisse des ressources disponibles en raison des mesures coercitives unilatérales imposées par le Gouvernement américain, qui ont eu une incidence notable sur la planification et l</w:t>
      </w:r>
      <w:r>
        <w:rPr>
          <w:lang w:val="fr-FR"/>
        </w:rPr>
        <w:t>’</w:t>
      </w:r>
      <w:r w:rsidRPr="003156E8">
        <w:rPr>
          <w:lang w:val="fr-FR"/>
        </w:rPr>
        <w:t>exécution des projets prévus par le plan stratégique</w:t>
      </w:r>
      <w:r w:rsidR="00244AED" w:rsidRPr="00244AED">
        <w:rPr>
          <w:lang w:val="fr-FR"/>
        </w:rPr>
        <w:t>.</w:t>
      </w:r>
      <w:r w:rsidRPr="003156E8">
        <w:rPr>
          <w:lang w:val="fr-FR"/>
        </w:rPr>
        <w:t xml:space="preserve"> Les mesures coercitives unilatérales ont empêché le développement et l</w:t>
      </w:r>
      <w:r>
        <w:rPr>
          <w:lang w:val="fr-FR"/>
        </w:rPr>
        <w:t>’</w:t>
      </w:r>
      <w:r w:rsidRPr="003156E8">
        <w:rPr>
          <w:lang w:val="fr-FR"/>
        </w:rPr>
        <w:t xml:space="preserve">acquisition des technologies de pointe nécessaires pour renforcer le système judiciaire, certains États ne disposant toujours pas de </w:t>
      </w:r>
      <w:proofErr w:type="spellStart"/>
      <w:r w:rsidRPr="003156E8">
        <w:rPr>
          <w:lang w:val="fr-FR"/>
        </w:rPr>
        <w:t>plateforme</w:t>
      </w:r>
      <w:proofErr w:type="spellEnd"/>
      <w:r w:rsidRPr="003156E8">
        <w:rPr>
          <w:lang w:val="fr-FR"/>
        </w:rPr>
        <w:t xml:space="preserve"> technologique</w:t>
      </w:r>
      <w:r w:rsidR="00244AED" w:rsidRPr="00244AED">
        <w:rPr>
          <w:lang w:val="fr-FR"/>
        </w:rPr>
        <w:t>.</w:t>
      </w:r>
      <w:r w:rsidRPr="003156E8">
        <w:rPr>
          <w:lang w:val="fr-FR"/>
        </w:rPr>
        <w:t xml:space="preserve"> Elles ont également entraîné une diminution du nombre total d</w:t>
      </w:r>
      <w:r>
        <w:rPr>
          <w:lang w:val="fr-FR"/>
        </w:rPr>
        <w:t>’</w:t>
      </w:r>
      <w:r w:rsidRPr="003156E8">
        <w:rPr>
          <w:lang w:val="fr-FR"/>
        </w:rPr>
        <w:t>agents du système judiciaire</w:t>
      </w:r>
      <w:r w:rsidRPr="00F30B21">
        <w:rPr>
          <w:rStyle w:val="Appelnotedebasdep"/>
        </w:rPr>
        <w:footnoteReference w:id="35"/>
      </w:r>
      <w:r w:rsidR="00244AED" w:rsidRPr="00244AED">
        <w:rPr>
          <w:lang w:val="fr-FR"/>
        </w:rPr>
        <w:t>.</w:t>
      </w:r>
    </w:p>
    <w:p w14:paraId="5E666AF6" w14:textId="336617FC" w:rsidR="00F30B21" w:rsidRPr="003156E8" w:rsidRDefault="00F30B21" w:rsidP="00F30B21">
      <w:pPr>
        <w:pStyle w:val="SingleTxtG"/>
        <w:rPr>
          <w:lang w:val="fr-FR"/>
        </w:rPr>
      </w:pPr>
      <w:r w:rsidRPr="003156E8">
        <w:rPr>
          <w:lang w:val="fr-FR"/>
        </w:rPr>
        <w:lastRenderedPageBreak/>
        <w:t>167</w:t>
      </w:r>
      <w:r w:rsidR="00244AED" w:rsidRPr="00244AED">
        <w:rPr>
          <w:lang w:val="fr-FR"/>
        </w:rPr>
        <w:t>.</w:t>
      </w:r>
      <w:r w:rsidRPr="003156E8">
        <w:rPr>
          <w:lang w:val="fr-FR"/>
        </w:rPr>
        <w:tab/>
        <w:t>S</w:t>
      </w:r>
      <w:r>
        <w:rPr>
          <w:lang w:val="fr-FR"/>
        </w:rPr>
        <w:t>’</w:t>
      </w:r>
      <w:r w:rsidRPr="003156E8">
        <w:rPr>
          <w:lang w:val="fr-FR"/>
        </w:rPr>
        <w:t>agissant du service de défense publique, le nombre de défenseurs publics chargés de garantir le droit à la défense a augmenté ces dernières années</w:t>
      </w:r>
      <w:r w:rsidR="00244AED" w:rsidRPr="00244AED">
        <w:rPr>
          <w:lang w:val="fr-FR"/>
        </w:rPr>
        <w:t>.</w:t>
      </w:r>
      <w:r w:rsidRPr="003156E8">
        <w:rPr>
          <w:lang w:val="fr-FR"/>
        </w:rPr>
        <w:t xml:space="preserve"> Fin 2018, au niveau national, 1 340 avocats commis d</w:t>
      </w:r>
      <w:r>
        <w:rPr>
          <w:lang w:val="fr-FR"/>
        </w:rPr>
        <w:t>’</w:t>
      </w:r>
      <w:r w:rsidRPr="003156E8">
        <w:rPr>
          <w:lang w:val="fr-FR"/>
        </w:rPr>
        <w:t xml:space="preserve">office, répartis dans 1 192 bureaux, ont pris en charge 820 522 personnes ayant sollicité une aide juridictionnelle au cours de </w:t>
      </w:r>
      <w:r>
        <w:rPr>
          <w:lang w:val="fr-FR"/>
        </w:rPr>
        <w:t>l’</w:t>
      </w:r>
      <w:r w:rsidRPr="003156E8">
        <w:rPr>
          <w:lang w:val="fr-FR"/>
        </w:rPr>
        <w:t>année</w:t>
      </w:r>
      <w:r w:rsidR="00244AED" w:rsidRPr="00244AED">
        <w:rPr>
          <w:lang w:val="fr-FR"/>
        </w:rPr>
        <w:t>.</w:t>
      </w:r>
    </w:p>
    <w:p w14:paraId="1A2245F2" w14:textId="7FF118FA" w:rsidR="00F30B21" w:rsidRPr="003156E8" w:rsidRDefault="00F30B21" w:rsidP="00F30B21">
      <w:pPr>
        <w:pStyle w:val="SingleTxtG"/>
        <w:rPr>
          <w:lang w:val="fr-FR"/>
        </w:rPr>
      </w:pPr>
      <w:r w:rsidRPr="003156E8">
        <w:rPr>
          <w:lang w:val="fr-FR"/>
        </w:rPr>
        <w:t>168</w:t>
      </w:r>
      <w:r w:rsidR="00244AED" w:rsidRPr="00244AED">
        <w:rPr>
          <w:lang w:val="fr-FR"/>
        </w:rPr>
        <w:t>.</w:t>
      </w:r>
      <w:r w:rsidRPr="003156E8">
        <w:rPr>
          <w:lang w:val="fr-FR"/>
        </w:rPr>
        <w:tab/>
        <w:t xml:space="preserve">Fin 2019, le ministère public comptait </w:t>
      </w:r>
      <w:r w:rsidR="00244AED">
        <w:rPr>
          <w:lang w:val="fr-FR"/>
        </w:rPr>
        <w:t>7 </w:t>
      </w:r>
      <w:r w:rsidRPr="003156E8">
        <w:rPr>
          <w:lang w:val="fr-FR"/>
        </w:rPr>
        <w:t>procureurs pour 100 000 habitants et 847 parquets sur l</w:t>
      </w:r>
      <w:r>
        <w:rPr>
          <w:lang w:val="fr-FR"/>
        </w:rPr>
        <w:t>’</w:t>
      </w:r>
      <w:r w:rsidRPr="003156E8">
        <w:rPr>
          <w:lang w:val="fr-FR"/>
        </w:rPr>
        <w:t>ensemble du territoire national</w:t>
      </w:r>
      <w:r w:rsidR="00244AED" w:rsidRPr="00244AED">
        <w:rPr>
          <w:lang w:val="fr-FR"/>
        </w:rPr>
        <w:t>.</w:t>
      </w:r>
      <w:r w:rsidRPr="003156E8">
        <w:rPr>
          <w:lang w:val="fr-FR"/>
        </w:rPr>
        <w:t xml:space="preserve"> En matière de protection des droits de l</w:t>
      </w:r>
      <w:r>
        <w:rPr>
          <w:lang w:val="fr-FR"/>
        </w:rPr>
        <w:t>’</w:t>
      </w:r>
      <w:r w:rsidRPr="003156E8">
        <w:rPr>
          <w:lang w:val="fr-FR"/>
        </w:rPr>
        <w:t>homme, les procureurs spécialisés ont engagé 84 016 procédures devant les tribunaux depuis mi-2017</w:t>
      </w:r>
      <w:r w:rsidR="00244AED" w:rsidRPr="00244AED">
        <w:rPr>
          <w:lang w:val="fr-FR"/>
        </w:rPr>
        <w:t>.</w:t>
      </w:r>
      <w:r w:rsidRPr="003156E8">
        <w:rPr>
          <w:lang w:val="fr-FR"/>
        </w:rPr>
        <w:t xml:space="preserve"> </w:t>
      </w:r>
    </w:p>
    <w:p w14:paraId="2FE221F1" w14:textId="17B450D5" w:rsidR="00F30B21" w:rsidRPr="003156E8" w:rsidRDefault="00F30B21" w:rsidP="00F30B21">
      <w:pPr>
        <w:pStyle w:val="SingleTxtG"/>
        <w:rPr>
          <w:lang w:val="fr-FR"/>
        </w:rPr>
      </w:pPr>
      <w:r w:rsidRPr="003156E8">
        <w:rPr>
          <w:color w:val="000000" w:themeColor="text1"/>
          <w:lang w:val="fr-FR"/>
        </w:rPr>
        <w:t>169</w:t>
      </w:r>
      <w:r w:rsidR="00244AED" w:rsidRPr="00244AED">
        <w:rPr>
          <w:color w:val="000000" w:themeColor="text1"/>
          <w:lang w:val="fr-FR"/>
        </w:rPr>
        <w:t>.</w:t>
      </w:r>
      <w:r w:rsidRPr="003156E8">
        <w:rPr>
          <w:color w:val="000000" w:themeColor="text1"/>
          <w:lang w:val="fr-FR"/>
        </w:rPr>
        <w:tab/>
      </w:r>
      <w:r w:rsidRPr="003156E8">
        <w:rPr>
          <w:lang w:val="fr-FR"/>
        </w:rPr>
        <w:t>En raison de</w:t>
      </w:r>
      <w:r>
        <w:rPr>
          <w:lang w:val="fr-FR"/>
        </w:rPr>
        <w:t xml:space="preserve">s conséquences néfastes </w:t>
      </w:r>
      <w:r w:rsidRPr="003156E8">
        <w:rPr>
          <w:lang w:val="fr-FR"/>
        </w:rPr>
        <w:t xml:space="preserve">des mesures coercitives unilatérales sur le budget national, les obstacles et les défis que le ministère public doit surmonter </w:t>
      </w:r>
      <w:r>
        <w:rPr>
          <w:lang w:val="fr-FR"/>
        </w:rPr>
        <w:t>ont</w:t>
      </w:r>
      <w:r w:rsidRPr="003156E8">
        <w:rPr>
          <w:lang w:val="fr-FR"/>
        </w:rPr>
        <w:t xml:space="preserve"> principalement </w:t>
      </w:r>
      <w:r>
        <w:rPr>
          <w:lang w:val="fr-FR"/>
        </w:rPr>
        <w:t xml:space="preserve">trait à </w:t>
      </w:r>
      <w:r w:rsidRPr="003156E8">
        <w:rPr>
          <w:lang w:val="fr-FR"/>
        </w:rPr>
        <w:t>l</w:t>
      </w:r>
      <w:r>
        <w:rPr>
          <w:lang w:val="fr-FR"/>
        </w:rPr>
        <w:t>’</w:t>
      </w:r>
      <w:r w:rsidRPr="003156E8">
        <w:rPr>
          <w:lang w:val="fr-FR"/>
        </w:rPr>
        <w:t xml:space="preserve">accès aux technologies de pointe qui permettraient de mettre en place une </w:t>
      </w:r>
      <w:proofErr w:type="spellStart"/>
      <w:r w:rsidRPr="003156E8">
        <w:rPr>
          <w:lang w:val="fr-FR"/>
        </w:rPr>
        <w:t>plateforme</w:t>
      </w:r>
      <w:proofErr w:type="spellEnd"/>
      <w:r w:rsidRPr="003156E8">
        <w:rPr>
          <w:lang w:val="fr-FR"/>
        </w:rPr>
        <w:t xml:space="preserve"> optimisée et de créer une base de données consolidée, </w:t>
      </w:r>
      <w:r>
        <w:rPr>
          <w:lang w:val="fr-FR"/>
        </w:rPr>
        <w:t xml:space="preserve">au </w:t>
      </w:r>
      <w:r w:rsidRPr="003156E8">
        <w:rPr>
          <w:lang w:val="fr-FR"/>
        </w:rPr>
        <w:t xml:space="preserve">budget institutionnel et </w:t>
      </w:r>
      <w:r>
        <w:rPr>
          <w:lang w:val="fr-FR"/>
        </w:rPr>
        <w:t xml:space="preserve">à </w:t>
      </w:r>
      <w:r w:rsidRPr="003156E8">
        <w:rPr>
          <w:lang w:val="fr-FR"/>
        </w:rPr>
        <w:t>la création d</w:t>
      </w:r>
      <w:r>
        <w:rPr>
          <w:lang w:val="fr-FR"/>
        </w:rPr>
        <w:t>’</w:t>
      </w:r>
      <w:r w:rsidRPr="003156E8">
        <w:rPr>
          <w:lang w:val="fr-FR"/>
        </w:rPr>
        <w:t xml:space="preserve">instruments de travail </w:t>
      </w:r>
      <w:r>
        <w:rPr>
          <w:lang w:val="fr-FR"/>
        </w:rPr>
        <w:t>lui permettant</w:t>
      </w:r>
      <w:r w:rsidRPr="003156E8">
        <w:rPr>
          <w:lang w:val="fr-FR"/>
        </w:rPr>
        <w:t xml:space="preserve"> </w:t>
      </w:r>
      <w:r w:rsidR="00244AED">
        <w:rPr>
          <w:lang w:val="fr-FR"/>
        </w:rPr>
        <w:t>d’</w:t>
      </w:r>
      <w:r w:rsidRPr="003156E8">
        <w:rPr>
          <w:lang w:val="fr-FR"/>
        </w:rPr>
        <w:t>améliorer son fonctionnement</w:t>
      </w:r>
      <w:r w:rsidR="00244AED" w:rsidRPr="00244AED">
        <w:rPr>
          <w:lang w:val="fr-FR"/>
        </w:rPr>
        <w:t>.</w:t>
      </w:r>
    </w:p>
    <w:p w14:paraId="113CE9E7" w14:textId="4EF5FD1A" w:rsidR="00F30B21" w:rsidRPr="003156E8" w:rsidRDefault="00F30B21" w:rsidP="00F30B21">
      <w:pPr>
        <w:pStyle w:val="SingleTxtG"/>
        <w:rPr>
          <w:lang w:val="fr-FR"/>
        </w:rPr>
      </w:pPr>
      <w:r w:rsidRPr="003156E8">
        <w:rPr>
          <w:color w:val="000000" w:themeColor="text1"/>
          <w:lang w:val="fr-FR"/>
        </w:rPr>
        <w:t>170</w:t>
      </w:r>
      <w:r w:rsidR="00244AED" w:rsidRPr="00244AED">
        <w:rPr>
          <w:color w:val="000000" w:themeColor="text1"/>
          <w:lang w:val="fr-FR"/>
        </w:rPr>
        <w:t>.</w:t>
      </w:r>
      <w:r w:rsidRPr="003156E8">
        <w:rPr>
          <w:color w:val="000000" w:themeColor="text1"/>
          <w:lang w:val="fr-FR"/>
        </w:rPr>
        <w:tab/>
      </w:r>
      <w:r w:rsidRPr="003156E8">
        <w:rPr>
          <w:lang w:val="fr-FR"/>
        </w:rPr>
        <w:t>Entre 2012 et le premier trimestre de 2019, le bureau du Défenseur du peuple a reçu 701 plaintes pour violation présumée du droit d</w:t>
      </w:r>
      <w:r>
        <w:rPr>
          <w:lang w:val="fr-FR"/>
        </w:rPr>
        <w:t>’</w:t>
      </w:r>
      <w:r w:rsidRPr="003156E8">
        <w:rPr>
          <w:lang w:val="fr-FR"/>
        </w:rPr>
        <w:t>accès à la justice</w:t>
      </w:r>
      <w:r w:rsidR="00244AED" w:rsidRPr="00244AED">
        <w:rPr>
          <w:lang w:val="fr-FR"/>
        </w:rPr>
        <w:t>.</w:t>
      </w:r>
    </w:p>
    <w:p w14:paraId="1BFC452B" w14:textId="20D54CDE" w:rsidR="00F30B21" w:rsidRPr="003156E8" w:rsidRDefault="00F30B21" w:rsidP="00F30B21">
      <w:pPr>
        <w:pStyle w:val="H23G"/>
      </w:pPr>
      <w:r w:rsidRPr="003156E8">
        <w:rPr>
          <w:b w:val="0"/>
          <w:lang w:val="fr-FR"/>
        </w:rPr>
        <w:tab/>
      </w:r>
      <w:r w:rsidRPr="003156E8">
        <w:rPr>
          <w:b w:val="0"/>
          <w:lang w:val="fr-FR"/>
        </w:rPr>
        <w:tab/>
      </w:r>
      <w:r w:rsidRPr="008C5EE8">
        <w:rPr>
          <w:b w:val="0"/>
          <w:lang w:val="fr-FR"/>
        </w:rPr>
        <w:t>Tableau VI</w:t>
      </w:r>
      <w:r w:rsidR="008C5EE8" w:rsidRPr="008C5EE8">
        <w:rPr>
          <w:b w:val="0"/>
          <w:lang w:val="fr-FR"/>
        </w:rPr>
        <w:t xml:space="preserve"> </w:t>
      </w:r>
      <w:r w:rsidR="008C5EE8" w:rsidRPr="008C5EE8">
        <w:rPr>
          <w:b w:val="0"/>
          <w:lang w:val="fr-FR"/>
        </w:rPr>
        <w:br/>
      </w:r>
      <w:r w:rsidRPr="003156E8">
        <w:rPr>
          <w:bCs/>
          <w:lang w:val="fr-FR"/>
        </w:rPr>
        <w:t>Plaintes pour violation présumée du droit d</w:t>
      </w:r>
      <w:r>
        <w:rPr>
          <w:bCs/>
          <w:lang w:val="fr-FR"/>
        </w:rPr>
        <w:t>’</w:t>
      </w:r>
      <w:r w:rsidRPr="003156E8">
        <w:rPr>
          <w:bCs/>
          <w:lang w:val="fr-FR"/>
        </w:rPr>
        <w:t>accès à la justice</w:t>
      </w:r>
      <w:r w:rsidR="008C5EE8">
        <w:rPr>
          <w:bCs/>
          <w:lang w:val="fr-FR"/>
        </w:rPr>
        <w:t xml:space="preserve"> </w:t>
      </w:r>
      <w:r w:rsidR="008C5EE8">
        <w:rPr>
          <w:bCs/>
          <w:lang w:val="fr-FR"/>
        </w:rPr>
        <w:br/>
      </w:r>
      <w:r w:rsidRPr="003156E8">
        <w:rPr>
          <w:bCs/>
        </w:rPr>
        <w:t>Bureau du Défenseur du peuple</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114"/>
      </w:tblGrid>
      <w:tr w:rsidR="00F30B21" w:rsidRPr="003156E8" w14:paraId="39F31063" w14:textId="77777777" w:rsidTr="001C3BF4">
        <w:trPr>
          <w:trHeight w:val="240"/>
          <w:tblHeader/>
        </w:trPr>
        <w:tc>
          <w:tcPr>
            <w:tcW w:w="3256" w:type="dxa"/>
            <w:tcBorders>
              <w:top w:val="single" w:sz="4" w:space="0" w:color="auto"/>
              <w:bottom w:val="single" w:sz="12" w:space="0" w:color="auto"/>
            </w:tcBorders>
            <w:shd w:val="clear" w:color="auto" w:fill="auto"/>
            <w:vAlign w:val="bottom"/>
          </w:tcPr>
          <w:p w14:paraId="37F648AE" w14:textId="77777777" w:rsidR="00F30B21" w:rsidRPr="003156E8" w:rsidRDefault="00F30B21" w:rsidP="001C3BF4">
            <w:pPr>
              <w:spacing w:before="80" w:after="80" w:line="200" w:lineRule="exact"/>
              <w:rPr>
                <w:i/>
                <w:sz w:val="16"/>
              </w:rPr>
            </w:pPr>
            <w:r w:rsidRPr="003156E8">
              <w:rPr>
                <w:i/>
                <w:iCs/>
                <w:sz w:val="16"/>
              </w:rPr>
              <w:t xml:space="preserve">Année </w:t>
            </w:r>
          </w:p>
        </w:tc>
        <w:tc>
          <w:tcPr>
            <w:tcW w:w="4114" w:type="dxa"/>
            <w:tcBorders>
              <w:top w:val="single" w:sz="4" w:space="0" w:color="auto"/>
              <w:bottom w:val="single" w:sz="12" w:space="0" w:color="auto"/>
            </w:tcBorders>
            <w:shd w:val="clear" w:color="auto" w:fill="auto"/>
            <w:vAlign w:val="bottom"/>
          </w:tcPr>
          <w:p w14:paraId="7E4F0EAD" w14:textId="77777777" w:rsidR="00F30B21" w:rsidRPr="003156E8" w:rsidRDefault="00F30B21" w:rsidP="001C3BF4">
            <w:pPr>
              <w:spacing w:before="80" w:after="80" w:line="200" w:lineRule="exact"/>
              <w:ind w:left="113"/>
              <w:jc w:val="right"/>
              <w:rPr>
                <w:i/>
                <w:sz w:val="16"/>
              </w:rPr>
            </w:pPr>
            <w:r w:rsidRPr="003156E8">
              <w:rPr>
                <w:i/>
                <w:iCs/>
                <w:sz w:val="16"/>
              </w:rPr>
              <w:t>Nombre de plaintes</w:t>
            </w:r>
          </w:p>
        </w:tc>
      </w:tr>
      <w:tr w:rsidR="00F30B21" w:rsidRPr="003156E8" w14:paraId="03E42CF6" w14:textId="77777777" w:rsidTr="001C3BF4">
        <w:trPr>
          <w:trHeight w:val="240"/>
        </w:trPr>
        <w:tc>
          <w:tcPr>
            <w:tcW w:w="3256" w:type="dxa"/>
            <w:shd w:val="clear" w:color="auto" w:fill="auto"/>
          </w:tcPr>
          <w:p w14:paraId="75361744" w14:textId="77777777" w:rsidR="00F30B21" w:rsidRPr="003156E8" w:rsidRDefault="00F30B21" w:rsidP="001C3BF4">
            <w:pPr>
              <w:spacing w:before="40" w:after="40" w:line="220" w:lineRule="exact"/>
              <w:rPr>
                <w:sz w:val="18"/>
              </w:rPr>
            </w:pPr>
            <w:r w:rsidRPr="003156E8">
              <w:rPr>
                <w:sz w:val="18"/>
              </w:rPr>
              <w:t>2012</w:t>
            </w:r>
          </w:p>
        </w:tc>
        <w:tc>
          <w:tcPr>
            <w:tcW w:w="4114" w:type="dxa"/>
            <w:shd w:val="clear" w:color="auto" w:fill="auto"/>
            <w:vAlign w:val="bottom"/>
          </w:tcPr>
          <w:p w14:paraId="372790A0" w14:textId="77777777" w:rsidR="00F30B21" w:rsidRPr="003156E8" w:rsidRDefault="00F30B21" w:rsidP="001C3BF4">
            <w:pPr>
              <w:spacing w:before="40" w:after="40" w:line="220" w:lineRule="exact"/>
              <w:ind w:left="113"/>
              <w:jc w:val="right"/>
              <w:rPr>
                <w:sz w:val="18"/>
              </w:rPr>
            </w:pPr>
            <w:r w:rsidRPr="003156E8">
              <w:rPr>
                <w:sz w:val="18"/>
              </w:rPr>
              <w:t>126</w:t>
            </w:r>
          </w:p>
        </w:tc>
      </w:tr>
      <w:tr w:rsidR="00F30B21" w:rsidRPr="003156E8" w14:paraId="6A157FC1" w14:textId="77777777" w:rsidTr="001C3BF4">
        <w:trPr>
          <w:trHeight w:val="240"/>
        </w:trPr>
        <w:tc>
          <w:tcPr>
            <w:tcW w:w="3256" w:type="dxa"/>
            <w:shd w:val="clear" w:color="auto" w:fill="auto"/>
          </w:tcPr>
          <w:p w14:paraId="639D7CE2" w14:textId="77777777" w:rsidR="00F30B21" w:rsidRPr="003156E8" w:rsidRDefault="00F30B21" w:rsidP="001C3BF4">
            <w:pPr>
              <w:spacing w:before="40" w:after="40" w:line="220" w:lineRule="exact"/>
              <w:rPr>
                <w:sz w:val="18"/>
              </w:rPr>
            </w:pPr>
            <w:r w:rsidRPr="003156E8">
              <w:rPr>
                <w:sz w:val="18"/>
              </w:rPr>
              <w:t>2013</w:t>
            </w:r>
          </w:p>
        </w:tc>
        <w:tc>
          <w:tcPr>
            <w:tcW w:w="4114" w:type="dxa"/>
            <w:shd w:val="clear" w:color="auto" w:fill="auto"/>
            <w:vAlign w:val="bottom"/>
          </w:tcPr>
          <w:p w14:paraId="2BCCC7B0" w14:textId="77777777" w:rsidR="00F30B21" w:rsidRPr="003156E8" w:rsidRDefault="00F30B21" w:rsidP="001C3BF4">
            <w:pPr>
              <w:spacing w:before="40" w:after="40" w:line="220" w:lineRule="exact"/>
              <w:ind w:left="113"/>
              <w:jc w:val="right"/>
              <w:rPr>
                <w:sz w:val="18"/>
              </w:rPr>
            </w:pPr>
            <w:r w:rsidRPr="003156E8">
              <w:rPr>
                <w:sz w:val="18"/>
              </w:rPr>
              <w:t>106</w:t>
            </w:r>
          </w:p>
        </w:tc>
      </w:tr>
      <w:tr w:rsidR="00F30B21" w:rsidRPr="003156E8" w14:paraId="1F604DE7" w14:textId="77777777" w:rsidTr="001C3BF4">
        <w:trPr>
          <w:trHeight w:val="240"/>
        </w:trPr>
        <w:tc>
          <w:tcPr>
            <w:tcW w:w="3256" w:type="dxa"/>
            <w:shd w:val="clear" w:color="auto" w:fill="auto"/>
          </w:tcPr>
          <w:p w14:paraId="55D300A1" w14:textId="77777777" w:rsidR="00F30B21" w:rsidRPr="003156E8" w:rsidRDefault="00F30B21" w:rsidP="001C3BF4">
            <w:pPr>
              <w:spacing w:before="40" w:after="40" w:line="220" w:lineRule="exact"/>
              <w:rPr>
                <w:sz w:val="18"/>
              </w:rPr>
            </w:pPr>
            <w:r w:rsidRPr="003156E8">
              <w:rPr>
                <w:sz w:val="18"/>
              </w:rPr>
              <w:t>2014</w:t>
            </w:r>
          </w:p>
        </w:tc>
        <w:tc>
          <w:tcPr>
            <w:tcW w:w="4114" w:type="dxa"/>
            <w:shd w:val="clear" w:color="auto" w:fill="auto"/>
            <w:vAlign w:val="bottom"/>
          </w:tcPr>
          <w:p w14:paraId="1ACC0173" w14:textId="77777777" w:rsidR="00F30B21" w:rsidRPr="003156E8" w:rsidRDefault="00F30B21" w:rsidP="001C3BF4">
            <w:pPr>
              <w:spacing w:before="40" w:after="40" w:line="220" w:lineRule="exact"/>
              <w:ind w:left="113"/>
              <w:jc w:val="right"/>
              <w:rPr>
                <w:sz w:val="18"/>
              </w:rPr>
            </w:pPr>
            <w:r w:rsidRPr="003156E8">
              <w:rPr>
                <w:sz w:val="18"/>
              </w:rPr>
              <w:t>66</w:t>
            </w:r>
          </w:p>
        </w:tc>
      </w:tr>
      <w:tr w:rsidR="00F30B21" w:rsidRPr="003156E8" w14:paraId="5CC36554" w14:textId="77777777" w:rsidTr="001C3BF4">
        <w:trPr>
          <w:trHeight w:val="240"/>
        </w:trPr>
        <w:tc>
          <w:tcPr>
            <w:tcW w:w="3256" w:type="dxa"/>
            <w:shd w:val="clear" w:color="auto" w:fill="auto"/>
          </w:tcPr>
          <w:p w14:paraId="4C996871" w14:textId="77777777" w:rsidR="00F30B21" w:rsidRPr="003156E8" w:rsidRDefault="00F30B21" w:rsidP="001C3BF4">
            <w:pPr>
              <w:spacing w:before="40" w:after="40" w:line="220" w:lineRule="exact"/>
              <w:rPr>
                <w:sz w:val="18"/>
              </w:rPr>
            </w:pPr>
            <w:r w:rsidRPr="003156E8">
              <w:rPr>
                <w:sz w:val="18"/>
              </w:rPr>
              <w:t>2015</w:t>
            </w:r>
          </w:p>
        </w:tc>
        <w:tc>
          <w:tcPr>
            <w:tcW w:w="4114" w:type="dxa"/>
            <w:shd w:val="clear" w:color="auto" w:fill="auto"/>
            <w:vAlign w:val="bottom"/>
          </w:tcPr>
          <w:p w14:paraId="34488281" w14:textId="77777777" w:rsidR="00F30B21" w:rsidRPr="003156E8" w:rsidRDefault="00F30B21" w:rsidP="001C3BF4">
            <w:pPr>
              <w:spacing w:before="40" w:after="40" w:line="220" w:lineRule="exact"/>
              <w:ind w:left="113"/>
              <w:jc w:val="right"/>
              <w:rPr>
                <w:sz w:val="18"/>
              </w:rPr>
            </w:pPr>
            <w:r w:rsidRPr="003156E8">
              <w:rPr>
                <w:sz w:val="18"/>
              </w:rPr>
              <w:t>118</w:t>
            </w:r>
          </w:p>
        </w:tc>
      </w:tr>
      <w:tr w:rsidR="00F30B21" w:rsidRPr="003156E8" w14:paraId="77BCCDFD" w14:textId="77777777" w:rsidTr="001C3BF4">
        <w:trPr>
          <w:trHeight w:val="240"/>
        </w:trPr>
        <w:tc>
          <w:tcPr>
            <w:tcW w:w="3256" w:type="dxa"/>
            <w:shd w:val="clear" w:color="auto" w:fill="auto"/>
          </w:tcPr>
          <w:p w14:paraId="4F1338E2" w14:textId="77777777" w:rsidR="00F30B21" w:rsidRPr="003156E8" w:rsidRDefault="00F30B21" w:rsidP="001C3BF4">
            <w:pPr>
              <w:spacing w:before="40" w:after="40" w:line="220" w:lineRule="exact"/>
              <w:rPr>
                <w:sz w:val="18"/>
              </w:rPr>
            </w:pPr>
            <w:r w:rsidRPr="003156E8">
              <w:rPr>
                <w:sz w:val="18"/>
              </w:rPr>
              <w:t>2016</w:t>
            </w:r>
          </w:p>
        </w:tc>
        <w:tc>
          <w:tcPr>
            <w:tcW w:w="4114" w:type="dxa"/>
            <w:shd w:val="clear" w:color="auto" w:fill="auto"/>
            <w:vAlign w:val="bottom"/>
          </w:tcPr>
          <w:p w14:paraId="2F7A0920" w14:textId="77777777" w:rsidR="00F30B21" w:rsidRPr="003156E8" w:rsidRDefault="00F30B21" w:rsidP="001C3BF4">
            <w:pPr>
              <w:spacing w:before="40" w:after="40" w:line="220" w:lineRule="exact"/>
              <w:ind w:left="113"/>
              <w:jc w:val="right"/>
              <w:rPr>
                <w:sz w:val="18"/>
              </w:rPr>
            </w:pPr>
            <w:r w:rsidRPr="003156E8">
              <w:rPr>
                <w:sz w:val="18"/>
              </w:rPr>
              <w:t>101</w:t>
            </w:r>
          </w:p>
        </w:tc>
      </w:tr>
      <w:tr w:rsidR="00F30B21" w:rsidRPr="003156E8" w14:paraId="32DE7A9E" w14:textId="77777777" w:rsidTr="001C3BF4">
        <w:trPr>
          <w:trHeight w:val="240"/>
        </w:trPr>
        <w:tc>
          <w:tcPr>
            <w:tcW w:w="3256" w:type="dxa"/>
            <w:shd w:val="clear" w:color="auto" w:fill="auto"/>
          </w:tcPr>
          <w:p w14:paraId="21375A0C" w14:textId="77777777" w:rsidR="00F30B21" w:rsidRPr="003156E8" w:rsidRDefault="00F30B21" w:rsidP="001C3BF4">
            <w:pPr>
              <w:spacing w:before="40" w:after="40" w:line="220" w:lineRule="exact"/>
              <w:rPr>
                <w:sz w:val="18"/>
              </w:rPr>
            </w:pPr>
            <w:r w:rsidRPr="003156E8">
              <w:rPr>
                <w:sz w:val="18"/>
              </w:rPr>
              <w:t>2017</w:t>
            </w:r>
          </w:p>
        </w:tc>
        <w:tc>
          <w:tcPr>
            <w:tcW w:w="4114" w:type="dxa"/>
            <w:shd w:val="clear" w:color="auto" w:fill="auto"/>
            <w:vAlign w:val="bottom"/>
          </w:tcPr>
          <w:p w14:paraId="63865101" w14:textId="77777777" w:rsidR="00F30B21" w:rsidRPr="003156E8" w:rsidRDefault="00F30B21" w:rsidP="001C3BF4">
            <w:pPr>
              <w:spacing w:before="40" w:after="40" w:line="220" w:lineRule="exact"/>
              <w:ind w:left="113"/>
              <w:jc w:val="right"/>
              <w:rPr>
                <w:sz w:val="18"/>
              </w:rPr>
            </w:pPr>
            <w:r w:rsidRPr="003156E8">
              <w:rPr>
                <w:sz w:val="18"/>
              </w:rPr>
              <w:t>118</w:t>
            </w:r>
          </w:p>
        </w:tc>
      </w:tr>
      <w:tr w:rsidR="00F30B21" w:rsidRPr="003156E8" w14:paraId="5A0E11E9" w14:textId="77777777" w:rsidTr="001C3BF4">
        <w:trPr>
          <w:trHeight w:val="240"/>
        </w:trPr>
        <w:tc>
          <w:tcPr>
            <w:tcW w:w="3256" w:type="dxa"/>
            <w:shd w:val="clear" w:color="auto" w:fill="auto"/>
          </w:tcPr>
          <w:p w14:paraId="1C12BE6A" w14:textId="77777777" w:rsidR="00F30B21" w:rsidRPr="003156E8" w:rsidRDefault="00F30B21" w:rsidP="001C3BF4">
            <w:pPr>
              <w:spacing w:before="40" w:after="40" w:line="220" w:lineRule="exact"/>
              <w:rPr>
                <w:sz w:val="18"/>
              </w:rPr>
            </w:pPr>
            <w:r w:rsidRPr="003156E8">
              <w:rPr>
                <w:sz w:val="18"/>
              </w:rPr>
              <w:t>2018</w:t>
            </w:r>
          </w:p>
        </w:tc>
        <w:tc>
          <w:tcPr>
            <w:tcW w:w="4114" w:type="dxa"/>
            <w:shd w:val="clear" w:color="auto" w:fill="auto"/>
            <w:vAlign w:val="bottom"/>
          </w:tcPr>
          <w:p w14:paraId="161FB922" w14:textId="77777777" w:rsidR="00F30B21" w:rsidRPr="003156E8" w:rsidRDefault="00F30B21" w:rsidP="001C3BF4">
            <w:pPr>
              <w:spacing w:before="40" w:after="40" w:line="220" w:lineRule="exact"/>
              <w:ind w:left="113"/>
              <w:jc w:val="right"/>
              <w:rPr>
                <w:sz w:val="18"/>
              </w:rPr>
            </w:pPr>
            <w:r w:rsidRPr="003156E8">
              <w:rPr>
                <w:sz w:val="18"/>
              </w:rPr>
              <w:t>57</w:t>
            </w:r>
          </w:p>
        </w:tc>
      </w:tr>
      <w:tr w:rsidR="00F30B21" w:rsidRPr="003156E8" w14:paraId="17CC4DF9" w14:textId="77777777" w:rsidTr="001C3BF4">
        <w:trPr>
          <w:trHeight w:val="240"/>
        </w:trPr>
        <w:tc>
          <w:tcPr>
            <w:tcW w:w="3256" w:type="dxa"/>
            <w:tcBorders>
              <w:bottom w:val="single" w:sz="4" w:space="0" w:color="auto"/>
            </w:tcBorders>
            <w:shd w:val="clear" w:color="auto" w:fill="auto"/>
          </w:tcPr>
          <w:p w14:paraId="68D1F933" w14:textId="77777777" w:rsidR="00F30B21" w:rsidRPr="003156E8" w:rsidRDefault="00F30B21" w:rsidP="001C3BF4">
            <w:pPr>
              <w:spacing w:before="40" w:after="40" w:line="220" w:lineRule="exact"/>
              <w:rPr>
                <w:sz w:val="18"/>
              </w:rPr>
            </w:pPr>
            <w:r w:rsidRPr="003156E8">
              <w:rPr>
                <w:sz w:val="18"/>
              </w:rPr>
              <w:t>2019</w:t>
            </w:r>
          </w:p>
        </w:tc>
        <w:tc>
          <w:tcPr>
            <w:tcW w:w="4114" w:type="dxa"/>
            <w:tcBorders>
              <w:bottom w:val="single" w:sz="4" w:space="0" w:color="auto"/>
            </w:tcBorders>
            <w:shd w:val="clear" w:color="auto" w:fill="auto"/>
            <w:vAlign w:val="bottom"/>
          </w:tcPr>
          <w:p w14:paraId="5A520666" w14:textId="77777777" w:rsidR="00F30B21" w:rsidRPr="003156E8" w:rsidRDefault="00F30B21" w:rsidP="001C3BF4">
            <w:pPr>
              <w:spacing w:before="40" w:after="40" w:line="220" w:lineRule="exact"/>
              <w:ind w:left="113"/>
              <w:jc w:val="right"/>
              <w:rPr>
                <w:sz w:val="18"/>
              </w:rPr>
            </w:pPr>
            <w:r w:rsidRPr="003156E8">
              <w:rPr>
                <w:sz w:val="18"/>
              </w:rPr>
              <w:t>9</w:t>
            </w:r>
          </w:p>
        </w:tc>
      </w:tr>
      <w:tr w:rsidR="00F30B21" w:rsidRPr="003156E8" w14:paraId="547C802A" w14:textId="77777777" w:rsidTr="001C3BF4">
        <w:trPr>
          <w:trHeight w:val="240"/>
        </w:trPr>
        <w:tc>
          <w:tcPr>
            <w:tcW w:w="3256" w:type="dxa"/>
            <w:tcBorders>
              <w:top w:val="single" w:sz="4" w:space="0" w:color="auto"/>
              <w:bottom w:val="single" w:sz="12" w:space="0" w:color="auto"/>
            </w:tcBorders>
            <w:shd w:val="clear" w:color="auto" w:fill="auto"/>
          </w:tcPr>
          <w:p w14:paraId="13D817E9" w14:textId="77777777" w:rsidR="00F30B21" w:rsidRPr="003156E8" w:rsidRDefault="00F30B21" w:rsidP="001C3BF4">
            <w:pPr>
              <w:spacing w:before="80" w:after="80" w:line="220" w:lineRule="exact"/>
              <w:ind w:left="283"/>
              <w:rPr>
                <w:b/>
                <w:sz w:val="18"/>
              </w:rPr>
            </w:pPr>
            <w:r w:rsidRPr="003156E8">
              <w:rPr>
                <w:b/>
                <w:bCs/>
                <w:sz w:val="18"/>
              </w:rPr>
              <w:t>Total</w:t>
            </w:r>
          </w:p>
        </w:tc>
        <w:tc>
          <w:tcPr>
            <w:tcW w:w="4114" w:type="dxa"/>
            <w:tcBorders>
              <w:top w:val="single" w:sz="4" w:space="0" w:color="auto"/>
              <w:bottom w:val="single" w:sz="12" w:space="0" w:color="auto"/>
            </w:tcBorders>
            <w:shd w:val="clear" w:color="auto" w:fill="auto"/>
            <w:vAlign w:val="bottom"/>
          </w:tcPr>
          <w:p w14:paraId="6419FFF0" w14:textId="77777777" w:rsidR="00F30B21" w:rsidRPr="003156E8" w:rsidRDefault="00F30B21" w:rsidP="001C3BF4">
            <w:pPr>
              <w:spacing w:before="80" w:after="80" w:line="220" w:lineRule="exact"/>
              <w:jc w:val="right"/>
              <w:rPr>
                <w:b/>
                <w:sz w:val="18"/>
              </w:rPr>
            </w:pPr>
            <w:r w:rsidRPr="003156E8">
              <w:rPr>
                <w:b/>
                <w:bCs/>
                <w:sz w:val="18"/>
              </w:rPr>
              <w:t>701</w:t>
            </w:r>
          </w:p>
        </w:tc>
      </w:tr>
    </w:tbl>
    <w:p w14:paraId="474DAD44" w14:textId="77777777" w:rsidR="00F30B21" w:rsidRPr="003156E8" w:rsidRDefault="00F30B21" w:rsidP="00F30B21">
      <w:pPr>
        <w:pStyle w:val="H1G"/>
        <w:rPr>
          <w:shd w:val="clear" w:color="auto" w:fill="FFFFFF"/>
        </w:rPr>
      </w:pPr>
      <w:r w:rsidRPr="003156E8">
        <w:rPr>
          <w:b w:val="0"/>
          <w:shd w:val="clear" w:color="auto" w:fill="FFFFFF"/>
        </w:rPr>
        <w:tab/>
      </w:r>
      <w:r w:rsidRPr="003156E8">
        <w:rPr>
          <w:b w:val="0"/>
          <w:shd w:val="clear" w:color="auto" w:fill="FFFFFF"/>
        </w:rPr>
        <w:tab/>
      </w:r>
      <w:r w:rsidRPr="003156E8">
        <w:rPr>
          <w:bCs/>
          <w:shd w:val="clear" w:color="auto" w:fill="FFFFFF"/>
        </w:rPr>
        <w:t>Article 7</w:t>
      </w:r>
    </w:p>
    <w:p w14:paraId="09FCD3A9" w14:textId="3314E90D" w:rsidR="00F30B21" w:rsidRPr="003156E8" w:rsidRDefault="00F30B21" w:rsidP="00F30B21">
      <w:pPr>
        <w:pStyle w:val="H23G"/>
        <w:rPr>
          <w:shd w:val="clear" w:color="auto" w:fill="FFFFFF"/>
          <w:lang w:val="fr-FR"/>
        </w:rPr>
      </w:pPr>
      <w:r w:rsidRPr="003156E8">
        <w:rPr>
          <w:b w:val="0"/>
          <w:shd w:val="clear" w:color="auto" w:fill="FFFFFF"/>
          <w:lang w:val="fr-FR"/>
        </w:rPr>
        <w:tab/>
      </w:r>
      <w:r w:rsidRPr="003156E8">
        <w:rPr>
          <w:b w:val="0"/>
          <w:shd w:val="clear" w:color="auto" w:fill="FFFFFF"/>
          <w:lang w:val="fr-FR"/>
        </w:rPr>
        <w:tab/>
      </w:r>
      <w:r w:rsidRPr="003156E8">
        <w:rPr>
          <w:bCs/>
          <w:shd w:val="clear" w:color="auto" w:fill="FFFFFF"/>
          <w:lang w:val="fr-FR"/>
        </w:rPr>
        <w:t>Mesures immédiates et efficaces adoptées dans le domaine de l</w:t>
      </w:r>
      <w:r>
        <w:rPr>
          <w:bCs/>
          <w:shd w:val="clear" w:color="auto" w:fill="FFFFFF"/>
          <w:lang w:val="fr-FR"/>
        </w:rPr>
        <w:t>’</w:t>
      </w:r>
      <w:r w:rsidRPr="003156E8">
        <w:rPr>
          <w:bCs/>
          <w:shd w:val="clear" w:color="auto" w:fill="FFFFFF"/>
          <w:lang w:val="fr-FR"/>
        </w:rPr>
        <w:t xml:space="preserve">enseignement, </w:t>
      </w:r>
      <w:r w:rsidR="008C5EE8">
        <w:rPr>
          <w:bCs/>
          <w:shd w:val="clear" w:color="auto" w:fill="FFFFFF"/>
          <w:lang w:val="fr-FR"/>
        </w:rPr>
        <w:br/>
      </w:r>
      <w:r w:rsidRPr="003156E8">
        <w:rPr>
          <w:bCs/>
          <w:shd w:val="clear" w:color="auto" w:fill="FFFFFF"/>
          <w:lang w:val="fr-FR"/>
        </w:rPr>
        <w:t>de l</w:t>
      </w:r>
      <w:r>
        <w:rPr>
          <w:bCs/>
          <w:shd w:val="clear" w:color="auto" w:fill="FFFFFF"/>
          <w:lang w:val="fr-FR"/>
        </w:rPr>
        <w:t>’</w:t>
      </w:r>
      <w:r w:rsidRPr="003156E8">
        <w:rPr>
          <w:bCs/>
          <w:shd w:val="clear" w:color="auto" w:fill="FFFFFF"/>
          <w:lang w:val="fr-FR"/>
        </w:rPr>
        <w:t>éducation, de la culture et de l</w:t>
      </w:r>
      <w:r>
        <w:rPr>
          <w:bCs/>
          <w:shd w:val="clear" w:color="auto" w:fill="FFFFFF"/>
          <w:lang w:val="fr-FR"/>
        </w:rPr>
        <w:t>’</w:t>
      </w:r>
      <w:r w:rsidRPr="003156E8">
        <w:rPr>
          <w:bCs/>
          <w:shd w:val="clear" w:color="auto" w:fill="FFFFFF"/>
          <w:lang w:val="fr-FR"/>
        </w:rPr>
        <w:t>information pour lutter contre les préjugés conduisant à la discrimination raciale</w:t>
      </w:r>
    </w:p>
    <w:p w14:paraId="4350B896" w14:textId="5D732087" w:rsidR="00F30B21" w:rsidRPr="003156E8" w:rsidRDefault="00F30B21" w:rsidP="00F30B21">
      <w:pPr>
        <w:pStyle w:val="SingleTxtG"/>
        <w:rPr>
          <w:lang w:val="fr-FR"/>
        </w:rPr>
      </w:pPr>
      <w:r w:rsidRPr="003156E8">
        <w:rPr>
          <w:color w:val="000000" w:themeColor="text1"/>
          <w:lang w:val="fr-FR"/>
        </w:rPr>
        <w:t>171</w:t>
      </w:r>
      <w:r w:rsidR="00244AED" w:rsidRPr="00244AED">
        <w:rPr>
          <w:color w:val="000000" w:themeColor="text1"/>
          <w:lang w:val="fr-FR"/>
        </w:rPr>
        <w:t>.</w:t>
      </w:r>
      <w:r w:rsidRPr="003156E8">
        <w:rPr>
          <w:color w:val="000000" w:themeColor="text1"/>
          <w:lang w:val="fr-FR"/>
        </w:rPr>
        <w:tab/>
      </w:r>
      <w:r w:rsidRPr="003156E8">
        <w:rPr>
          <w:lang w:val="fr-FR"/>
        </w:rPr>
        <w:t>Le troisième plan socialiste pour le développement économique et social de la Nation 2019-2025, adopté en 2019, a notamment pour objectif d</w:t>
      </w:r>
      <w:r>
        <w:rPr>
          <w:lang w:val="fr-FR"/>
        </w:rPr>
        <w:t>’</w:t>
      </w:r>
      <w:r w:rsidRPr="003156E8">
        <w:rPr>
          <w:lang w:val="fr-FR"/>
        </w:rPr>
        <w:t>encourager les initiatives visant à faire connaître et à valoriser les cultures, ainsi qu</w:t>
      </w:r>
      <w:r>
        <w:rPr>
          <w:lang w:val="fr-FR"/>
        </w:rPr>
        <w:t>’</w:t>
      </w:r>
      <w:r w:rsidRPr="003156E8">
        <w:rPr>
          <w:lang w:val="fr-FR"/>
        </w:rPr>
        <w:t xml:space="preserve">à reconnaître les contributions culturelles des </w:t>
      </w:r>
      <w:r w:rsidRPr="003156E8">
        <w:rPr>
          <w:color w:val="000000"/>
          <w:shd w:val="clear" w:color="auto" w:fill="FFFFFF"/>
          <w:lang w:val="fr-FR"/>
        </w:rPr>
        <w:t xml:space="preserve">groupes de diverses origines </w:t>
      </w:r>
      <w:r w:rsidRPr="003156E8">
        <w:rPr>
          <w:lang w:val="fr-FR"/>
        </w:rPr>
        <w:t>qui composent la société vénézuélienne, en établissant un cadre juridique destiné à éliminer toute forme de discrimination fondée notamment sur l</w:t>
      </w:r>
      <w:r>
        <w:rPr>
          <w:lang w:val="fr-FR"/>
        </w:rPr>
        <w:t>’</w:t>
      </w:r>
      <w:r w:rsidRPr="003156E8">
        <w:rPr>
          <w:lang w:val="fr-FR"/>
        </w:rPr>
        <w:t>origine sociale, le sexisme, le racisme, la xénophobie, les opinions politiques et le handicap</w:t>
      </w:r>
      <w:r w:rsidRPr="00F30B21">
        <w:rPr>
          <w:rStyle w:val="Appelnotedebasdep"/>
        </w:rPr>
        <w:footnoteReference w:id="36"/>
      </w:r>
      <w:r w:rsidR="00244AED" w:rsidRPr="00244AED">
        <w:rPr>
          <w:lang w:val="fr-FR"/>
        </w:rPr>
        <w:t>.</w:t>
      </w:r>
    </w:p>
    <w:p w14:paraId="0AC62332" w14:textId="74E878D0" w:rsidR="00F30B21" w:rsidRPr="003156E8" w:rsidRDefault="00F30B21" w:rsidP="00244AED">
      <w:pPr>
        <w:pStyle w:val="SingleTxtG"/>
        <w:keepNext/>
        <w:keepLines/>
        <w:rPr>
          <w:lang w:val="fr-FR"/>
        </w:rPr>
      </w:pPr>
      <w:r w:rsidRPr="003156E8">
        <w:rPr>
          <w:color w:val="000000" w:themeColor="text1"/>
          <w:lang w:val="fr-FR"/>
        </w:rPr>
        <w:lastRenderedPageBreak/>
        <w:t>172</w:t>
      </w:r>
      <w:r w:rsidR="00244AED" w:rsidRPr="00244AED">
        <w:rPr>
          <w:color w:val="000000" w:themeColor="text1"/>
          <w:lang w:val="fr-FR"/>
        </w:rPr>
        <w:t>.</w:t>
      </w:r>
      <w:r w:rsidRPr="003156E8">
        <w:rPr>
          <w:color w:val="000000" w:themeColor="text1"/>
          <w:lang w:val="fr-FR"/>
        </w:rPr>
        <w:tab/>
      </w:r>
      <w:r w:rsidRPr="003156E8">
        <w:rPr>
          <w:lang w:val="fr-FR"/>
        </w:rPr>
        <w:t>Le plan précité a également pour but d</w:t>
      </w:r>
      <w:r>
        <w:rPr>
          <w:lang w:val="fr-FR"/>
        </w:rPr>
        <w:t>’</w:t>
      </w:r>
      <w:r w:rsidRPr="003156E8">
        <w:rPr>
          <w:lang w:val="fr-FR"/>
        </w:rPr>
        <w:t>adapter la formation des enseignants, ainsi que les contenus et les pratiques pédagogiques de l</w:t>
      </w:r>
      <w:r>
        <w:rPr>
          <w:lang w:val="fr-FR"/>
        </w:rPr>
        <w:t>’</w:t>
      </w:r>
      <w:r w:rsidRPr="003156E8">
        <w:rPr>
          <w:lang w:val="fr-FR"/>
        </w:rPr>
        <w:t>enseignement de base pour y inclure la décolonisation, l</w:t>
      </w:r>
      <w:r>
        <w:rPr>
          <w:lang w:val="fr-FR"/>
        </w:rPr>
        <w:t>’</w:t>
      </w:r>
      <w:r w:rsidRPr="003156E8">
        <w:rPr>
          <w:lang w:val="fr-FR"/>
        </w:rPr>
        <w:t>élimination de toutes les formes de discrimination, l</w:t>
      </w:r>
      <w:r>
        <w:rPr>
          <w:lang w:val="fr-FR"/>
        </w:rPr>
        <w:t>’</w:t>
      </w:r>
      <w:r w:rsidRPr="003156E8">
        <w:rPr>
          <w:lang w:val="fr-FR"/>
        </w:rPr>
        <w:t>appropriation critique de la mémoire historique et territoriale et la coexistence interculturelle</w:t>
      </w:r>
      <w:r w:rsidR="00244AED" w:rsidRPr="00244AED">
        <w:rPr>
          <w:lang w:val="fr-FR"/>
        </w:rPr>
        <w:t>.</w:t>
      </w:r>
      <w:r w:rsidRPr="003156E8">
        <w:rPr>
          <w:lang w:val="fr-FR"/>
        </w:rPr>
        <w:t xml:space="preserve"> Il met également l</w:t>
      </w:r>
      <w:r>
        <w:rPr>
          <w:lang w:val="fr-FR"/>
        </w:rPr>
        <w:t>’</w:t>
      </w:r>
      <w:r w:rsidRPr="003156E8">
        <w:rPr>
          <w:lang w:val="fr-FR"/>
        </w:rPr>
        <w:t>accent sur l</w:t>
      </w:r>
      <w:r>
        <w:rPr>
          <w:lang w:val="fr-FR"/>
        </w:rPr>
        <w:t>’</w:t>
      </w:r>
      <w:r w:rsidRPr="003156E8">
        <w:rPr>
          <w:lang w:val="fr-FR"/>
        </w:rPr>
        <w:t xml:space="preserve">établissement de normes destinées à encourager la production et la diffusion, dans tous les </w:t>
      </w:r>
      <w:proofErr w:type="spellStart"/>
      <w:r w:rsidRPr="003156E8">
        <w:rPr>
          <w:lang w:val="fr-FR"/>
        </w:rPr>
        <w:t>médias</w:t>
      </w:r>
      <w:proofErr w:type="spellEnd"/>
      <w:r w:rsidRPr="003156E8">
        <w:rPr>
          <w:lang w:val="fr-FR"/>
        </w:rPr>
        <w:t xml:space="preserve"> et le système éducatif, de contenus affirmant l</w:t>
      </w:r>
      <w:r>
        <w:rPr>
          <w:lang w:val="fr-FR"/>
        </w:rPr>
        <w:t>’</w:t>
      </w:r>
      <w:r w:rsidRPr="003156E8">
        <w:rPr>
          <w:lang w:val="fr-FR"/>
        </w:rPr>
        <w:t>identité vénézuélienne, favorisant la connaissance et la valorisation de la diversité humaine et naturelle du pays, faisant connaître le patrimoine, les valeurs culturelles et les contributions des différents groupes qui composent la société vénézuélienne, en particulier les peuples autochtones et la population d</w:t>
      </w:r>
      <w:r>
        <w:rPr>
          <w:lang w:val="fr-FR"/>
        </w:rPr>
        <w:t>’</w:t>
      </w:r>
      <w:r w:rsidRPr="003156E8">
        <w:rPr>
          <w:lang w:val="fr-FR"/>
        </w:rPr>
        <w:t>ascendance africaine, favorisant l</w:t>
      </w:r>
      <w:r>
        <w:rPr>
          <w:lang w:val="fr-FR"/>
        </w:rPr>
        <w:t>’</w:t>
      </w:r>
      <w:r w:rsidRPr="003156E8">
        <w:rPr>
          <w:lang w:val="fr-FR"/>
        </w:rPr>
        <w:t>égalité femmes-hommes</w:t>
      </w:r>
      <w:r>
        <w:rPr>
          <w:lang w:val="fr-FR"/>
        </w:rPr>
        <w:t xml:space="preserve"> et véhiculant </w:t>
      </w:r>
      <w:r w:rsidRPr="003156E8">
        <w:rPr>
          <w:lang w:val="fr-FR"/>
        </w:rPr>
        <w:t>une image positive des personnes handicapées</w:t>
      </w:r>
      <w:r w:rsidR="00244AED" w:rsidRPr="00244AED">
        <w:rPr>
          <w:lang w:val="fr-FR"/>
        </w:rPr>
        <w:t>.</w:t>
      </w:r>
    </w:p>
    <w:p w14:paraId="6E40DA53" w14:textId="7B03CFF7" w:rsidR="00F30B21" w:rsidRPr="003156E8" w:rsidRDefault="00F30B21" w:rsidP="00F30B21">
      <w:pPr>
        <w:pStyle w:val="HChG"/>
        <w:rPr>
          <w:lang w:val="fr-FR"/>
        </w:rPr>
      </w:pPr>
      <w:r w:rsidRPr="003156E8">
        <w:rPr>
          <w:b w:val="0"/>
          <w:lang w:val="fr-FR"/>
        </w:rPr>
        <w:tab/>
      </w:r>
      <w:r w:rsidRPr="003156E8">
        <w:rPr>
          <w:bCs/>
          <w:lang w:val="fr-FR"/>
        </w:rPr>
        <w:t>V</w:t>
      </w:r>
      <w:r w:rsidR="00244AED" w:rsidRPr="00244AED">
        <w:rPr>
          <w:bCs/>
          <w:lang w:val="fr-FR"/>
        </w:rPr>
        <w:t>.</w:t>
      </w:r>
      <w:r w:rsidRPr="003156E8">
        <w:rPr>
          <w:bCs/>
          <w:lang w:val="fr-FR"/>
        </w:rPr>
        <w:tab/>
        <w:t>Autres observations finales du Comité</w:t>
      </w:r>
    </w:p>
    <w:p w14:paraId="4904A5F3" w14:textId="1AACC4A1" w:rsidR="00F30B21" w:rsidRPr="003156E8" w:rsidRDefault="00F30B21" w:rsidP="00F30B21">
      <w:pPr>
        <w:pStyle w:val="SingleTxtG"/>
        <w:rPr>
          <w:lang w:val="fr-FR"/>
        </w:rPr>
      </w:pPr>
      <w:r w:rsidRPr="003156E8">
        <w:rPr>
          <w:color w:val="000000" w:themeColor="text1"/>
          <w:lang w:val="fr-FR"/>
        </w:rPr>
        <w:t>173</w:t>
      </w:r>
      <w:r w:rsidR="00244AED" w:rsidRPr="00244AED">
        <w:rPr>
          <w:color w:val="000000" w:themeColor="text1"/>
          <w:lang w:val="fr-FR"/>
        </w:rPr>
        <w:t>.</w:t>
      </w:r>
      <w:r w:rsidRPr="003156E8">
        <w:rPr>
          <w:color w:val="000000" w:themeColor="text1"/>
          <w:lang w:val="fr-FR"/>
        </w:rPr>
        <w:tab/>
      </w:r>
      <w:r>
        <w:rPr>
          <w:lang w:val="fr-FR"/>
        </w:rPr>
        <w:t>Comme suite</w:t>
      </w:r>
      <w:r w:rsidRPr="003156E8">
        <w:rPr>
          <w:lang w:val="fr-FR"/>
        </w:rPr>
        <w:t xml:space="preserve"> aux </w:t>
      </w:r>
      <w:r>
        <w:rPr>
          <w:lang w:val="fr-FR"/>
        </w:rPr>
        <w:t xml:space="preserve">recommandations figurant dans les </w:t>
      </w:r>
      <w:r w:rsidRPr="003156E8">
        <w:rPr>
          <w:lang w:val="fr-FR"/>
        </w:rPr>
        <w:t>observations finales du Comité (CERD/C/VEN/CO/19-21), la République bolivarienne du Venezuela a mis en œuvre diverses mesures concernant la ratification des traités internationaux relatifs aux droits de l</w:t>
      </w:r>
      <w:r>
        <w:rPr>
          <w:lang w:val="fr-FR"/>
        </w:rPr>
        <w:t>’</w:t>
      </w:r>
      <w:r w:rsidRPr="003156E8">
        <w:rPr>
          <w:lang w:val="fr-FR"/>
        </w:rPr>
        <w:t>homme et de la Déclaration et du Programme d</w:t>
      </w:r>
      <w:r>
        <w:rPr>
          <w:lang w:val="fr-FR"/>
        </w:rPr>
        <w:t>’</w:t>
      </w:r>
      <w:r w:rsidRPr="003156E8">
        <w:rPr>
          <w:lang w:val="fr-FR"/>
        </w:rPr>
        <w:t>action de Durban</w:t>
      </w:r>
      <w:r w:rsidR="00244AED" w:rsidRPr="00244AED">
        <w:rPr>
          <w:lang w:val="fr-FR"/>
        </w:rPr>
        <w:t>.</w:t>
      </w:r>
    </w:p>
    <w:p w14:paraId="525F4899" w14:textId="2CCD9768" w:rsidR="00F30B21" w:rsidRPr="003156E8" w:rsidRDefault="00F30B21" w:rsidP="008C5EE8">
      <w:pPr>
        <w:pStyle w:val="H1G"/>
        <w:rPr>
          <w:lang w:val="fr-FR"/>
        </w:rPr>
      </w:pPr>
      <w:r w:rsidRPr="003156E8">
        <w:rPr>
          <w:lang w:val="fr-FR"/>
        </w:rPr>
        <w:tab/>
        <w:t>A</w:t>
      </w:r>
      <w:r w:rsidR="00244AED" w:rsidRPr="00244AED">
        <w:rPr>
          <w:lang w:val="fr-FR"/>
        </w:rPr>
        <w:t>.</w:t>
      </w:r>
      <w:r w:rsidRPr="003156E8">
        <w:rPr>
          <w:lang w:val="fr-FR"/>
        </w:rPr>
        <w:tab/>
        <w:t>Ratification d</w:t>
      </w:r>
      <w:r>
        <w:rPr>
          <w:lang w:val="fr-FR"/>
        </w:rPr>
        <w:t>’</w:t>
      </w:r>
      <w:r w:rsidRPr="003156E8">
        <w:rPr>
          <w:lang w:val="fr-FR"/>
        </w:rPr>
        <w:t>autres instruments internationaux</w:t>
      </w:r>
    </w:p>
    <w:p w14:paraId="2C70EFF2" w14:textId="4B0BE237" w:rsidR="00F30B21" w:rsidRPr="003156E8" w:rsidRDefault="008C5EE8" w:rsidP="00F30B21">
      <w:pPr>
        <w:pStyle w:val="SingleTxtG"/>
        <w:rPr>
          <w:lang w:val="fr-FR"/>
        </w:rPr>
      </w:pPr>
      <w:r>
        <w:rPr>
          <w:lang w:val="fr-FR"/>
        </w:rPr>
        <w:t>174.</w:t>
      </w:r>
      <w:r>
        <w:rPr>
          <w:lang w:val="fr-FR"/>
        </w:rPr>
        <w:tab/>
      </w:r>
      <w:r w:rsidR="00F30B21" w:rsidRPr="003156E8">
        <w:rPr>
          <w:lang w:val="fr-FR"/>
        </w:rPr>
        <w:t>En mai 2014, l</w:t>
      </w:r>
      <w:r w:rsidR="00F30B21">
        <w:rPr>
          <w:lang w:val="fr-FR"/>
        </w:rPr>
        <w:t>’</w:t>
      </w:r>
      <w:r w:rsidR="00F30B21" w:rsidRPr="003156E8">
        <w:rPr>
          <w:lang w:val="fr-FR"/>
        </w:rPr>
        <w:t>Assemblée nationale a ratifié la Convention internationale sur la protection des droits de tous les travailleurs migrants et des membres de leur</w:t>
      </w:r>
      <w:r>
        <w:rPr>
          <w:lang w:val="fr-FR"/>
        </w:rPr>
        <w:t xml:space="preserve"> </w:t>
      </w:r>
      <w:r w:rsidR="00F30B21" w:rsidRPr="003156E8">
        <w:rPr>
          <w:lang w:val="fr-FR"/>
        </w:rPr>
        <w:t>famille</w:t>
      </w:r>
      <w:r w:rsidR="00F30B21" w:rsidRPr="00F30B21">
        <w:rPr>
          <w:rStyle w:val="Appelnotedebasdep"/>
        </w:rPr>
        <w:footnoteReference w:id="37"/>
      </w:r>
      <w:r w:rsidR="00244AED" w:rsidRPr="00244AED">
        <w:rPr>
          <w:lang w:val="fr-FR"/>
        </w:rPr>
        <w:t>.</w:t>
      </w:r>
      <w:r w:rsidR="00F30B21" w:rsidRPr="003156E8">
        <w:rPr>
          <w:lang w:val="fr-FR"/>
        </w:rPr>
        <w:t xml:space="preserve"> L</w:t>
      </w:r>
      <w:r w:rsidR="00F30B21">
        <w:rPr>
          <w:lang w:val="fr-FR"/>
        </w:rPr>
        <w:t>’</w:t>
      </w:r>
      <w:r w:rsidR="00F30B21" w:rsidRPr="003156E8">
        <w:rPr>
          <w:lang w:val="fr-FR"/>
        </w:rPr>
        <w:t>instrument de ratification a été déposé le 25 octobre 2016</w:t>
      </w:r>
      <w:r w:rsidR="00244AED" w:rsidRPr="00244AED">
        <w:rPr>
          <w:lang w:val="fr-FR"/>
        </w:rPr>
        <w:t>.</w:t>
      </w:r>
      <w:r w:rsidR="00F30B21" w:rsidRPr="003156E8">
        <w:rPr>
          <w:lang w:val="fr-FR"/>
        </w:rPr>
        <w:t xml:space="preserve"> </w:t>
      </w:r>
    </w:p>
    <w:p w14:paraId="03B1F301" w14:textId="66B57132" w:rsidR="00F30B21" w:rsidRPr="003156E8" w:rsidRDefault="00F30B21" w:rsidP="00F30B21">
      <w:pPr>
        <w:pStyle w:val="H1G"/>
        <w:rPr>
          <w:lang w:val="fr-FR"/>
        </w:rPr>
      </w:pPr>
      <w:r w:rsidRPr="003156E8">
        <w:rPr>
          <w:lang w:val="fr-FR"/>
        </w:rPr>
        <w:tab/>
        <w:t>B</w:t>
      </w:r>
      <w:r w:rsidR="00244AED" w:rsidRPr="00244AED">
        <w:rPr>
          <w:lang w:val="fr-FR"/>
        </w:rPr>
        <w:t>.</w:t>
      </w:r>
      <w:r w:rsidRPr="003156E8">
        <w:rPr>
          <w:lang w:val="fr-FR"/>
        </w:rPr>
        <w:tab/>
        <w:t>Déclaration et Programme d</w:t>
      </w:r>
      <w:r>
        <w:rPr>
          <w:lang w:val="fr-FR"/>
        </w:rPr>
        <w:t>’</w:t>
      </w:r>
      <w:r w:rsidRPr="003156E8">
        <w:rPr>
          <w:lang w:val="fr-FR"/>
        </w:rPr>
        <w:t>action de Durban</w:t>
      </w:r>
    </w:p>
    <w:p w14:paraId="5CC429E7" w14:textId="090F4F2F" w:rsidR="00F30B21" w:rsidRPr="003156E8" w:rsidRDefault="00F30B21" w:rsidP="00F30B21">
      <w:pPr>
        <w:pStyle w:val="SingleTxtG"/>
        <w:rPr>
          <w:lang w:val="fr-FR"/>
        </w:rPr>
      </w:pPr>
      <w:r w:rsidRPr="003156E8">
        <w:rPr>
          <w:color w:val="000000" w:themeColor="text1"/>
          <w:lang w:val="fr-FR"/>
        </w:rPr>
        <w:t>175</w:t>
      </w:r>
      <w:r w:rsidR="00244AED" w:rsidRPr="00244AED">
        <w:rPr>
          <w:color w:val="000000" w:themeColor="text1"/>
          <w:lang w:val="fr-FR"/>
        </w:rPr>
        <w:t>.</w:t>
      </w:r>
      <w:r w:rsidRPr="003156E8">
        <w:rPr>
          <w:color w:val="000000" w:themeColor="text1"/>
          <w:lang w:val="fr-FR"/>
        </w:rPr>
        <w:tab/>
      </w:r>
      <w:r w:rsidRPr="003156E8">
        <w:rPr>
          <w:lang w:val="fr-FR"/>
        </w:rPr>
        <w:t xml:space="preserve">Le décret </w:t>
      </w:r>
      <w:r w:rsidR="008C5EE8" w:rsidRPr="008C5EE8">
        <w:rPr>
          <w:rFonts w:eastAsia="MS Mincho"/>
          <w:lang w:val="fr-FR"/>
        </w:rPr>
        <w:t>n</w:t>
      </w:r>
      <w:r w:rsidR="008C5EE8" w:rsidRPr="008C5EE8">
        <w:rPr>
          <w:rFonts w:eastAsia="MS Mincho"/>
          <w:vertAlign w:val="superscript"/>
          <w:lang w:val="fr-FR"/>
        </w:rPr>
        <w:t>o</w:t>
      </w:r>
      <w:r w:rsidR="008C5EE8">
        <w:rPr>
          <w:lang w:val="fr-FR"/>
        </w:rPr>
        <w:t> </w:t>
      </w:r>
      <w:r w:rsidRPr="003156E8">
        <w:rPr>
          <w:lang w:val="fr-FR"/>
        </w:rPr>
        <w:t>3 335 relatif au lancement de la Décennie nationale des personnes d</w:t>
      </w:r>
      <w:r>
        <w:rPr>
          <w:lang w:val="fr-FR"/>
        </w:rPr>
        <w:t>’</w:t>
      </w:r>
      <w:r w:rsidRPr="003156E8">
        <w:rPr>
          <w:lang w:val="fr-FR"/>
        </w:rPr>
        <w:t xml:space="preserve">ascendance africaine a été pris </w:t>
      </w:r>
      <w:r w:rsidR="00244AED" w:rsidRPr="00244AED">
        <w:rPr>
          <w:lang w:val="fr-FR"/>
        </w:rPr>
        <w:t>le 24</w:t>
      </w:r>
      <w:r w:rsidRPr="00244AED">
        <w:rPr>
          <w:lang w:val="fr-FR"/>
        </w:rPr>
        <w:t xml:space="preserve"> mars 2018</w:t>
      </w:r>
      <w:r w:rsidR="00244AED" w:rsidRPr="00244AED">
        <w:rPr>
          <w:lang w:val="fr-FR"/>
        </w:rPr>
        <w:t>.</w:t>
      </w:r>
      <w:r w:rsidRPr="003156E8">
        <w:rPr>
          <w:lang w:val="fr-FR"/>
        </w:rPr>
        <w:t xml:space="preserve"> Avec cet instrument, le Venezuela donne suite à la résolution de l</w:t>
      </w:r>
      <w:r>
        <w:rPr>
          <w:lang w:val="fr-FR"/>
        </w:rPr>
        <w:t>’</w:t>
      </w:r>
      <w:r w:rsidRPr="003156E8">
        <w:rPr>
          <w:lang w:val="fr-FR"/>
        </w:rPr>
        <w:t>Assemblée générale des Nations Unies proclamant la Décennie internationale des personnes d</w:t>
      </w:r>
      <w:r>
        <w:rPr>
          <w:lang w:val="fr-FR"/>
        </w:rPr>
        <w:t>’</w:t>
      </w:r>
      <w:r w:rsidRPr="003156E8">
        <w:rPr>
          <w:lang w:val="fr-FR"/>
        </w:rPr>
        <w:t>ascendance africaine pour interdire la discrimination et la ségrégation et permettre le plein exercice des droits économiques, sociaux et culturels, ainsi que des droits civils et politiques des personnes d</w:t>
      </w:r>
      <w:r>
        <w:rPr>
          <w:lang w:val="fr-FR"/>
        </w:rPr>
        <w:t>’</w:t>
      </w:r>
      <w:r w:rsidRPr="003156E8">
        <w:rPr>
          <w:lang w:val="fr-FR"/>
        </w:rPr>
        <w:t>ascendance africaine</w:t>
      </w:r>
      <w:r w:rsidR="00244AED" w:rsidRPr="00244AED">
        <w:rPr>
          <w:lang w:val="fr-FR"/>
        </w:rPr>
        <w:t>.</w:t>
      </w:r>
    </w:p>
    <w:p w14:paraId="6C887A20" w14:textId="7ACF3D57" w:rsidR="00F30B21" w:rsidRPr="003156E8" w:rsidRDefault="00F30B21" w:rsidP="00F30B21">
      <w:pPr>
        <w:pStyle w:val="SingleTxtG"/>
        <w:rPr>
          <w:lang w:val="fr-FR"/>
        </w:rPr>
      </w:pPr>
      <w:r w:rsidRPr="003156E8">
        <w:rPr>
          <w:color w:val="000000" w:themeColor="text1"/>
          <w:lang w:val="fr-FR"/>
        </w:rPr>
        <w:t>176</w:t>
      </w:r>
      <w:r w:rsidR="00244AED" w:rsidRPr="00244AED">
        <w:rPr>
          <w:color w:val="000000" w:themeColor="text1"/>
          <w:lang w:val="fr-FR"/>
        </w:rPr>
        <w:t>.</w:t>
      </w:r>
      <w:r w:rsidRPr="003156E8">
        <w:rPr>
          <w:color w:val="000000" w:themeColor="text1"/>
          <w:lang w:val="fr-FR"/>
        </w:rPr>
        <w:tab/>
      </w:r>
      <w:r w:rsidRPr="003156E8">
        <w:rPr>
          <w:lang w:val="fr-FR"/>
        </w:rPr>
        <w:t>La signature du décret a été accompagnée d</w:t>
      </w:r>
      <w:r>
        <w:rPr>
          <w:lang w:val="fr-FR"/>
        </w:rPr>
        <w:t>’</w:t>
      </w:r>
      <w:r w:rsidRPr="003156E8">
        <w:rPr>
          <w:lang w:val="fr-FR"/>
        </w:rPr>
        <w:t>une proposition de plan mondial pour la réparation des droits des peuples afro-descendants et africains, victimes de l</w:t>
      </w:r>
      <w:r>
        <w:rPr>
          <w:lang w:val="fr-FR"/>
        </w:rPr>
        <w:t>’</w:t>
      </w:r>
      <w:r w:rsidRPr="003156E8">
        <w:rPr>
          <w:lang w:val="fr-FR"/>
        </w:rPr>
        <w:t xml:space="preserve">esclavage et du racisme pendant </w:t>
      </w:r>
      <w:r w:rsidR="008C5EE8">
        <w:rPr>
          <w:lang w:val="fr-FR"/>
        </w:rPr>
        <w:t>cinq cents</w:t>
      </w:r>
      <w:r w:rsidRPr="003156E8">
        <w:rPr>
          <w:lang w:val="fr-FR"/>
        </w:rPr>
        <w:t xml:space="preserve"> ans</w:t>
      </w:r>
      <w:r w:rsidR="00244AED" w:rsidRPr="00244AED">
        <w:rPr>
          <w:lang w:val="fr-FR"/>
        </w:rPr>
        <w:t>.</w:t>
      </w:r>
    </w:p>
    <w:p w14:paraId="4AC21D74" w14:textId="41F8F276" w:rsidR="00F30B21" w:rsidRPr="003156E8" w:rsidRDefault="00F30B21" w:rsidP="00F30B21">
      <w:pPr>
        <w:pStyle w:val="SingleTxtG"/>
        <w:rPr>
          <w:lang w:val="fr-FR"/>
        </w:rPr>
      </w:pPr>
      <w:r w:rsidRPr="003156E8">
        <w:rPr>
          <w:color w:val="000000" w:themeColor="text1"/>
          <w:lang w:val="fr-FR"/>
        </w:rPr>
        <w:t>177</w:t>
      </w:r>
      <w:r w:rsidR="00244AED" w:rsidRPr="00244AED">
        <w:rPr>
          <w:color w:val="000000" w:themeColor="text1"/>
          <w:lang w:val="fr-FR"/>
        </w:rPr>
        <w:t>.</w:t>
      </w:r>
      <w:r w:rsidRPr="003156E8">
        <w:rPr>
          <w:color w:val="000000" w:themeColor="text1"/>
          <w:lang w:val="fr-FR"/>
        </w:rPr>
        <w:tab/>
      </w:r>
      <w:r w:rsidRPr="003156E8">
        <w:rPr>
          <w:lang w:val="fr-FR"/>
        </w:rPr>
        <w:t>Dans le cadre du programme de la Conférence mondiale contre le racisme, la discrimination raciale, la xénophobie et l</w:t>
      </w:r>
      <w:r>
        <w:rPr>
          <w:lang w:val="fr-FR"/>
        </w:rPr>
        <w:t>’</w:t>
      </w:r>
      <w:r w:rsidRPr="003156E8">
        <w:rPr>
          <w:lang w:val="fr-FR"/>
        </w:rPr>
        <w:t>intolérance qui y est associée (Durban 2001) et de la Décennie internationale des personnes d</w:t>
      </w:r>
      <w:r>
        <w:rPr>
          <w:lang w:val="fr-FR"/>
        </w:rPr>
        <w:t>’</w:t>
      </w:r>
      <w:r w:rsidRPr="003156E8">
        <w:rPr>
          <w:lang w:val="fr-FR"/>
        </w:rPr>
        <w:t>ascendance africaine (2015-2024), les délégués de 27 pays d</w:t>
      </w:r>
      <w:r>
        <w:rPr>
          <w:lang w:val="fr-FR"/>
        </w:rPr>
        <w:t>’</w:t>
      </w:r>
      <w:r w:rsidRPr="003156E8">
        <w:rPr>
          <w:lang w:val="fr-FR"/>
        </w:rPr>
        <w:t>Afrique, d</w:t>
      </w:r>
      <w:r>
        <w:rPr>
          <w:lang w:val="fr-FR"/>
        </w:rPr>
        <w:t>’</w:t>
      </w:r>
      <w:r w:rsidRPr="003156E8">
        <w:rPr>
          <w:lang w:val="fr-FR"/>
        </w:rPr>
        <w:t>Amérique latine, d</w:t>
      </w:r>
      <w:r>
        <w:rPr>
          <w:lang w:val="fr-FR"/>
        </w:rPr>
        <w:t>’</w:t>
      </w:r>
      <w:r w:rsidRPr="003156E8">
        <w:rPr>
          <w:lang w:val="fr-FR"/>
        </w:rPr>
        <w:t>Amérique du Nord, d</w:t>
      </w:r>
      <w:r>
        <w:rPr>
          <w:lang w:val="fr-FR"/>
        </w:rPr>
        <w:t>’</w:t>
      </w:r>
      <w:r w:rsidRPr="003156E8">
        <w:rPr>
          <w:lang w:val="fr-FR"/>
        </w:rPr>
        <w:t>Europe et des Caraïbes se sont réunis à Caracas les 9 et 10 mai 2018, pour échanger sur des stratégies communes visant à mettre en œuvre des initiatives concernant la question des réparations au titre de l</w:t>
      </w:r>
      <w:r>
        <w:rPr>
          <w:lang w:val="fr-FR"/>
        </w:rPr>
        <w:t>’</w:t>
      </w:r>
      <w:r w:rsidRPr="003156E8">
        <w:rPr>
          <w:lang w:val="fr-FR"/>
        </w:rPr>
        <w:t>esclavage et de la colonisation</w:t>
      </w:r>
      <w:r w:rsidR="00244AED" w:rsidRPr="00244AED">
        <w:rPr>
          <w:lang w:val="fr-FR"/>
        </w:rPr>
        <w:t>.</w:t>
      </w:r>
    </w:p>
    <w:p w14:paraId="2614E006" w14:textId="6A6B83C6" w:rsidR="00984B29" w:rsidRDefault="00F30B21" w:rsidP="00F30B21">
      <w:pPr>
        <w:pStyle w:val="SingleTxtG"/>
        <w:rPr>
          <w:lang w:val="fr-FR"/>
        </w:rPr>
      </w:pPr>
      <w:r w:rsidRPr="003156E8">
        <w:rPr>
          <w:color w:val="000000" w:themeColor="text1"/>
          <w:lang w:val="fr-FR"/>
        </w:rPr>
        <w:t>178</w:t>
      </w:r>
      <w:r w:rsidR="00244AED" w:rsidRPr="00244AED">
        <w:rPr>
          <w:color w:val="000000" w:themeColor="text1"/>
          <w:lang w:val="fr-FR"/>
        </w:rPr>
        <w:t>.</w:t>
      </w:r>
      <w:r w:rsidRPr="003156E8">
        <w:rPr>
          <w:color w:val="000000" w:themeColor="text1"/>
          <w:lang w:val="fr-FR"/>
        </w:rPr>
        <w:tab/>
        <w:t>Selon l</w:t>
      </w:r>
      <w:r w:rsidRPr="003156E8">
        <w:rPr>
          <w:lang w:val="fr-FR"/>
        </w:rPr>
        <w:t>a déclaration finale de la rencontre internationale sur les réparations qui s</w:t>
      </w:r>
      <w:r>
        <w:rPr>
          <w:lang w:val="fr-FR"/>
        </w:rPr>
        <w:t>’</w:t>
      </w:r>
      <w:r w:rsidRPr="003156E8">
        <w:rPr>
          <w:lang w:val="fr-FR"/>
        </w:rPr>
        <w:t>est tenue en 2018, il est fondamental de promouvoir l</w:t>
      </w:r>
      <w:r>
        <w:rPr>
          <w:lang w:val="fr-FR"/>
        </w:rPr>
        <w:t>’</w:t>
      </w:r>
      <w:r w:rsidRPr="003156E8">
        <w:rPr>
          <w:lang w:val="fr-FR"/>
        </w:rPr>
        <w:t>inclusion des réparations dans les politiques publiques des gouvernements d</w:t>
      </w:r>
      <w:r>
        <w:rPr>
          <w:lang w:val="fr-FR"/>
        </w:rPr>
        <w:t>’</w:t>
      </w:r>
      <w:r w:rsidRPr="003156E8">
        <w:rPr>
          <w:lang w:val="fr-FR"/>
        </w:rPr>
        <w:t>Amérique latine et des Caraïbes</w:t>
      </w:r>
      <w:r w:rsidR="00244AED" w:rsidRPr="00244AED">
        <w:rPr>
          <w:lang w:val="fr-FR"/>
        </w:rPr>
        <w:t>.</w:t>
      </w:r>
      <w:r w:rsidRPr="003156E8">
        <w:rPr>
          <w:lang w:val="fr-FR"/>
        </w:rPr>
        <w:t xml:space="preserve"> Trois lignes d</w:t>
      </w:r>
      <w:r>
        <w:rPr>
          <w:lang w:val="fr-FR"/>
        </w:rPr>
        <w:t>’</w:t>
      </w:r>
      <w:r w:rsidRPr="003156E8">
        <w:rPr>
          <w:lang w:val="fr-FR"/>
        </w:rPr>
        <w:t xml:space="preserve">action principales ont été définies dans cette même déclaration : mettre en place une commission technique juridique, promouvoir le débat sur cette question dans les </w:t>
      </w:r>
      <w:r>
        <w:rPr>
          <w:lang w:val="fr-FR"/>
        </w:rPr>
        <w:t>instances</w:t>
      </w:r>
      <w:r w:rsidRPr="003156E8">
        <w:rPr>
          <w:lang w:val="fr-FR"/>
        </w:rPr>
        <w:t xml:space="preserve"> multilatéra</w:t>
      </w:r>
      <w:r>
        <w:rPr>
          <w:lang w:val="fr-FR"/>
        </w:rPr>
        <w:t>les</w:t>
      </w:r>
      <w:r w:rsidRPr="003156E8">
        <w:rPr>
          <w:lang w:val="fr-FR"/>
        </w:rPr>
        <w:t xml:space="preserve"> et créer un centre de recherche</w:t>
      </w:r>
      <w:r w:rsidR="00244AED" w:rsidRPr="00244AED">
        <w:rPr>
          <w:lang w:val="fr-FR"/>
        </w:rPr>
        <w:t>.</w:t>
      </w:r>
    </w:p>
    <w:p w14:paraId="7C198183" w14:textId="704ADC6C" w:rsidR="00F30B21" w:rsidRPr="00F30B21" w:rsidRDefault="00F30B21" w:rsidP="00F30B21">
      <w:pPr>
        <w:pStyle w:val="SingleTxtG"/>
        <w:spacing w:before="240" w:after="0"/>
        <w:jc w:val="center"/>
        <w:rPr>
          <w:u w:val="single"/>
        </w:rPr>
      </w:pPr>
      <w:r>
        <w:rPr>
          <w:u w:val="single"/>
        </w:rPr>
        <w:tab/>
      </w:r>
      <w:r>
        <w:rPr>
          <w:u w:val="single"/>
        </w:rPr>
        <w:tab/>
      </w:r>
      <w:r>
        <w:rPr>
          <w:u w:val="single"/>
        </w:rPr>
        <w:tab/>
      </w:r>
    </w:p>
    <w:sectPr w:rsidR="00F30B21" w:rsidRPr="00F30B21" w:rsidSect="005254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B4A3" w14:textId="77777777" w:rsidR="0045366B" w:rsidRDefault="0045366B" w:rsidP="00F95C08">
      <w:pPr>
        <w:spacing w:line="240" w:lineRule="auto"/>
      </w:pPr>
    </w:p>
  </w:endnote>
  <w:endnote w:type="continuationSeparator" w:id="0">
    <w:p w14:paraId="5FC909D0" w14:textId="77777777" w:rsidR="0045366B" w:rsidRPr="00AC3823" w:rsidRDefault="0045366B" w:rsidP="00AC3823">
      <w:pPr>
        <w:pStyle w:val="Pieddepage"/>
      </w:pPr>
    </w:p>
  </w:endnote>
  <w:endnote w:type="continuationNotice" w:id="1">
    <w:p w14:paraId="5CF2E4F5" w14:textId="77777777" w:rsidR="0045366B" w:rsidRDefault="004536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2893" w14:textId="76B580F5" w:rsidR="0052543D" w:rsidRPr="0052543D" w:rsidRDefault="0052543D" w:rsidP="0052543D">
    <w:pPr>
      <w:pStyle w:val="Pieddepage"/>
      <w:tabs>
        <w:tab w:val="right" w:pos="9638"/>
      </w:tabs>
    </w:pPr>
    <w:r w:rsidRPr="0052543D">
      <w:rPr>
        <w:b/>
        <w:sz w:val="18"/>
      </w:rPr>
      <w:fldChar w:fldCharType="begin"/>
    </w:r>
    <w:r w:rsidRPr="0052543D">
      <w:rPr>
        <w:b/>
        <w:sz w:val="18"/>
      </w:rPr>
      <w:instrText xml:space="preserve"> PAGE  \* MERGEFORMAT </w:instrText>
    </w:r>
    <w:r w:rsidRPr="0052543D">
      <w:rPr>
        <w:b/>
        <w:sz w:val="18"/>
      </w:rPr>
      <w:fldChar w:fldCharType="separate"/>
    </w:r>
    <w:r w:rsidRPr="0052543D">
      <w:rPr>
        <w:b/>
        <w:noProof/>
        <w:sz w:val="18"/>
      </w:rPr>
      <w:t>2</w:t>
    </w:r>
    <w:r w:rsidRPr="0052543D">
      <w:rPr>
        <w:b/>
        <w:sz w:val="18"/>
      </w:rPr>
      <w:fldChar w:fldCharType="end"/>
    </w:r>
    <w:r>
      <w:rPr>
        <w:b/>
        <w:sz w:val="18"/>
      </w:rPr>
      <w:tab/>
    </w:r>
    <w:r>
      <w:t>GE</w:t>
    </w:r>
    <w:r w:rsidR="00244AED" w:rsidRPr="00244AED">
      <w:t>.</w:t>
    </w:r>
    <w:r>
      <w:t>22-04705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EB6F" w14:textId="107DE785" w:rsidR="0052543D" w:rsidRPr="0052543D" w:rsidRDefault="0052543D" w:rsidP="0052543D">
    <w:pPr>
      <w:pStyle w:val="Pieddepage"/>
      <w:tabs>
        <w:tab w:val="right" w:pos="9638"/>
      </w:tabs>
      <w:rPr>
        <w:b/>
        <w:sz w:val="18"/>
      </w:rPr>
    </w:pPr>
    <w:r>
      <w:t>GE</w:t>
    </w:r>
    <w:r w:rsidR="00244AED" w:rsidRPr="00244AED">
      <w:t>.</w:t>
    </w:r>
    <w:r>
      <w:t>22-04705</w:t>
    </w:r>
    <w:r>
      <w:tab/>
    </w:r>
    <w:r w:rsidRPr="0052543D">
      <w:rPr>
        <w:b/>
        <w:sz w:val="18"/>
      </w:rPr>
      <w:fldChar w:fldCharType="begin"/>
    </w:r>
    <w:r w:rsidRPr="0052543D">
      <w:rPr>
        <w:b/>
        <w:sz w:val="18"/>
      </w:rPr>
      <w:instrText xml:space="preserve"> PAGE  \* MERGEFORMAT </w:instrText>
    </w:r>
    <w:r w:rsidRPr="0052543D">
      <w:rPr>
        <w:b/>
        <w:sz w:val="18"/>
      </w:rPr>
      <w:fldChar w:fldCharType="separate"/>
    </w:r>
    <w:r w:rsidRPr="0052543D">
      <w:rPr>
        <w:b/>
        <w:noProof/>
        <w:sz w:val="18"/>
      </w:rPr>
      <w:t>3</w:t>
    </w:r>
    <w:r w:rsidRPr="005254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26DB" w14:textId="5EE440D3" w:rsidR="00984B29" w:rsidRPr="0052543D" w:rsidRDefault="0052543D" w:rsidP="0052543D">
    <w:pPr>
      <w:pStyle w:val="Pieddepage"/>
      <w:spacing w:before="120"/>
      <w:rPr>
        <w:sz w:val="20"/>
      </w:rPr>
    </w:pPr>
    <w:r>
      <w:rPr>
        <w:sz w:val="20"/>
      </w:rPr>
      <w:t>GE</w:t>
    </w:r>
    <w:r w:rsidR="00244AED" w:rsidRPr="00244AED">
      <w:rPr>
        <w:sz w:val="20"/>
      </w:rPr>
      <w:t>.</w:t>
    </w:r>
    <w:r w:rsidR="00984B29">
      <w:rPr>
        <w:noProof/>
        <w:lang w:eastAsia="fr-CH"/>
      </w:rPr>
      <w:drawing>
        <wp:anchor distT="0" distB="0" distL="114300" distR="114300" simplePos="0" relativeHeight="251659264" behindDoc="0" locked="0" layoutInCell="1" allowOverlap="0" wp14:anchorId="53744A2F" wp14:editId="26CA1F2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22-04705  (F)</w:t>
    </w:r>
    <w:r>
      <w:rPr>
        <w:noProof/>
        <w:sz w:val="20"/>
      </w:rPr>
      <w:drawing>
        <wp:anchor distT="0" distB="0" distL="114300" distR="114300" simplePos="0" relativeHeight="251660288" behindDoc="0" locked="0" layoutInCell="1" allowOverlap="1" wp14:anchorId="502E7662" wp14:editId="3894F69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130622    </w:t>
    </w:r>
    <w:r w:rsidRPr="00244AED">
      <w:rPr>
        <w:sz w:val="20"/>
      </w:rPr>
      <w:t>1</w:t>
    </w:r>
    <w:r w:rsidR="00244AED" w:rsidRPr="00244AED">
      <w:rPr>
        <w:sz w:val="20"/>
      </w:rPr>
      <w:t>6</w:t>
    </w:r>
    <w:r w:rsidRPr="00244AED">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BF11" w14:textId="77777777" w:rsidR="0045366B" w:rsidRPr="00AC3823" w:rsidRDefault="0045366B" w:rsidP="00AC3823">
      <w:pPr>
        <w:pStyle w:val="Pieddepage"/>
        <w:tabs>
          <w:tab w:val="right" w:pos="2155"/>
        </w:tabs>
        <w:spacing w:after="80" w:line="240" w:lineRule="atLeast"/>
        <w:ind w:left="680"/>
        <w:rPr>
          <w:u w:val="single"/>
        </w:rPr>
      </w:pPr>
      <w:r>
        <w:rPr>
          <w:u w:val="single"/>
        </w:rPr>
        <w:tab/>
      </w:r>
    </w:p>
  </w:footnote>
  <w:footnote w:type="continuationSeparator" w:id="0">
    <w:p w14:paraId="13893F72" w14:textId="77777777" w:rsidR="0045366B" w:rsidRPr="00AC3823" w:rsidRDefault="0045366B" w:rsidP="00AC3823">
      <w:pPr>
        <w:pStyle w:val="Pieddepage"/>
        <w:tabs>
          <w:tab w:val="right" w:pos="2155"/>
        </w:tabs>
        <w:spacing w:after="80" w:line="240" w:lineRule="atLeast"/>
        <w:ind w:left="680"/>
        <w:rPr>
          <w:u w:val="single"/>
        </w:rPr>
      </w:pPr>
      <w:r>
        <w:rPr>
          <w:u w:val="single"/>
        </w:rPr>
        <w:tab/>
      </w:r>
    </w:p>
  </w:footnote>
  <w:footnote w:type="continuationNotice" w:id="1">
    <w:p w14:paraId="0CB6B2D7" w14:textId="77777777" w:rsidR="0045366B" w:rsidRPr="00AC3823" w:rsidRDefault="0045366B">
      <w:pPr>
        <w:spacing w:line="240" w:lineRule="auto"/>
        <w:rPr>
          <w:sz w:val="2"/>
          <w:szCs w:val="2"/>
        </w:rPr>
      </w:pPr>
    </w:p>
  </w:footnote>
  <w:footnote w:id="2">
    <w:p w14:paraId="2CC36057" w14:textId="235E521E" w:rsidR="00F30B21" w:rsidRPr="003156E8" w:rsidRDefault="00F30B21" w:rsidP="00F30B21">
      <w:pPr>
        <w:pStyle w:val="Notedebasdepage"/>
        <w:rPr>
          <w:sz w:val="20"/>
          <w:lang w:val="fr-FR"/>
        </w:rPr>
      </w:pPr>
      <w:r w:rsidRPr="00F30B21">
        <w:rPr>
          <w:sz w:val="20"/>
        </w:rPr>
        <w:tab/>
      </w:r>
      <w:r w:rsidRPr="00F30B21">
        <w:rPr>
          <w:sz w:val="20"/>
          <w:lang w:val="fr-FR"/>
        </w:rPr>
        <w:t>*</w:t>
      </w:r>
      <w:r w:rsidRPr="00F30B21">
        <w:rPr>
          <w:sz w:val="20"/>
          <w:lang w:val="fr-FR"/>
        </w:rPr>
        <w:tab/>
      </w:r>
      <w:r w:rsidRPr="003156E8">
        <w:rPr>
          <w:noProof/>
          <w:lang w:val="fr-FR"/>
        </w:rPr>
        <w:t>La version originale du présent document n</w:t>
      </w:r>
      <w:r>
        <w:rPr>
          <w:noProof/>
          <w:lang w:val="fr-FR"/>
        </w:rPr>
        <w:t>’</w:t>
      </w:r>
      <w:r w:rsidRPr="003156E8">
        <w:rPr>
          <w:noProof/>
          <w:lang w:val="fr-FR"/>
        </w:rPr>
        <w:t>a pas été revue par les services d</w:t>
      </w:r>
      <w:r>
        <w:rPr>
          <w:noProof/>
          <w:lang w:val="fr-FR"/>
        </w:rPr>
        <w:t>’</w:t>
      </w:r>
      <w:r w:rsidRPr="003156E8">
        <w:rPr>
          <w:noProof/>
          <w:lang w:val="fr-FR"/>
        </w:rPr>
        <w:t>édition</w:t>
      </w:r>
      <w:r w:rsidR="00244AED" w:rsidRPr="00244AED">
        <w:rPr>
          <w:noProof/>
          <w:lang w:val="fr-FR"/>
        </w:rPr>
        <w:t>.</w:t>
      </w:r>
    </w:p>
  </w:footnote>
  <w:footnote w:id="3">
    <w:p w14:paraId="5E53A279" w14:textId="14D46FBD"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Conclusions préliminaires de la Rapporteuse spéciale sur les effets négatifs des mesures coercitives unilatérales sur l</w:t>
      </w:r>
      <w:r>
        <w:rPr>
          <w:lang w:val="fr-FR"/>
        </w:rPr>
        <w:t>’</w:t>
      </w:r>
      <w:r w:rsidRPr="003156E8">
        <w:rPr>
          <w:lang w:val="fr-FR"/>
        </w:rPr>
        <w:t>exercice des droits de l</w:t>
      </w:r>
      <w:r>
        <w:rPr>
          <w:lang w:val="fr-FR"/>
        </w:rPr>
        <w:t>’</w:t>
      </w:r>
      <w:r w:rsidRPr="003156E8">
        <w:rPr>
          <w:lang w:val="fr-FR"/>
        </w:rPr>
        <w:t>homme à la suite de sa visite en République bolivarienne du Venezuela, 12 février 2021 : [traduction] « </w:t>
      </w:r>
      <w:r w:rsidRPr="003156E8">
        <w:rPr>
          <w:i/>
          <w:iCs/>
          <w:lang w:val="fr-FR"/>
        </w:rPr>
        <w:t>La Rapporteuse spéciale conclut que les sanctions imposées au Venezuela, à ses citoyens et à ses entreprises ont des répercussions sur les Vénézuéliens aussi bien dans le secteur public que dans le secteur privé, à l</w:t>
      </w:r>
      <w:r>
        <w:rPr>
          <w:i/>
          <w:iCs/>
          <w:lang w:val="fr-FR"/>
        </w:rPr>
        <w:t>’</w:t>
      </w:r>
      <w:r w:rsidRPr="003156E8">
        <w:rPr>
          <w:i/>
          <w:iCs/>
          <w:lang w:val="fr-FR"/>
        </w:rPr>
        <w:t>intérieur comme à l</w:t>
      </w:r>
      <w:r>
        <w:rPr>
          <w:i/>
          <w:iCs/>
          <w:lang w:val="fr-FR"/>
        </w:rPr>
        <w:t>’</w:t>
      </w:r>
      <w:r w:rsidRPr="003156E8">
        <w:rPr>
          <w:i/>
          <w:iCs/>
          <w:lang w:val="fr-FR"/>
        </w:rPr>
        <w:t>extérieur du territoire national, de même que sur les ressortissants et employés d</w:t>
      </w:r>
      <w:r>
        <w:rPr>
          <w:i/>
          <w:iCs/>
          <w:lang w:val="fr-FR"/>
        </w:rPr>
        <w:t>’</w:t>
      </w:r>
      <w:r w:rsidRPr="003156E8">
        <w:rPr>
          <w:i/>
          <w:iCs/>
          <w:lang w:val="fr-FR"/>
        </w:rPr>
        <w:t>entreprises de pays tiers qui craignent les sanctions secondaires ou sont touchés par ces dernières, sur les donateurs et les ONG humanitaires internationales, et sur les bénéficiaires de l</w:t>
      </w:r>
      <w:r>
        <w:rPr>
          <w:i/>
          <w:iCs/>
          <w:lang w:val="fr-FR"/>
        </w:rPr>
        <w:t>’</w:t>
      </w:r>
      <w:r w:rsidRPr="003156E8">
        <w:rPr>
          <w:i/>
          <w:iCs/>
          <w:lang w:val="fr-FR"/>
        </w:rPr>
        <w:t xml:space="preserve">aide accordée par les organisations internationales traditionnellement financées par le Venezuela, tandis que les personnes à faible revenu, les femmes, les enfants et les personnes ayant des besoins particuliers ou </w:t>
      </w:r>
      <w:r>
        <w:rPr>
          <w:i/>
          <w:iCs/>
          <w:lang w:val="fr-FR"/>
        </w:rPr>
        <w:t>ayant</w:t>
      </w:r>
      <w:r w:rsidRPr="003156E8">
        <w:rPr>
          <w:i/>
          <w:iCs/>
          <w:lang w:val="fr-FR"/>
        </w:rPr>
        <w:t xml:space="preserve"> de</w:t>
      </w:r>
      <w:r>
        <w:rPr>
          <w:i/>
          <w:iCs/>
          <w:lang w:val="fr-FR"/>
        </w:rPr>
        <w:t>s</w:t>
      </w:r>
      <w:r w:rsidRPr="003156E8">
        <w:rPr>
          <w:i/>
          <w:iCs/>
          <w:lang w:val="fr-FR"/>
        </w:rPr>
        <w:t xml:space="preserve"> maladies graves ou chroniques sont les plus touchés en ce qui concerne l</w:t>
      </w:r>
      <w:r>
        <w:rPr>
          <w:i/>
          <w:iCs/>
          <w:lang w:val="fr-FR"/>
        </w:rPr>
        <w:t>’</w:t>
      </w:r>
      <w:r w:rsidRPr="003156E8">
        <w:rPr>
          <w:i/>
          <w:iCs/>
          <w:lang w:val="fr-FR"/>
        </w:rPr>
        <w:t>ensemble des droits de l</w:t>
      </w:r>
      <w:r>
        <w:rPr>
          <w:i/>
          <w:iCs/>
          <w:lang w:val="fr-FR"/>
        </w:rPr>
        <w:t>’</w:t>
      </w:r>
      <w:r w:rsidRPr="003156E8">
        <w:rPr>
          <w:i/>
          <w:iCs/>
          <w:lang w:val="fr-FR"/>
        </w:rPr>
        <w:t>homme, y compris les droits civils, politiques, économiques, sociaux et culturels et le droit au développement</w:t>
      </w:r>
      <w:r w:rsidR="008C5EE8">
        <w:rPr>
          <w:i/>
          <w:iCs/>
          <w:lang w:val="fr-FR"/>
        </w:rPr>
        <w:t>.</w:t>
      </w:r>
      <w:r w:rsidRPr="003156E8">
        <w:rPr>
          <w:lang w:val="fr-FR"/>
        </w:rPr>
        <w:t> »</w:t>
      </w:r>
      <w:r w:rsidR="00244AED" w:rsidRPr="00244AED">
        <w:rPr>
          <w:lang w:val="fr-FR"/>
        </w:rPr>
        <w:t>.</w:t>
      </w:r>
    </w:p>
  </w:footnote>
  <w:footnote w:id="4">
    <w:p w14:paraId="498CF6FD" w14:textId="11BDE3D7" w:rsidR="00F30B21" w:rsidRPr="003156E8" w:rsidRDefault="00F30B21" w:rsidP="00F30B21">
      <w:pPr>
        <w:pStyle w:val="Notedebasdepage"/>
        <w:rPr>
          <w:rFonts w:eastAsia="Times New Roman"/>
          <w:color w:val="000000"/>
          <w:lang w:val="fr-FR"/>
        </w:rPr>
      </w:pPr>
      <w:r w:rsidRPr="003156E8">
        <w:rPr>
          <w:lang w:val="fr-FR"/>
        </w:rPr>
        <w:tab/>
      </w:r>
      <w:r w:rsidRPr="00F30B21">
        <w:rPr>
          <w:rStyle w:val="Appelnotedebasdep"/>
        </w:rPr>
        <w:footnoteRef/>
      </w:r>
      <w:r w:rsidRPr="003156E8">
        <w:rPr>
          <w:color w:val="000000"/>
          <w:lang w:val="fr-FR"/>
        </w:rPr>
        <w:tab/>
        <w:t>Parmi les mesures coercitives unilatérales prises par le Gouvernement des États-Unis d</w:t>
      </w:r>
      <w:r>
        <w:rPr>
          <w:color w:val="000000"/>
          <w:lang w:val="fr-FR"/>
        </w:rPr>
        <w:t>’</w:t>
      </w:r>
      <w:r w:rsidRPr="003156E8">
        <w:rPr>
          <w:color w:val="000000"/>
          <w:lang w:val="fr-FR"/>
        </w:rPr>
        <w:t xml:space="preserve">Amérique </w:t>
      </w:r>
      <w:r>
        <w:rPr>
          <w:color w:val="000000"/>
          <w:lang w:val="fr-FR"/>
        </w:rPr>
        <w:t>contre</w:t>
      </w:r>
      <w:r w:rsidRPr="003156E8">
        <w:rPr>
          <w:color w:val="000000"/>
          <w:lang w:val="fr-FR"/>
        </w:rPr>
        <w:t xml:space="preserve"> la République bolivarienne du Venezuela, il convient de citer : le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color w:val="000000"/>
          <w:lang w:val="fr-FR"/>
        </w:rPr>
        <w:t>13 692 qualifiant le Venezuela de menace inhabituelle et extraordinaire pour la sécurité nationale des États-Unis</w:t>
      </w:r>
      <w:r>
        <w:rPr>
          <w:color w:val="000000"/>
          <w:lang w:val="fr-FR"/>
        </w:rPr>
        <w:t xml:space="preserve"> d’Amérique</w:t>
      </w:r>
      <w:r w:rsidRPr="003156E8">
        <w:rPr>
          <w:color w:val="000000"/>
          <w:lang w:val="fr-FR"/>
        </w:rPr>
        <w:t xml:space="preserve"> ; le décret </w:t>
      </w:r>
      <w:r w:rsidR="008C5EE8" w:rsidRPr="00DC6BF9">
        <w:rPr>
          <w:rFonts w:eastAsia="MS Mincho"/>
          <w:color w:val="000000"/>
          <w:lang w:val="fr-FR"/>
        </w:rPr>
        <w:t>n</w:t>
      </w:r>
      <w:r w:rsidR="008C5EE8" w:rsidRPr="00DC6BF9">
        <w:rPr>
          <w:rFonts w:eastAsia="MS Mincho"/>
          <w:color w:val="000000"/>
          <w:vertAlign w:val="superscript"/>
          <w:lang w:val="fr-FR"/>
        </w:rPr>
        <w:t>o</w:t>
      </w:r>
      <w:r w:rsidR="008C5EE8">
        <w:rPr>
          <w:color w:val="000000"/>
          <w:lang w:val="fr-FR"/>
        </w:rPr>
        <w:t> </w:t>
      </w:r>
      <w:r w:rsidRPr="003156E8">
        <w:rPr>
          <w:color w:val="000000"/>
          <w:lang w:val="fr-FR"/>
        </w:rPr>
        <w:t>13 808 interdisant le financement et tout autre accord concernant la dette de l</w:t>
      </w:r>
      <w:r>
        <w:rPr>
          <w:color w:val="000000"/>
          <w:lang w:val="fr-FR"/>
        </w:rPr>
        <w:t>’</w:t>
      </w:r>
      <w:r w:rsidRPr="003156E8">
        <w:rPr>
          <w:color w:val="000000"/>
          <w:lang w:val="fr-FR"/>
        </w:rPr>
        <w:t xml:space="preserve">entreprise </w:t>
      </w:r>
      <w:proofErr w:type="spellStart"/>
      <w:r w:rsidRPr="003156E8">
        <w:rPr>
          <w:i/>
          <w:iCs/>
          <w:color w:val="000000"/>
          <w:lang w:val="fr-FR"/>
        </w:rPr>
        <w:t>Petróleos</w:t>
      </w:r>
      <w:proofErr w:type="spellEnd"/>
      <w:r w:rsidRPr="003156E8">
        <w:rPr>
          <w:i/>
          <w:iCs/>
          <w:color w:val="000000"/>
          <w:lang w:val="fr-FR"/>
        </w:rPr>
        <w:t xml:space="preserve"> de Venezuela</w:t>
      </w:r>
      <w:r w:rsidRPr="003156E8">
        <w:rPr>
          <w:color w:val="000000"/>
          <w:lang w:val="fr-FR"/>
        </w:rPr>
        <w:t xml:space="preserve"> et de la République bolivarienne du Venezuela ; le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color w:val="000000"/>
          <w:lang w:val="fr-FR"/>
        </w:rPr>
        <w:t>13</w:t>
      </w:r>
      <w:r w:rsidR="00DC6BF9">
        <w:rPr>
          <w:color w:val="000000"/>
          <w:lang w:val="fr-FR"/>
        </w:rPr>
        <w:t> </w:t>
      </w:r>
      <w:r w:rsidRPr="003156E8">
        <w:rPr>
          <w:color w:val="000000"/>
          <w:lang w:val="fr-FR"/>
        </w:rPr>
        <w:t>827</w:t>
      </w:r>
      <w:r w:rsidR="00DC6BF9">
        <w:rPr>
          <w:color w:val="000000"/>
          <w:lang w:val="fr-FR"/>
        </w:rPr>
        <w:t xml:space="preserve"> </w:t>
      </w:r>
      <w:r w:rsidRPr="003156E8">
        <w:rPr>
          <w:color w:val="000000"/>
          <w:lang w:val="fr-FR"/>
        </w:rPr>
        <w:t xml:space="preserve">interdisant la commercialisation de la </w:t>
      </w:r>
      <w:proofErr w:type="spellStart"/>
      <w:r w:rsidRPr="003156E8">
        <w:rPr>
          <w:color w:val="000000"/>
          <w:lang w:val="fr-FR"/>
        </w:rPr>
        <w:t>cryptomonnaie</w:t>
      </w:r>
      <w:proofErr w:type="spellEnd"/>
      <w:r w:rsidRPr="003156E8">
        <w:rPr>
          <w:color w:val="000000"/>
          <w:lang w:val="fr-FR"/>
        </w:rPr>
        <w:t xml:space="preserve"> vénézuélienne </w:t>
      </w:r>
      <w:r w:rsidRPr="003156E8">
        <w:rPr>
          <w:i/>
          <w:iCs/>
          <w:color w:val="000000"/>
          <w:lang w:val="fr-FR"/>
        </w:rPr>
        <w:t>Petro </w:t>
      </w:r>
      <w:r w:rsidRPr="003156E8">
        <w:rPr>
          <w:color w:val="000000"/>
          <w:lang w:val="fr-FR"/>
        </w:rPr>
        <w:t xml:space="preserve">; le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color w:val="000000"/>
          <w:lang w:val="fr-FR"/>
        </w:rPr>
        <w:t>13 835 interdisant les transactions liées au financement et à l</w:t>
      </w:r>
      <w:r>
        <w:rPr>
          <w:color w:val="000000"/>
          <w:lang w:val="fr-FR"/>
        </w:rPr>
        <w:t>’</w:t>
      </w:r>
      <w:r w:rsidRPr="003156E8">
        <w:rPr>
          <w:color w:val="000000"/>
          <w:lang w:val="fr-FR"/>
        </w:rPr>
        <w:t xml:space="preserve">achat de toute dette de la République bolivarienne du Venezuela ; le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color w:val="000000"/>
          <w:lang w:val="fr-FR"/>
        </w:rPr>
        <w:t xml:space="preserve">13 850 interdisant la participation au secteur aurifère ou à tout autre secteur économique de la République bolivarienne du Venezuela ; le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color w:val="000000"/>
          <w:lang w:val="fr-FR"/>
        </w:rPr>
        <w:t>13</w:t>
      </w:r>
      <w:r>
        <w:rPr>
          <w:color w:val="000000"/>
          <w:lang w:val="fr-FR"/>
        </w:rPr>
        <w:t> </w:t>
      </w:r>
      <w:r w:rsidRPr="003156E8">
        <w:rPr>
          <w:color w:val="000000"/>
          <w:lang w:val="fr-FR"/>
        </w:rPr>
        <w:t>884</w:t>
      </w:r>
      <w:r>
        <w:rPr>
          <w:color w:val="000000"/>
          <w:lang w:val="fr-FR"/>
        </w:rPr>
        <w:t xml:space="preserve"> </w:t>
      </w:r>
      <w:r w:rsidRPr="003156E8">
        <w:rPr>
          <w:color w:val="000000"/>
          <w:lang w:val="fr-FR"/>
        </w:rPr>
        <w:t>imposant des sanctions secondaires à tout fournisseur de biens ou de services à la République bolivarienne du Venezuela</w:t>
      </w:r>
      <w:r w:rsidR="00244AED" w:rsidRPr="00244AED">
        <w:rPr>
          <w:color w:val="000000"/>
          <w:lang w:val="fr-FR"/>
        </w:rPr>
        <w:t>.</w:t>
      </w:r>
      <w:r w:rsidRPr="003156E8">
        <w:rPr>
          <w:color w:val="000000"/>
          <w:lang w:val="fr-FR"/>
        </w:rPr>
        <w:t xml:space="preserve"> </w:t>
      </w:r>
    </w:p>
  </w:footnote>
  <w:footnote w:id="5">
    <w:p w14:paraId="3FEC2B7D" w14:textId="1F4A13B8"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r>
      <w:r w:rsidRPr="003156E8">
        <w:rPr>
          <w:color w:val="000000"/>
          <w:lang w:val="fr-FR"/>
        </w:rPr>
        <w:t>Résolution A/HRC/RES/42/4 du 3 octobre 2019</w:t>
      </w:r>
      <w:r w:rsidR="00244AED" w:rsidRPr="00244AED">
        <w:rPr>
          <w:color w:val="000000"/>
          <w:lang w:val="fr-FR"/>
        </w:rPr>
        <w:t>.</w:t>
      </w:r>
    </w:p>
  </w:footnote>
  <w:footnote w:id="6">
    <w:p w14:paraId="624D439C" w14:textId="42F0D8E0"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r>
      <w:r w:rsidRPr="003156E8">
        <w:rPr>
          <w:color w:val="000000"/>
          <w:lang w:val="fr-FR"/>
        </w:rPr>
        <w:t>Rapport A/HRC/42/46 du 5 juillet 2019, présenté à la quarante-deuxième session du Conseil des droits de l</w:t>
      </w:r>
      <w:r>
        <w:rPr>
          <w:color w:val="000000"/>
          <w:lang w:val="fr-FR"/>
        </w:rPr>
        <w:t>’</w:t>
      </w:r>
      <w:r w:rsidRPr="003156E8">
        <w:rPr>
          <w:color w:val="000000"/>
          <w:lang w:val="fr-FR"/>
        </w:rPr>
        <w:t>homme (par</w:t>
      </w:r>
      <w:r w:rsidR="00244AED" w:rsidRPr="00244AED">
        <w:rPr>
          <w:color w:val="000000"/>
          <w:lang w:val="fr-FR"/>
        </w:rPr>
        <w:t>.</w:t>
      </w:r>
      <w:r w:rsidRPr="003156E8">
        <w:rPr>
          <w:color w:val="000000"/>
          <w:lang w:val="fr-FR"/>
        </w:rPr>
        <w:t xml:space="preserve"> 6 et par</w:t>
      </w:r>
      <w:r w:rsidR="00244AED" w:rsidRPr="00244AED">
        <w:rPr>
          <w:color w:val="000000"/>
          <w:lang w:val="fr-FR"/>
        </w:rPr>
        <w:t>.</w:t>
      </w:r>
      <w:r w:rsidRPr="003156E8">
        <w:rPr>
          <w:color w:val="000000"/>
          <w:lang w:val="fr-FR"/>
        </w:rPr>
        <w:t xml:space="preserve"> 16 à 35) ; Conclusions préliminaires de la Rapporteuse spéciale sur les effets négatifs des mesures coercitives unilatérales sur l</w:t>
      </w:r>
      <w:r>
        <w:rPr>
          <w:color w:val="000000"/>
          <w:lang w:val="fr-FR"/>
        </w:rPr>
        <w:t>’</w:t>
      </w:r>
      <w:r w:rsidRPr="003156E8">
        <w:rPr>
          <w:color w:val="000000"/>
          <w:lang w:val="fr-FR"/>
        </w:rPr>
        <w:t>exercice des droits de l</w:t>
      </w:r>
      <w:r>
        <w:rPr>
          <w:color w:val="000000"/>
          <w:lang w:val="fr-FR"/>
        </w:rPr>
        <w:t>’</w:t>
      </w:r>
      <w:r w:rsidRPr="003156E8">
        <w:rPr>
          <w:color w:val="000000"/>
          <w:lang w:val="fr-FR"/>
        </w:rPr>
        <w:t>homme à la suite de sa visite en République bolivarienne du Venezuela, 12 février 2021</w:t>
      </w:r>
      <w:r w:rsidR="00244AED" w:rsidRPr="00244AED">
        <w:rPr>
          <w:color w:val="000000"/>
          <w:lang w:val="fr-FR"/>
        </w:rPr>
        <w:t>.</w:t>
      </w:r>
    </w:p>
  </w:footnote>
  <w:footnote w:id="7">
    <w:p w14:paraId="49279269" w14:textId="7CA2C0DF"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r>
      <w:r w:rsidRPr="003156E8">
        <w:rPr>
          <w:color w:val="000000"/>
          <w:lang w:val="fr-FR"/>
        </w:rPr>
        <w:t xml:space="preserve">Rapport de </w:t>
      </w:r>
      <w:r w:rsidRPr="003156E8">
        <w:rPr>
          <w:lang w:val="fr-FR"/>
        </w:rPr>
        <w:t>l</w:t>
      </w:r>
      <w:r>
        <w:rPr>
          <w:lang w:val="fr-FR"/>
        </w:rPr>
        <w:t>’</w:t>
      </w:r>
      <w:r w:rsidRPr="003156E8">
        <w:rPr>
          <w:lang w:val="fr-FR"/>
        </w:rPr>
        <w:t>Expert indépendant sur la promotion d</w:t>
      </w:r>
      <w:r>
        <w:rPr>
          <w:lang w:val="fr-FR"/>
        </w:rPr>
        <w:t>’</w:t>
      </w:r>
      <w:r w:rsidRPr="003156E8">
        <w:rPr>
          <w:lang w:val="fr-FR"/>
        </w:rPr>
        <w:t>un ordre international démocratique et équitable</w:t>
      </w:r>
      <w:r w:rsidRPr="003156E8">
        <w:rPr>
          <w:color w:val="000000"/>
          <w:lang w:val="fr-FR"/>
        </w:rPr>
        <w:t xml:space="preserve"> sur sa mission en République bolivarienne du Venezuela (A/HRC/39/47/Add</w:t>
      </w:r>
      <w:r w:rsidR="00244AED" w:rsidRPr="00244AED">
        <w:rPr>
          <w:color w:val="000000"/>
          <w:lang w:val="fr-FR"/>
        </w:rPr>
        <w:t>.</w:t>
      </w:r>
      <w:r w:rsidRPr="003156E8">
        <w:rPr>
          <w:color w:val="000000"/>
          <w:lang w:val="fr-FR"/>
        </w:rPr>
        <w:t>1), du 3 août 2018, présenté au Conseil des droits de l</w:t>
      </w:r>
      <w:r>
        <w:rPr>
          <w:color w:val="000000"/>
          <w:lang w:val="fr-FR"/>
        </w:rPr>
        <w:t>’</w:t>
      </w:r>
      <w:r w:rsidRPr="003156E8">
        <w:rPr>
          <w:color w:val="000000"/>
          <w:lang w:val="fr-FR"/>
        </w:rPr>
        <w:t>homme à sa trente-neuvième session</w:t>
      </w:r>
      <w:r w:rsidR="00244AED" w:rsidRPr="00244AED">
        <w:rPr>
          <w:color w:val="000000"/>
          <w:lang w:val="fr-FR"/>
        </w:rPr>
        <w:t>.</w:t>
      </w:r>
    </w:p>
  </w:footnote>
  <w:footnote w:id="8">
    <w:p w14:paraId="0E289EB7" w14:textId="4B65CD24" w:rsidR="00F30B21" w:rsidRPr="003156E8" w:rsidRDefault="00F30B21" w:rsidP="00F30B21">
      <w:pPr>
        <w:pStyle w:val="Notedebasdepage"/>
        <w:rPr>
          <w:lang w:val="fr-FR"/>
        </w:rPr>
      </w:pPr>
      <w:r w:rsidRPr="003156E8">
        <w:rPr>
          <w:color w:val="000000"/>
          <w:lang w:val="fr-FR"/>
        </w:rPr>
        <w:tab/>
      </w:r>
      <w:r w:rsidRPr="00F30B21">
        <w:rPr>
          <w:rStyle w:val="Appelnotedebasdep"/>
        </w:rPr>
        <w:footnoteRef/>
      </w:r>
      <w:r w:rsidRPr="003156E8">
        <w:rPr>
          <w:color w:val="000000"/>
          <w:lang w:val="fr-FR"/>
        </w:rPr>
        <w:tab/>
        <w:t xml:space="preserve">Exposé de la </w:t>
      </w:r>
      <w:proofErr w:type="spellStart"/>
      <w:r w:rsidRPr="003156E8">
        <w:rPr>
          <w:color w:val="000000"/>
          <w:lang w:val="fr-FR"/>
        </w:rPr>
        <w:t>Haute-Commissaire</w:t>
      </w:r>
      <w:proofErr w:type="spellEnd"/>
      <w:r w:rsidRPr="003156E8">
        <w:rPr>
          <w:color w:val="000000"/>
          <w:lang w:val="fr-FR"/>
        </w:rPr>
        <w:t xml:space="preserve"> sur la situation des droits de l</w:t>
      </w:r>
      <w:r>
        <w:rPr>
          <w:color w:val="000000"/>
          <w:lang w:val="fr-FR"/>
        </w:rPr>
        <w:t>’</w:t>
      </w:r>
      <w:r w:rsidRPr="003156E8">
        <w:rPr>
          <w:color w:val="000000"/>
          <w:lang w:val="fr-FR"/>
        </w:rPr>
        <w:t xml:space="preserve">homme au Venezuela </w:t>
      </w:r>
      <w:r>
        <w:rPr>
          <w:color w:val="000000"/>
          <w:lang w:val="fr-FR"/>
        </w:rPr>
        <w:t>à</w:t>
      </w:r>
      <w:r w:rsidRPr="003156E8">
        <w:rPr>
          <w:color w:val="000000"/>
          <w:lang w:val="fr-FR"/>
        </w:rPr>
        <w:t xml:space="preserve"> la quarante-deuxième session du Conseil des droits de l</w:t>
      </w:r>
      <w:r>
        <w:rPr>
          <w:color w:val="000000"/>
          <w:lang w:val="fr-FR"/>
        </w:rPr>
        <w:t>’</w:t>
      </w:r>
      <w:r w:rsidRPr="003156E8">
        <w:rPr>
          <w:color w:val="000000"/>
          <w:lang w:val="fr-FR"/>
        </w:rPr>
        <w:t xml:space="preserve">homme, le 9 septembre 2019 : « [traduction] </w:t>
      </w:r>
      <w:r w:rsidRPr="003156E8">
        <w:rPr>
          <w:i/>
          <w:iCs/>
          <w:color w:val="000000"/>
          <w:lang w:val="fr-FR"/>
        </w:rPr>
        <w:t>[</w:t>
      </w:r>
      <w:r w:rsidR="00244AED" w:rsidRPr="00244AED">
        <w:rPr>
          <w:i/>
          <w:iCs/>
          <w:color w:val="000000"/>
          <w:lang w:val="fr-FR"/>
        </w:rPr>
        <w:t>...</w:t>
      </w:r>
      <w:r w:rsidRPr="003156E8">
        <w:rPr>
          <w:i/>
          <w:iCs/>
          <w:color w:val="000000"/>
          <w:lang w:val="fr-FR"/>
        </w:rPr>
        <w:t>] J</w:t>
      </w:r>
      <w:r>
        <w:rPr>
          <w:i/>
          <w:iCs/>
          <w:color w:val="000000"/>
          <w:lang w:val="fr-FR"/>
        </w:rPr>
        <w:t>’</w:t>
      </w:r>
      <w:r w:rsidRPr="003156E8">
        <w:rPr>
          <w:i/>
          <w:iCs/>
          <w:color w:val="000000"/>
          <w:lang w:val="fr-FR"/>
        </w:rPr>
        <w:t xml:space="preserve">ai exprimé le 8 août dernier mon inquiétude au sujet </w:t>
      </w:r>
      <w:r>
        <w:rPr>
          <w:i/>
          <w:iCs/>
          <w:color w:val="000000"/>
          <w:lang w:val="fr-FR"/>
        </w:rPr>
        <w:t>des effets</w:t>
      </w:r>
      <w:r w:rsidRPr="003156E8">
        <w:rPr>
          <w:i/>
          <w:iCs/>
          <w:color w:val="000000"/>
          <w:lang w:val="fr-FR"/>
        </w:rPr>
        <w:t xml:space="preserve"> potentiellement grave</w:t>
      </w:r>
      <w:r>
        <w:rPr>
          <w:i/>
          <w:iCs/>
          <w:color w:val="000000"/>
          <w:lang w:val="fr-FR"/>
        </w:rPr>
        <w:t>s</w:t>
      </w:r>
      <w:r w:rsidRPr="003156E8">
        <w:rPr>
          <w:i/>
          <w:iCs/>
          <w:color w:val="000000"/>
          <w:lang w:val="fr-FR"/>
        </w:rPr>
        <w:t xml:space="preserve"> sur les droits de l</w:t>
      </w:r>
      <w:r>
        <w:rPr>
          <w:i/>
          <w:iCs/>
          <w:color w:val="000000"/>
          <w:lang w:val="fr-FR"/>
        </w:rPr>
        <w:t>’</w:t>
      </w:r>
      <w:r w:rsidRPr="003156E8">
        <w:rPr>
          <w:i/>
          <w:iCs/>
          <w:color w:val="000000"/>
          <w:lang w:val="fr-FR"/>
        </w:rPr>
        <w:t>homme des nouvelles sanctions imposées par le Gouvernement des États-Unis</w:t>
      </w:r>
      <w:r>
        <w:rPr>
          <w:i/>
          <w:iCs/>
          <w:color w:val="000000"/>
          <w:lang w:val="fr-FR"/>
        </w:rPr>
        <w:t xml:space="preserve"> d’Amérique</w:t>
      </w:r>
      <w:r w:rsidR="00B12003">
        <w:rPr>
          <w:i/>
          <w:iCs/>
          <w:color w:val="000000"/>
          <w:lang w:val="fr-FR"/>
        </w:rPr>
        <w:t>.</w:t>
      </w:r>
      <w:r w:rsidRPr="003156E8">
        <w:rPr>
          <w:color w:val="000000"/>
          <w:lang w:val="fr-FR"/>
        </w:rPr>
        <w:t> »</w:t>
      </w:r>
      <w:r w:rsidR="00244AED" w:rsidRPr="00244AED">
        <w:rPr>
          <w:color w:val="000000"/>
          <w:lang w:val="fr-FR"/>
        </w:rPr>
        <w:t>.</w:t>
      </w:r>
    </w:p>
  </w:footnote>
  <w:footnote w:id="9">
    <w:p w14:paraId="475D7A6B" w14:textId="74D85DB4"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Conclusions préliminaires de la Rapporteuse spéciale sur les effets négatifs des mesures coercitives unilatérales sur l</w:t>
      </w:r>
      <w:r>
        <w:rPr>
          <w:lang w:val="fr-FR"/>
        </w:rPr>
        <w:t>’</w:t>
      </w:r>
      <w:r w:rsidRPr="003156E8">
        <w:rPr>
          <w:lang w:val="fr-FR"/>
        </w:rPr>
        <w:t>exercice des droits de l</w:t>
      </w:r>
      <w:r>
        <w:rPr>
          <w:lang w:val="fr-FR"/>
        </w:rPr>
        <w:t>’</w:t>
      </w:r>
      <w:r w:rsidRPr="003156E8">
        <w:rPr>
          <w:lang w:val="fr-FR"/>
        </w:rPr>
        <w:t xml:space="preserve">homme à la suite de sa visite en République bolivarienne du Venezuela, 12 février 2021 : [traduction] « </w:t>
      </w:r>
      <w:r w:rsidRPr="003156E8">
        <w:rPr>
          <w:i/>
          <w:iCs/>
          <w:lang w:val="fr-FR"/>
        </w:rPr>
        <w:t>La Rapporteuse spéciale constate avec inquiétude que les sanctions sectorielles visant les industries du pétrole, de l</w:t>
      </w:r>
      <w:r>
        <w:rPr>
          <w:i/>
          <w:iCs/>
          <w:lang w:val="fr-FR"/>
        </w:rPr>
        <w:t>’</w:t>
      </w:r>
      <w:r w:rsidRPr="003156E8">
        <w:rPr>
          <w:i/>
          <w:iCs/>
          <w:lang w:val="fr-FR"/>
        </w:rPr>
        <w:t>or et de l</w:t>
      </w:r>
      <w:r>
        <w:rPr>
          <w:i/>
          <w:iCs/>
          <w:lang w:val="fr-FR"/>
        </w:rPr>
        <w:t>’</w:t>
      </w:r>
      <w:r w:rsidRPr="003156E8">
        <w:rPr>
          <w:i/>
          <w:iCs/>
          <w:lang w:val="fr-FR"/>
        </w:rPr>
        <w:t>extraction minière, l</w:t>
      </w:r>
      <w:r>
        <w:rPr>
          <w:i/>
          <w:iCs/>
          <w:lang w:val="fr-FR"/>
        </w:rPr>
        <w:t>’</w:t>
      </w:r>
      <w:r w:rsidRPr="003156E8">
        <w:rPr>
          <w:i/>
          <w:iCs/>
          <w:lang w:val="fr-FR"/>
        </w:rPr>
        <w:t>embargo économique imposé au Venezuela et le gel des avoirs de la Banque centrale ont exacerbé la crise économique et humanitaire préexistante en empêchant la création de revenus et l</w:t>
      </w:r>
      <w:r>
        <w:rPr>
          <w:i/>
          <w:iCs/>
          <w:lang w:val="fr-FR"/>
        </w:rPr>
        <w:t>’</w:t>
      </w:r>
      <w:r w:rsidRPr="003156E8">
        <w:rPr>
          <w:i/>
          <w:iCs/>
          <w:lang w:val="fr-FR"/>
        </w:rPr>
        <w:t>utilisation de ressources pour mettre en place et entretenir les infrastructures et assurer les programmes d</w:t>
      </w:r>
      <w:r>
        <w:rPr>
          <w:i/>
          <w:iCs/>
          <w:lang w:val="fr-FR"/>
        </w:rPr>
        <w:t>’</w:t>
      </w:r>
      <w:r w:rsidRPr="003156E8">
        <w:rPr>
          <w:i/>
          <w:iCs/>
          <w:lang w:val="fr-FR"/>
        </w:rPr>
        <w:t>aide sociale, ce qui a un effet dévastateur sur l</w:t>
      </w:r>
      <w:r>
        <w:rPr>
          <w:i/>
          <w:iCs/>
          <w:lang w:val="fr-FR"/>
        </w:rPr>
        <w:t>’</w:t>
      </w:r>
      <w:r w:rsidRPr="003156E8">
        <w:rPr>
          <w:i/>
          <w:iCs/>
          <w:lang w:val="fr-FR"/>
        </w:rPr>
        <w:t>ensemble de la population du Venezuela, et en particulier sur les personnes en situation d</w:t>
      </w:r>
      <w:r>
        <w:rPr>
          <w:i/>
          <w:iCs/>
          <w:lang w:val="fr-FR"/>
        </w:rPr>
        <w:t>’</w:t>
      </w:r>
      <w:r w:rsidRPr="003156E8">
        <w:rPr>
          <w:i/>
          <w:iCs/>
          <w:lang w:val="fr-FR"/>
        </w:rPr>
        <w:t xml:space="preserve">extrême pauvreté, les femmes, les enfants, les professionnels de santé, les personnes handicapées ou </w:t>
      </w:r>
      <w:r>
        <w:rPr>
          <w:i/>
          <w:iCs/>
          <w:lang w:val="fr-FR"/>
        </w:rPr>
        <w:t>ayant</w:t>
      </w:r>
      <w:r w:rsidRPr="003156E8">
        <w:rPr>
          <w:i/>
          <w:iCs/>
          <w:lang w:val="fr-FR"/>
        </w:rPr>
        <w:t xml:space="preserve"> de</w:t>
      </w:r>
      <w:r>
        <w:rPr>
          <w:i/>
          <w:iCs/>
          <w:lang w:val="fr-FR"/>
        </w:rPr>
        <w:t>s</w:t>
      </w:r>
      <w:r w:rsidRPr="003156E8">
        <w:rPr>
          <w:i/>
          <w:iCs/>
          <w:lang w:val="fr-FR"/>
        </w:rPr>
        <w:t xml:space="preserve"> maladies chroniques ou potentiellement mortelles et </w:t>
      </w:r>
      <w:r>
        <w:rPr>
          <w:i/>
          <w:iCs/>
          <w:lang w:val="fr-FR"/>
        </w:rPr>
        <w:t>les</w:t>
      </w:r>
      <w:r w:rsidRPr="003156E8">
        <w:rPr>
          <w:i/>
          <w:iCs/>
          <w:lang w:val="fr-FR"/>
        </w:rPr>
        <w:t xml:space="preserve"> autochtone</w:t>
      </w:r>
      <w:r>
        <w:rPr>
          <w:i/>
          <w:iCs/>
          <w:lang w:val="fr-FR"/>
        </w:rPr>
        <w:t>s</w:t>
      </w:r>
      <w:r w:rsidR="00B12003">
        <w:rPr>
          <w:i/>
          <w:iCs/>
          <w:lang w:val="fr-FR"/>
        </w:rPr>
        <w:t>.</w:t>
      </w:r>
      <w:r w:rsidRPr="003156E8">
        <w:rPr>
          <w:lang w:val="fr-FR"/>
        </w:rPr>
        <w:t> »</w:t>
      </w:r>
      <w:r w:rsidR="00244AED" w:rsidRPr="00244AED">
        <w:rPr>
          <w:lang w:val="fr-FR"/>
        </w:rPr>
        <w:t>.</w:t>
      </w:r>
    </w:p>
  </w:footnote>
  <w:footnote w:id="10">
    <w:p w14:paraId="682E2D97" w14:textId="5C6319B7"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Les recettes en devises de la République bolivarienne du Venezuela s</w:t>
      </w:r>
      <w:r>
        <w:rPr>
          <w:lang w:val="fr-FR"/>
        </w:rPr>
        <w:t>’</w:t>
      </w:r>
      <w:r w:rsidRPr="003156E8">
        <w:rPr>
          <w:lang w:val="fr-FR"/>
        </w:rPr>
        <w:t>élevaient à 39 636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2014, 13 538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2015, 5 998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2016, 6 017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2017, 4 826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2018, 2 500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2019 et 743 millions de dollars É</w:t>
      </w:r>
      <w:r w:rsidR="00244AED" w:rsidRPr="00244AED">
        <w:rPr>
          <w:lang w:val="fr-FR"/>
        </w:rPr>
        <w:t>.</w:t>
      </w:r>
      <w:r w:rsidRPr="003156E8">
        <w:rPr>
          <w:lang w:val="fr-FR"/>
        </w:rPr>
        <w:t>-U</w:t>
      </w:r>
      <w:r w:rsidR="00244AED" w:rsidRPr="00244AED">
        <w:rPr>
          <w:lang w:val="fr-FR"/>
        </w:rPr>
        <w:t>.</w:t>
      </w:r>
      <w:r w:rsidRPr="003156E8">
        <w:rPr>
          <w:lang w:val="fr-FR"/>
        </w:rPr>
        <w:t xml:space="preserve"> en 2020</w:t>
      </w:r>
      <w:r w:rsidR="00244AED" w:rsidRPr="00244AED">
        <w:rPr>
          <w:lang w:val="fr-FR"/>
        </w:rPr>
        <w:t>.</w:t>
      </w:r>
    </w:p>
  </w:footnote>
  <w:footnote w:id="11">
    <w:p w14:paraId="4E97E813" w14:textId="4D2B8CEB"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Journal officiel de la République bolivarienne du Venezuela (</w:t>
      </w:r>
      <w:proofErr w:type="spellStart"/>
      <w:r w:rsidRPr="003156E8">
        <w:rPr>
          <w:i/>
          <w:iCs/>
          <w:lang w:val="fr-FR"/>
        </w:rPr>
        <w:t>Gaceta</w:t>
      </w:r>
      <w:proofErr w:type="spellEnd"/>
      <w:r w:rsidRPr="003156E8">
        <w:rPr>
          <w:i/>
          <w:iCs/>
          <w:lang w:val="fr-FR"/>
        </w:rPr>
        <w:t xml:space="preserve"> </w:t>
      </w:r>
      <w:proofErr w:type="spellStart"/>
      <w:r w:rsidRPr="003156E8">
        <w:rPr>
          <w:i/>
          <w:iCs/>
          <w:lang w:val="fr-FR"/>
        </w:rPr>
        <w:t>Oficial</w:t>
      </w:r>
      <w:proofErr w:type="spellEnd"/>
      <w:r w:rsidRPr="003156E8">
        <w:rPr>
          <w:i/>
          <w:iCs/>
          <w:lang w:val="fr-FR"/>
        </w:rPr>
        <w:t xml:space="preserve"> de la República </w:t>
      </w:r>
      <w:proofErr w:type="spellStart"/>
      <w:r w:rsidRPr="003156E8">
        <w:rPr>
          <w:i/>
          <w:iCs/>
          <w:lang w:val="fr-FR"/>
        </w:rPr>
        <w:t>Bolivariana</w:t>
      </w:r>
      <w:proofErr w:type="spellEnd"/>
      <w:r w:rsidRPr="003156E8">
        <w:rPr>
          <w:i/>
          <w:iCs/>
          <w:lang w:val="fr-FR"/>
        </w:rPr>
        <w:t xml:space="preserve"> de Venezuela</w:t>
      </w:r>
      <w:r w:rsidRPr="003156E8">
        <w:rPr>
          <w:lang w:val="fr-FR"/>
        </w:rPr>
        <w:t xml:space="preserve">)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39 823 du 19 décembre 2011</w:t>
      </w:r>
      <w:r w:rsidR="00244AED" w:rsidRPr="00244AED">
        <w:rPr>
          <w:lang w:val="fr-FR"/>
        </w:rPr>
        <w:t>.</w:t>
      </w:r>
    </w:p>
  </w:footnote>
  <w:footnote w:id="12">
    <w:p w14:paraId="34AF0229" w14:textId="5A6BC0B2"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39 893 du 28 mars 2012</w:t>
      </w:r>
      <w:r w:rsidR="00244AED" w:rsidRPr="00244AED">
        <w:rPr>
          <w:lang w:val="fr-FR"/>
        </w:rPr>
        <w:t>.</w:t>
      </w:r>
      <w:r w:rsidRPr="003156E8">
        <w:rPr>
          <w:lang w:val="fr-FR"/>
        </w:rPr>
        <w:t xml:space="preserve"> Décret n</w:t>
      </w:r>
      <w:r w:rsidRPr="003156E8">
        <w:rPr>
          <w:vertAlign w:val="superscript"/>
          <w:lang w:val="fr-FR"/>
        </w:rPr>
        <w:t>o</w:t>
      </w:r>
      <w:r w:rsidRPr="003156E8">
        <w:rPr>
          <w:lang w:val="fr-FR"/>
        </w:rPr>
        <w:t> 8 860 du 27 mars 2012</w:t>
      </w:r>
      <w:r w:rsidR="00244AED" w:rsidRPr="00244AED">
        <w:rPr>
          <w:lang w:val="fr-FR"/>
        </w:rPr>
        <w:t>.</w:t>
      </w:r>
    </w:p>
  </w:footnote>
  <w:footnote w:id="13">
    <w:p w14:paraId="38F2AFE5" w14:textId="3041167D" w:rsidR="00F30B21" w:rsidRPr="003156E8" w:rsidRDefault="00F30B21" w:rsidP="00F30B21">
      <w:pPr>
        <w:pStyle w:val="Notedebasdepage"/>
        <w:rPr>
          <w:rFonts w:eastAsia="Times New Roman"/>
          <w:color w:val="000000"/>
          <w:lang w:val="fr-FR"/>
        </w:rPr>
      </w:pPr>
      <w:r w:rsidRPr="003156E8">
        <w:rPr>
          <w:lang w:val="fr-FR"/>
        </w:rPr>
        <w:tab/>
      </w:r>
      <w:r w:rsidRPr="00F30B21">
        <w:rPr>
          <w:rStyle w:val="Appelnotedebasdep"/>
        </w:rPr>
        <w:footnoteRef/>
      </w:r>
      <w:r w:rsidRPr="003156E8">
        <w:rPr>
          <w:color w:val="000000"/>
          <w:lang w:val="fr-FR"/>
        </w:rPr>
        <w:tab/>
        <w:t>En 2016, l</w:t>
      </w:r>
      <w:r>
        <w:rPr>
          <w:color w:val="000000"/>
          <w:lang w:val="fr-FR"/>
        </w:rPr>
        <w:t>’</w:t>
      </w:r>
      <w:r w:rsidRPr="003156E8">
        <w:rPr>
          <w:color w:val="000000"/>
          <w:lang w:val="fr-FR"/>
        </w:rPr>
        <w:t>Assemblée nationale a intégré trois députés, au mépris de la décision rendue le 30 décembre 2015 par la chambre électorale de la Cour suprême, qui avait invalidé leur élection</w:t>
      </w:r>
      <w:r w:rsidR="00244AED" w:rsidRPr="00244AED">
        <w:rPr>
          <w:color w:val="000000"/>
          <w:lang w:val="fr-FR"/>
        </w:rPr>
        <w:t>.</w:t>
      </w:r>
      <w:r w:rsidRPr="003156E8">
        <w:rPr>
          <w:color w:val="000000"/>
          <w:lang w:val="fr-FR"/>
        </w:rPr>
        <w:t xml:space="preserve"> Depuis cette date, l</w:t>
      </w:r>
      <w:r>
        <w:rPr>
          <w:color w:val="000000"/>
          <w:lang w:val="fr-FR"/>
        </w:rPr>
        <w:t>’</w:t>
      </w:r>
      <w:r w:rsidRPr="003156E8">
        <w:rPr>
          <w:color w:val="000000"/>
          <w:lang w:val="fr-FR"/>
        </w:rPr>
        <w:t>Assemblée nationale a continué de faire fi des décisions de la Cour suprême de justice</w:t>
      </w:r>
      <w:r w:rsidR="00244AED" w:rsidRPr="00244AED">
        <w:rPr>
          <w:color w:val="000000"/>
          <w:lang w:val="fr-FR"/>
        </w:rPr>
        <w:t>.</w:t>
      </w:r>
      <w:r w:rsidRPr="003156E8">
        <w:rPr>
          <w:color w:val="000000"/>
          <w:lang w:val="fr-FR"/>
        </w:rPr>
        <w:t xml:space="preserve"> De ce fait, la chambre constitutionnelle de la Cour suprême de justice a déclaré inconstitutionnelles, donc non applicables et dépourvues de toute valeur juridique, toutes les décisions émanant de l</w:t>
      </w:r>
      <w:r>
        <w:rPr>
          <w:color w:val="000000"/>
          <w:lang w:val="fr-FR"/>
        </w:rPr>
        <w:t>’</w:t>
      </w:r>
      <w:r w:rsidRPr="003156E8">
        <w:rPr>
          <w:color w:val="000000"/>
          <w:lang w:val="fr-FR"/>
        </w:rPr>
        <w:t>Assemblée nationale, y compris les lois adoptées, tant que cette dernière ne respecterait pas les décisions de la chambre électorale de la Cour suprême de justice</w:t>
      </w:r>
      <w:r w:rsidR="00244AED" w:rsidRPr="00244AED">
        <w:rPr>
          <w:color w:val="000000"/>
          <w:lang w:val="fr-FR"/>
        </w:rPr>
        <w:t>.</w:t>
      </w:r>
    </w:p>
  </w:footnote>
  <w:footnote w:id="14">
    <w:p w14:paraId="5152A53A" w14:textId="7CD574A6"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68054B" w:rsidRPr="0068054B">
        <w:rPr>
          <w:rFonts w:eastAsia="MS Mincho"/>
          <w:color w:val="000000"/>
          <w:lang w:val="fr-FR"/>
        </w:rPr>
        <w:t xml:space="preserve">uméro </w:t>
      </w:r>
      <w:r w:rsidRPr="003156E8">
        <w:rPr>
          <w:lang w:val="fr-FR"/>
        </w:rPr>
        <w:t>spécial 6 118 du 4 décembre 2013</w:t>
      </w:r>
      <w:r w:rsidR="00244AED" w:rsidRPr="00244AED">
        <w:rPr>
          <w:lang w:val="fr-FR"/>
        </w:rPr>
        <w:t>.</w:t>
      </w:r>
    </w:p>
  </w:footnote>
  <w:footnote w:id="15">
    <w:p w14:paraId="6A999562" w14:textId="3A792257"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68054B" w:rsidRPr="00DC6BF9">
        <w:rPr>
          <w:rFonts w:eastAsia="MS Mincho"/>
          <w:color w:val="000000"/>
          <w:lang w:val="fr-FR"/>
        </w:rPr>
        <w:t>n</w:t>
      </w:r>
      <w:r w:rsidR="0068054B" w:rsidRPr="0068054B">
        <w:rPr>
          <w:rFonts w:eastAsia="MS Mincho"/>
          <w:color w:val="000000"/>
          <w:lang w:val="fr-FR"/>
        </w:rPr>
        <w:t xml:space="preserve">uméro </w:t>
      </w:r>
      <w:r w:rsidRPr="003156E8">
        <w:rPr>
          <w:lang w:val="fr-FR"/>
        </w:rPr>
        <w:t>spécial 6 446 du 8 avril 2019</w:t>
      </w:r>
      <w:r w:rsidR="00244AED" w:rsidRPr="00244AED">
        <w:rPr>
          <w:lang w:val="fr-FR"/>
        </w:rPr>
        <w:t>.</w:t>
      </w:r>
    </w:p>
  </w:footnote>
  <w:footnote w:id="16">
    <w:p w14:paraId="2104BF59" w14:textId="5D520303"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68054B" w:rsidRPr="00DC6BF9">
        <w:rPr>
          <w:rFonts w:eastAsia="MS Mincho"/>
          <w:color w:val="000000"/>
          <w:lang w:val="fr-FR"/>
        </w:rPr>
        <w:t>n</w:t>
      </w:r>
      <w:r w:rsidR="0068054B" w:rsidRPr="0068054B">
        <w:rPr>
          <w:rFonts w:eastAsia="MS Mincho"/>
          <w:color w:val="000000"/>
          <w:lang w:val="fr-FR"/>
        </w:rPr>
        <w:t xml:space="preserve">uméro </w:t>
      </w:r>
      <w:r w:rsidRPr="003156E8">
        <w:rPr>
          <w:lang w:val="fr-FR"/>
        </w:rPr>
        <w:t>spécial 6 218 du 2 mars 2016</w:t>
      </w:r>
      <w:r w:rsidR="00244AED" w:rsidRPr="00244AED">
        <w:rPr>
          <w:lang w:val="fr-FR"/>
        </w:rPr>
        <w:t>.</w:t>
      </w:r>
      <w:r w:rsidRPr="003156E8">
        <w:rPr>
          <w:lang w:val="fr-FR"/>
        </w:rPr>
        <w:t xml:space="preserv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2 254</w:t>
      </w:r>
      <w:r w:rsidR="00244AED" w:rsidRPr="00244AED">
        <w:rPr>
          <w:lang w:val="fr-FR"/>
        </w:rPr>
        <w:t>.</w:t>
      </w:r>
    </w:p>
  </w:footnote>
  <w:footnote w:id="17">
    <w:p w14:paraId="4E2D7EA4" w14:textId="7946F7D8"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Circulaire administrative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CD-001-2019 du 12 juillet 2019 relative à la procédure de mise en place des comités de lutte contre la discrimination raciale, publiée au Journal officiel de la République bolivarienne du Venezuela n</w:t>
      </w:r>
      <w:r w:rsidRPr="003156E8">
        <w:rPr>
          <w:vertAlign w:val="superscript"/>
          <w:lang w:val="fr-FR"/>
        </w:rPr>
        <w:t>o</w:t>
      </w:r>
      <w:r w:rsidRPr="003156E8">
        <w:rPr>
          <w:lang w:val="fr-FR"/>
        </w:rPr>
        <w:t> 41 701 du 23 août 2019</w:t>
      </w:r>
      <w:r w:rsidR="00244AED" w:rsidRPr="00244AED">
        <w:rPr>
          <w:lang w:val="fr-FR"/>
        </w:rPr>
        <w:t>.</w:t>
      </w:r>
      <w:r w:rsidRPr="003156E8">
        <w:rPr>
          <w:lang w:val="fr-FR"/>
        </w:rPr>
        <w:t xml:space="preserve"> </w:t>
      </w:r>
    </w:p>
  </w:footnote>
  <w:footnote w:id="18">
    <w:p w14:paraId="42603417" w14:textId="18C33A09"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Circulaire administrative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001-2018 du 17 juillet 2018 relative aux règles concernant l</w:t>
      </w:r>
      <w:r>
        <w:rPr>
          <w:lang w:val="fr-FR"/>
        </w:rPr>
        <w:t>’</w:t>
      </w:r>
      <w:r w:rsidRPr="003156E8">
        <w:rPr>
          <w:lang w:val="fr-FR"/>
        </w:rPr>
        <w:t>affichage d</w:t>
      </w:r>
      <w:r>
        <w:rPr>
          <w:lang w:val="fr-FR"/>
        </w:rPr>
        <w:t>’</w:t>
      </w:r>
      <w:r w:rsidRPr="003156E8">
        <w:rPr>
          <w:lang w:val="fr-FR"/>
        </w:rPr>
        <w:t>une pancarte indiquant que tout acte de discrimination raciale est interdit sur le territoire national, publiée au Journal officiel de la République bolivarienne du Venezuela n</w:t>
      </w:r>
      <w:r w:rsidRPr="003156E8">
        <w:rPr>
          <w:vertAlign w:val="superscript"/>
          <w:lang w:val="fr-FR"/>
        </w:rPr>
        <w:t>o</w:t>
      </w:r>
      <w:r w:rsidRPr="003156E8">
        <w:rPr>
          <w:lang w:val="fr-FR"/>
        </w:rPr>
        <w:t> 41 491 du 27 septembre 2018</w:t>
      </w:r>
      <w:r w:rsidR="00244AED" w:rsidRPr="00244AED">
        <w:rPr>
          <w:lang w:val="fr-FR"/>
        </w:rPr>
        <w:t>.</w:t>
      </w:r>
      <w:r w:rsidRPr="003156E8">
        <w:rPr>
          <w:lang w:val="fr-FR"/>
        </w:rPr>
        <w:t xml:space="preserve"> </w:t>
      </w:r>
    </w:p>
  </w:footnote>
  <w:footnote w:id="19">
    <w:p w14:paraId="7FBB4060" w14:textId="5FAA6599"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lang w:val="fr-FR"/>
        </w:rPr>
        <w:t>n</w:t>
      </w:r>
      <w:r w:rsidR="00DC6BF9" w:rsidRPr="00DC6BF9">
        <w:rPr>
          <w:rFonts w:eastAsia="MS Mincho"/>
          <w:vertAlign w:val="superscript"/>
          <w:lang w:val="fr-FR"/>
        </w:rPr>
        <w:t>o</w:t>
      </w:r>
      <w:r w:rsidR="00DC6BF9">
        <w:rPr>
          <w:lang w:val="fr-FR"/>
        </w:rPr>
        <w:t> </w:t>
      </w:r>
      <w:r w:rsidRPr="003156E8">
        <w:rPr>
          <w:lang w:val="fr-FR"/>
        </w:rPr>
        <w:t>41 276 du 10 novembre 2017</w:t>
      </w:r>
      <w:r w:rsidR="00244AED" w:rsidRPr="00244AED">
        <w:rPr>
          <w:lang w:val="fr-FR"/>
        </w:rPr>
        <w:t>.</w:t>
      </w:r>
    </w:p>
  </w:footnote>
  <w:footnote w:id="20">
    <w:p w14:paraId="4DA1A3E7" w14:textId="0DCC58B5"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41 069 du 6 janvier 2017</w:t>
      </w:r>
      <w:r w:rsidR="00244AED" w:rsidRPr="00244AED">
        <w:rPr>
          <w:lang w:val="fr-FR"/>
        </w:rPr>
        <w:t>.</w:t>
      </w:r>
      <w:r w:rsidRPr="003156E8">
        <w:rPr>
          <w:lang w:val="fr-FR"/>
        </w:rPr>
        <w:t xml:space="preserve"> </w:t>
      </w:r>
    </w:p>
  </w:footnote>
  <w:footnote w:id="21">
    <w:p w14:paraId="4D19A6AA" w14:textId="3DA9F833"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40 855 du 24 février 2016</w:t>
      </w:r>
      <w:r w:rsidR="00244AED" w:rsidRPr="00244AED">
        <w:rPr>
          <w:lang w:val="fr-FR"/>
        </w:rPr>
        <w:t>.</w:t>
      </w:r>
    </w:p>
  </w:footnote>
  <w:footnote w:id="22">
    <w:p w14:paraId="6C1BA81D" w14:textId="6984B490"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40 862 du 4 mars 2016</w:t>
      </w:r>
      <w:r w:rsidR="00244AED" w:rsidRPr="00244AED">
        <w:rPr>
          <w:lang w:val="fr-FR"/>
        </w:rPr>
        <w:t>.</w:t>
      </w:r>
    </w:p>
  </w:footnote>
  <w:footnote w:id="23">
    <w:p w14:paraId="7C0D5100" w14:textId="779566B1" w:rsidR="00F30B21" w:rsidRPr="003156E8" w:rsidRDefault="00F30B21" w:rsidP="00F30B21">
      <w:pPr>
        <w:pStyle w:val="Notedebasdepage"/>
        <w:rPr>
          <w:rFonts w:eastAsia="Times New Roman"/>
          <w:color w:val="000000"/>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41 023 du 3 novembre 2016</w:t>
      </w:r>
      <w:r w:rsidR="00244AED" w:rsidRPr="00244AED">
        <w:rPr>
          <w:lang w:val="fr-FR"/>
        </w:rPr>
        <w:t>.</w:t>
      </w:r>
      <w:r w:rsidRPr="003156E8">
        <w:rPr>
          <w:lang w:val="fr-FR"/>
        </w:rPr>
        <w:t xml:space="preserve"> Décret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2 531</w:t>
      </w:r>
      <w:r w:rsidR="00244AED" w:rsidRPr="00244AED">
        <w:rPr>
          <w:lang w:val="fr-FR"/>
        </w:rPr>
        <w:t>.</w:t>
      </w:r>
    </w:p>
  </w:footnote>
  <w:footnote w:id="24">
    <w:p w14:paraId="25E95F91" w14:textId="1EC783F6"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Journal officiel de la République bolivarienne du Venezuela n</w:t>
      </w:r>
      <w:r w:rsidRPr="003156E8">
        <w:rPr>
          <w:vertAlign w:val="superscript"/>
          <w:lang w:val="fr-FR"/>
        </w:rPr>
        <w:t>o</w:t>
      </w:r>
      <w:r w:rsidRPr="003156E8">
        <w:rPr>
          <w:lang w:val="fr-FR"/>
        </w:rPr>
        <w:t> 40 190 du 17 juin 2013</w:t>
      </w:r>
      <w:r w:rsidR="00244AED" w:rsidRPr="00244AED">
        <w:rPr>
          <w:lang w:val="fr-FR"/>
        </w:rPr>
        <w:t>.</w:t>
      </w:r>
    </w:p>
  </w:footnote>
  <w:footnote w:id="25">
    <w:p w14:paraId="05040D2E" w14:textId="0C35EC46"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68054B" w:rsidRPr="00DC6BF9">
        <w:rPr>
          <w:rFonts w:eastAsia="MS Mincho"/>
          <w:color w:val="000000"/>
          <w:lang w:val="fr-FR"/>
        </w:rPr>
        <w:t>n</w:t>
      </w:r>
      <w:r w:rsidR="0068054B" w:rsidRPr="0068054B">
        <w:rPr>
          <w:rFonts w:eastAsia="MS Mincho"/>
          <w:color w:val="000000"/>
          <w:lang w:val="fr-FR"/>
        </w:rPr>
        <w:t xml:space="preserve">uméro </w:t>
      </w:r>
      <w:r w:rsidRPr="003156E8">
        <w:rPr>
          <w:lang w:val="fr-FR"/>
        </w:rPr>
        <w:t>spécial 6 129 du 8 avril 2014</w:t>
      </w:r>
      <w:r w:rsidR="00244AED" w:rsidRPr="00244AED">
        <w:rPr>
          <w:lang w:val="fr-FR"/>
        </w:rPr>
        <w:t>.</w:t>
      </w:r>
    </w:p>
  </w:footnote>
  <w:footnote w:id="26">
    <w:p w14:paraId="077A467A" w14:textId="5B34CA23"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Résolution du Conseil national électoral n</w:t>
      </w:r>
      <w:r w:rsidRPr="003156E8">
        <w:rPr>
          <w:vertAlign w:val="superscript"/>
          <w:lang w:val="fr-FR"/>
        </w:rPr>
        <w:t>o</w:t>
      </w:r>
      <w:r w:rsidRPr="003156E8">
        <w:rPr>
          <w:lang w:val="fr-FR"/>
        </w:rPr>
        <w:t> 200630-0024 du 30 juin 2020</w:t>
      </w:r>
      <w:r w:rsidR="00244AED" w:rsidRPr="00244AED">
        <w:rPr>
          <w:lang w:val="fr-FR"/>
        </w:rPr>
        <w:t>.</w:t>
      </w:r>
    </w:p>
  </w:footnote>
  <w:footnote w:id="27">
    <w:p w14:paraId="78EE629A" w14:textId="59BFC848"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Décret n</w:t>
      </w:r>
      <w:r w:rsidRPr="003156E8">
        <w:rPr>
          <w:vertAlign w:val="superscript"/>
          <w:lang w:val="fr-FR"/>
        </w:rPr>
        <w:t>o</w:t>
      </w:r>
      <w:r w:rsidRPr="003156E8">
        <w:rPr>
          <w:lang w:val="fr-FR"/>
        </w:rPr>
        <w:t> 2019-5-5 du 15 mai 2019 relatif à la suspension des services aériens à destination ou en provenance du Venezuela</w:t>
      </w:r>
      <w:r w:rsidR="00244AED" w:rsidRPr="00244AED">
        <w:rPr>
          <w:lang w:val="fr-FR"/>
        </w:rPr>
        <w:t>.</w:t>
      </w:r>
      <w:r w:rsidRPr="003156E8">
        <w:rPr>
          <w:lang w:val="fr-FR"/>
        </w:rPr>
        <w:t xml:space="preserve"> Département des transports des États-Unis</w:t>
      </w:r>
      <w:r>
        <w:rPr>
          <w:lang w:val="fr-FR"/>
        </w:rPr>
        <w:t xml:space="preserve"> d’Amérique</w:t>
      </w:r>
      <w:r w:rsidR="00244AED" w:rsidRPr="00244AED">
        <w:rPr>
          <w:lang w:val="fr-FR"/>
        </w:rPr>
        <w:t>.</w:t>
      </w:r>
      <w:r w:rsidRPr="003156E8">
        <w:rPr>
          <w:lang w:val="fr-FR"/>
        </w:rPr>
        <w:t xml:space="preserve"> </w:t>
      </w:r>
    </w:p>
  </w:footnote>
  <w:footnote w:id="28">
    <w:p w14:paraId="6C499532" w14:textId="3D06650E"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L</w:t>
      </w:r>
      <w:r>
        <w:rPr>
          <w:lang w:val="fr-FR"/>
        </w:rPr>
        <w:t>’</w:t>
      </w:r>
      <w:r w:rsidRPr="003156E8">
        <w:rPr>
          <w:lang w:val="fr-FR"/>
        </w:rPr>
        <w:t>entreprise publique CONVIASA se charge du transport aérien des migrants inscrits au programme de retour au pays,</w:t>
      </w:r>
      <w:r w:rsidRPr="003156E8">
        <w:rPr>
          <w:i/>
          <w:iCs/>
          <w:lang w:val="fr-FR"/>
        </w:rPr>
        <w:t xml:space="preserve"> </w:t>
      </w:r>
      <w:r w:rsidRPr="003156E8">
        <w:rPr>
          <w:lang w:val="fr-FR"/>
        </w:rPr>
        <w:t>entre les territoires étrangers et le Venezuela</w:t>
      </w:r>
      <w:r w:rsidR="00244AED" w:rsidRPr="00244AED">
        <w:rPr>
          <w:lang w:val="fr-FR"/>
        </w:rPr>
        <w:t>.</w:t>
      </w:r>
      <w:r w:rsidRPr="003156E8">
        <w:rPr>
          <w:lang w:val="fr-FR"/>
        </w:rPr>
        <w:t xml:space="preserve"> Jusqu</w:t>
      </w:r>
      <w:r>
        <w:rPr>
          <w:lang w:val="fr-FR"/>
        </w:rPr>
        <w:t>’</w:t>
      </w:r>
      <w:r w:rsidRPr="003156E8">
        <w:rPr>
          <w:lang w:val="fr-FR"/>
        </w:rPr>
        <w:t>à février 2020, elle a assuré 97 vols, transportant gratuitement et volontairement 5 513 migrants vénézuéliens vers leur pays d</w:t>
      </w:r>
      <w:r>
        <w:rPr>
          <w:lang w:val="fr-FR"/>
        </w:rPr>
        <w:t>’</w:t>
      </w:r>
      <w:r w:rsidRPr="003156E8">
        <w:rPr>
          <w:lang w:val="fr-FR"/>
        </w:rPr>
        <w:t>origine</w:t>
      </w:r>
      <w:r w:rsidR="00244AED" w:rsidRPr="00244AED">
        <w:rPr>
          <w:lang w:val="fr-FR"/>
        </w:rPr>
        <w:t>.</w:t>
      </w:r>
    </w:p>
  </w:footnote>
  <w:footnote w:id="29">
    <w:p w14:paraId="5DED84B1" w14:textId="2606826D"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37 817 du 13 novembre 2003</w:t>
      </w:r>
      <w:r w:rsidR="00244AED" w:rsidRPr="00244AED">
        <w:rPr>
          <w:lang w:val="fr-FR"/>
        </w:rPr>
        <w:t>.</w:t>
      </w:r>
    </w:p>
  </w:footnote>
  <w:footnote w:id="30">
    <w:p w14:paraId="7C0858EF" w14:textId="6D4CA773" w:rsidR="00F30B21" w:rsidRPr="003156E8" w:rsidRDefault="00F30B21" w:rsidP="00F30B21">
      <w:pPr>
        <w:pStyle w:val="Notedebasdepage"/>
        <w:rPr>
          <w:rFonts w:eastAsia="Times New Roman"/>
          <w:lang w:val="fr-FR"/>
        </w:rPr>
      </w:pPr>
      <w:r w:rsidRPr="003156E8">
        <w:rPr>
          <w:lang w:val="fr-FR"/>
        </w:rPr>
        <w:tab/>
      </w:r>
      <w:r w:rsidRPr="00F30B21">
        <w:rPr>
          <w:rStyle w:val="Appelnotedebasdep"/>
        </w:rPr>
        <w:footnoteRef/>
      </w:r>
      <w:r w:rsidRPr="003156E8">
        <w:rPr>
          <w:lang w:val="fr-FR"/>
        </w:rPr>
        <w:tab/>
      </w:r>
      <w:r w:rsidRPr="003156E8">
        <w:rPr>
          <w:color w:val="000000"/>
          <w:lang w:val="fr-FR"/>
        </w:rPr>
        <w:t>Conclusions préliminaires de la Rapporteuse spéciale sur les effets négatifs des mesures coercitives unilatérales sur l</w:t>
      </w:r>
      <w:r>
        <w:rPr>
          <w:color w:val="000000"/>
          <w:lang w:val="fr-FR"/>
        </w:rPr>
        <w:t>’</w:t>
      </w:r>
      <w:r w:rsidRPr="003156E8">
        <w:rPr>
          <w:color w:val="000000"/>
          <w:lang w:val="fr-FR"/>
        </w:rPr>
        <w:t>exercice des droits de l</w:t>
      </w:r>
      <w:r>
        <w:rPr>
          <w:color w:val="000000"/>
          <w:lang w:val="fr-FR"/>
        </w:rPr>
        <w:t>’</w:t>
      </w:r>
      <w:r w:rsidRPr="003156E8">
        <w:rPr>
          <w:color w:val="000000"/>
          <w:lang w:val="fr-FR"/>
        </w:rPr>
        <w:t xml:space="preserve">homme à la suite de sa visite en République bolivarienne du Venezuela, 12 février 2021 : [traduction] « </w:t>
      </w:r>
      <w:r w:rsidRPr="003156E8">
        <w:rPr>
          <w:i/>
          <w:iCs/>
          <w:color w:val="000000"/>
          <w:lang w:val="fr-FR"/>
        </w:rPr>
        <w:t xml:space="preserve">La Rapporteuse spéciale fait également état de la hausse de la mortalité maternelle et </w:t>
      </w:r>
      <w:proofErr w:type="spellStart"/>
      <w:r w:rsidRPr="003156E8">
        <w:rPr>
          <w:i/>
          <w:iCs/>
          <w:color w:val="000000"/>
          <w:lang w:val="fr-FR"/>
        </w:rPr>
        <w:t>néonatale</w:t>
      </w:r>
      <w:proofErr w:type="spellEnd"/>
      <w:r w:rsidRPr="003156E8">
        <w:rPr>
          <w:i/>
          <w:iCs/>
          <w:color w:val="000000"/>
          <w:lang w:val="fr-FR"/>
        </w:rPr>
        <w:t xml:space="preserve"> rapportée depuis 2013 et de la légère amélioration de la situation observée en 2019 lorsque la coopération humanitaire avec le Fonds des Nations Unies pour l</w:t>
      </w:r>
      <w:r>
        <w:rPr>
          <w:i/>
          <w:iCs/>
          <w:color w:val="000000"/>
          <w:lang w:val="fr-FR"/>
        </w:rPr>
        <w:t>’</w:t>
      </w:r>
      <w:r w:rsidRPr="003156E8">
        <w:rPr>
          <w:i/>
          <w:iCs/>
          <w:color w:val="000000"/>
          <w:lang w:val="fr-FR"/>
        </w:rPr>
        <w:t>enfance, l</w:t>
      </w:r>
      <w:r>
        <w:rPr>
          <w:i/>
          <w:iCs/>
          <w:color w:val="000000"/>
          <w:lang w:val="fr-FR"/>
        </w:rPr>
        <w:t>’</w:t>
      </w:r>
      <w:r w:rsidRPr="003156E8">
        <w:rPr>
          <w:i/>
          <w:iCs/>
          <w:color w:val="000000"/>
          <w:lang w:val="fr-FR"/>
        </w:rPr>
        <w:t>Organisation panaméricaine de la santé, l</w:t>
      </w:r>
      <w:r>
        <w:rPr>
          <w:i/>
          <w:iCs/>
          <w:color w:val="000000"/>
          <w:lang w:val="fr-FR"/>
        </w:rPr>
        <w:t>’</w:t>
      </w:r>
      <w:r w:rsidRPr="003156E8">
        <w:rPr>
          <w:i/>
          <w:iCs/>
          <w:color w:val="000000"/>
          <w:lang w:val="fr-FR"/>
        </w:rPr>
        <w:t>église et d</w:t>
      </w:r>
      <w:r>
        <w:rPr>
          <w:i/>
          <w:iCs/>
          <w:color w:val="000000"/>
          <w:lang w:val="fr-FR"/>
        </w:rPr>
        <w:t>’</w:t>
      </w:r>
      <w:r w:rsidRPr="003156E8">
        <w:rPr>
          <w:i/>
          <w:iCs/>
          <w:color w:val="000000"/>
          <w:lang w:val="fr-FR"/>
        </w:rPr>
        <w:t>autres organisations humanitaires a débuté</w:t>
      </w:r>
      <w:r w:rsidR="00244AED" w:rsidRPr="00244AED">
        <w:rPr>
          <w:i/>
          <w:iCs/>
          <w:color w:val="000000"/>
          <w:lang w:val="fr-FR"/>
        </w:rPr>
        <w:t>.</w:t>
      </w:r>
      <w:r w:rsidRPr="003156E8">
        <w:rPr>
          <w:color w:val="000000"/>
          <w:lang w:val="fr-FR"/>
        </w:rPr>
        <w:t> »</w:t>
      </w:r>
      <w:r w:rsidR="00DC6BF9">
        <w:rPr>
          <w:color w:val="000000"/>
          <w:lang w:val="fr-FR"/>
        </w:rPr>
        <w:t>.</w:t>
      </w:r>
    </w:p>
  </w:footnote>
  <w:footnote w:id="31">
    <w:p w14:paraId="6748B279" w14:textId="6F53AC01" w:rsidR="00F30B21" w:rsidRPr="003156E8" w:rsidRDefault="00F30B21" w:rsidP="00F30B21">
      <w:pPr>
        <w:pStyle w:val="Notedebasdepage"/>
        <w:rPr>
          <w:color w:val="000000"/>
          <w:lang w:val="fr-FR"/>
        </w:rPr>
      </w:pPr>
      <w:r w:rsidRPr="003156E8">
        <w:rPr>
          <w:lang w:val="fr-FR"/>
        </w:rPr>
        <w:tab/>
      </w:r>
      <w:r w:rsidRPr="00F30B21">
        <w:rPr>
          <w:rStyle w:val="Appelnotedebasdep"/>
        </w:rPr>
        <w:footnoteRef/>
      </w:r>
      <w:r w:rsidRPr="003156E8">
        <w:rPr>
          <w:rFonts w:eastAsia="Times New Roman"/>
          <w:lang w:val="fr-FR"/>
        </w:rPr>
        <w:tab/>
        <w:t>La stratégie concertée comporte les axes suivants : a) amélioration des systèmes d</w:t>
      </w:r>
      <w:r>
        <w:rPr>
          <w:rFonts w:eastAsia="Times New Roman"/>
          <w:lang w:val="fr-FR"/>
        </w:rPr>
        <w:t>’</w:t>
      </w:r>
      <w:r w:rsidRPr="003156E8">
        <w:rPr>
          <w:rFonts w:eastAsia="Times New Roman"/>
          <w:lang w:val="fr-FR"/>
        </w:rPr>
        <w:t>information et d</w:t>
      </w:r>
      <w:r>
        <w:rPr>
          <w:rFonts w:eastAsia="Times New Roman"/>
          <w:lang w:val="fr-FR"/>
        </w:rPr>
        <w:t>’</w:t>
      </w:r>
      <w:r w:rsidRPr="003156E8">
        <w:rPr>
          <w:rFonts w:eastAsia="Times New Roman"/>
          <w:lang w:val="fr-FR"/>
        </w:rPr>
        <w:t xml:space="preserve">organisation ; b) renforcement du programme </w:t>
      </w:r>
      <w:proofErr w:type="spellStart"/>
      <w:r w:rsidRPr="003156E8">
        <w:rPr>
          <w:rFonts w:eastAsia="Times New Roman"/>
          <w:i/>
          <w:iCs/>
          <w:lang w:val="fr-FR"/>
        </w:rPr>
        <w:t>Ruta</w:t>
      </w:r>
      <w:proofErr w:type="spellEnd"/>
      <w:r w:rsidRPr="003156E8">
        <w:rPr>
          <w:rFonts w:eastAsia="Times New Roman"/>
          <w:i/>
          <w:iCs/>
          <w:lang w:val="fr-FR"/>
        </w:rPr>
        <w:t xml:space="preserve"> Materna</w:t>
      </w:r>
      <w:r w:rsidRPr="003156E8">
        <w:rPr>
          <w:rFonts w:eastAsia="Times New Roman"/>
          <w:lang w:val="fr-FR"/>
        </w:rPr>
        <w:t> ; c) locaux et ressources ; d)</w:t>
      </w:r>
      <w:r w:rsidR="00DC6BF9">
        <w:rPr>
          <w:rFonts w:eastAsia="Times New Roman"/>
          <w:lang w:val="fr-FR"/>
        </w:rPr>
        <w:t> </w:t>
      </w:r>
      <w:r w:rsidRPr="003156E8">
        <w:rPr>
          <w:rFonts w:eastAsia="Times New Roman"/>
          <w:lang w:val="fr-FR"/>
        </w:rPr>
        <w:t>amélioration de la santé sexuelle et procréative ; e) accès à des moyens de contraception sûrs en temps utile</w:t>
      </w:r>
      <w:r w:rsidR="00244AED" w:rsidRPr="00244AED">
        <w:rPr>
          <w:rFonts w:eastAsia="Times New Roman"/>
          <w:lang w:val="fr-FR"/>
        </w:rPr>
        <w:t>.</w:t>
      </w:r>
      <w:r w:rsidRPr="003156E8">
        <w:rPr>
          <w:rFonts w:eastAsia="Times New Roman"/>
          <w:lang w:val="fr-FR"/>
        </w:rPr>
        <w:t xml:space="preserve"> </w:t>
      </w:r>
    </w:p>
  </w:footnote>
  <w:footnote w:id="32">
    <w:p w14:paraId="6AF3AA4A" w14:textId="610B36BC"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68054B" w:rsidRPr="00DC6BF9">
        <w:rPr>
          <w:rFonts w:eastAsia="MS Mincho"/>
          <w:color w:val="000000"/>
          <w:lang w:val="fr-FR"/>
        </w:rPr>
        <w:t>n</w:t>
      </w:r>
      <w:r w:rsidR="0068054B" w:rsidRPr="0068054B">
        <w:rPr>
          <w:rFonts w:eastAsia="MS Mincho"/>
          <w:color w:val="000000"/>
          <w:lang w:val="fr-FR"/>
        </w:rPr>
        <w:t xml:space="preserve">uméro </w:t>
      </w:r>
      <w:r w:rsidRPr="003156E8">
        <w:rPr>
          <w:lang w:val="fr-FR"/>
        </w:rPr>
        <w:t>spécial 6 076 du 7 mai 2012</w:t>
      </w:r>
      <w:r w:rsidR="00244AED" w:rsidRPr="00244AED">
        <w:rPr>
          <w:lang w:val="fr-FR"/>
        </w:rPr>
        <w:t>.</w:t>
      </w:r>
    </w:p>
  </w:footnote>
  <w:footnote w:id="33">
    <w:p w14:paraId="20D8CD06" w14:textId="54F58874"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37 871 du 3 février 2004 portant règlement applicable à la régularisation et à la naturalisation des étrangers qui se trouvent sur le territoire national</w:t>
      </w:r>
      <w:r w:rsidR="00244AED" w:rsidRPr="00244AED">
        <w:rPr>
          <w:lang w:val="fr-FR"/>
        </w:rPr>
        <w:t>.</w:t>
      </w:r>
    </w:p>
  </w:footnote>
  <w:footnote w:id="34">
    <w:p w14:paraId="383E27A3" w14:textId="62E37414"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Journal officiel de la République bolivarienne du Venezuela n</w:t>
      </w:r>
      <w:r w:rsidRPr="003156E8">
        <w:rPr>
          <w:vertAlign w:val="superscript"/>
          <w:lang w:val="fr-FR"/>
        </w:rPr>
        <w:t>o</w:t>
      </w:r>
      <w:r w:rsidRPr="003156E8">
        <w:rPr>
          <w:lang w:val="fr-FR"/>
        </w:rPr>
        <w:t> 40 972 du 23 août</w:t>
      </w:r>
      <w:r>
        <w:rPr>
          <w:lang w:val="fr-FR"/>
        </w:rPr>
        <w:t xml:space="preserve"> </w:t>
      </w:r>
      <w:r w:rsidRPr="003156E8">
        <w:rPr>
          <w:lang w:val="fr-FR"/>
        </w:rPr>
        <w:t>2016</w:t>
      </w:r>
      <w:r w:rsidR="00244AED" w:rsidRPr="00244AED">
        <w:rPr>
          <w:lang w:val="fr-FR"/>
        </w:rPr>
        <w:t>.</w:t>
      </w:r>
    </w:p>
  </w:footnote>
  <w:footnote w:id="35">
    <w:p w14:paraId="4383647E" w14:textId="46F7E3E0"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Conclusions préliminaires de la Rapporteuse spéciale sur les effets négatifs des mesures coercitives unilatérales sur l</w:t>
      </w:r>
      <w:r>
        <w:rPr>
          <w:lang w:val="fr-FR"/>
        </w:rPr>
        <w:t>’</w:t>
      </w:r>
      <w:r w:rsidRPr="003156E8">
        <w:rPr>
          <w:lang w:val="fr-FR"/>
        </w:rPr>
        <w:t>exercice des droits de l</w:t>
      </w:r>
      <w:r>
        <w:rPr>
          <w:lang w:val="fr-FR"/>
        </w:rPr>
        <w:t>’</w:t>
      </w:r>
      <w:r w:rsidRPr="003156E8">
        <w:rPr>
          <w:lang w:val="fr-FR"/>
        </w:rPr>
        <w:t xml:space="preserve">homme à la suite de sa visite en République bolivarienne du Venezuela, 12 février 2021 : [traduction] </w:t>
      </w:r>
      <w:r w:rsidRPr="0068054B">
        <w:rPr>
          <w:lang w:val="fr-FR"/>
        </w:rPr>
        <w:t>«</w:t>
      </w:r>
      <w:r w:rsidRPr="003156E8">
        <w:rPr>
          <w:i/>
          <w:iCs/>
          <w:lang w:val="fr-FR"/>
        </w:rPr>
        <w:t> En dépit des révisions et augmentations périodiques des salaires au Venezuela, le salaire moyen dans le secteur public est de 2 à 3 dollars É</w:t>
      </w:r>
      <w:r w:rsidR="00244AED" w:rsidRPr="00244AED">
        <w:rPr>
          <w:i/>
          <w:iCs/>
          <w:lang w:val="fr-FR"/>
        </w:rPr>
        <w:t>.</w:t>
      </w:r>
      <w:r w:rsidRPr="003156E8">
        <w:rPr>
          <w:i/>
          <w:iCs/>
          <w:lang w:val="fr-FR"/>
        </w:rPr>
        <w:t>-U</w:t>
      </w:r>
      <w:r w:rsidR="00244AED" w:rsidRPr="00244AED">
        <w:rPr>
          <w:i/>
          <w:iCs/>
          <w:lang w:val="fr-FR"/>
        </w:rPr>
        <w:t>.</w:t>
      </w:r>
      <w:r w:rsidRPr="003156E8">
        <w:rPr>
          <w:i/>
          <w:iCs/>
          <w:lang w:val="fr-FR"/>
        </w:rPr>
        <w:t xml:space="preserve"> par mois, ce qui représente moins de 1 % du panier alimentaire de base et rend la population de plus en plus dépendante de l</w:t>
      </w:r>
      <w:r>
        <w:rPr>
          <w:i/>
          <w:iCs/>
          <w:lang w:val="fr-FR"/>
        </w:rPr>
        <w:t>’</w:t>
      </w:r>
      <w:r w:rsidRPr="003156E8">
        <w:rPr>
          <w:i/>
          <w:iCs/>
          <w:lang w:val="fr-FR"/>
        </w:rPr>
        <w:t>aide sociale du Gouvernement par l</w:t>
      </w:r>
      <w:r>
        <w:rPr>
          <w:i/>
          <w:iCs/>
          <w:lang w:val="fr-FR"/>
        </w:rPr>
        <w:t>’</w:t>
      </w:r>
      <w:r w:rsidRPr="003156E8">
        <w:rPr>
          <w:i/>
          <w:iCs/>
          <w:lang w:val="fr-FR"/>
        </w:rPr>
        <w:t>intermédiaire d</w:t>
      </w:r>
      <w:r>
        <w:rPr>
          <w:i/>
          <w:iCs/>
          <w:lang w:val="fr-FR"/>
        </w:rPr>
        <w:t>es</w:t>
      </w:r>
      <w:r w:rsidRPr="003156E8">
        <w:rPr>
          <w:i/>
          <w:iCs/>
          <w:lang w:val="fr-FR"/>
        </w:rPr>
        <w:t xml:space="preserve"> comité</w:t>
      </w:r>
      <w:r>
        <w:rPr>
          <w:i/>
          <w:iCs/>
          <w:lang w:val="fr-FR"/>
        </w:rPr>
        <w:t>s</w:t>
      </w:r>
      <w:r w:rsidRPr="003156E8">
        <w:rPr>
          <w:i/>
          <w:iCs/>
          <w:lang w:val="fr-FR"/>
        </w:rPr>
        <w:t xml:space="preserve"> loc</w:t>
      </w:r>
      <w:r>
        <w:rPr>
          <w:i/>
          <w:iCs/>
          <w:lang w:val="fr-FR"/>
        </w:rPr>
        <w:t>aux</w:t>
      </w:r>
      <w:r w:rsidRPr="003156E8">
        <w:rPr>
          <w:i/>
          <w:iCs/>
          <w:lang w:val="fr-FR"/>
        </w:rPr>
        <w:t xml:space="preserve"> d</w:t>
      </w:r>
      <w:r>
        <w:rPr>
          <w:i/>
          <w:iCs/>
          <w:lang w:val="fr-FR"/>
        </w:rPr>
        <w:t>’</w:t>
      </w:r>
      <w:r w:rsidRPr="003156E8">
        <w:rPr>
          <w:i/>
          <w:iCs/>
          <w:lang w:val="fr-FR"/>
        </w:rPr>
        <w:t>approvisionnement et de production (nourriture), de</w:t>
      </w:r>
      <w:r>
        <w:rPr>
          <w:i/>
          <w:iCs/>
          <w:lang w:val="fr-FR"/>
        </w:rPr>
        <w:t>s</w:t>
      </w:r>
      <w:r w:rsidRPr="003156E8">
        <w:rPr>
          <w:i/>
          <w:iCs/>
          <w:lang w:val="fr-FR"/>
        </w:rPr>
        <w:t xml:space="preserve"> transferts réguliers en espèces sur le « Carnet de la </w:t>
      </w:r>
      <w:proofErr w:type="spellStart"/>
      <w:r w:rsidRPr="003156E8">
        <w:rPr>
          <w:i/>
          <w:iCs/>
          <w:lang w:val="fr-FR"/>
        </w:rPr>
        <w:t>Patria</w:t>
      </w:r>
      <w:proofErr w:type="spellEnd"/>
      <w:r w:rsidRPr="003156E8">
        <w:rPr>
          <w:i/>
          <w:iCs/>
          <w:lang w:val="fr-FR"/>
        </w:rPr>
        <w:t> », de</w:t>
      </w:r>
      <w:r>
        <w:rPr>
          <w:i/>
          <w:iCs/>
          <w:lang w:val="fr-FR"/>
        </w:rPr>
        <w:t>s</w:t>
      </w:r>
      <w:r w:rsidRPr="003156E8">
        <w:rPr>
          <w:i/>
          <w:iCs/>
          <w:lang w:val="fr-FR"/>
        </w:rPr>
        <w:t xml:space="preserve"> nombreuses subventions versées aux agents de la fonction publique, ainsi que de l</w:t>
      </w:r>
      <w:r>
        <w:rPr>
          <w:i/>
          <w:iCs/>
          <w:lang w:val="fr-FR"/>
        </w:rPr>
        <w:t>’</w:t>
      </w:r>
      <w:r w:rsidRPr="003156E8">
        <w:rPr>
          <w:i/>
          <w:iCs/>
          <w:lang w:val="fr-FR"/>
        </w:rPr>
        <w:t>aide humanitaire étrangère</w:t>
      </w:r>
      <w:r w:rsidR="00244AED" w:rsidRPr="00244AED">
        <w:rPr>
          <w:i/>
          <w:iCs/>
          <w:lang w:val="fr-FR"/>
        </w:rPr>
        <w:t>.</w:t>
      </w:r>
      <w:r w:rsidRPr="003156E8">
        <w:rPr>
          <w:lang w:val="fr-FR"/>
        </w:rPr>
        <w:t xml:space="preserve"> </w:t>
      </w:r>
      <w:r w:rsidRPr="003156E8">
        <w:rPr>
          <w:i/>
          <w:iCs/>
          <w:lang w:val="fr-FR"/>
        </w:rPr>
        <w:t>La Rapporteuse spéciale note que cela entraîne une augmentation du taux de migration et favorise l</w:t>
      </w:r>
      <w:r>
        <w:rPr>
          <w:i/>
          <w:iCs/>
          <w:lang w:val="fr-FR"/>
        </w:rPr>
        <w:t>’</w:t>
      </w:r>
      <w:r w:rsidRPr="003156E8">
        <w:rPr>
          <w:i/>
          <w:iCs/>
          <w:lang w:val="fr-FR"/>
        </w:rPr>
        <w:t>économie souterraine, ce qui nuit en premier lieu aux spécialistes de haut niveau du secteur public, notamment aux médecins, infirmières, enseignants, professeurs d</w:t>
      </w:r>
      <w:r>
        <w:rPr>
          <w:i/>
          <w:iCs/>
          <w:lang w:val="fr-FR"/>
        </w:rPr>
        <w:t>’</w:t>
      </w:r>
      <w:r w:rsidRPr="003156E8">
        <w:rPr>
          <w:i/>
          <w:iCs/>
          <w:lang w:val="fr-FR"/>
        </w:rPr>
        <w:t>université, ingénieurs, policiers, juges, techniciens et bien d</w:t>
      </w:r>
      <w:r>
        <w:rPr>
          <w:i/>
          <w:iCs/>
          <w:lang w:val="fr-FR"/>
        </w:rPr>
        <w:t>’</w:t>
      </w:r>
      <w:r w:rsidRPr="003156E8">
        <w:rPr>
          <w:i/>
          <w:iCs/>
          <w:lang w:val="fr-FR"/>
        </w:rPr>
        <w:t>autres, en portant atteinte à leurs droits économiques, notamment leurs droits au travail, à un travail décent, à la sécurité sociale, y compris l</w:t>
      </w:r>
      <w:r>
        <w:rPr>
          <w:i/>
          <w:iCs/>
          <w:lang w:val="fr-FR"/>
        </w:rPr>
        <w:t>’</w:t>
      </w:r>
      <w:r w:rsidRPr="003156E8">
        <w:rPr>
          <w:i/>
          <w:iCs/>
          <w:lang w:val="fr-FR"/>
        </w:rPr>
        <w:t>assurance sociale, et à un niveau de vie suffisant</w:t>
      </w:r>
      <w:r w:rsidR="00244AED" w:rsidRPr="00244AED">
        <w:rPr>
          <w:i/>
          <w:iCs/>
          <w:lang w:val="fr-FR"/>
        </w:rPr>
        <w:t>.</w:t>
      </w:r>
      <w:r w:rsidRPr="003156E8">
        <w:rPr>
          <w:lang w:val="fr-FR"/>
        </w:rPr>
        <w:t xml:space="preserve"> </w:t>
      </w:r>
      <w:r w:rsidRPr="003156E8">
        <w:rPr>
          <w:i/>
          <w:iCs/>
          <w:lang w:val="fr-FR"/>
        </w:rPr>
        <w:t>Entre un tiers et la moitié du nombre de postes nécessaires pour assurer le fonctionnement normal des services publics serait vacant</w:t>
      </w:r>
      <w:r w:rsidR="0068054B">
        <w:rPr>
          <w:lang w:val="fr-FR"/>
        </w:rPr>
        <w:t>.</w:t>
      </w:r>
      <w:r w:rsidRPr="0068054B">
        <w:rPr>
          <w:lang w:val="fr-FR"/>
        </w:rPr>
        <w:t> »</w:t>
      </w:r>
      <w:r w:rsidR="00244AED" w:rsidRPr="00244AED">
        <w:rPr>
          <w:i/>
          <w:iCs/>
          <w:lang w:val="fr-FR"/>
        </w:rPr>
        <w:t>.</w:t>
      </w:r>
    </w:p>
  </w:footnote>
  <w:footnote w:id="36">
    <w:p w14:paraId="22B30C2B" w14:textId="78599AA6" w:rsidR="00F30B21" w:rsidRPr="003156E8" w:rsidRDefault="00F30B21" w:rsidP="00F30B21">
      <w:pPr>
        <w:pStyle w:val="Notedebasdepage"/>
        <w:rPr>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68054B" w:rsidRPr="00DC6BF9">
        <w:rPr>
          <w:rFonts w:eastAsia="MS Mincho"/>
          <w:color w:val="000000"/>
          <w:lang w:val="fr-FR"/>
        </w:rPr>
        <w:t>n</w:t>
      </w:r>
      <w:r w:rsidR="0068054B" w:rsidRPr="0068054B">
        <w:rPr>
          <w:rFonts w:eastAsia="MS Mincho"/>
          <w:color w:val="000000"/>
          <w:lang w:val="fr-FR"/>
        </w:rPr>
        <w:t xml:space="preserve">uméro </w:t>
      </w:r>
      <w:r w:rsidRPr="003156E8">
        <w:rPr>
          <w:lang w:val="fr-FR"/>
        </w:rPr>
        <w:t>spécial 6</w:t>
      </w:r>
      <w:r w:rsidR="00DC6BF9">
        <w:rPr>
          <w:lang w:val="fr-FR"/>
        </w:rPr>
        <w:t> </w:t>
      </w:r>
      <w:r w:rsidRPr="003156E8">
        <w:rPr>
          <w:lang w:val="fr-FR"/>
        </w:rPr>
        <w:t>446 du 8 avril 2019</w:t>
      </w:r>
      <w:r w:rsidR="00244AED" w:rsidRPr="00244AED">
        <w:rPr>
          <w:lang w:val="fr-FR"/>
        </w:rPr>
        <w:t>.</w:t>
      </w:r>
    </w:p>
  </w:footnote>
  <w:footnote w:id="37">
    <w:p w14:paraId="49E691A8" w14:textId="1F76F646" w:rsidR="00F30B21" w:rsidRPr="00401033" w:rsidRDefault="00F30B21" w:rsidP="00F30B21">
      <w:pPr>
        <w:pStyle w:val="Notedebasdepage"/>
        <w:rPr>
          <w:rFonts w:eastAsia="Times New Roman"/>
          <w:color w:val="000000"/>
          <w:lang w:val="fr-FR"/>
        </w:rPr>
      </w:pPr>
      <w:r w:rsidRPr="003156E8">
        <w:rPr>
          <w:lang w:val="fr-FR"/>
        </w:rPr>
        <w:tab/>
      </w:r>
      <w:r w:rsidRPr="00F30B21">
        <w:rPr>
          <w:rStyle w:val="Appelnotedebasdep"/>
        </w:rPr>
        <w:footnoteRef/>
      </w:r>
      <w:r w:rsidRPr="003156E8">
        <w:rPr>
          <w:lang w:val="fr-FR"/>
        </w:rPr>
        <w:tab/>
        <w:t xml:space="preserve">Journal officiel de la République bolivarienne du Venezuela </w:t>
      </w:r>
      <w:r w:rsidR="00DC6BF9" w:rsidRPr="00DC6BF9">
        <w:rPr>
          <w:rFonts w:eastAsia="MS Mincho"/>
          <w:color w:val="000000"/>
          <w:lang w:val="fr-FR"/>
        </w:rPr>
        <w:t>n</w:t>
      </w:r>
      <w:r w:rsidR="00DC6BF9" w:rsidRPr="00DC6BF9">
        <w:rPr>
          <w:rFonts w:eastAsia="MS Mincho"/>
          <w:color w:val="000000"/>
          <w:vertAlign w:val="superscript"/>
          <w:lang w:val="fr-FR"/>
        </w:rPr>
        <w:t>o</w:t>
      </w:r>
      <w:r w:rsidR="00DC6BF9">
        <w:rPr>
          <w:color w:val="000000"/>
          <w:lang w:val="fr-FR"/>
        </w:rPr>
        <w:t> </w:t>
      </w:r>
      <w:r w:rsidRPr="003156E8">
        <w:rPr>
          <w:lang w:val="fr-FR"/>
        </w:rPr>
        <w:t>40 405 du 6 mai 2014</w:t>
      </w:r>
      <w:r w:rsidR="00244AED" w:rsidRPr="00244AE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4A45" w14:textId="55139EE8" w:rsidR="0052543D" w:rsidRPr="0052543D" w:rsidRDefault="008B394C">
    <w:pPr>
      <w:pStyle w:val="En-tte"/>
    </w:pPr>
    <w:r>
      <w:fldChar w:fldCharType="begin"/>
    </w:r>
    <w:r>
      <w:instrText xml:space="preserve"> TITLE  \* MERGEFORMAT </w:instrText>
    </w:r>
    <w:r>
      <w:fldChar w:fldCharType="separate"/>
    </w:r>
    <w:r>
      <w:t>CERD/C/VEN/22-24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ED08" w14:textId="374C2605" w:rsidR="0052543D" w:rsidRPr="0052543D" w:rsidRDefault="008B394C" w:rsidP="0052543D">
    <w:pPr>
      <w:pStyle w:val="En-tte"/>
      <w:jc w:val="right"/>
    </w:pPr>
    <w:r>
      <w:fldChar w:fldCharType="begin"/>
    </w:r>
    <w:r>
      <w:instrText xml:space="preserve"> TITLE  \* MERGEFORMAT </w:instrText>
    </w:r>
    <w:r>
      <w:fldChar w:fldCharType="separate"/>
    </w:r>
    <w:r>
      <w:t>CERD/C/VEN/22-24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14D96"/>
    <w:multiLevelType w:val="multilevel"/>
    <w:tmpl w:val="4D5077E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70787C"/>
    <w:multiLevelType w:val="hybridMultilevel"/>
    <w:tmpl w:val="379A7862"/>
    <w:lvl w:ilvl="0" w:tplc="4E209C7A">
      <w:start w:val="1"/>
      <w:numFmt w:val="decimal"/>
      <w:lvlText w:val="%1."/>
      <w:lvlJc w:val="left"/>
      <w:pPr>
        <w:ind w:left="786" w:hanging="360"/>
      </w:pPr>
      <w:rPr>
        <w:b/>
        <w:bCs/>
        <w:color w:val="auto"/>
      </w:rPr>
    </w:lvl>
    <w:lvl w:ilvl="1" w:tplc="3264B682">
      <w:start w:val="1"/>
      <w:numFmt w:val="lowerLetter"/>
      <w:lvlText w:val="%2)"/>
      <w:lvlJc w:val="left"/>
      <w:pPr>
        <w:ind w:left="1500" w:hanging="420"/>
      </w:pPr>
      <w:rPr>
        <w:rFonts w:hint="default"/>
      </w:rPr>
    </w:lvl>
    <w:lvl w:ilvl="2" w:tplc="AB6E1CD4">
      <w:start w:val="191"/>
      <w:numFmt w:val="bullet"/>
      <w:lvlText w:val="•"/>
      <w:lvlJc w:val="left"/>
      <w:pPr>
        <w:ind w:left="2400" w:hanging="420"/>
      </w:pPr>
      <w:rPr>
        <w:rFonts w:ascii="Arial" w:eastAsia="WenQuanYi Micro He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8BD7CCE"/>
    <w:multiLevelType w:val="hybridMultilevel"/>
    <w:tmpl w:val="F0B609C2"/>
    <w:lvl w:ilvl="0" w:tplc="9C341204">
      <w:start w:val="1"/>
      <w:numFmt w:val="decimal"/>
      <w:lvlText w:val="%1."/>
      <w:lvlJc w:val="left"/>
      <w:pPr>
        <w:ind w:left="1854" w:hanging="360"/>
      </w:pPr>
      <w:rPr>
        <w:rFonts w:ascii="Times New Roman" w:eastAsiaTheme="minorHAnsi" w:hAnsi="Times New Roman" w:cs="Times New Roman"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D64724"/>
    <w:multiLevelType w:val="hybridMultilevel"/>
    <w:tmpl w:val="000416C2"/>
    <w:lvl w:ilvl="0" w:tplc="0F3AA338">
      <w:start w:val="1"/>
      <w:numFmt w:val="decimal"/>
      <w:lvlText w:val="%1."/>
      <w:lvlJc w:val="left"/>
      <w:pPr>
        <w:tabs>
          <w:tab w:val="num" w:pos="72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11604C"/>
    <w:multiLevelType w:val="hybridMultilevel"/>
    <w:tmpl w:val="24EE22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CA10458"/>
    <w:multiLevelType w:val="hybridMultilevel"/>
    <w:tmpl w:val="5A54A678"/>
    <w:lvl w:ilvl="0" w:tplc="B9CA22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4B7BAF"/>
    <w:multiLevelType w:val="hybridMultilevel"/>
    <w:tmpl w:val="6C36C8D0"/>
    <w:lvl w:ilvl="0" w:tplc="4E209C7A">
      <w:start w:val="1"/>
      <w:numFmt w:val="decimal"/>
      <w:lvlText w:val="%1."/>
      <w:lvlJc w:val="left"/>
      <w:pPr>
        <w:ind w:left="786" w:hanging="360"/>
      </w:pPr>
      <w:rPr>
        <w:b/>
        <w:bCs/>
        <w:color w:val="auto"/>
      </w:rPr>
    </w:lvl>
    <w:lvl w:ilvl="1" w:tplc="3264B682">
      <w:start w:val="1"/>
      <w:numFmt w:val="lowerLetter"/>
      <w:lvlText w:val="%2)"/>
      <w:lvlJc w:val="left"/>
      <w:pPr>
        <w:ind w:left="1500" w:hanging="420"/>
      </w:pPr>
      <w:rPr>
        <w:rFonts w:hint="default"/>
      </w:rPr>
    </w:lvl>
    <w:lvl w:ilvl="2" w:tplc="AB6E1CD4">
      <w:start w:val="191"/>
      <w:numFmt w:val="bullet"/>
      <w:lvlText w:val="•"/>
      <w:lvlJc w:val="left"/>
      <w:pPr>
        <w:ind w:left="2400" w:hanging="420"/>
      </w:pPr>
      <w:rPr>
        <w:rFonts w:ascii="Arial" w:eastAsia="WenQuanYi Micro He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A7743B"/>
    <w:multiLevelType w:val="hybridMultilevel"/>
    <w:tmpl w:val="165289D8"/>
    <w:lvl w:ilvl="0" w:tplc="2B4ED1C2">
      <w:start w:val="1"/>
      <w:numFmt w:val="bullet"/>
      <w:lvlText w:val="•"/>
      <w:lvlJc w:val="left"/>
      <w:pPr>
        <w:tabs>
          <w:tab w:val="num" w:pos="2268"/>
        </w:tabs>
        <w:ind w:left="2268" w:hanging="170"/>
      </w:pPr>
      <w:rPr>
        <w:rFonts w:ascii="Times New Roman" w:hAnsi="Times New Roman" w:cs="Times New Roman" w:hint="default"/>
      </w:rPr>
    </w:lvl>
    <w:lvl w:ilvl="1" w:tplc="A16890E8" w:tentative="1">
      <w:start w:val="1"/>
      <w:numFmt w:val="bullet"/>
      <w:lvlText w:val="o"/>
      <w:lvlJc w:val="left"/>
      <w:pPr>
        <w:tabs>
          <w:tab w:val="num" w:pos="1440"/>
        </w:tabs>
        <w:ind w:left="1440" w:hanging="360"/>
      </w:pPr>
      <w:rPr>
        <w:rFonts w:ascii="Courier New" w:hAnsi="Courier New" w:hint="default"/>
      </w:rPr>
    </w:lvl>
    <w:lvl w:ilvl="2" w:tplc="B81A3BF4" w:tentative="1">
      <w:start w:val="1"/>
      <w:numFmt w:val="bullet"/>
      <w:lvlText w:val=""/>
      <w:lvlJc w:val="left"/>
      <w:pPr>
        <w:tabs>
          <w:tab w:val="num" w:pos="2160"/>
        </w:tabs>
        <w:ind w:left="2160" w:hanging="360"/>
      </w:pPr>
      <w:rPr>
        <w:rFonts w:ascii="Wingdings" w:hAnsi="Wingdings" w:hint="default"/>
      </w:rPr>
    </w:lvl>
    <w:lvl w:ilvl="3" w:tplc="5AA01C6A" w:tentative="1">
      <w:start w:val="1"/>
      <w:numFmt w:val="bullet"/>
      <w:lvlText w:val=""/>
      <w:lvlJc w:val="left"/>
      <w:pPr>
        <w:tabs>
          <w:tab w:val="num" w:pos="2880"/>
        </w:tabs>
        <w:ind w:left="2880" w:hanging="360"/>
      </w:pPr>
      <w:rPr>
        <w:rFonts w:ascii="Symbol" w:hAnsi="Symbol" w:hint="default"/>
      </w:rPr>
    </w:lvl>
    <w:lvl w:ilvl="4" w:tplc="91B422B8" w:tentative="1">
      <w:start w:val="1"/>
      <w:numFmt w:val="bullet"/>
      <w:lvlText w:val="o"/>
      <w:lvlJc w:val="left"/>
      <w:pPr>
        <w:tabs>
          <w:tab w:val="num" w:pos="3600"/>
        </w:tabs>
        <w:ind w:left="3600" w:hanging="360"/>
      </w:pPr>
      <w:rPr>
        <w:rFonts w:ascii="Courier New" w:hAnsi="Courier New" w:hint="default"/>
      </w:rPr>
    </w:lvl>
    <w:lvl w:ilvl="5" w:tplc="5F42FF96" w:tentative="1">
      <w:start w:val="1"/>
      <w:numFmt w:val="bullet"/>
      <w:lvlText w:val=""/>
      <w:lvlJc w:val="left"/>
      <w:pPr>
        <w:tabs>
          <w:tab w:val="num" w:pos="4320"/>
        </w:tabs>
        <w:ind w:left="4320" w:hanging="360"/>
      </w:pPr>
      <w:rPr>
        <w:rFonts w:ascii="Wingdings" w:hAnsi="Wingdings" w:hint="default"/>
      </w:rPr>
    </w:lvl>
    <w:lvl w:ilvl="6" w:tplc="BA3C1100" w:tentative="1">
      <w:start w:val="1"/>
      <w:numFmt w:val="bullet"/>
      <w:lvlText w:val=""/>
      <w:lvlJc w:val="left"/>
      <w:pPr>
        <w:tabs>
          <w:tab w:val="num" w:pos="5040"/>
        </w:tabs>
        <w:ind w:left="5040" w:hanging="360"/>
      </w:pPr>
      <w:rPr>
        <w:rFonts w:ascii="Symbol" w:hAnsi="Symbol" w:hint="default"/>
      </w:rPr>
    </w:lvl>
    <w:lvl w:ilvl="7" w:tplc="704A3C22" w:tentative="1">
      <w:start w:val="1"/>
      <w:numFmt w:val="bullet"/>
      <w:lvlText w:val="o"/>
      <w:lvlJc w:val="left"/>
      <w:pPr>
        <w:tabs>
          <w:tab w:val="num" w:pos="5760"/>
        </w:tabs>
        <w:ind w:left="5760" w:hanging="360"/>
      </w:pPr>
      <w:rPr>
        <w:rFonts w:ascii="Courier New" w:hAnsi="Courier New" w:hint="default"/>
      </w:rPr>
    </w:lvl>
    <w:lvl w:ilvl="8" w:tplc="5AAC0A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2550A8F"/>
    <w:multiLevelType w:val="hybridMultilevel"/>
    <w:tmpl w:val="D034FC6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74369"/>
    <w:multiLevelType w:val="hybridMultilevel"/>
    <w:tmpl w:val="CE7C0B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A2C05330">
      <w:start w:val="1"/>
      <w:numFmt w:val="bullet"/>
      <w:lvlText w:val="•"/>
      <w:lvlJc w:val="left"/>
      <w:pPr>
        <w:tabs>
          <w:tab w:val="num" w:pos="1701"/>
        </w:tabs>
        <w:ind w:left="1701" w:hanging="170"/>
      </w:pPr>
      <w:rPr>
        <w:rFonts w:ascii="Times New Roman" w:hAnsi="Times New Roman" w:cs="Times New Roman" w:hint="default"/>
      </w:rPr>
    </w:lvl>
    <w:lvl w:ilvl="1" w:tplc="AFE8F482" w:tentative="1">
      <w:start w:val="1"/>
      <w:numFmt w:val="bullet"/>
      <w:lvlText w:val="o"/>
      <w:lvlJc w:val="left"/>
      <w:pPr>
        <w:tabs>
          <w:tab w:val="num" w:pos="1440"/>
        </w:tabs>
        <w:ind w:left="1440" w:hanging="360"/>
      </w:pPr>
      <w:rPr>
        <w:rFonts w:ascii="Courier New" w:hAnsi="Courier New" w:hint="default"/>
      </w:rPr>
    </w:lvl>
    <w:lvl w:ilvl="2" w:tplc="BA5ABDC6" w:tentative="1">
      <w:start w:val="1"/>
      <w:numFmt w:val="bullet"/>
      <w:lvlText w:val=""/>
      <w:lvlJc w:val="left"/>
      <w:pPr>
        <w:tabs>
          <w:tab w:val="num" w:pos="2160"/>
        </w:tabs>
        <w:ind w:left="2160" w:hanging="360"/>
      </w:pPr>
      <w:rPr>
        <w:rFonts w:ascii="Wingdings" w:hAnsi="Wingdings" w:hint="default"/>
      </w:rPr>
    </w:lvl>
    <w:lvl w:ilvl="3" w:tplc="01A6B8FC" w:tentative="1">
      <w:start w:val="1"/>
      <w:numFmt w:val="bullet"/>
      <w:lvlText w:val=""/>
      <w:lvlJc w:val="left"/>
      <w:pPr>
        <w:tabs>
          <w:tab w:val="num" w:pos="2880"/>
        </w:tabs>
        <w:ind w:left="2880" w:hanging="360"/>
      </w:pPr>
      <w:rPr>
        <w:rFonts w:ascii="Symbol" w:hAnsi="Symbol" w:hint="default"/>
      </w:rPr>
    </w:lvl>
    <w:lvl w:ilvl="4" w:tplc="159AF43E" w:tentative="1">
      <w:start w:val="1"/>
      <w:numFmt w:val="bullet"/>
      <w:lvlText w:val="o"/>
      <w:lvlJc w:val="left"/>
      <w:pPr>
        <w:tabs>
          <w:tab w:val="num" w:pos="3600"/>
        </w:tabs>
        <w:ind w:left="3600" w:hanging="360"/>
      </w:pPr>
      <w:rPr>
        <w:rFonts w:ascii="Courier New" w:hAnsi="Courier New" w:hint="default"/>
      </w:rPr>
    </w:lvl>
    <w:lvl w:ilvl="5" w:tplc="7A6E2F1C" w:tentative="1">
      <w:start w:val="1"/>
      <w:numFmt w:val="bullet"/>
      <w:lvlText w:val=""/>
      <w:lvlJc w:val="left"/>
      <w:pPr>
        <w:tabs>
          <w:tab w:val="num" w:pos="4320"/>
        </w:tabs>
        <w:ind w:left="4320" w:hanging="360"/>
      </w:pPr>
      <w:rPr>
        <w:rFonts w:ascii="Wingdings" w:hAnsi="Wingdings" w:hint="default"/>
      </w:rPr>
    </w:lvl>
    <w:lvl w:ilvl="6" w:tplc="A48E80EC" w:tentative="1">
      <w:start w:val="1"/>
      <w:numFmt w:val="bullet"/>
      <w:lvlText w:val=""/>
      <w:lvlJc w:val="left"/>
      <w:pPr>
        <w:tabs>
          <w:tab w:val="num" w:pos="5040"/>
        </w:tabs>
        <w:ind w:left="5040" w:hanging="360"/>
      </w:pPr>
      <w:rPr>
        <w:rFonts w:ascii="Symbol" w:hAnsi="Symbol" w:hint="default"/>
      </w:rPr>
    </w:lvl>
    <w:lvl w:ilvl="7" w:tplc="400C7418" w:tentative="1">
      <w:start w:val="1"/>
      <w:numFmt w:val="bullet"/>
      <w:lvlText w:val="o"/>
      <w:lvlJc w:val="left"/>
      <w:pPr>
        <w:tabs>
          <w:tab w:val="num" w:pos="5760"/>
        </w:tabs>
        <w:ind w:left="5760" w:hanging="360"/>
      </w:pPr>
      <w:rPr>
        <w:rFonts w:ascii="Courier New" w:hAnsi="Courier New" w:hint="default"/>
      </w:rPr>
    </w:lvl>
    <w:lvl w:ilvl="8" w:tplc="1666CE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B43E4B"/>
    <w:multiLevelType w:val="hybridMultilevel"/>
    <w:tmpl w:val="1D745FB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3"/>
  </w:num>
  <w:num w:numId="17">
    <w:abstractNumId w:val="27"/>
  </w:num>
  <w:num w:numId="18">
    <w:abstractNumId w:val="25"/>
  </w:num>
  <w:num w:numId="19">
    <w:abstractNumId w:val="22"/>
  </w:num>
  <w:num w:numId="20">
    <w:abstractNumId w:val="24"/>
  </w:num>
  <w:num w:numId="21">
    <w:abstractNumId w:val="18"/>
  </w:num>
  <w:num w:numId="22">
    <w:abstractNumId w:val="11"/>
  </w:num>
  <w:num w:numId="23">
    <w:abstractNumId w:val="14"/>
  </w:num>
  <w:num w:numId="24">
    <w:abstractNumId w:val="16"/>
  </w:num>
  <w:num w:numId="25">
    <w:abstractNumId w:val="21"/>
  </w:num>
  <w:num w:numId="26">
    <w:abstractNumId w:val="10"/>
  </w:num>
  <w:num w:numId="27">
    <w:abstractNumId w:val="17"/>
  </w:num>
  <w:num w:numId="28">
    <w:abstractNumId w:val="20"/>
  </w:num>
  <w:num w:numId="29">
    <w:abstractNumId w:val="12"/>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6B"/>
    <w:rsid w:val="00012E95"/>
    <w:rsid w:val="00016C57"/>
    <w:rsid w:val="00017F94"/>
    <w:rsid w:val="00023842"/>
    <w:rsid w:val="000334F9"/>
    <w:rsid w:val="0007796D"/>
    <w:rsid w:val="000B7790"/>
    <w:rsid w:val="000C4780"/>
    <w:rsid w:val="00104B5F"/>
    <w:rsid w:val="00111F2F"/>
    <w:rsid w:val="0014270C"/>
    <w:rsid w:val="0014365E"/>
    <w:rsid w:val="00176178"/>
    <w:rsid w:val="001F525A"/>
    <w:rsid w:val="00215BEC"/>
    <w:rsid w:val="00223272"/>
    <w:rsid w:val="00244AED"/>
    <w:rsid w:val="0024779E"/>
    <w:rsid w:val="00262657"/>
    <w:rsid w:val="002C3A0F"/>
    <w:rsid w:val="0030329D"/>
    <w:rsid w:val="00323E93"/>
    <w:rsid w:val="0033235A"/>
    <w:rsid w:val="003E18C1"/>
    <w:rsid w:val="003F4150"/>
    <w:rsid w:val="00446FE5"/>
    <w:rsid w:val="00452396"/>
    <w:rsid w:val="0045366B"/>
    <w:rsid w:val="004621CF"/>
    <w:rsid w:val="004C0C33"/>
    <w:rsid w:val="004F094E"/>
    <w:rsid w:val="0052543D"/>
    <w:rsid w:val="005505B7"/>
    <w:rsid w:val="00573BE5"/>
    <w:rsid w:val="00586ED3"/>
    <w:rsid w:val="00596AA9"/>
    <w:rsid w:val="005C78F8"/>
    <w:rsid w:val="005E1D85"/>
    <w:rsid w:val="00623CA8"/>
    <w:rsid w:val="00634F0C"/>
    <w:rsid w:val="0068054B"/>
    <w:rsid w:val="006E0451"/>
    <w:rsid w:val="00712E6E"/>
    <w:rsid w:val="0071601D"/>
    <w:rsid w:val="00780585"/>
    <w:rsid w:val="00783E9F"/>
    <w:rsid w:val="007A5301"/>
    <w:rsid w:val="007A62E6"/>
    <w:rsid w:val="007D2BB4"/>
    <w:rsid w:val="0080684C"/>
    <w:rsid w:val="00871C75"/>
    <w:rsid w:val="008776DC"/>
    <w:rsid w:val="008B394C"/>
    <w:rsid w:val="008C5EE8"/>
    <w:rsid w:val="0091171D"/>
    <w:rsid w:val="009705C8"/>
    <w:rsid w:val="00984B29"/>
    <w:rsid w:val="009D5F1A"/>
    <w:rsid w:val="00A03F7A"/>
    <w:rsid w:val="00A30353"/>
    <w:rsid w:val="00A92AEA"/>
    <w:rsid w:val="00AC3823"/>
    <w:rsid w:val="00AE323C"/>
    <w:rsid w:val="00B00181"/>
    <w:rsid w:val="00B044C9"/>
    <w:rsid w:val="00B12003"/>
    <w:rsid w:val="00B765F7"/>
    <w:rsid w:val="00BA0CA9"/>
    <w:rsid w:val="00BB0B66"/>
    <w:rsid w:val="00BB19C3"/>
    <w:rsid w:val="00BB33CD"/>
    <w:rsid w:val="00BC7455"/>
    <w:rsid w:val="00C02897"/>
    <w:rsid w:val="00C87EE9"/>
    <w:rsid w:val="00CC0F0F"/>
    <w:rsid w:val="00D3439C"/>
    <w:rsid w:val="00DB1831"/>
    <w:rsid w:val="00DC0149"/>
    <w:rsid w:val="00DC6BF9"/>
    <w:rsid w:val="00DD3BFD"/>
    <w:rsid w:val="00DF6678"/>
    <w:rsid w:val="00EE6B30"/>
    <w:rsid w:val="00F30B2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8988A"/>
  <w15:docId w15:val="{704A5FAC-5577-4E94-A534-9701F2E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uiPriority w:val="9"/>
    <w:qFormat/>
    <w:rsid w:val="004F094E"/>
    <w:pPr>
      <w:keepNext/>
      <w:keepLines/>
      <w:numPr>
        <w:numId w:val="19"/>
      </w:numPr>
      <w:spacing w:after="0" w:line="240" w:lineRule="auto"/>
      <w:ind w:right="0"/>
      <w:jc w:val="left"/>
      <w:outlineLvl w:val="0"/>
    </w:pPr>
  </w:style>
  <w:style w:type="paragraph" w:styleId="Titre2">
    <w:name w:val="heading 2"/>
    <w:basedOn w:val="Normal"/>
    <w:next w:val="Normal"/>
    <w:link w:val="Titre2Car"/>
    <w:uiPriority w:val="9"/>
    <w:semiHidden/>
    <w:qFormat/>
    <w:rsid w:val="00023842"/>
    <w:pPr>
      <w:numPr>
        <w:ilvl w:val="1"/>
        <w:numId w:val="19"/>
      </w:numPr>
      <w:outlineLvl w:val="1"/>
    </w:pPr>
  </w:style>
  <w:style w:type="paragraph" w:styleId="Titre3">
    <w:name w:val="heading 3"/>
    <w:basedOn w:val="Normal"/>
    <w:next w:val="Normal"/>
    <w:link w:val="Titre3Car"/>
    <w:uiPriority w:val="9"/>
    <w:semiHidden/>
    <w:qFormat/>
    <w:rsid w:val="00023842"/>
    <w:pPr>
      <w:numPr>
        <w:ilvl w:val="2"/>
        <w:numId w:val="19"/>
      </w:numPr>
      <w:outlineLvl w:val="2"/>
    </w:pPr>
  </w:style>
  <w:style w:type="paragraph" w:styleId="Titre4">
    <w:name w:val="heading 4"/>
    <w:basedOn w:val="Normal"/>
    <w:next w:val="Normal"/>
    <w:link w:val="Titre4Car"/>
    <w:uiPriority w:val="9"/>
    <w:semiHidden/>
    <w:qFormat/>
    <w:rsid w:val="00023842"/>
    <w:pPr>
      <w:numPr>
        <w:ilvl w:val="3"/>
        <w:numId w:val="19"/>
      </w:numPr>
      <w:outlineLvl w:val="3"/>
    </w:pPr>
  </w:style>
  <w:style w:type="paragraph" w:styleId="Titre5">
    <w:name w:val="heading 5"/>
    <w:basedOn w:val="Normal"/>
    <w:next w:val="Normal"/>
    <w:link w:val="Titre5Car"/>
    <w:uiPriority w:val="9"/>
    <w:semiHidden/>
    <w:qFormat/>
    <w:rsid w:val="00023842"/>
    <w:pPr>
      <w:numPr>
        <w:ilvl w:val="4"/>
        <w:numId w:val="19"/>
      </w:numPr>
      <w:outlineLvl w:val="4"/>
    </w:pPr>
  </w:style>
  <w:style w:type="paragraph" w:styleId="Titre6">
    <w:name w:val="heading 6"/>
    <w:basedOn w:val="Normal"/>
    <w:next w:val="Normal"/>
    <w:link w:val="Titre6Car"/>
    <w:uiPriority w:val="9"/>
    <w:semiHidden/>
    <w:qFormat/>
    <w:rsid w:val="00023842"/>
    <w:pPr>
      <w:numPr>
        <w:ilvl w:val="5"/>
        <w:numId w:val="19"/>
      </w:numPr>
      <w:outlineLvl w:val="5"/>
    </w:pPr>
  </w:style>
  <w:style w:type="paragraph" w:styleId="Titre7">
    <w:name w:val="heading 7"/>
    <w:basedOn w:val="Normal"/>
    <w:next w:val="Normal"/>
    <w:link w:val="Titre7Car"/>
    <w:uiPriority w:val="9"/>
    <w:semiHidden/>
    <w:qFormat/>
    <w:rsid w:val="00023842"/>
    <w:pPr>
      <w:numPr>
        <w:ilvl w:val="6"/>
        <w:numId w:val="19"/>
      </w:numPr>
      <w:outlineLvl w:val="6"/>
    </w:pPr>
  </w:style>
  <w:style w:type="paragraph" w:styleId="Titre8">
    <w:name w:val="heading 8"/>
    <w:basedOn w:val="Normal"/>
    <w:next w:val="Normal"/>
    <w:link w:val="Titre8Car"/>
    <w:uiPriority w:val="9"/>
    <w:semiHidden/>
    <w:qFormat/>
    <w:rsid w:val="00023842"/>
    <w:pPr>
      <w:numPr>
        <w:ilvl w:val="7"/>
        <w:numId w:val="19"/>
      </w:numPr>
      <w:outlineLvl w:val="7"/>
    </w:pPr>
  </w:style>
  <w:style w:type="paragraph" w:styleId="Titre9">
    <w:name w:val="heading 9"/>
    <w:basedOn w:val="Normal"/>
    <w:next w:val="Normal"/>
    <w:link w:val="Titre9Car"/>
    <w:uiPriority w:val="9"/>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4F094E"/>
    <w:pPr>
      <w:spacing w:line="240" w:lineRule="auto"/>
    </w:pPr>
    <w:rPr>
      <w:sz w:val="16"/>
    </w:rPr>
  </w:style>
  <w:style w:type="character" w:customStyle="1" w:styleId="PieddepageCar">
    <w:name w:val="Pied de page Car"/>
    <w:aliases w:val="3_G Car"/>
    <w:basedOn w:val="Policepardfaut"/>
    <w:link w:val="Pieddepage"/>
    <w:uiPriority w:val="99"/>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Footnotes refss,Footnote Ref,SUPERS,E FNZ,-E Fußnotenzeichen,Footnote#,FZ,f"/>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uiPriority w:val="59"/>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 Char1 Char Char Car,Footnote Text Char1 Car,Footnote Text Char1 Char Char1 Car,Footnote Text Char1 Char Char1 Char Char Car,Geneva 9 Char Char Char Char Char Car,ft Car"/>
    <w:basedOn w:val="Policepardfaut"/>
    <w:link w:val="Notedebasdepage"/>
    <w:qFormat/>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Cuadro_G Car"/>
    <w:basedOn w:val="Policepardfaut"/>
    <w:link w:val="Titre1"/>
    <w:uiPriority w:val="9"/>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HMGChar">
    <w:name w:val="_ H __M_G Char"/>
    <w:link w:val="HMG"/>
    <w:rsid w:val="00F30B21"/>
    <w:rPr>
      <w:rFonts w:ascii="Times New Roman" w:eastAsiaTheme="minorHAnsi" w:hAnsi="Times New Roman" w:cs="Times New Roman"/>
      <w:b/>
      <w:sz w:val="34"/>
      <w:szCs w:val="20"/>
      <w:lang w:eastAsia="en-US"/>
    </w:rPr>
  </w:style>
  <w:style w:type="numbering" w:styleId="111111">
    <w:name w:val="Outline List 2"/>
    <w:basedOn w:val="Aucuneliste"/>
    <w:semiHidden/>
    <w:rsid w:val="00F30B21"/>
    <w:pPr>
      <w:numPr>
        <w:numId w:val="17"/>
      </w:numPr>
    </w:pPr>
  </w:style>
  <w:style w:type="numbering" w:styleId="1ai">
    <w:name w:val="Outline List 1"/>
    <w:basedOn w:val="Aucuneliste"/>
    <w:semiHidden/>
    <w:rsid w:val="00F30B21"/>
    <w:pPr>
      <w:numPr>
        <w:numId w:val="18"/>
      </w:numPr>
    </w:pPr>
  </w:style>
  <w:style w:type="character" w:styleId="AcronymeHTML">
    <w:name w:val="HTML Acronym"/>
    <w:basedOn w:val="Policepardfaut"/>
    <w:semiHidden/>
    <w:rsid w:val="00F30B21"/>
  </w:style>
  <w:style w:type="numbering" w:styleId="ArticleSection">
    <w:name w:val="Outline List 3"/>
    <w:basedOn w:val="Aucuneliste"/>
    <w:semiHidden/>
    <w:rsid w:val="00F30B21"/>
    <w:pPr>
      <w:numPr>
        <w:numId w:val="19"/>
      </w:numPr>
    </w:pPr>
  </w:style>
  <w:style w:type="paragraph" w:styleId="Formuledepolitesse">
    <w:name w:val="Closing"/>
    <w:basedOn w:val="Normal"/>
    <w:link w:val="FormuledepolitesseCar"/>
    <w:semiHidden/>
    <w:rsid w:val="00F30B21"/>
    <w:pPr>
      <w:suppressAutoHyphens w:val="0"/>
      <w:kinsoku/>
      <w:overflowPunct/>
      <w:autoSpaceDE/>
      <w:autoSpaceDN/>
      <w:adjustRightInd/>
      <w:snapToGrid/>
      <w:ind w:left="4252"/>
    </w:pPr>
    <w:rPr>
      <w:rFonts w:eastAsiaTheme="minorEastAsia"/>
      <w:lang w:val="es-ES" w:eastAsia="es-ES"/>
    </w:rPr>
  </w:style>
  <w:style w:type="character" w:customStyle="1" w:styleId="FormuledepolitesseCar">
    <w:name w:val="Formule de politesse Car"/>
    <w:basedOn w:val="Policepardfaut"/>
    <w:link w:val="Formuledepolitesse"/>
    <w:semiHidden/>
    <w:rsid w:val="00F30B21"/>
    <w:rPr>
      <w:rFonts w:ascii="Times New Roman" w:eastAsiaTheme="minorEastAsia" w:hAnsi="Times New Roman" w:cs="Times New Roman"/>
      <w:sz w:val="20"/>
      <w:szCs w:val="20"/>
      <w:lang w:val="es-ES" w:eastAsia="es-ES"/>
    </w:rPr>
  </w:style>
  <w:style w:type="character" w:styleId="CitationHTML">
    <w:name w:val="HTML Cite"/>
    <w:semiHidden/>
    <w:rsid w:val="00F30B21"/>
    <w:rPr>
      <w:i/>
      <w:iCs/>
    </w:rPr>
  </w:style>
  <w:style w:type="character" w:styleId="CodeHTML">
    <w:name w:val="HTML Code"/>
    <w:semiHidden/>
    <w:rsid w:val="00F30B21"/>
    <w:rPr>
      <w:rFonts w:ascii="Courier New" w:hAnsi="Courier New" w:cs="Courier New"/>
      <w:sz w:val="20"/>
      <w:szCs w:val="20"/>
    </w:rPr>
  </w:style>
  <w:style w:type="paragraph" w:styleId="Listecontinue">
    <w:name w:val="List Continue"/>
    <w:basedOn w:val="Normal"/>
    <w:semiHidden/>
    <w:rsid w:val="00F30B21"/>
    <w:pPr>
      <w:suppressAutoHyphens w:val="0"/>
      <w:kinsoku/>
      <w:overflowPunct/>
      <w:autoSpaceDE/>
      <w:autoSpaceDN/>
      <w:adjustRightInd/>
      <w:snapToGrid/>
      <w:spacing w:after="120"/>
      <w:ind w:left="283"/>
    </w:pPr>
    <w:rPr>
      <w:rFonts w:eastAsiaTheme="minorEastAsia"/>
      <w:lang w:val="es-ES" w:eastAsia="es-ES"/>
    </w:rPr>
  </w:style>
  <w:style w:type="paragraph" w:styleId="Listecontinue2">
    <w:name w:val="List Continue 2"/>
    <w:basedOn w:val="Normal"/>
    <w:semiHidden/>
    <w:rsid w:val="00F30B21"/>
    <w:pPr>
      <w:suppressAutoHyphens w:val="0"/>
      <w:kinsoku/>
      <w:overflowPunct/>
      <w:autoSpaceDE/>
      <w:autoSpaceDN/>
      <w:adjustRightInd/>
      <w:snapToGrid/>
      <w:spacing w:after="120"/>
      <w:ind w:left="566"/>
    </w:pPr>
    <w:rPr>
      <w:rFonts w:eastAsiaTheme="minorEastAsia"/>
      <w:lang w:val="es-ES" w:eastAsia="es-ES"/>
    </w:rPr>
  </w:style>
  <w:style w:type="paragraph" w:styleId="Listecontinue3">
    <w:name w:val="List Continue 3"/>
    <w:basedOn w:val="Normal"/>
    <w:semiHidden/>
    <w:rsid w:val="00F30B21"/>
    <w:pPr>
      <w:suppressAutoHyphens w:val="0"/>
      <w:kinsoku/>
      <w:overflowPunct/>
      <w:autoSpaceDE/>
      <w:autoSpaceDN/>
      <w:adjustRightInd/>
      <w:snapToGrid/>
      <w:spacing w:after="120"/>
      <w:ind w:left="849"/>
    </w:pPr>
    <w:rPr>
      <w:rFonts w:eastAsiaTheme="minorEastAsia"/>
      <w:lang w:val="es-ES" w:eastAsia="es-ES"/>
    </w:rPr>
  </w:style>
  <w:style w:type="paragraph" w:styleId="Listecontinue4">
    <w:name w:val="List Continue 4"/>
    <w:basedOn w:val="Normal"/>
    <w:semiHidden/>
    <w:rsid w:val="00F30B21"/>
    <w:pPr>
      <w:suppressAutoHyphens w:val="0"/>
      <w:kinsoku/>
      <w:overflowPunct/>
      <w:autoSpaceDE/>
      <w:autoSpaceDN/>
      <w:adjustRightInd/>
      <w:snapToGrid/>
      <w:spacing w:after="120"/>
      <w:ind w:left="1132"/>
    </w:pPr>
    <w:rPr>
      <w:rFonts w:eastAsiaTheme="minorEastAsia"/>
      <w:lang w:val="es-ES" w:eastAsia="es-ES"/>
    </w:rPr>
  </w:style>
  <w:style w:type="paragraph" w:styleId="Listecontinue5">
    <w:name w:val="List Continue 5"/>
    <w:basedOn w:val="Normal"/>
    <w:semiHidden/>
    <w:rsid w:val="00F30B21"/>
    <w:pPr>
      <w:suppressAutoHyphens w:val="0"/>
      <w:kinsoku/>
      <w:overflowPunct/>
      <w:autoSpaceDE/>
      <w:autoSpaceDN/>
      <w:adjustRightInd/>
      <w:snapToGrid/>
      <w:spacing w:after="120"/>
      <w:ind w:left="1415"/>
    </w:pPr>
    <w:rPr>
      <w:rFonts w:eastAsiaTheme="minorEastAsia"/>
      <w:lang w:val="es-ES" w:eastAsia="es-ES"/>
    </w:rPr>
  </w:style>
  <w:style w:type="character" w:styleId="DfinitionHTML">
    <w:name w:val="HTML Definition"/>
    <w:semiHidden/>
    <w:rsid w:val="00F30B21"/>
    <w:rPr>
      <w:i/>
      <w:iCs/>
    </w:rPr>
  </w:style>
  <w:style w:type="paragraph" w:styleId="AdresseHTML">
    <w:name w:val="HTML Address"/>
    <w:basedOn w:val="Normal"/>
    <w:link w:val="AdresseHTMLCar"/>
    <w:semiHidden/>
    <w:rsid w:val="00F30B21"/>
    <w:pPr>
      <w:suppressAutoHyphens w:val="0"/>
      <w:kinsoku/>
      <w:overflowPunct/>
      <w:autoSpaceDE/>
      <w:autoSpaceDN/>
      <w:adjustRightInd/>
      <w:snapToGrid/>
    </w:pPr>
    <w:rPr>
      <w:rFonts w:eastAsiaTheme="minorEastAsia"/>
      <w:i/>
      <w:iCs/>
      <w:lang w:val="es-ES" w:eastAsia="es-ES"/>
    </w:rPr>
  </w:style>
  <w:style w:type="character" w:customStyle="1" w:styleId="AdresseHTMLCar">
    <w:name w:val="Adresse HTML Car"/>
    <w:basedOn w:val="Policepardfaut"/>
    <w:link w:val="AdresseHTML"/>
    <w:semiHidden/>
    <w:rsid w:val="00F30B21"/>
    <w:rPr>
      <w:rFonts w:ascii="Times New Roman" w:eastAsiaTheme="minorEastAsia" w:hAnsi="Times New Roman" w:cs="Times New Roman"/>
      <w:i/>
      <w:iCs/>
      <w:sz w:val="20"/>
      <w:szCs w:val="20"/>
      <w:lang w:val="es-ES" w:eastAsia="es-ES"/>
    </w:rPr>
  </w:style>
  <w:style w:type="paragraph" w:styleId="Adressedestinataire">
    <w:name w:val="envelope address"/>
    <w:basedOn w:val="Normal"/>
    <w:semiHidden/>
    <w:rsid w:val="00F30B21"/>
    <w:pPr>
      <w:framePr w:w="7920" w:h="1980" w:hRule="exact" w:hSpace="141" w:wrap="auto" w:hAnchor="page" w:xAlign="center" w:yAlign="bottom"/>
      <w:suppressAutoHyphens w:val="0"/>
      <w:kinsoku/>
      <w:overflowPunct/>
      <w:autoSpaceDE/>
      <w:autoSpaceDN/>
      <w:adjustRightInd/>
      <w:snapToGrid/>
      <w:ind w:left="2880"/>
    </w:pPr>
    <w:rPr>
      <w:rFonts w:ascii="Arial" w:eastAsiaTheme="minorEastAsia" w:hAnsi="Arial" w:cs="Arial"/>
      <w:sz w:val="24"/>
      <w:szCs w:val="24"/>
      <w:lang w:val="es-ES" w:eastAsia="es-ES"/>
    </w:rPr>
  </w:style>
  <w:style w:type="character" w:styleId="ExempleHTML">
    <w:name w:val="HTML Sample"/>
    <w:semiHidden/>
    <w:rsid w:val="00F30B21"/>
    <w:rPr>
      <w:rFonts w:ascii="Courier New" w:hAnsi="Courier New" w:cs="Courier New"/>
    </w:rPr>
  </w:style>
  <w:style w:type="paragraph" w:styleId="En-ttedemessage">
    <w:name w:val="Message Header"/>
    <w:basedOn w:val="Normal"/>
    <w:link w:val="En-ttedemessageCar"/>
    <w:semiHidden/>
    <w:rsid w:val="00F30B21"/>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heme="minorEastAsia" w:hAnsi="Arial" w:cs="Arial"/>
      <w:sz w:val="24"/>
      <w:szCs w:val="24"/>
      <w:lang w:val="es-ES" w:eastAsia="es-ES"/>
    </w:rPr>
  </w:style>
  <w:style w:type="character" w:customStyle="1" w:styleId="En-ttedemessageCar">
    <w:name w:val="En-tête de message Car"/>
    <w:basedOn w:val="Policepardfaut"/>
    <w:link w:val="En-ttedemessage"/>
    <w:semiHidden/>
    <w:rsid w:val="00F30B21"/>
    <w:rPr>
      <w:rFonts w:ascii="Arial" w:eastAsiaTheme="minorEastAsia" w:hAnsi="Arial" w:cs="Arial"/>
      <w:sz w:val="24"/>
      <w:szCs w:val="24"/>
      <w:shd w:val="pct20" w:color="auto" w:fill="auto"/>
      <w:lang w:val="es-ES" w:eastAsia="es-ES"/>
    </w:rPr>
  </w:style>
  <w:style w:type="paragraph" w:styleId="Titredenote">
    <w:name w:val="Note Heading"/>
    <w:basedOn w:val="Normal"/>
    <w:next w:val="Normal"/>
    <w:link w:val="TitredenoteCar"/>
    <w:semiHidden/>
    <w:rsid w:val="00F30B21"/>
    <w:pPr>
      <w:suppressAutoHyphens w:val="0"/>
      <w:kinsoku/>
      <w:overflowPunct/>
      <w:autoSpaceDE/>
      <w:autoSpaceDN/>
      <w:adjustRightInd/>
      <w:snapToGrid/>
    </w:pPr>
    <w:rPr>
      <w:rFonts w:eastAsiaTheme="minorEastAsia"/>
      <w:lang w:val="es-ES" w:eastAsia="es-ES"/>
    </w:rPr>
  </w:style>
  <w:style w:type="character" w:customStyle="1" w:styleId="TitredenoteCar">
    <w:name w:val="Titre de note Car"/>
    <w:basedOn w:val="Policepardfaut"/>
    <w:link w:val="Titredenote"/>
    <w:semiHidden/>
    <w:rsid w:val="00F30B21"/>
    <w:rPr>
      <w:rFonts w:ascii="Times New Roman" w:eastAsiaTheme="minorEastAsia" w:hAnsi="Times New Roman" w:cs="Times New Roman"/>
      <w:sz w:val="20"/>
      <w:szCs w:val="20"/>
      <w:lang w:val="es-ES" w:eastAsia="es-ES"/>
    </w:rPr>
  </w:style>
  <w:style w:type="character" w:styleId="Accentuation">
    <w:name w:val="Emphasis"/>
    <w:uiPriority w:val="20"/>
    <w:qFormat/>
    <w:rsid w:val="00F30B21"/>
    <w:rPr>
      <w:i/>
      <w:iCs/>
    </w:rPr>
  </w:style>
  <w:style w:type="paragraph" w:styleId="Date">
    <w:name w:val="Date"/>
    <w:basedOn w:val="Normal"/>
    <w:next w:val="Normal"/>
    <w:link w:val="DateCar"/>
    <w:semiHidden/>
    <w:rsid w:val="00F30B21"/>
    <w:pPr>
      <w:suppressAutoHyphens w:val="0"/>
      <w:kinsoku/>
      <w:overflowPunct/>
      <w:autoSpaceDE/>
      <w:autoSpaceDN/>
      <w:adjustRightInd/>
      <w:snapToGrid/>
    </w:pPr>
    <w:rPr>
      <w:rFonts w:eastAsiaTheme="minorEastAsia"/>
      <w:lang w:val="es-ES" w:eastAsia="es-ES"/>
    </w:rPr>
  </w:style>
  <w:style w:type="character" w:customStyle="1" w:styleId="DateCar">
    <w:name w:val="Date Car"/>
    <w:basedOn w:val="Policepardfaut"/>
    <w:link w:val="Date"/>
    <w:semiHidden/>
    <w:rsid w:val="00F30B21"/>
    <w:rPr>
      <w:rFonts w:ascii="Times New Roman" w:eastAsiaTheme="minorEastAsia" w:hAnsi="Times New Roman" w:cs="Times New Roman"/>
      <w:sz w:val="20"/>
      <w:szCs w:val="20"/>
      <w:lang w:val="es-ES" w:eastAsia="es-ES"/>
    </w:rPr>
  </w:style>
  <w:style w:type="paragraph" w:styleId="Signature">
    <w:name w:val="Signature"/>
    <w:basedOn w:val="Normal"/>
    <w:link w:val="SignatureCar"/>
    <w:semiHidden/>
    <w:rsid w:val="00F30B21"/>
    <w:pPr>
      <w:suppressAutoHyphens w:val="0"/>
      <w:kinsoku/>
      <w:overflowPunct/>
      <w:autoSpaceDE/>
      <w:autoSpaceDN/>
      <w:adjustRightInd/>
      <w:snapToGrid/>
      <w:ind w:left="4252"/>
    </w:pPr>
    <w:rPr>
      <w:rFonts w:eastAsiaTheme="minorEastAsia"/>
      <w:lang w:val="es-ES" w:eastAsia="es-ES"/>
    </w:rPr>
  </w:style>
  <w:style w:type="character" w:customStyle="1" w:styleId="SignatureCar">
    <w:name w:val="Signature Car"/>
    <w:basedOn w:val="Policepardfaut"/>
    <w:link w:val="Signature"/>
    <w:semiHidden/>
    <w:rsid w:val="00F30B21"/>
    <w:rPr>
      <w:rFonts w:ascii="Times New Roman" w:eastAsiaTheme="minorEastAsia" w:hAnsi="Times New Roman" w:cs="Times New Roman"/>
      <w:sz w:val="20"/>
      <w:szCs w:val="20"/>
      <w:lang w:val="es-ES" w:eastAsia="es-ES"/>
    </w:rPr>
  </w:style>
  <w:style w:type="paragraph" w:styleId="Signaturelectronique">
    <w:name w:val="E-mail Signature"/>
    <w:basedOn w:val="Normal"/>
    <w:link w:val="SignaturelectroniqueCar"/>
    <w:semiHidden/>
    <w:rsid w:val="00F30B21"/>
    <w:pPr>
      <w:suppressAutoHyphens w:val="0"/>
      <w:kinsoku/>
      <w:overflowPunct/>
      <w:autoSpaceDE/>
      <w:autoSpaceDN/>
      <w:adjustRightInd/>
      <w:snapToGrid/>
    </w:pPr>
    <w:rPr>
      <w:rFonts w:eastAsiaTheme="minorEastAsia"/>
      <w:lang w:val="es-ES" w:eastAsia="es-ES"/>
    </w:rPr>
  </w:style>
  <w:style w:type="character" w:customStyle="1" w:styleId="SignaturelectroniqueCar">
    <w:name w:val="Signature électronique Car"/>
    <w:basedOn w:val="Policepardfaut"/>
    <w:link w:val="Signaturelectronique"/>
    <w:semiHidden/>
    <w:rsid w:val="00F30B21"/>
    <w:rPr>
      <w:rFonts w:ascii="Times New Roman" w:eastAsiaTheme="minorEastAsia" w:hAnsi="Times New Roman" w:cs="Times New Roman"/>
      <w:sz w:val="20"/>
      <w:szCs w:val="20"/>
      <w:lang w:val="es-ES" w:eastAsia="es-ES"/>
    </w:rPr>
  </w:style>
  <w:style w:type="paragraph" w:styleId="PrformatHTML">
    <w:name w:val="HTML Preformatted"/>
    <w:basedOn w:val="Normal"/>
    <w:link w:val="PrformatHTMLCar"/>
    <w:semiHidden/>
    <w:rsid w:val="00F30B21"/>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PrformatHTMLCar">
    <w:name w:val="Préformaté HTML Car"/>
    <w:basedOn w:val="Policepardfaut"/>
    <w:link w:val="PrformatHTML"/>
    <w:semiHidden/>
    <w:rsid w:val="00F30B21"/>
    <w:rPr>
      <w:rFonts w:ascii="Courier New" w:eastAsiaTheme="minorEastAsia" w:hAnsi="Courier New" w:cs="Courier New"/>
      <w:sz w:val="20"/>
      <w:szCs w:val="20"/>
      <w:lang w:val="es-ES" w:eastAsia="es-ES"/>
    </w:rPr>
  </w:style>
  <w:style w:type="paragraph" w:styleId="Liste">
    <w:name w:val="List"/>
    <w:basedOn w:val="Normal"/>
    <w:semiHidden/>
    <w:rsid w:val="00F30B21"/>
    <w:pPr>
      <w:suppressAutoHyphens w:val="0"/>
      <w:kinsoku/>
      <w:overflowPunct/>
      <w:autoSpaceDE/>
      <w:autoSpaceDN/>
      <w:adjustRightInd/>
      <w:snapToGrid/>
      <w:ind w:left="283" w:hanging="283"/>
    </w:pPr>
    <w:rPr>
      <w:rFonts w:eastAsiaTheme="minorEastAsia"/>
      <w:lang w:val="es-ES" w:eastAsia="es-ES"/>
    </w:rPr>
  </w:style>
  <w:style w:type="paragraph" w:styleId="Liste2">
    <w:name w:val="List 2"/>
    <w:basedOn w:val="Normal"/>
    <w:semiHidden/>
    <w:rsid w:val="00F30B21"/>
    <w:pPr>
      <w:suppressAutoHyphens w:val="0"/>
      <w:kinsoku/>
      <w:overflowPunct/>
      <w:autoSpaceDE/>
      <w:autoSpaceDN/>
      <w:adjustRightInd/>
      <w:snapToGrid/>
      <w:ind w:left="566" w:hanging="283"/>
    </w:pPr>
    <w:rPr>
      <w:rFonts w:eastAsiaTheme="minorEastAsia"/>
      <w:lang w:val="es-ES" w:eastAsia="es-ES"/>
    </w:rPr>
  </w:style>
  <w:style w:type="paragraph" w:styleId="Liste3">
    <w:name w:val="List 3"/>
    <w:basedOn w:val="Normal"/>
    <w:semiHidden/>
    <w:rsid w:val="00F30B21"/>
    <w:pPr>
      <w:suppressAutoHyphens w:val="0"/>
      <w:kinsoku/>
      <w:overflowPunct/>
      <w:autoSpaceDE/>
      <w:autoSpaceDN/>
      <w:adjustRightInd/>
      <w:snapToGrid/>
      <w:ind w:left="849" w:hanging="283"/>
    </w:pPr>
    <w:rPr>
      <w:rFonts w:eastAsiaTheme="minorEastAsia"/>
      <w:lang w:val="es-ES" w:eastAsia="es-ES"/>
    </w:rPr>
  </w:style>
  <w:style w:type="paragraph" w:styleId="Liste4">
    <w:name w:val="List 4"/>
    <w:basedOn w:val="Normal"/>
    <w:semiHidden/>
    <w:rsid w:val="00F30B21"/>
    <w:pPr>
      <w:suppressAutoHyphens w:val="0"/>
      <w:kinsoku/>
      <w:overflowPunct/>
      <w:autoSpaceDE/>
      <w:autoSpaceDN/>
      <w:adjustRightInd/>
      <w:snapToGrid/>
      <w:ind w:left="1132" w:hanging="283"/>
    </w:pPr>
    <w:rPr>
      <w:rFonts w:eastAsiaTheme="minorEastAsia"/>
      <w:lang w:val="es-ES" w:eastAsia="es-ES"/>
    </w:rPr>
  </w:style>
  <w:style w:type="paragraph" w:styleId="Liste5">
    <w:name w:val="List 5"/>
    <w:basedOn w:val="Normal"/>
    <w:semiHidden/>
    <w:rsid w:val="00F30B21"/>
    <w:pPr>
      <w:suppressAutoHyphens w:val="0"/>
      <w:kinsoku/>
      <w:overflowPunct/>
      <w:autoSpaceDE/>
      <w:autoSpaceDN/>
      <w:adjustRightInd/>
      <w:snapToGrid/>
      <w:ind w:left="1415" w:hanging="283"/>
    </w:pPr>
    <w:rPr>
      <w:rFonts w:eastAsiaTheme="minorEastAsia"/>
      <w:lang w:val="es-ES" w:eastAsia="es-ES"/>
    </w:rPr>
  </w:style>
  <w:style w:type="paragraph" w:styleId="Listenumros">
    <w:name w:val="List Number"/>
    <w:basedOn w:val="Normal"/>
    <w:semiHidden/>
    <w:rsid w:val="00F30B21"/>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numros2">
    <w:name w:val="List Number 2"/>
    <w:basedOn w:val="Normal"/>
    <w:semiHidden/>
    <w:rsid w:val="00F30B21"/>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numros3">
    <w:name w:val="List Number 3"/>
    <w:basedOn w:val="Normal"/>
    <w:semiHidden/>
    <w:rsid w:val="00F30B21"/>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numros4">
    <w:name w:val="List Number 4"/>
    <w:basedOn w:val="Normal"/>
    <w:semiHidden/>
    <w:rsid w:val="00F30B21"/>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numros5">
    <w:name w:val="List Number 5"/>
    <w:basedOn w:val="Normal"/>
    <w:semiHidden/>
    <w:rsid w:val="00F30B21"/>
    <w:pPr>
      <w:tabs>
        <w:tab w:val="num" w:pos="1492"/>
      </w:tabs>
      <w:suppressAutoHyphens w:val="0"/>
      <w:kinsoku/>
      <w:overflowPunct/>
      <w:autoSpaceDE/>
      <w:autoSpaceDN/>
      <w:adjustRightInd/>
      <w:snapToGrid/>
      <w:ind w:left="1492" w:hanging="360"/>
    </w:pPr>
    <w:rPr>
      <w:rFonts w:eastAsiaTheme="minorEastAsia"/>
      <w:lang w:val="es-ES" w:eastAsia="es-ES"/>
    </w:rPr>
  </w:style>
  <w:style w:type="paragraph" w:styleId="Listepuces">
    <w:name w:val="List Bullet"/>
    <w:basedOn w:val="Normal"/>
    <w:semiHidden/>
    <w:rsid w:val="00F30B21"/>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puces2">
    <w:name w:val="List Bullet 2"/>
    <w:basedOn w:val="Normal"/>
    <w:semiHidden/>
    <w:rsid w:val="00F30B21"/>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puces3">
    <w:name w:val="List Bullet 3"/>
    <w:basedOn w:val="Normal"/>
    <w:semiHidden/>
    <w:rsid w:val="00F30B21"/>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puces4">
    <w:name w:val="List Bullet 4"/>
    <w:basedOn w:val="Normal"/>
    <w:semiHidden/>
    <w:rsid w:val="00F30B21"/>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puces5">
    <w:name w:val="List Bullet 5"/>
    <w:basedOn w:val="Normal"/>
    <w:semiHidden/>
    <w:rsid w:val="00F30B21"/>
    <w:pPr>
      <w:tabs>
        <w:tab w:val="num" w:pos="1492"/>
      </w:tabs>
      <w:suppressAutoHyphens w:val="0"/>
      <w:kinsoku/>
      <w:overflowPunct/>
      <w:autoSpaceDE/>
      <w:autoSpaceDN/>
      <w:adjustRightInd/>
      <w:snapToGrid/>
      <w:ind w:left="1492" w:hanging="360"/>
    </w:pPr>
    <w:rPr>
      <w:rFonts w:eastAsiaTheme="minorEastAsia"/>
      <w:lang w:val="es-ES" w:eastAsia="es-ES"/>
    </w:rPr>
  </w:style>
  <w:style w:type="character" w:styleId="MachinecrireHTML">
    <w:name w:val="HTML Typewriter"/>
    <w:semiHidden/>
    <w:rsid w:val="00F30B21"/>
    <w:rPr>
      <w:rFonts w:ascii="Courier New" w:hAnsi="Courier New" w:cs="Courier New"/>
      <w:sz w:val="20"/>
      <w:szCs w:val="20"/>
    </w:rPr>
  </w:style>
  <w:style w:type="paragraph" w:styleId="NormalWeb">
    <w:name w:val="Normal (Web)"/>
    <w:basedOn w:val="Normal"/>
    <w:uiPriority w:val="99"/>
    <w:rsid w:val="00F30B21"/>
    <w:pPr>
      <w:suppressAutoHyphens w:val="0"/>
      <w:kinsoku/>
      <w:overflowPunct/>
      <w:autoSpaceDE/>
      <w:autoSpaceDN/>
      <w:adjustRightInd/>
      <w:snapToGrid/>
    </w:pPr>
    <w:rPr>
      <w:rFonts w:eastAsiaTheme="minorEastAsia"/>
      <w:sz w:val="24"/>
      <w:szCs w:val="24"/>
      <w:lang w:val="es-ES" w:eastAsia="es-ES"/>
    </w:rPr>
  </w:style>
  <w:style w:type="character" w:styleId="Numrodeligne">
    <w:name w:val="line number"/>
    <w:basedOn w:val="Policepardfaut"/>
    <w:semiHidden/>
    <w:rsid w:val="00F30B21"/>
  </w:style>
  <w:style w:type="paragraph" w:styleId="Adresseexpditeur">
    <w:name w:val="envelope return"/>
    <w:basedOn w:val="Normal"/>
    <w:semiHidden/>
    <w:rsid w:val="00F30B21"/>
    <w:pPr>
      <w:suppressAutoHyphens w:val="0"/>
      <w:kinsoku/>
      <w:overflowPunct/>
      <w:autoSpaceDE/>
      <w:autoSpaceDN/>
      <w:adjustRightInd/>
      <w:snapToGrid/>
    </w:pPr>
    <w:rPr>
      <w:rFonts w:ascii="Arial" w:eastAsiaTheme="minorEastAsia" w:hAnsi="Arial" w:cs="Arial"/>
      <w:lang w:val="es-ES" w:eastAsia="es-ES"/>
    </w:rPr>
  </w:style>
  <w:style w:type="paragraph" w:styleId="Salutations">
    <w:name w:val="Salutation"/>
    <w:basedOn w:val="Normal"/>
    <w:next w:val="Normal"/>
    <w:link w:val="SalutationsCar"/>
    <w:semiHidden/>
    <w:rsid w:val="00F30B21"/>
    <w:pPr>
      <w:suppressAutoHyphens w:val="0"/>
      <w:kinsoku/>
      <w:overflowPunct/>
      <w:autoSpaceDE/>
      <w:autoSpaceDN/>
      <w:adjustRightInd/>
      <w:snapToGrid/>
    </w:pPr>
    <w:rPr>
      <w:rFonts w:eastAsiaTheme="minorEastAsia"/>
      <w:lang w:val="es-ES" w:eastAsia="es-ES"/>
    </w:rPr>
  </w:style>
  <w:style w:type="character" w:customStyle="1" w:styleId="SalutationsCar">
    <w:name w:val="Salutations Car"/>
    <w:basedOn w:val="Policepardfaut"/>
    <w:link w:val="Salutations"/>
    <w:semiHidden/>
    <w:rsid w:val="00F30B21"/>
    <w:rPr>
      <w:rFonts w:ascii="Times New Roman" w:eastAsiaTheme="minorEastAsia" w:hAnsi="Times New Roman" w:cs="Times New Roman"/>
      <w:sz w:val="20"/>
      <w:szCs w:val="20"/>
      <w:lang w:val="es-ES" w:eastAsia="es-ES"/>
    </w:rPr>
  </w:style>
  <w:style w:type="paragraph" w:styleId="Retraitcorpsdetexte2">
    <w:name w:val="Body Text Indent 2"/>
    <w:basedOn w:val="Normal"/>
    <w:link w:val="Retraitcorpsdetexte2Car"/>
    <w:semiHidden/>
    <w:rsid w:val="00F30B21"/>
    <w:pPr>
      <w:suppressAutoHyphens w:val="0"/>
      <w:kinsoku/>
      <w:overflowPunct/>
      <w:autoSpaceDE/>
      <w:autoSpaceDN/>
      <w:adjustRightInd/>
      <w:snapToGrid/>
      <w:spacing w:after="120" w:line="480" w:lineRule="auto"/>
      <w:ind w:left="283"/>
    </w:pPr>
    <w:rPr>
      <w:rFonts w:eastAsiaTheme="minorEastAsia"/>
      <w:lang w:val="es-ES" w:eastAsia="es-ES"/>
    </w:rPr>
  </w:style>
  <w:style w:type="character" w:customStyle="1" w:styleId="Retraitcorpsdetexte2Car">
    <w:name w:val="Retrait corps de texte 2 Car"/>
    <w:basedOn w:val="Policepardfaut"/>
    <w:link w:val="Retraitcorpsdetexte2"/>
    <w:semiHidden/>
    <w:rsid w:val="00F30B21"/>
    <w:rPr>
      <w:rFonts w:ascii="Times New Roman" w:eastAsiaTheme="minorEastAsia" w:hAnsi="Times New Roman" w:cs="Times New Roman"/>
      <w:sz w:val="20"/>
      <w:szCs w:val="20"/>
      <w:lang w:val="es-ES" w:eastAsia="es-ES"/>
    </w:rPr>
  </w:style>
  <w:style w:type="paragraph" w:styleId="Retraitcorpsdetexte3">
    <w:name w:val="Body Text Indent 3"/>
    <w:basedOn w:val="Normal"/>
    <w:link w:val="Retraitcorpsdetexte3Car"/>
    <w:semiHidden/>
    <w:rsid w:val="00F30B21"/>
    <w:pPr>
      <w:suppressAutoHyphens w:val="0"/>
      <w:kinsoku/>
      <w:overflowPunct/>
      <w:autoSpaceDE/>
      <w:autoSpaceDN/>
      <w:adjustRightInd/>
      <w:snapToGrid/>
      <w:spacing w:after="120"/>
      <w:ind w:left="283"/>
    </w:pPr>
    <w:rPr>
      <w:rFonts w:eastAsiaTheme="minorEastAsia"/>
      <w:sz w:val="16"/>
      <w:szCs w:val="16"/>
      <w:lang w:val="es-ES" w:eastAsia="es-ES"/>
    </w:rPr>
  </w:style>
  <w:style w:type="character" w:customStyle="1" w:styleId="Retraitcorpsdetexte3Car">
    <w:name w:val="Retrait corps de texte 3 Car"/>
    <w:basedOn w:val="Policepardfaut"/>
    <w:link w:val="Retraitcorpsdetexte3"/>
    <w:semiHidden/>
    <w:rsid w:val="00F30B21"/>
    <w:rPr>
      <w:rFonts w:ascii="Times New Roman" w:eastAsiaTheme="minorEastAsia" w:hAnsi="Times New Roman" w:cs="Times New Roman"/>
      <w:sz w:val="16"/>
      <w:szCs w:val="16"/>
      <w:lang w:val="es-ES" w:eastAsia="es-ES"/>
    </w:rPr>
  </w:style>
  <w:style w:type="paragraph" w:styleId="Retraitcorpsdetexte">
    <w:name w:val="Body Text Indent"/>
    <w:basedOn w:val="Normal"/>
    <w:link w:val="RetraitcorpsdetexteCar"/>
    <w:semiHidden/>
    <w:rsid w:val="00F30B21"/>
    <w:pPr>
      <w:suppressAutoHyphens w:val="0"/>
      <w:kinsoku/>
      <w:overflowPunct/>
      <w:autoSpaceDE/>
      <w:autoSpaceDN/>
      <w:adjustRightInd/>
      <w:snapToGrid/>
      <w:spacing w:after="120"/>
      <w:ind w:left="283"/>
    </w:pPr>
    <w:rPr>
      <w:rFonts w:eastAsiaTheme="minorEastAsia"/>
      <w:lang w:val="es-ES" w:eastAsia="es-ES"/>
    </w:rPr>
  </w:style>
  <w:style w:type="character" w:customStyle="1" w:styleId="RetraitcorpsdetexteCar">
    <w:name w:val="Retrait corps de texte Car"/>
    <w:basedOn w:val="Policepardfaut"/>
    <w:link w:val="Retraitcorpsdetexte"/>
    <w:semiHidden/>
    <w:rsid w:val="00F30B21"/>
    <w:rPr>
      <w:rFonts w:ascii="Times New Roman" w:eastAsiaTheme="minorEastAsia" w:hAnsi="Times New Roman" w:cs="Times New Roman"/>
      <w:sz w:val="20"/>
      <w:szCs w:val="20"/>
      <w:lang w:val="es-ES" w:eastAsia="es-ES"/>
    </w:rPr>
  </w:style>
  <w:style w:type="paragraph" w:styleId="Retraitnormal">
    <w:name w:val="Normal Indent"/>
    <w:basedOn w:val="Normal"/>
    <w:semiHidden/>
    <w:rsid w:val="00F30B21"/>
    <w:pPr>
      <w:suppressAutoHyphens w:val="0"/>
      <w:kinsoku/>
      <w:overflowPunct/>
      <w:autoSpaceDE/>
      <w:autoSpaceDN/>
      <w:adjustRightInd/>
      <w:snapToGrid/>
      <w:ind w:left="567"/>
    </w:pPr>
    <w:rPr>
      <w:rFonts w:eastAsiaTheme="minorEastAsia"/>
      <w:lang w:val="es-ES" w:eastAsia="es-ES"/>
    </w:rPr>
  </w:style>
  <w:style w:type="paragraph" w:styleId="Sous-titre">
    <w:name w:val="Subtitle"/>
    <w:basedOn w:val="Normal"/>
    <w:link w:val="Sous-titreCar"/>
    <w:uiPriority w:val="11"/>
    <w:qFormat/>
    <w:rsid w:val="00F30B21"/>
    <w:pPr>
      <w:suppressAutoHyphens w:val="0"/>
      <w:kinsoku/>
      <w:overflowPunct/>
      <w:autoSpaceDE/>
      <w:autoSpaceDN/>
      <w:adjustRightInd/>
      <w:snapToGrid/>
      <w:spacing w:after="60"/>
      <w:jc w:val="center"/>
      <w:outlineLvl w:val="1"/>
    </w:pPr>
    <w:rPr>
      <w:rFonts w:ascii="Arial" w:eastAsiaTheme="minorEastAsia" w:hAnsi="Arial" w:cs="Arial"/>
      <w:sz w:val="24"/>
      <w:szCs w:val="24"/>
      <w:lang w:val="es-ES" w:eastAsia="es-ES"/>
    </w:rPr>
  </w:style>
  <w:style w:type="character" w:customStyle="1" w:styleId="Sous-titreCar">
    <w:name w:val="Sous-titre Car"/>
    <w:basedOn w:val="Policepardfaut"/>
    <w:link w:val="Sous-titre"/>
    <w:uiPriority w:val="11"/>
    <w:rsid w:val="00F30B21"/>
    <w:rPr>
      <w:rFonts w:ascii="Arial" w:eastAsiaTheme="minorEastAsia" w:hAnsi="Arial" w:cs="Arial"/>
      <w:sz w:val="24"/>
      <w:szCs w:val="24"/>
      <w:lang w:val="es-ES" w:eastAsia="es-ES"/>
    </w:rPr>
  </w:style>
  <w:style w:type="table" w:styleId="Tableausimple1">
    <w:name w:val="Table Simple 1"/>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30B21"/>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30B21"/>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F30B21"/>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30B21"/>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30B21"/>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30B21"/>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30B21"/>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30B21"/>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F30B21"/>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30B21"/>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F30B21"/>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30B21"/>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F30B21"/>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30B21"/>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30B21"/>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F30B21"/>
    <w:rPr>
      <w:rFonts w:ascii="Courier New" w:hAnsi="Courier New" w:cs="Courier New"/>
      <w:sz w:val="20"/>
      <w:szCs w:val="20"/>
    </w:rPr>
  </w:style>
  <w:style w:type="paragraph" w:styleId="Normalcentr">
    <w:name w:val="Block Text"/>
    <w:basedOn w:val="Normal"/>
    <w:semiHidden/>
    <w:rsid w:val="00F30B21"/>
    <w:pPr>
      <w:suppressAutoHyphens w:val="0"/>
      <w:kinsoku/>
      <w:overflowPunct/>
      <w:autoSpaceDE/>
      <w:autoSpaceDN/>
      <w:adjustRightInd/>
      <w:snapToGrid/>
      <w:spacing w:after="120"/>
      <w:ind w:left="1440" w:right="1440"/>
    </w:pPr>
    <w:rPr>
      <w:rFonts w:eastAsiaTheme="minorEastAsia"/>
      <w:lang w:val="es-ES" w:eastAsia="es-ES"/>
    </w:rPr>
  </w:style>
  <w:style w:type="character" w:styleId="lev">
    <w:name w:val="Strong"/>
    <w:uiPriority w:val="22"/>
    <w:qFormat/>
    <w:rsid w:val="00F30B21"/>
    <w:rPr>
      <w:b/>
      <w:bCs/>
    </w:rPr>
  </w:style>
  <w:style w:type="paragraph" w:styleId="Corpsdetexte">
    <w:name w:val="Body Text"/>
    <w:basedOn w:val="Normal"/>
    <w:link w:val="CorpsdetexteCar"/>
    <w:semiHidden/>
    <w:rsid w:val="00F30B21"/>
    <w:pPr>
      <w:suppressAutoHyphens w:val="0"/>
      <w:kinsoku/>
      <w:overflowPunct/>
      <w:autoSpaceDE/>
      <w:autoSpaceDN/>
      <w:adjustRightInd/>
      <w:snapToGrid/>
      <w:spacing w:after="120"/>
    </w:pPr>
    <w:rPr>
      <w:rFonts w:eastAsiaTheme="minorEastAsia"/>
      <w:lang w:val="es-ES" w:eastAsia="es-ES"/>
    </w:rPr>
  </w:style>
  <w:style w:type="character" w:customStyle="1" w:styleId="CorpsdetexteCar">
    <w:name w:val="Corps de texte Car"/>
    <w:basedOn w:val="Policepardfaut"/>
    <w:link w:val="Corpsdetexte"/>
    <w:semiHidden/>
    <w:rsid w:val="00F30B21"/>
    <w:rPr>
      <w:rFonts w:ascii="Times New Roman" w:eastAsiaTheme="minorEastAsia" w:hAnsi="Times New Roman" w:cs="Times New Roman"/>
      <w:sz w:val="20"/>
      <w:szCs w:val="20"/>
      <w:lang w:val="es-ES" w:eastAsia="es-ES"/>
    </w:rPr>
  </w:style>
  <w:style w:type="paragraph" w:styleId="Corpsdetexte2">
    <w:name w:val="Body Text 2"/>
    <w:basedOn w:val="Normal"/>
    <w:link w:val="Corpsdetexte2Car"/>
    <w:semiHidden/>
    <w:rsid w:val="00F30B21"/>
    <w:pPr>
      <w:suppressAutoHyphens w:val="0"/>
      <w:kinsoku/>
      <w:overflowPunct/>
      <w:autoSpaceDE/>
      <w:autoSpaceDN/>
      <w:adjustRightInd/>
      <w:snapToGrid/>
      <w:spacing w:after="120" w:line="480" w:lineRule="auto"/>
    </w:pPr>
    <w:rPr>
      <w:rFonts w:eastAsiaTheme="minorEastAsia"/>
      <w:lang w:val="es-ES" w:eastAsia="es-ES"/>
    </w:rPr>
  </w:style>
  <w:style w:type="character" w:customStyle="1" w:styleId="Corpsdetexte2Car">
    <w:name w:val="Corps de texte 2 Car"/>
    <w:basedOn w:val="Policepardfaut"/>
    <w:link w:val="Corpsdetexte2"/>
    <w:semiHidden/>
    <w:rsid w:val="00F30B21"/>
    <w:rPr>
      <w:rFonts w:ascii="Times New Roman" w:eastAsiaTheme="minorEastAsia" w:hAnsi="Times New Roman" w:cs="Times New Roman"/>
      <w:sz w:val="20"/>
      <w:szCs w:val="20"/>
      <w:lang w:val="es-ES" w:eastAsia="es-ES"/>
    </w:rPr>
  </w:style>
  <w:style w:type="paragraph" w:styleId="Corpsdetexte3">
    <w:name w:val="Body Text 3"/>
    <w:basedOn w:val="Normal"/>
    <w:link w:val="Corpsdetexte3Car"/>
    <w:semiHidden/>
    <w:rsid w:val="00F30B21"/>
    <w:pPr>
      <w:suppressAutoHyphens w:val="0"/>
      <w:kinsoku/>
      <w:overflowPunct/>
      <w:autoSpaceDE/>
      <w:autoSpaceDN/>
      <w:adjustRightInd/>
      <w:snapToGrid/>
      <w:spacing w:after="120"/>
    </w:pPr>
    <w:rPr>
      <w:rFonts w:eastAsiaTheme="minorEastAsia"/>
      <w:sz w:val="16"/>
      <w:szCs w:val="16"/>
      <w:lang w:val="es-ES" w:eastAsia="es-ES"/>
    </w:rPr>
  </w:style>
  <w:style w:type="character" w:customStyle="1" w:styleId="Corpsdetexte3Car">
    <w:name w:val="Corps de texte 3 Car"/>
    <w:basedOn w:val="Policepardfaut"/>
    <w:link w:val="Corpsdetexte3"/>
    <w:semiHidden/>
    <w:rsid w:val="00F30B21"/>
    <w:rPr>
      <w:rFonts w:ascii="Times New Roman" w:eastAsiaTheme="minorEastAsia" w:hAnsi="Times New Roman" w:cs="Times New Roman"/>
      <w:sz w:val="16"/>
      <w:szCs w:val="16"/>
      <w:lang w:val="es-ES" w:eastAsia="es-ES"/>
    </w:rPr>
  </w:style>
  <w:style w:type="paragraph" w:styleId="Retrait1religne">
    <w:name w:val="Body Text First Indent"/>
    <w:basedOn w:val="Corpsdetexte"/>
    <w:link w:val="Retrait1religneCar"/>
    <w:semiHidden/>
    <w:rsid w:val="00F30B21"/>
    <w:pPr>
      <w:ind w:firstLine="210"/>
    </w:pPr>
  </w:style>
  <w:style w:type="character" w:customStyle="1" w:styleId="Retrait1religneCar">
    <w:name w:val="Retrait 1re ligne Car"/>
    <w:basedOn w:val="CorpsdetexteCar"/>
    <w:link w:val="Retrait1religne"/>
    <w:semiHidden/>
    <w:rsid w:val="00F30B21"/>
    <w:rPr>
      <w:rFonts w:ascii="Times New Roman" w:eastAsiaTheme="minorEastAsia"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F30B21"/>
    <w:pPr>
      <w:ind w:firstLine="210"/>
    </w:pPr>
  </w:style>
  <w:style w:type="character" w:customStyle="1" w:styleId="Retraitcorpset1religCar">
    <w:name w:val="Retrait corps et 1re lig. Car"/>
    <w:basedOn w:val="RetraitcorpsdetexteCar"/>
    <w:link w:val="Retraitcorpset1relig"/>
    <w:semiHidden/>
    <w:rsid w:val="00F30B21"/>
    <w:rPr>
      <w:rFonts w:ascii="Times New Roman" w:eastAsiaTheme="minorEastAsia" w:hAnsi="Times New Roman" w:cs="Times New Roman"/>
      <w:sz w:val="20"/>
      <w:szCs w:val="20"/>
      <w:lang w:val="es-ES" w:eastAsia="es-ES"/>
    </w:rPr>
  </w:style>
  <w:style w:type="paragraph" w:styleId="Textebrut">
    <w:name w:val="Plain Text"/>
    <w:basedOn w:val="Normal"/>
    <w:link w:val="TextebrutCar"/>
    <w:semiHidden/>
    <w:rsid w:val="00F30B21"/>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TextebrutCar">
    <w:name w:val="Texte brut Car"/>
    <w:basedOn w:val="Policepardfaut"/>
    <w:link w:val="Textebrut"/>
    <w:semiHidden/>
    <w:rsid w:val="00F30B21"/>
    <w:rPr>
      <w:rFonts w:ascii="Courier New" w:eastAsiaTheme="minorEastAsia" w:hAnsi="Courier New" w:cs="Courier New"/>
      <w:sz w:val="20"/>
      <w:szCs w:val="20"/>
      <w:lang w:val="es-ES" w:eastAsia="es-ES"/>
    </w:rPr>
  </w:style>
  <w:style w:type="paragraph" w:styleId="Titre">
    <w:name w:val="Title"/>
    <w:basedOn w:val="Normal"/>
    <w:link w:val="TitreCar"/>
    <w:uiPriority w:val="10"/>
    <w:qFormat/>
    <w:rsid w:val="00F30B21"/>
    <w:pPr>
      <w:suppressAutoHyphens w:val="0"/>
      <w:kinsoku/>
      <w:overflowPunct/>
      <w:autoSpaceDE/>
      <w:autoSpaceDN/>
      <w:adjustRightInd/>
      <w:snapToGrid/>
      <w:spacing w:before="240" w:after="60"/>
      <w:jc w:val="center"/>
      <w:outlineLvl w:val="0"/>
    </w:pPr>
    <w:rPr>
      <w:rFonts w:ascii="Arial" w:eastAsiaTheme="minorEastAsia" w:hAnsi="Arial" w:cs="Arial"/>
      <w:b/>
      <w:bCs/>
      <w:kern w:val="28"/>
      <w:sz w:val="32"/>
      <w:szCs w:val="32"/>
      <w:lang w:val="es-ES" w:eastAsia="es-ES"/>
    </w:rPr>
  </w:style>
  <w:style w:type="character" w:customStyle="1" w:styleId="TitreCar">
    <w:name w:val="Titre Car"/>
    <w:basedOn w:val="Policepardfaut"/>
    <w:link w:val="Titre"/>
    <w:uiPriority w:val="10"/>
    <w:rsid w:val="00F30B21"/>
    <w:rPr>
      <w:rFonts w:ascii="Arial" w:eastAsiaTheme="minorEastAsia" w:hAnsi="Arial" w:cs="Arial"/>
      <w:b/>
      <w:bCs/>
      <w:kern w:val="28"/>
      <w:sz w:val="32"/>
      <w:szCs w:val="32"/>
      <w:lang w:val="es-ES" w:eastAsia="es-ES"/>
    </w:rPr>
  </w:style>
  <w:style w:type="character" w:styleId="VariableHTML">
    <w:name w:val="HTML Variable"/>
    <w:semiHidden/>
    <w:rsid w:val="00F30B21"/>
    <w:rPr>
      <w:i/>
      <w:iCs/>
    </w:rPr>
  </w:style>
  <w:style w:type="character" w:customStyle="1" w:styleId="TextedebullesCar1">
    <w:name w:val="Texte de bulles Car1"/>
    <w:basedOn w:val="Policepardfaut"/>
    <w:uiPriority w:val="99"/>
    <w:semiHidden/>
    <w:rsid w:val="00F30B21"/>
    <w:rPr>
      <w:rFonts w:ascii="Tahoma" w:hAnsi="Tahoma" w:cs="Tahoma"/>
      <w:sz w:val="16"/>
      <w:szCs w:val="16"/>
      <w:lang w:val="es-ES" w:eastAsia="es-ES"/>
    </w:rPr>
  </w:style>
  <w:style w:type="paragraph" w:styleId="Citationintense">
    <w:name w:val="Intense Quote"/>
    <w:basedOn w:val="Normal"/>
    <w:next w:val="Normal"/>
    <w:link w:val="CitationintenseCar"/>
    <w:uiPriority w:val="30"/>
    <w:qFormat/>
    <w:rsid w:val="00F30B21"/>
    <w:pPr>
      <w:pBdr>
        <w:bottom w:val="single" w:sz="4" w:space="4" w:color="4F81BD"/>
      </w:pBdr>
      <w:suppressAutoHyphens w:val="0"/>
      <w:kinsoku/>
      <w:overflowPunct/>
      <w:autoSpaceDE/>
      <w:autoSpaceDN/>
      <w:adjustRightInd/>
      <w:snapToGrid/>
      <w:spacing w:before="200" w:after="280"/>
      <w:ind w:left="936" w:right="936"/>
    </w:pPr>
    <w:rPr>
      <w:rFonts w:eastAsiaTheme="minorEastAsia"/>
      <w:b/>
      <w:bCs/>
      <w:i/>
      <w:iCs/>
      <w:color w:val="4F81BD"/>
      <w:lang w:val="es-ES" w:eastAsia="es-ES"/>
    </w:rPr>
  </w:style>
  <w:style w:type="character" w:customStyle="1" w:styleId="CitationintenseCar">
    <w:name w:val="Citation intense Car"/>
    <w:basedOn w:val="Policepardfaut"/>
    <w:link w:val="Citationintense"/>
    <w:uiPriority w:val="30"/>
    <w:rsid w:val="00F30B21"/>
    <w:rPr>
      <w:rFonts w:ascii="Times New Roman" w:eastAsiaTheme="minorEastAsia" w:hAnsi="Times New Roman" w:cs="Times New Roman"/>
      <w:b/>
      <w:bCs/>
      <w:i/>
      <w:iCs/>
      <w:color w:val="4F81BD"/>
      <w:sz w:val="20"/>
      <w:szCs w:val="20"/>
      <w:lang w:val="es-ES" w:eastAsia="es-ES"/>
    </w:rPr>
  </w:style>
  <w:style w:type="character" w:styleId="Accentuationintense">
    <w:name w:val="Intense Emphasis"/>
    <w:uiPriority w:val="21"/>
    <w:qFormat/>
    <w:rsid w:val="00F30B21"/>
    <w:rPr>
      <w:b/>
      <w:bCs/>
      <w:i/>
      <w:iCs/>
      <w:color w:val="4F81BD"/>
    </w:rPr>
  </w:style>
  <w:style w:type="table" w:customStyle="1" w:styleId="Tablaconcuadrcula1">
    <w:name w:val="Tabla con cuadrícula1"/>
    <w:basedOn w:val="TableauNormal"/>
    <w:rsid w:val="00F30B21"/>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gende">
    <w:name w:val="caption"/>
    <w:basedOn w:val="Normal"/>
    <w:next w:val="Normal"/>
    <w:uiPriority w:val="35"/>
    <w:semiHidden/>
    <w:unhideWhenUsed/>
    <w:qFormat/>
    <w:rsid w:val="00F30B21"/>
    <w:pPr>
      <w:suppressAutoHyphens w:val="0"/>
      <w:kinsoku/>
      <w:overflowPunct/>
      <w:autoSpaceDE/>
      <w:autoSpaceDN/>
      <w:adjustRightInd/>
      <w:snapToGrid/>
      <w:spacing w:after="160" w:line="252" w:lineRule="auto"/>
      <w:jc w:val="both"/>
    </w:pPr>
    <w:rPr>
      <w:rFonts w:asciiTheme="minorHAnsi" w:eastAsiaTheme="minorEastAsia" w:hAnsiTheme="minorHAnsi" w:cstheme="minorBidi"/>
      <w:b/>
      <w:bCs/>
      <w:sz w:val="18"/>
      <w:szCs w:val="18"/>
      <w:lang w:val="es-VE"/>
    </w:rPr>
  </w:style>
  <w:style w:type="paragraph" w:styleId="Sansinterligne">
    <w:name w:val="No Spacing"/>
    <w:uiPriority w:val="1"/>
    <w:qFormat/>
    <w:rsid w:val="00F30B21"/>
    <w:pPr>
      <w:spacing w:after="0" w:line="240" w:lineRule="auto"/>
      <w:jc w:val="both"/>
    </w:pPr>
    <w:rPr>
      <w:rFonts w:eastAsiaTheme="minorEastAsia"/>
      <w:lang w:val="es-VE" w:eastAsia="en-US"/>
    </w:rPr>
  </w:style>
  <w:style w:type="paragraph" w:styleId="Citation">
    <w:name w:val="Quote"/>
    <w:basedOn w:val="Normal"/>
    <w:next w:val="Normal"/>
    <w:link w:val="CitationCar"/>
    <w:uiPriority w:val="29"/>
    <w:qFormat/>
    <w:rsid w:val="00F30B21"/>
    <w:pPr>
      <w:suppressAutoHyphens w:val="0"/>
      <w:kinsoku/>
      <w:overflowPunct/>
      <w:autoSpaceDE/>
      <w:autoSpaceDN/>
      <w:adjustRightInd/>
      <w:snapToGrid/>
      <w:spacing w:before="200" w:after="160" w:line="264" w:lineRule="auto"/>
      <w:ind w:left="864" w:right="864"/>
      <w:jc w:val="center"/>
    </w:pPr>
    <w:rPr>
      <w:rFonts w:asciiTheme="majorHAnsi" w:eastAsiaTheme="majorEastAsia" w:hAnsiTheme="majorHAnsi" w:cstheme="majorBidi"/>
      <w:i/>
      <w:iCs/>
      <w:sz w:val="24"/>
      <w:szCs w:val="24"/>
      <w:lang w:val="es-VE"/>
    </w:rPr>
  </w:style>
  <w:style w:type="character" w:customStyle="1" w:styleId="CitationCar">
    <w:name w:val="Citation Car"/>
    <w:basedOn w:val="Policepardfaut"/>
    <w:link w:val="Citation"/>
    <w:uiPriority w:val="29"/>
    <w:rsid w:val="00F30B21"/>
    <w:rPr>
      <w:rFonts w:asciiTheme="majorHAnsi" w:eastAsiaTheme="majorEastAsia" w:hAnsiTheme="majorHAnsi" w:cstheme="majorBidi"/>
      <w:i/>
      <w:iCs/>
      <w:sz w:val="24"/>
      <w:szCs w:val="24"/>
      <w:lang w:val="es-VE" w:eastAsia="en-US"/>
    </w:rPr>
  </w:style>
  <w:style w:type="character" w:styleId="Accentuationlgre">
    <w:name w:val="Subtle Emphasis"/>
    <w:basedOn w:val="Policepardfaut"/>
    <w:uiPriority w:val="19"/>
    <w:qFormat/>
    <w:rsid w:val="00F30B21"/>
    <w:rPr>
      <w:i/>
      <w:iCs/>
      <w:color w:val="auto"/>
    </w:rPr>
  </w:style>
  <w:style w:type="character" w:styleId="Rfrencelgre">
    <w:name w:val="Subtle Reference"/>
    <w:basedOn w:val="Policepardfaut"/>
    <w:uiPriority w:val="31"/>
    <w:qFormat/>
    <w:rsid w:val="00F30B21"/>
    <w:rPr>
      <w:smallCaps/>
      <w:color w:val="auto"/>
      <w:u w:val="single" w:color="7F7F7F" w:themeColor="text1" w:themeTint="80"/>
    </w:rPr>
  </w:style>
  <w:style w:type="character" w:styleId="Rfrenceintense">
    <w:name w:val="Intense Reference"/>
    <w:basedOn w:val="Policepardfaut"/>
    <w:uiPriority w:val="32"/>
    <w:qFormat/>
    <w:rsid w:val="00F30B21"/>
    <w:rPr>
      <w:b/>
      <w:bCs/>
      <w:smallCaps/>
      <w:color w:val="auto"/>
      <w:u w:val="single"/>
    </w:rPr>
  </w:style>
  <w:style w:type="character" w:styleId="Titredulivre">
    <w:name w:val="Book Title"/>
    <w:basedOn w:val="Policepardfaut"/>
    <w:uiPriority w:val="33"/>
    <w:qFormat/>
    <w:rsid w:val="00F30B21"/>
    <w:rPr>
      <w:b/>
      <w:bCs/>
      <w:smallCaps/>
      <w:color w:val="auto"/>
    </w:rPr>
  </w:style>
  <w:style w:type="paragraph" w:styleId="En-ttedetabledesmatires">
    <w:name w:val="TOC Heading"/>
    <w:basedOn w:val="Titre1"/>
    <w:next w:val="Normal"/>
    <w:uiPriority w:val="39"/>
    <w:semiHidden/>
    <w:unhideWhenUsed/>
    <w:qFormat/>
    <w:rsid w:val="00F30B21"/>
    <w:pPr>
      <w:numPr>
        <w:numId w:val="0"/>
      </w:numPr>
      <w:tabs>
        <w:tab w:val="clear" w:pos="1701"/>
        <w:tab w:val="clear" w:pos="2268"/>
        <w:tab w:val="clear" w:pos="2835"/>
      </w:tabs>
      <w:suppressAutoHyphens w:val="0"/>
      <w:kinsoku/>
      <w:overflowPunct/>
      <w:autoSpaceDE/>
      <w:autoSpaceDN/>
      <w:adjustRightInd/>
      <w:snapToGrid/>
      <w:spacing w:before="320" w:after="40" w:line="252" w:lineRule="auto"/>
      <w:jc w:val="both"/>
      <w:outlineLvl w:val="9"/>
    </w:pPr>
    <w:rPr>
      <w:rFonts w:asciiTheme="majorHAnsi" w:eastAsiaTheme="majorEastAsia" w:hAnsiTheme="majorHAnsi" w:cstheme="majorBidi"/>
      <w:b/>
      <w:bCs/>
      <w:caps/>
      <w:spacing w:val="4"/>
      <w:sz w:val="28"/>
      <w:szCs w:val="28"/>
      <w:lang w:val="es-VE"/>
    </w:rPr>
  </w:style>
  <w:style w:type="paragraph" w:styleId="Paragraphedeliste">
    <w:name w:val="List Paragraph"/>
    <w:basedOn w:val="Normal"/>
    <w:qFormat/>
    <w:rsid w:val="00F30B21"/>
    <w:pPr>
      <w:suppressAutoHyphens w:val="0"/>
      <w:kinsoku/>
      <w:overflowPunct/>
      <w:autoSpaceDE/>
      <w:autoSpaceDN/>
      <w:adjustRightInd/>
      <w:snapToGrid/>
      <w:spacing w:after="160" w:line="252" w:lineRule="auto"/>
      <w:ind w:left="720"/>
      <w:contextualSpacing/>
      <w:jc w:val="both"/>
    </w:pPr>
    <w:rPr>
      <w:rFonts w:asciiTheme="minorHAnsi" w:eastAsiaTheme="minorEastAsia" w:hAnsiTheme="minorHAnsi" w:cstheme="minorBidi"/>
      <w:sz w:val="22"/>
      <w:szCs w:val="22"/>
      <w:lang w:val="es-VE"/>
    </w:rPr>
  </w:style>
  <w:style w:type="paragraph" w:customStyle="1" w:styleId="LO-normal">
    <w:name w:val="LO-normal"/>
    <w:rsid w:val="00F30B21"/>
    <w:pPr>
      <w:suppressAutoHyphens/>
      <w:spacing w:after="0" w:line="240" w:lineRule="auto"/>
    </w:pPr>
    <w:rPr>
      <w:rFonts w:ascii="Cambria" w:eastAsia="Cambria" w:hAnsi="Cambria" w:cs="Cambria"/>
      <w:color w:val="00000A"/>
      <w:sz w:val="24"/>
      <w:szCs w:val="24"/>
      <w:lang w:val="es-VE"/>
    </w:rPr>
  </w:style>
  <w:style w:type="table" w:styleId="Listeclaire-Accent3">
    <w:name w:val="Light List Accent 3"/>
    <w:basedOn w:val="TableauNormal"/>
    <w:uiPriority w:val="61"/>
    <w:rsid w:val="00F30B21"/>
    <w:pPr>
      <w:spacing w:after="0" w:line="240" w:lineRule="auto"/>
    </w:pPr>
    <w:rPr>
      <w:rFonts w:eastAsiaTheme="minorEastAsia"/>
      <w:lang w:val="es-VE" w:eastAsia="es-V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F30B21"/>
    <w:pPr>
      <w:suppressAutoHyphens/>
      <w:autoSpaceDE w:val="0"/>
      <w:spacing w:after="0" w:line="240" w:lineRule="auto"/>
    </w:pPr>
    <w:rPr>
      <w:rFonts w:ascii="Gill Sans MT" w:eastAsia="Calibri" w:hAnsi="Gill Sans MT" w:cs="Gill Sans MT"/>
      <w:color w:val="000000"/>
      <w:sz w:val="24"/>
      <w:szCs w:val="24"/>
      <w:lang w:val="es-VE"/>
    </w:rPr>
  </w:style>
  <w:style w:type="table" w:customStyle="1" w:styleId="Calendario1">
    <w:name w:val="Calendario 1"/>
    <w:basedOn w:val="TableauNormal"/>
    <w:uiPriority w:val="99"/>
    <w:qFormat/>
    <w:rsid w:val="00F30B21"/>
    <w:pPr>
      <w:spacing w:after="0" w:line="240" w:lineRule="auto"/>
    </w:pPr>
    <w:rPr>
      <w:rFonts w:eastAsiaTheme="minorEastAsia"/>
      <w:lang w:val="es-VE" w:eastAsia="es-V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Refdenotaalpie1">
    <w:name w:val="Ref. de nota al pie1"/>
    <w:rsid w:val="00F30B21"/>
    <w:rPr>
      <w:vertAlign w:val="superscript"/>
    </w:rPr>
  </w:style>
  <w:style w:type="character" w:customStyle="1" w:styleId="H23GChar">
    <w:name w:val="_ H_2/3_G Char"/>
    <w:link w:val="H23G"/>
    <w:locked/>
    <w:rsid w:val="00F30B21"/>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F30B21"/>
    <w:rPr>
      <w:sz w:val="16"/>
      <w:szCs w:val="16"/>
    </w:rPr>
  </w:style>
  <w:style w:type="paragraph" w:styleId="Commentaire">
    <w:name w:val="annotation text"/>
    <w:basedOn w:val="Normal"/>
    <w:link w:val="CommentaireCar"/>
    <w:uiPriority w:val="99"/>
    <w:semiHidden/>
    <w:unhideWhenUsed/>
    <w:rsid w:val="00F30B21"/>
    <w:pPr>
      <w:suppressAutoHyphens w:val="0"/>
      <w:kinsoku/>
      <w:overflowPunct/>
      <w:autoSpaceDE/>
      <w:autoSpaceDN/>
      <w:adjustRightInd/>
      <w:snapToGrid/>
      <w:spacing w:after="160" w:line="240" w:lineRule="auto"/>
      <w:jc w:val="both"/>
    </w:pPr>
    <w:rPr>
      <w:rFonts w:asciiTheme="minorHAnsi" w:eastAsiaTheme="minorEastAsia" w:hAnsiTheme="minorHAnsi" w:cstheme="minorBidi"/>
      <w:lang w:val="es-VE"/>
    </w:rPr>
  </w:style>
  <w:style w:type="character" w:customStyle="1" w:styleId="CommentaireCar">
    <w:name w:val="Commentaire Car"/>
    <w:basedOn w:val="Policepardfaut"/>
    <w:link w:val="Commentaire"/>
    <w:uiPriority w:val="99"/>
    <w:semiHidden/>
    <w:rsid w:val="00F30B21"/>
    <w:rPr>
      <w:rFonts w:eastAsiaTheme="minorEastAsia"/>
      <w:sz w:val="20"/>
      <w:szCs w:val="20"/>
      <w:lang w:val="es-VE" w:eastAsia="en-US"/>
    </w:rPr>
  </w:style>
  <w:style w:type="paragraph" w:styleId="Objetducommentaire">
    <w:name w:val="annotation subject"/>
    <w:basedOn w:val="Commentaire"/>
    <w:next w:val="Commentaire"/>
    <w:link w:val="ObjetducommentaireCar"/>
    <w:uiPriority w:val="99"/>
    <w:semiHidden/>
    <w:unhideWhenUsed/>
    <w:rsid w:val="00F30B21"/>
    <w:rPr>
      <w:b/>
      <w:bCs/>
    </w:rPr>
  </w:style>
  <w:style w:type="character" w:customStyle="1" w:styleId="ObjetducommentaireCar">
    <w:name w:val="Objet du commentaire Car"/>
    <w:basedOn w:val="CommentaireCar"/>
    <w:link w:val="Objetducommentaire"/>
    <w:uiPriority w:val="99"/>
    <w:semiHidden/>
    <w:rsid w:val="00F30B21"/>
    <w:rPr>
      <w:rFonts w:eastAsiaTheme="minorEastAsia"/>
      <w:b/>
      <w:bCs/>
      <w:sz w:val="20"/>
      <w:szCs w:val="20"/>
      <w:lang w:val="es-VE" w:eastAsia="en-US"/>
    </w:rPr>
  </w:style>
  <w:style w:type="character" w:customStyle="1" w:styleId="acopre">
    <w:name w:val="acopre"/>
    <w:rsid w:val="00F30B21"/>
  </w:style>
  <w:style w:type="paragraph" w:styleId="Rvision">
    <w:name w:val="Revision"/>
    <w:hidden/>
    <w:uiPriority w:val="99"/>
    <w:semiHidden/>
    <w:rsid w:val="00F30B21"/>
    <w:pPr>
      <w:spacing w:after="0" w:line="240" w:lineRule="auto"/>
    </w:pPr>
    <w:rPr>
      <w:rFonts w:ascii="Times New Roman" w:eastAsiaTheme="minorEastAsia" w:hAnsi="Times New Roman" w:cs="Times New Roman"/>
      <w:sz w:val="20"/>
      <w:szCs w:val="20"/>
      <w:lang w:val="es-ES" w:eastAsia="es-ES"/>
    </w:rPr>
  </w:style>
  <w:style w:type="character" w:customStyle="1" w:styleId="Mentionnonrsolue1">
    <w:name w:val="Mention non résolue1"/>
    <w:basedOn w:val="Policepardfaut"/>
    <w:uiPriority w:val="99"/>
    <w:semiHidden/>
    <w:unhideWhenUsed/>
    <w:rsid w:val="00F30B21"/>
    <w:rPr>
      <w:color w:val="605E5C"/>
      <w:shd w:val="clear" w:color="auto" w:fill="E1DFDD"/>
    </w:rPr>
  </w:style>
  <w:style w:type="character" w:customStyle="1" w:styleId="highlight">
    <w:name w:val="highlight"/>
    <w:basedOn w:val="Policepardfaut"/>
    <w:rsid w:val="00F30B21"/>
  </w:style>
  <w:style w:type="character" w:styleId="Mentionnonrsolue">
    <w:name w:val="Unresolved Mention"/>
    <w:basedOn w:val="Policepardfaut"/>
    <w:uiPriority w:val="99"/>
    <w:semiHidden/>
    <w:unhideWhenUsed/>
    <w:rsid w:val="00F3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9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fr" b="0" i="0" u="none" baseline="0"/>
              <a:t>Médicaments onéreux distribués</a:t>
            </a:r>
          </a:p>
        </c:rich>
      </c:tx>
      <c:overlay val="0"/>
      <c:spPr>
        <a:noFill/>
        <a:ln w="25441">
          <a:noFill/>
        </a:ln>
      </c:spPr>
    </c:title>
    <c:autoTitleDeleted val="0"/>
    <c:plotArea>
      <c:layout/>
      <c:lineChart>
        <c:grouping val="stacked"/>
        <c:varyColors val="0"/>
        <c:ser>
          <c:idx val="0"/>
          <c:order val="0"/>
          <c:tx>
            <c:strRef>
              <c:f>Hoja1!$B$1</c:f>
              <c:strCache>
                <c:ptCount val="1"/>
                <c:pt idx="0">
                  <c:v>Medicamentos de alto costo entregados</c:v>
                </c:pt>
              </c:strCache>
            </c:strRef>
          </c:tx>
          <c:spPr>
            <a:ln w="9540" cap="rnd">
              <a:solidFill>
                <a:schemeClr val="tx1"/>
              </a:solidFill>
              <a:round/>
            </a:ln>
            <a:effectLst/>
          </c:spPr>
          <c:marker>
            <c:symbol val="circle"/>
            <c:size val="2"/>
            <c:spPr>
              <a:solidFill>
                <a:sysClr val="windowText" lastClr="000000"/>
              </a:solidFill>
              <a:ln w="28621">
                <a:solidFill>
                  <a:schemeClr val="tx1"/>
                </a:solidFill>
              </a:ln>
              <a:effectLst/>
            </c:spPr>
          </c:marker>
          <c:dLbls>
            <c:dLbl>
              <c:idx val="0"/>
              <c:layout>
                <c:manualLayout>
                  <c:x val="-4.69483568075117E-2"/>
                  <c:y val="4.0137614678899002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0-130C-4109-8F81-A8676DEED0FE}"/>
                </c:ext>
              </c:extLst>
            </c:dLbl>
            <c:dLbl>
              <c:idx val="1"/>
              <c:layout>
                <c:manualLayout>
                  <c:x val="-3.5211267605633798E-2"/>
                  <c:y val="5.73394495412844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1-130C-4109-8F81-A8676DEED0FE}"/>
                </c:ext>
              </c:extLst>
            </c:dLbl>
            <c:dLbl>
              <c:idx val="2"/>
              <c:layout>
                <c:manualLayout>
                  <c:x val="-2.9342723004694801E-2"/>
                  <c:y val="4.0137614678899099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2-130C-4109-8F81-A8676DEED0FE}"/>
                </c:ext>
              </c:extLst>
            </c:dLbl>
            <c:dLbl>
              <c:idx val="3"/>
              <c:layout>
                <c:manualLayout>
                  <c:x val="-2.9962154818675799E-2"/>
                  <c:y val="3.7043090370584397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3-130C-4109-8F81-A8676DEED0FE}"/>
                </c:ext>
              </c:extLst>
            </c:dLbl>
            <c:dLbl>
              <c:idx val="4"/>
              <c:layout>
                <c:manualLayout>
                  <c:x val="-2.64084507042254E-2"/>
                  <c:y val="-3.1309145416455998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4-130C-4109-8F81-A8676DEED0FE}"/>
                </c:ext>
              </c:extLst>
            </c:dLbl>
            <c:dLbl>
              <c:idx val="5"/>
              <c:layout>
                <c:manualLayout>
                  <c:x val="-5.8685446009389703E-3"/>
                  <c:y val="-1.7201609116521001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5-130C-4109-8F81-A8676DEED0FE}"/>
                </c:ext>
              </c:extLst>
            </c:dLbl>
            <c:dLbl>
              <c:idx val="8"/>
              <c:layout>
                <c:manualLayout>
                  <c:x val="-1.1737089201877901E-2"/>
                  <c:y val="-8.0275229357798294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6-130C-4109-8F81-A8676DEED0FE}"/>
                </c:ext>
              </c:extLst>
            </c:dLbl>
            <c:dLbl>
              <c:idx val="9"/>
              <c:layout>
                <c:manualLayout>
                  <c:x val="-1.07588741476225E-16"/>
                  <c:y val="-2.2935779816513801E-2"/>
                </c:manualLayout>
              </c:layout>
              <c:dLblPos val="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ext xmlns:c16="http://schemas.microsoft.com/office/drawing/2014/chart" uri="{C3380CC4-5D6E-409C-BE32-E72D297353CC}">
                  <c16:uniqueId val="{00000007-130C-4109-8F81-A8676DEED0FE}"/>
                </c:ext>
              </c:extLst>
            </c:dLbl>
            <c:spPr>
              <a:noFill/>
              <a:ln w="25441">
                <a:noFill/>
              </a:ln>
            </c:spPr>
            <c:txPr>
              <a:bodyPr rot="0" spcFirstLastPara="1" vertOverflow="ellipsis" vert="horz" wrap="square" anchor="ctr" anchorCtr="1"/>
              <a:lstStyle/>
              <a:p>
                <a:pPr rtl="0">
                  <a:defRPr sz="7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0"/>
              </c:ext>
            </c:extLst>
          </c:dLbls>
          <c:cat>
            <c:numRef>
              <c:f>Hoja1!$A$2:$A$12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Hoja1!$B$2:$B$12</c:f>
              <c:numCache>
                <c:formatCode>#,##0</c:formatCode>
                <c:ptCount val="11"/>
                <c:pt idx="0">
                  <c:v>386975</c:v>
                </c:pt>
                <c:pt idx="1">
                  <c:v>443092</c:v>
                </c:pt>
                <c:pt idx="2">
                  <c:v>472727</c:v>
                </c:pt>
                <c:pt idx="3">
                  <c:v>515660</c:v>
                </c:pt>
                <c:pt idx="4">
                  <c:v>535071</c:v>
                </c:pt>
                <c:pt idx="5">
                  <c:v>522653</c:v>
                </c:pt>
                <c:pt idx="6">
                  <c:v>370928</c:v>
                </c:pt>
                <c:pt idx="7">
                  <c:v>243250</c:v>
                </c:pt>
                <c:pt idx="8" formatCode="General">
                  <c:v>72413</c:v>
                </c:pt>
                <c:pt idx="9">
                  <c:v>118073</c:v>
                </c:pt>
                <c:pt idx="10" formatCode="General">
                  <c:v>64078</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8-130C-4109-8F81-A8676DEED0FE}"/>
            </c:ext>
          </c:extLst>
        </c:ser>
        <c:dLbls>
          <c:showLegendKey val="0"/>
          <c:showVal val="0"/>
          <c:showCatName val="0"/>
          <c:showSerName val="0"/>
          <c:showPercent val="0"/>
          <c:showBubbleSize val="0"/>
        </c:dLbls>
        <c:marker val="1"/>
        <c:smooth val="0"/>
        <c:axId val="420856376"/>
        <c:axId val="420860296"/>
      </c:lineChart>
      <c:catAx>
        <c:axId val="420856376"/>
        <c:scaling>
          <c:orientation val="minMax"/>
        </c:scaling>
        <c:delete val="0"/>
        <c:axPos val="b"/>
        <c:numFmt formatCode="General" sourceLinked="1"/>
        <c:majorTickMark val="none"/>
        <c:minorTickMark val="none"/>
        <c:tickLblPos val="nextTo"/>
        <c:spPr>
          <a:noFill/>
          <a:ln w="9540" cap="flat" cmpd="sng" algn="ctr">
            <a:solidFill>
              <a:schemeClr val="tx1">
                <a:lumMod val="15000"/>
                <a:lumOff val="85000"/>
              </a:schemeClr>
            </a:solidFill>
            <a:round/>
          </a:ln>
          <a:effectLst/>
        </c:spPr>
        <c:txPr>
          <a:bodyPr rot="-60000000" spcFirstLastPara="1" vertOverflow="ellipsis" vert="horz" wrap="square" anchor="ctr" anchorCtr="1"/>
          <a:lstStyle/>
          <a:p>
            <a:pPr rtl="0">
              <a:defRPr sz="7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20860296"/>
        <c:crosses val="autoZero"/>
        <c:auto val="1"/>
        <c:lblAlgn val="ctr"/>
        <c:lblOffset val="100"/>
        <c:noMultiLvlLbl val="0"/>
      </c:catAx>
      <c:valAx>
        <c:axId val="420860296"/>
        <c:scaling>
          <c:orientation val="minMax"/>
        </c:scaling>
        <c:delete val="0"/>
        <c:axPos val="l"/>
        <c:numFmt formatCode="#,##0" sourceLinked="1"/>
        <c:majorTickMark val="none"/>
        <c:minorTickMark val="none"/>
        <c:tickLblPos val="nextTo"/>
        <c:spPr>
          <a:ln w="6360">
            <a:noFill/>
          </a:ln>
        </c:spPr>
        <c:txPr>
          <a:bodyPr rot="-60000000" spcFirstLastPara="1" vertOverflow="ellipsis" vert="horz" wrap="square" anchor="ctr" anchorCtr="1"/>
          <a:lstStyle/>
          <a:p>
            <a:pPr rtl="0">
              <a:defRPr sz="7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20856376"/>
        <c:crosses val="autoZero"/>
        <c:crossBetween val="between"/>
      </c:valAx>
      <c:spPr>
        <a:noFill/>
        <a:ln w="25441">
          <a:noFill/>
        </a:ln>
      </c:spPr>
    </c:plotArea>
    <c:plotVisOnly val="1"/>
    <c:dispBlanksAs val="zero"/>
    <c:showDLblsOverMax val="0"/>
  </c:chart>
  <c:spPr>
    <a:solidFill>
      <a:schemeClr val="bg1"/>
    </a:solidFill>
    <a:ln w="9540"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CERD.dotm</Template>
  <TotalTime>1</TotalTime>
  <Pages>28</Pages>
  <Words>15125</Words>
  <Characters>81525</Characters>
  <Application>Microsoft Office Word</Application>
  <DocSecurity>0</DocSecurity>
  <Lines>2264</Lines>
  <Paragraphs>1558</Paragraphs>
  <ScaleCrop>false</ScaleCrop>
  <HeadingPairs>
    <vt:vector size="2" baseType="variant">
      <vt:variant>
        <vt:lpstr>Titre</vt:lpstr>
      </vt:variant>
      <vt:variant>
        <vt:i4>1</vt:i4>
      </vt:variant>
    </vt:vector>
  </HeadingPairs>
  <TitlesOfParts>
    <vt:vector size="1" baseType="lpstr">
      <vt:lpstr>CERD/C/VEN/22-24</vt:lpstr>
    </vt:vector>
  </TitlesOfParts>
  <Company>DCM</Company>
  <LinksUpToDate>false</LinksUpToDate>
  <CharactersWithSpaces>95092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CERD/C/VEN/22-24</dc:title>
  <dc:subject/>
  <dc:creator>Maud DARICHE</dc:creator>
  <cp:keywords/>
  <cp:lastModifiedBy>Maud Garattoni</cp:lastModifiedBy>
  <cp:revision>3</cp:revision>
  <cp:lastPrinted>2022-06-16T05:44:00Z</cp:lastPrinted>
  <dcterms:created xsi:type="dcterms:W3CDTF">2022-06-16T05:44:00Z</dcterms:created>
  <dcterms:modified xsi:type="dcterms:W3CDTF">2022-06-16T05:45:00Z</dcterms:modified>
</cp:coreProperties>
</file>