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CA35DF" w14:paraId="545FCE4C" w14:textId="77777777" w:rsidTr="00B456A0">
        <w:trPr>
          <w:trHeight w:hRule="exact" w:val="810"/>
        </w:trPr>
        <w:tc>
          <w:tcPr>
            <w:tcW w:w="1266" w:type="dxa"/>
            <w:tcBorders>
              <w:top w:val="nil"/>
              <w:bottom w:val="single" w:sz="4" w:space="0" w:color="auto"/>
            </w:tcBorders>
            <w:shd w:val="clear" w:color="auto" w:fill="auto"/>
          </w:tcPr>
          <w:p w14:paraId="5D517FF6" w14:textId="77777777" w:rsidR="00712059" w:rsidRPr="00CA35DF" w:rsidRDefault="00712059" w:rsidP="00E05D37">
            <w:pPr>
              <w:kinsoku w:val="0"/>
              <w:overflowPunct w:val="0"/>
              <w:autoSpaceDE w:val="0"/>
              <w:autoSpaceDN w:val="0"/>
              <w:adjustRightInd w:val="0"/>
              <w:snapToGrid w:val="0"/>
              <w:spacing w:after="80" w:line="480" w:lineRule="exact"/>
              <w:rPr>
                <w:rFonts w:hint="cs"/>
                <w:szCs w:val="40"/>
                <w:rtl/>
              </w:rPr>
            </w:pPr>
          </w:p>
        </w:tc>
        <w:tc>
          <w:tcPr>
            <w:tcW w:w="4767" w:type="dxa"/>
            <w:tcBorders>
              <w:top w:val="nil"/>
              <w:bottom w:val="single" w:sz="4" w:space="0" w:color="auto"/>
            </w:tcBorders>
            <w:shd w:val="clear" w:color="auto" w:fill="auto"/>
            <w:vAlign w:val="bottom"/>
          </w:tcPr>
          <w:p w14:paraId="1AA6D6E9" w14:textId="77777777" w:rsidR="006B3E27" w:rsidRPr="00CA35DF" w:rsidRDefault="006B3E27" w:rsidP="00E2697F">
            <w:pPr>
              <w:spacing w:after="80" w:line="480" w:lineRule="exact"/>
              <w:ind w:left="57"/>
              <w:rPr>
                <w:sz w:val="30"/>
                <w:szCs w:val="30"/>
                <w:rtl/>
              </w:rPr>
            </w:pPr>
            <w:r w:rsidRPr="00CA35DF">
              <w:rPr>
                <w:rFonts w:hint="cs"/>
                <w:sz w:val="30"/>
                <w:szCs w:val="30"/>
                <w:rtl/>
              </w:rPr>
              <w:t>الأمم المتحدة</w:t>
            </w:r>
          </w:p>
        </w:tc>
        <w:tc>
          <w:tcPr>
            <w:tcW w:w="3598" w:type="dxa"/>
            <w:tcBorders>
              <w:top w:val="nil"/>
              <w:bottom w:val="single" w:sz="4" w:space="0" w:color="auto"/>
            </w:tcBorders>
            <w:shd w:val="clear" w:color="auto" w:fill="auto"/>
            <w:vAlign w:val="bottom"/>
          </w:tcPr>
          <w:p w14:paraId="0D8F7A9F" w14:textId="059D6664" w:rsidR="006B3E27" w:rsidRPr="00FD394C" w:rsidRDefault="00FD394C" w:rsidP="00FD394C">
            <w:pPr>
              <w:bidi w:val="0"/>
              <w:rPr>
                <w:szCs w:val="20"/>
              </w:rPr>
            </w:pPr>
            <w:r w:rsidRPr="00FE64D9">
              <w:rPr>
                <w:sz w:val="40"/>
                <w:szCs w:val="20"/>
              </w:rPr>
              <w:t>CAT</w:t>
            </w:r>
            <w:r w:rsidRPr="00FE64D9">
              <w:rPr>
                <w:szCs w:val="20"/>
              </w:rPr>
              <w:t>/C/KGZ/CO/</w:t>
            </w:r>
            <w:r w:rsidRPr="00E83825">
              <w:rPr>
                <w:szCs w:val="20"/>
              </w:rPr>
              <w:t>3</w:t>
            </w:r>
          </w:p>
        </w:tc>
      </w:tr>
      <w:tr w:rsidR="006B3E27" w:rsidRPr="00CA35DF" w14:paraId="4964407F" w14:textId="77777777" w:rsidTr="00B456A0">
        <w:trPr>
          <w:trHeight w:hRule="exact" w:val="2835"/>
        </w:trPr>
        <w:tc>
          <w:tcPr>
            <w:tcW w:w="1266" w:type="dxa"/>
            <w:tcBorders>
              <w:top w:val="nil"/>
              <w:bottom w:val="single" w:sz="12" w:space="0" w:color="auto"/>
            </w:tcBorders>
            <w:shd w:val="clear" w:color="auto" w:fill="auto"/>
          </w:tcPr>
          <w:p w14:paraId="7A7A1DB6" w14:textId="77777777" w:rsidR="006B3E27" w:rsidRPr="00CA35DF" w:rsidRDefault="00261289" w:rsidP="00CA35DF">
            <w:pPr>
              <w:jc w:val="center"/>
              <w:rPr>
                <w:rtl/>
              </w:rPr>
            </w:pPr>
            <w:r w:rsidRPr="00CA35DF">
              <w:rPr>
                <w:noProof/>
                <w:rtl/>
              </w:rPr>
              <w:drawing>
                <wp:inline distT="0" distB="0" distL="0" distR="0" wp14:anchorId="13D888DC" wp14:editId="75070B01">
                  <wp:extent cx="629920" cy="611505"/>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inline>
              </w:drawing>
            </w:r>
          </w:p>
        </w:tc>
        <w:tc>
          <w:tcPr>
            <w:tcW w:w="4767" w:type="dxa"/>
            <w:tcBorders>
              <w:top w:val="nil"/>
              <w:bottom w:val="single" w:sz="12" w:space="0" w:color="auto"/>
            </w:tcBorders>
            <w:shd w:val="clear" w:color="auto" w:fill="auto"/>
          </w:tcPr>
          <w:p w14:paraId="39D2C2BB" w14:textId="77777777" w:rsidR="00A67AF5" w:rsidRPr="00E83825" w:rsidRDefault="00817373" w:rsidP="00D3653E">
            <w:pPr>
              <w:spacing w:before="120" w:after="40" w:line="580" w:lineRule="exact"/>
              <w:ind w:left="57"/>
              <w:rPr>
                <w:b/>
                <w:bCs/>
                <w:sz w:val="42"/>
                <w:szCs w:val="42"/>
              </w:rPr>
            </w:pPr>
            <w:r w:rsidRPr="00E83825">
              <w:rPr>
                <w:rFonts w:hint="cs"/>
                <w:b/>
                <w:bCs/>
                <w:sz w:val="42"/>
                <w:szCs w:val="4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shd w:val="clear" w:color="auto" w:fill="auto"/>
          </w:tcPr>
          <w:p w14:paraId="48F14812" w14:textId="77777777" w:rsidR="00FE64D9" w:rsidRPr="00FE64D9" w:rsidRDefault="00FE64D9" w:rsidP="00FE64D9">
            <w:pPr>
              <w:bidi w:val="0"/>
              <w:spacing w:before="240"/>
              <w:jc w:val="left"/>
              <w:rPr>
                <w:rFonts w:eastAsia="Times New Roman" w:cs="Times New Roman"/>
                <w:szCs w:val="20"/>
                <w:lang w:val="en-GB"/>
              </w:rPr>
            </w:pPr>
            <w:r w:rsidRPr="00FE64D9">
              <w:rPr>
                <w:rFonts w:eastAsia="Times New Roman" w:cs="Times New Roman"/>
                <w:szCs w:val="20"/>
                <w:lang w:val="en-GB"/>
              </w:rPr>
              <w:t>Distr.: General</w:t>
            </w:r>
          </w:p>
          <w:p w14:paraId="6B66A59D" w14:textId="77777777" w:rsidR="00FE64D9" w:rsidRPr="00FE64D9" w:rsidRDefault="00FE64D9" w:rsidP="00FE64D9">
            <w:pPr>
              <w:bidi w:val="0"/>
              <w:jc w:val="left"/>
              <w:rPr>
                <w:rFonts w:eastAsia="Times New Roman" w:cs="Times New Roman"/>
                <w:szCs w:val="20"/>
                <w:lang w:val="en-GB"/>
              </w:rPr>
            </w:pPr>
            <w:r w:rsidRPr="00E83825">
              <w:rPr>
                <w:rFonts w:eastAsia="Times New Roman" w:cs="Times New Roman"/>
                <w:szCs w:val="20"/>
                <w:lang w:val="en-GB"/>
              </w:rPr>
              <w:t>21</w:t>
            </w:r>
            <w:r w:rsidRPr="00FE64D9">
              <w:rPr>
                <w:rFonts w:eastAsia="Times New Roman" w:cs="Times New Roman"/>
                <w:szCs w:val="20"/>
                <w:lang w:val="en-GB"/>
              </w:rPr>
              <w:t xml:space="preserve"> December </w:t>
            </w:r>
            <w:r w:rsidRPr="00E83825">
              <w:rPr>
                <w:rFonts w:eastAsia="Times New Roman" w:cs="Times New Roman"/>
                <w:szCs w:val="20"/>
                <w:lang w:val="en-GB"/>
              </w:rPr>
              <w:t>2021</w:t>
            </w:r>
          </w:p>
          <w:p w14:paraId="5BEC7863" w14:textId="456CC136" w:rsidR="00FE64D9" w:rsidRPr="00FE64D9" w:rsidRDefault="00FE64D9" w:rsidP="00FE64D9">
            <w:pPr>
              <w:bidi w:val="0"/>
              <w:jc w:val="left"/>
              <w:rPr>
                <w:rFonts w:eastAsia="Times New Roman" w:cs="Times New Roman"/>
                <w:szCs w:val="20"/>
                <w:lang w:val="en-GB"/>
              </w:rPr>
            </w:pPr>
            <w:r>
              <w:rPr>
                <w:rFonts w:eastAsia="Times New Roman" w:cs="Times New Roman"/>
                <w:szCs w:val="20"/>
                <w:lang w:val="en-GB"/>
              </w:rPr>
              <w:t>Arabic</w:t>
            </w:r>
          </w:p>
          <w:p w14:paraId="65856443" w14:textId="19D34DA7" w:rsidR="00FD394C" w:rsidRPr="00FE64D9" w:rsidRDefault="00FE64D9" w:rsidP="00FE64D9">
            <w:pPr>
              <w:bidi w:val="0"/>
              <w:spacing w:line="240" w:lineRule="exact"/>
              <w:jc w:val="left"/>
              <w:rPr>
                <w:szCs w:val="20"/>
                <w:lang w:val="en-GB"/>
              </w:rPr>
            </w:pPr>
            <w:r w:rsidRPr="00FE64D9">
              <w:rPr>
                <w:rFonts w:eastAsia="Times New Roman" w:cs="Times New Roman"/>
                <w:szCs w:val="20"/>
                <w:lang w:val="en-GB"/>
              </w:rPr>
              <w:t>Original: English</w:t>
            </w:r>
          </w:p>
        </w:tc>
      </w:tr>
    </w:tbl>
    <w:p w14:paraId="5B35F6D6" w14:textId="50433FF6" w:rsidR="00F0516B" w:rsidRPr="00E83825" w:rsidRDefault="00F0516B" w:rsidP="00F0516B">
      <w:pPr>
        <w:pStyle w:val="SingleTxtGA"/>
        <w:spacing w:before="120"/>
        <w:ind w:left="0"/>
        <w:rPr>
          <w:rFonts w:hint="cs"/>
          <w:b/>
          <w:bCs/>
          <w:sz w:val="26"/>
          <w:szCs w:val="26"/>
          <w:rtl/>
          <w:lang w:val="en-US"/>
        </w:rPr>
      </w:pPr>
      <w:r w:rsidRPr="00E83825">
        <w:rPr>
          <w:b/>
          <w:bCs/>
          <w:sz w:val="26"/>
          <w:szCs w:val="26"/>
          <w:rtl/>
          <w:lang w:val="en-US"/>
        </w:rPr>
        <w:t>لجنة مناهضة التعذيب</w:t>
      </w:r>
    </w:p>
    <w:p w14:paraId="404B4A55" w14:textId="726564A0" w:rsidR="00F0516B" w:rsidRPr="00E83825" w:rsidRDefault="00F0516B" w:rsidP="00F0516B">
      <w:pPr>
        <w:pStyle w:val="HChGA"/>
      </w:pPr>
      <w:r w:rsidRPr="00E83825">
        <w:rPr>
          <w:rtl/>
        </w:rPr>
        <w:tab/>
      </w:r>
      <w:r w:rsidRPr="00E83825">
        <w:rPr>
          <w:rtl/>
        </w:rPr>
        <w:tab/>
        <w:t>الملاحظات الختامية بشأن التقرير الدوري الثالث لقيرغيزستان</w:t>
      </w:r>
      <w:r w:rsidRPr="00E83825">
        <w:rPr>
          <w:rStyle w:val="FootnoteReference"/>
          <w:sz w:val="22"/>
          <w:szCs w:val="22"/>
          <w:vertAlign w:val="baseline"/>
          <w:rtl/>
        </w:rPr>
        <w:footnoteReference w:customMarkFollows="1" w:id="1"/>
        <w:t>*</w:t>
      </w:r>
    </w:p>
    <w:p w14:paraId="236F6982" w14:textId="6C2ECC1A" w:rsidR="00F0516B" w:rsidRDefault="00F0516B" w:rsidP="00F0516B">
      <w:pPr>
        <w:pStyle w:val="SingleTxtGA"/>
        <w:rPr>
          <w:rtl/>
          <w:lang w:val="en-US"/>
        </w:rPr>
      </w:pPr>
      <w:r w:rsidRPr="00E83825">
        <w:rPr>
          <w:rtl/>
          <w:lang w:val="en-US"/>
        </w:rPr>
        <w:t>1</w:t>
      </w:r>
      <w:r w:rsidRPr="00F0516B">
        <w:rPr>
          <w:rtl/>
          <w:lang w:val="en-US"/>
        </w:rPr>
        <w:t>-</w:t>
      </w:r>
      <w:r w:rsidRPr="00F0516B">
        <w:rPr>
          <w:rtl/>
          <w:lang w:val="en-US"/>
        </w:rPr>
        <w:tab/>
        <w:t xml:space="preserve">نظرت لجنة مناهضة التعذيب في التقرير الدوري الثالث </w:t>
      </w:r>
      <w:proofErr w:type="gramStart"/>
      <w:r w:rsidRPr="00F0516B">
        <w:rPr>
          <w:rtl/>
          <w:lang w:val="en-US"/>
        </w:rPr>
        <w:t>لقيرغيزستان</w:t>
      </w:r>
      <w:r w:rsidRPr="00F0516B">
        <w:rPr>
          <w:vertAlign w:val="superscript"/>
          <w:rtl/>
          <w:lang w:val="en-US"/>
        </w:rPr>
        <w:t>(</w:t>
      </w:r>
      <w:proofErr w:type="gramEnd"/>
      <w:r w:rsidRPr="00E83825">
        <w:rPr>
          <w:rStyle w:val="FootnoteReference"/>
          <w:szCs w:val="22"/>
          <w:lang w:val="en-US"/>
        </w:rPr>
        <w:footnoteReference w:id="2"/>
      </w:r>
      <w:r w:rsidRPr="00F0516B">
        <w:rPr>
          <w:vertAlign w:val="superscript"/>
          <w:rtl/>
          <w:lang w:val="en-US"/>
        </w:rPr>
        <w:t>)</w:t>
      </w:r>
      <w:r w:rsidRPr="00F0516B">
        <w:rPr>
          <w:rtl/>
          <w:lang w:val="en-US"/>
        </w:rPr>
        <w:t xml:space="preserve"> في جلستيها </w:t>
      </w:r>
      <w:r w:rsidRPr="00E83825">
        <w:rPr>
          <w:rtl/>
          <w:lang w:val="en-US"/>
        </w:rPr>
        <w:t>1844</w:t>
      </w:r>
      <w:r w:rsidRPr="00F0516B">
        <w:rPr>
          <w:rtl/>
          <w:lang w:val="en-US"/>
        </w:rPr>
        <w:t xml:space="preserve"> و</w:t>
      </w:r>
      <w:r w:rsidRPr="00E83825">
        <w:rPr>
          <w:rtl/>
          <w:lang w:val="en-US"/>
        </w:rPr>
        <w:t>1847</w:t>
      </w:r>
      <w:r w:rsidRPr="00F0516B">
        <w:rPr>
          <w:vertAlign w:val="superscript"/>
          <w:rtl/>
          <w:lang w:val="en-US"/>
        </w:rPr>
        <w:t>(</w:t>
      </w:r>
      <w:r w:rsidRPr="00E83825">
        <w:rPr>
          <w:rStyle w:val="FootnoteReference"/>
          <w:szCs w:val="22"/>
          <w:lang w:val="en-US"/>
        </w:rPr>
        <w:footnoteReference w:id="3"/>
      </w:r>
      <w:r w:rsidRPr="00F0516B">
        <w:rPr>
          <w:vertAlign w:val="superscript"/>
          <w:rtl/>
          <w:lang w:val="en-US"/>
        </w:rPr>
        <w:t>)</w:t>
      </w:r>
      <w:r w:rsidR="00FE64D9">
        <w:rPr>
          <w:rtl/>
          <w:lang w:val="en-US"/>
        </w:rPr>
        <w:t>،</w:t>
      </w:r>
      <w:r w:rsidRPr="00F0516B">
        <w:rPr>
          <w:rtl/>
          <w:lang w:val="en-US"/>
        </w:rPr>
        <w:t xml:space="preserve"> المعقودتين في </w:t>
      </w:r>
      <w:r w:rsidRPr="00E83825">
        <w:rPr>
          <w:rtl/>
          <w:lang w:val="en-US"/>
        </w:rPr>
        <w:t>10</w:t>
      </w:r>
      <w:r w:rsidRPr="00F0516B">
        <w:rPr>
          <w:rtl/>
          <w:lang w:val="en-US"/>
        </w:rPr>
        <w:t xml:space="preserve"> و</w:t>
      </w:r>
      <w:r w:rsidRPr="00E83825">
        <w:rPr>
          <w:rtl/>
          <w:lang w:val="en-US"/>
        </w:rPr>
        <w:t>11</w:t>
      </w:r>
      <w:r w:rsidRPr="00F0516B">
        <w:rPr>
          <w:rtl/>
          <w:lang w:val="en-US"/>
        </w:rPr>
        <w:t xml:space="preserve"> تشرين الثاني/نوفمبر </w:t>
      </w:r>
      <w:r w:rsidRPr="00E83825">
        <w:rPr>
          <w:rtl/>
          <w:lang w:val="en-US"/>
        </w:rPr>
        <w:t>2021</w:t>
      </w:r>
      <w:r w:rsidR="00FE64D9">
        <w:rPr>
          <w:rtl/>
          <w:lang w:val="en-US"/>
        </w:rPr>
        <w:t>،</w:t>
      </w:r>
      <w:r w:rsidRPr="00F0516B">
        <w:rPr>
          <w:rtl/>
          <w:lang w:val="en-US"/>
        </w:rPr>
        <w:t xml:space="preserve"> واعتمدت هذه الملاحظات الختامية في جلستها </w:t>
      </w:r>
      <w:r w:rsidRPr="00E83825">
        <w:rPr>
          <w:rtl/>
          <w:lang w:val="en-US"/>
        </w:rPr>
        <w:t>1868</w:t>
      </w:r>
      <w:r w:rsidR="00FE64D9">
        <w:rPr>
          <w:rtl/>
          <w:lang w:val="en-US"/>
        </w:rPr>
        <w:t>،</w:t>
      </w:r>
      <w:r w:rsidRPr="00F0516B">
        <w:rPr>
          <w:rtl/>
          <w:lang w:val="en-US"/>
        </w:rPr>
        <w:t xml:space="preserve"> المعقودة في </w:t>
      </w:r>
      <w:r w:rsidRPr="00E83825">
        <w:rPr>
          <w:rtl/>
          <w:lang w:val="en-US"/>
        </w:rPr>
        <w:t>26</w:t>
      </w:r>
      <w:r w:rsidRPr="00F0516B">
        <w:rPr>
          <w:rtl/>
          <w:lang w:val="en-US"/>
        </w:rPr>
        <w:t xml:space="preserve"> تشرين الثاني/نوفمبر </w:t>
      </w:r>
      <w:r w:rsidRPr="00E83825">
        <w:rPr>
          <w:rtl/>
          <w:lang w:val="en-US"/>
        </w:rPr>
        <w:t>2021</w:t>
      </w:r>
      <w:r w:rsidRPr="00F0516B">
        <w:rPr>
          <w:rtl/>
          <w:lang w:val="en-US"/>
        </w:rPr>
        <w:t xml:space="preserve">. </w:t>
      </w:r>
    </w:p>
    <w:p w14:paraId="042F76C6" w14:textId="3034DD4B" w:rsidR="00F0516B" w:rsidRPr="00E83825" w:rsidRDefault="00F0516B" w:rsidP="00F0516B">
      <w:pPr>
        <w:pStyle w:val="H1GA"/>
      </w:pPr>
      <w:r w:rsidRPr="00E83825">
        <w:rPr>
          <w:rtl/>
        </w:rPr>
        <w:tab/>
        <w:t>ألف-</w:t>
      </w:r>
      <w:r w:rsidRPr="00E83825">
        <w:rPr>
          <w:rtl/>
        </w:rPr>
        <w:tab/>
        <w:t>مقدمة</w:t>
      </w:r>
    </w:p>
    <w:p w14:paraId="2BEC358A" w14:textId="1F4B80F9" w:rsidR="00F0516B" w:rsidRPr="00F0516B" w:rsidRDefault="00F0516B" w:rsidP="00F0516B">
      <w:pPr>
        <w:pStyle w:val="SingleTxtGA"/>
        <w:rPr>
          <w:lang w:val="en-US"/>
        </w:rPr>
      </w:pPr>
      <w:r w:rsidRPr="00E83825">
        <w:rPr>
          <w:rtl/>
          <w:lang w:val="en-US"/>
        </w:rPr>
        <w:t>2</w:t>
      </w:r>
      <w:r w:rsidRPr="00F0516B">
        <w:rPr>
          <w:rtl/>
          <w:lang w:val="en-US"/>
        </w:rPr>
        <w:t>-</w:t>
      </w:r>
      <w:r w:rsidRPr="00F0516B">
        <w:rPr>
          <w:rtl/>
          <w:lang w:val="en-US"/>
        </w:rPr>
        <w:tab/>
        <w:t>تعرب اللجنة عن تقديرها للدولة الطرف لقبولها العمل بالإجراء المبسّط لتقديم التقارير</w:t>
      </w:r>
      <w:r w:rsidR="00FE64D9">
        <w:rPr>
          <w:rtl/>
          <w:lang w:val="en-US"/>
        </w:rPr>
        <w:t>،</w:t>
      </w:r>
      <w:r w:rsidRPr="00F0516B">
        <w:rPr>
          <w:rtl/>
          <w:lang w:val="en-US"/>
        </w:rPr>
        <w:t xml:space="preserve"> لأن ذلك يتيح إجراء حوار أكثر تركيزاً بين الدولة الطرف واللجنة. بيد أن اللجنة تأسف لأن التقرير قدم بعد تأخير دام أكثر من سنة.</w:t>
      </w:r>
    </w:p>
    <w:p w14:paraId="1FCEBE09" w14:textId="2FA55668" w:rsidR="00F0516B" w:rsidRPr="00F0516B" w:rsidRDefault="00F0516B" w:rsidP="00F0516B">
      <w:pPr>
        <w:pStyle w:val="SingleTxtGA"/>
        <w:rPr>
          <w:lang w:val="en-US"/>
        </w:rPr>
      </w:pPr>
      <w:r w:rsidRPr="00E83825">
        <w:rPr>
          <w:rtl/>
          <w:lang w:val="en-US"/>
        </w:rPr>
        <w:t>3</w:t>
      </w:r>
      <w:r w:rsidRPr="00F0516B">
        <w:rPr>
          <w:rtl/>
          <w:lang w:val="en-US"/>
        </w:rPr>
        <w:t>-</w:t>
      </w:r>
      <w:r w:rsidRPr="00F0516B">
        <w:rPr>
          <w:rtl/>
          <w:lang w:val="en-US"/>
        </w:rPr>
        <w:tab/>
      </w:r>
      <w:r w:rsidRPr="001765AA">
        <w:rPr>
          <w:spacing w:val="-4"/>
          <w:rtl/>
          <w:lang w:val="en-US"/>
        </w:rPr>
        <w:t>وترحب اللجنة بالحوار البناء مع وفد الدولة الطرف وبما قدمه من ردود شفوية على الأسئلة والشواغل</w:t>
      </w:r>
      <w:r w:rsidRPr="00F0516B">
        <w:rPr>
          <w:rtl/>
          <w:lang w:val="en-US"/>
        </w:rPr>
        <w:t xml:space="preserve"> التي أثيرت أثناء النظر في التقرير.</w:t>
      </w:r>
    </w:p>
    <w:p w14:paraId="595D1D02" w14:textId="771A5644" w:rsidR="00F0516B" w:rsidRPr="00E83825" w:rsidRDefault="00F0516B" w:rsidP="00F0516B">
      <w:pPr>
        <w:pStyle w:val="H1GA"/>
      </w:pPr>
      <w:r w:rsidRPr="00E83825">
        <w:rPr>
          <w:rtl/>
        </w:rPr>
        <w:tab/>
        <w:t>باء-</w:t>
      </w:r>
      <w:r w:rsidRPr="00E83825">
        <w:rPr>
          <w:rtl/>
        </w:rPr>
        <w:tab/>
        <w:t>الجوانب الإيجابية</w:t>
      </w:r>
    </w:p>
    <w:p w14:paraId="642EC957" w14:textId="28B9EF93" w:rsidR="00F0516B" w:rsidRPr="00F0516B" w:rsidRDefault="00F0516B" w:rsidP="00F0516B">
      <w:pPr>
        <w:pStyle w:val="SingleTxtGA"/>
        <w:rPr>
          <w:rFonts w:hint="cs"/>
          <w:spacing w:val="-2"/>
          <w:rtl/>
          <w:lang w:val="en-US"/>
        </w:rPr>
      </w:pPr>
      <w:r w:rsidRPr="00E83825">
        <w:rPr>
          <w:spacing w:val="-2"/>
          <w:rtl/>
          <w:lang w:val="en-US"/>
        </w:rPr>
        <w:t>4</w:t>
      </w:r>
      <w:r w:rsidRPr="00F0516B">
        <w:rPr>
          <w:spacing w:val="-2"/>
          <w:rtl/>
          <w:lang w:val="en-US"/>
        </w:rPr>
        <w:t>-</w:t>
      </w:r>
      <w:r w:rsidRPr="00F0516B">
        <w:rPr>
          <w:spacing w:val="-2"/>
          <w:rtl/>
          <w:lang w:val="en-US"/>
        </w:rPr>
        <w:tab/>
        <w:t>ترحب اللجنة</w:t>
      </w:r>
      <w:r w:rsidRPr="00F0516B">
        <w:rPr>
          <w:rFonts w:hint="cs"/>
          <w:spacing w:val="-2"/>
          <w:rtl/>
          <w:lang w:val="en-US"/>
        </w:rPr>
        <w:t xml:space="preserve"> </w:t>
      </w:r>
      <w:r w:rsidRPr="00F0516B">
        <w:rPr>
          <w:spacing w:val="-2"/>
          <w:rtl/>
          <w:lang w:val="en-US"/>
        </w:rPr>
        <w:t xml:space="preserve">بتصديق الدولة الطرف على اتفاقية حقوق الأشخاص ذوي الإعاقة في عام </w:t>
      </w:r>
      <w:r w:rsidRPr="00E83825">
        <w:rPr>
          <w:spacing w:val="-2"/>
          <w:rtl/>
          <w:lang w:val="en-US"/>
        </w:rPr>
        <w:t>2019</w:t>
      </w:r>
      <w:r w:rsidRPr="00F0516B">
        <w:rPr>
          <w:spacing w:val="-2"/>
          <w:rtl/>
          <w:lang w:val="en-US"/>
        </w:rPr>
        <w:t>.</w:t>
      </w:r>
    </w:p>
    <w:p w14:paraId="71EEF2DB" w14:textId="3C3B6F77" w:rsidR="00F0516B" w:rsidRPr="00F0516B" w:rsidRDefault="00F0516B" w:rsidP="00F0516B">
      <w:pPr>
        <w:pStyle w:val="SingleTxtGA"/>
        <w:rPr>
          <w:lang w:val="en-US"/>
        </w:rPr>
      </w:pPr>
      <w:r w:rsidRPr="00E83825">
        <w:rPr>
          <w:rtl/>
          <w:lang w:val="en-US"/>
        </w:rPr>
        <w:t>5</w:t>
      </w:r>
      <w:r w:rsidRPr="00F0516B">
        <w:rPr>
          <w:rtl/>
          <w:lang w:val="en-US"/>
        </w:rPr>
        <w:t>-</w:t>
      </w:r>
      <w:r w:rsidRPr="00F0516B">
        <w:rPr>
          <w:rtl/>
          <w:lang w:val="en-US"/>
        </w:rPr>
        <w:tab/>
        <w:t>وترحب اللجنة أيضاً بالمبادرات التي اتخذتها الدولة الطرف لتنقيح تشريعاتها في الميادين ذات الصلة بالاتفاقية</w:t>
      </w:r>
      <w:r w:rsidR="00FE64D9">
        <w:rPr>
          <w:rtl/>
          <w:lang w:val="en-US"/>
        </w:rPr>
        <w:t>،</w:t>
      </w:r>
      <w:r w:rsidRPr="00F0516B">
        <w:rPr>
          <w:rtl/>
          <w:lang w:val="en-US"/>
        </w:rPr>
        <w:t xml:space="preserve"> بما في ذلك: </w:t>
      </w:r>
    </w:p>
    <w:p w14:paraId="76E7BD1B" w14:textId="71318DDC" w:rsidR="00F0516B" w:rsidRPr="00F0516B" w:rsidRDefault="00F0516B" w:rsidP="00F0516B">
      <w:pPr>
        <w:pStyle w:val="SingleTxtGA"/>
        <w:rPr>
          <w:lang w:val="en-US"/>
        </w:rPr>
      </w:pPr>
      <w:r>
        <w:rPr>
          <w:rtl/>
          <w:lang w:val="en-US"/>
        </w:rPr>
        <w:tab/>
      </w:r>
      <w:r w:rsidRPr="00F0516B">
        <w:rPr>
          <w:rtl/>
          <w:lang w:val="en-US"/>
        </w:rPr>
        <w:t>(أ)</w:t>
      </w:r>
      <w:r w:rsidRPr="00F0516B">
        <w:rPr>
          <w:rtl/>
          <w:lang w:val="en-US"/>
        </w:rPr>
        <w:tab/>
        <w:t xml:space="preserve">اعتماد المادة </w:t>
      </w:r>
      <w:r w:rsidRPr="00E83825">
        <w:rPr>
          <w:rtl/>
          <w:lang w:val="en-US"/>
        </w:rPr>
        <w:t>56</w:t>
      </w:r>
      <w:r w:rsidRPr="00F0516B">
        <w:rPr>
          <w:rtl/>
          <w:lang w:val="en-US"/>
        </w:rPr>
        <w:t xml:space="preserve"> من الدستور</w:t>
      </w:r>
      <w:r w:rsidR="00FE64D9">
        <w:rPr>
          <w:rtl/>
          <w:lang w:val="en-US"/>
        </w:rPr>
        <w:t>،</w:t>
      </w:r>
      <w:r w:rsidRPr="00F0516B">
        <w:rPr>
          <w:rtl/>
          <w:lang w:val="en-US"/>
        </w:rPr>
        <w:t xml:space="preserve"> في نيسان/أبريل </w:t>
      </w:r>
      <w:r w:rsidRPr="00E83825">
        <w:rPr>
          <w:rtl/>
          <w:lang w:val="en-US"/>
        </w:rPr>
        <w:t>2021</w:t>
      </w:r>
      <w:r w:rsidR="00FE64D9">
        <w:rPr>
          <w:rtl/>
          <w:lang w:val="en-US"/>
        </w:rPr>
        <w:t>،</w:t>
      </w:r>
      <w:r w:rsidRPr="00F0516B">
        <w:rPr>
          <w:rtl/>
          <w:lang w:val="en-US"/>
        </w:rPr>
        <w:t xml:space="preserve"> التي تنص على أنه لا يجوز إخضاع أحد للتعذيب أو المعاملة أو العقوبة القاسية أو اللاإنسانية أو المهينة وعلى أن التعذيب جريمة؛</w:t>
      </w:r>
    </w:p>
    <w:p w14:paraId="334EB743" w14:textId="59B039BF" w:rsidR="00F0516B" w:rsidRPr="00F0516B" w:rsidRDefault="00F0516B" w:rsidP="00F0516B">
      <w:pPr>
        <w:pStyle w:val="SingleTxtGA"/>
        <w:rPr>
          <w:lang w:val="en-US"/>
        </w:rPr>
      </w:pPr>
      <w:r>
        <w:rPr>
          <w:rtl/>
          <w:lang w:val="en-US"/>
        </w:rPr>
        <w:tab/>
      </w:r>
      <w:r w:rsidRPr="00F0516B">
        <w:rPr>
          <w:rtl/>
          <w:lang w:val="en-US"/>
        </w:rPr>
        <w:t>(ب)</w:t>
      </w:r>
      <w:r w:rsidRPr="00F0516B">
        <w:rPr>
          <w:rtl/>
          <w:lang w:val="en-US"/>
        </w:rPr>
        <w:tab/>
        <w:t xml:space="preserve">اعتماد قانون جنائي جديد في كانون الثاني/يناير </w:t>
      </w:r>
      <w:r w:rsidRPr="00E83825">
        <w:rPr>
          <w:rtl/>
          <w:lang w:val="en-US"/>
        </w:rPr>
        <w:t>2019</w:t>
      </w:r>
      <w:r w:rsidRPr="00F0516B">
        <w:rPr>
          <w:rtl/>
          <w:lang w:val="en-US"/>
        </w:rPr>
        <w:t xml:space="preserve"> وقانون جديد للإجراءات الجنائية يحظران التعذيب وإساءة المعاملة</w:t>
      </w:r>
      <w:r w:rsidR="00FE64D9">
        <w:rPr>
          <w:rtl/>
          <w:lang w:val="en-US"/>
        </w:rPr>
        <w:t>،</w:t>
      </w:r>
      <w:r w:rsidRPr="00F0516B">
        <w:rPr>
          <w:rtl/>
          <w:lang w:val="en-US"/>
        </w:rPr>
        <w:t xml:space="preserve"> ويستبعدان الأدلة المنتزعة بواسطة التعذيب وغيره من ضروب إساءة المعاملة</w:t>
      </w:r>
      <w:r w:rsidR="00FE64D9">
        <w:rPr>
          <w:rtl/>
          <w:lang w:val="en-US"/>
        </w:rPr>
        <w:t>،</w:t>
      </w:r>
      <w:r w:rsidRPr="00F0516B">
        <w:rPr>
          <w:rtl/>
          <w:lang w:val="en-US"/>
        </w:rPr>
        <w:t xml:space="preserve"> ويفرضان عقوبات مناسبة على جريمة التعذيب؛</w:t>
      </w:r>
    </w:p>
    <w:p w14:paraId="6DD941F4" w14:textId="12E3599D" w:rsidR="00F0516B" w:rsidRPr="00FE64D9" w:rsidRDefault="00F0516B" w:rsidP="00F0516B">
      <w:pPr>
        <w:pStyle w:val="SingleTxtGA"/>
        <w:rPr>
          <w:spacing w:val="-5"/>
          <w:lang w:val="en-US"/>
        </w:rPr>
      </w:pPr>
      <w:r w:rsidRPr="00FE64D9">
        <w:rPr>
          <w:spacing w:val="-5"/>
          <w:rtl/>
          <w:lang w:val="en-US"/>
        </w:rPr>
        <w:tab/>
        <w:t>(ج)</w:t>
      </w:r>
      <w:r w:rsidRPr="00FE64D9">
        <w:rPr>
          <w:spacing w:val="-5"/>
          <w:rtl/>
          <w:lang w:val="en-US"/>
        </w:rPr>
        <w:tab/>
        <w:t>اعتماد قانون الحماية من العنف الأسري</w:t>
      </w:r>
      <w:r w:rsidR="00FE64D9" w:rsidRPr="00FE64D9">
        <w:rPr>
          <w:spacing w:val="-5"/>
          <w:rtl/>
          <w:lang w:val="en-US"/>
        </w:rPr>
        <w:t>،</w:t>
      </w:r>
      <w:r w:rsidRPr="00FE64D9">
        <w:rPr>
          <w:spacing w:val="-5"/>
          <w:rtl/>
          <w:lang w:val="en-US"/>
        </w:rPr>
        <w:t xml:space="preserve"> الذي يجرم على العنف الأسري</w:t>
      </w:r>
      <w:r w:rsidR="00FE64D9" w:rsidRPr="00FE64D9">
        <w:rPr>
          <w:spacing w:val="-5"/>
          <w:rtl/>
          <w:lang w:val="en-US"/>
        </w:rPr>
        <w:t>،</w:t>
      </w:r>
      <w:r w:rsidRPr="00FE64D9">
        <w:rPr>
          <w:spacing w:val="-5"/>
          <w:rtl/>
          <w:lang w:val="en-US"/>
        </w:rPr>
        <w:t xml:space="preserve"> في عام </w:t>
      </w:r>
      <w:r w:rsidRPr="00E83825">
        <w:rPr>
          <w:spacing w:val="-5"/>
          <w:rtl/>
          <w:lang w:val="en-US"/>
        </w:rPr>
        <w:t>2017</w:t>
      </w:r>
      <w:r w:rsidRPr="00FE64D9">
        <w:rPr>
          <w:spacing w:val="-5"/>
          <w:rtl/>
          <w:lang w:val="en-US"/>
        </w:rPr>
        <w:t xml:space="preserve">؛ </w:t>
      </w:r>
    </w:p>
    <w:p w14:paraId="42C42BD2" w14:textId="71929B9F" w:rsidR="00F0516B" w:rsidRPr="00F0516B" w:rsidRDefault="00F0516B" w:rsidP="00F0516B">
      <w:pPr>
        <w:pStyle w:val="SingleTxtGA"/>
        <w:rPr>
          <w:rFonts w:hint="cs"/>
          <w:rtl/>
          <w:lang w:val="en-US"/>
        </w:rPr>
      </w:pPr>
      <w:r>
        <w:rPr>
          <w:rtl/>
          <w:lang w:val="en-US"/>
        </w:rPr>
        <w:lastRenderedPageBreak/>
        <w:tab/>
      </w:r>
      <w:r w:rsidRPr="00F0516B">
        <w:rPr>
          <w:rtl/>
          <w:lang w:val="en-US"/>
        </w:rPr>
        <w:t>(د)</w:t>
      </w:r>
      <w:r w:rsidRPr="00F0516B">
        <w:rPr>
          <w:rtl/>
          <w:lang w:val="en-US"/>
        </w:rPr>
        <w:tab/>
        <w:t xml:space="preserve">إدخال تعديلات على القانون الجنائي وقانون الأسرة تتعلق بمنع زواج القصر في تشرين الثاني/نوفمبر </w:t>
      </w:r>
      <w:r w:rsidRPr="00E83825">
        <w:rPr>
          <w:rtl/>
          <w:lang w:val="en-US"/>
        </w:rPr>
        <w:t>2016</w:t>
      </w:r>
      <w:r w:rsidRPr="00F0516B">
        <w:rPr>
          <w:rtl/>
          <w:lang w:val="en-US"/>
        </w:rPr>
        <w:t xml:space="preserve">؛ </w:t>
      </w:r>
    </w:p>
    <w:p w14:paraId="7AD1ECA1" w14:textId="6ABF95E8" w:rsidR="00F0516B" w:rsidRPr="00F0516B" w:rsidRDefault="00F0516B" w:rsidP="00F0516B">
      <w:pPr>
        <w:pStyle w:val="SingleTxtGA"/>
        <w:rPr>
          <w:lang w:val="en-US"/>
        </w:rPr>
      </w:pPr>
      <w:r>
        <w:rPr>
          <w:rtl/>
          <w:lang w:val="en-US"/>
        </w:rPr>
        <w:tab/>
      </w:r>
      <w:r w:rsidRPr="00F0516B">
        <w:rPr>
          <w:rtl/>
          <w:lang w:val="en-US"/>
        </w:rPr>
        <w:t>(هـ)</w:t>
      </w:r>
      <w:r w:rsidRPr="00F0516B">
        <w:rPr>
          <w:rtl/>
          <w:lang w:val="en-US"/>
        </w:rPr>
        <w:tab/>
        <w:t>اعتماد قانون إنفاذ العقوبات وقانون الجرائم البسيطة</w:t>
      </w:r>
      <w:r w:rsidR="00FE64D9">
        <w:rPr>
          <w:rtl/>
          <w:lang w:val="en-US"/>
        </w:rPr>
        <w:t>،</w:t>
      </w:r>
      <w:r w:rsidRPr="00F0516B">
        <w:rPr>
          <w:rtl/>
          <w:lang w:val="en-US"/>
        </w:rPr>
        <w:t xml:space="preserve"> في نيسان/أبريل </w:t>
      </w:r>
      <w:r w:rsidRPr="00E83825">
        <w:rPr>
          <w:rtl/>
          <w:lang w:val="en-US"/>
        </w:rPr>
        <w:t>2021</w:t>
      </w:r>
      <w:r w:rsidRPr="00F0516B">
        <w:rPr>
          <w:rtl/>
          <w:lang w:val="en-US"/>
        </w:rPr>
        <w:t>.</w:t>
      </w:r>
    </w:p>
    <w:p w14:paraId="626FD86B" w14:textId="7EEA789F" w:rsidR="00F0516B" w:rsidRPr="00F0516B" w:rsidRDefault="00F0516B" w:rsidP="00F0516B">
      <w:pPr>
        <w:pStyle w:val="SingleTxtGA"/>
        <w:rPr>
          <w:lang w:val="en-US"/>
        </w:rPr>
      </w:pPr>
      <w:r w:rsidRPr="00E83825">
        <w:rPr>
          <w:rtl/>
          <w:lang w:val="en-US"/>
        </w:rPr>
        <w:t>6</w:t>
      </w:r>
      <w:r w:rsidRPr="00F0516B">
        <w:rPr>
          <w:rtl/>
          <w:lang w:val="en-US"/>
        </w:rPr>
        <w:t>-</w:t>
      </w:r>
      <w:r w:rsidRPr="00F0516B">
        <w:rPr>
          <w:rtl/>
          <w:lang w:val="en-US"/>
        </w:rPr>
        <w:tab/>
        <w:t>وتشيد اللجنة بالمبادرات التي اتخذتها الدولة الطرف من أجل تعديل سياساتها وإجراءاتها بغية توفير حماية أكبر لحقوق الإنسان وتطبيق الاتفاقية</w:t>
      </w:r>
      <w:r w:rsidR="00FE64D9">
        <w:rPr>
          <w:rtl/>
          <w:lang w:val="en-US"/>
        </w:rPr>
        <w:t>،</w:t>
      </w:r>
      <w:r w:rsidRPr="00F0516B">
        <w:rPr>
          <w:rtl/>
          <w:lang w:val="en-US"/>
        </w:rPr>
        <w:t xml:space="preserve"> ومنها على وجه الخصوص ما يلي:</w:t>
      </w:r>
    </w:p>
    <w:p w14:paraId="77CE6B7E" w14:textId="7AF6A057" w:rsidR="00F0516B" w:rsidRPr="00F0516B" w:rsidRDefault="00F0516B" w:rsidP="00F0516B">
      <w:pPr>
        <w:pStyle w:val="SingleTxtGA"/>
        <w:rPr>
          <w:lang w:val="en-US"/>
        </w:rPr>
      </w:pPr>
      <w:r>
        <w:rPr>
          <w:rtl/>
          <w:lang w:val="en-US"/>
        </w:rPr>
        <w:tab/>
      </w:r>
      <w:r w:rsidRPr="00F0516B">
        <w:rPr>
          <w:rtl/>
          <w:lang w:val="en-US"/>
        </w:rPr>
        <w:t>(أ)</w:t>
      </w:r>
      <w:r w:rsidRPr="00F0516B">
        <w:rPr>
          <w:rtl/>
          <w:lang w:val="en-US"/>
        </w:rPr>
        <w:tab/>
        <w:t>اعتماد خطة العمل الوطنية لحقوق الإنسان (</w:t>
      </w:r>
      <w:r w:rsidRPr="00E83825">
        <w:rPr>
          <w:rtl/>
          <w:lang w:val="en-US"/>
        </w:rPr>
        <w:t>2019</w:t>
      </w:r>
      <w:r w:rsidRPr="00F0516B">
        <w:rPr>
          <w:rtl/>
          <w:lang w:val="en-US"/>
        </w:rPr>
        <w:t>-</w:t>
      </w:r>
      <w:r w:rsidRPr="00E83825">
        <w:rPr>
          <w:rtl/>
          <w:lang w:val="en-US"/>
        </w:rPr>
        <w:t>2021</w:t>
      </w:r>
      <w:r w:rsidRPr="00F0516B">
        <w:rPr>
          <w:rtl/>
          <w:lang w:val="en-US"/>
        </w:rPr>
        <w:t>)؛</w:t>
      </w:r>
    </w:p>
    <w:p w14:paraId="44FEACD2" w14:textId="27ABDF82" w:rsidR="00F0516B" w:rsidRPr="00F0516B" w:rsidRDefault="00F0516B" w:rsidP="00F0516B">
      <w:pPr>
        <w:pStyle w:val="SingleTxtGA"/>
        <w:rPr>
          <w:lang w:val="en-US"/>
        </w:rPr>
      </w:pPr>
      <w:r>
        <w:rPr>
          <w:rtl/>
          <w:lang w:val="en-US"/>
        </w:rPr>
        <w:tab/>
      </w:r>
      <w:r w:rsidRPr="00F0516B">
        <w:rPr>
          <w:rtl/>
          <w:lang w:val="en-US"/>
        </w:rPr>
        <w:t>(ب)</w:t>
      </w:r>
      <w:r w:rsidRPr="00F0516B">
        <w:rPr>
          <w:rtl/>
          <w:lang w:val="en-US"/>
        </w:rPr>
        <w:tab/>
      </w:r>
      <w:r w:rsidRPr="001765AA">
        <w:rPr>
          <w:spacing w:val="-4"/>
          <w:rtl/>
          <w:lang w:val="en-US"/>
        </w:rPr>
        <w:t xml:space="preserve">اعتماد خطة عمل في عام </w:t>
      </w:r>
      <w:r w:rsidRPr="00E83825">
        <w:rPr>
          <w:spacing w:val="-4"/>
          <w:rtl/>
          <w:lang w:val="en-US"/>
        </w:rPr>
        <w:t>2019</w:t>
      </w:r>
      <w:r w:rsidRPr="001765AA">
        <w:rPr>
          <w:spacing w:val="-4"/>
          <w:rtl/>
          <w:lang w:val="en-US"/>
        </w:rPr>
        <w:t xml:space="preserve"> بغية مواءمة التشريعات مع المدونات القانونية المعتمدة</w:t>
      </w:r>
      <w:r w:rsidRPr="00F0516B">
        <w:rPr>
          <w:rtl/>
          <w:lang w:val="en-US"/>
        </w:rPr>
        <w:t xml:space="preserve"> في إطار الإصلاح القضائي والقانوني الجاري حالي</w:t>
      </w:r>
      <w:r w:rsidR="003A3183">
        <w:rPr>
          <w:rtl/>
          <w:lang w:val="en-US"/>
        </w:rPr>
        <w:t>اً؛</w:t>
      </w:r>
    </w:p>
    <w:p w14:paraId="7938CB6D" w14:textId="5113D803" w:rsidR="00F0516B" w:rsidRPr="00F0516B" w:rsidRDefault="00F0516B" w:rsidP="00F0516B">
      <w:pPr>
        <w:pStyle w:val="SingleTxtGA"/>
        <w:rPr>
          <w:lang w:val="en-US"/>
        </w:rPr>
      </w:pPr>
      <w:r>
        <w:rPr>
          <w:rtl/>
          <w:lang w:val="en-US"/>
        </w:rPr>
        <w:tab/>
      </w:r>
      <w:r w:rsidRPr="00F0516B">
        <w:rPr>
          <w:rtl/>
          <w:lang w:val="en-US"/>
        </w:rPr>
        <w:t>(ج)</w:t>
      </w:r>
      <w:r w:rsidRPr="00F0516B">
        <w:rPr>
          <w:rtl/>
          <w:lang w:val="en-US"/>
        </w:rPr>
        <w:tab/>
        <w:t>اعتماد خطة العمل الوطنية للمساواة بين الجنسين (</w:t>
      </w:r>
      <w:r w:rsidRPr="00E83825">
        <w:rPr>
          <w:rtl/>
          <w:lang w:val="en-US"/>
        </w:rPr>
        <w:t>2018</w:t>
      </w:r>
      <w:r w:rsidRPr="00F0516B">
        <w:rPr>
          <w:rtl/>
          <w:lang w:val="en-US"/>
        </w:rPr>
        <w:t>-</w:t>
      </w:r>
      <w:r w:rsidRPr="00E83825">
        <w:rPr>
          <w:rtl/>
          <w:lang w:val="en-US"/>
        </w:rPr>
        <w:t>2020</w:t>
      </w:r>
      <w:r w:rsidRPr="00F0516B">
        <w:rPr>
          <w:rtl/>
          <w:lang w:val="en-US"/>
        </w:rPr>
        <w:t>)؛</w:t>
      </w:r>
    </w:p>
    <w:p w14:paraId="12E11E52" w14:textId="317CEF4D" w:rsidR="00F0516B" w:rsidRPr="00F0516B" w:rsidRDefault="00F0516B" w:rsidP="00F0516B">
      <w:pPr>
        <w:pStyle w:val="SingleTxtGA"/>
        <w:rPr>
          <w:lang w:val="en-US"/>
        </w:rPr>
      </w:pPr>
      <w:r>
        <w:rPr>
          <w:rtl/>
          <w:lang w:val="en-US"/>
        </w:rPr>
        <w:tab/>
      </w:r>
      <w:r w:rsidRPr="00F0516B">
        <w:rPr>
          <w:rtl/>
          <w:lang w:val="en-US"/>
        </w:rPr>
        <w:t>(د)</w:t>
      </w:r>
      <w:r w:rsidRPr="00F0516B">
        <w:rPr>
          <w:rtl/>
          <w:lang w:val="en-US"/>
        </w:rPr>
        <w:tab/>
        <w:t xml:space="preserve">إنشاء </w:t>
      </w:r>
      <w:r w:rsidRPr="00E83825">
        <w:rPr>
          <w:rtl/>
          <w:lang w:val="en-US"/>
        </w:rPr>
        <w:t>17</w:t>
      </w:r>
      <w:r w:rsidRPr="00F0516B">
        <w:rPr>
          <w:rtl/>
          <w:lang w:val="en-US"/>
        </w:rPr>
        <w:t xml:space="preserve"> مركز</w:t>
      </w:r>
      <w:r w:rsidR="007B0454">
        <w:rPr>
          <w:rtl/>
          <w:lang w:val="en-US"/>
        </w:rPr>
        <w:t xml:space="preserve">اً </w:t>
      </w:r>
      <w:r w:rsidRPr="00F0516B">
        <w:rPr>
          <w:rtl/>
          <w:lang w:val="en-US"/>
        </w:rPr>
        <w:t>خاص</w:t>
      </w:r>
      <w:r w:rsidR="007B0454">
        <w:rPr>
          <w:rtl/>
          <w:lang w:val="en-US"/>
        </w:rPr>
        <w:t xml:space="preserve">اً </w:t>
      </w:r>
      <w:r w:rsidRPr="00F0516B">
        <w:rPr>
          <w:rtl/>
          <w:lang w:val="en-US"/>
        </w:rPr>
        <w:t>للأزمات ومركز أزمات بلدي</w:t>
      </w:r>
      <w:r w:rsidR="00CB04D0">
        <w:rPr>
          <w:rtl/>
          <w:lang w:val="en-US"/>
        </w:rPr>
        <w:t>اً،</w:t>
      </w:r>
      <w:r w:rsidRPr="00F0516B">
        <w:rPr>
          <w:rtl/>
          <w:lang w:val="en-US"/>
        </w:rPr>
        <w:t xml:space="preserve"> لتقديم المساعدة المادية والصحية والقانونية إلى النساء ضحايا العنف؛</w:t>
      </w:r>
    </w:p>
    <w:p w14:paraId="6154DDDE" w14:textId="5F794EB5" w:rsidR="00F0516B" w:rsidRPr="00F0516B" w:rsidRDefault="00F0516B" w:rsidP="00F0516B">
      <w:pPr>
        <w:pStyle w:val="SingleTxtGA"/>
        <w:rPr>
          <w:lang w:val="en-US"/>
        </w:rPr>
      </w:pPr>
      <w:r>
        <w:rPr>
          <w:rtl/>
          <w:lang w:val="en-US"/>
        </w:rPr>
        <w:tab/>
      </w:r>
      <w:r w:rsidRPr="00F0516B">
        <w:rPr>
          <w:rtl/>
          <w:lang w:val="en-US"/>
        </w:rPr>
        <w:t>(هـ)</w:t>
      </w:r>
      <w:r w:rsidRPr="00F0516B">
        <w:rPr>
          <w:rtl/>
          <w:lang w:val="en-US"/>
        </w:rPr>
        <w:tab/>
        <w:t>اعتماد خطة العمل الوطنية لمنع إيذاء الأطفال والعنف بهم (</w:t>
      </w:r>
      <w:r w:rsidRPr="00E83825">
        <w:rPr>
          <w:rtl/>
          <w:lang w:val="en-US"/>
        </w:rPr>
        <w:t>2015</w:t>
      </w:r>
      <w:r w:rsidRPr="00F0516B">
        <w:rPr>
          <w:rtl/>
          <w:lang w:val="en-US"/>
        </w:rPr>
        <w:t>-</w:t>
      </w:r>
      <w:r w:rsidRPr="00E83825">
        <w:rPr>
          <w:rtl/>
          <w:lang w:val="en-US"/>
        </w:rPr>
        <w:t>2017</w:t>
      </w:r>
      <w:r w:rsidRPr="00F0516B">
        <w:rPr>
          <w:rtl/>
          <w:lang w:val="en-US"/>
        </w:rPr>
        <w:t>)؛</w:t>
      </w:r>
    </w:p>
    <w:p w14:paraId="0FD082B1" w14:textId="4BCD6E8A" w:rsidR="00F0516B" w:rsidRPr="00F0516B" w:rsidRDefault="00F0516B" w:rsidP="00F0516B">
      <w:pPr>
        <w:pStyle w:val="SingleTxtGA"/>
        <w:rPr>
          <w:lang w:val="en-US"/>
        </w:rPr>
      </w:pPr>
      <w:r>
        <w:rPr>
          <w:rtl/>
          <w:lang w:val="en-US"/>
        </w:rPr>
        <w:tab/>
      </w:r>
      <w:r w:rsidRPr="00F0516B">
        <w:rPr>
          <w:rtl/>
          <w:lang w:val="en-US"/>
        </w:rPr>
        <w:t>(و)</w:t>
      </w:r>
      <w:r w:rsidRPr="00F0516B">
        <w:rPr>
          <w:rtl/>
          <w:lang w:val="en-US"/>
        </w:rPr>
        <w:tab/>
      </w:r>
      <w:r w:rsidRPr="001765AA">
        <w:rPr>
          <w:spacing w:val="-4"/>
          <w:rtl/>
          <w:lang w:val="en-US"/>
        </w:rPr>
        <w:t>إنشاء مجلس التنسيق المعني بقضاء الأحداث ووضع قاعدة بيانات للتعرف على الأطفال</w:t>
      </w:r>
      <w:r w:rsidRPr="00F0516B">
        <w:rPr>
          <w:rtl/>
          <w:lang w:val="en-US"/>
        </w:rPr>
        <w:t xml:space="preserve"> المعرضين لخطر العنف؛</w:t>
      </w:r>
    </w:p>
    <w:p w14:paraId="4D326923" w14:textId="63351FDE" w:rsidR="00F0516B" w:rsidRPr="00F0516B" w:rsidRDefault="00F0516B" w:rsidP="00F0516B">
      <w:pPr>
        <w:pStyle w:val="SingleTxtGA"/>
        <w:rPr>
          <w:lang w:val="en-US"/>
        </w:rPr>
      </w:pPr>
      <w:r>
        <w:rPr>
          <w:rtl/>
          <w:lang w:val="en-US"/>
        </w:rPr>
        <w:tab/>
      </w:r>
      <w:r w:rsidRPr="00F0516B">
        <w:rPr>
          <w:rtl/>
          <w:lang w:val="en-US"/>
        </w:rPr>
        <w:t>(ز)</w:t>
      </w:r>
      <w:r w:rsidRPr="00F0516B">
        <w:rPr>
          <w:rtl/>
          <w:lang w:val="en-US"/>
        </w:rPr>
        <w:tab/>
      </w:r>
      <w:r w:rsidRPr="001765AA">
        <w:rPr>
          <w:spacing w:val="-4"/>
          <w:rtl/>
          <w:lang w:val="en-US"/>
        </w:rPr>
        <w:t xml:space="preserve">وضع برنامج لتطوير نظام العدالة لفائدة الأطفال المتراوحة أعمارهم بين </w:t>
      </w:r>
      <w:r w:rsidRPr="00E83825">
        <w:rPr>
          <w:spacing w:val="-4"/>
          <w:rtl/>
          <w:lang w:val="en-US"/>
        </w:rPr>
        <w:t>14</w:t>
      </w:r>
      <w:r w:rsidRPr="001765AA">
        <w:rPr>
          <w:spacing w:val="-4"/>
          <w:rtl/>
          <w:lang w:val="en-US"/>
        </w:rPr>
        <w:t xml:space="preserve"> عام</w:t>
      </w:r>
      <w:r w:rsidR="007B0454" w:rsidRPr="001765AA">
        <w:rPr>
          <w:spacing w:val="-4"/>
          <w:rtl/>
          <w:lang w:val="en-US"/>
        </w:rPr>
        <w:t xml:space="preserve">اً </w:t>
      </w:r>
      <w:r w:rsidRPr="001765AA">
        <w:rPr>
          <w:spacing w:val="-4"/>
          <w:rtl/>
          <w:lang w:val="en-US"/>
        </w:rPr>
        <w:t>و</w:t>
      </w:r>
      <w:r w:rsidRPr="00E83825">
        <w:rPr>
          <w:spacing w:val="-4"/>
          <w:rtl/>
          <w:lang w:val="en-US"/>
        </w:rPr>
        <w:t>18</w:t>
      </w:r>
      <w:r w:rsidRPr="001765AA">
        <w:rPr>
          <w:spacing w:val="-4"/>
          <w:rtl/>
          <w:lang w:val="en-US"/>
        </w:rPr>
        <w:t xml:space="preserve"> </w:t>
      </w:r>
      <w:r w:rsidRPr="00F0516B">
        <w:rPr>
          <w:rtl/>
          <w:lang w:val="en-US"/>
        </w:rPr>
        <w:t>عام</w:t>
      </w:r>
      <w:r w:rsidR="007B0454">
        <w:rPr>
          <w:rtl/>
          <w:lang w:val="en-US"/>
        </w:rPr>
        <w:t xml:space="preserve">اً </w:t>
      </w:r>
      <w:r w:rsidRPr="00F0516B">
        <w:rPr>
          <w:rtl/>
          <w:lang w:val="en-US"/>
        </w:rPr>
        <w:t>(</w:t>
      </w:r>
      <w:r w:rsidRPr="00E83825">
        <w:rPr>
          <w:rtl/>
          <w:lang w:val="en-US"/>
        </w:rPr>
        <w:t>2014</w:t>
      </w:r>
      <w:r w:rsidRPr="00F0516B">
        <w:rPr>
          <w:rtl/>
          <w:lang w:val="en-US"/>
        </w:rPr>
        <w:t>-</w:t>
      </w:r>
      <w:r w:rsidRPr="00E83825">
        <w:rPr>
          <w:rtl/>
          <w:lang w:val="en-US"/>
        </w:rPr>
        <w:t>2018</w:t>
      </w:r>
      <w:r w:rsidRPr="00F0516B">
        <w:rPr>
          <w:rtl/>
          <w:lang w:val="en-US"/>
        </w:rPr>
        <w:t>)؛</w:t>
      </w:r>
    </w:p>
    <w:p w14:paraId="21F83D55" w14:textId="3183E447" w:rsidR="00F0516B" w:rsidRPr="00F0516B" w:rsidRDefault="00F0516B" w:rsidP="00F0516B">
      <w:pPr>
        <w:pStyle w:val="SingleTxtGA"/>
        <w:rPr>
          <w:lang w:val="en-US"/>
        </w:rPr>
      </w:pPr>
      <w:r>
        <w:rPr>
          <w:rtl/>
          <w:lang w:val="en-US"/>
        </w:rPr>
        <w:tab/>
      </w:r>
      <w:r w:rsidRPr="00F0516B">
        <w:rPr>
          <w:rtl/>
          <w:lang w:val="en-US"/>
        </w:rPr>
        <w:t>(ح)</w:t>
      </w:r>
      <w:r w:rsidRPr="00F0516B">
        <w:rPr>
          <w:rtl/>
          <w:lang w:val="en-US"/>
        </w:rPr>
        <w:tab/>
        <w:t>وضع برنامج لحماية الطفل (</w:t>
      </w:r>
      <w:r w:rsidRPr="00E83825">
        <w:rPr>
          <w:rtl/>
          <w:lang w:val="en-US"/>
        </w:rPr>
        <w:t>2018</w:t>
      </w:r>
      <w:r w:rsidRPr="00F0516B">
        <w:rPr>
          <w:rtl/>
          <w:lang w:val="en-US"/>
        </w:rPr>
        <w:t>-</w:t>
      </w:r>
      <w:r w:rsidRPr="00E83825">
        <w:rPr>
          <w:rtl/>
          <w:lang w:val="en-US"/>
        </w:rPr>
        <w:t>2028</w:t>
      </w:r>
      <w:r w:rsidRPr="00F0516B">
        <w:rPr>
          <w:rtl/>
          <w:lang w:val="en-US"/>
        </w:rPr>
        <w:t>) وخطة عمل حكومية ذات صلة (</w:t>
      </w:r>
      <w:r w:rsidRPr="00E83825">
        <w:rPr>
          <w:rtl/>
          <w:lang w:val="en-US"/>
        </w:rPr>
        <w:t>2020</w:t>
      </w:r>
      <w:r w:rsidRPr="00F0516B">
        <w:rPr>
          <w:rtl/>
          <w:lang w:val="en-US"/>
        </w:rPr>
        <w:t>-</w:t>
      </w:r>
      <w:r w:rsidRPr="00E83825">
        <w:rPr>
          <w:rtl/>
          <w:lang w:val="en-US"/>
        </w:rPr>
        <w:t>2024</w:t>
      </w:r>
      <w:r w:rsidRPr="00F0516B">
        <w:rPr>
          <w:rtl/>
          <w:lang w:val="en-US"/>
        </w:rPr>
        <w:t>)؛</w:t>
      </w:r>
    </w:p>
    <w:p w14:paraId="4B55A2A5" w14:textId="2BD93696" w:rsidR="00F0516B" w:rsidRPr="00F0516B" w:rsidRDefault="00F0516B" w:rsidP="00F0516B">
      <w:pPr>
        <w:pStyle w:val="SingleTxtGA"/>
        <w:rPr>
          <w:lang w:val="en-US"/>
        </w:rPr>
      </w:pPr>
      <w:r>
        <w:rPr>
          <w:rtl/>
          <w:lang w:val="en-US"/>
        </w:rPr>
        <w:tab/>
      </w:r>
      <w:r w:rsidRPr="00F0516B">
        <w:rPr>
          <w:rtl/>
          <w:lang w:val="en-US"/>
        </w:rPr>
        <w:t>(ط)</w:t>
      </w:r>
      <w:r w:rsidRPr="00F0516B">
        <w:rPr>
          <w:rtl/>
          <w:lang w:val="en-US"/>
        </w:rPr>
        <w:tab/>
      </w:r>
      <w:r w:rsidRPr="001765AA">
        <w:rPr>
          <w:spacing w:val="-4"/>
          <w:rtl/>
          <w:lang w:val="en-US"/>
        </w:rPr>
        <w:t xml:space="preserve">إنشاء </w:t>
      </w:r>
      <w:r w:rsidRPr="00E83825">
        <w:rPr>
          <w:spacing w:val="-4"/>
          <w:rtl/>
          <w:lang w:val="en-US"/>
        </w:rPr>
        <w:t>78</w:t>
      </w:r>
      <w:r w:rsidRPr="001765AA">
        <w:rPr>
          <w:spacing w:val="-4"/>
          <w:rtl/>
          <w:lang w:val="en-US"/>
        </w:rPr>
        <w:t xml:space="preserve"> خط اتصال هاتفي مباشر في جميع وكالات الشؤون الداخلية لتلقي معلومات</w:t>
      </w:r>
      <w:r w:rsidRPr="00F0516B">
        <w:rPr>
          <w:rtl/>
          <w:lang w:val="en-US"/>
        </w:rPr>
        <w:t xml:space="preserve"> عن حالات إيذاء الأطفال والعنف بالقصر؛</w:t>
      </w:r>
    </w:p>
    <w:p w14:paraId="2F4D79B2" w14:textId="470FD436" w:rsidR="00F0516B" w:rsidRPr="00F0516B" w:rsidRDefault="00F0516B" w:rsidP="00F0516B">
      <w:pPr>
        <w:pStyle w:val="SingleTxtGA"/>
        <w:rPr>
          <w:lang w:val="en-US"/>
        </w:rPr>
      </w:pPr>
      <w:r>
        <w:rPr>
          <w:rtl/>
          <w:lang w:val="en-US"/>
        </w:rPr>
        <w:tab/>
      </w:r>
      <w:r w:rsidRPr="00F0516B">
        <w:rPr>
          <w:rtl/>
          <w:lang w:val="en-US"/>
        </w:rPr>
        <w:t>(ي)</w:t>
      </w:r>
      <w:r w:rsidRPr="00F0516B">
        <w:rPr>
          <w:rtl/>
          <w:lang w:val="en-US"/>
        </w:rPr>
        <w:tab/>
        <w:t>وضع برنامج لمكافحة الاتجار بالبشر (</w:t>
      </w:r>
      <w:r w:rsidRPr="00E83825">
        <w:rPr>
          <w:rtl/>
          <w:lang w:val="en-US"/>
        </w:rPr>
        <w:t>2017</w:t>
      </w:r>
      <w:r w:rsidRPr="00F0516B">
        <w:rPr>
          <w:rtl/>
          <w:lang w:val="en-US"/>
        </w:rPr>
        <w:t>-</w:t>
      </w:r>
      <w:r w:rsidRPr="00E83825">
        <w:rPr>
          <w:rtl/>
          <w:lang w:val="en-US"/>
        </w:rPr>
        <w:t>2020</w:t>
      </w:r>
      <w:r w:rsidRPr="00F0516B">
        <w:rPr>
          <w:rtl/>
          <w:lang w:val="en-US"/>
        </w:rPr>
        <w:t>) وخطة عمل لتنفيذه؛</w:t>
      </w:r>
    </w:p>
    <w:p w14:paraId="4A426EC4" w14:textId="554A8A5B" w:rsidR="00F0516B" w:rsidRPr="00F0516B" w:rsidRDefault="00F0516B" w:rsidP="00F0516B">
      <w:pPr>
        <w:pStyle w:val="SingleTxtGA"/>
        <w:rPr>
          <w:lang w:val="en-US"/>
        </w:rPr>
      </w:pPr>
      <w:r>
        <w:rPr>
          <w:rtl/>
          <w:lang w:val="en-US"/>
        </w:rPr>
        <w:tab/>
      </w:r>
      <w:r w:rsidRPr="00F0516B">
        <w:rPr>
          <w:rtl/>
          <w:lang w:val="en-US"/>
        </w:rPr>
        <w:t>(ك)</w:t>
      </w:r>
      <w:r w:rsidRPr="00F0516B">
        <w:rPr>
          <w:rtl/>
          <w:lang w:val="en-US"/>
        </w:rPr>
        <w:tab/>
        <w:t>وضع قواعد بشأن التوثيق الطبي للعنف والتعذيب وغيره من ضروب المعاملة أو</w:t>
      </w:r>
      <w:r w:rsidR="001765AA">
        <w:rPr>
          <w:rFonts w:hint="cs"/>
          <w:rtl/>
          <w:lang w:val="en-US"/>
        </w:rPr>
        <w:t> </w:t>
      </w:r>
      <w:r w:rsidRPr="00F0516B">
        <w:rPr>
          <w:rtl/>
          <w:lang w:val="en-US"/>
        </w:rPr>
        <w:t xml:space="preserve">العقوبة القاسية أو اللاإنسانية أو المهينة؛ واعتماد خطة عمل في كانون الثاني/يناير </w:t>
      </w:r>
      <w:r w:rsidRPr="00E83825">
        <w:rPr>
          <w:rtl/>
          <w:lang w:val="en-US"/>
        </w:rPr>
        <w:t>2021</w:t>
      </w:r>
      <w:r w:rsidRPr="00F0516B">
        <w:rPr>
          <w:rtl/>
          <w:lang w:val="en-US"/>
        </w:rPr>
        <w:t xml:space="preserve"> لتنفيذ المبادئ الواردة في دليل التقصي والتوثيق الفعالين للتعذيب وغيره من ضروب المعاملة أو العقوبة القاسية أو اللاإنسانية أو المهينة (بروتوكول اسطنبول)؛ وإنشاء فريق عامل مشترك بين الوكالات معني بتنفيذ بروتوكول اسطنبول.</w:t>
      </w:r>
    </w:p>
    <w:p w14:paraId="71A02B85" w14:textId="331B4A91" w:rsidR="00F0516B" w:rsidRPr="00E83825" w:rsidRDefault="00F0516B" w:rsidP="00F0516B">
      <w:pPr>
        <w:pStyle w:val="H1GA"/>
      </w:pPr>
      <w:r w:rsidRPr="00E83825">
        <w:rPr>
          <w:rtl/>
        </w:rPr>
        <w:tab/>
        <w:t>جيم-</w:t>
      </w:r>
      <w:r w:rsidRPr="00E83825">
        <w:rPr>
          <w:rtl/>
        </w:rPr>
        <w:tab/>
        <w:t>دواعي القلق الرئيسية والتوصيات</w:t>
      </w:r>
    </w:p>
    <w:p w14:paraId="28B270BF" w14:textId="4A956276" w:rsidR="00F0516B" w:rsidRPr="00E83825" w:rsidRDefault="00F0516B" w:rsidP="00F0516B">
      <w:pPr>
        <w:pStyle w:val="H23GA"/>
      </w:pPr>
      <w:r w:rsidRPr="00E83825">
        <w:rPr>
          <w:rtl/>
        </w:rPr>
        <w:tab/>
      </w:r>
      <w:r w:rsidRPr="00E83825">
        <w:rPr>
          <w:rtl/>
        </w:rPr>
        <w:tab/>
        <w:t xml:space="preserve">مسائل المتابعة المعلَّقة منذ الجولة السابقة </w:t>
      </w:r>
      <w:r w:rsidRPr="00E83825">
        <w:rPr>
          <w:rFonts w:ascii="Simplified Arabic" w:hAnsi="Simplified Arabic" w:hint="cs"/>
          <w:rtl/>
        </w:rPr>
        <w:t>لتقديم</w:t>
      </w:r>
      <w:r w:rsidRPr="00E83825">
        <w:rPr>
          <w:rtl/>
        </w:rPr>
        <w:t xml:space="preserve"> </w:t>
      </w:r>
      <w:r w:rsidRPr="00E83825">
        <w:rPr>
          <w:rFonts w:ascii="Simplified Arabic" w:hAnsi="Simplified Arabic" w:hint="cs"/>
          <w:rtl/>
        </w:rPr>
        <w:t>التقارير</w:t>
      </w:r>
    </w:p>
    <w:p w14:paraId="609C2AB9" w14:textId="4A9ED099" w:rsidR="00F0516B" w:rsidRPr="00F0516B" w:rsidRDefault="00F0516B" w:rsidP="00F0516B">
      <w:pPr>
        <w:pStyle w:val="SingleTxtGA"/>
        <w:rPr>
          <w:lang w:val="en-US"/>
        </w:rPr>
      </w:pPr>
      <w:r w:rsidRPr="00E83825">
        <w:rPr>
          <w:rtl/>
          <w:lang w:val="en-US"/>
        </w:rPr>
        <w:t>7</w:t>
      </w:r>
      <w:r w:rsidRPr="00F0516B">
        <w:rPr>
          <w:rtl/>
          <w:lang w:val="en-US"/>
        </w:rPr>
        <w:t>-</w:t>
      </w:r>
      <w:r w:rsidRPr="00F0516B">
        <w:rPr>
          <w:rtl/>
          <w:lang w:val="en-US"/>
        </w:rPr>
        <w:tab/>
        <w:t xml:space="preserve">طلبت اللجنة في ملاحظاتها الختامية </w:t>
      </w:r>
      <w:proofErr w:type="gramStart"/>
      <w:r w:rsidRPr="00F0516B">
        <w:rPr>
          <w:rtl/>
          <w:lang w:val="en-US"/>
        </w:rPr>
        <w:t>السابقة</w:t>
      </w:r>
      <w:r w:rsidRPr="00F0516B">
        <w:rPr>
          <w:vertAlign w:val="superscript"/>
          <w:rtl/>
          <w:lang w:val="en-US"/>
        </w:rPr>
        <w:t>(</w:t>
      </w:r>
      <w:proofErr w:type="gramEnd"/>
      <w:r w:rsidRPr="00E83825">
        <w:rPr>
          <w:rStyle w:val="FootnoteReference"/>
          <w:szCs w:val="22"/>
          <w:lang w:val="en-US"/>
        </w:rPr>
        <w:footnoteReference w:id="4"/>
      </w:r>
      <w:r w:rsidRPr="00F0516B">
        <w:rPr>
          <w:vertAlign w:val="superscript"/>
          <w:rtl/>
          <w:lang w:val="en-US"/>
        </w:rPr>
        <w:t>)</w:t>
      </w:r>
      <w:r w:rsidRPr="00F0516B">
        <w:rPr>
          <w:rtl/>
          <w:lang w:val="en-US"/>
        </w:rPr>
        <w:t xml:space="preserve"> إلى الدولة الطرف تقديم معلومات متابعة عن التدابير المتخذة لتنفيذ توصياتها المتعلقة بالإفلات من العقاب على أعمال التعذيب وإساءة المعاملة </w:t>
      </w:r>
      <w:r w:rsidRPr="00F0516B">
        <w:rPr>
          <w:rtl/>
          <w:lang w:val="en-US"/>
        </w:rPr>
        <w:lastRenderedPageBreak/>
        <w:t>المتفشية وعدم التحقيق فيها</w:t>
      </w:r>
      <w:r w:rsidRPr="00F0516B">
        <w:rPr>
          <w:vertAlign w:val="superscript"/>
          <w:rtl/>
          <w:lang w:val="en-US"/>
        </w:rPr>
        <w:t>(</w:t>
      </w:r>
      <w:r w:rsidRPr="00E83825">
        <w:rPr>
          <w:rStyle w:val="FootnoteReference"/>
          <w:szCs w:val="22"/>
          <w:lang w:val="en-US"/>
        </w:rPr>
        <w:footnoteReference w:id="5"/>
      </w:r>
      <w:r w:rsidRPr="00F0516B">
        <w:rPr>
          <w:vertAlign w:val="superscript"/>
          <w:rtl/>
          <w:lang w:val="en-US"/>
        </w:rPr>
        <w:t>)</w:t>
      </w:r>
      <w:r w:rsidR="001765AA">
        <w:rPr>
          <w:rFonts w:hint="cs"/>
          <w:rtl/>
          <w:lang w:val="en-US"/>
        </w:rPr>
        <w:t>؛</w:t>
      </w:r>
      <w:r w:rsidRPr="00F0516B">
        <w:rPr>
          <w:rtl/>
          <w:lang w:val="en-US"/>
        </w:rPr>
        <w:t xml:space="preserve"> وبتعريف التعذيب والتجريم عليه</w:t>
      </w:r>
      <w:r w:rsidRPr="00F0516B">
        <w:rPr>
          <w:vertAlign w:val="superscript"/>
          <w:rtl/>
          <w:lang w:val="en-US"/>
        </w:rPr>
        <w:t>(</w:t>
      </w:r>
      <w:r w:rsidRPr="00E83825">
        <w:rPr>
          <w:rStyle w:val="FootnoteReference"/>
          <w:szCs w:val="22"/>
          <w:lang w:val="en-US"/>
        </w:rPr>
        <w:footnoteReference w:id="6"/>
      </w:r>
      <w:r w:rsidRPr="00F0516B">
        <w:rPr>
          <w:vertAlign w:val="superscript"/>
          <w:rtl/>
          <w:lang w:val="en-US"/>
        </w:rPr>
        <w:t>)</w:t>
      </w:r>
      <w:r w:rsidR="001765AA">
        <w:rPr>
          <w:rFonts w:hint="cs"/>
          <w:rtl/>
          <w:lang w:val="en-US"/>
        </w:rPr>
        <w:t>؛</w:t>
      </w:r>
      <w:r w:rsidRPr="00F0516B">
        <w:rPr>
          <w:rtl/>
          <w:lang w:val="en-US"/>
        </w:rPr>
        <w:t xml:space="preserve"> وبالمؤسسة الوطنية لحقوق الإنسان</w:t>
      </w:r>
      <w:r w:rsidRPr="00F0516B">
        <w:rPr>
          <w:vertAlign w:val="superscript"/>
          <w:rtl/>
          <w:lang w:val="en-US"/>
        </w:rPr>
        <w:t>(</w:t>
      </w:r>
      <w:r w:rsidRPr="00E83825">
        <w:rPr>
          <w:rStyle w:val="FootnoteReference"/>
          <w:szCs w:val="22"/>
          <w:lang w:val="en-US"/>
        </w:rPr>
        <w:footnoteReference w:id="7"/>
      </w:r>
      <w:r w:rsidRPr="00F0516B">
        <w:rPr>
          <w:vertAlign w:val="superscript"/>
          <w:rtl/>
          <w:lang w:val="en-US"/>
        </w:rPr>
        <w:t>)</w:t>
      </w:r>
      <w:r w:rsidRPr="00F0516B">
        <w:rPr>
          <w:rtl/>
          <w:lang w:val="en-US"/>
        </w:rPr>
        <w:t xml:space="preserve">. ورغم أن مقرر اللجنة المعني بمتابعة الملاحظات الختامية بعث برسالة تذكير إلى الدولة الطرف في </w:t>
      </w:r>
      <w:r w:rsidRPr="00E83825">
        <w:rPr>
          <w:rtl/>
          <w:lang w:val="en-US"/>
        </w:rPr>
        <w:t>8</w:t>
      </w:r>
      <w:r w:rsidRPr="00F0516B">
        <w:rPr>
          <w:rtl/>
          <w:lang w:val="en-US"/>
        </w:rPr>
        <w:t xml:space="preserve"> كانون الأول/ديسمبر </w:t>
      </w:r>
      <w:r w:rsidRPr="00E83825">
        <w:rPr>
          <w:rtl/>
          <w:lang w:val="en-US"/>
        </w:rPr>
        <w:t>2014</w:t>
      </w:r>
      <w:r w:rsidR="00FE64D9">
        <w:rPr>
          <w:rtl/>
          <w:lang w:val="en-US"/>
        </w:rPr>
        <w:t>،</w:t>
      </w:r>
      <w:r w:rsidRPr="00F0516B">
        <w:rPr>
          <w:rtl/>
          <w:lang w:val="en-US"/>
        </w:rPr>
        <w:t xml:space="preserve"> لم تتلق اللجنة أي رد من الدولة الطرف. وترى اللجنة أن التوصيات الواردة في الفقرات </w:t>
      </w:r>
      <w:r w:rsidRPr="00E83825">
        <w:rPr>
          <w:rtl/>
          <w:lang w:val="en-US"/>
        </w:rPr>
        <w:t>7</w:t>
      </w:r>
      <w:r w:rsidRPr="00F0516B">
        <w:rPr>
          <w:rtl/>
          <w:lang w:val="en-US"/>
        </w:rPr>
        <w:t xml:space="preserve"> و</w:t>
      </w:r>
      <w:r w:rsidRPr="00E83825">
        <w:rPr>
          <w:rtl/>
          <w:lang w:val="en-US"/>
        </w:rPr>
        <w:t>8</w:t>
      </w:r>
      <w:r w:rsidRPr="00F0516B">
        <w:rPr>
          <w:rtl/>
          <w:lang w:val="en-US"/>
        </w:rPr>
        <w:t xml:space="preserve"> و</w:t>
      </w:r>
      <w:r w:rsidRPr="00E83825">
        <w:rPr>
          <w:rtl/>
          <w:lang w:val="en-US"/>
        </w:rPr>
        <w:t>10</w:t>
      </w:r>
      <w:r w:rsidRPr="00F0516B">
        <w:rPr>
          <w:rtl/>
          <w:lang w:val="en-US"/>
        </w:rPr>
        <w:t xml:space="preserve"> و</w:t>
      </w:r>
      <w:r w:rsidRPr="00E83825">
        <w:rPr>
          <w:rtl/>
          <w:lang w:val="en-US"/>
        </w:rPr>
        <w:t>14</w:t>
      </w:r>
      <w:r w:rsidRPr="00F0516B">
        <w:rPr>
          <w:rtl/>
          <w:lang w:val="en-US"/>
        </w:rPr>
        <w:t xml:space="preserve"> من الملاحظات الختامية السابقة لم تنفذ (انظر الفقرات </w:t>
      </w:r>
      <w:r w:rsidRPr="00E83825">
        <w:rPr>
          <w:rtl/>
          <w:lang w:val="en-US"/>
        </w:rPr>
        <w:t>9</w:t>
      </w:r>
      <w:r w:rsidRPr="00F0516B">
        <w:rPr>
          <w:rtl/>
          <w:lang w:val="en-US"/>
        </w:rPr>
        <w:t xml:space="preserve"> و</w:t>
      </w:r>
      <w:r w:rsidRPr="00E83825">
        <w:rPr>
          <w:rtl/>
          <w:lang w:val="en-US"/>
        </w:rPr>
        <w:t>11</w:t>
      </w:r>
      <w:r w:rsidRPr="00F0516B">
        <w:rPr>
          <w:rtl/>
          <w:lang w:val="en-US"/>
        </w:rPr>
        <w:t xml:space="preserve"> و</w:t>
      </w:r>
      <w:r w:rsidRPr="00E83825">
        <w:rPr>
          <w:rtl/>
          <w:lang w:val="en-US"/>
        </w:rPr>
        <w:t>13</w:t>
      </w:r>
      <w:r w:rsidRPr="00F0516B">
        <w:rPr>
          <w:rtl/>
          <w:lang w:val="en-US"/>
        </w:rPr>
        <w:t xml:space="preserve"> و</w:t>
      </w:r>
      <w:r w:rsidRPr="00E83825">
        <w:rPr>
          <w:rtl/>
          <w:lang w:val="en-US"/>
        </w:rPr>
        <w:t>25</w:t>
      </w:r>
      <w:r w:rsidRPr="00F0516B">
        <w:rPr>
          <w:rtl/>
          <w:lang w:val="en-US"/>
        </w:rPr>
        <w:t xml:space="preserve"> أدناه).</w:t>
      </w:r>
    </w:p>
    <w:p w14:paraId="621FE527" w14:textId="77777777" w:rsidR="00F0516B" w:rsidRPr="00E83825" w:rsidRDefault="00F0516B" w:rsidP="00F0516B">
      <w:pPr>
        <w:pStyle w:val="H23GA"/>
      </w:pPr>
      <w:r w:rsidRPr="00E83825">
        <w:rPr>
          <w:rtl/>
        </w:rPr>
        <w:tab/>
      </w:r>
      <w:r w:rsidRPr="00E83825">
        <w:rPr>
          <w:rtl/>
        </w:rPr>
        <w:tab/>
        <w:t xml:space="preserve">تعريف التعذيب والتجريم عليه </w:t>
      </w:r>
    </w:p>
    <w:p w14:paraId="7CA70339" w14:textId="127C581C" w:rsidR="00F0516B" w:rsidRPr="00F0516B" w:rsidRDefault="00F0516B" w:rsidP="00F0516B">
      <w:pPr>
        <w:pStyle w:val="SingleTxtGA"/>
        <w:rPr>
          <w:lang w:val="en-US"/>
        </w:rPr>
      </w:pPr>
      <w:r w:rsidRPr="00E83825">
        <w:rPr>
          <w:rtl/>
          <w:lang w:val="en-US"/>
        </w:rPr>
        <w:t>8</w:t>
      </w:r>
      <w:r w:rsidRPr="00F0516B">
        <w:rPr>
          <w:rtl/>
          <w:lang w:val="en-US"/>
        </w:rPr>
        <w:t>-</w:t>
      </w:r>
      <w:r w:rsidRPr="00F0516B">
        <w:rPr>
          <w:rtl/>
          <w:lang w:val="en-US"/>
        </w:rPr>
        <w:tab/>
        <w:t xml:space="preserve">إذ تشير اللجنة إلى ملاحظاتها الختامية </w:t>
      </w:r>
      <w:proofErr w:type="gramStart"/>
      <w:r w:rsidRPr="00F0516B">
        <w:rPr>
          <w:rtl/>
          <w:lang w:val="en-US"/>
        </w:rPr>
        <w:t>السابقة</w:t>
      </w:r>
      <w:r w:rsidRPr="00F0516B">
        <w:rPr>
          <w:vertAlign w:val="superscript"/>
          <w:rtl/>
          <w:lang w:val="en-US"/>
        </w:rPr>
        <w:t>(</w:t>
      </w:r>
      <w:proofErr w:type="gramEnd"/>
      <w:r w:rsidRPr="00E83825">
        <w:rPr>
          <w:rStyle w:val="FootnoteReference"/>
          <w:szCs w:val="22"/>
          <w:lang w:val="en-US"/>
        </w:rPr>
        <w:footnoteReference w:id="8"/>
      </w:r>
      <w:r w:rsidRPr="00F0516B">
        <w:rPr>
          <w:vertAlign w:val="superscript"/>
          <w:rtl/>
          <w:lang w:val="en-US"/>
        </w:rPr>
        <w:t>)</w:t>
      </w:r>
      <w:r w:rsidR="00FE64D9">
        <w:rPr>
          <w:rtl/>
          <w:lang w:val="en-US"/>
        </w:rPr>
        <w:t>،</w:t>
      </w:r>
      <w:r w:rsidRPr="00F0516B">
        <w:rPr>
          <w:rtl/>
          <w:lang w:val="en-US"/>
        </w:rPr>
        <w:t xml:space="preserve"> تحيط علم</w:t>
      </w:r>
      <w:r w:rsidR="007B0454">
        <w:rPr>
          <w:rtl/>
          <w:lang w:val="en-US"/>
        </w:rPr>
        <w:t xml:space="preserve">اً </w:t>
      </w:r>
      <w:r w:rsidRPr="00F0516B">
        <w:rPr>
          <w:rtl/>
          <w:lang w:val="en-US"/>
        </w:rPr>
        <w:t xml:space="preserve">بتأكيد الوفد أن المادة </w:t>
      </w:r>
      <w:r w:rsidRPr="00E83825">
        <w:rPr>
          <w:rtl/>
          <w:lang w:val="en-US"/>
        </w:rPr>
        <w:t>305</w:t>
      </w:r>
      <w:r w:rsidRPr="00F0516B">
        <w:rPr>
          <w:rtl/>
          <w:lang w:val="en-US"/>
        </w:rPr>
        <w:t>(</w:t>
      </w:r>
      <w:r w:rsidRPr="00E83825">
        <w:rPr>
          <w:rtl/>
          <w:lang w:val="en-US"/>
        </w:rPr>
        <w:t>1</w:t>
      </w:r>
      <w:r w:rsidRPr="00F0516B">
        <w:rPr>
          <w:rtl/>
          <w:lang w:val="en-US"/>
        </w:rPr>
        <w:t>) من القانون الجنائي وتعريفها للتعذيب لا يقصر المسؤولية الجنائية على الموظفين العموميين فحسب</w:t>
      </w:r>
      <w:r w:rsidR="00FE64D9">
        <w:rPr>
          <w:rtl/>
          <w:lang w:val="en-US"/>
        </w:rPr>
        <w:t>،</w:t>
      </w:r>
      <w:r w:rsidRPr="00F0516B">
        <w:rPr>
          <w:rtl/>
          <w:lang w:val="en-US"/>
        </w:rPr>
        <w:t xml:space="preserve"> </w:t>
      </w:r>
      <w:r w:rsidRPr="00A84E05">
        <w:rPr>
          <w:spacing w:val="-2"/>
          <w:rtl/>
          <w:lang w:val="en-US"/>
        </w:rPr>
        <w:t>بل</w:t>
      </w:r>
      <w:r w:rsidR="00A84E05" w:rsidRPr="00A84E05">
        <w:rPr>
          <w:rFonts w:hint="cs"/>
          <w:spacing w:val="-2"/>
          <w:rtl/>
          <w:lang w:val="en-US"/>
        </w:rPr>
        <w:t> </w:t>
      </w:r>
      <w:r w:rsidRPr="00A84E05">
        <w:rPr>
          <w:spacing w:val="-2"/>
          <w:rtl/>
          <w:lang w:val="en-US"/>
        </w:rPr>
        <w:t>يطبقها على أي شخص يرتكب جريمة تعذيب. وتلاحظ اللجنة بقلق أن تشريعات الدولة الطرف لا تستبعد</w:t>
      </w:r>
      <w:r w:rsidRPr="00F0516B">
        <w:rPr>
          <w:rtl/>
          <w:lang w:val="en-US"/>
        </w:rPr>
        <w:t xml:space="preserve"> تطبيق العفو الرئاسي على جريمة التعذيب. وفي هذا الخصوص</w:t>
      </w:r>
      <w:r w:rsidR="00FE64D9">
        <w:rPr>
          <w:rtl/>
          <w:lang w:val="en-US"/>
        </w:rPr>
        <w:t>،</w:t>
      </w:r>
      <w:r w:rsidRPr="00F0516B">
        <w:rPr>
          <w:rtl/>
          <w:lang w:val="en-US"/>
        </w:rPr>
        <w:t xml:space="preserve"> تؤكد اللجنة من جديد رأيها أن العفو الخاص والعفو العام في جرائم التعذيب يتنافيان مع التزامات الدول الأطراف بخصوص الطابع المطلق وغير القابل للتقييد لحظر التعذيب</w:t>
      </w:r>
      <w:r w:rsidR="00FE64D9">
        <w:rPr>
          <w:rtl/>
          <w:lang w:val="en-US"/>
        </w:rPr>
        <w:t>،</w:t>
      </w:r>
      <w:r w:rsidRPr="00F0516B">
        <w:rPr>
          <w:rtl/>
          <w:lang w:val="en-US"/>
        </w:rPr>
        <w:t xml:space="preserve"> على النحو المبين في التعليق العام رقم </w:t>
      </w:r>
      <w:r w:rsidRPr="00E83825">
        <w:rPr>
          <w:rtl/>
          <w:lang w:val="en-US"/>
        </w:rPr>
        <w:t>2</w:t>
      </w:r>
      <w:r w:rsidRPr="00F0516B">
        <w:rPr>
          <w:rtl/>
          <w:lang w:val="en-US"/>
        </w:rPr>
        <w:t>(</w:t>
      </w:r>
      <w:r w:rsidRPr="00E83825">
        <w:rPr>
          <w:rtl/>
          <w:lang w:val="en-US"/>
        </w:rPr>
        <w:t>2007</w:t>
      </w:r>
      <w:r w:rsidRPr="00F0516B">
        <w:rPr>
          <w:rtl/>
          <w:lang w:val="en-US"/>
        </w:rPr>
        <w:t xml:space="preserve">) بشأن تنفيذ المادة </w:t>
      </w:r>
      <w:r w:rsidRPr="00E83825">
        <w:rPr>
          <w:rtl/>
          <w:lang w:val="en-US"/>
        </w:rPr>
        <w:t>2</w:t>
      </w:r>
      <w:r w:rsidRPr="00F0516B">
        <w:rPr>
          <w:rtl/>
          <w:lang w:val="en-US"/>
        </w:rPr>
        <w:t xml:space="preserve"> والتعليق العام رقم </w:t>
      </w:r>
      <w:r w:rsidRPr="00E83825">
        <w:rPr>
          <w:rtl/>
          <w:lang w:val="en-US"/>
        </w:rPr>
        <w:t>3</w:t>
      </w:r>
      <w:r w:rsidRPr="00F0516B">
        <w:rPr>
          <w:rtl/>
          <w:lang w:val="en-US"/>
        </w:rPr>
        <w:t>(</w:t>
      </w:r>
      <w:r w:rsidRPr="00E83825">
        <w:rPr>
          <w:rtl/>
          <w:lang w:val="en-US"/>
        </w:rPr>
        <w:t>2012</w:t>
      </w:r>
      <w:r w:rsidRPr="00F0516B">
        <w:rPr>
          <w:rtl/>
          <w:lang w:val="en-US"/>
        </w:rPr>
        <w:t xml:space="preserve">) بشأن تنفيذ المادة </w:t>
      </w:r>
      <w:r w:rsidRPr="00E83825">
        <w:rPr>
          <w:rtl/>
          <w:lang w:val="en-US"/>
        </w:rPr>
        <w:t>14</w:t>
      </w:r>
      <w:r w:rsidRPr="00F0516B">
        <w:rPr>
          <w:rtl/>
          <w:lang w:val="en-US"/>
        </w:rPr>
        <w:t xml:space="preserve"> الصادرين عن اللجنة (المواد </w:t>
      </w:r>
      <w:r w:rsidRPr="00E83825">
        <w:rPr>
          <w:rtl/>
          <w:lang w:val="en-US"/>
        </w:rPr>
        <w:t>1</w:t>
      </w:r>
      <w:r w:rsidRPr="00F0516B">
        <w:rPr>
          <w:rtl/>
          <w:lang w:val="en-US"/>
        </w:rPr>
        <w:t xml:space="preserve"> و</w:t>
      </w:r>
      <w:r w:rsidRPr="00E83825">
        <w:rPr>
          <w:rtl/>
          <w:lang w:val="en-US"/>
        </w:rPr>
        <w:t>2</w:t>
      </w:r>
      <w:r w:rsidRPr="00F0516B">
        <w:rPr>
          <w:rtl/>
          <w:lang w:val="en-US"/>
        </w:rPr>
        <w:t xml:space="preserve"> و</w:t>
      </w:r>
      <w:r w:rsidRPr="00E83825">
        <w:rPr>
          <w:rtl/>
          <w:lang w:val="en-US"/>
        </w:rPr>
        <w:t>4</w:t>
      </w:r>
      <w:r w:rsidRPr="00F0516B">
        <w:rPr>
          <w:rtl/>
          <w:lang w:val="en-US"/>
        </w:rPr>
        <w:t>).</w:t>
      </w:r>
    </w:p>
    <w:p w14:paraId="2E339DCA" w14:textId="77777777" w:rsidR="00F0516B" w:rsidRPr="00E83825" w:rsidRDefault="00F0516B" w:rsidP="00F0516B">
      <w:pPr>
        <w:pStyle w:val="SingleTxtGA"/>
        <w:rPr>
          <w:b/>
          <w:bCs/>
          <w:lang w:val="en-US"/>
        </w:rPr>
      </w:pPr>
      <w:r w:rsidRPr="00E83825">
        <w:rPr>
          <w:rtl/>
          <w:lang w:val="en-US"/>
        </w:rPr>
        <w:t>9</w:t>
      </w:r>
      <w:r w:rsidRPr="00F0516B">
        <w:rPr>
          <w:rtl/>
          <w:lang w:val="en-US"/>
        </w:rPr>
        <w:t>-</w:t>
      </w:r>
      <w:r w:rsidRPr="00F0516B">
        <w:rPr>
          <w:rtl/>
          <w:lang w:val="en-US"/>
        </w:rPr>
        <w:tab/>
      </w:r>
      <w:r w:rsidRPr="00E83825">
        <w:rPr>
          <w:b/>
          <w:bCs/>
          <w:rtl/>
          <w:lang w:val="en-US"/>
        </w:rPr>
        <w:t xml:space="preserve">ينبغي للدولة الطرف القيام بما يلي: </w:t>
      </w:r>
    </w:p>
    <w:p w14:paraId="0D39206F" w14:textId="6B335739" w:rsidR="00F0516B" w:rsidRPr="00E83825" w:rsidRDefault="00F0516B" w:rsidP="00F0516B">
      <w:pPr>
        <w:pStyle w:val="SingleTxtGA"/>
        <w:rPr>
          <w:b/>
          <w:bCs/>
          <w:lang w:val="en-US"/>
        </w:rPr>
      </w:pPr>
      <w:r>
        <w:rPr>
          <w:rtl/>
          <w:lang w:val="en-US"/>
        </w:rPr>
        <w:tab/>
      </w:r>
      <w:r w:rsidRPr="00F0516B">
        <w:rPr>
          <w:rtl/>
          <w:lang w:val="en-US"/>
        </w:rPr>
        <w:t>(أ)</w:t>
      </w:r>
      <w:r w:rsidRPr="00F0516B">
        <w:rPr>
          <w:rtl/>
          <w:lang w:val="en-US"/>
        </w:rPr>
        <w:tab/>
      </w:r>
      <w:r w:rsidRPr="00E83825">
        <w:rPr>
          <w:b/>
          <w:bCs/>
          <w:rtl/>
          <w:lang w:val="en-US"/>
        </w:rPr>
        <w:t>جعل مضمون المادة 305(1) من القانون الجنائي متفق</w:t>
      </w:r>
      <w:r w:rsidR="007B0454" w:rsidRPr="00E83825">
        <w:rPr>
          <w:b/>
          <w:bCs/>
          <w:rtl/>
          <w:lang w:val="en-US"/>
        </w:rPr>
        <w:t xml:space="preserve">اً </w:t>
      </w:r>
      <w:r w:rsidRPr="00E83825">
        <w:rPr>
          <w:b/>
          <w:bCs/>
          <w:rtl/>
          <w:lang w:val="en-US"/>
        </w:rPr>
        <w:t>مع جميع العناصر الواردة في المادة 1 من الاتفاقية؛</w:t>
      </w:r>
    </w:p>
    <w:p w14:paraId="639DF1D4" w14:textId="136726C2" w:rsidR="00F0516B" w:rsidRPr="00E83825" w:rsidRDefault="00F0516B" w:rsidP="00F0516B">
      <w:pPr>
        <w:pStyle w:val="SingleTxtGA"/>
        <w:rPr>
          <w:b/>
          <w:bCs/>
          <w:spacing w:val="-2"/>
          <w:lang w:val="en-US"/>
        </w:rPr>
      </w:pPr>
      <w:r w:rsidRPr="00A84E05">
        <w:rPr>
          <w:spacing w:val="-2"/>
          <w:rtl/>
          <w:lang w:val="en-US"/>
        </w:rPr>
        <w:tab/>
        <w:t>(ب)</w:t>
      </w:r>
      <w:r w:rsidRPr="00A84E05">
        <w:rPr>
          <w:spacing w:val="-2"/>
          <w:rtl/>
          <w:lang w:val="en-US"/>
        </w:rPr>
        <w:tab/>
      </w:r>
      <w:r w:rsidRPr="00E83825">
        <w:rPr>
          <w:b/>
          <w:bCs/>
          <w:spacing w:val="-2"/>
          <w:rtl/>
          <w:lang w:val="en-US"/>
        </w:rPr>
        <w:t>القضاء على إمكانية العفو عن الأشخاص الذين تثبت إدانتهم بارتكاب أعمال تعذيب.</w:t>
      </w:r>
    </w:p>
    <w:p w14:paraId="3D533200" w14:textId="77777777" w:rsidR="00F0516B" w:rsidRPr="00E83825" w:rsidRDefault="00F0516B" w:rsidP="00F0516B">
      <w:pPr>
        <w:pStyle w:val="H23GA"/>
      </w:pPr>
      <w:r w:rsidRPr="00E83825">
        <w:rPr>
          <w:rtl/>
        </w:rPr>
        <w:tab/>
      </w:r>
      <w:r w:rsidRPr="00E83825">
        <w:rPr>
          <w:rtl/>
        </w:rPr>
        <w:tab/>
        <w:t>المؤسسة الوطنية لحقوق الإنسان</w:t>
      </w:r>
    </w:p>
    <w:p w14:paraId="3BB1F7A0" w14:textId="2EBB6058" w:rsidR="00F0516B" w:rsidRPr="00F0516B" w:rsidRDefault="00F0516B" w:rsidP="00F0516B">
      <w:pPr>
        <w:pStyle w:val="SingleTxtGA"/>
        <w:rPr>
          <w:lang w:val="en-US"/>
        </w:rPr>
      </w:pPr>
      <w:r w:rsidRPr="00E83825">
        <w:rPr>
          <w:rtl/>
          <w:lang w:val="en-US"/>
        </w:rPr>
        <w:t>10</w:t>
      </w:r>
      <w:r w:rsidRPr="00F0516B">
        <w:rPr>
          <w:rtl/>
          <w:lang w:val="en-US"/>
        </w:rPr>
        <w:t>-</w:t>
      </w:r>
      <w:r w:rsidRPr="00F0516B">
        <w:rPr>
          <w:rtl/>
          <w:lang w:val="en-US"/>
        </w:rPr>
        <w:tab/>
        <w:t>تأسف اللجنة لأن أمانة المظالم</w:t>
      </w:r>
      <w:r w:rsidR="00FE64D9">
        <w:rPr>
          <w:rtl/>
          <w:lang w:val="en-US"/>
        </w:rPr>
        <w:t>،</w:t>
      </w:r>
      <w:r w:rsidRPr="00F0516B">
        <w:rPr>
          <w:rtl/>
          <w:lang w:val="en-US"/>
        </w:rPr>
        <w:t xml:space="preserve"> على الرغم من ملاحظاتها الختامية </w:t>
      </w:r>
      <w:proofErr w:type="gramStart"/>
      <w:r w:rsidRPr="00F0516B">
        <w:rPr>
          <w:rtl/>
          <w:lang w:val="en-US"/>
        </w:rPr>
        <w:t>السابقة</w:t>
      </w:r>
      <w:r w:rsidRPr="00F0516B">
        <w:rPr>
          <w:vertAlign w:val="superscript"/>
          <w:rtl/>
          <w:lang w:val="en-US"/>
        </w:rPr>
        <w:t>(</w:t>
      </w:r>
      <w:proofErr w:type="gramEnd"/>
      <w:r w:rsidRPr="00E83825">
        <w:rPr>
          <w:rStyle w:val="FootnoteReference"/>
          <w:szCs w:val="22"/>
          <w:lang w:val="en-US"/>
        </w:rPr>
        <w:footnoteReference w:id="9"/>
      </w:r>
      <w:r w:rsidRPr="00F0516B">
        <w:rPr>
          <w:vertAlign w:val="superscript"/>
          <w:rtl/>
          <w:lang w:val="en-US"/>
        </w:rPr>
        <w:t>)</w:t>
      </w:r>
      <w:r w:rsidR="00FE64D9">
        <w:rPr>
          <w:rtl/>
          <w:lang w:val="en-US"/>
        </w:rPr>
        <w:t>،</w:t>
      </w:r>
      <w:r w:rsidRPr="00F0516B">
        <w:rPr>
          <w:rtl/>
          <w:lang w:val="en-US"/>
        </w:rPr>
        <w:t xml:space="preserve"> لا تزال غير </w:t>
      </w:r>
      <w:r w:rsidRPr="00A84E05">
        <w:rPr>
          <w:spacing w:val="-4"/>
          <w:rtl/>
          <w:lang w:val="en-US"/>
        </w:rPr>
        <w:t>متماشية تمام</w:t>
      </w:r>
      <w:r w:rsidR="007B0454">
        <w:rPr>
          <w:spacing w:val="-4"/>
          <w:rtl/>
          <w:lang w:val="en-US"/>
        </w:rPr>
        <w:t xml:space="preserve">اً </w:t>
      </w:r>
      <w:r w:rsidRPr="00A84E05">
        <w:rPr>
          <w:spacing w:val="-4"/>
          <w:rtl/>
          <w:lang w:val="en-US"/>
        </w:rPr>
        <w:t>مع المبادئ المتعلقة بمركز المؤسسات الوطنية لتعزيز وحماية حقوق الإنسان (مبادئ باريس)</w:t>
      </w:r>
      <w:r w:rsidR="00FE64D9" w:rsidRPr="00A84E05">
        <w:rPr>
          <w:spacing w:val="-4"/>
          <w:rtl/>
          <w:lang w:val="en-US"/>
        </w:rPr>
        <w:t>،</w:t>
      </w:r>
      <w:r w:rsidRPr="00F0516B">
        <w:rPr>
          <w:rtl/>
          <w:lang w:val="en-US"/>
        </w:rPr>
        <w:t xml:space="preserve"> وأن قانون أمانة المظالم (</w:t>
      </w:r>
      <w:proofErr w:type="spellStart"/>
      <w:r w:rsidRPr="00F0516B">
        <w:rPr>
          <w:rtl/>
          <w:lang w:val="en-US"/>
        </w:rPr>
        <w:t>أكيكاتشي</w:t>
      </w:r>
      <w:proofErr w:type="spellEnd"/>
      <w:r w:rsidRPr="00F0516B">
        <w:rPr>
          <w:rtl/>
          <w:lang w:val="en-US"/>
        </w:rPr>
        <w:t>) لا يزال ينص على جواز عزل أمين/أمينة المظالم من منصبه(ا) في حال عدم الموافقة على التقرير السنوي. وتحيط اللجنة علم</w:t>
      </w:r>
      <w:r w:rsidR="007B0454">
        <w:rPr>
          <w:rtl/>
          <w:lang w:val="en-US"/>
        </w:rPr>
        <w:t xml:space="preserve">اً </w:t>
      </w:r>
      <w:r w:rsidRPr="00F0516B">
        <w:rPr>
          <w:rtl/>
          <w:lang w:val="en-US"/>
        </w:rPr>
        <w:t>بتقارير مفادها أن قانون</w:t>
      </w:r>
      <w:r w:rsidR="007B0454">
        <w:rPr>
          <w:rtl/>
          <w:lang w:val="en-US"/>
        </w:rPr>
        <w:t xml:space="preserve">اً </w:t>
      </w:r>
      <w:r w:rsidRPr="00F0516B">
        <w:rPr>
          <w:rtl/>
          <w:lang w:val="en-US"/>
        </w:rPr>
        <w:t>جديد</w:t>
      </w:r>
      <w:r w:rsidR="007B0454">
        <w:rPr>
          <w:rtl/>
          <w:lang w:val="en-US"/>
        </w:rPr>
        <w:t xml:space="preserve">اً </w:t>
      </w:r>
      <w:r w:rsidRPr="00F0516B">
        <w:rPr>
          <w:rtl/>
          <w:lang w:val="en-US"/>
        </w:rPr>
        <w:t>بشأن أمانة المظالم قد صيغ وهو قيد النظر حالي</w:t>
      </w:r>
      <w:r w:rsidR="007B0454">
        <w:rPr>
          <w:rtl/>
          <w:lang w:val="en-US"/>
        </w:rPr>
        <w:t xml:space="preserve">اً </w:t>
      </w:r>
      <w:r w:rsidRPr="00F0516B">
        <w:rPr>
          <w:rtl/>
          <w:lang w:val="en-US"/>
        </w:rPr>
        <w:t>في البرلمان</w:t>
      </w:r>
      <w:r w:rsidR="00FE64D9">
        <w:rPr>
          <w:rtl/>
          <w:lang w:val="en-US"/>
        </w:rPr>
        <w:t>،</w:t>
      </w:r>
      <w:r w:rsidRPr="00F0516B">
        <w:rPr>
          <w:rtl/>
          <w:lang w:val="en-US"/>
        </w:rPr>
        <w:t xml:space="preserve"> وهو قانون يعدل</w:t>
      </w:r>
      <w:r w:rsidR="00FE64D9">
        <w:rPr>
          <w:rtl/>
          <w:lang w:val="en-US"/>
        </w:rPr>
        <w:t>،</w:t>
      </w:r>
      <w:r w:rsidRPr="00F0516B">
        <w:rPr>
          <w:rtl/>
          <w:lang w:val="en-US"/>
        </w:rPr>
        <w:t xml:space="preserve"> في جملة أمور</w:t>
      </w:r>
      <w:r w:rsidR="00FE64D9">
        <w:rPr>
          <w:rtl/>
          <w:lang w:val="en-US"/>
        </w:rPr>
        <w:t>،</w:t>
      </w:r>
      <w:r w:rsidRPr="00F0516B">
        <w:rPr>
          <w:rtl/>
          <w:lang w:val="en-US"/>
        </w:rPr>
        <w:t xml:space="preserve"> إجراءات انتخاب أمين/أمينة المظالم وإقالته(ا)</w:t>
      </w:r>
      <w:r w:rsidR="00FE64D9">
        <w:rPr>
          <w:rtl/>
          <w:lang w:val="en-US"/>
        </w:rPr>
        <w:t>،</w:t>
      </w:r>
      <w:r w:rsidRPr="00F0516B">
        <w:rPr>
          <w:rtl/>
          <w:lang w:val="en-US"/>
        </w:rPr>
        <w:t xml:space="preserve"> والوضع القانوني للأمانة واختصاصها. ومع ذلك</w:t>
      </w:r>
      <w:r w:rsidR="00FE64D9">
        <w:rPr>
          <w:rtl/>
          <w:lang w:val="en-US"/>
        </w:rPr>
        <w:t>،</w:t>
      </w:r>
      <w:r w:rsidRPr="00F0516B">
        <w:rPr>
          <w:rtl/>
          <w:lang w:val="en-US"/>
        </w:rPr>
        <w:t xml:space="preserve"> تأسف اللجنة لأن مشروع القانون معروض على البرلمان منذ عام </w:t>
      </w:r>
      <w:r w:rsidRPr="00E83825">
        <w:rPr>
          <w:rtl/>
          <w:lang w:val="en-US"/>
        </w:rPr>
        <w:t>2017</w:t>
      </w:r>
      <w:r w:rsidRPr="00F0516B">
        <w:rPr>
          <w:rtl/>
          <w:lang w:val="en-US"/>
        </w:rPr>
        <w:t xml:space="preserve"> (المواد </w:t>
      </w:r>
      <w:r w:rsidRPr="00E83825">
        <w:rPr>
          <w:rtl/>
          <w:lang w:val="en-US"/>
        </w:rPr>
        <w:t>2</w:t>
      </w:r>
      <w:r w:rsidRPr="00F0516B">
        <w:rPr>
          <w:rtl/>
          <w:lang w:val="en-US"/>
        </w:rPr>
        <w:t xml:space="preserve"> و</w:t>
      </w:r>
      <w:r w:rsidRPr="00E83825">
        <w:rPr>
          <w:rtl/>
          <w:lang w:val="en-US"/>
        </w:rPr>
        <w:t>11</w:t>
      </w:r>
      <w:r w:rsidRPr="00F0516B">
        <w:rPr>
          <w:rtl/>
          <w:lang w:val="en-US"/>
        </w:rPr>
        <w:t xml:space="preserve"> و</w:t>
      </w:r>
      <w:r w:rsidRPr="00E83825">
        <w:rPr>
          <w:rtl/>
          <w:lang w:val="en-US"/>
        </w:rPr>
        <w:t>13</w:t>
      </w:r>
      <w:r w:rsidRPr="00F0516B">
        <w:rPr>
          <w:rtl/>
          <w:lang w:val="en-US"/>
        </w:rPr>
        <w:t>).</w:t>
      </w:r>
    </w:p>
    <w:p w14:paraId="357595DC" w14:textId="757D1852" w:rsidR="00F0516B" w:rsidRPr="00E83825" w:rsidRDefault="00F0516B" w:rsidP="00F0516B">
      <w:pPr>
        <w:pStyle w:val="SingleTxtGA"/>
        <w:rPr>
          <w:b/>
          <w:bCs/>
          <w:lang w:val="en-US"/>
        </w:rPr>
      </w:pPr>
      <w:r w:rsidRPr="00E83825">
        <w:rPr>
          <w:rtl/>
          <w:lang w:val="en-US"/>
        </w:rPr>
        <w:t>11</w:t>
      </w:r>
      <w:r w:rsidRPr="00F0516B">
        <w:rPr>
          <w:rtl/>
          <w:lang w:val="en-US"/>
        </w:rPr>
        <w:t>-</w:t>
      </w:r>
      <w:r w:rsidRPr="00F0516B">
        <w:rPr>
          <w:rtl/>
          <w:lang w:val="en-US"/>
        </w:rPr>
        <w:tab/>
      </w:r>
      <w:r w:rsidRPr="00E83825">
        <w:rPr>
          <w:b/>
          <w:bCs/>
          <w:rtl/>
          <w:lang w:val="en-US"/>
        </w:rPr>
        <w:t>ينبغي للدولة الطرف أن تتخذ التدابير اللازمة لتعزيز ولاية أمانة المظالم واستقلالها تماشي</w:t>
      </w:r>
      <w:r w:rsidR="007B0454" w:rsidRPr="00E83825">
        <w:rPr>
          <w:b/>
          <w:bCs/>
          <w:rtl/>
          <w:lang w:val="en-US"/>
        </w:rPr>
        <w:t xml:space="preserve">اً </w:t>
      </w:r>
      <w:r w:rsidRPr="00E83825">
        <w:rPr>
          <w:b/>
          <w:bCs/>
          <w:rtl/>
          <w:lang w:val="en-US"/>
        </w:rPr>
        <w:t>مع مبادئ باريس</w:t>
      </w:r>
      <w:r w:rsidR="00FE64D9" w:rsidRPr="00E83825">
        <w:rPr>
          <w:b/>
          <w:bCs/>
          <w:rtl/>
          <w:lang w:val="en-US"/>
        </w:rPr>
        <w:t>،</w:t>
      </w:r>
      <w:r w:rsidRPr="00E83825">
        <w:rPr>
          <w:b/>
          <w:bCs/>
          <w:rtl/>
          <w:lang w:val="en-US"/>
        </w:rPr>
        <w:t xml:space="preserve"> وضمان تزويدها بالموارد البشرية والمالية الكافية لتمكينها من الاضطلاع بولايتها على نحو مستقل وفعال.</w:t>
      </w:r>
    </w:p>
    <w:p w14:paraId="7B02DF80" w14:textId="77777777" w:rsidR="00F0516B" w:rsidRPr="00E83825" w:rsidRDefault="00F0516B" w:rsidP="00A84E05">
      <w:pPr>
        <w:pStyle w:val="H23GA"/>
        <w:spacing w:line="350" w:lineRule="exact"/>
      </w:pPr>
      <w:r w:rsidRPr="00E83825">
        <w:rPr>
          <w:rtl/>
        </w:rPr>
        <w:lastRenderedPageBreak/>
        <w:tab/>
      </w:r>
      <w:r w:rsidRPr="00E83825">
        <w:rPr>
          <w:rtl/>
        </w:rPr>
        <w:tab/>
        <w:t>الآلية الوقائية الوطنية</w:t>
      </w:r>
    </w:p>
    <w:p w14:paraId="384535C0" w14:textId="320E581E" w:rsidR="00F0516B" w:rsidRPr="00F0516B" w:rsidRDefault="00F0516B" w:rsidP="00A84E05">
      <w:pPr>
        <w:pStyle w:val="SingleTxtGA"/>
        <w:spacing w:line="350" w:lineRule="exact"/>
        <w:rPr>
          <w:lang w:val="en-US"/>
        </w:rPr>
      </w:pPr>
      <w:r w:rsidRPr="00E83825">
        <w:rPr>
          <w:rtl/>
          <w:lang w:val="en-US"/>
        </w:rPr>
        <w:t>12</w:t>
      </w:r>
      <w:r w:rsidRPr="00F0516B">
        <w:rPr>
          <w:rtl/>
          <w:lang w:val="en-US"/>
        </w:rPr>
        <w:t>-</w:t>
      </w:r>
      <w:r w:rsidRPr="00F0516B">
        <w:rPr>
          <w:rtl/>
          <w:lang w:val="en-US"/>
        </w:rPr>
        <w:tab/>
      </w:r>
      <w:r w:rsidRPr="00A84E05">
        <w:rPr>
          <w:spacing w:val="-4"/>
          <w:rtl/>
          <w:lang w:val="en-US"/>
        </w:rPr>
        <w:t>على الرغم من الجهود العامة المبذولة لتعزيز المركز الوطني لمنع التعذيب</w:t>
      </w:r>
      <w:r w:rsidR="00FE64D9" w:rsidRPr="00A84E05">
        <w:rPr>
          <w:spacing w:val="-4"/>
          <w:rtl/>
          <w:lang w:val="en-US"/>
        </w:rPr>
        <w:t>،</w:t>
      </w:r>
      <w:r w:rsidRPr="00A84E05">
        <w:rPr>
          <w:spacing w:val="-4"/>
          <w:rtl/>
          <w:lang w:val="en-US"/>
        </w:rPr>
        <w:t xml:space="preserve"> ترى اللجنة أن هناك </w:t>
      </w:r>
      <w:r w:rsidRPr="00A84E05">
        <w:rPr>
          <w:rtl/>
          <w:lang w:val="en-US"/>
        </w:rPr>
        <w:t xml:space="preserve">عقبات تعوق عمله بفعالية. وتلاحظ بقلق إلغاء الحكم الخاص الوارد في القانون الجنائي (المادة </w:t>
      </w:r>
      <w:r w:rsidRPr="00E83825">
        <w:rPr>
          <w:rtl/>
          <w:lang w:val="en-US"/>
        </w:rPr>
        <w:t>146</w:t>
      </w:r>
      <w:r w:rsidRPr="00A84E05">
        <w:rPr>
          <w:rtl/>
          <w:lang w:val="en-US"/>
        </w:rPr>
        <w:t>-</w:t>
      </w:r>
      <w:r w:rsidRPr="00E83825">
        <w:rPr>
          <w:rtl/>
          <w:lang w:val="en-US"/>
        </w:rPr>
        <w:t>2</w:t>
      </w:r>
      <w:r w:rsidRPr="00A84E05">
        <w:rPr>
          <w:rtl/>
          <w:lang w:val="en-US"/>
        </w:rPr>
        <w:t>) الذي</w:t>
      </w:r>
      <w:r w:rsidRPr="00F0516B">
        <w:rPr>
          <w:rtl/>
          <w:lang w:val="en-US"/>
        </w:rPr>
        <w:t xml:space="preserve"> يعاقب على أي عرقلة لممارسة السلطة من جانب مجلس التنسيق المعني بحقوق الإنسان أو المركز الوطني. كما تأسف لأن المركز الوطني لم يضطلع بولايته فيما يتعلق بإجراء الزيارات المقررة</w:t>
      </w:r>
      <w:r w:rsidR="00FE64D9">
        <w:rPr>
          <w:rtl/>
          <w:lang w:val="en-US"/>
        </w:rPr>
        <w:t>،</w:t>
      </w:r>
      <w:r w:rsidRPr="00F0516B">
        <w:rPr>
          <w:rtl/>
          <w:lang w:val="en-US"/>
        </w:rPr>
        <w:t xml:space="preserve"> لا سيما أثناء الجائحة</w:t>
      </w:r>
      <w:r w:rsidR="00FE64D9">
        <w:rPr>
          <w:rtl/>
          <w:lang w:val="en-US"/>
        </w:rPr>
        <w:t>،</w:t>
      </w:r>
      <w:r w:rsidRPr="00F0516B">
        <w:rPr>
          <w:rtl/>
          <w:lang w:val="en-US"/>
        </w:rPr>
        <w:t xml:space="preserve"> وذلك أساس</w:t>
      </w:r>
      <w:r w:rsidR="007B0454">
        <w:rPr>
          <w:rtl/>
          <w:lang w:val="en-US"/>
        </w:rPr>
        <w:t xml:space="preserve">اً </w:t>
      </w:r>
      <w:r w:rsidRPr="00F0516B">
        <w:rPr>
          <w:rtl/>
          <w:lang w:val="en-US"/>
        </w:rPr>
        <w:t>بسبب نقص الموارد البشرية وموارد الميزانية</w:t>
      </w:r>
      <w:r w:rsidR="00FE64D9">
        <w:rPr>
          <w:rtl/>
          <w:lang w:val="en-US"/>
        </w:rPr>
        <w:t>،</w:t>
      </w:r>
      <w:r w:rsidRPr="00F0516B">
        <w:rPr>
          <w:rtl/>
          <w:lang w:val="en-US"/>
        </w:rPr>
        <w:t xml:space="preserve"> لا سيما في المكاتب الإقليمية. وتحيط اللجنة علم</w:t>
      </w:r>
      <w:r w:rsidR="007B0454">
        <w:rPr>
          <w:rtl/>
          <w:lang w:val="en-US"/>
        </w:rPr>
        <w:t xml:space="preserve">اً </w:t>
      </w:r>
      <w:r w:rsidRPr="00F0516B">
        <w:rPr>
          <w:rtl/>
          <w:lang w:val="en-US"/>
        </w:rPr>
        <w:t xml:space="preserve">بتأكيد الوفد أن مشروع الميزانية لعام </w:t>
      </w:r>
      <w:r w:rsidRPr="00E83825">
        <w:rPr>
          <w:rtl/>
          <w:lang w:val="en-US"/>
        </w:rPr>
        <w:t>2022</w:t>
      </w:r>
      <w:r w:rsidRPr="00F0516B">
        <w:rPr>
          <w:rtl/>
          <w:lang w:val="en-US"/>
        </w:rPr>
        <w:t xml:space="preserve"> قد تناول نقص الموظفين وعدم كفاية موارد الميزانية</w:t>
      </w:r>
      <w:r w:rsidR="00FE64D9">
        <w:rPr>
          <w:rtl/>
          <w:lang w:val="en-US"/>
        </w:rPr>
        <w:t>،</w:t>
      </w:r>
      <w:r w:rsidRPr="00F0516B">
        <w:rPr>
          <w:rtl/>
          <w:lang w:val="en-US"/>
        </w:rPr>
        <w:t xml:space="preserve"> وأن موارد الميزانية المخصصة للمركز الوطني سترفّع (المادة </w:t>
      </w:r>
      <w:r w:rsidRPr="00E83825">
        <w:rPr>
          <w:rtl/>
          <w:lang w:val="en-US"/>
        </w:rPr>
        <w:t>2</w:t>
      </w:r>
      <w:r w:rsidRPr="00F0516B">
        <w:rPr>
          <w:rtl/>
          <w:lang w:val="en-US"/>
        </w:rPr>
        <w:t>).</w:t>
      </w:r>
    </w:p>
    <w:p w14:paraId="522BD127" w14:textId="77777777" w:rsidR="00F0516B" w:rsidRPr="00E83825" w:rsidRDefault="00F0516B" w:rsidP="00A84E05">
      <w:pPr>
        <w:pStyle w:val="SingleTxtGA"/>
        <w:spacing w:line="350" w:lineRule="exact"/>
        <w:rPr>
          <w:b/>
          <w:bCs/>
          <w:lang w:val="en-US"/>
        </w:rPr>
      </w:pPr>
      <w:r w:rsidRPr="00E83825">
        <w:rPr>
          <w:rtl/>
          <w:lang w:val="en-US"/>
        </w:rPr>
        <w:t>13</w:t>
      </w:r>
      <w:r w:rsidRPr="00F0516B">
        <w:rPr>
          <w:rtl/>
          <w:lang w:val="en-US"/>
        </w:rPr>
        <w:t>-</w:t>
      </w:r>
      <w:r w:rsidRPr="00F0516B">
        <w:rPr>
          <w:rtl/>
          <w:lang w:val="en-US"/>
        </w:rPr>
        <w:tab/>
      </w:r>
      <w:r w:rsidRPr="00E83825">
        <w:rPr>
          <w:b/>
          <w:bCs/>
          <w:rtl/>
          <w:lang w:val="en-US"/>
        </w:rPr>
        <w:t xml:space="preserve">ينبغي للدولة الطرف القيام بما يلي: </w:t>
      </w:r>
    </w:p>
    <w:p w14:paraId="7603AD2A" w14:textId="538D7514" w:rsidR="00F0516B" w:rsidRPr="00E83825" w:rsidRDefault="00E95C38" w:rsidP="00A84E05">
      <w:pPr>
        <w:pStyle w:val="SingleTxtGA"/>
        <w:spacing w:line="350" w:lineRule="exact"/>
        <w:rPr>
          <w:b/>
          <w:bCs/>
          <w:lang w:val="en-US"/>
        </w:rPr>
      </w:pPr>
      <w:r>
        <w:rPr>
          <w:rtl/>
          <w:lang w:val="en-US"/>
        </w:rPr>
        <w:tab/>
      </w:r>
      <w:r w:rsidR="00F0516B" w:rsidRPr="00F0516B">
        <w:rPr>
          <w:rtl/>
          <w:lang w:val="en-US"/>
        </w:rPr>
        <w:t>(أ)</w:t>
      </w:r>
      <w:r w:rsidR="00F0516B" w:rsidRPr="00F0516B">
        <w:rPr>
          <w:rtl/>
          <w:lang w:val="en-US"/>
        </w:rPr>
        <w:tab/>
      </w:r>
      <w:r w:rsidR="00F0516B" w:rsidRPr="00E83825">
        <w:rPr>
          <w:rFonts w:ascii="Times New Roman Bold" w:hAnsi="Times New Roman Bold"/>
          <w:b/>
          <w:bCs/>
          <w:spacing w:val="-4"/>
          <w:rtl/>
          <w:lang w:val="en-US"/>
        </w:rPr>
        <w:t>إعادة إدراج المادة 146-2 في القانون الجنائي وضمان التحقيق بفعالية في أي عرقلة</w:t>
      </w:r>
      <w:r w:rsidR="00F0516B" w:rsidRPr="00E83825">
        <w:rPr>
          <w:b/>
          <w:bCs/>
          <w:rtl/>
          <w:lang w:val="en-US"/>
        </w:rPr>
        <w:t xml:space="preserve"> أو تدخل في عمل المركز الوطني لمنع التعذيب</w:t>
      </w:r>
      <w:r w:rsidR="00FE64D9" w:rsidRPr="00E83825">
        <w:rPr>
          <w:b/>
          <w:bCs/>
          <w:rtl/>
          <w:lang w:val="en-US"/>
        </w:rPr>
        <w:t>،</w:t>
      </w:r>
      <w:r w:rsidR="00F0516B" w:rsidRPr="00E83825">
        <w:rPr>
          <w:b/>
          <w:bCs/>
          <w:rtl/>
          <w:lang w:val="en-US"/>
        </w:rPr>
        <w:t xml:space="preserve"> وتقديم المسؤولين عن ذلك إلى العدالة؛</w:t>
      </w:r>
    </w:p>
    <w:p w14:paraId="061728F6" w14:textId="0EC7BBEB" w:rsidR="00F0516B" w:rsidRPr="00E83825" w:rsidRDefault="00E95C38" w:rsidP="00A84E05">
      <w:pPr>
        <w:pStyle w:val="SingleTxtGA"/>
        <w:spacing w:line="350" w:lineRule="exact"/>
        <w:rPr>
          <w:b/>
          <w:bCs/>
          <w:lang w:val="en-US"/>
        </w:rPr>
      </w:pPr>
      <w:r>
        <w:rPr>
          <w:rtl/>
          <w:lang w:val="en-US"/>
        </w:rPr>
        <w:tab/>
      </w:r>
      <w:r w:rsidR="00F0516B" w:rsidRPr="00F0516B">
        <w:rPr>
          <w:rtl/>
          <w:lang w:val="en-US"/>
        </w:rPr>
        <w:t>(ب)</w:t>
      </w:r>
      <w:r w:rsidR="00F0516B" w:rsidRPr="00F0516B">
        <w:rPr>
          <w:rtl/>
          <w:lang w:val="en-US"/>
        </w:rPr>
        <w:tab/>
      </w:r>
      <w:r w:rsidR="00F0516B" w:rsidRPr="00E83825">
        <w:rPr>
          <w:b/>
          <w:bCs/>
          <w:rtl/>
          <w:lang w:val="en-US"/>
        </w:rPr>
        <w:t>ضمان أن يكون لدى المركز الوطني لمنع التعذيب الموارد المالية والبشرية والمادية اللازمة لتنفيذ ولايته بفعالية في جميع أنحاء البلد</w:t>
      </w:r>
      <w:r w:rsidR="00FE64D9" w:rsidRPr="00E83825">
        <w:rPr>
          <w:b/>
          <w:bCs/>
          <w:rtl/>
          <w:lang w:val="en-US"/>
        </w:rPr>
        <w:t>،</w:t>
      </w:r>
      <w:r w:rsidR="00F0516B" w:rsidRPr="00E83825">
        <w:rPr>
          <w:b/>
          <w:bCs/>
          <w:rtl/>
          <w:lang w:val="en-US"/>
        </w:rPr>
        <w:t xml:space="preserve"> وأن يتاح له الوصول بلا عوائق إلى جميع أماكن سلب الحرية</w:t>
      </w:r>
      <w:r w:rsidR="00FE64D9" w:rsidRPr="00E83825">
        <w:rPr>
          <w:b/>
          <w:bCs/>
          <w:rtl/>
          <w:lang w:val="en-US"/>
        </w:rPr>
        <w:t>،</w:t>
      </w:r>
      <w:r w:rsidR="00F0516B" w:rsidRPr="00E83825">
        <w:rPr>
          <w:b/>
          <w:bCs/>
          <w:rtl/>
          <w:lang w:val="en-US"/>
        </w:rPr>
        <w:t xml:space="preserve"> وأن يتمكن من عقد اجتماعات سرية مع المحتجزين ومتابعة استنتاجاته وتوصياته مع السلطات المختصة.</w:t>
      </w:r>
    </w:p>
    <w:p w14:paraId="418B0CDB" w14:textId="164E3638" w:rsidR="00F0516B" w:rsidRPr="00E83825" w:rsidRDefault="00F0516B" w:rsidP="00A84E05">
      <w:pPr>
        <w:pStyle w:val="H23GA"/>
        <w:spacing w:line="350" w:lineRule="exact"/>
      </w:pPr>
      <w:r w:rsidRPr="00E83825">
        <w:rPr>
          <w:rtl/>
        </w:rPr>
        <w:tab/>
      </w:r>
      <w:r w:rsidRPr="00E83825">
        <w:rPr>
          <w:rtl/>
        </w:rPr>
        <w:tab/>
        <w:t xml:space="preserve">الضمانات القانونية الأساسية </w:t>
      </w:r>
    </w:p>
    <w:p w14:paraId="0E78FCD6" w14:textId="4EFE43DA" w:rsidR="00F0516B" w:rsidRPr="00F0516B" w:rsidRDefault="00F0516B" w:rsidP="00A84E05">
      <w:pPr>
        <w:pStyle w:val="SingleTxtGA"/>
        <w:spacing w:line="350" w:lineRule="exact"/>
        <w:rPr>
          <w:lang w:val="en-US"/>
        </w:rPr>
      </w:pPr>
      <w:r w:rsidRPr="00E83825">
        <w:rPr>
          <w:rtl/>
          <w:lang w:val="en-US"/>
        </w:rPr>
        <w:t>14</w:t>
      </w:r>
      <w:r w:rsidRPr="00F0516B">
        <w:rPr>
          <w:rtl/>
          <w:lang w:val="en-US"/>
        </w:rPr>
        <w:t>-</w:t>
      </w:r>
      <w:r w:rsidRPr="00F0516B">
        <w:rPr>
          <w:rtl/>
          <w:lang w:val="en-US"/>
        </w:rPr>
        <w:tab/>
        <w:t>تعرب اللجنة من جديد عن قلقها لأن جميع الأشخاص المسلوبة حريتهم</w:t>
      </w:r>
      <w:r w:rsidR="00FE64D9">
        <w:rPr>
          <w:rtl/>
          <w:lang w:val="en-US"/>
        </w:rPr>
        <w:t>،</w:t>
      </w:r>
      <w:r w:rsidRPr="00F0516B">
        <w:rPr>
          <w:rtl/>
          <w:lang w:val="en-US"/>
        </w:rPr>
        <w:t xml:space="preserve"> لا سيما المحتجزين رهن المحاكمة</w:t>
      </w:r>
      <w:r w:rsidR="00FE64D9">
        <w:rPr>
          <w:rtl/>
          <w:lang w:val="en-US"/>
        </w:rPr>
        <w:t>،</w:t>
      </w:r>
      <w:r w:rsidRPr="00F0516B">
        <w:rPr>
          <w:rtl/>
          <w:lang w:val="en-US"/>
        </w:rPr>
        <w:t xml:space="preserve"> لا يتمتعون في الواقع العملي بجميع الضمانات القانونية الأساسية منذ بداية سلب الحرية. ويساور اللجنة القلق إزاء التقارير التي تفيد بأن المحتجزين لا يتاح لهم الاتصال بمحام في الوقت المناسب</w:t>
      </w:r>
      <w:r w:rsidR="001765AA">
        <w:rPr>
          <w:rFonts w:hint="cs"/>
          <w:rtl/>
          <w:lang w:val="en-US"/>
        </w:rPr>
        <w:t> </w:t>
      </w:r>
      <w:r w:rsidRPr="00F0516B">
        <w:rPr>
          <w:rtl/>
          <w:lang w:val="en-US"/>
        </w:rPr>
        <w:t>- وفي كثير من الحالات لا تتاح لهم فرصة الاتصال بمحام إلى حين محاكمتهم؛ وإزاء انخفاض عدد المحامين في قائمة المساعدة القانونية المكفولة من الدولة وعدم توافرهم في المناطق النائية؛ وعدم إمكانية الحصول على مساعدة قانونية جيدة. وعلاوة على ذلك</w:t>
      </w:r>
      <w:r w:rsidR="00FE64D9">
        <w:rPr>
          <w:rtl/>
          <w:lang w:val="en-US"/>
        </w:rPr>
        <w:t>،</w:t>
      </w:r>
      <w:r w:rsidRPr="00F0516B">
        <w:rPr>
          <w:rtl/>
          <w:lang w:val="en-US"/>
        </w:rPr>
        <w:t xml:space="preserve"> يتسبب نقص قاعات الاجتماعات في </w:t>
      </w:r>
      <w:r w:rsidRPr="001765AA">
        <w:rPr>
          <w:spacing w:val="-2"/>
          <w:rtl/>
          <w:lang w:val="en-US"/>
        </w:rPr>
        <w:t>مرافق الاحتجاز المؤقت ومراكز الاحتجاز السابق للمحاكمة إلى وضع قوائم انتظار طويلة لتسجيل المحامين</w:t>
      </w:r>
      <w:r w:rsidRPr="00F0516B">
        <w:rPr>
          <w:rtl/>
          <w:lang w:val="en-US"/>
        </w:rPr>
        <w:t xml:space="preserve"> الراغبين في مقابلة موكليهم. وبينما ترحب اللجنة بالتقارير التي تفيد بأن عدد</w:t>
      </w:r>
      <w:r w:rsidR="007B0454">
        <w:rPr>
          <w:rtl/>
          <w:lang w:val="en-US"/>
        </w:rPr>
        <w:t xml:space="preserve">اً </w:t>
      </w:r>
      <w:r w:rsidRPr="00F0516B">
        <w:rPr>
          <w:rtl/>
          <w:lang w:val="en-US"/>
        </w:rPr>
        <w:t>كبير</w:t>
      </w:r>
      <w:r w:rsidR="007B0454">
        <w:rPr>
          <w:rtl/>
          <w:lang w:val="en-US"/>
        </w:rPr>
        <w:t xml:space="preserve">اً </w:t>
      </w:r>
      <w:r w:rsidRPr="00F0516B">
        <w:rPr>
          <w:rtl/>
          <w:lang w:val="en-US"/>
        </w:rPr>
        <w:t>من الموظفين الطبيين في السجون تلقوا تدريب</w:t>
      </w:r>
      <w:r w:rsidR="007B0454">
        <w:rPr>
          <w:rtl/>
          <w:lang w:val="en-US"/>
        </w:rPr>
        <w:t xml:space="preserve">اً </w:t>
      </w:r>
      <w:r w:rsidRPr="00F0516B">
        <w:rPr>
          <w:rtl/>
          <w:lang w:val="en-US"/>
        </w:rPr>
        <w:t>على بروتوكول اسطنبول</w:t>
      </w:r>
      <w:r w:rsidR="00FE64D9">
        <w:rPr>
          <w:rtl/>
          <w:lang w:val="en-US"/>
        </w:rPr>
        <w:t>،</w:t>
      </w:r>
      <w:r w:rsidRPr="00F0516B">
        <w:rPr>
          <w:rtl/>
          <w:lang w:val="en-US"/>
        </w:rPr>
        <w:t xml:space="preserve"> فإنها تشعر بالقلق إزاء الادعاءات التي تفيد بأن بعض الفحوص تجري بطريقة سطحية</w:t>
      </w:r>
      <w:r w:rsidR="00FE64D9">
        <w:rPr>
          <w:rtl/>
          <w:lang w:val="en-US"/>
        </w:rPr>
        <w:t>،</w:t>
      </w:r>
      <w:r w:rsidRPr="00F0516B">
        <w:rPr>
          <w:rtl/>
          <w:lang w:val="en-US"/>
        </w:rPr>
        <w:t xml:space="preserve"> وفي مرحلة متأخرة أحيان</w:t>
      </w:r>
      <w:r w:rsidR="00CB04D0">
        <w:rPr>
          <w:rtl/>
          <w:lang w:val="en-US"/>
        </w:rPr>
        <w:t>اً،</w:t>
      </w:r>
      <w:r w:rsidRPr="00F0516B">
        <w:rPr>
          <w:rtl/>
          <w:lang w:val="en-US"/>
        </w:rPr>
        <w:t xml:space="preserve"> وعلى أيدي موظفين غير طبيين في مرافق الاحتجاز السابق للمحاكمة. وأخير</w:t>
      </w:r>
      <w:r w:rsidR="00CB04D0">
        <w:rPr>
          <w:rtl/>
          <w:lang w:val="en-US"/>
        </w:rPr>
        <w:t>اً،</w:t>
      </w:r>
      <w:r w:rsidRPr="00F0516B">
        <w:rPr>
          <w:rtl/>
          <w:lang w:val="en-US"/>
        </w:rPr>
        <w:t xml:space="preserve"> تلاحظ اللجنة بقلق بالغ أن القصر يخضعون للاستجواب الأولي في غياب محاميهم أو والديهم أو غيرهم من الأشخاص الموثوق بهم (المواد </w:t>
      </w:r>
      <w:r w:rsidRPr="00E83825">
        <w:rPr>
          <w:rtl/>
          <w:lang w:val="en-US"/>
        </w:rPr>
        <w:t>2</w:t>
      </w:r>
      <w:r w:rsidRPr="00F0516B">
        <w:rPr>
          <w:rtl/>
          <w:lang w:val="en-US"/>
        </w:rPr>
        <w:t xml:space="preserve"> و</w:t>
      </w:r>
      <w:r w:rsidRPr="00E83825">
        <w:rPr>
          <w:rtl/>
          <w:lang w:val="en-US"/>
        </w:rPr>
        <w:t>11</w:t>
      </w:r>
      <w:r w:rsidRPr="00F0516B">
        <w:rPr>
          <w:rtl/>
          <w:lang w:val="en-US"/>
        </w:rPr>
        <w:t xml:space="preserve"> و</w:t>
      </w:r>
      <w:r w:rsidRPr="00E83825">
        <w:rPr>
          <w:rtl/>
          <w:lang w:val="en-US"/>
        </w:rPr>
        <w:t>13</w:t>
      </w:r>
      <w:r w:rsidRPr="00F0516B">
        <w:rPr>
          <w:rtl/>
          <w:lang w:val="en-US"/>
        </w:rPr>
        <w:t xml:space="preserve"> و</w:t>
      </w:r>
      <w:r w:rsidRPr="00E83825">
        <w:rPr>
          <w:rtl/>
          <w:lang w:val="en-US"/>
        </w:rPr>
        <w:t>15</w:t>
      </w:r>
      <w:r w:rsidRPr="00F0516B">
        <w:rPr>
          <w:rtl/>
          <w:lang w:val="en-US"/>
        </w:rPr>
        <w:t xml:space="preserve"> و</w:t>
      </w:r>
      <w:r w:rsidRPr="00E83825">
        <w:rPr>
          <w:rtl/>
          <w:lang w:val="en-US"/>
        </w:rPr>
        <w:t>16</w:t>
      </w:r>
      <w:r w:rsidRPr="00F0516B">
        <w:rPr>
          <w:rtl/>
          <w:lang w:val="en-US"/>
        </w:rPr>
        <w:t>).</w:t>
      </w:r>
    </w:p>
    <w:p w14:paraId="528857F6" w14:textId="416473E4" w:rsidR="00F0516B" w:rsidRPr="00E83825" w:rsidRDefault="00F0516B" w:rsidP="00A84E05">
      <w:pPr>
        <w:pStyle w:val="SingleTxtGA"/>
        <w:spacing w:line="350" w:lineRule="exact"/>
        <w:rPr>
          <w:b/>
          <w:bCs/>
          <w:lang w:val="en-US"/>
        </w:rPr>
      </w:pPr>
      <w:r w:rsidRPr="00E83825">
        <w:rPr>
          <w:rtl/>
          <w:lang w:val="en-US"/>
        </w:rPr>
        <w:t>15</w:t>
      </w:r>
      <w:r w:rsidRPr="00F0516B">
        <w:rPr>
          <w:rtl/>
          <w:lang w:val="en-US"/>
        </w:rPr>
        <w:t>-</w:t>
      </w:r>
      <w:r w:rsidRPr="00F0516B">
        <w:rPr>
          <w:rtl/>
          <w:lang w:val="en-US"/>
        </w:rPr>
        <w:tab/>
      </w:r>
      <w:r w:rsidRPr="00E83825">
        <w:rPr>
          <w:rFonts w:ascii="Times New Roman Bold" w:hAnsi="Times New Roman Bold"/>
          <w:b/>
          <w:bCs/>
          <w:spacing w:val="-2"/>
          <w:rtl/>
          <w:lang w:val="en-US"/>
        </w:rPr>
        <w:t>إذ تشير اللجنة إلى توصياتها السابقة</w:t>
      </w:r>
      <w:r w:rsidRPr="00E83825">
        <w:rPr>
          <w:rFonts w:ascii="Times New Roman Bold" w:hAnsi="Times New Roman Bold"/>
          <w:b/>
          <w:bCs/>
          <w:spacing w:val="-2"/>
          <w:vertAlign w:val="superscript"/>
          <w:rtl/>
          <w:lang w:val="en-US"/>
        </w:rPr>
        <w:t>(</w:t>
      </w:r>
      <w:r w:rsidRPr="00E83825">
        <w:rPr>
          <w:rStyle w:val="FootnoteReference"/>
          <w:rFonts w:ascii="Times New Roman Bold" w:hAnsi="Times New Roman Bold"/>
          <w:b/>
          <w:bCs/>
          <w:spacing w:val="-2"/>
          <w:szCs w:val="22"/>
          <w:lang w:val="en-US"/>
        </w:rPr>
        <w:footnoteReference w:id="10"/>
      </w:r>
      <w:r w:rsidRPr="00E83825">
        <w:rPr>
          <w:rFonts w:ascii="Times New Roman Bold" w:hAnsi="Times New Roman Bold"/>
          <w:b/>
          <w:bCs/>
          <w:spacing w:val="-2"/>
          <w:vertAlign w:val="superscript"/>
          <w:rtl/>
          <w:lang w:val="en-US"/>
        </w:rPr>
        <w:t>)</w:t>
      </w:r>
      <w:r w:rsidR="00FE64D9" w:rsidRPr="00E83825">
        <w:rPr>
          <w:rFonts w:ascii="Times New Roman Bold" w:hAnsi="Times New Roman Bold"/>
          <w:b/>
          <w:bCs/>
          <w:spacing w:val="-2"/>
          <w:rtl/>
          <w:lang w:val="en-US"/>
        </w:rPr>
        <w:t>،</w:t>
      </w:r>
      <w:r w:rsidRPr="00E83825">
        <w:rPr>
          <w:rFonts w:ascii="Times New Roman Bold" w:hAnsi="Times New Roman Bold"/>
          <w:b/>
          <w:bCs/>
          <w:spacing w:val="-2"/>
          <w:rtl/>
          <w:lang w:val="en-US"/>
        </w:rPr>
        <w:t xml:space="preserve"> توصي الدولة الطرف بأن تكفل تمتع جميع الأشخاص</w:t>
      </w:r>
      <w:r w:rsidRPr="00E83825">
        <w:rPr>
          <w:b/>
          <w:bCs/>
          <w:rtl/>
          <w:lang w:val="en-US"/>
        </w:rPr>
        <w:t xml:space="preserve"> الموقوفين أو المحتجزين</w:t>
      </w:r>
      <w:r w:rsidR="00FE64D9" w:rsidRPr="00E83825">
        <w:rPr>
          <w:b/>
          <w:bCs/>
          <w:rtl/>
          <w:lang w:val="en-US"/>
        </w:rPr>
        <w:t>،</w:t>
      </w:r>
      <w:r w:rsidRPr="00E83825">
        <w:rPr>
          <w:b/>
          <w:bCs/>
          <w:rtl/>
          <w:lang w:val="en-US"/>
        </w:rPr>
        <w:t xml:space="preserve"> بمن فهم القصر</w:t>
      </w:r>
      <w:r w:rsidR="00FE64D9" w:rsidRPr="00E83825">
        <w:rPr>
          <w:b/>
          <w:bCs/>
          <w:rtl/>
          <w:lang w:val="en-US"/>
        </w:rPr>
        <w:t>،</w:t>
      </w:r>
      <w:r w:rsidRPr="00E83825">
        <w:rPr>
          <w:b/>
          <w:bCs/>
          <w:rtl/>
          <w:lang w:val="en-US"/>
        </w:rPr>
        <w:t xml:space="preserve"> في الممارسة العملية</w:t>
      </w:r>
      <w:r w:rsidR="00FE64D9" w:rsidRPr="00E83825">
        <w:rPr>
          <w:b/>
          <w:bCs/>
          <w:rtl/>
          <w:lang w:val="en-US"/>
        </w:rPr>
        <w:t>،</w:t>
      </w:r>
      <w:r w:rsidRPr="00E83825">
        <w:rPr>
          <w:b/>
          <w:bCs/>
          <w:rtl/>
          <w:lang w:val="en-US"/>
        </w:rPr>
        <w:t xml:space="preserve"> بجميع الضمانات القانونية الأساسية التي تحميهم من التعذيب منذ لحظة سلب حريتهم</w:t>
      </w:r>
      <w:r w:rsidR="00FE64D9" w:rsidRPr="00E83825">
        <w:rPr>
          <w:b/>
          <w:bCs/>
          <w:rtl/>
          <w:lang w:val="en-US"/>
        </w:rPr>
        <w:t>،</w:t>
      </w:r>
      <w:r w:rsidRPr="00E83825">
        <w:rPr>
          <w:b/>
          <w:bCs/>
          <w:rtl/>
          <w:lang w:val="en-US"/>
        </w:rPr>
        <w:t xml:space="preserve"> بما في ذلك الحق في الاتصال الفوري بمحام أو</w:t>
      </w:r>
      <w:r w:rsidR="00FE64D9" w:rsidRPr="00E83825">
        <w:rPr>
          <w:b/>
          <w:bCs/>
          <w:rtl/>
          <w:lang w:val="en-US"/>
        </w:rPr>
        <w:t>،</w:t>
      </w:r>
      <w:r w:rsidRPr="00E83825">
        <w:rPr>
          <w:b/>
          <w:bCs/>
          <w:rtl/>
          <w:lang w:val="en-US"/>
        </w:rPr>
        <w:t xml:space="preserve"> عند اللزوم</w:t>
      </w:r>
      <w:r w:rsidR="00FE64D9" w:rsidRPr="00E83825">
        <w:rPr>
          <w:b/>
          <w:bCs/>
          <w:rtl/>
          <w:lang w:val="en-US"/>
        </w:rPr>
        <w:t>،</w:t>
      </w:r>
      <w:r w:rsidRPr="00E83825">
        <w:rPr>
          <w:b/>
          <w:bCs/>
          <w:rtl/>
          <w:lang w:val="en-US"/>
        </w:rPr>
        <w:t xml:space="preserve"> في الحصول على المساعدة القانونية المجانية</w:t>
      </w:r>
      <w:r w:rsidR="00FE64D9" w:rsidRPr="00E83825">
        <w:rPr>
          <w:b/>
          <w:bCs/>
          <w:rtl/>
          <w:lang w:val="en-US"/>
        </w:rPr>
        <w:t>،</w:t>
      </w:r>
      <w:r w:rsidRPr="00E83825">
        <w:rPr>
          <w:b/>
          <w:bCs/>
          <w:rtl/>
          <w:lang w:val="en-US"/>
        </w:rPr>
        <w:t xml:space="preserve"> لا سيما في مرحلتي التحقيق والاستجواب</w:t>
      </w:r>
      <w:r w:rsidR="00FE64D9" w:rsidRPr="00E83825">
        <w:rPr>
          <w:b/>
          <w:bCs/>
          <w:rtl/>
          <w:lang w:val="en-US"/>
        </w:rPr>
        <w:t>،</w:t>
      </w:r>
      <w:r w:rsidRPr="00E83825">
        <w:rPr>
          <w:b/>
          <w:bCs/>
          <w:rtl/>
          <w:lang w:val="en-US"/>
        </w:rPr>
        <w:t xml:space="preserve"> والحق في طلب الخضوع لفحص طبي فوري يجريه متخصص ذو كفاءة</w:t>
      </w:r>
      <w:r w:rsidR="00FE64D9" w:rsidRPr="00E83825">
        <w:rPr>
          <w:b/>
          <w:bCs/>
          <w:rtl/>
          <w:lang w:val="en-US"/>
        </w:rPr>
        <w:t xml:space="preserve"> </w:t>
      </w:r>
      <w:r w:rsidRPr="00E83825">
        <w:rPr>
          <w:b/>
          <w:bCs/>
          <w:rtl/>
          <w:lang w:val="en-US"/>
        </w:rPr>
        <w:t>والحصول على ذلك الفحص عند إدخاله إلى مكان الاحتجاز</w:t>
      </w:r>
      <w:r w:rsidR="00FE64D9" w:rsidRPr="00E83825">
        <w:rPr>
          <w:b/>
          <w:bCs/>
          <w:rtl/>
          <w:lang w:val="en-US"/>
        </w:rPr>
        <w:t>،</w:t>
      </w:r>
      <w:r w:rsidRPr="00E83825">
        <w:rPr>
          <w:b/>
          <w:bCs/>
          <w:rtl/>
          <w:lang w:val="en-US"/>
        </w:rPr>
        <w:t xml:space="preserve"> والحق في استشارة طبيب مستقل عند الطلب. وينبغي للدولة الطرف تقديم معلومات عن عدد الشكاوى الواردة بشأن عدم احترام الضمانات القانونية الأساسية وعن نتائج هذه الشكاوى في تقريرها المقبل إلى اللجنة.</w:t>
      </w:r>
    </w:p>
    <w:p w14:paraId="53A35760" w14:textId="77777777" w:rsidR="00F0516B" w:rsidRPr="00E83825" w:rsidRDefault="00F0516B" w:rsidP="00E95C38">
      <w:pPr>
        <w:pStyle w:val="H23GA"/>
      </w:pPr>
      <w:r w:rsidRPr="00E83825">
        <w:rPr>
          <w:rtl/>
        </w:rPr>
        <w:lastRenderedPageBreak/>
        <w:tab/>
      </w:r>
      <w:r w:rsidRPr="00E83825">
        <w:rPr>
          <w:rtl/>
        </w:rPr>
        <w:tab/>
        <w:t xml:space="preserve">مدة الاحتجاز السابق للمحاكمة </w:t>
      </w:r>
    </w:p>
    <w:p w14:paraId="3C5BE401" w14:textId="2A31C04C" w:rsidR="00F0516B" w:rsidRPr="00D17AFF" w:rsidRDefault="00F0516B" w:rsidP="00F0516B">
      <w:pPr>
        <w:pStyle w:val="SingleTxtGA"/>
        <w:rPr>
          <w:spacing w:val="-2"/>
          <w:lang w:val="en-US"/>
        </w:rPr>
      </w:pPr>
      <w:r w:rsidRPr="00E83825">
        <w:rPr>
          <w:spacing w:val="-4"/>
          <w:rtl/>
          <w:lang w:val="en-US"/>
        </w:rPr>
        <w:t>16</w:t>
      </w:r>
      <w:r w:rsidRPr="00D17AFF">
        <w:rPr>
          <w:spacing w:val="-4"/>
          <w:rtl/>
          <w:lang w:val="en-US"/>
        </w:rPr>
        <w:t>-</w:t>
      </w:r>
      <w:r w:rsidRPr="00D17AFF">
        <w:rPr>
          <w:spacing w:val="-4"/>
          <w:rtl/>
          <w:lang w:val="en-US"/>
        </w:rPr>
        <w:tab/>
        <w:t>تحيط اللجنة علم</w:t>
      </w:r>
      <w:r w:rsidR="007B0454">
        <w:rPr>
          <w:spacing w:val="-4"/>
          <w:rtl/>
          <w:lang w:val="en-US"/>
        </w:rPr>
        <w:t xml:space="preserve">اً </w:t>
      </w:r>
      <w:r w:rsidRPr="00D17AFF">
        <w:rPr>
          <w:spacing w:val="-4"/>
          <w:rtl/>
          <w:lang w:val="en-US"/>
        </w:rPr>
        <w:t xml:space="preserve">بالضمانات المنصوص عليها في المادة </w:t>
      </w:r>
      <w:r w:rsidRPr="00E83825">
        <w:rPr>
          <w:spacing w:val="-4"/>
          <w:rtl/>
          <w:lang w:val="en-US"/>
        </w:rPr>
        <w:t>59</w:t>
      </w:r>
      <w:r w:rsidRPr="00D17AFF">
        <w:rPr>
          <w:spacing w:val="-4"/>
          <w:rtl/>
          <w:lang w:val="en-US"/>
        </w:rPr>
        <w:t>(</w:t>
      </w:r>
      <w:r w:rsidRPr="00E83825">
        <w:rPr>
          <w:spacing w:val="-4"/>
          <w:rtl/>
          <w:lang w:val="en-US"/>
        </w:rPr>
        <w:t>4</w:t>
      </w:r>
      <w:r w:rsidRPr="00D17AFF">
        <w:rPr>
          <w:spacing w:val="-4"/>
          <w:rtl/>
          <w:lang w:val="en-US"/>
        </w:rPr>
        <w:t xml:space="preserve">) من الدستور والمادة </w:t>
      </w:r>
      <w:r w:rsidRPr="00E83825">
        <w:rPr>
          <w:spacing w:val="-4"/>
          <w:rtl/>
          <w:lang w:val="en-US"/>
        </w:rPr>
        <w:t>45</w:t>
      </w:r>
      <w:r w:rsidRPr="00D17AFF">
        <w:rPr>
          <w:spacing w:val="-4"/>
          <w:rtl/>
          <w:lang w:val="en-US"/>
        </w:rPr>
        <w:t>-</w:t>
      </w:r>
      <w:r w:rsidRPr="00E83825">
        <w:rPr>
          <w:spacing w:val="-4"/>
          <w:rtl/>
          <w:lang w:val="en-US"/>
        </w:rPr>
        <w:t>1</w:t>
      </w:r>
      <w:r w:rsidRPr="00D17AFF">
        <w:rPr>
          <w:spacing w:val="-4"/>
          <w:rtl/>
          <w:lang w:val="en-US"/>
        </w:rPr>
        <w:t xml:space="preserve"> (</w:t>
      </w:r>
      <w:r w:rsidRPr="00E83825">
        <w:rPr>
          <w:spacing w:val="-4"/>
          <w:rtl/>
          <w:lang w:val="en-US"/>
        </w:rPr>
        <w:t>11</w:t>
      </w:r>
      <w:r w:rsidRPr="00D17AFF">
        <w:rPr>
          <w:spacing w:val="-4"/>
          <w:rtl/>
          <w:lang w:val="en-US"/>
        </w:rPr>
        <w:t xml:space="preserve">) </w:t>
      </w:r>
      <w:r w:rsidRPr="001765AA">
        <w:rPr>
          <w:spacing w:val="-5"/>
          <w:rtl/>
          <w:lang w:val="en-US"/>
        </w:rPr>
        <w:t>من قانون الإجراءات الجنائية</w:t>
      </w:r>
      <w:r w:rsidR="00FE64D9" w:rsidRPr="001765AA">
        <w:rPr>
          <w:spacing w:val="-5"/>
          <w:rtl/>
          <w:lang w:val="en-US"/>
        </w:rPr>
        <w:t>،</w:t>
      </w:r>
      <w:r w:rsidRPr="001765AA">
        <w:rPr>
          <w:spacing w:val="-5"/>
          <w:rtl/>
          <w:lang w:val="en-US"/>
        </w:rPr>
        <w:t xml:space="preserve"> فإنها تشعر بالقلق لأن المهلة التي يتعين خلالها تقديم المقبوض عليهم إلى قاض</w:t>
      </w:r>
      <w:r w:rsidR="00FE64D9" w:rsidRPr="001765AA">
        <w:rPr>
          <w:spacing w:val="-5"/>
          <w:rtl/>
          <w:lang w:val="en-US"/>
        </w:rPr>
        <w:t>،</w:t>
      </w:r>
      <w:r w:rsidRPr="00D17AFF">
        <w:rPr>
          <w:spacing w:val="-4"/>
          <w:rtl/>
          <w:lang w:val="en-US"/>
        </w:rPr>
        <w:t xml:space="preserve"> وهي </w:t>
      </w:r>
      <w:r w:rsidRPr="00E83825">
        <w:rPr>
          <w:spacing w:val="-4"/>
          <w:rtl/>
          <w:lang w:val="en-US"/>
        </w:rPr>
        <w:t>48</w:t>
      </w:r>
      <w:r w:rsidRPr="00D17AFF">
        <w:rPr>
          <w:spacing w:val="-4"/>
          <w:rtl/>
          <w:lang w:val="en-US"/>
        </w:rPr>
        <w:t xml:space="preserve"> ساعة</w:t>
      </w:r>
      <w:r w:rsidR="00FE64D9" w:rsidRPr="00D17AFF">
        <w:rPr>
          <w:spacing w:val="-4"/>
          <w:rtl/>
          <w:lang w:val="en-US"/>
        </w:rPr>
        <w:t>،</w:t>
      </w:r>
      <w:r w:rsidRPr="00D17AFF">
        <w:rPr>
          <w:spacing w:val="-4"/>
          <w:rtl/>
          <w:lang w:val="en-US"/>
        </w:rPr>
        <w:t xml:space="preserve"> تبدأ من لحظة اقتيادهم إلى مركز الشرطة</w:t>
      </w:r>
      <w:r w:rsidR="00FE64D9" w:rsidRPr="00D17AFF">
        <w:rPr>
          <w:spacing w:val="-4"/>
          <w:rtl/>
          <w:lang w:val="en-US"/>
        </w:rPr>
        <w:t>،</w:t>
      </w:r>
      <w:r w:rsidRPr="00D17AFF">
        <w:rPr>
          <w:spacing w:val="-4"/>
          <w:rtl/>
          <w:lang w:val="en-US"/>
        </w:rPr>
        <w:t xml:space="preserve"> وليس منذ بداية سلب الحرية. وعلاوة على ذلك</w:t>
      </w:r>
      <w:r w:rsidR="00FE64D9" w:rsidRPr="00D17AFF">
        <w:rPr>
          <w:spacing w:val="-4"/>
          <w:rtl/>
          <w:lang w:val="en-US"/>
        </w:rPr>
        <w:t>،</w:t>
      </w:r>
      <w:r w:rsidRPr="00D17AFF">
        <w:rPr>
          <w:spacing w:val="-4"/>
          <w:rtl/>
          <w:lang w:val="en-US"/>
        </w:rPr>
        <w:t xml:space="preserve"> يجوز تمديد هذه المهلة إذا قدم المحققون والمدعون العامون تبريرات لإجراء تحقيقات إضافية. ويساور </w:t>
      </w:r>
      <w:r w:rsidRPr="00D17AFF">
        <w:rPr>
          <w:spacing w:val="-2"/>
          <w:rtl/>
          <w:lang w:val="en-US"/>
        </w:rPr>
        <w:t>اللجنة القلق لأن فترات الاحتجاز قد مددت</w:t>
      </w:r>
      <w:r w:rsidR="00FE64D9" w:rsidRPr="00D17AFF">
        <w:rPr>
          <w:spacing w:val="-2"/>
          <w:rtl/>
          <w:lang w:val="en-US"/>
        </w:rPr>
        <w:t>،</w:t>
      </w:r>
      <w:r w:rsidRPr="00D17AFF">
        <w:rPr>
          <w:spacing w:val="-2"/>
          <w:rtl/>
          <w:lang w:val="en-US"/>
        </w:rPr>
        <w:t xml:space="preserve"> فيما يتصل بلوائح مرض فيروس كورونا (كوفيد-</w:t>
      </w:r>
      <w:r w:rsidRPr="00E83825">
        <w:rPr>
          <w:spacing w:val="-2"/>
          <w:rtl/>
          <w:lang w:val="en-US"/>
        </w:rPr>
        <w:t>19</w:t>
      </w:r>
      <w:r w:rsidRPr="00D17AFF">
        <w:rPr>
          <w:spacing w:val="-2"/>
          <w:rtl/>
          <w:lang w:val="en-US"/>
        </w:rPr>
        <w:t>)</w:t>
      </w:r>
      <w:r w:rsidR="00FE64D9" w:rsidRPr="00D17AFF">
        <w:rPr>
          <w:spacing w:val="-2"/>
          <w:rtl/>
          <w:lang w:val="en-US"/>
        </w:rPr>
        <w:t>،</w:t>
      </w:r>
      <w:r w:rsidRPr="00D17AFF">
        <w:rPr>
          <w:spacing w:val="-2"/>
          <w:rtl/>
          <w:lang w:val="en-US"/>
        </w:rPr>
        <w:t xml:space="preserve"> دون أي تقييم لحالة المحتجزين. ووفق</w:t>
      </w:r>
      <w:r w:rsidR="007B0454">
        <w:rPr>
          <w:spacing w:val="-2"/>
          <w:rtl/>
          <w:lang w:val="en-US"/>
        </w:rPr>
        <w:t xml:space="preserve">اً </w:t>
      </w:r>
      <w:r w:rsidRPr="00D17AFF">
        <w:rPr>
          <w:spacing w:val="-2"/>
          <w:rtl/>
          <w:lang w:val="en-US"/>
        </w:rPr>
        <w:t>للمعلومات المعروضة على اللجنة</w:t>
      </w:r>
      <w:r w:rsidR="00FE64D9" w:rsidRPr="00D17AFF">
        <w:rPr>
          <w:spacing w:val="-2"/>
          <w:rtl/>
          <w:lang w:val="en-US"/>
        </w:rPr>
        <w:t>،</w:t>
      </w:r>
      <w:r w:rsidRPr="00D17AFF">
        <w:rPr>
          <w:spacing w:val="-2"/>
          <w:rtl/>
          <w:lang w:val="en-US"/>
        </w:rPr>
        <w:t xml:space="preserve"> يحتجز عدد كبير من المحتجزين بصورة غير قانونية في مرافق الحبس المؤقت طوال فترة احتجازهم السابق للمحاكمة في بعض المقاطعات</w:t>
      </w:r>
      <w:r w:rsidR="00FE64D9" w:rsidRPr="00D17AFF">
        <w:rPr>
          <w:spacing w:val="-2"/>
          <w:rtl/>
          <w:lang w:val="en-US"/>
        </w:rPr>
        <w:t>،</w:t>
      </w:r>
      <w:r w:rsidRPr="00D17AFF">
        <w:rPr>
          <w:spacing w:val="-2"/>
          <w:rtl/>
          <w:lang w:val="en-US"/>
        </w:rPr>
        <w:t xml:space="preserve"> لا سيما في مقاطعة جلال أباد</w:t>
      </w:r>
      <w:r w:rsidR="00FE64D9" w:rsidRPr="00D17AFF">
        <w:rPr>
          <w:spacing w:val="-2"/>
          <w:rtl/>
          <w:lang w:val="en-US"/>
        </w:rPr>
        <w:t>،</w:t>
      </w:r>
      <w:r w:rsidRPr="00D17AFF">
        <w:rPr>
          <w:spacing w:val="-2"/>
          <w:rtl/>
          <w:lang w:val="en-US"/>
        </w:rPr>
        <w:t xml:space="preserve"> بينما ينبغي نقلهم إلى مركز احتجاز سابق للمحاكمة. وترى اللجنة أن احتجاز الأشخاص فترة طويلة في مرافق الحبس المؤقت قد يصل إلى مستوى المعاملة القاسية واللاإنسانية والمهينة. وترحب اللجنة بالمعلومات التي قدمها وفد الدولة الطرف عن أن قانون الإجراءات الجنائية الجديد</w:t>
      </w:r>
      <w:r w:rsidR="00FE64D9" w:rsidRPr="00D17AFF">
        <w:rPr>
          <w:spacing w:val="-2"/>
          <w:rtl/>
          <w:lang w:val="en-US"/>
        </w:rPr>
        <w:t>،</w:t>
      </w:r>
      <w:r w:rsidRPr="00D17AFF">
        <w:rPr>
          <w:spacing w:val="-2"/>
          <w:rtl/>
          <w:lang w:val="en-US"/>
        </w:rPr>
        <w:t xml:space="preserve"> الذي سيدخل حيز النفاذ في كانون الأول/ديسمبر </w:t>
      </w:r>
      <w:r w:rsidRPr="00E83825">
        <w:rPr>
          <w:spacing w:val="-2"/>
          <w:rtl/>
          <w:lang w:val="en-US"/>
        </w:rPr>
        <w:t>2021</w:t>
      </w:r>
      <w:r w:rsidR="00FE64D9" w:rsidRPr="00D17AFF">
        <w:rPr>
          <w:spacing w:val="-2"/>
          <w:rtl/>
          <w:lang w:val="en-US"/>
        </w:rPr>
        <w:t>،</w:t>
      </w:r>
      <w:r w:rsidRPr="00D17AFF">
        <w:rPr>
          <w:spacing w:val="-2"/>
          <w:rtl/>
          <w:lang w:val="en-US"/>
        </w:rPr>
        <w:t xml:space="preserve"> سينص على ألا تتجاوز المدة القصوى لاحتجاز الأفراد في مرافق الاحتجاز السابق للمحاكمة سنة واحدة ينبغي بعدها الإفراج فور</w:t>
      </w:r>
      <w:r w:rsidR="007B0454">
        <w:rPr>
          <w:spacing w:val="-2"/>
          <w:rtl/>
          <w:lang w:val="en-US"/>
        </w:rPr>
        <w:t xml:space="preserve">اً </w:t>
      </w:r>
      <w:r w:rsidRPr="00D17AFF">
        <w:rPr>
          <w:spacing w:val="-2"/>
          <w:rtl/>
          <w:lang w:val="en-US"/>
        </w:rPr>
        <w:t xml:space="preserve">عن المتهم (المواد </w:t>
      </w:r>
      <w:r w:rsidRPr="00E83825">
        <w:rPr>
          <w:spacing w:val="-2"/>
          <w:rtl/>
          <w:lang w:val="en-US"/>
        </w:rPr>
        <w:t>2</w:t>
      </w:r>
      <w:r w:rsidRPr="00D17AFF">
        <w:rPr>
          <w:spacing w:val="-2"/>
          <w:rtl/>
          <w:lang w:val="en-US"/>
        </w:rPr>
        <w:t xml:space="preserve"> و</w:t>
      </w:r>
      <w:r w:rsidRPr="00E83825">
        <w:rPr>
          <w:spacing w:val="-2"/>
          <w:rtl/>
          <w:lang w:val="en-US"/>
        </w:rPr>
        <w:t>11</w:t>
      </w:r>
      <w:r w:rsidRPr="00D17AFF">
        <w:rPr>
          <w:spacing w:val="-2"/>
          <w:rtl/>
          <w:lang w:val="en-US"/>
        </w:rPr>
        <w:t xml:space="preserve"> و</w:t>
      </w:r>
      <w:r w:rsidRPr="00E83825">
        <w:rPr>
          <w:spacing w:val="-2"/>
          <w:rtl/>
          <w:lang w:val="en-US"/>
        </w:rPr>
        <w:t>16</w:t>
      </w:r>
      <w:r w:rsidRPr="00D17AFF">
        <w:rPr>
          <w:spacing w:val="-2"/>
          <w:rtl/>
          <w:lang w:val="en-US"/>
        </w:rPr>
        <w:t>).</w:t>
      </w:r>
    </w:p>
    <w:p w14:paraId="2C46C3F2" w14:textId="77777777" w:rsidR="00F0516B" w:rsidRPr="00E83825" w:rsidRDefault="00F0516B" w:rsidP="00F0516B">
      <w:pPr>
        <w:pStyle w:val="SingleTxtGA"/>
        <w:rPr>
          <w:b/>
          <w:bCs/>
          <w:lang w:val="en-US"/>
        </w:rPr>
      </w:pPr>
      <w:r w:rsidRPr="00E83825">
        <w:rPr>
          <w:rtl/>
          <w:lang w:val="en-US"/>
        </w:rPr>
        <w:t>17</w:t>
      </w:r>
      <w:r w:rsidRPr="00F0516B">
        <w:rPr>
          <w:rtl/>
          <w:lang w:val="en-US"/>
        </w:rPr>
        <w:t>-</w:t>
      </w:r>
      <w:r w:rsidRPr="00F0516B">
        <w:rPr>
          <w:rtl/>
          <w:lang w:val="en-US"/>
        </w:rPr>
        <w:tab/>
      </w:r>
      <w:r w:rsidRPr="00E83825">
        <w:rPr>
          <w:b/>
          <w:bCs/>
          <w:rtl/>
          <w:lang w:val="en-US"/>
        </w:rPr>
        <w:t xml:space="preserve">ينبغي للدولة الطرف القيام بما يلي: </w:t>
      </w:r>
    </w:p>
    <w:p w14:paraId="31D7DCA1" w14:textId="5182B691" w:rsidR="00F0516B" w:rsidRPr="00E83825" w:rsidRDefault="00E95C38" w:rsidP="00F0516B">
      <w:pPr>
        <w:pStyle w:val="SingleTxtGA"/>
        <w:rPr>
          <w:b/>
          <w:bCs/>
          <w:lang w:val="en-US"/>
        </w:rPr>
      </w:pPr>
      <w:r>
        <w:rPr>
          <w:rtl/>
          <w:lang w:val="en-US"/>
        </w:rPr>
        <w:tab/>
      </w:r>
      <w:r w:rsidR="00F0516B" w:rsidRPr="00F0516B">
        <w:rPr>
          <w:rtl/>
          <w:lang w:val="en-US"/>
        </w:rPr>
        <w:t>(أ)</w:t>
      </w:r>
      <w:r w:rsidR="00F0516B" w:rsidRPr="00F0516B">
        <w:rPr>
          <w:rtl/>
          <w:lang w:val="en-US"/>
        </w:rPr>
        <w:tab/>
      </w:r>
      <w:r w:rsidR="00F0516B" w:rsidRPr="00E83825">
        <w:rPr>
          <w:b/>
          <w:bCs/>
          <w:rtl/>
          <w:lang w:val="en-US"/>
        </w:rPr>
        <w:t>ضمان ألا تتجاوز فترة الاحتفاظ 48 ساعة قبل تقديم المحتجز إلى قاضٍ؛</w:t>
      </w:r>
    </w:p>
    <w:p w14:paraId="4137CB6E" w14:textId="4BCC6665" w:rsidR="00F0516B" w:rsidRPr="00E83825" w:rsidRDefault="00E95C38" w:rsidP="00F0516B">
      <w:pPr>
        <w:pStyle w:val="SingleTxtGA"/>
        <w:rPr>
          <w:b/>
          <w:bCs/>
          <w:lang w:val="en-US"/>
        </w:rPr>
      </w:pPr>
      <w:r>
        <w:rPr>
          <w:rtl/>
          <w:lang w:val="en-US"/>
        </w:rPr>
        <w:tab/>
      </w:r>
      <w:r w:rsidR="00F0516B" w:rsidRPr="00F0516B">
        <w:rPr>
          <w:rtl/>
          <w:lang w:val="en-US"/>
        </w:rPr>
        <w:t>(ب)</w:t>
      </w:r>
      <w:r w:rsidR="00F0516B" w:rsidRPr="00F0516B">
        <w:rPr>
          <w:rtl/>
          <w:lang w:val="en-US"/>
        </w:rPr>
        <w:tab/>
      </w:r>
      <w:r w:rsidR="00F0516B" w:rsidRPr="00E83825">
        <w:rPr>
          <w:rFonts w:ascii="Times New Roman Bold" w:hAnsi="Times New Roman Bold"/>
          <w:b/>
          <w:bCs/>
          <w:spacing w:val="-2"/>
          <w:rtl/>
          <w:lang w:val="en-US"/>
        </w:rPr>
        <w:t>ضمان عدم استخدام الاحتجاز السابق للمحاكمة</w:t>
      </w:r>
      <w:r w:rsidR="00FE64D9" w:rsidRPr="00E83825">
        <w:rPr>
          <w:rFonts w:ascii="Times New Roman Bold" w:hAnsi="Times New Roman Bold"/>
          <w:b/>
          <w:bCs/>
          <w:spacing w:val="-2"/>
          <w:rtl/>
          <w:lang w:val="en-US"/>
        </w:rPr>
        <w:t>،</w:t>
      </w:r>
      <w:r w:rsidR="00F0516B" w:rsidRPr="00E83825">
        <w:rPr>
          <w:rFonts w:ascii="Times New Roman Bold" w:hAnsi="Times New Roman Bold"/>
          <w:b/>
          <w:bCs/>
          <w:spacing w:val="-2"/>
          <w:rtl/>
          <w:lang w:val="en-US"/>
        </w:rPr>
        <w:t xml:space="preserve"> في القانون والممارسة</w:t>
      </w:r>
      <w:r w:rsidR="00FE64D9" w:rsidRPr="00E83825">
        <w:rPr>
          <w:rFonts w:ascii="Times New Roman Bold" w:hAnsi="Times New Roman Bold"/>
          <w:b/>
          <w:bCs/>
          <w:spacing w:val="-2"/>
          <w:rtl/>
          <w:lang w:val="en-US"/>
        </w:rPr>
        <w:t>،</w:t>
      </w:r>
      <w:r w:rsidR="00F0516B" w:rsidRPr="00E83825">
        <w:rPr>
          <w:rFonts w:ascii="Times New Roman Bold" w:hAnsi="Times New Roman Bold"/>
          <w:b/>
          <w:bCs/>
          <w:spacing w:val="-2"/>
          <w:rtl/>
          <w:lang w:val="en-US"/>
        </w:rPr>
        <w:t xml:space="preserve"> إلا باعتباره</w:t>
      </w:r>
      <w:r w:rsidR="00F0516B" w:rsidRPr="00E83825">
        <w:rPr>
          <w:b/>
          <w:bCs/>
          <w:rtl/>
          <w:lang w:val="en-US"/>
        </w:rPr>
        <w:t xml:space="preserve"> حلا</w:t>
      </w:r>
      <w:r w:rsidR="00A84E05" w:rsidRPr="00E83825">
        <w:rPr>
          <w:rFonts w:hint="cs"/>
          <w:b/>
          <w:bCs/>
          <w:rtl/>
          <w:lang w:val="en-US"/>
        </w:rPr>
        <w:t>ً</w:t>
      </w:r>
      <w:r w:rsidR="00F0516B" w:rsidRPr="00E83825">
        <w:rPr>
          <w:b/>
          <w:bCs/>
          <w:rtl/>
          <w:lang w:val="en-US"/>
        </w:rPr>
        <w:t xml:space="preserve"> أخيرا</w:t>
      </w:r>
      <w:r w:rsidR="00A84E05" w:rsidRPr="00E83825">
        <w:rPr>
          <w:rFonts w:hint="cs"/>
          <w:b/>
          <w:bCs/>
          <w:rtl/>
          <w:lang w:val="en-US"/>
        </w:rPr>
        <w:t>ً</w:t>
      </w:r>
      <w:r w:rsidR="00F0516B" w:rsidRPr="00E83825">
        <w:rPr>
          <w:b/>
          <w:bCs/>
          <w:rtl/>
          <w:lang w:val="en-US"/>
        </w:rPr>
        <w:t>؛</w:t>
      </w:r>
    </w:p>
    <w:p w14:paraId="1484049E" w14:textId="661F7BA9" w:rsidR="00F0516B" w:rsidRPr="00E83825" w:rsidRDefault="00E95C38" w:rsidP="00F0516B">
      <w:pPr>
        <w:pStyle w:val="SingleTxtGA"/>
        <w:rPr>
          <w:b/>
          <w:bCs/>
          <w:lang w:val="en-US"/>
        </w:rPr>
      </w:pPr>
      <w:r>
        <w:rPr>
          <w:rtl/>
          <w:lang w:val="en-US"/>
        </w:rPr>
        <w:tab/>
      </w:r>
      <w:r w:rsidR="00F0516B" w:rsidRPr="00F0516B">
        <w:rPr>
          <w:rtl/>
          <w:lang w:val="en-US"/>
        </w:rPr>
        <w:t>(ج)</w:t>
      </w:r>
      <w:r w:rsidR="00F0516B" w:rsidRPr="00F0516B">
        <w:rPr>
          <w:rtl/>
          <w:lang w:val="en-US"/>
        </w:rPr>
        <w:tab/>
      </w:r>
      <w:r w:rsidR="00F0516B" w:rsidRPr="00E83825">
        <w:rPr>
          <w:b/>
          <w:bCs/>
          <w:rtl/>
          <w:lang w:val="en-US"/>
        </w:rPr>
        <w:t>النظر في الاستعاضة عن الاحتجاز السابق للمحاكمة بتدابير غير حبسية.</w:t>
      </w:r>
    </w:p>
    <w:p w14:paraId="27B1EA15" w14:textId="2BC51E17" w:rsidR="00F0516B" w:rsidRPr="00E83825" w:rsidRDefault="00F0516B" w:rsidP="00E95C38">
      <w:pPr>
        <w:pStyle w:val="H23GA"/>
      </w:pPr>
      <w:r w:rsidRPr="00E83825">
        <w:rPr>
          <w:rtl/>
        </w:rPr>
        <w:tab/>
      </w:r>
      <w:r w:rsidRPr="00E83825">
        <w:rPr>
          <w:rtl/>
        </w:rPr>
        <w:tab/>
        <w:t>العنف بالمرأة</w:t>
      </w:r>
      <w:r w:rsidR="00FE64D9" w:rsidRPr="00E83825">
        <w:rPr>
          <w:rtl/>
        </w:rPr>
        <w:t>،</w:t>
      </w:r>
      <w:r w:rsidRPr="00E83825">
        <w:rPr>
          <w:rtl/>
        </w:rPr>
        <w:t xml:space="preserve"> بما في ذلك زواج الخطف</w:t>
      </w:r>
    </w:p>
    <w:p w14:paraId="6F6DE272" w14:textId="2423C07B" w:rsidR="00F0516B" w:rsidRPr="00F0516B" w:rsidRDefault="00F0516B" w:rsidP="00F0516B">
      <w:pPr>
        <w:pStyle w:val="SingleTxtGA"/>
        <w:rPr>
          <w:lang w:val="en-US"/>
        </w:rPr>
      </w:pPr>
      <w:r w:rsidRPr="00E83825">
        <w:rPr>
          <w:rtl/>
          <w:lang w:val="en-US"/>
        </w:rPr>
        <w:t>18</w:t>
      </w:r>
      <w:r w:rsidRPr="00F0516B">
        <w:rPr>
          <w:rtl/>
          <w:lang w:val="en-US"/>
        </w:rPr>
        <w:t>-</w:t>
      </w:r>
      <w:r w:rsidRPr="00F0516B">
        <w:rPr>
          <w:rtl/>
          <w:lang w:val="en-US"/>
        </w:rPr>
        <w:tab/>
      </w:r>
      <w:r w:rsidRPr="007B0454">
        <w:rPr>
          <w:spacing w:val="-4"/>
          <w:rtl/>
          <w:lang w:val="en-US"/>
        </w:rPr>
        <w:t>إذ ترحب اللجنة بمختلف المبادرات الرامية إلى مكافحة جميع أشكال العنف بالمرأة</w:t>
      </w:r>
      <w:r w:rsidR="00FE64D9" w:rsidRPr="007B0454">
        <w:rPr>
          <w:spacing w:val="-4"/>
          <w:rtl/>
          <w:lang w:val="en-US"/>
        </w:rPr>
        <w:t>،</w:t>
      </w:r>
      <w:r w:rsidRPr="007B0454">
        <w:rPr>
          <w:spacing w:val="-4"/>
          <w:rtl/>
          <w:lang w:val="en-US"/>
        </w:rPr>
        <w:t xml:space="preserve"> يساورها القلق</w:t>
      </w:r>
      <w:r w:rsidRPr="00F0516B">
        <w:rPr>
          <w:rtl/>
          <w:lang w:val="en-US"/>
        </w:rPr>
        <w:t xml:space="preserve"> إزاء استمرار انتشار العنف بالمرأة</w:t>
      </w:r>
      <w:r w:rsidR="00FE64D9">
        <w:rPr>
          <w:rtl/>
          <w:lang w:val="en-US"/>
        </w:rPr>
        <w:t>،</w:t>
      </w:r>
      <w:r w:rsidRPr="00F0516B">
        <w:rPr>
          <w:rtl/>
          <w:lang w:val="en-US"/>
        </w:rPr>
        <w:t xml:space="preserve"> ولا سيما العنف المنزلي</w:t>
      </w:r>
      <w:r w:rsidR="00FE64D9">
        <w:rPr>
          <w:rtl/>
          <w:lang w:val="en-US"/>
        </w:rPr>
        <w:t>،</w:t>
      </w:r>
      <w:r w:rsidRPr="00F0516B">
        <w:rPr>
          <w:rtl/>
          <w:lang w:val="en-US"/>
        </w:rPr>
        <w:t xml:space="preserve"> وإزاء الانخفاض الشديد في عدد التحقيقات في هذه الحالات. ولا تزال وكالات إنفاذ القانون والسلطة القضائية تخفق في التحقيق بفعالية في الشكاوى المتعلقة بالعنف ضد المرأة وفي معاقبة مرتكبيها. وعلاوة على ذلك</w:t>
      </w:r>
      <w:r w:rsidR="00FE64D9">
        <w:rPr>
          <w:rtl/>
          <w:lang w:val="en-US"/>
        </w:rPr>
        <w:t>،</w:t>
      </w:r>
      <w:r w:rsidRPr="00F0516B">
        <w:rPr>
          <w:rtl/>
          <w:lang w:val="en-US"/>
        </w:rPr>
        <w:t xml:space="preserve"> لم تعرض على المحاكم سوى </w:t>
      </w:r>
      <w:r w:rsidRPr="00E83825">
        <w:rPr>
          <w:rtl/>
          <w:lang w:val="en-US"/>
        </w:rPr>
        <w:t>944</w:t>
      </w:r>
      <w:r w:rsidRPr="00F0516B">
        <w:rPr>
          <w:rtl/>
          <w:lang w:val="en-US"/>
        </w:rPr>
        <w:t xml:space="preserve"> </w:t>
      </w:r>
      <w:r w:rsidRPr="007B0454">
        <w:rPr>
          <w:spacing w:val="-4"/>
          <w:rtl/>
          <w:lang w:val="en-US"/>
        </w:rPr>
        <w:t xml:space="preserve">حالة من أصل </w:t>
      </w:r>
      <w:r w:rsidRPr="00E83825">
        <w:rPr>
          <w:spacing w:val="-4"/>
          <w:rtl/>
          <w:lang w:val="en-US"/>
        </w:rPr>
        <w:t>025</w:t>
      </w:r>
      <w:r w:rsidRPr="007B0454">
        <w:rPr>
          <w:spacing w:val="-4"/>
          <w:rtl/>
          <w:lang w:val="en-US"/>
        </w:rPr>
        <w:t xml:space="preserve"> </w:t>
      </w:r>
      <w:r w:rsidRPr="00E83825">
        <w:rPr>
          <w:spacing w:val="-4"/>
          <w:rtl/>
          <w:lang w:val="en-US"/>
        </w:rPr>
        <w:t>9</w:t>
      </w:r>
      <w:r w:rsidRPr="007B0454">
        <w:rPr>
          <w:spacing w:val="-4"/>
          <w:rtl/>
          <w:lang w:val="en-US"/>
        </w:rPr>
        <w:t xml:space="preserve"> حالة عنف منزلي مبلغ</w:t>
      </w:r>
      <w:r w:rsidR="007B0454" w:rsidRPr="007B0454">
        <w:rPr>
          <w:spacing w:val="-4"/>
          <w:rtl/>
          <w:lang w:val="en-US"/>
        </w:rPr>
        <w:t xml:space="preserve">اً </w:t>
      </w:r>
      <w:r w:rsidRPr="007B0454">
        <w:rPr>
          <w:spacing w:val="-4"/>
          <w:rtl/>
          <w:lang w:val="en-US"/>
        </w:rPr>
        <w:t xml:space="preserve">عنها في عام </w:t>
      </w:r>
      <w:r w:rsidRPr="00E83825">
        <w:rPr>
          <w:spacing w:val="-4"/>
          <w:rtl/>
          <w:lang w:val="en-US"/>
        </w:rPr>
        <w:t>2020</w:t>
      </w:r>
      <w:r w:rsidRPr="007B0454">
        <w:rPr>
          <w:spacing w:val="-4"/>
          <w:rtl/>
          <w:lang w:val="en-US"/>
        </w:rPr>
        <w:t>. كما تشعر اللجنة بالقلق لأن التعديلات</w:t>
      </w:r>
      <w:r w:rsidRPr="00F0516B">
        <w:rPr>
          <w:rtl/>
          <w:lang w:val="en-US"/>
        </w:rPr>
        <w:t xml:space="preserve"> التي أدخلت على قانون الإجراءات الجنائية المعتمد في عام </w:t>
      </w:r>
      <w:r w:rsidRPr="00E83825">
        <w:rPr>
          <w:rtl/>
          <w:lang w:val="en-US"/>
        </w:rPr>
        <w:t>2021</w:t>
      </w:r>
      <w:r w:rsidRPr="00F0516B">
        <w:rPr>
          <w:rtl/>
          <w:lang w:val="en-US"/>
        </w:rPr>
        <w:t xml:space="preserve"> تجعل العنف المنزلي جريمة إدارية. وإذ تشير اللجنة إلى أن مواد القانون الجنائي تشدد العقوبات المفروضة على زواج الخطف</w:t>
      </w:r>
      <w:r w:rsidR="00FE64D9">
        <w:rPr>
          <w:rtl/>
          <w:lang w:val="en-US"/>
        </w:rPr>
        <w:t>،</w:t>
      </w:r>
      <w:r w:rsidRPr="00F0516B">
        <w:rPr>
          <w:rtl/>
          <w:lang w:val="en-US"/>
        </w:rPr>
        <w:t xml:space="preserve"> الذي يعامل </w:t>
      </w:r>
      <w:r w:rsidRPr="007B0454">
        <w:rPr>
          <w:spacing w:val="-4"/>
          <w:rtl/>
          <w:lang w:val="en-US"/>
        </w:rPr>
        <w:t>على أنه جريمة خطيرة</w:t>
      </w:r>
      <w:r w:rsidR="00FE64D9" w:rsidRPr="007B0454">
        <w:rPr>
          <w:spacing w:val="-4"/>
          <w:rtl/>
          <w:lang w:val="en-US"/>
        </w:rPr>
        <w:t>،</w:t>
      </w:r>
      <w:r w:rsidRPr="007B0454">
        <w:rPr>
          <w:spacing w:val="-4"/>
          <w:rtl/>
          <w:lang w:val="en-US"/>
        </w:rPr>
        <w:t xml:space="preserve"> لا تزال تشعر بالقلق إزاء استمرار اختطاف النساء والفتيات لأغراض الزواج القسري</w:t>
      </w:r>
      <w:r w:rsidRPr="00F0516B">
        <w:rPr>
          <w:rtl/>
          <w:lang w:val="en-US"/>
        </w:rPr>
        <w:t xml:space="preserve">. وستكون اللجنة ممتنة لتلقي معلومات محدثة عن التدابير الإضافية المتخذة في هذا الصدد وعن فعاليتها (المادتان </w:t>
      </w:r>
      <w:r w:rsidRPr="00E83825">
        <w:rPr>
          <w:rtl/>
          <w:lang w:val="en-US"/>
        </w:rPr>
        <w:t>2</w:t>
      </w:r>
      <w:r w:rsidRPr="00F0516B">
        <w:rPr>
          <w:rtl/>
          <w:lang w:val="en-US"/>
        </w:rPr>
        <w:t xml:space="preserve"> و</w:t>
      </w:r>
      <w:r w:rsidRPr="00E83825">
        <w:rPr>
          <w:rtl/>
          <w:lang w:val="en-US"/>
        </w:rPr>
        <w:t>16</w:t>
      </w:r>
      <w:r w:rsidRPr="00F0516B">
        <w:rPr>
          <w:rtl/>
          <w:lang w:val="en-US"/>
        </w:rPr>
        <w:t>).</w:t>
      </w:r>
    </w:p>
    <w:p w14:paraId="65951FCE" w14:textId="77777777" w:rsidR="00F0516B" w:rsidRPr="00F0516B" w:rsidRDefault="00F0516B" w:rsidP="00F0516B">
      <w:pPr>
        <w:pStyle w:val="SingleTxtGA"/>
        <w:rPr>
          <w:lang w:val="en-US"/>
        </w:rPr>
      </w:pPr>
      <w:r w:rsidRPr="00E83825">
        <w:rPr>
          <w:rtl/>
          <w:lang w:val="en-US"/>
        </w:rPr>
        <w:t>19</w:t>
      </w:r>
      <w:r w:rsidRPr="00F0516B">
        <w:rPr>
          <w:rtl/>
          <w:lang w:val="en-US"/>
        </w:rPr>
        <w:t>-</w:t>
      </w:r>
      <w:r w:rsidRPr="00F0516B">
        <w:rPr>
          <w:rtl/>
          <w:lang w:val="en-US"/>
        </w:rPr>
        <w:tab/>
        <w:t>ينبغي للدولة الطرف القيام بما يلي:</w:t>
      </w:r>
    </w:p>
    <w:p w14:paraId="24F20D5C" w14:textId="1E6D34F3" w:rsidR="00F0516B" w:rsidRPr="00E83825" w:rsidRDefault="00E95C38" w:rsidP="00F0516B">
      <w:pPr>
        <w:pStyle w:val="SingleTxtGA"/>
        <w:rPr>
          <w:b/>
          <w:bCs/>
          <w:lang w:val="en-US"/>
        </w:rPr>
      </w:pPr>
      <w:r>
        <w:rPr>
          <w:rtl/>
          <w:lang w:val="en-US"/>
        </w:rPr>
        <w:tab/>
      </w:r>
      <w:r w:rsidR="00F0516B" w:rsidRPr="00F0516B">
        <w:rPr>
          <w:rtl/>
          <w:lang w:val="en-US"/>
        </w:rPr>
        <w:t>(أ)</w:t>
      </w:r>
      <w:r w:rsidR="00F0516B" w:rsidRPr="00F0516B">
        <w:rPr>
          <w:rtl/>
          <w:lang w:val="en-US"/>
        </w:rPr>
        <w:tab/>
      </w:r>
      <w:r w:rsidR="00F0516B" w:rsidRPr="00E83825">
        <w:rPr>
          <w:b/>
          <w:bCs/>
          <w:rtl/>
          <w:lang w:val="en-US"/>
        </w:rPr>
        <w:t>ضمان التحقيق الشامل في جميع حالات العنف بالمرأة</w:t>
      </w:r>
      <w:r w:rsidR="00FE64D9" w:rsidRPr="00E83825">
        <w:rPr>
          <w:b/>
          <w:bCs/>
          <w:rtl/>
          <w:lang w:val="en-US"/>
        </w:rPr>
        <w:t>،</w:t>
      </w:r>
      <w:r w:rsidR="00F0516B" w:rsidRPr="00E83825">
        <w:rPr>
          <w:b/>
          <w:bCs/>
          <w:rtl/>
          <w:lang w:val="en-US"/>
        </w:rPr>
        <w:t xml:space="preserve"> لا سيما تلك التي اتخذت فيها سلطات الدولة أو كيانات أخرى إجراءات أو امتنعت فيها عن اتخاذ إجراءات على نحو تترتب عليه المسؤولية الدولية للدولة الطرف بموجب الاتفاقية</w:t>
      </w:r>
      <w:r w:rsidR="00FE64D9" w:rsidRPr="00E83825">
        <w:rPr>
          <w:b/>
          <w:bCs/>
          <w:rtl/>
          <w:lang w:val="en-US"/>
        </w:rPr>
        <w:t>،</w:t>
      </w:r>
      <w:r w:rsidR="00F0516B" w:rsidRPr="00E83825">
        <w:rPr>
          <w:b/>
          <w:bCs/>
          <w:rtl/>
          <w:lang w:val="en-US"/>
        </w:rPr>
        <w:t xml:space="preserve"> وضمان محاكمة من يُدَّعى أنهم ارتكبوا تلك الأفعال</w:t>
      </w:r>
      <w:r w:rsidR="007B0454" w:rsidRPr="00E83825">
        <w:rPr>
          <w:rFonts w:hint="cs"/>
          <w:b/>
          <w:bCs/>
          <w:rtl/>
          <w:lang w:val="en-US"/>
        </w:rPr>
        <w:t> </w:t>
      </w:r>
      <w:r w:rsidR="00F0516B" w:rsidRPr="00E83825">
        <w:rPr>
          <w:b/>
          <w:bCs/>
          <w:rtl/>
          <w:lang w:val="en-US"/>
        </w:rPr>
        <w:t>ومعاقبتهم</w:t>
      </w:r>
      <w:r w:rsidR="00FE64D9" w:rsidRPr="00E83825">
        <w:rPr>
          <w:b/>
          <w:bCs/>
          <w:rtl/>
          <w:lang w:val="en-US"/>
        </w:rPr>
        <w:t>،</w:t>
      </w:r>
      <w:r w:rsidR="00F0516B" w:rsidRPr="00E83825">
        <w:rPr>
          <w:b/>
          <w:bCs/>
          <w:rtl/>
          <w:lang w:val="en-US"/>
        </w:rPr>
        <w:t xml:space="preserve"> في حال إدانتهم</w:t>
      </w:r>
      <w:r w:rsidR="00FE64D9" w:rsidRPr="00E83825">
        <w:rPr>
          <w:b/>
          <w:bCs/>
          <w:rtl/>
          <w:lang w:val="en-US"/>
        </w:rPr>
        <w:t>،</w:t>
      </w:r>
      <w:r w:rsidR="00F0516B" w:rsidRPr="00E83825">
        <w:rPr>
          <w:b/>
          <w:bCs/>
          <w:rtl/>
          <w:lang w:val="en-US"/>
        </w:rPr>
        <w:t xml:space="preserve"> على النحو الواجب</w:t>
      </w:r>
      <w:r w:rsidR="00FE64D9" w:rsidRPr="00E83825">
        <w:rPr>
          <w:b/>
          <w:bCs/>
          <w:rtl/>
          <w:lang w:val="en-US"/>
        </w:rPr>
        <w:t>،</w:t>
      </w:r>
      <w:r w:rsidR="00F0516B" w:rsidRPr="00E83825">
        <w:rPr>
          <w:b/>
          <w:bCs/>
          <w:rtl/>
          <w:lang w:val="en-US"/>
        </w:rPr>
        <w:t xml:space="preserve"> وضمان الجبر للضحايا أو أسرهم</w:t>
      </w:r>
      <w:r w:rsidR="00FE64D9" w:rsidRPr="00E83825">
        <w:rPr>
          <w:b/>
          <w:bCs/>
          <w:rtl/>
          <w:lang w:val="en-US"/>
        </w:rPr>
        <w:t>،</w:t>
      </w:r>
      <w:r w:rsidR="00F0516B" w:rsidRPr="00E83825">
        <w:rPr>
          <w:b/>
          <w:bCs/>
          <w:rtl/>
          <w:lang w:val="en-US"/>
        </w:rPr>
        <w:t xml:space="preserve"> بما في ذلك التعويض الكافي؛</w:t>
      </w:r>
    </w:p>
    <w:p w14:paraId="74F74EFF" w14:textId="0B9F1D7D" w:rsidR="00F0516B" w:rsidRPr="00E83825" w:rsidRDefault="00E95C38" w:rsidP="00F0516B">
      <w:pPr>
        <w:pStyle w:val="SingleTxtGA"/>
        <w:rPr>
          <w:b/>
          <w:bCs/>
          <w:lang w:val="en-US"/>
        </w:rPr>
      </w:pPr>
      <w:r>
        <w:rPr>
          <w:rtl/>
          <w:lang w:val="en-US"/>
        </w:rPr>
        <w:tab/>
      </w:r>
      <w:r w:rsidR="00F0516B" w:rsidRPr="00F0516B">
        <w:rPr>
          <w:rtl/>
          <w:lang w:val="en-US"/>
        </w:rPr>
        <w:t>(ب)</w:t>
      </w:r>
      <w:r w:rsidR="00F0516B" w:rsidRPr="00F0516B">
        <w:rPr>
          <w:rtl/>
          <w:lang w:val="en-US"/>
        </w:rPr>
        <w:tab/>
      </w:r>
      <w:r w:rsidR="00F0516B" w:rsidRPr="00E83825">
        <w:rPr>
          <w:b/>
          <w:bCs/>
          <w:rtl/>
          <w:lang w:val="en-US"/>
        </w:rPr>
        <w:t>النظر في إنشاء آلية فعالة ومستقلة لتقديم شكاوى ضحايا العنف الأسري؛</w:t>
      </w:r>
    </w:p>
    <w:p w14:paraId="4E9E7EE7" w14:textId="5E33CBA2" w:rsidR="00F0516B" w:rsidRPr="00E83825" w:rsidRDefault="00E95C38" w:rsidP="00F0516B">
      <w:pPr>
        <w:pStyle w:val="SingleTxtGA"/>
        <w:rPr>
          <w:b/>
          <w:bCs/>
          <w:lang w:val="en-US"/>
        </w:rPr>
      </w:pPr>
      <w:r>
        <w:rPr>
          <w:rtl/>
          <w:lang w:val="en-US"/>
        </w:rPr>
        <w:lastRenderedPageBreak/>
        <w:tab/>
      </w:r>
      <w:r w:rsidR="00F0516B" w:rsidRPr="00F0516B">
        <w:rPr>
          <w:rtl/>
          <w:lang w:val="en-US"/>
        </w:rPr>
        <w:t>(ج)</w:t>
      </w:r>
      <w:r w:rsidR="00F0516B" w:rsidRPr="00F0516B">
        <w:rPr>
          <w:rtl/>
          <w:lang w:val="en-US"/>
        </w:rPr>
        <w:tab/>
      </w:r>
      <w:r w:rsidR="00F0516B" w:rsidRPr="00E83825">
        <w:rPr>
          <w:b/>
          <w:bCs/>
          <w:rtl/>
          <w:lang w:val="en-US"/>
        </w:rPr>
        <w:t>ضمان استفادة جميع ضحايا العنف بالمرأة من تدابير الحماية</w:t>
      </w:r>
      <w:r w:rsidR="00FE64D9" w:rsidRPr="00E83825">
        <w:rPr>
          <w:b/>
          <w:bCs/>
          <w:rtl/>
          <w:lang w:val="en-US"/>
        </w:rPr>
        <w:t>،</w:t>
      </w:r>
      <w:r w:rsidR="00F0516B" w:rsidRPr="00E83825">
        <w:rPr>
          <w:b/>
          <w:bCs/>
          <w:rtl/>
          <w:lang w:val="en-US"/>
        </w:rPr>
        <w:t xml:space="preserve"> بما في ذلك الأوامر الزجرية</w:t>
      </w:r>
      <w:r w:rsidR="00FE64D9" w:rsidRPr="00E83825">
        <w:rPr>
          <w:b/>
          <w:bCs/>
          <w:rtl/>
          <w:lang w:val="en-US"/>
        </w:rPr>
        <w:t>،</w:t>
      </w:r>
      <w:r w:rsidR="00F0516B" w:rsidRPr="00E83825">
        <w:rPr>
          <w:b/>
          <w:bCs/>
          <w:rtl/>
          <w:lang w:val="en-US"/>
        </w:rPr>
        <w:t xml:space="preserve"> وإمكانية الحصول على الخدمات الطبية والاجتماعية والقانونية</w:t>
      </w:r>
      <w:r w:rsidR="00FE64D9" w:rsidRPr="00E83825">
        <w:rPr>
          <w:b/>
          <w:bCs/>
          <w:rtl/>
          <w:lang w:val="en-US"/>
        </w:rPr>
        <w:t>،</w:t>
      </w:r>
      <w:r w:rsidR="00F0516B" w:rsidRPr="00E83825">
        <w:rPr>
          <w:b/>
          <w:bCs/>
          <w:rtl/>
          <w:lang w:val="en-US"/>
        </w:rPr>
        <w:t xml:space="preserve"> بما في ذلك المشورة النفسية وجبر الضرر وإعادة التأهيل وإمكانية الوصول إلى ملاجئ حكومية آمنة تحظى بالتمويل الكافي في جميع أنحاء البلد والحصول على المساعدة في إيجاد مأوى آخر؛</w:t>
      </w:r>
    </w:p>
    <w:p w14:paraId="31773DE8" w14:textId="5961A6DD" w:rsidR="00F0516B" w:rsidRPr="00E83825" w:rsidRDefault="00E95C38" w:rsidP="00F0516B">
      <w:pPr>
        <w:pStyle w:val="SingleTxtGA"/>
        <w:rPr>
          <w:b/>
          <w:bCs/>
          <w:lang w:val="en-US"/>
        </w:rPr>
      </w:pPr>
      <w:r>
        <w:rPr>
          <w:rtl/>
          <w:lang w:val="en-US"/>
        </w:rPr>
        <w:tab/>
      </w:r>
      <w:r w:rsidR="00F0516B" w:rsidRPr="00F0516B">
        <w:rPr>
          <w:rtl/>
          <w:lang w:val="en-US"/>
        </w:rPr>
        <w:t>(د)</w:t>
      </w:r>
      <w:r w:rsidR="00F0516B" w:rsidRPr="00F0516B">
        <w:rPr>
          <w:rtl/>
          <w:lang w:val="en-US"/>
        </w:rPr>
        <w:tab/>
      </w:r>
      <w:r w:rsidR="00F0516B" w:rsidRPr="00E83825">
        <w:rPr>
          <w:rFonts w:ascii="Simplified Arabic" w:hAnsi="Simplified Arabic" w:hint="cs"/>
          <w:b/>
          <w:bCs/>
          <w:rtl/>
          <w:lang w:val="en-US"/>
        </w:rPr>
        <w:t>ضمان</w:t>
      </w:r>
      <w:r w:rsidR="00F0516B" w:rsidRPr="00E83825">
        <w:rPr>
          <w:b/>
          <w:bCs/>
          <w:rtl/>
          <w:lang w:val="en-US"/>
        </w:rPr>
        <w:t xml:space="preserve"> </w:t>
      </w:r>
      <w:r w:rsidR="00F0516B" w:rsidRPr="00E83825">
        <w:rPr>
          <w:rFonts w:ascii="Simplified Arabic" w:hAnsi="Simplified Arabic" w:hint="cs"/>
          <w:b/>
          <w:bCs/>
          <w:rtl/>
          <w:lang w:val="en-US"/>
        </w:rPr>
        <w:t>تلقي</w:t>
      </w:r>
      <w:r w:rsidR="00F0516B" w:rsidRPr="00E83825">
        <w:rPr>
          <w:b/>
          <w:bCs/>
          <w:rtl/>
          <w:lang w:val="en-US"/>
        </w:rPr>
        <w:t xml:space="preserve"> </w:t>
      </w:r>
      <w:r w:rsidR="00F0516B" w:rsidRPr="00E83825">
        <w:rPr>
          <w:rFonts w:ascii="Simplified Arabic" w:hAnsi="Simplified Arabic" w:hint="cs"/>
          <w:b/>
          <w:bCs/>
          <w:rtl/>
          <w:lang w:val="en-US"/>
        </w:rPr>
        <w:t>موظفي</w:t>
      </w:r>
      <w:r w:rsidR="00F0516B" w:rsidRPr="00E83825">
        <w:rPr>
          <w:b/>
          <w:bCs/>
          <w:rtl/>
          <w:lang w:val="en-US"/>
        </w:rPr>
        <w:t xml:space="preserve"> </w:t>
      </w:r>
      <w:r w:rsidR="00F0516B" w:rsidRPr="00E83825">
        <w:rPr>
          <w:rFonts w:ascii="Simplified Arabic" w:hAnsi="Simplified Arabic" w:hint="cs"/>
          <w:b/>
          <w:bCs/>
          <w:rtl/>
          <w:lang w:val="en-US"/>
        </w:rPr>
        <w:t>إنفاذ</w:t>
      </w:r>
      <w:r w:rsidR="00F0516B" w:rsidRPr="00E83825">
        <w:rPr>
          <w:b/>
          <w:bCs/>
          <w:rtl/>
          <w:lang w:val="en-US"/>
        </w:rPr>
        <w:t xml:space="preserve"> </w:t>
      </w:r>
      <w:r w:rsidR="00F0516B" w:rsidRPr="00E83825">
        <w:rPr>
          <w:rFonts w:ascii="Simplified Arabic" w:hAnsi="Simplified Arabic" w:hint="cs"/>
          <w:b/>
          <w:bCs/>
          <w:rtl/>
          <w:lang w:val="en-US"/>
        </w:rPr>
        <w:t>القانون</w:t>
      </w:r>
      <w:r w:rsidR="00F0516B" w:rsidRPr="00E83825">
        <w:rPr>
          <w:b/>
          <w:bCs/>
          <w:rtl/>
          <w:lang w:val="en-US"/>
        </w:rPr>
        <w:t xml:space="preserve"> </w:t>
      </w:r>
      <w:r w:rsidR="00F0516B" w:rsidRPr="00E83825">
        <w:rPr>
          <w:rFonts w:ascii="Simplified Arabic" w:hAnsi="Simplified Arabic" w:hint="cs"/>
          <w:b/>
          <w:bCs/>
          <w:rtl/>
          <w:lang w:val="en-US"/>
        </w:rPr>
        <w:t>والموظفين</w:t>
      </w:r>
      <w:r w:rsidR="00F0516B" w:rsidRPr="00E83825">
        <w:rPr>
          <w:b/>
          <w:bCs/>
          <w:rtl/>
          <w:lang w:val="en-US"/>
        </w:rPr>
        <w:t xml:space="preserve"> </w:t>
      </w:r>
      <w:r w:rsidR="00F0516B" w:rsidRPr="00E83825">
        <w:rPr>
          <w:rFonts w:ascii="Simplified Arabic" w:hAnsi="Simplified Arabic" w:hint="cs"/>
          <w:b/>
          <w:bCs/>
          <w:rtl/>
          <w:lang w:val="en-US"/>
        </w:rPr>
        <w:t>القضائيين</w:t>
      </w:r>
      <w:r w:rsidR="00F0516B" w:rsidRPr="00E83825">
        <w:rPr>
          <w:b/>
          <w:bCs/>
          <w:rtl/>
          <w:lang w:val="en-US"/>
        </w:rPr>
        <w:t xml:space="preserve"> </w:t>
      </w:r>
      <w:r w:rsidR="00F0516B" w:rsidRPr="00E83825">
        <w:rPr>
          <w:rFonts w:ascii="Simplified Arabic" w:hAnsi="Simplified Arabic" w:hint="cs"/>
          <w:b/>
          <w:bCs/>
          <w:rtl/>
          <w:lang w:val="en-US"/>
        </w:rPr>
        <w:t>والعاملين</w:t>
      </w:r>
      <w:r w:rsidR="00F0516B" w:rsidRPr="00E83825">
        <w:rPr>
          <w:b/>
          <w:bCs/>
          <w:rtl/>
          <w:lang w:val="en-US"/>
        </w:rPr>
        <w:t xml:space="preserve"> </w:t>
      </w:r>
      <w:r w:rsidR="00F0516B" w:rsidRPr="00E83825">
        <w:rPr>
          <w:rFonts w:ascii="Simplified Arabic" w:hAnsi="Simplified Arabic" w:hint="cs"/>
          <w:b/>
          <w:bCs/>
          <w:rtl/>
          <w:lang w:val="en-US"/>
        </w:rPr>
        <w:t>في</w:t>
      </w:r>
      <w:r w:rsidR="00F0516B" w:rsidRPr="00E83825">
        <w:rPr>
          <w:b/>
          <w:bCs/>
          <w:rtl/>
          <w:lang w:val="en-US"/>
        </w:rPr>
        <w:t xml:space="preserve"> </w:t>
      </w:r>
      <w:r w:rsidR="00F0516B" w:rsidRPr="00E83825">
        <w:rPr>
          <w:rFonts w:ascii="Simplified Arabic" w:hAnsi="Simplified Arabic" w:hint="cs"/>
          <w:b/>
          <w:bCs/>
          <w:rtl/>
          <w:lang w:val="en-US"/>
        </w:rPr>
        <w:t>المجال</w:t>
      </w:r>
      <w:r w:rsidR="00F0516B" w:rsidRPr="00E83825">
        <w:rPr>
          <w:b/>
          <w:bCs/>
          <w:rtl/>
          <w:lang w:val="en-US"/>
        </w:rPr>
        <w:t xml:space="preserve"> </w:t>
      </w:r>
      <w:r w:rsidR="00F0516B" w:rsidRPr="00E83825">
        <w:rPr>
          <w:rFonts w:ascii="Simplified Arabic" w:hAnsi="Simplified Arabic" w:hint="cs"/>
          <w:b/>
          <w:bCs/>
          <w:rtl/>
          <w:lang w:val="en-US"/>
        </w:rPr>
        <w:t>الطبي</w:t>
      </w:r>
      <w:r w:rsidR="00F0516B" w:rsidRPr="00E83825">
        <w:rPr>
          <w:b/>
          <w:bCs/>
          <w:rtl/>
          <w:lang w:val="en-US"/>
        </w:rPr>
        <w:t xml:space="preserve"> </w:t>
      </w:r>
      <w:r w:rsidR="00F0516B" w:rsidRPr="00E83825">
        <w:rPr>
          <w:rFonts w:ascii="Simplified Arabic" w:hAnsi="Simplified Arabic" w:hint="cs"/>
          <w:b/>
          <w:bCs/>
          <w:rtl/>
          <w:lang w:val="en-US"/>
        </w:rPr>
        <w:t>والأخصائي</w:t>
      </w:r>
      <w:r w:rsidR="00F0516B" w:rsidRPr="00E83825">
        <w:rPr>
          <w:b/>
          <w:bCs/>
          <w:rtl/>
          <w:lang w:val="en-US"/>
        </w:rPr>
        <w:t>ين الاجتماعيين تدريباً مناسباً على التعامل مع هذه الحالات؛</w:t>
      </w:r>
    </w:p>
    <w:p w14:paraId="468ECCE4" w14:textId="124B47A0" w:rsidR="00F0516B" w:rsidRPr="00E83825" w:rsidRDefault="00E95C38" w:rsidP="00F0516B">
      <w:pPr>
        <w:pStyle w:val="SingleTxtGA"/>
        <w:rPr>
          <w:b/>
          <w:bCs/>
          <w:lang w:val="en-US"/>
        </w:rPr>
      </w:pPr>
      <w:r>
        <w:rPr>
          <w:rtl/>
          <w:lang w:val="en-US"/>
        </w:rPr>
        <w:tab/>
      </w:r>
      <w:r w:rsidR="00F0516B" w:rsidRPr="00F0516B">
        <w:rPr>
          <w:rtl/>
          <w:lang w:val="en-US"/>
        </w:rPr>
        <w:t>(هـ)</w:t>
      </w:r>
      <w:r w:rsidR="00F0516B" w:rsidRPr="00F0516B">
        <w:rPr>
          <w:rtl/>
          <w:lang w:val="en-US"/>
        </w:rPr>
        <w:tab/>
      </w:r>
      <w:r w:rsidR="00F0516B" w:rsidRPr="00E83825">
        <w:rPr>
          <w:b/>
          <w:bCs/>
          <w:rtl/>
          <w:lang w:val="en-US"/>
        </w:rPr>
        <w:t>تعزيز جهود التثقيف لتوعية الجمهور بهذه الظواهر.</w:t>
      </w:r>
    </w:p>
    <w:p w14:paraId="6F5717F9" w14:textId="77777777" w:rsidR="00F0516B" w:rsidRPr="00E83825" w:rsidRDefault="00F0516B" w:rsidP="00E95C38">
      <w:pPr>
        <w:pStyle w:val="H23GA"/>
      </w:pPr>
      <w:r w:rsidRPr="00E83825">
        <w:rPr>
          <w:rtl/>
        </w:rPr>
        <w:tab/>
      </w:r>
      <w:r w:rsidRPr="00E83825">
        <w:rPr>
          <w:rtl/>
        </w:rPr>
        <w:tab/>
        <w:t>الاتجار بالبشر</w:t>
      </w:r>
    </w:p>
    <w:p w14:paraId="7B3FA0CB" w14:textId="503DF0BE" w:rsidR="00F0516B" w:rsidRPr="00F0516B" w:rsidRDefault="00F0516B" w:rsidP="00F0516B">
      <w:pPr>
        <w:pStyle w:val="SingleTxtGA"/>
        <w:rPr>
          <w:lang w:val="en-US"/>
        </w:rPr>
      </w:pPr>
      <w:r w:rsidRPr="00E83825">
        <w:rPr>
          <w:rtl/>
          <w:lang w:val="en-US"/>
        </w:rPr>
        <w:t>20</w:t>
      </w:r>
      <w:r w:rsidRPr="00F0516B">
        <w:rPr>
          <w:rtl/>
          <w:lang w:val="en-US"/>
        </w:rPr>
        <w:t>-</w:t>
      </w:r>
      <w:r w:rsidRPr="00F0516B">
        <w:rPr>
          <w:rtl/>
          <w:lang w:val="en-US"/>
        </w:rPr>
        <w:tab/>
        <w:t>إذ ترحب اللجنة بالتدابير التي اتخذتها الدولة الطرف لمكافحة الاتجار بالبشر</w:t>
      </w:r>
      <w:r w:rsidR="00FE64D9">
        <w:rPr>
          <w:rtl/>
          <w:lang w:val="en-US"/>
        </w:rPr>
        <w:t>،</w:t>
      </w:r>
      <w:r w:rsidRPr="00F0516B">
        <w:rPr>
          <w:rtl/>
          <w:lang w:val="en-US"/>
        </w:rPr>
        <w:t xml:space="preserve"> بما في ذلك إدخال تعديلات على القانون الجنائي من أجل تشديد العقوبات على هذه الجرائم</w:t>
      </w:r>
      <w:r w:rsidR="00FE64D9">
        <w:rPr>
          <w:rtl/>
          <w:lang w:val="en-US"/>
        </w:rPr>
        <w:t>،</w:t>
      </w:r>
      <w:r w:rsidRPr="00F0516B">
        <w:rPr>
          <w:rtl/>
          <w:lang w:val="en-US"/>
        </w:rPr>
        <w:t xml:space="preserve"> يساور اللجنة القلق إزاء </w:t>
      </w:r>
      <w:r w:rsidRPr="001765AA">
        <w:rPr>
          <w:spacing w:val="-4"/>
          <w:rtl/>
          <w:lang w:val="en-US"/>
        </w:rPr>
        <w:t>استمرار ورود تقارير عن الاتجار بمواطنين من قيرغيزستان وأجانب داخل البلد وخارجه</w:t>
      </w:r>
      <w:r w:rsidR="00FE64D9" w:rsidRPr="001765AA">
        <w:rPr>
          <w:spacing w:val="-4"/>
          <w:rtl/>
          <w:lang w:val="en-US"/>
        </w:rPr>
        <w:t>،</w:t>
      </w:r>
      <w:r w:rsidRPr="001765AA">
        <w:rPr>
          <w:spacing w:val="-4"/>
          <w:rtl/>
          <w:lang w:val="en-US"/>
        </w:rPr>
        <w:t xml:space="preserve"> وعدم تنفيذ التشريعات</w:t>
      </w:r>
      <w:r w:rsidRPr="00F0516B">
        <w:rPr>
          <w:rtl/>
          <w:lang w:val="en-US"/>
        </w:rPr>
        <w:t xml:space="preserve"> والاستراتيجيات القائمة لمنعه</w:t>
      </w:r>
      <w:r w:rsidR="00FE64D9">
        <w:rPr>
          <w:rtl/>
          <w:lang w:val="en-US"/>
        </w:rPr>
        <w:t>،</w:t>
      </w:r>
      <w:r w:rsidRPr="00F0516B">
        <w:rPr>
          <w:rtl/>
          <w:lang w:val="en-US"/>
        </w:rPr>
        <w:t xml:space="preserve"> إلى جانب عدم اتخاذ تدابير لمعالجة الأسباب الأساسية لهذه الظاهرة وندرة الملاجئ المتاحة للضحايا</w:t>
      </w:r>
      <w:r w:rsidR="00FE64D9">
        <w:rPr>
          <w:rtl/>
          <w:lang w:val="en-US"/>
        </w:rPr>
        <w:t>،</w:t>
      </w:r>
      <w:r w:rsidRPr="00F0516B">
        <w:rPr>
          <w:rtl/>
          <w:lang w:val="en-US"/>
        </w:rPr>
        <w:t xml:space="preserve"> لا سيما الفتيات والنساء (المادتان </w:t>
      </w:r>
      <w:r w:rsidRPr="00E83825">
        <w:rPr>
          <w:rtl/>
          <w:lang w:val="en-US"/>
        </w:rPr>
        <w:t>2</w:t>
      </w:r>
      <w:r w:rsidRPr="00F0516B">
        <w:rPr>
          <w:rtl/>
          <w:lang w:val="en-US"/>
        </w:rPr>
        <w:t xml:space="preserve"> و</w:t>
      </w:r>
      <w:r w:rsidRPr="00E83825">
        <w:rPr>
          <w:rtl/>
          <w:lang w:val="en-US"/>
        </w:rPr>
        <w:t>16</w:t>
      </w:r>
      <w:r w:rsidRPr="00F0516B">
        <w:rPr>
          <w:rtl/>
          <w:lang w:val="en-US"/>
        </w:rPr>
        <w:t>).</w:t>
      </w:r>
    </w:p>
    <w:p w14:paraId="530876F8" w14:textId="77777777" w:rsidR="00F0516B" w:rsidRPr="00E83825" w:rsidRDefault="00F0516B" w:rsidP="00F0516B">
      <w:pPr>
        <w:pStyle w:val="SingleTxtGA"/>
        <w:rPr>
          <w:b/>
          <w:bCs/>
          <w:lang w:val="en-US"/>
        </w:rPr>
      </w:pPr>
      <w:r w:rsidRPr="00E83825">
        <w:rPr>
          <w:rtl/>
          <w:lang w:val="en-US"/>
        </w:rPr>
        <w:t>21</w:t>
      </w:r>
      <w:r w:rsidRPr="00F0516B">
        <w:rPr>
          <w:rtl/>
          <w:lang w:val="en-US"/>
        </w:rPr>
        <w:t>-</w:t>
      </w:r>
      <w:r w:rsidRPr="00F0516B">
        <w:rPr>
          <w:rtl/>
          <w:lang w:val="en-US"/>
        </w:rPr>
        <w:tab/>
      </w:r>
      <w:r w:rsidRPr="00E83825">
        <w:rPr>
          <w:b/>
          <w:bCs/>
          <w:rtl/>
          <w:lang w:val="en-US"/>
        </w:rPr>
        <w:t>ينبغي للدولة الطرف القيام بما يلي:</w:t>
      </w:r>
    </w:p>
    <w:p w14:paraId="06C8DF3D" w14:textId="64AFF229" w:rsidR="00F0516B" w:rsidRPr="00E83825" w:rsidRDefault="00E95C38" w:rsidP="00F0516B">
      <w:pPr>
        <w:pStyle w:val="SingleTxtGA"/>
        <w:rPr>
          <w:b/>
          <w:bCs/>
          <w:lang w:val="en-US"/>
        </w:rPr>
      </w:pPr>
      <w:r>
        <w:rPr>
          <w:rtl/>
          <w:lang w:val="en-US"/>
        </w:rPr>
        <w:tab/>
      </w:r>
      <w:r w:rsidR="00F0516B" w:rsidRPr="00F0516B">
        <w:rPr>
          <w:rtl/>
          <w:lang w:val="en-US"/>
        </w:rPr>
        <w:t>(أ)</w:t>
      </w:r>
      <w:r w:rsidR="00F0516B" w:rsidRPr="00F0516B">
        <w:rPr>
          <w:rtl/>
          <w:lang w:val="en-US"/>
        </w:rPr>
        <w:tab/>
      </w:r>
      <w:r w:rsidR="00F0516B" w:rsidRPr="00E83825">
        <w:rPr>
          <w:rFonts w:ascii="Simplified Arabic" w:hAnsi="Simplified Arabic" w:hint="cs"/>
          <w:b/>
          <w:bCs/>
          <w:rtl/>
          <w:lang w:val="en-US"/>
        </w:rPr>
        <w:t>المضي</w:t>
      </w:r>
      <w:r w:rsidR="00F0516B" w:rsidRPr="00E83825">
        <w:rPr>
          <w:b/>
          <w:bCs/>
          <w:rtl/>
          <w:lang w:val="en-US"/>
        </w:rPr>
        <w:t xml:space="preserve"> </w:t>
      </w:r>
      <w:r w:rsidR="00F0516B" w:rsidRPr="00E83825">
        <w:rPr>
          <w:rFonts w:ascii="Simplified Arabic" w:hAnsi="Simplified Arabic" w:hint="cs"/>
          <w:b/>
          <w:bCs/>
          <w:rtl/>
          <w:lang w:val="en-US"/>
        </w:rPr>
        <w:t>في</w:t>
      </w:r>
      <w:r w:rsidR="00F0516B" w:rsidRPr="00E83825">
        <w:rPr>
          <w:b/>
          <w:bCs/>
          <w:rtl/>
          <w:lang w:val="en-US"/>
        </w:rPr>
        <w:t xml:space="preserve"> </w:t>
      </w:r>
      <w:r w:rsidR="00F0516B" w:rsidRPr="00E83825">
        <w:rPr>
          <w:rFonts w:ascii="Simplified Arabic" w:hAnsi="Simplified Arabic" w:hint="cs"/>
          <w:b/>
          <w:bCs/>
          <w:rtl/>
          <w:lang w:val="en-US"/>
        </w:rPr>
        <w:t>اتخاذ</w:t>
      </w:r>
      <w:r w:rsidR="00F0516B" w:rsidRPr="00E83825">
        <w:rPr>
          <w:b/>
          <w:bCs/>
          <w:rtl/>
          <w:lang w:val="en-US"/>
        </w:rPr>
        <w:t xml:space="preserve"> </w:t>
      </w:r>
      <w:r w:rsidR="00F0516B" w:rsidRPr="00E83825">
        <w:rPr>
          <w:rFonts w:ascii="Simplified Arabic" w:hAnsi="Simplified Arabic" w:hint="cs"/>
          <w:b/>
          <w:bCs/>
          <w:rtl/>
          <w:lang w:val="en-US"/>
        </w:rPr>
        <w:t>تدابير</w:t>
      </w:r>
      <w:r w:rsidR="00F0516B" w:rsidRPr="00E83825">
        <w:rPr>
          <w:b/>
          <w:bCs/>
          <w:rtl/>
          <w:lang w:val="en-US"/>
        </w:rPr>
        <w:t xml:space="preserve"> </w:t>
      </w:r>
      <w:r w:rsidR="00F0516B" w:rsidRPr="00E83825">
        <w:rPr>
          <w:rFonts w:ascii="Simplified Arabic" w:hAnsi="Simplified Arabic" w:hint="cs"/>
          <w:b/>
          <w:bCs/>
          <w:rtl/>
          <w:lang w:val="en-US"/>
        </w:rPr>
        <w:t>لمنع</w:t>
      </w:r>
      <w:r w:rsidR="00F0516B" w:rsidRPr="00E83825">
        <w:rPr>
          <w:b/>
          <w:bCs/>
          <w:rtl/>
          <w:lang w:val="en-US"/>
        </w:rPr>
        <w:t xml:space="preserve"> </w:t>
      </w:r>
      <w:r w:rsidR="00F0516B" w:rsidRPr="00E83825">
        <w:rPr>
          <w:rFonts w:ascii="Simplified Arabic" w:hAnsi="Simplified Arabic" w:hint="cs"/>
          <w:b/>
          <w:bCs/>
          <w:rtl/>
          <w:lang w:val="en-US"/>
        </w:rPr>
        <w:t>الاتجار</w:t>
      </w:r>
      <w:r w:rsidR="00F0516B" w:rsidRPr="00E83825">
        <w:rPr>
          <w:b/>
          <w:bCs/>
          <w:rtl/>
          <w:lang w:val="en-US"/>
        </w:rPr>
        <w:t xml:space="preserve"> </w:t>
      </w:r>
      <w:r w:rsidR="00F0516B" w:rsidRPr="00E83825">
        <w:rPr>
          <w:rFonts w:ascii="Simplified Arabic" w:hAnsi="Simplified Arabic" w:hint="cs"/>
          <w:b/>
          <w:bCs/>
          <w:rtl/>
          <w:lang w:val="en-US"/>
        </w:rPr>
        <w:t>بالبشر</w:t>
      </w:r>
      <w:r w:rsidR="00F0516B" w:rsidRPr="00E83825">
        <w:rPr>
          <w:b/>
          <w:bCs/>
          <w:rtl/>
          <w:lang w:val="en-US"/>
        </w:rPr>
        <w:t xml:space="preserve"> </w:t>
      </w:r>
      <w:r w:rsidR="00F0516B" w:rsidRPr="00E83825">
        <w:rPr>
          <w:rFonts w:ascii="Simplified Arabic" w:hAnsi="Simplified Arabic" w:hint="cs"/>
          <w:b/>
          <w:bCs/>
          <w:rtl/>
          <w:lang w:val="en-US"/>
        </w:rPr>
        <w:t>والقضاء</w:t>
      </w:r>
      <w:r w:rsidR="00F0516B" w:rsidRPr="00E83825">
        <w:rPr>
          <w:b/>
          <w:bCs/>
          <w:rtl/>
          <w:lang w:val="en-US"/>
        </w:rPr>
        <w:t xml:space="preserve"> </w:t>
      </w:r>
      <w:r w:rsidR="00F0516B" w:rsidRPr="00E83825">
        <w:rPr>
          <w:rFonts w:ascii="Simplified Arabic" w:hAnsi="Simplified Arabic" w:hint="cs"/>
          <w:b/>
          <w:bCs/>
          <w:rtl/>
          <w:lang w:val="en-US"/>
        </w:rPr>
        <w:t>عليه</w:t>
      </w:r>
      <w:r w:rsidR="00FE64D9" w:rsidRPr="00E83825">
        <w:rPr>
          <w:rFonts w:ascii="Simplified Arabic" w:hAnsi="Simplified Arabic" w:hint="cs"/>
          <w:b/>
          <w:bCs/>
          <w:rtl/>
          <w:lang w:val="en-US"/>
        </w:rPr>
        <w:t>،</w:t>
      </w:r>
      <w:r w:rsidR="00F0516B" w:rsidRPr="00E83825">
        <w:rPr>
          <w:b/>
          <w:bCs/>
          <w:rtl/>
          <w:lang w:val="en-US"/>
        </w:rPr>
        <w:t xml:space="preserve"> </w:t>
      </w:r>
      <w:r w:rsidR="00F0516B" w:rsidRPr="00E83825">
        <w:rPr>
          <w:rFonts w:ascii="Simplified Arabic" w:hAnsi="Simplified Arabic" w:hint="cs"/>
          <w:b/>
          <w:bCs/>
          <w:rtl/>
          <w:lang w:val="en-US"/>
        </w:rPr>
        <w:t>بما</w:t>
      </w:r>
      <w:r w:rsidR="00F0516B" w:rsidRPr="00E83825">
        <w:rPr>
          <w:b/>
          <w:bCs/>
          <w:rtl/>
          <w:lang w:val="en-US"/>
        </w:rPr>
        <w:t xml:space="preserve"> </w:t>
      </w:r>
      <w:r w:rsidR="00F0516B" w:rsidRPr="00E83825">
        <w:rPr>
          <w:rFonts w:ascii="Simplified Arabic" w:hAnsi="Simplified Arabic" w:hint="cs"/>
          <w:b/>
          <w:bCs/>
          <w:rtl/>
          <w:lang w:val="en-US"/>
        </w:rPr>
        <w:t>في</w:t>
      </w:r>
      <w:r w:rsidR="00F0516B" w:rsidRPr="00E83825">
        <w:rPr>
          <w:b/>
          <w:bCs/>
          <w:rtl/>
          <w:lang w:val="en-US"/>
        </w:rPr>
        <w:t xml:space="preserve"> </w:t>
      </w:r>
      <w:r w:rsidR="00F0516B" w:rsidRPr="00E83825">
        <w:rPr>
          <w:rFonts w:ascii="Simplified Arabic" w:hAnsi="Simplified Arabic" w:hint="cs"/>
          <w:b/>
          <w:bCs/>
          <w:rtl/>
          <w:lang w:val="en-US"/>
        </w:rPr>
        <w:t>ذلك</w:t>
      </w:r>
      <w:r w:rsidR="00F0516B" w:rsidRPr="00E83825">
        <w:rPr>
          <w:b/>
          <w:bCs/>
          <w:rtl/>
          <w:lang w:val="en-US"/>
        </w:rPr>
        <w:t xml:space="preserve"> </w:t>
      </w:r>
      <w:r w:rsidR="00F0516B" w:rsidRPr="00E83825">
        <w:rPr>
          <w:rFonts w:ascii="Simplified Arabic" w:hAnsi="Simplified Arabic" w:hint="cs"/>
          <w:b/>
          <w:bCs/>
          <w:rtl/>
          <w:lang w:val="en-US"/>
        </w:rPr>
        <w:t>تنفيذ</w:t>
      </w:r>
      <w:r w:rsidR="00F0516B" w:rsidRPr="00E83825">
        <w:rPr>
          <w:b/>
          <w:bCs/>
          <w:rtl/>
          <w:lang w:val="en-US"/>
        </w:rPr>
        <w:t xml:space="preserve"> </w:t>
      </w:r>
      <w:r w:rsidR="00F0516B" w:rsidRPr="00E83825">
        <w:rPr>
          <w:rFonts w:ascii="Simplified Arabic" w:hAnsi="Simplified Arabic" w:hint="cs"/>
          <w:b/>
          <w:bCs/>
          <w:rtl/>
          <w:lang w:val="en-US"/>
        </w:rPr>
        <w:t>قانون</w:t>
      </w:r>
      <w:r w:rsidR="00F0516B" w:rsidRPr="00E83825">
        <w:rPr>
          <w:b/>
          <w:bCs/>
          <w:rtl/>
          <w:lang w:val="en-US"/>
        </w:rPr>
        <w:t xml:space="preserve"> </w:t>
      </w:r>
      <w:r w:rsidR="00F0516B" w:rsidRPr="00E83825">
        <w:rPr>
          <w:rFonts w:ascii="Simplified Arabic" w:hAnsi="Simplified Arabic" w:hint="cs"/>
          <w:b/>
          <w:bCs/>
          <w:rtl/>
          <w:lang w:val="en-US"/>
        </w:rPr>
        <w:t>مكافحة</w:t>
      </w:r>
      <w:r w:rsidR="00F0516B" w:rsidRPr="00E83825">
        <w:rPr>
          <w:b/>
          <w:bCs/>
          <w:rtl/>
          <w:lang w:val="en-US"/>
        </w:rPr>
        <w:t xml:space="preserve"> </w:t>
      </w:r>
      <w:r w:rsidR="00F0516B" w:rsidRPr="00E83825">
        <w:rPr>
          <w:rFonts w:ascii="Simplified Arabic" w:hAnsi="Simplified Arabic" w:hint="cs"/>
          <w:b/>
          <w:bCs/>
          <w:rtl/>
          <w:lang w:val="en-US"/>
        </w:rPr>
        <w:t>الاتجار</w:t>
      </w:r>
      <w:r w:rsidR="00F0516B" w:rsidRPr="00E83825">
        <w:rPr>
          <w:b/>
          <w:bCs/>
          <w:rtl/>
          <w:lang w:val="en-US"/>
        </w:rPr>
        <w:t xml:space="preserve"> </w:t>
      </w:r>
      <w:r w:rsidR="00F0516B" w:rsidRPr="00E83825">
        <w:rPr>
          <w:rFonts w:ascii="Simplified Arabic" w:hAnsi="Simplified Arabic" w:hint="cs"/>
          <w:b/>
          <w:bCs/>
          <w:rtl/>
          <w:lang w:val="en-US"/>
        </w:rPr>
        <w:t>تنفيذاً</w:t>
      </w:r>
      <w:r w:rsidR="00F0516B" w:rsidRPr="00E83825">
        <w:rPr>
          <w:b/>
          <w:bCs/>
          <w:rtl/>
          <w:lang w:val="en-US"/>
        </w:rPr>
        <w:t xml:space="preserve"> </w:t>
      </w:r>
      <w:r w:rsidR="00F0516B" w:rsidRPr="00E83825">
        <w:rPr>
          <w:rFonts w:ascii="Simplified Arabic" w:hAnsi="Simplified Arabic" w:hint="cs"/>
          <w:b/>
          <w:bCs/>
          <w:rtl/>
          <w:lang w:val="en-US"/>
        </w:rPr>
        <w:t>صارماً</w:t>
      </w:r>
      <w:r w:rsidR="00F0516B" w:rsidRPr="00E83825">
        <w:rPr>
          <w:b/>
          <w:bCs/>
          <w:rtl/>
          <w:lang w:val="en-US"/>
        </w:rPr>
        <w:t xml:space="preserve"> </w:t>
      </w:r>
      <w:r w:rsidR="00F0516B" w:rsidRPr="00E83825">
        <w:rPr>
          <w:rFonts w:ascii="Simplified Arabic" w:hAnsi="Simplified Arabic" w:hint="cs"/>
          <w:b/>
          <w:bCs/>
          <w:rtl/>
          <w:lang w:val="en-US"/>
        </w:rPr>
        <w:t>وتوفير</w:t>
      </w:r>
      <w:r w:rsidR="00F0516B" w:rsidRPr="00E83825">
        <w:rPr>
          <w:b/>
          <w:bCs/>
          <w:rtl/>
          <w:lang w:val="en-US"/>
        </w:rPr>
        <w:t xml:space="preserve"> </w:t>
      </w:r>
      <w:r w:rsidR="00F0516B" w:rsidRPr="00E83825">
        <w:rPr>
          <w:rFonts w:ascii="Simplified Arabic" w:hAnsi="Simplified Arabic" w:hint="cs"/>
          <w:b/>
          <w:bCs/>
          <w:rtl/>
          <w:lang w:val="en-US"/>
        </w:rPr>
        <w:t>ما</w:t>
      </w:r>
      <w:r w:rsidR="00F0516B" w:rsidRPr="00E83825">
        <w:rPr>
          <w:b/>
          <w:bCs/>
          <w:rtl/>
          <w:lang w:val="en-US"/>
        </w:rPr>
        <w:t xml:space="preserve"> </w:t>
      </w:r>
      <w:r w:rsidR="00F0516B" w:rsidRPr="00E83825">
        <w:rPr>
          <w:rFonts w:ascii="Simplified Arabic" w:hAnsi="Simplified Arabic" w:hint="cs"/>
          <w:b/>
          <w:bCs/>
          <w:rtl/>
          <w:lang w:val="en-US"/>
        </w:rPr>
        <w:t>يكفي</w:t>
      </w:r>
      <w:r w:rsidR="00F0516B" w:rsidRPr="00E83825">
        <w:rPr>
          <w:b/>
          <w:bCs/>
          <w:rtl/>
          <w:lang w:val="en-US"/>
        </w:rPr>
        <w:t xml:space="preserve"> </w:t>
      </w:r>
      <w:r w:rsidR="00F0516B" w:rsidRPr="00E83825">
        <w:rPr>
          <w:rFonts w:ascii="Simplified Arabic" w:hAnsi="Simplified Arabic" w:hint="cs"/>
          <w:b/>
          <w:bCs/>
          <w:rtl/>
          <w:lang w:val="en-US"/>
        </w:rPr>
        <w:t>من</w:t>
      </w:r>
      <w:r w:rsidR="00F0516B" w:rsidRPr="00E83825">
        <w:rPr>
          <w:b/>
          <w:bCs/>
          <w:rtl/>
          <w:lang w:val="en-US"/>
        </w:rPr>
        <w:t xml:space="preserve"> </w:t>
      </w:r>
      <w:r w:rsidR="00F0516B" w:rsidRPr="00E83825">
        <w:rPr>
          <w:rFonts w:ascii="Simplified Arabic" w:hAnsi="Simplified Arabic" w:hint="cs"/>
          <w:b/>
          <w:bCs/>
          <w:rtl/>
          <w:lang w:val="en-US"/>
        </w:rPr>
        <w:t>التمويل</w:t>
      </w:r>
      <w:r w:rsidR="00F0516B" w:rsidRPr="00E83825">
        <w:rPr>
          <w:b/>
          <w:bCs/>
          <w:rtl/>
          <w:lang w:val="en-US"/>
        </w:rPr>
        <w:t xml:space="preserve"> </w:t>
      </w:r>
      <w:r w:rsidR="00F0516B" w:rsidRPr="00E83825">
        <w:rPr>
          <w:rFonts w:ascii="Simplified Arabic" w:hAnsi="Simplified Arabic" w:hint="cs"/>
          <w:b/>
          <w:bCs/>
          <w:rtl/>
          <w:lang w:val="en-US"/>
        </w:rPr>
        <w:t>لتنفيذ</w:t>
      </w:r>
      <w:r w:rsidR="00F0516B" w:rsidRPr="00E83825">
        <w:rPr>
          <w:b/>
          <w:bCs/>
          <w:rtl/>
          <w:lang w:val="en-US"/>
        </w:rPr>
        <w:t xml:space="preserve"> </w:t>
      </w:r>
      <w:r w:rsidR="00F0516B" w:rsidRPr="00E83825">
        <w:rPr>
          <w:rFonts w:ascii="Simplified Arabic" w:hAnsi="Simplified Arabic" w:hint="cs"/>
          <w:b/>
          <w:bCs/>
          <w:rtl/>
          <w:lang w:val="en-US"/>
        </w:rPr>
        <w:t>خطة</w:t>
      </w:r>
      <w:r w:rsidR="00F0516B" w:rsidRPr="00E83825">
        <w:rPr>
          <w:b/>
          <w:bCs/>
          <w:rtl/>
          <w:lang w:val="en-US"/>
        </w:rPr>
        <w:t xml:space="preserve"> </w:t>
      </w:r>
      <w:r w:rsidR="00F0516B" w:rsidRPr="00E83825">
        <w:rPr>
          <w:rFonts w:ascii="Simplified Arabic" w:hAnsi="Simplified Arabic" w:hint="cs"/>
          <w:b/>
          <w:bCs/>
          <w:rtl/>
          <w:lang w:val="en-US"/>
        </w:rPr>
        <w:t>العمل</w:t>
      </w:r>
      <w:r w:rsidR="00F0516B" w:rsidRPr="00E83825">
        <w:rPr>
          <w:b/>
          <w:bCs/>
          <w:rtl/>
          <w:lang w:val="en-US"/>
        </w:rPr>
        <w:t xml:space="preserve"> </w:t>
      </w:r>
      <w:r w:rsidR="00F0516B" w:rsidRPr="00E83825">
        <w:rPr>
          <w:rFonts w:ascii="Simplified Arabic" w:hAnsi="Simplified Arabic" w:hint="cs"/>
          <w:b/>
          <w:bCs/>
          <w:rtl/>
          <w:lang w:val="en-US"/>
        </w:rPr>
        <w:t>ذات</w:t>
      </w:r>
      <w:r w:rsidR="00F0516B" w:rsidRPr="00E83825">
        <w:rPr>
          <w:b/>
          <w:bCs/>
          <w:rtl/>
          <w:lang w:val="en-US"/>
        </w:rPr>
        <w:t xml:space="preserve"> </w:t>
      </w:r>
      <w:r w:rsidR="00F0516B" w:rsidRPr="00E83825">
        <w:rPr>
          <w:rFonts w:ascii="Simplified Arabic" w:hAnsi="Simplified Arabic" w:hint="cs"/>
          <w:b/>
          <w:bCs/>
          <w:rtl/>
          <w:lang w:val="en-US"/>
        </w:rPr>
        <w:t>الصلة؛</w:t>
      </w:r>
    </w:p>
    <w:p w14:paraId="6328E426" w14:textId="797BEB53" w:rsidR="00F0516B" w:rsidRPr="00E83825" w:rsidRDefault="00E95C38" w:rsidP="00F0516B">
      <w:pPr>
        <w:pStyle w:val="SingleTxtGA"/>
        <w:rPr>
          <w:b/>
          <w:bCs/>
          <w:lang w:val="en-US"/>
        </w:rPr>
      </w:pPr>
      <w:r>
        <w:rPr>
          <w:rtl/>
          <w:lang w:val="en-US"/>
        </w:rPr>
        <w:tab/>
      </w:r>
      <w:r w:rsidR="00F0516B" w:rsidRPr="00F0516B">
        <w:rPr>
          <w:rtl/>
          <w:lang w:val="en-US"/>
        </w:rPr>
        <w:t>(ب)</w:t>
      </w:r>
      <w:r w:rsidR="00F0516B" w:rsidRPr="00F0516B">
        <w:rPr>
          <w:rtl/>
          <w:lang w:val="en-US"/>
        </w:rPr>
        <w:tab/>
      </w:r>
      <w:r w:rsidR="00F0516B" w:rsidRPr="00E83825">
        <w:rPr>
          <w:rFonts w:ascii="Times New Roman Bold" w:hAnsi="Times New Roman Bold"/>
          <w:b/>
          <w:bCs/>
          <w:spacing w:val="-6"/>
          <w:rtl/>
          <w:lang w:val="en-US"/>
        </w:rPr>
        <w:t>إجراء تحقيقات سريعة وفعالة ونزيهة في جرائم الاتجار بالبشر ومقاضاة الجناة ومعاقبتهم</w:t>
      </w:r>
      <w:r w:rsidR="00FE64D9" w:rsidRPr="00E83825">
        <w:rPr>
          <w:rFonts w:ascii="Times New Roman Bold" w:hAnsi="Times New Roman Bold"/>
          <w:b/>
          <w:bCs/>
          <w:spacing w:val="-6"/>
          <w:rtl/>
          <w:lang w:val="en-US"/>
        </w:rPr>
        <w:t>،</w:t>
      </w:r>
      <w:r w:rsidR="00F0516B" w:rsidRPr="00E83825">
        <w:rPr>
          <w:b/>
          <w:bCs/>
          <w:rtl/>
          <w:lang w:val="en-US"/>
        </w:rPr>
        <w:t xml:space="preserve"> وكفالة ما يلزم من الضمانات الإجرائية</w:t>
      </w:r>
      <w:r w:rsidR="00FE64D9" w:rsidRPr="00E83825">
        <w:rPr>
          <w:b/>
          <w:bCs/>
          <w:rtl/>
          <w:lang w:val="en-US"/>
        </w:rPr>
        <w:t>،</w:t>
      </w:r>
      <w:r w:rsidR="00F0516B" w:rsidRPr="00E83825">
        <w:rPr>
          <w:b/>
          <w:bCs/>
          <w:rtl/>
          <w:lang w:val="en-US"/>
        </w:rPr>
        <w:t xml:space="preserve"> وتوفير المساعدة للضحايا في تبليغ الشرطة بتلك الحوادث؛</w:t>
      </w:r>
    </w:p>
    <w:p w14:paraId="32C58077" w14:textId="1D723555" w:rsidR="00F0516B" w:rsidRPr="00E83825" w:rsidRDefault="00E95C38" w:rsidP="00F0516B">
      <w:pPr>
        <w:pStyle w:val="SingleTxtGA"/>
        <w:rPr>
          <w:b/>
          <w:bCs/>
          <w:lang w:val="en-US"/>
        </w:rPr>
      </w:pPr>
      <w:r>
        <w:rPr>
          <w:rtl/>
          <w:lang w:val="en-US"/>
        </w:rPr>
        <w:tab/>
      </w:r>
      <w:r w:rsidR="00F0516B" w:rsidRPr="00F0516B">
        <w:rPr>
          <w:rtl/>
          <w:lang w:val="en-US"/>
        </w:rPr>
        <w:t>(ج)</w:t>
      </w:r>
      <w:r w:rsidR="00F0516B" w:rsidRPr="00F0516B">
        <w:rPr>
          <w:rtl/>
          <w:lang w:val="en-US"/>
        </w:rPr>
        <w:tab/>
      </w:r>
      <w:r w:rsidR="00F0516B" w:rsidRPr="00E83825">
        <w:rPr>
          <w:rFonts w:ascii="Times New Roman Bold" w:hAnsi="Times New Roman Bold"/>
          <w:b/>
          <w:bCs/>
          <w:spacing w:val="-6"/>
          <w:rtl/>
          <w:lang w:val="en-US"/>
        </w:rPr>
        <w:t>جبر الضرر الذي يلحق ضحايا الاتجار</w:t>
      </w:r>
      <w:r w:rsidR="00FE64D9" w:rsidRPr="00E83825">
        <w:rPr>
          <w:rFonts w:ascii="Times New Roman Bold" w:hAnsi="Times New Roman Bold"/>
          <w:b/>
          <w:bCs/>
          <w:spacing w:val="-6"/>
          <w:rtl/>
          <w:lang w:val="en-US"/>
        </w:rPr>
        <w:t>،</w:t>
      </w:r>
      <w:r w:rsidR="00F0516B" w:rsidRPr="00E83825">
        <w:rPr>
          <w:rFonts w:ascii="Times New Roman Bold" w:hAnsi="Times New Roman Bold"/>
          <w:b/>
          <w:bCs/>
          <w:spacing w:val="-6"/>
          <w:rtl/>
          <w:lang w:val="en-US"/>
        </w:rPr>
        <w:t xml:space="preserve"> بما يشمل توفير المساعدة القانونية والطبية</w:t>
      </w:r>
      <w:r w:rsidR="00F0516B" w:rsidRPr="00E83825">
        <w:rPr>
          <w:b/>
          <w:bCs/>
          <w:rtl/>
          <w:lang w:val="en-US"/>
        </w:rPr>
        <w:t xml:space="preserve"> والنفسية</w:t>
      </w:r>
      <w:r w:rsidR="00FE64D9" w:rsidRPr="00E83825">
        <w:rPr>
          <w:b/>
          <w:bCs/>
          <w:rtl/>
          <w:lang w:val="en-US"/>
        </w:rPr>
        <w:t>،</w:t>
      </w:r>
      <w:r w:rsidR="00F0516B" w:rsidRPr="00E83825">
        <w:rPr>
          <w:b/>
          <w:bCs/>
          <w:rtl/>
          <w:lang w:val="en-US"/>
        </w:rPr>
        <w:t xml:space="preserve"> فضلاً عن إعادة التأهيل وتوفير الملاجئ؛</w:t>
      </w:r>
    </w:p>
    <w:p w14:paraId="5DDE15F8" w14:textId="31932213" w:rsidR="00F0516B" w:rsidRPr="00E83825" w:rsidRDefault="00E95C38" w:rsidP="00F0516B">
      <w:pPr>
        <w:pStyle w:val="SingleTxtGA"/>
        <w:rPr>
          <w:rFonts w:ascii="Times New Roman Bold" w:hAnsi="Times New Roman Bold"/>
          <w:b/>
          <w:bCs/>
          <w:spacing w:val="-6"/>
          <w:lang w:val="en-US"/>
        </w:rPr>
      </w:pPr>
      <w:r>
        <w:rPr>
          <w:rtl/>
          <w:lang w:val="en-US"/>
        </w:rPr>
        <w:tab/>
      </w:r>
      <w:r w:rsidR="00F0516B" w:rsidRPr="00F0516B">
        <w:rPr>
          <w:rtl/>
          <w:lang w:val="en-US"/>
        </w:rPr>
        <w:t>(د)</w:t>
      </w:r>
      <w:r w:rsidR="00F0516B" w:rsidRPr="00F0516B">
        <w:rPr>
          <w:rtl/>
          <w:lang w:val="en-US"/>
        </w:rPr>
        <w:tab/>
      </w:r>
      <w:r w:rsidR="00F0516B" w:rsidRPr="00E83825">
        <w:rPr>
          <w:rFonts w:ascii="Times New Roman Bold" w:hAnsi="Times New Roman Bold"/>
          <w:b/>
          <w:bCs/>
          <w:spacing w:val="-6"/>
          <w:rtl/>
          <w:lang w:val="en-US"/>
        </w:rPr>
        <w:t>توفير التدريب الإلزامي والمستمر على منع الاتجار لجميع موظفي العدالة وإنفاذ القانون.</w:t>
      </w:r>
    </w:p>
    <w:p w14:paraId="2BFDA289" w14:textId="77777777" w:rsidR="00F0516B" w:rsidRPr="00E83825" w:rsidRDefault="00F0516B" w:rsidP="00E95C38">
      <w:pPr>
        <w:pStyle w:val="H23GA"/>
      </w:pPr>
      <w:r w:rsidRPr="00E83825">
        <w:rPr>
          <w:rtl/>
        </w:rPr>
        <w:tab/>
      </w:r>
      <w:r w:rsidRPr="00E83825">
        <w:rPr>
          <w:rtl/>
        </w:rPr>
        <w:tab/>
        <w:t>ظروف الاحتجاز</w:t>
      </w:r>
    </w:p>
    <w:p w14:paraId="3C513AA3" w14:textId="18201BE1" w:rsidR="00F0516B" w:rsidRPr="00F0516B" w:rsidRDefault="00F0516B" w:rsidP="00F0516B">
      <w:pPr>
        <w:pStyle w:val="SingleTxtGA"/>
        <w:rPr>
          <w:lang w:val="en-US"/>
        </w:rPr>
      </w:pPr>
      <w:r w:rsidRPr="00E83825">
        <w:rPr>
          <w:rtl/>
          <w:lang w:val="en-US"/>
        </w:rPr>
        <w:t>22</w:t>
      </w:r>
      <w:r w:rsidRPr="00F0516B">
        <w:rPr>
          <w:rtl/>
          <w:lang w:val="en-US"/>
        </w:rPr>
        <w:t>-</w:t>
      </w:r>
      <w:r w:rsidRPr="00F0516B">
        <w:rPr>
          <w:rtl/>
          <w:lang w:val="en-US"/>
        </w:rPr>
        <w:tab/>
        <w:t>إذ تقدر اللجنة التدابير التي اتخذتها الدولة الطرف لتجديد بعض مرافق الاحتجاز وبناء مرافق إضافية للسجناء الذين يقضون أحكام</w:t>
      </w:r>
      <w:r w:rsidR="007B0454">
        <w:rPr>
          <w:rtl/>
          <w:lang w:val="en-US"/>
        </w:rPr>
        <w:t xml:space="preserve">اً </w:t>
      </w:r>
      <w:r w:rsidRPr="00F0516B">
        <w:rPr>
          <w:rtl/>
          <w:lang w:val="en-US"/>
        </w:rPr>
        <w:t>بالسجن المؤبد</w:t>
      </w:r>
      <w:r w:rsidR="00FE64D9">
        <w:rPr>
          <w:rtl/>
          <w:lang w:val="en-US"/>
        </w:rPr>
        <w:t>،</w:t>
      </w:r>
      <w:r w:rsidRPr="00F0516B">
        <w:rPr>
          <w:rtl/>
          <w:lang w:val="en-US"/>
        </w:rPr>
        <w:t xml:space="preserve"> لا يزال القلق يساورها إزاء التقارير التي تفيد بتدني </w:t>
      </w:r>
      <w:r w:rsidRPr="00A84E05">
        <w:rPr>
          <w:spacing w:val="-4"/>
          <w:rtl/>
          <w:lang w:val="en-US"/>
        </w:rPr>
        <w:t>ظروف الاحتجاز ورداءتها</w:t>
      </w:r>
      <w:r w:rsidR="00FE64D9" w:rsidRPr="00A84E05">
        <w:rPr>
          <w:spacing w:val="-4"/>
          <w:rtl/>
          <w:lang w:val="en-US"/>
        </w:rPr>
        <w:t>،</w:t>
      </w:r>
      <w:r w:rsidRPr="00A84E05">
        <w:rPr>
          <w:spacing w:val="-4"/>
          <w:rtl/>
          <w:lang w:val="en-US"/>
        </w:rPr>
        <w:t xml:space="preserve"> بما في ذلك الاكتظاظ. كما تشعر اللجنة بالقلق إزاء الظروف المروعة في مرافق</w:t>
      </w:r>
      <w:r w:rsidRPr="00F0516B">
        <w:rPr>
          <w:rtl/>
          <w:lang w:val="en-US"/>
        </w:rPr>
        <w:t xml:space="preserve"> احتجاز النساء</w:t>
      </w:r>
      <w:r w:rsidR="00FE64D9">
        <w:rPr>
          <w:rtl/>
          <w:lang w:val="en-US"/>
        </w:rPr>
        <w:t>،</w:t>
      </w:r>
      <w:r w:rsidRPr="00F0516B">
        <w:rPr>
          <w:rtl/>
          <w:lang w:val="en-US"/>
        </w:rPr>
        <w:t xml:space="preserve"> وعدم توافر الرعاية الطبية الكافية للمحتجزات</w:t>
      </w:r>
      <w:r w:rsidR="00FE64D9">
        <w:rPr>
          <w:rtl/>
          <w:lang w:val="en-US"/>
        </w:rPr>
        <w:t>،</w:t>
      </w:r>
      <w:r w:rsidRPr="00F0516B">
        <w:rPr>
          <w:rtl/>
          <w:lang w:val="en-US"/>
        </w:rPr>
        <w:t xml:space="preserve"> بمن فيهن الحوامل والأمهات المصحوبات بأطفال. واللجنة قلقة كذلك إزاء التقارير التي تفيد بسوء الأحوال السائدة في مستشفيات الأمراض العقلية ودور الرعاية الاجتماعية ومؤسسات الرعاية الداخلية للأطفال (الفقرتان </w:t>
      </w:r>
      <w:r w:rsidRPr="00E83825">
        <w:rPr>
          <w:rtl/>
          <w:lang w:val="en-US"/>
        </w:rPr>
        <w:t>11</w:t>
      </w:r>
      <w:r w:rsidRPr="00F0516B">
        <w:rPr>
          <w:rtl/>
          <w:lang w:val="en-US"/>
        </w:rPr>
        <w:t xml:space="preserve"> و</w:t>
      </w:r>
      <w:r w:rsidRPr="00E83825">
        <w:rPr>
          <w:rtl/>
          <w:lang w:val="en-US"/>
        </w:rPr>
        <w:t>16</w:t>
      </w:r>
      <w:r w:rsidRPr="00F0516B">
        <w:rPr>
          <w:rtl/>
          <w:lang w:val="en-US"/>
        </w:rPr>
        <w:t>).</w:t>
      </w:r>
    </w:p>
    <w:p w14:paraId="13434307" w14:textId="77777777" w:rsidR="00F0516B" w:rsidRPr="00E83825" w:rsidRDefault="00F0516B" w:rsidP="00F0516B">
      <w:pPr>
        <w:pStyle w:val="SingleTxtGA"/>
        <w:rPr>
          <w:b/>
          <w:bCs/>
          <w:lang w:val="en-US"/>
        </w:rPr>
      </w:pPr>
      <w:r w:rsidRPr="00E83825">
        <w:rPr>
          <w:rtl/>
          <w:lang w:val="en-US"/>
        </w:rPr>
        <w:t>23</w:t>
      </w:r>
      <w:r w:rsidRPr="00F0516B">
        <w:rPr>
          <w:rtl/>
          <w:lang w:val="en-US"/>
        </w:rPr>
        <w:t>-</w:t>
      </w:r>
      <w:r w:rsidRPr="00F0516B">
        <w:rPr>
          <w:rtl/>
          <w:lang w:val="en-US"/>
        </w:rPr>
        <w:tab/>
      </w:r>
      <w:r w:rsidRPr="00E83825">
        <w:rPr>
          <w:b/>
          <w:bCs/>
          <w:rtl/>
          <w:lang w:val="en-US"/>
        </w:rPr>
        <w:t>تحث اللجنة الدولة الطرف على ما يلي:</w:t>
      </w:r>
    </w:p>
    <w:p w14:paraId="166F25C8" w14:textId="668D867C" w:rsidR="00F0516B" w:rsidRPr="00E83825" w:rsidRDefault="00E95C38" w:rsidP="00F0516B">
      <w:pPr>
        <w:pStyle w:val="SingleTxtGA"/>
        <w:rPr>
          <w:b/>
          <w:bCs/>
          <w:lang w:val="en-US"/>
        </w:rPr>
      </w:pPr>
      <w:r>
        <w:rPr>
          <w:rtl/>
          <w:lang w:val="en-US"/>
        </w:rPr>
        <w:tab/>
      </w:r>
      <w:r w:rsidR="00F0516B" w:rsidRPr="00F0516B">
        <w:rPr>
          <w:rtl/>
          <w:lang w:val="en-US"/>
        </w:rPr>
        <w:t>(أ)</w:t>
      </w:r>
      <w:r w:rsidR="00F0516B" w:rsidRPr="00F0516B">
        <w:rPr>
          <w:rtl/>
          <w:lang w:val="en-US"/>
        </w:rPr>
        <w:tab/>
      </w:r>
      <w:r w:rsidR="00F0516B" w:rsidRPr="00E83825">
        <w:rPr>
          <w:rFonts w:ascii="Times New Roman Bold" w:hAnsi="Times New Roman Bold"/>
          <w:b/>
          <w:bCs/>
          <w:spacing w:val="-2"/>
          <w:rtl/>
          <w:lang w:val="en-US"/>
        </w:rPr>
        <w:t>تكثيف جهودها في سبيل تحسين ظروف الاحتجاز وتخفيف الاكتظاظ في المؤسسات</w:t>
      </w:r>
      <w:r w:rsidR="00F0516B" w:rsidRPr="00E83825">
        <w:rPr>
          <w:b/>
          <w:bCs/>
          <w:rtl/>
          <w:lang w:val="en-US"/>
        </w:rPr>
        <w:t xml:space="preserve"> </w:t>
      </w:r>
      <w:r w:rsidR="00F0516B" w:rsidRPr="00E83825">
        <w:rPr>
          <w:rFonts w:ascii="Times New Roman Bold" w:hAnsi="Times New Roman Bold"/>
          <w:b/>
          <w:bCs/>
          <w:spacing w:val="-4"/>
          <w:rtl/>
          <w:lang w:val="en-US"/>
        </w:rPr>
        <w:t>الإصلاحية</w:t>
      </w:r>
      <w:r w:rsidR="00FE64D9" w:rsidRPr="00E83825">
        <w:rPr>
          <w:rFonts w:ascii="Times New Roman Bold" w:hAnsi="Times New Roman Bold"/>
          <w:b/>
          <w:bCs/>
          <w:spacing w:val="-4"/>
          <w:rtl/>
          <w:lang w:val="en-US"/>
        </w:rPr>
        <w:t>،</w:t>
      </w:r>
      <w:r w:rsidR="00F0516B" w:rsidRPr="00E83825">
        <w:rPr>
          <w:rFonts w:ascii="Times New Roman Bold" w:hAnsi="Times New Roman Bold"/>
          <w:b/>
          <w:bCs/>
          <w:spacing w:val="-4"/>
          <w:rtl/>
          <w:lang w:val="en-US"/>
        </w:rPr>
        <w:t xml:space="preserve"> بطرق</w:t>
      </w:r>
      <w:r w:rsidR="00FE64D9" w:rsidRPr="00E83825">
        <w:rPr>
          <w:rFonts w:ascii="Times New Roman Bold" w:hAnsi="Times New Roman Bold"/>
          <w:b/>
          <w:bCs/>
          <w:spacing w:val="-4"/>
          <w:rtl/>
          <w:lang w:val="en-US"/>
        </w:rPr>
        <w:t>،</w:t>
      </w:r>
      <w:r w:rsidR="00F0516B" w:rsidRPr="00E83825">
        <w:rPr>
          <w:rFonts w:ascii="Times New Roman Bold" w:hAnsi="Times New Roman Bold"/>
          <w:b/>
          <w:bCs/>
          <w:spacing w:val="-4"/>
          <w:rtl/>
          <w:lang w:val="en-US"/>
        </w:rPr>
        <w:t xml:space="preserve"> منها تطبيق تدابير غير حبسية؛ وفي هذا الخصوص</w:t>
      </w:r>
      <w:r w:rsidR="00FE64D9" w:rsidRPr="00E83825">
        <w:rPr>
          <w:rFonts w:ascii="Times New Roman Bold" w:hAnsi="Times New Roman Bold"/>
          <w:b/>
          <w:bCs/>
          <w:spacing w:val="-4"/>
          <w:rtl/>
          <w:lang w:val="en-US"/>
        </w:rPr>
        <w:t>،</w:t>
      </w:r>
      <w:r w:rsidR="00F0516B" w:rsidRPr="00E83825">
        <w:rPr>
          <w:rFonts w:ascii="Times New Roman Bold" w:hAnsi="Times New Roman Bold"/>
          <w:b/>
          <w:bCs/>
          <w:spacing w:val="-4"/>
          <w:rtl/>
          <w:lang w:val="en-US"/>
        </w:rPr>
        <w:t xml:space="preserve"> توجه اللجنة انتباه الدولة الطرف</w:t>
      </w:r>
      <w:r w:rsidR="00F0516B" w:rsidRPr="00E83825">
        <w:rPr>
          <w:b/>
          <w:bCs/>
          <w:rtl/>
          <w:lang w:val="en-US"/>
        </w:rPr>
        <w:t xml:space="preserve"> </w:t>
      </w:r>
      <w:r w:rsidR="00F0516B" w:rsidRPr="00E83825">
        <w:rPr>
          <w:rFonts w:ascii="Times New Roman Bold" w:hAnsi="Times New Roman Bold"/>
          <w:b/>
          <w:bCs/>
          <w:spacing w:val="-4"/>
          <w:rtl/>
          <w:lang w:val="en-US"/>
        </w:rPr>
        <w:t>إلى قواعد الأمم المتحدة النموذجية الدنيا لمعاملة السجناء (قواعد نيلسون مانديلا)</w:t>
      </w:r>
      <w:r w:rsidR="00FE64D9" w:rsidRPr="00E83825">
        <w:rPr>
          <w:rFonts w:ascii="Times New Roman Bold" w:hAnsi="Times New Roman Bold"/>
          <w:b/>
          <w:bCs/>
          <w:spacing w:val="-4"/>
          <w:rtl/>
          <w:lang w:val="en-US"/>
        </w:rPr>
        <w:t>،</w:t>
      </w:r>
      <w:r w:rsidR="00F0516B" w:rsidRPr="00E83825">
        <w:rPr>
          <w:rFonts w:ascii="Times New Roman Bold" w:hAnsi="Times New Roman Bold"/>
          <w:b/>
          <w:bCs/>
          <w:spacing w:val="-4"/>
          <w:rtl/>
          <w:lang w:val="en-US"/>
        </w:rPr>
        <w:t xml:space="preserve"> وقواعد الأمم المتحدة</w:t>
      </w:r>
      <w:r w:rsidR="00F0516B" w:rsidRPr="00E83825">
        <w:rPr>
          <w:b/>
          <w:bCs/>
          <w:rtl/>
          <w:lang w:val="en-US"/>
        </w:rPr>
        <w:t xml:space="preserve"> الدنيا النموذجية للتدابير غير </w:t>
      </w:r>
      <w:proofErr w:type="spellStart"/>
      <w:r w:rsidR="00F0516B" w:rsidRPr="00E83825">
        <w:rPr>
          <w:b/>
          <w:bCs/>
          <w:rtl/>
          <w:lang w:val="en-US"/>
        </w:rPr>
        <w:t>الاحتجازية</w:t>
      </w:r>
      <w:proofErr w:type="spellEnd"/>
      <w:r w:rsidR="00F0516B" w:rsidRPr="00E83825">
        <w:rPr>
          <w:b/>
          <w:bCs/>
          <w:rtl/>
          <w:lang w:val="en-US"/>
        </w:rPr>
        <w:t xml:space="preserve"> (قواعد طوكيو)</w:t>
      </w:r>
      <w:r w:rsidR="00FE64D9" w:rsidRPr="00E83825">
        <w:rPr>
          <w:b/>
          <w:bCs/>
          <w:rtl/>
          <w:lang w:val="en-US"/>
        </w:rPr>
        <w:t>،</w:t>
      </w:r>
      <w:r w:rsidR="00F0516B" w:rsidRPr="00E83825">
        <w:rPr>
          <w:b/>
          <w:bCs/>
          <w:rtl/>
          <w:lang w:val="en-US"/>
        </w:rPr>
        <w:t xml:space="preserve"> وقواعد الأمم المتحدة لمعاملة السجينات والتدابير غير </w:t>
      </w:r>
      <w:proofErr w:type="spellStart"/>
      <w:r w:rsidR="00F0516B" w:rsidRPr="00E83825">
        <w:rPr>
          <w:b/>
          <w:bCs/>
          <w:rtl/>
          <w:lang w:val="en-US"/>
        </w:rPr>
        <w:t>الاحتجازية</w:t>
      </w:r>
      <w:proofErr w:type="spellEnd"/>
      <w:r w:rsidR="00F0516B" w:rsidRPr="00E83825">
        <w:rPr>
          <w:b/>
          <w:bCs/>
          <w:rtl/>
          <w:lang w:val="en-US"/>
        </w:rPr>
        <w:t xml:space="preserve"> للمجرمات (قواعد بانكوك)</w:t>
      </w:r>
      <w:r w:rsidR="00FE64D9" w:rsidRPr="00E83825">
        <w:rPr>
          <w:b/>
          <w:bCs/>
          <w:rtl/>
          <w:lang w:val="en-US"/>
        </w:rPr>
        <w:t>،</w:t>
      </w:r>
      <w:r w:rsidR="00F0516B" w:rsidRPr="00E83825">
        <w:rPr>
          <w:b/>
          <w:bCs/>
          <w:rtl/>
          <w:lang w:val="en-US"/>
        </w:rPr>
        <w:t xml:space="preserve"> وتوصيها بأمور منها ضمان استفادة المحتجزين </w:t>
      </w:r>
      <w:r w:rsidR="00F0516B" w:rsidRPr="00E83825">
        <w:rPr>
          <w:b/>
          <w:bCs/>
          <w:rtl/>
          <w:lang w:val="en-US"/>
        </w:rPr>
        <w:lastRenderedPageBreak/>
        <w:t>من ظروف مادية وصحية ملائمة</w:t>
      </w:r>
      <w:r w:rsidR="00FE64D9" w:rsidRPr="00E83825">
        <w:rPr>
          <w:b/>
          <w:bCs/>
          <w:rtl/>
          <w:lang w:val="en-US"/>
        </w:rPr>
        <w:t>،</w:t>
      </w:r>
      <w:r w:rsidR="00F0516B" w:rsidRPr="00E83825">
        <w:rPr>
          <w:b/>
          <w:bCs/>
          <w:rtl/>
          <w:lang w:val="en-US"/>
        </w:rPr>
        <w:t xml:space="preserve"> بما في ذلك النور الطبيعي والاصطناعي الكافي؛ ونظم الصرف </w:t>
      </w:r>
      <w:r w:rsidR="00F0516B" w:rsidRPr="00E83825">
        <w:rPr>
          <w:rFonts w:ascii="Times New Roman Bold" w:hAnsi="Times New Roman Bold"/>
          <w:b/>
          <w:bCs/>
          <w:spacing w:val="-4"/>
          <w:rtl/>
          <w:lang w:val="en-US"/>
        </w:rPr>
        <w:t>الصحي والمرافق الصحية المناسبة</w:t>
      </w:r>
      <w:r w:rsidR="00FE64D9" w:rsidRPr="00E83825">
        <w:rPr>
          <w:rFonts w:ascii="Times New Roman Bold" w:hAnsi="Times New Roman Bold"/>
          <w:b/>
          <w:bCs/>
          <w:spacing w:val="-4"/>
          <w:rtl/>
          <w:lang w:val="en-US"/>
        </w:rPr>
        <w:t>،</w:t>
      </w:r>
      <w:r w:rsidR="00F0516B" w:rsidRPr="00E83825">
        <w:rPr>
          <w:rFonts w:ascii="Times New Roman Bold" w:hAnsi="Times New Roman Bold"/>
          <w:b/>
          <w:bCs/>
          <w:spacing w:val="-4"/>
          <w:rtl/>
          <w:lang w:val="en-US"/>
        </w:rPr>
        <w:t xml:space="preserve"> بما فيها المراحيض والحمامات؛ والزنزانات المدفأة؛ </w:t>
      </w:r>
      <w:proofErr w:type="spellStart"/>
      <w:r w:rsidR="00F0516B" w:rsidRPr="00E83825">
        <w:rPr>
          <w:rFonts w:ascii="Times New Roman Bold" w:hAnsi="Times New Roman Bold"/>
          <w:b/>
          <w:bCs/>
          <w:spacing w:val="-4"/>
          <w:rtl/>
          <w:lang w:val="en-US"/>
        </w:rPr>
        <w:t>والتهوئة</w:t>
      </w:r>
      <w:proofErr w:type="spellEnd"/>
      <w:r w:rsidR="00F0516B" w:rsidRPr="00E83825">
        <w:rPr>
          <w:rFonts w:ascii="Times New Roman Bold" w:hAnsi="Times New Roman Bold"/>
          <w:b/>
          <w:bCs/>
          <w:spacing w:val="-4"/>
          <w:rtl/>
          <w:lang w:val="en-US"/>
        </w:rPr>
        <w:t xml:space="preserve"> الكافية</w:t>
      </w:r>
      <w:r w:rsidR="00F0516B" w:rsidRPr="00E83825">
        <w:rPr>
          <w:b/>
          <w:bCs/>
          <w:rtl/>
          <w:lang w:val="en-US"/>
        </w:rPr>
        <w:t>؛ والغذاء والفراش والغطاء ولوازم النظافة الصحية الشخصية الكافية والجيدة؛ والرعاية الصحية؛ والأنشطة الخارجية؛ والزيارات الأسرية؛</w:t>
      </w:r>
    </w:p>
    <w:p w14:paraId="41093303" w14:textId="2DB234AA" w:rsidR="00F0516B" w:rsidRPr="00E83825" w:rsidRDefault="00E95C38" w:rsidP="00D17AFF">
      <w:pPr>
        <w:pStyle w:val="SingleTxtGA"/>
        <w:spacing w:line="350" w:lineRule="exact"/>
        <w:rPr>
          <w:b/>
          <w:bCs/>
          <w:lang w:val="en-US"/>
        </w:rPr>
      </w:pPr>
      <w:r>
        <w:rPr>
          <w:rtl/>
          <w:lang w:val="en-US"/>
        </w:rPr>
        <w:tab/>
      </w:r>
      <w:r w:rsidR="00F0516B" w:rsidRPr="00F0516B">
        <w:rPr>
          <w:rtl/>
          <w:lang w:val="en-US"/>
        </w:rPr>
        <w:t>(ب)</w:t>
      </w:r>
      <w:r w:rsidR="00F0516B" w:rsidRPr="00F0516B">
        <w:rPr>
          <w:rtl/>
          <w:lang w:val="en-US"/>
        </w:rPr>
        <w:tab/>
      </w:r>
      <w:r w:rsidR="00F0516B" w:rsidRPr="00E83825">
        <w:rPr>
          <w:b/>
          <w:bCs/>
          <w:rtl/>
          <w:lang w:val="en-US"/>
        </w:rPr>
        <w:t>ضمان وجود عدد كاف من الأطباء والأخصائيين النفسيين في جميع أماكن سلب الحرية؛</w:t>
      </w:r>
    </w:p>
    <w:p w14:paraId="18F6CD43" w14:textId="289B2803" w:rsidR="00F0516B" w:rsidRPr="00E83825" w:rsidRDefault="00E95C38" w:rsidP="00D17AFF">
      <w:pPr>
        <w:pStyle w:val="SingleTxtGA"/>
        <w:spacing w:line="350" w:lineRule="exact"/>
        <w:rPr>
          <w:b/>
          <w:bCs/>
          <w:lang w:val="en-US"/>
        </w:rPr>
      </w:pPr>
      <w:r>
        <w:rPr>
          <w:rtl/>
          <w:lang w:val="en-US"/>
        </w:rPr>
        <w:tab/>
      </w:r>
      <w:r w:rsidR="00F0516B" w:rsidRPr="00F0516B">
        <w:rPr>
          <w:rtl/>
          <w:lang w:val="en-US"/>
        </w:rPr>
        <w:t>(ج)</w:t>
      </w:r>
      <w:r w:rsidR="00F0516B" w:rsidRPr="00F0516B">
        <w:rPr>
          <w:rtl/>
          <w:lang w:val="en-US"/>
        </w:rPr>
        <w:tab/>
      </w:r>
      <w:r w:rsidR="00F0516B" w:rsidRPr="00E83825">
        <w:rPr>
          <w:b/>
          <w:bCs/>
          <w:rtl/>
          <w:lang w:val="en-US"/>
        </w:rPr>
        <w:t>ضمان توفير ظروف ملائمة وعدد كاف من الموظفات في مرافق احتجاز النساء؛</w:t>
      </w:r>
    </w:p>
    <w:p w14:paraId="4F2D4EA4" w14:textId="635AD527" w:rsidR="00F0516B" w:rsidRPr="00E83825" w:rsidRDefault="00E95C38" w:rsidP="00D17AFF">
      <w:pPr>
        <w:pStyle w:val="SingleTxtGA"/>
        <w:spacing w:line="350" w:lineRule="exact"/>
        <w:rPr>
          <w:b/>
          <w:bCs/>
          <w:lang w:val="en-US"/>
        </w:rPr>
      </w:pPr>
      <w:r>
        <w:rPr>
          <w:rtl/>
          <w:lang w:val="en-US"/>
        </w:rPr>
        <w:tab/>
      </w:r>
      <w:r w:rsidR="00F0516B" w:rsidRPr="00F0516B">
        <w:rPr>
          <w:rtl/>
          <w:lang w:val="en-US"/>
        </w:rPr>
        <w:t>(د)</w:t>
      </w:r>
      <w:r w:rsidR="00F0516B" w:rsidRPr="00F0516B">
        <w:rPr>
          <w:rtl/>
          <w:lang w:val="en-US"/>
        </w:rPr>
        <w:tab/>
      </w:r>
      <w:r w:rsidR="00F0516B" w:rsidRPr="00E83825">
        <w:rPr>
          <w:rFonts w:ascii="Times New Roman Bold" w:hAnsi="Times New Roman Bold"/>
          <w:b/>
          <w:bCs/>
          <w:spacing w:val="-4"/>
          <w:rtl/>
          <w:lang w:val="en-US"/>
        </w:rPr>
        <w:t>تحسين الأوضاع في مستشفيات الأمراض العقلية ودور الرعاية الاجتماعية ومؤسسات</w:t>
      </w:r>
      <w:r w:rsidR="00F0516B" w:rsidRPr="00E83825">
        <w:rPr>
          <w:b/>
          <w:bCs/>
          <w:rtl/>
          <w:lang w:val="en-US"/>
        </w:rPr>
        <w:t xml:space="preserve"> الأطفال.</w:t>
      </w:r>
    </w:p>
    <w:p w14:paraId="182ED87A" w14:textId="77777777" w:rsidR="00F0516B" w:rsidRPr="00E83825" w:rsidRDefault="00F0516B" w:rsidP="00E95C38">
      <w:pPr>
        <w:pStyle w:val="H23GA"/>
      </w:pPr>
      <w:r w:rsidRPr="00E83825">
        <w:rPr>
          <w:rtl/>
        </w:rPr>
        <w:tab/>
      </w:r>
      <w:r w:rsidRPr="00E83825">
        <w:rPr>
          <w:rtl/>
        </w:rPr>
        <w:tab/>
        <w:t xml:space="preserve">التحقيق في أعمال التعذيب وإساءة المعاملة </w:t>
      </w:r>
    </w:p>
    <w:p w14:paraId="58336D34" w14:textId="01A08A19" w:rsidR="00F0516B" w:rsidRPr="00F0516B" w:rsidRDefault="00F0516B" w:rsidP="00D17AFF">
      <w:pPr>
        <w:pStyle w:val="SingleTxtGA"/>
        <w:spacing w:line="350" w:lineRule="exact"/>
        <w:rPr>
          <w:lang w:val="en-US"/>
        </w:rPr>
      </w:pPr>
      <w:r w:rsidRPr="00E83825">
        <w:rPr>
          <w:rtl/>
          <w:lang w:val="en-US"/>
        </w:rPr>
        <w:t>24</w:t>
      </w:r>
      <w:r w:rsidRPr="00F0516B">
        <w:rPr>
          <w:rtl/>
          <w:lang w:val="en-US"/>
        </w:rPr>
        <w:t>-</w:t>
      </w:r>
      <w:r w:rsidRPr="00F0516B">
        <w:rPr>
          <w:rtl/>
          <w:lang w:val="en-US"/>
        </w:rPr>
        <w:tab/>
        <w:t>يساور اللجنة بالغ القلق إزاء التقارير المتعلقة بحالات عديدة تعرض فيها أشخاص مسلوبة حريتهم للتعذيب وسوء المعاملة</w:t>
      </w:r>
      <w:r w:rsidR="00FE64D9">
        <w:rPr>
          <w:rtl/>
          <w:lang w:val="en-US"/>
        </w:rPr>
        <w:t>،</w:t>
      </w:r>
      <w:r w:rsidRPr="00F0516B">
        <w:rPr>
          <w:rtl/>
          <w:lang w:val="en-US"/>
        </w:rPr>
        <w:t xml:space="preserve"> لا سيما التقارير التي تفيد بخضوع أشخاص محتجزين لدى الشرطة للتعذيب أو سوء المعاملة على أيدي موظفي إنفاذ القانون. ولا تزال اللجنة تشعر بقلق شديد إزاء النسبة المتدنية جد</w:t>
      </w:r>
      <w:r w:rsidR="007B0454">
        <w:rPr>
          <w:rtl/>
          <w:lang w:val="en-US"/>
        </w:rPr>
        <w:t xml:space="preserve">اً </w:t>
      </w:r>
      <w:r w:rsidRPr="00F0516B">
        <w:rPr>
          <w:rtl/>
          <w:lang w:val="en-US"/>
        </w:rPr>
        <w:t>من التحقيقات الجنائية التي بوشرت في هذه الادعاءات مقارنة بعدد الشكاوى الواردة</w:t>
      </w:r>
      <w:r w:rsidR="00FE64D9">
        <w:rPr>
          <w:rtl/>
          <w:lang w:val="en-US"/>
        </w:rPr>
        <w:t>،</w:t>
      </w:r>
      <w:r w:rsidRPr="00F0516B">
        <w:rPr>
          <w:rtl/>
          <w:lang w:val="en-US"/>
        </w:rPr>
        <w:t xml:space="preserve"> والعدد المنخفض جد</w:t>
      </w:r>
      <w:r w:rsidR="007B0454">
        <w:rPr>
          <w:rtl/>
          <w:lang w:val="en-US"/>
        </w:rPr>
        <w:t xml:space="preserve">اً </w:t>
      </w:r>
      <w:r w:rsidRPr="00F0516B">
        <w:rPr>
          <w:rtl/>
          <w:lang w:val="en-US"/>
        </w:rPr>
        <w:t xml:space="preserve">من الحالات التي حوكم فيها موظفون حكوميون </w:t>
      </w:r>
      <w:proofErr w:type="spellStart"/>
      <w:r w:rsidRPr="00F0516B">
        <w:rPr>
          <w:rtl/>
          <w:lang w:val="en-US"/>
        </w:rPr>
        <w:t>وأدينوا</w:t>
      </w:r>
      <w:proofErr w:type="spellEnd"/>
      <w:r w:rsidRPr="00F0516B">
        <w:rPr>
          <w:rtl/>
          <w:lang w:val="en-US"/>
        </w:rPr>
        <w:t xml:space="preserve"> وحكم عليهم بالسجن. وتفيد المعلومات المقدمة من الدولة الطرف بأن المحاكم قررت</w:t>
      </w:r>
      <w:r w:rsidR="00FE64D9">
        <w:rPr>
          <w:rtl/>
          <w:lang w:val="en-US"/>
        </w:rPr>
        <w:t>،</w:t>
      </w:r>
      <w:r w:rsidRPr="00F0516B">
        <w:rPr>
          <w:rtl/>
          <w:lang w:val="en-US"/>
        </w:rPr>
        <w:t xml:space="preserve"> في الفترة ما بين عام </w:t>
      </w:r>
      <w:r w:rsidRPr="00E83825">
        <w:rPr>
          <w:rtl/>
          <w:lang w:val="en-US"/>
        </w:rPr>
        <w:t>2012</w:t>
      </w:r>
      <w:r w:rsidRPr="00F0516B">
        <w:rPr>
          <w:rtl/>
          <w:lang w:val="en-US"/>
        </w:rPr>
        <w:t xml:space="preserve"> والأشهر الستة الأولى من عام </w:t>
      </w:r>
      <w:r w:rsidRPr="00E83825">
        <w:rPr>
          <w:rtl/>
          <w:lang w:val="en-US"/>
        </w:rPr>
        <w:t>2021</w:t>
      </w:r>
      <w:r w:rsidR="00FE64D9">
        <w:rPr>
          <w:rtl/>
          <w:lang w:val="en-US"/>
        </w:rPr>
        <w:t>،</w:t>
      </w:r>
      <w:r w:rsidRPr="00F0516B">
        <w:rPr>
          <w:rtl/>
          <w:lang w:val="en-US"/>
        </w:rPr>
        <w:t xml:space="preserve"> إدانة </w:t>
      </w:r>
      <w:r w:rsidRPr="00E83825">
        <w:rPr>
          <w:rtl/>
          <w:lang w:val="en-US"/>
        </w:rPr>
        <w:t>18</w:t>
      </w:r>
      <w:r w:rsidRPr="00F0516B">
        <w:rPr>
          <w:rtl/>
          <w:lang w:val="en-US"/>
        </w:rPr>
        <w:t xml:space="preserve"> موظف</w:t>
      </w:r>
      <w:r w:rsidR="007B0454">
        <w:rPr>
          <w:rtl/>
          <w:lang w:val="en-US"/>
        </w:rPr>
        <w:t xml:space="preserve">اً </w:t>
      </w:r>
      <w:r w:rsidRPr="00F0516B">
        <w:rPr>
          <w:rtl/>
          <w:lang w:val="en-US"/>
        </w:rPr>
        <w:t>بتهمة التعذيب</w:t>
      </w:r>
      <w:r w:rsidR="00FE64D9">
        <w:rPr>
          <w:rtl/>
          <w:lang w:val="en-US"/>
        </w:rPr>
        <w:t>،</w:t>
      </w:r>
      <w:r w:rsidRPr="00F0516B">
        <w:rPr>
          <w:rtl/>
          <w:lang w:val="en-US"/>
        </w:rPr>
        <w:t xml:space="preserve"> يقضى </w:t>
      </w:r>
      <w:r w:rsidRPr="00E83825">
        <w:rPr>
          <w:rtl/>
          <w:lang w:val="en-US"/>
        </w:rPr>
        <w:t>12</w:t>
      </w:r>
      <w:r w:rsidRPr="00F0516B">
        <w:rPr>
          <w:rtl/>
          <w:lang w:val="en-US"/>
        </w:rPr>
        <w:t xml:space="preserve"> منهم أحكام</w:t>
      </w:r>
      <w:r w:rsidR="007B0454">
        <w:rPr>
          <w:rtl/>
          <w:lang w:val="en-US"/>
        </w:rPr>
        <w:t xml:space="preserve">اً </w:t>
      </w:r>
      <w:r w:rsidRPr="00F0516B">
        <w:rPr>
          <w:rtl/>
          <w:lang w:val="en-US"/>
        </w:rPr>
        <w:t xml:space="preserve">بالسجن. ومن المسائل </w:t>
      </w:r>
      <w:r w:rsidRPr="001765AA">
        <w:rPr>
          <w:spacing w:val="-2"/>
          <w:rtl/>
          <w:lang w:val="en-US"/>
        </w:rPr>
        <w:t>الأخرى المثيرة للقلق نقل سلطة التحقيق في قضايا التعذيب من مكتب المدعي العام إلى لجنة الدولة المعنية</w:t>
      </w:r>
      <w:r w:rsidRPr="00F0516B">
        <w:rPr>
          <w:rtl/>
          <w:lang w:val="en-US"/>
        </w:rPr>
        <w:t xml:space="preserve"> بالأمن القومي</w:t>
      </w:r>
      <w:r w:rsidR="00FE64D9">
        <w:rPr>
          <w:rtl/>
          <w:lang w:val="en-US"/>
        </w:rPr>
        <w:t>،</w:t>
      </w:r>
      <w:r w:rsidRPr="00F0516B">
        <w:rPr>
          <w:rtl/>
          <w:lang w:val="en-US"/>
        </w:rPr>
        <w:t xml:space="preserve"> التي تتصرف بموجب قانون أسرار الدولة. وأحاطت اللجنة علم</w:t>
      </w:r>
      <w:r w:rsidR="007B0454">
        <w:rPr>
          <w:rtl/>
          <w:lang w:val="en-US"/>
        </w:rPr>
        <w:t xml:space="preserve">اً </w:t>
      </w:r>
      <w:r w:rsidRPr="00F0516B">
        <w:rPr>
          <w:rtl/>
          <w:lang w:val="en-US"/>
        </w:rPr>
        <w:t xml:space="preserve">بالمعلومات التي تفيد بأن </w:t>
      </w:r>
      <w:r w:rsidRPr="001765AA">
        <w:rPr>
          <w:spacing w:val="-2"/>
          <w:rtl/>
          <w:lang w:val="en-US"/>
        </w:rPr>
        <w:t>هذه الوظيفة قد نقلت جزئي</w:t>
      </w:r>
      <w:r w:rsidR="007B0454" w:rsidRPr="001765AA">
        <w:rPr>
          <w:spacing w:val="-2"/>
          <w:rtl/>
          <w:lang w:val="en-US"/>
        </w:rPr>
        <w:t xml:space="preserve">اً </w:t>
      </w:r>
      <w:r w:rsidRPr="001765AA">
        <w:rPr>
          <w:spacing w:val="-2"/>
          <w:rtl/>
          <w:lang w:val="en-US"/>
        </w:rPr>
        <w:t>في الفترة الأخيرة إلى مكتب المدعي العام. وعلاوة على ذلك</w:t>
      </w:r>
      <w:r w:rsidR="00FE64D9" w:rsidRPr="001765AA">
        <w:rPr>
          <w:spacing w:val="-2"/>
          <w:rtl/>
          <w:lang w:val="en-US"/>
        </w:rPr>
        <w:t>،</w:t>
      </w:r>
      <w:r w:rsidRPr="001765AA">
        <w:rPr>
          <w:spacing w:val="-2"/>
          <w:rtl/>
          <w:lang w:val="en-US"/>
        </w:rPr>
        <w:t xml:space="preserve"> يساور اللجنة القلق</w:t>
      </w:r>
      <w:r w:rsidRPr="00F0516B">
        <w:rPr>
          <w:rtl/>
          <w:lang w:val="en-US"/>
        </w:rPr>
        <w:t xml:space="preserve"> إزاء التقارير التي تفيد بتورط الشرطة في حالات لم يجر التحقيق فيها تتعلق بالمضايقة والتوقيف التعسفي وإساءة المعاملة والتعذيب وتخص أشخاص</w:t>
      </w:r>
      <w:r w:rsidR="007B0454">
        <w:rPr>
          <w:rtl/>
          <w:lang w:val="en-US"/>
        </w:rPr>
        <w:t xml:space="preserve">اً </w:t>
      </w:r>
      <w:r w:rsidRPr="00F0516B">
        <w:rPr>
          <w:rtl/>
          <w:lang w:val="en-US"/>
        </w:rPr>
        <w:t>من المثليات والمثليين ومزدوجي الميل الجنسي ومغايري الهوية الجنسانية. وتأسف اللجنة لعدم إنشاء آلية للتعويض عن أعمال التعذيب وإساءة المعاملة</w:t>
      </w:r>
      <w:r w:rsidR="00FE64D9">
        <w:rPr>
          <w:rtl/>
          <w:lang w:val="en-US"/>
        </w:rPr>
        <w:t>،</w:t>
      </w:r>
      <w:r w:rsidRPr="00F0516B">
        <w:rPr>
          <w:rtl/>
          <w:lang w:val="en-US"/>
        </w:rPr>
        <w:t xml:space="preserve"> ولأن ضحايا </w:t>
      </w:r>
      <w:r w:rsidRPr="001765AA">
        <w:rPr>
          <w:spacing w:val="-2"/>
          <w:rtl/>
          <w:lang w:val="en-US"/>
        </w:rPr>
        <w:t>التعذيب لا يحصلون في الواقع العملي على قدر عادل وكاف من الجبر والتعويض وإعادة التأهيل في قضايا</w:t>
      </w:r>
      <w:r w:rsidRPr="00F0516B">
        <w:rPr>
          <w:rtl/>
          <w:lang w:val="en-US"/>
        </w:rPr>
        <w:t xml:space="preserve"> التعذيب وإساءة المعاملة (المواد </w:t>
      </w:r>
      <w:r w:rsidRPr="00E83825">
        <w:rPr>
          <w:rtl/>
          <w:lang w:val="en-US"/>
        </w:rPr>
        <w:t>2</w:t>
      </w:r>
      <w:r w:rsidRPr="00F0516B">
        <w:rPr>
          <w:rtl/>
          <w:lang w:val="en-US"/>
        </w:rPr>
        <w:t xml:space="preserve"> و</w:t>
      </w:r>
      <w:r w:rsidRPr="00E83825">
        <w:rPr>
          <w:rtl/>
          <w:lang w:val="en-US"/>
        </w:rPr>
        <w:t>10</w:t>
      </w:r>
      <w:r w:rsidRPr="00F0516B">
        <w:rPr>
          <w:rtl/>
          <w:lang w:val="en-US"/>
        </w:rPr>
        <w:t xml:space="preserve"> و</w:t>
      </w:r>
      <w:r w:rsidRPr="00E83825">
        <w:rPr>
          <w:rtl/>
          <w:lang w:val="en-US"/>
        </w:rPr>
        <w:t>16</w:t>
      </w:r>
      <w:r w:rsidRPr="00F0516B">
        <w:rPr>
          <w:rtl/>
          <w:lang w:val="en-US"/>
        </w:rPr>
        <w:t>).</w:t>
      </w:r>
    </w:p>
    <w:p w14:paraId="47F13629" w14:textId="1D81F592" w:rsidR="00F0516B" w:rsidRPr="00E83825" w:rsidRDefault="00F0516B" w:rsidP="00D17AFF">
      <w:pPr>
        <w:pStyle w:val="SingleTxtGA"/>
        <w:spacing w:line="350" w:lineRule="exact"/>
        <w:rPr>
          <w:b/>
          <w:bCs/>
          <w:lang w:val="en-US"/>
        </w:rPr>
      </w:pPr>
      <w:r w:rsidRPr="00E83825">
        <w:rPr>
          <w:rtl/>
          <w:lang w:val="en-US"/>
        </w:rPr>
        <w:t>25</w:t>
      </w:r>
      <w:r w:rsidRPr="00F0516B">
        <w:rPr>
          <w:rtl/>
          <w:lang w:val="en-US"/>
        </w:rPr>
        <w:t>-</w:t>
      </w:r>
      <w:r w:rsidRPr="00E83825">
        <w:rPr>
          <w:b/>
          <w:bCs/>
          <w:rtl/>
          <w:lang w:val="en-US"/>
        </w:rPr>
        <w:tab/>
        <w:t xml:space="preserve">تُذكِّر اللجنةُ بتوصياتها </w:t>
      </w:r>
      <w:proofErr w:type="gramStart"/>
      <w:r w:rsidRPr="00E83825">
        <w:rPr>
          <w:b/>
          <w:bCs/>
          <w:rtl/>
          <w:lang w:val="en-US"/>
        </w:rPr>
        <w:t>السابقة</w:t>
      </w:r>
      <w:r w:rsidRPr="00E83825">
        <w:rPr>
          <w:b/>
          <w:bCs/>
          <w:vertAlign w:val="superscript"/>
          <w:rtl/>
          <w:lang w:val="en-US"/>
        </w:rPr>
        <w:t>(</w:t>
      </w:r>
      <w:proofErr w:type="gramEnd"/>
      <w:r w:rsidRPr="00E83825">
        <w:rPr>
          <w:rStyle w:val="FootnoteReference"/>
          <w:b/>
          <w:bCs/>
          <w:szCs w:val="22"/>
          <w:lang w:val="en-US"/>
        </w:rPr>
        <w:footnoteReference w:id="11"/>
      </w:r>
      <w:r w:rsidRPr="00E83825">
        <w:rPr>
          <w:b/>
          <w:bCs/>
          <w:vertAlign w:val="superscript"/>
          <w:rtl/>
          <w:lang w:val="en-US"/>
        </w:rPr>
        <w:t>)</w:t>
      </w:r>
      <w:r w:rsidR="00FE64D9" w:rsidRPr="00E83825">
        <w:rPr>
          <w:b/>
          <w:bCs/>
          <w:rtl/>
          <w:lang w:val="en-US"/>
        </w:rPr>
        <w:t>،</w:t>
      </w:r>
      <w:r w:rsidRPr="00E83825">
        <w:rPr>
          <w:b/>
          <w:bCs/>
          <w:rtl/>
          <w:lang w:val="en-US"/>
        </w:rPr>
        <w:t xml:space="preserve"> وتوصي الدولةَ الطرف بما يلي:</w:t>
      </w:r>
    </w:p>
    <w:p w14:paraId="0BB7ADAC" w14:textId="2F52D9DB" w:rsidR="00F0516B" w:rsidRPr="00E83825" w:rsidRDefault="00E95C38" w:rsidP="00D17AFF">
      <w:pPr>
        <w:pStyle w:val="SingleTxtGA"/>
        <w:spacing w:line="350" w:lineRule="exact"/>
        <w:rPr>
          <w:b/>
          <w:bCs/>
          <w:lang w:val="en-US"/>
        </w:rPr>
      </w:pPr>
      <w:r>
        <w:rPr>
          <w:rtl/>
          <w:lang w:val="en-US"/>
        </w:rPr>
        <w:tab/>
      </w:r>
      <w:r w:rsidR="00F0516B" w:rsidRPr="00F0516B">
        <w:rPr>
          <w:rtl/>
          <w:lang w:val="en-US"/>
        </w:rPr>
        <w:t>(أ)</w:t>
      </w:r>
      <w:r w:rsidR="00F0516B" w:rsidRPr="00F0516B">
        <w:rPr>
          <w:rtl/>
          <w:lang w:val="en-US"/>
        </w:rPr>
        <w:tab/>
      </w:r>
      <w:r w:rsidR="00F0516B" w:rsidRPr="00E83825">
        <w:rPr>
          <w:b/>
          <w:bCs/>
          <w:rtl/>
          <w:lang w:val="en-US"/>
        </w:rPr>
        <w:t>ضمان إجراء تحقيقات فورية ومستلقة ونزيهة وفعالة في جميع ادعاءات التعذيب وإساءة المعاملة على أيدي موظفي إنفاذ القانون</w:t>
      </w:r>
      <w:r w:rsidR="00FE64D9" w:rsidRPr="00E83825">
        <w:rPr>
          <w:b/>
          <w:bCs/>
          <w:rtl/>
          <w:lang w:val="en-US"/>
        </w:rPr>
        <w:t>،</w:t>
      </w:r>
      <w:r w:rsidR="00F0516B" w:rsidRPr="00E83825">
        <w:rPr>
          <w:b/>
          <w:bCs/>
          <w:rtl/>
          <w:lang w:val="en-US"/>
        </w:rPr>
        <w:t xml:space="preserve"> لا سيما فيما يخص المثليات والمثليين ومزدوجي الميل الجنسي ومغايري الهوية الجنسانية</w:t>
      </w:r>
      <w:r w:rsidR="00FE64D9" w:rsidRPr="00E83825">
        <w:rPr>
          <w:b/>
          <w:bCs/>
          <w:rtl/>
          <w:lang w:val="en-US"/>
        </w:rPr>
        <w:t>،</w:t>
      </w:r>
      <w:r w:rsidR="00F0516B" w:rsidRPr="00E83825">
        <w:rPr>
          <w:b/>
          <w:bCs/>
          <w:rtl/>
          <w:lang w:val="en-US"/>
        </w:rPr>
        <w:t xml:space="preserve"> وضمان محاكمة الجناة وحصول الضحايا على القدر الكافي من التعويض وإعادة التأهيل؛</w:t>
      </w:r>
    </w:p>
    <w:p w14:paraId="208E4CBE" w14:textId="217AC035" w:rsidR="00F0516B" w:rsidRPr="00E83825" w:rsidRDefault="00E95C38" w:rsidP="00D17AFF">
      <w:pPr>
        <w:pStyle w:val="SingleTxtGA"/>
        <w:spacing w:line="350" w:lineRule="exact"/>
        <w:rPr>
          <w:b/>
          <w:bCs/>
          <w:lang w:val="en-US"/>
        </w:rPr>
      </w:pPr>
      <w:r>
        <w:rPr>
          <w:rtl/>
          <w:lang w:val="en-US"/>
        </w:rPr>
        <w:tab/>
      </w:r>
      <w:r w:rsidR="00F0516B" w:rsidRPr="00F0516B">
        <w:rPr>
          <w:rtl/>
          <w:lang w:val="en-US"/>
        </w:rPr>
        <w:t>(ب)</w:t>
      </w:r>
      <w:r w:rsidR="00F0516B" w:rsidRPr="00F0516B">
        <w:rPr>
          <w:rtl/>
          <w:lang w:val="en-US"/>
        </w:rPr>
        <w:tab/>
      </w:r>
      <w:r w:rsidR="00F0516B" w:rsidRPr="00E83825">
        <w:rPr>
          <w:b/>
          <w:bCs/>
          <w:rtl/>
          <w:lang w:val="en-US"/>
        </w:rPr>
        <w:t>ضمان فتح السلطات تحقيقات كلما توفرت أسباب معقولة تدعو إلى اعتقاد أن فعل</w:t>
      </w:r>
      <w:r w:rsidR="007B0454" w:rsidRPr="00E83825">
        <w:rPr>
          <w:b/>
          <w:bCs/>
          <w:rtl/>
          <w:lang w:val="en-US"/>
        </w:rPr>
        <w:t xml:space="preserve">اً </w:t>
      </w:r>
      <w:r w:rsidR="00F0516B" w:rsidRPr="00E83825">
        <w:rPr>
          <w:b/>
          <w:bCs/>
          <w:rtl/>
          <w:lang w:val="en-US"/>
        </w:rPr>
        <w:t>من أفعال التعذيب أو إساءة المعاملة قد ارتكب؛</w:t>
      </w:r>
    </w:p>
    <w:p w14:paraId="0E22E3C7" w14:textId="4171F198" w:rsidR="00F0516B" w:rsidRPr="00E83825" w:rsidRDefault="00E95C38" w:rsidP="00D17AFF">
      <w:pPr>
        <w:pStyle w:val="SingleTxtGA"/>
        <w:spacing w:line="350" w:lineRule="exact"/>
        <w:rPr>
          <w:b/>
          <w:bCs/>
          <w:lang w:val="en-US"/>
        </w:rPr>
      </w:pPr>
      <w:r>
        <w:rPr>
          <w:rtl/>
          <w:lang w:val="en-US"/>
        </w:rPr>
        <w:tab/>
      </w:r>
      <w:r w:rsidR="00F0516B" w:rsidRPr="00F0516B">
        <w:rPr>
          <w:rtl/>
          <w:lang w:val="en-US"/>
        </w:rPr>
        <w:t>(ج)</w:t>
      </w:r>
      <w:r w:rsidR="00F0516B" w:rsidRPr="00F0516B">
        <w:rPr>
          <w:rtl/>
          <w:lang w:val="en-US"/>
        </w:rPr>
        <w:tab/>
      </w:r>
      <w:r w:rsidR="00F0516B" w:rsidRPr="00E83825">
        <w:rPr>
          <w:b/>
          <w:bCs/>
          <w:rtl/>
          <w:lang w:val="en-US"/>
        </w:rPr>
        <w:t>الحرص</w:t>
      </w:r>
      <w:r w:rsidR="00FE64D9" w:rsidRPr="00E83825">
        <w:rPr>
          <w:b/>
          <w:bCs/>
          <w:rtl/>
          <w:lang w:val="en-US"/>
        </w:rPr>
        <w:t>،</w:t>
      </w:r>
      <w:r w:rsidR="00F0516B" w:rsidRPr="00E83825">
        <w:rPr>
          <w:b/>
          <w:bCs/>
          <w:rtl/>
          <w:lang w:val="en-US"/>
        </w:rPr>
        <w:t xml:space="preserve"> في حالات ادعاء التعذيب أو سوء المعاملة</w:t>
      </w:r>
      <w:r w:rsidR="00FE64D9" w:rsidRPr="00E83825">
        <w:rPr>
          <w:b/>
          <w:bCs/>
          <w:rtl/>
          <w:lang w:val="en-US"/>
        </w:rPr>
        <w:t>،</w:t>
      </w:r>
      <w:r w:rsidR="00F0516B" w:rsidRPr="00E83825">
        <w:rPr>
          <w:b/>
          <w:bCs/>
          <w:rtl/>
          <w:lang w:val="en-US"/>
        </w:rPr>
        <w:t xml:space="preserve"> على توقيف المشتبه فيهم عن العمل فوراً وطوال مدة التحقيق</w:t>
      </w:r>
      <w:r w:rsidR="00FE64D9" w:rsidRPr="00E83825">
        <w:rPr>
          <w:b/>
          <w:bCs/>
          <w:rtl/>
          <w:lang w:val="en-US"/>
        </w:rPr>
        <w:t>،</w:t>
      </w:r>
      <w:r w:rsidR="00F0516B" w:rsidRPr="00E83825">
        <w:rPr>
          <w:b/>
          <w:bCs/>
          <w:rtl/>
          <w:lang w:val="en-US"/>
        </w:rPr>
        <w:t xml:space="preserve"> لا سيما إذا كان استمرارهم في العمل قد يتسبب في تكرار الفعل المدعى ارتكابه أو في الانتقام من الشخص المدعى أنه ضحية أو في عرقلة التحقيق؛</w:t>
      </w:r>
    </w:p>
    <w:p w14:paraId="6B88F918" w14:textId="2B4AD9BB" w:rsidR="00F0516B" w:rsidRPr="00E83825" w:rsidRDefault="00E95C38" w:rsidP="00F0516B">
      <w:pPr>
        <w:pStyle w:val="SingleTxtGA"/>
        <w:rPr>
          <w:b/>
          <w:bCs/>
          <w:lang w:val="en-US"/>
        </w:rPr>
      </w:pPr>
      <w:r>
        <w:rPr>
          <w:rtl/>
          <w:lang w:val="en-US"/>
        </w:rPr>
        <w:lastRenderedPageBreak/>
        <w:tab/>
      </w:r>
      <w:r w:rsidR="00F0516B" w:rsidRPr="00F0516B">
        <w:rPr>
          <w:rtl/>
          <w:lang w:val="en-US"/>
        </w:rPr>
        <w:t>(د)</w:t>
      </w:r>
      <w:r w:rsidR="00F0516B" w:rsidRPr="00F0516B">
        <w:rPr>
          <w:rtl/>
          <w:lang w:val="en-US"/>
        </w:rPr>
        <w:tab/>
      </w:r>
      <w:r w:rsidR="00F0516B" w:rsidRPr="00E83825">
        <w:rPr>
          <w:b/>
          <w:bCs/>
          <w:rtl/>
          <w:lang w:val="en-US"/>
        </w:rPr>
        <w:t>تجميع معلومات عن تدابير الجبر والتعويض</w:t>
      </w:r>
      <w:r w:rsidR="00FE64D9" w:rsidRPr="00E83825">
        <w:rPr>
          <w:b/>
          <w:bCs/>
          <w:rtl/>
          <w:lang w:val="en-US"/>
        </w:rPr>
        <w:t>،</w:t>
      </w:r>
      <w:r w:rsidR="00F0516B" w:rsidRPr="00E83825">
        <w:rPr>
          <w:b/>
          <w:bCs/>
          <w:rtl/>
          <w:lang w:val="en-US"/>
        </w:rPr>
        <w:t xml:space="preserve"> بما في ذلك سبل إعادة التأهيل</w:t>
      </w:r>
      <w:r w:rsidR="00FE64D9" w:rsidRPr="00E83825">
        <w:rPr>
          <w:b/>
          <w:bCs/>
          <w:rtl/>
          <w:lang w:val="en-US"/>
        </w:rPr>
        <w:t>،</w:t>
      </w:r>
      <w:r w:rsidR="00F0516B" w:rsidRPr="00E83825">
        <w:rPr>
          <w:b/>
          <w:bCs/>
          <w:rtl/>
          <w:lang w:val="en-US"/>
        </w:rPr>
        <w:t xml:space="preserve"> التي </w:t>
      </w:r>
      <w:r w:rsidR="00F0516B" w:rsidRPr="00E83825">
        <w:rPr>
          <w:rFonts w:ascii="Times New Roman Bold" w:hAnsi="Times New Roman Bold"/>
          <w:b/>
          <w:bCs/>
          <w:spacing w:val="-2"/>
          <w:rtl/>
          <w:lang w:val="en-US"/>
        </w:rPr>
        <w:t>أمرت بها المحاكم أو هيئات حكومية أخرى في الدولة الطرف واستفاد منها فعلي</w:t>
      </w:r>
      <w:r w:rsidR="007B0454" w:rsidRPr="00E83825">
        <w:rPr>
          <w:rFonts w:ascii="Times New Roman Bold" w:hAnsi="Times New Roman Bold"/>
          <w:b/>
          <w:bCs/>
          <w:spacing w:val="-2"/>
          <w:rtl/>
          <w:lang w:val="en-US"/>
        </w:rPr>
        <w:t xml:space="preserve">اً </w:t>
      </w:r>
      <w:r w:rsidR="00F0516B" w:rsidRPr="00E83825">
        <w:rPr>
          <w:rFonts w:ascii="Times New Roman Bold" w:hAnsi="Times New Roman Bold"/>
          <w:b/>
          <w:bCs/>
          <w:spacing w:val="-2"/>
          <w:rtl/>
          <w:lang w:val="en-US"/>
        </w:rPr>
        <w:t>ضحايا التعذيب أو إساءة</w:t>
      </w:r>
      <w:r w:rsidR="00F0516B" w:rsidRPr="00E83825">
        <w:rPr>
          <w:b/>
          <w:bCs/>
          <w:rtl/>
          <w:lang w:val="en-US"/>
        </w:rPr>
        <w:t xml:space="preserve"> المعاملة</w:t>
      </w:r>
      <w:r w:rsidR="00FE64D9" w:rsidRPr="00E83825">
        <w:rPr>
          <w:b/>
          <w:bCs/>
          <w:rtl/>
          <w:lang w:val="en-US"/>
        </w:rPr>
        <w:t>،</w:t>
      </w:r>
      <w:r w:rsidR="00F0516B" w:rsidRPr="00E83825">
        <w:rPr>
          <w:b/>
          <w:bCs/>
          <w:rtl/>
          <w:lang w:val="en-US"/>
        </w:rPr>
        <w:t xml:space="preserve"> بما يشمل المبالغ المدفوعة</w:t>
      </w:r>
      <w:r w:rsidR="00FE64D9" w:rsidRPr="00E83825">
        <w:rPr>
          <w:b/>
          <w:bCs/>
          <w:rtl/>
          <w:lang w:val="en-US"/>
        </w:rPr>
        <w:t>،</w:t>
      </w:r>
      <w:r w:rsidR="00F0516B" w:rsidRPr="00E83825">
        <w:rPr>
          <w:b/>
          <w:bCs/>
          <w:rtl/>
          <w:lang w:val="en-US"/>
        </w:rPr>
        <w:t xml:space="preserve"> وموافاة اللجنة بهذه المعلومات. </w:t>
      </w:r>
    </w:p>
    <w:p w14:paraId="00C90994" w14:textId="77777777" w:rsidR="00F0516B" w:rsidRPr="00E83825" w:rsidRDefault="00F0516B" w:rsidP="00E95C38">
      <w:pPr>
        <w:pStyle w:val="H23GA"/>
      </w:pPr>
      <w:r w:rsidRPr="00E83825">
        <w:rPr>
          <w:rtl/>
        </w:rPr>
        <w:tab/>
      </w:r>
      <w:r w:rsidRPr="00E83825">
        <w:rPr>
          <w:rtl/>
        </w:rPr>
        <w:tab/>
        <w:t xml:space="preserve">الانتقام من المدافعين عن حقوق الإنسان والصحفيين </w:t>
      </w:r>
    </w:p>
    <w:p w14:paraId="3B812FFC" w14:textId="76DDA26B" w:rsidR="00F0516B" w:rsidRPr="00F0516B" w:rsidRDefault="00F0516B" w:rsidP="00F0516B">
      <w:pPr>
        <w:pStyle w:val="SingleTxtGA"/>
        <w:rPr>
          <w:lang w:val="en-US"/>
        </w:rPr>
      </w:pPr>
      <w:r w:rsidRPr="00E83825">
        <w:rPr>
          <w:rtl/>
          <w:lang w:val="en-US"/>
        </w:rPr>
        <w:t>26</w:t>
      </w:r>
      <w:r w:rsidRPr="00F0516B">
        <w:rPr>
          <w:rtl/>
          <w:lang w:val="en-US"/>
        </w:rPr>
        <w:t>-</w:t>
      </w:r>
      <w:r w:rsidRPr="00F0516B">
        <w:rPr>
          <w:rtl/>
          <w:lang w:val="en-US"/>
        </w:rPr>
        <w:tab/>
        <w:t>يساور اللجنة القلق إزاء التقارير التي تفيد بأن الصحفيين يواجهون الترهيب</w:t>
      </w:r>
      <w:r w:rsidR="00FE64D9">
        <w:rPr>
          <w:rtl/>
          <w:lang w:val="en-US"/>
        </w:rPr>
        <w:t>،</w:t>
      </w:r>
      <w:r w:rsidRPr="00F0516B">
        <w:rPr>
          <w:rtl/>
          <w:lang w:val="en-US"/>
        </w:rPr>
        <w:t xml:space="preserve"> بما في ذلك التهديد بالعنف والمضايقة</w:t>
      </w:r>
      <w:r w:rsidR="00FE64D9">
        <w:rPr>
          <w:rtl/>
          <w:lang w:val="en-US"/>
        </w:rPr>
        <w:t>،</w:t>
      </w:r>
      <w:r w:rsidRPr="00F0516B">
        <w:rPr>
          <w:rtl/>
          <w:lang w:val="en-US"/>
        </w:rPr>
        <w:t xml:space="preserve"> من جانب جهات فاعلة غير رسمية ذات ثروة وعلاقات سياسية</w:t>
      </w:r>
      <w:r w:rsidR="00FE64D9">
        <w:rPr>
          <w:rtl/>
          <w:lang w:val="en-US"/>
        </w:rPr>
        <w:t>،</w:t>
      </w:r>
      <w:r w:rsidRPr="00F0516B">
        <w:rPr>
          <w:rtl/>
          <w:lang w:val="en-US"/>
        </w:rPr>
        <w:t xml:space="preserve"> بسبب تغطيتهم لحالات فساد مزعومة. وعلى سبيل المثال</w:t>
      </w:r>
      <w:r w:rsidR="00FE64D9">
        <w:rPr>
          <w:rtl/>
          <w:lang w:val="en-US"/>
        </w:rPr>
        <w:t>،</w:t>
      </w:r>
      <w:r w:rsidRPr="00F0516B">
        <w:rPr>
          <w:rtl/>
          <w:lang w:val="en-US"/>
        </w:rPr>
        <w:t xml:space="preserve"> اضطرت إذاعة أوروبا </w:t>
      </w:r>
      <w:r w:rsidRPr="00E83825">
        <w:rPr>
          <w:rtl/>
          <w:lang w:val="en-US"/>
        </w:rPr>
        <w:t>3</w:t>
      </w:r>
      <w:r w:rsidRPr="00F0516B">
        <w:rPr>
          <w:rtl/>
          <w:lang w:val="en-US"/>
        </w:rPr>
        <w:t xml:space="preserve"> إلى نقل بعض </w:t>
      </w:r>
      <w:proofErr w:type="spellStart"/>
      <w:r w:rsidRPr="00F0516B">
        <w:rPr>
          <w:rtl/>
          <w:lang w:val="en-US"/>
        </w:rPr>
        <w:t>صحفييها</w:t>
      </w:r>
      <w:proofErr w:type="spellEnd"/>
      <w:r w:rsidRPr="00F0516B">
        <w:rPr>
          <w:rtl/>
          <w:lang w:val="en-US"/>
        </w:rPr>
        <w:t xml:space="preserve"> إلى براغ </w:t>
      </w:r>
      <w:r w:rsidRPr="00D17AFF">
        <w:rPr>
          <w:spacing w:val="-4"/>
          <w:rtl/>
          <w:lang w:val="en-US"/>
        </w:rPr>
        <w:t>بسبب تعرضهم لتهديدات خطيرة بعد إعداد تقارير عن فساد البعض من كبار الموظفين العموميين السابقين</w:t>
      </w:r>
      <w:r w:rsidRPr="00F0516B">
        <w:rPr>
          <w:rtl/>
          <w:lang w:val="en-US"/>
        </w:rPr>
        <w:t xml:space="preserve">. </w:t>
      </w:r>
      <w:r w:rsidRPr="00D17AFF">
        <w:rPr>
          <w:spacing w:val="-4"/>
          <w:rtl/>
          <w:lang w:val="en-US"/>
        </w:rPr>
        <w:t xml:space="preserve">وتأسف اللجنة لعدم وجود معلومات عن أي تحقيق في الحادث الذي تعرض له أيبول </w:t>
      </w:r>
      <w:proofErr w:type="spellStart"/>
      <w:r w:rsidRPr="00D17AFF">
        <w:rPr>
          <w:spacing w:val="-4"/>
          <w:rtl/>
          <w:lang w:val="en-US"/>
        </w:rPr>
        <w:t>كوزموراتوف</w:t>
      </w:r>
      <w:proofErr w:type="spellEnd"/>
      <w:r w:rsidR="00FE64D9" w:rsidRPr="00D17AFF">
        <w:rPr>
          <w:spacing w:val="-4"/>
          <w:rtl/>
          <w:lang w:val="en-US"/>
        </w:rPr>
        <w:t>،</w:t>
      </w:r>
      <w:r w:rsidRPr="00D17AFF">
        <w:rPr>
          <w:spacing w:val="-4"/>
          <w:rtl/>
          <w:lang w:val="en-US"/>
        </w:rPr>
        <w:t xml:space="preserve"> وهو منتج</w:t>
      </w:r>
      <w:r w:rsidRPr="00F0516B">
        <w:rPr>
          <w:rtl/>
          <w:lang w:val="en-US"/>
        </w:rPr>
        <w:t xml:space="preserve"> في تلفزيون "الحاضر" نشر على موقع تويتر مقطع</w:t>
      </w:r>
      <w:r w:rsidR="007B0454">
        <w:rPr>
          <w:rtl/>
          <w:lang w:val="en-US"/>
        </w:rPr>
        <w:t xml:space="preserve">اً </w:t>
      </w:r>
      <w:r w:rsidRPr="00F0516B">
        <w:rPr>
          <w:rtl/>
          <w:lang w:val="en-US"/>
        </w:rPr>
        <w:t>يظهر فيه أحد موظفي إنفاذ القانون وهو يطلق النار عليه بينما كان يقدم تقرير</w:t>
      </w:r>
      <w:r w:rsidR="00CB04D0">
        <w:rPr>
          <w:rtl/>
          <w:lang w:val="en-US"/>
        </w:rPr>
        <w:t>اً.</w:t>
      </w:r>
      <w:r w:rsidRPr="00F0516B">
        <w:rPr>
          <w:rtl/>
          <w:lang w:val="en-US"/>
        </w:rPr>
        <w:t xml:space="preserve"> وبخصوص وفاة المدافع عن حقوق الإنسان </w:t>
      </w:r>
      <w:proofErr w:type="spellStart"/>
      <w:r w:rsidRPr="00F0516B">
        <w:rPr>
          <w:rtl/>
          <w:lang w:val="en-US"/>
        </w:rPr>
        <w:t>عظيميان</w:t>
      </w:r>
      <w:proofErr w:type="spellEnd"/>
      <w:r w:rsidRPr="00F0516B">
        <w:rPr>
          <w:rtl/>
          <w:lang w:val="en-US"/>
        </w:rPr>
        <w:t xml:space="preserve"> </w:t>
      </w:r>
      <w:proofErr w:type="spellStart"/>
      <w:r w:rsidRPr="00F0516B">
        <w:rPr>
          <w:rtl/>
          <w:lang w:val="en-US"/>
        </w:rPr>
        <w:t>عسكروف</w:t>
      </w:r>
      <w:proofErr w:type="spellEnd"/>
      <w:r w:rsidRPr="00F0516B">
        <w:rPr>
          <w:rtl/>
          <w:lang w:val="en-US"/>
        </w:rPr>
        <w:t xml:space="preserve"> في الحجز في عام </w:t>
      </w:r>
      <w:r w:rsidRPr="00E83825">
        <w:rPr>
          <w:rtl/>
          <w:lang w:val="en-US"/>
        </w:rPr>
        <w:t>2020</w:t>
      </w:r>
      <w:r w:rsidR="00FE64D9">
        <w:rPr>
          <w:rtl/>
          <w:lang w:val="en-US"/>
        </w:rPr>
        <w:t>،</w:t>
      </w:r>
      <w:r w:rsidRPr="00F0516B">
        <w:rPr>
          <w:rtl/>
          <w:lang w:val="en-US"/>
        </w:rPr>
        <w:t xml:space="preserve"> تحيط اللجنة علم</w:t>
      </w:r>
      <w:r w:rsidR="007B0454">
        <w:rPr>
          <w:rtl/>
          <w:lang w:val="en-US"/>
        </w:rPr>
        <w:t xml:space="preserve">اً </w:t>
      </w:r>
      <w:r w:rsidRPr="00F0516B">
        <w:rPr>
          <w:rtl/>
          <w:lang w:val="en-US"/>
        </w:rPr>
        <w:t>بما أفاد به الوفد من أن أجهزة الأمن الوطني تجري تحقيقاتها الخاصة. غير أنها تأسف لأن المحاكم حرمت أرملته من الحق في التعويض</w:t>
      </w:r>
      <w:r w:rsidR="00FE64D9">
        <w:rPr>
          <w:rtl/>
          <w:lang w:val="en-US"/>
        </w:rPr>
        <w:t>،</w:t>
      </w:r>
      <w:r w:rsidRPr="00F0516B">
        <w:rPr>
          <w:rtl/>
          <w:lang w:val="en-US"/>
        </w:rPr>
        <w:t xml:space="preserve"> إذ لم يتسن لها المثول خلف</w:t>
      </w:r>
      <w:r w:rsidR="007B0454">
        <w:rPr>
          <w:rtl/>
          <w:lang w:val="en-US"/>
        </w:rPr>
        <w:t xml:space="preserve">اً </w:t>
      </w:r>
      <w:r w:rsidRPr="00F0516B">
        <w:rPr>
          <w:rtl/>
          <w:lang w:val="en-US"/>
        </w:rPr>
        <w:t xml:space="preserve">له في </w:t>
      </w:r>
      <w:r w:rsidRPr="001765AA">
        <w:rPr>
          <w:spacing w:val="-2"/>
          <w:rtl/>
          <w:lang w:val="en-US"/>
        </w:rPr>
        <w:t>الإجراءات القانونية</w:t>
      </w:r>
      <w:r w:rsidR="00FE64D9" w:rsidRPr="001765AA">
        <w:rPr>
          <w:spacing w:val="-2"/>
          <w:rtl/>
          <w:lang w:val="en-US"/>
        </w:rPr>
        <w:t>،</w:t>
      </w:r>
      <w:r w:rsidRPr="001765AA">
        <w:rPr>
          <w:spacing w:val="-2"/>
          <w:rtl/>
          <w:lang w:val="en-US"/>
        </w:rPr>
        <w:t xml:space="preserve"> علاوة على أنه لا يمكن النظر في مسألة الجبر إلى حين انتهاء القضية المتعلقة بوفاة</w:t>
      </w:r>
      <w:r w:rsidRPr="00F0516B">
        <w:rPr>
          <w:rtl/>
          <w:lang w:val="en-US"/>
        </w:rPr>
        <w:t xml:space="preserve"> </w:t>
      </w:r>
      <w:proofErr w:type="spellStart"/>
      <w:r w:rsidRPr="00F0516B">
        <w:rPr>
          <w:rtl/>
          <w:lang w:val="en-US"/>
        </w:rPr>
        <w:t>عسكروف</w:t>
      </w:r>
      <w:proofErr w:type="spellEnd"/>
      <w:r w:rsidRPr="00F0516B">
        <w:rPr>
          <w:rtl/>
          <w:lang w:val="en-US"/>
        </w:rPr>
        <w:t xml:space="preserve">. كما تأسف اللجنة لأن المادة </w:t>
      </w:r>
      <w:r w:rsidRPr="00E83825">
        <w:rPr>
          <w:rtl/>
          <w:lang w:val="en-US"/>
        </w:rPr>
        <w:t>417</w:t>
      </w:r>
      <w:r w:rsidRPr="00F0516B">
        <w:rPr>
          <w:rtl/>
          <w:lang w:val="en-US"/>
        </w:rPr>
        <w:t xml:space="preserve"> من قانون الإجراءات الجنائية تعرقل حقوق الضحية في </w:t>
      </w:r>
      <w:r w:rsidRPr="001765AA">
        <w:rPr>
          <w:spacing w:val="-2"/>
          <w:rtl/>
          <w:lang w:val="en-US"/>
        </w:rPr>
        <w:t>الانتصاف أمام محكمة مدنية إلى أن تدين محكمة جنائية مرتكبي الأفعال ذات الصلة. وتأسف اللجنة كذلك</w:t>
      </w:r>
      <w:r w:rsidRPr="00D17AFF">
        <w:rPr>
          <w:spacing w:val="-4"/>
          <w:rtl/>
          <w:lang w:val="en-US"/>
        </w:rPr>
        <w:t xml:space="preserve"> </w:t>
      </w:r>
      <w:r w:rsidRPr="001765AA">
        <w:rPr>
          <w:spacing w:val="-2"/>
          <w:rtl/>
          <w:lang w:val="en-US"/>
        </w:rPr>
        <w:t>لعدم تقديم الدولة الطرف معلومات عن أي خطط للسماح لأقارب ضحايا التعذيب بالمطالبة بتعويض كاف وعادل</w:t>
      </w:r>
      <w:r w:rsidRPr="00F0516B">
        <w:rPr>
          <w:rtl/>
          <w:lang w:val="en-US"/>
        </w:rPr>
        <w:t xml:space="preserve"> (المواد </w:t>
      </w:r>
      <w:r w:rsidRPr="00E83825">
        <w:rPr>
          <w:rtl/>
          <w:lang w:val="en-US"/>
        </w:rPr>
        <w:t>2</w:t>
      </w:r>
      <w:r w:rsidRPr="00F0516B">
        <w:rPr>
          <w:rtl/>
          <w:lang w:val="en-US"/>
        </w:rPr>
        <w:t xml:space="preserve"> و</w:t>
      </w:r>
      <w:r w:rsidRPr="00E83825">
        <w:rPr>
          <w:rtl/>
          <w:lang w:val="en-US"/>
        </w:rPr>
        <w:t>12</w:t>
      </w:r>
      <w:r w:rsidRPr="00F0516B">
        <w:rPr>
          <w:rtl/>
          <w:lang w:val="en-US"/>
        </w:rPr>
        <w:t xml:space="preserve"> و</w:t>
      </w:r>
      <w:r w:rsidRPr="00E83825">
        <w:rPr>
          <w:rtl/>
          <w:lang w:val="en-US"/>
        </w:rPr>
        <w:t>13</w:t>
      </w:r>
      <w:r w:rsidRPr="00F0516B">
        <w:rPr>
          <w:rtl/>
          <w:lang w:val="en-US"/>
        </w:rPr>
        <w:t xml:space="preserve"> و</w:t>
      </w:r>
      <w:r w:rsidRPr="00E83825">
        <w:rPr>
          <w:rtl/>
          <w:lang w:val="en-US"/>
        </w:rPr>
        <w:t>16</w:t>
      </w:r>
      <w:r w:rsidRPr="00F0516B">
        <w:rPr>
          <w:rtl/>
          <w:lang w:val="en-US"/>
        </w:rPr>
        <w:t>).</w:t>
      </w:r>
    </w:p>
    <w:p w14:paraId="661A9962" w14:textId="77777777" w:rsidR="00F0516B" w:rsidRPr="00E83825" w:rsidRDefault="00F0516B" w:rsidP="00F0516B">
      <w:pPr>
        <w:pStyle w:val="SingleTxtGA"/>
        <w:rPr>
          <w:b/>
          <w:bCs/>
          <w:lang w:val="en-US"/>
        </w:rPr>
      </w:pPr>
      <w:r w:rsidRPr="00E83825">
        <w:rPr>
          <w:rtl/>
          <w:lang w:val="en-US"/>
        </w:rPr>
        <w:t>27</w:t>
      </w:r>
      <w:r w:rsidRPr="00F0516B">
        <w:rPr>
          <w:rtl/>
          <w:lang w:val="en-US"/>
        </w:rPr>
        <w:t>-</w:t>
      </w:r>
      <w:r w:rsidRPr="00F0516B">
        <w:rPr>
          <w:rtl/>
          <w:lang w:val="en-US"/>
        </w:rPr>
        <w:tab/>
      </w:r>
      <w:r w:rsidRPr="00E83825">
        <w:rPr>
          <w:b/>
          <w:bCs/>
          <w:rtl/>
          <w:lang w:val="en-US"/>
        </w:rPr>
        <w:t xml:space="preserve">ينبغي للدولة الطرف القيام بما يلي: </w:t>
      </w:r>
    </w:p>
    <w:p w14:paraId="257B2ACE" w14:textId="0DC8A637" w:rsidR="00F0516B" w:rsidRPr="00E83825" w:rsidRDefault="00E95C38" w:rsidP="00F0516B">
      <w:pPr>
        <w:pStyle w:val="SingleTxtGA"/>
        <w:rPr>
          <w:b/>
          <w:bCs/>
          <w:lang w:val="en-US"/>
        </w:rPr>
      </w:pPr>
      <w:r>
        <w:rPr>
          <w:rtl/>
          <w:lang w:val="en-US"/>
        </w:rPr>
        <w:tab/>
      </w:r>
      <w:r w:rsidR="00F0516B" w:rsidRPr="00F0516B">
        <w:rPr>
          <w:rtl/>
          <w:lang w:val="en-US"/>
        </w:rPr>
        <w:t>(أ)</w:t>
      </w:r>
      <w:r w:rsidR="00F0516B" w:rsidRPr="00F0516B">
        <w:rPr>
          <w:rtl/>
          <w:lang w:val="en-US"/>
        </w:rPr>
        <w:tab/>
      </w:r>
      <w:r w:rsidR="00F0516B" w:rsidRPr="00E83825">
        <w:rPr>
          <w:b/>
          <w:bCs/>
          <w:rtl/>
          <w:lang w:val="en-US"/>
        </w:rPr>
        <w:t>ضمان تمكن المدافعين عن حقوق الإنسان والصحفيين من مزاولة عملهم وأنشطتهم بحرية في الدولة الطرف دون خوف من التعرض للانتقام أو الاعتداء؛</w:t>
      </w:r>
    </w:p>
    <w:p w14:paraId="0125F163" w14:textId="70704139" w:rsidR="00F0516B" w:rsidRPr="00E83825" w:rsidRDefault="00E95C38" w:rsidP="00F0516B">
      <w:pPr>
        <w:pStyle w:val="SingleTxtGA"/>
        <w:rPr>
          <w:b/>
          <w:bCs/>
          <w:lang w:val="en-US"/>
        </w:rPr>
      </w:pPr>
      <w:r>
        <w:rPr>
          <w:rtl/>
          <w:lang w:val="en-US"/>
        </w:rPr>
        <w:tab/>
      </w:r>
      <w:r w:rsidR="00F0516B" w:rsidRPr="00F0516B">
        <w:rPr>
          <w:rtl/>
          <w:lang w:val="en-US"/>
        </w:rPr>
        <w:t>(ب)</w:t>
      </w:r>
      <w:r w:rsidR="00F0516B" w:rsidRPr="00F0516B">
        <w:rPr>
          <w:rtl/>
          <w:lang w:val="en-US"/>
        </w:rPr>
        <w:tab/>
      </w:r>
      <w:r w:rsidR="00F0516B" w:rsidRPr="00E83825">
        <w:rPr>
          <w:rFonts w:ascii="Times New Roman Bold" w:hAnsi="Times New Roman Bold"/>
          <w:b/>
          <w:bCs/>
          <w:spacing w:val="-3"/>
          <w:rtl/>
          <w:lang w:val="en-US"/>
        </w:rPr>
        <w:t>إجراء تحقيقات فورية وشاملة ونزيهة في جميع الانتهاكات المرتكبة في حث المدافعين</w:t>
      </w:r>
      <w:r w:rsidR="00F0516B" w:rsidRPr="00E83825">
        <w:rPr>
          <w:b/>
          <w:bCs/>
          <w:rtl/>
          <w:lang w:val="en-US"/>
        </w:rPr>
        <w:t xml:space="preserve"> عن حقوق الإنسان والصحفيين</w:t>
      </w:r>
      <w:r w:rsidR="00FE64D9" w:rsidRPr="00E83825">
        <w:rPr>
          <w:b/>
          <w:bCs/>
          <w:rtl/>
          <w:lang w:val="en-US"/>
        </w:rPr>
        <w:t>،</w:t>
      </w:r>
      <w:r w:rsidR="00F0516B" w:rsidRPr="00E83825">
        <w:rPr>
          <w:b/>
          <w:bCs/>
          <w:rtl/>
          <w:lang w:val="en-US"/>
        </w:rPr>
        <w:t xml:space="preserve"> ومقاضاة من تثبت إدانتهم ومعاقبتهم بعقوبات مناسبة</w:t>
      </w:r>
      <w:r w:rsidR="00D17AFF" w:rsidRPr="00E83825">
        <w:rPr>
          <w:rFonts w:hint="cs"/>
          <w:b/>
          <w:bCs/>
          <w:rtl/>
          <w:lang w:val="en-US"/>
        </w:rPr>
        <w:t>؛</w:t>
      </w:r>
    </w:p>
    <w:p w14:paraId="27AA208F" w14:textId="246E2444" w:rsidR="00F0516B" w:rsidRPr="00E83825" w:rsidRDefault="00E95C38" w:rsidP="00F0516B">
      <w:pPr>
        <w:pStyle w:val="SingleTxtGA"/>
        <w:rPr>
          <w:b/>
          <w:bCs/>
          <w:lang w:val="en-US"/>
        </w:rPr>
      </w:pPr>
      <w:r>
        <w:rPr>
          <w:rtl/>
          <w:lang w:val="en-US"/>
        </w:rPr>
        <w:tab/>
      </w:r>
      <w:r w:rsidR="00F0516B" w:rsidRPr="00F0516B">
        <w:rPr>
          <w:rtl/>
          <w:lang w:val="en-US"/>
        </w:rPr>
        <w:t>(ج)</w:t>
      </w:r>
      <w:r w:rsidR="00F0516B" w:rsidRPr="00F0516B">
        <w:rPr>
          <w:rtl/>
          <w:lang w:val="en-US"/>
        </w:rPr>
        <w:tab/>
      </w:r>
      <w:r w:rsidR="00F0516B" w:rsidRPr="00E83825">
        <w:rPr>
          <w:rFonts w:ascii="Times New Roman Bold" w:hAnsi="Times New Roman Bold"/>
          <w:b/>
          <w:bCs/>
          <w:spacing w:val="-2"/>
          <w:rtl/>
          <w:lang w:val="en-US"/>
        </w:rPr>
        <w:t>مراجعة تشريعاتها للسماح لضحايا التعذيب بإقامة الدعاوى المدنية من أجل الحصول</w:t>
      </w:r>
      <w:r w:rsidR="00F0516B" w:rsidRPr="00E83825">
        <w:rPr>
          <w:b/>
          <w:bCs/>
          <w:rtl/>
          <w:lang w:val="en-US"/>
        </w:rPr>
        <w:t xml:space="preserve"> على الجبر</w:t>
      </w:r>
      <w:r w:rsidR="00FE64D9" w:rsidRPr="00E83825">
        <w:rPr>
          <w:b/>
          <w:bCs/>
          <w:rtl/>
          <w:lang w:val="en-US"/>
        </w:rPr>
        <w:t>،</w:t>
      </w:r>
      <w:r w:rsidR="00F0516B" w:rsidRPr="00E83825">
        <w:rPr>
          <w:b/>
          <w:bCs/>
          <w:rtl/>
          <w:lang w:val="en-US"/>
        </w:rPr>
        <w:t xml:space="preserve"> حتى لو كانت القضية الجنائية جارية أو لم تسفر عن إدانة</w:t>
      </w:r>
      <w:r w:rsidR="00FE64D9" w:rsidRPr="00E83825">
        <w:rPr>
          <w:b/>
          <w:bCs/>
          <w:rtl/>
          <w:lang w:val="en-US"/>
        </w:rPr>
        <w:t>،</w:t>
      </w:r>
      <w:r w:rsidR="00F0516B" w:rsidRPr="00E83825">
        <w:rPr>
          <w:b/>
          <w:bCs/>
          <w:rtl/>
          <w:lang w:val="en-US"/>
        </w:rPr>
        <w:t xml:space="preserve"> وذلك تماشي</w:t>
      </w:r>
      <w:r w:rsidR="007B0454" w:rsidRPr="00E83825">
        <w:rPr>
          <w:b/>
          <w:bCs/>
          <w:rtl/>
          <w:lang w:val="en-US"/>
        </w:rPr>
        <w:t xml:space="preserve">اً </w:t>
      </w:r>
      <w:r w:rsidR="00F0516B" w:rsidRPr="00E83825">
        <w:rPr>
          <w:b/>
          <w:bCs/>
          <w:rtl/>
          <w:lang w:val="en-US"/>
        </w:rPr>
        <w:t xml:space="preserve">مع تعليق اللجنة العام رقم 3(2012). </w:t>
      </w:r>
    </w:p>
    <w:p w14:paraId="44AFCD44" w14:textId="77777777" w:rsidR="00F0516B" w:rsidRPr="00E83825" w:rsidRDefault="00F0516B" w:rsidP="00E95C38">
      <w:pPr>
        <w:pStyle w:val="H23GA"/>
      </w:pPr>
      <w:r w:rsidRPr="00E83825">
        <w:rPr>
          <w:rtl/>
        </w:rPr>
        <w:tab/>
      </w:r>
      <w:r w:rsidRPr="00E83825">
        <w:rPr>
          <w:rtl/>
        </w:rPr>
        <w:tab/>
        <w:t>العنف بالأطفال</w:t>
      </w:r>
    </w:p>
    <w:p w14:paraId="27627B57" w14:textId="1F23280D" w:rsidR="00F0516B" w:rsidRPr="00F0516B" w:rsidRDefault="00F0516B" w:rsidP="00F0516B">
      <w:pPr>
        <w:pStyle w:val="SingleTxtGA"/>
        <w:rPr>
          <w:lang w:val="en-US"/>
        </w:rPr>
      </w:pPr>
      <w:r w:rsidRPr="00E83825">
        <w:rPr>
          <w:rtl/>
          <w:lang w:val="en-US"/>
        </w:rPr>
        <w:t>28</w:t>
      </w:r>
      <w:r w:rsidRPr="00F0516B">
        <w:rPr>
          <w:rtl/>
          <w:lang w:val="en-US"/>
        </w:rPr>
        <w:t>-</w:t>
      </w:r>
      <w:r w:rsidRPr="00F0516B">
        <w:rPr>
          <w:rtl/>
          <w:lang w:val="en-US"/>
        </w:rPr>
        <w:tab/>
        <w:t>رغم أن فرض العقاب البدني على الأطفال في المدارس والنظام العقابي وبعض أوساط الرعاية مخالف للقانون</w:t>
      </w:r>
      <w:r w:rsidR="00FE64D9">
        <w:rPr>
          <w:rtl/>
          <w:lang w:val="en-US"/>
        </w:rPr>
        <w:t>،</w:t>
      </w:r>
      <w:r w:rsidRPr="00F0516B">
        <w:rPr>
          <w:rtl/>
          <w:lang w:val="en-US"/>
        </w:rPr>
        <w:t xml:space="preserve"> يساور اللجنة القلق إزاء الادعاءات التي تفيد بأن عدد</w:t>
      </w:r>
      <w:r w:rsidR="007B0454">
        <w:rPr>
          <w:rtl/>
          <w:lang w:val="en-US"/>
        </w:rPr>
        <w:t xml:space="preserve">اً </w:t>
      </w:r>
      <w:r w:rsidRPr="00F0516B">
        <w:rPr>
          <w:rtl/>
          <w:lang w:val="en-US"/>
        </w:rPr>
        <w:t>كبير</w:t>
      </w:r>
      <w:r w:rsidR="007B0454">
        <w:rPr>
          <w:rtl/>
          <w:lang w:val="en-US"/>
        </w:rPr>
        <w:t xml:space="preserve">اً </w:t>
      </w:r>
      <w:r w:rsidRPr="00F0516B">
        <w:rPr>
          <w:rtl/>
          <w:lang w:val="en-US"/>
        </w:rPr>
        <w:t xml:space="preserve">من الأطفال يتعرضون للعنف أو الإيذاء أو الإهمال في كنف الأسرة وفي بعض أوساط الرعاية. </w:t>
      </w:r>
      <w:r w:rsidRPr="00F0516B">
        <w:rPr>
          <w:rFonts w:ascii="Simplified Arabic" w:hAnsi="Simplified Arabic" w:hint="cs"/>
          <w:rtl/>
          <w:lang w:val="en-US"/>
        </w:rPr>
        <w:t>ووفق</w:t>
      </w:r>
      <w:r w:rsidR="007B0454">
        <w:rPr>
          <w:rFonts w:ascii="Simplified Arabic" w:hAnsi="Simplified Arabic" w:hint="cs"/>
          <w:rtl/>
          <w:lang w:val="en-US"/>
        </w:rPr>
        <w:t xml:space="preserve">اً </w:t>
      </w:r>
      <w:r w:rsidRPr="00F0516B">
        <w:rPr>
          <w:rFonts w:ascii="Simplified Arabic" w:hAnsi="Simplified Arabic" w:hint="cs"/>
          <w:rtl/>
          <w:lang w:val="en-US"/>
        </w:rPr>
        <w:t>للمعلومات</w:t>
      </w:r>
      <w:r w:rsidRPr="00F0516B">
        <w:rPr>
          <w:rtl/>
          <w:lang w:val="en-US"/>
        </w:rPr>
        <w:t xml:space="preserve"> </w:t>
      </w:r>
      <w:r w:rsidRPr="00F0516B">
        <w:rPr>
          <w:rFonts w:ascii="Simplified Arabic" w:hAnsi="Simplified Arabic" w:hint="cs"/>
          <w:rtl/>
          <w:lang w:val="en-US"/>
        </w:rPr>
        <w:t>المعروضة</w:t>
      </w:r>
      <w:r w:rsidRPr="00F0516B">
        <w:rPr>
          <w:rtl/>
          <w:lang w:val="en-US"/>
        </w:rPr>
        <w:t xml:space="preserve"> على اللجنة</w:t>
      </w:r>
      <w:r w:rsidR="00FE64D9">
        <w:rPr>
          <w:rtl/>
          <w:lang w:val="en-US"/>
        </w:rPr>
        <w:t>،</w:t>
      </w:r>
      <w:r w:rsidRPr="00F0516B">
        <w:rPr>
          <w:rtl/>
          <w:lang w:val="en-US"/>
        </w:rPr>
        <w:t xml:space="preserve"> كشف رصد مؤسسات الرعاية الداخلية للأطفال الذي أجري في الفترة </w:t>
      </w:r>
      <w:r w:rsidRPr="00E83825">
        <w:rPr>
          <w:rtl/>
          <w:lang w:val="en-US"/>
        </w:rPr>
        <w:t>2019</w:t>
      </w:r>
      <w:r w:rsidRPr="00F0516B">
        <w:rPr>
          <w:rtl/>
          <w:lang w:val="en-US"/>
        </w:rPr>
        <w:t>-</w:t>
      </w:r>
      <w:r w:rsidRPr="00E83825">
        <w:rPr>
          <w:rtl/>
          <w:lang w:val="en-US"/>
        </w:rPr>
        <w:t>2020</w:t>
      </w:r>
      <w:r w:rsidRPr="00F0516B">
        <w:rPr>
          <w:rtl/>
          <w:lang w:val="en-US"/>
        </w:rPr>
        <w:t xml:space="preserve"> عن عدم فعالية نظام منع العنف وإساءة المعاملة والتعذيب. ولا يدرك الأطفال أن العنف بالأطفال محظور</w:t>
      </w:r>
      <w:r w:rsidR="00FE64D9">
        <w:rPr>
          <w:rtl/>
          <w:lang w:val="en-US"/>
        </w:rPr>
        <w:t>،</w:t>
      </w:r>
      <w:r w:rsidRPr="00F0516B">
        <w:rPr>
          <w:rtl/>
          <w:lang w:val="en-US"/>
        </w:rPr>
        <w:t xml:space="preserve"> ويبدو أنه لا توجد في مؤسسات الرعاية الداخلية للأطفال آليات تتيح لهم الإبلاغ عنه (المادة </w:t>
      </w:r>
      <w:r w:rsidRPr="00E83825">
        <w:rPr>
          <w:rtl/>
          <w:lang w:val="en-US"/>
        </w:rPr>
        <w:t>16</w:t>
      </w:r>
      <w:r w:rsidRPr="00F0516B">
        <w:rPr>
          <w:rtl/>
          <w:lang w:val="en-US"/>
        </w:rPr>
        <w:t>).</w:t>
      </w:r>
    </w:p>
    <w:p w14:paraId="4BC165D7" w14:textId="77777777" w:rsidR="00D17AFF" w:rsidRDefault="00D17AFF">
      <w:pPr>
        <w:bidi w:val="0"/>
        <w:spacing w:line="240" w:lineRule="auto"/>
        <w:jc w:val="left"/>
        <w:rPr>
          <w:sz w:val="22"/>
          <w:rtl/>
        </w:rPr>
      </w:pPr>
      <w:r>
        <w:rPr>
          <w:rtl/>
        </w:rPr>
        <w:br w:type="page"/>
      </w:r>
    </w:p>
    <w:p w14:paraId="08227B4C" w14:textId="1D8328D0" w:rsidR="00F0516B" w:rsidRPr="00E83825" w:rsidRDefault="00F0516B" w:rsidP="00F0516B">
      <w:pPr>
        <w:pStyle w:val="SingleTxtGA"/>
        <w:rPr>
          <w:b/>
          <w:bCs/>
          <w:lang w:val="en-US"/>
        </w:rPr>
      </w:pPr>
      <w:r w:rsidRPr="00E83825">
        <w:rPr>
          <w:rtl/>
          <w:lang w:val="en-US"/>
        </w:rPr>
        <w:lastRenderedPageBreak/>
        <w:t>29</w:t>
      </w:r>
      <w:r w:rsidRPr="00F0516B">
        <w:rPr>
          <w:rtl/>
          <w:lang w:val="en-US"/>
        </w:rPr>
        <w:t>-</w:t>
      </w:r>
      <w:r w:rsidRPr="00F0516B">
        <w:rPr>
          <w:rtl/>
          <w:lang w:val="en-US"/>
        </w:rPr>
        <w:tab/>
      </w:r>
      <w:r w:rsidRPr="00E83825">
        <w:rPr>
          <w:b/>
          <w:bCs/>
          <w:rtl/>
          <w:lang w:val="en-US"/>
        </w:rPr>
        <w:t xml:space="preserve">ينبغي للدولة الطرف القيام بما يلي: </w:t>
      </w:r>
    </w:p>
    <w:p w14:paraId="2DE0B90D" w14:textId="5C1EA156" w:rsidR="00F0516B" w:rsidRPr="00E83825" w:rsidRDefault="00E95C38" w:rsidP="00F0516B">
      <w:pPr>
        <w:pStyle w:val="SingleTxtGA"/>
        <w:rPr>
          <w:b/>
          <w:bCs/>
          <w:lang w:val="en-US"/>
        </w:rPr>
      </w:pPr>
      <w:r>
        <w:rPr>
          <w:rtl/>
          <w:lang w:val="en-US"/>
        </w:rPr>
        <w:tab/>
      </w:r>
      <w:r w:rsidR="00F0516B" w:rsidRPr="00F0516B">
        <w:rPr>
          <w:rtl/>
          <w:lang w:val="en-US"/>
        </w:rPr>
        <w:t>(أ)</w:t>
      </w:r>
      <w:r w:rsidR="00F0516B" w:rsidRPr="00F0516B">
        <w:rPr>
          <w:rtl/>
          <w:lang w:val="en-US"/>
        </w:rPr>
        <w:tab/>
      </w:r>
      <w:r w:rsidR="00F0516B" w:rsidRPr="00E83825">
        <w:rPr>
          <w:rFonts w:ascii="Simplified Arabic" w:hAnsi="Simplified Arabic" w:hint="cs"/>
          <w:b/>
          <w:bCs/>
          <w:rtl/>
          <w:lang w:val="en-US"/>
        </w:rPr>
        <w:t>التنصيص</w:t>
      </w:r>
      <w:r w:rsidR="00F0516B" w:rsidRPr="00E83825">
        <w:rPr>
          <w:b/>
          <w:bCs/>
          <w:rtl/>
          <w:lang w:val="en-US"/>
        </w:rPr>
        <w:t xml:space="preserve"> </w:t>
      </w:r>
      <w:r w:rsidR="00F0516B" w:rsidRPr="00E83825">
        <w:rPr>
          <w:rFonts w:ascii="Simplified Arabic" w:hAnsi="Simplified Arabic" w:hint="cs"/>
          <w:b/>
          <w:bCs/>
          <w:rtl/>
          <w:lang w:val="en-US"/>
        </w:rPr>
        <w:t>صراحة</w:t>
      </w:r>
      <w:r w:rsidR="00F0516B" w:rsidRPr="00E83825">
        <w:rPr>
          <w:b/>
          <w:bCs/>
          <w:rtl/>
          <w:lang w:val="en-US"/>
        </w:rPr>
        <w:t xml:space="preserve"> </w:t>
      </w:r>
      <w:r w:rsidR="00F0516B" w:rsidRPr="00E83825">
        <w:rPr>
          <w:rFonts w:ascii="Simplified Arabic" w:hAnsi="Simplified Arabic" w:hint="cs"/>
          <w:b/>
          <w:bCs/>
          <w:rtl/>
          <w:lang w:val="en-US"/>
        </w:rPr>
        <w:t>على</w:t>
      </w:r>
      <w:r w:rsidR="00F0516B" w:rsidRPr="00E83825">
        <w:rPr>
          <w:b/>
          <w:bCs/>
          <w:rtl/>
          <w:lang w:val="en-US"/>
        </w:rPr>
        <w:t xml:space="preserve"> </w:t>
      </w:r>
      <w:r w:rsidR="00F0516B" w:rsidRPr="00E83825">
        <w:rPr>
          <w:rFonts w:ascii="Simplified Arabic" w:hAnsi="Simplified Arabic" w:hint="cs"/>
          <w:b/>
          <w:bCs/>
          <w:rtl/>
          <w:lang w:val="en-US"/>
        </w:rPr>
        <w:t>حظر</w:t>
      </w:r>
      <w:r w:rsidR="00F0516B" w:rsidRPr="00E83825">
        <w:rPr>
          <w:b/>
          <w:bCs/>
          <w:rtl/>
          <w:lang w:val="en-US"/>
        </w:rPr>
        <w:t xml:space="preserve"> </w:t>
      </w:r>
      <w:r w:rsidR="00F0516B" w:rsidRPr="00E83825">
        <w:rPr>
          <w:rFonts w:ascii="Simplified Arabic" w:hAnsi="Simplified Arabic" w:hint="cs"/>
          <w:b/>
          <w:bCs/>
          <w:rtl/>
          <w:lang w:val="en-US"/>
        </w:rPr>
        <w:t>إنزال</w:t>
      </w:r>
      <w:r w:rsidR="00F0516B" w:rsidRPr="00E83825">
        <w:rPr>
          <w:b/>
          <w:bCs/>
          <w:rtl/>
          <w:lang w:val="en-US"/>
        </w:rPr>
        <w:t xml:space="preserve"> </w:t>
      </w:r>
      <w:r w:rsidR="00F0516B" w:rsidRPr="00E83825">
        <w:rPr>
          <w:rFonts w:ascii="Simplified Arabic" w:hAnsi="Simplified Arabic" w:hint="cs"/>
          <w:b/>
          <w:bCs/>
          <w:rtl/>
          <w:lang w:val="en-US"/>
        </w:rPr>
        <w:t>العقوبة</w:t>
      </w:r>
      <w:r w:rsidR="00F0516B" w:rsidRPr="00E83825">
        <w:rPr>
          <w:b/>
          <w:bCs/>
          <w:rtl/>
          <w:lang w:val="en-US"/>
        </w:rPr>
        <w:t xml:space="preserve"> </w:t>
      </w:r>
      <w:r w:rsidR="00F0516B" w:rsidRPr="00E83825">
        <w:rPr>
          <w:rFonts w:ascii="Simplified Arabic" w:hAnsi="Simplified Arabic" w:hint="cs"/>
          <w:b/>
          <w:bCs/>
          <w:rtl/>
          <w:lang w:val="en-US"/>
        </w:rPr>
        <w:t>البدنية</w:t>
      </w:r>
      <w:r w:rsidR="00F0516B" w:rsidRPr="00E83825">
        <w:rPr>
          <w:b/>
          <w:bCs/>
          <w:rtl/>
          <w:lang w:val="en-US"/>
        </w:rPr>
        <w:t xml:space="preserve"> </w:t>
      </w:r>
      <w:r w:rsidR="00F0516B" w:rsidRPr="00E83825">
        <w:rPr>
          <w:rFonts w:ascii="Simplified Arabic" w:hAnsi="Simplified Arabic" w:hint="cs"/>
          <w:b/>
          <w:bCs/>
          <w:rtl/>
          <w:lang w:val="en-US"/>
        </w:rPr>
        <w:t>بالأطفال</w:t>
      </w:r>
      <w:r w:rsidR="00F0516B" w:rsidRPr="00E83825">
        <w:rPr>
          <w:b/>
          <w:bCs/>
          <w:rtl/>
          <w:lang w:val="en-US"/>
        </w:rPr>
        <w:t xml:space="preserve"> </w:t>
      </w:r>
      <w:r w:rsidR="00F0516B" w:rsidRPr="00E83825">
        <w:rPr>
          <w:rFonts w:ascii="Simplified Arabic" w:hAnsi="Simplified Arabic" w:hint="cs"/>
          <w:b/>
          <w:bCs/>
          <w:rtl/>
          <w:lang w:val="en-US"/>
        </w:rPr>
        <w:t>في</w:t>
      </w:r>
      <w:r w:rsidR="00F0516B" w:rsidRPr="00E83825">
        <w:rPr>
          <w:b/>
          <w:bCs/>
          <w:rtl/>
          <w:lang w:val="en-US"/>
        </w:rPr>
        <w:t xml:space="preserve"> </w:t>
      </w:r>
      <w:r w:rsidR="00F0516B" w:rsidRPr="00E83825">
        <w:rPr>
          <w:rFonts w:ascii="Simplified Arabic" w:hAnsi="Simplified Arabic" w:hint="cs"/>
          <w:b/>
          <w:bCs/>
          <w:rtl/>
          <w:lang w:val="en-US"/>
        </w:rPr>
        <w:t>جميع</w:t>
      </w:r>
      <w:r w:rsidR="00F0516B" w:rsidRPr="00E83825">
        <w:rPr>
          <w:b/>
          <w:bCs/>
          <w:rtl/>
          <w:lang w:val="en-US"/>
        </w:rPr>
        <w:t xml:space="preserve"> </w:t>
      </w:r>
      <w:r w:rsidR="00F0516B" w:rsidRPr="00E83825">
        <w:rPr>
          <w:rFonts w:ascii="Simplified Arabic" w:hAnsi="Simplified Arabic" w:hint="cs"/>
          <w:b/>
          <w:bCs/>
          <w:rtl/>
          <w:lang w:val="en-US"/>
        </w:rPr>
        <w:t>الأوساط</w:t>
      </w:r>
      <w:r w:rsidR="00F0516B" w:rsidRPr="00E83825">
        <w:rPr>
          <w:b/>
          <w:bCs/>
          <w:rtl/>
          <w:lang w:val="en-US"/>
        </w:rPr>
        <w:t xml:space="preserve"> </w:t>
      </w:r>
      <w:r w:rsidR="00F0516B" w:rsidRPr="00E83825">
        <w:rPr>
          <w:rFonts w:ascii="Simplified Arabic" w:hAnsi="Simplified Arabic" w:hint="cs"/>
          <w:b/>
          <w:bCs/>
          <w:rtl/>
          <w:lang w:val="en-US"/>
        </w:rPr>
        <w:t>بما</w:t>
      </w:r>
      <w:r w:rsidR="007B0454" w:rsidRPr="00E83825">
        <w:rPr>
          <w:rFonts w:hint="cs"/>
          <w:b/>
          <w:bCs/>
          <w:rtl/>
          <w:lang w:val="en-US"/>
        </w:rPr>
        <w:t> </w:t>
      </w:r>
      <w:r w:rsidR="00F0516B" w:rsidRPr="00E83825">
        <w:rPr>
          <w:rFonts w:ascii="Simplified Arabic" w:hAnsi="Simplified Arabic" w:hint="cs"/>
          <w:b/>
          <w:bCs/>
          <w:rtl/>
          <w:lang w:val="en-US"/>
        </w:rPr>
        <w:t>في</w:t>
      </w:r>
      <w:r w:rsidR="00F0516B" w:rsidRPr="00E83825">
        <w:rPr>
          <w:b/>
          <w:bCs/>
          <w:rtl/>
          <w:lang w:val="en-US"/>
        </w:rPr>
        <w:t xml:space="preserve"> </w:t>
      </w:r>
      <w:r w:rsidR="00F0516B" w:rsidRPr="00E83825">
        <w:rPr>
          <w:rFonts w:ascii="Simplified Arabic" w:hAnsi="Simplified Arabic" w:hint="cs"/>
          <w:b/>
          <w:bCs/>
          <w:rtl/>
          <w:lang w:val="en-US"/>
        </w:rPr>
        <w:t>ذلك</w:t>
      </w:r>
      <w:r w:rsidR="00F0516B" w:rsidRPr="00E83825">
        <w:rPr>
          <w:b/>
          <w:bCs/>
          <w:rtl/>
          <w:lang w:val="en-US"/>
        </w:rPr>
        <w:t xml:space="preserve"> </w:t>
      </w:r>
      <w:r w:rsidR="00F0516B" w:rsidRPr="00E83825">
        <w:rPr>
          <w:rFonts w:ascii="Simplified Arabic" w:hAnsi="Simplified Arabic" w:hint="cs"/>
          <w:b/>
          <w:bCs/>
          <w:rtl/>
          <w:lang w:val="en-US"/>
        </w:rPr>
        <w:t>في</w:t>
      </w:r>
      <w:r w:rsidR="00F0516B" w:rsidRPr="00E83825">
        <w:rPr>
          <w:b/>
          <w:bCs/>
          <w:rtl/>
          <w:lang w:val="en-US"/>
        </w:rPr>
        <w:t xml:space="preserve"> </w:t>
      </w:r>
      <w:r w:rsidR="00F0516B" w:rsidRPr="00E83825">
        <w:rPr>
          <w:rFonts w:ascii="Simplified Arabic" w:hAnsi="Simplified Arabic" w:hint="cs"/>
          <w:b/>
          <w:bCs/>
          <w:rtl/>
          <w:lang w:val="en-US"/>
        </w:rPr>
        <w:t>المنزل</w:t>
      </w:r>
      <w:r w:rsidR="00F0516B" w:rsidRPr="00E83825">
        <w:rPr>
          <w:b/>
          <w:bCs/>
          <w:rtl/>
          <w:lang w:val="en-US"/>
        </w:rPr>
        <w:t xml:space="preserve"> </w:t>
      </w:r>
      <w:r w:rsidR="00F0516B" w:rsidRPr="00E83825">
        <w:rPr>
          <w:rFonts w:ascii="Simplified Arabic" w:hAnsi="Simplified Arabic" w:hint="cs"/>
          <w:b/>
          <w:bCs/>
          <w:rtl/>
          <w:lang w:val="en-US"/>
        </w:rPr>
        <w:t>وفي</w:t>
      </w:r>
      <w:r w:rsidR="00F0516B" w:rsidRPr="00E83825">
        <w:rPr>
          <w:b/>
          <w:bCs/>
          <w:rtl/>
          <w:lang w:val="en-US"/>
        </w:rPr>
        <w:t xml:space="preserve"> </w:t>
      </w:r>
      <w:r w:rsidR="00F0516B" w:rsidRPr="00E83825">
        <w:rPr>
          <w:rFonts w:ascii="Simplified Arabic" w:hAnsi="Simplified Arabic" w:hint="cs"/>
          <w:b/>
          <w:bCs/>
          <w:rtl/>
          <w:lang w:val="en-US"/>
        </w:rPr>
        <w:t>المؤسسات</w:t>
      </w:r>
      <w:r w:rsidR="00F0516B" w:rsidRPr="00E83825">
        <w:rPr>
          <w:b/>
          <w:bCs/>
          <w:rtl/>
          <w:lang w:val="en-US"/>
        </w:rPr>
        <w:t xml:space="preserve"> </w:t>
      </w:r>
      <w:r w:rsidR="00F0516B" w:rsidRPr="00E83825">
        <w:rPr>
          <w:rFonts w:ascii="Simplified Arabic" w:hAnsi="Simplified Arabic" w:hint="cs"/>
          <w:b/>
          <w:bCs/>
          <w:rtl/>
          <w:lang w:val="en-US"/>
        </w:rPr>
        <w:t>وفي</w:t>
      </w:r>
      <w:r w:rsidR="00F0516B" w:rsidRPr="00E83825">
        <w:rPr>
          <w:b/>
          <w:bCs/>
          <w:rtl/>
          <w:lang w:val="en-US"/>
        </w:rPr>
        <w:t xml:space="preserve"> </w:t>
      </w:r>
      <w:r w:rsidR="00F0516B" w:rsidRPr="00E83825">
        <w:rPr>
          <w:rFonts w:ascii="Simplified Arabic" w:hAnsi="Simplified Arabic" w:hint="cs"/>
          <w:b/>
          <w:bCs/>
          <w:rtl/>
          <w:lang w:val="en-US"/>
        </w:rPr>
        <w:t>أوساط</w:t>
      </w:r>
      <w:r w:rsidR="00F0516B" w:rsidRPr="00E83825">
        <w:rPr>
          <w:b/>
          <w:bCs/>
          <w:rtl/>
          <w:lang w:val="en-US"/>
        </w:rPr>
        <w:t xml:space="preserve"> </w:t>
      </w:r>
      <w:r w:rsidR="00F0516B" w:rsidRPr="00E83825">
        <w:rPr>
          <w:rFonts w:ascii="Simplified Arabic" w:hAnsi="Simplified Arabic" w:hint="cs"/>
          <w:b/>
          <w:bCs/>
          <w:rtl/>
          <w:lang w:val="en-US"/>
        </w:rPr>
        <w:t>الرعاية</w:t>
      </w:r>
      <w:r w:rsidR="00F0516B" w:rsidRPr="00E83825">
        <w:rPr>
          <w:b/>
          <w:bCs/>
          <w:rtl/>
          <w:lang w:val="en-US"/>
        </w:rPr>
        <w:t xml:space="preserve"> </w:t>
      </w:r>
      <w:r w:rsidR="00F0516B" w:rsidRPr="00E83825">
        <w:rPr>
          <w:rFonts w:ascii="Simplified Arabic" w:hAnsi="Simplified Arabic" w:hint="cs"/>
          <w:b/>
          <w:bCs/>
          <w:rtl/>
          <w:lang w:val="en-US"/>
        </w:rPr>
        <w:t>البديلة</w:t>
      </w:r>
      <w:r w:rsidR="00FE64D9" w:rsidRPr="00E83825">
        <w:rPr>
          <w:rFonts w:ascii="Simplified Arabic" w:hAnsi="Simplified Arabic" w:hint="cs"/>
          <w:b/>
          <w:bCs/>
          <w:rtl/>
          <w:lang w:val="en-US"/>
        </w:rPr>
        <w:t>،</w:t>
      </w:r>
      <w:r w:rsidR="00F0516B" w:rsidRPr="00E83825">
        <w:rPr>
          <w:b/>
          <w:bCs/>
          <w:rtl/>
          <w:lang w:val="en-US"/>
        </w:rPr>
        <w:t xml:space="preserve"> </w:t>
      </w:r>
      <w:r w:rsidR="00F0516B" w:rsidRPr="00E83825">
        <w:rPr>
          <w:rFonts w:ascii="Simplified Arabic" w:hAnsi="Simplified Arabic" w:hint="cs"/>
          <w:b/>
          <w:bCs/>
          <w:rtl/>
          <w:lang w:val="en-US"/>
        </w:rPr>
        <w:t>وأن</w:t>
      </w:r>
      <w:r w:rsidR="00F0516B" w:rsidRPr="00E83825">
        <w:rPr>
          <w:b/>
          <w:bCs/>
          <w:rtl/>
          <w:lang w:val="en-US"/>
        </w:rPr>
        <w:t xml:space="preserve"> </w:t>
      </w:r>
      <w:r w:rsidR="00F0516B" w:rsidRPr="00E83825">
        <w:rPr>
          <w:rFonts w:ascii="Simplified Arabic" w:hAnsi="Simplified Arabic" w:hint="cs"/>
          <w:b/>
          <w:bCs/>
          <w:rtl/>
          <w:lang w:val="en-US"/>
        </w:rPr>
        <w:t>تضمن</w:t>
      </w:r>
      <w:r w:rsidR="00F0516B" w:rsidRPr="00E83825">
        <w:rPr>
          <w:b/>
          <w:bCs/>
          <w:rtl/>
          <w:lang w:val="en-US"/>
        </w:rPr>
        <w:t xml:space="preserve"> </w:t>
      </w:r>
      <w:r w:rsidR="00F0516B" w:rsidRPr="00E83825">
        <w:rPr>
          <w:rFonts w:ascii="Simplified Arabic" w:hAnsi="Simplified Arabic" w:hint="cs"/>
          <w:b/>
          <w:bCs/>
          <w:rtl/>
          <w:lang w:val="en-US"/>
        </w:rPr>
        <w:t>اتخاذ</w:t>
      </w:r>
      <w:r w:rsidR="00F0516B" w:rsidRPr="00E83825">
        <w:rPr>
          <w:b/>
          <w:bCs/>
          <w:rtl/>
          <w:lang w:val="en-US"/>
        </w:rPr>
        <w:t xml:space="preserve"> </w:t>
      </w:r>
      <w:r w:rsidR="00F0516B" w:rsidRPr="00E83825">
        <w:rPr>
          <w:rFonts w:ascii="Simplified Arabic" w:hAnsi="Simplified Arabic" w:hint="cs"/>
          <w:b/>
          <w:bCs/>
          <w:rtl/>
          <w:lang w:val="en-US"/>
        </w:rPr>
        <w:t>تدابير</w:t>
      </w:r>
      <w:r w:rsidR="00F0516B" w:rsidRPr="00E83825">
        <w:rPr>
          <w:b/>
          <w:bCs/>
          <w:rtl/>
          <w:lang w:val="en-US"/>
        </w:rPr>
        <w:t xml:space="preserve"> </w:t>
      </w:r>
      <w:r w:rsidR="00F0516B" w:rsidRPr="00E83825">
        <w:rPr>
          <w:rFonts w:ascii="Simplified Arabic" w:hAnsi="Simplified Arabic" w:hint="cs"/>
          <w:b/>
          <w:bCs/>
          <w:rtl/>
          <w:lang w:val="en-US"/>
        </w:rPr>
        <w:t>التوعية</w:t>
      </w:r>
      <w:r w:rsidR="00F0516B" w:rsidRPr="00E83825">
        <w:rPr>
          <w:b/>
          <w:bCs/>
          <w:rtl/>
          <w:lang w:val="en-US"/>
        </w:rPr>
        <w:t xml:space="preserve"> </w:t>
      </w:r>
      <w:r w:rsidR="00F0516B" w:rsidRPr="00E83825">
        <w:rPr>
          <w:rFonts w:ascii="Simplified Arabic" w:hAnsi="Simplified Arabic" w:hint="cs"/>
          <w:b/>
          <w:bCs/>
          <w:rtl/>
          <w:lang w:val="en-US"/>
        </w:rPr>
        <w:t>والتثقيف</w:t>
      </w:r>
      <w:r w:rsidR="00F0516B" w:rsidRPr="00E83825">
        <w:rPr>
          <w:b/>
          <w:bCs/>
          <w:rtl/>
          <w:lang w:val="en-US"/>
        </w:rPr>
        <w:t xml:space="preserve"> </w:t>
      </w:r>
      <w:r w:rsidR="00F0516B" w:rsidRPr="00E83825">
        <w:rPr>
          <w:rFonts w:ascii="Simplified Arabic" w:hAnsi="Simplified Arabic" w:hint="cs"/>
          <w:b/>
          <w:bCs/>
          <w:rtl/>
          <w:lang w:val="en-US"/>
        </w:rPr>
        <w:t>العام؛</w:t>
      </w:r>
    </w:p>
    <w:p w14:paraId="2127E22B" w14:textId="7B501621" w:rsidR="00F0516B" w:rsidRPr="00E83825" w:rsidRDefault="00E95C38" w:rsidP="00F0516B">
      <w:pPr>
        <w:pStyle w:val="SingleTxtGA"/>
        <w:rPr>
          <w:b/>
          <w:bCs/>
          <w:lang w:val="en-US"/>
        </w:rPr>
      </w:pPr>
      <w:r>
        <w:rPr>
          <w:rtl/>
          <w:lang w:val="en-US"/>
        </w:rPr>
        <w:tab/>
      </w:r>
      <w:r w:rsidR="00F0516B" w:rsidRPr="00F0516B">
        <w:rPr>
          <w:rtl/>
          <w:lang w:val="en-US"/>
        </w:rPr>
        <w:t>(ب)</w:t>
      </w:r>
      <w:r w:rsidR="00F0516B" w:rsidRPr="00F0516B">
        <w:rPr>
          <w:rtl/>
          <w:lang w:val="en-US"/>
        </w:rPr>
        <w:tab/>
      </w:r>
      <w:r w:rsidR="00F0516B" w:rsidRPr="00E83825">
        <w:rPr>
          <w:b/>
          <w:bCs/>
          <w:rtl/>
          <w:lang w:val="en-US"/>
        </w:rPr>
        <w:t>تقديم معلومات إلى اللجنة عن أي آلية لتقديم الشكاوى ضد استخدام العنف في مؤسسات الرعاية الداخلية للأطفال</w:t>
      </w:r>
      <w:r w:rsidR="00FE64D9" w:rsidRPr="00E83825">
        <w:rPr>
          <w:b/>
          <w:bCs/>
          <w:rtl/>
          <w:lang w:val="en-US"/>
        </w:rPr>
        <w:t>،</w:t>
      </w:r>
      <w:r w:rsidR="00F0516B" w:rsidRPr="00E83825">
        <w:rPr>
          <w:b/>
          <w:bCs/>
          <w:rtl/>
          <w:lang w:val="en-US"/>
        </w:rPr>
        <w:t xml:space="preserve"> وعما إذا كانت قد أجريت أي تحقيقات في هذه المؤسسات</w:t>
      </w:r>
      <w:r w:rsidR="00FE64D9" w:rsidRPr="00E83825">
        <w:rPr>
          <w:b/>
          <w:bCs/>
          <w:rtl/>
          <w:lang w:val="en-US"/>
        </w:rPr>
        <w:t>،</w:t>
      </w:r>
      <w:r w:rsidR="00F0516B" w:rsidRPr="00E83825">
        <w:rPr>
          <w:b/>
          <w:bCs/>
          <w:rtl/>
          <w:lang w:val="en-US"/>
        </w:rPr>
        <w:t xml:space="preserve"> وبيان التدابير القائمة لمنع هذا العنف.</w:t>
      </w:r>
    </w:p>
    <w:p w14:paraId="121C592D" w14:textId="77777777" w:rsidR="00F0516B" w:rsidRPr="00E83825" w:rsidRDefault="00F0516B" w:rsidP="00E95C38">
      <w:pPr>
        <w:pStyle w:val="H23GA"/>
      </w:pPr>
      <w:r w:rsidRPr="00E83825">
        <w:rPr>
          <w:rtl/>
        </w:rPr>
        <w:tab/>
      </w:r>
      <w:r w:rsidRPr="00E83825">
        <w:rPr>
          <w:rtl/>
        </w:rPr>
        <w:tab/>
        <w:t xml:space="preserve">اللاجئون وملتمسو اللجوء </w:t>
      </w:r>
    </w:p>
    <w:p w14:paraId="6495C6BF" w14:textId="0CD8CA58" w:rsidR="00F0516B" w:rsidRPr="00F0516B" w:rsidRDefault="00F0516B" w:rsidP="00F0516B">
      <w:pPr>
        <w:pStyle w:val="SingleTxtGA"/>
        <w:rPr>
          <w:lang w:val="en-US"/>
        </w:rPr>
      </w:pPr>
      <w:r w:rsidRPr="00E83825">
        <w:rPr>
          <w:rtl/>
          <w:lang w:val="en-US"/>
        </w:rPr>
        <w:t>30</w:t>
      </w:r>
      <w:r w:rsidRPr="00F0516B">
        <w:rPr>
          <w:rtl/>
          <w:lang w:val="en-US"/>
        </w:rPr>
        <w:t>-</w:t>
      </w:r>
      <w:r w:rsidRPr="00F0516B">
        <w:rPr>
          <w:rtl/>
          <w:lang w:val="en-US"/>
        </w:rPr>
        <w:tab/>
        <w:t>إذ ترحب اللجنة بتنفيذ تدابير لتحسين حالة الأشخاص عديمي الجنسية</w:t>
      </w:r>
      <w:r w:rsidR="00FE64D9">
        <w:rPr>
          <w:rtl/>
          <w:lang w:val="en-US"/>
        </w:rPr>
        <w:t>،</w:t>
      </w:r>
      <w:r w:rsidRPr="00F0516B">
        <w:rPr>
          <w:rtl/>
          <w:lang w:val="en-US"/>
        </w:rPr>
        <w:t xml:space="preserve"> تلاحظ بقلق أن بعض </w:t>
      </w:r>
      <w:r w:rsidRPr="00BA3A1F">
        <w:rPr>
          <w:spacing w:val="-2"/>
          <w:rtl/>
          <w:lang w:val="en-US"/>
        </w:rPr>
        <w:t>الأحكام الواردة في التشريعات الوطنية قد تفضي إلى انتهاكات لمبدأ عدم الرد</w:t>
      </w:r>
      <w:r w:rsidR="00FE64D9" w:rsidRPr="00BA3A1F">
        <w:rPr>
          <w:spacing w:val="-2"/>
          <w:rtl/>
          <w:lang w:val="en-US"/>
        </w:rPr>
        <w:t>،</w:t>
      </w:r>
      <w:r w:rsidRPr="00BA3A1F">
        <w:rPr>
          <w:spacing w:val="-2"/>
          <w:rtl/>
          <w:lang w:val="en-US"/>
        </w:rPr>
        <w:t xml:space="preserve"> لأنها لا تعترف صراحة بهذا</w:t>
      </w:r>
      <w:r w:rsidRPr="00F0516B">
        <w:rPr>
          <w:rtl/>
          <w:lang w:val="en-US"/>
        </w:rPr>
        <w:t xml:space="preserve"> المبدأ طوال فترة إجراءات اللجوء وتنص على طرد الأشخاص. وفي هذا الخصوص</w:t>
      </w:r>
      <w:r w:rsidR="00FE64D9">
        <w:rPr>
          <w:rtl/>
          <w:lang w:val="en-US"/>
        </w:rPr>
        <w:t>،</w:t>
      </w:r>
      <w:r w:rsidRPr="00F0516B">
        <w:rPr>
          <w:rtl/>
          <w:lang w:val="en-US"/>
        </w:rPr>
        <w:t xml:space="preserve"> تحيط اللجنة علم</w:t>
      </w:r>
      <w:r w:rsidR="00BA3A1F">
        <w:rPr>
          <w:rtl/>
          <w:lang w:val="en-US"/>
        </w:rPr>
        <w:t xml:space="preserve">اً </w:t>
      </w:r>
      <w:r w:rsidRPr="00BA3A1F">
        <w:rPr>
          <w:spacing w:val="-2"/>
          <w:rtl/>
          <w:lang w:val="en-US"/>
        </w:rPr>
        <w:t xml:space="preserve">بردود الوفد بشأن حالتي </w:t>
      </w:r>
      <w:proofErr w:type="spellStart"/>
      <w:r w:rsidRPr="00BA3A1F">
        <w:rPr>
          <w:spacing w:val="-2"/>
          <w:rtl/>
          <w:lang w:val="en-US"/>
        </w:rPr>
        <w:t>بابامراد</w:t>
      </w:r>
      <w:proofErr w:type="spellEnd"/>
      <w:r w:rsidRPr="00BA3A1F">
        <w:rPr>
          <w:spacing w:val="-2"/>
          <w:rtl/>
          <w:lang w:val="en-US"/>
        </w:rPr>
        <w:t xml:space="preserve"> عبد </w:t>
      </w:r>
      <w:proofErr w:type="spellStart"/>
      <w:r w:rsidRPr="00BA3A1F">
        <w:rPr>
          <w:spacing w:val="-2"/>
          <w:rtl/>
          <w:lang w:val="en-US"/>
        </w:rPr>
        <w:t>اللهييف</w:t>
      </w:r>
      <w:proofErr w:type="spellEnd"/>
      <w:r w:rsidRPr="00BA3A1F">
        <w:rPr>
          <w:spacing w:val="-2"/>
          <w:rtl/>
          <w:lang w:val="en-US"/>
        </w:rPr>
        <w:t xml:space="preserve"> </w:t>
      </w:r>
      <w:proofErr w:type="spellStart"/>
      <w:r w:rsidRPr="00BA3A1F">
        <w:rPr>
          <w:spacing w:val="-2"/>
          <w:rtl/>
          <w:lang w:val="en-US"/>
        </w:rPr>
        <w:t>ومورات</w:t>
      </w:r>
      <w:proofErr w:type="spellEnd"/>
      <w:r w:rsidRPr="00BA3A1F">
        <w:rPr>
          <w:spacing w:val="-2"/>
          <w:rtl/>
          <w:lang w:val="en-US"/>
        </w:rPr>
        <w:t xml:space="preserve"> </w:t>
      </w:r>
      <w:proofErr w:type="spellStart"/>
      <w:r w:rsidRPr="00BA3A1F">
        <w:rPr>
          <w:spacing w:val="-2"/>
          <w:rtl/>
          <w:lang w:val="en-US"/>
        </w:rPr>
        <w:t>تونغيشباييف</w:t>
      </w:r>
      <w:proofErr w:type="spellEnd"/>
      <w:r w:rsidR="00FE64D9" w:rsidRPr="00BA3A1F">
        <w:rPr>
          <w:spacing w:val="-2"/>
          <w:rtl/>
          <w:lang w:val="en-US"/>
        </w:rPr>
        <w:t>،</w:t>
      </w:r>
      <w:r w:rsidRPr="00BA3A1F">
        <w:rPr>
          <w:spacing w:val="-2"/>
          <w:rtl/>
          <w:lang w:val="en-US"/>
        </w:rPr>
        <w:t xml:space="preserve"> والخطوات التي يجري اتخاذها للتحقيق</w:t>
      </w:r>
      <w:r w:rsidRPr="00F0516B">
        <w:rPr>
          <w:rtl/>
          <w:lang w:val="en-US"/>
        </w:rPr>
        <w:t xml:space="preserve"> في قضية </w:t>
      </w:r>
      <w:proofErr w:type="spellStart"/>
      <w:r w:rsidRPr="00F0516B">
        <w:rPr>
          <w:rtl/>
          <w:lang w:val="en-US"/>
        </w:rPr>
        <w:t>أورهان</w:t>
      </w:r>
      <w:proofErr w:type="spellEnd"/>
      <w:r w:rsidRPr="00F0516B">
        <w:rPr>
          <w:rtl/>
          <w:lang w:val="en-US"/>
        </w:rPr>
        <w:t xml:space="preserve"> </w:t>
      </w:r>
      <w:proofErr w:type="spellStart"/>
      <w:r w:rsidRPr="00F0516B">
        <w:rPr>
          <w:rtl/>
          <w:lang w:val="en-US"/>
        </w:rPr>
        <w:t>إيناندي</w:t>
      </w:r>
      <w:proofErr w:type="spellEnd"/>
      <w:r w:rsidRPr="00F0516B">
        <w:rPr>
          <w:rtl/>
          <w:lang w:val="en-US"/>
        </w:rPr>
        <w:t xml:space="preserve"> (المادتان </w:t>
      </w:r>
      <w:r w:rsidRPr="00E83825">
        <w:rPr>
          <w:rtl/>
          <w:lang w:val="en-US"/>
        </w:rPr>
        <w:t>3</w:t>
      </w:r>
      <w:r w:rsidRPr="00F0516B">
        <w:rPr>
          <w:rtl/>
          <w:lang w:val="en-US"/>
        </w:rPr>
        <w:t xml:space="preserve"> و</w:t>
      </w:r>
      <w:r w:rsidRPr="00E83825">
        <w:rPr>
          <w:rtl/>
          <w:lang w:val="en-US"/>
        </w:rPr>
        <w:t>16</w:t>
      </w:r>
      <w:r w:rsidRPr="00F0516B">
        <w:rPr>
          <w:rtl/>
          <w:lang w:val="en-US"/>
        </w:rPr>
        <w:t>).</w:t>
      </w:r>
    </w:p>
    <w:p w14:paraId="60F67E74" w14:textId="77777777" w:rsidR="00F0516B" w:rsidRPr="00E83825" w:rsidRDefault="00F0516B" w:rsidP="00F0516B">
      <w:pPr>
        <w:pStyle w:val="SingleTxtGA"/>
        <w:rPr>
          <w:b/>
          <w:bCs/>
          <w:lang w:val="en-US"/>
        </w:rPr>
      </w:pPr>
      <w:r w:rsidRPr="00E83825">
        <w:rPr>
          <w:rtl/>
          <w:lang w:val="en-US"/>
        </w:rPr>
        <w:t>31</w:t>
      </w:r>
      <w:r w:rsidRPr="00F0516B">
        <w:rPr>
          <w:rtl/>
          <w:lang w:val="en-US"/>
        </w:rPr>
        <w:t>-</w:t>
      </w:r>
      <w:r w:rsidRPr="00F0516B">
        <w:rPr>
          <w:rtl/>
          <w:lang w:val="en-US"/>
        </w:rPr>
        <w:tab/>
      </w:r>
      <w:r w:rsidRPr="00E83825">
        <w:rPr>
          <w:b/>
          <w:bCs/>
          <w:rtl/>
          <w:lang w:val="en-US"/>
        </w:rPr>
        <w:t>ينبغي للدولة الطرف أن تكفل في الواقع العملي عدم طرد أيّ شخص أو إعادته أو تسليمه إلى دولة أخرى حيثما وجدت أسباب جوهرية تدعو إلى اعتقاد أنه سيكون عرضة بصورة شخصية ومتوقعة لخطر التعذيب أو إساءة المعاملة.</w:t>
      </w:r>
    </w:p>
    <w:p w14:paraId="6B5E05A6" w14:textId="77777777" w:rsidR="00F0516B" w:rsidRPr="00E83825" w:rsidRDefault="00F0516B" w:rsidP="00E95C38">
      <w:pPr>
        <w:pStyle w:val="H23GA"/>
      </w:pPr>
      <w:r w:rsidRPr="00E83825">
        <w:rPr>
          <w:rtl/>
        </w:rPr>
        <w:tab/>
      </w:r>
      <w:r w:rsidRPr="00E83825">
        <w:rPr>
          <w:rtl/>
        </w:rPr>
        <w:tab/>
        <w:t>التدريب</w:t>
      </w:r>
    </w:p>
    <w:p w14:paraId="110BA586" w14:textId="5EA76715" w:rsidR="00F0516B" w:rsidRPr="00F0516B" w:rsidRDefault="00F0516B" w:rsidP="00F0516B">
      <w:pPr>
        <w:pStyle w:val="SingleTxtGA"/>
        <w:rPr>
          <w:lang w:val="en-US"/>
        </w:rPr>
      </w:pPr>
      <w:r w:rsidRPr="00E83825">
        <w:rPr>
          <w:rtl/>
          <w:lang w:val="en-US"/>
        </w:rPr>
        <w:t>32</w:t>
      </w:r>
      <w:r w:rsidRPr="00F0516B">
        <w:rPr>
          <w:rtl/>
          <w:lang w:val="en-US"/>
        </w:rPr>
        <w:t>-</w:t>
      </w:r>
      <w:r w:rsidRPr="00F0516B">
        <w:rPr>
          <w:rtl/>
          <w:lang w:val="en-US"/>
        </w:rPr>
        <w:tab/>
        <w:t>تحيط اللجنة علم</w:t>
      </w:r>
      <w:r w:rsidR="00BA3A1F">
        <w:rPr>
          <w:rtl/>
          <w:lang w:val="en-US"/>
        </w:rPr>
        <w:t xml:space="preserve">اً </w:t>
      </w:r>
      <w:r w:rsidRPr="00F0516B">
        <w:rPr>
          <w:rtl/>
          <w:lang w:val="en-US"/>
        </w:rPr>
        <w:t>بالبرامج المختلفة لتدريب الموظفين العموميين والقضاة في مجال حقوق الإنسان</w:t>
      </w:r>
      <w:r w:rsidR="00FE64D9">
        <w:rPr>
          <w:rtl/>
          <w:lang w:val="en-US"/>
        </w:rPr>
        <w:t>،</w:t>
      </w:r>
      <w:r w:rsidRPr="00F0516B">
        <w:rPr>
          <w:rtl/>
          <w:lang w:val="en-US"/>
        </w:rPr>
        <w:t xml:space="preserve"> لكنها تعرب عن أسفها لما يلي: (أ) عدم كفاية التدريب العملي على أحكام الاتفاقية لموظفي إنفاذ القانون والسلطة القضائية؛ و(ب) عدم وجود تدريب محدد يسمح للعاملين في المجال الطبي الذين يتعاملون مع المحتجزين بالكشف عن آثار التعذيب وإساءة المعاملة؛ و(ج) عدم وجود معلومات عن أثر برامج التدريب القائمة على منع جرائم التعذيب أو إساءة المعاملة. وعلاوة على ذلك</w:t>
      </w:r>
      <w:r w:rsidR="00FE64D9">
        <w:rPr>
          <w:rtl/>
          <w:lang w:val="en-US"/>
        </w:rPr>
        <w:t>،</w:t>
      </w:r>
      <w:r w:rsidRPr="00F0516B">
        <w:rPr>
          <w:rtl/>
          <w:lang w:val="en-US"/>
        </w:rPr>
        <w:t xml:space="preserve"> تشعر اللجنة بالقلق إزاء الافتقار إلى منهجيات محددة لتقييم فعالية البرامج التدريبية والتثقيفية المتعلقة بأحكام الاتفاقية والخاصة بموظفي إنفاذ القانون وغيرهم من الموظفين العموميين وأثر تلك البرامج على عدد حالات التعذيب وإساءة المعاملة. </w:t>
      </w:r>
      <w:r w:rsidRPr="00F0516B">
        <w:rPr>
          <w:rFonts w:ascii="Simplified Arabic" w:hAnsi="Simplified Arabic" w:hint="cs"/>
          <w:rtl/>
          <w:lang w:val="en-US"/>
        </w:rPr>
        <w:t>ويساور</w:t>
      </w:r>
      <w:r w:rsidRPr="00F0516B">
        <w:rPr>
          <w:rtl/>
          <w:lang w:val="en-US"/>
        </w:rPr>
        <w:t xml:space="preserve"> </w:t>
      </w:r>
      <w:r w:rsidRPr="00F0516B">
        <w:rPr>
          <w:rFonts w:ascii="Simplified Arabic" w:hAnsi="Simplified Arabic" w:hint="cs"/>
          <w:rtl/>
          <w:lang w:val="en-US"/>
        </w:rPr>
        <w:t>اللجنة</w:t>
      </w:r>
      <w:r w:rsidRPr="00F0516B">
        <w:rPr>
          <w:rtl/>
          <w:lang w:val="en-US"/>
        </w:rPr>
        <w:t xml:space="preserve"> </w:t>
      </w:r>
      <w:r w:rsidRPr="00F0516B">
        <w:rPr>
          <w:rFonts w:ascii="Simplified Arabic" w:hAnsi="Simplified Arabic" w:hint="cs"/>
          <w:rtl/>
          <w:lang w:val="en-US"/>
        </w:rPr>
        <w:t>القلق</w:t>
      </w:r>
      <w:r w:rsidRPr="00F0516B">
        <w:rPr>
          <w:rtl/>
          <w:lang w:val="en-US"/>
        </w:rPr>
        <w:t xml:space="preserve"> </w:t>
      </w:r>
      <w:r w:rsidRPr="00F0516B">
        <w:rPr>
          <w:rFonts w:ascii="Simplified Arabic" w:hAnsi="Simplified Arabic" w:hint="cs"/>
          <w:rtl/>
          <w:lang w:val="en-US"/>
        </w:rPr>
        <w:t>أيضاً</w:t>
      </w:r>
      <w:r w:rsidRPr="00F0516B">
        <w:rPr>
          <w:rtl/>
          <w:lang w:val="en-US"/>
        </w:rPr>
        <w:t xml:space="preserve"> </w:t>
      </w:r>
      <w:r w:rsidRPr="00F0516B">
        <w:rPr>
          <w:rFonts w:ascii="Simplified Arabic" w:hAnsi="Simplified Arabic" w:hint="cs"/>
          <w:rtl/>
          <w:lang w:val="en-US"/>
        </w:rPr>
        <w:t>لعدم</w:t>
      </w:r>
      <w:r w:rsidRPr="00F0516B">
        <w:rPr>
          <w:rtl/>
          <w:lang w:val="en-US"/>
        </w:rPr>
        <w:t xml:space="preserve"> </w:t>
      </w:r>
      <w:r w:rsidRPr="00F0516B">
        <w:rPr>
          <w:rFonts w:ascii="Simplified Arabic" w:hAnsi="Simplified Arabic" w:hint="cs"/>
          <w:rtl/>
          <w:lang w:val="en-US"/>
        </w:rPr>
        <w:t>تلقي</w:t>
      </w:r>
      <w:r w:rsidRPr="00F0516B">
        <w:rPr>
          <w:rtl/>
          <w:lang w:val="en-US"/>
        </w:rPr>
        <w:t xml:space="preserve"> </w:t>
      </w:r>
      <w:r w:rsidRPr="00F0516B">
        <w:rPr>
          <w:rFonts w:ascii="Simplified Arabic" w:hAnsi="Simplified Arabic" w:hint="cs"/>
          <w:rtl/>
          <w:lang w:val="en-US"/>
        </w:rPr>
        <w:t>جميع</w:t>
      </w:r>
      <w:r w:rsidRPr="00F0516B">
        <w:rPr>
          <w:rtl/>
          <w:lang w:val="en-US"/>
        </w:rPr>
        <w:t xml:space="preserve"> </w:t>
      </w:r>
      <w:r w:rsidRPr="00F0516B">
        <w:rPr>
          <w:rFonts w:ascii="Simplified Arabic" w:hAnsi="Simplified Arabic" w:hint="cs"/>
          <w:rtl/>
          <w:lang w:val="en-US"/>
        </w:rPr>
        <w:t>المهنيين</w:t>
      </w:r>
      <w:r w:rsidRPr="00F0516B">
        <w:rPr>
          <w:rtl/>
          <w:lang w:val="en-US"/>
        </w:rPr>
        <w:t xml:space="preserve"> </w:t>
      </w:r>
      <w:r w:rsidRPr="00F0516B">
        <w:rPr>
          <w:rFonts w:ascii="Simplified Arabic" w:hAnsi="Simplified Arabic" w:hint="cs"/>
          <w:rtl/>
          <w:lang w:val="en-US"/>
        </w:rPr>
        <w:t>الطبيين</w:t>
      </w:r>
      <w:r w:rsidRPr="00F0516B">
        <w:rPr>
          <w:rtl/>
          <w:lang w:val="en-US"/>
        </w:rPr>
        <w:t xml:space="preserve"> </w:t>
      </w:r>
      <w:r w:rsidRPr="00F0516B">
        <w:rPr>
          <w:rFonts w:ascii="Simplified Arabic" w:hAnsi="Simplified Arabic" w:hint="cs"/>
          <w:rtl/>
          <w:lang w:val="en-US"/>
        </w:rPr>
        <w:t>الذين</w:t>
      </w:r>
      <w:r w:rsidRPr="00F0516B">
        <w:rPr>
          <w:rtl/>
          <w:lang w:val="en-US"/>
        </w:rPr>
        <w:t xml:space="preserve"> </w:t>
      </w:r>
      <w:r w:rsidRPr="00F0516B">
        <w:rPr>
          <w:rFonts w:ascii="Simplified Arabic" w:hAnsi="Simplified Arabic" w:hint="cs"/>
          <w:rtl/>
          <w:lang w:val="en-US"/>
        </w:rPr>
        <w:t>يتعاملون</w:t>
      </w:r>
      <w:r w:rsidRPr="00F0516B">
        <w:rPr>
          <w:rtl/>
          <w:lang w:val="en-US"/>
        </w:rPr>
        <w:t xml:space="preserve"> </w:t>
      </w:r>
      <w:r w:rsidRPr="00F0516B">
        <w:rPr>
          <w:rFonts w:ascii="Simplified Arabic" w:hAnsi="Simplified Arabic" w:hint="cs"/>
          <w:rtl/>
          <w:lang w:val="en-US"/>
        </w:rPr>
        <w:t>مع</w:t>
      </w:r>
      <w:r w:rsidRPr="00F0516B">
        <w:rPr>
          <w:rtl/>
          <w:lang w:val="en-US"/>
        </w:rPr>
        <w:t xml:space="preserve"> </w:t>
      </w:r>
      <w:r w:rsidRPr="00F0516B">
        <w:rPr>
          <w:rFonts w:ascii="Simplified Arabic" w:hAnsi="Simplified Arabic" w:hint="cs"/>
          <w:rtl/>
          <w:lang w:val="en-US"/>
        </w:rPr>
        <w:t>الأشخاص</w:t>
      </w:r>
      <w:r w:rsidRPr="00F0516B">
        <w:rPr>
          <w:rtl/>
          <w:lang w:val="en-US"/>
        </w:rPr>
        <w:t xml:space="preserve"> </w:t>
      </w:r>
      <w:r w:rsidRPr="00F0516B">
        <w:rPr>
          <w:rFonts w:ascii="Simplified Arabic" w:hAnsi="Simplified Arabic" w:hint="cs"/>
          <w:rtl/>
          <w:lang w:val="en-US"/>
        </w:rPr>
        <w:t>المسلوبة</w:t>
      </w:r>
      <w:r w:rsidRPr="00F0516B">
        <w:rPr>
          <w:rtl/>
          <w:lang w:val="en-US"/>
        </w:rPr>
        <w:t xml:space="preserve"> </w:t>
      </w:r>
      <w:r w:rsidRPr="00F0516B">
        <w:rPr>
          <w:rFonts w:ascii="Simplified Arabic" w:hAnsi="Simplified Arabic" w:hint="cs"/>
          <w:rtl/>
          <w:lang w:val="en-US"/>
        </w:rPr>
        <w:t>حريهم</w:t>
      </w:r>
      <w:r w:rsidRPr="00F0516B">
        <w:rPr>
          <w:rtl/>
          <w:lang w:val="en-US"/>
        </w:rPr>
        <w:t xml:space="preserve"> </w:t>
      </w:r>
      <w:r w:rsidRPr="00F0516B">
        <w:rPr>
          <w:rFonts w:ascii="Simplified Arabic" w:hAnsi="Simplified Arabic" w:hint="cs"/>
          <w:rtl/>
          <w:lang w:val="en-US"/>
        </w:rPr>
        <w:t>تدريب</w:t>
      </w:r>
      <w:r w:rsidR="00BA3A1F">
        <w:rPr>
          <w:rFonts w:ascii="Simplified Arabic" w:hAnsi="Simplified Arabic" w:hint="cs"/>
          <w:rtl/>
          <w:lang w:val="en-US"/>
        </w:rPr>
        <w:t xml:space="preserve">اً </w:t>
      </w:r>
      <w:r w:rsidRPr="00F0516B">
        <w:rPr>
          <w:rFonts w:ascii="Simplified Arabic" w:hAnsi="Simplified Arabic" w:hint="cs"/>
          <w:rtl/>
          <w:lang w:val="en-US"/>
        </w:rPr>
        <w:t>على</w:t>
      </w:r>
      <w:r w:rsidRPr="00F0516B">
        <w:rPr>
          <w:rtl/>
          <w:lang w:val="en-US"/>
        </w:rPr>
        <w:t xml:space="preserve"> </w:t>
      </w:r>
      <w:r w:rsidRPr="00F0516B">
        <w:rPr>
          <w:rFonts w:ascii="Simplified Arabic" w:hAnsi="Simplified Arabic" w:hint="cs"/>
          <w:rtl/>
          <w:lang w:val="en-US"/>
        </w:rPr>
        <w:t>بروتوكول</w:t>
      </w:r>
      <w:r w:rsidRPr="00F0516B">
        <w:rPr>
          <w:rtl/>
          <w:lang w:val="en-US"/>
        </w:rPr>
        <w:t xml:space="preserve"> </w:t>
      </w:r>
      <w:r w:rsidRPr="00F0516B">
        <w:rPr>
          <w:rFonts w:ascii="Simplified Arabic" w:hAnsi="Simplified Arabic" w:hint="cs"/>
          <w:rtl/>
          <w:lang w:val="en-US"/>
        </w:rPr>
        <w:t>اسطنبول</w:t>
      </w:r>
      <w:r w:rsidRPr="00F0516B">
        <w:rPr>
          <w:rtl/>
          <w:lang w:val="en-US"/>
        </w:rPr>
        <w:t xml:space="preserve"> (</w:t>
      </w:r>
      <w:r w:rsidRPr="00F0516B">
        <w:rPr>
          <w:rFonts w:ascii="Simplified Arabic" w:hAnsi="Simplified Arabic" w:hint="cs"/>
          <w:rtl/>
          <w:lang w:val="en-US"/>
        </w:rPr>
        <w:t>المادة</w:t>
      </w:r>
      <w:r w:rsidRPr="00F0516B">
        <w:rPr>
          <w:rtl/>
          <w:lang w:val="en-US"/>
        </w:rPr>
        <w:t xml:space="preserve"> </w:t>
      </w:r>
      <w:r w:rsidRPr="00E83825">
        <w:rPr>
          <w:rtl/>
          <w:lang w:val="en-US"/>
        </w:rPr>
        <w:t>10</w:t>
      </w:r>
      <w:r w:rsidRPr="00F0516B">
        <w:rPr>
          <w:rtl/>
          <w:lang w:val="en-US"/>
        </w:rPr>
        <w:t>).</w:t>
      </w:r>
    </w:p>
    <w:p w14:paraId="06D9AEAB" w14:textId="77777777" w:rsidR="00F0516B" w:rsidRPr="00E83825" w:rsidRDefault="00F0516B" w:rsidP="00F0516B">
      <w:pPr>
        <w:pStyle w:val="SingleTxtGA"/>
        <w:rPr>
          <w:b/>
          <w:bCs/>
          <w:lang w:val="en-US"/>
        </w:rPr>
      </w:pPr>
      <w:r w:rsidRPr="00E83825">
        <w:rPr>
          <w:rtl/>
          <w:lang w:val="en-US"/>
        </w:rPr>
        <w:t>33</w:t>
      </w:r>
      <w:r w:rsidRPr="00F0516B">
        <w:rPr>
          <w:rtl/>
          <w:lang w:val="en-US"/>
        </w:rPr>
        <w:t>-</w:t>
      </w:r>
      <w:r w:rsidRPr="00F0516B">
        <w:rPr>
          <w:rtl/>
          <w:lang w:val="en-US"/>
        </w:rPr>
        <w:tab/>
      </w:r>
      <w:r w:rsidRPr="00E83825">
        <w:rPr>
          <w:b/>
          <w:bCs/>
          <w:rtl/>
          <w:lang w:val="en-US"/>
        </w:rPr>
        <w:t>ينبغي للدولة الطرف القيام بما يلي:</w:t>
      </w:r>
    </w:p>
    <w:p w14:paraId="680E974E" w14:textId="14AD27F4" w:rsidR="00F0516B" w:rsidRPr="00E83825" w:rsidRDefault="00E95C38" w:rsidP="00F0516B">
      <w:pPr>
        <w:pStyle w:val="SingleTxtGA"/>
        <w:rPr>
          <w:b/>
          <w:bCs/>
          <w:lang w:val="en-US"/>
        </w:rPr>
      </w:pPr>
      <w:r>
        <w:rPr>
          <w:rtl/>
          <w:lang w:val="en-US"/>
        </w:rPr>
        <w:tab/>
      </w:r>
      <w:r w:rsidR="00F0516B" w:rsidRPr="00F0516B">
        <w:rPr>
          <w:rtl/>
          <w:lang w:val="en-US"/>
        </w:rPr>
        <w:t>(أ)</w:t>
      </w:r>
      <w:r w:rsidR="00F0516B" w:rsidRPr="00F0516B">
        <w:rPr>
          <w:rtl/>
          <w:lang w:val="en-US"/>
        </w:rPr>
        <w:tab/>
      </w:r>
      <w:r w:rsidR="00F0516B" w:rsidRPr="00E83825">
        <w:rPr>
          <w:b/>
          <w:bCs/>
          <w:rtl/>
          <w:lang w:val="en-US"/>
        </w:rPr>
        <w:t>المضي في وضع برامج تدريبية إلزامية أولية ومستمرة بغرض ضمان اطلاع جميع الموظفين العموميين اطلاع</w:t>
      </w:r>
      <w:r w:rsidR="00BA3A1F" w:rsidRPr="00E83825">
        <w:rPr>
          <w:b/>
          <w:bCs/>
          <w:rtl/>
          <w:lang w:val="en-US"/>
        </w:rPr>
        <w:t xml:space="preserve">اً </w:t>
      </w:r>
      <w:r w:rsidR="00F0516B" w:rsidRPr="00E83825">
        <w:rPr>
          <w:b/>
          <w:bCs/>
          <w:rtl/>
          <w:lang w:val="en-US"/>
        </w:rPr>
        <w:t>جيداً على أحكام الاتفاقية</w:t>
      </w:r>
      <w:r w:rsidR="00FE64D9" w:rsidRPr="00E83825">
        <w:rPr>
          <w:b/>
          <w:bCs/>
          <w:rtl/>
          <w:lang w:val="en-US"/>
        </w:rPr>
        <w:t>،</w:t>
      </w:r>
      <w:r w:rsidR="00F0516B" w:rsidRPr="00E83825">
        <w:rPr>
          <w:b/>
          <w:bCs/>
          <w:rtl/>
          <w:lang w:val="en-US"/>
        </w:rPr>
        <w:t xml:space="preserve"> لا سيما الحظر المطلق للتعذيب</w:t>
      </w:r>
      <w:r w:rsidR="00FE64D9" w:rsidRPr="00E83825">
        <w:rPr>
          <w:b/>
          <w:bCs/>
          <w:rtl/>
          <w:lang w:val="en-US"/>
        </w:rPr>
        <w:t>،</w:t>
      </w:r>
      <w:r w:rsidR="00F0516B" w:rsidRPr="00E83825">
        <w:rPr>
          <w:b/>
          <w:bCs/>
          <w:rtl/>
          <w:lang w:val="en-US"/>
        </w:rPr>
        <w:t xml:space="preserve"> وإدراكهم تماماً أن الانتهاكات التي تحدث ستواجه بصرامة وسيُحقَّق فيها ويلاحَق مرتكبوها أمام القضاء ويعاقَبون بما</w:t>
      </w:r>
      <w:r w:rsidR="00D17AFF" w:rsidRPr="00E83825">
        <w:rPr>
          <w:rFonts w:hint="cs"/>
          <w:b/>
          <w:bCs/>
          <w:rtl/>
          <w:lang w:val="en-US"/>
        </w:rPr>
        <w:t> </w:t>
      </w:r>
      <w:r w:rsidR="00F0516B" w:rsidRPr="00E83825">
        <w:rPr>
          <w:b/>
          <w:bCs/>
          <w:rtl/>
          <w:lang w:val="en-US"/>
        </w:rPr>
        <w:t>يتناسب مع الجرم المرتكب إذا ثبتت إدانتهم؛</w:t>
      </w:r>
    </w:p>
    <w:p w14:paraId="12CF8C97" w14:textId="03D9DDE6" w:rsidR="00F0516B" w:rsidRPr="00E83825" w:rsidRDefault="00E95C38" w:rsidP="00F0516B">
      <w:pPr>
        <w:pStyle w:val="SingleTxtGA"/>
        <w:rPr>
          <w:b/>
          <w:bCs/>
          <w:lang w:val="en-US"/>
        </w:rPr>
      </w:pPr>
      <w:r>
        <w:rPr>
          <w:rtl/>
          <w:lang w:val="en-US"/>
        </w:rPr>
        <w:tab/>
      </w:r>
      <w:r w:rsidR="00F0516B" w:rsidRPr="00F0516B">
        <w:rPr>
          <w:rtl/>
          <w:lang w:val="en-US"/>
        </w:rPr>
        <w:t>(ب)</w:t>
      </w:r>
      <w:r w:rsidR="00F0516B" w:rsidRPr="00F0516B">
        <w:rPr>
          <w:rtl/>
          <w:lang w:val="en-US"/>
        </w:rPr>
        <w:tab/>
      </w:r>
      <w:r w:rsidR="00F0516B" w:rsidRPr="00E83825">
        <w:rPr>
          <w:b/>
          <w:bCs/>
          <w:rtl/>
          <w:lang w:val="en-US"/>
        </w:rPr>
        <w:t>المضي في ضمان تلقي جميع الموظفين المعنيين</w:t>
      </w:r>
      <w:r w:rsidR="00FE64D9" w:rsidRPr="00E83825">
        <w:rPr>
          <w:b/>
          <w:bCs/>
          <w:rtl/>
          <w:lang w:val="en-US"/>
        </w:rPr>
        <w:t>،</w:t>
      </w:r>
      <w:r w:rsidR="00F0516B" w:rsidRPr="00E83825">
        <w:rPr>
          <w:b/>
          <w:bCs/>
          <w:rtl/>
          <w:lang w:val="en-US"/>
        </w:rPr>
        <w:t xml:space="preserve"> بمن فيهم الموظفون الطبيون</w:t>
      </w:r>
      <w:r w:rsidR="00FE64D9" w:rsidRPr="00E83825">
        <w:rPr>
          <w:b/>
          <w:bCs/>
          <w:rtl/>
          <w:lang w:val="en-US"/>
        </w:rPr>
        <w:t>،</w:t>
      </w:r>
      <w:r w:rsidR="00F0516B" w:rsidRPr="00E83825">
        <w:rPr>
          <w:b/>
          <w:bCs/>
          <w:rtl/>
          <w:lang w:val="en-US"/>
        </w:rPr>
        <w:t xml:space="preserve"> تدريباً خاصاً للكشف عن حالات التعذيب وإساءة المعاملة وفقاً لبروتوكول اسطنبول؛</w:t>
      </w:r>
    </w:p>
    <w:p w14:paraId="3F513CFF" w14:textId="13D2322A" w:rsidR="00F0516B" w:rsidRPr="00E83825" w:rsidRDefault="00E95C38" w:rsidP="00F0516B">
      <w:pPr>
        <w:pStyle w:val="SingleTxtGA"/>
        <w:rPr>
          <w:b/>
          <w:bCs/>
          <w:lang w:val="en-US"/>
        </w:rPr>
      </w:pPr>
      <w:r>
        <w:rPr>
          <w:rtl/>
          <w:lang w:val="en-US"/>
        </w:rPr>
        <w:tab/>
      </w:r>
      <w:r w:rsidR="00F0516B" w:rsidRPr="00F0516B">
        <w:rPr>
          <w:rtl/>
          <w:lang w:val="en-US"/>
        </w:rPr>
        <w:t>(ج)</w:t>
      </w:r>
      <w:r w:rsidR="00F0516B" w:rsidRPr="00F0516B">
        <w:rPr>
          <w:rtl/>
          <w:lang w:val="en-US"/>
        </w:rPr>
        <w:tab/>
      </w:r>
      <w:r w:rsidR="00F0516B" w:rsidRPr="00E83825">
        <w:rPr>
          <w:b/>
          <w:bCs/>
          <w:rtl/>
          <w:lang w:val="en-US"/>
        </w:rPr>
        <w:t>وضع منهجية لتقييم فعالية هذه البرامج التدريبية وتعديلها وفقاً لاحتياجات التدريب المهني للموظفين المذكورين أعلاه.</w:t>
      </w:r>
    </w:p>
    <w:p w14:paraId="2A9DC8B2" w14:textId="77777777" w:rsidR="00F0516B" w:rsidRPr="00E83825" w:rsidRDefault="00F0516B" w:rsidP="00E95C38">
      <w:pPr>
        <w:pStyle w:val="H23GA"/>
      </w:pPr>
      <w:r w:rsidRPr="00E83825">
        <w:rPr>
          <w:rtl/>
        </w:rPr>
        <w:lastRenderedPageBreak/>
        <w:tab/>
      </w:r>
      <w:r w:rsidRPr="00E83825">
        <w:rPr>
          <w:rtl/>
        </w:rPr>
        <w:tab/>
        <w:t>جمع البيانات</w:t>
      </w:r>
    </w:p>
    <w:p w14:paraId="02292823" w14:textId="146E60FF" w:rsidR="00F0516B" w:rsidRPr="00F0516B" w:rsidRDefault="00F0516B" w:rsidP="00F0516B">
      <w:pPr>
        <w:pStyle w:val="SingleTxtGA"/>
        <w:rPr>
          <w:lang w:val="en-US"/>
        </w:rPr>
      </w:pPr>
      <w:r w:rsidRPr="00E83825">
        <w:rPr>
          <w:rtl/>
          <w:lang w:val="en-US"/>
        </w:rPr>
        <w:t>34</w:t>
      </w:r>
      <w:r w:rsidRPr="00F0516B">
        <w:rPr>
          <w:rtl/>
          <w:lang w:val="en-US"/>
        </w:rPr>
        <w:t>-</w:t>
      </w:r>
      <w:r w:rsidRPr="00F0516B">
        <w:rPr>
          <w:rtl/>
          <w:lang w:val="en-US"/>
        </w:rPr>
        <w:tab/>
        <w:t>تأسف اللجنة لعدم وجود بيانات شاملة ومصنفة عن الشكاوى والتحقيقات والمحاكمات والإدانات في قضايا التعذيب وإساءة المعاملة على أيدي موظفي إنفاذ القانون وموظفي الجيش والسجون</w:t>
      </w:r>
      <w:r w:rsidR="00FE64D9">
        <w:rPr>
          <w:rtl/>
          <w:lang w:val="en-US"/>
        </w:rPr>
        <w:t>،</w:t>
      </w:r>
      <w:r w:rsidRPr="00F0516B">
        <w:rPr>
          <w:rtl/>
          <w:lang w:val="en-US"/>
        </w:rPr>
        <w:t xml:space="preserve"> وعن حالات العنف المنزلي والجنسي والجنساني والعنف </w:t>
      </w:r>
      <w:proofErr w:type="spellStart"/>
      <w:r w:rsidRPr="00F0516B">
        <w:rPr>
          <w:rtl/>
          <w:lang w:val="en-US"/>
        </w:rPr>
        <w:t>بالمثليات</w:t>
      </w:r>
      <w:proofErr w:type="spellEnd"/>
      <w:r w:rsidRPr="00F0516B">
        <w:rPr>
          <w:rtl/>
          <w:lang w:val="en-US"/>
        </w:rPr>
        <w:t xml:space="preserve"> والمثليين ومزدوجي الميل الجنسي ومغايري الهوية الجنسانية</w:t>
      </w:r>
      <w:r w:rsidR="00FE64D9">
        <w:rPr>
          <w:rtl/>
          <w:lang w:val="en-US"/>
        </w:rPr>
        <w:t>،</w:t>
      </w:r>
      <w:r w:rsidRPr="00F0516B">
        <w:rPr>
          <w:rtl/>
          <w:lang w:val="en-US"/>
        </w:rPr>
        <w:t xml:space="preserve"> وحالات الاتجار.</w:t>
      </w:r>
    </w:p>
    <w:p w14:paraId="7FF58786" w14:textId="56F2F079" w:rsidR="00F0516B" w:rsidRPr="00F0516B" w:rsidRDefault="00F0516B" w:rsidP="00F0516B">
      <w:pPr>
        <w:pStyle w:val="SingleTxtGA"/>
        <w:rPr>
          <w:lang w:val="en-US"/>
        </w:rPr>
      </w:pPr>
      <w:r w:rsidRPr="00E83825">
        <w:rPr>
          <w:rtl/>
          <w:lang w:val="en-US"/>
        </w:rPr>
        <w:t>35</w:t>
      </w:r>
      <w:r w:rsidRPr="00F0516B">
        <w:rPr>
          <w:rtl/>
          <w:lang w:val="en-US"/>
        </w:rPr>
        <w:t>-</w:t>
      </w:r>
      <w:r w:rsidRPr="00F0516B">
        <w:rPr>
          <w:rtl/>
          <w:lang w:val="en-US"/>
        </w:rPr>
        <w:tab/>
      </w:r>
      <w:r w:rsidRPr="00E83825">
        <w:rPr>
          <w:b/>
          <w:bCs/>
          <w:rtl/>
          <w:lang w:val="en-US"/>
        </w:rPr>
        <w:t>ينبغي للدولة الطرف أن تجمّع بيانات إحصائية تتعلق برصد تنفيذ الاتفاقية على الصعيد الوطني</w:t>
      </w:r>
      <w:r w:rsidR="00FE64D9" w:rsidRPr="00E83825">
        <w:rPr>
          <w:b/>
          <w:bCs/>
          <w:rtl/>
          <w:lang w:val="en-US"/>
        </w:rPr>
        <w:t>،</w:t>
      </w:r>
      <w:r w:rsidRPr="00E83825">
        <w:rPr>
          <w:b/>
          <w:bCs/>
          <w:rtl/>
          <w:lang w:val="en-US"/>
        </w:rPr>
        <w:t xml:space="preserve"> بما في ذلك إحصاءات مصنّفة حسب السن ونوع الجنس والأصل الإثني والجريمة والموقع الجغرافي</w:t>
      </w:r>
      <w:r w:rsidR="00FE64D9" w:rsidRPr="00E83825">
        <w:rPr>
          <w:b/>
          <w:bCs/>
          <w:rtl/>
          <w:lang w:val="en-US"/>
        </w:rPr>
        <w:t>،</w:t>
      </w:r>
      <w:r w:rsidRPr="00E83825">
        <w:rPr>
          <w:b/>
          <w:bCs/>
          <w:rtl/>
          <w:lang w:val="en-US"/>
        </w:rPr>
        <w:t xml:space="preserve"> عن الشكاوى والتحقيقات والملاحقات والإدانات في قضايا التعذيب وإساءة المعاملة والاتجار بالبشر والعنف المنزلي والجنسي والجنساني والعنف بالأطفال</w:t>
      </w:r>
      <w:r w:rsidR="00FE64D9" w:rsidRPr="00E83825">
        <w:rPr>
          <w:b/>
          <w:bCs/>
          <w:rtl/>
          <w:lang w:val="en-US"/>
        </w:rPr>
        <w:t>،</w:t>
      </w:r>
      <w:r w:rsidRPr="00E83825">
        <w:rPr>
          <w:b/>
          <w:bCs/>
          <w:rtl/>
          <w:lang w:val="en-US"/>
        </w:rPr>
        <w:t xml:space="preserve"> وكذلك عن نتائج تلك الشكاوى والقضايا</w:t>
      </w:r>
      <w:r w:rsidR="00FE64D9" w:rsidRPr="00E83825">
        <w:rPr>
          <w:b/>
          <w:bCs/>
          <w:rtl/>
          <w:lang w:val="en-US"/>
        </w:rPr>
        <w:t>،</w:t>
      </w:r>
      <w:r w:rsidRPr="00E83825">
        <w:rPr>
          <w:b/>
          <w:bCs/>
          <w:rtl/>
          <w:lang w:val="en-US"/>
        </w:rPr>
        <w:t xml:space="preserve"> بما في ذلك سبل الجبر المتاحة.</w:t>
      </w:r>
      <w:r w:rsidRPr="00F0516B">
        <w:rPr>
          <w:rtl/>
          <w:lang w:val="en-US"/>
        </w:rPr>
        <w:t xml:space="preserve"> </w:t>
      </w:r>
    </w:p>
    <w:p w14:paraId="095D2475" w14:textId="56959FBB" w:rsidR="00F0516B" w:rsidRPr="00E83825" w:rsidRDefault="00F0516B" w:rsidP="00F0516B">
      <w:pPr>
        <w:pStyle w:val="SingleTxtGA"/>
        <w:rPr>
          <w:b/>
          <w:bCs/>
          <w:lang w:val="en-US"/>
        </w:rPr>
      </w:pPr>
      <w:r w:rsidRPr="00E83825">
        <w:rPr>
          <w:rtl/>
          <w:lang w:val="en-US"/>
        </w:rPr>
        <w:t>36</w:t>
      </w:r>
      <w:r w:rsidRPr="00F0516B">
        <w:rPr>
          <w:rtl/>
          <w:lang w:val="en-US"/>
        </w:rPr>
        <w:t>-</w:t>
      </w:r>
      <w:r w:rsidRPr="00F0516B">
        <w:rPr>
          <w:rtl/>
          <w:lang w:val="en-US"/>
        </w:rPr>
        <w:tab/>
      </w:r>
      <w:r w:rsidRPr="00E83825">
        <w:rPr>
          <w:rFonts w:ascii="Times New Roman Bold" w:hAnsi="Times New Roman Bold"/>
          <w:b/>
          <w:bCs/>
          <w:spacing w:val="-4"/>
          <w:rtl/>
          <w:lang w:val="en-US"/>
        </w:rPr>
        <w:t xml:space="preserve">وتشجّع اللجنة الدولة الطرف على النظر في إصدار الإعلانين المنصوص عليهما في المادتين 21 </w:t>
      </w:r>
      <w:r w:rsidRPr="00E83825">
        <w:rPr>
          <w:b/>
          <w:bCs/>
          <w:rtl/>
          <w:lang w:val="en-US"/>
        </w:rPr>
        <w:t>و22 من الاتفاقية والاعتراف بذلك باختصاص اللجنة في تلقي البلاغات الواردة من الأفراد الخاضعين لولايتها القضائية والنظر فيها.</w:t>
      </w:r>
    </w:p>
    <w:p w14:paraId="554C61F6" w14:textId="6AEAFDF0" w:rsidR="00F0516B" w:rsidRPr="00E83825" w:rsidRDefault="00F0516B" w:rsidP="00F0516B">
      <w:pPr>
        <w:pStyle w:val="SingleTxtGA"/>
        <w:rPr>
          <w:b/>
          <w:bCs/>
          <w:lang w:val="en-US"/>
        </w:rPr>
      </w:pPr>
      <w:r w:rsidRPr="00E83825">
        <w:rPr>
          <w:rtl/>
          <w:lang w:val="en-US"/>
        </w:rPr>
        <w:t>37</w:t>
      </w:r>
      <w:r w:rsidRPr="00F0516B">
        <w:rPr>
          <w:rtl/>
          <w:lang w:val="en-US"/>
        </w:rPr>
        <w:t>-</w:t>
      </w:r>
      <w:r w:rsidRPr="00F0516B">
        <w:rPr>
          <w:rtl/>
          <w:lang w:val="en-US"/>
        </w:rPr>
        <w:tab/>
      </w:r>
      <w:r w:rsidRPr="00E83825">
        <w:rPr>
          <w:rFonts w:ascii="Times New Roman Bold" w:hAnsi="Times New Roman Bold"/>
          <w:b/>
          <w:bCs/>
          <w:spacing w:val="-4"/>
          <w:rtl/>
          <w:lang w:val="en-US"/>
        </w:rPr>
        <w:t>ويُطلب إلى الدولة الطرف أن تنشر على نطاق واسع التقرير المقدّم إلى اللجنة وهذه الملاحظات</w:t>
      </w:r>
      <w:r w:rsidRPr="00E83825">
        <w:rPr>
          <w:b/>
          <w:bCs/>
          <w:rtl/>
          <w:lang w:val="en-US"/>
        </w:rPr>
        <w:t xml:space="preserve"> الختامية</w:t>
      </w:r>
      <w:r w:rsidR="00FE64D9" w:rsidRPr="00E83825">
        <w:rPr>
          <w:b/>
          <w:bCs/>
          <w:rtl/>
          <w:lang w:val="en-US"/>
        </w:rPr>
        <w:t>،</w:t>
      </w:r>
      <w:r w:rsidRPr="00E83825">
        <w:rPr>
          <w:b/>
          <w:bCs/>
          <w:rtl/>
          <w:lang w:val="en-US"/>
        </w:rPr>
        <w:t xml:space="preserve"> باللغات المناسبة</w:t>
      </w:r>
      <w:r w:rsidR="00FE64D9" w:rsidRPr="00E83825">
        <w:rPr>
          <w:b/>
          <w:bCs/>
          <w:rtl/>
          <w:lang w:val="en-US"/>
        </w:rPr>
        <w:t>،</w:t>
      </w:r>
      <w:r w:rsidRPr="00E83825">
        <w:rPr>
          <w:b/>
          <w:bCs/>
          <w:rtl/>
          <w:lang w:val="en-US"/>
        </w:rPr>
        <w:t xml:space="preserve"> وذلك عن طريق المواقع الرسمية على الإنترنت ووسائط الإعلام والمنظمات غير الحكومية وإبلاغ اللجنة بما تضطلع به من أنشطة النشر.</w:t>
      </w:r>
    </w:p>
    <w:p w14:paraId="6E5702D1" w14:textId="1912E314" w:rsidR="00F0516B" w:rsidRPr="00E83825" w:rsidRDefault="00F0516B" w:rsidP="00F0516B">
      <w:pPr>
        <w:pStyle w:val="SingleTxtGA"/>
        <w:rPr>
          <w:b/>
          <w:bCs/>
          <w:lang w:val="en-US"/>
        </w:rPr>
      </w:pPr>
      <w:r w:rsidRPr="00E83825">
        <w:rPr>
          <w:rtl/>
          <w:lang w:val="en-US"/>
        </w:rPr>
        <w:t>38</w:t>
      </w:r>
      <w:r w:rsidRPr="00F0516B">
        <w:rPr>
          <w:rtl/>
          <w:lang w:val="en-US"/>
        </w:rPr>
        <w:t>-</w:t>
      </w:r>
      <w:r w:rsidRPr="00F0516B">
        <w:rPr>
          <w:rtl/>
          <w:lang w:val="en-US"/>
        </w:rPr>
        <w:tab/>
      </w:r>
      <w:r w:rsidRPr="00E83825">
        <w:rPr>
          <w:b/>
          <w:bCs/>
          <w:rtl/>
          <w:lang w:val="en-US"/>
        </w:rPr>
        <w:t>وتطلب اللجنة إلى الدولة الطرف أن تقدم</w:t>
      </w:r>
      <w:r w:rsidR="00FE64D9" w:rsidRPr="00E83825">
        <w:rPr>
          <w:b/>
          <w:bCs/>
          <w:rtl/>
          <w:lang w:val="en-US"/>
        </w:rPr>
        <w:t>،</w:t>
      </w:r>
      <w:r w:rsidRPr="00E83825">
        <w:rPr>
          <w:b/>
          <w:bCs/>
          <w:rtl/>
          <w:lang w:val="en-US"/>
        </w:rPr>
        <w:t xml:space="preserve"> بحلول 3 كانون الأول/ديسمبر 2022</w:t>
      </w:r>
      <w:r w:rsidR="00FE64D9" w:rsidRPr="00E83825">
        <w:rPr>
          <w:b/>
          <w:bCs/>
          <w:rtl/>
          <w:lang w:val="en-US"/>
        </w:rPr>
        <w:t>،</w:t>
      </w:r>
      <w:r w:rsidRPr="00E83825">
        <w:rPr>
          <w:b/>
          <w:bCs/>
          <w:rtl/>
          <w:lang w:val="en-US"/>
        </w:rPr>
        <w:t xml:space="preserve"> معلومات عن متابعة توصيات اللجنة بشأن الآلية الوقائية الوطنية</w:t>
      </w:r>
      <w:r w:rsidR="00FE64D9" w:rsidRPr="00E83825">
        <w:rPr>
          <w:b/>
          <w:bCs/>
          <w:rtl/>
          <w:lang w:val="en-US"/>
        </w:rPr>
        <w:t>،</w:t>
      </w:r>
      <w:r w:rsidRPr="00E83825">
        <w:rPr>
          <w:b/>
          <w:bCs/>
          <w:rtl/>
          <w:lang w:val="en-US"/>
        </w:rPr>
        <w:t xml:space="preserve"> والعنف بالمرأة</w:t>
      </w:r>
      <w:r w:rsidR="00FE64D9" w:rsidRPr="00E83825">
        <w:rPr>
          <w:b/>
          <w:bCs/>
          <w:rtl/>
          <w:lang w:val="en-US"/>
        </w:rPr>
        <w:t>،</w:t>
      </w:r>
      <w:r w:rsidRPr="00E83825">
        <w:rPr>
          <w:b/>
          <w:bCs/>
          <w:rtl/>
          <w:lang w:val="en-US"/>
        </w:rPr>
        <w:t xml:space="preserve"> بما في ذلك زواج الخطف</w:t>
      </w:r>
      <w:r w:rsidR="00FE64D9" w:rsidRPr="00E83825">
        <w:rPr>
          <w:b/>
          <w:bCs/>
          <w:rtl/>
          <w:lang w:val="en-US"/>
        </w:rPr>
        <w:t>،</w:t>
      </w:r>
      <w:r w:rsidRPr="00E83825">
        <w:rPr>
          <w:b/>
          <w:bCs/>
          <w:rtl/>
          <w:lang w:val="en-US"/>
        </w:rPr>
        <w:t xml:space="preserve"> والتحقيق في أفعال التعذيب وإساءة المعاملة (انظر الفقرات 13 و19 و25 أعلاه). وفي هذا السياق</w:t>
      </w:r>
      <w:r w:rsidR="00FE64D9" w:rsidRPr="00E83825">
        <w:rPr>
          <w:b/>
          <w:bCs/>
          <w:rtl/>
          <w:lang w:val="en-US"/>
        </w:rPr>
        <w:t>،</w:t>
      </w:r>
      <w:r w:rsidRPr="00E83825">
        <w:rPr>
          <w:b/>
          <w:bCs/>
          <w:rtl/>
          <w:lang w:val="en-US"/>
        </w:rPr>
        <w:t xml:space="preserve"> تدعو اللجنة الدولة الطرف إلى إعلامها بما لديها من خطط لتنفيذ بعض التوصيات المتبقية الواردة في الملاحظات الختامية أو جميعها</w:t>
      </w:r>
      <w:r w:rsidR="00FE64D9" w:rsidRPr="00E83825">
        <w:rPr>
          <w:b/>
          <w:bCs/>
          <w:rtl/>
          <w:lang w:val="en-US"/>
        </w:rPr>
        <w:t>،</w:t>
      </w:r>
      <w:r w:rsidRPr="00E83825">
        <w:rPr>
          <w:b/>
          <w:bCs/>
          <w:rtl/>
          <w:lang w:val="en-US"/>
        </w:rPr>
        <w:t xml:space="preserve"> خلال الفترة المشمولة بالتقرير المقبل. </w:t>
      </w:r>
    </w:p>
    <w:p w14:paraId="1B13EDB6" w14:textId="22E48FB1" w:rsidR="00F0516B" w:rsidRPr="00E83825" w:rsidRDefault="00F0516B" w:rsidP="00F0516B">
      <w:pPr>
        <w:pStyle w:val="SingleTxtGA"/>
        <w:rPr>
          <w:b/>
          <w:bCs/>
          <w:lang w:val="en-US"/>
        </w:rPr>
      </w:pPr>
      <w:r w:rsidRPr="00E83825">
        <w:rPr>
          <w:rtl/>
          <w:lang w:val="en-US"/>
        </w:rPr>
        <w:t>39</w:t>
      </w:r>
      <w:r w:rsidRPr="00F0516B">
        <w:rPr>
          <w:rtl/>
          <w:lang w:val="en-US"/>
        </w:rPr>
        <w:t>-</w:t>
      </w:r>
      <w:r w:rsidRPr="00F0516B">
        <w:rPr>
          <w:rtl/>
          <w:lang w:val="en-US"/>
        </w:rPr>
        <w:tab/>
      </w:r>
      <w:r w:rsidRPr="00E83825">
        <w:rPr>
          <w:b/>
          <w:bCs/>
          <w:rtl/>
          <w:lang w:val="en-US"/>
        </w:rPr>
        <w:t>وتطلب اللجنة إلى الدولة الطرف أن تقدّم تقريرها الدوري المقبل</w:t>
      </w:r>
      <w:r w:rsidR="00FE64D9" w:rsidRPr="00E83825">
        <w:rPr>
          <w:b/>
          <w:bCs/>
          <w:rtl/>
          <w:lang w:val="en-US"/>
        </w:rPr>
        <w:t>،</w:t>
      </w:r>
      <w:r w:rsidRPr="00E83825">
        <w:rPr>
          <w:b/>
          <w:bCs/>
          <w:rtl/>
          <w:lang w:val="en-US"/>
        </w:rPr>
        <w:t xml:space="preserve"> الذي سيكون تقريرها الرابع</w:t>
      </w:r>
      <w:r w:rsidR="00FE64D9" w:rsidRPr="00E83825">
        <w:rPr>
          <w:b/>
          <w:bCs/>
          <w:rtl/>
          <w:lang w:val="en-US"/>
        </w:rPr>
        <w:t>،</w:t>
      </w:r>
      <w:r w:rsidRPr="00E83825">
        <w:rPr>
          <w:b/>
          <w:bCs/>
          <w:rtl/>
          <w:lang w:val="en-US"/>
        </w:rPr>
        <w:t xml:space="preserve"> بحلول 3 كانون الأول/ديسمبر 2025. ولهذا الغرض</w:t>
      </w:r>
      <w:r w:rsidR="00FE64D9" w:rsidRPr="00E83825">
        <w:rPr>
          <w:b/>
          <w:bCs/>
          <w:rtl/>
          <w:lang w:val="en-US"/>
        </w:rPr>
        <w:t>،</w:t>
      </w:r>
      <w:r w:rsidRPr="00E83825">
        <w:rPr>
          <w:b/>
          <w:bCs/>
          <w:rtl/>
          <w:lang w:val="en-US"/>
        </w:rPr>
        <w:t xml:space="preserve"> وبالنظر إلى أن الدولة الطرف وافقت على تقديم </w:t>
      </w:r>
      <w:r w:rsidRPr="00E83825">
        <w:rPr>
          <w:rFonts w:ascii="Times New Roman Bold" w:hAnsi="Times New Roman Bold"/>
          <w:b/>
          <w:bCs/>
          <w:spacing w:val="-2"/>
          <w:rtl/>
          <w:lang w:val="en-US"/>
        </w:rPr>
        <w:t>تقاريرها إلى اللجنة عملاً بالإجراء المبسّط لتقديم التقارير</w:t>
      </w:r>
      <w:r w:rsidR="00FE64D9" w:rsidRPr="00E83825">
        <w:rPr>
          <w:rFonts w:ascii="Times New Roman Bold" w:hAnsi="Times New Roman Bold"/>
          <w:b/>
          <w:bCs/>
          <w:spacing w:val="-2"/>
          <w:rtl/>
          <w:lang w:val="en-US"/>
        </w:rPr>
        <w:t>،</w:t>
      </w:r>
      <w:r w:rsidRPr="00E83825">
        <w:rPr>
          <w:rFonts w:ascii="Times New Roman Bold" w:hAnsi="Times New Roman Bold"/>
          <w:b/>
          <w:bCs/>
          <w:spacing w:val="-2"/>
          <w:rtl/>
          <w:lang w:val="en-US"/>
        </w:rPr>
        <w:t xml:space="preserve"> فإن اللجنة ستحيل إليها</w:t>
      </w:r>
      <w:r w:rsidR="00FE64D9" w:rsidRPr="00E83825">
        <w:rPr>
          <w:rFonts w:ascii="Times New Roman Bold" w:hAnsi="Times New Roman Bold"/>
          <w:b/>
          <w:bCs/>
          <w:spacing w:val="-2"/>
          <w:rtl/>
          <w:lang w:val="en-US"/>
        </w:rPr>
        <w:t>،</w:t>
      </w:r>
      <w:r w:rsidRPr="00E83825">
        <w:rPr>
          <w:rFonts w:ascii="Times New Roman Bold" w:hAnsi="Times New Roman Bold"/>
          <w:b/>
          <w:bCs/>
          <w:spacing w:val="-2"/>
          <w:rtl/>
          <w:lang w:val="en-US"/>
        </w:rPr>
        <w:t xml:space="preserve"> في الوقت المناسب</w:t>
      </w:r>
      <w:r w:rsidR="00FE64D9" w:rsidRPr="00E83825">
        <w:rPr>
          <w:b/>
          <w:bCs/>
          <w:rtl/>
          <w:lang w:val="en-US"/>
        </w:rPr>
        <w:t>،</w:t>
      </w:r>
      <w:r w:rsidRPr="00E83825">
        <w:rPr>
          <w:b/>
          <w:bCs/>
          <w:rtl/>
          <w:lang w:val="en-US"/>
        </w:rPr>
        <w:t xml:space="preserve"> قائمة مسائل قبل تقديم تقريرها. وستشكّل ردود الدولة الطرف على قائمة المسائل هذه تقريرها الدوري الرابع بموجب المادة 19 من الاتفاقية.</w:t>
      </w:r>
    </w:p>
    <w:p w14:paraId="53C71727" w14:textId="17D010E9" w:rsidR="00E95C38" w:rsidRPr="00E95C38" w:rsidRDefault="00E95C38" w:rsidP="00E95C38">
      <w:pPr>
        <w:pStyle w:val="SingleTxtGA"/>
        <w:jc w:val="center"/>
        <w:rPr>
          <w:u w:val="single"/>
          <w:rtl/>
        </w:rPr>
      </w:pPr>
      <w:r>
        <w:rPr>
          <w:u w:val="single"/>
          <w:rtl/>
        </w:rPr>
        <w:tab/>
      </w:r>
      <w:r>
        <w:rPr>
          <w:u w:val="single"/>
          <w:rtl/>
        </w:rPr>
        <w:tab/>
      </w:r>
      <w:r>
        <w:rPr>
          <w:u w:val="single"/>
          <w:rtl/>
        </w:rPr>
        <w:tab/>
      </w:r>
    </w:p>
    <w:sectPr w:rsidR="00E95C38" w:rsidRPr="00E95C38" w:rsidSect="00FD394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72D64" w14:textId="77777777" w:rsidR="00A84E05" w:rsidRPr="002901D9" w:rsidRDefault="00A84E05" w:rsidP="00874514">
      <w:pPr>
        <w:spacing w:after="60" w:line="240" w:lineRule="auto"/>
        <w:ind w:left="57"/>
        <w:rPr>
          <w:i/>
          <w:iCs/>
        </w:rPr>
      </w:pPr>
      <w:r>
        <w:rPr>
          <w:rFonts w:hint="cs"/>
          <w:i/>
          <w:iCs/>
          <w:rtl/>
        </w:rPr>
        <w:t>الحواشي</w:t>
      </w:r>
    </w:p>
  </w:endnote>
  <w:endnote w:type="continuationSeparator" w:id="0">
    <w:p w14:paraId="53B88717" w14:textId="77777777" w:rsidR="00A84E05" w:rsidRDefault="00A84E0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1C841" w14:textId="0CB82E99" w:rsidR="00A84E05" w:rsidRPr="00E05D37" w:rsidRDefault="00A84E05" w:rsidP="00E05D37">
    <w:pPr>
      <w:pStyle w:val="Footer"/>
      <w:tabs>
        <w:tab w:val="right" w:pos="9638"/>
      </w:tabs>
      <w:rPr>
        <w:b/>
        <w:sz w:val="18"/>
        <w:lang w:val="en-US"/>
      </w:rPr>
    </w:pPr>
    <w:r>
      <w:rPr>
        <w:lang w:val="en-US"/>
      </w:rPr>
      <w:t>GE.21-19376</w:t>
    </w:r>
    <w:r>
      <w:rPr>
        <w:lang w:val="en-US"/>
      </w:rPr>
      <w:tab/>
    </w:r>
    <w:r w:rsidRPr="00E05D37">
      <w:rPr>
        <w:b/>
        <w:sz w:val="18"/>
        <w:lang w:val="en-US"/>
      </w:rPr>
      <w:fldChar w:fldCharType="begin"/>
    </w:r>
    <w:r w:rsidRPr="00E05D37">
      <w:rPr>
        <w:b/>
        <w:sz w:val="18"/>
        <w:lang w:val="en-US"/>
      </w:rPr>
      <w:instrText xml:space="preserve"> PAGE  \* MERGEFORMAT </w:instrText>
    </w:r>
    <w:r w:rsidRPr="00E05D37">
      <w:rPr>
        <w:b/>
        <w:sz w:val="18"/>
        <w:lang w:val="en-US"/>
      </w:rPr>
      <w:fldChar w:fldCharType="separate"/>
    </w:r>
    <w:r w:rsidRPr="00E05D37">
      <w:rPr>
        <w:b/>
        <w:noProof/>
        <w:sz w:val="18"/>
        <w:lang w:val="en-US"/>
      </w:rPr>
      <w:t>2</w:t>
    </w:r>
    <w:r w:rsidRPr="00E05D37">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01974" w14:textId="4DA28FE8" w:rsidR="00A84E05" w:rsidRPr="00E05D37" w:rsidRDefault="00A84E05" w:rsidP="00E05D37">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GE.21-19376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4DDDE" w14:textId="61D05697" w:rsidR="00A84E05" w:rsidRPr="00E05D37" w:rsidRDefault="00A84E05" w:rsidP="00E05D37">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6A7DC59A" wp14:editId="3DEAF278">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21-19376 (A)</w:t>
    </w:r>
    <w:r>
      <w:rPr>
        <w:noProof/>
        <w:sz w:val="20"/>
        <w:lang w:val="en-US"/>
      </w:rPr>
      <w:drawing>
        <wp:anchor distT="0" distB="0" distL="114300" distR="114300" simplePos="0" relativeHeight="251659264" behindDoc="0" locked="0" layoutInCell="1" allowOverlap="1" wp14:anchorId="1BAD3764" wp14:editId="5648E111">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E1036" w14:textId="77777777" w:rsidR="00A84E05" w:rsidRPr="00C111C6" w:rsidRDefault="00A84E05" w:rsidP="00C111C6">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7A2CF59F" w14:textId="77777777" w:rsidR="00A84E05" w:rsidRDefault="00A84E05" w:rsidP="00656392">
      <w:pPr>
        <w:spacing w:line="240" w:lineRule="auto"/>
      </w:pPr>
      <w:r>
        <w:continuationSeparator/>
      </w:r>
    </w:p>
  </w:footnote>
  <w:footnote w:id="1">
    <w:p w14:paraId="36D24304" w14:textId="50897FE5" w:rsidR="00A84E05" w:rsidRPr="00F0516B" w:rsidRDefault="00A84E05" w:rsidP="00F0516B">
      <w:pPr>
        <w:pStyle w:val="FootnoteText1"/>
        <w:rPr>
          <w:rFonts w:hint="cs"/>
          <w:rtl/>
        </w:rPr>
      </w:pPr>
      <w:r>
        <w:rPr>
          <w:rtl/>
        </w:rPr>
        <w:t>*</w:t>
      </w:r>
      <w:r>
        <w:rPr>
          <w:rtl/>
        </w:rPr>
        <w:tab/>
      </w:r>
      <w:r w:rsidRPr="00F0516B">
        <w:rPr>
          <w:rtl/>
        </w:rPr>
        <w:t>اعتمدته اللجنة في دورتها الثانية والسبعين (</w:t>
      </w:r>
      <w:r w:rsidRPr="00E83825">
        <w:rPr>
          <w:rtl/>
        </w:rPr>
        <w:t>8</w:t>
      </w:r>
      <w:r w:rsidRPr="00F0516B">
        <w:rPr>
          <w:rtl/>
        </w:rPr>
        <w:t xml:space="preserve"> تشرين الثاني/نوفمبر - </w:t>
      </w:r>
      <w:r w:rsidRPr="00E83825">
        <w:rPr>
          <w:rtl/>
        </w:rPr>
        <w:t>3</w:t>
      </w:r>
      <w:r w:rsidRPr="00F0516B">
        <w:rPr>
          <w:rtl/>
        </w:rPr>
        <w:t xml:space="preserve"> كانون الأول/ديسمبر </w:t>
      </w:r>
      <w:r w:rsidRPr="00E83825">
        <w:rPr>
          <w:rtl/>
        </w:rPr>
        <w:t>2021</w:t>
      </w:r>
      <w:r w:rsidRPr="00F0516B">
        <w:rPr>
          <w:rtl/>
        </w:rPr>
        <w:t>).</w:t>
      </w:r>
    </w:p>
  </w:footnote>
  <w:footnote w:id="2">
    <w:p w14:paraId="1B9FB131" w14:textId="66EBDA36" w:rsidR="00A84E05" w:rsidRPr="00F0516B" w:rsidRDefault="00A84E05" w:rsidP="00F0516B">
      <w:pPr>
        <w:pStyle w:val="FootnoteText1"/>
        <w:textDirection w:val="tbRlV"/>
      </w:pPr>
      <w:r w:rsidRPr="00F0516B">
        <w:rPr>
          <w:rtl/>
        </w:rPr>
        <w:t>(</w:t>
      </w:r>
      <w:r w:rsidRPr="00E83825">
        <w:rPr>
          <w:rStyle w:val="FootnoteReference"/>
          <w:vertAlign w:val="baseline"/>
        </w:rPr>
        <w:footnoteRef/>
      </w:r>
      <w:r w:rsidRPr="00F0516B">
        <w:rPr>
          <w:rtl/>
        </w:rPr>
        <w:t>)</w:t>
      </w:r>
      <w:r>
        <w:rPr>
          <w:rtl/>
        </w:rPr>
        <w:tab/>
      </w:r>
      <w:hyperlink r:id="rId1" w:history="1">
        <w:r w:rsidRPr="00FE64D9">
          <w:rPr>
            <w:rStyle w:val="Hyperlink"/>
          </w:rPr>
          <w:t>CAT/C/KGZ/</w:t>
        </w:r>
        <w:r w:rsidRPr="00E83825">
          <w:rPr>
            <w:rStyle w:val="Hyperlink"/>
          </w:rPr>
          <w:t>3</w:t>
        </w:r>
      </w:hyperlink>
      <w:r>
        <w:rPr>
          <w:rtl/>
        </w:rPr>
        <w:t>.</w:t>
      </w:r>
    </w:p>
  </w:footnote>
  <w:footnote w:id="3">
    <w:p w14:paraId="7489E4E3" w14:textId="5B867D11" w:rsidR="00A84E05" w:rsidRPr="00F0516B" w:rsidRDefault="00A84E05" w:rsidP="00F0516B">
      <w:pPr>
        <w:pStyle w:val="FootnoteText1"/>
        <w:textDirection w:val="tbRlV"/>
      </w:pPr>
      <w:r w:rsidRPr="00F0516B">
        <w:rPr>
          <w:rtl/>
        </w:rPr>
        <w:t>(</w:t>
      </w:r>
      <w:r w:rsidRPr="00E83825">
        <w:rPr>
          <w:rStyle w:val="FootnoteReference"/>
          <w:vertAlign w:val="baseline"/>
        </w:rPr>
        <w:footnoteRef/>
      </w:r>
      <w:r w:rsidRPr="00F0516B">
        <w:rPr>
          <w:rtl/>
        </w:rPr>
        <w:t>)</w:t>
      </w:r>
      <w:r>
        <w:rPr>
          <w:rtl/>
        </w:rPr>
        <w:tab/>
        <w:t xml:space="preserve">انظر الوثيقتين </w:t>
      </w:r>
      <w:hyperlink r:id="rId2" w:history="1">
        <w:r w:rsidRPr="00FE64D9">
          <w:rPr>
            <w:rStyle w:val="Hyperlink"/>
          </w:rPr>
          <w:t>CAT/C/SR.</w:t>
        </w:r>
        <w:r w:rsidRPr="00E83825">
          <w:rPr>
            <w:rStyle w:val="Hyperlink"/>
          </w:rPr>
          <w:t>1844</w:t>
        </w:r>
      </w:hyperlink>
      <w:r>
        <w:rPr>
          <w:rtl/>
        </w:rPr>
        <w:t xml:space="preserve"> و</w:t>
      </w:r>
      <w:hyperlink r:id="rId3" w:history="1">
        <w:r w:rsidRPr="00FE64D9">
          <w:rPr>
            <w:rStyle w:val="Hyperlink"/>
          </w:rPr>
          <w:t>CAT/C/SR.</w:t>
        </w:r>
        <w:r w:rsidRPr="00E83825">
          <w:rPr>
            <w:rStyle w:val="Hyperlink"/>
          </w:rPr>
          <w:t>1847</w:t>
        </w:r>
      </w:hyperlink>
      <w:r>
        <w:rPr>
          <w:rtl/>
        </w:rPr>
        <w:t>.</w:t>
      </w:r>
    </w:p>
  </w:footnote>
  <w:footnote w:id="4">
    <w:p w14:paraId="40066E09" w14:textId="228DDF6C" w:rsidR="00A84E05" w:rsidRPr="00F0516B" w:rsidRDefault="00A84E05" w:rsidP="00F0516B">
      <w:pPr>
        <w:pStyle w:val="FootnoteText1"/>
        <w:textDirection w:val="tbRlV"/>
      </w:pPr>
      <w:r w:rsidRPr="00F0516B">
        <w:rPr>
          <w:rtl/>
        </w:rPr>
        <w:t>(</w:t>
      </w:r>
      <w:r w:rsidRPr="00E83825">
        <w:rPr>
          <w:rStyle w:val="FootnoteReference"/>
          <w:vertAlign w:val="baseline"/>
        </w:rPr>
        <w:footnoteRef/>
      </w:r>
      <w:r w:rsidRPr="00F0516B">
        <w:rPr>
          <w:rtl/>
        </w:rPr>
        <w:t>)</w:t>
      </w:r>
      <w:r>
        <w:rPr>
          <w:rtl/>
        </w:rPr>
        <w:tab/>
      </w:r>
      <w:hyperlink r:id="rId4" w:history="1">
        <w:r w:rsidRPr="00FE64D9">
          <w:rPr>
            <w:rStyle w:val="Hyperlink"/>
          </w:rPr>
          <w:t>CAT/C/KGZ/CO/</w:t>
        </w:r>
        <w:r w:rsidRPr="00E83825">
          <w:rPr>
            <w:rStyle w:val="Hyperlink"/>
          </w:rPr>
          <w:t>2</w:t>
        </w:r>
      </w:hyperlink>
      <w:r>
        <w:rPr>
          <w:rtl/>
        </w:rPr>
        <w:t xml:space="preserve">، الفقرة </w:t>
      </w:r>
      <w:r w:rsidRPr="00E83825">
        <w:rPr>
          <w:rtl/>
        </w:rPr>
        <w:t>29</w:t>
      </w:r>
      <w:r>
        <w:rPr>
          <w:rtl/>
        </w:rPr>
        <w:t>.</w:t>
      </w:r>
    </w:p>
  </w:footnote>
  <w:footnote w:id="5">
    <w:p w14:paraId="3927F272" w14:textId="7E9544A6" w:rsidR="00A84E05" w:rsidRPr="00F0516B" w:rsidRDefault="00A84E05" w:rsidP="00F0516B">
      <w:pPr>
        <w:pStyle w:val="FootnoteText1"/>
        <w:textDirection w:val="tbRlV"/>
      </w:pPr>
      <w:r w:rsidRPr="00F0516B">
        <w:rPr>
          <w:rtl/>
        </w:rPr>
        <w:t>(</w:t>
      </w:r>
      <w:r w:rsidRPr="00E83825">
        <w:rPr>
          <w:rStyle w:val="FootnoteReference"/>
          <w:vertAlign w:val="baseline"/>
        </w:rPr>
        <w:footnoteRef/>
      </w:r>
      <w:r w:rsidRPr="00F0516B">
        <w:rPr>
          <w:rtl/>
        </w:rPr>
        <w:t>)</w:t>
      </w:r>
      <w:r>
        <w:rPr>
          <w:rtl/>
        </w:rPr>
        <w:tab/>
        <w:t xml:space="preserve">المرجع نفسه، الفقرتان </w:t>
      </w:r>
      <w:r w:rsidRPr="00E83825">
        <w:rPr>
          <w:rtl/>
        </w:rPr>
        <w:t>7</w:t>
      </w:r>
      <w:r>
        <w:rPr>
          <w:rtl/>
        </w:rPr>
        <w:t xml:space="preserve"> و</w:t>
      </w:r>
      <w:r w:rsidRPr="00E83825">
        <w:rPr>
          <w:rtl/>
        </w:rPr>
        <w:t>8</w:t>
      </w:r>
      <w:r>
        <w:rPr>
          <w:rtl/>
        </w:rPr>
        <w:t>.</w:t>
      </w:r>
    </w:p>
  </w:footnote>
  <w:footnote w:id="6">
    <w:p w14:paraId="62DCCDEB" w14:textId="66F3EEB7" w:rsidR="00A84E05" w:rsidRPr="00F0516B" w:rsidRDefault="00A84E05" w:rsidP="00F0516B">
      <w:pPr>
        <w:pStyle w:val="FootnoteText1"/>
        <w:textDirection w:val="tbRlV"/>
      </w:pPr>
      <w:r w:rsidRPr="00F0516B">
        <w:rPr>
          <w:rtl/>
        </w:rPr>
        <w:t>(</w:t>
      </w:r>
      <w:r w:rsidRPr="00E83825">
        <w:rPr>
          <w:rStyle w:val="FootnoteReference"/>
          <w:vertAlign w:val="baseline"/>
        </w:rPr>
        <w:footnoteRef/>
      </w:r>
      <w:r w:rsidRPr="00F0516B">
        <w:rPr>
          <w:rtl/>
        </w:rPr>
        <w:t>)</w:t>
      </w:r>
      <w:r>
        <w:rPr>
          <w:rtl/>
        </w:rPr>
        <w:tab/>
        <w:t xml:space="preserve">المرجع نفسه، الفقرة </w:t>
      </w:r>
      <w:r w:rsidRPr="00E83825">
        <w:rPr>
          <w:rtl/>
        </w:rPr>
        <w:t>10</w:t>
      </w:r>
      <w:r>
        <w:rPr>
          <w:rtl/>
        </w:rPr>
        <w:t>.</w:t>
      </w:r>
    </w:p>
  </w:footnote>
  <w:footnote w:id="7">
    <w:p w14:paraId="7A2A59EC" w14:textId="76650D64" w:rsidR="00A84E05" w:rsidRPr="00F0516B" w:rsidRDefault="00A84E05" w:rsidP="00F0516B">
      <w:pPr>
        <w:pStyle w:val="FootnoteText1"/>
        <w:textDirection w:val="tbRlV"/>
      </w:pPr>
      <w:r w:rsidRPr="00F0516B">
        <w:rPr>
          <w:rtl/>
        </w:rPr>
        <w:t>(</w:t>
      </w:r>
      <w:r w:rsidRPr="00E83825">
        <w:rPr>
          <w:rStyle w:val="FootnoteReference"/>
          <w:vertAlign w:val="baseline"/>
        </w:rPr>
        <w:footnoteRef/>
      </w:r>
      <w:r w:rsidRPr="00F0516B">
        <w:rPr>
          <w:rtl/>
        </w:rPr>
        <w:t>)</w:t>
      </w:r>
      <w:r>
        <w:rPr>
          <w:rtl/>
        </w:rPr>
        <w:tab/>
        <w:t xml:space="preserve">المرجع نفسه، الفقرة </w:t>
      </w:r>
      <w:r w:rsidRPr="00E83825">
        <w:rPr>
          <w:rtl/>
        </w:rPr>
        <w:t>14</w:t>
      </w:r>
      <w:r>
        <w:rPr>
          <w:rtl/>
        </w:rPr>
        <w:t>.</w:t>
      </w:r>
    </w:p>
  </w:footnote>
  <w:footnote w:id="8">
    <w:p w14:paraId="196A431B" w14:textId="5D3CA464" w:rsidR="00A84E05" w:rsidRPr="00F0516B" w:rsidRDefault="00A84E05" w:rsidP="00F0516B">
      <w:pPr>
        <w:pStyle w:val="FootnoteText1"/>
        <w:textDirection w:val="tbRlV"/>
      </w:pPr>
      <w:r w:rsidRPr="00F0516B">
        <w:rPr>
          <w:rtl/>
        </w:rPr>
        <w:t>(</w:t>
      </w:r>
      <w:r w:rsidRPr="00E83825">
        <w:rPr>
          <w:rStyle w:val="FootnoteReference"/>
          <w:vertAlign w:val="baseline"/>
        </w:rPr>
        <w:footnoteRef/>
      </w:r>
      <w:r w:rsidRPr="00F0516B">
        <w:rPr>
          <w:rtl/>
        </w:rPr>
        <w:t>)</w:t>
      </w:r>
      <w:r>
        <w:rPr>
          <w:rtl/>
        </w:rPr>
        <w:tab/>
        <w:t xml:space="preserve">المرجع نفسه، الفقرة </w:t>
      </w:r>
      <w:r w:rsidRPr="00E83825">
        <w:rPr>
          <w:rtl/>
        </w:rPr>
        <w:t>10</w:t>
      </w:r>
      <w:r>
        <w:rPr>
          <w:rtl/>
        </w:rPr>
        <w:t>.</w:t>
      </w:r>
    </w:p>
  </w:footnote>
  <w:footnote w:id="9">
    <w:p w14:paraId="2DE0EBD5" w14:textId="701FB1B0" w:rsidR="00A84E05" w:rsidRPr="00F0516B" w:rsidRDefault="00A84E05" w:rsidP="00F0516B">
      <w:pPr>
        <w:pStyle w:val="FootnoteText1"/>
        <w:textDirection w:val="tbRlV"/>
      </w:pPr>
      <w:r w:rsidRPr="00F0516B">
        <w:rPr>
          <w:rtl/>
        </w:rPr>
        <w:t>(</w:t>
      </w:r>
      <w:r w:rsidRPr="00E83825">
        <w:rPr>
          <w:rStyle w:val="FootnoteReference"/>
          <w:vertAlign w:val="baseline"/>
        </w:rPr>
        <w:footnoteRef/>
      </w:r>
      <w:r w:rsidRPr="00F0516B">
        <w:rPr>
          <w:rtl/>
        </w:rPr>
        <w:t>)</w:t>
      </w:r>
      <w:r>
        <w:rPr>
          <w:rtl/>
        </w:rPr>
        <w:tab/>
        <w:t xml:space="preserve">المرجع نفسه، الفقرة </w:t>
      </w:r>
      <w:r w:rsidRPr="00E83825">
        <w:rPr>
          <w:rtl/>
        </w:rPr>
        <w:t>14</w:t>
      </w:r>
      <w:r>
        <w:rPr>
          <w:rtl/>
        </w:rPr>
        <w:t>.</w:t>
      </w:r>
    </w:p>
  </w:footnote>
  <w:footnote w:id="10">
    <w:p w14:paraId="396B8626" w14:textId="4EECC74A" w:rsidR="00A84E05" w:rsidRPr="00F0516B" w:rsidRDefault="00A84E05" w:rsidP="00F0516B">
      <w:pPr>
        <w:pStyle w:val="FootnoteText1"/>
        <w:textDirection w:val="tbRlV"/>
      </w:pPr>
      <w:r w:rsidRPr="00F0516B">
        <w:rPr>
          <w:rtl/>
        </w:rPr>
        <w:t>(</w:t>
      </w:r>
      <w:r w:rsidRPr="00E83825">
        <w:rPr>
          <w:rStyle w:val="FootnoteReference"/>
          <w:vertAlign w:val="baseline"/>
        </w:rPr>
        <w:footnoteRef/>
      </w:r>
      <w:r w:rsidRPr="00F0516B">
        <w:rPr>
          <w:rtl/>
        </w:rPr>
        <w:t>)</w:t>
      </w:r>
      <w:r>
        <w:rPr>
          <w:rtl/>
        </w:rPr>
        <w:tab/>
        <w:t xml:space="preserve">المرجع نفسه، الفقرة </w:t>
      </w:r>
      <w:r w:rsidRPr="00E83825">
        <w:rPr>
          <w:rtl/>
        </w:rPr>
        <w:t>9</w:t>
      </w:r>
      <w:r>
        <w:rPr>
          <w:rtl/>
        </w:rPr>
        <w:t>.</w:t>
      </w:r>
    </w:p>
  </w:footnote>
  <w:footnote w:id="11">
    <w:p w14:paraId="34464DFF" w14:textId="40C3D494" w:rsidR="00A84E05" w:rsidRPr="00F0516B" w:rsidRDefault="00A84E05" w:rsidP="00F0516B">
      <w:pPr>
        <w:pStyle w:val="FootnoteText1"/>
        <w:textDirection w:val="tbRlV"/>
      </w:pPr>
      <w:r w:rsidRPr="00F0516B">
        <w:rPr>
          <w:rtl/>
        </w:rPr>
        <w:t>(</w:t>
      </w:r>
      <w:r w:rsidRPr="00E83825">
        <w:rPr>
          <w:rStyle w:val="FootnoteReference"/>
          <w:vertAlign w:val="baseline"/>
        </w:rPr>
        <w:footnoteRef/>
      </w:r>
      <w:r w:rsidRPr="00F0516B">
        <w:rPr>
          <w:rtl/>
        </w:rPr>
        <w:t>)</w:t>
      </w:r>
      <w:r>
        <w:rPr>
          <w:rtl/>
        </w:rPr>
        <w:tab/>
        <w:t xml:space="preserve">المرجع نفسه، الفقرتان </w:t>
      </w:r>
      <w:r w:rsidRPr="00E83825">
        <w:rPr>
          <w:rtl/>
        </w:rPr>
        <w:t>5</w:t>
      </w:r>
      <w:r>
        <w:rPr>
          <w:rtl/>
        </w:rPr>
        <w:t xml:space="preserve"> و</w:t>
      </w:r>
      <w:r w:rsidRPr="00E83825">
        <w:rPr>
          <w:rtl/>
        </w:rPr>
        <w:t>6</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4BD55" w14:textId="6629B2F7" w:rsidR="00A84E05" w:rsidRPr="00E05D37" w:rsidRDefault="00A84E05" w:rsidP="00E05D37">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CAT/C/KGZ/CO/3</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4BCC6" w14:textId="14646287" w:rsidR="00A84E05" w:rsidRPr="00E05D37" w:rsidRDefault="00A84E05" w:rsidP="00E05D37">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CAT/C/KGZ/CO/3</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398AA" w14:textId="77777777" w:rsidR="00A84E05" w:rsidRDefault="00A84E05" w:rsidP="00143C3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B00"/>
    <w:rsid w:val="000076D5"/>
    <w:rsid w:val="00043663"/>
    <w:rsid w:val="000456F3"/>
    <w:rsid w:val="000505CF"/>
    <w:rsid w:val="000A2113"/>
    <w:rsid w:val="000D701C"/>
    <w:rsid w:val="000E11D4"/>
    <w:rsid w:val="000E2A71"/>
    <w:rsid w:val="000F71D2"/>
    <w:rsid w:val="00143C39"/>
    <w:rsid w:val="00160263"/>
    <w:rsid w:val="00166BD2"/>
    <w:rsid w:val="00167825"/>
    <w:rsid w:val="00170EB3"/>
    <w:rsid w:val="001765AA"/>
    <w:rsid w:val="00181F96"/>
    <w:rsid w:val="001A1371"/>
    <w:rsid w:val="001B346A"/>
    <w:rsid w:val="001D6F7B"/>
    <w:rsid w:val="001E1CAD"/>
    <w:rsid w:val="001E290D"/>
    <w:rsid w:val="00210DD4"/>
    <w:rsid w:val="002144FA"/>
    <w:rsid w:val="0023469A"/>
    <w:rsid w:val="00243C8A"/>
    <w:rsid w:val="00261289"/>
    <w:rsid w:val="00266034"/>
    <w:rsid w:val="0026755E"/>
    <w:rsid w:val="00267A0E"/>
    <w:rsid w:val="002901D9"/>
    <w:rsid w:val="002976C2"/>
    <w:rsid w:val="00304A88"/>
    <w:rsid w:val="00323EC8"/>
    <w:rsid w:val="003260FF"/>
    <w:rsid w:val="00343D95"/>
    <w:rsid w:val="00362E33"/>
    <w:rsid w:val="00374341"/>
    <w:rsid w:val="00384DA7"/>
    <w:rsid w:val="003A3183"/>
    <w:rsid w:val="003D1062"/>
    <w:rsid w:val="00420D7B"/>
    <w:rsid w:val="00450B21"/>
    <w:rsid w:val="00453B63"/>
    <w:rsid w:val="00455780"/>
    <w:rsid w:val="00462F28"/>
    <w:rsid w:val="00472BE8"/>
    <w:rsid w:val="004811D5"/>
    <w:rsid w:val="004956DC"/>
    <w:rsid w:val="004B0A1C"/>
    <w:rsid w:val="004D2177"/>
    <w:rsid w:val="004D298E"/>
    <w:rsid w:val="00531DEA"/>
    <w:rsid w:val="0054472E"/>
    <w:rsid w:val="005662A9"/>
    <w:rsid w:val="00575E9A"/>
    <w:rsid w:val="005827D4"/>
    <w:rsid w:val="0059622A"/>
    <w:rsid w:val="005A3015"/>
    <w:rsid w:val="005C5878"/>
    <w:rsid w:val="005C7CEA"/>
    <w:rsid w:val="005D3C0B"/>
    <w:rsid w:val="005E23DF"/>
    <w:rsid w:val="005E5217"/>
    <w:rsid w:val="005F0FA4"/>
    <w:rsid w:val="005F30EE"/>
    <w:rsid w:val="0060473A"/>
    <w:rsid w:val="00656392"/>
    <w:rsid w:val="006646E9"/>
    <w:rsid w:val="0068781D"/>
    <w:rsid w:val="006959B0"/>
    <w:rsid w:val="006B2A7F"/>
    <w:rsid w:val="006B3E27"/>
    <w:rsid w:val="006B6507"/>
    <w:rsid w:val="006C104C"/>
    <w:rsid w:val="006D05CB"/>
    <w:rsid w:val="00706DFD"/>
    <w:rsid w:val="00712059"/>
    <w:rsid w:val="00733704"/>
    <w:rsid w:val="0074737D"/>
    <w:rsid w:val="00761849"/>
    <w:rsid w:val="0078071A"/>
    <w:rsid w:val="007A3847"/>
    <w:rsid w:val="007B0454"/>
    <w:rsid w:val="007D56C1"/>
    <w:rsid w:val="00817373"/>
    <w:rsid w:val="00852A9A"/>
    <w:rsid w:val="00860491"/>
    <w:rsid w:val="00874514"/>
    <w:rsid w:val="00893A8A"/>
    <w:rsid w:val="00897AA1"/>
    <w:rsid w:val="008C0B37"/>
    <w:rsid w:val="008D2B00"/>
    <w:rsid w:val="008F49E1"/>
    <w:rsid w:val="0090370F"/>
    <w:rsid w:val="00906A57"/>
    <w:rsid w:val="009269D2"/>
    <w:rsid w:val="00942135"/>
    <w:rsid w:val="009521B0"/>
    <w:rsid w:val="00972676"/>
    <w:rsid w:val="00981C12"/>
    <w:rsid w:val="009A7E9F"/>
    <w:rsid w:val="009E4397"/>
    <w:rsid w:val="009E5018"/>
    <w:rsid w:val="009F09F5"/>
    <w:rsid w:val="00A12B37"/>
    <w:rsid w:val="00A34EA8"/>
    <w:rsid w:val="00A44D86"/>
    <w:rsid w:val="00A67AF5"/>
    <w:rsid w:val="00A84E05"/>
    <w:rsid w:val="00A94CA3"/>
    <w:rsid w:val="00AB2C0B"/>
    <w:rsid w:val="00AB6758"/>
    <w:rsid w:val="00B07715"/>
    <w:rsid w:val="00B13763"/>
    <w:rsid w:val="00B456A0"/>
    <w:rsid w:val="00B477A4"/>
    <w:rsid w:val="00B54045"/>
    <w:rsid w:val="00B82677"/>
    <w:rsid w:val="00BA39D4"/>
    <w:rsid w:val="00BA3A1F"/>
    <w:rsid w:val="00BD0805"/>
    <w:rsid w:val="00C111C6"/>
    <w:rsid w:val="00C438D7"/>
    <w:rsid w:val="00C62476"/>
    <w:rsid w:val="00C64C7B"/>
    <w:rsid w:val="00C81B50"/>
    <w:rsid w:val="00C87F1F"/>
    <w:rsid w:val="00C96AFF"/>
    <w:rsid w:val="00CA2103"/>
    <w:rsid w:val="00CA35DF"/>
    <w:rsid w:val="00CB04D0"/>
    <w:rsid w:val="00CD1801"/>
    <w:rsid w:val="00CF25FC"/>
    <w:rsid w:val="00D10EF1"/>
    <w:rsid w:val="00D17AFF"/>
    <w:rsid w:val="00D317F1"/>
    <w:rsid w:val="00D3653E"/>
    <w:rsid w:val="00D42810"/>
    <w:rsid w:val="00D914A7"/>
    <w:rsid w:val="00DB712F"/>
    <w:rsid w:val="00DC1D29"/>
    <w:rsid w:val="00DD13C3"/>
    <w:rsid w:val="00DD596E"/>
    <w:rsid w:val="00DD621E"/>
    <w:rsid w:val="00DF0575"/>
    <w:rsid w:val="00E05D37"/>
    <w:rsid w:val="00E2697F"/>
    <w:rsid w:val="00E64B72"/>
    <w:rsid w:val="00E70E04"/>
    <w:rsid w:val="00E76499"/>
    <w:rsid w:val="00E83825"/>
    <w:rsid w:val="00E95C38"/>
    <w:rsid w:val="00EC05A7"/>
    <w:rsid w:val="00EC4B6B"/>
    <w:rsid w:val="00EE56C3"/>
    <w:rsid w:val="00EF1EE5"/>
    <w:rsid w:val="00F0516B"/>
    <w:rsid w:val="00F158EB"/>
    <w:rsid w:val="00F1695F"/>
    <w:rsid w:val="00F62057"/>
    <w:rsid w:val="00F763B4"/>
    <w:rsid w:val="00F81AF1"/>
    <w:rsid w:val="00F900C3"/>
    <w:rsid w:val="00FD394C"/>
    <w:rsid w:val="00FE64D9"/>
    <w:rsid w:val="00FF2AB2"/>
    <w:rsid w:val="00FF324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F921B4"/>
  <w15:docId w15:val="{98F2E40F-1306-470C-93F1-1C9374AA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8EB"/>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F158EB"/>
    <w:pPr>
      <w:bidi w:val="0"/>
      <w:outlineLvl w:val="0"/>
    </w:pPr>
  </w:style>
  <w:style w:type="paragraph" w:styleId="Heading2">
    <w:name w:val="heading 2"/>
    <w:basedOn w:val="Normal"/>
    <w:next w:val="Normal"/>
    <w:link w:val="Heading2Char"/>
    <w:uiPriority w:val="9"/>
    <w:unhideWhenUsed/>
    <w:rsid w:val="00F158EB"/>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F158EB"/>
    <w:pPr>
      <w:keepNext/>
      <w:keepLines/>
      <w:spacing w:before="200"/>
      <w:outlineLvl w:val="2"/>
    </w:pPr>
    <w:rPr>
      <w:b/>
      <w:bCs/>
      <w:color w:val="4F81BD"/>
    </w:rPr>
  </w:style>
  <w:style w:type="paragraph" w:styleId="Heading4">
    <w:name w:val="heading 4"/>
    <w:basedOn w:val="Normal"/>
    <w:next w:val="Normal"/>
    <w:link w:val="Heading4Char"/>
    <w:uiPriority w:val="9"/>
    <w:unhideWhenUsed/>
    <w:rsid w:val="00F158EB"/>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F158EB"/>
    <w:pPr>
      <w:keepNext/>
      <w:keepLines/>
      <w:spacing w:before="200"/>
      <w:outlineLvl w:val="4"/>
    </w:pPr>
    <w:rPr>
      <w:color w:val="243F60"/>
    </w:rPr>
  </w:style>
  <w:style w:type="paragraph" w:styleId="Heading6">
    <w:name w:val="heading 6"/>
    <w:basedOn w:val="Normal"/>
    <w:next w:val="Normal"/>
    <w:link w:val="Heading6Char"/>
    <w:uiPriority w:val="9"/>
    <w:unhideWhenUsed/>
    <w:rsid w:val="00F158EB"/>
    <w:pPr>
      <w:keepNext/>
      <w:keepLines/>
      <w:spacing w:before="200"/>
      <w:outlineLvl w:val="5"/>
    </w:pPr>
    <w:rPr>
      <w:i/>
      <w:iCs/>
      <w:color w:val="243F60"/>
    </w:rPr>
  </w:style>
  <w:style w:type="paragraph" w:styleId="Heading7">
    <w:name w:val="heading 7"/>
    <w:basedOn w:val="Normal"/>
    <w:next w:val="Normal"/>
    <w:link w:val="Heading7Char"/>
    <w:uiPriority w:val="9"/>
    <w:unhideWhenUsed/>
    <w:rsid w:val="00F158EB"/>
    <w:pPr>
      <w:keepNext/>
      <w:keepLines/>
      <w:spacing w:before="200"/>
      <w:outlineLvl w:val="6"/>
    </w:pPr>
    <w:rPr>
      <w:i/>
      <w:iCs/>
      <w:color w:val="404040"/>
    </w:rPr>
  </w:style>
  <w:style w:type="paragraph" w:styleId="Heading8">
    <w:name w:val="heading 8"/>
    <w:basedOn w:val="Normal"/>
    <w:next w:val="Normal"/>
    <w:link w:val="Heading8Char"/>
    <w:uiPriority w:val="9"/>
    <w:unhideWhenUsed/>
    <w:rsid w:val="00F158EB"/>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F158EB"/>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F158EB"/>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F158EB"/>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uiPriority w:val="99"/>
    <w:qFormat/>
    <w:rsid w:val="00F158EB"/>
    <w:rPr>
      <w:szCs w:val="18"/>
      <w:vertAlign w:val="superscript"/>
    </w:rPr>
  </w:style>
  <w:style w:type="paragraph" w:customStyle="1" w:styleId="HMGA">
    <w:name w:val="_ H __M_GA"/>
    <w:basedOn w:val="Normal"/>
    <w:next w:val="SingleTxtGA"/>
    <w:qFormat/>
    <w:rsid w:val="00F158EB"/>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F158EB"/>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F158EB"/>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F158EB"/>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F158EB"/>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F158EB"/>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F158EB"/>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F158EB"/>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F158EB"/>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F158EB"/>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F158EB"/>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F158EB"/>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F158EB"/>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F158EB"/>
    <w:pPr>
      <w:numPr>
        <w:numId w:val="5"/>
      </w:numPr>
      <w:bidi w:val="0"/>
    </w:pPr>
    <w:rPr>
      <w:lang w:val="en-US"/>
    </w:rPr>
  </w:style>
  <w:style w:type="paragraph" w:customStyle="1" w:styleId="Roman1GA">
    <w:name w:val="_Roman 1_GA"/>
    <w:basedOn w:val="Bullet1GA"/>
    <w:qFormat/>
    <w:rsid w:val="00F158EB"/>
    <w:pPr>
      <w:numPr>
        <w:numId w:val="6"/>
      </w:numPr>
      <w:tabs>
        <w:tab w:val="clear" w:pos="2310"/>
        <w:tab w:val="left" w:pos="2486"/>
      </w:tabs>
      <w:ind w:left="2486" w:hanging="378"/>
    </w:pPr>
  </w:style>
  <w:style w:type="paragraph" w:customStyle="1" w:styleId="Roman2GA">
    <w:name w:val="_Roman 2_GA"/>
    <w:basedOn w:val="Bullet2GA"/>
    <w:qFormat/>
    <w:rsid w:val="00F158EB"/>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qFormat/>
    <w:rsid w:val="00F158EB"/>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F158EB"/>
    <w:rPr>
      <w:rFonts w:ascii="Times New Roman" w:eastAsia="PMingLiU" w:hAnsi="Times New Roman" w:cs="Simplified Arabic"/>
      <w:sz w:val="18"/>
      <w:lang w:val="en-GB" w:eastAsia="en-US"/>
    </w:rPr>
  </w:style>
  <w:style w:type="character" w:customStyle="1" w:styleId="EndtnoteReference">
    <w:name w:val="Endtnote Reference"/>
    <w:aliases w:val="1_GA"/>
    <w:qFormat/>
    <w:rsid w:val="00F158EB"/>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F158EB"/>
    <w:pPr>
      <w:suppressAutoHyphens/>
      <w:bidi w:val="0"/>
      <w:spacing w:line="240" w:lineRule="auto"/>
    </w:pPr>
    <w:rPr>
      <w:sz w:val="16"/>
      <w:lang w:val="en-GB"/>
    </w:rPr>
  </w:style>
  <w:style w:type="character" w:customStyle="1" w:styleId="FooterChar">
    <w:name w:val="Footer Char"/>
    <w:aliases w:val="3_GA Char,3_G Char"/>
    <w:link w:val="Footer"/>
    <w:rsid w:val="00F158EB"/>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F158EB"/>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F158EB"/>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F158EB"/>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F158EB"/>
    <w:rPr>
      <w:rFonts w:ascii="Times New Roman" w:eastAsia="PMingLiU" w:hAnsi="Times New Roman" w:cs="Simplified Arabic"/>
      <w:sz w:val="22"/>
      <w:szCs w:val="22"/>
      <w:lang w:val="en-GB" w:eastAsia="en-US"/>
    </w:rPr>
  </w:style>
  <w:style w:type="character" w:styleId="PageNumber">
    <w:name w:val="page number"/>
    <w:aliases w:val="7_GA,7_G"/>
    <w:qFormat/>
    <w:rsid w:val="00F158EB"/>
    <w:rPr>
      <w:rFonts w:ascii="Times New Roman Bold" w:hAnsi="Times New Roman Bold"/>
      <w:b/>
      <w:i w:val="0"/>
      <w:sz w:val="18"/>
      <w:szCs w:val="18"/>
    </w:rPr>
  </w:style>
  <w:style w:type="paragraph" w:customStyle="1" w:styleId="XXLargeGA">
    <w:name w:val="XXLarge_GA"/>
    <w:basedOn w:val="Normal"/>
    <w:next w:val="SingleTxtGA"/>
    <w:qFormat/>
    <w:rsid w:val="00F158EB"/>
    <w:pPr>
      <w:suppressAutoHyphens/>
      <w:spacing w:line="820" w:lineRule="exact"/>
    </w:pPr>
    <w:rPr>
      <w:spacing w:val="-8"/>
      <w:w w:val="96"/>
      <w:sz w:val="57"/>
      <w:szCs w:val="86"/>
      <w:lang w:val="en-GB"/>
    </w:rPr>
  </w:style>
  <w:style w:type="character" w:customStyle="1" w:styleId="Heading2Char">
    <w:name w:val="Heading 2 Char"/>
    <w:link w:val="Heading2"/>
    <w:uiPriority w:val="9"/>
    <w:rsid w:val="00F158EB"/>
    <w:rPr>
      <w:rFonts w:ascii="Times New Roman" w:eastAsia="PMingLiU" w:hAnsi="Times New Roman" w:cs="Simplified Arabic"/>
      <w:b/>
      <w:bCs/>
      <w:color w:val="4F81BD"/>
      <w:sz w:val="26"/>
      <w:szCs w:val="26"/>
      <w:lang w:eastAsia="en-US"/>
    </w:rPr>
  </w:style>
  <w:style w:type="character" w:styleId="BookTitle">
    <w:name w:val="Book Title"/>
    <w:uiPriority w:val="33"/>
    <w:rsid w:val="00F158EB"/>
    <w:rPr>
      <w:b/>
      <w:bCs/>
      <w:smallCaps/>
      <w:spacing w:val="5"/>
    </w:rPr>
  </w:style>
  <w:style w:type="character" w:customStyle="1" w:styleId="Heading3Char">
    <w:name w:val="Heading 3 Char"/>
    <w:link w:val="Heading3"/>
    <w:uiPriority w:val="9"/>
    <w:rsid w:val="00F158EB"/>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F158EB"/>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F158EB"/>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F158EB"/>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F158EB"/>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F158EB"/>
    <w:rPr>
      <w:rFonts w:ascii="Times New Roman" w:eastAsia="PMingLiU" w:hAnsi="Times New Roman" w:cs="Simplified Arabic"/>
      <w:color w:val="404040"/>
      <w:lang w:eastAsia="en-US"/>
    </w:rPr>
  </w:style>
  <w:style w:type="character" w:customStyle="1" w:styleId="Heading9Char">
    <w:name w:val="Heading 9 Char"/>
    <w:link w:val="Heading9"/>
    <w:uiPriority w:val="9"/>
    <w:rsid w:val="00F158EB"/>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F158E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F158EB"/>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F158EB"/>
    <w:pPr>
      <w:numPr>
        <w:ilvl w:val="1"/>
      </w:numPr>
    </w:pPr>
    <w:rPr>
      <w:i/>
      <w:iCs/>
      <w:color w:val="4F81BD"/>
      <w:spacing w:val="15"/>
      <w:sz w:val="24"/>
      <w:szCs w:val="24"/>
    </w:rPr>
  </w:style>
  <w:style w:type="character" w:customStyle="1" w:styleId="SubtitleChar">
    <w:name w:val="Subtitle Char"/>
    <w:link w:val="Subtitle"/>
    <w:uiPriority w:val="11"/>
    <w:rsid w:val="00F158EB"/>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F158EB"/>
    <w:rPr>
      <w:i/>
      <w:iCs/>
      <w:color w:val="808080"/>
    </w:rPr>
  </w:style>
  <w:style w:type="table" w:styleId="ColorfulGrid-Accent6">
    <w:name w:val="Colorful Grid Accent 6"/>
    <w:basedOn w:val="TableNormal"/>
    <w:uiPriority w:val="73"/>
    <w:rsid w:val="00F158EB"/>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F158EB"/>
    <w:rPr>
      <w:i/>
      <w:iCs/>
    </w:rPr>
  </w:style>
  <w:style w:type="character" w:styleId="IntenseEmphasis">
    <w:name w:val="Intense Emphasis"/>
    <w:uiPriority w:val="21"/>
    <w:rsid w:val="00F158EB"/>
    <w:rPr>
      <w:b/>
      <w:bCs/>
      <w:i/>
      <w:iCs/>
      <w:color w:val="4F81BD"/>
    </w:rPr>
  </w:style>
  <w:style w:type="character" w:styleId="Strong">
    <w:name w:val="Strong"/>
    <w:uiPriority w:val="22"/>
    <w:rsid w:val="00F158EB"/>
    <w:rPr>
      <w:b/>
      <w:bCs/>
    </w:rPr>
  </w:style>
  <w:style w:type="paragraph" w:styleId="Quote">
    <w:name w:val="Quote"/>
    <w:basedOn w:val="Normal"/>
    <w:next w:val="Normal"/>
    <w:link w:val="QuoteChar"/>
    <w:uiPriority w:val="29"/>
    <w:rsid w:val="00F158EB"/>
    <w:rPr>
      <w:i/>
      <w:iCs/>
      <w:color w:val="000000"/>
    </w:rPr>
  </w:style>
  <w:style w:type="character" w:customStyle="1" w:styleId="QuoteChar">
    <w:name w:val="Quote Char"/>
    <w:link w:val="Quote"/>
    <w:uiPriority w:val="29"/>
    <w:rsid w:val="00F158EB"/>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F158E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158EB"/>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F158EB"/>
    <w:rPr>
      <w:smallCaps/>
      <w:color w:val="C0504D"/>
      <w:u w:val="single"/>
    </w:rPr>
  </w:style>
  <w:style w:type="character" w:styleId="IntenseReference">
    <w:name w:val="Intense Reference"/>
    <w:uiPriority w:val="32"/>
    <w:rsid w:val="00F158EB"/>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F158EB"/>
    <w:pPr>
      <w:ind w:left="720"/>
    </w:pPr>
  </w:style>
  <w:style w:type="table" w:styleId="MediumShading1-Accent4">
    <w:name w:val="Medium Shading 1 Accent 4"/>
    <w:basedOn w:val="TableNormal"/>
    <w:uiPriority w:val="63"/>
    <w:rsid w:val="00F158EB"/>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F158EB"/>
    <w:rPr>
      <w:rFonts w:eastAsia="MS Mincho"/>
      <w:sz w:val="18"/>
      <w:vertAlign w:val="superscript"/>
    </w:rPr>
  </w:style>
  <w:style w:type="table" w:styleId="TableGrid">
    <w:name w:val="Table Grid"/>
    <w:basedOn w:val="TableNormal"/>
    <w:rsid w:val="00F158EB"/>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8EB"/>
    <w:pPr>
      <w:spacing w:line="240" w:lineRule="auto"/>
    </w:pPr>
    <w:rPr>
      <w:sz w:val="16"/>
      <w:szCs w:val="16"/>
    </w:rPr>
  </w:style>
  <w:style w:type="character" w:customStyle="1" w:styleId="BalloonTextChar">
    <w:name w:val="Balloon Text Char"/>
    <w:link w:val="BalloonText"/>
    <w:uiPriority w:val="99"/>
    <w:semiHidden/>
    <w:rsid w:val="00F158EB"/>
    <w:rPr>
      <w:rFonts w:ascii="Times New Roman" w:eastAsia="PMingLiU" w:hAnsi="Times New Roman" w:cs="Simplified Arabic"/>
      <w:sz w:val="16"/>
      <w:szCs w:val="16"/>
      <w:lang w:eastAsia="en-US"/>
    </w:rPr>
  </w:style>
  <w:style w:type="character" w:styleId="Hyperlink">
    <w:name w:val="Hyperlink"/>
    <w:uiPriority w:val="99"/>
    <w:unhideWhenUsed/>
    <w:rsid w:val="00F158EB"/>
    <w:rPr>
      <w:color w:val="0000FF"/>
      <w:u w:val="none"/>
    </w:rPr>
  </w:style>
  <w:style w:type="paragraph" w:styleId="TOC1">
    <w:name w:val="toc 1"/>
    <w:basedOn w:val="Normal"/>
    <w:link w:val="TOC1Char"/>
    <w:autoRedefine/>
    <w:uiPriority w:val="39"/>
    <w:unhideWhenUsed/>
    <w:rsid w:val="00F158EB"/>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F158EB"/>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F158EB"/>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F158EB"/>
    <w:rPr>
      <w:rFonts w:eastAsia="DengXian"/>
      <w:color w:val="auto"/>
      <w:sz w:val="20"/>
      <w:szCs w:val="20"/>
      <w:u w:val="none"/>
      <w:lang w:eastAsia="zh-CN" w:bidi="ar-EG"/>
    </w:rPr>
  </w:style>
  <w:style w:type="paragraph" w:styleId="TOC4">
    <w:name w:val="toc 4"/>
    <w:basedOn w:val="Normal"/>
    <w:link w:val="TOC4Char"/>
    <w:autoRedefine/>
    <w:uiPriority w:val="39"/>
    <w:unhideWhenUsed/>
    <w:rsid w:val="00F158EB"/>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F158EB"/>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F158EB"/>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F158EB"/>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F158EB"/>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F158EB"/>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F158EB"/>
    <w:rPr>
      <w:color w:val="605E5C"/>
      <w:shd w:val="clear" w:color="auto" w:fill="E1DFDD"/>
    </w:rPr>
  </w:style>
  <w:style w:type="character" w:customStyle="1" w:styleId="TOC1Char">
    <w:name w:val="TOC 1 Char"/>
    <w:basedOn w:val="DefaultParagraphFont"/>
    <w:link w:val="TOC1"/>
    <w:uiPriority w:val="39"/>
    <w:rsid w:val="00F158EB"/>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F158EB"/>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F158EB"/>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F158EB"/>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F158EB"/>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F158EB"/>
    <w:rPr>
      <w:rFonts w:ascii="Times New Roman" w:eastAsia="PMingLiU" w:hAnsi="Times New Roman" w:cs="Simplified Arabic"/>
      <w:lang w:val="en-GB" w:eastAsia="en-US"/>
    </w:rPr>
  </w:style>
  <w:style w:type="paragraph" w:customStyle="1" w:styleId="SessionDate">
    <w:name w:val="Session_Date"/>
    <w:basedOn w:val="Normal"/>
    <w:qFormat/>
    <w:rsid w:val="00F158EB"/>
    <w:pPr>
      <w:spacing w:before="240" w:after="240" w:line="460" w:lineRule="exact"/>
      <w:ind w:left="1247"/>
    </w:pPr>
    <w:rPr>
      <w:b/>
      <w:bCs/>
      <w:sz w:val="32"/>
      <w:szCs w:val="44"/>
    </w:rPr>
  </w:style>
  <w:style w:type="paragraph" w:customStyle="1" w:styleId="SessionNumber">
    <w:name w:val="Session_Number"/>
    <w:basedOn w:val="Normal"/>
    <w:qFormat/>
    <w:rsid w:val="00F158EB"/>
    <w:pPr>
      <w:spacing w:line="480" w:lineRule="exact"/>
      <w:ind w:left="1247"/>
    </w:pPr>
    <w:rPr>
      <w:b/>
      <w:bCs/>
      <w:sz w:val="28"/>
      <w:szCs w:val="38"/>
    </w:rPr>
  </w:style>
  <w:style w:type="paragraph" w:customStyle="1" w:styleId="CityandYear">
    <w:name w:val="City and Year"/>
    <w:basedOn w:val="SingleTxtGA"/>
    <w:qFormat/>
    <w:rsid w:val="00F158EB"/>
    <w:pPr>
      <w:spacing w:line="480" w:lineRule="exact"/>
    </w:pPr>
    <w:rPr>
      <w:b/>
      <w:bCs/>
      <w:sz w:val="30"/>
      <w:szCs w:val="38"/>
      <w:lang w:eastAsia="ar-SA"/>
    </w:rPr>
  </w:style>
  <w:style w:type="paragraph" w:customStyle="1" w:styleId="NormalA">
    <w:name w:val="Normal_A"/>
    <w:basedOn w:val="Normal"/>
    <w:qFormat/>
    <w:rsid w:val="00F158EB"/>
  </w:style>
  <w:style w:type="paragraph" w:customStyle="1" w:styleId="H1G">
    <w:name w:val="_ H_1_G"/>
    <w:basedOn w:val="Normal"/>
    <w:next w:val="Normal"/>
    <w:qFormat/>
    <w:rsid w:val="00F158EB"/>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F158EB"/>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F158EB"/>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F158EB"/>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F158EB"/>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F158EB"/>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F158EB"/>
    <w:rPr>
      <w:sz w:val="44"/>
      <w:szCs w:val="44"/>
      <w:lang w:val="en-US" w:bidi="ar-DZ"/>
    </w:rPr>
  </w:style>
  <w:style w:type="paragraph" w:customStyle="1" w:styleId="FootnoteGA0">
    <w:name w:val="Footnote_GA"/>
    <w:basedOn w:val="Normal"/>
    <w:qFormat/>
    <w:rsid w:val="00F158EB"/>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F158EB"/>
    <w:pPr>
      <w:keepNext/>
      <w:keepLines/>
      <w:spacing w:after="120" w:line="400" w:lineRule="exact"/>
      <w:outlineLvl w:val="0"/>
    </w:pPr>
    <w:rPr>
      <w:b/>
      <w:bCs/>
      <w:kern w:val="14"/>
      <w:sz w:val="24"/>
      <w:szCs w:val="32"/>
    </w:rPr>
  </w:style>
  <w:style w:type="paragraph" w:customStyle="1" w:styleId="HCh">
    <w:name w:val="_ H _Ch"/>
    <w:basedOn w:val="H1"/>
    <w:next w:val="SingleTxt"/>
    <w:qFormat/>
    <w:rsid w:val="00F158EB"/>
    <w:pPr>
      <w:spacing w:line="440" w:lineRule="exact"/>
    </w:pPr>
    <w:rPr>
      <w:spacing w:val="-2"/>
      <w:sz w:val="28"/>
      <w:szCs w:val="36"/>
    </w:rPr>
  </w:style>
  <w:style w:type="character" w:styleId="CommentReference">
    <w:name w:val="annotation reference"/>
    <w:uiPriority w:val="99"/>
    <w:semiHidden/>
    <w:rsid w:val="00F158EB"/>
    <w:rPr>
      <w:sz w:val="6"/>
      <w:szCs w:val="9"/>
    </w:rPr>
  </w:style>
  <w:style w:type="paragraph" w:customStyle="1" w:styleId="HM">
    <w:name w:val="_ H __M"/>
    <w:basedOn w:val="HCh"/>
    <w:next w:val="Normal"/>
    <w:qFormat/>
    <w:rsid w:val="00F158EB"/>
    <w:pPr>
      <w:suppressAutoHyphens/>
      <w:spacing w:line="520" w:lineRule="exact"/>
    </w:pPr>
    <w:rPr>
      <w:spacing w:val="-3"/>
      <w:sz w:val="34"/>
      <w:szCs w:val="48"/>
    </w:rPr>
  </w:style>
  <w:style w:type="paragraph" w:customStyle="1" w:styleId="SingleTxt">
    <w:name w:val="__Single Txt"/>
    <w:basedOn w:val="SingleTxtG"/>
    <w:qFormat/>
    <w:rsid w:val="00F158EB"/>
  </w:style>
  <w:style w:type="paragraph" w:customStyle="1" w:styleId="H23">
    <w:name w:val="_ H_2/3"/>
    <w:basedOn w:val="H1"/>
    <w:next w:val="Normal"/>
    <w:qFormat/>
    <w:rsid w:val="00F158EB"/>
    <w:pPr>
      <w:suppressAutoHyphens/>
      <w:spacing w:line="360" w:lineRule="exact"/>
      <w:outlineLvl w:val="1"/>
    </w:pPr>
    <w:rPr>
      <w:spacing w:val="2"/>
      <w:sz w:val="20"/>
      <w:szCs w:val="28"/>
    </w:rPr>
  </w:style>
  <w:style w:type="paragraph" w:customStyle="1" w:styleId="H4">
    <w:name w:val="_ H_4"/>
    <w:basedOn w:val="Normal"/>
    <w:next w:val="Normal"/>
    <w:qFormat/>
    <w:rsid w:val="00F158EB"/>
    <w:pPr>
      <w:keepNext/>
      <w:keepLines/>
      <w:spacing w:after="120" w:line="360" w:lineRule="exact"/>
      <w:outlineLvl w:val="3"/>
    </w:pPr>
    <w:rPr>
      <w:i/>
      <w:iCs/>
      <w:kern w:val="14"/>
      <w:szCs w:val="28"/>
    </w:rPr>
  </w:style>
  <w:style w:type="paragraph" w:customStyle="1" w:styleId="H56">
    <w:name w:val="_ H_5/6"/>
    <w:basedOn w:val="Normal"/>
    <w:next w:val="Normal"/>
    <w:qFormat/>
    <w:rsid w:val="00F158EB"/>
    <w:pPr>
      <w:keepNext/>
      <w:keepLines/>
      <w:spacing w:after="120" w:line="360" w:lineRule="exact"/>
      <w:outlineLvl w:val="4"/>
    </w:pPr>
    <w:rPr>
      <w:kern w:val="14"/>
      <w:szCs w:val="28"/>
    </w:rPr>
  </w:style>
  <w:style w:type="paragraph" w:customStyle="1" w:styleId="DualTxt">
    <w:name w:val="__Dual Txt"/>
    <w:basedOn w:val="Normal"/>
    <w:qFormat/>
    <w:rsid w:val="00F158EB"/>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F158EB"/>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F158EB"/>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F158EB"/>
    <w:pPr>
      <w:spacing w:after="120" w:line="440" w:lineRule="exact"/>
      <w:jc w:val="center"/>
    </w:pPr>
    <w:rPr>
      <w:b/>
      <w:bCs/>
      <w:sz w:val="25"/>
      <w:szCs w:val="38"/>
    </w:rPr>
  </w:style>
  <w:style w:type="paragraph" w:customStyle="1" w:styleId="JH1">
    <w:name w:val="J_H_1"/>
    <w:basedOn w:val="JCH"/>
    <w:qFormat/>
    <w:rsid w:val="00F158EB"/>
    <w:pPr>
      <w:spacing w:line="420" w:lineRule="exact"/>
    </w:pPr>
    <w:rPr>
      <w:sz w:val="23"/>
      <w:szCs w:val="34"/>
    </w:rPr>
  </w:style>
  <w:style w:type="paragraph" w:customStyle="1" w:styleId="JH2">
    <w:name w:val="J_H_2"/>
    <w:basedOn w:val="JH1"/>
    <w:qFormat/>
    <w:rsid w:val="00F158EB"/>
    <w:pPr>
      <w:spacing w:line="400" w:lineRule="exact"/>
    </w:pPr>
    <w:rPr>
      <w:sz w:val="20"/>
      <w:szCs w:val="30"/>
    </w:rPr>
  </w:style>
  <w:style w:type="paragraph" w:customStyle="1" w:styleId="JSmall">
    <w:name w:val="J_Small"/>
    <w:basedOn w:val="JSingleTxt"/>
    <w:next w:val="JSingleTxt"/>
    <w:qFormat/>
    <w:rsid w:val="00F158EB"/>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F158EB"/>
    <w:pPr>
      <w:tabs>
        <w:tab w:val="right" w:leader="dot" w:pos="360"/>
      </w:tabs>
      <w:spacing w:line="310" w:lineRule="exact"/>
      <w:jc w:val="right"/>
    </w:pPr>
    <w:rPr>
      <w:spacing w:val="5"/>
      <w:w w:val="104"/>
      <w:kern w:val="14"/>
      <w:sz w:val="17"/>
      <w:szCs w:val="25"/>
    </w:rPr>
  </w:style>
  <w:style w:type="character" w:styleId="LineNumber">
    <w:name w:val="line number"/>
    <w:qFormat/>
    <w:rsid w:val="00F158EB"/>
    <w:rPr>
      <w:sz w:val="14"/>
      <w:szCs w:val="16"/>
    </w:rPr>
  </w:style>
  <w:style w:type="paragraph" w:customStyle="1" w:styleId="SmallX">
    <w:name w:val="SmallX"/>
    <w:basedOn w:val="Small"/>
    <w:next w:val="Normal"/>
    <w:qFormat/>
    <w:rsid w:val="00F158EB"/>
    <w:pPr>
      <w:spacing w:line="240" w:lineRule="exact"/>
    </w:pPr>
    <w:rPr>
      <w:spacing w:val="6"/>
      <w:w w:val="106"/>
      <w:sz w:val="14"/>
      <w:szCs w:val="21"/>
    </w:rPr>
  </w:style>
  <w:style w:type="paragraph" w:customStyle="1" w:styleId="XLarge">
    <w:name w:val="XLarge"/>
    <w:basedOn w:val="HM"/>
    <w:qFormat/>
    <w:rsid w:val="00F158EB"/>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F158EB"/>
    <w:pPr>
      <w:spacing w:line="820" w:lineRule="exact"/>
    </w:pPr>
    <w:rPr>
      <w:spacing w:val="-8"/>
      <w:w w:val="96"/>
      <w:sz w:val="57"/>
      <w:szCs w:val="86"/>
    </w:rPr>
  </w:style>
  <w:style w:type="paragraph" w:customStyle="1" w:styleId="Distribution">
    <w:name w:val="Distribu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F158EB"/>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F158EB"/>
    <w:pPr>
      <w:tabs>
        <w:tab w:val="left" w:pos="662"/>
        <w:tab w:val="left" w:pos="1267"/>
        <w:tab w:val="left" w:pos="1987"/>
        <w:tab w:val="left" w:pos="2650"/>
      </w:tabs>
      <w:spacing w:after="0"/>
      <w:ind w:left="662" w:hanging="662"/>
    </w:pPr>
  </w:style>
  <w:style w:type="paragraph" w:customStyle="1" w:styleId="Committee">
    <w:name w:val="Committee"/>
    <w:basedOn w:val="H1"/>
    <w:qFormat/>
    <w:rsid w:val="00F158EB"/>
    <w:pPr>
      <w:tabs>
        <w:tab w:val="left" w:pos="662"/>
        <w:tab w:val="left" w:pos="1267"/>
        <w:tab w:val="left" w:pos="1987"/>
        <w:tab w:val="left" w:pos="2650"/>
      </w:tabs>
      <w:ind w:right="1264"/>
    </w:pPr>
  </w:style>
  <w:style w:type="paragraph" w:customStyle="1" w:styleId="AgendaItemNormal">
    <w:name w:val="Agenda_Item_Normal"/>
    <w:next w:val="Normal"/>
    <w:qFormat/>
    <w:rsid w:val="00F158EB"/>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F158EB"/>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F158EB"/>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F158EB"/>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F158EB"/>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F158EB"/>
    <w:rPr>
      <w:i w:val="0"/>
      <w:color w:val="0000FF"/>
      <w:u w:val="none"/>
    </w:rPr>
  </w:style>
  <w:style w:type="paragraph" w:customStyle="1" w:styleId="Bullet1">
    <w:name w:val="Bullet 1"/>
    <w:basedOn w:val="Normal"/>
    <w:qFormat/>
    <w:rsid w:val="00F158EB"/>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F158EB"/>
    <w:pPr>
      <w:numPr>
        <w:numId w:val="19"/>
      </w:numPr>
      <w:spacing w:after="120" w:line="360" w:lineRule="exact"/>
      <w:ind w:right="1264"/>
    </w:pPr>
    <w:rPr>
      <w:kern w:val="14"/>
      <w:szCs w:val="28"/>
    </w:rPr>
  </w:style>
  <w:style w:type="paragraph" w:customStyle="1" w:styleId="Bullet3">
    <w:name w:val="Bullet 3"/>
    <w:basedOn w:val="SingleTxt"/>
    <w:qFormat/>
    <w:rsid w:val="00F158EB"/>
    <w:pPr>
      <w:numPr>
        <w:numId w:val="20"/>
      </w:numPr>
      <w:tabs>
        <w:tab w:val="num" w:pos="2495"/>
      </w:tabs>
      <w:ind w:left="2495" w:hanging="545"/>
    </w:pPr>
  </w:style>
  <w:style w:type="paragraph" w:customStyle="1" w:styleId="AgendaTitleH2">
    <w:name w:val="Agenda_Title_H2"/>
    <w:basedOn w:val="H1"/>
    <w:next w:val="Normal"/>
    <w:qFormat/>
    <w:rsid w:val="00F158EB"/>
    <w:pPr>
      <w:ind w:right="5760"/>
      <w:outlineLvl w:val="1"/>
    </w:pPr>
    <w:rPr>
      <w:spacing w:val="2"/>
      <w:sz w:val="20"/>
      <w:szCs w:val="28"/>
    </w:rPr>
  </w:style>
  <w:style w:type="paragraph" w:customStyle="1" w:styleId="STitleM">
    <w:name w:val="S_Title_M"/>
    <w:basedOn w:val="Normal"/>
    <w:next w:val="Normal"/>
    <w:qFormat/>
    <w:rsid w:val="00F158EB"/>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F158EB"/>
    <w:pPr>
      <w:spacing w:line="600" w:lineRule="exact"/>
      <w:ind w:left="1267" w:right="1267"/>
    </w:pPr>
    <w:rPr>
      <w:w w:val="103"/>
      <w:sz w:val="60"/>
      <w:szCs w:val="60"/>
    </w:rPr>
  </w:style>
  <w:style w:type="paragraph" w:customStyle="1" w:styleId="STitleL">
    <w:name w:val="S_Title_L"/>
    <w:basedOn w:val="XLarge"/>
    <w:next w:val="Normal"/>
    <w:qFormat/>
    <w:rsid w:val="00F158EB"/>
    <w:rPr>
      <w:spacing w:val="-8"/>
      <w:w w:val="96"/>
      <w:sz w:val="57"/>
    </w:rPr>
  </w:style>
  <w:style w:type="paragraph" w:styleId="CommentText">
    <w:name w:val="annotation text"/>
    <w:basedOn w:val="Normal"/>
    <w:link w:val="CommentTextChar"/>
    <w:uiPriority w:val="99"/>
    <w:semiHidden/>
    <w:unhideWhenUsed/>
    <w:rsid w:val="00F158EB"/>
    <w:pPr>
      <w:spacing w:line="240" w:lineRule="auto"/>
    </w:pPr>
    <w:rPr>
      <w:kern w:val="14"/>
    </w:rPr>
  </w:style>
  <w:style w:type="character" w:customStyle="1" w:styleId="CommentTextChar">
    <w:name w:val="Comment Text Char"/>
    <w:basedOn w:val="DefaultParagraphFont"/>
    <w:link w:val="CommentText"/>
    <w:uiPriority w:val="99"/>
    <w:semiHidden/>
    <w:rsid w:val="00F158EB"/>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F158EB"/>
    <w:rPr>
      <w:b/>
      <w:bCs/>
    </w:rPr>
  </w:style>
  <w:style w:type="character" w:customStyle="1" w:styleId="CommentSubjectChar">
    <w:name w:val="Comment Subject Char"/>
    <w:basedOn w:val="CommentTextChar"/>
    <w:link w:val="CommentSubject"/>
    <w:uiPriority w:val="99"/>
    <w:semiHidden/>
    <w:rsid w:val="00F158EB"/>
    <w:rPr>
      <w:rFonts w:ascii="Times New Roman" w:eastAsia="PMingLiU" w:hAnsi="Times New Roman" w:cs="Simplified Arabic"/>
      <w:b/>
      <w:bCs/>
      <w:kern w:val="14"/>
      <w:szCs w:val="22"/>
      <w:lang w:eastAsia="en-US"/>
    </w:rPr>
  </w:style>
  <w:style w:type="paragraph" w:customStyle="1" w:styleId="Bullet1G">
    <w:name w:val="_Bullet 1_G"/>
    <w:basedOn w:val="Normal"/>
    <w:qFormat/>
    <w:rsid w:val="00F158EB"/>
    <w:pPr>
      <w:numPr>
        <w:numId w:val="21"/>
      </w:numPr>
      <w:bidi w:val="0"/>
      <w:spacing w:after="120"/>
      <w:ind w:right="1134"/>
      <w:jc w:val="both"/>
    </w:pPr>
    <w:rPr>
      <w:sz w:val="22"/>
    </w:rPr>
  </w:style>
  <w:style w:type="character" w:customStyle="1" w:styleId="SingleTxtGChar">
    <w:name w:val="_ Single Txt_G Char"/>
    <w:link w:val="SingleTxtG"/>
    <w:rsid w:val="00F158EB"/>
    <w:rPr>
      <w:rFonts w:ascii="Times New Roman" w:eastAsia="PMingLiU" w:hAnsi="Times New Roman" w:cs="Simplified Arabic"/>
      <w:lang w:val="en-GB" w:eastAsia="en-US"/>
    </w:rPr>
  </w:style>
  <w:style w:type="paragraph" w:customStyle="1" w:styleId="Preparedby">
    <w:name w:val="Prepared by:"/>
    <w:basedOn w:val="H23GA"/>
    <w:qFormat/>
    <w:rsid w:val="00F158EB"/>
    <w:rPr>
      <w:sz w:val="32"/>
      <w:szCs w:val="32"/>
    </w:rPr>
  </w:style>
  <w:style w:type="paragraph" w:customStyle="1" w:styleId="ParaNoG">
    <w:name w:val="_ParaNo._G"/>
    <w:basedOn w:val="SingleTxtG"/>
    <w:rsid w:val="00F158EB"/>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F158EB"/>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F158EB"/>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F158EB"/>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F158EB"/>
    <w:rPr>
      <w:rFonts w:asciiTheme="minorHAnsi" w:eastAsiaTheme="minorEastAsia" w:hAnsiTheme="minorHAnsi" w:cstheme="minorBidi"/>
      <w:sz w:val="24"/>
      <w:szCs w:val="24"/>
      <w:lang w:val="fr-FR" w:eastAsia="fr-FR"/>
    </w:rPr>
  </w:style>
  <w:style w:type="paragraph" w:customStyle="1" w:styleId="Default">
    <w:name w:val="Default"/>
    <w:semiHidden/>
    <w:rsid w:val="00F158EB"/>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F158EB"/>
  </w:style>
  <w:style w:type="character" w:customStyle="1" w:styleId="preferred">
    <w:name w:val="preferred"/>
    <w:basedOn w:val="DefaultParagraphFont"/>
    <w:rsid w:val="00F158EB"/>
  </w:style>
  <w:style w:type="character" w:customStyle="1" w:styleId="admitted">
    <w:name w:val="admitted"/>
    <w:basedOn w:val="DefaultParagraphFont"/>
    <w:rsid w:val="00F158EB"/>
  </w:style>
  <w:style w:type="paragraph" w:styleId="TOC7">
    <w:name w:val="toc 7"/>
    <w:basedOn w:val="Normal"/>
    <w:next w:val="Normal"/>
    <w:autoRedefine/>
    <w:uiPriority w:val="39"/>
    <w:unhideWhenUsed/>
    <w:rsid w:val="00C64C7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C64C7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C64C7B"/>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uiPriority w:val="99"/>
    <w:rsid w:val="00F158EB"/>
    <w:pPr>
      <w:bidi w:val="0"/>
      <w:spacing w:after="160" w:line="240" w:lineRule="exact"/>
      <w:jc w:val="both"/>
    </w:pPr>
    <w:rPr>
      <w:rFonts w:ascii="Calibri" w:eastAsia="Times New Roman" w:hAnsi="Calibri" w:cs="Arial"/>
      <w:szCs w:val="18"/>
      <w:vertAlign w:val="superscript"/>
      <w:lang w:eastAsia="zh-TW"/>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F158EB"/>
    <w:rPr>
      <w:rFonts w:ascii="Times New Roman" w:eastAsia="PMingLiU" w:hAnsi="Times New Roman" w:cs="Simplified Arabic"/>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ar/CAT/C/SR.1847" TargetMode="External"/><Relationship Id="rId2" Type="http://schemas.openxmlformats.org/officeDocument/2006/relationships/hyperlink" Target="http://undocs.org/ar/CAT/C/SR.1844" TargetMode="External"/><Relationship Id="rId1" Type="http://schemas.openxmlformats.org/officeDocument/2006/relationships/hyperlink" Target="http://undocs.org/ar/CAT/C/KGZ/3" TargetMode="External"/><Relationship Id="rId4" Type="http://schemas.openxmlformats.org/officeDocument/2006/relationships/hyperlink" Target="http://undocs.org/ar/CAT/C/KGZ/CO/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34A9-C71D-4C53-9B5B-07590E8F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3314</Words>
  <Characters>20716</Characters>
  <Application>Microsoft Office Word</Application>
  <DocSecurity>0</DocSecurity>
  <Lines>1883</Lines>
  <Paragraphs>1144</Paragraphs>
  <ScaleCrop>false</ScaleCrop>
  <HeadingPairs>
    <vt:vector size="2" baseType="variant">
      <vt:variant>
        <vt:lpstr>Title</vt:lpstr>
      </vt:variant>
      <vt:variant>
        <vt:i4>1</vt:i4>
      </vt:variant>
    </vt:vector>
  </HeadingPairs>
  <TitlesOfParts>
    <vt:vector size="1" baseType="lpstr">
      <vt:lpstr>CAT/C/KGZ/CO/3</vt:lpstr>
    </vt:vector>
  </TitlesOfParts>
  <Company>DCM</Company>
  <LinksUpToDate>false</LinksUpToDate>
  <CharactersWithSpaces>22886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CAT/C/KGZ/CO/3</dc:title>
  <dc:subject>GE.2119376(A)</dc:subject>
  <dc:creator>Gamal MAHMOUD - ABEL10</dc:creator>
  <cp:keywords>GE.2138255(A)</cp:keywords>
  <dc:description>Distr.: General_x000d_
21 December 2021_x000d_
Original: English</dc:description>
  <cp:lastModifiedBy>Gamal MAHMOUD</cp:lastModifiedBy>
  <cp:revision>2</cp:revision>
  <cp:lastPrinted>2016-06-21T10:29:00Z</cp:lastPrinted>
  <dcterms:created xsi:type="dcterms:W3CDTF">2022-01-26T15:38:00Z</dcterms:created>
  <dcterms:modified xsi:type="dcterms:W3CDTF">2022-01-26T15:38:00Z</dcterms:modified>
  <cp:category>Final</cp:category>
</cp:coreProperties>
</file>