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DF697B" w:rsidP="00855505">
            <w:pPr>
              <w:jc w:val="right"/>
            </w:pPr>
            <w:r w:rsidRPr="00DF697B">
              <w:rPr>
                <w:sz w:val="40"/>
              </w:rPr>
              <w:t>CAT</w:t>
            </w:r>
            <w:r w:rsidR="00D04711">
              <w:t>/</w:t>
            </w:r>
            <w:r>
              <w:t>C/PER/CO/</w:t>
            </w:r>
            <w:r w:rsidR="006C0E4A">
              <w:t>5-</w:t>
            </w:r>
            <w:r>
              <w:t>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943D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DF697B" w:rsidP="00DF697B">
            <w:pPr>
              <w:spacing w:before="240" w:line="240" w:lineRule="exact"/>
            </w:pPr>
            <w:r>
              <w:t xml:space="preserve">Distr.: </w:t>
            </w:r>
            <w:r w:rsidR="000D4D0B">
              <w:t>General</w:t>
            </w:r>
          </w:p>
          <w:p w:rsidR="00DF697B" w:rsidRDefault="00AF51FD" w:rsidP="00DF697B">
            <w:pPr>
              <w:spacing w:line="240" w:lineRule="exact"/>
            </w:pPr>
            <w:r>
              <w:t>21 January 2013</w:t>
            </w:r>
          </w:p>
          <w:p w:rsidR="00DF697B" w:rsidRDefault="00DF697B" w:rsidP="00DF697B">
            <w:pPr>
              <w:spacing w:line="240" w:lineRule="exact"/>
            </w:pPr>
          </w:p>
          <w:p w:rsidR="00DF697B" w:rsidRDefault="00DF697B" w:rsidP="00DF697B">
            <w:pPr>
              <w:spacing w:line="240" w:lineRule="exact"/>
            </w:pPr>
            <w:r>
              <w:t>Original: English</w:t>
            </w:r>
          </w:p>
        </w:tc>
      </w:tr>
    </w:tbl>
    <w:p w:rsidR="009135DF" w:rsidRDefault="00DF697B" w:rsidP="00DF697B">
      <w:pPr>
        <w:spacing w:before="120"/>
        <w:rPr>
          <w:b/>
          <w:sz w:val="24"/>
          <w:szCs w:val="24"/>
        </w:rPr>
      </w:pPr>
      <w:r w:rsidRPr="00D107C4">
        <w:rPr>
          <w:b/>
          <w:sz w:val="24"/>
          <w:szCs w:val="24"/>
        </w:rPr>
        <w:t>Committee against Torture</w:t>
      </w:r>
      <w:r w:rsidR="009135DF">
        <w:rPr>
          <w:b/>
          <w:sz w:val="24"/>
          <w:szCs w:val="24"/>
        </w:rPr>
        <w:t xml:space="preserve"> </w:t>
      </w:r>
    </w:p>
    <w:p w:rsidR="00034664" w:rsidRDefault="00DF697B" w:rsidP="00034664">
      <w:pPr>
        <w:pStyle w:val="HChG"/>
      </w:pPr>
      <w:r>
        <w:tab/>
      </w:r>
      <w:r>
        <w:tab/>
        <w:t xml:space="preserve">Concluding observations on the </w:t>
      </w:r>
      <w:r w:rsidR="00B0339A">
        <w:t>combine</w:t>
      </w:r>
      <w:r w:rsidR="00382028">
        <w:t>d</w:t>
      </w:r>
      <w:r w:rsidR="00B0339A">
        <w:t xml:space="preserve"> fifth and </w:t>
      </w:r>
      <w:r>
        <w:t>sixth periodic report</w:t>
      </w:r>
      <w:r w:rsidR="00B0339A">
        <w:t>s</w:t>
      </w:r>
      <w:r>
        <w:t xml:space="preserve"> of </w:t>
      </w:r>
      <w:smartTag w:uri="urn:schemas-microsoft-com:office:smarttags" w:element="place">
        <w:smartTag w:uri="urn:schemas-microsoft-com:office:smarttags" w:element="country-region">
          <w:r>
            <w:t>Peru</w:t>
          </w:r>
        </w:smartTag>
      </w:smartTag>
      <w:r w:rsidR="00034664">
        <w:t>, adopted by the Committee at its f</w:t>
      </w:r>
      <w:r w:rsidR="000F4B1D">
        <w:t>orty-</w:t>
      </w:r>
      <w:r w:rsidR="00F96087">
        <w:t>ninth</w:t>
      </w:r>
      <w:r w:rsidR="000F4B1D">
        <w:t xml:space="preserve"> session (29 October -</w:t>
      </w:r>
      <w:r w:rsidR="00643EBF">
        <w:t xml:space="preserve"> 23</w:t>
      </w:r>
      <w:r w:rsidR="00034664">
        <w:t xml:space="preserve"> November 2012)</w:t>
      </w:r>
    </w:p>
    <w:p w:rsidR="00D46866" w:rsidRDefault="00D46866" w:rsidP="00030C28">
      <w:pPr>
        <w:pStyle w:val="SingleTxtG"/>
        <w:spacing w:line="240" w:lineRule="auto"/>
      </w:pPr>
      <w:r w:rsidRPr="00B8744C">
        <w:t>1.</w:t>
      </w:r>
      <w:r>
        <w:tab/>
        <w:t xml:space="preserve">The Committee against Torture considered the </w:t>
      </w:r>
      <w:r w:rsidR="001607A4">
        <w:t xml:space="preserve">combined fifth and </w:t>
      </w:r>
      <w:r>
        <w:t>sixth peri</w:t>
      </w:r>
      <w:r w:rsidR="00B0339A">
        <w:t>odic report</w:t>
      </w:r>
      <w:r w:rsidR="00F046A9">
        <w:t>s</w:t>
      </w:r>
      <w:r w:rsidR="00B0339A">
        <w:t xml:space="preserve"> of Peru (CAT/C/PER/6</w:t>
      </w:r>
      <w:r>
        <w:t>) at its 1096</w:t>
      </w:r>
      <w:r w:rsidRPr="00FB2C8C">
        <w:t xml:space="preserve">th and 1099th </w:t>
      </w:r>
      <w:r>
        <w:t>meetings, held on 30 and 31 October 2012 (CAT/C/SR.1096 and</w:t>
      </w:r>
      <w:r w:rsidR="00540D3B">
        <w:t xml:space="preserve"> </w:t>
      </w:r>
      <w:r>
        <w:t>1099)</w:t>
      </w:r>
      <w:r w:rsidR="00652852">
        <w:t xml:space="preserve">. At its </w:t>
      </w:r>
      <w:r w:rsidRPr="00FB2C8C">
        <w:t>1</w:t>
      </w:r>
      <w:r w:rsidR="00DC78D8" w:rsidRPr="00FB2C8C">
        <w:t>121</w:t>
      </w:r>
      <w:r w:rsidR="00A5048C" w:rsidRPr="00FB2C8C">
        <w:t>st, 1122nd</w:t>
      </w:r>
      <w:r w:rsidR="00012AEF" w:rsidRPr="00FB2C8C">
        <w:t xml:space="preserve"> </w:t>
      </w:r>
      <w:r w:rsidR="00A5048C" w:rsidRPr="00FB2C8C">
        <w:t xml:space="preserve">and 1123rd </w:t>
      </w:r>
      <w:r w:rsidRPr="00FB2C8C">
        <w:t>meeting</w:t>
      </w:r>
      <w:r w:rsidR="00A5048C" w:rsidRPr="00FB2C8C">
        <w:t>s</w:t>
      </w:r>
      <w:r w:rsidRPr="00FB2C8C">
        <w:t xml:space="preserve"> </w:t>
      </w:r>
      <w:r>
        <w:t>(CAT/C/SR.1</w:t>
      </w:r>
      <w:r w:rsidR="00DC78D8">
        <w:t>121</w:t>
      </w:r>
      <w:r w:rsidR="00FB2C8C">
        <w:t xml:space="preserve"> </w:t>
      </w:r>
      <w:r w:rsidR="00A5048C">
        <w:t>1122 and</w:t>
      </w:r>
      <w:r w:rsidR="00FB2C8C">
        <w:t xml:space="preserve"> </w:t>
      </w:r>
      <w:r w:rsidR="00A5048C">
        <w:t>1123</w:t>
      </w:r>
      <w:r>
        <w:t>)</w:t>
      </w:r>
      <w:r w:rsidR="00540D3B">
        <w:t>,</w:t>
      </w:r>
      <w:r>
        <w:t xml:space="preserve"> held on </w:t>
      </w:r>
      <w:r w:rsidR="00DC78D8">
        <w:t>15</w:t>
      </w:r>
      <w:r>
        <w:t xml:space="preserve"> </w:t>
      </w:r>
      <w:r w:rsidR="00A5048C">
        <w:t xml:space="preserve">and 16 </w:t>
      </w:r>
      <w:r>
        <w:t>November 2012</w:t>
      </w:r>
      <w:r w:rsidR="00FB2C8C">
        <w:t xml:space="preserve">, </w:t>
      </w:r>
      <w:r w:rsidR="00652852">
        <w:t xml:space="preserve">it adopted </w:t>
      </w:r>
      <w:r w:rsidR="00FB2C8C">
        <w:t>the following concluding observations</w:t>
      </w:r>
      <w:r>
        <w:t>.</w:t>
      </w:r>
      <w:r w:rsidR="009D3A52">
        <w:t xml:space="preserve"> </w:t>
      </w:r>
    </w:p>
    <w:p w:rsidR="00D46866" w:rsidRDefault="00AD2DB4" w:rsidP="00AD2DB4">
      <w:pPr>
        <w:pStyle w:val="H1G"/>
      </w:pPr>
      <w:r>
        <w:tab/>
      </w:r>
      <w:r w:rsidR="00D46866">
        <w:t>A.</w:t>
      </w:r>
      <w:r w:rsidR="00D46866">
        <w:tab/>
        <w:t>Introduction</w:t>
      </w:r>
    </w:p>
    <w:p w:rsidR="009D3A52" w:rsidRDefault="00D46866" w:rsidP="00AD2DB4">
      <w:pPr>
        <w:pStyle w:val="SingleTxtG"/>
        <w:rPr>
          <w:rFonts w:eastAsia="Calibri"/>
        </w:rPr>
      </w:pPr>
      <w:r>
        <w:t>2.</w:t>
      </w:r>
      <w:r>
        <w:tab/>
      </w:r>
      <w:r w:rsidR="007629BC" w:rsidRPr="007629BC">
        <w:t xml:space="preserve">The Committee expresses its appreciation to the State party for accepting the optional reporting procedure and for submitting its sixth periodic report by providing detailed replies to the list of issues </w:t>
      </w:r>
      <w:r w:rsidR="007629BC">
        <w:t>(CAT/C/PER/Q/6)</w:t>
      </w:r>
      <w:r w:rsidR="007629BC" w:rsidRPr="007629BC">
        <w:t>, as it improves the cooperation between the State party and the Committee and focuses the examination of the report as well as the dialogue with the delegation.</w:t>
      </w:r>
      <w:r w:rsidR="009D3A52">
        <w:rPr>
          <w:rFonts w:eastAsia="Calibri"/>
        </w:rPr>
        <w:t xml:space="preserve"> </w:t>
      </w:r>
    </w:p>
    <w:p w:rsidR="00D46866" w:rsidRDefault="00D46866" w:rsidP="00AD2DB4">
      <w:pPr>
        <w:pStyle w:val="SingleTxtG"/>
      </w:pPr>
      <w:r>
        <w:t>3.</w:t>
      </w:r>
      <w:r>
        <w:tab/>
      </w:r>
      <w:r w:rsidR="009D3A52">
        <w:rPr>
          <w:rFonts w:eastAsia="Calibri"/>
          <w:lang w:eastAsia="en-GB"/>
        </w:rPr>
        <w:t>The Committee also appreciates the open and constructive dialogue with the high-level delegation of the State party and the supplementary information supplied</w:t>
      </w:r>
      <w:r w:rsidR="001F0A64">
        <w:rPr>
          <w:rFonts w:eastAsia="Calibri"/>
          <w:lang w:eastAsia="en-GB"/>
        </w:rPr>
        <w:t>.</w:t>
      </w:r>
      <w:r w:rsidR="009D3A52">
        <w:rPr>
          <w:rFonts w:eastAsia="Calibri"/>
          <w:lang w:eastAsia="en-GB"/>
        </w:rPr>
        <w:t xml:space="preserve"> </w:t>
      </w:r>
    </w:p>
    <w:p w:rsidR="00D46866" w:rsidRDefault="00AD2DB4" w:rsidP="00AD2DB4">
      <w:pPr>
        <w:pStyle w:val="H1G"/>
      </w:pPr>
      <w:r>
        <w:tab/>
      </w:r>
      <w:r w:rsidR="00D46866">
        <w:t>B.</w:t>
      </w:r>
      <w:r w:rsidR="00D46866">
        <w:tab/>
        <w:t>Positive aspects</w:t>
      </w:r>
    </w:p>
    <w:p w:rsidR="00D46866" w:rsidRDefault="00D46866" w:rsidP="00AD2DB4">
      <w:pPr>
        <w:pStyle w:val="SingleTxtG"/>
      </w:pPr>
      <w:r>
        <w:t>4.</w:t>
      </w:r>
      <w:r>
        <w:tab/>
        <w:t>The Committee welcomes that</w:t>
      </w:r>
      <w:r w:rsidR="00B26684">
        <w:t>,</w:t>
      </w:r>
      <w:r>
        <w:t xml:space="preserve"> since the consideration of the fourth periodic report, the State party ratified or acceded to the following international instruments:</w:t>
      </w:r>
    </w:p>
    <w:p w:rsidR="00D46866" w:rsidRPr="004F24F7" w:rsidRDefault="00AD2DB4" w:rsidP="00AD2DB4">
      <w:pPr>
        <w:pStyle w:val="SingleTxtG"/>
        <w:ind w:firstLine="567"/>
      </w:pPr>
      <w:r>
        <w:t>(</w:t>
      </w:r>
      <w:r w:rsidR="00D46866">
        <w:t>a)</w:t>
      </w:r>
      <w:r w:rsidR="00D46866">
        <w:tab/>
      </w:r>
      <w:r w:rsidR="00D46866" w:rsidRPr="004F24F7">
        <w:t>Optional Protocol to the Convention against Torture and other Cruel, Inhuman or Degrading Treatment or Punishment</w:t>
      </w:r>
      <w:r w:rsidR="00643EBF">
        <w:t>,</w:t>
      </w:r>
      <w:r w:rsidR="000D3E38">
        <w:t xml:space="preserve"> on </w:t>
      </w:r>
      <w:r w:rsidR="00D46866">
        <w:t>14 September</w:t>
      </w:r>
      <w:r w:rsidR="00D46866" w:rsidRPr="004F24F7">
        <w:t xml:space="preserve"> 2006;</w:t>
      </w:r>
    </w:p>
    <w:p w:rsidR="00D46866" w:rsidRPr="00AD2DB4" w:rsidRDefault="00AD2DB4" w:rsidP="00AD2DB4">
      <w:pPr>
        <w:pStyle w:val="SingleTxtG"/>
        <w:ind w:firstLine="567"/>
      </w:pPr>
      <w:r w:rsidRPr="00AD2DB4">
        <w:t>(</w:t>
      </w:r>
      <w:r w:rsidR="00D46866" w:rsidRPr="00AD2DB4">
        <w:t>b)</w:t>
      </w:r>
      <w:r w:rsidR="00D46866" w:rsidRPr="00AD2DB4">
        <w:tab/>
        <w:t>Convention on the Rights of Persons with Disabilities</w:t>
      </w:r>
      <w:r w:rsidR="00643EBF">
        <w:t>,</w:t>
      </w:r>
      <w:r w:rsidR="00D46866" w:rsidRPr="00AD2DB4">
        <w:t xml:space="preserve"> </w:t>
      </w:r>
      <w:r w:rsidR="000D3E38" w:rsidRPr="00AD2DB4">
        <w:t>on</w:t>
      </w:r>
      <w:r w:rsidR="00DC78D8">
        <w:t xml:space="preserve"> </w:t>
      </w:r>
      <w:r w:rsidR="00D46866" w:rsidRPr="00AD2DB4">
        <w:t>30 January 2008;</w:t>
      </w:r>
    </w:p>
    <w:p w:rsidR="00D859F3" w:rsidRPr="00AD2DB4" w:rsidRDefault="00AD2DB4" w:rsidP="00AD2DB4">
      <w:pPr>
        <w:pStyle w:val="SingleTxtG"/>
        <w:ind w:firstLine="567"/>
      </w:pPr>
      <w:r w:rsidRPr="00AD2DB4">
        <w:t>(</w:t>
      </w:r>
      <w:r w:rsidR="00D46866" w:rsidRPr="00AD2DB4">
        <w:t>c)</w:t>
      </w:r>
      <w:r w:rsidR="00D46866" w:rsidRPr="00AD2DB4">
        <w:tab/>
        <w:t>Optional Protocol to the Convention on the Rights of Persons with Disabilities</w:t>
      </w:r>
      <w:r w:rsidR="00643EBF">
        <w:t>,</w:t>
      </w:r>
      <w:r w:rsidR="000D3E38" w:rsidRPr="00AD2DB4">
        <w:t xml:space="preserve"> on</w:t>
      </w:r>
      <w:r w:rsidR="00DC78D8">
        <w:t xml:space="preserve"> </w:t>
      </w:r>
      <w:r w:rsidR="00D46866" w:rsidRPr="00AD2DB4">
        <w:t>30 January 2008</w:t>
      </w:r>
      <w:r w:rsidR="00D859F3" w:rsidRPr="00AD2DB4">
        <w:t>;</w:t>
      </w:r>
    </w:p>
    <w:p w:rsidR="00D46866" w:rsidRPr="00AD2DB4" w:rsidRDefault="00AD2DB4" w:rsidP="00AD2DB4">
      <w:pPr>
        <w:pStyle w:val="SingleTxtG"/>
        <w:ind w:firstLine="567"/>
      </w:pPr>
      <w:r w:rsidRPr="00AD2DB4">
        <w:t>(</w:t>
      </w:r>
      <w:r w:rsidR="00D859F3" w:rsidRPr="00AD2DB4">
        <w:t>d)</w:t>
      </w:r>
      <w:r w:rsidR="00D859F3" w:rsidRPr="00AD2DB4">
        <w:tab/>
        <w:t>International Convention for the Protection of All Persons from Enforced Disappearance</w:t>
      </w:r>
      <w:r w:rsidR="00643EBF">
        <w:t>,</w:t>
      </w:r>
      <w:r w:rsidR="000D3E38" w:rsidRPr="00AD2DB4">
        <w:t xml:space="preserve"> on 26 September 2012</w:t>
      </w:r>
      <w:r w:rsidR="00D46866" w:rsidRPr="00AD2DB4">
        <w:t>.</w:t>
      </w:r>
    </w:p>
    <w:p w:rsidR="00D46866" w:rsidRDefault="00D46866" w:rsidP="00AD2DB4">
      <w:pPr>
        <w:pStyle w:val="SingleTxtG"/>
      </w:pPr>
      <w:r>
        <w:t>5.</w:t>
      </w:r>
      <w:r>
        <w:tab/>
        <w:t xml:space="preserve">The Committee </w:t>
      </w:r>
      <w:r w:rsidR="009D3A52">
        <w:t xml:space="preserve">welcomes </w:t>
      </w:r>
      <w:r>
        <w:t xml:space="preserve">the State party’s </w:t>
      </w:r>
      <w:r w:rsidR="00EC0C9E">
        <w:t>e</w:t>
      </w:r>
      <w:r>
        <w:t>fforts to revise its legislation in areas of relevance to the Convention, including:</w:t>
      </w:r>
    </w:p>
    <w:p w:rsidR="008314A1" w:rsidRDefault="00AD2DB4" w:rsidP="00AD2DB4">
      <w:pPr>
        <w:pStyle w:val="SingleTxtG"/>
        <w:ind w:firstLine="567"/>
      </w:pPr>
      <w:r>
        <w:t>(</w:t>
      </w:r>
      <w:r w:rsidR="00D46866">
        <w:t>a)</w:t>
      </w:r>
      <w:r w:rsidR="00D46866">
        <w:tab/>
      </w:r>
      <w:r w:rsidR="00A16974">
        <w:t xml:space="preserve">Entry into force in </w:t>
      </w:r>
      <w:r w:rsidR="0045667D">
        <w:t>July</w:t>
      </w:r>
      <w:r w:rsidR="00A16974">
        <w:t xml:space="preserve"> 2006 of the new Code of Criminal Procedure, adopted by Legislative Decree No. 957 of July 2004</w:t>
      </w:r>
      <w:r w:rsidR="00D13032">
        <w:t xml:space="preserve">; </w:t>
      </w:r>
    </w:p>
    <w:p w:rsidR="003817F0" w:rsidRDefault="00AD2DB4" w:rsidP="00AD2DB4">
      <w:pPr>
        <w:pStyle w:val="SingleTxtG"/>
        <w:ind w:firstLine="567"/>
      </w:pPr>
      <w:r>
        <w:t>(</w:t>
      </w:r>
      <w:r w:rsidR="003817F0">
        <w:t>b)</w:t>
      </w:r>
      <w:r w:rsidR="003817F0">
        <w:tab/>
        <w:t>Approval by Act No. 28592 of the Comprehensive Reparations Plan</w:t>
      </w:r>
      <w:r w:rsidR="00643EBF">
        <w:t>,</w:t>
      </w:r>
      <w:r w:rsidR="003817F0">
        <w:t xml:space="preserve"> in July 2005;</w:t>
      </w:r>
    </w:p>
    <w:p w:rsidR="00487EC1" w:rsidRDefault="00AD2DB4" w:rsidP="00AD2DB4">
      <w:pPr>
        <w:pStyle w:val="SingleTxtG"/>
        <w:ind w:firstLine="567"/>
      </w:pPr>
      <w:r>
        <w:t>(</w:t>
      </w:r>
      <w:r w:rsidR="003817F0">
        <w:t>c</w:t>
      </w:r>
      <w:r w:rsidR="008314A1">
        <w:t>)</w:t>
      </w:r>
      <w:r w:rsidR="008314A1">
        <w:tab/>
        <w:t>I</w:t>
      </w:r>
      <w:r w:rsidR="00487EC1">
        <w:t>n</w:t>
      </w:r>
      <w:r w:rsidR="001607A4">
        <w:t>corporation of th</w:t>
      </w:r>
      <w:r w:rsidR="001607A4" w:rsidRPr="00910606">
        <w:t xml:space="preserve">e crime </w:t>
      </w:r>
      <w:r w:rsidR="00FB2C8C" w:rsidRPr="00910606">
        <w:t xml:space="preserve">of </w:t>
      </w:r>
      <w:r w:rsidR="00487EC1" w:rsidRPr="00910606">
        <w:t>femicide</w:t>
      </w:r>
      <w:r w:rsidR="00487EC1">
        <w:t xml:space="preserve"> in </w:t>
      </w:r>
      <w:r w:rsidR="001607A4">
        <w:t xml:space="preserve">article 107 of </w:t>
      </w:r>
      <w:r w:rsidR="00487EC1">
        <w:t>the Criminal Code;</w:t>
      </w:r>
    </w:p>
    <w:p w:rsidR="00443331" w:rsidRDefault="00AD2DB4" w:rsidP="00AD2DB4">
      <w:pPr>
        <w:pStyle w:val="SingleTxtG"/>
        <w:ind w:firstLine="567"/>
      </w:pPr>
      <w:r>
        <w:t>(</w:t>
      </w:r>
      <w:r w:rsidR="003817F0">
        <w:t>d</w:t>
      </w:r>
      <w:r w:rsidR="00DB029F">
        <w:t>)</w:t>
      </w:r>
      <w:r w:rsidR="00DB029F">
        <w:tab/>
      </w:r>
      <w:r w:rsidR="00443331">
        <w:t>Repeal on 15 September 2010 of Legislative Decree No. 1097 that stipulated that the Convention on the Non-Applicability of Statutory Limitations to War Crimes an</w:t>
      </w:r>
      <w:r w:rsidR="00065EB2">
        <w:t>d</w:t>
      </w:r>
      <w:r w:rsidR="00443331">
        <w:t xml:space="preserve"> Crimes against Humanity would only apply as of 9 November 2003</w:t>
      </w:r>
      <w:r w:rsidR="008314A1">
        <w:t>;</w:t>
      </w:r>
    </w:p>
    <w:p w:rsidR="008314A1" w:rsidRDefault="00AD2DB4" w:rsidP="00AD2DB4">
      <w:pPr>
        <w:pStyle w:val="SingleTxtG"/>
        <w:ind w:firstLine="567"/>
      </w:pPr>
      <w:r>
        <w:t>(</w:t>
      </w:r>
      <w:r w:rsidR="003817F0">
        <w:t>e</w:t>
      </w:r>
      <w:r w:rsidR="008314A1">
        <w:t>)</w:t>
      </w:r>
      <w:r w:rsidR="008314A1">
        <w:tab/>
        <w:t>Adoption of Refugee Law No. 27891</w:t>
      </w:r>
      <w:r w:rsidR="00223363">
        <w:t xml:space="preserve"> of 20 December 2002</w:t>
      </w:r>
      <w:r w:rsidR="008314A1">
        <w:t>.</w:t>
      </w:r>
    </w:p>
    <w:p w:rsidR="00D46866" w:rsidRDefault="00D46866" w:rsidP="00AD2DB4">
      <w:pPr>
        <w:pStyle w:val="SingleTxtG"/>
      </w:pPr>
      <w:r>
        <w:t>6.</w:t>
      </w:r>
      <w:r>
        <w:tab/>
        <w:t>The Committee also welcomes the efforts of the State party to amend its policies, programmes and administrative measures to give effect to the Convention, including:</w:t>
      </w:r>
    </w:p>
    <w:p w:rsidR="00443331" w:rsidRDefault="00CF7BB2" w:rsidP="00AD2DB4">
      <w:pPr>
        <w:pStyle w:val="SingleTxtG"/>
        <w:ind w:firstLine="567"/>
      </w:pPr>
      <w:r>
        <w:t>(</w:t>
      </w:r>
      <w:r w:rsidR="00D46866">
        <w:t>a</w:t>
      </w:r>
      <w:r w:rsidR="00D46866" w:rsidRPr="00AD2F37">
        <w:t>)</w:t>
      </w:r>
      <w:r w:rsidR="00D46866" w:rsidRPr="00AD2F37">
        <w:tab/>
      </w:r>
      <w:r w:rsidR="00443331">
        <w:t>Establishment of a specialized judicial subsystem under the Public Prosecutor’s Office and the Judiciary to prosecute human rights violations committed dur</w:t>
      </w:r>
      <w:r w:rsidR="00643EBF">
        <w:t>ing the internal armed conflict;</w:t>
      </w:r>
    </w:p>
    <w:p w:rsidR="00D13032" w:rsidRDefault="00CF7BB2" w:rsidP="00AD2DB4">
      <w:pPr>
        <w:pStyle w:val="SingleTxtG"/>
        <w:ind w:firstLine="567"/>
      </w:pPr>
      <w:r>
        <w:t>(</w:t>
      </w:r>
      <w:r w:rsidR="003817F0">
        <w:t>b</w:t>
      </w:r>
      <w:r w:rsidR="00D13032">
        <w:t>)</w:t>
      </w:r>
      <w:r w:rsidR="00D13032">
        <w:tab/>
        <w:t>Establishment in 2006 of the Central Register of Victims under the responsibility of the Reparations Council;</w:t>
      </w:r>
    </w:p>
    <w:p w:rsidR="00951639" w:rsidRDefault="00CF7BB2" w:rsidP="00AD2DB4">
      <w:pPr>
        <w:pStyle w:val="SingleTxtG"/>
        <w:ind w:firstLine="567"/>
      </w:pPr>
      <w:r>
        <w:t>(</w:t>
      </w:r>
      <w:r w:rsidR="003817F0">
        <w:t>c</w:t>
      </w:r>
      <w:r w:rsidR="00951639">
        <w:t>)</w:t>
      </w:r>
      <w:r w:rsidR="00951639">
        <w:tab/>
        <w:t>Adoption of the National Mental Health Plan and of the Coordinated National Health Plan 2007-2020 which gives priority attention to victims of political violence;</w:t>
      </w:r>
    </w:p>
    <w:p w:rsidR="00D13032" w:rsidRDefault="00CF7BB2" w:rsidP="00AD2DB4">
      <w:pPr>
        <w:pStyle w:val="SingleTxtG"/>
        <w:ind w:firstLine="567"/>
      </w:pPr>
      <w:r>
        <w:t>(</w:t>
      </w:r>
      <w:r w:rsidR="003817F0">
        <w:t>d</w:t>
      </w:r>
      <w:r w:rsidR="00D13032">
        <w:t>)</w:t>
      </w:r>
      <w:r w:rsidR="00D13032">
        <w:tab/>
        <w:t>Establishment in October 2010 of the Multisectoral Technical Commission to draw up guidelines and methodologies to determine amounts, procedures and conditions for the Economic Reparations Programme payments;</w:t>
      </w:r>
    </w:p>
    <w:p w:rsidR="00BC09DA" w:rsidRDefault="00CF7BB2" w:rsidP="00AD2DB4">
      <w:pPr>
        <w:pStyle w:val="SingleTxtG"/>
        <w:ind w:firstLine="567"/>
      </w:pPr>
      <w:r>
        <w:t>(</w:t>
      </w:r>
      <w:r w:rsidR="003817F0">
        <w:t>e</w:t>
      </w:r>
      <w:r w:rsidR="00BC09DA">
        <w:t>)</w:t>
      </w:r>
      <w:r w:rsidR="00BC09DA">
        <w:tab/>
        <w:t>Establishment on 7 December 2011 of a Vice-Ministry for Human Rights and Access to Justice within the Ministry of Justice;</w:t>
      </w:r>
    </w:p>
    <w:p w:rsidR="008314A1" w:rsidRDefault="00CF7BB2" w:rsidP="00AD2DB4">
      <w:pPr>
        <w:pStyle w:val="SingleTxtG"/>
        <w:ind w:firstLine="567"/>
      </w:pPr>
      <w:r>
        <w:t>(</w:t>
      </w:r>
      <w:r w:rsidR="003817F0">
        <w:t>f</w:t>
      </w:r>
      <w:r w:rsidR="008314A1">
        <w:t>)</w:t>
      </w:r>
      <w:r w:rsidR="008314A1">
        <w:tab/>
        <w:t>Establishment of the Special Commission on Refugees (CEPR)</w:t>
      </w:r>
      <w:r w:rsidR="00643EBF">
        <w:t>;</w:t>
      </w:r>
    </w:p>
    <w:p w:rsidR="00487EC1" w:rsidRDefault="00CF7BB2" w:rsidP="00AD2DB4">
      <w:pPr>
        <w:pStyle w:val="SingleTxtG"/>
        <w:ind w:firstLine="567"/>
      </w:pPr>
      <w:r>
        <w:t>(</w:t>
      </w:r>
      <w:r w:rsidR="00951639">
        <w:t>g</w:t>
      </w:r>
      <w:r w:rsidR="00C5333C">
        <w:t>)</w:t>
      </w:r>
      <w:r w:rsidR="00C5333C">
        <w:tab/>
        <w:t>Adoption of the Second National Action Plan to Combat Violence against Women</w:t>
      </w:r>
      <w:r w:rsidR="00031AFE">
        <w:t xml:space="preserve"> 2009-2015</w:t>
      </w:r>
      <w:r w:rsidR="00C5333C">
        <w:t>;</w:t>
      </w:r>
    </w:p>
    <w:p w:rsidR="00031AFE" w:rsidRDefault="00CF7BB2" w:rsidP="00AD2DB4">
      <w:pPr>
        <w:pStyle w:val="SingleTxtG"/>
        <w:ind w:firstLine="567"/>
      </w:pPr>
      <w:r>
        <w:t>(</w:t>
      </w:r>
      <w:r w:rsidR="00951639">
        <w:t>h</w:t>
      </w:r>
      <w:r w:rsidR="00C5333C">
        <w:t>)</w:t>
      </w:r>
      <w:r w:rsidR="00C5333C">
        <w:tab/>
      </w:r>
      <w:r w:rsidR="00AC2799">
        <w:t>Adoption of the National Action Plan to Combat Trafficking</w:t>
      </w:r>
      <w:r w:rsidR="00C5333C">
        <w:t xml:space="preserve"> in Persons</w:t>
      </w:r>
      <w:r w:rsidR="00031AFE">
        <w:t xml:space="preserve"> 2011-2016</w:t>
      </w:r>
      <w:r w:rsidR="00AC2799">
        <w:t>;</w:t>
      </w:r>
    </w:p>
    <w:p w:rsidR="00951639" w:rsidRDefault="00CF7BB2" w:rsidP="00AD2DB4">
      <w:pPr>
        <w:pStyle w:val="SingleTxtG"/>
        <w:ind w:firstLine="567"/>
      </w:pPr>
      <w:r>
        <w:t>(</w:t>
      </w:r>
      <w:r w:rsidR="00951639">
        <w:t>i)</w:t>
      </w:r>
      <w:r w:rsidR="00951639">
        <w:tab/>
        <w:t xml:space="preserve">Adoption of the National Human </w:t>
      </w:r>
      <w:r w:rsidR="00643EBF">
        <w:t>Rights Plan of Action 2012-2016.</w:t>
      </w:r>
    </w:p>
    <w:p w:rsidR="00D46866" w:rsidRDefault="00DD483D" w:rsidP="00DD483D">
      <w:pPr>
        <w:pStyle w:val="H1G"/>
      </w:pPr>
      <w:r>
        <w:tab/>
      </w:r>
      <w:r w:rsidR="00D46866">
        <w:t>C.</w:t>
      </w:r>
      <w:r w:rsidR="00D46866">
        <w:tab/>
        <w:t xml:space="preserve">Principal </w:t>
      </w:r>
      <w:r w:rsidR="00D46866" w:rsidRPr="00DD483D">
        <w:t>subjects</w:t>
      </w:r>
      <w:r w:rsidR="00D46866">
        <w:t xml:space="preserve"> of concern and recommendations</w:t>
      </w:r>
    </w:p>
    <w:p w:rsidR="00D46866" w:rsidRPr="00AA3955" w:rsidRDefault="00AD2DB4" w:rsidP="00AD2DB4">
      <w:pPr>
        <w:pStyle w:val="H23G"/>
      </w:pPr>
      <w:r>
        <w:tab/>
      </w:r>
      <w:r>
        <w:tab/>
      </w:r>
      <w:r w:rsidR="00D46866" w:rsidRPr="00AA3955">
        <w:t xml:space="preserve">Definition of torture </w:t>
      </w:r>
    </w:p>
    <w:p w:rsidR="00CD518D" w:rsidRDefault="00D46866" w:rsidP="00AD2DB4">
      <w:pPr>
        <w:pStyle w:val="SingleTxtG"/>
      </w:pPr>
      <w:r>
        <w:t>7.</w:t>
      </w:r>
      <w:r>
        <w:tab/>
      </w:r>
      <w:r w:rsidR="006336EB">
        <w:t>The Committee is concerned that the definition of torture in the Criminal Code does not include discrimination of any kind as</w:t>
      </w:r>
      <w:r w:rsidR="00EC20AA">
        <w:t xml:space="preserve"> one of its elements</w:t>
      </w:r>
      <w:r w:rsidR="006336EB">
        <w:t xml:space="preserve"> </w:t>
      </w:r>
      <w:r w:rsidR="00CA7E02">
        <w:t>(arts. 1 and 4)</w:t>
      </w:r>
      <w:r w:rsidR="00643EBF">
        <w:t>.</w:t>
      </w:r>
    </w:p>
    <w:p w:rsidR="00CD518D" w:rsidRPr="00AD2DB4" w:rsidRDefault="00D46866" w:rsidP="00AD2DB4">
      <w:pPr>
        <w:pStyle w:val="SingleTxtG"/>
        <w:rPr>
          <w:b/>
        </w:rPr>
      </w:pPr>
      <w:r w:rsidRPr="00AD2DB4">
        <w:rPr>
          <w:b/>
        </w:rPr>
        <w:t xml:space="preserve">The Committee recommends that the State party </w:t>
      </w:r>
      <w:r w:rsidR="006336EB" w:rsidRPr="00AD2DB4">
        <w:rPr>
          <w:b/>
        </w:rPr>
        <w:t xml:space="preserve">amend </w:t>
      </w:r>
      <w:r w:rsidR="00F6222D" w:rsidRPr="00AD2DB4">
        <w:rPr>
          <w:b/>
        </w:rPr>
        <w:t>its</w:t>
      </w:r>
      <w:r w:rsidR="006336EB" w:rsidRPr="00AD2DB4">
        <w:rPr>
          <w:b/>
        </w:rPr>
        <w:t xml:space="preserve"> </w:t>
      </w:r>
      <w:r w:rsidRPr="00AD2DB4">
        <w:rPr>
          <w:b/>
        </w:rPr>
        <w:t xml:space="preserve">Criminal Code </w:t>
      </w:r>
      <w:r w:rsidR="006336EB" w:rsidRPr="00AD2DB4">
        <w:rPr>
          <w:b/>
        </w:rPr>
        <w:t xml:space="preserve">to include </w:t>
      </w:r>
      <w:r w:rsidRPr="00AD2DB4">
        <w:rPr>
          <w:b/>
        </w:rPr>
        <w:t>a definition of torture that covers all the elements contained in article 1 of the Convention</w:t>
      </w:r>
      <w:r w:rsidR="001F0A64" w:rsidRPr="00AD2DB4">
        <w:rPr>
          <w:b/>
        </w:rPr>
        <w:t>.</w:t>
      </w:r>
    </w:p>
    <w:p w:rsidR="00D526E5" w:rsidRDefault="00CF7BB2" w:rsidP="00CF7BB2">
      <w:pPr>
        <w:pStyle w:val="H23G"/>
      </w:pPr>
      <w:r>
        <w:tab/>
      </w:r>
      <w:r>
        <w:tab/>
      </w:r>
      <w:r w:rsidR="000B65EA" w:rsidRPr="00EC20AA">
        <w:t>Allegations of</w:t>
      </w:r>
      <w:r w:rsidR="000B65EA">
        <w:t xml:space="preserve"> </w:t>
      </w:r>
      <w:r w:rsidR="00D526E5">
        <w:t>torture and ill-treatment</w:t>
      </w:r>
      <w:r w:rsidR="00282E61">
        <w:t>,</w:t>
      </w:r>
      <w:r w:rsidR="00317530">
        <w:t xml:space="preserve"> fundamental legal safeguards</w:t>
      </w:r>
    </w:p>
    <w:p w:rsidR="00D526E5" w:rsidRPr="003E3439" w:rsidRDefault="00C95382" w:rsidP="002C55F2">
      <w:pPr>
        <w:pStyle w:val="SingleTxtG"/>
      </w:pPr>
      <w:r>
        <w:t>8.</w:t>
      </w:r>
      <w:r>
        <w:tab/>
      </w:r>
      <w:r w:rsidR="00D526E5">
        <w:t xml:space="preserve">The Committee </w:t>
      </w:r>
      <w:r w:rsidR="00282E61">
        <w:t xml:space="preserve">takes note of the information from the State </w:t>
      </w:r>
      <w:r w:rsidR="00FB2C8C">
        <w:t xml:space="preserve">party </w:t>
      </w:r>
      <w:r w:rsidR="00282E61">
        <w:t xml:space="preserve">on numerous </w:t>
      </w:r>
      <w:r w:rsidR="00D526E5">
        <w:t>allegat</w:t>
      </w:r>
      <w:r w:rsidR="00D526E5" w:rsidRPr="00FB2C8C">
        <w:t>ions of torture and ill-treatme</w:t>
      </w:r>
      <w:r w:rsidR="00282E61" w:rsidRPr="00FB2C8C">
        <w:t xml:space="preserve">nt </w:t>
      </w:r>
      <w:r w:rsidRPr="00FB2C8C">
        <w:t xml:space="preserve">in custody </w:t>
      </w:r>
      <w:r w:rsidR="00D526E5" w:rsidRPr="00FB2C8C">
        <w:t>by law enforcement</w:t>
      </w:r>
      <w:r w:rsidR="003E3439" w:rsidRPr="00FB2C8C">
        <w:t xml:space="preserve"> and </w:t>
      </w:r>
      <w:r w:rsidR="00D526E5" w:rsidRPr="00FB2C8C">
        <w:t>security officials</w:t>
      </w:r>
      <w:r w:rsidR="00282E61" w:rsidRPr="00FB2C8C">
        <w:t xml:space="preserve">, but is concerned at the lack of thorough investigations and </w:t>
      </w:r>
      <w:r w:rsidR="00AC6574" w:rsidRPr="00FB2C8C">
        <w:t>the small number of convictions under national law.</w:t>
      </w:r>
      <w:r w:rsidRPr="00FB2C8C">
        <w:t xml:space="preserve">  </w:t>
      </w:r>
      <w:r w:rsidR="001F0A64" w:rsidRPr="00FB2C8C">
        <w:t>T</w:t>
      </w:r>
      <w:r w:rsidR="003E3439" w:rsidRPr="00FB2C8C">
        <w:t xml:space="preserve">he Committee is concerned </w:t>
      </w:r>
      <w:r w:rsidR="00DC78D8" w:rsidRPr="00FB2C8C">
        <w:t xml:space="preserve">that while charges were raised in the case </w:t>
      </w:r>
      <w:r w:rsidR="003E3439" w:rsidRPr="00FB2C8C">
        <w:t xml:space="preserve">of </w:t>
      </w:r>
      <w:r w:rsidR="00643EBF" w:rsidRPr="00FB2C8C">
        <w:t xml:space="preserve">Mr. </w:t>
      </w:r>
      <w:r w:rsidR="003E3439" w:rsidRPr="00FB2C8C">
        <w:t>Gerson Falla</w:t>
      </w:r>
      <w:r w:rsidR="00643EBF" w:rsidRPr="00FB2C8C">
        <w:t>,</w:t>
      </w:r>
      <w:r w:rsidR="003E3439" w:rsidRPr="00FB2C8C">
        <w:t xml:space="preserve"> who died in custody 48 hours after </w:t>
      </w:r>
      <w:r w:rsidR="00643EBF" w:rsidRPr="00FB2C8C">
        <w:t xml:space="preserve">being </w:t>
      </w:r>
      <w:r w:rsidR="002C55F2">
        <w:t>beaten</w:t>
      </w:r>
      <w:r w:rsidR="002C55F2" w:rsidRPr="00FB2C8C">
        <w:t xml:space="preserve"> </w:t>
      </w:r>
      <w:r w:rsidR="00646E15" w:rsidRPr="00FB2C8C">
        <w:t xml:space="preserve">in </w:t>
      </w:r>
      <w:r w:rsidR="003E3439" w:rsidRPr="00FB2C8C">
        <w:t>detention</w:t>
      </w:r>
      <w:r w:rsidR="00DC78D8" w:rsidRPr="00FB2C8C">
        <w:t xml:space="preserve">, no </w:t>
      </w:r>
      <w:r w:rsidR="003E3439" w:rsidRPr="00FB2C8C">
        <w:t>conviction has been pronounced</w:t>
      </w:r>
      <w:r w:rsidR="00DC78D8" w:rsidRPr="00FB2C8C">
        <w:t xml:space="preserve"> and no one held responsible</w:t>
      </w:r>
      <w:r w:rsidR="003E3439" w:rsidRPr="00FB2C8C">
        <w:t xml:space="preserve">. </w:t>
      </w:r>
      <w:r w:rsidR="00AC6574" w:rsidRPr="00FB2C8C">
        <w:t xml:space="preserve">The Committee is also concerned </w:t>
      </w:r>
      <w:r w:rsidR="001F0A64" w:rsidRPr="00FB2C8C">
        <w:t xml:space="preserve">that the </w:t>
      </w:r>
      <w:r w:rsidR="00AC6574" w:rsidRPr="00FB2C8C">
        <w:t xml:space="preserve">fundamental </w:t>
      </w:r>
      <w:r w:rsidR="00646E15" w:rsidRPr="00FB2C8C">
        <w:t xml:space="preserve">legal safeguards </w:t>
      </w:r>
      <w:r w:rsidR="00AC6574" w:rsidRPr="00FB2C8C">
        <w:t>for persons detained by police</w:t>
      </w:r>
      <w:r w:rsidR="001F0A64" w:rsidRPr="00FB2C8C">
        <w:t xml:space="preserve"> are not always respected and </w:t>
      </w:r>
      <w:r w:rsidR="0023290B" w:rsidRPr="00FB2C8C">
        <w:t xml:space="preserve">regrets the absence of </w:t>
      </w:r>
      <w:r w:rsidR="005F5F2C" w:rsidRPr="00FB2C8C">
        <w:t xml:space="preserve">a specific registry for cases of torture and cruel, inhuman or degrading treatment and punishment.  </w:t>
      </w:r>
      <w:r w:rsidR="00C0606B" w:rsidRPr="00FB2C8C">
        <w:t>The Committee is further concerned at reports about violence by law enforcement personnel in the context of apprehension.  T</w:t>
      </w:r>
      <w:r w:rsidR="001F0A64" w:rsidRPr="00FB2C8C">
        <w:t>here seem</w:t>
      </w:r>
      <w:r w:rsidR="00646E15" w:rsidRPr="00FB2C8C">
        <w:t>s</w:t>
      </w:r>
      <w:r w:rsidR="001F0A64" w:rsidRPr="00FB2C8C">
        <w:t xml:space="preserve"> to be no </w:t>
      </w:r>
      <w:r w:rsidR="003E3439" w:rsidRPr="00FB2C8C">
        <w:t xml:space="preserve">regular assessments </w:t>
      </w:r>
      <w:r w:rsidR="00646E15" w:rsidRPr="00FB2C8C">
        <w:t xml:space="preserve">of </w:t>
      </w:r>
      <w:r w:rsidR="003E3439" w:rsidRPr="00FB2C8C">
        <w:t>cases of torture allegations based on The Manual on Effective Investigation and Documentation of Torture and Other Cruel, Inhuman or Degrading Treatment or Punishment (the Istanbul Protocol)</w:t>
      </w:r>
      <w:r w:rsidR="00646E15" w:rsidRPr="00FB2C8C">
        <w:t xml:space="preserve"> of detained persons (arts. 2, 10, 12, 13</w:t>
      </w:r>
      <w:r w:rsidR="00643EBF" w:rsidRPr="00FB2C8C">
        <w:t xml:space="preserve"> and</w:t>
      </w:r>
      <w:r w:rsidR="00646E15" w:rsidRPr="00FB2C8C">
        <w:t xml:space="preserve"> 14)</w:t>
      </w:r>
      <w:r w:rsidR="00643EBF" w:rsidRPr="00FB2C8C">
        <w:t>.</w:t>
      </w:r>
    </w:p>
    <w:p w:rsidR="00656699" w:rsidRPr="00CF7BB2" w:rsidRDefault="003C3A1D" w:rsidP="00CF7BB2">
      <w:pPr>
        <w:pStyle w:val="SingleTxtG"/>
        <w:rPr>
          <w:b/>
        </w:rPr>
      </w:pPr>
      <w:r w:rsidRPr="00CF7BB2">
        <w:rPr>
          <w:b/>
        </w:rPr>
        <w:t>The</w:t>
      </w:r>
      <w:r w:rsidR="00656699" w:rsidRPr="00CF7BB2">
        <w:rPr>
          <w:b/>
        </w:rPr>
        <w:t xml:space="preserve"> State party</w:t>
      </w:r>
      <w:r w:rsidR="00282E61" w:rsidRPr="00CF7BB2">
        <w:rPr>
          <w:b/>
        </w:rPr>
        <w:t xml:space="preserve"> should take effective measures to</w:t>
      </w:r>
      <w:r w:rsidR="00656699" w:rsidRPr="00CF7BB2">
        <w:rPr>
          <w:b/>
        </w:rPr>
        <w:t>:</w:t>
      </w:r>
    </w:p>
    <w:p w:rsidR="00DB34D3" w:rsidRPr="00CF7BB2" w:rsidRDefault="00CF7BB2" w:rsidP="00FB2C8C">
      <w:pPr>
        <w:pStyle w:val="SingleTxtG"/>
        <w:ind w:firstLine="567"/>
        <w:rPr>
          <w:b/>
        </w:rPr>
      </w:pPr>
      <w:r>
        <w:rPr>
          <w:b/>
        </w:rPr>
        <w:t>(</w:t>
      </w:r>
      <w:r w:rsidR="00656699" w:rsidRPr="00CF7BB2">
        <w:rPr>
          <w:b/>
        </w:rPr>
        <w:t>a)</w:t>
      </w:r>
      <w:r w:rsidR="00656699" w:rsidRPr="00CF7BB2">
        <w:rPr>
          <w:b/>
        </w:rPr>
        <w:tab/>
      </w:r>
      <w:r w:rsidR="00282E61" w:rsidRPr="00CF7BB2">
        <w:rPr>
          <w:b/>
        </w:rPr>
        <w:t>C</w:t>
      </w:r>
      <w:r w:rsidR="00DB34D3" w:rsidRPr="00CF7BB2">
        <w:rPr>
          <w:b/>
        </w:rPr>
        <w:t>onduct prompt, impartial and effective investigations of all reports of torture and ill-treatment, bring perpetrators to justice and punish th</w:t>
      </w:r>
      <w:r w:rsidR="00C63BB2">
        <w:rPr>
          <w:b/>
        </w:rPr>
        <w:t xml:space="preserve">em with appropriate penalties; </w:t>
      </w:r>
    </w:p>
    <w:p w:rsidR="00656699" w:rsidRDefault="00CF7BB2" w:rsidP="00CF7BB2">
      <w:pPr>
        <w:pStyle w:val="SingleTxtG"/>
        <w:ind w:firstLine="567"/>
        <w:rPr>
          <w:b/>
        </w:rPr>
      </w:pPr>
      <w:r>
        <w:rPr>
          <w:b/>
        </w:rPr>
        <w:t>(</w:t>
      </w:r>
      <w:r w:rsidR="00656699" w:rsidRPr="00CF7BB2">
        <w:rPr>
          <w:b/>
        </w:rPr>
        <w:t>b)</w:t>
      </w:r>
      <w:r w:rsidR="00EA1CA3" w:rsidRPr="00CF7BB2">
        <w:rPr>
          <w:b/>
        </w:rPr>
        <w:tab/>
        <w:t>E</w:t>
      </w:r>
      <w:r w:rsidR="00A15EC4" w:rsidRPr="00CF7BB2">
        <w:rPr>
          <w:b/>
        </w:rPr>
        <w:t xml:space="preserve">nsure that persons deprived of their liberty enjoy fundamental legal safeguards from the very outset of their detention </w:t>
      </w:r>
      <w:r w:rsidR="00DB34D3" w:rsidRPr="00CF7BB2">
        <w:rPr>
          <w:b/>
        </w:rPr>
        <w:t>and</w:t>
      </w:r>
      <w:r w:rsidR="00981EDF" w:rsidRPr="00CF7BB2">
        <w:rPr>
          <w:b/>
        </w:rPr>
        <w:t xml:space="preserve"> have recourse to </w:t>
      </w:r>
      <w:r w:rsidR="00F62E79" w:rsidRPr="00CF7BB2">
        <w:rPr>
          <w:b/>
        </w:rPr>
        <w:t>an independent complaints procedure;</w:t>
      </w:r>
    </w:p>
    <w:p w:rsidR="00C0606B" w:rsidRPr="00CF7BB2" w:rsidRDefault="00C0606B" w:rsidP="00CF7BB2">
      <w:pPr>
        <w:pStyle w:val="SingleTxtG"/>
        <w:ind w:firstLine="567"/>
        <w:rPr>
          <w:b/>
        </w:rPr>
      </w:pPr>
      <w:r>
        <w:rPr>
          <w:b/>
        </w:rPr>
        <w:t>(c)</w:t>
      </w:r>
      <w:r>
        <w:rPr>
          <w:b/>
        </w:rPr>
        <w:tab/>
        <w:t>Ensure that law enforcement personnel are trained in professional techniques which minimize any risk of harm to apprehended persons;</w:t>
      </w:r>
    </w:p>
    <w:p w:rsidR="00656699" w:rsidRPr="00CF7BB2" w:rsidRDefault="00CF7BB2" w:rsidP="00CF7BB2">
      <w:pPr>
        <w:pStyle w:val="SingleTxtG"/>
        <w:ind w:firstLine="567"/>
        <w:rPr>
          <w:b/>
        </w:rPr>
      </w:pPr>
      <w:r>
        <w:rPr>
          <w:b/>
        </w:rPr>
        <w:t>(</w:t>
      </w:r>
      <w:r w:rsidR="00C0606B">
        <w:rPr>
          <w:b/>
        </w:rPr>
        <w:t>d</w:t>
      </w:r>
      <w:r w:rsidR="00656699" w:rsidRPr="00CF7BB2">
        <w:rPr>
          <w:b/>
        </w:rPr>
        <w:t>)</w:t>
      </w:r>
      <w:r w:rsidR="00656699" w:rsidRPr="00CF7BB2">
        <w:rPr>
          <w:b/>
        </w:rPr>
        <w:tab/>
      </w:r>
      <w:r w:rsidR="00AC6574" w:rsidRPr="00CF7BB2">
        <w:rPr>
          <w:b/>
        </w:rPr>
        <w:t>E</w:t>
      </w:r>
      <w:r w:rsidR="005F5F2C" w:rsidRPr="00CF7BB2">
        <w:rPr>
          <w:b/>
        </w:rPr>
        <w:t>stablish a specific registry for cases of torture and cruel, inhuman or degra</w:t>
      </w:r>
      <w:r w:rsidR="00656699" w:rsidRPr="00CF7BB2">
        <w:rPr>
          <w:b/>
        </w:rPr>
        <w:t>ding treatment and punishment;</w:t>
      </w:r>
    </w:p>
    <w:p w:rsidR="005F5F2C" w:rsidRPr="00CF7BB2" w:rsidRDefault="00CF7BB2" w:rsidP="00CF7BB2">
      <w:pPr>
        <w:pStyle w:val="SingleTxtG"/>
        <w:ind w:firstLine="567"/>
        <w:rPr>
          <w:b/>
        </w:rPr>
      </w:pPr>
      <w:r>
        <w:rPr>
          <w:b/>
        </w:rPr>
        <w:t>(</w:t>
      </w:r>
      <w:r w:rsidR="00C0606B">
        <w:rPr>
          <w:b/>
        </w:rPr>
        <w:t>e</w:t>
      </w:r>
      <w:r w:rsidR="00F62E79" w:rsidRPr="00CF7BB2">
        <w:rPr>
          <w:b/>
        </w:rPr>
        <w:t>)</w:t>
      </w:r>
      <w:r w:rsidR="00656699" w:rsidRPr="00CF7BB2">
        <w:rPr>
          <w:b/>
        </w:rPr>
        <w:tab/>
      </w:r>
      <w:r w:rsidR="00AC6574" w:rsidRPr="00CF7BB2">
        <w:rPr>
          <w:b/>
        </w:rPr>
        <w:t xml:space="preserve">Ensure that </w:t>
      </w:r>
      <w:r w:rsidR="005F5F2C" w:rsidRPr="00CF7BB2">
        <w:rPr>
          <w:b/>
        </w:rPr>
        <w:t xml:space="preserve">the </w:t>
      </w:r>
      <w:smartTag w:uri="urn:schemas-microsoft-com:office:smarttags" w:element="place">
        <w:smartTag w:uri="urn:schemas-microsoft-com:office:smarttags" w:element="City">
          <w:r w:rsidR="005F5F2C" w:rsidRPr="00CF7BB2">
            <w:rPr>
              <w:b/>
            </w:rPr>
            <w:t>Istanbul</w:t>
          </w:r>
        </w:smartTag>
      </w:smartTag>
      <w:r w:rsidR="005F5F2C" w:rsidRPr="00CF7BB2">
        <w:rPr>
          <w:b/>
        </w:rPr>
        <w:t xml:space="preserve"> Protocol </w:t>
      </w:r>
      <w:r w:rsidR="00AC6574" w:rsidRPr="00CF7BB2">
        <w:rPr>
          <w:b/>
        </w:rPr>
        <w:t>is</w:t>
      </w:r>
      <w:r w:rsidR="005F5F2C" w:rsidRPr="00CF7BB2">
        <w:rPr>
          <w:b/>
        </w:rPr>
        <w:t xml:space="preserve"> made a mandatory part of the training for all medical professionals involved in the documentation and investigation of allegations of torture and ill-treatment in order to permit proper</w:t>
      </w:r>
      <w:r w:rsidR="00C95382" w:rsidRPr="00CF7BB2">
        <w:rPr>
          <w:b/>
        </w:rPr>
        <w:t xml:space="preserve"> diagnosing of signs of torture.</w:t>
      </w:r>
    </w:p>
    <w:p w:rsidR="0045667D" w:rsidRDefault="00CF7BB2" w:rsidP="00FB2C8C">
      <w:pPr>
        <w:pStyle w:val="H23G"/>
      </w:pPr>
      <w:r>
        <w:tab/>
      </w:r>
      <w:r>
        <w:tab/>
      </w:r>
      <w:r w:rsidR="00FB2C8C">
        <w:t>Pretrial</w:t>
      </w:r>
      <w:r w:rsidR="00546ADA">
        <w:t xml:space="preserve"> detention</w:t>
      </w:r>
    </w:p>
    <w:p w:rsidR="0045667D" w:rsidRPr="0045667D" w:rsidRDefault="00100063" w:rsidP="00FB2C8C">
      <w:pPr>
        <w:pStyle w:val="SingleTxtG"/>
      </w:pPr>
      <w:r>
        <w:t>9</w:t>
      </w:r>
      <w:r w:rsidR="007A25B4">
        <w:t>.</w:t>
      </w:r>
      <w:r w:rsidR="007A25B4">
        <w:tab/>
      </w:r>
      <w:r w:rsidR="0045667D" w:rsidRPr="0045667D">
        <w:t>The</w:t>
      </w:r>
      <w:r w:rsidR="0045667D">
        <w:t xml:space="preserve"> Committee is concerned </w:t>
      </w:r>
      <w:r w:rsidR="00665353">
        <w:t>that some 60</w:t>
      </w:r>
      <w:r w:rsidR="00FB2C8C">
        <w:t xml:space="preserve"> per cent </w:t>
      </w:r>
      <w:r w:rsidR="00665353">
        <w:t>of all detainees are in</w:t>
      </w:r>
      <w:r w:rsidR="00FB2C8C">
        <w:t xml:space="preserve"> pretrial </w:t>
      </w:r>
      <w:r w:rsidR="00665353">
        <w:t xml:space="preserve">detention </w:t>
      </w:r>
      <w:r w:rsidR="003E3439">
        <w:t xml:space="preserve">some of </w:t>
      </w:r>
      <w:r w:rsidR="00665353">
        <w:t>which may last up to 36 months</w:t>
      </w:r>
      <w:r w:rsidR="0045667D">
        <w:t>, which contributes to the overcrowding in detention centres throughout the country</w:t>
      </w:r>
      <w:r w:rsidR="00665353">
        <w:t xml:space="preserve"> </w:t>
      </w:r>
      <w:r w:rsidR="00CA7E02">
        <w:t>(arts. 2, 11 and 16)</w:t>
      </w:r>
      <w:r w:rsidR="00643EBF">
        <w:t>.</w:t>
      </w:r>
    </w:p>
    <w:p w:rsidR="00F56E39" w:rsidRPr="00CF7BB2" w:rsidRDefault="0045667D" w:rsidP="00FB2C8C">
      <w:pPr>
        <w:pStyle w:val="SingleTxtG"/>
        <w:rPr>
          <w:b/>
        </w:rPr>
      </w:pPr>
      <w:r w:rsidRPr="00CF7BB2">
        <w:rPr>
          <w:b/>
        </w:rPr>
        <w:t xml:space="preserve">The </w:t>
      </w:r>
      <w:r w:rsidR="00546ADA" w:rsidRPr="00CF7BB2">
        <w:rPr>
          <w:b/>
        </w:rPr>
        <w:t xml:space="preserve">State party </w:t>
      </w:r>
      <w:r w:rsidR="00EA1CA3" w:rsidRPr="00CF7BB2">
        <w:rPr>
          <w:b/>
        </w:rPr>
        <w:t xml:space="preserve">should </w:t>
      </w:r>
      <w:r w:rsidR="00546ADA" w:rsidRPr="00CF7BB2">
        <w:rPr>
          <w:b/>
        </w:rPr>
        <w:t>take</w:t>
      </w:r>
      <w:r w:rsidR="00A72AE6" w:rsidRPr="00CF7BB2">
        <w:rPr>
          <w:b/>
        </w:rPr>
        <w:t xml:space="preserve"> prompt steps to restrict the use of </w:t>
      </w:r>
      <w:r w:rsidR="00FB2C8C">
        <w:rPr>
          <w:b/>
        </w:rPr>
        <w:t>pretrial</w:t>
      </w:r>
      <w:r w:rsidR="00A72AE6" w:rsidRPr="00CF7BB2">
        <w:rPr>
          <w:b/>
        </w:rPr>
        <w:t xml:space="preserve"> detention as well as its duration, using alternative </w:t>
      </w:r>
      <w:r w:rsidR="00F56E39" w:rsidRPr="00CF7BB2">
        <w:rPr>
          <w:b/>
        </w:rPr>
        <w:t>measures to imprisonment in line with the United Nations Standard Minimum Rul</w:t>
      </w:r>
      <w:r w:rsidR="00643EBF">
        <w:rPr>
          <w:b/>
        </w:rPr>
        <w:t>es for Non-custodial Measures (T</w:t>
      </w:r>
      <w:r w:rsidR="00F56E39" w:rsidRPr="00CF7BB2">
        <w:rPr>
          <w:b/>
        </w:rPr>
        <w:t xml:space="preserve">he </w:t>
      </w:r>
      <w:smartTag w:uri="urn:schemas-microsoft-com:office:smarttags" w:element="place">
        <w:smartTag w:uri="urn:schemas-microsoft-com:office:smarttags" w:element="City">
          <w:r w:rsidR="00F56E39" w:rsidRPr="00CF7BB2">
            <w:rPr>
              <w:b/>
            </w:rPr>
            <w:t>Tokyo</w:t>
          </w:r>
        </w:smartTag>
      </w:smartTag>
      <w:r w:rsidR="00F56E39" w:rsidRPr="00CF7BB2">
        <w:rPr>
          <w:b/>
        </w:rPr>
        <w:t xml:space="preserve"> Rules)</w:t>
      </w:r>
      <w:r w:rsidR="00B142E6" w:rsidRPr="00CF7BB2">
        <w:rPr>
          <w:b/>
        </w:rPr>
        <w:t>.</w:t>
      </w:r>
      <w:r w:rsidR="00DD0F04" w:rsidRPr="00CF7BB2">
        <w:rPr>
          <w:b/>
        </w:rPr>
        <w:t xml:space="preserve">  </w:t>
      </w:r>
    </w:p>
    <w:p w:rsidR="003C2482" w:rsidRDefault="00CF7BB2" w:rsidP="00CF7BB2">
      <w:pPr>
        <w:pStyle w:val="H23G"/>
      </w:pPr>
      <w:r>
        <w:tab/>
      </w:r>
      <w:r>
        <w:tab/>
      </w:r>
      <w:r w:rsidR="003C2482" w:rsidRPr="005F2392">
        <w:t>Conditions of detention</w:t>
      </w:r>
    </w:p>
    <w:p w:rsidR="00643EBF" w:rsidRDefault="00100063" w:rsidP="00FB2C8C">
      <w:pPr>
        <w:pStyle w:val="SingleTxtG"/>
      </w:pPr>
      <w:r>
        <w:t>10</w:t>
      </w:r>
      <w:r w:rsidR="003C2482" w:rsidRPr="00100063">
        <w:t>.</w:t>
      </w:r>
      <w:r w:rsidR="003C2482" w:rsidRPr="00100063">
        <w:tab/>
      </w:r>
      <w:r w:rsidR="00BD2830" w:rsidRPr="00100063">
        <w:t>T</w:t>
      </w:r>
      <w:r w:rsidR="003C2482" w:rsidRPr="00100063">
        <w:t xml:space="preserve">he Committee is concerned </w:t>
      </w:r>
      <w:r w:rsidR="009E11EE" w:rsidRPr="00100063">
        <w:t xml:space="preserve">at </w:t>
      </w:r>
      <w:r w:rsidR="003E3439" w:rsidRPr="00100063">
        <w:t xml:space="preserve">information about </w:t>
      </w:r>
      <w:r w:rsidR="009E11EE" w:rsidRPr="00100063">
        <w:t xml:space="preserve">the </w:t>
      </w:r>
      <w:r w:rsidR="003C2482" w:rsidRPr="00100063">
        <w:t>conditions</w:t>
      </w:r>
      <w:r w:rsidR="0066348B" w:rsidRPr="00100063">
        <w:t xml:space="preserve"> in detention centres</w:t>
      </w:r>
      <w:r w:rsidR="00BD2830" w:rsidRPr="00100063">
        <w:t xml:space="preserve"> </w:t>
      </w:r>
      <w:r w:rsidR="00BD2830" w:rsidRPr="00804D32">
        <w:t>includ</w:t>
      </w:r>
      <w:r w:rsidR="003E3439" w:rsidRPr="00804D32">
        <w:t>ing</w:t>
      </w:r>
      <w:r w:rsidR="00BD2830" w:rsidRPr="00804D32">
        <w:t xml:space="preserve"> </w:t>
      </w:r>
      <w:r w:rsidR="0066348B" w:rsidRPr="00804D32">
        <w:t xml:space="preserve">overcrowding </w:t>
      </w:r>
      <w:r w:rsidR="00BD2830" w:rsidRPr="00804D32">
        <w:t xml:space="preserve">at </w:t>
      </w:r>
      <w:r w:rsidR="0066348B" w:rsidRPr="00804D32">
        <w:t>114</w:t>
      </w:r>
      <w:r w:rsidR="00FB2C8C" w:rsidRPr="00804D32">
        <w:t xml:space="preserve"> per c</w:t>
      </w:r>
      <w:r w:rsidR="00FB2C8C">
        <w:t xml:space="preserve">ent, </w:t>
      </w:r>
      <w:r w:rsidR="0066348B">
        <w:t>deteriorated infrastructure</w:t>
      </w:r>
      <w:r w:rsidR="001D25B8">
        <w:t xml:space="preserve">, including food and </w:t>
      </w:r>
      <w:r w:rsidR="00CD2E23">
        <w:t>temperature</w:t>
      </w:r>
      <w:r w:rsidR="00060B71">
        <w:t xml:space="preserve">, </w:t>
      </w:r>
      <w:r w:rsidR="003E3439">
        <w:t xml:space="preserve"> </w:t>
      </w:r>
      <w:r w:rsidR="001D25B8">
        <w:t xml:space="preserve">poor </w:t>
      </w:r>
      <w:r w:rsidR="0066348B">
        <w:t>sanitary conditions</w:t>
      </w:r>
      <w:r w:rsidR="00971877">
        <w:t xml:space="preserve"> and o</w:t>
      </w:r>
      <w:r w:rsidR="0066348B">
        <w:t xml:space="preserve">nly </w:t>
      </w:r>
      <w:r w:rsidR="009E11EE">
        <w:t xml:space="preserve">54 doctors </w:t>
      </w:r>
      <w:r w:rsidR="00971877">
        <w:t xml:space="preserve">to </w:t>
      </w:r>
      <w:r w:rsidR="0066348B">
        <w:t>cover the entire prison population</w:t>
      </w:r>
      <w:r w:rsidR="00971877">
        <w:t xml:space="preserve">. In </w:t>
      </w:r>
      <w:r w:rsidR="003E3439">
        <w:t>particular</w:t>
      </w:r>
      <w:r w:rsidR="00933F4C">
        <w:t xml:space="preserve">, </w:t>
      </w:r>
      <w:r w:rsidR="00971877">
        <w:t xml:space="preserve">the Committee expresses concern </w:t>
      </w:r>
      <w:r w:rsidR="003E3439">
        <w:t xml:space="preserve">at the conditions in </w:t>
      </w:r>
      <w:r w:rsidR="003C2482">
        <w:t xml:space="preserve">the high-security prison at the </w:t>
      </w:r>
      <w:smartTag w:uri="urn:schemas-microsoft-com:office:smarttags" w:element="place">
        <w:smartTag w:uri="urn:schemas-microsoft-com:office:smarttags" w:element="City">
          <w:r w:rsidR="003C2482">
            <w:t>Callao</w:t>
          </w:r>
        </w:smartTag>
      </w:smartTag>
      <w:r w:rsidR="003C2482">
        <w:t xml:space="preserve"> naval base</w:t>
      </w:r>
      <w:r w:rsidR="00D2330D">
        <w:t xml:space="preserve"> </w:t>
      </w:r>
      <w:r w:rsidR="003E3439">
        <w:t xml:space="preserve">with </w:t>
      </w:r>
      <w:r w:rsidR="003C2482">
        <w:t xml:space="preserve">prolonged solitary confinement, sensory isolation, prohibition to communicate and half-hour family visits </w:t>
      </w:r>
      <w:r w:rsidR="00055C12">
        <w:t xml:space="preserve">once </w:t>
      </w:r>
      <w:r w:rsidR="003C2482">
        <w:t>a month</w:t>
      </w:r>
      <w:r w:rsidR="00971877">
        <w:t xml:space="preserve">, and at </w:t>
      </w:r>
      <w:r w:rsidR="003C2482">
        <w:t>the conditions</w:t>
      </w:r>
      <w:r w:rsidR="001F2E9B">
        <w:t xml:space="preserve"> </w:t>
      </w:r>
      <w:r w:rsidR="003C2482">
        <w:t xml:space="preserve">in the Challapalca and Yanamayo </w:t>
      </w:r>
      <w:r w:rsidR="00D2330D">
        <w:t>detention</w:t>
      </w:r>
      <w:r w:rsidR="003C2482">
        <w:t xml:space="preserve"> centres</w:t>
      </w:r>
      <w:r w:rsidR="00643EBF">
        <w:t xml:space="preserve"> </w:t>
      </w:r>
      <w:r w:rsidR="003C2482">
        <w:t>(arts. 2, 11 and 16)</w:t>
      </w:r>
      <w:r w:rsidR="00643EBF">
        <w:t>.</w:t>
      </w:r>
    </w:p>
    <w:p w:rsidR="003C2482" w:rsidRPr="00CF7BB2" w:rsidRDefault="003C2482" w:rsidP="00CF7BB2">
      <w:pPr>
        <w:pStyle w:val="SingleTxtG"/>
        <w:rPr>
          <w:b/>
        </w:rPr>
      </w:pPr>
      <w:r w:rsidRPr="00CF7BB2">
        <w:rPr>
          <w:b/>
        </w:rPr>
        <w:t>The State party</w:t>
      </w:r>
      <w:r w:rsidR="009E11EE" w:rsidRPr="00CF7BB2">
        <w:rPr>
          <w:b/>
        </w:rPr>
        <w:t xml:space="preserve"> should</w:t>
      </w:r>
      <w:r w:rsidRPr="00CF7BB2">
        <w:rPr>
          <w:b/>
        </w:rPr>
        <w:t xml:space="preserve">: </w:t>
      </w:r>
    </w:p>
    <w:p w:rsidR="009E11EE" w:rsidRPr="00CF7BB2" w:rsidRDefault="00CF7BB2" w:rsidP="00CF7BB2">
      <w:pPr>
        <w:pStyle w:val="SingleTxtG"/>
        <w:ind w:firstLine="567"/>
        <w:rPr>
          <w:b/>
        </w:rPr>
      </w:pPr>
      <w:r>
        <w:rPr>
          <w:b/>
        </w:rPr>
        <w:t>(</w:t>
      </w:r>
      <w:r w:rsidR="003C2482" w:rsidRPr="00CF7BB2">
        <w:rPr>
          <w:b/>
        </w:rPr>
        <w:t>a)</w:t>
      </w:r>
      <w:r w:rsidR="003C2482" w:rsidRPr="00CF7BB2">
        <w:rPr>
          <w:b/>
        </w:rPr>
        <w:tab/>
      </w:r>
      <w:r w:rsidR="009E11EE" w:rsidRPr="00CF7BB2">
        <w:rPr>
          <w:b/>
        </w:rPr>
        <w:t>Take immediate steps to reduce overcrowding in places of detention, in</w:t>
      </w:r>
      <w:r w:rsidR="00933F4C" w:rsidRPr="00CF7BB2">
        <w:rPr>
          <w:b/>
        </w:rPr>
        <w:t xml:space="preserve">cluding by </w:t>
      </w:r>
      <w:r w:rsidR="009E11EE" w:rsidRPr="00CF7BB2">
        <w:rPr>
          <w:b/>
        </w:rPr>
        <w:t>the application of alternatives to imprisonment;</w:t>
      </w:r>
    </w:p>
    <w:p w:rsidR="009E11EE" w:rsidRPr="00CF7BB2" w:rsidRDefault="00CF7BB2" w:rsidP="00CF7BB2">
      <w:pPr>
        <w:pStyle w:val="SingleTxtG"/>
        <w:ind w:firstLine="567"/>
        <w:rPr>
          <w:b/>
        </w:rPr>
      </w:pPr>
      <w:r>
        <w:rPr>
          <w:b/>
        </w:rPr>
        <w:t>(</w:t>
      </w:r>
      <w:r w:rsidR="008E2995" w:rsidRPr="00CF7BB2">
        <w:rPr>
          <w:b/>
        </w:rPr>
        <w:t>b)</w:t>
      </w:r>
      <w:r w:rsidR="008E2995" w:rsidRPr="00CF7BB2">
        <w:rPr>
          <w:b/>
        </w:rPr>
        <w:tab/>
        <w:t xml:space="preserve">Adopt </w:t>
      </w:r>
      <w:r w:rsidR="00077FE1">
        <w:rPr>
          <w:b/>
        </w:rPr>
        <w:t>reasonable</w:t>
      </w:r>
      <w:r w:rsidR="008E2995" w:rsidRPr="00CF7BB2">
        <w:rPr>
          <w:b/>
        </w:rPr>
        <w:t xml:space="preserve"> time frames for the construction of new prisons and the expansion and renovation of existing</w:t>
      </w:r>
      <w:r w:rsidR="00BD2830" w:rsidRPr="00CF7BB2">
        <w:rPr>
          <w:b/>
        </w:rPr>
        <w:t xml:space="preserve"> </w:t>
      </w:r>
      <w:r w:rsidR="00077FE1">
        <w:rPr>
          <w:b/>
        </w:rPr>
        <w:t>places of detention;</w:t>
      </w:r>
    </w:p>
    <w:p w:rsidR="009E11EE" w:rsidRPr="00CF7BB2" w:rsidRDefault="00CF7BB2" w:rsidP="00CF7BB2">
      <w:pPr>
        <w:pStyle w:val="SingleTxtG"/>
        <w:ind w:firstLine="567"/>
        <w:rPr>
          <w:b/>
        </w:rPr>
      </w:pPr>
      <w:r>
        <w:rPr>
          <w:b/>
        </w:rPr>
        <w:t>(</w:t>
      </w:r>
      <w:r w:rsidR="00BD2830" w:rsidRPr="00CF7BB2">
        <w:rPr>
          <w:b/>
        </w:rPr>
        <w:t>c</w:t>
      </w:r>
      <w:r w:rsidR="009E11EE" w:rsidRPr="00CF7BB2">
        <w:rPr>
          <w:b/>
        </w:rPr>
        <w:t>)</w:t>
      </w:r>
      <w:r w:rsidR="009E11EE" w:rsidRPr="00CF7BB2">
        <w:rPr>
          <w:b/>
        </w:rPr>
        <w:tab/>
        <w:t xml:space="preserve">Ensure that there are sufficient medical professionals, including mental health professionals, </w:t>
      </w:r>
      <w:r w:rsidR="00D2330D" w:rsidRPr="00CF7BB2">
        <w:rPr>
          <w:b/>
        </w:rPr>
        <w:t>in places of detention</w:t>
      </w:r>
      <w:r w:rsidR="00832644" w:rsidRPr="00CF7BB2">
        <w:rPr>
          <w:b/>
        </w:rPr>
        <w:t>;</w:t>
      </w:r>
    </w:p>
    <w:p w:rsidR="00971877" w:rsidRDefault="00CF7BB2" w:rsidP="00CF7BB2">
      <w:pPr>
        <w:pStyle w:val="SingleTxtG"/>
        <w:ind w:firstLine="567"/>
        <w:rPr>
          <w:b/>
        </w:rPr>
      </w:pPr>
      <w:r>
        <w:rPr>
          <w:b/>
        </w:rPr>
        <w:t>(</w:t>
      </w:r>
      <w:r w:rsidR="00BD2830" w:rsidRPr="00CF7BB2">
        <w:rPr>
          <w:b/>
        </w:rPr>
        <w:t>d</w:t>
      </w:r>
      <w:r w:rsidR="009E11EE" w:rsidRPr="00CF7BB2">
        <w:rPr>
          <w:b/>
        </w:rPr>
        <w:t>)</w:t>
      </w:r>
      <w:r w:rsidR="009E11EE" w:rsidRPr="00CF7BB2">
        <w:rPr>
          <w:b/>
        </w:rPr>
        <w:tab/>
        <w:t xml:space="preserve">Use solitary confinement as a last resort, for as short a time as possible, with the </w:t>
      </w:r>
      <w:r w:rsidR="00D2330D" w:rsidRPr="00CF7BB2">
        <w:rPr>
          <w:b/>
        </w:rPr>
        <w:t xml:space="preserve">possibility of judicial control; </w:t>
      </w:r>
    </w:p>
    <w:p w:rsidR="00077FE1" w:rsidRPr="00CF7BB2" w:rsidRDefault="00077FE1" w:rsidP="00CF7BB2">
      <w:pPr>
        <w:pStyle w:val="SingleTxtG"/>
        <w:ind w:firstLine="567"/>
        <w:rPr>
          <w:b/>
        </w:rPr>
      </w:pPr>
      <w:r>
        <w:rPr>
          <w:b/>
        </w:rPr>
        <w:t>(e)</w:t>
      </w:r>
      <w:r>
        <w:rPr>
          <w:b/>
        </w:rPr>
        <w:tab/>
        <w:t xml:space="preserve">Ensure that the prisoners in the high-security prison in </w:t>
      </w:r>
      <w:smartTag w:uri="urn:schemas-microsoft-com:office:smarttags" w:element="place">
        <w:smartTag w:uri="urn:schemas-microsoft-com:office:smarttags" w:element="City">
          <w:r>
            <w:rPr>
              <w:b/>
            </w:rPr>
            <w:t>Callao</w:t>
          </w:r>
        </w:smartTag>
      </w:smartTag>
      <w:r>
        <w:rPr>
          <w:b/>
        </w:rPr>
        <w:t xml:space="preserve"> are treated </w:t>
      </w:r>
      <w:r w:rsidRPr="00CF7BB2">
        <w:rPr>
          <w:b/>
        </w:rPr>
        <w:t>in conformity with the United Nations Standard Minimum Rules for the Treatment of Prisoners;</w:t>
      </w:r>
    </w:p>
    <w:p w:rsidR="001F2E9B" w:rsidRPr="00CF7BB2" w:rsidRDefault="00CF7BB2" w:rsidP="00CF7BB2">
      <w:pPr>
        <w:pStyle w:val="SingleTxtG"/>
        <w:ind w:firstLine="567"/>
        <w:rPr>
          <w:b/>
        </w:rPr>
      </w:pPr>
      <w:r>
        <w:rPr>
          <w:b/>
        </w:rPr>
        <w:t>(</w:t>
      </w:r>
      <w:r w:rsidR="007F3B1D">
        <w:rPr>
          <w:b/>
        </w:rPr>
        <w:t>f</w:t>
      </w:r>
      <w:r>
        <w:rPr>
          <w:b/>
        </w:rPr>
        <w:t>)</w:t>
      </w:r>
      <w:r>
        <w:rPr>
          <w:b/>
        </w:rPr>
        <w:tab/>
      </w:r>
      <w:r w:rsidR="00971877" w:rsidRPr="00CF7BB2">
        <w:rPr>
          <w:b/>
        </w:rPr>
        <w:t xml:space="preserve">Consider </w:t>
      </w:r>
      <w:r w:rsidR="00D2330D" w:rsidRPr="00CF7BB2">
        <w:rPr>
          <w:b/>
        </w:rPr>
        <w:t>c</w:t>
      </w:r>
      <w:r w:rsidR="001F2E9B" w:rsidRPr="00CF7BB2">
        <w:rPr>
          <w:b/>
        </w:rPr>
        <w:t>los</w:t>
      </w:r>
      <w:r w:rsidR="00971877" w:rsidRPr="00CF7BB2">
        <w:rPr>
          <w:b/>
        </w:rPr>
        <w:t xml:space="preserve">ing </w:t>
      </w:r>
      <w:r w:rsidR="001F2E9B" w:rsidRPr="00CF7BB2">
        <w:rPr>
          <w:b/>
        </w:rPr>
        <w:t>the Challapalca an</w:t>
      </w:r>
      <w:r w:rsidR="00D2330D" w:rsidRPr="00CF7BB2">
        <w:rPr>
          <w:b/>
        </w:rPr>
        <w:t>d Yanamayo penitentiary centres</w:t>
      </w:r>
      <w:r w:rsidR="00ED68C0" w:rsidRPr="00CF7BB2">
        <w:rPr>
          <w:b/>
        </w:rPr>
        <w:t>.</w:t>
      </w:r>
      <w:r w:rsidR="00E30F04" w:rsidRPr="00CF7BB2">
        <w:rPr>
          <w:b/>
        </w:rPr>
        <w:t xml:space="preserve"> </w:t>
      </w:r>
    </w:p>
    <w:p w:rsidR="003C2482" w:rsidRPr="00CF7BB2" w:rsidRDefault="003C2482" w:rsidP="00CF7BB2">
      <w:pPr>
        <w:pStyle w:val="SingleTxtG"/>
        <w:rPr>
          <w:b/>
        </w:rPr>
      </w:pPr>
      <w:r w:rsidRPr="00CF7BB2">
        <w:rPr>
          <w:b/>
        </w:rPr>
        <w:t>Designation of a national preventive mechanism</w:t>
      </w:r>
    </w:p>
    <w:p w:rsidR="003C2482" w:rsidRDefault="00100063" w:rsidP="00CF7BB2">
      <w:pPr>
        <w:pStyle w:val="SingleTxtG"/>
      </w:pPr>
      <w:r>
        <w:t>11</w:t>
      </w:r>
      <w:r w:rsidR="003C2482">
        <w:t>.</w:t>
      </w:r>
      <w:r w:rsidR="003C2482">
        <w:tab/>
        <w:t xml:space="preserve">The Committee is </w:t>
      </w:r>
      <w:r w:rsidR="00F57E5D">
        <w:t xml:space="preserve">very </w:t>
      </w:r>
      <w:r w:rsidR="003C2482">
        <w:t>concerned that six years after its accession to the Optional Protocol to the Convention, the State party has still not set up the national preventive mechanism (art. 2)</w:t>
      </w:r>
      <w:r w:rsidR="00643EBF">
        <w:t>.</w:t>
      </w:r>
    </w:p>
    <w:p w:rsidR="003C2482" w:rsidRPr="00CF7BB2" w:rsidRDefault="003C2482" w:rsidP="00CF7BB2">
      <w:pPr>
        <w:pStyle w:val="SingleTxtG"/>
        <w:rPr>
          <w:b/>
        </w:rPr>
      </w:pPr>
      <w:r w:rsidRPr="00CF7BB2">
        <w:rPr>
          <w:b/>
        </w:rPr>
        <w:t xml:space="preserve">The State party </w:t>
      </w:r>
      <w:r w:rsidR="004F7FB8" w:rsidRPr="00CF7BB2">
        <w:rPr>
          <w:b/>
        </w:rPr>
        <w:t xml:space="preserve">should </w:t>
      </w:r>
      <w:r w:rsidR="00F57E5D">
        <w:rPr>
          <w:b/>
        </w:rPr>
        <w:t xml:space="preserve">without further delay </w:t>
      </w:r>
      <w:r w:rsidR="00F562CC" w:rsidRPr="00CF7BB2">
        <w:rPr>
          <w:b/>
        </w:rPr>
        <w:t xml:space="preserve">establish the </w:t>
      </w:r>
      <w:r w:rsidRPr="00CF7BB2">
        <w:rPr>
          <w:b/>
        </w:rPr>
        <w:t>national preventive mechanism</w:t>
      </w:r>
      <w:r w:rsidR="00F562CC" w:rsidRPr="00CF7BB2">
        <w:rPr>
          <w:b/>
        </w:rPr>
        <w:t xml:space="preserve"> in full compliance with the Optional Protocol and </w:t>
      </w:r>
      <w:r w:rsidR="005C1032" w:rsidRPr="00CF7BB2">
        <w:rPr>
          <w:b/>
        </w:rPr>
        <w:t xml:space="preserve">in particular </w:t>
      </w:r>
      <w:r w:rsidR="00F562CC" w:rsidRPr="00CF7BB2">
        <w:rPr>
          <w:b/>
        </w:rPr>
        <w:t>grant it sufficient financial, human and material resources in order to assume its mandate effectively.</w:t>
      </w:r>
      <w:r w:rsidRPr="00CF7BB2">
        <w:rPr>
          <w:b/>
        </w:rPr>
        <w:t xml:space="preserve"> </w:t>
      </w:r>
    </w:p>
    <w:p w:rsidR="00317530" w:rsidRDefault="00CF7BB2" w:rsidP="00CF7BB2">
      <w:pPr>
        <w:pStyle w:val="H23G"/>
      </w:pPr>
      <w:r>
        <w:tab/>
      </w:r>
      <w:r>
        <w:tab/>
      </w:r>
      <w:r w:rsidR="00822275">
        <w:t>U</w:t>
      </w:r>
      <w:r w:rsidR="00317530">
        <w:t>se of force</w:t>
      </w:r>
    </w:p>
    <w:p w:rsidR="00317530" w:rsidRDefault="00317530" w:rsidP="00CF7BB2">
      <w:pPr>
        <w:pStyle w:val="SingleTxtG"/>
      </w:pPr>
      <w:r>
        <w:t>1</w:t>
      </w:r>
      <w:r w:rsidR="00100063">
        <w:t>2</w:t>
      </w:r>
      <w:r>
        <w:t>.</w:t>
      </w:r>
      <w:r>
        <w:tab/>
        <w:t>The Committee is concerned at allegations of excessive and disproportionate use of force</w:t>
      </w:r>
      <w:r w:rsidR="0030762E">
        <w:t>, including firearms,</w:t>
      </w:r>
      <w:r>
        <w:t xml:space="preserve"> by the national police</w:t>
      </w:r>
      <w:r w:rsidR="0030762E">
        <w:t xml:space="preserve"> and</w:t>
      </w:r>
      <w:r>
        <w:t xml:space="preserve"> armed forces during </w:t>
      </w:r>
      <w:r w:rsidR="00971877">
        <w:t xml:space="preserve">social </w:t>
      </w:r>
      <w:r>
        <w:t xml:space="preserve">protests </w:t>
      </w:r>
      <w:r w:rsidR="0030762E">
        <w:t>as well as arrests of human rights defenders</w:t>
      </w:r>
      <w:r w:rsidR="00C8232B">
        <w:t xml:space="preserve">, </w:t>
      </w:r>
      <w:r w:rsidR="00971877">
        <w:t>lawyers</w:t>
      </w:r>
      <w:r w:rsidR="0030762E">
        <w:t xml:space="preserve">, </w:t>
      </w:r>
      <w:r w:rsidR="00971877">
        <w:t xml:space="preserve">representatives of </w:t>
      </w:r>
      <w:r>
        <w:t>the Ombudsman and members of the indigenous population</w:t>
      </w:r>
      <w:r w:rsidR="0030762E">
        <w:t xml:space="preserve"> </w:t>
      </w:r>
      <w:r w:rsidR="00C77495">
        <w:t>during such situations</w:t>
      </w:r>
      <w:r w:rsidR="00600C78">
        <w:t>,</w:t>
      </w:r>
      <w:r w:rsidR="00971877">
        <w:t xml:space="preserve"> and that to date </w:t>
      </w:r>
      <w:r w:rsidR="0030762E">
        <w:t>there</w:t>
      </w:r>
      <w:r>
        <w:t xml:space="preserve"> have been no convictions regarding the incidents in Bagua</w:t>
      </w:r>
      <w:r w:rsidR="00971877">
        <w:t>,</w:t>
      </w:r>
      <w:r w:rsidR="0030762E">
        <w:t xml:space="preserve"> </w:t>
      </w:r>
      <w:r w:rsidR="00822275">
        <w:t>Celendí</w:t>
      </w:r>
      <w:r w:rsidR="0030762E">
        <w:t xml:space="preserve">n </w:t>
      </w:r>
      <w:r w:rsidR="00C8232B">
        <w:t>or</w:t>
      </w:r>
      <w:r w:rsidR="0030762E">
        <w:t xml:space="preserve"> Bambamarca</w:t>
      </w:r>
      <w:r>
        <w:t xml:space="preserve"> (arts. 2, </w:t>
      </w:r>
      <w:r w:rsidR="003776DC">
        <w:t xml:space="preserve">10, </w:t>
      </w:r>
      <w:r>
        <w:t>12, 13 and 1</w:t>
      </w:r>
      <w:r w:rsidR="003776DC">
        <w:t>6</w:t>
      </w:r>
      <w:r>
        <w:t>)</w:t>
      </w:r>
      <w:r w:rsidR="00643EBF">
        <w:t>.</w:t>
      </w:r>
    </w:p>
    <w:p w:rsidR="00971877" w:rsidRDefault="00CF7BB2" w:rsidP="00CF7BB2">
      <w:pPr>
        <w:pStyle w:val="H23G"/>
      </w:pPr>
      <w:r>
        <w:tab/>
      </w:r>
      <w:r>
        <w:tab/>
      </w:r>
      <w:r w:rsidR="00317530">
        <w:t>The State party should</w:t>
      </w:r>
      <w:r w:rsidR="00971877">
        <w:t>:</w:t>
      </w:r>
    </w:p>
    <w:p w:rsidR="001B203B" w:rsidRPr="00CF7BB2" w:rsidRDefault="00693EA4" w:rsidP="00CF7BB2">
      <w:pPr>
        <w:pStyle w:val="SingleTxtG"/>
        <w:ind w:firstLine="567"/>
        <w:rPr>
          <w:b/>
        </w:rPr>
      </w:pPr>
      <w:r>
        <w:rPr>
          <w:b/>
        </w:rPr>
        <w:t>(</w:t>
      </w:r>
      <w:r w:rsidR="00CF7BB2">
        <w:rPr>
          <w:b/>
        </w:rPr>
        <w:t>a)</w:t>
      </w:r>
      <w:r w:rsidR="00CF7BB2">
        <w:rPr>
          <w:b/>
        </w:rPr>
        <w:tab/>
      </w:r>
      <w:r w:rsidR="0017423C" w:rsidRPr="00CF7BB2">
        <w:rPr>
          <w:b/>
        </w:rPr>
        <w:t>E</w:t>
      </w:r>
      <w:r w:rsidR="00317530" w:rsidRPr="00CF7BB2">
        <w:rPr>
          <w:b/>
        </w:rPr>
        <w:t xml:space="preserve">nsure that law enforcement officials receive </w:t>
      </w:r>
      <w:r w:rsidR="00971877" w:rsidRPr="00CF7BB2">
        <w:rPr>
          <w:b/>
        </w:rPr>
        <w:t>training on the absolute prohibition of torture, and on in international standards on the use of force and firearms,</w:t>
      </w:r>
      <w:r w:rsidR="00C8232B" w:rsidRPr="00CF7BB2">
        <w:rPr>
          <w:b/>
        </w:rPr>
        <w:t xml:space="preserve"> including </w:t>
      </w:r>
      <w:r w:rsidR="0017423C" w:rsidRPr="00CF7BB2">
        <w:rPr>
          <w:b/>
        </w:rPr>
        <w:t>on</w:t>
      </w:r>
      <w:r w:rsidR="00317530" w:rsidRPr="00CF7BB2">
        <w:rPr>
          <w:b/>
        </w:rPr>
        <w:t xml:space="preserve"> the liabilities i</w:t>
      </w:r>
      <w:r w:rsidR="00971877" w:rsidRPr="00CF7BB2">
        <w:rPr>
          <w:b/>
        </w:rPr>
        <w:t xml:space="preserve">n cases of </w:t>
      </w:r>
      <w:r w:rsidR="00317530" w:rsidRPr="00CF7BB2">
        <w:rPr>
          <w:b/>
        </w:rPr>
        <w:t>excessive</w:t>
      </w:r>
      <w:r w:rsidR="00971877" w:rsidRPr="00CF7BB2">
        <w:rPr>
          <w:b/>
        </w:rPr>
        <w:t xml:space="preserve"> use of force</w:t>
      </w:r>
      <w:r w:rsidR="00643EBF">
        <w:rPr>
          <w:b/>
        </w:rPr>
        <w:t>;</w:t>
      </w:r>
    </w:p>
    <w:p w:rsidR="00317530" w:rsidRPr="00CF7BB2" w:rsidRDefault="00693EA4" w:rsidP="00CF7BB2">
      <w:pPr>
        <w:pStyle w:val="SingleTxtG"/>
        <w:ind w:firstLine="567"/>
        <w:rPr>
          <w:b/>
        </w:rPr>
      </w:pPr>
      <w:r>
        <w:rPr>
          <w:b/>
        </w:rPr>
        <w:t>(</w:t>
      </w:r>
      <w:r w:rsidR="00C8232B" w:rsidRPr="00CF7BB2">
        <w:rPr>
          <w:b/>
        </w:rPr>
        <w:t>b</w:t>
      </w:r>
      <w:r w:rsidR="00CF7BB2">
        <w:rPr>
          <w:b/>
        </w:rPr>
        <w:t>)</w:t>
      </w:r>
      <w:r w:rsidR="00CF7BB2">
        <w:rPr>
          <w:b/>
        </w:rPr>
        <w:tab/>
      </w:r>
      <w:r w:rsidR="0017423C" w:rsidRPr="00CF7BB2">
        <w:rPr>
          <w:b/>
        </w:rPr>
        <w:t>E</w:t>
      </w:r>
      <w:r w:rsidR="00317530" w:rsidRPr="00CF7BB2">
        <w:rPr>
          <w:b/>
        </w:rPr>
        <w:t xml:space="preserve">xpedite the investigation and prosecution of </w:t>
      </w:r>
      <w:r w:rsidR="00971877" w:rsidRPr="00CF7BB2">
        <w:rPr>
          <w:b/>
        </w:rPr>
        <w:t xml:space="preserve">such </w:t>
      </w:r>
      <w:r w:rsidR="00317530" w:rsidRPr="00CF7BB2">
        <w:rPr>
          <w:b/>
        </w:rPr>
        <w:t xml:space="preserve">cases and </w:t>
      </w:r>
      <w:r w:rsidR="00E42777" w:rsidRPr="00CF7BB2">
        <w:rPr>
          <w:b/>
        </w:rPr>
        <w:t xml:space="preserve">sanction </w:t>
      </w:r>
      <w:r w:rsidR="00317530" w:rsidRPr="00CF7BB2">
        <w:rPr>
          <w:b/>
        </w:rPr>
        <w:t>officials found guilty of such offenc</w:t>
      </w:r>
      <w:r w:rsidR="00C63BB2">
        <w:rPr>
          <w:b/>
        </w:rPr>
        <w:t>es with appropriate penalties.</w:t>
      </w:r>
    </w:p>
    <w:p w:rsidR="00317530" w:rsidRPr="00CF7BB2" w:rsidRDefault="00CF7BB2" w:rsidP="00CF7BB2">
      <w:pPr>
        <w:pStyle w:val="H23G"/>
      </w:pPr>
      <w:r>
        <w:tab/>
      </w:r>
      <w:r>
        <w:tab/>
      </w:r>
      <w:r w:rsidR="00161C2C">
        <w:t>S</w:t>
      </w:r>
      <w:r w:rsidR="00317530" w:rsidRPr="00CF7BB2">
        <w:t>tate</w:t>
      </w:r>
      <w:r w:rsidR="006C6468">
        <w:t>s</w:t>
      </w:r>
      <w:r w:rsidR="00317530" w:rsidRPr="00CF7BB2">
        <w:t xml:space="preserve"> of emergency</w:t>
      </w:r>
    </w:p>
    <w:p w:rsidR="00317530" w:rsidRDefault="00317530" w:rsidP="00CF7BB2">
      <w:pPr>
        <w:pStyle w:val="SingleTxtG"/>
      </w:pPr>
      <w:r>
        <w:t>1</w:t>
      </w:r>
      <w:r w:rsidR="00100063">
        <w:t>3</w:t>
      </w:r>
      <w:r>
        <w:t>.</w:t>
      </w:r>
      <w:r>
        <w:tab/>
        <w:t xml:space="preserve">The Committee is concerned at the frequent </w:t>
      </w:r>
      <w:r w:rsidR="006C6468">
        <w:t>imposition</w:t>
      </w:r>
      <w:r w:rsidR="00822275">
        <w:t xml:space="preserve"> of state</w:t>
      </w:r>
      <w:r w:rsidR="006C6468">
        <w:t>s</w:t>
      </w:r>
      <w:r>
        <w:t xml:space="preserve"> of emergency</w:t>
      </w:r>
      <w:r w:rsidR="005F2402">
        <w:t xml:space="preserve">, </w:t>
      </w:r>
      <w:r w:rsidR="006C6468">
        <w:t xml:space="preserve">during which </w:t>
      </w:r>
      <w:r>
        <w:t>restrictions on human rights may give rise to violations of the Convention</w:t>
      </w:r>
      <w:r w:rsidR="005F2402">
        <w:t xml:space="preserve"> and </w:t>
      </w:r>
      <w:r w:rsidR="001B203B">
        <w:t xml:space="preserve">that </w:t>
      </w:r>
      <w:r w:rsidR="00822275">
        <w:t>state</w:t>
      </w:r>
      <w:r>
        <w:t xml:space="preserve"> of emergency ha</w:t>
      </w:r>
      <w:r w:rsidR="00822275">
        <w:t>s</w:t>
      </w:r>
      <w:r>
        <w:t xml:space="preserve"> been imposed in relation to </w:t>
      </w:r>
      <w:r w:rsidR="003F106C">
        <w:t xml:space="preserve">peaceful </w:t>
      </w:r>
      <w:r>
        <w:t>social protests</w:t>
      </w:r>
      <w:r w:rsidR="003F106C">
        <w:t>.</w:t>
      </w:r>
      <w:r>
        <w:t xml:space="preserve"> The Committee is </w:t>
      </w:r>
      <w:r w:rsidR="001B203B">
        <w:t xml:space="preserve">further </w:t>
      </w:r>
      <w:r>
        <w:t xml:space="preserve">concerned at the promulgation on 1 September 2010 of Legislative Decree No. 1095  </w:t>
      </w:r>
      <w:r w:rsidR="001B203B">
        <w:t xml:space="preserve">allowing </w:t>
      </w:r>
      <w:r>
        <w:t xml:space="preserve"> military courts to decide on cases of excessive use of force and human rights violations during state of emergency (art. 2)</w:t>
      </w:r>
      <w:r w:rsidR="00643EBF">
        <w:t>.</w:t>
      </w:r>
    </w:p>
    <w:p w:rsidR="00317530" w:rsidRPr="00CF7BB2" w:rsidRDefault="00317530" w:rsidP="00CF7BB2">
      <w:pPr>
        <w:pStyle w:val="SingleTxtG"/>
        <w:rPr>
          <w:b/>
        </w:rPr>
      </w:pPr>
      <w:r w:rsidRPr="00CF7BB2">
        <w:rPr>
          <w:b/>
        </w:rPr>
        <w:t xml:space="preserve">The State party </w:t>
      </w:r>
      <w:r w:rsidR="00C8232B" w:rsidRPr="00CF7BB2">
        <w:rPr>
          <w:b/>
        </w:rPr>
        <w:t xml:space="preserve">should </w:t>
      </w:r>
      <w:r w:rsidRPr="00CF7BB2">
        <w:rPr>
          <w:b/>
        </w:rPr>
        <w:t xml:space="preserve">limit the imposition of state of emergency to situations in which it is strictly necessary, and at all times respect the provisions of </w:t>
      </w:r>
      <w:r w:rsidR="001B203B" w:rsidRPr="00CF7BB2">
        <w:rPr>
          <w:b/>
        </w:rPr>
        <w:t>the Convention stating that no exceptional circumstances may be invoked as a justification of torture</w:t>
      </w:r>
      <w:r w:rsidR="00C8232B" w:rsidRPr="00CF7BB2">
        <w:rPr>
          <w:b/>
        </w:rPr>
        <w:t xml:space="preserve">. </w:t>
      </w:r>
      <w:r w:rsidR="006C6468">
        <w:rPr>
          <w:b/>
        </w:rPr>
        <w:t xml:space="preserve">The State party should consider amending </w:t>
      </w:r>
      <w:r w:rsidRPr="001239B3">
        <w:rPr>
          <w:b/>
        </w:rPr>
        <w:t>Legislative Decree No. 1095</w:t>
      </w:r>
      <w:r w:rsidR="00FE2844" w:rsidRPr="00E773D1">
        <w:rPr>
          <w:b/>
        </w:rPr>
        <w:t xml:space="preserve"> with a view to </w:t>
      </w:r>
      <w:r w:rsidR="00303799">
        <w:rPr>
          <w:b/>
        </w:rPr>
        <w:t>bringing all its provisions in line with the State party obligation under the Convention</w:t>
      </w:r>
      <w:r w:rsidR="00FE2844" w:rsidRPr="00E773D1">
        <w:rPr>
          <w:b/>
        </w:rPr>
        <w:t>.</w:t>
      </w:r>
    </w:p>
    <w:p w:rsidR="00005FF4" w:rsidRDefault="00CF7BB2" w:rsidP="00CF7BB2">
      <w:pPr>
        <w:pStyle w:val="H23G"/>
      </w:pPr>
      <w:r>
        <w:tab/>
      </w:r>
      <w:r>
        <w:tab/>
      </w:r>
      <w:r w:rsidR="00005FF4">
        <w:t>Violence against women</w:t>
      </w:r>
    </w:p>
    <w:p w:rsidR="00005FF4" w:rsidRDefault="00005FF4" w:rsidP="00CF7BB2">
      <w:pPr>
        <w:pStyle w:val="SingleTxtG"/>
      </w:pPr>
      <w:r>
        <w:t>1</w:t>
      </w:r>
      <w:r w:rsidR="00100063">
        <w:t>4</w:t>
      </w:r>
      <w:r>
        <w:t>.</w:t>
      </w:r>
      <w:r>
        <w:tab/>
        <w:t xml:space="preserve">The Committee is concerned </w:t>
      </w:r>
      <w:r w:rsidR="007E68B3">
        <w:t xml:space="preserve">at </w:t>
      </w:r>
      <w:r w:rsidR="002B14D9">
        <w:t>report</w:t>
      </w:r>
      <w:r w:rsidR="00017CD0">
        <w:t>s</w:t>
      </w:r>
      <w:r w:rsidR="002B14D9">
        <w:t xml:space="preserve"> on widespread </w:t>
      </w:r>
      <w:r w:rsidR="007E68B3">
        <w:t>violence against women and girls, including d</w:t>
      </w:r>
      <w:r w:rsidR="007F7526">
        <w:t>omestic and sexual</w:t>
      </w:r>
      <w:r w:rsidR="006F00FB">
        <w:t xml:space="preserve"> violence</w:t>
      </w:r>
      <w:r w:rsidR="007F7526">
        <w:t xml:space="preserve"> and femicide</w:t>
      </w:r>
      <w:r w:rsidR="006F00FB">
        <w:t>,</w:t>
      </w:r>
      <w:r w:rsidR="00E741B9">
        <w:t xml:space="preserve"> and </w:t>
      </w:r>
      <w:r w:rsidR="00E741B9" w:rsidRPr="00E741B9">
        <w:t xml:space="preserve">at the low numbers of investigations and prosecutions </w:t>
      </w:r>
      <w:r w:rsidR="002B14D9">
        <w:t xml:space="preserve">in such </w:t>
      </w:r>
      <w:r w:rsidR="00E741B9" w:rsidRPr="00E741B9">
        <w:t>cases</w:t>
      </w:r>
      <w:r w:rsidR="00017CD0">
        <w:t xml:space="preserve">, as well as the </w:t>
      </w:r>
      <w:r w:rsidR="00C8427B">
        <w:t xml:space="preserve">lack of statistics on sexual violence. </w:t>
      </w:r>
      <w:r w:rsidR="00A66378">
        <w:t xml:space="preserve">While taking note of the adoption of the Second National Action Plan to Combat Violence Against Women 2009-2015, the Committee </w:t>
      </w:r>
      <w:r w:rsidR="007E68B3">
        <w:t xml:space="preserve">is concerned </w:t>
      </w:r>
      <w:r w:rsidR="002B14D9">
        <w:t>that domestic violence and forms of sexual violence and harassment, other than the crime of rape</w:t>
      </w:r>
      <w:r w:rsidR="00600C78">
        <w:t>,</w:t>
      </w:r>
      <w:r w:rsidR="00C646CC">
        <w:t xml:space="preserve"> are not defined as offences in the Criminal Code and at the </w:t>
      </w:r>
      <w:r w:rsidR="007F7526">
        <w:t xml:space="preserve">obstacles </w:t>
      </w:r>
      <w:r>
        <w:t xml:space="preserve">victims of violence </w:t>
      </w:r>
      <w:r w:rsidR="007F7526">
        <w:t xml:space="preserve">face </w:t>
      </w:r>
      <w:r w:rsidR="00C646CC">
        <w:t>when</w:t>
      </w:r>
      <w:r w:rsidR="007F7526">
        <w:t xml:space="preserve"> accessing justice</w:t>
      </w:r>
      <w:r w:rsidR="00C646CC">
        <w:t>, combined with</w:t>
      </w:r>
      <w:r w:rsidR="007F7526">
        <w:t xml:space="preserve"> the insufficient number of shelters available</w:t>
      </w:r>
      <w:r w:rsidR="00017CD0">
        <w:t xml:space="preserve"> </w:t>
      </w:r>
      <w:r w:rsidR="00C8427B">
        <w:t>to them</w:t>
      </w:r>
      <w:r w:rsidR="007F7526">
        <w:t xml:space="preserve"> </w:t>
      </w:r>
      <w:r>
        <w:t>(arts. 2, 12, 13 and 16)</w:t>
      </w:r>
      <w:r w:rsidR="00303799">
        <w:t>.</w:t>
      </w:r>
    </w:p>
    <w:p w:rsidR="00832644" w:rsidRPr="00CF7BB2" w:rsidRDefault="006F00FB" w:rsidP="00CF7BB2">
      <w:pPr>
        <w:pStyle w:val="SingleTxtG"/>
        <w:rPr>
          <w:b/>
        </w:rPr>
      </w:pPr>
      <w:r w:rsidRPr="00CF7BB2">
        <w:rPr>
          <w:b/>
        </w:rPr>
        <w:t xml:space="preserve">The State party </w:t>
      </w:r>
      <w:r w:rsidR="00C646CC" w:rsidRPr="00CF7BB2">
        <w:rPr>
          <w:b/>
        </w:rPr>
        <w:t xml:space="preserve">should </w:t>
      </w:r>
      <w:r w:rsidR="000750E2" w:rsidRPr="00CF7BB2">
        <w:rPr>
          <w:b/>
        </w:rPr>
        <w:t xml:space="preserve">intensify its efforts and </w:t>
      </w:r>
      <w:r w:rsidR="006C5CE0">
        <w:rPr>
          <w:b/>
        </w:rPr>
        <w:t xml:space="preserve">urgently </w:t>
      </w:r>
      <w:r w:rsidR="000750E2" w:rsidRPr="00CF7BB2">
        <w:rPr>
          <w:b/>
        </w:rPr>
        <w:t>en</w:t>
      </w:r>
      <w:r w:rsidR="000750E2" w:rsidRPr="00600C78">
        <w:rPr>
          <w:b/>
        </w:rPr>
        <w:t xml:space="preserve">sure </w:t>
      </w:r>
      <w:r w:rsidR="00B67FF7" w:rsidRPr="00600C78">
        <w:rPr>
          <w:b/>
        </w:rPr>
        <w:t xml:space="preserve">the </w:t>
      </w:r>
      <w:r w:rsidR="000750E2" w:rsidRPr="00600C78">
        <w:rPr>
          <w:b/>
        </w:rPr>
        <w:t>implementation</w:t>
      </w:r>
      <w:r w:rsidR="000750E2" w:rsidRPr="00CF7BB2">
        <w:rPr>
          <w:b/>
        </w:rPr>
        <w:t xml:space="preserve"> </w:t>
      </w:r>
      <w:r w:rsidR="006C5CE0">
        <w:rPr>
          <w:b/>
        </w:rPr>
        <w:t>of e</w:t>
      </w:r>
      <w:r w:rsidR="000750E2" w:rsidRPr="00CF7BB2">
        <w:rPr>
          <w:b/>
        </w:rPr>
        <w:t xml:space="preserve">ffective protective measures to prevent and </w:t>
      </w:r>
      <w:r w:rsidRPr="00CF7BB2">
        <w:rPr>
          <w:b/>
        </w:rPr>
        <w:t>combat</w:t>
      </w:r>
      <w:r w:rsidR="000750E2" w:rsidRPr="00CF7BB2">
        <w:rPr>
          <w:b/>
        </w:rPr>
        <w:t xml:space="preserve"> all forms of </w:t>
      </w:r>
      <w:r w:rsidRPr="00CF7BB2">
        <w:rPr>
          <w:b/>
        </w:rPr>
        <w:t>violence against women and girls</w:t>
      </w:r>
      <w:r w:rsidR="00253730" w:rsidRPr="00CF7BB2">
        <w:rPr>
          <w:b/>
        </w:rPr>
        <w:t xml:space="preserve"> and </w:t>
      </w:r>
      <w:r w:rsidR="004C20AA" w:rsidRPr="00CF7BB2">
        <w:rPr>
          <w:b/>
        </w:rPr>
        <w:t>amend its legislation to</w:t>
      </w:r>
      <w:r w:rsidR="000750E2" w:rsidRPr="00CF7BB2">
        <w:rPr>
          <w:b/>
        </w:rPr>
        <w:t xml:space="preserve"> </w:t>
      </w:r>
      <w:r w:rsidR="004C20AA" w:rsidRPr="00CF7BB2">
        <w:rPr>
          <w:b/>
        </w:rPr>
        <w:t xml:space="preserve">include </w:t>
      </w:r>
      <w:r w:rsidRPr="00CF7BB2">
        <w:rPr>
          <w:b/>
        </w:rPr>
        <w:t xml:space="preserve">domestic </w:t>
      </w:r>
      <w:r w:rsidR="004C20AA" w:rsidRPr="00CF7BB2">
        <w:rPr>
          <w:b/>
        </w:rPr>
        <w:t>violence</w:t>
      </w:r>
      <w:r w:rsidRPr="00CF7BB2">
        <w:rPr>
          <w:b/>
        </w:rPr>
        <w:t xml:space="preserve"> </w:t>
      </w:r>
      <w:r w:rsidR="00253730" w:rsidRPr="00CF7BB2">
        <w:rPr>
          <w:b/>
        </w:rPr>
        <w:t>and forms of sexual violence</w:t>
      </w:r>
      <w:r w:rsidR="009179C5">
        <w:rPr>
          <w:b/>
        </w:rPr>
        <w:t xml:space="preserve"> </w:t>
      </w:r>
      <w:r w:rsidRPr="00CF7BB2">
        <w:rPr>
          <w:b/>
        </w:rPr>
        <w:t>as</w:t>
      </w:r>
      <w:r w:rsidR="004C20AA" w:rsidRPr="00CF7BB2">
        <w:rPr>
          <w:b/>
        </w:rPr>
        <w:t xml:space="preserve"> </w:t>
      </w:r>
      <w:r w:rsidRPr="00CF7BB2">
        <w:rPr>
          <w:b/>
        </w:rPr>
        <w:t>offence</w:t>
      </w:r>
      <w:r w:rsidR="00253730" w:rsidRPr="00CF7BB2">
        <w:rPr>
          <w:b/>
        </w:rPr>
        <w:t xml:space="preserve">s under </w:t>
      </w:r>
      <w:r w:rsidR="006C5CE0">
        <w:rPr>
          <w:b/>
        </w:rPr>
        <w:t xml:space="preserve">the </w:t>
      </w:r>
      <w:r w:rsidR="004C20AA" w:rsidRPr="00CF7BB2">
        <w:rPr>
          <w:b/>
        </w:rPr>
        <w:t>Criminal Code</w:t>
      </w:r>
      <w:r w:rsidR="006C5CE0">
        <w:rPr>
          <w:b/>
        </w:rPr>
        <w:t>, as is the case with rape,</w:t>
      </w:r>
      <w:r w:rsidR="00C8427B" w:rsidRPr="00CF7BB2">
        <w:rPr>
          <w:b/>
        </w:rPr>
        <w:t xml:space="preserve"> and develop </w:t>
      </w:r>
      <w:r w:rsidR="00D415E7" w:rsidRPr="00CF7BB2">
        <w:rPr>
          <w:b/>
        </w:rPr>
        <w:t xml:space="preserve">a </w:t>
      </w:r>
      <w:r w:rsidR="00C8427B" w:rsidRPr="00CF7BB2">
        <w:rPr>
          <w:b/>
        </w:rPr>
        <w:t>better overview on the prevalence of the offen</w:t>
      </w:r>
      <w:r w:rsidR="00C21B80" w:rsidRPr="00CF7BB2">
        <w:rPr>
          <w:b/>
        </w:rPr>
        <w:t>c</w:t>
      </w:r>
      <w:r w:rsidR="00C8427B" w:rsidRPr="00CF7BB2">
        <w:rPr>
          <w:b/>
        </w:rPr>
        <w:t>e</w:t>
      </w:r>
      <w:r w:rsidR="00253730" w:rsidRPr="00CF7BB2">
        <w:rPr>
          <w:b/>
        </w:rPr>
        <w:t xml:space="preserve">. The State should further strengthen all efforts to </w:t>
      </w:r>
      <w:r w:rsidR="000750E2" w:rsidRPr="00CF7BB2">
        <w:rPr>
          <w:b/>
        </w:rPr>
        <w:t>prevent</w:t>
      </w:r>
      <w:r w:rsidR="00253730" w:rsidRPr="00CF7BB2">
        <w:rPr>
          <w:b/>
        </w:rPr>
        <w:t xml:space="preserve"> </w:t>
      </w:r>
      <w:r w:rsidR="000750E2" w:rsidRPr="00CF7BB2">
        <w:rPr>
          <w:b/>
        </w:rPr>
        <w:t>violence against women</w:t>
      </w:r>
      <w:r w:rsidR="00F3165C" w:rsidRPr="00CF7BB2">
        <w:rPr>
          <w:b/>
        </w:rPr>
        <w:t>,</w:t>
      </w:r>
      <w:r w:rsidR="006E1428" w:rsidRPr="00CF7BB2">
        <w:rPr>
          <w:b/>
        </w:rPr>
        <w:t xml:space="preserve"> enhance the access of victims to justice</w:t>
      </w:r>
      <w:r w:rsidR="00253730" w:rsidRPr="00CF7BB2">
        <w:rPr>
          <w:b/>
        </w:rPr>
        <w:t>,</w:t>
      </w:r>
      <w:r w:rsidR="006E1428" w:rsidRPr="00CF7BB2">
        <w:rPr>
          <w:b/>
        </w:rPr>
        <w:t xml:space="preserve"> </w:t>
      </w:r>
      <w:r w:rsidR="00253730" w:rsidRPr="00CF7BB2">
        <w:rPr>
          <w:b/>
        </w:rPr>
        <w:t xml:space="preserve">ensure that </w:t>
      </w:r>
      <w:r w:rsidR="006E1428" w:rsidRPr="00CF7BB2">
        <w:rPr>
          <w:b/>
        </w:rPr>
        <w:t xml:space="preserve">all acts of violence </w:t>
      </w:r>
      <w:r w:rsidR="00D415E7" w:rsidRPr="00CF7BB2">
        <w:rPr>
          <w:b/>
        </w:rPr>
        <w:t>are</w:t>
      </w:r>
      <w:r w:rsidR="006E1428" w:rsidRPr="00CF7BB2">
        <w:rPr>
          <w:b/>
        </w:rPr>
        <w:t xml:space="preserve"> promptly</w:t>
      </w:r>
      <w:r w:rsidR="000750E2" w:rsidRPr="00CF7BB2">
        <w:rPr>
          <w:b/>
        </w:rPr>
        <w:t xml:space="preserve">, </w:t>
      </w:r>
      <w:r w:rsidR="00450694" w:rsidRPr="00CF7BB2">
        <w:rPr>
          <w:b/>
        </w:rPr>
        <w:t>effectively</w:t>
      </w:r>
      <w:r w:rsidR="00F64B3B">
        <w:rPr>
          <w:b/>
        </w:rPr>
        <w:t xml:space="preserve"> and</w:t>
      </w:r>
      <w:r w:rsidR="00450694" w:rsidRPr="00CF7BB2">
        <w:rPr>
          <w:b/>
        </w:rPr>
        <w:t xml:space="preserve"> </w:t>
      </w:r>
      <w:r w:rsidR="000750E2" w:rsidRPr="00CF7BB2">
        <w:rPr>
          <w:b/>
        </w:rPr>
        <w:t xml:space="preserve">impartially </w:t>
      </w:r>
      <w:r w:rsidR="006E1428" w:rsidRPr="00CF7BB2">
        <w:rPr>
          <w:b/>
        </w:rPr>
        <w:t xml:space="preserve">investigated and prosecuted, </w:t>
      </w:r>
      <w:r w:rsidR="00D415E7" w:rsidRPr="00CF7BB2">
        <w:rPr>
          <w:b/>
        </w:rPr>
        <w:t>p</w:t>
      </w:r>
      <w:r w:rsidR="006E1428" w:rsidRPr="00CF7BB2">
        <w:rPr>
          <w:b/>
        </w:rPr>
        <w:t xml:space="preserve">erpetrators brought to justice and victims provided with </w:t>
      </w:r>
      <w:r w:rsidR="006C5CE0">
        <w:rPr>
          <w:b/>
        </w:rPr>
        <w:t>redress</w:t>
      </w:r>
      <w:r w:rsidR="006E1428" w:rsidRPr="00CF7BB2">
        <w:rPr>
          <w:b/>
        </w:rPr>
        <w:t xml:space="preserve">. </w:t>
      </w:r>
      <w:r w:rsidR="006C5CE0">
        <w:rPr>
          <w:b/>
        </w:rPr>
        <w:t>The State party should set up not only an effective complaints m</w:t>
      </w:r>
      <w:r w:rsidR="004C20AA" w:rsidRPr="00CF7BB2">
        <w:rPr>
          <w:b/>
        </w:rPr>
        <w:t xml:space="preserve">echanism for </w:t>
      </w:r>
      <w:r w:rsidR="006C5CE0">
        <w:rPr>
          <w:b/>
        </w:rPr>
        <w:t xml:space="preserve">women and girls but also a </w:t>
      </w:r>
      <w:r w:rsidR="004C20AA" w:rsidRPr="00CF7BB2">
        <w:rPr>
          <w:b/>
        </w:rPr>
        <w:t xml:space="preserve">monitoring </w:t>
      </w:r>
      <w:r w:rsidR="006C5CE0">
        <w:rPr>
          <w:b/>
        </w:rPr>
        <w:t xml:space="preserve">mechanism to prevent </w:t>
      </w:r>
      <w:r w:rsidR="004C20AA" w:rsidRPr="00CF7BB2">
        <w:rPr>
          <w:b/>
        </w:rPr>
        <w:t>all forms of violence</w:t>
      </w:r>
      <w:r w:rsidR="006C5CE0">
        <w:rPr>
          <w:b/>
        </w:rPr>
        <w:t xml:space="preserve"> against them</w:t>
      </w:r>
      <w:r w:rsidR="00253730" w:rsidRPr="00CF7BB2">
        <w:rPr>
          <w:b/>
        </w:rPr>
        <w:t xml:space="preserve">. </w:t>
      </w:r>
      <w:r w:rsidR="006E1428" w:rsidRPr="00CF7BB2">
        <w:rPr>
          <w:b/>
        </w:rPr>
        <w:t>The Ministry of Health should provide specialized training to health personnel dealing with victims of violence</w:t>
      </w:r>
      <w:r w:rsidR="00253730" w:rsidRPr="00CF7BB2">
        <w:rPr>
          <w:b/>
        </w:rPr>
        <w:t xml:space="preserve"> and a single, consolidated system for keeping records on cases of violence against women should be established</w:t>
      </w:r>
      <w:r w:rsidR="006E1428" w:rsidRPr="00CF7BB2">
        <w:rPr>
          <w:b/>
        </w:rPr>
        <w:t>.</w:t>
      </w:r>
      <w:r w:rsidR="000750E2" w:rsidRPr="00CF7BB2">
        <w:rPr>
          <w:b/>
        </w:rPr>
        <w:t xml:space="preserve">  </w:t>
      </w:r>
      <w:r w:rsidR="00253730" w:rsidRPr="00CF7BB2">
        <w:rPr>
          <w:b/>
        </w:rPr>
        <w:t>B</w:t>
      </w:r>
      <w:r w:rsidR="000750E2" w:rsidRPr="00CF7BB2">
        <w:rPr>
          <w:b/>
        </w:rPr>
        <w:t xml:space="preserve">road awareness-raising campaigns </w:t>
      </w:r>
      <w:r w:rsidR="00253730" w:rsidRPr="00CF7BB2">
        <w:rPr>
          <w:b/>
        </w:rPr>
        <w:t xml:space="preserve">should be initiated </w:t>
      </w:r>
      <w:r w:rsidR="000750E2" w:rsidRPr="00CF7BB2">
        <w:rPr>
          <w:b/>
        </w:rPr>
        <w:t>and training on</w:t>
      </w:r>
      <w:r w:rsidR="008828A1">
        <w:rPr>
          <w:b/>
        </w:rPr>
        <w:t xml:space="preserve"> combating and </w:t>
      </w:r>
      <w:r w:rsidR="000750E2" w:rsidRPr="00CF7BB2">
        <w:rPr>
          <w:b/>
        </w:rPr>
        <w:t>preventin</w:t>
      </w:r>
      <w:r w:rsidR="008828A1">
        <w:rPr>
          <w:b/>
        </w:rPr>
        <w:t>g</w:t>
      </w:r>
      <w:r w:rsidR="000750E2" w:rsidRPr="00CF7BB2">
        <w:rPr>
          <w:b/>
        </w:rPr>
        <w:t xml:space="preserve"> violence against wo</w:t>
      </w:r>
      <w:r w:rsidR="00565500" w:rsidRPr="00CF7BB2">
        <w:rPr>
          <w:b/>
        </w:rPr>
        <w:t xml:space="preserve">men and girls for law enforcement officers, judges, lawyers, and social workers </w:t>
      </w:r>
      <w:r w:rsidR="00253730" w:rsidRPr="00CF7BB2">
        <w:rPr>
          <w:b/>
        </w:rPr>
        <w:t xml:space="preserve">should be provided. </w:t>
      </w:r>
    </w:p>
    <w:p w:rsidR="00005FF4" w:rsidRDefault="00CF7BB2" w:rsidP="00CF7BB2">
      <w:pPr>
        <w:pStyle w:val="H23G"/>
      </w:pPr>
      <w:r>
        <w:tab/>
      </w:r>
      <w:r>
        <w:tab/>
      </w:r>
      <w:r w:rsidR="00005FF4">
        <w:t>Reproductive rights and health</w:t>
      </w:r>
    </w:p>
    <w:p w:rsidR="00005FF4" w:rsidRDefault="00005FF4" w:rsidP="006425A7">
      <w:pPr>
        <w:pStyle w:val="SingleTxtG"/>
      </w:pPr>
      <w:r>
        <w:t>1</w:t>
      </w:r>
      <w:r w:rsidR="00100063">
        <w:t>5</w:t>
      </w:r>
      <w:r>
        <w:t>.</w:t>
      </w:r>
      <w:r>
        <w:tab/>
      </w:r>
      <w:r w:rsidR="00282D76">
        <w:t>T</w:t>
      </w:r>
      <w:r>
        <w:t xml:space="preserve">he Committee is </w:t>
      </w:r>
      <w:r w:rsidR="00A05250">
        <w:t xml:space="preserve">seriously </w:t>
      </w:r>
      <w:r>
        <w:t>concerned that illegal</w:t>
      </w:r>
      <w:r w:rsidR="006E2AC3">
        <w:t xml:space="preserve"> </w:t>
      </w:r>
      <w:r>
        <w:t>abortions are</w:t>
      </w:r>
      <w:r w:rsidR="00450694">
        <w:t xml:space="preserve"> one of</w:t>
      </w:r>
      <w:r>
        <w:t xml:space="preserve"> the </w:t>
      </w:r>
      <w:r w:rsidR="00A05250">
        <w:t xml:space="preserve">main </w:t>
      </w:r>
      <w:r>
        <w:t>causes of high maternal mortality in the State party</w:t>
      </w:r>
      <w:r w:rsidR="00A05250">
        <w:t xml:space="preserve"> and that the </w:t>
      </w:r>
      <w:r>
        <w:t>interpretation of therapeutic</w:t>
      </w:r>
      <w:r w:rsidR="00A05250">
        <w:t xml:space="preserve"> and legal</w:t>
      </w:r>
      <w:r>
        <w:t xml:space="preserve"> abortion in cases of medical necessity</w:t>
      </w:r>
      <w:r w:rsidR="00A05250">
        <w:t xml:space="preserve"> is too restrictive and lack</w:t>
      </w:r>
      <w:r w:rsidR="00396AC6">
        <w:t>s</w:t>
      </w:r>
      <w:r w:rsidR="00A05250">
        <w:t xml:space="preserve"> clarity, </w:t>
      </w:r>
      <w:r>
        <w:t>lead</w:t>
      </w:r>
      <w:r w:rsidR="00C8427B">
        <w:t>ing</w:t>
      </w:r>
      <w:r>
        <w:t xml:space="preserve"> women to seek unsafe illegal abortions. The Committee is particularly concerned at the criminalization of abo</w:t>
      </w:r>
      <w:r w:rsidRPr="00030C28">
        <w:t xml:space="preserve">rtions in cases of rape and </w:t>
      </w:r>
      <w:r w:rsidR="00BA11BD" w:rsidRPr="00030C28">
        <w:t xml:space="preserve">incest </w:t>
      </w:r>
      <w:r w:rsidRPr="00030C28">
        <w:t>as well as the prohibition by the Constitutional Court of the distribution of oral emergency contraception to victims of</w:t>
      </w:r>
      <w:r w:rsidR="00946D09" w:rsidRPr="00030C28">
        <w:t xml:space="preserve"> rape</w:t>
      </w:r>
      <w:r w:rsidRPr="00030C28">
        <w:t xml:space="preserve">.  It is </w:t>
      </w:r>
      <w:r w:rsidR="00C8427B" w:rsidRPr="00030C28">
        <w:t xml:space="preserve">further </w:t>
      </w:r>
      <w:r w:rsidRPr="00030C28">
        <w:t>concerned at</w:t>
      </w:r>
      <w:r w:rsidR="00396AC6" w:rsidRPr="00030C28">
        <w:t xml:space="preserve"> </w:t>
      </w:r>
      <w:r w:rsidR="00C8427B" w:rsidRPr="00030C28">
        <w:t xml:space="preserve">the fact that the existing </w:t>
      </w:r>
      <w:r w:rsidRPr="00030C28">
        <w:t xml:space="preserve">law obliges physicians to bring </w:t>
      </w:r>
      <w:r w:rsidR="00AB6233" w:rsidRPr="00030C28">
        <w:t>information on women resorting to post-abortion health services to the attention of the authorities and</w:t>
      </w:r>
      <w:r w:rsidR="00030C28">
        <w:t xml:space="preserve"> </w:t>
      </w:r>
      <w:r w:rsidR="007D46F7" w:rsidRPr="00030C28">
        <w:t xml:space="preserve">which may lead </w:t>
      </w:r>
      <w:r w:rsidR="00AB6233" w:rsidRPr="00030C28">
        <w:t>to investigation and criminal prosecution, wh</w:t>
      </w:r>
      <w:r w:rsidR="00AB6233">
        <w:t>ich</w:t>
      </w:r>
      <w:r w:rsidR="007E74A3">
        <w:t xml:space="preserve"> creates such fear of punishment </w:t>
      </w:r>
      <w:r w:rsidR="00303799">
        <w:t xml:space="preserve">that, </w:t>
      </w:r>
      <w:r w:rsidR="00AB6233">
        <w:t>in practice</w:t>
      </w:r>
      <w:r w:rsidR="00303799">
        <w:t>,</w:t>
      </w:r>
      <w:r w:rsidR="00AB6233">
        <w:t xml:space="preserve"> </w:t>
      </w:r>
      <w:r w:rsidR="00303799">
        <w:t xml:space="preserve">this </w:t>
      </w:r>
      <w:r w:rsidR="00AB6233">
        <w:t>constitutes a</w:t>
      </w:r>
      <w:r>
        <w:t xml:space="preserve"> denial of legal abortion services</w:t>
      </w:r>
      <w:r w:rsidR="007E74A3">
        <w:t>.</w:t>
      </w:r>
      <w:r>
        <w:t xml:space="preserve"> </w:t>
      </w:r>
      <w:r w:rsidR="00C8065A" w:rsidRPr="00D76465">
        <w:t xml:space="preserve">The Committee is </w:t>
      </w:r>
      <w:r w:rsidR="00303799">
        <w:t xml:space="preserve">also </w:t>
      </w:r>
      <w:r w:rsidR="00C8065A" w:rsidRPr="00D76465">
        <w:t xml:space="preserve">concerned </w:t>
      </w:r>
      <w:r w:rsidR="00C8065A">
        <w:t>at the forced sterilization of women</w:t>
      </w:r>
      <w:r w:rsidR="0072051B">
        <w:t xml:space="preserve">, namely </w:t>
      </w:r>
      <w:r w:rsidR="00AB6233">
        <w:t xml:space="preserve">the </w:t>
      </w:r>
      <w:r w:rsidR="00C8065A">
        <w:t>2</w:t>
      </w:r>
      <w:r w:rsidR="00303799">
        <w:t>.</w:t>
      </w:r>
      <w:r w:rsidR="00C8065A">
        <w:t>000 women who were subjected to forced sterilizations under the National Reproductive Health and Family Planning Program between 1996 and 2000</w:t>
      </w:r>
      <w:r w:rsidR="00303799">
        <w:t>,</w:t>
      </w:r>
      <w:r w:rsidR="00C8065A">
        <w:t xml:space="preserve"> </w:t>
      </w:r>
      <w:r w:rsidR="00396AC6">
        <w:t xml:space="preserve">and who </w:t>
      </w:r>
      <w:r w:rsidR="00C8065A">
        <w:t xml:space="preserve">have not </w:t>
      </w:r>
      <w:r w:rsidR="00C8232B">
        <w:t xml:space="preserve">yet </w:t>
      </w:r>
      <w:r w:rsidR="00C8065A">
        <w:t>received re</w:t>
      </w:r>
      <w:r w:rsidR="008C5B4C">
        <w:t>dress</w:t>
      </w:r>
      <w:r w:rsidR="00C8065A">
        <w:t xml:space="preserve"> </w:t>
      </w:r>
      <w:r>
        <w:t xml:space="preserve">(arts. 2, </w:t>
      </w:r>
      <w:r w:rsidR="00833089">
        <w:t>10</w:t>
      </w:r>
      <w:r w:rsidR="00C8065A">
        <w:t>, 12, 13, 14, 15</w:t>
      </w:r>
      <w:r w:rsidR="00833089">
        <w:t xml:space="preserve"> </w:t>
      </w:r>
      <w:r>
        <w:t>and 16)</w:t>
      </w:r>
      <w:r w:rsidR="00303799">
        <w:t>.</w:t>
      </w:r>
    </w:p>
    <w:p w:rsidR="0073617A" w:rsidRPr="00CF7BB2" w:rsidRDefault="00005FF4" w:rsidP="00CF7BB2">
      <w:pPr>
        <w:pStyle w:val="SingleTxtG"/>
        <w:rPr>
          <w:b/>
        </w:rPr>
      </w:pPr>
      <w:r w:rsidRPr="00CF7BB2">
        <w:rPr>
          <w:b/>
        </w:rPr>
        <w:t>The State party</w:t>
      </w:r>
      <w:r w:rsidR="00AA38F5" w:rsidRPr="00CF7BB2">
        <w:rPr>
          <w:b/>
        </w:rPr>
        <w:t xml:space="preserve"> should review </w:t>
      </w:r>
      <w:r w:rsidR="008C5B4C">
        <w:rPr>
          <w:b/>
        </w:rPr>
        <w:t>its</w:t>
      </w:r>
      <w:r w:rsidR="00AA38F5" w:rsidRPr="00CF7BB2">
        <w:rPr>
          <w:b/>
        </w:rPr>
        <w:t xml:space="preserve"> legislation with a view to</w:t>
      </w:r>
      <w:r w:rsidR="0073617A" w:rsidRPr="00CF7BB2">
        <w:rPr>
          <w:b/>
        </w:rPr>
        <w:t>:</w:t>
      </w:r>
    </w:p>
    <w:p w:rsidR="0073617A" w:rsidRPr="00CF7BB2" w:rsidRDefault="00CF7BB2" w:rsidP="00CF7BB2">
      <w:pPr>
        <w:pStyle w:val="SingleTxtG"/>
        <w:ind w:firstLine="567"/>
        <w:rPr>
          <w:b/>
        </w:rPr>
      </w:pPr>
      <w:r>
        <w:rPr>
          <w:b/>
        </w:rPr>
        <w:t>(</w:t>
      </w:r>
      <w:r w:rsidR="0073617A" w:rsidRPr="006D35DD">
        <w:rPr>
          <w:b/>
        </w:rPr>
        <w:t>a)</w:t>
      </w:r>
      <w:r w:rsidR="0073617A" w:rsidRPr="006D35DD">
        <w:rPr>
          <w:b/>
        </w:rPr>
        <w:tab/>
      </w:r>
      <w:r w:rsidR="00AA38F5" w:rsidRPr="006D35DD">
        <w:rPr>
          <w:b/>
        </w:rPr>
        <w:t>Am</w:t>
      </w:r>
      <w:r w:rsidR="00AB6233" w:rsidRPr="006D35DD">
        <w:rPr>
          <w:b/>
        </w:rPr>
        <w:t>end</w:t>
      </w:r>
      <w:r w:rsidR="00A75FE4" w:rsidRPr="006D35DD">
        <w:rPr>
          <w:b/>
        </w:rPr>
        <w:t>ing</w:t>
      </w:r>
      <w:r w:rsidR="00AB6233" w:rsidRPr="006D35DD">
        <w:rPr>
          <w:b/>
        </w:rPr>
        <w:t xml:space="preserve"> </w:t>
      </w:r>
      <w:r w:rsidR="00047410" w:rsidRPr="006D35DD">
        <w:rPr>
          <w:b/>
        </w:rPr>
        <w:t xml:space="preserve">the </w:t>
      </w:r>
      <w:r w:rsidR="0073617A" w:rsidRPr="006D35DD">
        <w:rPr>
          <w:b/>
        </w:rPr>
        <w:t>g</w:t>
      </w:r>
      <w:r w:rsidR="0073617A" w:rsidRPr="00CF7BB2">
        <w:rPr>
          <w:b/>
        </w:rPr>
        <w:t>eneral prohibition for cases of therapeutic abortion an</w:t>
      </w:r>
      <w:r w:rsidR="00BA11BD" w:rsidRPr="00CF7BB2">
        <w:rPr>
          <w:b/>
        </w:rPr>
        <w:t>d pregnancy resulting from rape and</w:t>
      </w:r>
      <w:r w:rsidR="0073617A" w:rsidRPr="00CF7BB2">
        <w:rPr>
          <w:b/>
        </w:rPr>
        <w:t xml:space="preserve"> incest and provid</w:t>
      </w:r>
      <w:r w:rsidR="00AB6233" w:rsidRPr="00CF7BB2">
        <w:rPr>
          <w:b/>
        </w:rPr>
        <w:t>e</w:t>
      </w:r>
      <w:r w:rsidR="0073617A" w:rsidRPr="00CF7BB2">
        <w:rPr>
          <w:b/>
        </w:rPr>
        <w:t xml:space="preserve"> free health coverage in cases of rape;</w:t>
      </w:r>
    </w:p>
    <w:p w:rsidR="0073617A" w:rsidRPr="00CF7BB2" w:rsidRDefault="00CF7BB2" w:rsidP="00CF7BB2">
      <w:pPr>
        <w:pStyle w:val="SingleTxtG"/>
        <w:ind w:firstLine="567"/>
        <w:rPr>
          <w:b/>
        </w:rPr>
      </w:pPr>
      <w:r>
        <w:rPr>
          <w:b/>
        </w:rPr>
        <w:t>(</w:t>
      </w:r>
      <w:r w:rsidR="0073617A" w:rsidRPr="00CF7BB2">
        <w:rPr>
          <w:b/>
        </w:rPr>
        <w:t>b)</w:t>
      </w:r>
      <w:r w:rsidR="0073617A" w:rsidRPr="00CF7BB2">
        <w:rPr>
          <w:b/>
        </w:rPr>
        <w:tab/>
      </w:r>
      <w:r w:rsidR="00AA38F5" w:rsidRPr="00CF7BB2">
        <w:rPr>
          <w:b/>
        </w:rPr>
        <w:t>L</w:t>
      </w:r>
      <w:r w:rsidR="0073617A" w:rsidRPr="00CF7BB2">
        <w:rPr>
          <w:b/>
        </w:rPr>
        <w:t>egaliz</w:t>
      </w:r>
      <w:r w:rsidR="00A75FE4">
        <w:rPr>
          <w:b/>
        </w:rPr>
        <w:t>ing</w:t>
      </w:r>
      <w:r w:rsidR="0073617A" w:rsidRPr="00CF7BB2">
        <w:rPr>
          <w:b/>
        </w:rPr>
        <w:t xml:space="preserve"> the distribution of oral emergency contraception to victims of rape;</w:t>
      </w:r>
    </w:p>
    <w:p w:rsidR="0073617A" w:rsidRPr="00CF7BB2" w:rsidRDefault="00CF7BB2" w:rsidP="00CF7BB2">
      <w:pPr>
        <w:pStyle w:val="SingleTxtG"/>
        <w:ind w:firstLine="567"/>
        <w:rPr>
          <w:b/>
        </w:rPr>
      </w:pPr>
      <w:r>
        <w:rPr>
          <w:b/>
        </w:rPr>
        <w:t>(</w:t>
      </w:r>
      <w:r w:rsidR="0073617A" w:rsidRPr="00CF7BB2">
        <w:rPr>
          <w:b/>
        </w:rPr>
        <w:t>c)</w:t>
      </w:r>
      <w:r w:rsidR="0073617A" w:rsidRPr="00CF7BB2">
        <w:rPr>
          <w:b/>
        </w:rPr>
        <w:tab/>
      </w:r>
      <w:r w:rsidR="00AA38F5" w:rsidRPr="00CF7BB2">
        <w:rPr>
          <w:b/>
        </w:rPr>
        <w:t>E</w:t>
      </w:r>
      <w:r w:rsidR="0073617A" w:rsidRPr="00CF7BB2">
        <w:rPr>
          <w:b/>
        </w:rPr>
        <w:t>nsur</w:t>
      </w:r>
      <w:r w:rsidR="00A75FE4">
        <w:rPr>
          <w:b/>
        </w:rPr>
        <w:t>ing</w:t>
      </w:r>
      <w:r w:rsidR="0073617A" w:rsidRPr="00CF7BB2">
        <w:rPr>
          <w:b/>
        </w:rPr>
        <w:t xml:space="preserve"> that health professionals are aware of and informed about the protocols regarding legal abortions</w:t>
      </w:r>
      <w:r w:rsidR="00047410" w:rsidRPr="00CF7BB2">
        <w:rPr>
          <w:b/>
        </w:rPr>
        <w:t xml:space="preserve"> by the Ministry of Health</w:t>
      </w:r>
      <w:r w:rsidR="008C5B4C">
        <w:rPr>
          <w:b/>
        </w:rPr>
        <w:t xml:space="preserve"> and guarantee </w:t>
      </w:r>
      <w:r w:rsidR="0073617A" w:rsidRPr="00CF7BB2">
        <w:rPr>
          <w:b/>
        </w:rPr>
        <w:t>immediate and unconditional treatment for persons seeking emergency medical</w:t>
      </w:r>
      <w:r w:rsidR="00F64B3B">
        <w:rPr>
          <w:b/>
        </w:rPr>
        <w:t xml:space="preserve"> care;</w:t>
      </w:r>
    </w:p>
    <w:p w:rsidR="0073617A" w:rsidRPr="00CF7BB2" w:rsidRDefault="00CF7BB2" w:rsidP="00CF7BB2">
      <w:pPr>
        <w:pStyle w:val="SingleTxtG"/>
        <w:ind w:firstLine="567"/>
        <w:rPr>
          <w:b/>
        </w:rPr>
      </w:pPr>
      <w:r>
        <w:rPr>
          <w:b/>
        </w:rPr>
        <w:t>(</w:t>
      </w:r>
      <w:r w:rsidR="008C5B4C">
        <w:rPr>
          <w:b/>
        </w:rPr>
        <w:t>d</w:t>
      </w:r>
      <w:r w:rsidR="0073617A" w:rsidRPr="00CF7BB2">
        <w:rPr>
          <w:b/>
        </w:rPr>
        <w:t>)</w:t>
      </w:r>
      <w:r w:rsidR="0073617A" w:rsidRPr="00CF7BB2">
        <w:rPr>
          <w:b/>
        </w:rPr>
        <w:tab/>
        <w:t>Eliminat</w:t>
      </w:r>
      <w:r w:rsidR="00A75FE4">
        <w:rPr>
          <w:b/>
        </w:rPr>
        <w:t>ing</w:t>
      </w:r>
      <w:r w:rsidR="0073617A" w:rsidRPr="00CF7BB2">
        <w:rPr>
          <w:b/>
        </w:rPr>
        <w:t xml:space="preserve"> the practice of extracting confessions for prosecution purposes from women seeking emergency medical care as a result of illegal abortion</w:t>
      </w:r>
      <w:r w:rsidR="00AA38F5" w:rsidRPr="00CF7BB2">
        <w:rPr>
          <w:b/>
        </w:rPr>
        <w:t xml:space="preserve"> and </w:t>
      </w:r>
      <w:r w:rsidR="0073617A" w:rsidRPr="00CF7BB2">
        <w:rPr>
          <w:b/>
        </w:rPr>
        <w:t>penalizing medical p</w:t>
      </w:r>
      <w:r w:rsidR="008C5B4C">
        <w:rPr>
          <w:b/>
        </w:rPr>
        <w:t xml:space="preserve">ersonnel </w:t>
      </w:r>
      <w:r w:rsidR="0073617A" w:rsidRPr="00CF7BB2">
        <w:rPr>
          <w:b/>
        </w:rPr>
        <w:t>for the exercise of their professional responsibilities</w:t>
      </w:r>
      <w:r w:rsidR="004D3F1F" w:rsidRPr="00CF7BB2">
        <w:rPr>
          <w:b/>
        </w:rPr>
        <w:t>;</w:t>
      </w:r>
    </w:p>
    <w:p w:rsidR="00005FF4" w:rsidRPr="00CF7BB2" w:rsidRDefault="00CF7BB2" w:rsidP="00600C78">
      <w:pPr>
        <w:pStyle w:val="SingleTxtG"/>
        <w:ind w:firstLine="567"/>
        <w:rPr>
          <w:b/>
        </w:rPr>
      </w:pPr>
      <w:r>
        <w:rPr>
          <w:b/>
        </w:rPr>
        <w:t>(</w:t>
      </w:r>
      <w:r w:rsidR="008F5BC5">
        <w:rPr>
          <w:b/>
        </w:rPr>
        <w:t>e</w:t>
      </w:r>
      <w:r w:rsidR="004D3F1F" w:rsidRPr="00CF7BB2">
        <w:rPr>
          <w:b/>
        </w:rPr>
        <w:t>)</w:t>
      </w:r>
      <w:r w:rsidR="004D3F1F" w:rsidRPr="00CF7BB2">
        <w:rPr>
          <w:b/>
        </w:rPr>
        <w:tab/>
        <w:t>E</w:t>
      </w:r>
      <w:r w:rsidR="00005FF4" w:rsidRPr="00CF7BB2">
        <w:rPr>
          <w:b/>
        </w:rPr>
        <w:t>nhanc</w:t>
      </w:r>
      <w:r w:rsidR="00A75FE4">
        <w:rPr>
          <w:b/>
        </w:rPr>
        <w:t>ing</w:t>
      </w:r>
      <w:r w:rsidR="00005FF4" w:rsidRPr="00CF7BB2">
        <w:rPr>
          <w:b/>
        </w:rPr>
        <w:t xml:space="preserve"> its </w:t>
      </w:r>
      <w:r w:rsidR="00600C78">
        <w:rPr>
          <w:b/>
        </w:rPr>
        <w:t>provision</w:t>
      </w:r>
      <w:r w:rsidR="00005FF4" w:rsidRPr="00CF7BB2">
        <w:rPr>
          <w:b/>
        </w:rPr>
        <w:t xml:space="preserve"> of family planning information and services</w:t>
      </w:r>
      <w:r w:rsidR="00AA38F5" w:rsidRPr="00CF7BB2">
        <w:rPr>
          <w:b/>
        </w:rPr>
        <w:t xml:space="preserve"> and c</w:t>
      </w:r>
      <w:r w:rsidR="00005FF4" w:rsidRPr="00CF7BB2">
        <w:rPr>
          <w:b/>
        </w:rPr>
        <w:t>onduct</w:t>
      </w:r>
      <w:r w:rsidR="00600C78">
        <w:rPr>
          <w:b/>
        </w:rPr>
        <w:t>ing</w:t>
      </w:r>
      <w:r w:rsidR="00005FF4" w:rsidRPr="00CF7BB2">
        <w:rPr>
          <w:b/>
        </w:rPr>
        <w:t xml:space="preserve"> a broad public campaign to raise awareness about cases when therapeutic abortions are legal and the administrative framework to acce</w:t>
      </w:r>
      <w:r w:rsidR="0054786F" w:rsidRPr="00CF7BB2">
        <w:rPr>
          <w:b/>
        </w:rPr>
        <w:t>ss them</w:t>
      </w:r>
      <w:r w:rsidR="00175434">
        <w:rPr>
          <w:b/>
        </w:rPr>
        <w:t>.</w:t>
      </w:r>
    </w:p>
    <w:p w:rsidR="0054786F" w:rsidRPr="00CF7BB2" w:rsidRDefault="00175434" w:rsidP="00BA523A">
      <w:pPr>
        <w:pStyle w:val="SingleTxtG"/>
        <w:rPr>
          <w:b/>
        </w:rPr>
      </w:pPr>
      <w:r>
        <w:rPr>
          <w:b/>
        </w:rPr>
        <w:t>The State party should</w:t>
      </w:r>
      <w:r w:rsidR="0072051B">
        <w:rPr>
          <w:b/>
        </w:rPr>
        <w:t xml:space="preserve"> a</w:t>
      </w:r>
      <w:r>
        <w:rPr>
          <w:b/>
        </w:rPr>
        <w:t xml:space="preserve">ccelerate </w:t>
      </w:r>
      <w:r w:rsidR="0072051B">
        <w:rPr>
          <w:b/>
        </w:rPr>
        <w:t>all current investigations related to forced sterili</w:t>
      </w:r>
      <w:r w:rsidR="00BA523A">
        <w:rPr>
          <w:b/>
        </w:rPr>
        <w:t>z</w:t>
      </w:r>
      <w:r w:rsidR="0072051B">
        <w:rPr>
          <w:b/>
        </w:rPr>
        <w:t>ation</w:t>
      </w:r>
      <w:r w:rsidR="00B752E7">
        <w:rPr>
          <w:b/>
        </w:rPr>
        <w:t xml:space="preserve">, </w:t>
      </w:r>
      <w:r w:rsidR="00914BDB">
        <w:rPr>
          <w:b/>
        </w:rPr>
        <w:t>initiate</w:t>
      </w:r>
      <w:r w:rsidR="0072051B">
        <w:rPr>
          <w:b/>
        </w:rPr>
        <w:t xml:space="preserve"> prompt, impartial and effective investigations of all similar cases</w:t>
      </w:r>
      <w:r w:rsidR="0054786F" w:rsidRPr="00CF7BB2">
        <w:rPr>
          <w:b/>
        </w:rPr>
        <w:t xml:space="preserve"> and provide adequate re</w:t>
      </w:r>
      <w:r w:rsidR="006410C3">
        <w:rPr>
          <w:b/>
        </w:rPr>
        <w:t>dress</w:t>
      </w:r>
      <w:r w:rsidR="0054786F" w:rsidRPr="00CF7BB2">
        <w:rPr>
          <w:b/>
        </w:rPr>
        <w:t xml:space="preserve"> to </w:t>
      </w:r>
      <w:r w:rsidR="00B752E7">
        <w:rPr>
          <w:b/>
        </w:rPr>
        <w:t xml:space="preserve">all </w:t>
      </w:r>
      <w:r w:rsidR="0054786F" w:rsidRPr="00CF7BB2">
        <w:rPr>
          <w:b/>
        </w:rPr>
        <w:t>victims</w:t>
      </w:r>
      <w:r w:rsidR="00B752E7">
        <w:rPr>
          <w:b/>
        </w:rPr>
        <w:t xml:space="preserve"> of forced sterili</w:t>
      </w:r>
      <w:r w:rsidR="00BA523A">
        <w:rPr>
          <w:b/>
        </w:rPr>
        <w:t>z</w:t>
      </w:r>
      <w:r w:rsidR="00B752E7">
        <w:rPr>
          <w:b/>
        </w:rPr>
        <w:t>ation</w:t>
      </w:r>
      <w:r w:rsidR="00D722FE" w:rsidRPr="00CF7BB2">
        <w:rPr>
          <w:b/>
        </w:rPr>
        <w:t>.</w:t>
      </w:r>
    </w:p>
    <w:p w:rsidR="00EF097F" w:rsidRDefault="00CF7BB2" w:rsidP="00CF7BB2">
      <w:pPr>
        <w:pStyle w:val="H23G"/>
      </w:pPr>
      <w:r>
        <w:tab/>
      </w:r>
      <w:r>
        <w:tab/>
      </w:r>
      <w:r w:rsidR="00EF097F">
        <w:t>Impunity for acts of torture and ill-treatment</w:t>
      </w:r>
      <w:r w:rsidR="00005FF4">
        <w:t xml:space="preserve"> during the internal armed conflict</w:t>
      </w:r>
    </w:p>
    <w:p w:rsidR="00303799" w:rsidRDefault="007A25B4" w:rsidP="00687A97">
      <w:pPr>
        <w:pStyle w:val="SingleTxtG"/>
      </w:pPr>
      <w:r>
        <w:t>1</w:t>
      </w:r>
      <w:r w:rsidR="00100063">
        <w:t>6</w:t>
      </w:r>
      <w:r>
        <w:t>.</w:t>
      </w:r>
      <w:r>
        <w:tab/>
      </w:r>
      <w:r w:rsidR="00D57706">
        <w:t>T</w:t>
      </w:r>
      <w:r w:rsidR="00AA1F4C">
        <w:t xml:space="preserve">he Committee is </w:t>
      </w:r>
      <w:r w:rsidR="00D57706">
        <w:t xml:space="preserve">gravely </w:t>
      </w:r>
      <w:r w:rsidR="00AA1F4C">
        <w:t>concerned at the slow progress of establishing accountability for the estimated 70,000 deaths or enforced disappearances during</w:t>
      </w:r>
      <w:r w:rsidR="000236C1">
        <w:t xml:space="preserve"> the internal armed conflict</w:t>
      </w:r>
      <w:r w:rsidR="00AA38F5">
        <w:t xml:space="preserve"> </w:t>
      </w:r>
      <w:r w:rsidR="004F0929">
        <w:t xml:space="preserve">from 1980 to 2000, </w:t>
      </w:r>
      <w:r w:rsidR="00AA38F5">
        <w:t xml:space="preserve">and </w:t>
      </w:r>
      <w:r w:rsidR="000236C1">
        <w:t xml:space="preserve">at the very </w:t>
      </w:r>
      <w:r w:rsidR="00113D77">
        <w:t xml:space="preserve">small number of convictions and </w:t>
      </w:r>
      <w:r w:rsidR="000236C1">
        <w:t>high rate of acquittals in cases prosecuted</w:t>
      </w:r>
      <w:r w:rsidR="006B13E4">
        <w:t xml:space="preserve">. </w:t>
      </w:r>
      <w:r w:rsidR="00AA38F5">
        <w:t>It is further</w:t>
      </w:r>
      <w:r w:rsidR="00EE33AA">
        <w:t xml:space="preserve"> concerned at the slow pace of exhumations, identification of and return of bodies to their relatives and the scarcity of qualified personnel. </w:t>
      </w:r>
      <w:r w:rsidR="001B035A">
        <w:t xml:space="preserve">It </w:t>
      </w:r>
      <w:r w:rsidR="006B13E4">
        <w:t xml:space="preserve">is </w:t>
      </w:r>
      <w:r w:rsidR="001B035A">
        <w:t xml:space="preserve">also </w:t>
      </w:r>
      <w:r w:rsidR="006B13E4">
        <w:t xml:space="preserve">concerned </w:t>
      </w:r>
      <w:r w:rsidR="000236C1">
        <w:t xml:space="preserve">at the requirement by the </w:t>
      </w:r>
      <w:r w:rsidR="00A4485F">
        <w:t xml:space="preserve">National Criminal Court </w:t>
      </w:r>
      <w:r w:rsidR="000236C1">
        <w:t>that evidence be direct and document</w:t>
      </w:r>
      <w:r w:rsidR="00A4485F">
        <w:t>ary</w:t>
      </w:r>
      <w:r w:rsidR="000236C1">
        <w:t xml:space="preserve">, </w:t>
      </w:r>
      <w:r w:rsidR="00A4485F">
        <w:t xml:space="preserve">and its unwillingness to credit the </w:t>
      </w:r>
      <w:r w:rsidR="000236C1">
        <w:t xml:space="preserve">testimony </w:t>
      </w:r>
      <w:r w:rsidR="00A4485F">
        <w:t xml:space="preserve">of </w:t>
      </w:r>
      <w:r w:rsidR="000236C1">
        <w:t>victims or their relatives</w:t>
      </w:r>
      <w:r w:rsidR="001B035A">
        <w:t xml:space="preserve">. </w:t>
      </w:r>
      <w:r w:rsidR="000236C1">
        <w:t xml:space="preserve"> The Committee is </w:t>
      </w:r>
      <w:r w:rsidR="00113D77">
        <w:t>seriously</w:t>
      </w:r>
      <w:r w:rsidR="000236C1">
        <w:t xml:space="preserve"> concerned at the </w:t>
      </w:r>
      <w:r w:rsidR="003C07B3">
        <w:t xml:space="preserve">absence of full cooperation </w:t>
      </w:r>
      <w:r w:rsidR="00113D77">
        <w:t>of the Ministry of Defence</w:t>
      </w:r>
      <w:r w:rsidR="003C07B3">
        <w:t xml:space="preserve"> t</w:t>
      </w:r>
      <w:r w:rsidR="00CE24FE">
        <w:t>o furnish information relevant f</w:t>
      </w:r>
      <w:r w:rsidR="003C07B3">
        <w:t>o</w:t>
      </w:r>
      <w:r w:rsidR="00CE24FE">
        <w:t>r</w:t>
      </w:r>
      <w:r w:rsidR="003C07B3">
        <w:t xml:space="preserve"> the</w:t>
      </w:r>
      <w:r w:rsidR="00CE24FE">
        <w:t xml:space="preserve"> investigations</w:t>
      </w:r>
      <w:r w:rsidR="003C07B3">
        <w:t xml:space="preserve">, </w:t>
      </w:r>
      <w:r w:rsidR="00113D77">
        <w:t xml:space="preserve"> including lists of army officers present in</w:t>
      </w:r>
      <w:r w:rsidR="00A4485F">
        <w:t xml:space="preserve"> patrols and army bases in</w:t>
      </w:r>
      <w:r w:rsidR="00113D77">
        <w:t xml:space="preserve"> different regions affected by the conflict, and to inform on the aliases and code names frequently used by military officials.</w:t>
      </w:r>
      <w:r w:rsidR="00C36B55">
        <w:t xml:space="preserve"> </w:t>
      </w:r>
      <w:r w:rsidR="00926525">
        <w:t>While taking note of the introduction of the Victim and Witness Assistance Programme</w:t>
      </w:r>
      <w:r w:rsidR="00676946">
        <w:t xml:space="preserve"> and acknowledging the challenges and difficulties</w:t>
      </w:r>
      <w:r w:rsidR="00926525">
        <w:t>, the</w:t>
      </w:r>
      <w:r w:rsidR="00926525" w:rsidRPr="0073154A">
        <w:t xml:space="preserve"> Committee is concerned </w:t>
      </w:r>
      <w:r w:rsidR="00926525">
        <w:t xml:space="preserve">that </w:t>
      </w:r>
      <w:r w:rsidR="00AA38F5">
        <w:t xml:space="preserve">lack of effective implementation </w:t>
      </w:r>
      <w:r w:rsidR="00926525">
        <w:t>prevent</w:t>
      </w:r>
      <w:r w:rsidR="001B035A">
        <w:t>s</w:t>
      </w:r>
      <w:r w:rsidR="00926525">
        <w:t xml:space="preserve"> courts from obtaining testimonies and that there are no special measures to protect victims of torture.  </w:t>
      </w:r>
      <w:r w:rsidR="00863FD3">
        <w:t xml:space="preserve">It </w:t>
      </w:r>
      <w:r w:rsidR="004057A1">
        <w:t xml:space="preserve">is </w:t>
      </w:r>
      <w:r w:rsidR="00863FD3">
        <w:t>concerned</w:t>
      </w:r>
      <w:r w:rsidR="004057A1">
        <w:t xml:space="preserve"> further </w:t>
      </w:r>
      <w:r w:rsidR="00863FD3">
        <w:t xml:space="preserve">at </w:t>
      </w:r>
      <w:r w:rsidR="004057A1">
        <w:t xml:space="preserve">the </w:t>
      </w:r>
      <w:r w:rsidR="00687A97">
        <w:t>under</w:t>
      </w:r>
      <w:r w:rsidR="004057A1">
        <w:t>reporting of cases of sexual violence against women and girls during the armed conflict</w:t>
      </w:r>
      <w:r w:rsidR="00BD7543">
        <w:t>, the limited number of investigations, the absence of sentences and the lack of effective re</w:t>
      </w:r>
      <w:r w:rsidR="00625858">
        <w:t>dress</w:t>
      </w:r>
      <w:r w:rsidR="00BD7543">
        <w:t xml:space="preserve"> to victims of sexual violence</w:t>
      </w:r>
      <w:r w:rsidR="00625858">
        <w:t xml:space="preserve"> during the conflict</w:t>
      </w:r>
      <w:r w:rsidR="00BD7543">
        <w:t xml:space="preserve">.  It is also concerned that </w:t>
      </w:r>
      <w:r w:rsidR="009752A6" w:rsidRPr="009752A6">
        <w:t>rape is the only form of sexual violence that may give rise to individual economic compensation under Law No. 28592</w:t>
      </w:r>
      <w:r w:rsidR="00BD7543">
        <w:t xml:space="preserve"> and </w:t>
      </w:r>
      <w:r w:rsidR="00863FD3">
        <w:t xml:space="preserve">that all forms of sexual violence are not covered by the law on reparation.  </w:t>
      </w:r>
      <w:r w:rsidR="00383DF4">
        <w:t xml:space="preserve">The </w:t>
      </w:r>
      <w:r w:rsidR="00BD7543">
        <w:t>C</w:t>
      </w:r>
      <w:r w:rsidR="00383DF4">
        <w:t>ommittee takes note</w:t>
      </w:r>
      <w:r w:rsidR="009752A6" w:rsidRPr="00C43473">
        <w:t xml:space="preserve"> that the State party ratified the Rome Statute</w:t>
      </w:r>
      <w:r w:rsidR="00383DF4">
        <w:t xml:space="preserve"> in 2001</w:t>
      </w:r>
      <w:r w:rsidR="009752A6">
        <w:t xml:space="preserve">, </w:t>
      </w:r>
      <w:r w:rsidR="00383DF4">
        <w:t>but is concerned that</w:t>
      </w:r>
      <w:r w:rsidR="009752A6" w:rsidRPr="00C43473">
        <w:t xml:space="preserve"> </w:t>
      </w:r>
      <w:r w:rsidR="009752A6">
        <w:t xml:space="preserve">Bill No. 1707/2007/CR </w:t>
      </w:r>
      <w:r w:rsidR="00383DF4">
        <w:t>on rape as a crime against humanity,</w:t>
      </w:r>
      <w:r w:rsidR="009752A6">
        <w:t xml:space="preserve"> was submitted to Congress in 2007</w:t>
      </w:r>
      <w:r w:rsidR="00600C78">
        <w:t>,</w:t>
      </w:r>
      <w:r w:rsidR="009752A6">
        <w:t xml:space="preserve"> </w:t>
      </w:r>
      <w:r w:rsidR="00383DF4">
        <w:t xml:space="preserve">but </w:t>
      </w:r>
      <w:r w:rsidR="009752A6">
        <w:t>has not been passed to date</w:t>
      </w:r>
      <w:r w:rsidR="00E07C02">
        <w:t xml:space="preserve"> (arts. 2, 12, 13, 14 and 16)</w:t>
      </w:r>
      <w:r w:rsidR="00303799">
        <w:t>.</w:t>
      </w:r>
    </w:p>
    <w:p w:rsidR="009752A6" w:rsidRPr="00CF7BB2" w:rsidRDefault="00AA1F4C" w:rsidP="00CF7BB2">
      <w:pPr>
        <w:pStyle w:val="SingleTxtG"/>
        <w:rPr>
          <w:b/>
        </w:rPr>
      </w:pPr>
      <w:r w:rsidRPr="00CF7BB2">
        <w:rPr>
          <w:b/>
        </w:rPr>
        <w:t xml:space="preserve">The State party </w:t>
      </w:r>
      <w:r w:rsidR="004057A1" w:rsidRPr="00CF7BB2">
        <w:rPr>
          <w:b/>
        </w:rPr>
        <w:t xml:space="preserve">should enhance its </w:t>
      </w:r>
      <w:r w:rsidRPr="00CF7BB2">
        <w:rPr>
          <w:b/>
        </w:rPr>
        <w:t>efforts to investigate, prose</w:t>
      </w:r>
      <w:r w:rsidRPr="00600C78">
        <w:rPr>
          <w:b/>
        </w:rPr>
        <w:t xml:space="preserve">cute and </w:t>
      </w:r>
      <w:r w:rsidR="005C4817" w:rsidRPr="00600C78">
        <w:rPr>
          <w:b/>
        </w:rPr>
        <w:t xml:space="preserve">bring to justice the perpetrators of </w:t>
      </w:r>
      <w:r w:rsidR="002254A3" w:rsidRPr="00600C78">
        <w:rPr>
          <w:b/>
        </w:rPr>
        <w:t xml:space="preserve">human rights violations, </w:t>
      </w:r>
      <w:r w:rsidRPr="00600C78">
        <w:rPr>
          <w:b/>
        </w:rPr>
        <w:t>including torture, dur</w:t>
      </w:r>
      <w:r w:rsidR="00113D77" w:rsidRPr="00600C78">
        <w:rPr>
          <w:b/>
        </w:rPr>
        <w:t xml:space="preserve">ing the internal armed conflict and </w:t>
      </w:r>
      <w:r w:rsidR="00466F36" w:rsidRPr="00600C78">
        <w:rPr>
          <w:b/>
        </w:rPr>
        <w:t>ensure the access to truth, justice and compensation for victims</w:t>
      </w:r>
      <w:r w:rsidR="004057A1" w:rsidRPr="00600C78">
        <w:rPr>
          <w:b/>
        </w:rPr>
        <w:t xml:space="preserve">.  It should strengthen </w:t>
      </w:r>
      <w:r w:rsidR="00113D77" w:rsidRPr="00600C78">
        <w:rPr>
          <w:b/>
        </w:rPr>
        <w:t>the capacity of the specialized judicial subsyst</w:t>
      </w:r>
      <w:r w:rsidR="00113D77" w:rsidRPr="00CF7BB2">
        <w:rPr>
          <w:b/>
        </w:rPr>
        <w:t>em established for this purpose</w:t>
      </w:r>
      <w:r w:rsidR="00466F36" w:rsidRPr="00CF7BB2">
        <w:rPr>
          <w:b/>
        </w:rPr>
        <w:t xml:space="preserve"> to</w:t>
      </w:r>
      <w:r w:rsidR="00571D12">
        <w:rPr>
          <w:b/>
        </w:rPr>
        <w:t xml:space="preserve"> </w:t>
      </w:r>
      <w:r w:rsidR="00466F36" w:rsidRPr="00CF7BB2">
        <w:rPr>
          <w:b/>
        </w:rPr>
        <w:t>conduct tr</w:t>
      </w:r>
      <w:r w:rsidR="00113D77" w:rsidRPr="00CF7BB2">
        <w:rPr>
          <w:b/>
        </w:rPr>
        <w:t xml:space="preserve">ials in an impartial, public and transparent manner, in accordance with international </w:t>
      </w:r>
      <w:r w:rsidR="00383DF4" w:rsidRPr="00CF7BB2">
        <w:rPr>
          <w:b/>
        </w:rPr>
        <w:t>law</w:t>
      </w:r>
      <w:r w:rsidR="00113D77" w:rsidRPr="00CF7BB2">
        <w:rPr>
          <w:b/>
        </w:rPr>
        <w:t>.  It also</w:t>
      </w:r>
      <w:r w:rsidR="009752A6" w:rsidRPr="00CF7BB2">
        <w:rPr>
          <w:b/>
        </w:rPr>
        <w:t xml:space="preserve"> recommends that the</w:t>
      </w:r>
      <w:r w:rsidR="00113D77" w:rsidRPr="00CF7BB2">
        <w:rPr>
          <w:b/>
        </w:rPr>
        <w:t xml:space="preserve"> Institute for Legal Medicine enhance its specialized forensic teams to </w:t>
      </w:r>
      <w:r w:rsidR="00F225C5" w:rsidRPr="00CF7BB2">
        <w:rPr>
          <w:b/>
        </w:rPr>
        <w:t>accelerat</w:t>
      </w:r>
      <w:r w:rsidR="00437EAE" w:rsidRPr="00CF7BB2">
        <w:rPr>
          <w:b/>
        </w:rPr>
        <w:t>e</w:t>
      </w:r>
      <w:r w:rsidR="00F225C5" w:rsidRPr="00CF7BB2">
        <w:rPr>
          <w:b/>
        </w:rPr>
        <w:t xml:space="preserve"> the</w:t>
      </w:r>
      <w:r w:rsidR="00113D77" w:rsidRPr="00CF7BB2">
        <w:rPr>
          <w:b/>
        </w:rPr>
        <w:t xml:space="preserve"> exhumations and analysis of human remains</w:t>
      </w:r>
      <w:r w:rsidR="00EE33AA" w:rsidRPr="00CF7BB2">
        <w:rPr>
          <w:b/>
        </w:rPr>
        <w:t xml:space="preserve">, their identification </w:t>
      </w:r>
      <w:r w:rsidR="004F0929">
        <w:rPr>
          <w:b/>
        </w:rPr>
        <w:t xml:space="preserve">and handing over to relatives. </w:t>
      </w:r>
      <w:r w:rsidR="00EE33AA" w:rsidRPr="00CF7BB2">
        <w:rPr>
          <w:b/>
        </w:rPr>
        <w:t>The Committee</w:t>
      </w:r>
      <w:r w:rsidR="009752A6" w:rsidRPr="00CF7BB2">
        <w:rPr>
          <w:b/>
        </w:rPr>
        <w:t xml:space="preserve"> </w:t>
      </w:r>
      <w:r w:rsidR="00113138" w:rsidRPr="00CF7BB2">
        <w:rPr>
          <w:b/>
        </w:rPr>
        <w:t xml:space="preserve">urges the Ministry of Defence to cooperate with the </w:t>
      </w:r>
      <w:r w:rsidR="00D8088D" w:rsidRPr="00CF7BB2">
        <w:rPr>
          <w:b/>
        </w:rPr>
        <w:t>prosecutors and judges</w:t>
      </w:r>
      <w:r w:rsidR="00437EAE" w:rsidRPr="00CF7BB2">
        <w:rPr>
          <w:b/>
        </w:rPr>
        <w:t xml:space="preserve"> and </w:t>
      </w:r>
      <w:r w:rsidR="009752A6" w:rsidRPr="00CF7BB2">
        <w:rPr>
          <w:b/>
        </w:rPr>
        <w:t>invites</w:t>
      </w:r>
      <w:r w:rsidR="00113138" w:rsidRPr="00CF7BB2">
        <w:rPr>
          <w:b/>
        </w:rPr>
        <w:t xml:space="preserve"> the </w:t>
      </w:r>
      <w:r w:rsidR="00726041" w:rsidRPr="00CF7BB2">
        <w:rPr>
          <w:b/>
        </w:rPr>
        <w:t>National Criminal Court</w:t>
      </w:r>
      <w:r w:rsidR="00113138" w:rsidRPr="00CF7BB2">
        <w:rPr>
          <w:b/>
        </w:rPr>
        <w:t xml:space="preserve"> </w:t>
      </w:r>
      <w:r w:rsidR="00437EAE" w:rsidRPr="00CF7BB2">
        <w:rPr>
          <w:b/>
        </w:rPr>
        <w:t xml:space="preserve">to </w:t>
      </w:r>
      <w:r w:rsidR="003F106C" w:rsidRPr="00CF7BB2">
        <w:rPr>
          <w:b/>
        </w:rPr>
        <w:t>r</w:t>
      </w:r>
      <w:r w:rsidR="009752A6" w:rsidRPr="00CF7BB2">
        <w:rPr>
          <w:b/>
        </w:rPr>
        <w:t>econsider</w:t>
      </w:r>
      <w:r w:rsidR="00113138" w:rsidRPr="00CF7BB2">
        <w:rPr>
          <w:b/>
        </w:rPr>
        <w:t xml:space="preserve"> its criteria for obtaining evidence in cases of human rights violations</w:t>
      </w:r>
      <w:r w:rsidR="00383DF4" w:rsidRPr="00CF7BB2">
        <w:rPr>
          <w:b/>
        </w:rPr>
        <w:t xml:space="preserve">. </w:t>
      </w:r>
      <w:r w:rsidR="003F106C" w:rsidRPr="00CF7BB2">
        <w:rPr>
          <w:b/>
        </w:rPr>
        <w:t xml:space="preserve">Witnesses and victims should be protected and provided with </w:t>
      </w:r>
      <w:r w:rsidR="00113138" w:rsidRPr="00CF7BB2">
        <w:rPr>
          <w:b/>
        </w:rPr>
        <w:t>sufficient financial resources</w:t>
      </w:r>
      <w:r w:rsidR="003F106C" w:rsidRPr="00CF7BB2">
        <w:rPr>
          <w:b/>
        </w:rPr>
        <w:t xml:space="preserve"> under </w:t>
      </w:r>
      <w:r w:rsidR="00113138" w:rsidRPr="00CF7BB2">
        <w:rPr>
          <w:b/>
        </w:rPr>
        <w:t>the witness protection programme</w:t>
      </w:r>
      <w:r w:rsidR="003F106C" w:rsidRPr="00CF7BB2">
        <w:rPr>
          <w:b/>
        </w:rPr>
        <w:t>.</w:t>
      </w:r>
      <w:r w:rsidR="003339FA" w:rsidRPr="00CF7BB2">
        <w:rPr>
          <w:b/>
        </w:rPr>
        <w:t xml:space="preserve"> </w:t>
      </w:r>
      <w:r w:rsidR="00467D9E" w:rsidRPr="00CF7BB2">
        <w:rPr>
          <w:b/>
        </w:rPr>
        <w:t xml:space="preserve">The State party should enhance the </w:t>
      </w:r>
      <w:r w:rsidR="002254A3" w:rsidRPr="00CF7BB2">
        <w:rPr>
          <w:b/>
        </w:rPr>
        <w:t xml:space="preserve">investigation and </w:t>
      </w:r>
      <w:r w:rsidR="00467D9E" w:rsidRPr="00CF7BB2">
        <w:rPr>
          <w:b/>
        </w:rPr>
        <w:t>prosecution of all cases of human rights violations committed during the armed conflict</w:t>
      </w:r>
      <w:r w:rsidR="002254A3" w:rsidRPr="00CF7BB2">
        <w:rPr>
          <w:b/>
        </w:rPr>
        <w:t>, including sexual violence, and provide re</w:t>
      </w:r>
      <w:r w:rsidR="006410C3">
        <w:rPr>
          <w:b/>
        </w:rPr>
        <w:t>dress</w:t>
      </w:r>
      <w:r w:rsidR="002254A3" w:rsidRPr="00CF7BB2">
        <w:rPr>
          <w:b/>
        </w:rPr>
        <w:t xml:space="preserve"> to victims</w:t>
      </w:r>
      <w:r w:rsidR="00467D9E" w:rsidRPr="00CF7BB2">
        <w:rPr>
          <w:b/>
        </w:rPr>
        <w:t>.</w:t>
      </w:r>
      <w:r w:rsidR="00437EAE" w:rsidRPr="00CF7BB2">
        <w:rPr>
          <w:b/>
        </w:rPr>
        <w:t xml:space="preserve">  All forms of </w:t>
      </w:r>
      <w:r w:rsidR="009752A6" w:rsidRPr="00CF7BB2">
        <w:rPr>
          <w:b/>
        </w:rPr>
        <w:t xml:space="preserve">sexual violence </w:t>
      </w:r>
      <w:r w:rsidR="00437EAE" w:rsidRPr="00CF7BB2">
        <w:rPr>
          <w:b/>
        </w:rPr>
        <w:t xml:space="preserve">should </w:t>
      </w:r>
      <w:r w:rsidR="009752A6" w:rsidRPr="00CF7BB2">
        <w:rPr>
          <w:b/>
        </w:rPr>
        <w:t>be included in national legislation prohibiting torture</w:t>
      </w:r>
      <w:r w:rsidR="00437EAE" w:rsidRPr="00CF7BB2">
        <w:rPr>
          <w:b/>
        </w:rPr>
        <w:t xml:space="preserve"> and </w:t>
      </w:r>
      <w:r w:rsidR="006E11F6" w:rsidRPr="00CF7BB2">
        <w:rPr>
          <w:b/>
        </w:rPr>
        <w:t xml:space="preserve">Law No. 28592 </w:t>
      </w:r>
      <w:r w:rsidR="00437EAE" w:rsidRPr="00CF7BB2">
        <w:rPr>
          <w:b/>
        </w:rPr>
        <w:t xml:space="preserve">should </w:t>
      </w:r>
      <w:r w:rsidR="006E11F6" w:rsidRPr="00CF7BB2">
        <w:rPr>
          <w:b/>
        </w:rPr>
        <w:t>be enacted in order to allow for individual economic compensation</w:t>
      </w:r>
      <w:r w:rsidR="002852B8">
        <w:rPr>
          <w:b/>
        </w:rPr>
        <w:t xml:space="preserve"> for such crimes</w:t>
      </w:r>
      <w:r w:rsidR="006E11F6" w:rsidRPr="00CF7BB2">
        <w:rPr>
          <w:b/>
        </w:rPr>
        <w:t xml:space="preserve">. </w:t>
      </w:r>
      <w:r w:rsidR="005945B0" w:rsidRPr="00CF7BB2">
        <w:rPr>
          <w:b/>
        </w:rPr>
        <w:t xml:space="preserve">The Committee recommends that </w:t>
      </w:r>
      <w:r w:rsidR="009752A6" w:rsidRPr="00CF7BB2">
        <w:rPr>
          <w:b/>
        </w:rPr>
        <w:t xml:space="preserve">the State party expedite the implementation of the </w:t>
      </w:r>
      <w:smartTag w:uri="urn:schemas-microsoft-com:office:smarttags" w:element="place">
        <w:smartTag w:uri="urn:schemas-microsoft-com:office:smarttags" w:element="City">
          <w:r w:rsidR="009752A6" w:rsidRPr="00CF7BB2">
            <w:rPr>
              <w:b/>
            </w:rPr>
            <w:t>Rome</w:t>
          </w:r>
        </w:smartTag>
      </w:smartTag>
      <w:r w:rsidR="009752A6" w:rsidRPr="00CF7BB2">
        <w:rPr>
          <w:b/>
        </w:rPr>
        <w:t xml:space="preserve"> Statute in national legislation.</w:t>
      </w:r>
      <w:r w:rsidR="00C63BB2">
        <w:rPr>
          <w:b/>
        </w:rPr>
        <w:t xml:space="preserve"> </w:t>
      </w:r>
    </w:p>
    <w:p w:rsidR="00BC6D0F" w:rsidRDefault="00CF7BB2" w:rsidP="00CF7BB2">
      <w:pPr>
        <w:pStyle w:val="H23G"/>
      </w:pPr>
      <w:r>
        <w:tab/>
      </w:r>
      <w:r>
        <w:tab/>
      </w:r>
      <w:r w:rsidR="00E7141E">
        <w:t>Comprehensive Reparation Plan</w:t>
      </w:r>
      <w:r w:rsidR="00BC6D0F" w:rsidRPr="002852B8">
        <w:t xml:space="preserve"> </w:t>
      </w:r>
    </w:p>
    <w:p w:rsidR="00E7141E" w:rsidRDefault="0013744A" w:rsidP="00CF7BB2">
      <w:pPr>
        <w:pStyle w:val="SingleTxtG"/>
      </w:pPr>
      <w:r>
        <w:t>1</w:t>
      </w:r>
      <w:r w:rsidR="00100063">
        <w:t>7</w:t>
      </w:r>
      <w:r w:rsidR="00E7141E">
        <w:t>.</w:t>
      </w:r>
      <w:r w:rsidR="00E7141E">
        <w:tab/>
      </w:r>
      <w:r w:rsidR="00E7141E" w:rsidRPr="007470A1">
        <w:t xml:space="preserve">While taking note of the </w:t>
      </w:r>
      <w:r w:rsidR="00E7141E">
        <w:t>introduction o</w:t>
      </w:r>
      <w:r w:rsidR="00E7141E" w:rsidRPr="007470A1">
        <w:t xml:space="preserve">f the </w:t>
      </w:r>
      <w:r w:rsidR="00E7141E">
        <w:t xml:space="preserve">Comprehensive Reparation Plan and the establishment of the Central Register of Victims concerning reparation </w:t>
      </w:r>
      <w:r w:rsidR="002852B8">
        <w:t xml:space="preserve">for </w:t>
      </w:r>
      <w:r w:rsidR="00E7141E">
        <w:t xml:space="preserve">victims of violence during the internal armed conflict from 1980 to 2000, the Committee is concerned that Supreme Decree No. 051-2011-PCM will be implemented to close the </w:t>
      </w:r>
      <w:r w:rsidR="009E00B0">
        <w:t xml:space="preserve">Central Register of Victims </w:t>
      </w:r>
      <w:r w:rsidR="00E7141E">
        <w:t xml:space="preserve">in spite of some 28,000 outstanding files requiring evaluation under the Economic Reparation Programme.  The Committee is also concerned </w:t>
      </w:r>
      <w:r w:rsidR="00936494">
        <w:t xml:space="preserve">at the insufficient </w:t>
      </w:r>
      <w:r w:rsidR="00E7141E">
        <w:t xml:space="preserve">amount of economic reparation </w:t>
      </w:r>
      <w:r w:rsidR="00936494">
        <w:t>a</w:t>
      </w:r>
      <w:r w:rsidR="00E7141E">
        <w:t>nd at the slow pace of payments (art. 14)</w:t>
      </w:r>
      <w:r w:rsidR="004F0929">
        <w:t>.</w:t>
      </w:r>
    </w:p>
    <w:p w:rsidR="00571D12" w:rsidRDefault="00571D12" w:rsidP="00771B7A">
      <w:pPr>
        <w:pStyle w:val="H23G"/>
      </w:pPr>
      <w:r>
        <w:tab/>
      </w:r>
      <w:r>
        <w:tab/>
      </w:r>
      <w:r w:rsidRPr="00FD5D31">
        <w:t>The Committee recommends that</w:t>
      </w:r>
      <w:r>
        <w:t>:</w:t>
      </w:r>
    </w:p>
    <w:p w:rsidR="00571D12" w:rsidRPr="00382BBC" w:rsidRDefault="00571D12" w:rsidP="00601E79">
      <w:pPr>
        <w:pStyle w:val="SingleTxtG"/>
        <w:ind w:firstLine="567"/>
        <w:rPr>
          <w:b/>
        </w:rPr>
      </w:pPr>
      <w:r w:rsidRPr="00382BBC">
        <w:rPr>
          <w:b/>
        </w:rPr>
        <w:t>(a)</w:t>
      </w:r>
      <w:r w:rsidRPr="00382BBC">
        <w:rPr>
          <w:b/>
        </w:rPr>
        <w:tab/>
        <w:t>The Rep</w:t>
      </w:r>
      <w:r w:rsidRPr="00601E79">
        <w:rPr>
          <w:b/>
        </w:rPr>
        <w:t xml:space="preserve">aration Council </w:t>
      </w:r>
      <w:r w:rsidR="009A51AA" w:rsidRPr="00601E79">
        <w:rPr>
          <w:b/>
        </w:rPr>
        <w:t>remain</w:t>
      </w:r>
      <w:r w:rsidR="00A4490D" w:rsidRPr="00601E79">
        <w:rPr>
          <w:b/>
        </w:rPr>
        <w:t xml:space="preserve"> </w:t>
      </w:r>
      <w:r w:rsidRPr="00601E79">
        <w:rPr>
          <w:b/>
        </w:rPr>
        <w:t xml:space="preserve">open </w:t>
      </w:r>
      <w:r w:rsidR="00A4490D" w:rsidRPr="00601E79">
        <w:rPr>
          <w:b/>
        </w:rPr>
        <w:t xml:space="preserve">and </w:t>
      </w:r>
      <w:r w:rsidR="00600C78" w:rsidRPr="00601E79">
        <w:rPr>
          <w:b/>
        </w:rPr>
        <w:t xml:space="preserve">that </w:t>
      </w:r>
      <w:r w:rsidR="00601E79">
        <w:rPr>
          <w:b/>
        </w:rPr>
        <w:t>the State party</w:t>
      </w:r>
      <w:r w:rsidR="00600C78" w:rsidRPr="00601E79">
        <w:rPr>
          <w:b/>
        </w:rPr>
        <w:t xml:space="preserve"> </w:t>
      </w:r>
      <w:r w:rsidR="00A4490D" w:rsidRPr="00601E79">
        <w:rPr>
          <w:b/>
        </w:rPr>
        <w:t xml:space="preserve">ensure that </w:t>
      </w:r>
      <w:r w:rsidRPr="00601E79">
        <w:rPr>
          <w:b/>
        </w:rPr>
        <w:t>the Central Register of Victims continue</w:t>
      </w:r>
      <w:r w:rsidR="00A4490D" w:rsidRPr="00601E79">
        <w:rPr>
          <w:b/>
        </w:rPr>
        <w:t>s</w:t>
      </w:r>
      <w:r w:rsidRPr="00601E79">
        <w:rPr>
          <w:b/>
        </w:rPr>
        <w:t xml:space="preserve"> the process </w:t>
      </w:r>
      <w:r w:rsidR="00975159" w:rsidRPr="00601E79">
        <w:rPr>
          <w:b/>
        </w:rPr>
        <w:t xml:space="preserve">for </w:t>
      </w:r>
      <w:r w:rsidRPr="00601E79">
        <w:rPr>
          <w:b/>
        </w:rPr>
        <w:t>determining and identifying beneficiaries of the Economic Reparation Programme and amend article 41 of the regulations gove</w:t>
      </w:r>
      <w:r w:rsidRPr="00382BBC">
        <w:rPr>
          <w:b/>
        </w:rPr>
        <w:t>rning Act No. 28592 accordingly;</w:t>
      </w:r>
    </w:p>
    <w:p w:rsidR="00571D12" w:rsidRPr="00CF7BB2" w:rsidRDefault="00571D12" w:rsidP="009A51AA">
      <w:pPr>
        <w:pStyle w:val="SingleTxtG"/>
        <w:ind w:firstLine="567"/>
        <w:rPr>
          <w:b/>
        </w:rPr>
      </w:pPr>
      <w:r w:rsidRPr="00382BBC">
        <w:rPr>
          <w:b/>
        </w:rPr>
        <w:t>(b)</w:t>
      </w:r>
      <w:r w:rsidRPr="00382BBC">
        <w:rPr>
          <w:b/>
        </w:rPr>
        <w:tab/>
        <w:t xml:space="preserve">Allocation </w:t>
      </w:r>
      <w:r w:rsidR="009A51AA" w:rsidRPr="00382BBC">
        <w:rPr>
          <w:b/>
        </w:rPr>
        <w:t>be</w:t>
      </w:r>
      <w:r w:rsidRPr="00382BBC">
        <w:rPr>
          <w:b/>
        </w:rPr>
        <w:t xml:space="preserve"> made for sufficient financial and huma</w:t>
      </w:r>
      <w:r w:rsidRPr="00600C78">
        <w:rPr>
          <w:b/>
        </w:rPr>
        <w:t>n resources required for the full and timely implementation of the Comprehensive Reparation Plan</w:t>
      </w:r>
      <w:r w:rsidR="00A4490D" w:rsidRPr="00600C78">
        <w:rPr>
          <w:b/>
        </w:rPr>
        <w:t xml:space="preserve"> and that an </w:t>
      </w:r>
      <w:r w:rsidRPr="00600C78">
        <w:rPr>
          <w:b/>
        </w:rPr>
        <w:t xml:space="preserve">increase </w:t>
      </w:r>
      <w:r w:rsidR="00A4490D" w:rsidRPr="00600C78">
        <w:rPr>
          <w:b/>
        </w:rPr>
        <w:t xml:space="preserve">in </w:t>
      </w:r>
      <w:r w:rsidRPr="00600C78">
        <w:rPr>
          <w:b/>
        </w:rPr>
        <w:t>the amount of economic reparation</w:t>
      </w:r>
      <w:r w:rsidR="009A51AA" w:rsidRPr="00600C78">
        <w:rPr>
          <w:b/>
        </w:rPr>
        <w:t xml:space="preserve"> be</w:t>
      </w:r>
      <w:r w:rsidR="00A4490D" w:rsidRPr="00600C78">
        <w:rPr>
          <w:b/>
        </w:rPr>
        <w:t xml:space="preserve"> made </w:t>
      </w:r>
      <w:r w:rsidRPr="00600C78">
        <w:rPr>
          <w:b/>
        </w:rPr>
        <w:t xml:space="preserve">which should </w:t>
      </w:r>
      <w:r w:rsidR="004F0929" w:rsidRPr="00600C78">
        <w:rPr>
          <w:b/>
        </w:rPr>
        <w:t>cover all the persons concerned.</w:t>
      </w:r>
    </w:p>
    <w:p w:rsidR="00571D12" w:rsidRDefault="002852B8" w:rsidP="00E773D1">
      <w:pPr>
        <w:pStyle w:val="H23G"/>
      </w:pPr>
      <w:r w:rsidRPr="00E773D1">
        <w:tab/>
      </w:r>
      <w:r w:rsidRPr="00E773D1">
        <w:tab/>
        <w:t>Medical and psychological care for victims of torture</w:t>
      </w:r>
    </w:p>
    <w:p w:rsidR="00BC6D0F" w:rsidRDefault="00100063" w:rsidP="00CF7BB2">
      <w:pPr>
        <w:pStyle w:val="SingleTxtG"/>
      </w:pPr>
      <w:r>
        <w:t>18</w:t>
      </w:r>
      <w:r w:rsidR="00BC6D0F">
        <w:t>.</w:t>
      </w:r>
      <w:r w:rsidR="00BC6D0F">
        <w:tab/>
        <w:t xml:space="preserve">While noting that </w:t>
      </w:r>
      <w:r w:rsidR="00BC6D0F" w:rsidRPr="006D35DD">
        <w:t>torture victims of the internal armed con</w:t>
      </w:r>
      <w:r w:rsidR="00BC6D0F">
        <w:t xml:space="preserve">flict </w:t>
      </w:r>
      <w:r w:rsidR="00571D12">
        <w:t xml:space="preserve">are entitled to </w:t>
      </w:r>
      <w:r w:rsidR="00BC6D0F">
        <w:t xml:space="preserve">receive health services under the Comprehensive Reparation Plan and the comprehensive health insurance scheme and that the National Criminal Court has ruled in recent cases of torture that victims of torture should be given free physical and mental health care until they were fully recovered, the Committee is concerned that </w:t>
      </w:r>
      <w:r w:rsidR="00571D12" w:rsidRPr="00600C78">
        <w:t xml:space="preserve">the plan is far from being fully implemented,  that there </w:t>
      </w:r>
      <w:r w:rsidR="00BC6D0F" w:rsidRPr="00600C78">
        <w:t>is no specialized programme of medical and psychological care or rehabilitation for victims of torture and that there are no records showing the number of torture victims benefiting from health programmes</w:t>
      </w:r>
      <w:r w:rsidR="00571D12" w:rsidRPr="00600C78">
        <w:t xml:space="preserve">. The Committee is further concerned at the limited </w:t>
      </w:r>
      <w:r w:rsidR="00F734CA" w:rsidRPr="00600C78">
        <w:t xml:space="preserve">use of </w:t>
      </w:r>
      <w:r w:rsidR="00571D12" w:rsidRPr="00600C78">
        <w:t xml:space="preserve">manuals developed </w:t>
      </w:r>
      <w:r w:rsidR="00F734CA" w:rsidRPr="00600C78">
        <w:t>to asse</w:t>
      </w:r>
      <w:r w:rsidR="00F734CA">
        <w:t>ss psychological sequ</w:t>
      </w:r>
      <w:r w:rsidR="006E2AC3">
        <w:t>e</w:t>
      </w:r>
      <w:r w:rsidR="00F734CA">
        <w:t>la</w:t>
      </w:r>
      <w:r w:rsidR="006E2AC3">
        <w:t>e</w:t>
      </w:r>
      <w:r w:rsidR="00F734CA">
        <w:t xml:space="preserve"> of torture</w:t>
      </w:r>
      <w:r w:rsidR="00BC6D0F">
        <w:t>. A rehabilitation programme should also be provided for post-conflict victims of torture (art. 14)</w:t>
      </w:r>
      <w:r w:rsidR="004F0929">
        <w:t>.</w:t>
      </w:r>
    </w:p>
    <w:p w:rsidR="00571D12" w:rsidRPr="00D6382B" w:rsidRDefault="0012451A" w:rsidP="00ED775A">
      <w:pPr>
        <w:pStyle w:val="H23G"/>
      </w:pPr>
      <w:r w:rsidRPr="00ED775A">
        <w:rPr>
          <w:b w:val="0"/>
        </w:rPr>
        <w:tab/>
      </w:r>
      <w:r w:rsidRPr="00ED775A">
        <w:rPr>
          <w:b w:val="0"/>
        </w:rPr>
        <w:tab/>
      </w:r>
      <w:r w:rsidR="00571D12" w:rsidRPr="00257157">
        <w:t xml:space="preserve">The State party should ensure that: </w:t>
      </w:r>
    </w:p>
    <w:p w:rsidR="00E7141E" w:rsidRPr="00CF7BB2" w:rsidRDefault="00CF7BB2" w:rsidP="00DC647C">
      <w:pPr>
        <w:pStyle w:val="SingleTxtG"/>
        <w:ind w:firstLine="567"/>
        <w:rPr>
          <w:b/>
        </w:rPr>
      </w:pPr>
      <w:r w:rsidRPr="00CF7BB2">
        <w:rPr>
          <w:b/>
        </w:rPr>
        <w:t>(</w:t>
      </w:r>
      <w:r w:rsidR="00571D12">
        <w:rPr>
          <w:b/>
        </w:rPr>
        <w:t>a</w:t>
      </w:r>
      <w:r w:rsidR="00F320D7" w:rsidRPr="00CF7BB2">
        <w:rPr>
          <w:b/>
        </w:rPr>
        <w:t>)</w:t>
      </w:r>
      <w:r w:rsidR="00F320D7" w:rsidRPr="00CF7BB2">
        <w:rPr>
          <w:b/>
        </w:rPr>
        <w:tab/>
      </w:r>
      <w:r w:rsidR="00007E63">
        <w:rPr>
          <w:b/>
        </w:rPr>
        <w:t xml:space="preserve">Public policies regarding full and complete redress to victims of torture and ill-treatment </w:t>
      </w:r>
      <w:r w:rsidR="00540D3B">
        <w:rPr>
          <w:b/>
        </w:rPr>
        <w:t>are</w:t>
      </w:r>
      <w:r w:rsidR="00007E63">
        <w:rPr>
          <w:b/>
        </w:rPr>
        <w:t xml:space="preserve"> fully developed and disseminated, including the provision of such specialized services in individual cases as may be necessary regardless of geographical location, </w:t>
      </w:r>
      <w:r w:rsidR="00DC647C">
        <w:rPr>
          <w:b/>
        </w:rPr>
        <w:t xml:space="preserve">the </w:t>
      </w:r>
      <w:r w:rsidR="00007E63">
        <w:rPr>
          <w:b/>
        </w:rPr>
        <w:t xml:space="preserve">socio-economic situation of victims, gender, </w:t>
      </w:r>
      <w:r w:rsidR="00DC647C">
        <w:rPr>
          <w:b/>
        </w:rPr>
        <w:t xml:space="preserve">and </w:t>
      </w:r>
      <w:r w:rsidR="00007E63">
        <w:rPr>
          <w:b/>
        </w:rPr>
        <w:t>real or perceived affiliation with curr</w:t>
      </w:r>
      <w:r w:rsidR="004F0929">
        <w:rPr>
          <w:b/>
        </w:rPr>
        <w:t>ent or former opposition groups;</w:t>
      </w:r>
      <w:r w:rsidR="00007E63">
        <w:rPr>
          <w:b/>
        </w:rPr>
        <w:t xml:space="preserve"> </w:t>
      </w:r>
    </w:p>
    <w:p w:rsidR="00BC6D0F" w:rsidRDefault="00CF7BB2" w:rsidP="0093393C">
      <w:pPr>
        <w:pStyle w:val="SingleTxtG"/>
        <w:ind w:firstLine="567"/>
        <w:rPr>
          <w:b/>
        </w:rPr>
      </w:pPr>
      <w:r w:rsidRPr="00CF7BB2">
        <w:rPr>
          <w:b/>
        </w:rPr>
        <w:t>(</w:t>
      </w:r>
      <w:r w:rsidR="00961213">
        <w:rPr>
          <w:b/>
        </w:rPr>
        <w:t>b</w:t>
      </w:r>
      <w:r w:rsidR="00F320D7" w:rsidRPr="00CF7BB2">
        <w:rPr>
          <w:b/>
        </w:rPr>
        <w:t>)</w:t>
      </w:r>
      <w:r w:rsidR="00F320D7" w:rsidRPr="00CF7BB2">
        <w:rPr>
          <w:b/>
        </w:rPr>
        <w:tab/>
      </w:r>
      <w:r w:rsidR="00983CED" w:rsidRPr="00CF7BB2">
        <w:rPr>
          <w:b/>
        </w:rPr>
        <w:t>S</w:t>
      </w:r>
      <w:r w:rsidR="00F320D7" w:rsidRPr="00CF7BB2">
        <w:rPr>
          <w:b/>
        </w:rPr>
        <w:t>pecialized services</w:t>
      </w:r>
      <w:r w:rsidR="00983CED" w:rsidRPr="00CF7BB2">
        <w:rPr>
          <w:b/>
        </w:rPr>
        <w:t xml:space="preserve"> </w:t>
      </w:r>
      <w:r w:rsidR="004F0929">
        <w:rPr>
          <w:b/>
        </w:rPr>
        <w:t xml:space="preserve">that </w:t>
      </w:r>
      <w:r w:rsidR="00983CED" w:rsidRPr="00CF7BB2">
        <w:rPr>
          <w:b/>
        </w:rPr>
        <w:t>are provided</w:t>
      </w:r>
      <w:r w:rsidR="00F320D7" w:rsidRPr="00CF7BB2">
        <w:rPr>
          <w:b/>
        </w:rPr>
        <w:t xml:space="preserve"> are of a sufficient quality to enable </w:t>
      </w:r>
      <w:r w:rsidR="00961213">
        <w:rPr>
          <w:b/>
        </w:rPr>
        <w:t xml:space="preserve">all </w:t>
      </w:r>
      <w:r w:rsidR="00F320D7" w:rsidRPr="00CF7BB2">
        <w:rPr>
          <w:b/>
        </w:rPr>
        <w:t xml:space="preserve">victims </w:t>
      </w:r>
      <w:r w:rsidR="00961213">
        <w:rPr>
          <w:b/>
        </w:rPr>
        <w:t xml:space="preserve">of torture </w:t>
      </w:r>
      <w:r w:rsidR="00F320D7" w:rsidRPr="00CF7BB2">
        <w:rPr>
          <w:b/>
        </w:rPr>
        <w:t>to achieve as full rehabilitation as possible</w:t>
      </w:r>
      <w:r w:rsidR="004C03BD">
        <w:rPr>
          <w:b/>
        </w:rPr>
        <w:t>. These services should take</w:t>
      </w:r>
      <w:r w:rsidR="00F320D7" w:rsidRPr="00CF7BB2">
        <w:rPr>
          <w:b/>
        </w:rPr>
        <w:t xml:space="preserve"> into account holistic rehabilitation methodologies </w:t>
      </w:r>
      <w:r w:rsidR="00961213">
        <w:rPr>
          <w:b/>
        </w:rPr>
        <w:t xml:space="preserve">such as </w:t>
      </w:r>
      <w:r w:rsidR="00F320D7" w:rsidRPr="00CF7BB2">
        <w:rPr>
          <w:b/>
        </w:rPr>
        <w:t xml:space="preserve">combination </w:t>
      </w:r>
      <w:r w:rsidR="00F320D7" w:rsidRPr="00600C78">
        <w:rPr>
          <w:b/>
        </w:rPr>
        <w:t>of medical and psychological care as well as legal, social, community and family-based, vocational, educational services, and interim econ</w:t>
      </w:r>
      <w:r w:rsidR="00983CED" w:rsidRPr="00600C78">
        <w:rPr>
          <w:b/>
        </w:rPr>
        <w:t xml:space="preserve">omic and </w:t>
      </w:r>
      <w:r w:rsidR="0093393C">
        <w:rPr>
          <w:b/>
        </w:rPr>
        <w:t>re</w:t>
      </w:r>
      <w:r w:rsidR="00983CED" w:rsidRPr="00600C78">
        <w:rPr>
          <w:b/>
        </w:rPr>
        <w:t>integration support</w:t>
      </w:r>
      <w:r w:rsidR="00961213" w:rsidRPr="00600C78">
        <w:rPr>
          <w:b/>
        </w:rPr>
        <w:t xml:space="preserve"> and</w:t>
      </w:r>
      <w:r w:rsidR="00600C78" w:rsidRPr="00600C78">
        <w:rPr>
          <w:b/>
        </w:rPr>
        <w:t xml:space="preserve"> </w:t>
      </w:r>
      <w:r w:rsidR="00961213" w:rsidRPr="00600C78">
        <w:rPr>
          <w:b/>
        </w:rPr>
        <w:t xml:space="preserve"> that services are </w:t>
      </w:r>
      <w:r w:rsidR="00401F20" w:rsidRPr="00600C78">
        <w:rPr>
          <w:b/>
        </w:rPr>
        <w:t>a</w:t>
      </w:r>
      <w:r w:rsidR="00BC6D0F" w:rsidRPr="00600C78">
        <w:rPr>
          <w:b/>
        </w:rPr>
        <w:t>vailable for that purpose in all parts of the country</w:t>
      </w:r>
      <w:r w:rsidR="00983CED" w:rsidRPr="00600C78">
        <w:rPr>
          <w:b/>
        </w:rPr>
        <w:t>;</w:t>
      </w:r>
    </w:p>
    <w:p w:rsidR="00401F20" w:rsidRDefault="006A50DF" w:rsidP="00C63BB2">
      <w:pPr>
        <w:pStyle w:val="SingleTxtG"/>
        <w:ind w:firstLine="567"/>
        <w:rPr>
          <w:b/>
        </w:rPr>
      </w:pPr>
      <w:r w:rsidRPr="00CF7BB2">
        <w:rPr>
          <w:b/>
        </w:rPr>
        <w:t>(</w:t>
      </w:r>
      <w:r w:rsidR="00DA098D">
        <w:rPr>
          <w:b/>
        </w:rPr>
        <w:t>c</w:t>
      </w:r>
      <w:r w:rsidRPr="00CF7BB2">
        <w:rPr>
          <w:b/>
        </w:rPr>
        <w:t>)</w:t>
      </w:r>
      <w:r w:rsidRPr="00CF7BB2">
        <w:rPr>
          <w:b/>
        </w:rPr>
        <w:tab/>
      </w:r>
      <w:r w:rsidR="00961213">
        <w:rPr>
          <w:b/>
        </w:rPr>
        <w:t>T</w:t>
      </w:r>
      <w:r w:rsidRPr="00CF7BB2">
        <w:rPr>
          <w:b/>
        </w:rPr>
        <w:t xml:space="preserve">he recently adopted </w:t>
      </w:r>
      <w:r w:rsidR="00961213">
        <w:rPr>
          <w:b/>
        </w:rPr>
        <w:t>manual</w:t>
      </w:r>
      <w:r w:rsidRPr="00CF7BB2">
        <w:rPr>
          <w:b/>
        </w:rPr>
        <w:t xml:space="preserve"> for evaluation </w:t>
      </w:r>
      <w:r w:rsidR="00961213">
        <w:rPr>
          <w:b/>
        </w:rPr>
        <w:t>of</w:t>
      </w:r>
      <w:r w:rsidRPr="00CF7BB2">
        <w:rPr>
          <w:b/>
        </w:rPr>
        <w:t xml:space="preserve"> psychological effects of torture by the </w:t>
      </w:r>
      <w:r w:rsidRPr="004F0929">
        <w:rPr>
          <w:b/>
          <w:i/>
        </w:rPr>
        <w:t>Fiscalía de la Nación</w:t>
      </w:r>
      <w:r w:rsidR="00961213">
        <w:rPr>
          <w:b/>
        </w:rPr>
        <w:t xml:space="preserve"> is implemented;</w:t>
      </w:r>
      <w:r w:rsidR="004F0929">
        <w:rPr>
          <w:b/>
        </w:rPr>
        <w:t xml:space="preserve"> </w:t>
      </w:r>
    </w:p>
    <w:p w:rsidR="00BC6D0F" w:rsidRDefault="00CF4D76" w:rsidP="00CF7BB2">
      <w:pPr>
        <w:pStyle w:val="SingleTxtG"/>
        <w:ind w:firstLine="567"/>
        <w:rPr>
          <w:b/>
        </w:rPr>
      </w:pPr>
      <w:r>
        <w:rPr>
          <w:b/>
        </w:rPr>
        <w:t>(</w:t>
      </w:r>
      <w:r w:rsidR="00DA098D">
        <w:rPr>
          <w:b/>
        </w:rPr>
        <w:t>d</w:t>
      </w:r>
      <w:r w:rsidR="00CF7BB2">
        <w:rPr>
          <w:b/>
        </w:rPr>
        <w:t>)</w:t>
      </w:r>
      <w:r w:rsidR="00983CED" w:rsidRPr="00CF7BB2">
        <w:rPr>
          <w:b/>
        </w:rPr>
        <w:tab/>
      </w:r>
      <w:r w:rsidR="00F31426">
        <w:rPr>
          <w:b/>
        </w:rPr>
        <w:t xml:space="preserve">A </w:t>
      </w:r>
      <w:r w:rsidR="00BC6D0F" w:rsidRPr="00CF7BB2">
        <w:rPr>
          <w:b/>
        </w:rPr>
        <w:t xml:space="preserve">database </w:t>
      </w:r>
      <w:r w:rsidR="00F31426">
        <w:rPr>
          <w:b/>
        </w:rPr>
        <w:t>is s</w:t>
      </w:r>
      <w:r w:rsidR="00F31426" w:rsidRPr="00CF7BB2">
        <w:rPr>
          <w:b/>
        </w:rPr>
        <w:t>et up</w:t>
      </w:r>
      <w:r w:rsidR="00F31426">
        <w:rPr>
          <w:b/>
        </w:rPr>
        <w:t xml:space="preserve"> on the number</w:t>
      </w:r>
      <w:r w:rsidR="00424FEA">
        <w:rPr>
          <w:b/>
        </w:rPr>
        <w:t xml:space="preserve"> of victims of torture, both </w:t>
      </w:r>
      <w:r w:rsidR="00424FEA" w:rsidRPr="00CF7BB2">
        <w:rPr>
          <w:b/>
        </w:rPr>
        <w:t>from the period of the internal armed co</w:t>
      </w:r>
      <w:r w:rsidR="00424FEA">
        <w:rPr>
          <w:b/>
        </w:rPr>
        <w:t>nflict and the post-2000 period,</w:t>
      </w:r>
      <w:r w:rsidR="00F31426" w:rsidRPr="00F31426">
        <w:rPr>
          <w:b/>
        </w:rPr>
        <w:t xml:space="preserve"> </w:t>
      </w:r>
      <w:r w:rsidR="00F31426">
        <w:rPr>
          <w:b/>
        </w:rPr>
        <w:t>wh</w:t>
      </w:r>
      <w:r w:rsidR="00F31426" w:rsidRPr="00CF7BB2">
        <w:rPr>
          <w:b/>
        </w:rPr>
        <w:t>o have benefitted from health prog</w:t>
      </w:r>
      <w:r w:rsidR="00F31426">
        <w:rPr>
          <w:b/>
        </w:rPr>
        <w:t>rammes.</w:t>
      </w:r>
    </w:p>
    <w:p w:rsidR="00FF32BC" w:rsidRPr="00CF7BB2" w:rsidRDefault="004F0929" w:rsidP="00540D3B">
      <w:pPr>
        <w:spacing w:after="120"/>
        <w:ind w:left="1134" w:right="1134"/>
        <w:jc w:val="both"/>
        <w:rPr>
          <w:b/>
        </w:rPr>
      </w:pPr>
      <w:r w:rsidRPr="004F0929">
        <w:rPr>
          <w:b/>
        </w:rPr>
        <w:t xml:space="preserve">The Committee draws the attention of the State party to the recently adopted </w:t>
      </w:r>
      <w:r w:rsidR="00540D3B">
        <w:rPr>
          <w:b/>
        </w:rPr>
        <w:t>g</w:t>
      </w:r>
      <w:r w:rsidRPr="004F0929">
        <w:rPr>
          <w:b/>
        </w:rPr>
        <w:t xml:space="preserve">eneral </w:t>
      </w:r>
      <w:r w:rsidR="00540D3B">
        <w:rPr>
          <w:b/>
        </w:rPr>
        <w:t>c</w:t>
      </w:r>
      <w:r w:rsidRPr="004F0929">
        <w:rPr>
          <w:b/>
        </w:rPr>
        <w:t>omment</w:t>
      </w:r>
      <w:r w:rsidR="00540D3B">
        <w:rPr>
          <w:b/>
        </w:rPr>
        <w:t xml:space="preserve"> No 3 (2012)</w:t>
      </w:r>
      <w:r w:rsidRPr="004F0929">
        <w:rPr>
          <w:b/>
        </w:rPr>
        <w:t xml:space="preserve"> on article 14 of the Convention which explains the content and scope of the obligations of States parties to provide full redress to victims of torture.</w:t>
      </w:r>
    </w:p>
    <w:p w:rsidR="00AB08DB" w:rsidRDefault="00CF7BB2" w:rsidP="00CF7BB2">
      <w:pPr>
        <w:pStyle w:val="H23G"/>
      </w:pPr>
      <w:r>
        <w:tab/>
      </w:r>
      <w:r>
        <w:tab/>
      </w:r>
      <w:r w:rsidR="00AB08DB">
        <w:t xml:space="preserve">Persons with disabilities </w:t>
      </w:r>
      <w:r w:rsidR="00516D7A">
        <w:t xml:space="preserve"> </w:t>
      </w:r>
    </w:p>
    <w:p w:rsidR="00424FEA" w:rsidRDefault="00100063" w:rsidP="00CF7BB2">
      <w:pPr>
        <w:pStyle w:val="SingleTxtG"/>
      </w:pPr>
      <w:r>
        <w:t>19</w:t>
      </w:r>
      <w:r w:rsidR="007A25B4">
        <w:t>.</w:t>
      </w:r>
      <w:r w:rsidR="007A25B4">
        <w:tab/>
      </w:r>
      <w:r w:rsidR="00AB08DB">
        <w:t>The Committee is concerned at</w:t>
      </w:r>
      <w:r w:rsidR="00B849C5">
        <w:t xml:space="preserve"> reports of</w:t>
      </w:r>
      <w:r w:rsidR="00AB08DB">
        <w:t xml:space="preserve"> violent and discriminatory practices against </w:t>
      </w:r>
      <w:r w:rsidR="004C03BD">
        <w:t xml:space="preserve">persons </w:t>
      </w:r>
      <w:r w:rsidR="00AB08DB">
        <w:t>with disabilities</w:t>
      </w:r>
      <w:r w:rsidR="00424FEA" w:rsidRPr="00424FEA">
        <w:t xml:space="preserve"> </w:t>
      </w:r>
      <w:r w:rsidR="00424FEA">
        <w:t>in medical settings</w:t>
      </w:r>
      <w:r w:rsidR="000A40D7">
        <w:t xml:space="preserve">, </w:t>
      </w:r>
      <w:r w:rsidR="004C03BD">
        <w:t>including minors,</w:t>
      </w:r>
      <w:r w:rsidR="00AB08DB">
        <w:t xml:space="preserve"> deprivation of liberty</w:t>
      </w:r>
      <w:r w:rsidR="00424FEA">
        <w:t>,</w:t>
      </w:r>
      <w:r w:rsidR="00AB08DB">
        <w:t xml:space="preserve"> </w:t>
      </w:r>
      <w:r w:rsidR="000A40D7">
        <w:t xml:space="preserve">without </w:t>
      </w:r>
      <w:r w:rsidR="00521A41">
        <w:t xml:space="preserve">access to </w:t>
      </w:r>
      <w:r w:rsidR="000A40D7">
        <w:t>basic legal safeguards</w:t>
      </w:r>
      <w:r w:rsidR="00424FEA">
        <w:t>,</w:t>
      </w:r>
      <w:r w:rsidR="000A40D7">
        <w:t xml:space="preserve"> </w:t>
      </w:r>
      <w:r w:rsidR="00AB08DB">
        <w:t>and the use of restraint</w:t>
      </w:r>
      <w:r w:rsidR="00424FEA">
        <w:t xml:space="preserve">, as well as </w:t>
      </w:r>
      <w:r w:rsidR="00B849C5">
        <w:t xml:space="preserve">the continuous </w:t>
      </w:r>
      <w:r w:rsidR="00AB08DB">
        <w:t xml:space="preserve">enforced administration of treatments such as </w:t>
      </w:r>
      <w:r w:rsidR="00521A41">
        <w:t>Electro Convulsive Therapy</w:t>
      </w:r>
      <w:r w:rsidR="00AB08DB">
        <w:t xml:space="preserve">.  </w:t>
      </w:r>
      <w:r w:rsidR="0046416E">
        <w:t xml:space="preserve">The Committee </w:t>
      </w:r>
      <w:r w:rsidR="0001631B">
        <w:t>welcomes the suspension of</w:t>
      </w:r>
      <w:r w:rsidR="0046416E">
        <w:t xml:space="preserve"> the technical norm for Family Planning 536/2005-MINSA</w:t>
      </w:r>
      <w:r w:rsidR="00424FEA">
        <w:t>,</w:t>
      </w:r>
      <w:r w:rsidR="0046416E">
        <w:t xml:space="preserve"> of 26 July 2005</w:t>
      </w:r>
      <w:r w:rsidR="00424FEA">
        <w:t>,</w:t>
      </w:r>
      <w:r w:rsidR="0046416E">
        <w:t xml:space="preserve"> which permits persons with “mental incompetence” to be sterilized without their free and informed consent</w:t>
      </w:r>
      <w:r w:rsidR="0001631B">
        <w:t xml:space="preserve">, but remains concerned that the decree is not repealed </w:t>
      </w:r>
      <w:r w:rsidR="00477758">
        <w:t>(arts. 2, 12, 13, 14 and 16)</w:t>
      </w:r>
      <w:r w:rsidR="00424FEA">
        <w:t>.</w:t>
      </w:r>
    </w:p>
    <w:p w:rsidR="00720425" w:rsidRPr="00CF7BB2" w:rsidRDefault="00E74046" w:rsidP="00540D3B">
      <w:pPr>
        <w:pStyle w:val="SingleTxtG"/>
        <w:rPr>
          <w:b/>
        </w:rPr>
      </w:pPr>
      <w:r w:rsidRPr="00CF7BB2">
        <w:rPr>
          <w:b/>
        </w:rPr>
        <w:t>The Committee recommends that the</w:t>
      </w:r>
      <w:r w:rsidR="00AB08DB" w:rsidRPr="00CF7BB2">
        <w:rPr>
          <w:b/>
        </w:rPr>
        <w:t xml:space="preserve"> State party </w:t>
      </w:r>
      <w:r w:rsidRPr="00CF7BB2">
        <w:rPr>
          <w:b/>
        </w:rPr>
        <w:t xml:space="preserve">adopt the </w:t>
      </w:r>
      <w:r w:rsidR="00AB08DB" w:rsidRPr="00CF7BB2">
        <w:rPr>
          <w:b/>
        </w:rPr>
        <w:t>d</w:t>
      </w:r>
      <w:r w:rsidRPr="00CF7BB2">
        <w:rPr>
          <w:b/>
        </w:rPr>
        <w:t>r</w:t>
      </w:r>
      <w:r w:rsidR="00AB08DB" w:rsidRPr="00CF7BB2">
        <w:rPr>
          <w:b/>
        </w:rPr>
        <w:t>aft bill on the rights of persons with disabilities, submitte</w:t>
      </w:r>
      <w:r w:rsidRPr="00CF7BB2">
        <w:rPr>
          <w:b/>
        </w:rPr>
        <w:t>d to the Congress in March 2011</w:t>
      </w:r>
      <w:r w:rsidR="0046416E" w:rsidRPr="00CF7BB2">
        <w:rPr>
          <w:b/>
        </w:rPr>
        <w:t xml:space="preserve">, </w:t>
      </w:r>
      <w:r w:rsidR="00F11830">
        <w:rPr>
          <w:b/>
        </w:rPr>
        <w:t xml:space="preserve">and </w:t>
      </w:r>
      <w:r w:rsidR="0046416E" w:rsidRPr="00CF7BB2">
        <w:rPr>
          <w:b/>
        </w:rPr>
        <w:t>ensure</w:t>
      </w:r>
      <w:r w:rsidR="00F734CA" w:rsidRPr="00CF7BB2">
        <w:rPr>
          <w:b/>
        </w:rPr>
        <w:t xml:space="preserve"> that all legal safegu</w:t>
      </w:r>
      <w:r w:rsidR="00983CED" w:rsidRPr="00CF7BB2">
        <w:rPr>
          <w:b/>
        </w:rPr>
        <w:t>ards for people in institutions</w:t>
      </w:r>
      <w:r w:rsidR="00F734CA" w:rsidRPr="00CF7BB2">
        <w:rPr>
          <w:b/>
        </w:rPr>
        <w:t xml:space="preserve"> are respect</w:t>
      </w:r>
      <w:r w:rsidR="000A40D7">
        <w:rPr>
          <w:b/>
        </w:rPr>
        <w:t>ed</w:t>
      </w:r>
      <w:r w:rsidR="00F11830">
        <w:rPr>
          <w:b/>
        </w:rPr>
        <w:t>,</w:t>
      </w:r>
      <w:r w:rsidR="00540D3B">
        <w:rPr>
          <w:b/>
        </w:rPr>
        <w:t xml:space="preserve"> </w:t>
      </w:r>
      <w:r w:rsidR="0046416E" w:rsidRPr="00CF7BB2">
        <w:rPr>
          <w:b/>
        </w:rPr>
        <w:t>urges the State party to</w:t>
      </w:r>
      <w:r w:rsidR="00F11830">
        <w:rPr>
          <w:b/>
        </w:rPr>
        <w:t xml:space="preserve"> </w:t>
      </w:r>
      <w:r w:rsidR="00F64B3B" w:rsidRPr="00CF7BB2">
        <w:rPr>
          <w:b/>
        </w:rPr>
        <w:t>promptly</w:t>
      </w:r>
      <w:r w:rsidR="00914BDB">
        <w:rPr>
          <w:b/>
        </w:rPr>
        <w:t>, effectively</w:t>
      </w:r>
      <w:r w:rsidR="00F64B3B">
        <w:rPr>
          <w:b/>
        </w:rPr>
        <w:t xml:space="preserve"> and</w:t>
      </w:r>
      <w:r w:rsidR="00F64B3B" w:rsidRPr="00CF7BB2">
        <w:rPr>
          <w:b/>
        </w:rPr>
        <w:t xml:space="preserve"> impartially investigate</w:t>
      </w:r>
      <w:r w:rsidR="00F11830" w:rsidRPr="00F11830">
        <w:rPr>
          <w:b/>
        </w:rPr>
        <w:t xml:space="preserve"> </w:t>
      </w:r>
      <w:r w:rsidR="00F11830">
        <w:rPr>
          <w:b/>
        </w:rPr>
        <w:t>all instances of ill-treatment</w:t>
      </w:r>
      <w:r w:rsidR="000A40D7">
        <w:rPr>
          <w:b/>
        </w:rPr>
        <w:t>,</w:t>
      </w:r>
      <w:r w:rsidR="00F11830">
        <w:rPr>
          <w:b/>
        </w:rPr>
        <w:t xml:space="preserve"> and to</w:t>
      </w:r>
      <w:r w:rsidR="000A40D7">
        <w:rPr>
          <w:b/>
        </w:rPr>
        <w:t xml:space="preserve"> </w:t>
      </w:r>
      <w:r w:rsidR="00F64B3B" w:rsidRPr="00CF7BB2">
        <w:rPr>
          <w:b/>
        </w:rPr>
        <w:t>prosecute</w:t>
      </w:r>
      <w:r w:rsidR="000A40D7">
        <w:rPr>
          <w:b/>
        </w:rPr>
        <w:t xml:space="preserve"> </w:t>
      </w:r>
      <w:r w:rsidR="00F11830">
        <w:rPr>
          <w:b/>
        </w:rPr>
        <w:t>those responsible</w:t>
      </w:r>
      <w:r w:rsidR="000A40D7">
        <w:rPr>
          <w:b/>
        </w:rPr>
        <w:t xml:space="preserve">. </w:t>
      </w:r>
      <w:r w:rsidR="003A47DD" w:rsidRPr="00CF7BB2">
        <w:rPr>
          <w:b/>
        </w:rPr>
        <w:t>The State party should</w:t>
      </w:r>
      <w:r w:rsidR="00F94C80">
        <w:rPr>
          <w:b/>
        </w:rPr>
        <w:t>, as a matter of urgency,</w:t>
      </w:r>
      <w:r w:rsidR="003A47DD" w:rsidRPr="00CF7BB2">
        <w:rPr>
          <w:b/>
        </w:rPr>
        <w:t xml:space="preserve"> </w:t>
      </w:r>
      <w:r w:rsidR="0012451A">
        <w:rPr>
          <w:b/>
        </w:rPr>
        <w:t>repeal</w:t>
      </w:r>
      <w:r w:rsidR="003A47DD" w:rsidRPr="00CF7BB2">
        <w:rPr>
          <w:b/>
        </w:rPr>
        <w:t xml:space="preserve"> </w:t>
      </w:r>
      <w:r w:rsidR="0001631B">
        <w:rPr>
          <w:b/>
        </w:rPr>
        <w:t xml:space="preserve">the </w:t>
      </w:r>
      <w:r w:rsidR="00F94C80">
        <w:rPr>
          <w:b/>
        </w:rPr>
        <w:t xml:space="preserve">suspended </w:t>
      </w:r>
      <w:r w:rsidR="003A47DD" w:rsidRPr="00CF7BB2">
        <w:rPr>
          <w:b/>
        </w:rPr>
        <w:t>administrative decree which allow</w:t>
      </w:r>
      <w:r w:rsidR="0001631B">
        <w:rPr>
          <w:b/>
        </w:rPr>
        <w:t>s</w:t>
      </w:r>
      <w:r w:rsidR="003A47DD" w:rsidRPr="00CF7BB2">
        <w:rPr>
          <w:b/>
        </w:rPr>
        <w:t xml:space="preserve"> the </w:t>
      </w:r>
      <w:r w:rsidR="00521A41">
        <w:rPr>
          <w:b/>
        </w:rPr>
        <w:t xml:space="preserve">forced </w:t>
      </w:r>
      <w:r w:rsidR="003A47DD" w:rsidRPr="00CF7BB2">
        <w:rPr>
          <w:b/>
        </w:rPr>
        <w:t xml:space="preserve">sterilization of persons with mental disabilities. </w:t>
      </w:r>
    </w:p>
    <w:p w:rsidR="00F018F6" w:rsidRDefault="00475337" w:rsidP="00475337">
      <w:pPr>
        <w:pStyle w:val="H23G"/>
      </w:pPr>
      <w:r>
        <w:tab/>
      </w:r>
      <w:r>
        <w:tab/>
      </w:r>
      <w:r w:rsidR="00E7141E">
        <w:t xml:space="preserve">Violence against children, </w:t>
      </w:r>
      <w:r w:rsidR="004C03BD">
        <w:t xml:space="preserve">including </w:t>
      </w:r>
      <w:r w:rsidR="00E7141E">
        <w:t>c</w:t>
      </w:r>
      <w:r w:rsidR="00D541DC">
        <w:t>orporal punishment</w:t>
      </w:r>
    </w:p>
    <w:p w:rsidR="00D541DC" w:rsidRDefault="00100063" w:rsidP="00475337">
      <w:pPr>
        <w:pStyle w:val="SingleTxtG"/>
      </w:pPr>
      <w:r>
        <w:t>20</w:t>
      </w:r>
      <w:r w:rsidR="007A25B4">
        <w:t>.</w:t>
      </w:r>
      <w:r w:rsidR="007A25B4">
        <w:tab/>
      </w:r>
      <w:r w:rsidR="00D541DC" w:rsidRPr="00D541DC">
        <w:t xml:space="preserve">The Committee is concerned that </w:t>
      </w:r>
      <w:r w:rsidR="00E421CE">
        <w:t>violence against children</w:t>
      </w:r>
      <w:r w:rsidR="0082645C">
        <w:t>, including domestic and sexual violence,</w:t>
      </w:r>
      <w:r w:rsidR="00E421CE">
        <w:t xml:space="preserve"> is widespread and that </w:t>
      </w:r>
      <w:r w:rsidR="00D541DC">
        <w:t xml:space="preserve">corporal punishment of children </w:t>
      </w:r>
      <w:r w:rsidR="00FD1C2B">
        <w:t>in the home, schools, penal institutions and care settings is not explicitly prohibited</w:t>
      </w:r>
      <w:r w:rsidR="00E421CE">
        <w:t xml:space="preserve"> </w:t>
      </w:r>
      <w:r w:rsidR="00477758">
        <w:t>(arts. 2 and 16)</w:t>
      </w:r>
      <w:r w:rsidR="00424FEA">
        <w:t>.</w:t>
      </w:r>
    </w:p>
    <w:p w:rsidR="00F018F6" w:rsidRPr="00475337" w:rsidRDefault="00FD1C2B" w:rsidP="00600C78">
      <w:pPr>
        <w:pStyle w:val="SingleTxtG"/>
        <w:rPr>
          <w:b/>
        </w:rPr>
      </w:pPr>
      <w:r w:rsidRPr="00475337">
        <w:rPr>
          <w:b/>
        </w:rPr>
        <w:t xml:space="preserve">The Committee recommends that the Code on Children and Adolescents and the Penal Execution Code be amended </w:t>
      </w:r>
      <w:r w:rsidR="0082645C">
        <w:rPr>
          <w:b/>
        </w:rPr>
        <w:t xml:space="preserve">to </w:t>
      </w:r>
      <w:r w:rsidRPr="00475337">
        <w:rPr>
          <w:b/>
        </w:rPr>
        <w:t>explicitly</w:t>
      </w:r>
      <w:r w:rsidR="00600C78">
        <w:rPr>
          <w:b/>
        </w:rPr>
        <w:t xml:space="preserve"> </w:t>
      </w:r>
      <w:r w:rsidRPr="00475337">
        <w:rPr>
          <w:b/>
        </w:rPr>
        <w:t xml:space="preserve">prohibit </w:t>
      </w:r>
      <w:r w:rsidR="007F1133" w:rsidRPr="00475337">
        <w:rPr>
          <w:b/>
        </w:rPr>
        <w:t xml:space="preserve">violence against children, </w:t>
      </w:r>
      <w:r w:rsidR="0089148D" w:rsidRPr="00475337">
        <w:rPr>
          <w:b/>
        </w:rPr>
        <w:t>and in particular sexual violence</w:t>
      </w:r>
      <w:r w:rsidR="008805C7" w:rsidRPr="00475337">
        <w:rPr>
          <w:b/>
        </w:rPr>
        <w:t>,</w:t>
      </w:r>
      <w:r w:rsidR="0089148D" w:rsidRPr="00475337">
        <w:rPr>
          <w:b/>
        </w:rPr>
        <w:t xml:space="preserve"> and define</w:t>
      </w:r>
      <w:r w:rsidR="007F1133" w:rsidRPr="00475337">
        <w:rPr>
          <w:b/>
        </w:rPr>
        <w:t xml:space="preserve"> corporal punishment in all settings</w:t>
      </w:r>
      <w:r w:rsidR="0089148D" w:rsidRPr="00475337">
        <w:rPr>
          <w:b/>
        </w:rPr>
        <w:t xml:space="preserve"> as an offence under the law</w:t>
      </w:r>
      <w:r w:rsidR="00352CD0" w:rsidRPr="00475337">
        <w:rPr>
          <w:b/>
        </w:rPr>
        <w:t>.</w:t>
      </w:r>
    </w:p>
    <w:p w:rsidR="00F018F6" w:rsidRDefault="00475337" w:rsidP="00475337">
      <w:pPr>
        <w:pStyle w:val="H23G"/>
      </w:pPr>
      <w:r>
        <w:tab/>
      </w:r>
      <w:r>
        <w:tab/>
      </w:r>
      <w:r w:rsidR="00AA08AE">
        <w:t>Contemporary forms of slavery, including f</w:t>
      </w:r>
      <w:r w:rsidR="00F53D75">
        <w:t>orced labour</w:t>
      </w:r>
      <w:r w:rsidR="00C934D9">
        <w:t xml:space="preserve"> and trafficking </w:t>
      </w:r>
    </w:p>
    <w:p w:rsidR="00C934D9" w:rsidRPr="00790B01" w:rsidRDefault="007A25B4" w:rsidP="00475337">
      <w:pPr>
        <w:pStyle w:val="SingleTxtG"/>
      </w:pPr>
      <w:r>
        <w:t>2</w:t>
      </w:r>
      <w:r w:rsidR="00100063">
        <w:t>1</w:t>
      </w:r>
      <w:r>
        <w:t>.</w:t>
      </w:r>
      <w:r>
        <w:tab/>
      </w:r>
      <w:r w:rsidR="00F53D75">
        <w:t>The Committee is concerned at</w:t>
      </w:r>
      <w:r w:rsidR="007F1133">
        <w:t xml:space="preserve"> </w:t>
      </w:r>
      <w:r w:rsidR="00C934D9">
        <w:t xml:space="preserve">reports on </w:t>
      </w:r>
      <w:r w:rsidR="007F1133">
        <w:t>forced labour practices amounting to slavery, debt bondage (</w:t>
      </w:r>
      <w:r w:rsidR="007F1133" w:rsidRPr="00424FEA">
        <w:rPr>
          <w:i/>
        </w:rPr>
        <w:t>enganche</w:t>
      </w:r>
      <w:r w:rsidR="007F1133">
        <w:t xml:space="preserve">) and serfdom in such sectors as agriculture, stock-raising and forestry that particularly concern </w:t>
      </w:r>
      <w:r w:rsidR="00F53D75">
        <w:t>indigenous communities</w:t>
      </w:r>
      <w:r w:rsidR="00C934D9">
        <w:t xml:space="preserve">, and also </w:t>
      </w:r>
      <w:r w:rsidR="005617A7">
        <w:t xml:space="preserve">at </w:t>
      </w:r>
      <w:r w:rsidR="00790B01">
        <w:t>the situation of domestic workers</w:t>
      </w:r>
      <w:r w:rsidR="005D1977">
        <w:t xml:space="preserve"> l</w:t>
      </w:r>
      <w:r w:rsidR="00790B01">
        <w:t>iving in c</w:t>
      </w:r>
      <w:r w:rsidR="005D1977">
        <w:t>onditions of domestic servitude</w:t>
      </w:r>
      <w:r w:rsidR="005617A7">
        <w:t xml:space="preserve">. </w:t>
      </w:r>
      <w:r w:rsidR="0089148D">
        <w:t>It</w:t>
      </w:r>
      <w:r w:rsidR="0089148D" w:rsidRPr="00E421CE">
        <w:t xml:space="preserve"> </w:t>
      </w:r>
      <w:r w:rsidR="0089148D">
        <w:t xml:space="preserve">is further gravely concerned at the increasing number of children affected by the worst forms of child labour in various sectors such as mining, brick-making and saw mills and that one third of persons in domestic servitude are children. </w:t>
      </w:r>
      <w:r w:rsidR="009A78EA">
        <w:t xml:space="preserve">The Committee is </w:t>
      </w:r>
      <w:r w:rsidR="005617A7">
        <w:t xml:space="preserve">particularly </w:t>
      </w:r>
      <w:r w:rsidR="009A78EA">
        <w:t xml:space="preserve">concerned that the prohibition of slavery and forced labour is not adequately covered in the Penal </w:t>
      </w:r>
      <w:r w:rsidR="005617A7">
        <w:t xml:space="preserve">Code. </w:t>
      </w:r>
      <w:r w:rsidR="00477758">
        <w:t xml:space="preserve"> </w:t>
      </w:r>
      <w:r w:rsidR="00374808">
        <w:t>T</w:t>
      </w:r>
      <w:r w:rsidR="00C934D9" w:rsidRPr="00790B01">
        <w:t xml:space="preserve">he Committee is </w:t>
      </w:r>
      <w:r w:rsidR="00C934D9">
        <w:t xml:space="preserve">further </w:t>
      </w:r>
      <w:r w:rsidR="00C934D9" w:rsidRPr="00790B01">
        <w:t>concerned at the trafficking</w:t>
      </w:r>
      <w:r w:rsidR="00C934D9">
        <w:t xml:space="preserve"> in human beings for labour and sexual exploitation and in particular of </w:t>
      </w:r>
      <w:r w:rsidR="00C934D9" w:rsidRPr="00790B01">
        <w:t xml:space="preserve">women and young girls from impoverished rural regions in the Amazon who are recruited and coerced into prostitution in brothels located in mining shantytowns </w:t>
      </w:r>
      <w:r w:rsidR="00C934D9">
        <w:t>(arts. 2, 12, 13, 14 and 16)</w:t>
      </w:r>
      <w:r w:rsidR="00424FEA">
        <w:t>.</w:t>
      </w:r>
    </w:p>
    <w:p w:rsidR="00C934D9" w:rsidRPr="00475337" w:rsidRDefault="00CF4D76" w:rsidP="00475337">
      <w:pPr>
        <w:pStyle w:val="SingleTxtG"/>
        <w:rPr>
          <w:b/>
        </w:rPr>
      </w:pPr>
      <w:r>
        <w:rPr>
          <w:b/>
        </w:rPr>
        <w:t xml:space="preserve">The </w:t>
      </w:r>
      <w:r w:rsidR="005D1977" w:rsidRPr="00475337">
        <w:rPr>
          <w:b/>
        </w:rPr>
        <w:t xml:space="preserve">State party </w:t>
      </w:r>
      <w:r w:rsidR="00C934D9" w:rsidRPr="00475337">
        <w:rPr>
          <w:b/>
        </w:rPr>
        <w:t>should strengthen its efforts to</w:t>
      </w:r>
      <w:r w:rsidR="00100063" w:rsidRPr="00475337">
        <w:rPr>
          <w:b/>
        </w:rPr>
        <w:t>:</w:t>
      </w:r>
    </w:p>
    <w:p w:rsidR="00434D33" w:rsidRDefault="00475337" w:rsidP="00475337">
      <w:pPr>
        <w:pStyle w:val="SingleTxtG"/>
        <w:ind w:firstLine="567"/>
        <w:rPr>
          <w:b/>
        </w:rPr>
      </w:pPr>
      <w:r>
        <w:rPr>
          <w:b/>
        </w:rPr>
        <w:t>(</w:t>
      </w:r>
      <w:r w:rsidR="00100063" w:rsidRPr="00475337">
        <w:rPr>
          <w:b/>
        </w:rPr>
        <w:t>a)</w:t>
      </w:r>
      <w:r w:rsidR="00100063" w:rsidRPr="00475337">
        <w:rPr>
          <w:b/>
        </w:rPr>
        <w:tab/>
      </w:r>
      <w:r w:rsidR="003011FC">
        <w:rPr>
          <w:b/>
        </w:rPr>
        <w:t xml:space="preserve">Adopt legislative measures to eradicate </w:t>
      </w:r>
      <w:r w:rsidR="00434D33">
        <w:rPr>
          <w:b/>
        </w:rPr>
        <w:t>forced labour, serfdom and domestic servitude;</w:t>
      </w:r>
    </w:p>
    <w:p w:rsidR="00100063" w:rsidRPr="00475337" w:rsidRDefault="00434D33" w:rsidP="00475337">
      <w:pPr>
        <w:pStyle w:val="SingleTxtG"/>
        <w:ind w:firstLine="567"/>
        <w:rPr>
          <w:b/>
        </w:rPr>
      </w:pPr>
      <w:r>
        <w:rPr>
          <w:b/>
        </w:rPr>
        <w:t>(b)</w:t>
      </w:r>
      <w:r>
        <w:rPr>
          <w:b/>
        </w:rPr>
        <w:tab/>
        <w:t xml:space="preserve">Ensure in practice the elimination of such </w:t>
      </w:r>
      <w:r w:rsidR="005D1977" w:rsidRPr="00475337">
        <w:rPr>
          <w:b/>
        </w:rPr>
        <w:t>contemporary forms of slavery</w:t>
      </w:r>
      <w:r>
        <w:rPr>
          <w:b/>
        </w:rPr>
        <w:t xml:space="preserve"> and in particular protect children</w:t>
      </w:r>
      <w:r w:rsidR="00100063" w:rsidRPr="00475337">
        <w:rPr>
          <w:b/>
        </w:rPr>
        <w:t>;</w:t>
      </w:r>
    </w:p>
    <w:p w:rsidR="00100063" w:rsidRPr="00475337" w:rsidRDefault="00475337" w:rsidP="00475337">
      <w:pPr>
        <w:pStyle w:val="SingleTxtG"/>
        <w:ind w:firstLine="567"/>
        <w:rPr>
          <w:b/>
        </w:rPr>
      </w:pPr>
      <w:r>
        <w:rPr>
          <w:b/>
        </w:rPr>
        <w:t>(</w:t>
      </w:r>
      <w:r w:rsidR="00434D33">
        <w:rPr>
          <w:b/>
        </w:rPr>
        <w:t>c</w:t>
      </w:r>
      <w:r w:rsidR="00100063" w:rsidRPr="00475337">
        <w:rPr>
          <w:b/>
        </w:rPr>
        <w:t>)</w:t>
      </w:r>
      <w:r w:rsidR="00100063" w:rsidRPr="00475337">
        <w:rPr>
          <w:b/>
        </w:rPr>
        <w:tab/>
        <w:t>C</w:t>
      </w:r>
      <w:r w:rsidR="005A0A9E" w:rsidRPr="00475337">
        <w:rPr>
          <w:b/>
        </w:rPr>
        <w:t xml:space="preserve">arry out prompt investigation, prosecution and adequate punishment of perpetrators and </w:t>
      </w:r>
      <w:r w:rsidR="00C934D9" w:rsidRPr="00475337">
        <w:rPr>
          <w:b/>
        </w:rPr>
        <w:t>prov</w:t>
      </w:r>
      <w:r w:rsidR="0089148D" w:rsidRPr="00475337">
        <w:rPr>
          <w:b/>
        </w:rPr>
        <w:t>i</w:t>
      </w:r>
      <w:r w:rsidR="00C934D9" w:rsidRPr="00475337">
        <w:rPr>
          <w:b/>
        </w:rPr>
        <w:t xml:space="preserve">de </w:t>
      </w:r>
      <w:r w:rsidR="0089148D" w:rsidRPr="00475337">
        <w:rPr>
          <w:b/>
        </w:rPr>
        <w:t xml:space="preserve">protection, </w:t>
      </w:r>
      <w:r w:rsidR="005A0A9E" w:rsidRPr="00475337">
        <w:rPr>
          <w:b/>
        </w:rPr>
        <w:t>free legal aid</w:t>
      </w:r>
      <w:r w:rsidR="005617A7" w:rsidRPr="00475337">
        <w:rPr>
          <w:b/>
        </w:rPr>
        <w:t>, rehabilitation and compensation</w:t>
      </w:r>
      <w:r w:rsidR="005A0A9E" w:rsidRPr="00475337">
        <w:rPr>
          <w:b/>
        </w:rPr>
        <w:t xml:space="preserve"> for victims</w:t>
      </w:r>
      <w:r w:rsidR="00C934D9" w:rsidRPr="00475337">
        <w:rPr>
          <w:b/>
        </w:rPr>
        <w:t xml:space="preserve"> of forced labour a</w:t>
      </w:r>
      <w:r w:rsidR="0089148D" w:rsidRPr="00475337">
        <w:rPr>
          <w:b/>
        </w:rPr>
        <w:t>nd</w:t>
      </w:r>
      <w:r w:rsidR="00C934D9" w:rsidRPr="00475337">
        <w:rPr>
          <w:b/>
        </w:rPr>
        <w:t xml:space="preserve"> </w:t>
      </w:r>
      <w:r w:rsidR="00100063" w:rsidRPr="00475337">
        <w:rPr>
          <w:b/>
        </w:rPr>
        <w:t>trafficking;</w:t>
      </w:r>
    </w:p>
    <w:p w:rsidR="00100063" w:rsidRPr="00475337" w:rsidRDefault="00475337" w:rsidP="00600C78">
      <w:pPr>
        <w:pStyle w:val="SingleTxtG"/>
        <w:ind w:firstLine="567"/>
        <w:rPr>
          <w:b/>
        </w:rPr>
      </w:pPr>
      <w:r>
        <w:rPr>
          <w:b/>
        </w:rPr>
        <w:t>(</w:t>
      </w:r>
      <w:r w:rsidR="00434D33">
        <w:rPr>
          <w:b/>
        </w:rPr>
        <w:t>d</w:t>
      </w:r>
      <w:r w:rsidR="00100063" w:rsidRPr="00475337">
        <w:rPr>
          <w:b/>
        </w:rPr>
        <w:t>)</w:t>
      </w:r>
      <w:r w:rsidR="00100063" w:rsidRPr="00475337">
        <w:rPr>
          <w:b/>
        </w:rPr>
        <w:tab/>
      </w:r>
      <w:r w:rsidR="00F817FB" w:rsidRPr="00475337">
        <w:rPr>
          <w:b/>
        </w:rPr>
        <w:t>R</w:t>
      </w:r>
      <w:r w:rsidR="0089148D" w:rsidRPr="00475337">
        <w:rPr>
          <w:b/>
        </w:rPr>
        <w:t>aise awareness of and train law enforcement personnel, judges and</w:t>
      </w:r>
      <w:r w:rsidR="00100063" w:rsidRPr="00475337">
        <w:rPr>
          <w:b/>
        </w:rPr>
        <w:t xml:space="preserve"> </w:t>
      </w:r>
      <w:r w:rsidR="0089148D" w:rsidRPr="00475337">
        <w:rPr>
          <w:b/>
        </w:rPr>
        <w:t>prosecutors on trafficking in persons and improve the identification of victims of trafficking</w:t>
      </w:r>
      <w:r w:rsidR="00100063" w:rsidRPr="00475337">
        <w:rPr>
          <w:b/>
        </w:rPr>
        <w:t>;</w:t>
      </w:r>
    </w:p>
    <w:p w:rsidR="006F271B" w:rsidRPr="00475337" w:rsidRDefault="00475337" w:rsidP="00475337">
      <w:pPr>
        <w:pStyle w:val="SingleTxtG"/>
        <w:ind w:firstLine="567"/>
        <w:rPr>
          <w:b/>
        </w:rPr>
      </w:pPr>
      <w:r>
        <w:rPr>
          <w:b/>
        </w:rPr>
        <w:t>(</w:t>
      </w:r>
      <w:r w:rsidR="00100063" w:rsidRPr="00475337">
        <w:rPr>
          <w:b/>
        </w:rPr>
        <w:t>e)</w:t>
      </w:r>
      <w:r w:rsidR="00100063" w:rsidRPr="00475337">
        <w:rPr>
          <w:b/>
        </w:rPr>
        <w:tab/>
      </w:r>
      <w:r w:rsidR="00424FEA">
        <w:rPr>
          <w:b/>
        </w:rPr>
        <w:t>A</w:t>
      </w:r>
      <w:r w:rsidR="0089148D" w:rsidRPr="00475337">
        <w:rPr>
          <w:b/>
        </w:rPr>
        <w:t>mend</w:t>
      </w:r>
      <w:r w:rsidR="005D1977" w:rsidRPr="00475337">
        <w:rPr>
          <w:b/>
        </w:rPr>
        <w:t xml:space="preserve"> </w:t>
      </w:r>
      <w:r w:rsidR="005617A7" w:rsidRPr="00475337">
        <w:rPr>
          <w:b/>
        </w:rPr>
        <w:t>the Penal Code and the Domestic Workers Act</w:t>
      </w:r>
      <w:r w:rsidR="0089148D" w:rsidRPr="00475337">
        <w:rPr>
          <w:b/>
        </w:rPr>
        <w:t xml:space="preserve"> so that the</w:t>
      </w:r>
      <w:r w:rsidR="00424FEA">
        <w:rPr>
          <w:b/>
        </w:rPr>
        <w:t>y</w:t>
      </w:r>
      <w:r w:rsidR="0089148D" w:rsidRPr="00475337">
        <w:rPr>
          <w:b/>
        </w:rPr>
        <w:t xml:space="preserve"> </w:t>
      </w:r>
      <w:r w:rsidR="006D5771">
        <w:rPr>
          <w:b/>
        </w:rPr>
        <w:t xml:space="preserve">are </w:t>
      </w:r>
      <w:r w:rsidR="006D5771" w:rsidRPr="00475337">
        <w:rPr>
          <w:b/>
        </w:rPr>
        <w:t>brought</w:t>
      </w:r>
      <w:r w:rsidR="006F271B" w:rsidRPr="00475337">
        <w:rPr>
          <w:b/>
        </w:rPr>
        <w:t xml:space="preserve"> in line with international standards</w:t>
      </w:r>
      <w:r w:rsidR="00C600B5" w:rsidRPr="00475337">
        <w:rPr>
          <w:b/>
        </w:rPr>
        <w:t>.</w:t>
      </w:r>
      <w:r w:rsidR="005A0A9E" w:rsidRPr="00475337">
        <w:rPr>
          <w:b/>
        </w:rPr>
        <w:t xml:space="preserve">  </w:t>
      </w:r>
    </w:p>
    <w:p w:rsidR="00E7141E" w:rsidRDefault="00475337" w:rsidP="00475337">
      <w:pPr>
        <w:pStyle w:val="H23G"/>
      </w:pPr>
      <w:r>
        <w:tab/>
      </w:r>
      <w:r>
        <w:tab/>
      </w:r>
      <w:r w:rsidR="00E7141E">
        <w:t>Attacks against</w:t>
      </w:r>
      <w:r w:rsidR="00374808">
        <w:t xml:space="preserve"> members of the</w:t>
      </w:r>
      <w:r w:rsidR="00E7141E">
        <w:t xml:space="preserve"> </w:t>
      </w:r>
      <w:r w:rsidR="000A77A1">
        <w:rPr>
          <w:rFonts w:ascii="Arial" w:hAnsi="Arial" w:cs="Arial"/>
          <w:color w:val="000000"/>
          <w:sz w:val="19"/>
          <w:szCs w:val="19"/>
        </w:rPr>
        <w:t>l</w:t>
      </w:r>
      <w:r w:rsidR="000A77A1" w:rsidRPr="00D805C7">
        <w:rPr>
          <w:color w:val="000000"/>
        </w:rPr>
        <w:t>esbian, gay, bisexual, and transgender</w:t>
      </w:r>
      <w:r w:rsidR="000A77A1">
        <w:t xml:space="preserve"> (</w:t>
      </w:r>
      <w:r w:rsidR="00E7141E">
        <w:t>LGBT</w:t>
      </w:r>
      <w:r w:rsidR="000A77A1">
        <w:t>)</w:t>
      </w:r>
      <w:r w:rsidR="00E7141E">
        <w:t xml:space="preserve"> </w:t>
      </w:r>
      <w:r w:rsidR="00374808">
        <w:t xml:space="preserve">community </w:t>
      </w:r>
    </w:p>
    <w:p w:rsidR="00E7141E" w:rsidRDefault="00E7141E" w:rsidP="000A77A1">
      <w:pPr>
        <w:pStyle w:val="SingleTxtG"/>
      </w:pPr>
      <w:r>
        <w:t>2</w:t>
      </w:r>
      <w:r w:rsidR="00C46FEC">
        <w:t>2</w:t>
      </w:r>
      <w:r>
        <w:t>.</w:t>
      </w:r>
      <w:r>
        <w:tab/>
        <w:t xml:space="preserve">The Committee is </w:t>
      </w:r>
      <w:r w:rsidR="00183673">
        <w:t xml:space="preserve">seriously </w:t>
      </w:r>
      <w:r>
        <w:t xml:space="preserve">concerned at reports of </w:t>
      </w:r>
      <w:r w:rsidR="00AA185D">
        <w:t xml:space="preserve">harassment and violent </w:t>
      </w:r>
      <w:r>
        <w:t xml:space="preserve">attacks, some of which </w:t>
      </w:r>
      <w:r w:rsidR="00493421">
        <w:t>have resulted in deaths</w:t>
      </w:r>
      <w:r>
        <w:t xml:space="preserve">, against </w:t>
      </w:r>
      <w:r w:rsidR="00374808">
        <w:t>the</w:t>
      </w:r>
      <w:r w:rsidR="00B67FF7" w:rsidRPr="00B67FF7">
        <w:rPr>
          <w:rFonts w:ascii="Arial" w:hAnsi="Arial" w:cs="Arial"/>
          <w:color w:val="000000"/>
          <w:sz w:val="19"/>
          <w:szCs w:val="19"/>
        </w:rPr>
        <w:t xml:space="preserve"> </w:t>
      </w:r>
      <w:r w:rsidRPr="00A12AD9">
        <w:t>L</w:t>
      </w:r>
      <w:r>
        <w:t xml:space="preserve">GBT </w:t>
      </w:r>
      <w:r w:rsidR="00374808">
        <w:t>community</w:t>
      </w:r>
      <w:r>
        <w:t xml:space="preserve"> by members of the national police, armed forces, municipal security patrols (</w:t>
      </w:r>
      <w:r w:rsidRPr="00424FEA">
        <w:rPr>
          <w:i/>
        </w:rPr>
        <w:t>serenos</w:t>
      </w:r>
      <w:r>
        <w:t xml:space="preserve">) and </w:t>
      </w:r>
      <w:r w:rsidR="00493421">
        <w:t>prison officials</w:t>
      </w:r>
      <w:r w:rsidR="00AA185D">
        <w:t xml:space="preserve"> and </w:t>
      </w:r>
      <w:r>
        <w:t>at</w:t>
      </w:r>
      <w:r w:rsidR="00012AEF">
        <w:t xml:space="preserve"> </w:t>
      </w:r>
      <w:r>
        <w:t xml:space="preserve">arbitrary detention and physical abuse </w:t>
      </w:r>
      <w:r w:rsidR="00493421">
        <w:t xml:space="preserve">in police stations </w:t>
      </w:r>
      <w:r w:rsidR="00AA185D">
        <w:t>with</w:t>
      </w:r>
      <w:r w:rsidR="00493421">
        <w:t xml:space="preserve"> </w:t>
      </w:r>
      <w:r>
        <w:t>denial of fundamental legal safeguards (arts. 2, 11, 12, 13 and 16)</w:t>
      </w:r>
      <w:r w:rsidR="00424FEA">
        <w:t>.</w:t>
      </w:r>
    </w:p>
    <w:p w:rsidR="005A500B" w:rsidRPr="00E773D1" w:rsidRDefault="00475337" w:rsidP="00E773D1">
      <w:pPr>
        <w:pStyle w:val="SingleTxtG"/>
        <w:rPr>
          <w:rFonts w:eastAsia="SimSun"/>
          <w:b/>
          <w:lang w:eastAsia="zh-CN"/>
        </w:rPr>
      </w:pPr>
      <w:r w:rsidRPr="00E773D1">
        <w:rPr>
          <w:rFonts w:eastAsia="SimSun"/>
          <w:b/>
          <w:lang w:eastAsia="zh-CN"/>
        </w:rPr>
        <w:t>The</w:t>
      </w:r>
      <w:r w:rsidR="00E7141E" w:rsidRPr="00E773D1">
        <w:rPr>
          <w:rFonts w:eastAsia="SimSun"/>
          <w:b/>
          <w:lang w:eastAsia="zh-CN"/>
        </w:rPr>
        <w:t xml:space="preserve"> State party </w:t>
      </w:r>
      <w:r w:rsidR="00450FCC" w:rsidRPr="00E773D1">
        <w:rPr>
          <w:rFonts w:eastAsia="SimSun"/>
          <w:b/>
          <w:lang w:eastAsia="zh-CN"/>
        </w:rPr>
        <w:t xml:space="preserve">should </w:t>
      </w:r>
      <w:r w:rsidR="00E7141E" w:rsidRPr="00E773D1">
        <w:rPr>
          <w:rFonts w:eastAsia="SimSun"/>
          <w:b/>
          <w:lang w:eastAsia="zh-CN"/>
        </w:rPr>
        <w:t>take effective measures to protect</w:t>
      </w:r>
      <w:r w:rsidR="00AA6751" w:rsidRPr="00E773D1">
        <w:rPr>
          <w:rFonts w:eastAsia="SimSun"/>
          <w:b/>
          <w:lang w:eastAsia="zh-CN"/>
        </w:rPr>
        <w:t xml:space="preserve"> the</w:t>
      </w:r>
      <w:r w:rsidR="00E7141E" w:rsidRPr="00E773D1">
        <w:rPr>
          <w:rFonts w:eastAsia="SimSun"/>
          <w:b/>
          <w:lang w:eastAsia="zh-CN"/>
        </w:rPr>
        <w:t xml:space="preserve"> LGBT </w:t>
      </w:r>
      <w:r w:rsidR="00AA6751" w:rsidRPr="00E773D1">
        <w:rPr>
          <w:rFonts w:eastAsia="SimSun"/>
          <w:b/>
          <w:lang w:eastAsia="zh-CN"/>
        </w:rPr>
        <w:t>community</w:t>
      </w:r>
      <w:r w:rsidR="00E7141E" w:rsidRPr="00E773D1">
        <w:rPr>
          <w:rFonts w:eastAsia="SimSun"/>
          <w:b/>
          <w:lang w:eastAsia="zh-CN"/>
        </w:rPr>
        <w:t xml:space="preserve"> from attacks, abuse and arbitrary detention</w:t>
      </w:r>
      <w:r w:rsidR="00450FCC" w:rsidRPr="00E773D1">
        <w:rPr>
          <w:rFonts w:eastAsia="SimSun"/>
          <w:b/>
          <w:lang w:eastAsia="zh-CN"/>
        </w:rPr>
        <w:t xml:space="preserve"> and</w:t>
      </w:r>
      <w:r w:rsidR="005A500B">
        <w:rPr>
          <w:rFonts w:eastAsia="SimSun"/>
          <w:b/>
          <w:lang w:eastAsia="zh-CN"/>
        </w:rPr>
        <w:t xml:space="preserve"> </w:t>
      </w:r>
      <w:r w:rsidR="005A500B" w:rsidRPr="00CF7BB2">
        <w:rPr>
          <w:b/>
        </w:rPr>
        <w:t>ensure that all acts of violence are promptly, effectively</w:t>
      </w:r>
      <w:r w:rsidR="005A500B">
        <w:rPr>
          <w:b/>
        </w:rPr>
        <w:t xml:space="preserve"> and</w:t>
      </w:r>
      <w:r w:rsidR="005A500B" w:rsidRPr="00CF7BB2">
        <w:rPr>
          <w:b/>
        </w:rPr>
        <w:t xml:space="preserve"> impartially investigated and prosecuted, perpetrators brought to justice and victims provided with </w:t>
      </w:r>
      <w:r w:rsidR="005A500B">
        <w:rPr>
          <w:b/>
        </w:rPr>
        <w:t>redress</w:t>
      </w:r>
      <w:r w:rsidR="00E7141E" w:rsidRPr="00E773D1">
        <w:rPr>
          <w:rFonts w:eastAsia="SimSun"/>
          <w:b/>
          <w:lang w:eastAsia="zh-CN"/>
        </w:rPr>
        <w:t xml:space="preserve">.  </w:t>
      </w:r>
    </w:p>
    <w:p w:rsidR="0043620B" w:rsidRDefault="00475337" w:rsidP="00475337">
      <w:pPr>
        <w:pStyle w:val="H23G"/>
      </w:pPr>
      <w:r>
        <w:tab/>
      </w:r>
      <w:r>
        <w:tab/>
      </w:r>
      <w:r w:rsidR="0043620B">
        <w:t xml:space="preserve">Data collection </w:t>
      </w:r>
    </w:p>
    <w:p w:rsidR="0043620B" w:rsidRDefault="00C46FEC" w:rsidP="00475337">
      <w:pPr>
        <w:pStyle w:val="SingleTxtG"/>
        <w:rPr>
          <w:rFonts w:eastAsia="SimSun"/>
          <w:lang w:eastAsia="zh-CN"/>
        </w:rPr>
      </w:pPr>
      <w:r>
        <w:rPr>
          <w:rFonts w:eastAsia="SimSun"/>
          <w:lang w:eastAsia="zh-CN"/>
        </w:rPr>
        <w:t>2</w:t>
      </w:r>
      <w:r w:rsidR="007A25B4">
        <w:rPr>
          <w:rFonts w:eastAsia="SimSun"/>
          <w:lang w:eastAsia="zh-CN"/>
        </w:rPr>
        <w:t>3.</w:t>
      </w:r>
      <w:r w:rsidR="0043620B">
        <w:rPr>
          <w:rFonts w:eastAsia="SimSun"/>
          <w:lang w:eastAsia="zh-CN"/>
        </w:rPr>
        <w:tab/>
        <w:t xml:space="preserve">The Committee regrets the absence of comprehensive and disaggregated data on complaints, investigations, prosecutions and convictions of cases of torture and ill treatment by law enforcement, military, security and prison personnel, as well as on </w:t>
      </w:r>
      <w:r w:rsidR="00621B94">
        <w:rPr>
          <w:rFonts w:eastAsia="SimSun"/>
          <w:lang w:eastAsia="zh-CN"/>
        </w:rPr>
        <w:t xml:space="preserve">trafficking, violence, </w:t>
      </w:r>
      <w:r w:rsidR="0043620B">
        <w:rPr>
          <w:rFonts w:eastAsia="SimSun"/>
          <w:lang w:eastAsia="zh-CN"/>
        </w:rPr>
        <w:t>against women</w:t>
      </w:r>
      <w:r w:rsidR="00621B94">
        <w:rPr>
          <w:rFonts w:eastAsia="SimSun"/>
          <w:lang w:eastAsia="zh-CN"/>
        </w:rPr>
        <w:t xml:space="preserve">, </w:t>
      </w:r>
      <w:r w:rsidR="0043620B">
        <w:rPr>
          <w:rFonts w:eastAsia="SimSun"/>
          <w:lang w:eastAsia="zh-CN"/>
        </w:rPr>
        <w:t>children and other vulnerable groups</w:t>
      </w:r>
      <w:r w:rsidR="005A500B">
        <w:rPr>
          <w:rFonts w:eastAsia="SimSun"/>
          <w:lang w:eastAsia="zh-CN"/>
        </w:rPr>
        <w:t>, including domestic and sexual violence,</w:t>
      </w:r>
      <w:r w:rsidR="0043620B">
        <w:rPr>
          <w:rFonts w:eastAsia="SimSun"/>
          <w:lang w:eastAsia="zh-CN"/>
        </w:rPr>
        <w:t xml:space="preserve"> as well as means of redress (arts. 2, 11, 12, 13, 14 and 16)</w:t>
      </w:r>
      <w:r w:rsidR="00424FEA">
        <w:rPr>
          <w:rFonts w:eastAsia="SimSun"/>
          <w:lang w:eastAsia="zh-CN"/>
        </w:rPr>
        <w:t>.</w:t>
      </w:r>
    </w:p>
    <w:p w:rsidR="0043620B" w:rsidRPr="00475337" w:rsidRDefault="006D5771" w:rsidP="00475337">
      <w:pPr>
        <w:pStyle w:val="SingleTxtG"/>
        <w:rPr>
          <w:rFonts w:eastAsia="SimSun"/>
          <w:b/>
          <w:lang w:eastAsia="zh-CN"/>
        </w:rPr>
      </w:pPr>
      <w:r w:rsidRPr="006D5771">
        <w:rPr>
          <w:rFonts w:eastAsia="SimSun"/>
          <w:b/>
          <w:lang w:eastAsia="zh-CN"/>
        </w:rPr>
        <w:t xml:space="preserve">The State party should compile statistical data relevant to the monitoring of the implementation of the Convention at the national level, </w:t>
      </w:r>
      <w:r>
        <w:rPr>
          <w:rFonts w:eastAsia="SimSun"/>
          <w:b/>
          <w:lang w:eastAsia="zh-CN"/>
        </w:rPr>
        <w:t xml:space="preserve">including </w:t>
      </w:r>
      <w:r w:rsidR="00621B94" w:rsidRPr="00475337">
        <w:rPr>
          <w:rFonts w:eastAsia="SimSun"/>
          <w:b/>
          <w:lang w:eastAsia="zh-CN"/>
        </w:rPr>
        <w:t xml:space="preserve">disaggregated </w:t>
      </w:r>
      <w:r>
        <w:rPr>
          <w:rFonts w:eastAsia="SimSun"/>
          <w:b/>
          <w:lang w:eastAsia="zh-CN"/>
        </w:rPr>
        <w:t xml:space="preserve">data on </w:t>
      </w:r>
      <w:r w:rsidR="0043620B" w:rsidRPr="00475337">
        <w:rPr>
          <w:rFonts w:eastAsia="SimSun"/>
          <w:b/>
          <w:lang w:eastAsia="zh-CN"/>
        </w:rPr>
        <w:t>complaints, investigations, prosecutions and convictions of cases of torture and ill-treatment</w:t>
      </w:r>
      <w:r w:rsidR="00621B94" w:rsidRPr="00475337">
        <w:rPr>
          <w:rFonts w:eastAsia="SimSun"/>
          <w:b/>
          <w:lang w:eastAsia="zh-CN"/>
        </w:rPr>
        <w:t xml:space="preserve"> by law enforcement and prison personnel</w:t>
      </w:r>
      <w:r w:rsidR="0043620B" w:rsidRPr="00475337">
        <w:rPr>
          <w:rFonts w:eastAsia="SimSun"/>
          <w:b/>
          <w:lang w:eastAsia="zh-CN"/>
        </w:rPr>
        <w:t xml:space="preserve">, </w:t>
      </w:r>
      <w:r w:rsidR="00621B94" w:rsidRPr="00475337">
        <w:rPr>
          <w:rFonts w:eastAsia="SimSun"/>
          <w:b/>
          <w:lang w:eastAsia="zh-CN"/>
        </w:rPr>
        <w:t xml:space="preserve">trafficking, violence, including domestic and sexual, against women, children and other vulnerable groups </w:t>
      </w:r>
      <w:r w:rsidR="0043620B" w:rsidRPr="00475337">
        <w:rPr>
          <w:rFonts w:eastAsia="SimSun"/>
          <w:b/>
          <w:lang w:eastAsia="zh-CN"/>
        </w:rPr>
        <w:t>as well as on means of redress, including compensation and rehabilitation, provided to the victims.</w:t>
      </w:r>
    </w:p>
    <w:p w:rsidR="0006543E" w:rsidRDefault="00C46FEC" w:rsidP="00475337">
      <w:pPr>
        <w:pStyle w:val="SingleTxtG"/>
      </w:pPr>
      <w:r>
        <w:t>24</w:t>
      </w:r>
      <w:r w:rsidR="007A25B4">
        <w:t>.</w:t>
      </w:r>
      <w:r w:rsidR="0006543E" w:rsidRPr="003C77E8">
        <w:tab/>
        <w:t xml:space="preserve">The Committee invites the State party to consider ratifying the other United Nations human rights treaties to which it is not yet party, namely the </w:t>
      </w:r>
      <w:r w:rsidR="00AF7BC2" w:rsidRPr="003C77E8">
        <w:t xml:space="preserve">Second </w:t>
      </w:r>
      <w:r w:rsidR="0006543E" w:rsidRPr="003C77E8">
        <w:t>Optional Protocol to the International Covenant</w:t>
      </w:r>
      <w:r w:rsidR="00AF7BC2" w:rsidRPr="003C77E8">
        <w:t xml:space="preserve"> on Civil and Political rights, </w:t>
      </w:r>
      <w:r w:rsidR="004F7805" w:rsidRPr="003C77E8">
        <w:t>aiming at the</w:t>
      </w:r>
      <w:r w:rsidR="00BF7EFD">
        <w:t xml:space="preserve"> abolition of the death penalty and</w:t>
      </w:r>
      <w:r w:rsidR="004F7805" w:rsidRPr="003C77E8">
        <w:t xml:space="preserve"> </w:t>
      </w:r>
      <w:r w:rsidR="00AF7BC2" w:rsidRPr="003C77E8">
        <w:t>the Optional Protocol to the International Covenant</w:t>
      </w:r>
      <w:r w:rsidR="0006543E" w:rsidRPr="003C77E8">
        <w:t xml:space="preserve"> on Economic, Social and Cultural Rights. </w:t>
      </w:r>
    </w:p>
    <w:p w:rsidR="0006543E" w:rsidRDefault="00C46FEC" w:rsidP="00475337">
      <w:pPr>
        <w:pStyle w:val="SingleTxtG"/>
      </w:pPr>
      <w:r>
        <w:t>25</w:t>
      </w:r>
      <w:r w:rsidR="007A25B4">
        <w:t>.</w:t>
      </w:r>
      <w:r w:rsidR="0006543E" w:rsidRPr="003C77E8">
        <w:tab/>
        <w:t>The State party is requested to disseminate widely the report submitted to the Committee and the Committee’s concluding observations, in appropriate languages,</w:t>
      </w:r>
      <w:r w:rsidR="006D5771">
        <w:t xml:space="preserve"> including indigenous,</w:t>
      </w:r>
      <w:r w:rsidR="0006543E" w:rsidRPr="003C77E8">
        <w:t xml:space="preserve"> through official websites, the media and non-governmental organizations.</w:t>
      </w:r>
    </w:p>
    <w:p w:rsidR="0006543E" w:rsidRDefault="00C46FEC" w:rsidP="00475337">
      <w:pPr>
        <w:pStyle w:val="SingleTxtG"/>
      </w:pPr>
      <w:r>
        <w:t>26</w:t>
      </w:r>
      <w:r w:rsidR="007A25B4">
        <w:t>.</w:t>
      </w:r>
      <w:r w:rsidR="0006543E">
        <w:tab/>
      </w:r>
      <w:r w:rsidR="0006543E" w:rsidRPr="00994D9E">
        <w:t xml:space="preserve">The Committee requests the State party to provide, by </w:t>
      </w:r>
      <w:r w:rsidR="00E51FAA">
        <w:t>23</w:t>
      </w:r>
      <w:r w:rsidR="004F3ECD">
        <w:t xml:space="preserve"> November</w:t>
      </w:r>
      <w:r w:rsidR="0006543E" w:rsidRPr="00994D9E">
        <w:t xml:space="preserve"> 2013, follow-up information in response to the Committee’s recommendations </w:t>
      </w:r>
      <w:r w:rsidR="0006543E" w:rsidRPr="00774A1A">
        <w:t>relat</w:t>
      </w:r>
      <w:r w:rsidR="0006543E">
        <w:t>ing</w:t>
      </w:r>
      <w:r w:rsidR="0006543E" w:rsidRPr="00774A1A">
        <w:t xml:space="preserve"> to</w:t>
      </w:r>
      <w:r w:rsidR="0006543E">
        <w:t>:</w:t>
      </w:r>
      <w:r w:rsidR="0006543E" w:rsidRPr="00774A1A">
        <w:t xml:space="preserve"> (</w:t>
      </w:r>
      <w:r w:rsidR="0006543E">
        <w:t>a</w:t>
      </w:r>
      <w:r w:rsidR="0006543E" w:rsidRPr="00774A1A">
        <w:t xml:space="preserve">) </w:t>
      </w:r>
      <w:r w:rsidR="0006543E">
        <w:t>conducting</w:t>
      </w:r>
      <w:r w:rsidR="0006543E" w:rsidRPr="00774A1A">
        <w:t xml:space="preserve"> prompt, impartial and effective investigations</w:t>
      </w:r>
      <w:r w:rsidR="0006543E">
        <w:t>;</w:t>
      </w:r>
      <w:r w:rsidR="0006543E" w:rsidRPr="00774A1A">
        <w:t xml:space="preserve"> (</w:t>
      </w:r>
      <w:r w:rsidR="0006543E">
        <w:t>b</w:t>
      </w:r>
      <w:r w:rsidR="0006543E" w:rsidRPr="00774A1A">
        <w:t>)</w:t>
      </w:r>
      <w:r w:rsidR="0006543E">
        <w:t xml:space="preserve"> </w:t>
      </w:r>
      <w:r w:rsidR="0006543E" w:rsidRPr="00774A1A">
        <w:t xml:space="preserve">ensuring or strengthening legal safeguards for </w:t>
      </w:r>
      <w:r w:rsidR="0006543E">
        <w:t>persons detained;</w:t>
      </w:r>
      <w:r w:rsidR="0006543E" w:rsidRPr="00774A1A">
        <w:t xml:space="preserve"> and (</w:t>
      </w:r>
      <w:r w:rsidR="0006543E">
        <w:t>c</w:t>
      </w:r>
      <w:r w:rsidR="0006543E" w:rsidRPr="00774A1A">
        <w:t xml:space="preserve">) prosecuting suspects and sanctioning perpetrators of torture or ill-treatment, </w:t>
      </w:r>
      <w:r w:rsidR="0006543E" w:rsidRPr="00994D9E">
        <w:t xml:space="preserve">as contained in paragraphs </w:t>
      </w:r>
      <w:r w:rsidR="0082514A">
        <w:t>8</w:t>
      </w:r>
      <w:r w:rsidR="005A500B">
        <w:t xml:space="preserve"> (a)</w:t>
      </w:r>
      <w:r w:rsidR="0006543E" w:rsidRPr="00994D9E">
        <w:t xml:space="preserve">, </w:t>
      </w:r>
      <w:r w:rsidR="0082514A">
        <w:t>15</w:t>
      </w:r>
      <w:r w:rsidR="005A500B">
        <w:t xml:space="preserve"> (a)</w:t>
      </w:r>
      <w:r w:rsidR="0006543E" w:rsidRPr="00994D9E">
        <w:t xml:space="preserve"> and </w:t>
      </w:r>
      <w:r w:rsidR="0082514A">
        <w:t>17</w:t>
      </w:r>
      <w:r w:rsidR="005A500B">
        <w:t xml:space="preserve"> (b)</w:t>
      </w:r>
      <w:r w:rsidR="0006543E" w:rsidRPr="00994D9E">
        <w:t xml:space="preserve"> of the present document.  </w:t>
      </w:r>
    </w:p>
    <w:p w:rsidR="007B097B" w:rsidRDefault="00C46FEC" w:rsidP="00475337">
      <w:pPr>
        <w:pStyle w:val="SingleTxtG"/>
      </w:pPr>
      <w:r>
        <w:t>27</w:t>
      </w:r>
      <w:r w:rsidR="007A25B4">
        <w:t>.</w:t>
      </w:r>
      <w:r w:rsidR="0006543E">
        <w:tab/>
      </w:r>
      <w:r w:rsidR="007B097B">
        <w:t>The State party is invited to submit its next report, which will be the seventh periodic report, by 23 November 2016.  For that purpose, the Committee will, in due course, submit to the State party a list of issues prior to reporting, considering that the State party has accepted to report to the Committee under the optional reporting procedure.</w:t>
      </w:r>
    </w:p>
    <w:p w:rsidR="0006543E" w:rsidRDefault="0006543E" w:rsidP="0006543E">
      <w:pPr>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06543E" w:rsidSect="00DF697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26" w:rsidRDefault="008E4826"/>
    <w:p w:rsidR="008E4826" w:rsidRDefault="008E4826"/>
    <w:p w:rsidR="008E4826" w:rsidRDefault="008E4826"/>
    <w:p w:rsidR="008E4826" w:rsidRDefault="008E4826"/>
  </w:endnote>
  <w:endnote w:type="continuationSeparator" w:id="0">
    <w:p w:rsidR="008E4826" w:rsidRDefault="008E4826"/>
    <w:p w:rsidR="008E4826" w:rsidRDefault="008E4826"/>
    <w:p w:rsidR="008E4826" w:rsidRDefault="008E4826"/>
    <w:p w:rsidR="008E4826" w:rsidRDefault="008E4826"/>
  </w:endnote>
  <w:endnote w:type="continuationNotice" w:id="1">
    <w:p w:rsidR="008E4826" w:rsidRDefault="008E4826"/>
    <w:p w:rsidR="008E4826" w:rsidRDefault="008E4826"/>
    <w:p w:rsidR="008E4826" w:rsidRDefault="008E4826"/>
    <w:p w:rsidR="008E4826" w:rsidRDefault="008E4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23" w:rsidRPr="00DF697B" w:rsidRDefault="008E6E23" w:rsidP="00DF697B">
    <w:pPr>
      <w:pStyle w:val="Footer"/>
      <w:tabs>
        <w:tab w:val="right" w:pos="9638"/>
      </w:tabs>
    </w:pPr>
    <w:r w:rsidRPr="00DF697B">
      <w:rPr>
        <w:b/>
        <w:sz w:val="18"/>
      </w:rPr>
      <w:fldChar w:fldCharType="begin"/>
    </w:r>
    <w:r w:rsidRPr="00DF697B">
      <w:rPr>
        <w:b/>
        <w:sz w:val="18"/>
      </w:rPr>
      <w:instrText xml:space="preserve"> PAGE  \* MERGEFORMAT </w:instrText>
    </w:r>
    <w:r w:rsidRPr="00DF697B">
      <w:rPr>
        <w:b/>
        <w:sz w:val="18"/>
      </w:rPr>
      <w:fldChar w:fldCharType="separate"/>
    </w:r>
    <w:r w:rsidR="00C278D1">
      <w:rPr>
        <w:b/>
        <w:noProof/>
        <w:sz w:val="18"/>
      </w:rPr>
      <w:t>10</w:t>
    </w:r>
    <w:r w:rsidRPr="00DF697B">
      <w:rPr>
        <w:b/>
        <w:sz w:val="18"/>
      </w:rPr>
      <w:fldChar w:fldCharType="end"/>
    </w:r>
    <w:r>
      <w:rPr>
        <w:sz w:val="18"/>
      </w:rPr>
      <w:tab/>
    </w:r>
  </w:p>
  <w:p w:rsidR="008E6E23" w:rsidRDefault="008E6E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23" w:rsidRPr="00DF697B" w:rsidRDefault="008E6E23" w:rsidP="00DF697B">
    <w:pPr>
      <w:pStyle w:val="Footer"/>
      <w:tabs>
        <w:tab w:val="right" w:pos="9638"/>
      </w:tabs>
      <w:rPr>
        <w:b/>
        <w:sz w:val="18"/>
      </w:rPr>
    </w:pPr>
    <w:r>
      <w:tab/>
    </w:r>
    <w:r w:rsidRPr="00DF697B">
      <w:rPr>
        <w:b/>
        <w:sz w:val="18"/>
      </w:rPr>
      <w:fldChar w:fldCharType="begin"/>
    </w:r>
    <w:r w:rsidRPr="00DF697B">
      <w:rPr>
        <w:b/>
        <w:sz w:val="18"/>
      </w:rPr>
      <w:instrText xml:space="preserve"> PAGE  \* MERGEFORMAT </w:instrText>
    </w:r>
    <w:r w:rsidRPr="00DF697B">
      <w:rPr>
        <w:b/>
        <w:sz w:val="18"/>
      </w:rPr>
      <w:fldChar w:fldCharType="separate"/>
    </w:r>
    <w:r w:rsidR="00C278D1">
      <w:rPr>
        <w:b/>
        <w:noProof/>
        <w:sz w:val="18"/>
      </w:rPr>
      <w:t>9</w:t>
    </w:r>
    <w:r w:rsidRPr="00DF697B">
      <w:rPr>
        <w:b/>
        <w:sz w:val="18"/>
      </w:rPr>
      <w:fldChar w:fldCharType="end"/>
    </w:r>
  </w:p>
  <w:p w:rsidR="008E6E23" w:rsidRDefault="008E6E23" w:rsidP="00B67F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23" w:rsidRPr="00C278D1" w:rsidRDefault="00AF51FD">
    <w:pPr>
      <w:pStyle w:val="Footer"/>
      <w:rPr>
        <w:sz w:val="20"/>
        <w:lang w:val="fr-CH"/>
      </w:rPr>
    </w:pPr>
    <w:r w:rsidRPr="00C278D1">
      <w:rPr>
        <w:sz w:val="20"/>
        <w:lang w:val="fr-CH"/>
      </w:rPr>
      <w:t>GE.13-</w:t>
    </w:r>
    <w:r w:rsidR="00C278D1" w:rsidRPr="00C278D1">
      <w:rPr>
        <w:sz w:val="20"/>
        <w:lang w:val="fr-CH"/>
      </w:rPr>
      <w:t>40422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26" w:rsidRPr="000B175B" w:rsidRDefault="008E4826" w:rsidP="000B175B">
      <w:pPr>
        <w:tabs>
          <w:tab w:val="right" w:pos="2155"/>
        </w:tabs>
        <w:spacing w:after="80"/>
        <w:ind w:left="680"/>
        <w:rPr>
          <w:u w:val="single"/>
        </w:rPr>
      </w:pPr>
      <w:r>
        <w:rPr>
          <w:u w:val="single"/>
        </w:rPr>
        <w:tab/>
      </w:r>
    </w:p>
    <w:p w:rsidR="008E4826" w:rsidRDefault="008E4826"/>
    <w:p w:rsidR="008E4826" w:rsidRDefault="008E4826"/>
    <w:p w:rsidR="008E4826" w:rsidRDefault="008E4826"/>
  </w:footnote>
  <w:footnote w:type="continuationSeparator" w:id="0">
    <w:p w:rsidR="008E4826" w:rsidRPr="00FC68B7" w:rsidRDefault="008E4826" w:rsidP="00FC68B7">
      <w:pPr>
        <w:tabs>
          <w:tab w:val="left" w:pos="2155"/>
        </w:tabs>
        <w:spacing w:after="80"/>
        <w:ind w:left="680"/>
        <w:rPr>
          <w:u w:val="single"/>
        </w:rPr>
      </w:pPr>
      <w:r>
        <w:rPr>
          <w:u w:val="single"/>
        </w:rPr>
        <w:tab/>
      </w:r>
    </w:p>
    <w:p w:rsidR="008E4826" w:rsidRDefault="008E4826"/>
    <w:p w:rsidR="008E4826" w:rsidRDefault="008E4826"/>
    <w:p w:rsidR="008E4826" w:rsidRDefault="008E4826"/>
  </w:footnote>
  <w:footnote w:type="continuationNotice" w:id="1">
    <w:p w:rsidR="008E4826" w:rsidRDefault="008E4826"/>
    <w:p w:rsidR="008E4826" w:rsidRDefault="008E4826"/>
    <w:p w:rsidR="008E4826" w:rsidRDefault="008E4826"/>
    <w:p w:rsidR="008E4826" w:rsidRDefault="008E48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23" w:rsidRPr="00693EA4" w:rsidRDefault="008E6E23" w:rsidP="00855505">
    <w:pPr>
      <w:pStyle w:val="Header"/>
    </w:pPr>
    <w:r>
      <w:t>CAT/C/PER/CO/5-6</w:t>
    </w:r>
  </w:p>
  <w:p w:rsidR="008E6E23" w:rsidRDefault="008E6E23" w:rsidP="005F52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23" w:rsidRPr="00693EA4" w:rsidRDefault="008E6E23" w:rsidP="00855505">
    <w:pPr>
      <w:pStyle w:val="Header"/>
      <w:jc w:val="right"/>
    </w:pPr>
    <w:r>
      <w:t>CAT/C/PER/CO/5-6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B17833"/>
    <w:multiLevelType w:val="hybridMultilevel"/>
    <w:tmpl w:val="FCDAE6B8"/>
    <w:lvl w:ilvl="0" w:tplc="04090017">
      <w:start w:val="1"/>
      <w:numFmt w:val="lowerLetter"/>
      <w:lvlText w:val="%1)"/>
      <w:lvlJc w:val="left"/>
      <w:pPr>
        <w:ind w:left="3195" w:hanging="360"/>
      </w:pPr>
      <w:rPr>
        <w:rFonts w:cs="Times New Roman"/>
      </w:rPr>
    </w:lvl>
    <w:lvl w:ilvl="1" w:tplc="04090019">
      <w:start w:val="1"/>
      <w:numFmt w:val="lowerLetter"/>
      <w:lvlText w:val="%2."/>
      <w:lvlJc w:val="left"/>
      <w:pPr>
        <w:ind w:left="3915" w:hanging="360"/>
      </w:pPr>
      <w:rPr>
        <w:rFonts w:cs="Times New Roman"/>
      </w:rPr>
    </w:lvl>
    <w:lvl w:ilvl="2" w:tplc="0409001B">
      <w:start w:val="1"/>
      <w:numFmt w:val="lowerRoman"/>
      <w:lvlText w:val="%3."/>
      <w:lvlJc w:val="right"/>
      <w:pPr>
        <w:ind w:left="4635" w:hanging="180"/>
      </w:pPr>
      <w:rPr>
        <w:rFonts w:cs="Times New Roman"/>
      </w:rPr>
    </w:lvl>
    <w:lvl w:ilvl="3" w:tplc="0409000F">
      <w:start w:val="1"/>
      <w:numFmt w:val="decimal"/>
      <w:lvlText w:val="%4."/>
      <w:lvlJc w:val="left"/>
      <w:pPr>
        <w:ind w:left="5355" w:hanging="360"/>
      </w:pPr>
      <w:rPr>
        <w:rFonts w:cs="Times New Roman"/>
      </w:rPr>
    </w:lvl>
    <w:lvl w:ilvl="4" w:tplc="04090019">
      <w:start w:val="1"/>
      <w:numFmt w:val="lowerLetter"/>
      <w:lvlText w:val="%5."/>
      <w:lvlJc w:val="left"/>
      <w:pPr>
        <w:ind w:left="6075" w:hanging="360"/>
      </w:pPr>
      <w:rPr>
        <w:rFonts w:cs="Times New Roman"/>
      </w:rPr>
    </w:lvl>
    <w:lvl w:ilvl="5" w:tplc="0409001B">
      <w:start w:val="1"/>
      <w:numFmt w:val="lowerRoman"/>
      <w:lvlText w:val="%6."/>
      <w:lvlJc w:val="right"/>
      <w:pPr>
        <w:ind w:left="6795" w:hanging="180"/>
      </w:pPr>
      <w:rPr>
        <w:rFonts w:cs="Times New Roman"/>
      </w:rPr>
    </w:lvl>
    <w:lvl w:ilvl="6" w:tplc="0409000F">
      <w:start w:val="1"/>
      <w:numFmt w:val="decimal"/>
      <w:lvlText w:val="%7."/>
      <w:lvlJc w:val="left"/>
      <w:pPr>
        <w:ind w:left="7515" w:hanging="360"/>
      </w:pPr>
      <w:rPr>
        <w:rFonts w:cs="Times New Roman"/>
      </w:rPr>
    </w:lvl>
    <w:lvl w:ilvl="7" w:tplc="04090019">
      <w:start w:val="1"/>
      <w:numFmt w:val="lowerLetter"/>
      <w:lvlText w:val="%8."/>
      <w:lvlJc w:val="left"/>
      <w:pPr>
        <w:ind w:left="8235" w:hanging="360"/>
      </w:pPr>
      <w:rPr>
        <w:rFonts w:cs="Times New Roman"/>
      </w:rPr>
    </w:lvl>
    <w:lvl w:ilvl="8" w:tplc="0409001B">
      <w:start w:val="1"/>
      <w:numFmt w:val="lowerRoman"/>
      <w:lvlText w:val="%9."/>
      <w:lvlJc w:val="right"/>
      <w:pPr>
        <w:ind w:left="8955" w:hanging="180"/>
      </w:pPr>
      <w:rPr>
        <w:rFonts w:cs="Times New Roman"/>
      </w:rPr>
    </w:lvl>
  </w:abstractNum>
  <w:abstractNum w:abstractNumId="2">
    <w:nsid w:val="1FC16CB2"/>
    <w:multiLevelType w:val="hybridMultilevel"/>
    <w:tmpl w:val="0178B6F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97B"/>
    <w:rsid w:val="00000457"/>
    <w:rsid w:val="0000248A"/>
    <w:rsid w:val="00005FF4"/>
    <w:rsid w:val="00007E63"/>
    <w:rsid w:val="00012AEF"/>
    <w:rsid w:val="00014121"/>
    <w:rsid w:val="0001631B"/>
    <w:rsid w:val="00017A58"/>
    <w:rsid w:val="00017CD0"/>
    <w:rsid w:val="000236C1"/>
    <w:rsid w:val="00025C15"/>
    <w:rsid w:val="00030C28"/>
    <w:rsid w:val="00031AFE"/>
    <w:rsid w:val="000345C6"/>
    <w:rsid w:val="00034664"/>
    <w:rsid w:val="00034DB9"/>
    <w:rsid w:val="000359A7"/>
    <w:rsid w:val="00044D66"/>
    <w:rsid w:val="00047410"/>
    <w:rsid w:val="000501EF"/>
    <w:rsid w:val="00050F6B"/>
    <w:rsid w:val="00054B91"/>
    <w:rsid w:val="00055C12"/>
    <w:rsid w:val="00057E97"/>
    <w:rsid w:val="00060B71"/>
    <w:rsid w:val="000610B1"/>
    <w:rsid w:val="000647D9"/>
    <w:rsid w:val="0006543E"/>
    <w:rsid w:val="000654CD"/>
    <w:rsid w:val="00065EB2"/>
    <w:rsid w:val="00072C8C"/>
    <w:rsid w:val="000733B5"/>
    <w:rsid w:val="00074C94"/>
    <w:rsid w:val="000750E2"/>
    <w:rsid w:val="0007665B"/>
    <w:rsid w:val="00077FE1"/>
    <w:rsid w:val="0008022B"/>
    <w:rsid w:val="00081815"/>
    <w:rsid w:val="00082A85"/>
    <w:rsid w:val="000931C0"/>
    <w:rsid w:val="000932AF"/>
    <w:rsid w:val="00094B47"/>
    <w:rsid w:val="000A40D7"/>
    <w:rsid w:val="000A528F"/>
    <w:rsid w:val="000A77A1"/>
    <w:rsid w:val="000A7C1C"/>
    <w:rsid w:val="000B175B"/>
    <w:rsid w:val="000B3A0F"/>
    <w:rsid w:val="000B4EF7"/>
    <w:rsid w:val="000B65EA"/>
    <w:rsid w:val="000C2C03"/>
    <w:rsid w:val="000C2D2E"/>
    <w:rsid w:val="000C7B27"/>
    <w:rsid w:val="000C7C9C"/>
    <w:rsid w:val="000D0D33"/>
    <w:rsid w:val="000D2862"/>
    <w:rsid w:val="000D3E38"/>
    <w:rsid w:val="000D49A8"/>
    <w:rsid w:val="000D4D0B"/>
    <w:rsid w:val="000D7A2E"/>
    <w:rsid w:val="000D7CC6"/>
    <w:rsid w:val="000E0415"/>
    <w:rsid w:val="000E36B6"/>
    <w:rsid w:val="000F2132"/>
    <w:rsid w:val="000F3720"/>
    <w:rsid w:val="000F4930"/>
    <w:rsid w:val="000F4B1D"/>
    <w:rsid w:val="000F4F70"/>
    <w:rsid w:val="00100063"/>
    <w:rsid w:val="0010303F"/>
    <w:rsid w:val="001078C2"/>
    <w:rsid w:val="00107985"/>
    <w:rsid w:val="00107B99"/>
    <w:rsid w:val="00107D48"/>
    <w:rsid w:val="00107F5E"/>
    <w:rsid w:val="001103AA"/>
    <w:rsid w:val="00110B2E"/>
    <w:rsid w:val="00113138"/>
    <w:rsid w:val="00113D77"/>
    <w:rsid w:val="0011675C"/>
    <w:rsid w:val="00116BBF"/>
    <w:rsid w:val="0011765A"/>
    <w:rsid w:val="00121B90"/>
    <w:rsid w:val="00121F24"/>
    <w:rsid w:val="00123980"/>
    <w:rsid w:val="001239B3"/>
    <w:rsid w:val="0012451A"/>
    <w:rsid w:val="00125070"/>
    <w:rsid w:val="00127C5D"/>
    <w:rsid w:val="00133A65"/>
    <w:rsid w:val="00136408"/>
    <w:rsid w:val="0013744A"/>
    <w:rsid w:val="00141CA7"/>
    <w:rsid w:val="001450BD"/>
    <w:rsid w:val="001453E2"/>
    <w:rsid w:val="0015085F"/>
    <w:rsid w:val="00151ABA"/>
    <w:rsid w:val="00152E9A"/>
    <w:rsid w:val="00153179"/>
    <w:rsid w:val="001551B0"/>
    <w:rsid w:val="001567E5"/>
    <w:rsid w:val="001607A4"/>
    <w:rsid w:val="00161C2C"/>
    <w:rsid w:val="00165F3A"/>
    <w:rsid w:val="00166469"/>
    <w:rsid w:val="00171CC8"/>
    <w:rsid w:val="0017423C"/>
    <w:rsid w:val="00174A85"/>
    <w:rsid w:val="00175434"/>
    <w:rsid w:val="00183227"/>
    <w:rsid w:val="00183673"/>
    <w:rsid w:val="001943BF"/>
    <w:rsid w:val="001943D8"/>
    <w:rsid w:val="00196282"/>
    <w:rsid w:val="0019757A"/>
    <w:rsid w:val="00197B02"/>
    <w:rsid w:val="001A06A0"/>
    <w:rsid w:val="001A36DC"/>
    <w:rsid w:val="001A4CCE"/>
    <w:rsid w:val="001A50E4"/>
    <w:rsid w:val="001A7D8C"/>
    <w:rsid w:val="001B035A"/>
    <w:rsid w:val="001B1FE3"/>
    <w:rsid w:val="001B203B"/>
    <w:rsid w:val="001B21F5"/>
    <w:rsid w:val="001B4B04"/>
    <w:rsid w:val="001C45D8"/>
    <w:rsid w:val="001C6663"/>
    <w:rsid w:val="001C717C"/>
    <w:rsid w:val="001C7895"/>
    <w:rsid w:val="001D0C8C"/>
    <w:rsid w:val="001D25B8"/>
    <w:rsid w:val="001D26DF"/>
    <w:rsid w:val="001D36D0"/>
    <w:rsid w:val="001D3A03"/>
    <w:rsid w:val="001E4AB1"/>
    <w:rsid w:val="001E5217"/>
    <w:rsid w:val="001E7DD6"/>
    <w:rsid w:val="001F0A64"/>
    <w:rsid w:val="001F2E9B"/>
    <w:rsid w:val="00202DA8"/>
    <w:rsid w:val="00211E0B"/>
    <w:rsid w:val="00213A7C"/>
    <w:rsid w:val="00215480"/>
    <w:rsid w:val="00216093"/>
    <w:rsid w:val="002225FD"/>
    <w:rsid w:val="00223363"/>
    <w:rsid w:val="002243D0"/>
    <w:rsid w:val="002254A3"/>
    <w:rsid w:val="00226107"/>
    <w:rsid w:val="00231858"/>
    <w:rsid w:val="00232085"/>
    <w:rsid w:val="0023290B"/>
    <w:rsid w:val="00233CB1"/>
    <w:rsid w:val="00236B1C"/>
    <w:rsid w:val="00240CDB"/>
    <w:rsid w:val="00245FEC"/>
    <w:rsid w:val="00253730"/>
    <w:rsid w:val="0025395A"/>
    <w:rsid w:val="00254F88"/>
    <w:rsid w:val="002552AF"/>
    <w:rsid w:val="00257157"/>
    <w:rsid w:val="0025759E"/>
    <w:rsid w:val="00257BA8"/>
    <w:rsid w:val="00261914"/>
    <w:rsid w:val="00264957"/>
    <w:rsid w:val="00265C63"/>
    <w:rsid w:val="00267CF0"/>
    <w:rsid w:val="00267F5F"/>
    <w:rsid w:val="00274A18"/>
    <w:rsid w:val="00276C64"/>
    <w:rsid w:val="00277226"/>
    <w:rsid w:val="00281244"/>
    <w:rsid w:val="00282D76"/>
    <w:rsid w:val="00282E61"/>
    <w:rsid w:val="002834B6"/>
    <w:rsid w:val="002852B8"/>
    <w:rsid w:val="00286B4D"/>
    <w:rsid w:val="002955D6"/>
    <w:rsid w:val="002974D1"/>
    <w:rsid w:val="002975F4"/>
    <w:rsid w:val="00297799"/>
    <w:rsid w:val="002A2699"/>
    <w:rsid w:val="002A431B"/>
    <w:rsid w:val="002A5451"/>
    <w:rsid w:val="002A775E"/>
    <w:rsid w:val="002B14D9"/>
    <w:rsid w:val="002B191A"/>
    <w:rsid w:val="002B3ACA"/>
    <w:rsid w:val="002B3C39"/>
    <w:rsid w:val="002B466B"/>
    <w:rsid w:val="002C14CD"/>
    <w:rsid w:val="002C55F2"/>
    <w:rsid w:val="002D1CF1"/>
    <w:rsid w:val="002D1DB6"/>
    <w:rsid w:val="002E6FAB"/>
    <w:rsid w:val="002F175C"/>
    <w:rsid w:val="002F1A00"/>
    <w:rsid w:val="002F2BE4"/>
    <w:rsid w:val="002F2DEE"/>
    <w:rsid w:val="002F4A6E"/>
    <w:rsid w:val="002F5767"/>
    <w:rsid w:val="00300538"/>
    <w:rsid w:val="003011FC"/>
    <w:rsid w:val="00302186"/>
    <w:rsid w:val="00303799"/>
    <w:rsid w:val="00304AEB"/>
    <w:rsid w:val="0030762E"/>
    <w:rsid w:val="00307CCC"/>
    <w:rsid w:val="00315AB5"/>
    <w:rsid w:val="00317530"/>
    <w:rsid w:val="003229D8"/>
    <w:rsid w:val="003230CC"/>
    <w:rsid w:val="00325A96"/>
    <w:rsid w:val="00330BEF"/>
    <w:rsid w:val="00331BAD"/>
    <w:rsid w:val="003339FA"/>
    <w:rsid w:val="00333E92"/>
    <w:rsid w:val="00340ACF"/>
    <w:rsid w:val="0035201E"/>
    <w:rsid w:val="00352709"/>
    <w:rsid w:val="00352CD0"/>
    <w:rsid w:val="003547A8"/>
    <w:rsid w:val="00360525"/>
    <w:rsid w:val="00371178"/>
    <w:rsid w:val="00371A7A"/>
    <w:rsid w:val="00374808"/>
    <w:rsid w:val="0037569A"/>
    <w:rsid w:val="0037765F"/>
    <w:rsid w:val="003776DC"/>
    <w:rsid w:val="0038166E"/>
    <w:rsid w:val="003817F0"/>
    <w:rsid w:val="00382028"/>
    <w:rsid w:val="00382B4B"/>
    <w:rsid w:val="00382BBC"/>
    <w:rsid w:val="00383DF4"/>
    <w:rsid w:val="003862A7"/>
    <w:rsid w:val="00392422"/>
    <w:rsid w:val="00396AC6"/>
    <w:rsid w:val="003A0DCE"/>
    <w:rsid w:val="003A11F6"/>
    <w:rsid w:val="003A366E"/>
    <w:rsid w:val="003A47DD"/>
    <w:rsid w:val="003A4987"/>
    <w:rsid w:val="003A5397"/>
    <w:rsid w:val="003A5F7B"/>
    <w:rsid w:val="003A67AE"/>
    <w:rsid w:val="003A67E1"/>
    <w:rsid w:val="003A6810"/>
    <w:rsid w:val="003B3435"/>
    <w:rsid w:val="003B7CD9"/>
    <w:rsid w:val="003C05FC"/>
    <w:rsid w:val="003C06AA"/>
    <w:rsid w:val="003C07B3"/>
    <w:rsid w:val="003C2482"/>
    <w:rsid w:val="003C2CC4"/>
    <w:rsid w:val="003C3A1D"/>
    <w:rsid w:val="003C77E8"/>
    <w:rsid w:val="003D1B4F"/>
    <w:rsid w:val="003D4B23"/>
    <w:rsid w:val="003D55DB"/>
    <w:rsid w:val="003D772E"/>
    <w:rsid w:val="003E3439"/>
    <w:rsid w:val="003E34BD"/>
    <w:rsid w:val="003E4EAD"/>
    <w:rsid w:val="003E7FFC"/>
    <w:rsid w:val="003F106C"/>
    <w:rsid w:val="003F362D"/>
    <w:rsid w:val="0040088E"/>
    <w:rsid w:val="00401F20"/>
    <w:rsid w:val="004057A1"/>
    <w:rsid w:val="00407F3E"/>
    <w:rsid w:val="00410C89"/>
    <w:rsid w:val="00415404"/>
    <w:rsid w:val="00416EAF"/>
    <w:rsid w:val="004236E8"/>
    <w:rsid w:val="00423D8F"/>
    <w:rsid w:val="00424FD3"/>
    <w:rsid w:val="00424FEA"/>
    <w:rsid w:val="00426B9B"/>
    <w:rsid w:val="00426F18"/>
    <w:rsid w:val="004302C0"/>
    <w:rsid w:val="00430AED"/>
    <w:rsid w:val="004325CB"/>
    <w:rsid w:val="00432AE8"/>
    <w:rsid w:val="00434D33"/>
    <w:rsid w:val="0043620B"/>
    <w:rsid w:val="00437C76"/>
    <w:rsid w:val="00437EAE"/>
    <w:rsid w:val="00442A83"/>
    <w:rsid w:val="00443331"/>
    <w:rsid w:val="004437F2"/>
    <w:rsid w:val="00443C7F"/>
    <w:rsid w:val="0044794F"/>
    <w:rsid w:val="00450694"/>
    <w:rsid w:val="00450FCC"/>
    <w:rsid w:val="004544CC"/>
    <w:rsid w:val="00454688"/>
    <w:rsid w:val="004546DB"/>
    <w:rsid w:val="0045495B"/>
    <w:rsid w:val="0045667D"/>
    <w:rsid w:val="00456EBC"/>
    <w:rsid w:val="0046196D"/>
    <w:rsid w:val="00462F12"/>
    <w:rsid w:val="0046416E"/>
    <w:rsid w:val="00466F36"/>
    <w:rsid w:val="00467A7B"/>
    <w:rsid w:val="00467D9E"/>
    <w:rsid w:val="00473EC9"/>
    <w:rsid w:val="00475072"/>
    <w:rsid w:val="00475337"/>
    <w:rsid w:val="00477758"/>
    <w:rsid w:val="00481231"/>
    <w:rsid w:val="00482495"/>
    <w:rsid w:val="004837DD"/>
    <w:rsid w:val="00485731"/>
    <w:rsid w:val="00487EC1"/>
    <w:rsid w:val="00491207"/>
    <w:rsid w:val="00491FBF"/>
    <w:rsid w:val="00493421"/>
    <w:rsid w:val="004A2873"/>
    <w:rsid w:val="004A7AFC"/>
    <w:rsid w:val="004B0364"/>
    <w:rsid w:val="004B4C23"/>
    <w:rsid w:val="004B7802"/>
    <w:rsid w:val="004C03BD"/>
    <w:rsid w:val="004C20AA"/>
    <w:rsid w:val="004C291D"/>
    <w:rsid w:val="004C407F"/>
    <w:rsid w:val="004D073A"/>
    <w:rsid w:val="004D0D0F"/>
    <w:rsid w:val="004D3F1F"/>
    <w:rsid w:val="004E100E"/>
    <w:rsid w:val="004F0929"/>
    <w:rsid w:val="004F3ECD"/>
    <w:rsid w:val="004F6207"/>
    <w:rsid w:val="004F66CA"/>
    <w:rsid w:val="004F6BBB"/>
    <w:rsid w:val="004F7805"/>
    <w:rsid w:val="004F7FB8"/>
    <w:rsid w:val="00503857"/>
    <w:rsid w:val="005045AB"/>
    <w:rsid w:val="00510D85"/>
    <w:rsid w:val="00512320"/>
    <w:rsid w:val="005134B4"/>
    <w:rsid w:val="00516D7A"/>
    <w:rsid w:val="0052072E"/>
    <w:rsid w:val="0052136D"/>
    <w:rsid w:val="00521A41"/>
    <w:rsid w:val="0052775E"/>
    <w:rsid w:val="00532B4F"/>
    <w:rsid w:val="0053670D"/>
    <w:rsid w:val="0054095D"/>
    <w:rsid w:val="00540D3B"/>
    <w:rsid w:val="005420F2"/>
    <w:rsid w:val="00546ADA"/>
    <w:rsid w:val="00546CA3"/>
    <w:rsid w:val="0054786F"/>
    <w:rsid w:val="00557197"/>
    <w:rsid w:val="005617A7"/>
    <w:rsid w:val="00561C93"/>
    <w:rsid w:val="005628B6"/>
    <w:rsid w:val="00563016"/>
    <w:rsid w:val="005635CB"/>
    <w:rsid w:val="00565500"/>
    <w:rsid w:val="00566878"/>
    <w:rsid w:val="00570146"/>
    <w:rsid w:val="00571D12"/>
    <w:rsid w:val="005826FE"/>
    <w:rsid w:val="005866F3"/>
    <w:rsid w:val="005914E7"/>
    <w:rsid w:val="005945B0"/>
    <w:rsid w:val="005A0A9E"/>
    <w:rsid w:val="005A2EC1"/>
    <w:rsid w:val="005A500B"/>
    <w:rsid w:val="005A6ACC"/>
    <w:rsid w:val="005B11C4"/>
    <w:rsid w:val="005B2D25"/>
    <w:rsid w:val="005B3DB3"/>
    <w:rsid w:val="005B4427"/>
    <w:rsid w:val="005B4609"/>
    <w:rsid w:val="005B4D0F"/>
    <w:rsid w:val="005B5C74"/>
    <w:rsid w:val="005B74C9"/>
    <w:rsid w:val="005C1032"/>
    <w:rsid w:val="005C4817"/>
    <w:rsid w:val="005C572A"/>
    <w:rsid w:val="005D0FDF"/>
    <w:rsid w:val="005D1977"/>
    <w:rsid w:val="005D1DAE"/>
    <w:rsid w:val="005D4780"/>
    <w:rsid w:val="005D5C26"/>
    <w:rsid w:val="005D6D89"/>
    <w:rsid w:val="005E1D10"/>
    <w:rsid w:val="005E66D2"/>
    <w:rsid w:val="005F04BC"/>
    <w:rsid w:val="005F2392"/>
    <w:rsid w:val="005F2402"/>
    <w:rsid w:val="005F37AB"/>
    <w:rsid w:val="005F52EE"/>
    <w:rsid w:val="005F5F2C"/>
    <w:rsid w:val="005F7841"/>
    <w:rsid w:val="005F7B75"/>
    <w:rsid w:val="006001EE"/>
    <w:rsid w:val="00600C78"/>
    <w:rsid w:val="00601E79"/>
    <w:rsid w:val="00605042"/>
    <w:rsid w:val="00607082"/>
    <w:rsid w:val="006105CE"/>
    <w:rsid w:val="006109AC"/>
    <w:rsid w:val="00611805"/>
    <w:rsid w:val="00611FC4"/>
    <w:rsid w:val="0061762B"/>
    <w:rsid w:val="006176FB"/>
    <w:rsid w:val="00621B94"/>
    <w:rsid w:val="006234CE"/>
    <w:rsid w:val="00625858"/>
    <w:rsid w:val="0062723C"/>
    <w:rsid w:val="0063150D"/>
    <w:rsid w:val="006336EB"/>
    <w:rsid w:val="00640B26"/>
    <w:rsid w:val="00641067"/>
    <w:rsid w:val="006410C3"/>
    <w:rsid w:val="0064137F"/>
    <w:rsid w:val="006425A7"/>
    <w:rsid w:val="00643EBF"/>
    <w:rsid w:val="00646E15"/>
    <w:rsid w:val="00652852"/>
    <w:rsid w:val="00652D0A"/>
    <w:rsid w:val="00653105"/>
    <w:rsid w:val="00656699"/>
    <w:rsid w:val="00657710"/>
    <w:rsid w:val="00662BB6"/>
    <w:rsid w:val="0066348B"/>
    <w:rsid w:val="00665353"/>
    <w:rsid w:val="006657DF"/>
    <w:rsid w:val="0067241E"/>
    <w:rsid w:val="00673236"/>
    <w:rsid w:val="00676946"/>
    <w:rsid w:val="00682C5A"/>
    <w:rsid w:val="00684C21"/>
    <w:rsid w:val="00684FA0"/>
    <w:rsid w:val="00687503"/>
    <w:rsid w:val="00687A97"/>
    <w:rsid w:val="0069069D"/>
    <w:rsid w:val="00693435"/>
    <w:rsid w:val="00693EA4"/>
    <w:rsid w:val="006949B0"/>
    <w:rsid w:val="006A50DF"/>
    <w:rsid w:val="006A5D7E"/>
    <w:rsid w:val="006B13E4"/>
    <w:rsid w:val="006B1CEB"/>
    <w:rsid w:val="006B2B77"/>
    <w:rsid w:val="006B3AE6"/>
    <w:rsid w:val="006B617F"/>
    <w:rsid w:val="006B7927"/>
    <w:rsid w:val="006B7C0B"/>
    <w:rsid w:val="006C0E4A"/>
    <w:rsid w:val="006C19AB"/>
    <w:rsid w:val="006C2AD4"/>
    <w:rsid w:val="006C411E"/>
    <w:rsid w:val="006C5CE0"/>
    <w:rsid w:val="006C6468"/>
    <w:rsid w:val="006D35DD"/>
    <w:rsid w:val="006D36AA"/>
    <w:rsid w:val="006D37AF"/>
    <w:rsid w:val="006D51D0"/>
    <w:rsid w:val="006D5771"/>
    <w:rsid w:val="006D68A9"/>
    <w:rsid w:val="006E11F6"/>
    <w:rsid w:val="006E1428"/>
    <w:rsid w:val="006E2AC3"/>
    <w:rsid w:val="006E564B"/>
    <w:rsid w:val="006E6363"/>
    <w:rsid w:val="006E6634"/>
    <w:rsid w:val="006E7191"/>
    <w:rsid w:val="006F00FB"/>
    <w:rsid w:val="006F195F"/>
    <w:rsid w:val="006F271B"/>
    <w:rsid w:val="006F563D"/>
    <w:rsid w:val="006F5689"/>
    <w:rsid w:val="00701078"/>
    <w:rsid w:val="00703577"/>
    <w:rsid w:val="00703C08"/>
    <w:rsid w:val="00720425"/>
    <w:rsid w:val="0072051B"/>
    <w:rsid w:val="00726041"/>
    <w:rsid w:val="0072632A"/>
    <w:rsid w:val="0073154A"/>
    <w:rsid w:val="007327D5"/>
    <w:rsid w:val="00733587"/>
    <w:rsid w:val="0073617A"/>
    <w:rsid w:val="00736FBB"/>
    <w:rsid w:val="007406C5"/>
    <w:rsid w:val="007470A1"/>
    <w:rsid w:val="00757EC0"/>
    <w:rsid w:val="0076062A"/>
    <w:rsid w:val="007610E1"/>
    <w:rsid w:val="00761765"/>
    <w:rsid w:val="007624B5"/>
    <w:rsid w:val="007629BC"/>
    <w:rsid w:val="007629C8"/>
    <w:rsid w:val="0076504B"/>
    <w:rsid w:val="00771B7A"/>
    <w:rsid w:val="00774431"/>
    <w:rsid w:val="0077449D"/>
    <w:rsid w:val="00774E77"/>
    <w:rsid w:val="0077752E"/>
    <w:rsid w:val="007870C8"/>
    <w:rsid w:val="00790B01"/>
    <w:rsid w:val="00791326"/>
    <w:rsid w:val="007974E3"/>
    <w:rsid w:val="00797DE2"/>
    <w:rsid w:val="007A0081"/>
    <w:rsid w:val="007A1690"/>
    <w:rsid w:val="007A25B4"/>
    <w:rsid w:val="007A4067"/>
    <w:rsid w:val="007A5BA3"/>
    <w:rsid w:val="007B097B"/>
    <w:rsid w:val="007B25D1"/>
    <w:rsid w:val="007B2E8B"/>
    <w:rsid w:val="007B6BA5"/>
    <w:rsid w:val="007B797F"/>
    <w:rsid w:val="007C0FE0"/>
    <w:rsid w:val="007C3390"/>
    <w:rsid w:val="007C36FB"/>
    <w:rsid w:val="007C4F4B"/>
    <w:rsid w:val="007C5822"/>
    <w:rsid w:val="007D1F4F"/>
    <w:rsid w:val="007D46F7"/>
    <w:rsid w:val="007E398D"/>
    <w:rsid w:val="007E68B3"/>
    <w:rsid w:val="007E74A3"/>
    <w:rsid w:val="007F04FD"/>
    <w:rsid w:val="007F1133"/>
    <w:rsid w:val="007F17E9"/>
    <w:rsid w:val="007F3B1D"/>
    <w:rsid w:val="007F5229"/>
    <w:rsid w:val="007F6611"/>
    <w:rsid w:val="007F7526"/>
    <w:rsid w:val="007F7BF2"/>
    <w:rsid w:val="00802735"/>
    <w:rsid w:val="0080295A"/>
    <w:rsid w:val="00803FB8"/>
    <w:rsid w:val="00804D32"/>
    <w:rsid w:val="008066E0"/>
    <w:rsid w:val="00812A3B"/>
    <w:rsid w:val="00816714"/>
    <w:rsid w:val="00822275"/>
    <w:rsid w:val="008230D1"/>
    <w:rsid w:val="00823494"/>
    <w:rsid w:val="0082369E"/>
    <w:rsid w:val="008241FD"/>
    <w:rsid w:val="008242D7"/>
    <w:rsid w:val="0082514A"/>
    <w:rsid w:val="008251F4"/>
    <w:rsid w:val="008257B1"/>
    <w:rsid w:val="0082645C"/>
    <w:rsid w:val="00830C6C"/>
    <w:rsid w:val="008314A1"/>
    <w:rsid w:val="0083221F"/>
    <w:rsid w:val="00832644"/>
    <w:rsid w:val="00833089"/>
    <w:rsid w:val="00833547"/>
    <w:rsid w:val="00834BB3"/>
    <w:rsid w:val="0084048D"/>
    <w:rsid w:val="00843086"/>
    <w:rsid w:val="00843767"/>
    <w:rsid w:val="0084768E"/>
    <w:rsid w:val="00855505"/>
    <w:rsid w:val="00855A14"/>
    <w:rsid w:val="00863FD3"/>
    <w:rsid w:val="008643E2"/>
    <w:rsid w:val="008655F1"/>
    <w:rsid w:val="008679D9"/>
    <w:rsid w:val="008805C7"/>
    <w:rsid w:val="00881CC3"/>
    <w:rsid w:val="008828A1"/>
    <w:rsid w:val="00886464"/>
    <w:rsid w:val="0089148D"/>
    <w:rsid w:val="00893914"/>
    <w:rsid w:val="008968F6"/>
    <w:rsid w:val="008979B1"/>
    <w:rsid w:val="008A6B25"/>
    <w:rsid w:val="008A6C4F"/>
    <w:rsid w:val="008A7D50"/>
    <w:rsid w:val="008B20C3"/>
    <w:rsid w:val="008B2335"/>
    <w:rsid w:val="008B40FA"/>
    <w:rsid w:val="008C1306"/>
    <w:rsid w:val="008C1873"/>
    <w:rsid w:val="008C39B1"/>
    <w:rsid w:val="008C3DD2"/>
    <w:rsid w:val="008C4B52"/>
    <w:rsid w:val="008C5B4C"/>
    <w:rsid w:val="008C5DC7"/>
    <w:rsid w:val="008C6A89"/>
    <w:rsid w:val="008D0472"/>
    <w:rsid w:val="008D37A3"/>
    <w:rsid w:val="008D60B8"/>
    <w:rsid w:val="008D7DFC"/>
    <w:rsid w:val="008E0678"/>
    <w:rsid w:val="008E2995"/>
    <w:rsid w:val="008E4285"/>
    <w:rsid w:val="008E4826"/>
    <w:rsid w:val="008E6AB2"/>
    <w:rsid w:val="008E6E23"/>
    <w:rsid w:val="008F2A5C"/>
    <w:rsid w:val="008F5BC5"/>
    <w:rsid w:val="00901EEE"/>
    <w:rsid w:val="009065CD"/>
    <w:rsid w:val="00910606"/>
    <w:rsid w:val="009135DF"/>
    <w:rsid w:val="00914BDB"/>
    <w:rsid w:val="009179C5"/>
    <w:rsid w:val="00921784"/>
    <w:rsid w:val="009223CA"/>
    <w:rsid w:val="00926525"/>
    <w:rsid w:val="00927E87"/>
    <w:rsid w:val="00927F9C"/>
    <w:rsid w:val="0093084E"/>
    <w:rsid w:val="0093393C"/>
    <w:rsid w:val="00933F4C"/>
    <w:rsid w:val="00936494"/>
    <w:rsid w:val="00940F93"/>
    <w:rsid w:val="00945D3C"/>
    <w:rsid w:val="009466F9"/>
    <w:rsid w:val="00946D09"/>
    <w:rsid w:val="00951639"/>
    <w:rsid w:val="009521EB"/>
    <w:rsid w:val="00952DBB"/>
    <w:rsid w:val="00956B51"/>
    <w:rsid w:val="00961213"/>
    <w:rsid w:val="00963AB7"/>
    <w:rsid w:val="009658C1"/>
    <w:rsid w:val="009679BE"/>
    <w:rsid w:val="00971552"/>
    <w:rsid w:val="00971877"/>
    <w:rsid w:val="009737AC"/>
    <w:rsid w:val="009743DA"/>
    <w:rsid w:val="00975159"/>
    <w:rsid w:val="009752A6"/>
    <w:rsid w:val="009760F3"/>
    <w:rsid w:val="00976D2E"/>
    <w:rsid w:val="00981E16"/>
    <w:rsid w:val="00981EDF"/>
    <w:rsid w:val="00982D2A"/>
    <w:rsid w:val="0098375B"/>
    <w:rsid w:val="00983B32"/>
    <w:rsid w:val="00983CED"/>
    <w:rsid w:val="00985321"/>
    <w:rsid w:val="00987B71"/>
    <w:rsid w:val="00990B8A"/>
    <w:rsid w:val="00995449"/>
    <w:rsid w:val="00995490"/>
    <w:rsid w:val="00997EE3"/>
    <w:rsid w:val="009A03EE"/>
    <w:rsid w:val="009A0BA0"/>
    <w:rsid w:val="009A0E8D"/>
    <w:rsid w:val="009A3103"/>
    <w:rsid w:val="009A51AA"/>
    <w:rsid w:val="009A78EA"/>
    <w:rsid w:val="009B26E7"/>
    <w:rsid w:val="009C7855"/>
    <w:rsid w:val="009D0F82"/>
    <w:rsid w:val="009D373E"/>
    <w:rsid w:val="009D3A52"/>
    <w:rsid w:val="009E00B0"/>
    <w:rsid w:val="009E11EE"/>
    <w:rsid w:val="009E6C80"/>
    <w:rsid w:val="009E6FEB"/>
    <w:rsid w:val="009F28F0"/>
    <w:rsid w:val="009F65CE"/>
    <w:rsid w:val="00A00A3F"/>
    <w:rsid w:val="00A00CE5"/>
    <w:rsid w:val="00A00D10"/>
    <w:rsid w:val="00A01489"/>
    <w:rsid w:val="00A05250"/>
    <w:rsid w:val="00A0689C"/>
    <w:rsid w:val="00A069A6"/>
    <w:rsid w:val="00A11F2E"/>
    <w:rsid w:val="00A12AD9"/>
    <w:rsid w:val="00A133A1"/>
    <w:rsid w:val="00A134AC"/>
    <w:rsid w:val="00A135D7"/>
    <w:rsid w:val="00A15EC4"/>
    <w:rsid w:val="00A16974"/>
    <w:rsid w:val="00A338F1"/>
    <w:rsid w:val="00A34718"/>
    <w:rsid w:val="00A378A7"/>
    <w:rsid w:val="00A40666"/>
    <w:rsid w:val="00A4485F"/>
    <w:rsid w:val="00A4490D"/>
    <w:rsid w:val="00A5048C"/>
    <w:rsid w:val="00A51D4E"/>
    <w:rsid w:val="00A5214F"/>
    <w:rsid w:val="00A5262D"/>
    <w:rsid w:val="00A53B9A"/>
    <w:rsid w:val="00A53BF4"/>
    <w:rsid w:val="00A618E1"/>
    <w:rsid w:val="00A66378"/>
    <w:rsid w:val="00A72AE6"/>
    <w:rsid w:val="00A72F22"/>
    <w:rsid w:val="00A7360F"/>
    <w:rsid w:val="00A73A62"/>
    <w:rsid w:val="00A741C8"/>
    <w:rsid w:val="00A748A6"/>
    <w:rsid w:val="00A74B01"/>
    <w:rsid w:val="00A75FE4"/>
    <w:rsid w:val="00A769F4"/>
    <w:rsid w:val="00A776B4"/>
    <w:rsid w:val="00A80437"/>
    <w:rsid w:val="00A813FC"/>
    <w:rsid w:val="00A85027"/>
    <w:rsid w:val="00A87D7D"/>
    <w:rsid w:val="00A94361"/>
    <w:rsid w:val="00A94975"/>
    <w:rsid w:val="00A96107"/>
    <w:rsid w:val="00AA0756"/>
    <w:rsid w:val="00AA08AE"/>
    <w:rsid w:val="00AA185D"/>
    <w:rsid w:val="00AA1F4C"/>
    <w:rsid w:val="00AA293C"/>
    <w:rsid w:val="00AA38F5"/>
    <w:rsid w:val="00AA6751"/>
    <w:rsid w:val="00AB08DB"/>
    <w:rsid w:val="00AB189E"/>
    <w:rsid w:val="00AB3A29"/>
    <w:rsid w:val="00AB6233"/>
    <w:rsid w:val="00AB6535"/>
    <w:rsid w:val="00AC0BA1"/>
    <w:rsid w:val="00AC2799"/>
    <w:rsid w:val="00AC2A54"/>
    <w:rsid w:val="00AC4E5F"/>
    <w:rsid w:val="00AC6574"/>
    <w:rsid w:val="00AD060C"/>
    <w:rsid w:val="00AD2D81"/>
    <w:rsid w:val="00AD2DB4"/>
    <w:rsid w:val="00AD410D"/>
    <w:rsid w:val="00AD4866"/>
    <w:rsid w:val="00AD69E2"/>
    <w:rsid w:val="00AE3CDC"/>
    <w:rsid w:val="00AF2567"/>
    <w:rsid w:val="00AF51FD"/>
    <w:rsid w:val="00AF6BCD"/>
    <w:rsid w:val="00AF786C"/>
    <w:rsid w:val="00AF7BC2"/>
    <w:rsid w:val="00B0339A"/>
    <w:rsid w:val="00B13BA0"/>
    <w:rsid w:val="00B142E6"/>
    <w:rsid w:val="00B15AF2"/>
    <w:rsid w:val="00B175C4"/>
    <w:rsid w:val="00B21201"/>
    <w:rsid w:val="00B221E2"/>
    <w:rsid w:val="00B26684"/>
    <w:rsid w:val="00B30179"/>
    <w:rsid w:val="00B315BC"/>
    <w:rsid w:val="00B355A4"/>
    <w:rsid w:val="00B37970"/>
    <w:rsid w:val="00B41C60"/>
    <w:rsid w:val="00B5018F"/>
    <w:rsid w:val="00B502F4"/>
    <w:rsid w:val="00B54623"/>
    <w:rsid w:val="00B54E29"/>
    <w:rsid w:val="00B54F31"/>
    <w:rsid w:val="00B55EA1"/>
    <w:rsid w:val="00B56304"/>
    <w:rsid w:val="00B56E4A"/>
    <w:rsid w:val="00B56E9C"/>
    <w:rsid w:val="00B63D86"/>
    <w:rsid w:val="00B64B1F"/>
    <w:rsid w:val="00B6553F"/>
    <w:rsid w:val="00B670E5"/>
    <w:rsid w:val="00B67FF7"/>
    <w:rsid w:val="00B70434"/>
    <w:rsid w:val="00B71321"/>
    <w:rsid w:val="00B72017"/>
    <w:rsid w:val="00B7243A"/>
    <w:rsid w:val="00B752E7"/>
    <w:rsid w:val="00B75F88"/>
    <w:rsid w:val="00B77D05"/>
    <w:rsid w:val="00B8108B"/>
    <w:rsid w:val="00B81206"/>
    <w:rsid w:val="00B81E12"/>
    <w:rsid w:val="00B831AF"/>
    <w:rsid w:val="00B849C5"/>
    <w:rsid w:val="00B91BFB"/>
    <w:rsid w:val="00B92937"/>
    <w:rsid w:val="00B942FB"/>
    <w:rsid w:val="00B97EE2"/>
    <w:rsid w:val="00BA0251"/>
    <w:rsid w:val="00BA0C0A"/>
    <w:rsid w:val="00BA11BD"/>
    <w:rsid w:val="00BA523A"/>
    <w:rsid w:val="00BA7103"/>
    <w:rsid w:val="00BB0016"/>
    <w:rsid w:val="00BB01C6"/>
    <w:rsid w:val="00BB1F59"/>
    <w:rsid w:val="00BB7A33"/>
    <w:rsid w:val="00BC09DA"/>
    <w:rsid w:val="00BC2FDA"/>
    <w:rsid w:val="00BC33A4"/>
    <w:rsid w:val="00BC51C0"/>
    <w:rsid w:val="00BC5D65"/>
    <w:rsid w:val="00BC66B8"/>
    <w:rsid w:val="00BC6D0F"/>
    <w:rsid w:val="00BC7231"/>
    <w:rsid w:val="00BC74E9"/>
    <w:rsid w:val="00BD0476"/>
    <w:rsid w:val="00BD2830"/>
    <w:rsid w:val="00BD3046"/>
    <w:rsid w:val="00BD35AA"/>
    <w:rsid w:val="00BD7543"/>
    <w:rsid w:val="00BE01EA"/>
    <w:rsid w:val="00BE1D1F"/>
    <w:rsid w:val="00BE2529"/>
    <w:rsid w:val="00BE27ED"/>
    <w:rsid w:val="00BE59D0"/>
    <w:rsid w:val="00BF33AC"/>
    <w:rsid w:val="00BF3430"/>
    <w:rsid w:val="00BF68A8"/>
    <w:rsid w:val="00BF7CB3"/>
    <w:rsid w:val="00BF7EFD"/>
    <w:rsid w:val="00C0606B"/>
    <w:rsid w:val="00C11A03"/>
    <w:rsid w:val="00C20EEF"/>
    <w:rsid w:val="00C21A9F"/>
    <w:rsid w:val="00C21B80"/>
    <w:rsid w:val="00C278D1"/>
    <w:rsid w:val="00C323C5"/>
    <w:rsid w:val="00C36253"/>
    <w:rsid w:val="00C36B55"/>
    <w:rsid w:val="00C42634"/>
    <w:rsid w:val="00C430CB"/>
    <w:rsid w:val="00C43473"/>
    <w:rsid w:val="00C463DD"/>
    <w:rsid w:val="00C46FEC"/>
    <w:rsid w:val="00C4724C"/>
    <w:rsid w:val="00C52231"/>
    <w:rsid w:val="00C52EF6"/>
    <w:rsid w:val="00C5333C"/>
    <w:rsid w:val="00C54B97"/>
    <w:rsid w:val="00C551DF"/>
    <w:rsid w:val="00C600B5"/>
    <w:rsid w:val="00C614CA"/>
    <w:rsid w:val="00C629A0"/>
    <w:rsid w:val="00C63BB2"/>
    <w:rsid w:val="00C646CC"/>
    <w:rsid w:val="00C71E3F"/>
    <w:rsid w:val="00C72FD2"/>
    <w:rsid w:val="00C745C3"/>
    <w:rsid w:val="00C75018"/>
    <w:rsid w:val="00C771F0"/>
    <w:rsid w:val="00C77495"/>
    <w:rsid w:val="00C776A8"/>
    <w:rsid w:val="00C8065A"/>
    <w:rsid w:val="00C8232B"/>
    <w:rsid w:val="00C8427B"/>
    <w:rsid w:val="00C846A6"/>
    <w:rsid w:val="00C934D9"/>
    <w:rsid w:val="00C95382"/>
    <w:rsid w:val="00C97227"/>
    <w:rsid w:val="00CA19C4"/>
    <w:rsid w:val="00CA7286"/>
    <w:rsid w:val="00CA7E02"/>
    <w:rsid w:val="00CB05CE"/>
    <w:rsid w:val="00CB2CF9"/>
    <w:rsid w:val="00CC0B2C"/>
    <w:rsid w:val="00CC3AC7"/>
    <w:rsid w:val="00CC6560"/>
    <w:rsid w:val="00CD2E23"/>
    <w:rsid w:val="00CD518D"/>
    <w:rsid w:val="00CE046C"/>
    <w:rsid w:val="00CE24FE"/>
    <w:rsid w:val="00CE4A8F"/>
    <w:rsid w:val="00CF4097"/>
    <w:rsid w:val="00CF4928"/>
    <w:rsid w:val="00CF4D76"/>
    <w:rsid w:val="00CF7BB2"/>
    <w:rsid w:val="00D00E0F"/>
    <w:rsid w:val="00D04711"/>
    <w:rsid w:val="00D047A4"/>
    <w:rsid w:val="00D1111F"/>
    <w:rsid w:val="00D113CB"/>
    <w:rsid w:val="00D13032"/>
    <w:rsid w:val="00D15FF1"/>
    <w:rsid w:val="00D160AC"/>
    <w:rsid w:val="00D2031B"/>
    <w:rsid w:val="00D210FA"/>
    <w:rsid w:val="00D21697"/>
    <w:rsid w:val="00D2330D"/>
    <w:rsid w:val="00D235AD"/>
    <w:rsid w:val="00D25FE2"/>
    <w:rsid w:val="00D30A7E"/>
    <w:rsid w:val="00D31DA8"/>
    <w:rsid w:val="00D32B30"/>
    <w:rsid w:val="00D3446B"/>
    <w:rsid w:val="00D415E7"/>
    <w:rsid w:val="00D43252"/>
    <w:rsid w:val="00D467EA"/>
    <w:rsid w:val="00D46866"/>
    <w:rsid w:val="00D474BC"/>
    <w:rsid w:val="00D475A5"/>
    <w:rsid w:val="00D47706"/>
    <w:rsid w:val="00D47EEA"/>
    <w:rsid w:val="00D526E5"/>
    <w:rsid w:val="00D531B9"/>
    <w:rsid w:val="00D541DC"/>
    <w:rsid w:val="00D57706"/>
    <w:rsid w:val="00D6382B"/>
    <w:rsid w:val="00D63B85"/>
    <w:rsid w:val="00D63DB8"/>
    <w:rsid w:val="00D6537E"/>
    <w:rsid w:val="00D7076B"/>
    <w:rsid w:val="00D7080E"/>
    <w:rsid w:val="00D722FE"/>
    <w:rsid w:val="00D7276B"/>
    <w:rsid w:val="00D76465"/>
    <w:rsid w:val="00D8088D"/>
    <w:rsid w:val="00D816FE"/>
    <w:rsid w:val="00D859F3"/>
    <w:rsid w:val="00D90828"/>
    <w:rsid w:val="00D93CC8"/>
    <w:rsid w:val="00D95303"/>
    <w:rsid w:val="00D9677B"/>
    <w:rsid w:val="00D978C6"/>
    <w:rsid w:val="00DA098D"/>
    <w:rsid w:val="00DA173E"/>
    <w:rsid w:val="00DA3C1C"/>
    <w:rsid w:val="00DA5A57"/>
    <w:rsid w:val="00DB029F"/>
    <w:rsid w:val="00DB07B4"/>
    <w:rsid w:val="00DB0D91"/>
    <w:rsid w:val="00DB2011"/>
    <w:rsid w:val="00DB34D3"/>
    <w:rsid w:val="00DB4315"/>
    <w:rsid w:val="00DB69A6"/>
    <w:rsid w:val="00DB6B5D"/>
    <w:rsid w:val="00DC008D"/>
    <w:rsid w:val="00DC1764"/>
    <w:rsid w:val="00DC28B4"/>
    <w:rsid w:val="00DC353F"/>
    <w:rsid w:val="00DC647C"/>
    <w:rsid w:val="00DC651B"/>
    <w:rsid w:val="00DC7199"/>
    <w:rsid w:val="00DC78D8"/>
    <w:rsid w:val="00DD0F04"/>
    <w:rsid w:val="00DD3FD5"/>
    <w:rsid w:val="00DD483D"/>
    <w:rsid w:val="00DD5674"/>
    <w:rsid w:val="00DE2C34"/>
    <w:rsid w:val="00DF16C8"/>
    <w:rsid w:val="00DF2412"/>
    <w:rsid w:val="00DF5290"/>
    <w:rsid w:val="00DF697B"/>
    <w:rsid w:val="00DF78F9"/>
    <w:rsid w:val="00E0598B"/>
    <w:rsid w:val="00E07C02"/>
    <w:rsid w:val="00E16C1B"/>
    <w:rsid w:val="00E17FBA"/>
    <w:rsid w:val="00E20E49"/>
    <w:rsid w:val="00E27346"/>
    <w:rsid w:val="00E30F04"/>
    <w:rsid w:val="00E32EFC"/>
    <w:rsid w:val="00E4106B"/>
    <w:rsid w:val="00E421CE"/>
    <w:rsid w:val="00E42777"/>
    <w:rsid w:val="00E42D20"/>
    <w:rsid w:val="00E51FAA"/>
    <w:rsid w:val="00E564AE"/>
    <w:rsid w:val="00E57383"/>
    <w:rsid w:val="00E610A5"/>
    <w:rsid w:val="00E62DBB"/>
    <w:rsid w:val="00E6369C"/>
    <w:rsid w:val="00E63A2C"/>
    <w:rsid w:val="00E67F73"/>
    <w:rsid w:val="00E7141E"/>
    <w:rsid w:val="00E71BC8"/>
    <w:rsid w:val="00E7260F"/>
    <w:rsid w:val="00E74046"/>
    <w:rsid w:val="00E741B9"/>
    <w:rsid w:val="00E773D1"/>
    <w:rsid w:val="00E77762"/>
    <w:rsid w:val="00E817E8"/>
    <w:rsid w:val="00E90937"/>
    <w:rsid w:val="00E90EB0"/>
    <w:rsid w:val="00E91480"/>
    <w:rsid w:val="00E94F70"/>
    <w:rsid w:val="00E9656A"/>
    <w:rsid w:val="00E96630"/>
    <w:rsid w:val="00E96A20"/>
    <w:rsid w:val="00EA1CA3"/>
    <w:rsid w:val="00EA37A7"/>
    <w:rsid w:val="00EA5A36"/>
    <w:rsid w:val="00EB7B5C"/>
    <w:rsid w:val="00EC0C9E"/>
    <w:rsid w:val="00EC20AA"/>
    <w:rsid w:val="00EC2A4E"/>
    <w:rsid w:val="00EC2FFE"/>
    <w:rsid w:val="00ED081C"/>
    <w:rsid w:val="00ED4C8D"/>
    <w:rsid w:val="00ED68C0"/>
    <w:rsid w:val="00ED7052"/>
    <w:rsid w:val="00ED775A"/>
    <w:rsid w:val="00ED7A2A"/>
    <w:rsid w:val="00EE0DCB"/>
    <w:rsid w:val="00EE257B"/>
    <w:rsid w:val="00EE33AA"/>
    <w:rsid w:val="00EF097F"/>
    <w:rsid w:val="00EF1D7F"/>
    <w:rsid w:val="00EF6E5A"/>
    <w:rsid w:val="00EF73B1"/>
    <w:rsid w:val="00F00937"/>
    <w:rsid w:val="00F00F7D"/>
    <w:rsid w:val="00F01445"/>
    <w:rsid w:val="00F018F6"/>
    <w:rsid w:val="00F029AC"/>
    <w:rsid w:val="00F046A9"/>
    <w:rsid w:val="00F04E00"/>
    <w:rsid w:val="00F11830"/>
    <w:rsid w:val="00F152AC"/>
    <w:rsid w:val="00F16CD2"/>
    <w:rsid w:val="00F209F8"/>
    <w:rsid w:val="00F219CF"/>
    <w:rsid w:val="00F225C5"/>
    <w:rsid w:val="00F231BF"/>
    <w:rsid w:val="00F3110E"/>
    <w:rsid w:val="00F31426"/>
    <w:rsid w:val="00F3165C"/>
    <w:rsid w:val="00F320D7"/>
    <w:rsid w:val="00F34539"/>
    <w:rsid w:val="00F34701"/>
    <w:rsid w:val="00F359D9"/>
    <w:rsid w:val="00F36C43"/>
    <w:rsid w:val="00F42CCC"/>
    <w:rsid w:val="00F52B18"/>
    <w:rsid w:val="00F5394C"/>
    <w:rsid w:val="00F53D75"/>
    <w:rsid w:val="00F562CC"/>
    <w:rsid w:val="00F56E39"/>
    <w:rsid w:val="00F57E5D"/>
    <w:rsid w:val="00F6222D"/>
    <w:rsid w:val="00F62E79"/>
    <w:rsid w:val="00F64210"/>
    <w:rsid w:val="00F64B3B"/>
    <w:rsid w:val="00F66BA0"/>
    <w:rsid w:val="00F71800"/>
    <w:rsid w:val="00F7291F"/>
    <w:rsid w:val="00F72BCC"/>
    <w:rsid w:val="00F734CA"/>
    <w:rsid w:val="00F817FB"/>
    <w:rsid w:val="00F81C62"/>
    <w:rsid w:val="00F929D2"/>
    <w:rsid w:val="00F93781"/>
    <w:rsid w:val="00F94C80"/>
    <w:rsid w:val="00F96087"/>
    <w:rsid w:val="00F96B95"/>
    <w:rsid w:val="00FA2FCC"/>
    <w:rsid w:val="00FA5869"/>
    <w:rsid w:val="00FA666F"/>
    <w:rsid w:val="00FB1B54"/>
    <w:rsid w:val="00FB2A9C"/>
    <w:rsid w:val="00FB2C8C"/>
    <w:rsid w:val="00FB4303"/>
    <w:rsid w:val="00FB51FF"/>
    <w:rsid w:val="00FB613B"/>
    <w:rsid w:val="00FC4008"/>
    <w:rsid w:val="00FC46BA"/>
    <w:rsid w:val="00FC68B7"/>
    <w:rsid w:val="00FD1B4A"/>
    <w:rsid w:val="00FD1C2B"/>
    <w:rsid w:val="00FD434D"/>
    <w:rsid w:val="00FD5D31"/>
    <w:rsid w:val="00FD653D"/>
    <w:rsid w:val="00FE106A"/>
    <w:rsid w:val="00FE2260"/>
    <w:rsid w:val="00FE2844"/>
    <w:rsid w:val="00FE4C87"/>
    <w:rsid w:val="00FE5DEB"/>
    <w:rsid w:val="00FE7B98"/>
    <w:rsid w:val="00FF0833"/>
    <w:rsid w:val="00FF1EDA"/>
    <w:rsid w:val="00FF32BC"/>
    <w:rsid w:val="00FF3543"/>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D46866"/>
    <w:rPr>
      <w:sz w:val="18"/>
      <w:lang w:eastAsia="en-US"/>
    </w:rPr>
  </w:style>
  <w:style w:type="character" w:customStyle="1" w:styleId="SingleTxtGChar">
    <w:name w:val="_ Single Txt_G Char"/>
    <w:link w:val="SingleTxtG"/>
    <w:rsid w:val="00BA0251"/>
    <w:rPr>
      <w:lang w:eastAsia="en-US"/>
    </w:rPr>
  </w:style>
  <w:style w:type="paragraph" w:styleId="ListParagraph">
    <w:name w:val="List Paragraph"/>
    <w:basedOn w:val="Normal"/>
    <w:uiPriority w:val="99"/>
    <w:qFormat/>
    <w:rsid w:val="007629BC"/>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D3A52"/>
    <w:pPr>
      <w:spacing w:line="240" w:lineRule="auto"/>
    </w:pPr>
    <w:rPr>
      <w:rFonts w:ascii="Tahoma" w:hAnsi="Tahoma" w:cs="Tahoma"/>
      <w:sz w:val="16"/>
      <w:szCs w:val="16"/>
    </w:rPr>
  </w:style>
  <w:style w:type="character" w:customStyle="1" w:styleId="BalloonTextChar">
    <w:name w:val="Balloon Text Char"/>
    <w:link w:val="BalloonText"/>
    <w:rsid w:val="009D3A52"/>
    <w:rPr>
      <w:rFonts w:ascii="Tahoma" w:hAnsi="Tahoma" w:cs="Tahoma"/>
      <w:sz w:val="16"/>
      <w:szCs w:val="16"/>
      <w:lang w:val="en-GB" w:eastAsia="en-US"/>
    </w:rPr>
  </w:style>
  <w:style w:type="character" w:customStyle="1" w:styleId="highlight1">
    <w:name w:val="highlight1"/>
    <w:rsid w:val="00AC6574"/>
    <w:rPr>
      <w:shd w:val="clear" w:color="auto" w:fill="FFCC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79">
      <w:bodyDiv w:val="1"/>
      <w:marLeft w:val="0"/>
      <w:marRight w:val="0"/>
      <w:marTop w:val="0"/>
      <w:marBottom w:val="0"/>
      <w:divBdr>
        <w:top w:val="none" w:sz="0" w:space="0" w:color="auto"/>
        <w:left w:val="none" w:sz="0" w:space="0" w:color="auto"/>
        <w:bottom w:val="none" w:sz="0" w:space="0" w:color="auto"/>
        <w:right w:val="none" w:sz="0" w:space="0" w:color="auto"/>
      </w:divBdr>
    </w:div>
    <w:div w:id="14767310">
      <w:bodyDiv w:val="1"/>
      <w:marLeft w:val="0"/>
      <w:marRight w:val="0"/>
      <w:marTop w:val="0"/>
      <w:marBottom w:val="0"/>
      <w:divBdr>
        <w:top w:val="none" w:sz="0" w:space="0" w:color="auto"/>
        <w:left w:val="none" w:sz="0" w:space="0" w:color="auto"/>
        <w:bottom w:val="none" w:sz="0" w:space="0" w:color="auto"/>
        <w:right w:val="none" w:sz="0" w:space="0" w:color="auto"/>
      </w:divBdr>
    </w:div>
    <w:div w:id="170029879">
      <w:bodyDiv w:val="1"/>
      <w:marLeft w:val="0"/>
      <w:marRight w:val="0"/>
      <w:marTop w:val="0"/>
      <w:marBottom w:val="0"/>
      <w:divBdr>
        <w:top w:val="none" w:sz="0" w:space="0" w:color="auto"/>
        <w:left w:val="none" w:sz="0" w:space="0" w:color="auto"/>
        <w:bottom w:val="none" w:sz="0" w:space="0" w:color="auto"/>
        <w:right w:val="none" w:sz="0" w:space="0" w:color="auto"/>
      </w:divBdr>
    </w:div>
    <w:div w:id="691541154">
      <w:bodyDiv w:val="1"/>
      <w:marLeft w:val="0"/>
      <w:marRight w:val="0"/>
      <w:marTop w:val="0"/>
      <w:marBottom w:val="0"/>
      <w:divBdr>
        <w:top w:val="none" w:sz="0" w:space="0" w:color="auto"/>
        <w:left w:val="none" w:sz="0" w:space="0" w:color="auto"/>
        <w:bottom w:val="none" w:sz="0" w:space="0" w:color="auto"/>
        <w:right w:val="none" w:sz="0" w:space="0" w:color="auto"/>
      </w:divBdr>
    </w:div>
    <w:div w:id="1446846277">
      <w:bodyDiv w:val="1"/>
      <w:marLeft w:val="0"/>
      <w:marRight w:val="0"/>
      <w:marTop w:val="0"/>
      <w:marBottom w:val="0"/>
      <w:divBdr>
        <w:top w:val="none" w:sz="0" w:space="0" w:color="auto"/>
        <w:left w:val="none" w:sz="0" w:space="0" w:color="auto"/>
        <w:bottom w:val="none" w:sz="0" w:space="0" w:color="auto"/>
        <w:right w:val="none" w:sz="0" w:space="0" w:color="auto"/>
      </w:divBdr>
    </w:div>
    <w:div w:id="18900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4</TotalTime>
  <Pages>1</Pages>
  <Words>4495</Words>
  <Characters>25040</Characters>
  <Application>Microsoft Office Word</Application>
  <DocSecurity>4</DocSecurity>
  <Lines>424</Lines>
  <Paragraphs>142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2012-12-14T11:44:00Z</cp:lastPrinted>
  <dcterms:created xsi:type="dcterms:W3CDTF">2013-01-23T09:28:00Z</dcterms:created>
  <dcterms:modified xsi:type="dcterms:W3CDTF">2013-01-23T09:28:00Z</dcterms:modified>
</cp:coreProperties>
</file>