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27BA7" w:rsidRPr="00D47EEA" w:rsidTr="00D9028B">
        <w:trPr>
          <w:trHeight w:hRule="exact" w:val="851"/>
        </w:trPr>
        <w:tc>
          <w:tcPr>
            <w:tcW w:w="1276" w:type="dxa"/>
            <w:tcBorders>
              <w:bottom w:val="single" w:sz="4" w:space="0" w:color="auto"/>
            </w:tcBorders>
            <w:vAlign w:val="bottom"/>
          </w:tcPr>
          <w:p w:rsidR="00B27BA7" w:rsidRDefault="00B27BA7" w:rsidP="00D9028B">
            <w:pPr>
              <w:spacing w:after="80"/>
            </w:pPr>
          </w:p>
        </w:tc>
        <w:tc>
          <w:tcPr>
            <w:tcW w:w="1985" w:type="dxa"/>
            <w:tcBorders>
              <w:bottom w:val="single" w:sz="4" w:space="0" w:color="auto"/>
            </w:tcBorders>
            <w:vAlign w:val="bottom"/>
          </w:tcPr>
          <w:p w:rsidR="00B27BA7" w:rsidRPr="00B97172" w:rsidRDefault="00B27BA7" w:rsidP="00D9028B">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27BA7" w:rsidRPr="00D47EEA" w:rsidRDefault="00B27BA7" w:rsidP="00D9028B">
            <w:pPr>
              <w:jc w:val="right"/>
            </w:pPr>
            <w:r w:rsidRPr="000E3AA6">
              <w:rPr>
                <w:sz w:val="40"/>
              </w:rPr>
              <w:t>CAT</w:t>
            </w:r>
            <w:r w:rsidR="009B6143">
              <w:t>/C/NPL</w:t>
            </w:r>
            <w:r>
              <w:t>/Q/</w:t>
            </w:r>
            <w:r w:rsidR="009B6143">
              <w:t>3-5</w:t>
            </w:r>
          </w:p>
        </w:tc>
      </w:tr>
      <w:tr w:rsidR="00B27BA7" w:rsidTr="00D9028B">
        <w:trPr>
          <w:cantSplit/>
          <w:trHeight w:hRule="exact" w:val="2835"/>
        </w:trPr>
        <w:tc>
          <w:tcPr>
            <w:tcW w:w="1276" w:type="dxa"/>
            <w:tcBorders>
              <w:top w:val="single" w:sz="4" w:space="0" w:color="auto"/>
              <w:bottom w:val="single" w:sz="12" w:space="0" w:color="auto"/>
            </w:tcBorders>
          </w:tcPr>
          <w:p w:rsidR="00B27BA7" w:rsidRDefault="00B27BA7" w:rsidP="00D9028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27BA7" w:rsidRPr="00267F5F" w:rsidRDefault="00B27BA7" w:rsidP="00D9028B">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B27BA7" w:rsidRDefault="00B27BA7" w:rsidP="00D9028B">
            <w:pPr>
              <w:spacing w:before="240" w:line="240" w:lineRule="exact"/>
            </w:pPr>
            <w:r>
              <w:t>Distr.: General</w:t>
            </w:r>
          </w:p>
          <w:p w:rsidR="00B27BA7" w:rsidRDefault="00851EC0" w:rsidP="00D9028B">
            <w:pPr>
              <w:spacing w:line="240" w:lineRule="exact"/>
            </w:pPr>
            <w:r>
              <w:t>1</w:t>
            </w:r>
            <w:r w:rsidR="00305C4B">
              <w:t>7</w:t>
            </w:r>
            <w:r w:rsidR="00B27BA7">
              <w:t xml:space="preserve"> February 2011</w:t>
            </w:r>
          </w:p>
          <w:p w:rsidR="00B27BA7" w:rsidRDefault="00B27BA7" w:rsidP="00D9028B">
            <w:pPr>
              <w:spacing w:line="240" w:lineRule="exact"/>
            </w:pPr>
          </w:p>
          <w:p w:rsidR="00B27BA7" w:rsidRDefault="00B27BA7" w:rsidP="00D9028B">
            <w:pPr>
              <w:spacing w:line="240" w:lineRule="exact"/>
            </w:pPr>
            <w:r>
              <w:t>Original: English</w:t>
            </w:r>
          </w:p>
        </w:tc>
      </w:tr>
    </w:tbl>
    <w:p w:rsidR="0066294B" w:rsidRPr="00AC5D9B" w:rsidRDefault="0066294B" w:rsidP="0066294B">
      <w:pPr>
        <w:spacing w:before="120"/>
        <w:rPr>
          <w:b/>
          <w:sz w:val="24"/>
          <w:szCs w:val="24"/>
        </w:rPr>
      </w:pPr>
      <w:r>
        <w:rPr>
          <w:b/>
          <w:sz w:val="24"/>
          <w:szCs w:val="24"/>
        </w:rPr>
        <w:t>Committee against Torture</w:t>
      </w:r>
    </w:p>
    <w:p w:rsidR="0066294B" w:rsidRDefault="0066294B" w:rsidP="0066294B">
      <w:pPr>
        <w:rPr>
          <w:b/>
        </w:rPr>
      </w:pPr>
      <w:r>
        <w:rPr>
          <w:b/>
        </w:rPr>
        <w:t>Forty-fifth session</w:t>
      </w:r>
    </w:p>
    <w:p w:rsidR="0066294B" w:rsidRDefault="0066294B" w:rsidP="0066294B">
      <w:r>
        <w:t>1-19 November 2010</w:t>
      </w:r>
    </w:p>
    <w:p w:rsidR="009B6143" w:rsidRPr="00EA4677" w:rsidRDefault="0066294B" w:rsidP="00EA4677">
      <w:pPr>
        <w:pStyle w:val="H1G"/>
      </w:pPr>
      <w:r>
        <w:tab/>
      </w:r>
      <w:r>
        <w:tab/>
      </w:r>
      <w:r w:rsidR="009B6143" w:rsidRPr="00797F69">
        <w:t xml:space="preserve">List of issues prior to the submission of the </w:t>
      </w:r>
      <w:r w:rsidR="009B6143">
        <w:t>third, fourth and fifth</w:t>
      </w:r>
      <w:r w:rsidR="009B6143" w:rsidRPr="00797F69">
        <w:t xml:space="preserve"> periodic report</w:t>
      </w:r>
      <w:r w:rsidR="009B6143">
        <w:t>s</w:t>
      </w:r>
      <w:r w:rsidR="009B6143" w:rsidRPr="00797F69">
        <w:t xml:space="preserve"> of </w:t>
      </w:r>
      <w:smartTag w:uri="urn:schemas-microsoft-com:office:smarttags" w:element="place">
        <w:smartTag w:uri="urn:schemas-microsoft-com:office:smarttags" w:element="country-region">
          <w:r w:rsidR="00EA4677">
            <w:rPr>
              <w:bCs/>
            </w:rPr>
            <w:t>Nepal</w:t>
          </w:r>
        </w:smartTag>
      </w:smartTag>
      <w:r w:rsidR="009B6143" w:rsidRPr="00797F69">
        <w:rPr>
          <w:bCs/>
        </w:rPr>
        <w:t xml:space="preserve"> (CAT/C/</w:t>
      </w:r>
      <w:r w:rsidR="009B6143">
        <w:rPr>
          <w:bCs/>
        </w:rPr>
        <w:t>NPL</w:t>
      </w:r>
      <w:r w:rsidR="009B6143" w:rsidRPr="00797F69">
        <w:rPr>
          <w:bCs/>
        </w:rPr>
        <w:t>/</w:t>
      </w:r>
      <w:r w:rsidR="009B6143">
        <w:rPr>
          <w:bCs/>
        </w:rPr>
        <w:t>3-5</w:t>
      </w:r>
      <w:r w:rsidR="009B6143" w:rsidRPr="00797F69">
        <w:rPr>
          <w:bCs/>
        </w:rPr>
        <w:t>)</w:t>
      </w:r>
      <w:r w:rsidR="009B6143" w:rsidRPr="00B47E03">
        <w:rPr>
          <w:rStyle w:val="FootnoteReference"/>
          <w:b w:val="0"/>
          <w:bCs/>
        </w:rPr>
        <w:footnoteReference w:customMarkFollows="1" w:id="2"/>
        <w:sym w:font="Symbol" w:char="F02A"/>
      </w:r>
    </w:p>
    <w:p w:rsidR="009B6143" w:rsidRPr="00797F69" w:rsidRDefault="00EA4677" w:rsidP="00EA4677">
      <w:pPr>
        <w:pStyle w:val="HChG"/>
      </w:pPr>
      <w:r>
        <w:tab/>
      </w:r>
      <w:r>
        <w:tab/>
      </w:r>
      <w:r w:rsidR="009B6143" w:rsidRPr="00797F69">
        <w:t>Specific information on the implementation of articles 1 to 16 of the Convention, including with regard to the Committee previous recommendations</w:t>
      </w:r>
    </w:p>
    <w:p w:rsidR="009B6143" w:rsidRPr="00797F69" w:rsidRDefault="00EA4677" w:rsidP="00EA4677">
      <w:pPr>
        <w:pStyle w:val="H1G"/>
      </w:pPr>
      <w:r>
        <w:tab/>
      </w:r>
      <w:r>
        <w:tab/>
      </w:r>
      <w:r w:rsidR="009B6143" w:rsidRPr="00797F69">
        <w:t>Articles 1 and 4</w:t>
      </w:r>
    </w:p>
    <w:p w:rsidR="009B6143" w:rsidRPr="00513607" w:rsidRDefault="00865713" w:rsidP="00865713">
      <w:pPr>
        <w:pStyle w:val="SingleTxtG"/>
      </w:pPr>
      <w:r>
        <w:t xml:space="preserve">1. </w:t>
      </w:r>
      <w:r w:rsidR="009B6143" w:rsidRPr="00797F69">
        <w:t>With reference to the Committee’s previous concluding observations (CAT/C/NPL/CO/2</w:t>
      </w:r>
      <w:r w:rsidR="00F17FCC">
        <w:t>) (</w:t>
      </w:r>
      <w:r w:rsidR="00156DB9">
        <w:t>para. 12</w:t>
      </w:r>
      <w:r w:rsidR="009B6143" w:rsidRPr="00797F69">
        <w:t>)</w:t>
      </w:r>
      <w:r w:rsidR="009B6143">
        <w:rPr>
          <w:rStyle w:val="FootnoteReference"/>
        </w:rPr>
        <w:footnoteReference w:id="3"/>
      </w:r>
      <w:r w:rsidR="009B6143" w:rsidRPr="00797F69">
        <w:t xml:space="preserve"> and further to the State party’s </w:t>
      </w:r>
      <w:r w:rsidR="009B6143">
        <w:t>follow-up replies</w:t>
      </w:r>
      <w:r w:rsidR="009B6143" w:rsidRPr="00797F69">
        <w:t xml:space="preserve"> (CAT/C/NPL/CO/2/Add.1), please provide detailed information on the current status of the draft Torture Act and the draft Criminal Code and when they are expected to be adopted. Please provide further information on how these pieces of legislation will include a broader definition of torture in conformity with article 1 of the Convention and ensure that torture is criminalized and penalties are commensurate with the gravity of </w:t>
      </w:r>
      <w:r w:rsidR="009B6143">
        <w:t xml:space="preserve">acts of </w:t>
      </w:r>
      <w:r w:rsidR="009B6143" w:rsidRPr="00797F69">
        <w:t>torture</w:t>
      </w:r>
      <w:r w:rsidR="00156DB9">
        <w:t>.</w:t>
      </w:r>
      <w:r w:rsidR="009B6143" w:rsidRPr="00797F69">
        <w:t xml:space="preserve"> </w:t>
      </w:r>
    </w:p>
    <w:p w:rsidR="009B6143" w:rsidRPr="00797F69" w:rsidRDefault="00865713" w:rsidP="00865713">
      <w:pPr>
        <w:pStyle w:val="SingleTxtG"/>
      </w:pPr>
      <w:r>
        <w:t>2.</w:t>
      </w:r>
      <w:r>
        <w:tab/>
      </w:r>
      <w:r w:rsidR="009B6143" w:rsidRPr="00797F69">
        <w:t>Please indicate the progress made in amending the draft Disappearance of Persons (Crime and Punishment) Bill to include a definition of the term “enforced disappearance”, establish a minimum and maximum penalty for the crime of enforced disappearance, ensure that the future Commission of inquiry is granted enough powers to fulfil its mandate and ensure necessary protection of witnesses and families of victims. Please indicate a timeline for its possible adoption</w:t>
      </w:r>
      <w:r w:rsidR="009B6143" w:rsidRPr="00797F69">
        <w:rPr>
          <w:rStyle w:val="FootnoteReference"/>
        </w:rPr>
        <w:footnoteReference w:id="4"/>
      </w:r>
      <w:r w:rsidR="009B6143" w:rsidRPr="00797F69">
        <w:t xml:space="preserve">. </w:t>
      </w:r>
    </w:p>
    <w:p w:rsidR="009B6143" w:rsidRPr="00797F69" w:rsidRDefault="008B0574" w:rsidP="008B0574">
      <w:pPr>
        <w:pStyle w:val="H1G"/>
      </w:pPr>
      <w:r>
        <w:tab/>
      </w:r>
      <w:r>
        <w:tab/>
      </w:r>
      <w:r w:rsidR="009B6143" w:rsidRPr="00797F69">
        <w:t>Article 2</w:t>
      </w:r>
      <w:r w:rsidR="009B6143">
        <w:rPr>
          <w:rStyle w:val="FootnoteReference"/>
          <w:b w:val="0"/>
          <w:bCs/>
        </w:rPr>
        <w:footnoteReference w:id="5"/>
      </w:r>
    </w:p>
    <w:p w:rsidR="009B6143" w:rsidRPr="00797F69" w:rsidRDefault="008B0574" w:rsidP="008B0574">
      <w:pPr>
        <w:pStyle w:val="SingleTxtG"/>
      </w:pPr>
      <w:r>
        <w:t>3.</w:t>
      </w:r>
      <w:r>
        <w:tab/>
      </w:r>
      <w:r w:rsidR="009B6143">
        <w:t>Please provide information on measures taken to ensure that all detainees are offered, in practice, fundamental legal safeguards from the outset of detention</w:t>
      </w:r>
      <w:r w:rsidR="002313B4">
        <w:t>, including</w:t>
      </w:r>
      <w:r w:rsidR="009B6143">
        <w:t xml:space="preserve"> access to </w:t>
      </w:r>
      <w:r w:rsidR="002313B4">
        <w:t xml:space="preserve">a </w:t>
      </w:r>
      <w:r w:rsidR="009B6143">
        <w:t>lawyer, doctor of their own choice, contact with their families, and habeas corpus.</w:t>
      </w:r>
    </w:p>
    <w:p w:rsidR="009B6143" w:rsidRDefault="008B0574" w:rsidP="008B0574">
      <w:pPr>
        <w:pStyle w:val="SingleTxtG"/>
      </w:pPr>
      <w:r>
        <w:t>4.</w:t>
      </w:r>
      <w:r>
        <w:tab/>
      </w:r>
      <w:r w:rsidR="009B6143" w:rsidRPr="00797F69">
        <w:t xml:space="preserve">Please provide information on the right to habeas corpus under the Public Offences Act and </w:t>
      </w:r>
      <w:r w:rsidR="002313B4">
        <w:t xml:space="preserve">the </w:t>
      </w:r>
      <w:r w:rsidR="009B6143" w:rsidRPr="00797F69">
        <w:t>Arms and Ammunition Act. Kindly provide information on steps taken to bring the powers of the Chief District Officer (CDO) in conformity with international standards, more specifically on detainees’ access to a lawyer, right to a defen</w:t>
      </w:r>
      <w:r w:rsidR="002313B4">
        <w:t>c</w:t>
      </w:r>
      <w:r w:rsidR="009B6143" w:rsidRPr="00797F69">
        <w:t xml:space="preserve">e and right to appeal the Chief District Officer’s decisions. </w:t>
      </w:r>
    </w:p>
    <w:p w:rsidR="009B6143" w:rsidRPr="00797F69" w:rsidRDefault="008B0574" w:rsidP="008B0574">
      <w:pPr>
        <w:pStyle w:val="SingleTxtG"/>
      </w:pPr>
      <w:r>
        <w:t>5.</w:t>
      </w:r>
      <w:r>
        <w:tab/>
      </w:r>
      <w:r w:rsidR="009B6143" w:rsidRPr="00797F69">
        <w:t xml:space="preserve">What steps have been taken to ensure a strict implementation of paragraph 14 (1) of the State Cases Act, </w:t>
      </w:r>
      <w:r w:rsidR="00B9536E">
        <w:t>2049 (</w:t>
      </w:r>
      <w:r w:rsidR="009B6143" w:rsidRPr="00797F69">
        <w:t xml:space="preserve">1992) whereby arrest warrants should be provided to detainees at the time of arrest and not several days after </w:t>
      </w:r>
      <w:r w:rsidR="00B9536E">
        <w:t xml:space="preserve">the </w:t>
      </w:r>
      <w:r w:rsidR="009B6143" w:rsidRPr="00797F69">
        <w:t>arrest? Please provide information on the possible amendments of the law to ensure that habeas corpus includes systematic enquiry by judges and/or prosecutors of detainees’ treatment.</w:t>
      </w:r>
    </w:p>
    <w:p w:rsidR="009B6143" w:rsidRPr="00797F69" w:rsidRDefault="008B0574" w:rsidP="008B0574">
      <w:pPr>
        <w:pStyle w:val="SingleTxtG"/>
      </w:pPr>
      <w:r>
        <w:t>6.</w:t>
      </w:r>
      <w:r>
        <w:tab/>
      </w:r>
      <w:r w:rsidR="009B6143" w:rsidRPr="00797F69">
        <w:t xml:space="preserve">Referring to the State party’s </w:t>
      </w:r>
      <w:r w:rsidR="009B6143">
        <w:t>follow-up replies</w:t>
      </w:r>
      <w:r w:rsidR="00F17FCC">
        <w:t xml:space="preserve"> (para. 3)</w:t>
      </w:r>
      <w:r w:rsidR="009B6143" w:rsidRPr="00797F69">
        <w:t>, please provide information on the category of offences for which article 118 of the Civil Code requires a person to remain in custody pending trial. Please clarify the meaning of “exceptional circumstances” under which such custody is required</w:t>
      </w:r>
      <w:r w:rsidR="009B6143" w:rsidRPr="00797F69">
        <w:rPr>
          <w:rStyle w:val="FootnoteReference"/>
        </w:rPr>
        <w:footnoteReference w:id="6"/>
      </w:r>
      <w:r w:rsidR="009B6143" w:rsidRPr="00797F69">
        <w:t xml:space="preserve">. Please provide statistics on the proportion </w:t>
      </w:r>
      <w:r w:rsidR="00661E9E">
        <w:t xml:space="preserve">of </w:t>
      </w:r>
      <w:r w:rsidR="009B6143" w:rsidRPr="00797F69">
        <w:t>persons who remain</w:t>
      </w:r>
      <w:r w:rsidR="00661E9E">
        <w:t xml:space="preserve"> </w:t>
      </w:r>
      <w:r w:rsidR="009B6143" w:rsidRPr="00797F69">
        <w:t>in custody pending trial under article 118 of the Civil Code</w:t>
      </w:r>
      <w:r w:rsidR="00661E9E">
        <w:t>,</w:t>
      </w:r>
      <w:r w:rsidR="009B6143" w:rsidRPr="00797F69">
        <w:t xml:space="preserve"> and those who are released on bail pending trial.</w:t>
      </w:r>
    </w:p>
    <w:p w:rsidR="009B6143" w:rsidRPr="00797F69" w:rsidRDefault="008B0574" w:rsidP="008B0574">
      <w:pPr>
        <w:pStyle w:val="SingleTxtG"/>
      </w:pPr>
      <w:r>
        <w:t>7.</w:t>
      </w:r>
      <w:r>
        <w:tab/>
      </w:r>
      <w:r w:rsidR="009B6143" w:rsidRPr="00797F69">
        <w:t xml:space="preserve">In light of the Committee’s previous concluding observations </w:t>
      </w:r>
      <w:r w:rsidR="00661E9E" w:rsidRPr="00797F69">
        <w:t xml:space="preserve">(para. 21(d)) </w:t>
      </w:r>
      <w:r w:rsidR="009B6143" w:rsidRPr="00797F69">
        <w:t xml:space="preserve">in which it expressed concern about the inadequate access to medical check-up and the State party’s </w:t>
      </w:r>
      <w:r w:rsidR="00661E9E">
        <w:t>follow-up</w:t>
      </w:r>
      <w:r w:rsidR="00661E9E" w:rsidRPr="00797F69">
        <w:t xml:space="preserve"> </w:t>
      </w:r>
      <w:r w:rsidR="009B6143" w:rsidRPr="00797F69">
        <w:t>repl</w:t>
      </w:r>
      <w:r w:rsidR="00661E9E">
        <w:t>ies</w:t>
      </w:r>
      <w:r w:rsidR="009B6143" w:rsidRPr="00797F69">
        <w:t xml:space="preserve"> (para. 14), please provide information on steps taken to improve </w:t>
      </w:r>
      <w:r w:rsidR="00661E9E">
        <w:t xml:space="preserve">such </w:t>
      </w:r>
      <w:r w:rsidR="009B6143" w:rsidRPr="00797F69">
        <w:t xml:space="preserve">access in full conformity with the Istanbul Protocol, including the obligation to perform </w:t>
      </w:r>
      <w:r w:rsidR="00661E9E">
        <w:t xml:space="preserve">a </w:t>
      </w:r>
      <w:r w:rsidR="009B6143" w:rsidRPr="00797F69">
        <w:t>systematic and detailed medical examination at the time of arrest and upon release</w:t>
      </w:r>
      <w:r w:rsidR="00661E9E">
        <w:t>,</w:t>
      </w:r>
      <w:r w:rsidR="009B6143" w:rsidRPr="00797F69">
        <w:t xml:space="preserve"> and </w:t>
      </w:r>
      <w:r w:rsidR="00661E9E">
        <w:t xml:space="preserve">this </w:t>
      </w:r>
      <w:r w:rsidR="009B6143" w:rsidRPr="00797F69">
        <w:t xml:space="preserve">not only upon </w:t>
      </w:r>
      <w:r w:rsidR="00661E9E">
        <w:t xml:space="preserve">the </w:t>
      </w:r>
      <w:r w:rsidR="009B6143" w:rsidRPr="00797F69">
        <w:t>detainee</w:t>
      </w:r>
      <w:r w:rsidR="00661E9E">
        <w:t>’</w:t>
      </w:r>
      <w:r w:rsidR="009B6143" w:rsidRPr="00797F69">
        <w:t xml:space="preserve">s request. Please indicate how the State party intends to ensure that such medical examination is performed by qualified medical personnel and not the detaining authorities. Please also indicate the amendments </w:t>
      </w:r>
      <w:r w:rsidR="00661E9E">
        <w:t xml:space="preserve">that </w:t>
      </w:r>
      <w:r w:rsidR="009B6143" w:rsidRPr="00797F69">
        <w:t xml:space="preserve">the State party intends to make to ensure that such medical examination is performed without the presence of the detaining authority. </w:t>
      </w:r>
    </w:p>
    <w:p w:rsidR="009B6143" w:rsidRDefault="001A41D2" w:rsidP="008B0574">
      <w:pPr>
        <w:pStyle w:val="SingleTxtG"/>
      </w:pPr>
      <w:r>
        <w:t>8.</w:t>
      </w:r>
      <w:r>
        <w:tab/>
      </w:r>
      <w:r w:rsidR="009B6143" w:rsidRPr="00797F69">
        <w:t xml:space="preserve">With reference to the Committee’s previous concluding observations (para. 21(e)) and the State party’s </w:t>
      </w:r>
      <w:r w:rsidR="009B6143">
        <w:t>follow-up replies</w:t>
      </w:r>
      <w:r w:rsidR="009B6143" w:rsidRPr="00797F69">
        <w:t xml:space="preserve"> (para. 15), please provide statistics on the exact number and location of detention places and facilities, as well as documentation on how such facilities are designated.</w:t>
      </w:r>
      <w:r w:rsidR="009B6143" w:rsidRPr="00797F69">
        <w:rPr>
          <w:rStyle w:val="FootnoteReference"/>
        </w:rPr>
        <w:footnoteReference w:id="7"/>
      </w:r>
      <w:r w:rsidR="009B6143">
        <w:t xml:space="preserve"> Please explain the measures taken to address arbitrary detention especially during the initial period of custody.</w:t>
      </w:r>
    </w:p>
    <w:p w:rsidR="009B6143" w:rsidRPr="00797F69" w:rsidRDefault="001A41D2" w:rsidP="008B0574">
      <w:pPr>
        <w:pStyle w:val="SingleTxtG"/>
      </w:pPr>
      <w:r>
        <w:t>9</w:t>
      </w:r>
      <w:r w:rsidR="008B0574">
        <w:t>.</w:t>
      </w:r>
      <w:r w:rsidR="008B0574">
        <w:tab/>
      </w:r>
      <w:r w:rsidR="009B6143">
        <w:t xml:space="preserve">Please provide information on all the mechanisms put in place to </w:t>
      </w:r>
      <w:r w:rsidR="009B6143">
        <w:rPr>
          <w:rFonts w:eastAsia="SimSun"/>
          <w:lang w:eastAsia="zh-CN"/>
        </w:rPr>
        <w:t>prevent illegal or arbitrary detention and forced disappearances</w:t>
      </w:r>
      <w:r w:rsidR="009B6143">
        <w:rPr>
          <w:rStyle w:val="FootnoteReference"/>
          <w:rFonts w:eastAsia="SimSun"/>
          <w:szCs w:val="24"/>
          <w:lang w:eastAsia="zh-CN"/>
        </w:rPr>
        <w:footnoteReference w:id="8"/>
      </w:r>
      <w:r w:rsidR="009B6143">
        <w:rPr>
          <w:rFonts w:eastAsia="SimSun"/>
          <w:lang w:eastAsia="zh-CN"/>
        </w:rPr>
        <w:t>. Please also explain the mechanisms established to prevent acts of torture and other acts of cruel, inhuman or degrading treatment or punishment.</w:t>
      </w:r>
    </w:p>
    <w:p w:rsidR="009B6143" w:rsidRPr="00797F69" w:rsidRDefault="001A41D2" w:rsidP="001A41D2">
      <w:pPr>
        <w:pStyle w:val="SingleTxtG"/>
      </w:pPr>
      <w:r>
        <w:t>10.</w:t>
      </w:r>
      <w:r>
        <w:tab/>
      </w:r>
      <w:r w:rsidR="009B6143" w:rsidRPr="00797F69">
        <w:t xml:space="preserve">What steps have been taken to reintegrate the principles of independence and autonomy of the National Human Rights Commission in the draft </w:t>
      </w:r>
      <w:r w:rsidR="00DF279B">
        <w:t>b</w:t>
      </w:r>
      <w:r w:rsidR="009B6143" w:rsidRPr="00797F69">
        <w:t xml:space="preserve">ill which was </w:t>
      </w:r>
      <w:r w:rsidR="00661E9E">
        <w:t xml:space="preserve">supposed </w:t>
      </w:r>
      <w:r w:rsidR="009B6143" w:rsidRPr="00797F69">
        <w:t>to be presented to Parliament?</w:t>
      </w:r>
      <w:r w:rsidR="009B6143" w:rsidRPr="00797F69">
        <w:rPr>
          <w:rStyle w:val="FootnoteReference"/>
        </w:rPr>
        <w:footnoteReference w:id="9"/>
      </w:r>
    </w:p>
    <w:p w:rsidR="009B6143" w:rsidRPr="0035074D" w:rsidRDefault="001A41D2" w:rsidP="001A41D2">
      <w:pPr>
        <w:pStyle w:val="SingleTxtG"/>
      </w:pPr>
      <w:r>
        <w:t>11.</w:t>
      </w:r>
      <w:r>
        <w:tab/>
      </w:r>
      <w:r w:rsidR="009B6143" w:rsidRPr="00797F69">
        <w:t xml:space="preserve">In light of the Committee’s previous concluding observations (para. 22) and further to the State party’s </w:t>
      </w:r>
      <w:r w:rsidR="009B6143">
        <w:t>follow-up replies</w:t>
      </w:r>
      <w:r w:rsidR="009B6143" w:rsidRPr="00797F69">
        <w:t xml:space="preserve"> (para. 18), which only refer to the International Committee of the Red Cross</w:t>
      </w:r>
      <w:r w:rsidR="00203776">
        <w:t xml:space="preserve"> (ICRC)</w:t>
      </w:r>
      <w:r w:rsidR="009B6143" w:rsidRPr="00797F69">
        <w:t xml:space="preserve"> and the National Human Rights Commission</w:t>
      </w:r>
      <w:r w:rsidR="00203776">
        <w:t xml:space="preserve"> (NHRC)</w:t>
      </w:r>
      <w:r w:rsidR="009B6143" w:rsidRPr="00797F69">
        <w:t xml:space="preserve">, please indicate whether other mechanisms have also been provided full access to all places of detention. Please indicate whether the State party intends to establish its own national independent mechanism to systematically monitor all places of detention. </w:t>
      </w:r>
      <w:r w:rsidR="009B6143" w:rsidRPr="0035074D">
        <w:t>Please</w:t>
      </w:r>
      <w:r w:rsidR="009B6143">
        <w:t xml:space="preserve"> also</w:t>
      </w:r>
      <w:r w:rsidR="009B6143" w:rsidRPr="0035074D">
        <w:t xml:space="preserve"> inf</w:t>
      </w:r>
      <w:r w:rsidR="009B6143">
        <w:t xml:space="preserve">orm the Committee on </w:t>
      </w:r>
      <w:r w:rsidR="00203776">
        <w:t xml:space="preserve">how long </w:t>
      </w:r>
      <w:r w:rsidR="009B6143">
        <w:t>it takes for the ICRC and NHRC to be granted access to detention centres and whether there are any detention facilities to which they are not granted access.</w:t>
      </w:r>
    </w:p>
    <w:p w:rsidR="009B6143" w:rsidRPr="0035074D" w:rsidRDefault="001A41D2" w:rsidP="001A41D2">
      <w:pPr>
        <w:pStyle w:val="SingleTxtG"/>
      </w:pPr>
      <w:r>
        <w:t>12.</w:t>
      </w:r>
      <w:r>
        <w:tab/>
      </w:r>
      <w:r w:rsidR="009B6143" w:rsidRPr="008B6B00">
        <w:t xml:space="preserve">In light of the </w:t>
      </w:r>
      <w:r w:rsidR="009B6143">
        <w:t xml:space="preserve">2010 </w:t>
      </w:r>
      <w:r w:rsidR="009B6143" w:rsidRPr="008B6B00">
        <w:t>Joint study on global practices in relation to secret detention in the context of countering terrorism (A/HRC/13/42)</w:t>
      </w:r>
      <w:r w:rsidR="009B6143" w:rsidRPr="0035074D">
        <w:rPr>
          <w:rStyle w:val="FootnoteReference"/>
        </w:rPr>
        <w:footnoteReference w:id="10"/>
      </w:r>
      <w:r w:rsidR="00203776">
        <w:t>, p</w:t>
      </w:r>
      <w:r w:rsidR="00203776" w:rsidRPr="008B6B00">
        <w:t>lease indicate</w:t>
      </w:r>
      <w:r w:rsidR="00203776" w:rsidRPr="0035074D">
        <w:t xml:space="preserve"> whether amendments to national legislation are undertaken to address perjury by Government officials for failing to tell the truth in habeas corpus proceedings</w:t>
      </w:r>
      <w:r w:rsidR="00203776">
        <w:t>.</w:t>
      </w:r>
    </w:p>
    <w:p w:rsidR="009B6143" w:rsidRPr="00797F69" w:rsidRDefault="001A41D2" w:rsidP="001A41D2">
      <w:pPr>
        <w:pStyle w:val="SingleTxtG"/>
      </w:pPr>
      <w:r>
        <w:t>13.</w:t>
      </w:r>
      <w:r>
        <w:tab/>
      </w:r>
      <w:r w:rsidR="009B6143" w:rsidRPr="00797F69">
        <w:t xml:space="preserve">Further to the State party’s </w:t>
      </w:r>
      <w:r w:rsidR="009B6143">
        <w:t>follow-up replies</w:t>
      </w:r>
      <w:r>
        <w:t xml:space="preserve"> (para.</w:t>
      </w:r>
      <w:r w:rsidR="00203776">
        <w:t xml:space="preserve"> </w:t>
      </w:r>
      <w:r w:rsidR="009B6143" w:rsidRPr="00797F69">
        <w:t xml:space="preserve">25), please provide </w:t>
      </w:r>
      <w:r w:rsidR="009B6143" w:rsidRPr="00F05B78">
        <w:t>disaggregated data on complaint</w:t>
      </w:r>
      <w:r w:rsidR="009B6143">
        <w:t>s, results of investigations,</w:t>
      </w:r>
      <w:r w:rsidR="009B6143" w:rsidRPr="00F05B78">
        <w:t xml:space="preserve"> </w:t>
      </w:r>
      <w:r w:rsidR="009B6143" w:rsidRPr="006C454D">
        <w:t>prosecutions and convictions of cases</w:t>
      </w:r>
      <w:r w:rsidR="009B6143">
        <w:t xml:space="preserve"> of violence against women in detention. Please provide </w:t>
      </w:r>
      <w:r w:rsidR="009B6143" w:rsidRPr="00797F69">
        <w:t xml:space="preserve">information on the concrete mechanisms put in place to prevent </w:t>
      </w:r>
      <w:r w:rsidR="009B6143">
        <w:t xml:space="preserve">these acts of </w:t>
      </w:r>
      <w:r w:rsidR="009B6143" w:rsidRPr="00797F69">
        <w:t>violence against women in detention. Please also provide details on the procedures in place to report and track the cases of violence against wom</w:t>
      </w:r>
      <w:r w:rsidR="009B6143">
        <w:t xml:space="preserve">en by law enforcement officials. What measures are being taken to amend the State Cases Act in order to extend the current 35-day statutory limitation </w:t>
      </w:r>
      <w:r w:rsidR="00203776">
        <w:t>for</w:t>
      </w:r>
      <w:r w:rsidR="009B6143">
        <w:t xml:space="preserve"> report</w:t>
      </w:r>
      <w:r w:rsidR="00203776">
        <w:t>ing</w:t>
      </w:r>
      <w:r w:rsidR="009B6143">
        <w:t xml:space="preserve"> cases of rape?</w:t>
      </w:r>
      <w:r w:rsidR="009B6143" w:rsidRPr="00797F69">
        <w:rPr>
          <w:rStyle w:val="FootnoteReference"/>
        </w:rPr>
        <w:footnoteReference w:id="11"/>
      </w:r>
      <w:r w:rsidR="009B6143" w:rsidRPr="00797F69">
        <w:t xml:space="preserve"> </w:t>
      </w:r>
      <w:r w:rsidR="009B6143">
        <w:t>P</w:t>
      </w:r>
      <w:r w:rsidR="009B6143" w:rsidRPr="00797F69">
        <w:t xml:space="preserve">lease provide more information on the 11 cases in which </w:t>
      </w:r>
      <w:r w:rsidR="00203776">
        <w:t>d</w:t>
      </w:r>
      <w:r w:rsidR="009B6143" w:rsidRPr="00797F69">
        <w:t>epartmental action was taken against police officials who were found guilty of sexual harassment, including what penalties were given to these officials. Please provide data on other reported cases of gender-based violence or abuse</w:t>
      </w:r>
      <w:r w:rsidR="009B6143" w:rsidRPr="00797F69">
        <w:rPr>
          <w:rStyle w:val="FootnoteReference"/>
        </w:rPr>
        <w:footnoteReference w:id="12"/>
      </w:r>
      <w:r w:rsidR="009B6143" w:rsidRPr="00797F69">
        <w:t>.</w:t>
      </w:r>
    </w:p>
    <w:p w:rsidR="009B6143" w:rsidRPr="004C6B6A" w:rsidRDefault="001A41D2" w:rsidP="001A41D2">
      <w:pPr>
        <w:pStyle w:val="SingleTxtG"/>
        <w:rPr>
          <w:szCs w:val="24"/>
        </w:rPr>
      </w:pPr>
      <w:r>
        <w:t>14.</w:t>
      </w:r>
      <w:r>
        <w:tab/>
      </w:r>
      <w:r w:rsidR="009B6143" w:rsidRPr="00797F69">
        <w:t xml:space="preserve">Please provide information on the measures the State party intends to </w:t>
      </w:r>
      <w:r w:rsidR="009B6143">
        <w:t>take to amend</w:t>
      </w:r>
      <w:r w:rsidR="009B6143" w:rsidRPr="00797F69">
        <w:t xml:space="preserve"> the recently adopted Domestic Violence (Offence and Punishment) Act 2009 </w:t>
      </w:r>
      <w:r w:rsidR="009B6143">
        <w:t>in order to better reflect the gravity of the crime of domestic violence. In particular, please explain the provision outlined in s</w:t>
      </w:r>
      <w:r w:rsidR="009B6143" w:rsidRPr="00797F69">
        <w:t xml:space="preserve">ection 6(1)(a) </w:t>
      </w:r>
      <w:r w:rsidR="008D5302">
        <w:t>to allow</w:t>
      </w:r>
      <w:r w:rsidR="009B6143">
        <w:t xml:space="preserve"> the victim to continue living with the author of domestic violence. Please explain the reason for </w:t>
      </w:r>
      <w:r w:rsidR="00DF279B">
        <w:t xml:space="preserve">setting </w:t>
      </w:r>
      <w:r w:rsidR="009B6143">
        <w:t xml:space="preserve">the maximum penalty for acts of domestic violence </w:t>
      </w:r>
      <w:r w:rsidR="00DF279B">
        <w:t>at</w:t>
      </w:r>
      <w:r w:rsidR="009B6143">
        <w:t xml:space="preserve"> 6 months imprisonment (section 13(1)) as well as the statute of limitation </w:t>
      </w:r>
      <w:r w:rsidR="00DF279B">
        <w:t>for</w:t>
      </w:r>
      <w:r w:rsidR="009B6143">
        <w:t xml:space="preserve"> </w:t>
      </w:r>
      <w:r w:rsidR="00DF279B">
        <w:t>filing</w:t>
      </w:r>
      <w:r w:rsidR="009B6143">
        <w:t xml:space="preserve"> a claim </w:t>
      </w:r>
      <w:r w:rsidR="00DF279B">
        <w:t>of</w:t>
      </w:r>
      <w:r w:rsidR="009B6143">
        <w:t xml:space="preserve"> domestic violence</w:t>
      </w:r>
      <w:r w:rsidR="00DF279B">
        <w:t>,</w:t>
      </w:r>
      <w:r w:rsidR="009B6143">
        <w:t xml:space="preserve"> which is </w:t>
      </w:r>
      <w:r w:rsidR="00DF279B">
        <w:t>set</w:t>
      </w:r>
      <w:r w:rsidR="009B6143">
        <w:t xml:space="preserve"> </w:t>
      </w:r>
      <w:r w:rsidR="00DF279B">
        <w:t>at</w:t>
      </w:r>
      <w:r w:rsidR="009B6143">
        <w:t xml:space="preserve"> 90 days after the commission of the crime (section 14).</w:t>
      </w:r>
      <w:r w:rsidR="009B6143" w:rsidRPr="004C6B6A">
        <w:rPr>
          <w:rFonts w:ascii="Helv" w:eastAsia="SimSun" w:hAnsi="Helv" w:cs="Helv"/>
          <w:color w:val="000000"/>
          <w:lang w:eastAsia="zh-CN"/>
        </w:rPr>
        <w:t xml:space="preserve"> </w:t>
      </w:r>
      <w:r w:rsidR="009B6143" w:rsidRPr="004C6B6A">
        <w:rPr>
          <w:rFonts w:eastAsia="SimSun"/>
          <w:color w:val="000000"/>
          <w:szCs w:val="24"/>
          <w:lang w:eastAsia="zh-CN"/>
        </w:rPr>
        <w:t>What measures have been taken to ensure that section</w:t>
      </w:r>
      <w:r w:rsidR="009B6143">
        <w:rPr>
          <w:rFonts w:eastAsia="SimSun"/>
          <w:color w:val="000000"/>
          <w:szCs w:val="24"/>
          <w:lang w:eastAsia="zh-CN"/>
        </w:rPr>
        <w:t>s</w:t>
      </w:r>
      <w:r w:rsidR="009B6143" w:rsidRPr="004C6B6A">
        <w:rPr>
          <w:rFonts w:eastAsia="SimSun"/>
          <w:color w:val="000000"/>
          <w:szCs w:val="24"/>
          <w:lang w:eastAsia="zh-CN"/>
        </w:rPr>
        <w:t xml:space="preserve"> 4(8) and 4(9) of the Domestic Violence Act, which establish a mediation procedure, </w:t>
      </w:r>
      <w:r w:rsidR="009B6143">
        <w:rPr>
          <w:rFonts w:eastAsia="SimSun"/>
          <w:color w:val="000000"/>
          <w:szCs w:val="24"/>
          <w:lang w:eastAsia="zh-CN"/>
        </w:rPr>
        <w:t>are</w:t>
      </w:r>
      <w:r w:rsidR="009B6143" w:rsidRPr="004C6B6A">
        <w:rPr>
          <w:rFonts w:eastAsia="SimSun"/>
          <w:color w:val="000000"/>
          <w:szCs w:val="24"/>
          <w:lang w:eastAsia="zh-CN"/>
        </w:rPr>
        <w:t xml:space="preserve"> implemented in a wa</w:t>
      </w:r>
      <w:r w:rsidR="009B6143">
        <w:rPr>
          <w:rFonts w:ascii="Helv" w:eastAsia="SimSun" w:hAnsi="Helv" w:cs="Helv"/>
          <w:color w:val="000000"/>
          <w:lang w:eastAsia="zh-CN"/>
        </w:rPr>
        <w:t xml:space="preserve">y </w:t>
      </w:r>
      <w:r w:rsidR="009B6143" w:rsidRPr="004C6B6A">
        <w:rPr>
          <w:rFonts w:eastAsia="SimSun"/>
          <w:color w:val="000000"/>
          <w:szCs w:val="24"/>
          <w:lang w:eastAsia="zh-CN"/>
        </w:rPr>
        <w:t>that respects and promotes women's rights and does not lead to perpetrators escaping punishment</w:t>
      </w:r>
      <w:r w:rsidR="009B6143" w:rsidRPr="004C6B6A">
        <w:rPr>
          <w:rStyle w:val="FootnoteReference"/>
          <w:szCs w:val="24"/>
        </w:rPr>
        <w:footnoteReference w:id="13"/>
      </w:r>
      <w:r w:rsidR="009B6143" w:rsidRPr="004C6B6A">
        <w:rPr>
          <w:szCs w:val="24"/>
        </w:rPr>
        <w:t>.</w:t>
      </w:r>
    </w:p>
    <w:p w:rsidR="009B6143" w:rsidRDefault="001A41D2" w:rsidP="001A41D2">
      <w:pPr>
        <w:pStyle w:val="SingleTxtG"/>
      </w:pPr>
      <w:r>
        <w:t>15.</w:t>
      </w:r>
      <w:r>
        <w:tab/>
      </w:r>
      <w:r w:rsidR="009B6143" w:rsidRPr="00797F69">
        <w:t>Despite the fact that national legislation was adopted to fight domestic violence, those violations have increased in the past three years. Please provide information on steps taken to address</w:t>
      </w:r>
      <w:r w:rsidR="009B6143">
        <w:t xml:space="preserve"> and stem</w:t>
      </w:r>
      <w:r w:rsidR="009B6143" w:rsidRPr="00797F69">
        <w:t xml:space="preserve"> domestic violence</w:t>
      </w:r>
      <w:r w:rsidR="009B6143" w:rsidRPr="00797F69">
        <w:rPr>
          <w:rStyle w:val="FootnoteReference"/>
        </w:rPr>
        <w:footnoteReference w:id="14"/>
      </w:r>
      <w:r w:rsidR="00DF279B">
        <w:t>.</w:t>
      </w:r>
    </w:p>
    <w:p w:rsidR="009B6143" w:rsidRPr="00797F69" w:rsidRDefault="001A41D2" w:rsidP="001A41D2">
      <w:pPr>
        <w:pStyle w:val="SingleTxtG"/>
      </w:pPr>
      <w:r>
        <w:t>16.</w:t>
      </w:r>
      <w:r>
        <w:tab/>
      </w:r>
      <w:r w:rsidR="009B6143">
        <w:t>In light of the</w:t>
      </w:r>
      <w:r w:rsidR="00DF279B">
        <w:t xml:space="preserve"> Committee’s</w:t>
      </w:r>
      <w:r w:rsidR="009B6143">
        <w:t xml:space="preserve"> previous concluding observations (para. 32) and further to the State party’s follow-up replies (para</w:t>
      </w:r>
      <w:r w:rsidR="00DF279B">
        <w:t>s</w:t>
      </w:r>
      <w:r w:rsidR="009B6143">
        <w:t>. 29-32), please provide information on the results achieved through the establishment of strategies at the national level to address human trafficking</w:t>
      </w:r>
      <w:r w:rsidR="00DF279B">
        <w:t>,</w:t>
      </w:r>
      <w:r w:rsidR="009B6143">
        <w:t xml:space="preserve"> and in particular through the National Plan of Action against Trafficking in Children and their Commercial Sexual Exploitation (NPA). P</w:t>
      </w:r>
      <w:r w:rsidR="009B6143" w:rsidRPr="00F05B78">
        <w:rPr>
          <w:szCs w:val="24"/>
        </w:rPr>
        <w:t>lease provide disaggregated data on complaint</w:t>
      </w:r>
      <w:r w:rsidR="009B6143">
        <w:rPr>
          <w:szCs w:val="24"/>
        </w:rPr>
        <w:t>s, results of investigations,</w:t>
      </w:r>
      <w:r w:rsidR="009B6143" w:rsidRPr="00F05B78">
        <w:rPr>
          <w:szCs w:val="24"/>
        </w:rPr>
        <w:t xml:space="preserve"> </w:t>
      </w:r>
      <w:r w:rsidR="009B6143" w:rsidRPr="006C454D">
        <w:rPr>
          <w:szCs w:val="24"/>
        </w:rPr>
        <w:t xml:space="preserve">prosecutions and convictions of cases of </w:t>
      </w:r>
      <w:r w:rsidR="009B6143">
        <w:rPr>
          <w:szCs w:val="24"/>
        </w:rPr>
        <w:t>trafficking since the consideration of the second report o</w:t>
      </w:r>
      <w:r w:rsidR="00DF279B">
        <w:rPr>
          <w:szCs w:val="24"/>
        </w:rPr>
        <w:t>f</w:t>
      </w:r>
      <w:r w:rsidR="009B6143">
        <w:rPr>
          <w:szCs w:val="24"/>
        </w:rPr>
        <w:t xml:space="preserve"> </w:t>
      </w:r>
      <w:smartTag w:uri="urn:schemas-microsoft-com:office:smarttags" w:element="place">
        <w:smartTag w:uri="urn:schemas-microsoft-com:office:smarttags" w:element="country-region">
          <w:r w:rsidR="009B6143">
            <w:rPr>
              <w:szCs w:val="24"/>
            </w:rPr>
            <w:t>Nepal</w:t>
          </w:r>
        </w:smartTag>
      </w:smartTag>
      <w:r w:rsidR="009B6143">
        <w:rPr>
          <w:szCs w:val="24"/>
        </w:rPr>
        <w:t>.</w:t>
      </w:r>
    </w:p>
    <w:p w:rsidR="009B6143" w:rsidRPr="0035074D" w:rsidRDefault="001A41D2" w:rsidP="001A41D2">
      <w:pPr>
        <w:pStyle w:val="H1G"/>
      </w:pPr>
      <w:r>
        <w:tab/>
      </w:r>
      <w:r>
        <w:tab/>
      </w:r>
      <w:r w:rsidR="009B6143" w:rsidRPr="00C646E8">
        <w:t>Article 3</w:t>
      </w:r>
    </w:p>
    <w:p w:rsidR="009B6143" w:rsidRPr="00FC7736" w:rsidRDefault="001A41D2" w:rsidP="001A41D2">
      <w:pPr>
        <w:pStyle w:val="SingleTxtG"/>
        <w:rPr>
          <w:b/>
          <w:bCs/>
          <w:szCs w:val="24"/>
        </w:rPr>
      </w:pPr>
      <w:r>
        <w:t>17.</w:t>
      </w:r>
      <w:r>
        <w:tab/>
      </w:r>
      <w:r w:rsidR="009B6143" w:rsidRPr="00C646E8">
        <w:t>In light of the Committee’s pre</w:t>
      </w:r>
      <w:r w:rsidR="009B6143" w:rsidRPr="00797F69">
        <w:t>vious concluding observations (para. 17</w:t>
      </w:r>
      <w:r w:rsidR="009B6143" w:rsidRPr="00797F69">
        <w:rPr>
          <w:szCs w:val="24"/>
        </w:rPr>
        <w:t>)</w:t>
      </w:r>
      <w:r w:rsidR="009B6143" w:rsidRPr="00797F69">
        <w:t>, please provide information on measures taken to adopt national legislation prohibiting</w:t>
      </w:r>
      <w:r w:rsidR="008D5302">
        <w:t xml:space="preserve"> the</w:t>
      </w:r>
      <w:r w:rsidR="009B6143" w:rsidRPr="00797F69">
        <w:t xml:space="preserve"> </w:t>
      </w:r>
      <w:r w:rsidR="009B6143" w:rsidRPr="007F4A0C">
        <w:rPr>
          <w:i/>
        </w:rPr>
        <w:t>refoulement</w:t>
      </w:r>
      <w:r w:rsidR="009B6143" w:rsidRPr="00797F69">
        <w:t xml:space="preserve"> of persons to a State where there are substantial grounds for believing that they would be in danger of being subjected to torture</w:t>
      </w:r>
      <w:r w:rsidR="009B6143" w:rsidRPr="00797F69">
        <w:rPr>
          <w:szCs w:val="24"/>
        </w:rPr>
        <w:t>. Is the State party considering acceding to the Convention relating to the Status of Refugees and other related international legal instruments?</w:t>
      </w:r>
    </w:p>
    <w:p w:rsidR="009B6143" w:rsidRPr="00797F69" w:rsidRDefault="001A41D2" w:rsidP="001A41D2">
      <w:pPr>
        <w:pStyle w:val="SingleTxtG"/>
        <w:rPr>
          <w:b/>
          <w:bCs/>
        </w:rPr>
      </w:pPr>
      <w:r>
        <w:t>18.</w:t>
      </w:r>
      <w:r>
        <w:tab/>
      </w:r>
      <w:r w:rsidR="009B6143" w:rsidRPr="00797F69">
        <w:t xml:space="preserve">Please provide information on the cases of Tibetan refugees currently residing in </w:t>
      </w:r>
      <w:smartTag w:uri="urn:schemas-microsoft-com:office:smarttags" w:element="country-region">
        <w:r w:rsidR="009B6143" w:rsidRPr="00797F69">
          <w:t>Nepal</w:t>
        </w:r>
      </w:smartTag>
      <w:r w:rsidR="009B6143" w:rsidRPr="00797F69">
        <w:t xml:space="preserve"> who </w:t>
      </w:r>
      <w:r w:rsidR="008D5302">
        <w:t>were</w:t>
      </w:r>
      <w:r w:rsidR="009B6143" w:rsidRPr="00797F69">
        <w:t xml:space="preserve"> arrested following protests in 2008, and whether any of these persons are facing deportation or expulsion from </w:t>
      </w:r>
      <w:smartTag w:uri="urn:schemas-microsoft-com:office:smarttags" w:element="country-region">
        <w:r w:rsidR="009B6143" w:rsidRPr="00797F69">
          <w:t>Nepal</w:t>
        </w:r>
      </w:smartTag>
      <w:r w:rsidR="009B6143" w:rsidRPr="00797F69">
        <w:t xml:space="preserve"> back to </w:t>
      </w:r>
      <w:smartTag w:uri="urn:schemas-microsoft-com:office:smarttags" w:element="place">
        <w:smartTag w:uri="urn:schemas-microsoft-com:office:smarttags" w:element="country-region">
          <w:r w:rsidR="009B6143" w:rsidRPr="00797F69">
            <w:t>China</w:t>
          </w:r>
        </w:smartTag>
      </w:smartTag>
      <w:r w:rsidR="009B6143">
        <w:t>.</w:t>
      </w:r>
    </w:p>
    <w:p w:rsidR="009B6143" w:rsidRPr="00797F69" w:rsidRDefault="001A41D2" w:rsidP="001A41D2">
      <w:pPr>
        <w:pStyle w:val="H1G"/>
      </w:pPr>
      <w:r>
        <w:tab/>
      </w:r>
      <w:r>
        <w:tab/>
      </w:r>
      <w:r w:rsidR="009B6143" w:rsidRPr="00797F69">
        <w:t>Articles 5, 6 and 7</w:t>
      </w:r>
    </w:p>
    <w:p w:rsidR="009B6143" w:rsidRPr="00797F69" w:rsidRDefault="001A41D2" w:rsidP="001A41D2">
      <w:pPr>
        <w:pStyle w:val="SingleTxtG"/>
      </w:pPr>
      <w:r>
        <w:t>19.</w:t>
      </w:r>
      <w:r>
        <w:tab/>
      </w:r>
      <w:r w:rsidR="009B6143" w:rsidRPr="00797F69">
        <w:t>Further to the Committee’s previous concluding observations</w:t>
      </w:r>
      <w:r w:rsidR="008D5302">
        <w:t xml:space="preserve"> (para. 18)</w:t>
      </w:r>
      <w:r w:rsidR="009B6143" w:rsidRPr="00797F69">
        <w:t xml:space="preserve">, please indicate </w:t>
      </w:r>
      <w:r w:rsidR="009B6143">
        <w:t xml:space="preserve">any </w:t>
      </w:r>
      <w:r w:rsidR="009B6143" w:rsidRPr="00797F69">
        <w:t xml:space="preserve">steps taken to ensure that domestic legislation includes provisions on </w:t>
      </w:r>
      <w:r w:rsidR="009B6143" w:rsidRPr="00797F69">
        <w:rPr>
          <w:rStyle w:val="Strong"/>
          <w:b w:val="0"/>
          <w:bCs w:val="0"/>
        </w:rPr>
        <w:t xml:space="preserve">universal jurisdiction </w:t>
      </w:r>
      <w:r w:rsidR="009B6143" w:rsidRPr="00797F69">
        <w:t xml:space="preserve">for acts of torture. Has the State party exercised such jurisdiction and brought charges or initiated any proceedings to give effect to this provision of the Convention, regardless of the nationality of the perpetrator or the victim? </w:t>
      </w:r>
      <w:r w:rsidR="009B6143">
        <w:t>If so, please provide details.</w:t>
      </w:r>
    </w:p>
    <w:p w:rsidR="009B6143" w:rsidRPr="00797F69" w:rsidRDefault="001A41D2" w:rsidP="001A41D2">
      <w:pPr>
        <w:pStyle w:val="H1G"/>
      </w:pPr>
      <w:r>
        <w:tab/>
      </w:r>
      <w:r>
        <w:tab/>
      </w:r>
      <w:r w:rsidR="009B6143" w:rsidRPr="00797F69">
        <w:t>Article 10</w:t>
      </w:r>
    </w:p>
    <w:p w:rsidR="009B6143" w:rsidRPr="00E27167" w:rsidRDefault="001A41D2" w:rsidP="001A41D2">
      <w:pPr>
        <w:pStyle w:val="SingleTxtG"/>
      </w:pPr>
      <w:r>
        <w:t>20.</w:t>
      </w:r>
      <w:r>
        <w:tab/>
      </w:r>
      <w:r w:rsidR="009B6143" w:rsidRPr="00797F69">
        <w:t xml:space="preserve">In light of the Committee’s previous concluding observations (para. 19) and further to the State party’s </w:t>
      </w:r>
      <w:r w:rsidR="009B6143">
        <w:t>follow-up replies</w:t>
      </w:r>
      <w:r w:rsidR="009B6143" w:rsidRPr="00797F69">
        <w:t xml:space="preserve"> (para. 8), please provide more information on the result of the regular monitoring and evaluation of training on human rights standards provided to personnel </w:t>
      </w:r>
      <w:r w:rsidR="00E92194">
        <w:t>of</w:t>
      </w:r>
      <w:r w:rsidR="009B6143" w:rsidRPr="00797F69">
        <w:t xml:space="preserve"> the Nepal Army, Nepal Police and Nepal Armed Police Force. What mechanisms have been put in place by the State party to perform such monitoring?</w:t>
      </w:r>
    </w:p>
    <w:p w:rsidR="009B6143" w:rsidRPr="00E27167" w:rsidRDefault="001A41D2" w:rsidP="001A41D2">
      <w:pPr>
        <w:pStyle w:val="SingleTxtG"/>
      </w:pPr>
      <w:r>
        <w:t>21.</w:t>
      </w:r>
      <w:r>
        <w:tab/>
      </w:r>
      <w:r w:rsidR="009B6143">
        <w:t xml:space="preserve">Please provide information on mandatory training on the </w:t>
      </w:r>
      <w:r w:rsidR="009B6143" w:rsidRPr="00E27167">
        <w:rPr>
          <w:rStyle w:val="Strong"/>
          <w:b w:val="0"/>
          <w:bCs w:val="0"/>
          <w:szCs w:val="24"/>
        </w:rPr>
        <w:t>Istanbul</w:t>
      </w:r>
      <w:r w:rsidR="009B6143" w:rsidRPr="00E27167">
        <w:rPr>
          <w:rStyle w:val="Strong"/>
          <w:szCs w:val="24"/>
        </w:rPr>
        <w:t xml:space="preserve"> </w:t>
      </w:r>
      <w:r w:rsidR="009B6143" w:rsidRPr="00E27167">
        <w:t>Protocol for all professionals involved in the investigation and documentation of cases of tortur</w:t>
      </w:r>
      <w:r w:rsidR="009B6143">
        <w:t>e</w:t>
      </w:r>
      <w:r w:rsidR="00E92194">
        <w:t>,</w:t>
      </w:r>
      <w:r w:rsidR="009B6143">
        <w:t xml:space="preserve"> as well as practical training for judicial officials and lawyers on the prevention of torture and methods to detect and investigate acts of torture. </w:t>
      </w:r>
    </w:p>
    <w:p w:rsidR="009B6143" w:rsidRPr="00797F69" w:rsidRDefault="001A41D2" w:rsidP="001A41D2">
      <w:pPr>
        <w:pStyle w:val="H1G"/>
      </w:pPr>
      <w:r>
        <w:tab/>
      </w:r>
      <w:r>
        <w:tab/>
      </w:r>
      <w:r w:rsidR="009B6143" w:rsidRPr="00797F69">
        <w:t>Article 11</w:t>
      </w:r>
    </w:p>
    <w:p w:rsidR="009B6143" w:rsidRPr="00797F69" w:rsidRDefault="001A41D2" w:rsidP="001A41D2">
      <w:pPr>
        <w:pStyle w:val="SingleTxtG"/>
      </w:pPr>
      <w:r>
        <w:t>22.</w:t>
      </w:r>
      <w:r>
        <w:tab/>
      </w:r>
      <w:r w:rsidR="009B6143" w:rsidRPr="00797F69">
        <w:t xml:space="preserve">Further to the Committee’s previous concluding observations (para. 20) and the State party’s </w:t>
      </w:r>
      <w:r w:rsidR="009B6143">
        <w:t>follow-up replies</w:t>
      </w:r>
      <w:r w:rsidR="009B6143" w:rsidRPr="00797F69">
        <w:t xml:space="preserve"> (para. 10), please provide detailed information on the content of existing interrogation rules. Please specify whether the prohibition of torture is clearly included in all interrogation rules and procedures of the State party. Please provide information on the mechanisms put in place to ensure that, in accordance with </w:t>
      </w:r>
      <w:r w:rsidR="00E92194">
        <w:t xml:space="preserve">the </w:t>
      </w:r>
      <w:r w:rsidR="009B6143" w:rsidRPr="00797F69">
        <w:t xml:space="preserve">State Cases Act </w:t>
      </w:r>
      <w:r w:rsidR="00E92194">
        <w:t>2049 (</w:t>
      </w:r>
      <w:r w:rsidR="009B6143" w:rsidRPr="00797F69">
        <w:t>1992</w:t>
      </w:r>
      <w:r w:rsidR="00E92194">
        <w:t>)</w:t>
      </w:r>
      <w:r w:rsidR="009B6143" w:rsidRPr="00797F69">
        <w:t xml:space="preserve">, the Government Attorney is present during interrogation. What steps have been taken to ensure that all interrogation sessions are recorded and if possible filmed? In this regard, has the State party considered amending paragraph 9(2) of State Cases Act </w:t>
      </w:r>
      <w:r w:rsidR="00E92194">
        <w:t>2049 (</w:t>
      </w:r>
      <w:r w:rsidR="009B6143" w:rsidRPr="00797F69">
        <w:t xml:space="preserve">1992), which does not make the recording of detainees’ statements compulsory? </w:t>
      </w:r>
    </w:p>
    <w:p w:rsidR="009B6143" w:rsidRPr="00797F69" w:rsidRDefault="001A41D2" w:rsidP="001A41D2">
      <w:pPr>
        <w:pStyle w:val="SingleTxtG"/>
      </w:pPr>
      <w:r>
        <w:t>23.</w:t>
      </w:r>
      <w:r>
        <w:tab/>
      </w:r>
      <w:r w:rsidR="009B6143" w:rsidRPr="00797F69">
        <w:t>Please explain to the Committee how the interrogation rules, instructions and methods currently applicable in the State party to prevent torture are monitored</w:t>
      </w:r>
      <w:r w:rsidR="00E92194">
        <w:t>,</w:t>
      </w:r>
      <w:r w:rsidR="009B6143" w:rsidRPr="00797F69">
        <w:t xml:space="preserve"> and by whom. </w:t>
      </w:r>
    </w:p>
    <w:p w:rsidR="009B6143" w:rsidRPr="00797F69" w:rsidRDefault="001A41D2" w:rsidP="001A41D2">
      <w:pPr>
        <w:pStyle w:val="SingleTxtG"/>
      </w:pPr>
      <w:r>
        <w:t>24.</w:t>
      </w:r>
      <w:r>
        <w:tab/>
      </w:r>
      <w:r w:rsidR="009B6143" w:rsidRPr="00797F69">
        <w:t xml:space="preserve">In light of the Committee’s previous concluding observations (para. 21(c)), please indicate which specific data </w:t>
      </w:r>
      <w:r w:rsidR="009B6143">
        <w:t>are</w:t>
      </w:r>
      <w:r w:rsidR="009B6143" w:rsidRPr="00797F69">
        <w:t xml:space="preserve"> systematically recorded upon registration of a detainee by the police. Please give details of the procedures in place for registration</w:t>
      </w:r>
      <w:r w:rsidR="00E92194">
        <w:t>,</w:t>
      </w:r>
      <w:r w:rsidR="009B6143" w:rsidRPr="00797F69">
        <w:t xml:space="preserve"> and the content of</w:t>
      </w:r>
      <w:r w:rsidR="000A6FB9">
        <w:t xml:space="preserve"> the register at </w:t>
      </w:r>
      <w:r w:rsidR="009B6143" w:rsidRPr="00797F69">
        <w:t>any place of detention. Please provide a copy of the prison rules and regulation</w:t>
      </w:r>
      <w:r w:rsidR="000A6FB9">
        <w:t>s</w:t>
      </w:r>
      <w:r w:rsidR="009B6143" w:rsidRPr="00797F69">
        <w:t>, and in the absence</w:t>
      </w:r>
      <w:r w:rsidR="000A6FB9">
        <w:t xml:space="preserve"> thereof</w:t>
      </w:r>
      <w:r w:rsidR="009B6143" w:rsidRPr="00797F69">
        <w:t>, the reasons why such document does not yet exist.</w:t>
      </w:r>
    </w:p>
    <w:p w:rsidR="009B6143" w:rsidRPr="00797F69" w:rsidRDefault="001A41D2" w:rsidP="001A41D2">
      <w:pPr>
        <w:pStyle w:val="SingleTxtG"/>
      </w:pPr>
      <w:r>
        <w:t>25.</w:t>
      </w:r>
      <w:r>
        <w:tab/>
      </w:r>
      <w:r w:rsidR="009B6143" w:rsidRPr="00797F69">
        <w:t xml:space="preserve">Further to the Committee’s previous concluding observations (para. 21(g)) and the State party’s </w:t>
      </w:r>
      <w:r w:rsidR="009B6143">
        <w:t>follow-up replies</w:t>
      </w:r>
      <w:r w:rsidR="009B6143" w:rsidRPr="00797F69">
        <w:t xml:space="preserve"> (para. 17) which indicate an improvement in the functioning of juvenile benches, please provide information on whether juveniles are now held in separate detention facilities</w:t>
      </w:r>
      <w:r w:rsidR="009B6143">
        <w:t xml:space="preserve"> throughout their detention period</w:t>
      </w:r>
      <w:r w:rsidR="000A6FB9">
        <w:t>,</w:t>
      </w:r>
      <w:r w:rsidR="009B6143" w:rsidRPr="00797F69">
        <w:t xml:space="preserve"> and </w:t>
      </w:r>
      <w:r w:rsidR="009B6143">
        <w:t>subject</w:t>
      </w:r>
      <w:r w:rsidR="009B6143" w:rsidRPr="00797F69">
        <w:t xml:space="preserve"> to different rules and regulations</w:t>
      </w:r>
      <w:r w:rsidR="000A6FB9">
        <w:t xml:space="preserve"> than adults</w:t>
      </w:r>
      <w:r w:rsidR="009B6143" w:rsidRPr="00797F69">
        <w:t xml:space="preserve">. </w:t>
      </w:r>
      <w:r w:rsidR="009B6143">
        <w:t xml:space="preserve">Please specify what these rules are and what methods of investigation are applicable to juveniles. </w:t>
      </w:r>
      <w:r w:rsidR="009B6143" w:rsidRPr="00797F69">
        <w:t xml:space="preserve">Please indicate </w:t>
      </w:r>
      <w:r w:rsidR="009B6143">
        <w:t>any measures taken to fully implement the Supreme Court’s ruling ordering the e</w:t>
      </w:r>
      <w:r w:rsidR="009B6143" w:rsidRPr="00797F69">
        <w:t>stablish</w:t>
      </w:r>
      <w:r w:rsidR="009B6143">
        <w:t>ment of</w:t>
      </w:r>
      <w:r w:rsidR="009B6143" w:rsidRPr="00797F69">
        <w:t xml:space="preserve"> separate Children Correction Homes in all areas of the country</w:t>
      </w:r>
      <w:r w:rsidR="009B6143">
        <w:t>. Please indicate the</w:t>
      </w:r>
      <w:r w:rsidR="009B6143" w:rsidRPr="00797F69">
        <w:t xml:space="preserve"> mechanisms put in place to address arbitrary detention of juveniles.</w:t>
      </w:r>
    </w:p>
    <w:p w:rsidR="009B6143" w:rsidRPr="00797F69" w:rsidRDefault="001A41D2" w:rsidP="001A41D2">
      <w:pPr>
        <w:pStyle w:val="H1G"/>
      </w:pPr>
      <w:r>
        <w:tab/>
      </w:r>
      <w:r>
        <w:tab/>
      </w:r>
      <w:r w:rsidR="009B6143" w:rsidRPr="00797F69">
        <w:t>Articles 12</w:t>
      </w:r>
      <w:r w:rsidR="009B6143">
        <w:t xml:space="preserve"> and 13</w:t>
      </w:r>
    </w:p>
    <w:p w:rsidR="009B6143" w:rsidRDefault="001A41D2" w:rsidP="001A41D2">
      <w:pPr>
        <w:pStyle w:val="SingleTxtG"/>
      </w:pPr>
      <w:r>
        <w:t>26.</w:t>
      </w:r>
      <w:r>
        <w:tab/>
      </w:r>
      <w:r w:rsidR="009B6143">
        <w:t>In light of the Committee’s previous concluding observations</w:t>
      </w:r>
      <w:r w:rsidR="000A6FB9">
        <w:t xml:space="preserve"> (para. 24)</w:t>
      </w:r>
      <w:r w:rsidR="009B6143">
        <w:t>, please provide information on all legislative, administrative and judicial measures taken to fight impunity and ensure that all allegations of arrest without warrants, extrajudicial killings, deaths in custody and disappearances are and have been promptly investigated, prosecuted and the perpetrators punished.</w:t>
      </w:r>
    </w:p>
    <w:p w:rsidR="009B6143" w:rsidRPr="00797F69" w:rsidRDefault="001A41D2" w:rsidP="001A41D2">
      <w:pPr>
        <w:pStyle w:val="SingleTxtG"/>
      </w:pPr>
      <w:r>
        <w:t>27.</w:t>
      </w:r>
      <w:r>
        <w:tab/>
      </w:r>
      <w:r w:rsidR="009B6143" w:rsidRPr="00797F69">
        <w:t xml:space="preserve">In light of the State party’s </w:t>
      </w:r>
      <w:r w:rsidR="009B6143">
        <w:t>follow-up replies</w:t>
      </w:r>
      <w:r w:rsidR="009B6143" w:rsidRPr="00797F69">
        <w:t xml:space="preserve"> (para. 9), please specify the role of the newly established Human Rights Promotion Section within the Office of the Prime Minister and Council of Ministers. How does this section </w:t>
      </w:r>
      <w:r w:rsidR="009B6143">
        <w:t xml:space="preserve">act </w:t>
      </w:r>
      <w:r w:rsidR="009B6143" w:rsidRPr="00797F69">
        <w:t xml:space="preserve">in cooperation with human rights units within the Ministry of Home Affairs, Nepal Army, Nepal Police and Nepal Armed Police Force </w:t>
      </w:r>
      <w:r w:rsidR="009B6143">
        <w:t>to</w:t>
      </w:r>
      <w:r w:rsidR="009B6143" w:rsidRPr="00797F69">
        <w:t xml:space="preserve"> bring human rights violators to justice</w:t>
      </w:r>
      <w:r w:rsidR="009B6143">
        <w:t>?</w:t>
      </w:r>
      <w:r w:rsidR="009B6143" w:rsidRPr="00797F69">
        <w:t xml:space="preserve"> Are these bodies in charge of investigating past and present human rights violations or are they mere monitoring bodies</w:t>
      </w:r>
      <w:r w:rsidR="000A6FB9">
        <w:t>,</w:t>
      </w:r>
      <w:r w:rsidR="009B6143" w:rsidRPr="00797F69">
        <w:t xml:space="preserve"> responsible for bringing potential violations to the attention of a separate investigation body</w:t>
      </w:r>
      <w:r w:rsidR="000A6FB9">
        <w:t>—</w:t>
      </w:r>
      <w:r w:rsidR="009B6143" w:rsidRPr="00797F69">
        <w:t xml:space="preserve">ideally the competent prosecutor and judge?  How do these bodies concretely coordinate and work against the prevalence of impunity? Please also indicate whether accused </w:t>
      </w:r>
      <w:r w:rsidR="009B6143">
        <w:t xml:space="preserve">officials </w:t>
      </w:r>
      <w:r w:rsidR="009B6143" w:rsidRPr="00797F69">
        <w:t>are suspended or reassigned during the investigation (para. 24).</w:t>
      </w:r>
    </w:p>
    <w:p w:rsidR="009B6143" w:rsidRPr="006C454D" w:rsidRDefault="001A41D2" w:rsidP="001A41D2">
      <w:pPr>
        <w:pStyle w:val="SingleTxtG"/>
        <w:rPr>
          <w:szCs w:val="24"/>
        </w:rPr>
      </w:pPr>
      <w:r>
        <w:t>28.</w:t>
      </w:r>
      <w:r>
        <w:tab/>
      </w:r>
      <w:r w:rsidR="009B6143" w:rsidRPr="00797F69">
        <w:t>In light of the Committee’s previous concluding observations (paras. 24</w:t>
      </w:r>
      <w:r w:rsidR="000A6FB9">
        <w:t>-</w:t>
      </w:r>
      <w:r w:rsidR="009B6143" w:rsidRPr="00797F69">
        <w:t xml:space="preserve">25) and further to the State party’s </w:t>
      </w:r>
      <w:r w:rsidR="009B6143">
        <w:t>follow-up replies</w:t>
      </w:r>
      <w:r w:rsidR="009B6143" w:rsidRPr="00797F69">
        <w:t xml:space="preserve"> (para. 21), </w:t>
      </w:r>
      <w:r w:rsidR="009B6143">
        <w:rPr>
          <w:szCs w:val="24"/>
        </w:rPr>
        <w:t>p</w:t>
      </w:r>
      <w:r w:rsidR="009B6143" w:rsidRPr="00F05B78">
        <w:rPr>
          <w:szCs w:val="24"/>
        </w:rPr>
        <w:t>lease provide disaggregated data on complaint</w:t>
      </w:r>
      <w:r w:rsidR="009B6143">
        <w:rPr>
          <w:szCs w:val="24"/>
        </w:rPr>
        <w:t>s, results of investigations,</w:t>
      </w:r>
      <w:r w:rsidR="009B6143" w:rsidRPr="00F05B78">
        <w:rPr>
          <w:szCs w:val="24"/>
        </w:rPr>
        <w:t xml:space="preserve"> </w:t>
      </w:r>
      <w:r w:rsidR="009B6143" w:rsidRPr="006C454D">
        <w:rPr>
          <w:szCs w:val="24"/>
        </w:rPr>
        <w:t xml:space="preserve">prosecutions and convictions of cases of torture and ill-treatment. </w:t>
      </w:r>
      <w:r w:rsidR="009B6143" w:rsidRPr="00797F69">
        <w:t xml:space="preserve">Please provide information on the number of investigations launched at the Government’s initiative. </w:t>
      </w:r>
      <w:r w:rsidR="009B6143">
        <w:t>Please give details about investigations on cases where police have beaten individuals in detention facilities or in public, the result of such investigations, and whether any officials were prosecuted for th</w:t>
      </w:r>
      <w:r w:rsidR="000A6FB9">
        <w:t>o</w:t>
      </w:r>
      <w:r w:rsidR="009B6143">
        <w:t xml:space="preserve">se crimes. </w:t>
      </w:r>
      <w:r w:rsidR="009B6143" w:rsidRPr="00797F69">
        <w:t>Please also include details about any deaths in custody, the results of investigations into those allegations, and whether any officials were prosecuted and convicted</w:t>
      </w:r>
      <w:r w:rsidR="009B6143">
        <w:t xml:space="preserve"> and any resulting sentences</w:t>
      </w:r>
      <w:r w:rsidR="009B6143" w:rsidRPr="00797F69">
        <w:t>.</w:t>
      </w:r>
      <w:r w:rsidR="009B6143">
        <w:t xml:space="preserve">  </w:t>
      </w:r>
    </w:p>
    <w:p w:rsidR="009B6143" w:rsidRPr="00797F69" w:rsidRDefault="001A41D2" w:rsidP="001A41D2">
      <w:pPr>
        <w:pStyle w:val="SingleTxtG"/>
      </w:pPr>
      <w:r>
        <w:t>29.</w:t>
      </w:r>
      <w:r>
        <w:tab/>
      </w:r>
      <w:r w:rsidR="009B6143" w:rsidRPr="00797F69">
        <w:t>Please provide statistics on the number of investigations performed out of the total number of allegations of torture brought to the attention of the State party by the National Human Rights Commission in 2009</w:t>
      </w:r>
      <w:r w:rsidR="009B6143" w:rsidRPr="00797F69">
        <w:rPr>
          <w:rStyle w:val="FootnoteReference"/>
        </w:rPr>
        <w:footnoteReference w:id="15"/>
      </w:r>
      <w:r w:rsidR="009B6143" w:rsidRPr="00797F69">
        <w:t>. In light of the Committee’s previous concluding observations</w:t>
      </w:r>
      <w:r w:rsidR="000A6FB9">
        <w:t xml:space="preserve"> (para</w:t>
      </w:r>
      <w:r w:rsidR="00CE0747">
        <w:t>.</w:t>
      </w:r>
      <w:r w:rsidR="000A6FB9">
        <w:t xml:space="preserve"> 15)</w:t>
      </w:r>
      <w:r w:rsidR="009B6143" w:rsidRPr="00797F69">
        <w:t xml:space="preserve">, please provide detailed information on the mechanisms put in place to ensure systematic follow-up of the National Human Rights Commission’s recommendations. Is there a specific authority/body assigned as a counterpart for this purpose?  </w:t>
      </w:r>
    </w:p>
    <w:p w:rsidR="009B6143" w:rsidRPr="00797F69" w:rsidRDefault="001A41D2" w:rsidP="001A41D2">
      <w:pPr>
        <w:pStyle w:val="SingleTxtG"/>
      </w:pPr>
      <w:r>
        <w:t>30.</w:t>
      </w:r>
      <w:r>
        <w:tab/>
      </w:r>
      <w:r w:rsidR="009B6143" w:rsidRPr="00797F69">
        <w:t>Please indicate whether any mechanism</w:t>
      </w:r>
      <w:r w:rsidR="00CE0747">
        <w:t>,</w:t>
      </w:r>
      <w:r w:rsidR="009B6143" w:rsidRPr="00797F69">
        <w:t xml:space="preserve"> such as the Truth and Reconciliation Commission</w:t>
      </w:r>
      <w:r w:rsidR="00CE0747">
        <w:t>,</w:t>
      </w:r>
      <w:r w:rsidR="009B6143" w:rsidRPr="00797F69">
        <w:t xml:space="preserve"> has been established to investigate crimes committed during the armed conflict. If so, what are the links between such </w:t>
      </w:r>
      <w:r w:rsidR="00A75D2C">
        <w:t>mechanism</w:t>
      </w:r>
      <w:r w:rsidR="00A75D2C" w:rsidRPr="00797F69">
        <w:t xml:space="preserve"> </w:t>
      </w:r>
      <w:r w:rsidR="009B6143" w:rsidRPr="00797F69">
        <w:t xml:space="preserve">and the </w:t>
      </w:r>
      <w:r w:rsidR="009B6143">
        <w:t>j</w:t>
      </w:r>
      <w:r w:rsidR="009B6143" w:rsidRPr="00797F69">
        <w:t>udiciary?</w:t>
      </w:r>
      <w:r w:rsidR="009B6143" w:rsidRPr="00797F69">
        <w:rPr>
          <w:rStyle w:val="FootnoteReference"/>
        </w:rPr>
        <w:footnoteReference w:id="16"/>
      </w:r>
      <w:r w:rsidR="009B6143" w:rsidRPr="00797F69">
        <w:t xml:space="preserve"> Please also indicate how the State party cooperates with the </w:t>
      </w:r>
      <w:r w:rsidR="009B6143" w:rsidRPr="00F32D70">
        <w:t>CPN(M)</w:t>
      </w:r>
      <w:r w:rsidR="009B6143" w:rsidRPr="00797F69">
        <w:t xml:space="preserve"> in order to ensure the full implementation of the Comprehensive Peace Accord, especially with regard to the fight against impunity. Has a mechanism been put in place to ensure that all allegations of torture, killings and </w:t>
      </w:r>
      <w:r w:rsidR="00F32D70" w:rsidRPr="00851EC0">
        <w:t>disappearances</w:t>
      </w:r>
      <w:r w:rsidR="009B6143" w:rsidRPr="00797F69">
        <w:t>, which occurred during the armed conflict or as a result of the armed conflict</w:t>
      </w:r>
      <w:r w:rsidR="009B6143">
        <w:t>,</w:t>
      </w:r>
      <w:r w:rsidR="009B6143" w:rsidRPr="00797F69">
        <w:t xml:space="preserve"> are being investigated?</w:t>
      </w:r>
      <w:r w:rsidR="009B6143" w:rsidRPr="00797F69">
        <w:rPr>
          <w:rStyle w:val="FootnoteReference"/>
        </w:rPr>
        <w:footnoteReference w:id="17"/>
      </w:r>
    </w:p>
    <w:p w:rsidR="009B6143" w:rsidRPr="00797F69" w:rsidRDefault="001A41D2" w:rsidP="001A41D2">
      <w:pPr>
        <w:pStyle w:val="SingleTxtG"/>
      </w:pPr>
      <w:r>
        <w:t>31.</w:t>
      </w:r>
      <w:r>
        <w:tab/>
      </w:r>
      <w:r w:rsidR="009B6143" w:rsidRPr="00797F69">
        <w:t>In the absence of a</w:t>
      </w:r>
      <w:r w:rsidR="00F13AD5">
        <w:t>n</w:t>
      </w:r>
      <w:r w:rsidR="009B6143" w:rsidRPr="00797F69">
        <w:t xml:space="preserve"> established Commission of Inquiry into forced disappearances, please indicate the urgent measures taken to find the whereabouts of the persons who disappeared during the armed conflict</w:t>
      </w:r>
      <w:r w:rsidR="00F13AD5">
        <w:t>.</w:t>
      </w:r>
      <w:r w:rsidR="009B6143" w:rsidRPr="00797F69">
        <w:rPr>
          <w:rStyle w:val="FootnoteReference"/>
        </w:rPr>
        <w:footnoteReference w:id="18"/>
      </w:r>
      <w:r w:rsidR="009B6143" w:rsidRPr="00797F69">
        <w:t xml:space="preserve"> What steps have been taken by the State party to publish the names and </w:t>
      </w:r>
      <w:r w:rsidR="00F13AD5">
        <w:t xml:space="preserve">the </w:t>
      </w:r>
      <w:r w:rsidR="009B6143" w:rsidRPr="00797F69">
        <w:t>number of persons who have disappeared during the armed conflict?</w:t>
      </w:r>
    </w:p>
    <w:p w:rsidR="009B6143" w:rsidRPr="00797F69" w:rsidRDefault="001A41D2" w:rsidP="001A41D2">
      <w:pPr>
        <w:pStyle w:val="SingleTxtG"/>
      </w:pPr>
      <w:r>
        <w:t>32.</w:t>
      </w:r>
      <w:r>
        <w:tab/>
      </w:r>
      <w:r w:rsidR="009B6143" w:rsidRPr="00797F69">
        <w:t xml:space="preserve">Following the Government’s recommendation to withdraw 349 cases of “a political nature”, including against some senior CPN(M) members of the Cabinet, please provide information on steps taken to avoid the recurrence of such </w:t>
      </w:r>
      <w:r w:rsidR="00F13AD5">
        <w:t xml:space="preserve">a </w:t>
      </w:r>
      <w:r w:rsidR="009B6143" w:rsidRPr="00797F69">
        <w:t>measure in the future</w:t>
      </w:r>
      <w:r w:rsidR="00F13AD5">
        <w:t>,</w:t>
      </w:r>
      <w:r w:rsidR="009B6143" w:rsidRPr="00797F69">
        <w:t xml:space="preserve"> and </w:t>
      </w:r>
      <w:r w:rsidR="00F13AD5">
        <w:t xml:space="preserve">to </w:t>
      </w:r>
      <w:r w:rsidR="009B6143" w:rsidRPr="00797F69">
        <w:t xml:space="preserve">ensure transparent, impartial proceedings so that individuals responsible for gross violations and international crimes do not benefit from </w:t>
      </w:r>
      <w:r w:rsidR="009B6143" w:rsidRPr="00797F69">
        <w:rPr>
          <w:i/>
          <w:iCs/>
        </w:rPr>
        <w:t>de facto</w:t>
      </w:r>
      <w:r w:rsidR="009B6143" w:rsidRPr="00797F69">
        <w:t xml:space="preserve"> amnesty</w:t>
      </w:r>
      <w:r w:rsidR="009B6143">
        <w:t>, as recommended by the U</w:t>
      </w:r>
      <w:r w:rsidR="00F13AD5">
        <w:t xml:space="preserve">nited </w:t>
      </w:r>
      <w:r w:rsidR="009B6143">
        <w:t>N</w:t>
      </w:r>
      <w:r w:rsidR="00F13AD5">
        <w:t>ations</w:t>
      </w:r>
      <w:r w:rsidR="009B6143">
        <w:t xml:space="preserve"> High Commissioner for Human Rights</w:t>
      </w:r>
      <w:r w:rsidR="009B6143" w:rsidRPr="00797F69">
        <w:rPr>
          <w:rStyle w:val="FootnoteReference"/>
        </w:rPr>
        <w:footnoteReference w:id="19"/>
      </w:r>
      <w:r w:rsidR="004D0CE9">
        <w:t>.</w:t>
      </w:r>
    </w:p>
    <w:p w:rsidR="009B6143" w:rsidRPr="00797F69" w:rsidRDefault="001A41D2" w:rsidP="001A41D2">
      <w:pPr>
        <w:pStyle w:val="SingleTxtG"/>
      </w:pPr>
      <w:r>
        <w:t>33.</w:t>
      </w:r>
      <w:r>
        <w:tab/>
      </w:r>
      <w:r w:rsidR="009B6143" w:rsidRPr="00797F69">
        <w:t xml:space="preserve">Please provide information on the action taken by the State party to fully implement </w:t>
      </w:r>
      <w:r w:rsidR="009B6143">
        <w:t>the</w:t>
      </w:r>
      <w:r w:rsidR="009B6143" w:rsidRPr="00797F69">
        <w:t xml:space="preserve"> Supreme Court’s ruling of September 2007</w:t>
      </w:r>
      <w:r w:rsidR="00F13AD5">
        <w:t>,</w:t>
      </w:r>
      <w:r w:rsidR="009B6143" w:rsidRPr="00797F69">
        <w:t xml:space="preserve"> regarding the killing of 15 year-old Maina Sunuwar.</w:t>
      </w:r>
      <w:r w:rsidR="009B6143" w:rsidRPr="00797F69">
        <w:rPr>
          <w:rStyle w:val="FootnoteReference"/>
        </w:rPr>
        <w:footnoteReference w:id="20"/>
      </w:r>
      <w:r w:rsidR="009B6143" w:rsidRPr="00797F69">
        <w:t xml:space="preserve"> Please also provide information on the implementation of the 2009 Supreme Court’s ruling on Dhanusha</w:t>
      </w:r>
      <w:r w:rsidR="00F13AD5">
        <w:t>’s</w:t>
      </w:r>
      <w:r w:rsidR="009B6143" w:rsidRPr="00797F69">
        <w:t xml:space="preserve"> disappearance. Please provide information on the sta</w:t>
      </w:r>
      <w:r w:rsidR="00F13AD5">
        <w:t>tus</w:t>
      </w:r>
      <w:r w:rsidR="009B6143" w:rsidRPr="00797F69">
        <w:t xml:space="preserve"> of the investigation </w:t>
      </w:r>
      <w:r w:rsidR="00F13AD5">
        <w:t>into</w:t>
      </w:r>
      <w:r w:rsidR="009B6143" w:rsidRPr="00797F69">
        <w:t xml:space="preserve"> the disappearance of 156 persons, which occurred in Bardiya district between December 2001 and January 2003. Please also provide information on the sta</w:t>
      </w:r>
      <w:r w:rsidR="00F13AD5">
        <w:t>tus</w:t>
      </w:r>
      <w:r w:rsidR="009B6143" w:rsidRPr="00797F69">
        <w:t xml:space="preserve"> of</w:t>
      </w:r>
      <w:r w:rsidR="00F13AD5">
        <w:t xml:space="preserve"> the</w:t>
      </w:r>
      <w:r w:rsidR="009B6143" w:rsidRPr="00797F69">
        <w:t xml:space="preserve"> investigation into the abduction and subsequent killing of a businessman at a Maoist Cantonment site in Chitwan in May 2008</w:t>
      </w:r>
      <w:r w:rsidR="00F13AD5">
        <w:t>.</w:t>
      </w:r>
      <w:r w:rsidR="009B6143" w:rsidRPr="00797F69">
        <w:rPr>
          <w:rStyle w:val="FootnoteReference"/>
        </w:rPr>
        <w:footnoteReference w:id="21"/>
      </w:r>
    </w:p>
    <w:p w:rsidR="009B6143" w:rsidRPr="00F40AFC" w:rsidRDefault="001A41D2" w:rsidP="001A41D2">
      <w:pPr>
        <w:pStyle w:val="SingleTxtG"/>
      </w:pPr>
      <w:r w:rsidRPr="00E11256">
        <w:t>34.</w:t>
      </w:r>
      <w:r>
        <w:tab/>
      </w:r>
      <w:r w:rsidR="009B6143" w:rsidRPr="00797F69">
        <w:t>Please provide information on the sta</w:t>
      </w:r>
      <w:r w:rsidR="00E11256">
        <w:t>tus</w:t>
      </w:r>
      <w:r w:rsidR="009B6143" w:rsidRPr="00797F69">
        <w:t xml:space="preserve"> of the investigation into the excessive use of force in the context of crowd control in Terai district and </w:t>
      </w:r>
      <w:smartTag w:uri="urn:schemas-microsoft-com:office:smarttags" w:element="place">
        <w:r w:rsidR="009B6143" w:rsidRPr="00797F69">
          <w:t>Kathmandu</w:t>
        </w:r>
      </w:smartTag>
      <w:r w:rsidR="009B6143" w:rsidRPr="00797F69">
        <w:t xml:space="preserve"> in March 2008</w:t>
      </w:r>
      <w:r w:rsidR="00E11256">
        <w:t>,</w:t>
      </w:r>
      <w:r w:rsidR="009B6143" w:rsidRPr="00797F69">
        <w:t xml:space="preserve"> and in Kailali district in May 2008.</w:t>
      </w:r>
      <w:r w:rsidR="009B6143" w:rsidRPr="00797F69">
        <w:rPr>
          <w:rStyle w:val="FootnoteReference"/>
        </w:rPr>
        <w:footnoteReference w:id="22"/>
      </w:r>
      <w:r w:rsidR="009B6143" w:rsidRPr="00797F69">
        <w:t xml:space="preserve"> Please also provide information on the investigation </w:t>
      </w:r>
      <w:r w:rsidR="00E11256">
        <w:t>into</w:t>
      </w:r>
      <w:r w:rsidR="009B6143" w:rsidRPr="00797F69">
        <w:t xml:space="preserve"> 21 deaths </w:t>
      </w:r>
      <w:r w:rsidR="009B6143">
        <w:t xml:space="preserve">which </w:t>
      </w:r>
      <w:r w:rsidR="009B6143" w:rsidRPr="00797F69">
        <w:t>occurred between 7 March and 9 April 2008</w:t>
      </w:r>
      <w:r w:rsidR="00E11256">
        <w:t>,</w:t>
      </w:r>
      <w:r w:rsidR="009B6143" w:rsidRPr="00797F69">
        <w:t xml:space="preserve"> in incidents linked to the electoral process.</w:t>
      </w:r>
      <w:r w:rsidR="009B6143" w:rsidRPr="00797F69">
        <w:rPr>
          <w:rStyle w:val="FootnoteReference"/>
        </w:rPr>
        <w:footnoteReference w:id="23"/>
      </w:r>
    </w:p>
    <w:p w:rsidR="009B6143" w:rsidRPr="00797F69" w:rsidRDefault="001A41D2" w:rsidP="001A41D2">
      <w:pPr>
        <w:pStyle w:val="SingleTxtG"/>
      </w:pPr>
      <w:r>
        <w:t>35.</w:t>
      </w:r>
      <w:r>
        <w:tab/>
      </w:r>
      <w:r w:rsidR="009B6143">
        <w:t xml:space="preserve">Please provide information on the number of complaints by juveniles alleging torture or ill-treatment. Please also inform the Committee as to whether such complaints were investigated and the result of the investigations. </w:t>
      </w:r>
    </w:p>
    <w:p w:rsidR="009B6143" w:rsidRPr="00797F69" w:rsidRDefault="001A41D2" w:rsidP="001A41D2">
      <w:pPr>
        <w:pStyle w:val="H1G"/>
      </w:pPr>
      <w:r>
        <w:tab/>
      </w:r>
      <w:r>
        <w:tab/>
      </w:r>
      <w:r w:rsidR="009B6143" w:rsidRPr="00797F69">
        <w:t>Article 1</w:t>
      </w:r>
      <w:r w:rsidR="009B6143">
        <w:t>4</w:t>
      </w:r>
    </w:p>
    <w:p w:rsidR="009B6143" w:rsidRPr="00797F69" w:rsidRDefault="001A41D2" w:rsidP="00790BD7">
      <w:pPr>
        <w:pStyle w:val="SingleTxtG"/>
        <w:rPr>
          <w:b/>
          <w:bCs/>
        </w:rPr>
      </w:pPr>
      <w:r>
        <w:t>3</w:t>
      </w:r>
      <w:r w:rsidR="00790BD7">
        <w:t>6</w:t>
      </w:r>
      <w:r>
        <w:t>.</w:t>
      </w:r>
      <w:r>
        <w:tab/>
      </w:r>
      <w:r w:rsidR="009B6143" w:rsidRPr="00797F69">
        <w:t xml:space="preserve">In light of the Committee’s previous concluding observations (para. 28), please provide information on steps taken to adopt legislation and amend the existing Compensation Relating to Torture Act of 1996 to ensure protection to victims of torture from reprisals and intimidation when they come forward to </w:t>
      </w:r>
      <w:r w:rsidR="00E11256">
        <w:t>file</w:t>
      </w:r>
      <w:r w:rsidR="009B6143" w:rsidRPr="00797F69">
        <w:t xml:space="preserve"> complaints about their treatment</w:t>
      </w:r>
      <w:r w:rsidR="009B6143" w:rsidRPr="00797F69">
        <w:rPr>
          <w:rStyle w:val="FootnoteReference"/>
        </w:rPr>
        <w:footnoteReference w:id="24"/>
      </w:r>
      <w:r w:rsidR="009B6143" w:rsidRPr="00797F69">
        <w:t>.</w:t>
      </w:r>
      <w:r w:rsidR="009B6143">
        <w:t xml:space="preserve"> P</w:t>
      </w:r>
      <w:r w:rsidR="009B6143" w:rsidRPr="00797F69">
        <w:t>lease id</w:t>
      </w:r>
      <w:r w:rsidR="009B6143">
        <w:t>entify any</w:t>
      </w:r>
      <w:r w:rsidR="009B6143" w:rsidRPr="00797F69">
        <w:t xml:space="preserve"> concrete measures and monitoring mechanisms put in place to protect victims and witnesses</w:t>
      </w:r>
      <w:r w:rsidR="009B6143">
        <w:t xml:space="preserve"> pending implementation of such legislation and amendments.</w:t>
      </w:r>
      <w:r w:rsidR="009B6143" w:rsidRPr="00797F69">
        <w:t xml:space="preserve">  </w:t>
      </w:r>
    </w:p>
    <w:p w:rsidR="009B6143" w:rsidRDefault="001A41D2" w:rsidP="00790BD7">
      <w:pPr>
        <w:pStyle w:val="SingleTxtG"/>
      </w:pPr>
      <w:r>
        <w:t>3</w:t>
      </w:r>
      <w:r w:rsidR="00790BD7">
        <w:t>7</w:t>
      </w:r>
      <w:r>
        <w:t>.</w:t>
      </w:r>
      <w:r>
        <w:tab/>
      </w:r>
      <w:r w:rsidR="009B6143" w:rsidRPr="00797F69">
        <w:t>Please provide information on steps taken to amend the Torture Compensation Act to increase or remove the current statute of limitations</w:t>
      </w:r>
      <w:r w:rsidR="00873E2D">
        <w:t xml:space="preserve"> (35 days)</w:t>
      </w:r>
      <w:r w:rsidR="009B6143" w:rsidRPr="00797F69">
        <w:t xml:space="preserve"> </w:t>
      </w:r>
      <w:r w:rsidR="00A06E07">
        <w:t>for</w:t>
      </w:r>
      <w:r w:rsidR="009B6143" w:rsidRPr="00797F69">
        <w:t xml:space="preserve"> submitting complaints of torture. Please also indicate whether the ceiling </w:t>
      </w:r>
      <w:r w:rsidR="00A06E07">
        <w:t xml:space="preserve">set </w:t>
      </w:r>
      <w:r w:rsidR="009B6143" w:rsidRPr="00797F69">
        <w:t xml:space="preserve">for compensation </w:t>
      </w:r>
      <w:r w:rsidR="009B6143">
        <w:t>(</w:t>
      </w:r>
      <w:r w:rsidR="009B6143" w:rsidRPr="00797F69">
        <w:t>NRs 100</w:t>
      </w:r>
      <w:r w:rsidR="00A06E07">
        <w:t>,</w:t>
      </w:r>
      <w:r w:rsidR="009B6143" w:rsidRPr="00797F69">
        <w:t xml:space="preserve">000 </w:t>
      </w:r>
      <w:r w:rsidR="00A06E07">
        <w:t xml:space="preserve">or </w:t>
      </w:r>
      <w:r w:rsidR="009B6143" w:rsidRPr="00797F69">
        <w:t>US$ 1</w:t>
      </w:r>
      <w:r w:rsidR="00A06E07">
        <w:t>,</w:t>
      </w:r>
      <w:r w:rsidR="009B6143" w:rsidRPr="00797F69">
        <w:t xml:space="preserve">300) will be removed to reflect the </w:t>
      </w:r>
      <w:r w:rsidR="009B6143">
        <w:t>true gravity</w:t>
      </w:r>
      <w:r w:rsidR="009B6143" w:rsidRPr="00797F69">
        <w:t xml:space="preserve"> of the damage caused by acts of torture.</w:t>
      </w:r>
    </w:p>
    <w:p w:rsidR="009B6143" w:rsidRPr="00797F69" w:rsidRDefault="001A41D2" w:rsidP="00790BD7">
      <w:pPr>
        <w:pStyle w:val="SingleTxtG"/>
      </w:pPr>
      <w:r>
        <w:t>3</w:t>
      </w:r>
      <w:r w:rsidR="00790BD7">
        <w:t>8</w:t>
      </w:r>
      <w:r>
        <w:t>.</w:t>
      </w:r>
      <w:r>
        <w:tab/>
      </w:r>
      <w:r w:rsidR="009B6143" w:rsidRPr="00797F69">
        <w:t xml:space="preserve">In light of the Committee’s previous concluding observations (para. 29), please provide information on the number of persons who have received compensation as victims of acts of torture, the amount of compensation </w:t>
      </w:r>
      <w:r w:rsidR="009B6143">
        <w:t xml:space="preserve">actually </w:t>
      </w:r>
      <w:r w:rsidR="009B6143" w:rsidRPr="00797F69">
        <w:t>awarded</w:t>
      </w:r>
      <w:r w:rsidR="00A06E07">
        <w:t>,</w:t>
      </w:r>
      <w:r w:rsidR="009B6143" w:rsidRPr="00797F69">
        <w:t xml:space="preserve"> and the time</w:t>
      </w:r>
      <w:r w:rsidR="00A06E07">
        <w:t xml:space="preserve"> </w:t>
      </w:r>
      <w:r w:rsidR="009B6143" w:rsidRPr="00797F69">
        <w:t>frame within which such compensation was granted.</w:t>
      </w:r>
    </w:p>
    <w:p w:rsidR="009B6143" w:rsidRPr="00797F69" w:rsidRDefault="001A41D2" w:rsidP="001A41D2">
      <w:pPr>
        <w:pStyle w:val="H1G"/>
      </w:pPr>
      <w:r>
        <w:tab/>
      </w:r>
      <w:r>
        <w:tab/>
      </w:r>
      <w:r w:rsidR="009B6143" w:rsidRPr="00797F69">
        <w:t>Article 15</w:t>
      </w:r>
    </w:p>
    <w:p w:rsidR="009B6143" w:rsidRPr="00797F69" w:rsidRDefault="00790BD7" w:rsidP="00790BD7">
      <w:pPr>
        <w:pStyle w:val="SingleTxtG"/>
      </w:pPr>
      <w:r>
        <w:t>39.</w:t>
      </w:r>
      <w:r>
        <w:tab/>
      </w:r>
      <w:r w:rsidR="009B6143" w:rsidRPr="00797F69">
        <w:t xml:space="preserve">In light of the Committee’s previous concluding observations (para. 30) and further to the State party’s </w:t>
      </w:r>
      <w:r w:rsidR="009B6143">
        <w:t>follow-up replies</w:t>
      </w:r>
      <w:r w:rsidR="009B6143" w:rsidRPr="00797F69">
        <w:t xml:space="preserve"> (para. 27), please provide concrete information on both legislation and jurisprudence that exclude statements obtained as a result of torture</w:t>
      </w:r>
      <w:r w:rsidR="00A06E07">
        <w:t xml:space="preserve"> from</w:t>
      </w:r>
      <w:r w:rsidR="009B6143" w:rsidRPr="00797F69">
        <w:t xml:space="preserve"> being admitted as evidence</w:t>
      </w:r>
      <w:r w:rsidR="009B6143" w:rsidRPr="00797F69">
        <w:rPr>
          <w:rStyle w:val="FootnoteReference"/>
        </w:rPr>
        <w:footnoteReference w:id="25"/>
      </w:r>
      <w:r w:rsidR="009B6143" w:rsidRPr="00797F69">
        <w:t xml:space="preserve">.  </w:t>
      </w:r>
    </w:p>
    <w:p w:rsidR="009B6143" w:rsidRPr="00797F69" w:rsidRDefault="00790BD7" w:rsidP="00790BD7">
      <w:pPr>
        <w:pStyle w:val="H1G"/>
      </w:pPr>
      <w:r>
        <w:tab/>
      </w:r>
      <w:r>
        <w:tab/>
      </w:r>
      <w:r w:rsidR="009B6143" w:rsidRPr="009E41B3">
        <w:t>Article 16</w:t>
      </w:r>
    </w:p>
    <w:p w:rsidR="009B6143" w:rsidRDefault="00790BD7" w:rsidP="00790BD7">
      <w:pPr>
        <w:pStyle w:val="SingleTxtG"/>
      </w:pPr>
      <w:r>
        <w:t>40.</w:t>
      </w:r>
      <w:r>
        <w:tab/>
      </w:r>
      <w:r w:rsidR="009B6143" w:rsidRPr="00CF221F">
        <w:t>Please provide information on the material, human and budgetary resources that are made available by the State party to ensure that the conditions of detention are in conformity with</w:t>
      </w:r>
      <w:r w:rsidR="009B6143">
        <w:t xml:space="preserve"> </w:t>
      </w:r>
      <w:r w:rsidR="009B6143" w:rsidRPr="00CF221F">
        <w:t>minimum international standards</w:t>
      </w:r>
      <w:r w:rsidR="00A06E07">
        <w:t>, at the least</w:t>
      </w:r>
      <w:r w:rsidR="009B6143" w:rsidRPr="00CF221F">
        <w:t xml:space="preserve">. </w:t>
      </w:r>
      <w:r w:rsidR="009B6143">
        <w:t xml:space="preserve"> </w:t>
      </w:r>
    </w:p>
    <w:p w:rsidR="009B6143" w:rsidRDefault="00790BD7" w:rsidP="00790BD7">
      <w:pPr>
        <w:pStyle w:val="SingleTxtG"/>
      </w:pPr>
      <w:r>
        <w:t>41.</w:t>
      </w:r>
      <w:r>
        <w:tab/>
      </w:r>
      <w:r w:rsidR="009B6143">
        <w:t xml:space="preserve">Please provide details as to the number of complaints regarding overcrowding and unsanitary conditions in police or other detention facilities, and inform the Committee as to the steps </w:t>
      </w:r>
      <w:r w:rsidR="009E41B3">
        <w:t xml:space="preserve">that </w:t>
      </w:r>
      <w:r w:rsidR="009B6143">
        <w:t xml:space="preserve">the State party is taking to address these complaints and improve such conditions. </w:t>
      </w:r>
    </w:p>
    <w:p w:rsidR="009B6143" w:rsidRPr="00C82D5E" w:rsidRDefault="00790BD7" w:rsidP="00790BD7">
      <w:pPr>
        <w:pStyle w:val="SingleTxtG"/>
      </w:pPr>
      <w:r>
        <w:t>42.</w:t>
      </w:r>
      <w:r>
        <w:tab/>
      </w:r>
      <w:r w:rsidR="009B6143">
        <w:t xml:space="preserve">Please comment on allegations of acts of violence against human rights defenders and journalists by unknown persons. Please inform the Committee on the measures </w:t>
      </w:r>
      <w:r w:rsidR="009E41B3">
        <w:t xml:space="preserve">that </w:t>
      </w:r>
      <w:r w:rsidR="009B6143">
        <w:t>the State party has adopted to protect these individuals and to investigate any threat or act of violence against them. Please also inform the Committee as to the steps taken in order to prevent future occurrence of such threats/acts.</w:t>
      </w:r>
    </w:p>
    <w:p w:rsidR="009B6143" w:rsidRPr="00797F69" w:rsidRDefault="00790BD7" w:rsidP="00790BD7">
      <w:pPr>
        <w:pStyle w:val="SingleTxtG"/>
      </w:pPr>
      <w:r>
        <w:t>43.</w:t>
      </w:r>
      <w:r>
        <w:tab/>
      </w:r>
      <w:r w:rsidR="009B6143" w:rsidRPr="00797F69">
        <w:t>Please id</w:t>
      </w:r>
      <w:r w:rsidR="009B6143">
        <w:t>entify any</w:t>
      </w:r>
      <w:r w:rsidR="009B6143" w:rsidRPr="00797F69">
        <w:t xml:space="preserve"> steps taken by the State party to safeguard </w:t>
      </w:r>
      <w:r w:rsidR="009B6143">
        <w:t xml:space="preserve">the </w:t>
      </w:r>
      <w:r w:rsidR="009B6143" w:rsidRPr="00797F69">
        <w:t xml:space="preserve">physical integrity of all persons under its jurisdiction and more specifically </w:t>
      </w:r>
      <w:r w:rsidR="009B6143">
        <w:t xml:space="preserve">the </w:t>
      </w:r>
      <w:r w:rsidR="009B6143" w:rsidRPr="00797F69">
        <w:t xml:space="preserve">affirmative action taken to protect marginalized and disadvantaged groups or castes such as the </w:t>
      </w:r>
      <w:r w:rsidR="009B6143">
        <w:t xml:space="preserve">Dalits </w:t>
      </w:r>
      <w:r w:rsidR="009B6143" w:rsidRPr="00797F69">
        <w:t xml:space="preserve">and Terai ethnic groups. Please indicate </w:t>
      </w:r>
      <w:r w:rsidR="009B6143">
        <w:t xml:space="preserve">any </w:t>
      </w:r>
      <w:r w:rsidR="009B6143" w:rsidRPr="00797F69">
        <w:t>concrete measures taken to address allegations of ill-treatment of those groups in detention, especially juveniles from those ethnic groups</w:t>
      </w:r>
      <w:r w:rsidR="009B6143">
        <w:t xml:space="preserve"> (the number of such allegations </w:t>
      </w:r>
      <w:r w:rsidR="009B6143" w:rsidRPr="00797F69">
        <w:t>is significantly higher than the overall detained population</w:t>
      </w:r>
      <w:r w:rsidR="009B6143">
        <w:t>)</w:t>
      </w:r>
      <w:r w:rsidR="009B6143" w:rsidRPr="00797F69">
        <w:t>.</w:t>
      </w:r>
    </w:p>
    <w:p w:rsidR="009B6143" w:rsidRPr="00797F69" w:rsidRDefault="00790BD7" w:rsidP="00790BD7">
      <w:pPr>
        <w:pStyle w:val="H1G"/>
      </w:pPr>
      <w:r>
        <w:tab/>
      </w:r>
      <w:r>
        <w:tab/>
      </w:r>
      <w:r w:rsidR="009B6143" w:rsidRPr="00797F69">
        <w:t>Other issues</w:t>
      </w:r>
    </w:p>
    <w:p w:rsidR="009B6143" w:rsidRDefault="00790BD7" w:rsidP="00790BD7">
      <w:pPr>
        <w:pStyle w:val="SingleTxtG"/>
      </w:pPr>
      <w:r>
        <w:t>44.</w:t>
      </w:r>
      <w:r>
        <w:tab/>
      </w:r>
      <w:r w:rsidR="009B6143">
        <w:t>According to information before the Committee, the Crime Investigation Department (CID)</w:t>
      </w:r>
      <w:r w:rsidR="00E4463A">
        <w:t xml:space="preserve"> within the Police </w:t>
      </w:r>
      <w:r w:rsidR="009B6143">
        <w:t xml:space="preserve">is divided into branches, </w:t>
      </w:r>
      <w:r w:rsidR="00E4463A">
        <w:t>including</w:t>
      </w:r>
      <w:r w:rsidR="009B6143">
        <w:t xml:space="preserve"> the Anti-Terrorist Branch which has an internal and external terrorist section. Please provide information on the composition and mandate of this branch and its legal basis. Has there been new legislation adopted on counter</w:t>
      </w:r>
      <w:r w:rsidR="00E4463A">
        <w:t>-</w:t>
      </w:r>
      <w:r w:rsidR="009B6143">
        <w:t xml:space="preserve">terrorism? Please provide information on any other legislative, administrative and other measures </w:t>
      </w:r>
      <w:r w:rsidR="00E4463A">
        <w:t xml:space="preserve">that </w:t>
      </w:r>
      <w:r w:rsidR="009B6143">
        <w:t xml:space="preserve">the State party has taken to respond to threats of terrorism, and please indicate if and how these have affected human rights safeguards in law and </w:t>
      </w:r>
      <w:r w:rsidR="00E4463A">
        <w:t xml:space="preserve">in </w:t>
      </w:r>
      <w:r w:rsidR="009B6143">
        <w:t xml:space="preserve">practice. </w:t>
      </w:r>
    </w:p>
    <w:p w:rsidR="009B6143" w:rsidRPr="00797F69" w:rsidRDefault="00790BD7" w:rsidP="00790BD7">
      <w:pPr>
        <w:pStyle w:val="SingleTxtG"/>
      </w:pPr>
      <w:r>
        <w:t>45.</w:t>
      </w:r>
      <w:r>
        <w:tab/>
      </w:r>
      <w:r w:rsidR="009B6143">
        <w:t>W</w:t>
      </w:r>
      <w:r w:rsidR="009B6143" w:rsidRPr="00797F69">
        <w:t>ith reference to the Committee’s previous concluding observations</w:t>
      </w:r>
      <w:r w:rsidR="00E4463A">
        <w:t xml:space="preserve"> (para. 34)</w:t>
      </w:r>
      <w:r w:rsidR="009B6143" w:rsidRPr="00797F69">
        <w:t xml:space="preserve">, please indicate whether the State party intends to make the declaration under articles 21 and 22 of the Convention. Please also indicate whether the State party intends </w:t>
      </w:r>
      <w:r w:rsidR="009B6143">
        <w:t>to</w:t>
      </w:r>
      <w:r w:rsidR="009B6143" w:rsidRPr="00797F69">
        <w:t xml:space="preserve"> ratify the Optional Protocol to the Convention</w:t>
      </w:r>
      <w:r w:rsidR="009B6143">
        <w:t xml:space="preserve">, </w:t>
      </w:r>
      <w:r w:rsidR="009B6143" w:rsidRPr="00797F69">
        <w:t>what steps</w:t>
      </w:r>
      <w:r w:rsidR="009B6143">
        <w:t xml:space="preserve"> </w:t>
      </w:r>
      <w:r w:rsidR="009B6143" w:rsidRPr="00797F69">
        <w:t>have been taken in this respect</w:t>
      </w:r>
      <w:r w:rsidR="009B6143">
        <w:t>, and the time</w:t>
      </w:r>
      <w:r w:rsidR="00E4463A">
        <w:t xml:space="preserve"> </w:t>
      </w:r>
      <w:r w:rsidR="009B6143">
        <w:t>frame for such ratification</w:t>
      </w:r>
      <w:r w:rsidR="009B6143" w:rsidRPr="00797F69">
        <w:t>. Is the State party considering becoming a party to the Rome Statute of the International Criminal Court</w:t>
      </w:r>
      <w:r w:rsidR="009B6143">
        <w:t xml:space="preserve"> and, if so, within what time</w:t>
      </w:r>
      <w:r w:rsidR="00E4463A">
        <w:t xml:space="preserve"> </w:t>
      </w:r>
      <w:r w:rsidR="009B6143">
        <w:t>frame</w:t>
      </w:r>
      <w:r w:rsidR="009B6143" w:rsidRPr="00797F69">
        <w:t xml:space="preserve">? </w:t>
      </w:r>
    </w:p>
    <w:p w:rsidR="009B6143" w:rsidRPr="00797F69" w:rsidRDefault="00790BD7" w:rsidP="00790BD7">
      <w:pPr>
        <w:pStyle w:val="H1G"/>
      </w:pPr>
      <w:r>
        <w:tab/>
      </w:r>
      <w:r>
        <w:tab/>
      </w:r>
      <w:r w:rsidR="009B6143" w:rsidRPr="00797F69">
        <w:t>General information on the national human rights situation, including new measures and developments relating to the implementation of the Convention</w:t>
      </w:r>
    </w:p>
    <w:p w:rsidR="009B6143" w:rsidRPr="00797F69" w:rsidRDefault="00790BD7" w:rsidP="00790BD7">
      <w:pPr>
        <w:pStyle w:val="SingleTxtG"/>
      </w:pPr>
      <w:r>
        <w:t>46.</w:t>
      </w:r>
      <w:r>
        <w:tab/>
      </w:r>
      <w:r w:rsidR="009B6143" w:rsidRPr="00797F69">
        <w:t>Please provide detailed information on relevant new developments</w:t>
      </w:r>
      <w:r w:rsidR="009B6143">
        <w:t xml:space="preserve">, since the previous </w:t>
      </w:r>
      <w:r w:rsidR="008D234D">
        <w:t xml:space="preserve">periodic </w:t>
      </w:r>
      <w:r w:rsidR="009B6143">
        <w:t>report,</w:t>
      </w:r>
      <w:r w:rsidR="009B6143" w:rsidRPr="00797F69">
        <w:t xml:space="preserve"> </w:t>
      </w:r>
      <w:r w:rsidR="009B6143">
        <w:t>within</w:t>
      </w:r>
      <w:r w:rsidR="009B6143" w:rsidRPr="00797F69">
        <w:t xml:space="preserve"> the legal and institutional framework</w:t>
      </w:r>
      <w:r w:rsidR="009B6143">
        <w:t>s</w:t>
      </w:r>
      <w:r w:rsidR="009B6143" w:rsidRPr="00797F69">
        <w:t xml:space="preserve"> within which human rights are promoted and protected at the national level, including any relevant jurisprudential decisions.</w:t>
      </w:r>
    </w:p>
    <w:p w:rsidR="009B6143" w:rsidRDefault="00790BD7" w:rsidP="00790BD7">
      <w:pPr>
        <w:pStyle w:val="SingleTxtG"/>
      </w:pPr>
      <w:r>
        <w:t>47.</w:t>
      </w:r>
      <w:r>
        <w:tab/>
      </w:r>
      <w:r w:rsidR="009B6143" w:rsidRPr="00797F69">
        <w:t>Please provide detailed relevant information on new political, administrative and other measures taken</w:t>
      </w:r>
      <w:r w:rsidR="009B6143">
        <w:t xml:space="preserve">, since the previous </w:t>
      </w:r>
      <w:r w:rsidR="008D234D">
        <w:t xml:space="preserve">periodic </w:t>
      </w:r>
      <w:r w:rsidR="009B6143">
        <w:t>report,</w:t>
      </w:r>
      <w:r w:rsidR="009B6143" w:rsidRPr="00797F69">
        <w:t xml:space="preserve"> to promote and protect human rights at the national level</w:t>
      </w:r>
      <w:r w:rsidR="009B6143">
        <w:t>,</w:t>
      </w:r>
      <w:r w:rsidR="009B6143" w:rsidRPr="00797F69">
        <w:t xml:space="preserve"> including any national human rights plans or programmes and </w:t>
      </w:r>
      <w:r w:rsidR="009B6143">
        <w:t xml:space="preserve">the </w:t>
      </w:r>
      <w:r w:rsidR="009B6143" w:rsidRPr="00797F69">
        <w:t>resources</w:t>
      </w:r>
      <w:r w:rsidR="008D234D">
        <w:t xml:space="preserve"> allocated thereto</w:t>
      </w:r>
      <w:r w:rsidR="009B6143">
        <w:t xml:space="preserve">, </w:t>
      </w:r>
      <w:r w:rsidR="008D234D">
        <w:t xml:space="preserve">their </w:t>
      </w:r>
      <w:r w:rsidR="009B6143" w:rsidRPr="00797F69">
        <w:t>means, objectives and results.</w:t>
      </w:r>
    </w:p>
    <w:p w:rsidR="009B6143" w:rsidRPr="00797F69" w:rsidRDefault="00790BD7" w:rsidP="00790BD7">
      <w:pPr>
        <w:pStyle w:val="SingleTxtG"/>
      </w:pPr>
      <w:r>
        <w:t>48.</w:t>
      </w:r>
      <w:r>
        <w:tab/>
      </w:r>
      <w:r w:rsidR="009B6143" w:rsidRPr="00797F69">
        <w:t xml:space="preserve">Please provide any other information </w:t>
      </w:r>
      <w:r w:rsidR="009B6143">
        <w:t xml:space="preserve">and pertinent statistical data regarding </w:t>
      </w:r>
      <w:r w:rsidR="009B6143" w:rsidRPr="00797F69">
        <w:t xml:space="preserve">new measures and developments undertaken to implement the Convention and the Committee’s recommendations since the consideration of </w:t>
      </w:r>
      <w:smartTag w:uri="urn:schemas-microsoft-com:office:smarttags" w:element="place">
        <w:smartTag w:uri="urn:schemas-microsoft-com:office:smarttags" w:element="country-region">
          <w:r w:rsidR="008D234D">
            <w:t>Nepal</w:t>
          </w:r>
        </w:smartTag>
      </w:smartTag>
      <w:r w:rsidR="008D234D">
        <w:t xml:space="preserve">’s </w:t>
      </w:r>
      <w:r w:rsidR="009B6143">
        <w:t>second</w:t>
      </w:r>
      <w:r w:rsidR="009B6143" w:rsidRPr="00797F69">
        <w:t xml:space="preserve"> </w:t>
      </w:r>
      <w:r w:rsidR="008D234D">
        <w:t xml:space="preserve">periodic </w:t>
      </w:r>
      <w:r w:rsidR="009B6143" w:rsidRPr="00797F69">
        <w:t>report</w:t>
      </w:r>
      <w:r w:rsidR="0079349F">
        <w:t xml:space="preserve"> in 1996</w:t>
      </w:r>
      <w:r w:rsidR="009B6143" w:rsidRPr="00797F69">
        <w:t>, as well as on any events that occurred in the State party and are relevant under the Convention.</w:t>
      </w:r>
    </w:p>
    <w:p w:rsidR="005D1026" w:rsidRPr="005D1026" w:rsidRDefault="005D1026" w:rsidP="005D1026">
      <w:pPr>
        <w:spacing w:before="240"/>
        <w:ind w:left="1134" w:right="1134"/>
        <w:jc w:val="center"/>
        <w:rPr>
          <w:u w:val="single"/>
        </w:rPr>
      </w:pPr>
      <w:r>
        <w:rPr>
          <w:u w:val="single"/>
        </w:rPr>
        <w:tab/>
      </w:r>
    </w:p>
    <w:sectPr w:rsidR="005D1026" w:rsidRPr="005D1026" w:rsidSect="0066294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79" w:rsidRDefault="00882279"/>
  </w:endnote>
  <w:endnote w:type="continuationSeparator" w:id="0">
    <w:p w:rsidR="00882279" w:rsidRDefault="00882279"/>
  </w:endnote>
  <w:endnote w:type="continuationNotice" w:id="1">
    <w:p w:rsidR="00882279" w:rsidRDefault="00882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BD" w:rsidRPr="0066294B" w:rsidRDefault="00B944BD" w:rsidP="0066294B">
    <w:pPr>
      <w:pStyle w:val="Footer"/>
      <w:tabs>
        <w:tab w:val="right" w:pos="9638"/>
      </w:tabs>
    </w:pPr>
    <w:r w:rsidRPr="0066294B">
      <w:rPr>
        <w:b/>
        <w:sz w:val="18"/>
      </w:rPr>
      <w:fldChar w:fldCharType="begin"/>
    </w:r>
    <w:r w:rsidRPr="0066294B">
      <w:rPr>
        <w:b/>
        <w:sz w:val="18"/>
      </w:rPr>
      <w:instrText xml:space="preserve"> PAGE  \* MERGEFORMAT </w:instrText>
    </w:r>
    <w:r w:rsidRPr="0066294B">
      <w:rPr>
        <w:b/>
        <w:sz w:val="18"/>
      </w:rPr>
      <w:fldChar w:fldCharType="separate"/>
    </w:r>
    <w:r w:rsidR="0068683A">
      <w:rPr>
        <w:b/>
        <w:noProof/>
        <w:sz w:val="18"/>
      </w:rPr>
      <w:t>8</w:t>
    </w:r>
    <w:r w:rsidRPr="006629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BD" w:rsidRPr="0066294B" w:rsidRDefault="00B944BD" w:rsidP="0066294B">
    <w:pPr>
      <w:pStyle w:val="Footer"/>
      <w:tabs>
        <w:tab w:val="right" w:pos="9638"/>
      </w:tabs>
      <w:rPr>
        <w:b/>
        <w:sz w:val="18"/>
      </w:rPr>
    </w:pPr>
    <w:r>
      <w:tab/>
    </w:r>
    <w:r w:rsidRPr="0066294B">
      <w:rPr>
        <w:b/>
        <w:sz w:val="18"/>
      </w:rPr>
      <w:fldChar w:fldCharType="begin"/>
    </w:r>
    <w:r w:rsidRPr="0066294B">
      <w:rPr>
        <w:b/>
        <w:sz w:val="18"/>
      </w:rPr>
      <w:instrText xml:space="preserve"> PAGE  \* MERGEFORMAT </w:instrText>
    </w:r>
    <w:r w:rsidRPr="0066294B">
      <w:rPr>
        <w:b/>
        <w:sz w:val="18"/>
      </w:rPr>
      <w:fldChar w:fldCharType="separate"/>
    </w:r>
    <w:r w:rsidR="0068683A">
      <w:rPr>
        <w:b/>
        <w:noProof/>
        <w:sz w:val="18"/>
      </w:rPr>
      <w:t>9</w:t>
    </w:r>
    <w:r w:rsidRPr="006629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BD" w:rsidRPr="0066294B" w:rsidRDefault="00B944B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GE.11-</w:t>
    </w:r>
    <w:r w:rsidR="0068683A">
      <w:t>40979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79" w:rsidRPr="000B175B" w:rsidRDefault="00882279" w:rsidP="000B175B">
      <w:pPr>
        <w:tabs>
          <w:tab w:val="right" w:pos="2155"/>
        </w:tabs>
        <w:spacing w:after="80"/>
        <w:ind w:left="680"/>
        <w:rPr>
          <w:u w:val="single"/>
        </w:rPr>
      </w:pPr>
      <w:r>
        <w:rPr>
          <w:u w:val="single"/>
        </w:rPr>
        <w:tab/>
      </w:r>
    </w:p>
  </w:footnote>
  <w:footnote w:type="continuationSeparator" w:id="0">
    <w:p w:rsidR="00882279" w:rsidRPr="00FC68B7" w:rsidRDefault="00882279" w:rsidP="00FC68B7">
      <w:pPr>
        <w:tabs>
          <w:tab w:val="left" w:pos="2155"/>
        </w:tabs>
        <w:spacing w:after="80"/>
        <w:ind w:left="680"/>
        <w:rPr>
          <w:u w:val="single"/>
        </w:rPr>
      </w:pPr>
      <w:r>
        <w:rPr>
          <w:u w:val="single"/>
        </w:rPr>
        <w:tab/>
      </w:r>
    </w:p>
  </w:footnote>
  <w:footnote w:type="continuationNotice" w:id="1">
    <w:p w:rsidR="00882279" w:rsidRDefault="00882279"/>
  </w:footnote>
  <w:footnote w:id="2">
    <w:p w:rsidR="00B944BD" w:rsidRPr="00163BE7" w:rsidRDefault="00B944BD" w:rsidP="00163BE7">
      <w:pPr>
        <w:pStyle w:val="FootnoteText"/>
      </w:pPr>
      <w:r>
        <w:rPr>
          <w:sz w:val="20"/>
        </w:rPr>
        <w:tab/>
      </w:r>
      <w:r w:rsidRPr="00163BE7">
        <w:rPr>
          <w:rStyle w:val="FootnoteReference"/>
        </w:rPr>
        <w:sym w:font="Symbol" w:char="F02A"/>
      </w:r>
      <w:r>
        <w:rPr>
          <w:sz w:val="20"/>
        </w:rPr>
        <w:tab/>
      </w:r>
      <w:r w:rsidRPr="00163BE7">
        <w:t>The present list of issues was adopted by the Committee at its forty-fifth session, according to the new optional procedure established by the Committee at its thirty-eighth session, which consists in the preparation and adoption of lists of issues to be transmitted to States parties prior to the submission of their respective periodic report. The replies to this list of issues will constitute the next periodic report under article 19 of the Convention.</w:t>
      </w:r>
    </w:p>
  </w:footnote>
  <w:footnote w:id="3">
    <w:p w:rsidR="00B944BD" w:rsidRPr="00163BE7" w:rsidRDefault="00B944BD" w:rsidP="00163BE7">
      <w:pPr>
        <w:pStyle w:val="FootnoteText"/>
      </w:pPr>
      <w:r w:rsidRPr="00163BE7">
        <w:tab/>
      </w:r>
      <w:r w:rsidRPr="00163BE7">
        <w:rPr>
          <w:rStyle w:val="FootnoteReference"/>
        </w:rPr>
        <w:footnoteRef/>
      </w:r>
      <w:r w:rsidRPr="00163BE7">
        <w:rPr>
          <w:rStyle w:val="FootnoteReference"/>
        </w:rPr>
        <w:t xml:space="preserve"> </w:t>
      </w:r>
      <w:r w:rsidRPr="00163BE7">
        <w:tab/>
        <w:t>Paragraph numbers in brackets refer to the previous concluding observations adopted by the Committee and published under the symbol CAT/C/NPL/CO/2 or to the State party’s follow-up replies published under CAT/C/NPL/CO/2/Add.1.</w:t>
      </w:r>
    </w:p>
  </w:footnote>
  <w:footnote w:id="4">
    <w:p w:rsidR="00B944BD" w:rsidRPr="00163BE7" w:rsidRDefault="00B944BD" w:rsidP="00163BE7">
      <w:pPr>
        <w:pStyle w:val="FootnoteText"/>
      </w:pPr>
      <w:r w:rsidRPr="00163BE7">
        <w:tab/>
      </w:r>
      <w:r w:rsidRPr="00163BE7">
        <w:rPr>
          <w:rStyle w:val="FootnoteReference"/>
        </w:rPr>
        <w:footnoteRef/>
      </w:r>
      <w:r w:rsidRPr="00163BE7">
        <w:rPr>
          <w:rStyle w:val="FootnoteReference"/>
        </w:rPr>
        <w:t xml:space="preserve"> </w:t>
      </w:r>
      <w:r w:rsidRPr="00163BE7">
        <w:tab/>
      </w:r>
      <w:smartTag w:uri="urn:schemas-microsoft-com:office:smarttags" w:element="place">
        <w:smartTag w:uri="urn:schemas-microsoft-com:office:smarttags" w:element="country-region">
          <w:r w:rsidRPr="00163BE7">
            <w:t>Nepal</w:t>
          </w:r>
        </w:smartTag>
      </w:smartTag>
      <w:r w:rsidRPr="00163BE7">
        <w:t>: Joint Memorandum on the Disappearances of Persons (Crime and Punishment) Bill, 30 August 2009.</w:t>
      </w:r>
    </w:p>
  </w:footnote>
  <w:footnote w:id="5">
    <w:p w:rsidR="00B944BD" w:rsidRPr="00163BE7" w:rsidRDefault="00B944BD" w:rsidP="00163BE7">
      <w:pPr>
        <w:pStyle w:val="FootnoteText"/>
      </w:pPr>
      <w:r>
        <w:tab/>
      </w:r>
      <w:r w:rsidRPr="00163BE7">
        <w:rPr>
          <w:rStyle w:val="FootnoteReference"/>
        </w:rPr>
        <w:footnoteRef/>
      </w:r>
      <w:r w:rsidRPr="00163BE7">
        <w:rPr>
          <w:rStyle w:val="FootnoteReference"/>
        </w:rPr>
        <w:t xml:space="preserve"> </w:t>
      </w:r>
      <w:r>
        <w:rPr>
          <w:rFonts w:eastAsia="SimSun"/>
          <w:sz w:val="20"/>
          <w:lang w:eastAsia="zh-CN"/>
        </w:rPr>
        <w:tab/>
      </w:r>
      <w:r w:rsidRPr="00163BE7">
        <w:rPr>
          <w:rFonts w:eastAsia="SimSun"/>
        </w:rPr>
        <w:t>The issues raised under article 2 could also imply different articles of the Convention, including but not limited to article 16. As stated in general comment No. 2 (CAT/C/GC/2), paragraph 3, “The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 In practice, the definitional threshold between ill-treatment and torture is often not clear.” See further chapter V of the same general comment.</w:t>
      </w:r>
    </w:p>
  </w:footnote>
  <w:footnote w:id="6">
    <w:p w:rsidR="00B944BD" w:rsidRPr="00163BE7" w:rsidRDefault="00B944BD" w:rsidP="00163BE7">
      <w:pPr>
        <w:pStyle w:val="FootnoteText"/>
      </w:pPr>
      <w:r w:rsidRPr="00163BE7">
        <w:tab/>
      </w:r>
      <w:r w:rsidRPr="00163BE7">
        <w:rPr>
          <w:rStyle w:val="FootnoteReference"/>
        </w:rPr>
        <w:footnoteRef/>
      </w:r>
      <w:r w:rsidRPr="00163BE7">
        <w:rPr>
          <w:rStyle w:val="FootnoteReference"/>
        </w:rPr>
        <w:t xml:space="preserve"> </w:t>
      </w:r>
      <w:r w:rsidRPr="00163BE7">
        <w:tab/>
        <w:t>Request for further clarification by the Rapporteur for Follow-up on Conclusions and Recommendations, Committee against Torture, 15 May 2008, p. 2.</w:t>
      </w:r>
    </w:p>
  </w:footnote>
  <w:footnote w:id="7">
    <w:p w:rsidR="00B944BD" w:rsidRPr="00661E9E" w:rsidRDefault="00B944BD" w:rsidP="009B6143">
      <w:pPr>
        <w:pStyle w:val="FootnoteText"/>
        <w:spacing w:after="120"/>
        <w:rPr>
          <w:szCs w:val="18"/>
        </w:rPr>
      </w:pPr>
      <w:r w:rsidRPr="00F17FCC">
        <w:rPr>
          <w:szCs w:val="18"/>
        </w:rPr>
        <w:tab/>
      </w:r>
      <w:r w:rsidRPr="00163BE7">
        <w:rPr>
          <w:rStyle w:val="FootnoteReference"/>
        </w:rPr>
        <w:footnoteRef/>
      </w:r>
      <w:r w:rsidRPr="00163BE7">
        <w:rPr>
          <w:rStyle w:val="FootnoteReference"/>
        </w:rPr>
        <w:t xml:space="preserve"> </w:t>
      </w:r>
      <w:r w:rsidRPr="00F17FCC">
        <w:rPr>
          <w:szCs w:val="18"/>
        </w:rPr>
        <w:tab/>
      </w:r>
      <w:r>
        <w:rPr>
          <w:szCs w:val="18"/>
        </w:rPr>
        <w:t>Ibid</w:t>
      </w:r>
      <w:r w:rsidRPr="00661E9E">
        <w:rPr>
          <w:szCs w:val="18"/>
        </w:rPr>
        <w:t xml:space="preserve">. </w:t>
      </w:r>
    </w:p>
  </w:footnote>
  <w:footnote w:id="8">
    <w:p w:rsidR="00B944BD" w:rsidRPr="00163BE7" w:rsidRDefault="00B944BD" w:rsidP="00163BE7">
      <w:pPr>
        <w:pStyle w:val="FootnoteText"/>
      </w:pPr>
      <w:r w:rsidRPr="00661E9E">
        <w:tab/>
      </w:r>
      <w:r w:rsidRPr="00163BE7">
        <w:rPr>
          <w:rStyle w:val="FootnoteReference"/>
        </w:rPr>
        <w:footnoteRef/>
      </w:r>
      <w:r w:rsidRPr="00163BE7">
        <w:rPr>
          <w:rStyle w:val="FootnoteReference"/>
        </w:rPr>
        <w:t xml:space="preserve"> </w:t>
      </w:r>
      <w:r w:rsidRPr="00661E9E">
        <w:tab/>
      </w:r>
      <w:r w:rsidRPr="00163BE7">
        <w:rPr>
          <w:rFonts w:eastAsia="SimSun"/>
        </w:rPr>
        <w:t xml:space="preserve">Report of the Working Group on Enforced or Involuntary Disappearances, </w:t>
      </w:r>
      <w:smartTag w:uri="urn:schemas-microsoft-com:office:smarttags" w:element="City">
        <w:r w:rsidRPr="00163BE7">
          <w:rPr>
            <w:rFonts w:eastAsia="SimSun"/>
          </w:rPr>
          <w:t>Mission</w:t>
        </w:r>
      </w:smartTag>
      <w:r w:rsidRPr="00163BE7">
        <w:rPr>
          <w:rFonts w:eastAsia="SimSun"/>
        </w:rPr>
        <w:t xml:space="preserve"> to </w:t>
      </w:r>
      <w:smartTag w:uri="urn:schemas-microsoft-com:office:smarttags" w:element="place">
        <w:smartTag w:uri="urn:schemas-microsoft-com:office:smarttags" w:element="country-region">
          <w:r w:rsidRPr="00163BE7">
            <w:rPr>
              <w:rFonts w:eastAsia="SimSun"/>
            </w:rPr>
            <w:t>Nepal</w:t>
          </w:r>
        </w:smartTag>
      </w:smartTag>
      <w:r w:rsidRPr="00163BE7">
        <w:rPr>
          <w:rFonts w:eastAsia="SimSun"/>
        </w:rPr>
        <w:t>, 6-14 December 2004, E/CN.4/2005/65/Add.1, para. 58, and the Appendix -</w:t>
      </w:r>
      <w:r w:rsidRPr="00163BE7">
        <w:t xml:space="preserve"> “His Majesty’s Government’s commitment on the implementation of human rights and humanitarian law” dated 26 March 2004.</w:t>
      </w:r>
    </w:p>
  </w:footnote>
  <w:footnote w:id="9">
    <w:p w:rsidR="00B944BD" w:rsidRPr="00163BE7" w:rsidRDefault="00B944BD" w:rsidP="00163BE7">
      <w:pPr>
        <w:pStyle w:val="FootnoteText"/>
      </w:pPr>
      <w:r w:rsidRPr="00163BE7">
        <w:tab/>
      </w:r>
      <w:r w:rsidRPr="00163BE7">
        <w:rPr>
          <w:rStyle w:val="FootnoteReference"/>
        </w:rPr>
        <w:footnoteRef/>
      </w:r>
      <w:r w:rsidRPr="00163BE7">
        <w:tab/>
        <w:t xml:space="preserve"> Three-Year of Comprehensive Peace Accord, Summary Report 2006-2009, National Human Rights Commission, </w:t>
      </w:r>
      <w:smartTag w:uri="urn:schemas-microsoft-com:office:smarttags" w:element="place">
        <w:smartTag w:uri="urn:schemas-microsoft-com:office:smarttags" w:element="country-region">
          <w:r w:rsidRPr="00163BE7">
            <w:t>Nepal</w:t>
          </w:r>
        </w:smartTag>
      </w:smartTag>
      <w:r w:rsidRPr="00163BE7">
        <w:t>, December 2009, p. 32.</w:t>
      </w:r>
    </w:p>
  </w:footnote>
  <w:footnote w:id="10">
    <w:p w:rsidR="00B944BD" w:rsidRPr="00163BE7" w:rsidRDefault="00B944BD" w:rsidP="00163BE7">
      <w:pPr>
        <w:pStyle w:val="FootnoteText"/>
      </w:pPr>
      <w:r w:rsidRPr="00163BE7">
        <w:tab/>
      </w:r>
      <w:r w:rsidRPr="00163BE7">
        <w:rPr>
          <w:rStyle w:val="FootnoteReference"/>
        </w:rPr>
        <w:footnoteRef/>
      </w:r>
      <w:r w:rsidRPr="00163BE7">
        <w:rPr>
          <w:rStyle w:val="FootnoteReference"/>
        </w:rPr>
        <w:t xml:space="preserve"> </w:t>
      </w:r>
      <w:r w:rsidRPr="00163BE7">
        <w:tab/>
        <w:t>Joint study on global practices in relation to secret detention in the context of countering terrorism, A/HRC/13/42, 26 January 2010, para. 183.</w:t>
      </w:r>
    </w:p>
  </w:footnote>
  <w:footnote w:id="11">
    <w:p w:rsidR="00B944BD" w:rsidRPr="00163BE7" w:rsidRDefault="00B944BD" w:rsidP="00163BE7">
      <w:pPr>
        <w:pStyle w:val="FootnoteText"/>
      </w:pPr>
      <w:r w:rsidRPr="00163BE7">
        <w:tab/>
      </w:r>
      <w:r w:rsidRPr="00163BE7">
        <w:rPr>
          <w:rStyle w:val="FootnoteReference"/>
        </w:rPr>
        <w:footnoteRef/>
      </w:r>
      <w:r w:rsidRPr="00163BE7">
        <w:tab/>
        <w:t xml:space="preserve">Request for further clarification by the Rapporteur for Follow-up on Conclusions and Recommendations, Committee against Torture, 15 May 2008, p. 2. </w:t>
      </w:r>
    </w:p>
  </w:footnote>
  <w:footnote w:id="12">
    <w:p w:rsidR="00B944BD" w:rsidRPr="00DF279B" w:rsidRDefault="00B944BD" w:rsidP="00163BE7">
      <w:pPr>
        <w:pStyle w:val="FootnoteText"/>
      </w:pPr>
      <w:r w:rsidRPr="00163BE7">
        <w:tab/>
      </w:r>
      <w:r w:rsidRPr="00163BE7">
        <w:rPr>
          <w:rStyle w:val="FootnoteReference"/>
        </w:rPr>
        <w:footnoteRef/>
      </w:r>
      <w:r w:rsidRPr="00163BE7">
        <w:rPr>
          <w:rStyle w:val="FootnoteReference"/>
        </w:rPr>
        <w:t xml:space="preserve"> </w:t>
      </w:r>
      <w:r w:rsidRPr="00163BE7">
        <w:tab/>
        <w:t>Ibid.</w:t>
      </w:r>
    </w:p>
  </w:footnote>
  <w:footnote w:id="13">
    <w:p w:rsidR="00B944BD" w:rsidRPr="008D5302" w:rsidRDefault="00B944BD" w:rsidP="00163BE7">
      <w:pPr>
        <w:pStyle w:val="FootnoteText"/>
      </w:pPr>
      <w:r>
        <w:rPr>
          <w:sz w:val="20"/>
        </w:rPr>
        <w:tab/>
      </w:r>
      <w:r w:rsidRPr="00163BE7">
        <w:rPr>
          <w:rStyle w:val="FootnoteReference"/>
        </w:rPr>
        <w:footnoteRef/>
      </w:r>
      <w:r>
        <w:rPr>
          <w:sz w:val="20"/>
        </w:rPr>
        <w:tab/>
      </w:r>
      <w:r w:rsidRPr="008D5302">
        <w:t>The quoted provisions of the Domestic Violence (Offence and Punishment) Act, 2009 are as follows:</w:t>
      </w:r>
    </w:p>
    <w:p w:rsidR="00B944BD" w:rsidRPr="008D5302" w:rsidRDefault="00B944BD" w:rsidP="008D234D">
      <w:pPr>
        <w:pStyle w:val="FootnoteText"/>
        <w:tabs>
          <w:tab w:val="clear" w:pos="1021"/>
          <w:tab w:val="right" w:pos="1000"/>
        </w:tabs>
        <w:ind w:left="1500" w:right="1339" w:hanging="1500"/>
        <w:rPr>
          <w:sz w:val="16"/>
          <w:szCs w:val="16"/>
        </w:rPr>
      </w:pPr>
      <w:r>
        <w:rPr>
          <w:sz w:val="16"/>
          <w:szCs w:val="16"/>
        </w:rPr>
        <w:tab/>
      </w:r>
      <w:r>
        <w:rPr>
          <w:sz w:val="16"/>
          <w:szCs w:val="16"/>
        </w:rPr>
        <w:tab/>
      </w:r>
      <w:r w:rsidRPr="008D5302">
        <w:rPr>
          <w:sz w:val="16"/>
          <w:szCs w:val="16"/>
        </w:rPr>
        <w:t xml:space="preserve">Section 4: File complaint or petition: </w:t>
      </w:r>
      <w:r w:rsidRPr="008D5302">
        <w:rPr>
          <w:bCs/>
          <w:sz w:val="16"/>
          <w:szCs w:val="16"/>
        </w:rPr>
        <w:t xml:space="preserve">(8) Upon statements recorded as per sub-sections (4) or (5) of section 8, if there is reason to believe that an act of domestic has been committed, and </w:t>
      </w:r>
      <w:r w:rsidRPr="008D5302">
        <w:rPr>
          <w:sz w:val="16"/>
          <w:szCs w:val="16"/>
        </w:rPr>
        <w:t xml:space="preserve">if the aggrieved person so desires, the police officer or local body officer, may, within 30 days from the date of registration of the complaint, conduct reconciliation between the parties. </w:t>
      </w:r>
    </w:p>
    <w:p w:rsidR="00B944BD" w:rsidRPr="008D5302" w:rsidRDefault="00B944BD" w:rsidP="008D234D">
      <w:pPr>
        <w:pStyle w:val="FootnoteText"/>
        <w:tabs>
          <w:tab w:val="clear" w:pos="1021"/>
          <w:tab w:val="right" w:pos="1000"/>
        </w:tabs>
        <w:ind w:left="1500" w:right="1339" w:hanging="1500"/>
        <w:rPr>
          <w:bCs/>
          <w:sz w:val="16"/>
          <w:szCs w:val="16"/>
        </w:rPr>
      </w:pPr>
      <w:r>
        <w:rPr>
          <w:bCs/>
          <w:sz w:val="16"/>
          <w:szCs w:val="16"/>
        </w:rPr>
        <w:tab/>
      </w:r>
      <w:r>
        <w:rPr>
          <w:bCs/>
          <w:sz w:val="16"/>
          <w:szCs w:val="16"/>
        </w:rPr>
        <w:tab/>
      </w:r>
      <w:r w:rsidRPr="008D5302">
        <w:rPr>
          <w:bCs/>
          <w:sz w:val="16"/>
          <w:szCs w:val="16"/>
        </w:rPr>
        <w:t>(9) While conducting reconciliation according to sub-section (8), as per necessity and availability, assistance may be taken from a psychologist, sociologist, social activist, a family member trusted by the aggrieved person and any other witness.  The psychological and social effects on the aggrieved person, of such reconciliation as well as his right to confidentiality shall be borne in mind.</w:t>
      </w:r>
    </w:p>
    <w:p w:rsidR="00B944BD" w:rsidRPr="008D5302" w:rsidRDefault="00B944BD" w:rsidP="008D234D">
      <w:pPr>
        <w:pStyle w:val="FootnoteText"/>
        <w:tabs>
          <w:tab w:val="clear" w:pos="1021"/>
          <w:tab w:val="right" w:pos="1000"/>
        </w:tabs>
        <w:ind w:left="1500" w:right="1339" w:hanging="1500"/>
        <w:rPr>
          <w:bCs/>
          <w:sz w:val="16"/>
          <w:szCs w:val="16"/>
        </w:rPr>
      </w:pPr>
      <w:r>
        <w:rPr>
          <w:bCs/>
          <w:sz w:val="16"/>
          <w:szCs w:val="16"/>
        </w:rPr>
        <w:tab/>
      </w:r>
      <w:r>
        <w:rPr>
          <w:bCs/>
          <w:sz w:val="16"/>
          <w:szCs w:val="16"/>
        </w:rPr>
        <w:tab/>
      </w:r>
      <w:r w:rsidRPr="008D5302">
        <w:rPr>
          <w:bCs/>
          <w:sz w:val="16"/>
          <w:szCs w:val="16"/>
        </w:rPr>
        <w:t xml:space="preserve">Section 6: Power to grant interim protection order: (1) If the Court has reason to believe, on the basis of preliminary investigation of the complaint, that the aggrieved person needs to be given immediate protection, it may, till the time the final decision on the complaint is made, pass the following orders in the name of the perpetrator:  </w:t>
      </w:r>
    </w:p>
    <w:p w:rsidR="00B944BD" w:rsidRPr="008D5302" w:rsidRDefault="00B944BD" w:rsidP="008D234D">
      <w:pPr>
        <w:pStyle w:val="FootnoteText"/>
        <w:tabs>
          <w:tab w:val="clear" w:pos="1021"/>
          <w:tab w:val="right" w:pos="1000"/>
        </w:tabs>
        <w:ind w:left="1500" w:right="1339" w:hanging="1500"/>
        <w:rPr>
          <w:sz w:val="16"/>
          <w:szCs w:val="16"/>
        </w:rPr>
      </w:pPr>
      <w:r>
        <w:rPr>
          <w:sz w:val="16"/>
          <w:szCs w:val="16"/>
        </w:rPr>
        <w:tab/>
      </w:r>
      <w:r>
        <w:rPr>
          <w:sz w:val="16"/>
          <w:szCs w:val="16"/>
        </w:rPr>
        <w:tab/>
      </w:r>
      <w:r w:rsidRPr="008D5302">
        <w:rPr>
          <w:sz w:val="16"/>
          <w:szCs w:val="16"/>
        </w:rPr>
        <w:t>(a) To allow the aggrieved person to continue living in the shared household, to provide him with food, clothes, to not cause physical injury to him and to behave with him in a civilized and dignified manner.</w:t>
      </w:r>
    </w:p>
    <w:p w:rsidR="00B944BD" w:rsidRPr="008D5302" w:rsidRDefault="00B944BD" w:rsidP="008D234D">
      <w:pPr>
        <w:pStyle w:val="FootnoteText"/>
        <w:tabs>
          <w:tab w:val="clear" w:pos="1021"/>
          <w:tab w:val="right" w:pos="1000"/>
        </w:tabs>
        <w:ind w:left="1500" w:right="1339" w:hanging="1500"/>
        <w:rPr>
          <w:sz w:val="16"/>
          <w:szCs w:val="16"/>
        </w:rPr>
      </w:pPr>
      <w:r>
        <w:rPr>
          <w:sz w:val="16"/>
          <w:szCs w:val="16"/>
        </w:rPr>
        <w:tab/>
      </w:r>
      <w:r>
        <w:rPr>
          <w:sz w:val="16"/>
          <w:szCs w:val="16"/>
        </w:rPr>
        <w:tab/>
      </w:r>
      <w:r w:rsidRPr="008D5302">
        <w:rPr>
          <w:sz w:val="16"/>
          <w:szCs w:val="16"/>
        </w:rPr>
        <w:t>Section 13: Punishment: (1) Whoever commits the act of domestic violence shall be punished with a fine of three thousand rupees which may extend up to twenty-five thousand rupees; or six months of imprisonment; or both.</w:t>
      </w:r>
    </w:p>
    <w:p w:rsidR="00B944BD" w:rsidRPr="008D5302" w:rsidRDefault="00B944BD" w:rsidP="008D234D">
      <w:pPr>
        <w:pStyle w:val="FootnoteText"/>
        <w:tabs>
          <w:tab w:val="clear" w:pos="1021"/>
          <w:tab w:val="right" w:pos="1000"/>
        </w:tabs>
        <w:ind w:left="1500" w:right="1339" w:hanging="1500"/>
      </w:pPr>
      <w:r>
        <w:rPr>
          <w:sz w:val="16"/>
          <w:szCs w:val="16"/>
        </w:rPr>
        <w:tab/>
      </w:r>
      <w:r>
        <w:rPr>
          <w:sz w:val="16"/>
          <w:szCs w:val="16"/>
        </w:rPr>
        <w:tab/>
      </w:r>
      <w:r w:rsidRPr="008D5302">
        <w:rPr>
          <w:sz w:val="16"/>
          <w:szCs w:val="16"/>
        </w:rPr>
        <w:t>Section 14: Limitation Period: The complaint, for an offence committed as per this Act, shall be filed within ninety days of the commission of the crime.</w:t>
      </w:r>
    </w:p>
  </w:footnote>
  <w:footnote w:id="14">
    <w:p w:rsidR="00B944BD" w:rsidRPr="008D5302" w:rsidRDefault="00B944BD" w:rsidP="00163BE7">
      <w:pPr>
        <w:pStyle w:val="FootnoteText"/>
      </w:pPr>
      <w:r>
        <w:tab/>
      </w:r>
      <w:r w:rsidRPr="00163BE7">
        <w:rPr>
          <w:rStyle w:val="FootnoteReference"/>
        </w:rPr>
        <w:footnoteRef/>
      </w:r>
      <w:r w:rsidRPr="008D5302">
        <w:t xml:space="preserve"> </w:t>
      </w:r>
      <w:r>
        <w:tab/>
      </w:r>
      <w:r w:rsidRPr="008D5302">
        <w:t xml:space="preserve">Three-Year of Comprehensive Peace Accord, Summary Report 2006-2009, National Human Rights Commission, </w:t>
      </w:r>
      <w:smartTag w:uri="urn:schemas-microsoft-com:office:smarttags" w:element="place">
        <w:smartTag w:uri="urn:schemas-microsoft-com:office:smarttags" w:element="country-region">
          <w:r w:rsidRPr="008D5302">
            <w:t>Nepal</w:t>
          </w:r>
        </w:smartTag>
      </w:smartTag>
      <w:r w:rsidRPr="008D5302">
        <w:t xml:space="preserve">, </w:t>
      </w:r>
      <w:r>
        <w:t xml:space="preserve">December 2009, </w:t>
      </w:r>
      <w:r w:rsidRPr="008D5302">
        <w:t>p</w:t>
      </w:r>
      <w:r>
        <w:t>p.</w:t>
      </w:r>
      <w:r w:rsidRPr="008D5302">
        <w:t xml:space="preserve"> 17-18</w:t>
      </w:r>
    </w:p>
  </w:footnote>
  <w:footnote w:id="15">
    <w:p w:rsidR="00B944BD" w:rsidRPr="00163BE7" w:rsidRDefault="00B944BD" w:rsidP="00163BE7">
      <w:pPr>
        <w:pStyle w:val="FootnoteText"/>
      </w:pPr>
      <w:r>
        <w:rPr>
          <w:sz w:val="20"/>
        </w:rPr>
        <w:tab/>
      </w:r>
      <w:r w:rsidRPr="00163BE7">
        <w:rPr>
          <w:rStyle w:val="FootnoteReference"/>
        </w:rPr>
        <w:footnoteRef/>
      </w:r>
      <w:r w:rsidRPr="00F32D70">
        <w:tab/>
      </w:r>
      <w:r w:rsidRPr="00163BE7">
        <w:t xml:space="preserve">Three-Year of Comprehensive Peace Accord, Summary Report 2006-2009, National Human Rights Commission, </w:t>
      </w:r>
      <w:smartTag w:uri="urn:schemas-microsoft-com:office:smarttags" w:element="place">
        <w:smartTag w:uri="urn:schemas-microsoft-com:office:smarttags" w:element="country-region">
          <w:r w:rsidRPr="00163BE7">
            <w:t>Nepal</w:t>
          </w:r>
        </w:smartTag>
      </w:smartTag>
      <w:r w:rsidRPr="00163BE7">
        <w:t>, December 2009, p. 43.</w:t>
      </w:r>
    </w:p>
  </w:footnote>
  <w:footnote w:id="16">
    <w:p w:rsidR="00B944BD" w:rsidRPr="00163BE7" w:rsidRDefault="00B944BD" w:rsidP="00163BE7">
      <w:pPr>
        <w:pStyle w:val="FootnoteText"/>
      </w:pPr>
      <w:r w:rsidRPr="00163BE7">
        <w:tab/>
      </w:r>
      <w:r w:rsidRPr="00163BE7">
        <w:rPr>
          <w:rStyle w:val="FootnoteReference"/>
        </w:rPr>
        <w:footnoteRef/>
      </w:r>
      <w:r w:rsidRPr="00163BE7">
        <w:rPr>
          <w:rStyle w:val="FootnoteReference"/>
        </w:rPr>
        <w:t xml:space="preserve"> </w:t>
      </w:r>
      <w:r w:rsidRPr="00163BE7">
        <w:tab/>
      </w:r>
      <w:r>
        <w:t>Ibid.</w:t>
      </w:r>
      <w:r w:rsidRPr="00163BE7">
        <w:t>, p. 25.</w:t>
      </w:r>
    </w:p>
  </w:footnote>
  <w:footnote w:id="17">
    <w:p w:rsidR="00B944BD" w:rsidRPr="00A06E07" w:rsidRDefault="00B944BD" w:rsidP="00163BE7">
      <w:pPr>
        <w:pStyle w:val="FootnoteText"/>
      </w:pPr>
      <w:r w:rsidRPr="00163BE7">
        <w:tab/>
      </w:r>
      <w:r w:rsidRPr="00163BE7">
        <w:rPr>
          <w:rStyle w:val="FootnoteReference"/>
        </w:rPr>
        <w:footnoteRef/>
      </w:r>
      <w:r w:rsidRPr="00163BE7">
        <w:rPr>
          <w:rStyle w:val="EndnoteReference"/>
          <w:vertAlign w:val="baseline"/>
        </w:rPr>
        <w:t xml:space="preserve"> </w:t>
      </w:r>
      <w:r w:rsidRPr="00163BE7">
        <w:tab/>
      </w:r>
      <w:r>
        <w:t>Ibid.</w:t>
      </w:r>
      <w:r w:rsidRPr="00163BE7">
        <w:t>, pp. 24-31.</w:t>
      </w:r>
    </w:p>
  </w:footnote>
  <w:footnote w:id="18">
    <w:p w:rsidR="00B944BD" w:rsidRPr="00163BE7" w:rsidRDefault="00B944BD" w:rsidP="00163BE7">
      <w:pPr>
        <w:pStyle w:val="FootnoteText"/>
      </w:pPr>
      <w:r w:rsidRPr="00A06E07">
        <w:tab/>
      </w:r>
      <w:r w:rsidRPr="00163BE7">
        <w:rPr>
          <w:rStyle w:val="FootnoteReference"/>
        </w:rPr>
        <w:footnoteRef/>
      </w:r>
      <w:r w:rsidRPr="00A06E07">
        <w:t xml:space="preserve"> </w:t>
      </w:r>
      <w:r w:rsidRPr="00A06E07">
        <w:tab/>
      </w:r>
      <w:r w:rsidRPr="00163BE7">
        <w:t xml:space="preserve">See Three-Year of Comprehensive Peace Accord, Summary Report 2006-2009, National Human Rights Commission, </w:t>
      </w:r>
      <w:smartTag w:uri="urn:schemas-microsoft-com:office:smarttags" w:element="place">
        <w:smartTag w:uri="urn:schemas-microsoft-com:office:smarttags" w:element="country-region">
          <w:r w:rsidRPr="00163BE7">
            <w:t>Nepal</w:t>
          </w:r>
        </w:smartTag>
      </w:smartTag>
      <w:r w:rsidRPr="00163BE7">
        <w:t>, December 2009, pp. 8-9 and 20-21.</w:t>
      </w:r>
    </w:p>
  </w:footnote>
  <w:footnote w:id="19">
    <w:p w:rsidR="00B944BD" w:rsidRPr="00163BE7" w:rsidRDefault="00B944BD" w:rsidP="00163BE7">
      <w:pPr>
        <w:pStyle w:val="FootnoteText"/>
      </w:pPr>
      <w:r w:rsidRPr="00163BE7">
        <w:tab/>
      </w:r>
      <w:r w:rsidRPr="00163BE7">
        <w:rPr>
          <w:rStyle w:val="FootnoteReference"/>
        </w:rPr>
        <w:footnoteRef/>
      </w:r>
      <w:r w:rsidRPr="00163BE7">
        <w:rPr>
          <w:rStyle w:val="FootnoteReference"/>
        </w:rPr>
        <w:t xml:space="preserve"> </w:t>
      </w:r>
      <w:r w:rsidRPr="00163BE7">
        <w:tab/>
        <w:t xml:space="preserve">Report of the United Nations High Commissioner for Human Rights on the human rights situation and the activities of her office, including technical cooperation in </w:t>
      </w:r>
      <w:smartTag w:uri="urn:schemas-microsoft-com:office:smarttags" w:element="place">
        <w:smartTag w:uri="urn:schemas-microsoft-com:office:smarttags" w:element="country-region">
          <w:r w:rsidRPr="00163BE7">
            <w:t>Nepal</w:t>
          </w:r>
        </w:smartTag>
      </w:smartTag>
      <w:r w:rsidRPr="00163BE7">
        <w:t>, A/HRC/10/53, 3 March 2009, para. 29.</w:t>
      </w:r>
    </w:p>
  </w:footnote>
  <w:footnote w:id="20">
    <w:p w:rsidR="00B944BD" w:rsidRPr="00163BE7" w:rsidRDefault="00B944BD" w:rsidP="00163BE7">
      <w:pPr>
        <w:pStyle w:val="FootnoteText"/>
      </w:pPr>
      <w:r w:rsidRPr="00163BE7">
        <w:tab/>
      </w:r>
      <w:r w:rsidRPr="00163BE7">
        <w:rPr>
          <w:rStyle w:val="FootnoteReference"/>
        </w:rPr>
        <w:footnoteRef/>
      </w:r>
      <w:r w:rsidRPr="00163BE7">
        <w:tab/>
        <w:t xml:space="preserve">Ibid., para. 26. </w:t>
      </w:r>
    </w:p>
  </w:footnote>
  <w:footnote w:id="21">
    <w:p w:rsidR="00B944BD" w:rsidRPr="00163BE7" w:rsidRDefault="00B944BD" w:rsidP="00163BE7">
      <w:pPr>
        <w:pStyle w:val="FootnoteText"/>
      </w:pPr>
      <w:r w:rsidRPr="00163BE7">
        <w:tab/>
      </w:r>
      <w:r w:rsidRPr="00163BE7">
        <w:rPr>
          <w:rStyle w:val="FootnoteReference"/>
        </w:rPr>
        <w:footnoteRef/>
      </w:r>
      <w:r w:rsidRPr="00163BE7">
        <w:tab/>
        <w:t>Ibid., paras. 24, 25 and 27.</w:t>
      </w:r>
    </w:p>
  </w:footnote>
  <w:footnote w:id="22">
    <w:p w:rsidR="00B944BD" w:rsidRPr="00163BE7" w:rsidRDefault="00B944BD" w:rsidP="00163BE7">
      <w:pPr>
        <w:pStyle w:val="FootnoteText"/>
      </w:pPr>
      <w:r w:rsidRPr="00163BE7">
        <w:tab/>
      </w:r>
      <w:r w:rsidRPr="00163BE7">
        <w:rPr>
          <w:rStyle w:val="FootnoteReference"/>
        </w:rPr>
        <w:footnoteRef/>
      </w:r>
      <w:r w:rsidRPr="00163BE7">
        <w:tab/>
        <w:t>Ibid.. paras. 41-42</w:t>
      </w:r>
    </w:p>
  </w:footnote>
  <w:footnote w:id="23">
    <w:p w:rsidR="00B944BD" w:rsidRPr="00163BE7" w:rsidRDefault="00B944BD" w:rsidP="00163BE7">
      <w:pPr>
        <w:pStyle w:val="FootnoteText"/>
      </w:pPr>
      <w:r w:rsidRPr="00163BE7">
        <w:tab/>
      </w:r>
      <w:r w:rsidRPr="00163BE7">
        <w:rPr>
          <w:rStyle w:val="FootnoteReference"/>
        </w:rPr>
        <w:footnoteRef/>
      </w:r>
      <w:r w:rsidRPr="00163BE7">
        <w:rPr>
          <w:rStyle w:val="FootnoteReference"/>
          <w:vertAlign w:val="baseline"/>
        </w:rPr>
        <w:tab/>
      </w:r>
      <w:r w:rsidRPr="00163BE7">
        <w:t>Ibid., para. 49.</w:t>
      </w:r>
    </w:p>
  </w:footnote>
  <w:footnote w:id="24">
    <w:p w:rsidR="00B944BD" w:rsidRPr="00CA6A8E" w:rsidRDefault="00B944BD" w:rsidP="00163BE7">
      <w:pPr>
        <w:pStyle w:val="FootnoteText"/>
        <w:rPr>
          <w:sz w:val="20"/>
        </w:rPr>
      </w:pPr>
      <w:r w:rsidRPr="00163BE7">
        <w:tab/>
      </w:r>
      <w:r w:rsidRPr="00163BE7">
        <w:rPr>
          <w:rStyle w:val="FootnoteReference"/>
        </w:rPr>
        <w:footnoteRef/>
      </w:r>
      <w:r w:rsidRPr="00163BE7">
        <w:tab/>
        <w:t>Request for further clarification by the Rapporteur for Follow-up on Conclusions and Recommendations</w:t>
      </w:r>
      <w:r>
        <w:t>,</w:t>
      </w:r>
      <w:r w:rsidRPr="00163BE7">
        <w:t xml:space="preserve"> Committee against Torture, 15 May 2008</w:t>
      </w:r>
      <w:r>
        <w:t>, p. 2; s</w:t>
      </w:r>
      <w:r w:rsidRPr="00163BE7">
        <w:t>ee also Advocacy Forum</w:t>
      </w:r>
      <w:r>
        <w:t>,</w:t>
      </w:r>
      <w:r w:rsidRPr="00163BE7">
        <w:t xml:space="preserve"> </w:t>
      </w:r>
      <w:r w:rsidRPr="009E41B3">
        <w:rPr>
          <w:i/>
        </w:rPr>
        <w:t>Criminalize Torture</w:t>
      </w:r>
      <w:r w:rsidRPr="00163BE7">
        <w:t>, 26 June 2009, p. 3.</w:t>
      </w:r>
    </w:p>
  </w:footnote>
  <w:footnote w:id="25">
    <w:p w:rsidR="00B944BD" w:rsidRPr="00CA6A8E" w:rsidRDefault="00B944BD" w:rsidP="009E41B3">
      <w:pPr>
        <w:pStyle w:val="FootnoteText"/>
      </w:pPr>
      <w:r w:rsidRPr="009E41B3">
        <w:tab/>
      </w:r>
      <w:r w:rsidRPr="009E41B3">
        <w:rPr>
          <w:rStyle w:val="FootnoteReference"/>
        </w:rPr>
        <w:footnoteRef/>
      </w:r>
      <w:r w:rsidRPr="009E41B3">
        <w:tab/>
        <w:t xml:space="preserve"> Report of the United Nations High Commissioner for Human Rights on the human rights situation and the activities of her office, including technical cooperation, in </w:t>
      </w:r>
      <w:smartTag w:uri="urn:schemas-microsoft-com:office:smarttags" w:element="place">
        <w:smartTag w:uri="urn:schemas-microsoft-com:office:smarttags" w:element="country-region">
          <w:r w:rsidRPr="009E41B3">
            <w:t>Nepal</w:t>
          </w:r>
        </w:smartTag>
      </w:smartTag>
      <w:r w:rsidRPr="009E41B3">
        <w:t>, A/HRC/10/53, 3 March 2009, para. 35.</w:t>
      </w:r>
      <w:r w:rsidRPr="00CA6A8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BD" w:rsidRDefault="00B944BD">
    <w:pPr>
      <w:pStyle w:val="Header"/>
    </w:pPr>
    <w:r>
      <w:t>CAT/C/NPL/Q/3-5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BD" w:rsidRDefault="00B944BD" w:rsidP="00865713">
    <w:pPr>
      <w:pStyle w:val="Header"/>
      <w:jc w:val="right"/>
    </w:pPr>
    <w:r>
      <w:t>CAT/C/NPL/Q/3-5</w:t>
    </w:r>
  </w:p>
  <w:p w:rsidR="00B944BD" w:rsidRDefault="00B94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46D1D3A"/>
    <w:multiLevelType w:val="hybridMultilevel"/>
    <w:tmpl w:val="8EA4CAE2"/>
    <w:lvl w:ilvl="0" w:tplc="50EE3086">
      <w:start w:val="1"/>
      <w:numFmt w:val="decimal"/>
      <w:lvlText w:val="%1."/>
      <w:lvlJc w:val="left"/>
      <w:pPr>
        <w:tabs>
          <w:tab w:val="num" w:pos="851"/>
        </w:tabs>
        <w:ind w:left="0" w:firstLine="0"/>
      </w:pPr>
      <w:rPr>
        <w:rFonts w:ascii="Times New Roman" w:hAnsi="Times New Roman" w:cs="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94B"/>
    <w:rsid w:val="0000248A"/>
    <w:rsid w:val="00002731"/>
    <w:rsid w:val="00003310"/>
    <w:rsid w:val="00050F6B"/>
    <w:rsid w:val="00053F8E"/>
    <w:rsid w:val="00055E18"/>
    <w:rsid w:val="00057E97"/>
    <w:rsid w:val="00072C8C"/>
    <w:rsid w:val="000733B5"/>
    <w:rsid w:val="00081815"/>
    <w:rsid w:val="000931C0"/>
    <w:rsid w:val="00094B47"/>
    <w:rsid w:val="000A6FB9"/>
    <w:rsid w:val="000B175B"/>
    <w:rsid w:val="000B3A0F"/>
    <w:rsid w:val="000B4EF7"/>
    <w:rsid w:val="000C2C03"/>
    <w:rsid w:val="000C2D2E"/>
    <w:rsid w:val="000E0415"/>
    <w:rsid w:val="001079B0"/>
    <w:rsid w:val="001103AA"/>
    <w:rsid w:val="001450BD"/>
    <w:rsid w:val="00152A74"/>
    <w:rsid w:val="00153179"/>
    <w:rsid w:val="00156DB9"/>
    <w:rsid w:val="00163BE7"/>
    <w:rsid w:val="00165F3A"/>
    <w:rsid w:val="0018028F"/>
    <w:rsid w:val="00183227"/>
    <w:rsid w:val="00197B02"/>
    <w:rsid w:val="001A41D2"/>
    <w:rsid w:val="001A7894"/>
    <w:rsid w:val="001B1FE3"/>
    <w:rsid w:val="001B4B04"/>
    <w:rsid w:val="001C6663"/>
    <w:rsid w:val="001C7895"/>
    <w:rsid w:val="001D0AC6"/>
    <w:rsid w:val="001D0C8C"/>
    <w:rsid w:val="001D26DF"/>
    <w:rsid w:val="001D3A03"/>
    <w:rsid w:val="001E268C"/>
    <w:rsid w:val="00200C73"/>
    <w:rsid w:val="00202DA8"/>
    <w:rsid w:val="00203776"/>
    <w:rsid w:val="00211C93"/>
    <w:rsid w:val="00211E0B"/>
    <w:rsid w:val="002313B4"/>
    <w:rsid w:val="00267CF0"/>
    <w:rsid w:val="00267F5F"/>
    <w:rsid w:val="002834B6"/>
    <w:rsid w:val="00286B4D"/>
    <w:rsid w:val="002955D6"/>
    <w:rsid w:val="00297799"/>
    <w:rsid w:val="002B3C39"/>
    <w:rsid w:val="002B466B"/>
    <w:rsid w:val="002F175C"/>
    <w:rsid w:val="002F1A00"/>
    <w:rsid w:val="002F4A6E"/>
    <w:rsid w:val="00305C4B"/>
    <w:rsid w:val="0031426D"/>
    <w:rsid w:val="003229D8"/>
    <w:rsid w:val="00346949"/>
    <w:rsid w:val="00352709"/>
    <w:rsid w:val="00371178"/>
    <w:rsid w:val="00383B41"/>
    <w:rsid w:val="003A6810"/>
    <w:rsid w:val="003B38ED"/>
    <w:rsid w:val="003C2CC4"/>
    <w:rsid w:val="003D4B23"/>
    <w:rsid w:val="003E435B"/>
    <w:rsid w:val="00410C89"/>
    <w:rsid w:val="00416EAF"/>
    <w:rsid w:val="00426B9B"/>
    <w:rsid w:val="004325CB"/>
    <w:rsid w:val="00442A83"/>
    <w:rsid w:val="004437F2"/>
    <w:rsid w:val="004448AB"/>
    <w:rsid w:val="00446324"/>
    <w:rsid w:val="0045495B"/>
    <w:rsid w:val="004607C0"/>
    <w:rsid w:val="00475072"/>
    <w:rsid w:val="004B4C23"/>
    <w:rsid w:val="004B7802"/>
    <w:rsid w:val="004C2D51"/>
    <w:rsid w:val="004D0CE9"/>
    <w:rsid w:val="004D0D0F"/>
    <w:rsid w:val="004F03CF"/>
    <w:rsid w:val="005026C4"/>
    <w:rsid w:val="005045AB"/>
    <w:rsid w:val="005168DE"/>
    <w:rsid w:val="0052136D"/>
    <w:rsid w:val="0052775E"/>
    <w:rsid w:val="005420F2"/>
    <w:rsid w:val="005628B6"/>
    <w:rsid w:val="00596642"/>
    <w:rsid w:val="005B3DB3"/>
    <w:rsid w:val="005D0FDF"/>
    <w:rsid w:val="005D1026"/>
    <w:rsid w:val="005F7B75"/>
    <w:rsid w:val="006001EE"/>
    <w:rsid w:val="00605042"/>
    <w:rsid w:val="00611FC4"/>
    <w:rsid w:val="006176FB"/>
    <w:rsid w:val="00625E74"/>
    <w:rsid w:val="00640B26"/>
    <w:rsid w:val="00652D0A"/>
    <w:rsid w:val="00661E9E"/>
    <w:rsid w:val="0066294B"/>
    <w:rsid w:val="00662BB6"/>
    <w:rsid w:val="00684C21"/>
    <w:rsid w:val="0068683A"/>
    <w:rsid w:val="006A77DB"/>
    <w:rsid w:val="006B2B77"/>
    <w:rsid w:val="006C19AB"/>
    <w:rsid w:val="006C6611"/>
    <w:rsid w:val="006D37AF"/>
    <w:rsid w:val="006D51D0"/>
    <w:rsid w:val="006E564B"/>
    <w:rsid w:val="006E7191"/>
    <w:rsid w:val="006F5689"/>
    <w:rsid w:val="00703577"/>
    <w:rsid w:val="0072632A"/>
    <w:rsid w:val="0072747E"/>
    <w:rsid w:val="00730AED"/>
    <w:rsid w:val="007327D5"/>
    <w:rsid w:val="00736529"/>
    <w:rsid w:val="00750F4B"/>
    <w:rsid w:val="007629C8"/>
    <w:rsid w:val="00790BD7"/>
    <w:rsid w:val="0079349F"/>
    <w:rsid w:val="007B6BA5"/>
    <w:rsid w:val="007C3390"/>
    <w:rsid w:val="007C36FB"/>
    <w:rsid w:val="007C4F4B"/>
    <w:rsid w:val="007C61DD"/>
    <w:rsid w:val="007F6611"/>
    <w:rsid w:val="008242D7"/>
    <w:rsid w:val="008257B1"/>
    <w:rsid w:val="00843086"/>
    <w:rsid w:val="00843767"/>
    <w:rsid w:val="00851EC0"/>
    <w:rsid w:val="00853F5C"/>
    <w:rsid w:val="00865713"/>
    <w:rsid w:val="008679D9"/>
    <w:rsid w:val="00873E2D"/>
    <w:rsid w:val="00882279"/>
    <w:rsid w:val="008979B1"/>
    <w:rsid w:val="008A6B25"/>
    <w:rsid w:val="008A6C4F"/>
    <w:rsid w:val="008B0574"/>
    <w:rsid w:val="008B0F05"/>
    <w:rsid w:val="008B2335"/>
    <w:rsid w:val="008D234D"/>
    <w:rsid w:val="008D3263"/>
    <w:rsid w:val="008D5302"/>
    <w:rsid w:val="008E0678"/>
    <w:rsid w:val="008E4285"/>
    <w:rsid w:val="008F1362"/>
    <w:rsid w:val="0090154B"/>
    <w:rsid w:val="0091075E"/>
    <w:rsid w:val="009223CA"/>
    <w:rsid w:val="00940F93"/>
    <w:rsid w:val="00945D3C"/>
    <w:rsid w:val="009622C0"/>
    <w:rsid w:val="009760F3"/>
    <w:rsid w:val="009A0BED"/>
    <w:rsid w:val="009A0E8D"/>
    <w:rsid w:val="009B26E7"/>
    <w:rsid w:val="009B6143"/>
    <w:rsid w:val="009E292E"/>
    <w:rsid w:val="009E41B3"/>
    <w:rsid w:val="009F28F0"/>
    <w:rsid w:val="009F7EA7"/>
    <w:rsid w:val="00A00A3F"/>
    <w:rsid w:val="00A01489"/>
    <w:rsid w:val="00A038DB"/>
    <w:rsid w:val="00A069A6"/>
    <w:rsid w:val="00A06E07"/>
    <w:rsid w:val="00A338F1"/>
    <w:rsid w:val="00A43D74"/>
    <w:rsid w:val="00A5214F"/>
    <w:rsid w:val="00A618E1"/>
    <w:rsid w:val="00A721B5"/>
    <w:rsid w:val="00A72F22"/>
    <w:rsid w:val="00A7360F"/>
    <w:rsid w:val="00A73BBA"/>
    <w:rsid w:val="00A748A6"/>
    <w:rsid w:val="00A75D2C"/>
    <w:rsid w:val="00A769F4"/>
    <w:rsid w:val="00A776B4"/>
    <w:rsid w:val="00A94361"/>
    <w:rsid w:val="00A94975"/>
    <w:rsid w:val="00AA293C"/>
    <w:rsid w:val="00B00677"/>
    <w:rsid w:val="00B27BA7"/>
    <w:rsid w:val="00B30179"/>
    <w:rsid w:val="00B502F4"/>
    <w:rsid w:val="00B54F31"/>
    <w:rsid w:val="00B56E4A"/>
    <w:rsid w:val="00B56E9C"/>
    <w:rsid w:val="00B64B1F"/>
    <w:rsid w:val="00B6553F"/>
    <w:rsid w:val="00B77D05"/>
    <w:rsid w:val="00B81206"/>
    <w:rsid w:val="00B81E12"/>
    <w:rsid w:val="00B87F8A"/>
    <w:rsid w:val="00B92937"/>
    <w:rsid w:val="00B944BD"/>
    <w:rsid w:val="00B9536E"/>
    <w:rsid w:val="00B97EE2"/>
    <w:rsid w:val="00BC74E9"/>
    <w:rsid w:val="00BD225D"/>
    <w:rsid w:val="00BE69E7"/>
    <w:rsid w:val="00BF68A8"/>
    <w:rsid w:val="00C11A03"/>
    <w:rsid w:val="00C366C3"/>
    <w:rsid w:val="00C42634"/>
    <w:rsid w:val="00C43027"/>
    <w:rsid w:val="00C463DD"/>
    <w:rsid w:val="00C4724C"/>
    <w:rsid w:val="00C56BDE"/>
    <w:rsid w:val="00C629A0"/>
    <w:rsid w:val="00C745C3"/>
    <w:rsid w:val="00C97D6C"/>
    <w:rsid w:val="00CC0D0A"/>
    <w:rsid w:val="00CE0747"/>
    <w:rsid w:val="00CE4A8F"/>
    <w:rsid w:val="00D2031B"/>
    <w:rsid w:val="00D21697"/>
    <w:rsid w:val="00D25FE2"/>
    <w:rsid w:val="00D30A83"/>
    <w:rsid w:val="00D43252"/>
    <w:rsid w:val="00D47706"/>
    <w:rsid w:val="00D47EEA"/>
    <w:rsid w:val="00D9028B"/>
    <w:rsid w:val="00D93CC8"/>
    <w:rsid w:val="00D95303"/>
    <w:rsid w:val="00D978C6"/>
    <w:rsid w:val="00DA3C1C"/>
    <w:rsid w:val="00DC1764"/>
    <w:rsid w:val="00DF279B"/>
    <w:rsid w:val="00E05CD6"/>
    <w:rsid w:val="00E11256"/>
    <w:rsid w:val="00E27346"/>
    <w:rsid w:val="00E32EFC"/>
    <w:rsid w:val="00E4463A"/>
    <w:rsid w:val="00E67CD7"/>
    <w:rsid w:val="00E71BC8"/>
    <w:rsid w:val="00E7260F"/>
    <w:rsid w:val="00E74331"/>
    <w:rsid w:val="00E92194"/>
    <w:rsid w:val="00E96630"/>
    <w:rsid w:val="00EA4677"/>
    <w:rsid w:val="00ED7A2A"/>
    <w:rsid w:val="00EF1D7F"/>
    <w:rsid w:val="00F13AD5"/>
    <w:rsid w:val="00F17FCC"/>
    <w:rsid w:val="00F32D70"/>
    <w:rsid w:val="00F34539"/>
    <w:rsid w:val="00F75A60"/>
    <w:rsid w:val="00F93781"/>
    <w:rsid w:val="00FA141A"/>
    <w:rsid w:val="00FA5869"/>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NormalWeb">
    <w:name w:val="Normal (Web)"/>
    <w:basedOn w:val="Normal"/>
    <w:rsid w:val="005D1026"/>
    <w:pPr>
      <w:suppressAutoHyphens w:val="0"/>
      <w:spacing w:before="100" w:beforeAutospacing="1" w:after="100" w:afterAutospacing="1" w:line="240" w:lineRule="auto"/>
    </w:pPr>
    <w:rPr>
      <w:sz w:val="24"/>
      <w:szCs w:val="24"/>
      <w:lang w:val="en-US"/>
    </w:rPr>
  </w:style>
  <w:style w:type="paragraph" w:styleId="BalloonText">
    <w:name w:val="Balloon Text"/>
    <w:basedOn w:val="Normal"/>
    <w:semiHidden/>
    <w:rsid w:val="00A43D74"/>
    <w:rPr>
      <w:rFonts w:ascii="Tahoma" w:hAnsi="Tahoma" w:cs="Tahoma"/>
      <w:sz w:val="16"/>
      <w:szCs w:val="16"/>
    </w:rPr>
  </w:style>
  <w:style w:type="character" w:customStyle="1" w:styleId="FootnoteTextChar">
    <w:name w:val="Footnote Text Char"/>
    <w:aliases w:val="5_G Char"/>
    <w:link w:val="FootnoteText"/>
    <w:semiHidden/>
    <w:locked/>
    <w:rsid w:val="009B6143"/>
    <w:rPr>
      <w:sz w:val="18"/>
      <w:lang w:val="en-GB" w:eastAsia="en-US" w:bidi="ar-SA"/>
    </w:rPr>
  </w:style>
  <w:style w:type="character" w:styleId="Strong">
    <w:name w:val="Strong"/>
    <w:qFormat/>
    <w:rsid w:val="009B6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3557</Words>
  <Characters>19850</Characters>
  <Application>Microsoft Office Word</Application>
  <DocSecurity>4</DocSecurity>
  <Lines>320</Lines>
  <Paragraphs>83</Paragraphs>
  <ScaleCrop>false</ScaleCrop>
  <HeadingPairs>
    <vt:vector size="2" baseType="variant">
      <vt:variant>
        <vt:lpstr>Title</vt:lpstr>
      </vt:variant>
      <vt:variant>
        <vt:i4>1</vt:i4>
      </vt:variant>
    </vt:vector>
  </HeadingPairs>
  <TitlesOfParts>
    <vt:vector size="1" baseType="lpstr">
      <vt:lpstr>CAT/C/KAZ/Q/3/CRP</vt:lpstr>
    </vt:vector>
  </TitlesOfParts>
  <Company>CSD</Company>
  <LinksUpToDate>false</LinksUpToDate>
  <CharactersWithSpaces>23324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CAT/C/KAZ/Q/3/CRP</dc:title>
  <dc:subject/>
  <dc:creator>OHCHR</dc:creator>
  <cp:keywords/>
  <dc:description/>
  <cp:lastModifiedBy>DCM</cp:lastModifiedBy>
  <cp:revision>2</cp:revision>
  <cp:lastPrinted>2011-02-04T10:00:00Z</cp:lastPrinted>
  <dcterms:created xsi:type="dcterms:W3CDTF">2011-02-18T09:27:00Z</dcterms:created>
  <dcterms:modified xsi:type="dcterms:W3CDTF">2011-02-18T09:27:00Z</dcterms:modified>
</cp:coreProperties>
</file>