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3B" w:rsidRPr="00564ABA" w:rsidRDefault="00E8073B" w:rsidP="00E8073B">
      <w:pPr>
        <w:pStyle w:val="NormalSchedule"/>
        <w:spacing w:line="240" w:lineRule="auto"/>
        <w:rPr>
          <w:sz w:val="6"/>
        </w:rPr>
        <w:sectPr w:rsidR="00E8073B" w:rsidRPr="00564ABA" w:rsidSect="00005EF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564ABA">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1&amp;Size =1&amp;Lang = S"/>
            <w10:wrap anchorx="page" anchory="page"/>
          </v:shape>
        </w:pict>
      </w:r>
      <w:commentRangeEnd w:id="0"/>
      <w:r w:rsidRPr="00564ABA">
        <w:rPr>
          <w:rStyle w:val="CommentReference"/>
        </w:rPr>
        <w:commentReference w:id="0"/>
      </w:r>
    </w:p>
    <w:p w:rsidR="00564ABA" w:rsidRPr="00564ABA" w:rsidRDefault="00564ABA" w:rsidP="00564A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90"/>
        <w:rPr>
          <w:lang w:val="es-ES_tradnl"/>
        </w:rPr>
      </w:pPr>
      <w:r w:rsidRPr="00564ABA">
        <w:rPr>
          <w:lang w:val="es-ES_tradnl"/>
        </w:rPr>
        <w:t>Comité para la Eliminación de la Discriminación contra la Mujer</w:t>
      </w:r>
    </w:p>
    <w:p w:rsidR="00564ABA" w:rsidRPr="00564ABA" w:rsidRDefault="00564ABA" w:rsidP="00564A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64ABA">
        <w:rPr>
          <w:lang w:val="es-ES_tradnl"/>
        </w:rPr>
        <w:tab/>
      </w:r>
      <w:r>
        <w:rPr>
          <w:lang w:val="es-ES_tradnl"/>
        </w:rPr>
        <w:t>Gr</w:t>
      </w:r>
      <w:r w:rsidRPr="00564ABA">
        <w:rPr>
          <w:lang w:val="es-ES_tradnl"/>
        </w:rPr>
        <w:t>upo de trabajo anterior al período de sesiones</w:t>
      </w:r>
    </w:p>
    <w:p w:rsidR="00564ABA" w:rsidRPr="00564ABA" w:rsidRDefault="00564ABA" w:rsidP="00564A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64ABA">
        <w:rPr>
          <w:lang w:val="es-ES_tradnl"/>
        </w:rPr>
        <w:t>58</w:t>
      </w:r>
      <w:r w:rsidR="00852C59">
        <w:rPr>
          <w:lang w:val="es-ES_tradnl"/>
        </w:rPr>
        <w:t>°</w:t>
      </w:r>
      <w:r w:rsidRPr="00564ABA">
        <w:rPr>
          <w:lang w:val="es-ES_tradnl"/>
        </w:rPr>
        <w:t xml:space="preserve"> período de sesiones</w:t>
      </w:r>
    </w:p>
    <w:p w:rsidR="00564ABA" w:rsidRPr="00564ABA" w:rsidRDefault="00564ABA" w:rsidP="00564ABA">
      <w:pPr>
        <w:rPr>
          <w:lang w:val="es-ES_tradnl"/>
        </w:rPr>
      </w:pPr>
      <w:r w:rsidRPr="00564ABA">
        <w:rPr>
          <w:lang w:val="es-ES_tradnl"/>
        </w:rPr>
        <w:t>21 a 25 de octubre de 2013</w:t>
      </w:r>
    </w:p>
    <w:p w:rsidR="00564ABA" w:rsidRPr="00564ABA" w:rsidRDefault="00564ABA" w:rsidP="00564ABA">
      <w:pPr>
        <w:spacing w:line="120" w:lineRule="exact"/>
        <w:rPr>
          <w:sz w:val="10"/>
          <w:lang w:val="es-ES_tradnl"/>
        </w:rPr>
      </w:pPr>
    </w:p>
    <w:p w:rsidR="00564ABA" w:rsidRPr="00564ABA" w:rsidRDefault="00564ABA" w:rsidP="00564ABA">
      <w:pPr>
        <w:spacing w:line="120" w:lineRule="exact"/>
        <w:rPr>
          <w:sz w:val="10"/>
          <w:lang w:val="es-ES_tradnl"/>
        </w:rPr>
      </w:pPr>
    </w:p>
    <w:p w:rsidR="00564ABA" w:rsidRPr="00564ABA" w:rsidRDefault="00564ABA" w:rsidP="00564ABA">
      <w:pPr>
        <w:spacing w:line="120" w:lineRule="exact"/>
        <w:rPr>
          <w:sz w:val="10"/>
          <w:lang w:val="es-ES_tradnl"/>
        </w:rPr>
      </w:pPr>
    </w:p>
    <w:p w:rsidR="00564ABA" w:rsidRDefault="00564ABA" w:rsidP="00564A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95" w:hanging="1267"/>
        <w:rPr>
          <w:lang w:val="es-ES_tradnl"/>
        </w:rPr>
      </w:pPr>
      <w:r>
        <w:rPr>
          <w:lang w:val="es-ES_tradnl"/>
        </w:rPr>
        <w:tab/>
      </w:r>
      <w:r>
        <w:rPr>
          <w:lang w:val="es-ES_tradnl"/>
        </w:rPr>
        <w:tab/>
      </w:r>
      <w:r w:rsidRPr="00564ABA">
        <w:rPr>
          <w:lang w:val="es-ES_tradnl"/>
        </w:rPr>
        <w:t>Examen de los informes presentados por los Estados partes en virtud del artículo 18 de la Convención sobre la Eliminación de Todas las Formas de Discriminación contra la Mujer</w:t>
      </w:r>
    </w:p>
    <w:p w:rsidR="00564ABA" w:rsidRPr="00564ABA" w:rsidRDefault="00564ABA" w:rsidP="00564ABA">
      <w:pPr>
        <w:spacing w:line="120" w:lineRule="exact"/>
        <w:rPr>
          <w:sz w:val="10"/>
          <w:lang w:val="es-ES_tradnl"/>
        </w:rPr>
      </w:pPr>
    </w:p>
    <w:p w:rsidR="00564ABA" w:rsidRPr="00564ABA" w:rsidRDefault="00564ABA" w:rsidP="00564ABA">
      <w:pPr>
        <w:spacing w:line="120" w:lineRule="exact"/>
        <w:rPr>
          <w:sz w:val="10"/>
          <w:lang w:val="es-ES_tradnl"/>
        </w:rPr>
      </w:pPr>
    </w:p>
    <w:p w:rsidR="00564ABA" w:rsidRDefault="00564ABA" w:rsidP="00564A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64ABA">
        <w:rPr>
          <w:lang w:val="es-ES_tradnl"/>
        </w:rPr>
        <w:tab/>
      </w:r>
      <w:r w:rsidRPr="00564ABA">
        <w:rPr>
          <w:lang w:val="es-ES_tradnl"/>
        </w:rPr>
        <w:tab/>
        <w:t>Informe del grupo de trabajo anterior al período de sesiones</w:t>
      </w:r>
    </w:p>
    <w:p w:rsidR="00564ABA" w:rsidRPr="00564ABA" w:rsidRDefault="00564ABA" w:rsidP="00564ABA">
      <w:pPr>
        <w:spacing w:line="120" w:lineRule="exact"/>
        <w:rPr>
          <w:sz w:val="10"/>
          <w:lang w:val="es-ES_tradnl"/>
        </w:rPr>
      </w:pPr>
    </w:p>
    <w:p w:rsidR="00564ABA" w:rsidRPr="00564ABA" w:rsidRDefault="00564ABA" w:rsidP="00564ABA">
      <w:pPr>
        <w:spacing w:line="120" w:lineRule="exact"/>
        <w:rPr>
          <w:sz w:val="10"/>
          <w:lang w:val="es-ES_tradnl"/>
        </w:rPr>
      </w:pPr>
    </w:p>
    <w:p w:rsidR="00564ABA" w:rsidRPr="00564ABA" w:rsidRDefault="00564ABA" w:rsidP="00564ABA">
      <w:pPr>
        <w:pStyle w:val="SingleTxt"/>
        <w:numPr>
          <w:ilvl w:val="0"/>
          <w:numId w:val="6"/>
        </w:numPr>
        <w:tabs>
          <w:tab w:val="clear" w:pos="475"/>
          <w:tab w:val="num" w:pos="1742"/>
        </w:tabs>
        <w:suppressAutoHyphens/>
        <w:ind w:left="1267"/>
        <w:rPr>
          <w:lang w:val="es-ES_tradnl"/>
        </w:rPr>
      </w:pPr>
      <w:r w:rsidRPr="00564ABA">
        <w:rPr>
          <w:lang w:val="es-ES_tradnl"/>
        </w:rPr>
        <w:t>Es práctica del Comité para la Eliminación de la Discriminación contra la Mujer constituir un grupo de trabajo que se reúna antes de cada período de sesiones durante cinco días para preparar listas de cuestiones y preguntas sobre los informes iniciales y periódicos que examinará el Comité en uno de sus siguientes períodos de sesiones</w:t>
      </w:r>
      <w:r w:rsidR="009B37E4">
        <w:rPr>
          <w:lang w:val="es-ES_tradnl"/>
        </w:rPr>
        <w:t>.</w:t>
      </w:r>
    </w:p>
    <w:p w:rsidR="00564ABA" w:rsidRPr="00564ABA" w:rsidRDefault="00564ABA" w:rsidP="00564ABA">
      <w:pPr>
        <w:pStyle w:val="SingleTxt"/>
        <w:numPr>
          <w:ilvl w:val="0"/>
          <w:numId w:val="6"/>
        </w:numPr>
        <w:tabs>
          <w:tab w:val="clear" w:pos="475"/>
          <w:tab w:val="num" w:pos="1742"/>
        </w:tabs>
        <w:suppressAutoHyphens/>
        <w:ind w:left="1267"/>
        <w:rPr>
          <w:lang w:val="es-ES_tradnl"/>
        </w:rPr>
      </w:pPr>
      <w:r w:rsidRPr="00564ABA">
        <w:rPr>
          <w:lang w:val="es-ES_tradnl"/>
        </w:rPr>
        <w:t xml:space="preserve">El Comité decidió que el grupo de trabajo anterior al 58º período de sesiones se reuniera del 21 al 25 de octubre de 2013, inmediatamente después de su 56º período de sesiones, a fin de dar a los Estados partes tiempo suficiente para presentar respuestas por escrito a las listas de cuestiones y preguntas y asegurar que se tradujeran oportunamente. </w:t>
      </w:r>
    </w:p>
    <w:p w:rsidR="00564ABA" w:rsidRPr="00564ABA" w:rsidRDefault="00564ABA" w:rsidP="00564ABA">
      <w:pPr>
        <w:pStyle w:val="SingleTxt"/>
        <w:numPr>
          <w:ilvl w:val="0"/>
          <w:numId w:val="6"/>
        </w:numPr>
        <w:tabs>
          <w:tab w:val="clear" w:pos="475"/>
          <w:tab w:val="num" w:pos="1742"/>
        </w:tabs>
        <w:suppressAutoHyphens/>
        <w:ind w:left="1267"/>
        <w:rPr>
          <w:lang w:val="es-ES_tradnl"/>
        </w:rPr>
      </w:pPr>
      <w:r w:rsidRPr="00564ABA">
        <w:rPr>
          <w:lang w:val="es-ES_tradnl"/>
        </w:rPr>
        <w:t>Se nombró a las siguientes expertas para formar parte del grupo de trabajo anterior al período de sesiones:</w:t>
      </w:r>
    </w:p>
    <w:p w:rsidR="00564ABA" w:rsidRPr="00564ABA" w:rsidRDefault="00F8023F" w:rsidP="00564ABA">
      <w:pPr>
        <w:pStyle w:val="SingleTxt"/>
        <w:suppressAutoHyphens/>
        <w:rPr>
          <w:lang w:val="es-ES_tradnl"/>
        </w:rPr>
      </w:pPr>
      <w:r>
        <w:rPr>
          <w:lang w:val="es-ES_tradnl"/>
        </w:rPr>
        <w:tab/>
      </w:r>
      <w:r w:rsidR="00564ABA" w:rsidRPr="00564ABA">
        <w:rPr>
          <w:lang w:val="es-ES_tradnl"/>
        </w:rPr>
        <w:t>Sra. Noor Al-Jehani</w:t>
      </w:r>
    </w:p>
    <w:p w:rsidR="00564ABA" w:rsidRPr="00564ABA" w:rsidRDefault="00F8023F" w:rsidP="00564ABA">
      <w:pPr>
        <w:pStyle w:val="SingleTxt"/>
        <w:suppressAutoHyphens/>
        <w:rPr>
          <w:lang w:val="es-ES_tradnl"/>
        </w:rPr>
      </w:pPr>
      <w:r>
        <w:rPr>
          <w:lang w:val="es-ES_tradnl"/>
        </w:rPr>
        <w:tab/>
      </w:r>
      <w:r w:rsidR="00564ABA" w:rsidRPr="00564ABA">
        <w:rPr>
          <w:lang w:val="es-ES_tradnl"/>
        </w:rPr>
        <w:t>Sra. Nicole Ameline</w:t>
      </w:r>
    </w:p>
    <w:p w:rsidR="00564ABA" w:rsidRPr="00564ABA" w:rsidRDefault="00F8023F" w:rsidP="00564ABA">
      <w:pPr>
        <w:pStyle w:val="SingleTxt"/>
        <w:suppressAutoHyphens/>
        <w:rPr>
          <w:lang w:val="es-ES_tradnl"/>
        </w:rPr>
      </w:pPr>
      <w:r>
        <w:rPr>
          <w:lang w:val="es-ES_tradnl"/>
        </w:rPr>
        <w:tab/>
      </w:r>
      <w:r w:rsidR="00564ABA" w:rsidRPr="00564ABA">
        <w:rPr>
          <w:lang w:val="es-ES_tradnl"/>
        </w:rPr>
        <w:t>Sra. Barbara Bailey</w:t>
      </w:r>
    </w:p>
    <w:p w:rsidR="00564ABA" w:rsidRPr="00564ABA" w:rsidRDefault="00F8023F" w:rsidP="00564ABA">
      <w:pPr>
        <w:pStyle w:val="SingleTxt"/>
        <w:suppressAutoHyphens/>
        <w:rPr>
          <w:lang w:val="es-ES_tradnl"/>
        </w:rPr>
      </w:pPr>
      <w:r>
        <w:rPr>
          <w:lang w:val="es-ES_tradnl"/>
        </w:rPr>
        <w:tab/>
      </w:r>
      <w:r w:rsidR="00564ABA" w:rsidRPr="00564ABA">
        <w:rPr>
          <w:lang w:val="es-ES_tradnl"/>
        </w:rPr>
        <w:t>Sra. Náela Gabr</w:t>
      </w:r>
    </w:p>
    <w:p w:rsidR="00564ABA" w:rsidRPr="00564ABA" w:rsidRDefault="00F8023F" w:rsidP="00564ABA">
      <w:pPr>
        <w:pStyle w:val="SingleTxt"/>
        <w:suppressAutoHyphens/>
        <w:rPr>
          <w:lang w:val="es-ES_tradnl"/>
        </w:rPr>
      </w:pPr>
      <w:r>
        <w:rPr>
          <w:lang w:val="es-ES_tradnl"/>
        </w:rPr>
        <w:tab/>
      </w:r>
      <w:r w:rsidR="00564ABA" w:rsidRPr="00564ABA">
        <w:rPr>
          <w:lang w:val="es-ES_tradnl"/>
        </w:rPr>
        <w:t>Sra. Violeta Neubauer</w:t>
      </w:r>
    </w:p>
    <w:p w:rsidR="00564ABA" w:rsidRPr="00564ABA" w:rsidRDefault="00564ABA" w:rsidP="00564ABA">
      <w:pPr>
        <w:pStyle w:val="SingleTxt"/>
        <w:numPr>
          <w:ilvl w:val="0"/>
          <w:numId w:val="6"/>
        </w:numPr>
        <w:tabs>
          <w:tab w:val="clear" w:pos="475"/>
          <w:tab w:val="num" w:pos="1742"/>
        </w:tabs>
        <w:suppressAutoHyphens/>
        <w:ind w:left="1267"/>
        <w:rPr>
          <w:lang w:val="es-ES_tradnl"/>
        </w:rPr>
      </w:pPr>
      <w:r w:rsidRPr="00564ABA">
        <w:rPr>
          <w:lang w:val="es-ES_tradnl"/>
        </w:rPr>
        <w:t>El grupo de trabajo anterior al período de sesiones eligió Presidenta a la Sra. Ameline.</w:t>
      </w:r>
    </w:p>
    <w:p w:rsidR="00564ABA" w:rsidRPr="00564ABA" w:rsidRDefault="00564ABA" w:rsidP="00564ABA">
      <w:pPr>
        <w:pStyle w:val="SingleTxt"/>
        <w:numPr>
          <w:ilvl w:val="0"/>
          <w:numId w:val="6"/>
        </w:numPr>
        <w:tabs>
          <w:tab w:val="clear" w:pos="475"/>
          <w:tab w:val="num" w:pos="1742"/>
        </w:tabs>
        <w:suppressAutoHyphens/>
        <w:ind w:left="1267"/>
        <w:rPr>
          <w:lang w:val="es-ES_tradnl"/>
        </w:rPr>
      </w:pPr>
      <w:r w:rsidRPr="00564ABA">
        <w:rPr>
          <w:lang w:val="es-ES_tradnl"/>
        </w:rPr>
        <w:t xml:space="preserve">El grupo de trabajo anterior al período de sesiones preparó listas de cuestiones y preguntas relativas a los informes de </w:t>
      </w:r>
      <w:r w:rsidR="00F514B0" w:rsidRPr="00564ABA">
        <w:rPr>
          <w:lang w:val="es-ES_tradnl"/>
        </w:rPr>
        <w:t>Georgia, la India, Lituania, Mauritania, el Perú, la República Árabe Siria</w:t>
      </w:r>
      <w:r w:rsidR="00F514B0">
        <w:rPr>
          <w:lang w:val="es-ES_tradnl"/>
        </w:rPr>
        <w:t>,</w:t>
      </w:r>
      <w:r w:rsidR="00F514B0" w:rsidRPr="00564ABA">
        <w:rPr>
          <w:lang w:val="es-ES_tradnl"/>
        </w:rPr>
        <w:t xml:space="preserve"> </w:t>
      </w:r>
      <w:r w:rsidRPr="00564ABA">
        <w:rPr>
          <w:lang w:val="es-ES_tradnl"/>
        </w:rPr>
        <w:t>la República Centroafricana</w:t>
      </w:r>
      <w:r w:rsidR="00F514B0">
        <w:rPr>
          <w:lang w:val="es-ES_tradnl"/>
        </w:rPr>
        <w:t xml:space="preserve"> y Swazilandia</w:t>
      </w:r>
      <w:r w:rsidRPr="00564ABA">
        <w:rPr>
          <w:lang w:val="es-ES_tradnl"/>
        </w:rPr>
        <w:t>. A este respecto, el grupo de trabajo anterior al período de sesiones orientó su labor en función de la decisión 49/IX, del Comité, en virtud de la cual el Comité decidió limitar las listas de cuestiones y preguntas a 20 cuestiones. En la práctica y de manera excepcional, algunas listas de cuestiones y preguntas contienen un máximo de 22 cuestiones.</w:t>
      </w:r>
    </w:p>
    <w:p w:rsidR="00564ABA" w:rsidRPr="00564ABA" w:rsidRDefault="00564ABA" w:rsidP="00564ABA">
      <w:pPr>
        <w:pStyle w:val="SingleTxt"/>
        <w:numPr>
          <w:ilvl w:val="0"/>
          <w:numId w:val="6"/>
        </w:numPr>
        <w:tabs>
          <w:tab w:val="clear" w:pos="475"/>
          <w:tab w:val="num" w:pos="1742"/>
        </w:tabs>
        <w:suppressAutoHyphens/>
        <w:ind w:left="1267"/>
        <w:rPr>
          <w:lang w:val="es-ES_tradnl"/>
        </w:rPr>
      </w:pPr>
      <w:r w:rsidRPr="00564ABA">
        <w:rPr>
          <w:lang w:val="es-ES_tradnl"/>
        </w:rPr>
        <w:t xml:space="preserve">A fin de preparar las listas de cuestiones y preguntas, el grupo de trabajo anterior al período de sesiones tuvo ante sí los informes de los Estados partes mencionados, además de los documentos básicos presentados por la mayoría de esos Estados; las recomendaciones generales aprobadas por el Comité; información de antecedentes y los proyectos de listas de cuestiones y preguntas elaborados por la secretaría, basados en una comparación analítica de los informes actuales de los Estados partes y las deliberaciones del Comité sobre informes anteriores; y demás información pertinente, incluidas las observaciones finales del Comité y de otros órganos creados en virtud de tratados. Al preparar las listas de cuestiones y preguntas para los informes periódicos, el grupo de trabajo anterior al período de sesiones prestó especial atención a la aplicación dada por los Estados partes a las observaciones finales formuladas por el Comité respecto de los informes anteriores. </w:t>
      </w:r>
    </w:p>
    <w:p w:rsidR="00564ABA" w:rsidRPr="00564ABA" w:rsidRDefault="00564ABA" w:rsidP="00564ABA">
      <w:pPr>
        <w:pStyle w:val="SingleTxt"/>
        <w:numPr>
          <w:ilvl w:val="0"/>
          <w:numId w:val="6"/>
        </w:numPr>
        <w:tabs>
          <w:tab w:val="clear" w:pos="475"/>
          <w:tab w:val="num" w:pos="1742"/>
        </w:tabs>
        <w:suppressAutoHyphens/>
        <w:ind w:left="1267"/>
        <w:rPr>
          <w:lang w:val="es-ES_tradnl"/>
        </w:rPr>
      </w:pPr>
      <w:r w:rsidRPr="00564ABA">
        <w:rPr>
          <w:lang w:val="es-ES_tradnl"/>
        </w:rPr>
        <w:t>El grupo de trabajo anterior al período de sesiones utilizó también la información presentada oralmente y por escrito por entidades y organismos especializados de las Naciones Unidas y por organizaciones no gubernamentales.</w:t>
      </w:r>
    </w:p>
    <w:p w:rsidR="00564ABA" w:rsidRPr="00564ABA" w:rsidRDefault="00564ABA" w:rsidP="00564ABA">
      <w:pPr>
        <w:pStyle w:val="SingleTxt"/>
        <w:numPr>
          <w:ilvl w:val="0"/>
          <w:numId w:val="6"/>
        </w:numPr>
        <w:tabs>
          <w:tab w:val="clear" w:pos="475"/>
          <w:tab w:val="num" w:pos="1742"/>
        </w:tabs>
        <w:suppressAutoHyphens/>
        <w:ind w:left="1267"/>
        <w:rPr>
          <w:lang w:val="es-ES_tradnl"/>
        </w:rPr>
      </w:pPr>
      <w:r w:rsidRPr="00564ABA">
        <w:rPr>
          <w:lang w:val="es-ES_tradnl"/>
        </w:rPr>
        <w:t>Las listas de cuestiones y preguntas aprobadas por el grupo de trabajo anterior al período de sesiones fueron transmitidas a los Estados partes correspondientes y figuran en los siguientes documentos:</w:t>
      </w:r>
    </w:p>
    <w:p w:rsidR="00564ABA" w:rsidRPr="00564ABA" w:rsidRDefault="00564ABA" w:rsidP="00564ABA">
      <w:pPr>
        <w:pStyle w:val="SingleTxt"/>
        <w:suppressAutoHyphens/>
        <w:rPr>
          <w:lang w:val="es-ES_tradnl"/>
        </w:rPr>
      </w:pPr>
      <w:r>
        <w:rPr>
          <w:lang w:val="es-ES_tradnl"/>
        </w:rPr>
        <w:tab/>
      </w:r>
      <w:r w:rsidRPr="00564ABA">
        <w:rPr>
          <w:lang w:val="es-ES_tradnl"/>
        </w:rPr>
        <w:t>a)</w:t>
      </w:r>
      <w:r w:rsidRPr="00564ABA">
        <w:rPr>
          <w:lang w:val="es-ES_tradnl"/>
        </w:rPr>
        <w:tab/>
        <w:t>Lista de cuestiones y preguntas relativas al informe inicial y los informes periódicos segundo a quinto combinados de la República Centroafricana (</w:t>
      </w:r>
      <w:hyperlink r:id="rId15" w:history="1">
        <w:r w:rsidRPr="00086B54">
          <w:rPr>
            <w:rStyle w:val="Hyperlink"/>
            <w:lang w:val="es-ES_tradnl"/>
          </w:rPr>
          <w:t>CEDAW/C/CAF/Q/1-5</w:t>
        </w:r>
      </w:hyperlink>
      <w:r w:rsidRPr="00564ABA">
        <w:rPr>
          <w:lang w:val="es-ES_tradnl"/>
        </w:rPr>
        <w:t>);</w:t>
      </w:r>
    </w:p>
    <w:p w:rsidR="00564ABA" w:rsidRPr="00564ABA" w:rsidRDefault="00564ABA" w:rsidP="00564ABA">
      <w:pPr>
        <w:pStyle w:val="SingleTxt"/>
        <w:suppressAutoHyphens/>
        <w:rPr>
          <w:lang w:val="es-ES_tradnl"/>
        </w:rPr>
      </w:pPr>
      <w:r>
        <w:rPr>
          <w:lang w:val="es-ES_tradnl"/>
        </w:rPr>
        <w:tab/>
      </w:r>
      <w:r w:rsidRPr="00564ABA">
        <w:rPr>
          <w:lang w:val="es-ES_tradnl"/>
        </w:rPr>
        <w:t>b)</w:t>
      </w:r>
      <w:r w:rsidRPr="00564ABA">
        <w:rPr>
          <w:lang w:val="es-ES_tradnl"/>
        </w:rPr>
        <w:tab/>
        <w:t>Lista de cuestiones y preguntas relativas a los informes periódicos cuarto y quinto combinados de Georgia (</w:t>
      </w:r>
      <w:hyperlink r:id="rId16" w:history="1">
        <w:r w:rsidRPr="00086B54">
          <w:rPr>
            <w:rStyle w:val="Hyperlink"/>
            <w:lang w:val="es-ES_tradnl"/>
          </w:rPr>
          <w:t>CEDAW/C/GEO/Q/4-5</w:t>
        </w:r>
      </w:hyperlink>
      <w:r w:rsidRPr="00564ABA">
        <w:rPr>
          <w:lang w:val="es-ES_tradnl"/>
        </w:rPr>
        <w:t>);</w:t>
      </w:r>
    </w:p>
    <w:p w:rsidR="00564ABA" w:rsidRPr="00564ABA" w:rsidRDefault="00564ABA" w:rsidP="00564ABA">
      <w:pPr>
        <w:pStyle w:val="SingleTxt"/>
        <w:suppressAutoHyphens/>
        <w:rPr>
          <w:lang w:val="es-ES_tradnl"/>
        </w:rPr>
      </w:pPr>
      <w:r>
        <w:rPr>
          <w:lang w:val="es-ES_tradnl"/>
        </w:rPr>
        <w:tab/>
      </w:r>
      <w:r w:rsidRPr="00564ABA">
        <w:rPr>
          <w:lang w:val="es-ES_tradnl"/>
        </w:rPr>
        <w:t>c)</w:t>
      </w:r>
      <w:r w:rsidRPr="00564ABA">
        <w:rPr>
          <w:lang w:val="es-ES_tradnl"/>
        </w:rPr>
        <w:tab/>
        <w:t>Lista de cuestiones y preguntas relativas a los informes periódicos cuarto y quinto combinados de la India (</w:t>
      </w:r>
      <w:hyperlink r:id="rId17" w:history="1">
        <w:r w:rsidRPr="00086B54">
          <w:rPr>
            <w:rStyle w:val="Hyperlink"/>
            <w:lang w:val="es-ES_tradnl"/>
          </w:rPr>
          <w:t>CEDAW/C/IND/Q/4-5</w:t>
        </w:r>
      </w:hyperlink>
      <w:r w:rsidRPr="00564ABA">
        <w:rPr>
          <w:lang w:val="es-ES_tradnl"/>
        </w:rPr>
        <w:t>);</w:t>
      </w:r>
    </w:p>
    <w:p w:rsidR="00564ABA" w:rsidRPr="00564ABA" w:rsidRDefault="00564ABA" w:rsidP="00564ABA">
      <w:pPr>
        <w:pStyle w:val="SingleTxt"/>
        <w:suppressAutoHyphens/>
        <w:rPr>
          <w:lang w:val="es-ES_tradnl"/>
        </w:rPr>
      </w:pPr>
      <w:r>
        <w:rPr>
          <w:lang w:val="es-ES_tradnl"/>
        </w:rPr>
        <w:tab/>
      </w:r>
      <w:r w:rsidRPr="00564ABA">
        <w:rPr>
          <w:lang w:val="es-ES_tradnl"/>
        </w:rPr>
        <w:t>d)</w:t>
      </w:r>
      <w:r w:rsidRPr="00564ABA">
        <w:rPr>
          <w:lang w:val="es-ES_tradnl"/>
        </w:rPr>
        <w:tab/>
        <w:t>Lista de cuestiones y preguntas relativas al quinto informe periódico de Lituania (</w:t>
      </w:r>
      <w:hyperlink r:id="rId18" w:history="1">
        <w:r w:rsidRPr="00086B54">
          <w:rPr>
            <w:rStyle w:val="Hyperlink"/>
            <w:lang w:val="es-ES_tradnl"/>
          </w:rPr>
          <w:t>CEDAW/C/LTU/Q/5</w:t>
        </w:r>
      </w:hyperlink>
      <w:r w:rsidRPr="00564ABA">
        <w:rPr>
          <w:lang w:val="es-ES_tradnl"/>
        </w:rPr>
        <w:t>);</w:t>
      </w:r>
    </w:p>
    <w:p w:rsidR="00564ABA" w:rsidRPr="00564ABA" w:rsidRDefault="00564ABA" w:rsidP="00564ABA">
      <w:pPr>
        <w:pStyle w:val="SingleTxt"/>
        <w:suppressAutoHyphens/>
        <w:rPr>
          <w:lang w:val="es-ES_tradnl"/>
        </w:rPr>
      </w:pPr>
      <w:r>
        <w:rPr>
          <w:lang w:val="es-ES_tradnl"/>
        </w:rPr>
        <w:tab/>
      </w:r>
      <w:r w:rsidRPr="00564ABA">
        <w:rPr>
          <w:lang w:val="es-ES_tradnl"/>
        </w:rPr>
        <w:t>e)</w:t>
      </w:r>
      <w:r w:rsidRPr="00564ABA">
        <w:rPr>
          <w:lang w:val="es-ES_tradnl"/>
        </w:rPr>
        <w:tab/>
        <w:t>Lista de cuestiones y preguntas relativas a los informes periódicos segundo y tercero combinados de Mauritania (</w:t>
      </w:r>
      <w:hyperlink r:id="rId19" w:history="1">
        <w:r w:rsidRPr="00086B54">
          <w:rPr>
            <w:rStyle w:val="Hyperlink"/>
            <w:lang w:val="es-ES_tradnl"/>
          </w:rPr>
          <w:t>CEDAW/C/MRT/Q/2-3</w:t>
        </w:r>
      </w:hyperlink>
      <w:r w:rsidRPr="00564ABA">
        <w:rPr>
          <w:lang w:val="es-ES_tradnl"/>
        </w:rPr>
        <w:t xml:space="preserve">); </w:t>
      </w:r>
    </w:p>
    <w:p w:rsidR="00564ABA" w:rsidRPr="00564ABA" w:rsidRDefault="00564ABA" w:rsidP="00564ABA">
      <w:pPr>
        <w:pStyle w:val="SingleTxt"/>
        <w:suppressAutoHyphens/>
        <w:rPr>
          <w:lang w:val="es-ES_tradnl"/>
        </w:rPr>
      </w:pPr>
      <w:r>
        <w:rPr>
          <w:lang w:val="es-ES_tradnl"/>
        </w:rPr>
        <w:tab/>
      </w:r>
      <w:r w:rsidRPr="00564ABA">
        <w:rPr>
          <w:lang w:val="es-ES_tradnl"/>
        </w:rPr>
        <w:t>f)</w:t>
      </w:r>
      <w:r w:rsidRPr="00564ABA">
        <w:rPr>
          <w:lang w:val="es-ES_tradnl"/>
        </w:rPr>
        <w:tab/>
        <w:t>Lista de cuestiones y preguntas relativas a los informes periódicos séptimo y octavo combinados del Perú (</w:t>
      </w:r>
      <w:hyperlink r:id="rId20" w:history="1">
        <w:r w:rsidRPr="00086B54">
          <w:rPr>
            <w:rStyle w:val="Hyperlink"/>
            <w:lang w:val="es-ES_tradnl"/>
          </w:rPr>
          <w:t>CEDAW/C/PER/Q/7-8</w:t>
        </w:r>
      </w:hyperlink>
      <w:r w:rsidRPr="00564ABA">
        <w:rPr>
          <w:lang w:val="es-ES_tradnl"/>
        </w:rPr>
        <w:t xml:space="preserve">); </w:t>
      </w:r>
    </w:p>
    <w:p w:rsidR="00564ABA" w:rsidRPr="00564ABA" w:rsidRDefault="00564ABA" w:rsidP="00564ABA">
      <w:pPr>
        <w:pStyle w:val="SingleTxt"/>
        <w:suppressAutoHyphens/>
        <w:rPr>
          <w:lang w:val="es-ES_tradnl"/>
        </w:rPr>
      </w:pPr>
      <w:r>
        <w:rPr>
          <w:lang w:val="es-ES_tradnl"/>
        </w:rPr>
        <w:tab/>
      </w:r>
      <w:r w:rsidRPr="00564ABA">
        <w:rPr>
          <w:lang w:val="es-ES_tradnl"/>
        </w:rPr>
        <w:t>g)</w:t>
      </w:r>
      <w:r w:rsidRPr="00564ABA">
        <w:rPr>
          <w:lang w:val="es-ES_tradnl"/>
        </w:rPr>
        <w:tab/>
        <w:t>Lista de cuestiones y preguntas relativas al informe inicial y el segundo informe periódico combinados de Swazilandia (</w:t>
      </w:r>
      <w:hyperlink r:id="rId21" w:history="1">
        <w:r w:rsidRPr="00086B54">
          <w:rPr>
            <w:rStyle w:val="Hyperlink"/>
            <w:lang w:val="es-ES_tradnl"/>
          </w:rPr>
          <w:t>CEDAW/C/SWZ/Q/1-2</w:t>
        </w:r>
      </w:hyperlink>
      <w:r w:rsidRPr="00564ABA">
        <w:rPr>
          <w:lang w:val="es-ES_tradnl"/>
        </w:rPr>
        <w:t>);</w:t>
      </w:r>
    </w:p>
    <w:p w:rsidR="00564ABA" w:rsidRPr="00564ABA" w:rsidRDefault="00564ABA" w:rsidP="00564ABA">
      <w:pPr>
        <w:pStyle w:val="SingleTxt"/>
        <w:suppressAutoHyphens/>
        <w:rPr>
          <w:lang w:val="es-ES_tradnl"/>
        </w:rPr>
      </w:pPr>
      <w:r>
        <w:rPr>
          <w:lang w:val="es-ES_tradnl"/>
        </w:rPr>
        <w:tab/>
      </w:r>
      <w:r w:rsidRPr="00564ABA">
        <w:rPr>
          <w:lang w:val="es-ES_tradnl"/>
        </w:rPr>
        <w:t>h)</w:t>
      </w:r>
      <w:r w:rsidRPr="00564ABA">
        <w:rPr>
          <w:lang w:val="es-ES_tradnl"/>
        </w:rPr>
        <w:tab/>
        <w:t>Lista de cuestiones y preguntas relativas al segundo informe periódico de la República Árabe Siria (</w:t>
      </w:r>
      <w:hyperlink r:id="rId22" w:history="1">
        <w:r w:rsidRPr="00086B54">
          <w:rPr>
            <w:rStyle w:val="Hyperlink"/>
            <w:lang w:val="es-ES_tradnl"/>
          </w:rPr>
          <w:t>CEDAW/C/SYR/Q/2</w:t>
        </w:r>
      </w:hyperlink>
      <w:r w:rsidRPr="00564ABA">
        <w:rPr>
          <w:lang w:val="es-ES_tradnl"/>
        </w:rPr>
        <w:t>).</w:t>
      </w:r>
    </w:p>
    <w:p w:rsidR="00645DF2" w:rsidRPr="00564ABA" w:rsidRDefault="00564ABA" w:rsidP="00564ABA">
      <w:pPr>
        <w:pStyle w:val="SingleTxt"/>
        <w:numPr>
          <w:ilvl w:val="0"/>
          <w:numId w:val="6"/>
        </w:numPr>
        <w:tabs>
          <w:tab w:val="clear" w:pos="475"/>
          <w:tab w:val="num" w:pos="1742"/>
        </w:tabs>
        <w:suppressAutoHyphens/>
        <w:ind w:left="1267"/>
      </w:pPr>
      <w:r w:rsidRPr="00564ABA">
        <w:rPr>
          <w:lang w:val="es-ES_tradnl"/>
        </w:rPr>
        <w:t xml:space="preserve">De conformidad con las decisiones 22/V, 25/II y 31/III del Comité, las listas de cuestiones y preguntas se centraron en temas que se abordan en la Convención sobre la Eliminación de Todas las Formas de Discriminación contra la Mujer. Entre ellos cabe mencionar el marco constitucional y legislativo; la mujer, la paz y la seguridad, cuando corresponda; los mecanismos nacionales para el adelanto de la mujer; los estereotipos y las prácticas nocivas; la violencia contra la mujer, incluida la violencia doméstica; la trata de mujeres y la explotación de la prostitución; </w:t>
      </w:r>
      <w:r w:rsidR="00F6614A">
        <w:rPr>
          <w:lang w:val="es-ES_tradnl"/>
        </w:rPr>
        <w:t xml:space="preserve">la </w:t>
      </w:r>
      <w:r w:rsidRPr="00564ABA">
        <w:rPr>
          <w:lang w:val="es-ES_tradnl"/>
        </w:rPr>
        <w:t>participación de la mujer en el proceso de adopción de decisiones; la educación y la capacitación; el empleo; la salud; las prestaciones sociales y económicas; las mujeres que viven en zonas rurales; las mujeres en situaciones vulnerables, como las mujeres de edad, las mujeres con discapacidad, las mujeres pertenecientes a minorías étnicas, las mujeres refugiadas y las mujeres migrantes; la igualdad ante la ley</w:t>
      </w:r>
      <w:r w:rsidR="00F6614A">
        <w:rPr>
          <w:lang w:val="es-ES_tradnl"/>
        </w:rPr>
        <w:t>;</w:t>
      </w:r>
      <w:r w:rsidRPr="00564ABA">
        <w:rPr>
          <w:lang w:val="es-ES_tradnl"/>
        </w:rPr>
        <w:t xml:space="preserve"> y el matrimonio y las relaciones familiares.</w:t>
      </w:r>
    </w:p>
    <w:p w:rsidR="00564ABA" w:rsidRPr="00564ABA" w:rsidRDefault="00564ABA" w:rsidP="00564ABA">
      <w:pPr>
        <w:pStyle w:val="SingleTxt"/>
      </w:pPr>
      <w:r>
        <w:rPr>
          <w:noProof/>
          <w:w w:val="100"/>
          <w:lang w:val="en-US"/>
        </w:rPr>
        <w:pict>
          <v:line id="_x0000_s1027" style="position:absolute;left:0;text-align:left;z-index:2" from="210.2pt,24pt" to="282.2pt,24pt" strokeweight=".25pt"/>
        </w:pict>
      </w:r>
    </w:p>
    <w:sectPr w:rsidR="00564ABA" w:rsidRPr="00564ABA" w:rsidSect="00005EFE">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11T16:17:00Z" w:initials="Start">
    <w:p w:rsidR="00437C44" w:rsidRPr="00564ABA" w:rsidRDefault="00437C44">
      <w:pPr>
        <w:pStyle w:val="CommentText"/>
        <w:rPr>
          <w:lang w:val="en-US"/>
        </w:rPr>
      </w:pPr>
      <w:r>
        <w:fldChar w:fldCharType="begin"/>
      </w:r>
      <w:r w:rsidRPr="00564ABA">
        <w:rPr>
          <w:rStyle w:val="CommentReference"/>
          <w:lang w:val="en-US"/>
        </w:rPr>
        <w:instrText xml:space="preserve"> </w:instrText>
      </w:r>
      <w:r w:rsidRPr="00564ABA">
        <w:rPr>
          <w:lang w:val="en-US"/>
        </w:rPr>
        <w:instrText>PAGE \# "'Page: '#'</w:instrText>
      </w:r>
      <w:r w:rsidRPr="00564ABA">
        <w:rPr>
          <w:lang w:val="en-US"/>
        </w:rPr>
        <w:br/>
        <w:instrText>'"</w:instrText>
      </w:r>
      <w:r w:rsidRPr="00564ABA">
        <w:rPr>
          <w:rStyle w:val="CommentReference"/>
          <w:lang w:val="en-US"/>
        </w:rPr>
        <w:instrText xml:space="preserve"> </w:instrText>
      </w:r>
      <w:r>
        <w:fldChar w:fldCharType="end"/>
      </w:r>
      <w:r>
        <w:rPr>
          <w:rStyle w:val="CommentReference"/>
        </w:rPr>
        <w:annotationRef/>
      </w:r>
      <w:r w:rsidRPr="00564ABA">
        <w:rPr>
          <w:lang w:val="en-US"/>
        </w:rPr>
        <w:t>&lt;&lt;ODS JOB NO&gt;&gt;N1353336S&lt;&lt;ODS JOB NO&gt;&gt;</w:t>
      </w:r>
    </w:p>
    <w:p w:rsidR="00437C44" w:rsidRPr="00564ABA" w:rsidRDefault="00437C44">
      <w:pPr>
        <w:pStyle w:val="CommentText"/>
        <w:rPr>
          <w:lang w:val="en-US"/>
        </w:rPr>
      </w:pPr>
      <w:r w:rsidRPr="00564ABA">
        <w:rPr>
          <w:lang w:val="en-US"/>
        </w:rPr>
        <w:t>&lt;&lt;ODS DOC SYMBOL1&gt;&gt;CEDAW/C/PSWG/58/1&lt;&lt;ODS DOC SYMBOL1&gt;&gt;</w:t>
      </w:r>
    </w:p>
    <w:p w:rsidR="00437C44" w:rsidRPr="00564ABA" w:rsidRDefault="00437C44">
      <w:pPr>
        <w:pStyle w:val="CommentText"/>
        <w:rPr>
          <w:lang w:val="en-US"/>
        </w:rPr>
      </w:pPr>
      <w:r w:rsidRPr="00564ABA">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B65" w:rsidRDefault="00DB6B65">
      <w:r>
        <w:separator/>
      </w:r>
    </w:p>
  </w:endnote>
  <w:endnote w:type="continuationSeparator" w:id="0">
    <w:p w:rsidR="00DB6B65" w:rsidRDefault="00DB6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37C44" w:rsidTr="00E8073B">
      <w:tblPrEx>
        <w:tblCellMar>
          <w:top w:w="0" w:type="dxa"/>
          <w:bottom w:w="0" w:type="dxa"/>
        </w:tblCellMar>
      </w:tblPrEx>
      <w:tc>
        <w:tcPr>
          <w:tcW w:w="5033" w:type="dxa"/>
          <w:shd w:val="clear" w:color="auto" w:fill="auto"/>
        </w:tcPr>
        <w:p w:rsidR="00437C44" w:rsidRPr="00E8073B" w:rsidRDefault="00437C44" w:rsidP="00E8073B">
          <w:pPr>
            <w:pStyle w:val="Footer"/>
            <w:jc w:val="right"/>
            <w:rPr>
              <w:b w:val="0"/>
              <w:w w:val="103"/>
              <w:sz w:val="14"/>
            </w:rPr>
          </w:pPr>
          <w:fldSimple w:instr=" DOCVARIABLE &quot;FooterJN&quot; \* MERGEFORMAT ">
            <w:r w:rsidR="00FA05C4">
              <w:rPr>
                <w:b w:val="0"/>
                <w:w w:val="103"/>
                <w:sz w:val="14"/>
              </w:rPr>
              <w:t>13-53336</w:t>
            </w:r>
          </w:fldSimple>
        </w:p>
      </w:tc>
      <w:tc>
        <w:tcPr>
          <w:tcW w:w="5033" w:type="dxa"/>
          <w:shd w:val="clear" w:color="auto" w:fill="auto"/>
        </w:tcPr>
        <w:p w:rsidR="00437C44" w:rsidRPr="00E8073B" w:rsidRDefault="00437C44" w:rsidP="00E8073B">
          <w:pPr>
            <w:pStyle w:val="Footer"/>
            <w:rPr>
              <w:w w:val="103"/>
            </w:rPr>
          </w:pPr>
          <w:r>
            <w:rPr>
              <w:w w:val="103"/>
            </w:rPr>
            <w:fldChar w:fldCharType="begin"/>
          </w:r>
          <w:r>
            <w:rPr>
              <w:w w:val="103"/>
            </w:rPr>
            <w:instrText xml:space="preserve"> PAGE  \* Arabic  \* MERGEFORMAT </w:instrText>
          </w:r>
          <w:r>
            <w:rPr>
              <w:w w:val="103"/>
            </w:rPr>
            <w:fldChar w:fldCharType="separate"/>
          </w:r>
          <w:r w:rsidR="00507ADC">
            <w:rPr>
              <w:w w:val="103"/>
            </w:rPr>
            <w:t>2</w:t>
          </w:r>
          <w:r>
            <w:rPr>
              <w:w w:val="103"/>
            </w:rPr>
            <w:fldChar w:fldCharType="end"/>
          </w:r>
          <w:r>
            <w:rPr>
              <w:w w:val="103"/>
            </w:rPr>
            <w:t>/</w:t>
          </w:r>
          <w:fldSimple w:instr=" NUMPAGES  \* Arabic  \* MERGEFORMAT ">
            <w:r w:rsidR="00FA05C4">
              <w:rPr>
                <w:w w:val="103"/>
              </w:rPr>
              <w:t>3</w:t>
            </w:r>
          </w:fldSimple>
        </w:p>
      </w:tc>
    </w:tr>
  </w:tbl>
  <w:p w:rsidR="00437C44" w:rsidRPr="00E8073B" w:rsidRDefault="00437C44" w:rsidP="00E807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37C44" w:rsidTr="00E8073B">
      <w:tblPrEx>
        <w:tblCellMar>
          <w:top w:w="0" w:type="dxa"/>
          <w:bottom w:w="0" w:type="dxa"/>
        </w:tblCellMar>
      </w:tblPrEx>
      <w:tc>
        <w:tcPr>
          <w:tcW w:w="5033" w:type="dxa"/>
          <w:shd w:val="clear" w:color="auto" w:fill="auto"/>
        </w:tcPr>
        <w:p w:rsidR="00437C44" w:rsidRPr="00E8073B" w:rsidRDefault="00437C44" w:rsidP="00E8073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B5A2A">
            <w:rPr>
              <w:w w:val="103"/>
            </w:rPr>
            <w:t>3</w:t>
          </w:r>
          <w:r>
            <w:rPr>
              <w:w w:val="103"/>
            </w:rPr>
            <w:fldChar w:fldCharType="end"/>
          </w:r>
          <w:r>
            <w:rPr>
              <w:w w:val="103"/>
            </w:rPr>
            <w:t>/</w:t>
          </w:r>
          <w:fldSimple w:instr=" NUMPAGES  \* Arabic  \* MERGEFORMAT ">
            <w:r w:rsidR="00FA05C4">
              <w:rPr>
                <w:w w:val="103"/>
              </w:rPr>
              <w:t>3</w:t>
            </w:r>
          </w:fldSimple>
        </w:p>
      </w:tc>
      <w:tc>
        <w:tcPr>
          <w:tcW w:w="5033" w:type="dxa"/>
          <w:shd w:val="clear" w:color="auto" w:fill="auto"/>
        </w:tcPr>
        <w:p w:rsidR="00437C44" w:rsidRPr="00E8073B" w:rsidRDefault="00437C44" w:rsidP="00E8073B">
          <w:pPr>
            <w:pStyle w:val="Footer"/>
            <w:rPr>
              <w:b w:val="0"/>
              <w:w w:val="103"/>
              <w:sz w:val="14"/>
            </w:rPr>
          </w:pPr>
          <w:fldSimple w:instr=" DOCVARIABLE &quot;FooterJN&quot; \* MERGEFORMAT ">
            <w:r w:rsidR="00FA05C4">
              <w:rPr>
                <w:b w:val="0"/>
                <w:w w:val="103"/>
                <w:sz w:val="14"/>
              </w:rPr>
              <w:t>13-53336</w:t>
            </w:r>
          </w:fldSimple>
        </w:p>
      </w:tc>
    </w:tr>
  </w:tbl>
  <w:p w:rsidR="00437C44" w:rsidRPr="00E8073B" w:rsidRDefault="00437C44" w:rsidP="00E807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44" w:rsidRPr="00E8073B" w:rsidRDefault="00437C44" w:rsidP="00E8073B">
    <w:pPr>
      <w:pStyle w:val="Footer"/>
      <w:spacing w:line="120" w:lineRule="exact"/>
      <w:rPr>
        <w:b w:val="0"/>
        <w:sz w:val="10"/>
      </w:rPr>
    </w:pPr>
  </w:p>
  <w:tbl>
    <w:tblPr>
      <w:tblW w:w="0" w:type="auto"/>
      <w:tblLayout w:type="fixed"/>
      <w:tblLook w:val="0000"/>
    </w:tblPr>
    <w:tblGrid>
      <w:gridCol w:w="3686"/>
      <w:gridCol w:w="5033"/>
    </w:tblGrid>
    <w:tr w:rsidR="00437C44" w:rsidTr="00E8073B">
      <w:tblPrEx>
        <w:tblCellMar>
          <w:top w:w="0" w:type="dxa"/>
          <w:bottom w:w="0" w:type="dxa"/>
        </w:tblCellMar>
      </w:tblPrEx>
      <w:tc>
        <w:tcPr>
          <w:tcW w:w="3686" w:type="dxa"/>
        </w:tcPr>
        <w:p w:rsidR="00437C44" w:rsidRDefault="00437C44" w:rsidP="00E8073B">
          <w:pPr>
            <w:pStyle w:val="Footer"/>
            <w:rPr>
              <w:b w:val="0"/>
              <w:sz w:val="20"/>
            </w:rPr>
          </w:pPr>
          <w:r>
            <w:rPr>
              <w:b w:val="0"/>
              <w:sz w:val="20"/>
            </w:rPr>
            <w:t>13-53336 (S)    081113    1</w:t>
          </w:r>
          <w:r w:rsidR="000B5A2A">
            <w:rPr>
              <w:b w:val="0"/>
              <w:sz w:val="20"/>
            </w:rPr>
            <w:t>2</w:t>
          </w:r>
          <w:r>
            <w:rPr>
              <w:b w:val="0"/>
              <w:sz w:val="20"/>
            </w:rPr>
            <w:t>1113</w:t>
          </w:r>
        </w:p>
        <w:p w:rsidR="00437C44" w:rsidRPr="00E8073B" w:rsidRDefault="00437C44" w:rsidP="00E8073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*1353336*</w:t>
          </w:r>
        </w:p>
      </w:tc>
      <w:tc>
        <w:tcPr>
          <w:tcW w:w="5033" w:type="dxa"/>
        </w:tcPr>
        <w:p w:rsidR="00437C44" w:rsidRDefault="00437C44" w:rsidP="00E8073B">
          <w:pPr>
            <w:pStyle w:val="Footer"/>
            <w:jc w:val="right"/>
            <w:rPr>
              <w:b w:val="0"/>
              <w:sz w:val="20"/>
            </w:rPr>
          </w:pPr>
          <w:r w:rsidRPr="00E8073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437C44" w:rsidRPr="00E8073B" w:rsidRDefault="00437C44" w:rsidP="00E8073B">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B65" w:rsidRDefault="00DB6B65">
      <w:r>
        <w:separator/>
      </w:r>
    </w:p>
  </w:footnote>
  <w:footnote w:type="continuationSeparator" w:id="0">
    <w:p w:rsidR="00DB6B65" w:rsidRDefault="00DB6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437C44" w:rsidTr="00E8073B">
      <w:tblPrEx>
        <w:tblCellMar>
          <w:top w:w="0" w:type="dxa"/>
          <w:bottom w:w="0" w:type="dxa"/>
        </w:tblCellMar>
      </w:tblPrEx>
      <w:trPr>
        <w:trHeight w:hRule="exact" w:val="864"/>
      </w:trPr>
      <w:tc>
        <w:tcPr>
          <w:tcW w:w="4838" w:type="dxa"/>
          <w:shd w:val="clear" w:color="auto" w:fill="auto"/>
          <w:vAlign w:val="bottom"/>
        </w:tcPr>
        <w:p w:rsidR="00437C44" w:rsidRPr="00E8073B" w:rsidRDefault="00437C44" w:rsidP="00E8073B">
          <w:pPr>
            <w:pStyle w:val="Header"/>
            <w:spacing w:after="80"/>
            <w:rPr>
              <w:b/>
            </w:rPr>
          </w:pPr>
          <w:fldSimple w:instr=" DOCVARIABLE &quot;sss1&quot; \* MERGEFORMAT ">
            <w:r w:rsidR="00FA05C4">
              <w:rPr>
                <w:b/>
              </w:rPr>
              <w:t>CEDAW/C/PSWG/58/1</w:t>
            </w:r>
          </w:fldSimple>
        </w:p>
      </w:tc>
      <w:tc>
        <w:tcPr>
          <w:tcW w:w="5033" w:type="dxa"/>
          <w:shd w:val="clear" w:color="auto" w:fill="auto"/>
          <w:vAlign w:val="bottom"/>
        </w:tcPr>
        <w:p w:rsidR="00437C44" w:rsidRDefault="00437C44" w:rsidP="00E8073B">
          <w:pPr>
            <w:pStyle w:val="Header"/>
          </w:pPr>
        </w:p>
      </w:tc>
    </w:tr>
  </w:tbl>
  <w:p w:rsidR="00437C44" w:rsidRPr="00E8073B" w:rsidRDefault="00437C44" w:rsidP="00E807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437C44" w:rsidTr="00E8073B">
      <w:tblPrEx>
        <w:tblCellMar>
          <w:top w:w="0" w:type="dxa"/>
          <w:bottom w:w="0" w:type="dxa"/>
        </w:tblCellMar>
      </w:tblPrEx>
      <w:trPr>
        <w:trHeight w:hRule="exact" w:val="864"/>
      </w:trPr>
      <w:tc>
        <w:tcPr>
          <w:tcW w:w="4838" w:type="dxa"/>
          <w:shd w:val="clear" w:color="auto" w:fill="auto"/>
          <w:vAlign w:val="bottom"/>
        </w:tcPr>
        <w:p w:rsidR="00437C44" w:rsidRDefault="00437C44" w:rsidP="00E8073B">
          <w:pPr>
            <w:pStyle w:val="Header"/>
          </w:pPr>
        </w:p>
      </w:tc>
      <w:tc>
        <w:tcPr>
          <w:tcW w:w="5033" w:type="dxa"/>
          <w:shd w:val="clear" w:color="auto" w:fill="auto"/>
          <w:vAlign w:val="bottom"/>
        </w:tcPr>
        <w:p w:rsidR="00437C44" w:rsidRPr="00E8073B" w:rsidRDefault="00437C44" w:rsidP="00E8073B">
          <w:pPr>
            <w:pStyle w:val="Header"/>
            <w:spacing w:after="80"/>
            <w:jc w:val="right"/>
            <w:rPr>
              <w:b/>
            </w:rPr>
          </w:pPr>
          <w:fldSimple w:instr=" DOCVARIABLE &quot;sss1&quot; \* MERGEFORMAT ">
            <w:r w:rsidR="00FA05C4">
              <w:rPr>
                <w:b/>
              </w:rPr>
              <w:t>CEDAW/C/PSWG/58/1</w:t>
            </w:r>
          </w:fldSimple>
        </w:p>
      </w:tc>
    </w:tr>
  </w:tbl>
  <w:p w:rsidR="00437C44" w:rsidRPr="00E8073B" w:rsidRDefault="00437C44" w:rsidP="00E807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437C44" w:rsidTr="00E8073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37C44" w:rsidRDefault="00437C44" w:rsidP="00E8073B">
          <w:pPr>
            <w:pStyle w:val="Header"/>
            <w:spacing w:after="120"/>
          </w:pPr>
        </w:p>
      </w:tc>
      <w:tc>
        <w:tcPr>
          <w:tcW w:w="2059" w:type="dxa"/>
          <w:tcBorders>
            <w:bottom w:val="single" w:sz="4" w:space="0" w:color="auto"/>
          </w:tcBorders>
          <w:shd w:val="clear" w:color="auto" w:fill="auto"/>
          <w:vAlign w:val="bottom"/>
        </w:tcPr>
        <w:p w:rsidR="00437C44" w:rsidRPr="00E8073B" w:rsidRDefault="00437C44" w:rsidP="00E8073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37C44" w:rsidRDefault="00437C44" w:rsidP="00E8073B">
          <w:pPr>
            <w:pStyle w:val="Header"/>
            <w:spacing w:after="120"/>
          </w:pPr>
        </w:p>
      </w:tc>
      <w:tc>
        <w:tcPr>
          <w:tcW w:w="6523" w:type="dxa"/>
          <w:gridSpan w:val="3"/>
          <w:tcBorders>
            <w:bottom w:val="single" w:sz="4" w:space="0" w:color="auto"/>
          </w:tcBorders>
          <w:shd w:val="clear" w:color="auto" w:fill="auto"/>
          <w:vAlign w:val="bottom"/>
        </w:tcPr>
        <w:p w:rsidR="00437C44" w:rsidRPr="00E8073B" w:rsidRDefault="00437C44" w:rsidP="00E8073B">
          <w:pPr>
            <w:spacing w:after="80" w:line="240" w:lineRule="auto"/>
            <w:jc w:val="right"/>
            <w:rPr>
              <w:position w:val="-4"/>
            </w:rPr>
          </w:pPr>
          <w:r>
            <w:rPr>
              <w:position w:val="-4"/>
              <w:sz w:val="40"/>
            </w:rPr>
            <w:t>CEDAW</w:t>
          </w:r>
          <w:r>
            <w:rPr>
              <w:position w:val="-4"/>
            </w:rPr>
            <w:t>/C/PSWG/58/1</w:t>
          </w:r>
        </w:p>
      </w:tc>
    </w:tr>
    <w:tr w:rsidR="00437C44" w:rsidRPr="00E8073B" w:rsidTr="00E8073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37C44" w:rsidRDefault="00437C44" w:rsidP="00E8073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37C44" w:rsidRPr="00E8073B" w:rsidRDefault="00437C44" w:rsidP="00E8073B">
          <w:pPr>
            <w:pStyle w:val="Header"/>
            <w:spacing w:before="109"/>
          </w:pPr>
        </w:p>
      </w:tc>
      <w:tc>
        <w:tcPr>
          <w:tcW w:w="5227" w:type="dxa"/>
          <w:gridSpan w:val="3"/>
          <w:tcBorders>
            <w:top w:val="single" w:sz="4" w:space="0" w:color="auto"/>
            <w:bottom w:val="single" w:sz="12" w:space="0" w:color="auto"/>
          </w:tcBorders>
          <w:shd w:val="clear" w:color="auto" w:fill="auto"/>
        </w:tcPr>
        <w:p w:rsidR="00437C44" w:rsidRPr="00E8073B" w:rsidRDefault="00437C44" w:rsidP="00E8073B">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437C44" w:rsidRPr="00564ABA" w:rsidRDefault="00437C44" w:rsidP="00E8073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437C44" w:rsidRDefault="00437C44" w:rsidP="00E8073B">
          <w:pPr>
            <w:spacing w:before="240"/>
          </w:pPr>
          <w:r>
            <w:t>Distr. general</w:t>
          </w:r>
        </w:p>
        <w:p w:rsidR="00437C44" w:rsidRDefault="00437C44" w:rsidP="00E8073B">
          <w:r>
            <w:t>28 de octubre de 2013</w:t>
          </w:r>
        </w:p>
        <w:p w:rsidR="00437C44" w:rsidRDefault="00437C44" w:rsidP="00E8073B">
          <w:r>
            <w:t>Español</w:t>
          </w:r>
        </w:p>
        <w:p w:rsidR="00437C44" w:rsidRDefault="00437C44" w:rsidP="00E8073B">
          <w:r>
            <w:t>Original: inglés</w:t>
          </w:r>
        </w:p>
        <w:p w:rsidR="00437C44" w:rsidRDefault="00437C44" w:rsidP="00E8073B"/>
        <w:p w:rsidR="00437C44" w:rsidRPr="00E8073B" w:rsidRDefault="00437C44" w:rsidP="00E8073B"/>
      </w:tc>
    </w:tr>
  </w:tbl>
  <w:p w:rsidR="00437C44" w:rsidRPr="00E8073B" w:rsidRDefault="00437C44" w:rsidP="00E8073B">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A401BB8"/>
    <w:multiLevelType w:val="hybridMultilevel"/>
    <w:tmpl w:val="51E2AB36"/>
    <w:lvl w:ilvl="0" w:tplc="510A408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603B12D1"/>
    <w:multiLevelType w:val="singleLevel"/>
    <w:tmpl w:val="F1CE1E0E"/>
    <w:lvl w:ilvl="0">
      <w:start w:val="1"/>
      <w:numFmt w:val="decimal"/>
      <w:lvlRestart w:val="0"/>
      <w:lvlText w:val="%1."/>
      <w:lvlJc w:val="left"/>
      <w:pPr>
        <w:tabs>
          <w:tab w:val="num" w:pos="475"/>
        </w:tabs>
        <w:ind w:left="0" w:firstLine="0"/>
      </w:pPr>
      <w:rPr>
        <w:spacing w:val="0"/>
        <w:w w:val="100"/>
      </w:rPr>
    </w:lvl>
  </w:abstractNum>
  <w:abstractNum w:abstractNumId="5">
    <w:nsid w:val="66E1005F"/>
    <w:multiLevelType w:val="singleLevel"/>
    <w:tmpl w:val="F1CE1E0E"/>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336*"/>
    <w:docVar w:name="CreationDt" w:val="11/11/2013 16:17:06"/>
    <w:docVar w:name="DocCategory" w:val="Doc"/>
    <w:docVar w:name="DocType" w:val="Final"/>
    <w:docVar w:name="FooterJN" w:val="13-53336"/>
    <w:docVar w:name="jobn" w:val="13-53336 (S)"/>
    <w:docVar w:name="jobnDT" w:val="13-53336 (S)   111113"/>
    <w:docVar w:name="jobnDTDT" w:val="13-53336 (S)   111113   111113"/>
    <w:docVar w:name="JobNo" w:val="1353336S"/>
    <w:docVar w:name="OandT" w:val="MAGV"/>
    <w:docVar w:name="sss1" w:val="CEDAW/C/PSWG/58/1"/>
    <w:docVar w:name="sss2" w:val="-"/>
    <w:docVar w:name="Symbol1" w:val="CEDAW/C/PSWG/58/1"/>
    <w:docVar w:name="Symbol2" w:val="-"/>
  </w:docVars>
  <w:rsids>
    <w:rsidRoot w:val="00E15C0E"/>
    <w:rsid w:val="0000430F"/>
    <w:rsid w:val="00005EFE"/>
    <w:rsid w:val="00010C81"/>
    <w:rsid w:val="000140CB"/>
    <w:rsid w:val="000271D6"/>
    <w:rsid w:val="000336E0"/>
    <w:rsid w:val="00044517"/>
    <w:rsid w:val="000473B4"/>
    <w:rsid w:val="000534EB"/>
    <w:rsid w:val="00061177"/>
    <w:rsid w:val="000675AE"/>
    <w:rsid w:val="00067D9C"/>
    <w:rsid w:val="000806AC"/>
    <w:rsid w:val="00086B54"/>
    <w:rsid w:val="000871C1"/>
    <w:rsid w:val="000A0C7C"/>
    <w:rsid w:val="000A1971"/>
    <w:rsid w:val="000B2A4E"/>
    <w:rsid w:val="000B5A2A"/>
    <w:rsid w:val="000C077B"/>
    <w:rsid w:val="000C1009"/>
    <w:rsid w:val="000C4DCC"/>
    <w:rsid w:val="000D21E6"/>
    <w:rsid w:val="000D64ED"/>
    <w:rsid w:val="000D726D"/>
    <w:rsid w:val="00102135"/>
    <w:rsid w:val="001109AD"/>
    <w:rsid w:val="001259AF"/>
    <w:rsid w:val="00125BCB"/>
    <w:rsid w:val="00131019"/>
    <w:rsid w:val="001330AF"/>
    <w:rsid w:val="00143B7C"/>
    <w:rsid w:val="00146908"/>
    <w:rsid w:val="00152E53"/>
    <w:rsid w:val="00153EA2"/>
    <w:rsid w:val="001701FE"/>
    <w:rsid w:val="00170784"/>
    <w:rsid w:val="00172F9A"/>
    <w:rsid w:val="001A2E38"/>
    <w:rsid w:val="001A2FAC"/>
    <w:rsid w:val="001A72EA"/>
    <w:rsid w:val="001B2FC3"/>
    <w:rsid w:val="001F74B0"/>
    <w:rsid w:val="00200A61"/>
    <w:rsid w:val="0022060C"/>
    <w:rsid w:val="0025615B"/>
    <w:rsid w:val="002668C9"/>
    <w:rsid w:val="00266F6B"/>
    <w:rsid w:val="002841B4"/>
    <w:rsid w:val="00297ED1"/>
    <w:rsid w:val="002B7407"/>
    <w:rsid w:val="002C345B"/>
    <w:rsid w:val="002C3E79"/>
    <w:rsid w:val="002E1262"/>
    <w:rsid w:val="002F0A5D"/>
    <w:rsid w:val="003359DE"/>
    <w:rsid w:val="003452B8"/>
    <w:rsid w:val="0035026F"/>
    <w:rsid w:val="003650DE"/>
    <w:rsid w:val="0037429E"/>
    <w:rsid w:val="00375801"/>
    <w:rsid w:val="00397636"/>
    <w:rsid w:val="003A5CE7"/>
    <w:rsid w:val="003B613E"/>
    <w:rsid w:val="003C12C7"/>
    <w:rsid w:val="003C473B"/>
    <w:rsid w:val="003C5008"/>
    <w:rsid w:val="003C67B3"/>
    <w:rsid w:val="003D2D4A"/>
    <w:rsid w:val="003F3C3C"/>
    <w:rsid w:val="003F5215"/>
    <w:rsid w:val="003F65EB"/>
    <w:rsid w:val="003F7EB0"/>
    <w:rsid w:val="00400307"/>
    <w:rsid w:val="00400BBA"/>
    <w:rsid w:val="00423285"/>
    <w:rsid w:val="00431501"/>
    <w:rsid w:val="00437C44"/>
    <w:rsid w:val="004452B0"/>
    <w:rsid w:val="00453A99"/>
    <w:rsid w:val="004713D8"/>
    <w:rsid w:val="00475329"/>
    <w:rsid w:val="00477746"/>
    <w:rsid w:val="004843EE"/>
    <w:rsid w:val="0049207E"/>
    <w:rsid w:val="004928E6"/>
    <w:rsid w:val="004A7C6C"/>
    <w:rsid w:val="004C1BCD"/>
    <w:rsid w:val="004D6407"/>
    <w:rsid w:val="004D779E"/>
    <w:rsid w:val="004E22D6"/>
    <w:rsid w:val="004E757B"/>
    <w:rsid w:val="004F14EE"/>
    <w:rsid w:val="00507265"/>
    <w:rsid w:val="00507ADC"/>
    <w:rsid w:val="005130D6"/>
    <w:rsid w:val="00524C14"/>
    <w:rsid w:val="00534D37"/>
    <w:rsid w:val="00540791"/>
    <w:rsid w:val="00542A52"/>
    <w:rsid w:val="005434BC"/>
    <w:rsid w:val="00550243"/>
    <w:rsid w:val="00564ABA"/>
    <w:rsid w:val="00587E23"/>
    <w:rsid w:val="00595DE1"/>
    <w:rsid w:val="005D3721"/>
    <w:rsid w:val="00612DA1"/>
    <w:rsid w:val="00616088"/>
    <w:rsid w:val="006169F5"/>
    <w:rsid w:val="00620953"/>
    <w:rsid w:val="00630CE1"/>
    <w:rsid w:val="00636DA1"/>
    <w:rsid w:val="00637AB0"/>
    <w:rsid w:val="00641130"/>
    <w:rsid w:val="00645DF2"/>
    <w:rsid w:val="006463C7"/>
    <w:rsid w:val="00661186"/>
    <w:rsid w:val="00664183"/>
    <w:rsid w:val="00682398"/>
    <w:rsid w:val="00693963"/>
    <w:rsid w:val="00696921"/>
    <w:rsid w:val="006C6173"/>
    <w:rsid w:val="006D3321"/>
    <w:rsid w:val="006E0E95"/>
    <w:rsid w:val="006E4EA1"/>
    <w:rsid w:val="006F36E2"/>
    <w:rsid w:val="0070602F"/>
    <w:rsid w:val="00715134"/>
    <w:rsid w:val="0074000F"/>
    <w:rsid w:val="007606A8"/>
    <w:rsid w:val="00761E57"/>
    <w:rsid w:val="00775385"/>
    <w:rsid w:val="00781DFE"/>
    <w:rsid w:val="007A3DDE"/>
    <w:rsid w:val="007B04E8"/>
    <w:rsid w:val="007B0BCB"/>
    <w:rsid w:val="007B2E44"/>
    <w:rsid w:val="007C566A"/>
    <w:rsid w:val="007D0893"/>
    <w:rsid w:val="007D59F4"/>
    <w:rsid w:val="007E322D"/>
    <w:rsid w:val="007E530A"/>
    <w:rsid w:val="007F24CC"/>
    <w:rsid w:val="007F5AF9"/>
    <w:rsid w:val="00813690"/>
    <w:rsid w:val="00813C40"/>
    <w:rsid w:val="00815EA8"/>
    <w:rsid w:val="00821E34"/>
    <w:rsid w:val="00823BE3"/>
    <w:rsid w:val="00827CAA"/>
    <w:rsid w:val="00834163"/>
    <w:rsid w:val="0083457C"/>
    <w:rsid w:val="008466A7"/>
    <w:rsid w:val="00852C59"/>
    <w:rsid w:val="008B5FC3"/>
    <w:rsid w:val="008C2BF5"/>
    <w:rsid w:val="008C4484"/>
    <w:rsid w:val="008D17EE"/>
    <w:rsid w:val="008D53A0"/>
    <w:rsid w:val="008E2B2E"/>
    <w:rsid w:val="0090145E"/>
    <w:rsid w:val="00913197"/>
    <w:rsid w:val="0091591F"/>
    <w:rsid w:val="0093190E"/>
    <w:rsid w:val="00934B5B"/>
    <w:rsid w:val="00935AD9"/>
    <w:rsid w:val="00936752"/>
    <w:rsid w:val="009540A8"/>
    <w:rsid w:val="00960AB5"/>
    <w:rsid w:val="00980130"/>
    <w:rsid w:val="00984E6C"/>
    <w:rsid w:val="00995BD2"/>
    <w:rsid w:val="009B1C06"/>
    <w:rsid w:val="009B26B8"/>
    <w:rsid w:val="009B37E4"/>
    <w:rsid w:val="009B6140"/>
    <w:rsid w:val="009C3306"/>
    <w:rsid w:val="009D32AC"/>
    <w:rsid w:val="009E5765"/>
    <w:rsid w:val="009E6D58"/>
    <w:rsid w:val="009F6D65"/>
    <w:rsid w:val="009F701F"/>
    <w:rsid w:val="00A01177"/>
    <w:rsid w:val="00A0166A"/>
    <w:rsid w:val="00A02FF4"/>
    <w:rsid w:val="00A058FF"/>
    <w:rsid w:val="00A10FDF"/>
    <w:rsid w:val="00A44B51"/>
    <w:rsid w:val="00A5353F"/>
    <w:rsid w:val="00A627D6"/>
    <w:rsid w:val="00A6761C"/>
    <w:rsid w:val="00A86FEA"/>
    <w:rsid w:val="00AB43B7"/>
    <w:rsid w:val="00AB48FA"/>
    <w:rsid w:val="00AB7836"/>
    <w:rsid w:val="00AD5D6A"/>
    <w:rsid w:val="00AE6668"/>
    <w:rsid w:val="00AF5336"/>
    <w:rsid w:val="00B151F5"/>
    <w:rsid w:val="00B154CF"/>
    <w:rsid w:val="00B157C7"/>
    <w:rsid w:val="00B34BCE"/>
    <w:rsid w:val="00B37CA5"/>
    <w:rsid w:val="00B729C5"/>
    <w:rsid w:val="00BC7B5B"/>
    <w:rsid w:val="00BE2BF9"/>
    <w:rsid w:val="00C00872"/>
    <w:rsid w:val="00C02367"/>
    <w:rsid w:val="00C13D38"/>
    <w:rsid w:val="00C63902"/>
    <w:rsid w:val="00C72AD9"/>
    <w:rsid w:val="00C76FE4"/>
    <w:rsid w:val="00C77C9D"/>
    <w:rsid w:val="00C80D67"/>
    <w:rsid w:val="00C8131F"/>
    <w:rsid w:val="00C847F0"/>
    <w:rsid w:val="00C859E1"/>
    <w:rsid w:val="00C91CE9"/>
    <w:rsid w:val="00CB5C47"/>
    <w:rsid w:val="00CB65D7"/>
    <w:rsid w:val="00CC3120"/>
    <w:rsid w:val="00CD4652"/>
    <w:rsid w:val="00CD4760"/>
    <w:rsid w:val="00CD57FF"/>
    <w:rsid w:val="00CE0045"/>
    <w:rsid w:val="00CE1381"/>
    <w:rsid w:val="00CE2A85"/>
    <w:rsid w:val="00CF1C6E"/>
    <w:rsid w:val="00D12D54"/>
    <w:rsid w:val="00D2412C"/>
    <w:rsid w:val="00D60871"/>
    <w:rsid w:val="00D74454"/>
    <w:rsid w:val="00D75DCF"/>
    <w:rsid w:val="00D822FA"/>
    <w:rsid w:val="00D96A22"/>
    <w:rsid w:val="00DA7DFA"/>
    <w:rsid w:val="00DB6B65"/>
    <w:rsid w:val="00DD529D"/>
    <w:rsid w:val="00DF3CA9"/>
    <w:rsid w:val="00E054C0"/>
    <w:rsid w:val="00E15C0E"/>
    <w:rsid w:val="00E24162"/>
    <w:rsid w:val="00E241A1"/>
    <w:rsid w:val="00E31D49"/>
    <w:rsid w:val="00E50390"/>
    <w:rsid w:val="00E51BC9"/>
    <w:rsid w:val="00E65BE8"/>
    <w:rsid w:val="00E8073B"/>
    <w:rsid w:val="00E84B10"/>
    <w:rsid w:val="00E875CB"/>
    <w:rsid w:val="00E932A5"/>
    <w:rsid w:val="00E94F69"/>
    <w:rsid w:val="00EB3BF0"/>
    <w:rsid w:val="00EC337E"/>
    <w:rsid w:val="00EC3D06"/>
    <w:rsid w:val="00ED1F10"/>
    <w:rsid w:val="00EE590D"/>
    <w:rsid w:val="00F061A0"/>
    <w:rsid w:val="00F06B9B"/>
    <w:rsid w:val="00F15055"/>
    <w:rsid w:val="00F249E4"/>
    <w:rsid w:val="00F274AF"/>
    <w:rsid w:val="00F345A6"/>
    <w:rsid w:val="00F35B3D"/>
    <w:rsid w:val="00F44608"/>
    <w:rsid w:val="00F44E91"/>
    <w:rsid w:val="00F458BC"/>
    <w:rsid w:val="00F47FCF"/>
    <w:rsid w:val="00F514B0"/>
    <w:rsid w:val="00F52A06"/>
    <w:rsid w:val="00F6614A"/>
    <w:rsid w:val="00F8023F"/>
    <w:rsid w:val="00F81539"/>
    <w:rsid w:val="00F920FD"/>
    <w:rsid w:val="00F92E1F"/>
    <w:rsid w:val="00FA05C4"/>
    <w:rsid w:val="00FB2CE9"/>
    <w:rsid w:val="00FC4C00"/>
    <w:rsid w:val="00FD17C3"/>
    <w:rsid w:val="00FD53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E8073B"/>
  </w:style>
  <w:style w:type="paragraph" w:styleId="CommentSubject">
    <w:name w:val="annotation subject"/>
    <w:basedOn w:val="CommentText"/>
    <w:next w:val="CommentText"/>
    <w:semiHidden/>
    <w:rsid w:val="00E8073B"/>
    <w:rPr>
      <w:b/>
      <w:bCs/>
    </w:rPr>
  </w:style>
  <w:style w:type="character" w:styleId="Hyperlink">
    <w:name w:val="Hyperlink"/>
    <w:basedOn w:val="DefaultParagraphFont"/>
    <w:rsid w:val="00086B54"/>
    <w:rPr>
      <w:color w:val="0000FF"/>
      <w:u w:val="none"/>
    </w:rPr>
  </w:style>
  <w:style w:type="character" w:styleId="FollowedHyperlink">
    <w:name w:val="FollowedHyperlink"/>
    <w:basedOn w:val="DefaultParagraphFont"/>
    <w:rsid w:val="00086B54"/>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sp/CEDAW/C/LTU/Q/5" TargetMode="External"/><Relationship Id="rId3" Type="http://schemas.openxmlformats.org/officeDocument/2006/relationships/settings" Target="settings.xml"/><Relationship Id="rId21" Type="http://schemas.openxmlformats.org/officeDocument/2006/relationships/hyperlink" Target="http://undocs.org/sp/CEDAW/C/SWZ/Q/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IND/Q/4" TargetMode="External"/><Relationship Id="rId2" Type="http://schemas.openxmlformats.org/officeDocument/2006/relationships/styles" Target="styles.xml"/><Relationship Id="rId16" Type="http://schemas.openxmlformats.org/officeDocument/2006/relationships/hyperlink" Target="http://undocs.org/sp/CEDAW/C/GEO/Q/4" TargetMode="External"/><Relationship Id="rId20" Type="http://schemas.openxmlformats.org/officeDocument/2006/relationships/hyperlink" Target="http://undocs.org/sp/CEDAW/C/PER/Q/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s.org/sp/CEDAW/C/CAF/Q/1"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undocs.org/sp/CEDAW/C/MRT/Q/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undocs.org/sp/CEDAW/C/SYR/Q/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885</Words>
  <Characters>5050</Characters>
  <Application>Microsoft Office Outlook</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5924</CharactersWithSpaces>
  <SharedDoc>false</SharedDoc>
  <HLinks>
    <vt:vector size="48" baseType="variant">
      <vt:variant>
        <vt:i4>720978</vt:i4>
      </vt:variant>
      <vt:variant>
        <vt:i4>21</vt:i4>
      </vt:variant>
      <vt:variant>
        <vt:i4>0</vt:i4>
      </vt:variant>
      <vt:variant>
        <vt:i4>5</vt:i4>
      </vt:variant>
      <vt:variant>
        <vt:lpwstr>http://undocs.org/sp/CEDAW/C/SYR/Q/2</vt:lpwstr>
      </vt:variant>
      <vt:variant>
        <vt:lpwstr/>
      </vt:variant>
      <vt:variant>
        <vt:i4>92</vt:i4>
      </vt:variant>
      <vt:variant>
        <vt:i4>18</vt:i4>
      </vt:variant>
      <vt:variant>
        <vt:i4>0</vt:i4>
      </vt:variant>
      <vt:variant>
        <vt:i4>5</vt:i4>
      </vt:variant>
      <vt:variant>
        <vt:lpwstr>http://undocs.org/sp/CEDAW/C/SWZ/Q/1</vt:lpwstr>
      </vt:variant>
      <vt:variant>
        <vt:lpwstr/>
      </vt:variant>
      <vt:variant>
        <vt:i4>852046</vt:i4>
      </vt:variant>
      <vt:variant>
        <vt:i4>15</vt:i4>
      </vt:variant>
      <vt:variant>
        <vt:i4>0</vt:i4>
      </vt:variant>
      <vt:variant>
        <vt:i4>5</vt:i4>
      </vt:variant>
      <vt:variant>
        <vt:lpwstr>http://undocs.org/sp/CEDAW/C/PER/Q/7</vt:lpwstr>
      </vt:variant>
      <vt:variant>
        <vt:lpwstr/>
      </vt:variant>
      <vt:variant>
        <vt:i4>1245273</vt:i4>
      </vt:variant>
      <vt:variant>
        <vt:i4>12</vt:i4>
      </vt:variant>
      <vt:variant>
        <vt:i4>0</vt:i4>
      </vt:variant>
      <vt:variant>
        <vt:i4>5</vt:i4>
      </vt:variant>
      <vt:variant>
        <vt:lpwstr>http://undocs.org/sp/CEDAW/C/MRT/Q/2</vt:lpwstr>
      </vt:variant>
      <vt:variant>
        <vt:lpwstr/>
      </vt:variant>
      <vt:variant>
        <vt:i4>1310815</vt:i4>
      </vt:variant>
      <vt:variant>
        <vt:i4>9</vt:i4>
      </vt:variant>
      <vt:variant>
        <vt:i4>0</vt:i4>
      </vt:variant>
      <vt:variant>
        <vt:i4>5</vt:i4>
      </vt:variant>
      <vt:variant>
        <vt:lpwstr>http://undocs.org/sp/CEDAW/C/LTU/Q/5</vt:lpwstr>
      </vt:variant>
      <vt:variant>
        <vt:lpwstr/>
      </vt:variant>
      <vt:variant>
        <vt:i4>65605</vt:i4>
      </vt:variant>
      <vt:variant>
        <vt:i4>6</vt:i4>
      </vt:variant>
      <vt:variant>
        <vt:i4>0</vt:i4>
      </vt:variant>
      <vt:variant>
        <vt:i4>5</vt:i4>
      </vt:variant>
      <vt:variant>
        <vt:lpwstr>http://undocs.org/sp/CEDAW/C/IND/Q/4</vt:lpwstr>
      </vt:variant>
      <vt:variant>
        <vt:lpwstr/>
      </vt:variant>
      <vt:variant>
        <vt:i4>262222</vt:i4>
      </vt:variant>
      <vt:variant>
        <vt:i4>3</vt:i4>
      </vt:variant>
      <vt:variant>
        <vt:i4>0</vt:i4>
      </vt:variant>
      <vt:variant>
        <vt:i4>5</vt:i4>
      </vt:variant>
      <vt:variant>
        <vt:lpwstr>http://undocs.org/sp/CEDAW/C/GEO/Q/4</vt:lpwstr>
      </vt:variant>
      <vt:variant>
        <vt:lpwstr/>
      </vt:variant>
      <vt:variant>
        <vt:i4>786506</vt:i4>
      </vt:variant>
      <vt:variant>
        <vt:i4>0</vt:i4>
      </vt:variant>
      <vt:variant>
        <vt:i4>0</vt:i4>
      </vt:variant>
      <vt:variant>
        <vt:i4>5</vt:i4>
      </vt:variant>
      <vt:variant>
        <vt:lpwstr>http://undocs.org/sp/CEDAW/C/CAF/Q/1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STPU.FrontDesk2</cp:lastModifiedBy>
  <cp:revision>29</cp:revision>
  <cp:lastPrinted>2013-11-12T10:47:00Z</cp:lastPrinted>
  <dcterms:created xsi:type="dcterms:W3CDTF">2013-11-11T15:15:00Z</dcterms:created>
  <dcterms:modified xsi:type="dcterms:W3CDTF">2013-11-12T11:45:00Z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1353336</vt:lpwstr>
  </property>
  <property fmtid="{D5CDD505-2E9C-101B-9397-08002B2CF9AE}" pid="3" name="Symbol1">
    <vt:lpwstr>CEDAW/C/PSWG/58/1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MAGV/pl</vt:lpwstr>
  </property>
</Properties>
</file>