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74CB5" w:rsidP="00A74CB5">
            <w:pPr>
              <w:jc w:val="right"/>
            </w:pPr>
            <w:r w:rsidRPr="00A74CB5">
              <w:rPr>
                <w:sz w:val="40"/>
              </w:rPr>
              <w:t>CEDAW</w:t>
            </w:r>
            <w:r>
              <w:t>/C/PSWG/56/1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A74CB5" w:rsidRDefault="00A74CB5" w:rsidP="00D45E8E">
            <w:pPr>
              <w:spacing w:before="240"/>
            </w:pPr>
            <w:r>
              <w:t>Distr. general</w:t>
            </w:r>
          </w:p>
          <w:p w:rsidR="00A74CB5" w:rsidRDefault="00A74CB5" w:rsidP="00A74CB5">
            <w:pPr>
              <w:spacing w:line="240" w:lineRule="exact"/>
            </w:pPr>
            <w:r>
              <w:t>15 de abril de 2013</w:t>
            </w:r>
          </w:p>
          <w:p w:rsidR="00A74CB5" w:rsidRDefault="00A74CB5" w:rsidP="00A74CB5">
            <w:pPr>
              <w:spacing w:line="240" w:lineRule="exact"/>
            </w:pPr>
            <w:r>
              <w:t>Español</w:t>
            </w:r>
          </w:p>
          <w:p w:rsidR="002D5AAC" w:rsidRDefault="00A74CB5" w:rsidP="00A74CB5">
            <w:pPr>
              <w:spacing w:line="240" w:lineRule="exact"/>
            </w:pPr>
            <w:r>
              <w:t>Original: inglés</w:t>
            </w:r>
          </w:p>
        </w:tc>
      </w:tr>
    </w:tbl>
    <w:p w:rsidR="00A74CB5" w:rsidRDefault="00A74CB5" w:rsidP="00A74CB5">
      <w:pPr>
        <w:spacing w:before="120"/>
        <w:rPr>
          <w:b/>
          <w:sz w:val="24"/>
          <w:szCs w:val="24"/>
        </w:rPr>
      </w:pPr>
      <w:r w:rsidRPr="003A6E94">
        <w:rPr>
          <w:b/>
          <w:sz w:val="24"/>
          <w:szCs w:val="24"/>
        </w:rPr>
        <w:t>Comité para la E</w:t>
      </w:r>
      <w:r>
        <w:rPr>
          <w:b/>
          <w:sz w:val="24"/>
          <w:szCs w:val="24"/>
        </w:rPr>
        <w:t>liminación de la Discriminación</w:t>
      </w:r>
    </w:p>
    <w:p w:rsidR="00A74CB5" w:rsidRPr="003A6E94" w:rsidRDefault="00A74CB5" w:rsidP="00A74CB5">
      <w:pPr>
        <w:rPr>
          <w:b/>
          <w:sz w:val="24"/>
          <w:szCs w:val="24"/>
        </w:rPr>
      </w:pPr>
      <w:r>
        <w:rPr>
          <w:b/>
          <w:sz w:val="24"/>
          <w:szCs w:val="24"/>
        </w:rPr>
        <w:t xml:space="preserve">contra la </w:t>
      </w:r>
      <w:r w:rsidR="00C011B3">
        <w:rPr>
          <w:b/>
          <w:sz w:val="24"/>
          <w:szCs w:val="24"/>
        </w:rPr>
        <w:t>M</w:t>
      </w:r>
      <w:r>
        <w:rPr>
          <w:b/>
          <w:sz w:val="24"/>
          <w:szCs w:val="24"/>
        </w:rPr>
        <w:t>ujer</w:t>
      </w:r>
    </w:p>
    <w:p w:rsidR="00A74CB5" w:rsidRPr="003A6E94" w:rsidRDefault="00A74CB5" w:rsidP="00A74CB5">
      <w:pPr>
        <w:rPr>
          <w:b/>
        </w:rPr>
      </w:pPr>
      <w:r w:rsidRPr="003A6E94">
        <w:rPr>
          <w:b/>
        </w:rPr>
        <w:t>Grupo de trabajo anterior al período de sesiones</w:t>
      </w:r>
    </w:p>
    <w:p w:rsidR="00A74CB5" w:rsidRPr="003C17ED" w:rsidRDefault="00A74CB5" w:rsidP="00A74CB5">
      <w:pPr>
        <w:pStyle w:val="HChG"/>
      </w:pPr>
      <w:r w:rsidRPr="003C17ED">
        <w:tab/>
      </w:r>
      <w:r w:rsidRPr="003C17ED">
        <w:tab/>
        <w:t xml:space="preserve">Informe del grupo de trabajo </w:t>
      </w:r>
      <w:r>
        <w:t>anterior al período de sesiones </w:t>
      </w:r>
      <w:r w:rsidRPr="003C17ED">
        <w:t>en su 56</w:t>
      </w:r>
      <w:r>
        <w:t>º</w:t>
      </w:r>
      <w:r w:rsidRPr="003C17ED">
        <w:t xml:space="preserve"> período d</w:t>
      </w:r>
      <w:r>
        <w:t>e sesiones (4 a 8 de marzo de </w:t>
      </w:r>
      <w:r w:rsidRPr="003C17ED">
        <w:t>2013)</w:t>
      </w:r>
    </w:p>
    <w:p w:rsidR="00A74CB5" w:rsidRPr="003C17ED" w:rsidRDefault="00A74CB5" w:rsidP="00A74CB5">
      <w:pPr>
        <w:pStyle w:val="SingleTxtG"/>
      </w:pPr>
      <w:r>
        <w:t>1.</w:t>
      </w:r>
      <w:r>
        <w:tab/>
      </w:r>
      <w:r w:rsidRPr="003C17ED">
        <w:t xml:space="preserve">Es práctica del Comité para la Eliminación de la Discriminación contra la Mujer constituir un grupo de trabajo que se reúna antes de cada período de sesiones durante cinco días para preparar listas de cuestiones </w:t>
      </w:r>
      <w:r>
        <w:t>relativas a</w:t>
      </w:r>
      <w:r w:rsidRPr="003C17ED">
        <w:t xml:space="preserve"> los informes iniciales y periódicos que examinará el Comité en uno de sus siguientes períodos de sesiones.</w:t>
      </w:r>
    </w:p>
    <w:p w:rsidR="00A74CB5" w:rsidRPr="003C17ED" w:rsidRDefault="00A74CB5" w:rsidP="00A74CB5">
      <w:pPr>
        <w:pStyle w:val="SingleTxtG"/>
      </w:pPr>
      <w:r>
        <w:t>2.</w:t>
      </w:r>
      <w:r>
        <w:tab/>
      </w:r>
      <w:r w:rsidRPr="003C17ED">
        <w:t>El Comité decidió que el grupo de trabajo anterior al 56</w:t>
      </w:r>
      <w:r>
        <w:t>º</w:t>
      </w:r>
      <w:r w:rsidRPr="003C17ED">
        <w:t xml:space="preserve"> período de sesiones del Comité se reuniría</w:t>
      </w:r>
      <w:r>
        <w:t xml:space="preserve"> del</w:t>
      </w:r>
      <w:r w:rsidRPr="003C17ED">
        <w:t xml:space="preserve"> 4 a</w:t>
      </w:r>
      <w:r>
        <w:t>l</w:t>
      </w:r>
      <w:r w:rsidRPr="003C17ED">
        <w:t xml:space="preserve"> 8 de marzo de 2013, inmediatamente después de su 54</w:t>
      </w:r>
      <w:r>
        <w:t>º</w:t>
      </w:r>
      <w:r w:rsidRPr="003C17ED">
        <w:t xml:space="preserve"> período de sesiones, a fin de dar a los Estados partes tiempo suficiente para presentar respuestas por escrito a las listas de cuestiones y asegurar q</w:t>
      </w:r>
      <w:r>
        <w:t>ue se tradujeran oportunamente.</w:t>
      </w:r>
    </w:p>
    <w:p w:rsidR="00A74CB5" w:rsidRPr="003C17ED" w:rsidRDefault="00A74CB5" w:rsidP="00A74CB5">
      <w:pPr>
        <w:pStyle w:val="SingleTxtG"/>
      </w:pPr>
      <w:r>
        <w:t>3.</w:t>
      </w:r>
      <w:r>
        <w:tab/>
      </w:r>
      <w:r w:rsidRPr="003C17ED">
        <w:t>Se nombró a las siguientes expertas para formar parte del grupo de trabajo anterior al período de sesiones:</w:t>
      </w:r>
    </w:p>
    <w:p w:rsidR="00A74CB5" w:rsidRPr="007C6C58" w:rsidRDefault="00A74CB5" w:rsidP="00A74CB5">
      <w:pPr>
        <w:pStyle w:val="SingleTxtG"/>
      </w:pPr>
      <w:r>
        <w:tab/>
      </w:r>
      <w:r w:rsidRPr="007C6C58">
        <w:t>Barbara Bailey</w:t>
      </w:r>
    </w:p>
    <w:p w:rsidR="00A74CB5" w:rsidRPr="007C6C58" w:rsidRDefault="00A74CB5" w:rsidP="00A74CB5">
      <w:pPr>
        <w:pStyle w:val="SingleTxtG"/>
      </w:pPr>
      <w:r>
        <w:tab/>
      </w:r>
      <w:r w:rsidRPr="007C6C58">
        <w:t>Meriem Belmihoub-Zerdani</w:t>
      </w:r>
    </w:p>
    <w:p w:rsidR="00A74CB5" w:rsidRPr="007C6C58" w:rsidRDefault="00A74CB5" w:rsidP="00A74CB5">
      <w:pPr>
        <w:pStyle w:val="SingleTxtG"/>
      </w:pPr>
      <w:r>
        <w:tab/>
      </w:r>
      <w:r w:rsidRPr="007C6C58">
        <w:t>Violeta Neubauer</w:t>
      </w:r>
    </w:p>
    <w:p w:rsidR="00A74CB5" w:rsidRPr="007C6C58" w:rsidRDefault="00A74CB5" w:rsidP="00A74CB5">
      <w:pPr>
        <w:pStyle w:val="SingleTxtG"/>
      </w:pPr>
      <w:r>
        <w:tab/>
      </w:r>
      <w:r w:rsidRPr="007C6C58">
        <w:t>Maria Helena Pires</w:t>
      </w:r>
    </w:p>
    <w:p w:rsidR="00A74CB5" w:rsidRPr="007C6C58" w:rsidRDefault="00A74CB5" w:rsidP="00A74CB5">
      <w:pPr>
        <w:pStyle w:val="SingleTxtG"/>
      </w:pPr>
      <w:r>
        <w:tab/>
      </w:r>
      <w:r w:rsidR="00C011B3">
        <w:t>Patricia Schulz</w:t>
      </w:r>
    </w:p>
    <w:p w:rsidR="00A74CB5" w:rsidRPr="003C17ED" w:rsidRDefault="00A74CB5" w:rsidP="00A74CB5">
      <w:pPr>
        <w:pStyle w:val="SingleTxtG"/>
      </w:pPr>
      <w:r>
        <w:t>4.</w:t>
      </w:r>
      <w:r>
        <w:tab/>
      </w:r>
      <w:r w:rsidRPr="003C17ED">
        <w:t>El grupo de trabajo anterior al período de sesiones eligió Presidenta de este grupo de trabajo a la Sra. Bailey.</w:t>
      </w:r>
    </w:p>
    <w:p w:rsidR="00A74CB5" w:rsidRPr="003C17ED" w:rsidRDefault="00A74CB5" w:rsidP="00A74CB5">
      <w:pPr>
        <w:pStyle w:val="SingleTxtG"/>
      </w:pPr>
      <w:r>
        <w:t>5.</w:t>
      </w:r>
      <w:r>
        <w:tab/>
      </w:r>
      <w:r w:rsidRPr="003C17ED">
        <w:t xml:space="preserve">El grupo de trabajo anterior al período de sesiones preparó listas de cuestiones </w:t>
      </w:r>
      <w:r>
        <w:t>relativas a los informes de</w:t>
      </w:r>
      <w:r w:rsidRPr="003C17ED">
        <w:t xml:space="preserve"> Andorra, Benin, Camboya, Colombia, la República de Moldova, Seychelles y Tayikistán. Asimismo, preparó una lista de cuestiones </w:t>
      </w:r>
      <w:r>
        <w:t xml:space="preserve">relativa a </w:t>
      </w:r>
      <w:r w:rsidRPr="003C17ED">
        <w:t>San Vicente y las Granadinas en ausencia de un informe. A este respecto, el grupo de trabajo anterior al período de sesiones siguió la decisión</w:t>
      </w:r>
      <w:r>
        <w:t>,</w:t>
      </w:r>
      <w:r w:rsidRPr="003C17ED">
        <w:t xml:space="preserve"> adoptada por el Comité en su 49</w:t>
      </w:r>
      <w:r>
        <w:t>º</w:t>
      </w:r>
      <w:r w:rsidRPr="003C17ED">
        <w:t xml:space="preserve"> período de sesiones</w:t>
      </w:r>
      <w:r>
        <w:t>,</w:t>
      </w:r>
      <w:r w:rsidRPr="003C17ED">
        <w:t xml:space="preserve"> de limitar las listas de cuestiones a 20 preguntas, cada una de ellas referidas </w:t>
      </w:r>
      <w:r>
        <w:t>a un máximo de 3 cuestiones.</w:t>
      </w:r>
    </w:p>
    <w:p w:rsidR="00A74CB5" w:rsidRPr="003C17ED" w:rsidRDefault="00A74CB5" w:rsidP="00A74CB5">
      <w:pPr>
        <w:pStyle w:val="SingleTxtG"/>
      </w:pPr>
      <w:r>
        <w:t>6.</w:t>
      </w:r>
      <w:r>
        <w:tab/>
      </w:r>
      <w:r w:rsidRPr="003C17ED">
        <w:t>A fin de ayudar en la preparac</w:t>
      </w:r>
      <w:r>
        <w:t>ión de las listas de cuestiones</w:t>
      </w:r>
      <w:r w:rsidRPr="003C17ED">
        <w:t>, el grupo de trabajo anterior al período de sesiones tuvo ante sí los informes de los Estados partes mencionados, además de los documentos básicos presentados por los Estados; las recomendaciones generales aprobadas por el Comité; la información de antecedentes y los proyectos de listas de cuestiones elaborados por la secretaría, basados en una comparación analítica de los informes actuales de los Estados partes, y las deliberaciones del Comité sobre informes anteriores; así como otra información pertinente, en particular las observaciones finales del Comité y de otros órganos de tratados. Al preparar las listas de cuestiones para los informes periódicos, el grupo de trabajo anterior al período de sesiones prestó especial atención al seguimiento que hicieron los Estados partes de las observaciones finales formuladas por el Comité respe</w:t>
      </w:r>
      <w:r>
        <w:t>cto de los informes anteriores.</w:t>
      </w:r>
    </w:p>
    <w:p w:rsidR="00A74CB5" w:rsidRPr="003C17ED" w:rsidRDefault="00A74CB5" w:rsidP="00A74CB5">
      <w:pPr>
        <w:pStyle w:val="SingleTxtG"/>
      </w:pPr>
      <w:r>
        <w:t>7.</w:t>
      </w:r>
      <w:r>
        <w:tab/>
      </w:r>
      <w:r w:rsidRPr="003C17ED">
        <w:t>El grupo de trabajo anterior al período de sesiones aprovechó también la información que presentaron oralmente y por escrito los organismos especializados y entidades de las Naciones Unidas y las organizaciones no gubernamentales.</w:t>
      </w:r>
    </w:p>
    <w:p w:rsidR="00A74CB5" w:rsidRPr="003C17ED" w:rsidRDefault="00A74CB5" w:rsidP="00A74CB5">
      <w:pPr>
        <w:pStyle w:val="SingleTxtG"/>
      </w:pPr>
      <w:r>
        <w:t>8.</w:t>
      </w:r>
      <w:r>
        <w:tab/>
      </w:r>
      <w:r w:rsidRPr="003C17ED">
        <w:t>Las listas de cuestiones aprobadas por el grupo de trabajo anterior al período de sesiones fueron transmitidas a los Estados partes correspondientes y figuran en los siguientes documentos:</w:t>
      </w:r>
    </w:p>
    <w:p w:rsidR="00A74CB5" w:rsidRPr="003C17ED" w:rsidRDefault="00A74CB5" w:rsidP="00A74CB5">
      <w:pPr>
        <w:pStyle w:val="SingleTxtG"/>
      </w:pPr>
      <w:r w:rsidRPr="003C17ED">
        <w:tab/>
        <w:t>a)</w:t>
      </w:r>
      <w:r w:rsidRPr="003C17ED">
        <w:tab/>
        <w:t xml:space="preserve">Lista de cuestiones </w:t>
      </w:r>
      <w:r>
        <w:t>relativa a</w:t>
      </w:r>
      <w:r w:rsidRPr="003C17ED">
        <w:t xml:space="preserve"> los informes periódicos segundo y tercero combinados de Andorra (CEDAW/C/AND/Q/2-3);</w:t>
      </w:r>
    </w:p>
    <w:p w:rsidR="00A74CB5" w:rsidRPr="003C17ED" w:rsidRDefault="00A74CB5" w:rsidP="00A74CB5">
      <w:pPr>
        <w:pStyle w:val="SingleTxtG"/>
      </w:pPr>
      <w:r w:rsidRPr="003C17ED">
        <w:tab/>
        <w:t>b)</w:t>
      </w:r>
      <w:r w:rsidRPr="003C17ED">
        <w:tab/>
        <w:t xml:space="preserve">Lista de cuestiones </w:t>
      </w:r>
      <w:r>
        <w:t>relativa a</w:t>
      </w:r>
      <w:r w:rsidRPr="003C17ED">
        <w:t>l cuarto informe periódico de Benin (CEDAW/C/BEN/Q/4);</w:t>
      </w:r>
    </w:p>
    <w:p w:rsidR="00A74CB5" w:rsidRPr="003C17ED" w:rsidRDefault="00A74CB5" w:rsidP="00A74CB5">
      <w:pPr>
        <w:pStyle w:val="SingleTxtG"/>
      </w:pPr>
      <w:r w:rsidRPr="003C17ED">
        <w:tab/>
        <w:t>c)</w:t>
      </w:r>
      <w:r w:rsidRPr="003C17ED">
        <w:tab/>
        <w:t xml:space="preserve">Lista de cuestiones </w:t>
      </w:r>
      <w:r>
        <w:t>relativa a</w:t>
      </w:r>
      <w:r w:rsidRPr="003C17ED">
        <w:t xml:space="preserve"> los informes periódicos cuarto y quinto combinados de Camboya (CEDAW/C/KHM/Q/4-5);</w:t>
      </w:r>
    </w:p>
    <w:p w:rsidR="00A74CB5" w:rsidRPr="003C17ED" w:rsidRDefault="00A74CB5" w:rsidP="00A74CB5">
      <w:pPr>
        <w:pStyle w:val="SingleTxtG"/>
      </w:pPr>
      <w:r w:rsidRPr="003C17ED">
        <w:tab/>
        <w:t>d)</w:t>
      </w:r>
      <w:r w:rsidRPr="003C17ED">
        <w:tab/>
        <w:t xml:space="preserve">Lista de cuestiones </w:t>
      </w:r>
      <w:r>
        <w:t>relativa a</w:t>
      </w:r>
      <w:r w:rsidRPr="003C17ED">
        <w:t xml:space="preserve"> los informes periódicos séptimo y octavo com</w:t>
      </w:r>
      <w:r>
        <w:t>binados de Colombia (CEDAW/C/</w:t>
      </w:r>
      <w:r w:rsidRPr="003C17ED">
        <w:t>COL/Q/7-8);</w:t>
      </w:r>
    </w:p>
    <w:p w:rsidR="00A74CB5" w:rsidRPr="003C17ED" w:rsidRDefault="00A74CB5" w:rsidP="00A74CB5">
      <w:pPr>
        <w:pStyle w:val="SingleTxtG"/>
      </w:pPr>
      <w:r w:rsidRPr="003C17ED">
        <w:tab/>
        <w:t>e)</w:t>
      </w:r>
      <w:r w:rsidRPr="003C17ED">
        <w:tab/>
        <w:t xml:space="preserve">Lista de cuestiones </w:t>
      </w:r>
      <w:r>
        <w:t>relativa a</w:t>
      </w:r>
      <w:r w:rsidRPr="003C17ED">
        <w:t xml:space="preserve"> los informes periódicos cuarto y quinto combinados de la República </w:t>
      </w:r>
      <w:r>
        <w:t>de Moldova (CEDAW/C/MDA/Q/4-5);</w:t>
      </w:r>
    </w:p>
    <w:p w:rsidR="00A74CB5" w:rsidRPr="003C17ED" w:rsidRDefault="00A74CB5" w:rsidP="00A74CB5">
      <w:pPr>
        <w:pStyle w:val="SingleTxtG"/>
      </w:pPr>
      <w:r w:rsidRPr="003C17ED">
        <w:tab/>
        <w:t>f)</w:t>
      </w:r>
      <w:r w:rsidRPr="003C17ED">
        <w:tab/>
        <w:t xml:space="preserve">Lista de cuestiones </w:t>
      </w:r>
      <w:r>
        <w:t>relativa a</w:t>
      </w:r>
      <w:r w:rsidRPr="003C17ED">
        <w:t xml:space="preserve">l informe inicial </w:t>
      </w:r>
      <w:r>
        <w:t>e</w:t>
      </w:r>
      <w:r w:rsidRPr="003C17ED">
        <w:t xml:space="preserve"> informes periódicos segundo, tercero, cuarto y quinto combinados de S</w:t>
      </w:r>
      <w:r>
        <w:t>eychelles (CEDAW/C/SYC/Q/1-5);</w:t>
      </w:r>
    </w:p>
    <w:p w:rsidR="00A74CB5" w:rsidRPr="003C17ED" w:rsidRDefault="00A74CB5" w:rsidP="00A74CB5">
      <w:pPr>
        <w:pStyle w:val="SingleTxtG"/>
      </w:pPr>
      <w:r w:rsidRPr="003C17ED">
        <w:tab/>
        <w:t>g)</w:t>
      </w:r>
      <w:r w:rsidRPr="003C17ED">
        <w:tab/>
        <w:t xml:space="preserve">Lista de cuestiones </w:t>
      </w:r>
      <w:r>
        <w:t>relativa a</w:t>
      </w:r>
      <w:r w:rsidRPr="003C17ED">
        <w:t xml:space="preserve"> los informes cuarto y quinto de Tayikistán (CEDAW/C/TJK/Q/4-5)</w:t>
      </w:r>
      <w:r>
        <w:t>;</w:t>
      </w:r>
      <w:r w:rsidRPr="003C17ED">
        <w:t xml:space="preserve"> y</w:t>
      </w:r>
    </w:p>
    <w:p w:rsidR="00A74CB5" w:rsidRPr="003C17ED" w:rsidRDefault="00A74CB5" w:rsidP="00A74CB5">
      <w:pPr>
        <w:pStyle w:val="SingleTxtG"/>
      </w:pPr>
      <w:r w:rsidRPr="003C17ED">
        <w:tab/>
        <w:t>h</w:t>
      </w:r>
      <w:r>
        <w:t>)</w:t>
      </w:r>
      <w:r>
        <w:tab/>
        <w:t>Lista de cuestiones preparada</w:t>
      </w:r>
      <w:r w:rsidRPr="003C17ED">
        <w:t xml:space="preserve"> en ausencia de los informes p</w:t>
      </w:r>
      <w:r>
        <w:t>eriódicos cuarto a</w:t>
      </w:r>
      <w:r w:rsidRPr="003C17ED">
        <w:t xml:space="preserve"> octavo combinados de San Vicente y las Granadinas (CEDAW/C/VCT/Q/4-8).</w:t>
      </w:r>
    </w:p>
    <w:p w:rsidR="00A74CB5" w:rsidRDefault="00A74CB5" w:rsidP="00A74CB5">
      <w:pPr>
        <w:pStyle w:val="SingleTxtG"/>
      </w:pPr>
      <w:r>
        <w:t>9.</w:t>
      </w:r>
      <w:r>
        <w:tab/>
      </w:r>
      <w:r w:rsidRPr="003C17ED">
        <w:t>De conformidad con las decisiones 22/V, 25/II y 31/III del Comité, las listas de cuestiones se centraron en temas qu</w:t>
      </w:r>
      <w:r>
        <w:t xml:space="preserve">e se abordan en la Convención. </w:t>
      </w:r>
      <w:r w:rsidRPr="003C17ED">
        <w:t>Entre ellos cabe mencionar el marco constitucional y legislativo y los mecanismos nacionales para el adelanto de la mujer; los estereotipos de género; la violencia contra la mujer, incluida la violencia doméstica; la trata de mujeres y la explotación de la prostitución; la participación de la mujer en el proceso de adopción de decisiones; la educación y la capacitación; el empleo; la salud; las prestaciones sociales y económicas; las mujeres que viven en zonas rurales; la situación de grupos desfavorecidos de mujeres, como las mujeres de edad, las mujeres con discapacidad, las mujeres pertenecientes a minorías étnicas, las refugiadas y las migrantes; la igualdad ante la ley; y el matrimonio y las relaciones familiares.</w:t>
      </w:r>
    </w:p>
    <w:p w:rsidR="00A74CB5" w:rsidRPr="00A7172F" w:rsidRDefault="00A74CB5" w:rsidP="00A74CB5">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A74CB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EF" w:rsidRDefault="00D63AEF">
      <w:r>
        <w:separator/>
      </w:r>
    </w:p>
  </w:endnote>
  <w:endnote w:type="continuationSeparator" w:id="0">
    <w:p w:rsidR="00D63AEF" w:rsidRDefault="00D63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5" w:rsidRPr="00A74CB5" w:rsidRDefault="00A74CB5" w:rsidP="00A74CB5">
    <w:pPr>
      <w:pStyle w:val="Footer"/>
      <w:tabs>
        <w:tab w:val="right" w:pos="9638"/>
      </w:tabs>
    </w:pPr>
    <w:r w:rsidRPr="00A74CB5">
      <w:rPr>
        <w:b/>
        <w:sz w:val="18"/>
      </w:rPr>
      <w:fldChar w:fldCharType="begin"/>
    </w:r>
    <w:r w:rsidRPr="00A74CB5">
      <w:rPr>
        <w:b/>
        <w:sz w:val="18"/>
      </w:rPr>
      <w:instrText xml:space="preserve"> PAGE  \* MERGEFORMAT </w:instrText>
    </w:r>
    <w:r w:rsidRPr="00A74CB5">
      <w:rPr>
        <w:b/>
        <w:sz w:val="18"/>
      </w:rPr>
      <w:fldChar w:fldCharType="separate"/>
    </w:r>
    <w:r w:rsidR="00A166B4">
      <w:rPr>
        <w:b/>
        <w:noProof/>
        <w:sz w:val="18"/>
      </w:rPr>
      <w:t>2</w:t>
    </w:r>
    <w:r w:rsidRPr="00A74CB5">
      <w:rPr>
        <w:b/>
        <w:sz w:val="18"/>
      </w:rPr>
      <w:fldChar w:fldCharType="end"/>
    </w:r>
    <w:r>
      <w:rPr>
        <w:b/>
        <w:sz w:val="18"/>
      </w:rPr>
      <w:tab/>
    </w:r>
    <w:r>
      <w:t>GE.13-42661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5" w:rsidRPr="00A74CB5" w:rsidRDefault="00A74CB5" w:rsidP="00A74CB5">
    <w:pPr>
      <w:pStyle w:val="Footer"/>
      <w:tabs>
        <w:tab w:val="right" w:pos="9638"/>
      </w:tabs>
      <w:rPr>
        <w:b/>
        <w:sz w:val="18"/>
      </w:rPr>
    </w:pPr>
    <w:r>
      <w:t>GE.13-42661</w:t>
    </w:r>
    <w:r>
      <w:tab/>
    </w:r>
    <w:r w:rsidRPr="00A74CB5">
      <w:rPr>
        <w:b/>
        <w:sz w:val="18"/>
      </w:rPr>
      <w:fldChar w:fldCharType="begin"/>
    </w:r>
    <w:r w:rsidRPr="00A74CB5">
      <w:rPr>
        <w:b/>
        <w:sz w:val="18"/>
      </w:rPr>
      <w:instrText xml:space="preserve"> PAGE  \* MERGEFORMAT </w:instrText>
    </w:r>
    <w:r w:rsidRPr="00A74CB5">
      <w:rPr>
        <w:b/>
        <w:sz w:val="18"/>
      </w:rPr>
      <w:fldChar w:fldCharType="separate"/>
    </w:r>
    <w:r>
      <w:rPr>
        <w:b/>
        <w:noProof/>
        <w:sz w:val="18"/>
      </w:rPr>
      <w:t>3</w:t>
    </w:r>
    <w:r w:rsidRPr="00A74CB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C4" w:rsidRPr="00A74CB5" w:rsidRDefault="00A74CB5">
    <w:r>
      <w:t>GE.</w:t>
    </w:r>
    <w:r w:rsidR="004812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t>13-42661  (S)    010513    020513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EF" w:rsidRPr="001075E9" w:rsidRDefault="00D63AEF" w:rsidP="001075E9">
      <w:pPr>
        <w:tabs>
          <w:tab w:val="right" w:pos="2155"/>
        </w:tabs>
        <w:spacing w:after="80" w:line="240" w:lineRule="auto"/>
        <w:ind w:left="680"/>
        <w:rPr>
          <w:u w:val="single"/>
        </w:rPr>
      </w:pPr>
      <w:r>
        <w:rPr>
          <w:u w:val="single"/>
        </w:rPr>
        <w:tab/>
      </w:r>
    </w:p>
  </w:footnote>
  <w:footnote w:type="continuationSeparator" w:id="0">
    <w:p w:rsidR="00D63AEF" w:rsidRDefault="00D63AEF" w:rsidP="001B04E7">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5" w:rsidRPr="00A74CB5" w:rsidRDefault="00A74CB5">
    <w:pPr>
      <w:pStyle w:val="Header"/>
    </w:pPr>
    <w:r>
      <w:t>CEDAW/C/PSWG/56/1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5" w:rsidRPr="00A74CB5" w:rsidRDefault="00A74CB5" w:rsidP="00A74CB5">
    <w:pPr>
      <w:pStyle w:val="Header"/>
      <w:jc w:val="right"/>
    </w:pPr>
    <w:r>
      <w:t>CEDAW/C/PSWG/56/1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2C4"/>
    <w:rsid w:val="00001656"/>
    <w:rsid w:val="00006BB9"/>
    <w:rsid w:val="000B57E7"/>
    <w:rsid w:val="000F09DF"/>
    <w:rsid w:val="000F61B2"/>
    <w:rsid w:val="001075E9"/>
    <w:rsid w:val="00155C74"/>
    <w:rsid w:val="00160FF7"/>
    <w:rsid w:val="00180183"/>
    <w:rsid w:val="0018060E"/>
    <w:rsid w:val="00196389"/>
    <w:rsid w:val="001B04E7"/>
    <w:rsid w:val="001C7A89"/>
    <w:rsid w:val="001F35CC"/>
    <w:rsid w:val="001F78A8"/>
    <w:rsid w:val="0022765D"/>
    <w:rsid w:val="0028026A"/>
    <w:rsid w:val="002A2EFC"/>
    <w:rsid w:val="002C0E18"/>
    <w:rsid w:val="002C33BB"/>
    <w:rsid w:val="002D5AAC"/>
    <w:rsid w:val="00301299"/>
    <w:rsid w:val="00322004"/>
    <w:rsid w:val="003402C2"/>
    <w:rsid w:val="00365860"/>
    <w:rsid w:val="00381C24"/>
    <w:rsid w:val="003958D0"/>
    <w:rsid w:val="003D2598"/>
    <w:rsid w:val="003E3860"/>
    <w:rsid w:val="00411DE8"/>
    <w:rsid w:val="0041418E"/>
    <w:rsid w:val="00454E07"/>
    <w:rsid w:val="0047036F"/>
    <w:rsid w:val="004812C4"/>
    <w:rsid w:val="004C7964"/>
    <w:rsid w:val="0050108D"/>
    <w:rsid w:val="00561C11"/>
    <w:rsid w:val="00572E19"/>
    <w:rsid w:val="005F0B42"/>
    <w:rsid w:val="00655A21"/>
    <w:rsid w:val="006808A9"/>
    <w:rsid w:val="006928EB"/>
    <w:rsid w:val="006A4CE0"/>
    <w:rsid w:val="006B5350"/>
    <w:rsid w:val="006C1A4E"/>
    <w:rsid w:val="006D558F"/>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6445C"/>
    <w:rsid w:val="0087010F"/>
    <w:rsid w:val="00895AAE"/>
    <w:rsid w:val="008A08D7"/>
    <w:rsid w:val="008A13F9"/>
    <w:rsid w:val="008D6D30"/>
    <w:rsid w:val="00906890"/>
    <w:rsid w:val="00951972"/>
    <w:rsid w:val="00963777"/>
    <w:rsid w:val="009F3AAE"/>
    <w:rsid w:val="00A028FD"/>
    <w:rsid w:val="00A166B4"/>
    <w:rsid w:val="00A17DFD"/>
    <w:rsid w:val="00A6214A"/>
    <w:rsid w:val="00A74CB5"/>
    <w:rsid w:val="00A917B3"/>
    <w:rsid w:val="00AB4B51"/>
    <w:rsid w:val="00AC5B8D"/>
    <w:rsid w:val="00B10CC7"/>
    <w:rsid w:val="00B302C9"/>
    <w:rsid w:val="00B45F9C"/>
    <w:rsid w:val="00B52259"/>
    <w:rsid w:val="00B62458"/>
    <w:rsid w:val="00B86C8B"/>
    <w:rsid w:val="00BD33EE"/>
    <w:rsid w:val="00BE10C4"/>
    <w:rsid w:val="00C011B3"/>
    <w:rsid w:val="00C3381F"/>
    <w:rsid w:val="00C60F0C"/>
    <w:rsid w:val="00C805C9"/>
    <w:rsid w:val="00CA1679"/>
    <w:rsid w:val="00CF4750"/>
    <w:rsid w:val="00D45E8E"/>
    <w:rsid w:val="00D63AEF"/>
    <w:rsid w:val="00D90138"/>
    <w:rsid w:val="00D90D44"/>
    <w:rsid w:val="00DC4C3F"/>
    <w:rsid w:val="00DF29B2"/>
    <w:rsid w:val="00E121B8"/>
    <w:rsid w:val="00E14BCD"/>
    <w:rsid w:val="00E36F25"/>
    <w:rsid w:val="00E73F76"/>
    <w:rsid w:val="00EE4E94"/>
    <w:rsid w:val="00EF1360"/>
    <w:rsid w:val="00EF3220"/>
    <w:rsid w:val="00F10730"/>
    <w:rsid w:val="00F177E4"/>
    <w:rsid w:val="00F617E7"/>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2</Pages>
  <Words>814</Words>
  <Characters>4410</Characters>
  <Application>Microsoft Office Outlook</Application>
  <DocSecurity>4</DocSecurity>
  <Lines>86</Lines>
  <Paragraphs>39</Paragraphs>
  <ScaleCrop>false</ScaleCrop>
  <HeadingPairs>
    <vt:vector size="2" baseType="variant">
      <vt:variant>
        <vt:lpstr>Título</vt:lpstr>
      </vt:variant>
      <vt:variant>
        <vt:i4>1</vt:i4>
      </vt:variant>
    </vt:vector>
  </HeadingPairs>
  <TitlesOfParts>
    <vt:vector size="1" baseType="lpstr">
      <vt:lpstr>CEDAW/C/PSWG/56/1</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CEDAW/C/PSWG/56/1</dc:title>
  <dc:subject>Final</dc:subject>
  <dc:creator>Carlos Bragunde</dc:creator>
  <cp:keywords/>
  <dc:description/>
  <cp:lastModifiedBy>Carlos Bragunde</cp:lastModifiedBy>
  <cp:revision>2</cp:revision>
  <cp:lastPrinted>2013-05-02T12:18:00Z</cp:lastPrinted>
  <dcterms:created xsi:type="dcterms:W3CDTF">2013-05-02T12:19:00Z</dcterms:created>
  <dcterms:modified xsi:type="dcterms:W3CDTF">2013-05-02T12:19:00Z</dcterms:modified>
</cp:coreProperties>
</file>