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580A9465" w14:textId="77777777" w:rsidTr="003349E4">
        <w:trPr>
          <w:trHeight w:hRule="exact" w:val="851"/>
        </w:trPr>
        <w:tc>
          <w:tcPr>
            <w:tcW w:w="142" w:type="dxa"/>
            <w:tcBorders>
              <w:bottom w:val="single" w:sz="4" w:space="0" w:color="auto"/>
            </w:tcBorders>
          </w:tcPr>
          <w:p w14:paraId="7FF14122" w14:textId="77777777" w:rsidR="002D5AAC" w:rsidRPr="002A26AE" w:rsidRDefault="002D5AAC" w:rsidP="0034694D">
            <w:pPr>
              <w:kinsoku w:val="0"/>
              <w:overflowPunct w:val="0"/>
              <w:autoSpaceDE w:val="0"/>
              <w:autoSpaceDN w:val="0"/>
              <w:adjustRightInd w:val="0"/>
              <w:snapToGrid w:val="0"/>
              <w:rPr>
                <w:lang w:val="en-US"/>
              </w:rPr>
            </w:pPr>
          </w:p>
        </w:tc>
        <w:tc>
          <w:tcPr>
            <w:tcW w:w="4536" w:type="dxa"/>
            <w:gridSpan w:val="2"/>
            <w:tcBorders>
              <w:bottom w:val="single" w:sz="4" w:space="0" w:color="auto"/>
            </w:tcBorders>
            <w:vAlign w:val="bottom"/>
          </w:tcPr>
          <w:p w14:paraId="655CA598"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E4995F5" w14:textId="77777777" w:rsidR="002D5AAC" w:rsidRDefault="0034694D" w:rsidP="0034694D">
            <w:pPr>
              <w:jc w:val="right"/>
            </w:pPr>
            <w:r w:rsidRPr="0034694D">
              <w:rPr>
                <w:sz w:val="40"/>
              </w:rPr>
              <w:t>CRPD</w:t>
            </w:r>
            <w:r>
              <w:t>/C/MNG/2-3</w:t>
            </w:r>
          </w:p>
        </w:tc>
      </w:tr>
      <w:tr w:rsidR="002D5AAC" w:rsidRPr="002F0375" w14:paraId="2BEE458D" w14:textId="77777777" w:rsidTr="003349E4">
        <w:trPr>
          <w:trHeight w:hRule="exact" w:val="2835"/>
        </w:trPr>
        <w:tc>
          <w:tcPr>
            <w:tcW w:w="1280" w:type="dxa"/>
            <w:gridSpan w:val="2"/>
            <w:tcBorders>
              <w:top w:val="single" w:sz="4" w:space="0" w:color="auto"/>
              <w:bottom w:val="single" w:sz="12" w:space="0" w:color="auto"/>
            </w:tcBorders>
          </w:tcPr>
          <w:p w14:paraId="28EBCFF8" w14:textId="77777777" w:rsidR="002D5AAC" w:rsidRDefault="002E5067" w:rsidP="003349E4">
            <w:pPr>
              <w:spacing w:before="120"/>
              <w:jc w:val="center"/>
            </w:pPr>
            <w:r>
              <w:rPr>
                <w:noProof/>
                <w:lang w:val="fr-CH" w:eastAsia="fr-CH"/>
              </w:rPr>
              <w:drawing>
                <wp:inline distT="0" distB="0" distL="0" distR="0" wp14:anchorId="207A9081" wp14:editId="190677A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996186F"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0E345523" w14:textId="77777777" w:rsidR="002D5AAC" w:rsidRDefault="0034694D" w:rsidP="003349E4">
            <w:pPr>
              <w:spacing w:before="240"/>
              <w:rPr>
                <w:lang w:val="en-US"/>
              </w:rPr>
            </w:pPr>
            <w:r>
              <w:rPr>
                <w:lang w:val="en-US"/>
              </w:rPr>
              <w:t>Distr.: General</w:t>
            </w:r>
          </w:p>
          <w:p w14:paraId="08B2C81B" w14:textId="77777777" w:rsidR="0034694D" w:rsidRDefault="0034694D" w:rsidP="0034694D">
            <w:pPr>
              <w:spacing w:line="240" w:lineRule="exact"/>
              <w:rPr>
                <w:lang w:val="en-US"/>
              </w:rPr>
            </w:pPr>
            <w:r>
              <w:rPr>
                <w:lang w:val="en-US"/>
              </w:rPr>
              <w:t>23 July 2020</w:t>
            </w:r>
          </w:p>
          <w:p w14:paraId="4DB3639D" w14:textId="77777777" w:rsidR="0034694D" w:rsidRDefault="0034694D" w:rsidP="0034694D">
            <w:pPr>
              <w:spacing w:line="240" w:lineRule="exact"/>
              <w:rPr>
                <w:lang w:val="en-US"/>
              </w:rPr>
            </w:pPr>
            <w:r>
              <w:rPr>
                <w:lang w:val="en-US"/>
              </w:rPr>
              <w:t>Russian</w:t>
            </w:r>
          </w:p>
          <w:p w14:paraId="76015386" w14:textId="77777777" w:rsidR="0034694D" w:rsidRPr="0090064C" w:rsidRDefault="0034694D" w:rsidP="0034694D">
            <w:pPr>
              <w:spacing w:line="240" w:lineRule="exact"/>
              <w:rPr>
                <w:lang w:val="en-US"/>
              </w:rPr>
            </w:pPr>
            <w:r>
              <w:rPr>
                <w:lang w:val="en-US"/>
              </w:rPr>
              <w:t>Original: English</w:t>
            </w:r>
            <w:r w:rsidR="008D5B02">
              <w:rPr>
                <w:lang w:val="en-US"/>
              </w:rPr>
              <w:br/>
            </w:r>
            <w:proofErr w:type="spellStart"/>
            <w:r w:rsidR="008D5B02">
              <w:rPr>
                <w:lang w:val="en-US"/>
              </w:rPr>
              <w:t>English</w:t>
            </w:r>
            <w:proofErr w:type="spellEnd"/>
            <w:r w:rsidR="008D5B02" w:rsidRPr="008D5B02">
              <w:rPr>
                <w:lang w:val="en-US"/>
              </w:rPr>
              <w:t xml:space="preserve">, </w:t>
            </w:r>
            <w:r w:rsidR="008D5B02">
              <w:rPr>
                <w:lang w:val="en-US"/>
              </w:rPr>
              <w:t>Russian and Spanish only</w:t>
            </w:r>
          </w:p>
        </w:tc>
      </w:tr>
    </w:tbl>
    <w:p w14:paraId="6EEEEE16" w14:textId="77777777" w:rsidR="00154A55" w:rsidRDefault="00154A55" w:rsidP="00154A55">
      <w:pPr>
        <w:spacing w:before="120" w:line="600" w:lineRule="auto"/>
        <w:rPr>
          <w:b/>
          <w:bCs/>
          <w:sz w:val="24"/>
          <w:szCs w:val="24"/>
        </w:rPr>
      </w:pPr>
      <w:bookmarkStart w:id="0" w:name="_Hlk46320114"/>
      <w:r w:rsidRPr="002E334A">
        <w:rPr>
          <w:b/>
          <w:bCs/>
          <w:sz w:val="24"/>
          <w:szCs w:val="24"/>
        </w:rPr>
        <w:t>Комитет по правам инвалидов</w:t>
      </w:r>
    </w:p>
    <w:p w14:paraId="5F30C737" w14:textId="77777777" w:rsidR="00BC6CB5" w:rsidRPr="004806C2" w:rsidRDefault="00BC6CB5" w:rsidP="00BC6CB5">
      <w:pPr>
        <w:pStyle w:val="HMG"/>
      </w:pPr>
      <w:r>
        <w:tab/>
      </w:r>
      <w:r>
        <w:tab/>
      </w:r>
      <w:r w:rsidRPr="005824F9">
        <w:t>Объединенные второй и третий периодические доклады, представленные Монголией согласно статье 35 Конвенции в соответствии с</w:t>
      </w:r>
      <w:r>
        <w:rPr>
          <w:lang w:val="en-US"/>
        </w:rPr>
        <w:t> </w:t>
      </w:r>
      <w:r w:rsidRPr="005824F9">
        <w:t xml:space="preserve">факультативной процедурой представления докладов, подлежавшие представлению </w:t>
      </w:r>
      <w:r>
        <w:br/>
      </w:r>
      <w:r w:rsidRPr="005824F9">
        <w:t>в 2019 году</w:t>
      </w:r>
      <w:r w:rsidR="00C9054E" w:rsidRPr="00C9054E">
        <w:rPr>
          <w:rStyle w:val="aa"/>
          <w:b w:val="0"/>
          <w:bCs/>
          <w:sz w:val="20"/>
          <w:vertAlign w:val="baseline"/>
        </w:rPr>
        <w:footnoteReference w:customMarkFollows="1" w:id="1"/>
        <w:t>*</w:t>
      </w:r>
    </w:p>
    <w:p w14:paraId="6D576152" w14:textId="77777777" w:rsidR="00154A55" w:rsidRPr="002E334A" w:rsidRDefault="00154A55" w:rsidP="00154A55">
      <w:pPr>
        <w:pStyle w:val="SingleTxtG"/>
        <w:spacing w:line="600" w:lineRule="auto"/>
        <w:jc w:val="right"/>
      </w:pPr>
      <w:r w:rsidRPr="002E334A">
        <w:t>[Дата получения: 13 ноября 2019 года]</w:t>
      </w:r>
    </w:p>
    <w:p w14:paraId="4C3D668C" w14:textId="77777777" w:rsidR="00154A55" w:rsidRPr="002E334A" w:rsidRDefault="00154A55" w:rsidP="00154A55">
      <w:pPr>
        <w:spacing w:line="600" w:lineRule="auto"/>
      </w:pPr>
      <w:r w:rsidRPr="002E334A">
        <w:br w:type="page"/>
      </w:r>
    </w:p>
    <w:p w14:paraId="6A93E817" w14:textId="77777777" w:rsidR="00154A55" w:rsidRPr="002E334A" w:rsidRDefault="00154A55" w:rsidP="00BC6CB5">
      <w:pPr>
        <w:pStyle w:val="HChG"/>
      </w:pPr>
      <w:r w:rsidRPr="002E334A">
        <w:lastRenderedPageBreak/>
        <w:tab/>
      </w:r>
      <w:r w:rsidRPr="002E334A">
        <w:tab/>
        <w:t>Ответы на перечень вопросов, подготовленный до</w:t>
      </w:r>
      <w:r w:rsidR="00BC6CB5">
        <w:rPr>
          <w:lang w:val="en-US"/>
        </w:rPr>
        <w:t> </w:t>
      </w:r>
      <w:r w:rsidRPr="002E334A">
        <w:t>представления доклада (CRPD/C/MNG/QPR/2-3)</w:t>
      </w:r>
    </w:p>
    <w:p w14:paraId="473BB563" w14:textId="77777777" w:rsidR="00154A55" w:rsidRPr="002E334A" w:rsidRDefault="00154A55" w:rsidP="00BC6CB5">
      <w:pPr>
        <w:pStyle w:val="H1G"/>
      </w:pPr>
      <w:r w:rsidRPr="002E334A">
        <w:tab/>
      </w:r>
      <w:r w:rsidRPr="002E334A">
        <w:tab/>
      </w:r>
      <w:r w:rsidRPr="002E334A">
        <w:rPr>
          <w:shd w:val="clear" w:color="auto" w:fill="FFFFFF"/>
        </w:rPr>
        <w:t>Ответ на пункт</w:t>
      </w:r>
      <w:r w:rsidRPr="002E334A">
        <w:t xml:space="preserve"> 1 a) перечня вопросов</w:t>
      </w:r>
    </w:p>
    <w:p w14:paraId="58AA7A8B" w14:textId="77777777" w:rsidR="00154A55" w:rsidRPr="002E334A" w:rsidRDefault="00154A55" w:rsidP="002E334A">
      <w:pPr>
        <w:pStyle w:val="SingleTxtG"/>
      </w:pPr>
      <w:r w:rsidRPr="002E334A">
        <w:t>1.</w:t>
      </w:r>
      <w:r w:rsidRPr="002E334A">
        <w:tab/>
        <w:t xml:space="preserve">Пункт 2 статьи 14 Конституции Монголии гласит: </w:t>
      </w:r>
      <w:r w:rsidR="002279A3">
        <w:t>«</w:t>
      </w:r>
      <w:r w:rsidRPr="002E334A">
        <w:t>Дискриминация по признакам этнического происхождения, языка, расовой принадлежности, возраста, пола, социального происхождения и положения, материального положения, профессии, занимаемой должности, вероисповедания, убеждения или образования не допускается. Каждый человек является субъектом права</w:t>
      </w:r>
      <w:r w:rsidR="002279A3">
        <w:t>»</w:t>
      </w:r>
      <w:r w:rsidRPr="002E334A">
        <w:t xml:space="preserve">; в пункте 6 статьи 16 о правах человека и свободах Конституции указано, что граждане имеют </w:t>
      </w:r>
      <w:r w:rsidR="002279A3">
        <w:t>«</w:t>
      </w:r>
      <w:r w:rsidRPr="002E334A">
        <w:t>право на охрану здоровья и медицинскую помощь. Условия и порядок оказания гражданам бесплатной медицинской помощи устанавливаются законом</w:t>
      </w:r>
      <w:r w:rsidR="002279A3">
        <w:t>»</w:t>
      </w:r>
      <w:r w:rsidRPr="002E334A">
        <w:t xml:space="preserve">, а согласно пункту 7 той же статьи они имеют </w:t>
      </w:r>
      <w:r w:rsidR="002279A3">
        <w:t>«</w:t>
      </w:r>
      <w:r w:rsidRPr="002E334A">
        <w:t>право на образование. Государство обеспечивает бесплатное (базовое) общее образование. Граждане имеют право на открытие частных школ, соответствующих требованиям государства</w:t>
      </w:r>
      <w:r w:rsidR="002279A3">
        <w:t>»</w:t>
      </w:r>
      <w:r w:rsidRPr="00BC6CB5">
        <w:rPr>
          <w:rStyle w:val="aa"/>
        </w:rPr>
        <w:footnoteReference w:id="2"/>
      </w:r>
      <w:r w:rsidRPr="002E334A">
        <w:t>.</w:t>
      </w:r>
      <w:r w:rsidRPr="002E334A">
        <w:rPr>
          <w:rStyle w:val="aa"/>
        </w:rPr>
        <w:t xml:space="preserve"> </w:t>
      </w:r>
    </w:p>
    <w:p w14:paraId="1F2C0FB3" w14:textId="77777777" w:rsidR="00154A55" w:rsidRPr="002E334A" w:rsidRDefault="00154A55" w:rsidP="002E334A">
      <w:pPr>
        <w:pStyle w:val="SingleTxtG"/>
      </w:pPr>
      <w:r w:rsidRPr="002E334A">
        <w:t>2.</w:t>
      </w:r>
      <w:r w:rsidRPr="002E334A">
        <w:tab/>
        <w:t xml:space="preserve">Эти положения Конституции лежат в основе всех законодательных актов Монголии. Так, например, основные принципы образования закреплены в статье 5 Закона об образовании, которая гласит: </w:t>
      </w:r>
      <w:r w:rsidR="002279A3">
        <w:t>«</w:t>
      </w:r>
      <w:r w:rsidRPr="002E334A">
        <w:t xml:space="preserve">5.1.3 Образование является бесплатным, доступным и вариативным, корректируемым с учетом индивидуальных особенностей и особенностей развития, типа образования и потребностей учащегося; 5.1.4 </w:t>
      </w:r>
      <w:r w:rsidR="007B3823">
        <w:t>В</w:t>
      </w:r>
      <w:r w:rsidRPr="002E334A">
        <w:t>сем монгольским гражданам предоставляются равные возможности для получения образования на их родном языке без дискриминации в области образования по признакам расы, вероисповедания, возраста, пола, социального положения, экономического положения, занятости, религии или убеждений</w:t>
      </w:r>
      <w:r w:rsidR="002279A3">
        <w:t>»</w:t>
      </w:r>
      <w:r w:rsidRPr="00BC6CB5">
        <w:rPr>
          <w:rStyle w:val="aa"/>
        </w:rPr>
        <w:footnoteReference w:id="3"/>
      </w:r>
      <w:r w:rsidRPr="002E334A">
        <w:t xml:space="preserve">; а в статье 4 Закона о здравоохранении указано: </w:t>
      </w:r>
      <w:r w:rsidR="002279A3">
        <w:t>«</w:t>
      </w:r>
      <w:r w:rsidRPr="002E334A">
        <w:t>4.1.2 Услуги первичной медико-санитарной помощи являются одинаково доступными для всех граждан без какой-либо дискриминации</w:t>
      </w:r>
      <w:r w:rsidR="002279A3">
        <w:t>»</w:t>
      </w:r>
      <w:r w:rsidRPr="002E334A">
        <w:t xml:space="preserve">, </w:t>
      </w:r>
      <w:r w:rsidR="002279A3">
        <w:t>«</w:t>
      </w:r>
      <w:r w:rsidRPr="002E334A">
        <w:t>4.1.4 Как предусмотрено в Конституции Монголии, государство обязано покрывать плату за некоторые виды медицинских услуг, предоставляемых гражданам</w:t>
      </w:r>
      <w:r w:rsidR="002279A3">
        <w:t>»</w:t>
      </w:r>
      <w:r w:rsidRPr="00BC6CB5">
        <w:rPr>
          <w:rStyle w:val="aa"/>
        </w:rPr>
        <w:footnoteReference w:id="4"/>
      </w:r>
      <w:r w:rsidRPr="002E334A">
        <w:t xml:space="preserve">; </w:t>
      </w:r>
      <w:r w:rsidR="007B3823">
        <w:t>и </w:t>
      </w:r>
      <w:r w:rsidRPr="002E334A">
        <w:t>статья</w:t>
      </w:r>
      <w:r w:rsidR="007B3823">
        <w:t> </w:t>
      </w:r>
      <w:r w:rsidRPr="002E334A">
        <w:t xml:space="preserve">4 Закона о семье гласит: </w:t>
      </w:r>
      <w:r w:rsidR="002279A3">
        <w:t>«</w:t>
      </w:r>
      <w:r w:rsidRPr="002E334A">
        <w:t>4.1 Брак является равным и добровольным</w:t>
      </w:r>
      <w:r w:rsidR="002279A3">
        <w:t>»</w:t>
      </w:r>
      <w:r w:rsidRPr="002E334A">
        <w:t xml:space="preserve">; </w:t>
      </w:r>
      <w:r w:rsidR="007B3823">
        <w:br/>
      </w:r>
      <w:r w:rsidRPr="002E334A">
        <w:t xml:space="preserve">и </w:t>
      </w:r>
      <w:r w:rsidR="002279A3">
        <w:t>«</w:t>
      </w:r>
      <w:r w:rsidRPr="002E334A">
        <w:t>в браке ни один гражданин не должен подвергаться дискриминации по признакам этнического происхождения, языка, расы или религии</w:t>
      </w:r>
      <w:r w:rsidR="002279A3">
        <w:t>»</w:t>
      </w:r>
      <w:r w:rsidRPr="00BC6CB5">
        <w:rPr>
          <w:rStyle w:val="aa"/>
        </w:rPr>
        <w:footnoteReference w:id="5"/>
      </w:r>
      <w:r w:rsidRPr="002E334A">
        <w:t xml:space="preserve">. </w:t>
      </w:r>
    </w:p>
    <w:p w14:paraId="7862FA66" w14:textId="77777777" w:rsidR="00154A55" w:rsidRPr="002E334A" w:rsidRDefault="00154A55" w:rsidP="002E334A">
      <w:pPr>
        <w:pStyle w:val="SingleTxtG"/>
      </w:pPr>
      <w:r w:rsidRPr="002E334A">
        <w:t>3.</w:t>
      </w:r>
      <w:r w:rsidRPr="002E334A">
        <w:tab/>
        <w:t xml:space="preserve">Кроме того, после принятия в 2016 году Закона о правах инвалидов (ЗПИ) предполагается, что законодательство, политика и действия Монголии полностью соответствуют Конвенции о правах инвалидов (КПИ). </w:t>
      </w:r>
    </w:p>
    <w:p w14:paraId="082D19FD" w14:textId="77777777" w:rsidR="00154A55" w:rsidRPr="002E334A" w:rsidRDefault="00154A55" w:rsidP="00BC6CB5">
      <w:pPr>
        <w:pStyle w:val="H1G"/>
      </w:pPr>
      <w:r w:rsidRPr="002E334A">
        <w:tab/>
      </w:r>
      <w:r w:rsidRPr="002E334A">
        <w:tab/>
        <w:t>Ответ на пункт 1 b) перечня вопросов</w:t>
      </w:r>
    </w:p>
    <w:p w14:paraId="454AA6FF" w14:textId="77777777" w:rsidR="00154A55" w:rsidRPr="002E334A" w:rsidRDefault="00154A55" w:rsidP="002E334A">
      <w:pPr>
        <w:pStyle w:val="SingleTxtG"/>
      </w:pPr>
      <w:r w:rsidRPr="002E334A">
        <w:t>4.</w:t>
      </w:r>
      <w:r w:rsidRPr="002E334A">
        <w:tab/>
        <w:t xml:space="preserve">Монголия осуществляет следующие меры, направленные на обеспечение полного и эффективного участия лиц с инвалидностью в жизни общества наравне с другими: </w:t>
      </w:r>
    </w:p>
    <w:p w14:paraId="5BF5654B" w14:textId="77777777" w:rsidR="00154A55" w:rsidRPr="002E334A" w:rsidRDefault="00154A55" w:rsidP="00BC6CB5">
      <w:pPr>
        <w:pStyle w:val="H23G"/>
      </w:pPr>
      <w:r w:rsidRPr="002E334A">
        <w:tab/>
      </w:r>
      <w:r w:rsidRPr="002E334A">
        <w:tab/>
        <w:t>Обеспечение права лиц с инвалидностью на образование</w:t>
      </w:r>
    </w:p>
    <w:p w14:paraId="703BD439" w14:textId="77777777" w:rsidR="00154A55" w:rsidRPr="002E334A" w:rsidRDefault="00154A55" w:rsidP="002E334A">
      <w:pPr>
        <w:pStyle w:val="SingleTxtG"/>
      </w:pPr>
      <w:r w:rsidRPr="002E334A">
        <w:t>5.</w:t>
      </w:r>
      <w:r w:rsidRPr="002E334A">
        <w:tab/>
        <w:t xml:space="preserve">В процессе обеспечения права лиц с инвалидностью на образование Монголия ставит своей целью строго соблюдать принцип </w:t>
      </w:r>
      <w:proofErr w:type="spellStart"/>
      <w:r w:rsidRPr="002E334A">
        <w:t>инклюзивности</w:t>
      </w:r>
      <w:proofErr w:type="spellEnd"/>
      <w:r w:rsidRPr="002E334A">
        <w:t xml:space="preserve"> образования. Согласно статистическим данным за 2018</w:t>
      </w:r>
      <w:r w:rsidR="007B3823" w:rsidRPr="007B3823">
        <w:t>/</w:t>
      </w:r>
      <w:r w:rsidRPr="002E334A">
        <w:t>19 учебный год, из проживающих в стране 10</w:t>
      </w:r>
      <w:r w:rsidR="00BC6CB5">
        <w:rPr>
          <w:lang w:val="en-US"/>
        </w:rPr>
        <w:t> </w:t>
      </w:r>
      <w:r w:rsidRPr="002E334A">
        <w:t>660</w:t>
      </w:r>
      <w:r w:rsidR="00BC6CB5">
        <w:rPr>
          <w:lang w:val="en-US"/>
        </w:rPr>
        <w:t> </w:t>
      </w:r>
      <w:r w:rsidRPr="002E334A">
        <w:t>детей-инвалидов в возрасте от 0 до 18 лет 1087 детей или 10,2</w:t>
      </w:r>
      <w:r w:rsidR="00BC6CB5">
        <w:rPr>
          <w:lang w:val="en-US"/>
        </w:rPr>
        <w:t> </w:t>
      </w:r>
      <w:r w:rsidRPr="002E334A">
        <w:t>% обучались в дошкольных учреждениях, 6518 детей или 61,1</w:t>
      </w:r>
      <w:r w:rsidR="00BC6CB5">
        <w:rPr>
          <w:lang w:val="en-US"/>
        </w:rPr>
        <w:t> </w:t>
      </w:r>
      <w:r w:rsidRPr="002E334A">
        <w:t xml:space="preserve">% </w:t>
      </w:r>
      <w:r w:rsidR="00BC6CB5">
        <w:t>⸺</w:t>
      </w:r>
      <w:r w:rsidRPr="002E334A">
        <w:t xml:space="preserve"> в средних школах и 933 ребенка или 8,8</w:t>
      </w:r>
      <w:r w:rsidR="00BC6CB5">
        <w:rPr>
          <w:lang w:val="en-US"/>
        </w:rPr>
        <w:t> </w:t>
      </w:r>
      <w:r w:rsidRPr="002E334A">
        <w:t xml:space="preserve">% </w:t>
      </w:r>
      <w:r w:rsidR="00BC6CB5">
        <w:t>⸺</w:t>
      </w:r>
      <w:r w:rsidRPr="002E334A">
        <w:t xml:space="preserve"> в центрах непрерывного образования. Из общего количества детей, </w:t>
      </w:r>
      <w:r w:rsidRPr="002E334A">
        <w:lastRenderedPageBreak/>
        <w:t>обучающихся в средних школах, 1740 детей или 26,7</w:t>
      </w:r>
      <w:r w:rsidR="00BC6CB5">
        <w:rPr>
          <w:lang w:val="en-US"/>
        </w:rPr>
        <w:t> </w:t>
      </w:r>
      <w:r w:rsidRPr="002E334A">
        <w:t>% обучались в шести специальных школах и 4778 детей или 73,9</w:t>
      </w:r>
      <w:r w:rsidR="00BC6CB5">
        <w:rPr>
          <w:lang w:val="en-US"/>
        </w:rPr>
        <w:t> </w:t>
      </w:r>
      <w:r w:rsidRPr="002E334A">
        <w:t xml:space="preserve">% </w:t>
      </w:r>
      <w:r w:rsidR="00BC6CB5">
        <w:t>⸺</w:t>
      </w:r>
      <w:r w:rsidRPr="002E334A">
        <w:t xml:space="preserve"> в обычных средних школах. </w:t>
      </w:r>
    </w:p>
    <w:p w14:paraId="424970B7" w14:textId="77777777" w:rsidR="00154A55" w:rsidRPr="002E334A" w:rsidRDefault="00154A55" w:rsidP="002E334A">
      <w:pPr>
        <w:pStyle w:val="SingleTxtG"/>
      </w:pPr>
      <w:r w:rsidRPr="002E334A">
        <w:t>6.</w:t>
      </w:r>
      <w:r w:rsidRPr="002E334A">
        <w:tab/>
        <w:t xml:space="preserve">В интересах поощрения инклюзивного образования была улучшена правовая база, регулирующая зачисление детей в обычные средние школы; в частности, было принято и применяется </w:t>
      </w:r>
      <w:r w:rsidR="002279A3">
        <w:t>«</w:t>
      </w:r>
      <w:r w:rsidRPr="002E334A">
        <w:t>Положение о равном инклюзивном зачислении детей-инвалидов в средние школы</w:t>
      </w:r>
      <w:r w:rsidR="002279A3">
        <w:t>»</w:t>
      </w:r>
      <w:r w:rsidRPr="002E334A">
        <w:t>, которое было утверждено постановлением № А/292 Министра образования, культуры, науки и спорта (МОКНС)</w:t>
      </w:r>
      <w:r w:rsidR="007B3823">
        <w:t>.</w:t>
      </w:r>
    </w:p>
    <w:p w14:paraId="1675E670" w14:textId="77777777" w:rsidR="00154A55" w:rsidRPr="002E334A" w:rsidRDefault="00154A55" w:rsidP="002E334A">
      <w:pPr>
        <w:pStyle w:val="SingleTxtG"/>
      </w:pPr>
      <w:r w:rsidRPr="002E334A">
        <w:t>7.</w:t>
      </w:r>
      <w:r w:rsidRPr="002E334A">
        <w:tab/>
        <w:t xml:space="preserve">В целях расширения инклюзивного образования детей-инвалидов правительство Монголии осуществляет такие поэтапные меры, как предоставление дополнительных стимулов учителям, работающим с детьми-инвалидами, проведение подготовки и переподготовки учителей и работников образования по вопросам инклюзивных методов зачисления, а также разработка методологий обучения и издание учебников. </w:t>
      </w:r>
    </w:p>
    <w:p w14:paraId="441614E1" w14:textId="77777777" w:rsidR="00154A55" w:rsidRPr="002E334A" w:rsidRDefault="00154A55" w:rsidP="002E334A">
      <w:pPr>
        <w:pStyle w:val="SingleTxtG"/>
      </w:pPr>
      <w:r w:rsidRPr="002E334A">
        <w:t>8.</w:t>
      </w:r>
      <w:r w:rsidRPr="002E334A">
        <w:tab/>
        <w:t>Например, начиная с 2006 года</w:t>
      </w:r>
      <w:r w:rsidR="007078A1">
        <w:t xml:space="preserve"> </w:t>
      </w:r>
      <w:r w:rsidRPr="002E334A">
        <w:t xml:space="preserve">101 учитель окончил годичную программу по переподготовке для работы с лицами с особыми потребностями, а в 2018 году в Национальном университете образования Монголии (НУОМ) был создан </w:t>
      </w:r>
      <w:r w:rsidR="002279A3">
        <w:t>«</w:t>
      </w:r>
      <w:r w:rsidRPr="002E334A">
        <w:t>Факультет специальной педагогики</w:t>
      </w:r>
      <w:r w:rsidR="002279A3">
        <w:t>»</w:t>
      </w:r>
      <w:r w:rsidRPr="002E334A">
        <w:t xml:space="preserve">, на который было зачислено около 100 студентов. </w:t>
      </w:r>
      <w:r w:rsidR="00BC6CB5">
        <w:br/>
      </w:r>
      <w:r w:rsidRPr="002E334A">
        <w:t>В 2018</w:t>
      </w:r>
      <w:r w:rsidR="00BC6CB5" w:rsidRPr="00BC6CB5">
        <w:t>/</w:t>
      </w:r>
      <w:r w:rsidRPr="002E334A">
        <w:t xml:space="preserve">19 учебном году 10 студентов прошли подготовку по специальности </w:t>
      </w:r>
      <w:r w:rsidR="002279A3">
        <w:t>«</w:t>
      </w:r>
      <w:r w:rsidRPr="002E334A">
        <w:rPr>
          <w:shd w:val="clear" w:color="auto" w:fill="FFFFFF"/>
        </w:rPr>
        <w:t>учитель-дефектолог</w:t>
      </w:r>
      <w:r w:rsidR="002279A3">
        <w:t>»</w:t>
      </w:r>
      <w:r w:rsidRPr="002E334A">
        <w:t xml:space="preserve"> в Российской Федерации. Врачи средних специальных учебных заведений были зачислены в Центр усовершенствования врачей города Иркутска, Россия, для обучения по программам повышения квалификации; а при поддержке МНПУ для преподавателей университетов регулярно проводятся курсы подготовки по теме </w:t>
      </w:r>
      <w:r w:rsidR="002279A3">
        <w:t>«</w:t>
      </w:r>
      <w:r w:rsidRPr="002E334A">
        <w:t>Методика работы с детьми с нарушениями речи</w:t>
      </w:r>
      <w:r w:rsidR="002279A3">
        <w:t>»</w:t>
      </w:r>
      <w:r w:rsidRPr="002E334A">
        <w:t xml:space="preserve">, а также занятия по специальной педагогике. </w:t>
      </w:r>
    </w:p>
    <w:p w14:paraId="1E2BCC70" w14:textId="77777777" w:rsidR="00154A55" w:rsidRPr="002E334A" w:rsidRDefault="00154A55" w:rsidP="002E334A">
      <w:pPr>
        <w:pStyle w:val="SingleTxtG"/>
      </w:pPr>
      <w:r w:rsidRPr="002E334A">
        <w:t>9.</w:t>
      </w:r>
      <w:r w:rsidRPr="002E334A">
        <w:tab/>
        <w:t xml:space="preserve">В общей сложности 392 работника образования, в том числе учителя, помощники учителей, административно-педагогический и учебно-вспомогательный персонал дошкольных учреждений и средних школ, работающих с детьми с нарушениями слуха, зрения и интеллектуальными нарушениями, прошли занятия на курсах повышения квалификации для работы в качестве воспитателей-дефектологов в детских садах и учителей-дефектологов в школах. Кроме того, был создан </w:t>
      </w:r>
      <w:r w:rsidR="002279A3">
        <w:t>«</w:t>
      </w:r>
      <w:r w:rsidRPr="002E334A">
        <w:t>Центр развития детей-инвалидов</w:t>
      </w:r>
      <w:r w:rsidR="002279A3">
        <w:t>»</w:t>
      </w:r>
      <w:r w:rsidRPr="002E334A">
        <w:t xml:space="preserve">, рассчитанный для учеников с инвалидностью 16 средних школ, а в МНПУ </w:t>
      </w:r>
      <w:r w:rsidR="00BC6CB5">
        <w:t>⸺</w:t>
      </w:r>
      <w:r w:rsidRPr="002E334A">
        <w:t xml:space="preserve"> </w:t>
      </w:r>
      <w:r w:rsidR="002279A3">
        <w:t>«</w:t>
      </w:r>
      <w:r w:rsidRPr="002E334A">
        <w:t>Центр развития студентов</w:t>
      </w:r>
      <w:r w:rsidR="002279A3">
        <w:t>»</w:t>
      </w:r>
      <w:r w:rsidRPr="002E334A">
        <w:t xml:space="preserve"> для студентов с нарушениями зрения и разными видами инвалидности. В 2019</w:t>
      </w:r>
      <w:r w:rsidR="00BC6CB5" w:rsidRPr="00BC6CB5">
        <w:t>/</w:t>
      </w:r>
      <w:r w:rsidRPr="002E334A">
        <w:t xml:space="preserve">20 учебном году на онлайн-курс </w:t>
      </w:r>
      <w:r w:rsidR="002279A3">
        <w:t>«</w:t>
      </w:r>
      <w:r w:rsidRPr="002E334A">
        <w:t>Инклюзивное образование</w:t>
      </w:r>
      <w:r w:rsidR="002279A3">
        <w:t>»</w:t>
      </w:r>
      <w:r w:rsidRPr="002E334A">
        <w:t xml:space="preserve"> было зачислено 2137 преподавателей и руководителей организаций, занимающихся проведением курсов подготовки. </w:t>
      </w:r>
    </w:p>
    <w:p w14:paraId="114EB038" w14:textId="77777777" w:rsidR="00154A55" w:rsidRPr="002E334A" w:rsidRDefault="00154A55" w:rsidP="002E334A">
      <w:pPr>
        <w:pStyle w:val="SingleTxtG"/>
      </w:pPr>
      <w:r w:rsidRPr="002E334A">
        <w:t>10.</w:t>
      </w:r>
      <w:r w:rsidRPr="002E334A">
        <w:tab/>
        <w:t xml:space="preserve">Финансируемый </w:t>
      </w:r>
      <w:r w:rsidRPr="002E334A">
        <w:rPr>
          <w:shd w:val="clear" w:color="auto" w:fill="FFFFFF"/>
        </w:rPr>
        <w:t>Японским агентством международного сотрудничества (ЯАМС)</w:t>
      </w:r>
      <w:r w:rsidRPr="002E334A">
        <w:t xml:space="preserve"> проект </w:t>
      </w:r>
      <w:r w:rsidR="002279A3">
        <w:t>«</w:t>
      </w:r>
      <w:r w:rsidRPr="002E334A">
        <w:t>Расширение услуг здравоохранения, образования и социального обеспечения для детей с особыми образовательными потребностями</w:t>
      </w:r>
      <w:r w:rsidR="002279A3">
        <w:t>»</w:t>
      </w:r>
      <w:r w:rsidRPr="002E334A">
        <w:t xml:space="preserve"> был реализован в </w:t>
      </w:r>
      <w:r w:rsidR="00BC6CB5">
        <w:t>четырех</w:t>
      </w:r>
      <w:r w:rsidRPr="002E334A">
        <w:t xml:space="preserve"> специальных и </w:t>
      </w:r>
      <w:r w:rsidR="00BC6CB5">
        <w:t>восьми</w:t>
      </w:r>
      <w:r w:rsidRPr="002E334A">
        <w:t xml:space="preserve"> обычных школах. В рамках проекта были предоставлены пособия для учителей и родителей, в том числе </w:t>
      </w:r>
      <w:r w:rsidR="002279A3">
        <w:t>«</w:t>
      </w:r>
      <w:r w:rsidRPr="002E334A">
        <w:t>Педагогический инструментарий для определения стадии развития детей с тяжелой формой инвалидности</w:t>
      </w:r>
      <w:r w:rsidR="002279A3">
        <w:t>»</w:t>
      </w:r>
      <w:r w:rsidRPr="002E334A">
        <w:t xml:space="preserve"> и </w:t>
      </w:r>
      <w:r w:rsidR="002279A3">
        <w:t>«</w:t>
      </w:r>
      <w:r w:rsidRPr="002E334A">
        <w:t xml:space="preserve">Методологический инструментарий для поддержки отстающих и имеющих проблемы с поведением детей </w:t>
      </w:r>
      <w:r w:rsidR="00BC6CB5">
        <w:t>⸺</w:t>
      </w:r>
      <w:r w:rsidRPr="002E334A">
        <w:t xml:space="preserve"> правильные концепции и выбор надлежащих методов</w:t>
      </w:r>
      <w:r w:rsidR="002279A3">
        <w:t>»</w:t>
      </w:r>
      <w:r w:rsidRPr="002E334A">
        <w:t xml:space="preserve">; на веб-сайте Института повышения квалификации учителей (ИПКУ) размещены видеофильмы </w:t>
      </w:r>
      <w:r w:rsidR="002279A3">
        <w:t>«</w:t>
      </w:r>
      <w:r w:rsidRPr="002E334A">
        <w:t>Образцовый урок</w:t>
      </w:r>
      <w:r w:rsidR="002279A3">
        <w:t>»</w:t>
      </w:r>
      <w:r w:rsidRPr="002E334A">
        <w:t xml:space="preserve"> и </w:t>
      </w:r>
      <w:r w:rsidR="002279A3">
        <w:t>«</w:t>
      </w:r>
      <w:r w:rsidRPr="002E334A">
        <w:t>Инклюзивное образование</w:t>
      </w:r>
      <w:r w:rsidR="002279A3">
        <w:t>»</w:t>
      </w:r>
      <w:r w:rsidRPr="002E334A">
        <w:t xml:space="preserve">, а также соответствующие курсы подготовки; их печатные версии были разосланы во все школы, дошкольные учреждения и центры непрерывного образования. </w:t>
      </w:r>
    </w:p>
    <w:p w14:paraId="12CB0B6B" w14:textId="77777777" w:rsidR="00154A55" w:rsidRPr="002E334A" w:rsidRDefault="00154A55" w:rsidP="002E334A">
      <w:pPr>
        <w:pStyle w:val="SingleTxtG"/>
      </w:pPr>
      <w:r w:rsidRPr="002E334A">
        <w:t>11.</w:t>
      </w:r>
      <w:r w:rsidRPr="002E334A">
        <w:tab/>
        <w:t xml:space="preserve">В сотрудничестве с ЮНИСЕФ в 4 поселках (сомон) было организовано мероприятие с участием 90 студентов и более 550 граждан. В настоящее время в </w:t>
      </w:r>
      <w:r w:rsidR="00BC6CB5">
        <w:t xml:space="preserve">восьми </w:t>
      </w:r>
      <w:r w:rsidRPr="002E334A">
        <w:t xml:space="preserve">аймаках, например в </w:t>
      </w:r>
      <w:proofErr w:type="spellStart"/>
      <w:r w:rsidRPr="002E334A">
        <w:t>Баянхонгорском</w:t>
      </w:r>
      <w:proofErr w:type="spellEnd"/>
      <w:r w:rsidRPr="002E334A">
        <w:t xml:space="preserve">, Гоби-Алтайском, </w:t>
      </w:r>
      <w:proofErr w:type="spellStart"/>
      <w:r w:rsidRPr="002E334A">
        <w:t>Завханском</w:t>
      </w:r>
      <w:proofErr w:type="spellEnd"/>
      <w:r w:rsidRPr="002E334A">
        <w:t xml:space="preserve">, </w:t>
      </w:r>
      <w:proofErr w:type="spellStart"/>
      <w:r w:rsidRPr="002E334A">
        <w:t>Увэрхангайском</w:t>
      </w:r>
      <w:proofErr w:type="spellEnd"/>
      <w:r w:rsidRPr="002E334A">
        <w:t xml:space="preserve"> и </w:t>
      </w:r>
      <w:proofErr w:type="spellStart"/>
      <w:r w:rsidRPr="002E334A">
        <w:t>Ховдском</w:t>
      </w:r>
      <w:proofErr w:type="spellEnd"/>
      <w:r w:rsidRPr="002E334A">
        <w:t>, открыты классы для поддержки детей-инвалидов, для</w:t>
      </w:r>
      <w:r w:rsidR="00BC6CB5">
        <w:t> </w:t>
      </w:r>
      <w:r w:rsidRPr="002E334A">
        <w:t>обучения в которых выделены дополнительные часы.</w:t>
      </w:r>
    </w:p>
    <w:p w14:paraId="1281CEC2" w14:textId="77777777" w:rsidR="00154A55" w:rsidRPr="002E334A" w:rsidRDefault="00154A55" w:rsidP="002E334A">
      <w:pPr>
        <w:pStyle w:val="SingleTxtG"/>
      </w:pPr>
      <w:r w:rsidRPr="002E334A">
        <w:t>12.</w:t>
      </w:r>
      <w:r w:rsidRPr="002E334A">
        <w:tab/>
        <w:t xml:space="preserve">В пункте 3 статьи 13 Закона о начальном и среднем образовании указано, что </w:t>
      </w:r>
      <w:r w:rsidR="002279A3">
        <w:t>«</w:t>
      </w:r>
      <w:r w:rsidRPr="002E334A">
        <w:t>другие обычные средние школы несут ответственность за создание условий для получения детьми-инвалидами элементарного, начального и среднего образования</w:t>
      </w:r>
      <w:r w:rsidR="002279A3">
        <w:t>»</w:t>
      </w:r>
      <w:r w:rsidRPr="002E334A">
        <w:t>, а</w:t>
      </w:r>
      <w:r w:rsidR="00BC6CB5">
        <w:t> </w:t>
      </w:r>
      <w:r w:rsidRPr="002E334A">
        <w:t xml:space="preserve">в пункте 2 статьи 15 Закона о правах человека лиц с инвалидностью указано, что они </w:t>
      </w:r>
      <w:r w:rsidR="002279A3">
        <w:lastRenderedPageBreak/>
        <w:t>«</w:t>
      </w:r>
      <w:r w:rsidRPr="002E334A">
        <w:t>предоставляют книги, учебники, пособия, материалы, оборудование для особых нужд, а также оборудование, отвечающее особым потребностям детей-инвалидов</w:t>
      </w:r>
      <w:r w:rsidR="002279A3">
        <w:t>»</w:t>
      </w:r>
      <w:r w:rsidRPr="002E334A">
        <w:t>. Кроме того, принятым в 2012 году постановлением правительства №</w:t>
      </w:r>
      <w:r w:rsidR="00BC6CB5">
        <w:t xml:space="preserve"> </w:t>
      </w:r>
      <w:r w:rsidRPr="002E334A">
        <w:t xml:space="preserve">185 предусмотрено увеличение в три раза норматива </w:t>
      </w:r>
      <w:r w:rsidRPr="002E334A">
        <w:rPr>
          <w:shd w:val="clear" w:color="auto" w:fill="FFFFFF"/>
        </w:rPr>
        <w:t>переменных затрат</w:t>
      </w:r>
      <w:r w:rsidRPr="002E334A">
        <w:t xml:space="preserve"> на </w:t>
      </w:r>
      <w:r w:rsidR="00BC6CB5">
        <w:t>одного</w:t>
      </w:r>
      <w:r w:rsidRPr="002E334A">
        <w:t xml:space="preserve"> учащегося-инвалида, и установлено, что это положение должно применяться к обычным детским садам и школам, в которые зачислены дети-инвалиды.</w:t>
      </w:r>
    </w:p>
    <w:p w14:paraId="18E59583" w14:textId="77777777" w:rsidR="00154A55" w:rsidRPr="002E334A" w:rsidRDefault="00154A55" w:rsidP="002E334A">
      <w:pPr>
        <w:pStyle w:val="SingleTxtG"/>
      </w:pPr>
      <w:r w:rsidRPr="002E334A">
        <w:t>13.</w:t>
      </w:r>
      <w:r w:rsidRPr="002E334A">
        <w:tab/>
        <w:t xml:space="preserve">С опорой на вышеуказанную правовую базу и в сотрудничестве с НПО </w:t>
      </w:r>
      <w:r w:rsidR="002279A3">
        <w:t>«</w:t>
      </w:r>
      <w:r w:rsidRPr="002E334A">
        <w:t>Сеть инклюзивного образования</w:t>
      </w:r>
      <w:r w:rsidR="002279A3">
        <w:t>»</w:t>
      </w:r>
      <w:r w:rsidRPr="002E334A">
        <w:t xml:space="preserve"> МОКНС разработало </w:t>
      </w:r>
      <w:r w:rsidR="002279A3">
        <w:t>«</w:t>
      </w:r>
      <w:r w:rsidRPr="002E334A">
        <w:t xml:space="preserve">Положение о создании учебной среды и обеспечении средствами обучения, соответствующих потребностям </w:t>
      </w:r>
      <w:r w:rsidR="00BC6CB5">
        <w:br/>
      </w:r>
      <w:r w:rsidRPr="002E334A">
        <w:t>детей-инвалидов в образовательных учреждениях всех уровней</w:t>
      </w:r>
      <w:r w:rsidR="002279A3">
        <w:t>»</w:t>
      </w:r>
      <w:r w:rsidRPr="002E334A">
        <w:t xml:space="preserve">. </w:t>
      </w:r>
    </w:p>
    <w:p w14:paraId="3AA57C6F" w14:textId="77777777" w:rsidR="00154A55" w:rsidRPr="002E334A" w:rsidRDefault="00154A55" w:rsidP="002E334A">
      <w:pPr>
        <w:pStyle w:val="SingleTxtG"/>
      </w:pPr>
      <w:r w:rsidRPr="002E334A">
        <w:t>14.</w:t>
      </w:r>
      <w:r w:rsidRPr="002E334A">
        <w:tab/>
        <w:t>В годовом бюджете на 2018 год на специальное образование выделено более 7,5</w:t>
      </w:r>
      <w:r w:rsidR="00BC6CB5">
        <w:t> </w:t>
      </w:r>
      <w:r w:rsidRPr="002E334A">
        <w:t xml:space="preserve">млрд тугриков, а на непрерывное образование </w:t>
      </w:r>
      <w:r w:rsidR="00BC6CB5">
        <w:t>⸺</w:t>
      </w:r>
      <w:r w:rsidRPr="002E334A">
        <w:t xml:space="preserve"> 5,3 млрд тугриков</w:t>
      </w:r>
      <w:r w:rsidRPr="00BC6CB5">
        <w:rPr>
          <w:rStyle w:val="aa"/>
        </w:rPr>
        <w:footnoteReference w:id="6"/>
      </w:r>
      <w:r w:rsidRPr="002E334A">
        <w:t xml:space="preserve">. </w:t>
      </w:r>
      <w:r w:rsidR="00BC6CB5">
        <w:br/>
      </w:r>
      <w:r w:rsidRPr="002E334A">
        <w:t xml:space="preserve">В 2019 году на специальное образование запланировано выделить 4,2 млрд тугриков, а на непрерывное образование </w:t>
      </w:r>
      <w:r w:rsidR="00BC6CB5">
        <w:t>⸺</w:t>
      </w:r>
      <w:r w:rsidRPr="002E334A">
        <w:t xml:space="preserve"> 4,1 млрд тугриков</w:t>
      </w:r>
      <w:r w:rsidRPr="00BC6CB5">
        <w:rPr>
          <w:rStyle w:val="aa"/>
        </w:rPr>
        <w:footnoteReference w:id="7"/>
      </w:r>
      <w:r w:rsidRPr="002E334A">
        <w:t xml:space="preserve">. </w:t>
      </w:r>
    </w:p>
    <w:p w14:paraId="79A390DA" w14:textId="77777777" w:rsidR="00154A55" w:rsidRPr="002E334A" w:rsidRDefault="00154A55" w:rsidP="002E334A">
      <w:pPr>
        <w:pStyle w:val="SingleTxtG"/>
      </w:pPr>
      <w:r w:rsidRPr="002E334A">
        <w:t>15.</w:t>
      </w:r>
      <w:r w:rsidRPr="002E334A">
        <w:tab/>
        <w:t>Постановление правительства № 185 от 2012 года</w:t>
      </w:r>
      <w:r w:rsidR="00BC6CB5">
        <w:t xml:space="preserve"> </w:t>
      </w:r>
      <w:r w:rsidRPr="002E334A">
        <w:t>предусматривает троекратное увеличение переменных расходов на одного ребенка-инвалида в специальных и обычных средних школах и создание фонда поддержки инклюзивного образования; в</w:t>
      </w:r>
      <w:r w:rsidR="00BC6CB5">
        <w:t> </w:t>
      </w:r>
      <w:r w:rsidRPr="002E334A">
        <w:t xml:space="preserve">2020 году для покрытия этих расходов запланировано выделить 12 млрд тугриков. </w:t>
      </w:r>
    </w:p>
    <w:p w14:paraId="12F8F5EE" w14:textId="77777777" w:rsidR="00154A55" w:rsidRPr="002E334A" w:rsidRDefault="00154A55" w:rsidP="002E334A">
      <w:pPr>
        <w:pStyle w:val="SingleTxtG"/>
      </w:pPr>
      <w:r w:rsidRPr="002E334A">
        <w:t>16.</w:t>
      </w:r>
      <w:r w:rsidRPr="002E334A">
        <w:tab/>
        <w:t xml:space="preserve">Кроме того, из бюджета предлагается выделить 3,3 млрд тугриков на создание во всех аймаках (провинциях) </w:t>
      </w:r>
      <w:r w:rsidR="002279A3">
        <w:t>«</w:t>
      </w:r>
      <w:r w:rsidRPr="002E334A">
        <w:t>залов поддержки</w:t>
      </w:r>
      <w:r w:rsidR="002279A3">
        <w:t>»</w:t>
      </w:r>
      <w:r w:rsidRPr="002E334A">
        <w:t xml:space="preserve">. Кроме того, во всех аймаках при финансировании Всемирного банка будут созданы залы для поддержки детей-инвалидов. В соответствии с постановлением правительства № 145 от 2019 года, которым предписано </w:t>
      </w:r>
      <w:r w:rsidR="002279A3">
        <w:t>«</w:t>
      </w:r>
      <w:r w:rsidRPr="002E334A">
        <w:t>рассмотреть и решить вопрос о выплате с 1 сентября 2019 года надбавок педагогам, работающим с детьми-инвалидами в обычных детских садах и общеобразовательных школах</w:t>
      </w:r>
      <w:r w:rsidR="002279A3">
        <w:t>»</w:t>
      </w:r>
      <w:r w:rsidRPr="002E334A">
        <w:t xml:space="preserve">, был подготовлен соответствующий проект постановления. </w:t>
      </w:r>
    </w:p>
    <w:p w14:paraId="73FF7350" w14:textId="77777777" w:rsidR="00154A55" w:rsidRPr="002E334A" w:rsidRDefault="00154A55" w:rsidP="002E334A">
      <w:pPr>
        <w:pStyle w:val="SingleTxtG"/>
      </w:pPr>
      <w:r w:rsidRPr="002E334A">
        <w:t>17.</w:t>
      </w:r>
      <w:r w:rsidRPr="002E334A">
        <w:tab/>
        <w:t xml:space="preserve">В целях обеспечения соответствия учебной программы специальных школ программе обычных школ, а также сближения уровня знаний учеников были пересмотрены учебные планы средних школ для детей с нарушениями интеллекта; старших классов средних школ для детей </w:t>
      </w:r>
      <w:r w:rsidRPr="002E334A">
        <w:rPr>
          <w:sz w:val="21"/>
          <w:szCs w:val="21"/>
          <w:shd w:val="clear" w:color="auto" w:fill="FFFFFF"/>
        </w:rPr>
        <w:t>с интеллектуальной инвалидностью</w:t>
      </w:r>
      <w:r w:rsidRPr="002E334A">
        <w:t>; школ для детей с нарушениями слуха; и школ для детей с нарушениями зрения. Кроме того, постановлением Министра образования, культуры, науки и спорта приняты и введены в действие следующие документы: учебная программа для подготовительного курса, программы обучения монгольскому языку, математике, устной и письменной речи, а</w:t>
      </w:r>
      <w:r w:rsidR="00BC6CB5">
        <w:t> </w:t>
      </w:r>
      <w:r w:rsidRPr="002E334A">
        <w:t xml:space="preserve">также программы усвоения навыков обращения с физическими предметами и выполнения упражнений по ритмике в начальных классах специальной школы № 29; гибкая </w:t>
      </w:r>
      <w:r w:rsidR="002279A3">
        <w:t>«</w:t>
      </w:r>
      <w:r w:rsidRPr="002E334A">
        <w:t>программа индивидуального обучения</w:t>
      </w:r>
      <w:r w:rsidR="002279A3">
        <w:t>»</w:t>
      </w:r>
      <w:r w:rsidRPr="002E334A">
        <w:t xml:space="preserve">, в которой учтены особенности развития, потребности и запросы детей-инвалидов, и методология разработки учебной программы; процедура оценки качества обучения и подготовки учеников средней школы. </w:t>
      </w:r>
    </w:p>
    <w:p w14:paraId="29F7CBAF" w14:textId="77777777" w:rsidR="00154A55" w:rsidRPr="002E334A" w:rsidRDefault="00154A55" w:rsidP="00971411">
      <w:pPr>
        <w:pStyle w:val="H23G"/>
      </w:pPr>
      <w:r w:rsidRPr="002E334A">
        <w:tab/>
      </w:r>
      <w:r w:rsidRPr="002E334A">
        <w:tab/>
        <w:t xml:space="preserve">Страхование как гарантия равенства прав лиц с инвалидностью на охрану здоровья и медицинское обслуживание </w:t>
      </w:r>
    </w:p>
    <w:p w14:paraId="224DC9B9" w14:textId="77777777" w:rsidR="00154A55" w:rsidRPr="002E334A" w:rsidRDefault="00154A55" w:rsidP="002E334A">
      <w:pPr>
        <w:pStyle w:val="SingleTxtG"/>
      </w:pPr>
      <w:r w:rsidRPr="002E334A">
        <w:t>18.</w:t>
      </w:r>
      <w:r w:rsidRPr="002E334A">
        <w:tab/>
        <w:t>Помимо услуг общественного здравоохранения и медицинской помощи</w:t>
      </w:r>
      <w:r w:rsidR="002E594E">
        <w:t>,</w:t>
      </w:r>
      <w:r w:rsidRPr="002E334A">
        <w:t xml:space="preserve"> Монголия предоставляет гражданам </w:t>
      </w:r>
      <w:r w:rsidR="004214F6">
        <w:t>семь</w:t>
      </w:r>
      <w:r w:rsidRPr="002E334A">
        <w:t xml:space="preserve"> видов медицинской помощи и услуг, включая охрану здоровья семьи, специализированную клиническую помощь, охрану здоровья матери, уход за больными, интенсивную терапию, экстренную помощь и реабилитационный уход. 90</w:t>
      </w:r>
      <w:r w:rsidR="00971411">
        <w:t> </w:t>
      </w:r>
      <w:r w:rsidRPr="002E334A">
        <w:t xml:space="preserve">% граждан охвачены системой медицинского страхования. Государство отвечает за выплату страхового взноса детям в возрасте от 0 до 18 лет; гражданам, не имеющим фиксированного дохода, кроме пенсий; лицам, нуждающимся в обязательной социальной помощи, или членам домохозяйств с доходом ниже прожиточного минимума; и родителям, ухаживающим за ребенком в </w:t>
      </w:r>
      <w:r w:rsidRPr="002E334A">
        <w:lastRenderedPageBreak/>
        <w:t xml:space="preserve">возрасте до двух лет. Большинство лиц с инвалидностью относятся к категории населения, за выплату страховой премии которой отвечает государство. </w:t>
      </w:r>
    </w:p>
    <w:p w14:paraId="1D408D2F" w14:textId="77777777" w:rsidR="00154A55" w:rsidRPr="002E334A" w:rsidRDefault="00154A55" w:rsidP="002E334A">
      <w:pPr>
        <w:pStyle w:val="SingleTxtG"/>
      </w:pPr>
      <w:r w:rsidRPr="002E334A">
        <w:t>19.</w:t>
      </w:r>
      <w:r w:rsidRPr="002E334A">
        <w:tab/>
        <w:t xml:space="preserve">Следовательно, инвалиды имеют право на получение медицинского обслуживания и помощи по полису медицинского страхования. Более того, как и любые другие граждане, лица с инвалидностью могут получить 10 видов медицинской помощи и услуг, финансируемых из государственного бюджета. Кроме того, принимаются меры по поддержке и охране здоровья детей, престарелых и лиц с инвалидностью через Фонд медицинского страхования путем покрытия или снижения стоимости некоторых жизненно необходимых лекарственных препаратов, медицинских приспособлений, протезов и ортопедических изделий, а также путем увеличения расходов с учетом уровня инфляции. В связи с этим в 2018 году Национальный совет по медицинскому страхованию принял решения № 10 и </w:t>
      </w:r>
      <w:r w:rsidR="00971411">
        <w:t xml:space="preserve">№ </w:t>
      </w:r>
      <w:r w:rsidRPr="002E334A">
        <w:t>11, в</w:t>
      </w:r>
      <w:r w:rsidR="00971411">
        <w:t> </w:t>
      </w:r>
      <w:r w:rsidRPr="002E334A">
        <w:t xml:space="preserve">соответствии с которыми были пересмотрены и введены в действие следующие документы: </w:t>
      </w:r>
      <w:r w:rsidR="002279A3">
        <w:t>«</w:t>
      </w:r>
      <w:r w:rsidRPr="002E334A">
        <w:t>Наименования и типы жизненно необходимых лекарственных препаратов для детей, предельные отпускные цены и скидки на них</w:t>
      </w:r>
      <w:r w:rsidR="002279A3">
        <w:t>»</w:t>
      </w:r>
      <w:r w:rsidRPr="002E334A">
        <w:t xml:space="preserve">, </w:t>
      </w:r>
      <w:r w:rsidR="002279A3">
        <w:t>«</w:t>
      </w:r>
      <w:r w:rsidRPr="002E334A">
        <w:t>Положение о финансировании за счет средств Фонда медицинского страхования расходов на некоторые виды дорогостоящей помощи, услуг, необходимых медицинских приспособлений, протезов и ортопедических изделий для реабилитационных целей и порядок рассмотрения его исполнения</w:t>
      </w:r>
      <w:r w:rsidR="002279A3">
        <w:t>»</w:t>
      </w:r>
      <w:r w:rsidRPr="002E334A">
        <w:t xml:space="preserve"> и </w:t>
      </w:r>
      <w:r w:rsidR="002279A3">
        <w:t>«</w:t>
      </w:r>
      <w:r w:rsidRPr="002E334A">
        <w:t>Перечень и стоимость дорогостоящей помощи, услуг, необходимых медицинских изделий, протезов и ортопедических изделий для реабилитационных целей, финансирование которых производится за счет средств Фонда медицинского страхования, с указанием размера средств, которые будут выделяться Фондом</w:t>
      </w:r>
      <w:r w:rsidR="002279A3">
        <w:t>»</w:t>
      </w:r>
      <w:r w:rsidRPr="002E334A">
        <w:t xml:space="preserve">. </w:t>
      </w:r>
    </w:p>
    <w:p w14:paraId="507508C8" w14:textId="77777777" w:rsidR="00154A55" w:rsidRPr="002E334A" w:rsidRDefault="00154A55" w:rsidP="002E334A">
      <w:pPr>
        <w:pStyle w:val="SingleTxtG"/>
      </w:pPr>
      <w:r w:rsidRPr="002E334A">
        <w:t>20.</w:t>
      </w:r>
      <w:r w:rsidRPr="002E334A">
        <w:tab/>
        <w:t xml:space="preserve">С целью создания условий для беспрепятственного получения лицами с инвалидностью медицинских услуг в государственных и местных больничных учреждениях, а также в национальных центрах здравоохранения принимаются меры по благоустройству их внешней и внутренней среды, а также по обеспечению их необходимым оборудованием и приспособлениями. Так, например, в 2016 году были отремонтированы и благоустроены внешние и прилегающие пространства, пешеходные дорожки Центральной больницы </w:t>
      </w:r>
      <w:r w:rsidR="002279A3">
        <w:t>«</w:t>
      </w:r>
      <w:proofErr w:type="spellStart"/>
      <w:r w:rsidRPr="002E334A">
        <w:t>Шастин</w:t>
      </w:r>
      <w:proofErr w:type="spellEnd"/>
      <w:r w:rsidR="00C670C6">
        <w:t>−</w:t>
      </w:r>
      <w:r w:rsidRPr="002E334A">
        <w:t>III</w:t>
      </w:r>
      <w:r w:rsidR="002279A3">
        <w:t>»</w:t>
      </w:r>
      <w:r w:rsidRPr="002E334A">
        <w:t xml:space="preserve">; в 2017 году </w:t>
      </w:r>
      <w:r w:rsidR="00971411">
        <w:t>⸺</w:t>
      </w:r>
      <w:r w:rsidRPr="002E334A">
        <w:t xml:space="preserve"> Национального травматологического и ортопедического научного центра, медицинского центра в </w:t>
      </w:r>
      <w:proofErr w:type="spellStart"/>
      <w:r w:rsidRPr="002E334A">
        <w:t>Сонгинохайрханском</w:t>
      </w:r>
      <w:proofErr w:type="spellEnd"/>
      <w:r w:rsidRPr="002E334A">
        <w:t xml:space="preserve"> районе, Национального онкологического центра; а в 2018 году </w:t>
      </w:r>
      <w:r w:rsidR="00971411">
        <w:t>⸺</w:t>
      </w:r>
      <w:r w:rsidRPr="002E334A">
        <w:t xml:space="preserve"> родильного дома </w:t>
      </w:r>
      <w:r w:rsidR="002279A3">
        <w:t>«</w:t>
      </w:r>
      <w:proofErr w:type="spellStart"/>
      <w:r w:rsidRPr="002E334A">
        <w:t>Ургуу</w:t>
      </w:r>
      <w:proofErr w:type="spellEnd"/>
      <w:r w:rsidR="002279A3">
        <w:t>»</w:t>
      </w:r>
      <w:r w:rsidRPr="002E334A">
        <w:t xml:space="preserve">, родильного дома </w:t>
      </w:r>
      <w:r w:rsidR="002279A3">
        <w:t>«</w:t>
      </w:r>
      <w:proofErr w:type="spellStart"/>
      <w:r w:rsidRPr="002E334A">
        <w:t>Амгалан</w:t>
      </w:r>
      <w:proofErr w:type="spellEnd"/>
      <w:r w:rsidR="002279A3">
        <w:t>»</w:t>
      </w:r>
      <w:r w:rsidRPr="002E334A">
        <w:t xml:space="preserve">, медицинского центра в </w:t>
      </w:r>
      <w:proofErr w:type="spellStart"/>
      <w:r w:rsidRPr="002E334A">
        <w:t>Баянзурхском</w:t>
      </w:r>
      <w:proofErr w:type="spellEnd"/>
      <w:r w:rsidRPr="002E334A">
        <w:t xml:space="preserve"> районе, первой амбулатории в Хан-</w:t>
      </w:r>
      <w:proofErr w:type="spellStart"/>
      <w:r w:rsidRPr="002E334A">
        <w:t>Уулском</w:t>
      </w:r>
      <w:proofErr w:type="spellEnd"/>
      <w:r w:rsidRPr="002E334A">
        <w:t xml:space="preserve"> районе, Национального центра здоровья матери и ребенка и Национального центра инфекционных заболеваний. В 2019 году проводится благоустройство и ремонт дорог, тротуаров и прилегающих пространств медицинских центров в </w:t>
      </w:r>
      <w:proofErr w:type="spellStart"/>
      <w:r w:rsidRPr="002E334A">
        <w:t>Налайхском</w:t>
      </w:r>
      <w:proofErr w:type="spellEnd"/>
      <w:r w:rsidRPr="002E334A">
        <w:t xml:space="preserve">, </w:t>
      </w:r>
      <w:proofErr w:type="spellStart"/>
      <w:r w:rsidRPr="002E334A">
        <w:t>Багануурском</w:t>
      </w:r>
      <w:proofErr w:type="spellEnd"/>
      <w:r w:rsidRPr="002E334A">
        <w:t xml:space="preserve"> и </w:t>
      </w:r>
      <w:proofErr w:type="spellStart"/>
      <w:r w:rsidRPr="002E334A">
        <w:rPr>
          <w:rStyle w:val="extended-textshort"/>
        </w:rPr>
        <w:t>Багахангай</w:t>
      </w:r>
      <w:r w:rsidRPr="002E334A">
        <w:t>ском</w:t>
      </w:r>
      <w:proofErr w:type="spellEnd"/>
      <w:r w:rsidRPr="002E334A">
        <w:t xml:space="preserve"> районах, Национальной центральной больницы I, Национального центра судебной медицины и Национального центра психического здоровья. </w:t>
      </w:r>
    </w:p>
    <w:p w14:paraId="34DED027" w14:textId="77777777" w:rsidR="00154A55" w:rsidRPr="002E334A" w:rsidRDefault="00154A55" w:rsidP="002E334A">
      <w:pPr>
        <w:pStyle w:val="SingleTxtG"/>
      </w:pPr>
      <w:r w:rsidRPr="002E334A">
        <w:t>21.</w:t>
      </w:r>
      <w:r w:rsidRPr="002E334A">
        <w:tab/>
        <w:t>Работы по улучшению внешней среды включают в себя реконструкцию автостоянок, устройство освещения, тротуаров, зеленых зон, зон отдыха с зелеными насаждениями, оборудование типовых зон для карет скорой помощи и санитарной авиации, организацию транспортного движения в непосредственной близости от больниц, устройство дополнительных выездов и въездов, а также установку пандусов и указательных табличек</w:t>
      </w:r>
      <w:r w:rsidRPr="002E334A">
        <w:rPr>
          <w:b/>
          <w:bCs/>
        </w:rPr>
        <w:t xml:space="preserve"> </w:t>
      </w:r>
      <w:r w:rsidRPr="002E334A">
        <w:t xml:space="preserve">для обеспечения безопасной, надежной и здоровой среды, исключающей присутствие автотранспорта и благоприятствующей предоставлению услуг пациентами и посетителями, особенно лицам с инвалидностью. </w:t>
      </w:r>
    </w:p>
    <w:p w14:paraId="62E4266E" w14:textId="77777777" w:rsidR="00154A55" w:rsidRPr="002E334A" w:rsidRDefault="00154A55" w:rsidP="002E334A">
      <w:pPr>
        <w:pStyle w:val="SingleTxtG"/>
      </w:pPr>
      <w:r w:rsidRPr="002E334A">
        <w:t>22.</w:t>
      </w:r>
      <w:r w:rsidRPr="002E334A">
        <w:tab/>
        <w:t xml:space="preserve">В соответствии с </w:t>
      </w:r>
      <w:r w:rsidR="002279A3">
        <w:t>«</w:t>
      </w:r>
      <w:r w:rsidRPr="002E334A">
        <w:t>Национальной программой охраны здоровья матери и</w:t>
      </w:r>
      <w:r w:rsidR="00971411">
        <w:t> </w:t>
      </w:r>
      <w:r w:rsidRPr="002E334A">
        <w:t>ребенка и репродуктивного здоровья</w:t>
      </w:r>
      <w:r w:rsidR="002279A3">
        <w:t>»</w:t>
      </w:r>
      <w:r w:rsidRPr="002E334A">
        <w:t>, утвержденной постановлением правительства</w:t>
      </w:r>
      <w:r w:rsidR="00971411">
        <w:t> </w:t>
      </w:r>
      <w:r w:rsidRPr="002E334A">
        <w:t>№ 78 в 2017 году, с целью профилактики инвалидности детей каждый новорожденный проходит четыре вида контрольных осмотров (УЗИ тазобедренного сустава новорожденных, скрининг слуха новорожденных, скрининг ретинопатии недоношенных, скрининг метаболических заболеваний новорожденных). По</w:t>
      </w:r>
      <w:r w:rsidR="00971411">
        <w:t> </w:t>
      </w:r>
      <w:r w:rsidRPr="002E334A">
        <w:t>состоянию на август 2018 года УЗИ тазобедренного сустава прошли в общей сложности 308</w:t>
      </w:r>
      <w:r w:rsidR="00971411">
        <w:t> </w:t>
      </w:r>
      <w:r w:rsidRPr="002E334A">
        <w:t xml:space="preserve">254 новорожденных, к 4647 новорожденным были применены нехирургические методы лечения, позволившие предотвратить наступление </w:t>
      </w:r>
      <w:r w:rsidRPr="002E334A">
        <w:lastRenderedPageBreak/>
        <w:t xml:space="preserve">инвалидности. В общей сложности 4413 новорожденных были охвачены скринингом ретинопатии недоношенных, позволившим им избежать слепоты. </w:t>
      </w:r>
      <w:r w:rsidR="00971411">
        <w:br/>
      </w:r>
      <w:r w:rsidRPr="002E334A">
        <w:t>И 163 новорожденных из 59 155, участвовавших в контрольном осмотре слуха, прошли лечение, позволившее предотвратить глухоту</w:t>
      </w:r>
      <w:r w:rsidRPr="00BC6CB5">
        <w:rPr>
          <w:rStyle w:val="aa"/>
        </w:rPr>
        <w:footnoteReference w:id="8"/>
      </w:r>
      <w:r w:rsidRPr="002E334A">
        <w:t xml:space="preserve">. В будущем необходимо принять конкретные меры по обеспечению условий для того, чтобы дети-инвалиды могли без затруднений получать услуги в секторе здравоохранения, а также изменить отношение к ним со стороны врачей и медицинского персонала. </w:t>
      </w:r>
    </w:p>
    <w:p w14:paraId="65A347FD" w14:textId="77777777" w:rsidR="00154A55" w:rsidRPr="002E334A" w:rsidRDefault="00154A55" w:rsidP="00971411">
      <w:pPr>
        <w:pStyle w:val="H23G"/>
      </w:pPr>
      <w:r w:rsidRPr="002E334A">
        <w:tab/>
      </w:r>
      <w:r w:rsidRPr="002E334A">
        <w:tab/>
        <w:t>Обеспечение доступности и комфортности помещений и инфраструктуры для</w:t>
      </w:r>
      <w:r w:rsidR="00971411">
        <w:t> </w:t>
      </w:r>
      <w:r w:rsidRPr="002E334A">
        <w:t>лиц с инвалидностью</w:t>
      </w:r>
    </w:p>
    <w:p w14:paraId="440DA2AE" w14:textId="77777777" w:rsidR="00154A55" w:rsidRPr="002E334A" w:rsidRDefault="00154A55" w:rsidP="00971411">
      <w:pPr>
        <w:pStyle w:val="H4G"/>
      </w:pPr>
      <w:r w:rsidRPr="002E334A">
        <w:tab/>
      </w:r>
      <w:r w:rsidRPr="002E334A">
        <w:tab/>
        <w:t>Улучшение правовой базы и обеспечение ее применения</w:t>
      </w:r>
    </w:p>
    <w:p w14:paraId="5A26CB05" w14:textId="77777777" w:rsidR="00154A55" w:rsidRPr="002E334A" w:rsidRDefault="00154A55" w:rsidP="002E334A">
      <w:pPr>
        <w:pStyle w:val="SingleTxtG"/>
      </w:pPr>
      <w:r w:rsidRPr="002E334A">
        <w:t>23.</w:t>
      </w:r>
      <w:r w:rsidRPr="002E334A">
        <w:tab/>
        <w:t xml:space="preserve">В 2016 году парламент принял пересмотренный Закон о строительстве, который включает положения и нормы, касающиеся удовлетворения потребностей и нужд лиц с инвалидностью; в настоящее время проводится пересмотр соответствующих подзаконных актов и процедур. Готовится проект пересмотренного Закона о градостроительной деятельности, в котором будут отражены новые и уточнены старые положения, касающиеся потребностей и нужд лиц с инвалидностью. В проект Закона об автостоянках было включено положение, касающееся создания в соответствии с соответствующими стандартами, правилами и нормами мест для водителей с инвалидностью. В пересмотренный проект Закона о земельном сборе включено положение, гласящее: </w:t>
      </w:r>
      <w:r w:rsidR="002279A3">
        <w:t>«</w:t>
      </w:r>
      <w:r w:rsidRPr="002E334A">
        <w:t>Скидка в размере 100</w:t>
      </w:r>
      <w:r w:rsidR="00971411">
        <w:t> </w:t>
      </w:r>
      <w:r w:rsidRPr="002E334A">
        <w:t xml:space="preserve">% в течение первых </w:t>
      </w:r>
      <w:r w:rsidR="00971411">
        <w:t>трех</w:t>
      </w:r>
      <w:r w:rsidRPr="002E334A">
        <w:t xml:space="preserve"> лет и скидка в размере 50</w:t>
      </w:r>
      <w:r w:rsidR="00971411">
        <w:t> </w:t>
      </w:r>
      <w:r w:rsidRPr="002E334A">
        <w:t xml:space="preserve">% в течение последующих </w:t>
      </w:r>
      <w:r w:rsidR="00971411">
        <w:t>трех</w:t>
      </w:r>
      <w:r w:rsidRPr="002E334A">
        <w:t xml:space="preserve"> лет предоставляются лицам с инвалидностью, которые открывают новое предприятие в сфере производства и услуг</w:t>
      </w:r>
      <w:r w:rsidR="002279A3">
        <w:t>»</w:t>
      </w:r>
      <w:r w:rsidRPr="002E334A">
        <w:t xml:space="preserve">. Для подготовки законопроекта о доступности была сформирована целевая группа. Члены целевой группы посетили город Нагоя в Японии для ознакомления с передовой практикой и подготовили первый законопроект. Законопроект состоит из следующих глав: Глава 1 </w:t>
      </w:r>
      <w:r w:rsidR="00971411">
        <w:t>⸺</w:t>
      </w:r>
      <w:r w:rsidRPr="002E334A">
        <w:t xml:space="preserve"> Общие положения, Глава 2 </w:t>
      </w:r>
      <w:r w:rsidR="00971411">
        <w:t>⸺</w:t>
      </w:r>
      <w:r w:rsidRPr="002E334A">
        <w:t xml:space="preserve"> Обеспечение доступности в строительстве и градостроительстве, Глава 3 </w:t>
      </w:r>
      <w:r w:rsidR="00971411">
        <w:t>⸺</w:t>
      </w:r>
      <w:r w:rsidRPr="002E334A">
        <w:t xml:space="preserve"> Доступность дорог и транспорта, Глава 4 </w:t>
      </w:r>
      <w:r w:rsidR="00971411">
        <w:t>⸺</w:t>
      </w:r>
      <w:r w:rsidRPr="002E334A">
        <w:t xml:space="preserve"> Доступность телекоммуникаций, Глава 5 </w:t>
      </w:r>
      <w:r w:rsidR="00971411">
        <w:t>⸺</w:t>
      </w:r>
      <w:r w:rsidRPr="002E334A">
        <w:t xml:space="preserve"> Права, обязанности, структура субъекта, уполномоченного содействовать созданию доступной среды, и</w:t>
      </w:r>
      <w:r w:rsidR="00971411">
        <w:t> </w:t>
      </w:r>
      <w:r w:rsidRPr="002E334A">
        <w:t xml:space="preserve">принимаемые им меры, а также Глава 6 </w:t>
      </w:r>
      <w:r w:rsidR="00971411">
        <w:t>⸺</w:t>
      </w:r>
      <w:r w:rsidRPr="002E334A">
        <w:t xml:space="preserve"> Разное. </w:t>
      </w:r>
    </w:p>
    <w:p w14:paraId="1D47688B" w14:textId="77777777" w:rsidR="00154A55" w:rsidRPr="002E334A" w:rsidRDefault="00154A55" w:rsidP="00971411">
      <w:pPr>
        <w:pStyle w:val="H4G"/>
      </w:pPr>
      <w:r w:rsidRPr="002E334A">
        <w:tab/>
      </w:r>
      <w:r w:rsidRPr="002E334A">
        <w:tab/>
        <w:t>Обеспечение соблюдения законов, подзаконных актов и процедур</w:t>
      </w:r>
    </w:p>
    <w:p w14:paraId="57825B49" w14:textId="61EDE38E" w:rsidR="00154A55" w:rsidRPr="002E334A" w:rsidRDefault="00154A55" w:rsidP="002E334A">
      <w:pPr>
        <w:pStyle w:val="SingleTxtG"/>
      </w:pPr>
      <w:r w:rsidRPr="002E334A">
        <w:t>24.</w:t>
      </w:r>
      <w:r w:rsidRPr="002E334A">
        <w:tab/>
        <w:t>В области улучшения доступности объектов гражданского строительства, дорог, дорожных сооружений и услуг общественного транспорта принято более 10</w:t>
      </w:r>
      <w:r w:rsidR="00971411">
        <w:t> </w:t>
      </w:r>
      <w:r w:rsidRPr="002E334A">
        <w:t xml:space="preserve">норм и стандартов, отвечающих потребностям лиц с инвалидностью, в частности стандарт MNS 91.040.10: 2009 </w:t>
      </w:r>
      <w:r w:rsidR="002279A3">
        <w:t>«</w:t>
      </w:r>
      <w:r w:rsidRPr="002E334A">
        <w:t xml:space="preserve">Организация пространства с учетом потребностей </w:t>
      </w:r>
      <w:bookmarkStart w:id="2" w:name="_Hlk63868237"/>
      <w:r w:rsidRPr="002E334A">
        <w:t>лиц с инвалидностью</w:t>
      </w:r>
      <w:bookmarkEnd w:id="2"/>
      <w:r w:rsidRPr="002E334A">
        <w:t xml:space="preserve"> при планировании гражданского строительства</w:t>
      </w:r>
      <w:r w:rsidR="002279A3">
        <w:t>»</w:t>
      </w:r>
      <w:r w:rsidRPr="002E334A">
        <w:t xml:space="preserve">, строительное правило </w:t>
      </w:r>
      <w:r w:rsidR="002279A3">
        <w:t>«</w:t>
      </w:r>
      <w:r w:rsidRPr="002E334A">
        <w:t>Планирование, учитывающее потребности лиц с инвалидностью</w:t>
      </w:r>
      <w:r w:rsidR="002279A3">
        <w:t>»</w:t>
      </w:r>
      <w:r w:rsidRPr="002E334A">
        <w:t xml:space="preserve">, </w:t>
      </w:r>
      <w:bookmarkStart w:id="3" w:name="_Hlk63868491"/>
      <w:r w:rsidRPr="002E334A">
        <w:t>строительные нормы и правила</w:t>
      </w:r>
      <w:bookmarkEnd w:id="3"/>
      <w:r w:rsidRPr="002E334A">
        <w:t xml:space="preserve"> </w:t>
      </w:r>
      <w:r w:rsidR="002279A3">
        <w:t>«</w:t>
      </w:r>
      <w:r w:rsidRPr="002E334A">
        <w:t>Планирование жилых зданий в строительстве</w:t>
      </w:r>
      <w:r w:rsidR="002279A3">
        <w:t>»</w:t>
      </w:r>
      <w:r w:rsidRPr="002E334A">
        <w:t xml:space="preserve">, </w:t>
      </w:r>
      <w:r w:rsidR="002279A3">
        <w:t>«</w:t>
      </w:r>
      <w:r w:rsidRPr="002E334A">
        <w:t>Руководство по разработке эскизов и чертежей зданий образовательных учреждений</w:t>
      </w:r>
      <w:r w:rsidR="002279A3">
        <w:t>»</w:t>
      </w:r>
      <w:r w:rsidRPr="002E334A">
        <w:t xml:space="preserve">, строительное правило </w:t>
      </w:r>
      <w:r w:rsidR="002279A3">
        <w:t>«</w:t>
      </w:r>
      <w:r w:rsidRPr="002E334A">
        <w:t>Технологические чертежи для строительства складов нефти и нефтепродуктов</w:t>
      </w:r>
      <w:r w:rsidR="002279A3">
        <w:t>»</w:t>
      </w:r>
      <w:r w:rsidRPr="002E334A">
        <w:t xml:space="preserve">, строительные нормы и правила </w:t>
      </w:r>
      <w:r w:rsidR="002279A3">
        <w:t>«</w:t>
      </w:r>
      <w:r w:rsidRPr="002E334A">
        <w:t>Строительство объектов для хранения и переработки пшеницы</w:t>
      </w:r>
      <w:r w:rsidR="002279A3">
        <w:t>»</w:t>
      </w:r>
      <w:r w:rsidRPr="002E334A">
        <w:t xml:space="preserve">, </w:t>
      </w:r>
      <w:r w:rsidR="002279A3">
        <w:t>«</w:t>
      </w:r>
      <w:r w:rsidRPr="002E334A">
        <w:t>Заводской объект</w:t>
      </w:r>
      <w:r w:rsidR="002279A3">
        <w:t>»</w:t>
      </w:r>
      <w:r w:rsidRPr="002E334A">
        <w:t xml:space="preserve"> и т.</w:t>
      </w:r>
      <w:r w:rsidR="00971411">
        <w:t> </w:t>
      </w:r>
      <w:r w:rsidRPr="002E334A">
        <w:t xml:space="preserve">д. С целью обеспечения выполнения этих законодательных актов, процедур и правил независимым экспертам в области строительства и архитектуры поручается проведение оценки вероятных рисков по техническим чертежам зданий общего пользования, например многоквартирных домов, офисных зданий, школ, центров обслуживания, больничных учреждений, общежитий и культурных центров. Курсы по применению инфраструктурных решений с учетом потребностей лиц с инвалидностью в градостроительной практике и строительном проектировании были включены в </w:t>
      </w:r>
      <w:r w:rsidR="002279A3">
        <w:t>«</w:t>
      </w:r>
      <w:r w:rsidRPr="002E334A">
        <w:t>Программу повышения квалификации архитекторов</w:t>
      </w:r>
      <w:r w:rsidR="002279A3">
        <w:t>»</w:t>
      </w:r>
      <w:r w:rsidRPr="002E334A">
        <w:t xml:space="preserve"> (2</w:t>
      </w:r>
      <w:r w:rsidR="002F0375" w:rsidRPr="002F0375">
        <w:t>–</w:t>
      </w:r>
      <w:r w:rsidRPr="002E334A">
        <w:t>4</w:t>
      </w:r>
      <w:r w:rsidR="002F0375" w:rsidRPr="002F0375">
        <w:t>-</w:t>
      </w:r>
      <w:r w:rsidRPr="002E334A">
        <w:t>часовой курс) и программу обучения инженеров-строителей.</w:t>
      </w:r>
    </w:p>
    <w:p w14:paraId="3EF4E19A" w14:textId="77777777" w:rsidR="00154A55" w:rsidRPr="002E334A" w:rsidRDefault="00154A55" w:rsidP="00971411">
      <w:pPr>
        <w:pStyle w:val="H4G"/>
      </w:pPr>
      <w:r w:rsidRPr="002E334A">
        <w:lastRenderedPageBreak/>
        <w:tab/>
      </w:r>
      <w:r w:rsidRPr="002E334A">
        <w:tab/>
        <w:t>Обеспечение участия лиц с инвалидностью в создании доступной инфраструктуры и</w:t>
      </w:r>
      <w:r w:rsidR="00971411">
        <w:t> </w:t>
      </w:r>
      <w:r w:rsidRPr="002E334A">
        <w:t>доступных зданий</w:t>
      </w:r>
    </w:p>
    <w:p w14:paraId="537FA1DE" w14:textId="77777777" w:rsidR="00154A55" w:rsidRPr="002E334A" w:rsidRDefault="00154A55" w:rsidP="002E334A">
      <w:pPr>
        <w:pStyle w:val="SingleTxtG"/>
      </w:pPr>
      <w:r w:rsidRPr="002E334A">
        <w:t>25.</w:t>
      </w:r>
      <w:r w:rsidRPr="002E334A">
        <w:tab/>
        <w:t xml:space="preserve">Согласно принятому правительством в 2017 году </w:t>
      </w:r>
      <w:r w:rsidR="002279A3">
        <w:t>«</w:t>
      </w:r>
      <w:r w:rsidRPr="002E334A">
        <w:t>Порядку ввода в эксплуатацию помещений</w:t>
      </w:r>
      <w:r w:rsidR="002279A3">
        <w:t>»</w:t>
      </w:r>
      <w:r w:rsidRPr="002E334A">
        <w:t xml:space="preserve">, лица с инвалидностью должны </w:t>
      </w:r>
      <w:r w:rsidR="009810F7" w:rsidRPr="002E334A">
        <w:t>входить</w:t>
      </w:r>
      <w:r w:rsidRPr="002E334A">
        <w:t xml:space="preserve"> в состав государственной комиссии по сдаче помещений в эксплуатацию. В связи с этим в 2018</w:t>
      </w:r>
      <w:r w:rsidR="009810F7">
        <w:t> </w:t>
      </w:r>
      <w:r w:rsidRPr="002E334A">
        <w:t xml:space="preserve">году в аймаках были проведены курсы подготовки по укреплению потенциала лиц с инвалидностью. При содействии проекта </w:t>
      </w:r>
      <w:r w:rsidRPr="002E334A">
        <w:rPr>
          <w:shd w:val="clear" w:color="auto" w:fill="FFFFFF"/>
        </w:rPr>
        <w:t>ЯАМС</w:t>
      </w:r>
      <w:r w:rsidRPr="002E334A">
        <w:t xml:space="preserve"> </w:t>
      </w:r>
      <w:r w:rsidR="002279A3">
        <w:t>«</w:t>
      </w:r>
      <w:r w:rsidRPr="002E334A">
        <w:t>Поддержка социального участия лиц с инвалидностью в городе Улан-Батор</w:t>
      </w:r>
      <w:r w:rsidR="002279A3">
        <w:t>»</w:t>
      </w:r>
      <w:r w:rsidRPr="002E334A">
        <w:t xml:space="preserve"> (</w:t>
      </w:r>
      <w:r w:rsidRPr="002E334A">
        <w:rPr>
          <w:shd w:val="clear" w:color="auto" w:fill="FFFFFF"/>
        </w:rPr>
        <w:t>ЯАМС</w:t>
      </w:r>
      <w:r w:rsidR="00C670C6">
        <w:t>−</w:t>
      </w:r>
      <w:r w:rsidRPr="002E334A">
        <w:t xml:space="preserve">ПСУИ) был подготовлен опросный перечень для проверки участия лиц с инвалидностью в процесс выдачи разрешений на строительство и сдачу зданий в эксплуатацию. В 2016 и 2017 годах НПО, действующие в области защиты прав лиц с инвалидностью, реализуемый </w:t>
      </w:r>
      <w:r w:rsidRPr="002E334A">
        <w:rPr>
          <w:shd w:val="clear" w:color="auto" w:fill="FFFFFF"/>
        </w:rPr>
        <w:t>ЯАМС</w:t>
      </w:r>
      <w:r w:rsidRPr="002E334A">
        <w:t xml:space="preserve"> проект ПСУИ и соответствующие государственные организации провели совместную оценку доступности отдельных автовокзалов, пешеходных дорожек, общественного транспорта, зданий государственных организаций, организаций обслуживания и частных предприятий, а также нового аэропорта в долине </w:t>
      </w:r>
      <w:proofErr w:type="spellStart"/>
      <w:r w:rsidRPr="002E334A">
        <w:t>Хошиг</w:t>
      </w:r>
      <w:proofErr w:type="spellEnd"/>
      <w:r w:rsidRPr="002E334A">
        <w:t xml:space="preserve">. Соответствующим организациям были представлены подготовленные по итогам оценки рекомендации и предложения. В прошедших оценку объектах и зданиях был принят ряд позитивных мер, отвечающих требованиям к обеспечению безопасности не только для лиц с инвалидностью, но и для престарелых, детей и беременных женщин. </w:t>
      </w:r>
    </w:p>
    <w:p w14:paraId="6271A214" w14:textId="77777777" w:rsidR="00154A55" w:rsidRPr="002E334A" w:rsidRDefault="00154A55" w:rsidP="002E334A">
      <w:pPr>
        <w:pStyle w:val="SingleTxtG"/>
      </w:pPr>
      <w:r w:rsidRPr="002E334A">
        <w:t>26.</w:t>
      </w:r>
      <w:r w:rsidRPr="002E334A">
        <w:tab/>
        <w:t>Монгольская национальная ассоциация пользователей инвалидных колясок и неправительственные организации, специализирующиеся на оценке доступности, в</w:t>
      </w:r>
      <w:r w:rsidR="009810F7">
        <w:t> </w:t>
      </w:r>
      <w:r w:rsidRPr="002E334A">
        <w:t xml:space="preserve">том числе центры самостоятельного проживания (ЦСП) </w:t>
      </w:r>
      <w:r w:rsidR="002279A3">
        <w:t>«</w:t>
      </w:r>
      <w:r w:rsidRPr="002E334A">
        <w:t>Всеобщий прогресс</w:t>
      </w:r>
      <w:r w:rsidR="002279A3">
        <w:t>»</w:t>
      </w:r>
      <w:r w:rsidRPr="002E334A">
        <w:t xml:space="preserve"> и </w:t>
      </w:r>
      <w:r w:rsidR="002279A3">
        <w:t>«</w:t>
      </w:r>
      <w:proofErr w:type="spellStart"/>
      <w:r w:rsidRPr="002E334A">
        <w:t>Сонгино</w:t>
      </w:r>
      <w:proofErr w:type="spellEnd"/>
      <w:r w:rsidR="002279A3">
        <w:t>»</w:t>
      </w:r>
      <w:r w:rsidRPr="002E334A">
        <w:t>, провели в Улан-Баторе оценку доступности 37 организаций, находящихся</w:t>
      </w:r>
      <w:r w:rsidR="009810F7">
        <w:t> </w:t>
      </w:r>
      <w:r w:rsidRPr="002E334A">
        <w:t>в ведении Министерства труда и социальной защиты (МТСЗ); она проводилась в соответствии с методическими рекомендациями, утвержденными постановлением</w:t>
      </w:r>
      <w:r w:rsidR="009810F7">
        <w:t> </w:t>
      </w:r>
      <w:r w:rsidRPr="002E334A">
        <w:t>№</w:t>
      </w:r>
      <w:r w:rsidR="009810F7">
        <w:t> </w:t>
      </w:r>
      <w:r w:rsidRPr="002E334A">
        <w:t xml:space="preserve">А/93 Министра труда и социальной защиты с целью создания на базе Министерства образцовой модели того, как следует обеспечивать полную доступность. Эта оценка положила начало действиям в секторе, направленным на облегчение создания доступной и комфортной среды для лиц с инвалидностью и соответствующей модели. В 2019 году по результатам оценки в сотрудничестве с финансируемым Всемирным банком </w:t>
      </w:r>
      <w:r w:rsidR="002279A3">
        <w:t>«</w:t>
      </w:r>
      <w:r w:rsidRPr="002E334A">
        <w:t>Проектом поддержки занятости</w:t>
      </w:r>
      <w:r w:rsidR="002279A3">
        <w:t>»</w:t>
      </w:r>
      <w:r w:rsidRPr="002E334A">
        <w:t xml:space="preserve"> во всех аймаках и </w:t>
      </w:r>
      <w:proofErr w:type="spellStart"/>
      <w:r w:rsidRPr="002E334A">
        <w:t>сомонах</w:t>
      </w:r>
      <w:proofErr w:type="spellEnd"/>
      <w:r w:rsidRPr="002E334A">
        <w:t xml:space="preserve"> будут открыты залы обслуживания департаментов труда и социальной защиты. Кроме того, основанная лицами с инвалидностью компания ООО </w:t>
      </w:r>
      <w:r w:rsidR="002279A3">
        <w:t>«</w:t>
      </w:r>
      <w:proofErr w:type="spellStart"/>
      <w:r w:rsidRPr="002E334A">
        <w:t>Рехтус</w:t>
      </w:r>
      <w:proofErr w:type="spellEnd"/>
      <w:r w:rsidR="002279A3">
        <w:t>»</w:t>
      </w:r>
      <w:r w:rsidRPr="002E334A">
        <w:t xml:space="preserve"> выполнила работы по обеспечению доступности здания МТСЗ. По</w:t>
      </w:r>
      <w:r w:rsidR="009810F7">
        <w:t> </w:t>
      </w:r>
      <w:r w:rsidRPr="002E334A">
        <w:t xml:space="preserve">завершении этих работ были отремонтированы и сделаны доступными </w:t>
      </w:r>
      <w:r w:rsidR="009810F7">
        <w:t>три</w:t>
      </w:r>
      <w:r w:rsidRPr="002E334A">
        <w:t xml:space="preserve"> туалетные комнаты, выложена тактильной плиткой площадь размером более 50 м</w:t>
      </w:r>
      <w:r w:rsidRPr="002E334A">
        <w:rPr>
          <w:vertAlign w:val="superscript"/>
        </w:rPr>
        <w:t>2</w:t>
      </w:r>
      <w:r w:rsidRPr="002E334A">
        <w:t xml:space="preserve"> и установлено более 100</w:t>
      </w:r>
      <w:r w:rsidR="009810F7">
        <w:t> </w:t>
      </w:r>
      <w:r w:rsidRPr="002E334A">
        <w:t xml:space="preserve">м поручней. После проведения ремонта для лиц с инвалидностью в здании Министерства стали доступны два зала. Все таблички на дверях и таблички с информацией о здании оформлены с использованием шрифта Брайля, а для пользователей инвалидных колясок установлено подъемное оборудование. Благодаря этому МТСЗ стало образцовой организацией, которая является примером для других государственных организаций, что способствует созданию благоприятной, комфортной и доступной среды не только для лиц с инвалидностью, но и для всех остальных категорий населения. </w:t>
      </w:r>
    </w:p>
    <w:p w14:paraId="3C63D0B4" w14:textId="77777777" w:rsidR="00154A55" w:rsidRPr="002E334A" w:rsidRDefault="00154A55" w:rsidP="002E334A">
      <w:pPr>
        <w:pStyle w:val="SingleTxtG"/>
      </w:pPr>
      <w:r w:rsidRPr="002E334A">
        <w:t>27.</w:t>
      </w:r>
      <w:r w:rsidRPr="002E334A">
        <w:tab/>
        <w:t xml:space="preserve">На основании изданного 27 июня 2018 года Министром дорожно-транспортного развития приказа о проведении государственной проверки в рамках оценки и пересмотра стандартов, относящихся к объектам гражданского строительства, дорогам, дорожным объектам и общественному транспорту, была сформирована подкомиссия, которая выпустила ряд рекомендаций и выводов в рамках реализации </w:t>
      </w:r>
      <w:r w:rsidR="002279A3">
        <w:t>«</w:t>
      </w:r>
      <w:r w:rsidRPr="002E334A">
        <w:t>Национальной программы поощрения прав человека, обеспечения участия и развития лиц с инвалидностью</w:t>
      </w:r>
      <w:r w:rsidR="002279A3">
        <w:t>»</w:t>
      </w:r>
      <w:r w:rsidRPr="002E334A">
        <w:t xml:space="preserve"> (Национальная программа), утвержденной постановлением правительства № 321 в 2017 году.</w:t>
      </w:r>
    </w:p>
    <w:p w14:paraId="5C4A5165" w14:textId="77777777" w:rsidR="00154A55" w:rsidRPr="002E334A" w:rsidRDefault="00154A55" w:rsidP="002E334A">
      <w:pPr>
        <w:pStyle w:val="SingleTxtG"/>
      </w:pPr>
      <w:r w:rsidRPr="002E334A">
        <w:t>28.</w:t>
      </w:r>
      <w:r w:rsidRPr="002E334A">
        <w:tab/>
        <w:t xml:space="preserve">В рамках выполнения рекомендаций в дорожно-транспортном секторе удалось добиться определенных положительных изменений. Так, например, по громкоговорителям объявляются железнодорожные станции, а названия и местоположение станций четко отображаются на экранах информационных табло. Это услуги удовлетворяют потребности лиц с нарушениями зрения и слуха и являются </w:t>
      </w:r>
      <w:r w:rsidRPr="002E334A">
        <w:lastRenderedPageBreak/>
        <w:t xml:space="preserve">доступными для них. Пассажирский поезд № 482 оборудован в соответствии с национальным стандартом МНС 5876:2012 с учетом потребностей пассажиров с инвалидностью: пассажиры в инвалидных колясках имеют возможность комфортно передвигаться по железной дороге без каких-либо препятствий. Поезд отправляется два раза в неделю в соответствии с утвержденным графиком; за 216 рейсов он обслужил 2160 лиц с инвалидностью. При установке поручней и сооружении пандусов для инвалидов-колясочников на железнодорожных вокзалах обращается внимание на комфортность передвижения пассажиров с инвалидностью. Пассажирские и сервисные центры </w:t>
      </w:r>
      <w:proofErr w:type="spellStart"/>
      <w:r w:rsidRPr="002E334A">
        <w:t>Баянзурхского</w:t>
      </w:r>
      <w:proofErr w:type="spellEnd"/>
      <w:r w:rsidRPr="002E334A">
        <w:t xml:space="preserve"> и </w:t>
      </w:r>
      <w:proofErr w:type="spellStart"/>
      <w:r w:rsidRPr="002E334A">
        <w:t>Сонгинохайрханского</w:t>
      </w:r>
      <w:proofErr w:type="spellEnd"/>
      <w:r w:rsidRPr="002E334A">
        <w:t xml:space="preserve"> районов в городе </w:t>
      </w:r>
      <w:r w:rsidR="009810F7">
        <w:br/>
      </w:r>
      <w:r w:rsidRPr="002E334A">
        <w:t xml:space="preserve">Улан-Батор добавили в систему бронирования билетов опцию </w:t>
      </w:r>
      <w:r w:rsidR="002279A3">
        <w:t>«</w:t>
      </w:r>
      <w:r w:rsidRPr="002E334A">
        <w:t>места для инвалида</w:t>
      </w:r>
      <w:r w:rsidR="002279A3">
        <w:t>»</w:t>
      </w:r>
      <w:r w:rsidRPr="002E334A">
        <w:t xml:space="preserve"> с целью внедрения услуг, отвечающих международному стандарту и обеспечивающих доступность для лиц с инвалидностью. </w:t>
      </w:r>
    </w:p>
    <w:p w14:paraId="2A217EE3" w14:textId="77777777" w:rsidR="00154A55" w:rsidRPr="002E334A" w:rsidRDefault="00154A55" w:rsidP="002E334A">
      <w:pPr>
        <w:pStyle w:val="SingleTxtG"/>
      </w:pPr>
      <w:r w:rsidRPr="002E334A">
        <w:t>29.</w:t>
      </w:r>
      <w:r w:rsidRPr="002E334A">
        <w:tab/>
        <w:t>В 2018 году в Улан-Баторе было выполнено уплотнение грунта на поверхности, равной в общей сложности 9731</w:t>
      </w:r>
      <w:r w:rsidR="006571D7">
        <w:t> </w:t>
      </w:r>
      <w:r w:rsidRPr="002E334A">
        <w:t>м</w:t>
      </w:r>
      <w:r w:rsidRPr="002E334A">
        <w:rPr>
          <w:vertAlign w:val="superscript"/>
        </w:rPr>
        <w:t>2</w:t>
      </w:r>
      <w:r w:rsidRPr="002E334A">
        <w:t xml:space="preserve">; тем самым были облегчены условия для передвижения пешеходов и лиц с инвалидностью. Кроме того, в текущем году вдоль дорог была устроена </w:t>
      </w:r>
      <w:r w:rsidR="002279A3">
        <w:t>«</w:t>
      </w:r>
      <w:r w:rsidRPr="002E334A">
        <w:t>направляющая</w:t>
      </w:r>
      <w:r w:rsidR="002279A3">
        <w:t>»</w:t>
      </w:r>
      <w:r w:rsidRPr="002E334A">
        <w:t xml:space="preserve"> тактильная разметка</w:t>
      </w:r>
      <w:r w:rsidRPr="002E334A">
        <w:rPr>
          <w:b/>
          <w:bCs/>
        </w:rPr>
        <w:t xml:space="preserve"> </w:t>
      </w:r>
      <w:r w:rsidRPr="002E334A">
        <w:t xml:space="preserve">длиной 450 метров. В пяти местах в городе были установлены светофоры со звуковым сигналом. В рамках услуги </w:t>
      </w:r>
      <w:r w:rsidR="002279A3">
        <w:t>«</w:t>
      </w:r>
      <w:r w:rsidRPr="002E334A">
        <w:t>SOS</w:t>
      </w:r>
      <w:r w:rsidR="002279A3">
        <w:t>»</w:t>
      </w:r>
      <w:r w:rsidRPr="002E334A">
        <w:t xml:space="preserve"> в международном аэропорту им. Чингисхана разработана и на практике применяется инструкция по встрече пассажиров с инвалидностью. В целях реализации положений Закона о правах человека лиц с инвалидностью, согласно которым лица с инвалидностью обслуживаются вне очереди в местах обслуживания общего пользования и в других организациях, в некоторых районах города Улан-Батор местные предприятия общественного транспорта и их филиалы оборудовали для лиц с инвалидностью пандусы, разместили в залах обслуживания пассажиров пиктограммы рядом с кнопкой вызова персонала для внеочередного обслуживания, а</w:t>
      </w:r>
      <w:r w:rsidR="006571D7">
        <w:t> </w:t>
      </w:r>
      <w:r w:rsidRPr="002E334A">
        <w:t>также способствовали созданию для лиц с нарушениями зрения и слуха условий, позволяющих получать информацию на транспортных табло и посредством громкоговорителей. Эти достижения и положительные изменения являются результатом сотрудничества между государственными органами Монголии и организациями гражданского общества, особенно НПО, действующими в интересах лиц с инвалидностью, а также проектами и программами, осуществляемыми международными и зарубежными организациями.</w:t>
      </w:r>
    </w:p>
    <w:p w14:paraId="620D9338" w14:textId="77777777" w:rsidR="00154A55" w:rsidRPr="002E334A" w:rsidRDefault="00154A55" w:rsidP="002E334A">
      <w:pPr>
        <w:pStyle w:val="SingleTxtG"/>
      </w:pPr>
      <w:r w:rsidRPr="002E334A">
        <w:t>30.</w:t>
      </w:r>
      <w:r w:rsidRPr="002E334A">
        <w:tab/>
        <w:t xml:space="preserve">В будущем Монголии необходимо принять более масштабные меры по повышению доступности инфраструктуры и уделять пристальное внимание повышению доступности услуг общественного транспорта. </w:t>
      </w:r>
    </w:p>
    <w:p w14:paraId="3DD5B37F" w14:textId="77777777" w:rsidR="00154A55" w:rsidRPr="002E334A" w:rsidRDefault="00154A55" w:rsidP="006571D7">
      <w:pPr>
        <w:pStyle w:val="H23G"/>
      </w:pPr>
      <w:r w:rsidRPr="002E334A">
        <w:tab/>
      </w:r>
      <w:r w:rsidRPr="002E334A">
        <w:tab/>
        <w:t>Содействие трудоустройству лиц с инвалидностью</w:t>
      </w:r>
    </w:p>
    <w:p w14:paraId="4A53D50B" w14:textId="77777777" w:rsidR="00154A55" w:rsidRPr="002E334A" w:rsidRDefault="00154A55" w:rsidP="002E334A">
      <w:pPr>
        <w:pStyle w:val="SingleTxtG"/>
      </w:pPr>
      <w:r w:rsidRPr="002E334A">
        <w:t>31.</w:t>
      </w:r>
      <w:r w:rsidRPr="002E334A">
        <w:tab/>
        <w:t xml:space="preserve">Содействие трудоустройству лиц с инвалидностью осуществляется путем установления квот для компаний и предприятий, поощрения самозанятости лиц с инвалидностью и ведения ими домашнего хозяйства, а также поощрения работодателей, трудоустраивающих лиц с инвалидностью. </w:t>
      </w:r>
    </w:p>
    <w:p w14:paraId="0D20F2E5" w14:textId="77777777" w:rsidR="00154A55" w:rsidRPr="002E334A" w:rsidRDefault="00154A55" w:rsidP="002E334A">
      <w:pPr>
        <w:pStyle w:val="SingleTxtG"/>
      </w:pPr>
      <w:r w:rsidRPr="002E334A">
        <w:t>32.</w:t>
      </w:r>
      <w:r w:rsidRPr="002E334A">
        <w:tab/>
        <w:t>В соответствии с Законом о труде Монголии, хозяйствующие субъекты и организации, насчитывающие более 25 работников, обязаны отводить для лиц с инвалидностью и карликов не менее 4</w:t>
      </w:r>
      <w:r w:rsidR="006571D7">
        <w:t> </w:t>
      </w:r>
      <w:r w:rsidRPr="002E334A">
        <w:t xml:space="preserve">% рабочих мест и должностей. В случае невыполнения хозяйствующим субъектом этого положения, он должен выплачивать ежемесячную сумму в Фонд содействия занятости (ФСЗ) за каждую должность, на которой должно быть трудоустроено лицо с инвалидностью. Средства ФСЗ используются для содействия трудоустройству лиц с инвалидностью и других категорий граждан. </w:t>
      </w:r>
    </w:p>
    <w:p w14:paraId="4413043F" w14:textId="77777777" w:rsidR="00154A55" w:rsidRPr="002E334A" w:rsidRDefault="00154A55" w:rsidP="002E334A">
      <w:pPr>
        <w:pStyle w:val="SingleTxtG"/>
      </w:pPr>
      <w:r w:rsidRPr="002E334A">
        <w:t>33.</w:t>
      </w:r>
      <w:r w:rsidRPr="002E334A">
        <w:tab/>
        <w:t>В целях ускорения исполнения Закона о труде в 2018 году Президент Монголии издал Указ № 128 о поручениях правительству. Во исполнение этого Указа правительство Монголии в 2019 году приняло постановление № 111, в котором пересматриваются ставки оплаты труда. Иными словами, размер оплаты труда должен быть равен средней заработной плате сотрудников организации в городе Улан-Батор, Дархан-</w:t>
      </w:r>
      <w:proofErr w:type="spellStart"/>
      <w:r w:rsidRPr="002E334A">
        <w:t>Уульском</w:t>
      </w:r>
      <w:proofErr w:type="spellEnd"/>
      <w:r w:rsidRPr="002E334A">
        <w:t xml:space="preserve"> и Орхонском аймаках, а также 60</w:t>
      </w:r>
      <w:r w:rsidR="004C16E6">
        <w:t> </w:t>
      </w:r>
      <w:r w:rsidRPr="002E334A">
        <w:t xml:space="preserve">% от средней заработной платы сотрудников организации в других аймаках. Кроме того, было предписано обеспечить трудоустройство лиц с инвалидностью и карликов в бюджетных организациях всех </w:t>
      </w:r>
      <w:r w:rsidRPr="002E334A">
        <w:lastRenderedPageBreak/>
        <w:t>уровней и на предприятиях с государственной и частной формами собственности согласно установленным квотам; а также обязать всех руководителей, несущих непосредственную ответственность за исполнение бюджета, вз</w:t>
      </w:r>
      <w:r w:rsidR="001B5404">
        <w:t>и</w:t>
      </w:r>
      <w:r w:rsidRPr="002E334A">
        <w:t>мать платежи с организаций, не выполняющих эти требования. В целях реализации опубликованного в 2018 году Указа № 128 Президента Монголии МТСЗ подготовило и реализует план действий на 2018</w:t>
      </w:r>
      <w:r w:rsidR="004C16E6">
        <w:t>−</w:t>
      </w:r>
      <w:r w:rsidRPr="002E334A">
        <w:t xml:space="preserve">2019 годы. Как указано в Законе о содействии занятости, правительство утверждает и осуществляет ежегодную программу содействия трудоустройству лиц с инвалидностью и поощряет работодателей, которые осуществляют их найм. </w:t>
      </w:r>
    </w:p>
    <w:p w14:paraId="2896C28D" w14:textId="77777777" w:rsidR="00154A55" w:rsidRPr="002E334A" w:rsidRDefault="00154A55" w:rsidP="002E334A">
      <w:pPr>
        <w:pStyle w:val="SingleTxtG"/>
      </w:pPr>
      <w:r w:rsidRPr="002E334A">
        <w:t>34.</w:t>
      </w:r>
      <w:r w:rsidRPr="002E334A">
        <w:tab/>
        <w:t>Программа содействия трудоустройству лиц с инвалидностью направлена на поощрение их самозанятости и ведению ими домашнего хозяйства путем формирования у них профессиональных и деловых навыков. В 2018 году на программу содействия трудоустройству лиц с инвалидностью было выделено 4,5 млрд тугриков, при этом по состоянию на конец года было выплачено 3</w:t>
      </w:r>
      <w:r w:rsidR="00B60AFD">
        <w:t> </w:t>
      </w:r>
      <w:r w:rsidRPr="002E334A">
        <w:t>647,1 млн тугриков, трудоустроено 5692 человека, создано 1209 постоянных и 134 временных рабочих места. Для реализации этой программы на 2019 год утвержден бюджет в размере 4,4</w:t>
      </w:r>
      <w:r w:rsidR="004C16E6">
        <w:t> </w:t>
      </w:r>
      <w:r w:rsidRPr="002E334A">
        <w:t>млрд тугриков. Согласно Закону о содействии занятости, работодатели, произведшие найм на срок более 12 месяцев, и лица, не имеющие работы более 6</w:t>
      </w:r>
      <w:r w:rsidR="004C16E6">
        <w:t> </w:t>
      </w:r>
      <w:r w:rsidRPr="002E334A">
        <w:t>месяцев, получат единовременную поощрительную выплату, равную 12-кратному минимальному размеру оплаты труда. Эта мера простимулирует заинтересованность работодателей в трудоустройстве лиц с инвалидностью.</w:t>
      </w:r>
    </w:p>
    <w:p w14:paraId="3AB250A6" w14:textId="77777777" w:rsidR="00154A55" w:rsidRPr="002E334A" w:rsidRDefault="00154A55" w:rsidP="002E334A">
      <w:pPr>
        <w:pStyle w:val="SingleTxtG"/>
      </w:pPr>
      <w:r w:rsidRPr="002E334A">
        <w:t>35.</w:t>
      </w:r>
      <w:r w:rsidRPr="002E334A">
        <w:tab/>
        <w:t xml:space="preserve">В целях совершенствования правовой базы услуг, программ и проектов в области содействия занятости был подготовлен пересмотренный проект Закона о содействии занятости. В проект была добавлена специальная глава </w:t>
      </w:r>
      <w:r w:rsidR="002279A3">
        <w:t>«</w:t>
      </w:r>
      <w:r w:rsidRPr="002E334A">
        <w:t>Содействие трудоустройству лиц с инвалидностью</w:t>
      </w:r>
      <w:r w:rsidR="002279A3">
        <w:t>»</w:t>
      </w:r>
      <w:r w:rsidRPr="002E334A">
        <w:t xml:space="preserve">, с тем чтобы придать положениям закона более конкретный характер. В рамках льготного кредита, предоставленного Азиатским банком развития (АБР), и помощи со стороны Японского фонда по сокращению масштабов бедности (27 млн долл. США), правительство приступило в прошлом году к реализации проекта </w:t>
      </w:r>
      <w:r w:rsidR="002279A3">
        <w:t>«</w:t>
      </w:r>
      <w:r w:rsidRPr="002E334A">
        <w:t xml:space="preserve">Обеспечение </w:t>
      </w:r>
      <w:proofErr w:type="spellStart"/>
      <w:r w:rsidRPr="002E334A">
        <w:t>инклюзивности</w:t>
      </w:r>
      <w:proofErr w:type="spellEnd"/>
      <w:r w:rsidRPr="002E334A">
        <w:t xml:space="preserve"> и предоставление услуг лицам с инвалидностью</w:t>
      </w:r>
      <w:r w:rsidR="002279A3">
        <w:t>»</w:t>
      </w:r>
      <w:r w:rsidRPr="002E334A">
        <w:t xml:space="preserve"> (проект АБР). Проект состоит из пяти компонентов, четвертый из которых направлен на улучшение условий труда и занятости лиц с инвалидностью. Его реализация будет способствовать: a)</w:t>
      </w:r>
      <w:r w:rsidR="004C16E6">
        <w:t> </w:t>
      </w:r>
      <w:r w:rsidRPr="002E334A">
        <w:t>разработке моделей повышения квалификации лиц с инвалидностью с целью их трудоустройства в отдельных отраслях промышленности и улучшению работы по подбору рабочих мест, а также оказанию брокерских услуг по трудоустройству; b)</w:t>
      </w:r>
      <w:r w:rsidR="004C16E6">
        <w:t> </w:t>
      </w:r>
      <w:r w:rsidRPr="002E334A">
        <w:t xml:space="preserve">обеспечению </w:t>
      </w:r>
      <w:proofErr w:type="spellStart"/>
      <w:r w:rsidRPr="002E334A">
        <w:t>инклюзивности</w:t>
      </w:r>
      <w:proofErr w:type="spellEnd"/>
      <w:r w:rsidRPr="002E334A">
        <w:t xml:space="preserve"> предпринимательской деятельности и организации системы поддержки сотрудников, работающих в рамках проекта, в целях получения доступа к обычным рабочим местам и самостоятельной занятости; и c) расширению участия лиц с инвалидностью посредством контроля за соблюдением работодателями нормативных актов, регулирующих занятость.</w:t>
      </w:r>
    </w:p>
    <w:p w14:paraId="65CCB756" w14:textId="77777777" w:rsidR="00154A55" w:rsidRPr="002E334A" w:rsidRDefault="00154A55" w:rsidP="000908D3">
      <w:pPr>
        <w:pStyle w:val="SingleTxtG"/>
      </w:pPr>
      <w:r w:rsidRPr="002E334A">
        <w:t>36.</w:t>
      </w:r>
      <w:r w:rsidRPr="002E334A">
        <w:tab/>
        <w:t xml:space="preserve">Эта деятельность будет сосредоточена на повышении эффективности государственной политики и практики в области занятости и работы организаций лиц с инвалидностью (ОЛИ) по трудоустройству с применением индивидуального подхода (например, в форме кураторства при приеме на работу и наставничества на рабочем месте); на оказании поддержки развитию учебно-методического центра занятости ОЛИ в Улан-Баторе (в части инфраструктуры, оснащенности, подготовки кадров и наращивания потенциала), который может предоставлять услуги лицам с инвалидностью, работодателям и государственным центрам занятости; а также на оказании поддержки работодателям и лицам с инвалидностью в обеспечении соблюдения законодательства, касающегося квот на трудоустройство лиц с инвалидностью. </w:t>
      </w:r>
    </w:p>
    <w:p w14:paraId="79A23F92" w14:textId="77777777" w:rsidR="00154A55" w:rsidRPr="002E334A" w:rsidRDefault="00154A55" w:rsidP="00712487">
      <w:pPr>
        <w:pStyle w:val="H1G"/>
      </w:pPr>
      <w:r w:rsidRPr="002E334A">
        <w:tab/>
      </w:r>
      <w:r w:rsidRPr="002E334A">
        <w:tab/>
        <w:t>Ответ на пункт 1 с) перечня вопросов</w:t>
      </w:r>
    </w:p>
    <w:p w14:paraId="606DC25E" w14:textId="77777777" w:rsidR="00154A55" w:rsidRPr="002E334A" w:rsidRDefault="00154A55" w:rsidP="000908D3">
      <w:pPr>
        <w:pStyle w:val="SingleTxtG"/>
      </w:pPr>
      <w:r w:rsidRPr="002E334A">
        <w:t>37.</w:t>
      </w:r>
      <w:r w:rsidRPr="002E334A">
        <w:tab/>
        <w:t xml:space="preserve">Национальный руководящий комитет по вопросам инвалидности, который отвечает за </w:t>
      </w:r>
      <w:proofErr w:type="spellStart"/>
      <w:r w:rsidRPr="002E334A">
        <w:t>межсекторальную</w:t>
      </w:r>
      <w:proofErr w:type="spellEnd"/>
      <w:r w:rsidRPr="002E334A">
        <w:t xml:space="preserve"> координацию на национальном уровне и руководство осуществлением статьи 41 Закона о правах лиц с инвалидностью в целях защиты их </w:t>
      </w:r>
      <w:r w:rsidRPr="002E334A">
        <w:lastRenderedPageBreak/>
        <w:t xml:space="preserve">прав, возглавляет член Кабинета министров, курирующий проблематику инвалидности. Отраслевые комитеты по вопросам инвалидности на уровнях аймаков, столицы и </w:t>
      </w:r>
      <w:proofErr w:type="spellStart"/>
      <w:r w:rsidRPr="002E334A">
        <w:t>сомонов</w:t>
      </w:r>
      <w:proofErr w:type="spellEnd"/>
      <w:r w:rsidRPr="002E334A">
        <w:t xml:space="preserve">, а также подкомитеты на уровне министерств осуществляют контроль за выполнением Закона о правах лиц с инвалидностью и Национальной программы, а также вырабатывают рекомендации на основе отчетов о проделанной работе. Обеспечивается участие организаций лиц с инвалидностью (ОЛИ), имеющих опыт работы на местах, что позволяет им осуществлять мониторинг деятельности государственных органов. У нас существует система, при которой подкомитеты в начале года готовят свои планы действий, а в конце года представляют отчет об их осуществлении. Принято 7 критериев оценки эффективности и 116 критериев оценки видов деятельности. </w:t>
      </w:r>
    </w:p>
    <w:p w14:paraId="6DC67393" w14:textId="77777777" w:rsidR="00154A55" w:rsidRPr="002E334A" w:rsidRDefault="00154A55" w:rsidP="00C52874">
      <w:pPr>
        <w:pStyle w:val="SingleTxtG"/>
      </w:pPr>
      <w:r w:rsidRPr="002E334A">
        <w:t>38.</w:t>
      </w:r>
      <w:r w:rsidRPr="002E334A">
        <w:tab/>
        <w:t xml:space="preserve">Мониторинг реализации Национальной программы осуществляется на основе вышеупомянутых критериев. </w:t>
      </w:r>
    </w:p>
    <w:p w14:paraId="714CD007" w14:textId="77777777" w:rsidR="00154A55" w:rsidRPr="002E334A" w:rsidRDefault="00154A55" w:rsidP="000908D3">
      <w:pPr>
        <w:pStyle w:val="SingleTxtG"/>
      </w:pPr>
      <w:r w:rsidRPr="002E334A">
        <w:t>39.</w:t>
      </w:r>
      <w:r w:rsidRPr="002E334A">
        <w:tab/>
        <w:t xml:space="preserve">В 2018 году на основании постановлений парламента и Кабинета министров было создано Главное управление по вопросам развития лиц с инвалидностью. (ГУРЛИ) </w:t>
      </w:r>
      <w:r w:rsidR="00C52874">
        <w:t>⸺</w:t>
      </w:r>
      <w:r w:rsidRPr="002E334A">
        <w:t xml:space="preserve"> исполнительное агентство правительства, которое занимается подготовкой профессиональных методологических указаний и выполняет функции управления по осуществлению Закона и Национальной программы. В агентстве занято 35 сотрудников. В его ведении находятся вопросы осуществления КПИ, Закона о правах лиц с инвалидностью, смежных законов и законодательных актов, координация </w:t>
      </w:r>
      <w:proofErr w:type="spellStart"/>
      <w:r w:rsidRPr="002E334A">
        <w:t>межсекторального</w:t>
      </w:r>
      <w:proofErr w:type="spellEnd"/>
      <w:r w:rsidRPr="002E334A">
        <w:t xml:space="preserve"> сотрудничества и оказание лицам с инвалидностью поддержки в получении доступа к услугам общего пользования и активному участию в общественной жизни. Его финансирование осуществляется из средств ежегодного государственного бюджета, выделяемых на реализацию Национальной программы. В</w:t>
      </w:r>
      <w:r w:rsidR="00C52874">
        <w:t> </w:t>
      </w:r>
      <w:r w:rsidRPr="002E334A">
        <w:t xml:space="preserve">2018 году расходы агентства составили 170 млн тугриков, а на 2019 год его расходы запланированы в размере 500 млн тугриков. </w:t>
      </w:r>
    </w:p>
    <w:p w14:paraId="2AD57FAD" w14:textId="77777777" w:rsidR="00154A55" w:rsidRPr="002E334A" w:rsidRDefault="00154A55" w:rsidP="000908D3">
      <w:pPr>
        <w:pStyle w:val="SingleTxtG"/>
      </w:pPr>
      <w:r w:rsidRPr="002E334A">
        <w:t>40.</w:t>
      </w:r>
      <w:r w:rsidRPr="002E334A">
        <w:tab/>
        <w:t xml:space="preserve">Подкомитеты и отраслевые комитеты по правам инвалидов разрабатывают свои ежегодные планы действий и соответствующие бюджеты на осуществление видов деятельности, предусмотренных в Национальном плане действий в области инвалидности. В 2019 году МТСЗ, Министерство здравоохранения (МЗ), Министерство образования, культуры, науки и спорта (МОКНС) и Министерство продовольствия, сельского хозяйства и легкой промышленности (МПСХЛП) запланировали выделение определенной суммы бюджетных средств на деятельность своих подкомитетов. Отраслевым комитетам по правам инвалидов на уровне аймаков и на столичном уровне выделяются определенные средства из местных бюджетов; либо из местных бюджетов финансируются некоторые осуществляемые ими конкретные виды деятельности. </w:t>
      </w:r>
    </w:p>
    <w:p w14:paraId="5B8FCF50" w14:textId="77777777" w:rsidR="00154A55" w:rsidRPr="002E334A" w:rsidRDefault="00154A55" w:rsidP="000908D3">
      <w:pPr>
        <w:pStyle w:val="SingleTxtG"/>
      </w:pPr>
      <w:r w:rsidRPr="002E334A">
        <w:t>41.</w:t>
      </w:r>
      <w:r w:rsidRPr="002E334A">
        <w:tab/>
        <w:t>Однако в силу недостаточности источников финансирования все еще существуют трудности с осуществлением Закона о правах лиц с инвалидностью и Национальной программы. Правительство сотрудничает с международными организациями-донорами в целях увеличения бюджетных средств, выделяемых на осуществление вышеупомянутых законов и национальных программ. Так, например, свой вклад в их реализацию вносит проект АБР.</w:t>
      </w:r>
    </w:p>
    <w:p w14:paraId="37110422" w14:textId="77777777" w:rsidR="00154A55" w:rsidRPr="002E334A" w:rsidRDefault="00154A55" w:rsidP="00712487">
      <w:pPr>
        <w:pStyle w:val="H1G"/>
      </w:pPr>
      <w:r w:rsidRPr="002E334A">
        <w:tab/>
      </w:r>
      <w:r w:rsidRPr="002E334A">
        <w:tab/>
        <w:t>Ответ на пункт 1 d) перечня вопросов</w:t>
      </w:r>
    </w:p>
    <w:p w14:paraId="22D85E8D" w14:textId="77777777" w:rsidR="00154A55" w:rsidRPr="002E334A" w:rsidRDefault="00154A55" w:rsidP="000908D3">
      <w:pPr>
        <w:pStyle w:val="SingleTxtG"/>
      </w:pPr>
      <w:r w:rsidRPr="002E334A">
        <w:t>42.</w:t>
      </w:r>
      <w:r w:rsidRPr="002E334A">
        <w:tab/>
        <w:t xml:space="preserve">В пункте 5 статьи 111 Закона о труде указано: </w:t>
      </w:r>
      <w:r w:rsidR="002279A3">
        <w:t>«</w:t>
      </w:r>
      <w:r w:rsidRPr="002E334A">
        <w:t>Работодатель не может отказать в приеме на работу инвалиду или карлику, если состояние такого лица не препятствует ему или ей выполнять трудовые обязанности</w:t>
      </w:r>
      <w:r w:rsidR="002279A3">
        <w:t>»</w:t>
      </w:r>
      <w:r w:rsidRPr="002E334A">
        <w:t xml:space="preserve">. Кроме того, в статье 44 Закона о правах лиц с инвалидностью говорится следующее: </w:t>
      </w:r>
      <w:r w:rsidR="002279A3">
        <w:t>«</w:t>
      </w:r>
      <w:r w:rsidRPr="002E334A">
        <w:t>44.1 Лица с инвалидностью имеют право подавать жалобы и иски или требовать от физических и юридических лиц устранения нарушений, если они считают, что их законные права были нарушены; 44.2 Лица с инвалидностью имеют право подавать жалобы в защиту своих прав самостоятельно или через своих представителей, если они считают, что физические лица и государственные организации подвергли их дискриминации или ограничили их права</w:t>
      </w:r>
      <w:r w:rsidR="002279A3">
        <w:t>»</w:t>
      </w:r>
      <w:r w:rsidRPr="002E334A">
        <w:t xml:space="preserve">; в статье 45 Закона указано: </w:t>
      </w:r>
      <w:r w:rsidR="002279A3">
        <w:t>«</w:t>
      </w:r>
      <w:r w:rsidRPr="002E334A">
        <w:t xml:space="preserve">45.1 Виновные действия и бездействие сторон, </w:t>
      </w:r>
      <w:r w:rsidRPr="002E334A">
        <w:lastRenderedPageBreak/>
        <w:t>нарушивших настоящий закон, подлежат наказанию в соответствии с Уголовным кодексом и Законом о правонарушениях</w:t>
      </w:r>
      <w:r w:rsidR="002279A3">
        <w:t>»</w:t>
      </w:r>
      <w:r w:rsidRPr="002E334A">
        <w:t xml:space="preserve">, </w:t>
      </w:r>
      <w:r w:rsidR="002279A3">
        <w:t>«</w:t>
      </w:r>
      <w:r w:rsidRPr="002E334A">
        <w:t>45.1.1</w:t>
      </w:r>
      <w:r w:rsidR="0090064C">
        <w:rPr>
          <w:lang w:val="en-US"/>
        </w:rPr>
        <w:t> </w:t>
      </w:r>
      <w:r w:rsidRPr="002E334A">
        <w:t>С физическими лицами, совершившими нарушения, указанные в пунктах 6.5.1, 6.5.2 настоящего Закона, проводится работа по разъяснению вопросов соблюдения прав человека лиц с инвалидностью в течение не менее 14 дней</w:t>
      </w:r>
      <w:r w:rsidR="002279A3">
        <w:t>»</w:t>
      </w:r>
      <w:r w:rsidRPr="002E334A">
        <w:t xml:space="preserve">; </w:t>
      </w:r>
      <w:r w:rsidR="002279A3">
        <w:t>«</w:t>
      </w:r>
      <w:r w:rsidRPr="002E334A">
        <w:t>45.2 Если действия и бездействие физических и юридических лиц причинили лицам с инвалидностью ущерб, то нарушители обязаны возместить его этим лицам</w:t>
      </w:r>
      <w:r w:rsidR="002279A3">
        <w:t>»</w:t>
      </w:r>
      <w:r w:rsidRPr="002E334A">
        <w:t xml:space="preserve">. На основании этих законодательных положений лица с инвалидностью могут подать жалобу в соответствующий административный орган или суд, если они считают, что они подверглись дискриминации. </w:t>
      </w:r>
    </w:p>
    <w:p w14:paraId="61B004AA" w14:textId="77777777" w:rsidR="00154A55" w:rsidRPr="002E334A" w:rsidRDefault="00154A55" w:rsidP="00712487">
      <w:pPr>
        <w:pStyle w:val="H1G"/>
      </w:pPr>
      <w:r w:rsidRPr="002E334A">
        <w:tab/>
      </w:r>
      <w:r w:rsidRPr="002E334A">
        <w:tab/>
        <w:t>Ответ на пункт 1 е) перечня вопросов</w:t>
      </w:r>
    </w:p>
    <w:p w14:paraId="38AFC580" w14:textId="77777777" w:rsidR="00154A55" w:rsidRPr="002E334A" w:rsidRDefault="00154A55" w:rsidP="000908D3">
      <w:pPr>
        <w:pStyle w:val="SingleTxtG"/>
      </w:pPr>
      <w:r w:rsidRPr="002E334A">
        <w:t>43.</w:t>
      </w:r>
      <w:r w:rsidRPr="002E334A">
        <w:tab/>
        <w:t xml:space="preserve">В настоящее время в нашей стране зарегистрировано более 600 организаций по защите прав и интересов лиц с инвалидностью. Для того чтобы вовлечь их в реализацию КПИ, с некоторыми из них были заключены контракты на проведение ряда исследовательских и мониторинговых работ; с учетом их возможностей и ресурсов их так же привлекают к участию в процессах разработки государственной политики и принятия решений. Например, в 2018 году Монгольская национальная ассоциация пользователей инвалидных колясок, центры независимого проживания инвалидов </w:t>
      </w:r>
      <w:r w:rsidR="002279A3">
        <w:t>«</w:t>
      </w:r>
      <w:r w:rsidRPr="002E334A">
        <w:t>Всеобщий прогресс</w:t>
      </w:r>
      <w:r w:rsidR="002279A3">
        <w:t>»</w:t>
      </w:r>
      <w:r w:rsidRPr="002E334A">
        <w:t xml:space="preserve"> и </w:t>
      </w:r>
      <w:r w:rsidR="002279A3">
        <w:t>«</w:t>
      </w:r>
      <w:proofErr w:type="spellStart"/>
      <w:r w:rsidRPr="002E334A">
        <w:t>Сонгино</w:t>
      </w:r>
      <w:proofErr w:type="spellEnd"/>
      <w:r w:rsidR="002279A3">
        <w:t>»</w:t>
      </w:r>
      <w:r w:rsidRPr="002E334A">
        <w:t xml:space="preserve"> провели в Улан-Баторе оценку доступности 37 организаций по трудоустройству и социальной защите с применением методических рекомендаций, утвержденных постановлением Министра труда и социальной защиты. В 2018 году совместными постановлениями № А/116, № А/304 и</w:t>
      </w:r>
      <w:r w:rsidR="004D2894">
        <w:t> </w:t>
      </w:r>
      <w:r w:rsidRPr="002E334A">
        <w:t xml:space="preserve">№ А/197 Министра труда и социальной защиты, Министра образования, культуры, науки и спорта и Министра здравоохранения был утвержден План действий (План действий в интересах инвалидов) по реализации Национальной программы. В ходе подготовки Национальной программы было проведено в общей сложности шесть обсуждений, в которых приняли участие более 360 представителей государственных организаций и НПО; от участников обсуждений было получено около 240 замечаний, которые были включены в Национальную программу. </w:t>
      </w:r>
    </w:p>
    <w:p w14:paraId="4A388DE0" w14:textId="77777777" w:rsidR="00154A55" w:rsidRPr="002E334A" w:rsidRDefault="00154A55" w:rsidP="000908D3">
      <w:pPr>
        <w:pStyle w:val="SingleTxtG"/>
      </w:pPr>
      <w:r w:rsidRPr="002E334A">
        <w:t>44.</w:t>
      </w:r>
      <w:r w:rsidRPr="002E334A">
        <w:tab/>
        <w:t xml:space="preserve">Кроме того, лица с инвалидностью приняли участие в разработке в рамках применения Закона о правах человека лиц с инвалидностью таких подзаконных актов, процедур и нормативных актов, как </w:t>
      </w:r>
      <w:r w:rsidR="002279A3">
        <w:t>«</w:t>
      </w:r>
      <w:r w:rsidRPr="002E334A">
        <w:t>Порядок выдачи лицам с инвалидностью удостоверений личности</w:t>
      </w:r>
      <w:r w:rsidR="002279A3">
        <w:t>»</w:t>
      </w:r>
      <w:r w:rsidRPr="002E334A">
        <w:t xml:space="preserve">, </w:t>
      </w:r>
      <w:r w:rsidR="002279A3">
        <w:t>«</w:t>
      </w:r>
      <w:r w:rsidRPr="002E334A">
        <w:t>Положение об услугах, которые должны предоставляться для поддержки самостоятельной жизни лиц с инвалидностью</w:t>
      </w:r>
      <w:r w:rsidR="002279A3">
        <w:t>»</w:t>
      </w:r>
      <w:r w:rsidRPr="002E334A">
        <w:t xml:space="preserve">, </w:t>
      </w:r>
      <w:r w:rsidR="002279A3">
        <w:t>«</w:t>
      </w:r>
      <w:r w:rsidRPr="002E334A">
        <w:t>Положение о перечне и стоимости протезов, ортопедических изделий и специальных приспособлений</w:t>
      </w:r>
      <w:r w:rsidR="002279A3">
        <w:t>»</w:t>
      </w:r>
      <w:r w:rsidRPr="002E334A">
        <w:t xml:space="preserve"> и </w:t>
      </w:r>
      <w:r w:rsidR="002279A3">
        <w:t>«</w:t>
      </w:r>
      <w:r w:rsidRPr="002E334A">
        <w:t>Стандарт инклюзивного развития по месту жительства</w:t>
      </w:r>
      <w:r w:rsidR="002279A3">
        <w:t>»</w:t>
      </w:r>
      <w:r w:rsidRPr="002E334A">
        <w:t xml:space="preserve">. </w:t>
      </w:r>
    </w:p>
    <w:p w14:paraId="76A7A410" w14:textId="77777777" w:rsidR="00154A55" w:rsidRPr="002E334A" w:rsidRDefault="00154A55" w:rsidP="000908D3">
      <w:pPr>
        <w:pStyle w:val="SingleTxtG"/>
      </w:pPr>
      <w:r w:rsidRPr="002E334A">
        <w:t>45.</w:t>
      </w:r>
      <w:r w:rsidRPr="002E334A">
        <w:tab/>
        <w:t xml:space="preserve">Для нас уже стало традицией привлекать представителей НПО, работающих в области защиты прав личности и детей-инвалидов, к разработке правовых документов, касающихся </w:t>
      </w:r>
      <w:bookmarkStart w:id="4" w:name="_Hlk63952844"/>
      <w:r w:rsidRPr="002E334A">
        <w:t>лиц с инвалидностью</w:t>
      </w:r>
      <w:bookmarkEnd w:id="4"/>
      <w:r w:rsidRPr="002E334A">
        <w:t xml:space="preserve">, к подготовке докладов по международным конвенциям, а также документов, касающихся политики и программ. Например, более 20 представителей НПО, которые занимаются защитой прав лиц с инвалидностью, участвуют в работе </w:t>
      </w:r>
      <w:r w:rsidR="0090064C" w:rsidRPr="0090064C">
        <w:t>5</w:t>
      </w:r>
      <w:r w:rsidRPr="002E334A">
        <w:t xml:space="preserve"> целевых групп по разработке новых законопроектов или проектов поправок к действующим законам по вопросам, относящимся к кругу ведения МТСЗ. Кроме того, одна целевая группа в составе 17 человек работает над новой главой проекта пересмотренного Закона о содействии занятости, озаглавленной </w:t>
      </w:r>
      <w:r w:rsidR="002279A3">
        <w:t>«</w:t>
      </w:r>
      <w:r w:rsidRPr="002E334A">
        <w:t>Содействие трудоустройству лиц с инвалидностью</w:t>
      </w:r>
      <w:r w:rsidR="002279A3">
        <w:t>»</w:t>
      </w:r>
      <w:r w:rsidRPr="002E334A">
        <w:t xml:space="preserve">; при этом </w:t>
      </w:r>
      <w:r w:rsidR="0090064C" w:rsidRPr="00C36B79">
        <w:t>9</w:t>
      </w:r>
      <w:r w:rsidRPr="002E334A">
        <w:t xml:space="preserve"> человек из их числа являются представителями НПО, занимающихся защитой прав и интересов лиц с инвалидностью. </w:t>
      </w:r>
    </w:p>
    <w:p w14:paraId="184DE3EA" w14:textId="77777777" w:rsidR="00154A55" w:rsidRPr="002E334A" w:rsidRDefault="00154A55" w:rsidP="000908D3">
      <w:pPr>
        <w:pStyle w:val="SingleTxtG"/>
      </w:pPr>
      <w:r w:rsidRPr="002E334A">
        <w:t>46.</w:t>
      </w:r>
      <w:r w:rsidRPr="002E334A">
        <w:tab/>
        <w:t xml:space="preserve">В прошлом году была сформирована Целевая группа по мониторингу осуществления Национальной программы, в работе которой принимают участие представители НПО лиц с инвалидностью; благодаря этому они получили возможность участвовать в мониторинге ее осуществления. </w:t>
      </w:r>
    </w:p>
    <w:p w14:paraId="7F2D4346" w14:textId="77777777" w:rsidR="00154A55" w:rsidRPr="002E334A" w:rsidRDefault="00154A55" w:rsidP="000908D3">
      <w:pPr>
        <w:pStyle w:val="SingleTxtG"/>
      </w:pPr>
      <w:r w:rsidRPr="002E334A">
        <w:t>47.</w:t>
      </w:r>
      <w:r w:rsidRPr="002E334A">
        <w:tab/>
        <w:t xml:space="preserve">В целях ускорения правоприменения и обеспечения </w:t>
      </w:r>
      <w:proofErr w:type="spellStart"/>
      <w:r w:rsidRPr="002E334A">
        <w:t>межсекторального</w:t>
      </w:r>
      <w:proofErr w:type="spellEnd"/>
      <w:r w:rsidRPr="002E334A">
        <w:t xml:space="preserve"> регулирования в соответствии постановлением правительства № 136 от 2016 года был </w:t>
      </w:r>
      <w:r w:rsidRPr="002E334A">
        <w:lastRenderedPageBreak/>
        <w:t xml:space="preserve">учрежден </w:t>
      </w:r>
      <w:r w:rsidR="002279A3">
        <w:t>«</w:t>
      </w:r>
      <w:r w:rsidRPr="002E334A">
        <w:t>Специальный совет по обеспечению прав человека лиц с инвалидностью</w:t>
      </w:r>
      <w:r w:rsidR="002279A3">
        <w:t>»</w:t>
      </w:r>
      <w:r w:rsidRPr="002E334A">
        <w:t xml:space="preserve">, а в соответствии с постановлением правительства № 116 от 2017 года во всех министерствах были учреждены специальные </w:t>
      </w:r>
      <w:proofErr w:type="spellStart"/>
      <w:r w:rsidRPr="002E334A">
        <w:t>подсоветы</w:t>
      </w:r>
      <w:proofErr w:type="spellEnd"/>
      <w:r w:rsidRPr="002E334A">
        <w:t xml:space="preserve"> по обеспечению прав человека лиц с инвалидностью. В состав каждого </w:t>
      </w:r>
      <w:proofErr w:type="spellStart"/>
      <w:r w:rsidRPr="002E334A">
        <w:t>подсовета</w:t>
      </w:r>
      <w:proofErr w:type="spellEnd"/>
      <w:r w:rsidRPr="002E334A">
        <w:t xml:space="preserve"> входят представители НПО, которые занимаются защитой прав и интересов лиц с инвалидностью. Таким образом, для всех создана реальная возможность включать свои текущие проблемы в политику и решения всех секторов; </w:t>
      </w:r>
      <w:r w:rsidRPr="002E334A">
        <w:rPr>
          <w:shd w:val="clear" w:color="auto" w:fill="FFFFFF"/>
        </w:rPr>
        <w:t>изменить отношение работников сектора; и следить за осуществлением политики.</w:t>
      </w:r>
      <w:r w:rsidRPr="002E334A">
        <w:t xml:space="preserve"> Кроме того, в начале года каждый </w:t>
      </w:r>
      <w:proofErr w:type="spellStart"/>
      <w:r w:rsidRPr="002E334A">
        <w:t>подсовет</w:t>
      </w:r>
      <w:proofErr w:type="spellEnd"/>
      <w:r w:rsidRPr="002E334A">
        <w:t xml:space="preserve"> готовит ежегодный план действий, а в конце года представляет свои отчеты. Мы</w:t>
      </w:r>
      <w:r w:rsidR="004D2894">
        <w:t> </w:t>
      </w:r>
      <w:r w:rsidRPr="002E334A">
        <w:t xml:space="preserve">рассматриваем это как достижение и прогресс в области сотрудничества между государством и НПО. </w:t>
      </w:r>
    </w:p>
    <w:p w14:paraId="067AC846" w14:textId="77777777" w:rsidR="00154A55" w:rsidRPr="002E334A" w:rsidRDefault="00154A55" w:rsidP="000908D3">
      <w:pPr>
        <w:pStyle w:val="SingleTxtG"/>
      </w:pPr>
      <w:r w:rsidRPr="002E334A">
        <w:t>48.</w:t>
      </w:r>
      <w:r w:rsidRPr="002E334A">
        <w:tab/>
        <w:t>В 2018 году МТСЗ заключило договоры с 12 организациями по оказанию содействия лицам с инвалидностью и предоставило финансирование в размере 120,7</w:t>
      </w:r>
      <w:r w:rsidR="004D2894">
        <w:t> </w:t>
      </w:r>
      <w:r w:rsidRPr="002E334A">
        <w:t xml:space="preserve">млн тугриков. Благодаря этому информация о соответствующих законах была доведена до сведения более чем 1300 человек, более 1000 человек были вовлечены в художественные и культурные мероприятия, при этом была проведена оценка доступности 60 организаций. </w:t>
      </w:r>
    </w:p>
    <w:p w14:paraId="2F61D203" w14:textId="77777777" w:rsidR="00154A55" w:rsidRPr="002E334A" w:rsidRDefault="00154A55" w:rsidP="000908D3">
      <w:pPr>
        <w:pStyle w:val="SingleTxtG"/>
      </w:pPr>
      <w:r w:rsidRPr="002E334A">
        <w:t>49.</w:t>
      </w:r>
      <w:r w:rsidRPr="002E334A">
        <w:tab/>
        <w:t xml:space="preserve">В текущем году мониторинг выполнения статьи 11 Закона о труде проводится соответствующей НПО; финансирование этой работы было утверждено. Было бы более эффективно, если бы НПО выполняли конкретные обязанности государства на договорной основе, специализируясь на одном из вопросов: развитие или защита лиц с инвалидностью, а организация, представляющая их интересы, контролировала качество исполнения договорных обязательств и доступность информации об их исполнении. В будущем необходимо обратить внимание на укрепление потенциала клиентов, заказчиков и государственных организаций в связи с выполнением НПО определенных обязанностей государства. </w:t>
      </w:r>
    </w:p>
    <w:p w14:paraId="56C299DA" w14:textId="77777777" w:rsidR="00154A55" w:rsidRPr="002E334A" w:rsidRDefault="00154A55" w:rsidP="00712487">
      <w:pPr>
        <w:pStyle w:val="H1G"/>
      </w:pPr>
      <w:r w:rsidRPr="002E334A">
        <w:tab/>
      </w:r>
      <w:r w:rsidRPr="002E334A">
        <w:tab/>
        <w:t xml:space="preserve">Ответ на пункт 1 </w:t>
      </w:r>
      <w:r w:rsidR="00C36B79">
        <w:rPr>
          <w:lang w:val="en-US"/>
        </w:rPr>
        <w:t>f</w:t>
      </w:r>
      <w:r w:rsidRPr="002E334A">
        <w:t>) перечня вопросов</w:t>
      </w:r>
    </w:p>
    <w:p w14:paraId="02951518" w14:textId="77777777" w:rsidR="00154A55" w:rsidRPr="002E334A" w:rsidRDefault="00154A55" w:rsidP="000908D3">
      <w:pPr>
        <w:pStyle w:val="SingleTxtG"/>
      </w:pPr>
      <w:r w:rsidRPr="002E334A">
        <w:t>50.</w:t>
      </w:r>
      <w:r w:rsidRPr="002E334A">
        <w:tab/>
        <w:t xml:space="preserve">Монголия ратифицировала КПИ и Факультативный протокол к ней в 2009 году и сообщила об этом в газете </w:t>
      </w:r>
      <w:r w:rsidR="002279A3">
        <w:t>«</w:t>
      </w:r>
      <w:proofErr w:type="spellStart"/>
      <w:r w:rsidRPr="002E334A">
        <w:t>Туриин</w:t>
      </w:r>
      <w:proofErr w:type="spellEnd"/>
      <w:r w:rsidRPr="002E334A">
        <w:t xml:space="preserve"> </w:t>
      </w:r>
      <w:proofErr w:type="spellStart"/>
      <w:r w:rsidRPr="002E334A">
        <w:t>медээлэль</w:t>
      </w:r>
      <w:proofErr w:type="spellEnd"/>
      <w:r w:rsidR="002279A3">
        <w:t>»</w:t>
      </w:r>
      <w:r w:rsidRPr="002E334A">
        <w:t>/Государственный вестник/</w:t>
      </w:r>
      <w:r w:rsidR="004D2894">
        <w:br/>
      </w:r>
      <w:r w:rsidRPr="002E334A">
        <w:t xml:space="preserve">выпуск № 14 (971) от 14 апреля 2017 года. В связи с этим Комитет по правам инвалидов может получать информацию, указывающую на нарушение государством-участником любых статей КПИ, и рассматривать этот вопрос. </w:t>
      </w:r>
    </w:p>
    <w:p w14:paraId="2C56E57A" w14:textId="77777777" w:rsidR="00154A55" w:rsidRPr="002E334A" w:rsidRDefault="00154A55" w:rsidP="00712487">
      <w:pPr>
        <w:pStyle w:val="H1G"/>
      </w:pPr>
      <w:r w:rsidRPr="002E334A">
        <w:tab/>
      </w:r>
      <w:r w:rsidRPr="002E334A">
        <w:tab/>
        <w:t>Ответ на пункт 2 а) перечня вопросов</w:t>
      </w:r>
    </w:p>
    <w:p w14:paraId="1CAE5629" w14:textId="77777777" w:rsidR="00154A55" w:rsidRPr="002E334A" w:rsidRDefault="00154A55" w:rsidP="000908D3">
      <w:pPr>
        <w:pStyle w:val="SingleTxtG"/>
      </w:pPr>
      <w:r w:rsidRPr="002E334A">
        <w:t>51.</w:t>
      </w:r>
      <w:r w:rsidRPr="002E334A">
        <w:tab/>
        <w:t xml:space="preserve">В Конституции Монголии указано, что </w:t>
      </w:r>
      <w:r w:rsidR="002279A3">
        <w:t>«</w:t>
      </w:r>
      <w:r w:rsidRPr="002E334A">
        <w:t>дискриминация по признакам этнического происхождения, языка, расовой принадлежности, возраста, пола, социального происхождения и положения, материального положения, профессии, занимаемой должности, вероисповедания, убеждения или образования не допускается. Каждый человек является субъектом права</w:t>
      </w:r>
      <w:r w:rsidR="002279A3">
        <w:t>»</w:t>
      </w:r>
      <w:r w:rsidRPr="002E334A">
        <w:t xml:space="preserve">. В Закон о правах лиц с инвалидностью введен термин </w:t>
      </w:r>
      <w:r w:rsidR="002279A3">
        <w:t>«</w:t>
      </w:r>
      <w:r w:rsidRPr="002E334A">
        <w:t>дискриминация по признаку инвалидности</w:t>
      </w:r>
      <w:r w:rsidR="002279A3">
        <w:t>»</w:t>
      </w:r>
      <w:r w:rsidRPr="002E334A">
        <w:t xml:space="preserve">, а статья 6 этого Закона непосредственно регулирует отношения, возникающие в связи с необходимостью недопущения дискриминации лиц с инвалидностью. </w:t>
      </w:r>
    </w:p>
    <w:p w14:paraId="672C2F65" w14:textId="77777777" w:rsidR="00154A55" w:rsidRPr="002E334A" w:rsidRDefault="00154A55" w:rsidP="000908D3">
      <w:pPr>
        <w:pStyle w:val="SingleTxtG"/>
      </w:pPr>
      <w:r w:rsidRPr="002E334A">
        <w:t>52.</w:t>
      </w:r>
      <w:r w:rsidRPr="002E334A">
        <w:tab/>
        <w:t>Уголовный кодекс, который был принят парламентом в 2017 году и вступил в силу 1 июля того же года, содержит следующие положения, касающиеся всех видов дискриминации по признаку инвалидности:</w:t>
      </w:r>
    </w:p>
    <w:p w14:paraId="252320FE" w14:textId="77777777" w:rsidR="00154A55" w:rsidRPr="002E334A" w:rsidRDefault="00154A55" w:rsidP="000908D3">
      <w:pPr>
        <w:pStyle w:val="SingleTxtG"/>
      </w:pPr>
      <w:r w:rsidRPr="002E334A">
        <w:tab/>
        <w:t>a)</w:t>
      </w:r>
      <w:r w:rsidRPr="002E334A">
        <w:tab/>
        <w:t xml:space="preserve">в части 1 статьи 14 (глава 14) Уголовного кодекса указано, что </w:t>
      </w:r>
      <w:r w:rsidR="002279A3">
        <w:t>«</w:t>
      </w:r>
      <w:r w:rsidRPr="002E334A">
        <w:t>дискриминация</w:t>
      </w:r>
      <w:r w:rsidR="002279A3">
        <w:t>»</w:t>
      </w:r>
      <w:r w:rsidRPr="002E334A">
        <w:t xml:space="preserve"> является основанием для привлечения к уголовной ответственности. Например, в части 1 статьи 14 (дискриминация) заявляется, что: </w:t>
      </w:r>
      <w:r w:rsidR="002279A3">
        <w:t>«</w:t>
      </w:r>
      <w:r w:rsidRPr="002E334A">
        <w:t xml:space="preserve">Дискриминация лица по признаку национальности, происхождения, языка, расы, возраста, пола, социального происхождения и положения, имущественного положения, профессии, рода занятий, религии, убеждений, образования, сексуальной и гендерной ориентации и состояния здоровья; а также ограничение прав и свобод человека по этим признакам подлежит наказанию в виде штрафа в размере от 450 до </w:t>
      </w:r>
      <w:r w:rsidRPr="002E334A">
        <w:lastRenderedPageBreak/>
        <w:t>5400 тугриков или от 240 до 720 часов общественных работ, либо ограничения передвижения на срок от 1 месяца до 1 года;</w:t>
      </w:r>
    </w:p>
    <w:p w14:paraId="4FB567F2" w14:textId="77777777" w:rsidR="00154A55" w:rsidRPr="002E334A" w:rsidRDefault="00154A55" w:rsidP="000908D3">
      <w:pPr>
        <w:pStyle w:val="SingleTxtG"/>
      </w:pPr>
      <w:r w:rsidRPr="002E334A">
        <w:tab/>
        <w:t>b)</w:t>
      </w:r>
      <w:r w:rsidRPr="002E334A">
        <w:tab/>
        <w:t>если преступление совершено: группой; с применением насилия; должностным лицом, путем злоупотребления должностным положением, властью, влиянием и с использованием должностного положения, то за его совершение назначается наказание в виде штрафа в размере от 5400 до 27</w:t>
      </w:r>
      <w:r w:rsidR="006D718C">
        <w:t> </w:t>
      </w:r>
      <w:r w:rsidRPr="002E334A">
        <w:t>000 тугриков; или ограничения передвижения на срок от 1 года до 5 лет; либо лишения свободы на срок от 1 года до 5 лет</w:t>
      </w:r>
      <w:r w:rsidR="002279A3">
        <w:t>»</w:t>
      </w:r>
      <w:r w:rsidRPr="002E334A">
        <w:t xml:space="preserve">. </w:t>
      </w:r>
    </w:p>
    <w:p w14:paraId="7D61872D" w14:textId="77777777" w:rsidR="00154A55" w:rsidRPr="002E334A" w:rsidRDefault="00154A55" w:rsidP="000908D3">
      <w:pPr>
        <w:pStyle w:val="SingleTxtG"/>
      </w:pPr>
      <w:r w:rsidRPr="002E334A">
        <w:t>53.</w:t>
      </w:r>
      <w:r w:rsidRPr="002E334A">
        <w:tab/>
        <w:t>В части 1 статьи 1</w:t>
      </w:r>
      <w:r w:rsidR="00820869" w:rsidRPr="00820869">
        <w:t>.12</w:t>
      </w:r>
      <w:r w:rsidRPr="002E334A">
        <w:t xml:space="preserve"> принятого 18 мая 2017 года Уголовно-процессуального закона говорится: </w:t>
      </w:r>
      <w:r w:rsidR="002279A3">
        <w:t>«</w:t>
      </w:r>
      <w:r w:rsidRPr="002E334A">
        <w:t>Все граждане Монголии равны перед законом и судами без дискриминации по признаку национальности, происхождения, языка, расы, возраста, пола, социального происхождения и положения, имущественного положения, профессии, рода занятий, религии, сексуальной и гендерной ориентации, инвалидности, убеждений, взглядов и образования, и все юридические лица равны перед законом и судами без дискриминации по признаку их имущества, доходов, сферы деятельности и организационной формы</w:t>
      </w:r>
      <w:r w:rsidR="002279A3">
        <w:t>»</w:t>
      </w:r>
      <w:r w:rsidRPr="002E334A">
        <w:t xml:space="preserve">. А в части 2 статьи 7.5 указано: </w:t>
      </w:r>
      <w:r w:rsidR="002279A3">
        <w:t>«</w:t>
      </w:r>
      <w:r w:rsidRPr="002E334A">
        <w:t>Если подсудимый/подсудимая не владеет монгольским языком, то показания, указанные в части 1 настоящей статьи, должны быть получены на его/ее родном языке либо на тех языках, устной или письменной речью которых он/она владеет, или, если он/она является немым/немой или глухим/глухой, то с помощью языка жестов и специальных знаков письменного и устного переводчика</w:t>
      </w:r>
      <w:r w:rsidR="002279A3">
        <w:t>»</w:t>
      </w:r>
      <w:r w:rsidRPr="002E334A">
        <w:t xml:space="preserve">. Частью 9 статьи 231 пересмотренного Закона об исполнении судебных решений, который был принят 9 июня 2017 года и вступил в силу 1 июля 2017 года, предусмотрено: </w:t>
      </w:r>
      <w:r w:rsidR="002279A3">
        <w:t>«</w:t>
      </w:r>
      <w:r w:rsidRPr="002E334A">
        <w:t>В тюремном лагере принимаются меры, способствующие созданию доступной и свободной от препятствий среды и условий, учитывающие особые потребности заключенных-инвалидов, а также меры по обеспечению их прав</w:t>
      </w:r>
      <w:r w:rsidR="002279A3">
        <w:t>»</w:t>
      </w:r>
      <w:r w:rsidRPr="002E334A">
        <w:t>.</w:t>
      </w:r>
    </w:p>
    <w:p w14:paraId="218BC881" w14:textId="77777777" w:rsidR="00154A55" w:rsidRPr="002E334A" w:rsidRDefault="00154A55" w:rsidP="00712487">
      <w:pPr>
        <w:pStyle w:val="H1G"/>
      </w:pPr>
      <w:r w:rsidRPr="002E334A">
        <w:tab/>
      </w:r>
      <w:r w:rsidRPr="002E334A">
        <w:tab/>
        <w:t>Ответ на пункт 2 b) перечня вопросов</w:t>
      </w:r>
    </w:p>
    <w:p w14:paraId="0A97B9C9" w14:textId="77777777" w:rsidR="00154A55" w:rsidRPr="002E334A" w:rsidRDefault="00154A55" w:rsidP="000908D3">
      <w:pPr>
        <w:pStyle w:val="SingleTxtG"/>
      </w:pPr>
      <w:r w:rsidRPr="002E334A">
        <w:t>54.</w:t>
      </w:r>
      <w:r w:rsidRPr="002E334A">
        <w:tab/>
        <w:t xml:space="preserve">В статье 13 Закона о начальном и среднем образовании Монголии регулируются отношения, касающиеся специальных средних школ; в нем указано, что другие обычные средние школы должны отвечать за создание условий для получения детьми-инвалидами элементарного, начального и среднего образования. В соответствии с этим положением каждая средняя школа обязана обеспечивать удовлетворение особых потребностей детей-инвалидов. Постановлением Министра образования, культуры, науки и спорта в 2019 году было утверждено </w:t>
      </w:r>
      <w:r w:rsidR="002279A3">
        <w:t>«</w:t>
      </w:r>
      <w:r w:rsidRPr="002E334A">
        <w:t>Положение о равном инклюзивном зачислении детей-инвалидов в средние школы</w:t>
      </w:r>
      <w:r w:rsidR="002279A3">
        <w:t>»</w:t>
      </w:r>
      <w:r w:rsidRPr="002E334A">
        <w:t xml:space="preserve">. Положением предусмотрено, что по распоряжению директора школы должна быть сформирована </w:t>
      </w:r>
      <w:r w:rsidR="002279A3">
        <w:t>«</w:t>
      </w:r>
      <w:r w:rsidRPr="002E334A">
        <w:t>группа поддержки</w:t>
      </w:r>
      <w:r w:rsidR="002279A3">
        <w:t>»</w:t>
      </w:r>
      <w:r w:rsidRPr="002E334A">
        <w:t xml:space="preserve">, отвечающая за содействие инклюзивному образованию и оказание поддержки и помощи детям в адаптации к школе, получении элементарного, базового и среднего образования; группа поддержки должна отвечать за оказание помощи детям в адаптации к школьной среде, проведение обследований, касающихся особенностей развития, создание детям благоприятных условий и учет их потребностей в обучении и развитии, оказание методологической поддержки родителям, учителям и опекунам в вопросах работы с детьми-инвалидами, а также сотрудничать с соответствующими профессиональными организациями. </w:t>
      </w:r>
    </w:p>
    <w:p w14:paraId="79BEFAFB" w14:textId="77777777" w:rsidR="00154A55" w:rsidRPr="002E334A" w:rsidRDefault="00154A55" w:rsidP="000908D3">
      <w:pPr>
        <w:pStyle w:val="SingleTxtG"/>
      </w:pPr>
      <w:r w:rsidRPr="002E334A">
        <w:t>55.</w:t>
      </w:r>
      <w:r w:rsidRPr="002E334A">
        <w:tab/>
        <w:t xml:space="preserve">Кроме того, для оказания поддержки детям в адаптации к новой среде осуществляются следующие мероприятия: ознакомление детей со школьной средой до их зачисления в школу; проведение встречи с учителем, который будет руководить классом; </w:t>
      </w:r>
      <w:r w:rsidRPr="002E334A">
        <w:rPr>
          <w:shd w:val="clear" w:color="auto" w:fill="FFFFFF"/>
        </w:rPr>
        <w:t xml:space="preserve">побуждение детей к посещению школы; </w:t>
      </w:r>
      <w:r w:rsidRPr="002E334A">
        <w:t xml:space="preserve">совместное решение проблем, имеющихся у детей; активизация и мотивирование детей; организация акции </w:t>
      </w:r>
      <w:r w:rsidR="002279A3">
        <w:t>«</w:t>
      </w:r>
      <w:r w:rsidRPr="002E334A">
        <w:t>Дружба и взаимопомощь между детьми</w:t>
      </w:r>
      <w:r w:rsidR="002279A3">
        <w:t>»</w:t>
      </w:r>
      <w:r w:rsidRPr="002E334A">
        <w:t>. В 2018</w:t>
      </w:r>
      <w:r w:rsidR="006D718C" w:rsidRPr="006D718C">
        <w:t>/</w:t>
      </w:r>
      <w:r w:rsidRPr="002E334A">
        <w:t xml:space="preserve">19 учебном году из 10 660 детей-инвалидов в возрасте от 0 до 18 лет в образовательные учреждения было зачислено 7605 человек. Ранее в ответах, относящихся к пункту 1 b) выше, упоминалось, что в сотрудничестве с НПО </w:t>
      </w:r>
      <w:r w:rsidR="002279A3">
        <w:t>«</w:t>
      </w:r>
      <w:r w:rsidRPr="002E334A">
        <w:t>Сеть инклюзивного образования</w:t>
      </w:r>
      <w:r w:rsidR="002279A3">
        <w:t>»</w:t>
      </w:r>
      <w:r w:rsidRPr="002E334A">
        <w:t xml:space="preserve"> МОКНС разработало </w:t>
      </w:r>
      <w:r w:rsidR="002279A3">
        <w:t>«</w:t>
      </w:r>
      <w:r w:rsidRPr="002E334A">
        <w:t>Положение о создании учебной среды и обеспечении средствами обучения, соответствующих потребностям детей-инвалидов в образовательных учреждениях всех уровней</w:t>
      </w:r>
      <w:r w:rsidR="002279A3">
        <w:t>»</w:t>
      </w:r>
      <w:r w:rsidRPr="002E334A">
        <w:t xml:space="preserve">. </w:t>
      </w:r>
    </w:p>
    <w:p w14:paraId="2EAF5A68" w14:textId="77777777" w:rsidR="00154A55" w:rsidRPr="002E334A" w:rsidRDefault="00154A55" w:rsidP="000908D3">
      <w:pPr>
        <w:pStyle w:val="SingleTxtG"/>
      </w:pPr>
      <w:r w:rsidRPr="002E334A">
        <w:lastRenderedPageBreak/>
        <w:t>56.</w:t>
      </w:r>
      <w:r w:rsidRPr="002E334A">
        <w:tab/>
        <w:t xml:space="preserve">Из государственного бюджета на 2020 год предлагается выделить 3,3 млрд тугриков на соответствующие сооружения и создание соответствующей среды. Кроме того, в бюджете на создание </w:t>
      </w:r>
      <w:r w:rsidR="002279A3">
        <w:t>«</w:t>
      </w:r>
      <w:r w:rsidRPr="002E334A">
        <w:t>Зала поддержки</w:t>
      </w:r>
      <w:r w:rsidR="002279A3">
        <w:t>»</w:t>
      </w:r>
      <w:r w:rsidRPr="002E334A">
        <w:t xml:space="preserve"> в каждом аймаке предусмотрено 3,3</w:t>
      </w:r>
      <w:r w:rsidR="006D718C">
        <w:t> </w:t>
      </w:r>
      <w:r w:rsidRPr="002E334A">
        <w:t xml:space="preserve">млрд тугриков. Наряду с этим во всех аймаках при финансировании Всемирного банка будет создан зал для поддержки детей-инвалидов. В соответствии с постановлением правительства № 145 от 2019 года, которым предписано </w:t>
      </w:r>
      <w:r w:rsidR="002279A3">
        <w:t>«</w:t>
      </w:r>
      <w:r w:rsidRPr="002E334A">
        <w:t>рассмотреть и решить вопрос о выплате с 1 сентября 2019 года надбавок педагогам, работающим с детьми-инвалидами в обычных детских садах и общеобразовательных школах</w:t>
      </w:r>
      <w:r w:rsidR="002279A3">
        <w:t>»</w:t>
      </w:r>
      <w:r w:rsidRPr="002E334A">
        <w:t>, был подготовлен соответствующий проект постановления, готовый к вынесению на обсуждение.</w:t>
      </w:r>
    </w:p>
    <w:p w14:paraId="182C1EED" w14:textId="77777777" w:rsidR="00154A55" w:rsidRPr="002E334A" w:rsidRDefault="00154A55" w:rsidP="000908D3">
      <w:pPr>
        <w:pStyle w:val="SingleTxtG"/>
      </w:pPr>
      <w:r w:rsidRPr="002E334A">
        <w:t>57.</w:t>
      </w:r>
      <w:r w:rsidRPr="002E334A">
        <w:tab/>
        <w:t xml:space="preserve">В действующем Законе о труде и Законе о содействии занятости отсутствует термин </w:t>
      </w:r>
      <w:r w:rsidR="002279A3">
        <w:t>«</w:t>
      </w:r>
      <w:r w:rsidRPr="002E334A">
        <w:t>адаптироваться к особым потребностям</w:t>
      </w:r>
      <w:r w:rsidR="002279A3">
        <w:t>»</w:t>
      </w:r>
      <w:r w:rsidRPr="002E334A">
        <w:t xml:space="preserve"> и соответствующее положение, в</w:t>
      </w:r>
      <w:r w:rsidR="00AF76AC">
        <w:t> </w:t>
      </w:r>
      <w:r w:rsidRPr="002E334A">
        <w:t xml:space="preserve">связи с чем в настоящее время проводится пересмотр этих законов. С тех пор, как был введен термин </w:t>
      </w:r>
      <w:r w:rsidR="002279A3">
        <w:t>«</w:t>
      </w:r>
      <w:r w:rsidRPr="002E334A">
        <w:t>место работы, приспособленное к характеристикам лиц с инвалидностью</w:t>
      </w:r>
      <w:r w:rsidR="002279A3">
        <w:t>»</w:t>
      </w:r>
      <w:r w:rsidRPr="002E334A">
        <w:t xml:space="preserve">, уже прошло много времени. Этот термин подразумевает </w:t>
      </w:r>
      <w:r w:rsidR="002279A3">
        <w:t>«</w:t>
      </w:r>
      <w:r w:rsidRPr="002E334A">
        <w:t>рабочее место, отвечающее особым потребностям лиц с инвалидностью</w:t>
      </w:r>
      <w:r w:rsidR="002279A3">
        <w:t>»</w:t>
      </w:r>
      <w:r w:rsidRPr="002E334A">
        <w:t>.</w:t>
      </w:r>
    </w:p>
    <w:p w14:paraId="6FAB2716" w14:textId="77777777" w:rsidR="00154A55" w:rsidRPr="002E334A" w:rsidRDefault="00154A55" w:rsidP="000908D3">
      <w:pPr>
        <w:pStyle w:val="SingleTxtG"/>
      </w:pPr>
      <w:r w:rsidRPr="002E334A">
        <w:t>58.</w:t>
      </w:r>
      <w:r w:rsidRPr="002E334A">
        <w:tab/>
        <w:t xml:space="preserve">Например, в </w:t>
      </w:r>
      <w:r w:rsidR="002279A3">
        <w:t>«</w:t>
      </w:r>
      <w:r w:rsidRPr="002E334A">
        <w:t>Программе содействия трудоустройству лиц с инвалидностью</w:t>
      </w:r>
      <w:r w:rsidR="002279A3">
        <w:t>»</w:t>
      </w:r>
      <w:r w:rsidRPr="002E334A">
        <w:t>, утвержденной постановлением № 01 Национального совета по вопросам занятости от 14 января 2019 года, указано, что следует производить отбор проектных предложений, разработанных компаниями и НПО с целью создания постоянных рабочих мест, которые бы удовлетворяли особые потребности лиц с инвалидностью, и что компаниям может быть предоставлено до 50 млн тугриков при условии их возмещения в размере 100</w:t>
      </w:r>
      <w:r w:rsidR="00AF76AC">
        <w:t> </w:t>
      </w:r>
      <w:r w:rsidRPr="002E334A">
        <w:t xml:space="preserve">%, и до 30 млн тугриков </w:t>
      </w:r>
      <w:r w:rsidR="00AF76AC">
        <w:t>⸺</w:t>
      </w:r>
      <w:r w:rsidRPr="002E334A">
        <w:t xml:space="preserve"> НПО на безвозмездной основе, при этом расчетная сумма субсидии на одно рабочее место составит до 5 </w:t>
      </w:r>
      <w:bookmarkStart w:id="5" w:name="_Hlk64023873"/>
      <w:r w:rsidRPr="002E334A">
        <w:t>млн тугриков</w:t>
      </w:r>
      <w:bookmarkEnd w:id="5"/>
      <w:r w:rsidRPr="002E334A">
        <w:t>. В</w:t>
      </w:r>
      <w:r w:rsidR="00AF76AC">
        <w:t> </w:t>
      </w:r>
      <w:r w:rsidRPr="002E334A">
        <w:t xml:space="preserve">текущем году финансовая поддержка в размере 920 млн тугриков была предоставлена в общей сложности 69 предприятиям; в рамках этой Программы было трудоустроено 184 инвалида. </w:t>
      </w:r>
    </w:p>
    <w:p w14:paraId="140771A7" w14:textId="77777777" w:rsidR="00154A55" w:rsidRPr="002E334A" w:rsidRDefault="00154A55" w:rsidP="00712487">
      <w:pPr>
        <w:pStyle w:val="H1G"/>
      </w:pPr>
      <w:r w:rsidRPr="002E334A">
        <w:tab/>
      </w:r>
      <w:r w:rsidRPr="002E334A">
        <w:tab/>
        <w:t>Ответ на пункт 2 c) перечня вопросов</w:t>
      </w:r>
    </w:p>
    <w:p w14:paraId="7C9FD47A" w14:textId="77777777" w:rsidR="00154A55" w:rsidRPr="002E334A" w:rsidRDefault="00154A55" w:rsidP="000908D3">
      <w:pPr>
        <w:pStyle w:val="SingleTxtG"/>
      </w:pPr>
      <w:r w:rsidRPr="002E334A">
        <w:t>59.</w:t>
      </w:r>
      <w:r w:rsidRPr="002E334A">
        <w:tab/>
        <w:t xml:space="preserve">Под эгидой премьер-министра Монголии был создан Национальный совет, отвечающий за координацию на национальном уровне </w:t>
      </w:r>
      <w:proofErr w:type="spellStart"/>
      <w:r w:rsidRPr="002E334A">
        <w:t>межсекторальных</w:t>
      </w:r>
      <w:proofErr w:type="spellEnd"/>
      <w:r w:rsidRPr="002E334A">
        <w:t xml:space="preserve"> мер по обеспечению прав человека лиц с инвалидностью и общий надзор за их осуществлением, однако с 2018 года Совет возглавляет член Кабинета, ведающий вопросами, касающиеся лиц с инвалидностью, а именно Министр труда и социальной защиты. Функции канцелярии Совета выполняет Департамент МТСЗ по развитию лиц с инвалидностью, который обеспечивает согласование на </w:t>
      </w:r>
      <w:proofErr w:type="spellStart"/>
      <w:r w:rsidRPr="002E334A">
        <w:t>межсекторальном</w:t>
      </w:r>
      <w:proofErr w:type="spellEnd"/>
      <w:r w:rsidRPr="002E334A">
        <w:t xml:space="preserve"> уровне и соблюдение соответствующих законов, политики и программ по защите прав человека лиц с инвалидностью, а также предоставляет профессиональные и методологические консультации. МТСЗ организует поэтапные мероприятия по вовлечению НПО, работающих в области защиты прав лиц с инвалидностью, в процесс оценки и мониторинга обеспечения исполнения и применения Закона о правах лиц с инвалидностью и Национальной программы, а также оказывает им поддержку и занимается укреплением их потенциала. Вовлечение НПО в процессы выработки политики и принятия решений подробно описано в ответе на пункт 1 е) перечня вопросов Комитета. </w:t>
      </w:r>
    </w:p>
    <w:p w14:paraId="1AA75119" w14:textId="77777777" w:rsidR="00154A55" w:rsidRPr="002E334A" w:rsidRDefault="00154A55" w:rsidP="000908D3">
      <w:pPr>
        <w:pStyle w:val="SingleTxtG"/>
      </w:pPr>
      <w:r w:rsidRPr="002E334A">
        <w:t>60.</w:t>
      </w:r>
      <w:r w:rsidRPr="002E334A">
        <w:tab/>
        <w:t xml:space="preserve">С целью предоставления информации НПО, работающим в области защиты прав лиц с инвалидностью и граждан, их вовлечения в процессы разработки государственной политики и учета их мнений и замечаний при принятии решений, начиная с февраля 2018 года МТСЗ организует мероприятие </w:t>
      </w:r>
      <w:bookmarkStart w:id="6" w:name="_Hlk64368720"/>
      <w:r w:rsidR="002279A3">
        <w:t>«</w:t>
      </w:r>
      <w:r w:rsidRPr="002E334A">
        <w:t>Время для информирования</w:t>
      </w:r>
      <w:r w:rsidR="002279A3">
        <w:t>»</w:t>
      </w:r>
      <w:bookmarkEnd w:id="6"/>
      <w:r w:rsidRPr="002E334A">
        <w:t xml:space="preserve">, в котором принимают участие лица с инвалидностью и представители НПО. В 2018 году это мероприятие было организовано семь раз, </w:t>
      </w:r>
      <w:r w:rsidR="00745764">
        <w:br/>
      </w:r>
      <w:r w:rsidRPr="002E334A">
        <w:t xml:space="preserve">а с начала 2019 года оно проводится на регулярной основе. В течение встречи </w:t>
      </w:r>
      <w:r w:rsidR="002279A3">
        <w:t>«</w:t>
      </w:r>
      <w:r w:rsidRPr="002E334A">
        <w:t>Время для информирования</w:t>
      </w:r>
      <w:r w:rsidR="002279A3">
        <w:t>»</w:t>
      </w:r>
      <w:r w:rsidRPr="002E334A">
        <w:t xml:space="preserve"> предоставляется информация о новых законопроектах, текущих проектах и мероприятиях, а также освещается деятельность </w:t>
      </w:r>
      <w:proofErr w:type="spellStart"/>
      <w:r w:rsidRPr="002E334A">
        <w:t>подсоветов</w:t>
      </w:r>
      <w:proofErr w:type="spellEnd"/>
      <w:r w:rsidRPr="002E334A">
        <w:t xml:space="preserve"> министерств. </w:t>
      </w:r>
    </w:p>
    <w:p w14:paraId="1FDEDA77" w14:textId="77777777" w:rsidR="00154A55" w:rsidRPr="002E334A" w:rsidRDefault="00154A55" w:rsidP="00712487">
      <w:pPr>
        <w:pStyle w:val="H1G"/>
      </w:pPr>
      <w:r w:rsidRPr="002E334A">
        <w:lastRenderedPageBreak/>
        <w:tab/>
      </w:r>
      <w:r w:rsidRPr="002E334A">
        <w:tab/>
        <w:t>Ответ на пункт 2 d) перечня вопросов</w:t>
      </w:r>
    </w:p>
    <w:p w14:paraId="436FCB6A" w14:textId="77777777" w:rsidR="00154A55" w:rsidRPr="002E334A" w:rsidRDefault="00154A55" w:rsidP="000908D3">
      <w:pPr>
        <w:pStyle w:val="SingleTxtG"/>
      </w:pPr>
      <w:r w:rsidRPr="002E334A">
        <w:t>61.</w:t>
      </w:r>
      <w:r w:rsidRPr="002E334A">
        <w:tab/>
        <w:t xml:space="preserve">Пунктом 14 статьи 16 Конституции Монголии предусмотрено, что гражданин Монголии имеет </w:t>
      </w:r>
      <w:r w:rsidR="002279A3">
        <w:t>«</w:t>
      </w:r>
      <w:r w:rsidRPr="002E334A">
        <w:t>право на правовую защиту и возмещение ущерба, причиненного другими лицами, а также на подачу жалобы в суд в связи с действиями, нарушающими его/ее права и свободы, которые гарантированы ему/ей законодательством Монголии и международными договорами</w:t>
      </w:r>
      <w:r w:rsidR="002279A3">
        <w:t>»</w:t>
      </w:r>
      <w:r w:rsidRPr="002E334A">
        <w:t xml:space="preserve">; вопрос о возмещении ущерба, незаконно причиненного другими лицами, регулируется соответствующими положениями Уголовного, Уголовно-процессуального и Гражданского кодексов. В соответствии с этими правовыми положениями гражданин, по мнению которого/которой он/она подвергся/подверглась дискриминации по признаку инвалидности, имеет право подать жалобу в суд. По итогам рассмотрения дела и установления действия или бездействия виновного суд назначает наказание, предусмотренное Уголовным кодексом и Законом о правонарушениях. Если гражданину в следствие дискриминации был причинен ущерб, то суд устанавливает размер компенсации и выносит решение о выплате компенсации виновной стороной. В </w:t>
      </w:r>
      <w:r w:rsidR="002279A3">
        <w:t>«</w:t>
      </w:r>
      <w:r w:rsidR="00712487">
        <w:t>семнадцатом</w:t>
      </w:r>
      <w:r w:rsidRPr="002E334A">
        <w:t xml:space="preserve"> докладе о положении в области прав человека и свобод в Монголии</w:t>
      </w:r>
      <w:r w:rsidR="002279A3">
        <w:t>»</w:t>
      </w:r>
      <w:r w:rsidRPr="002E334A">
        <w:t>, опубликованном Национальной комиссией по правам человека Монголии (НКПЧМ)</w:t>
      </w:r>
      <w:r w:rsidRPr="00BC6CB5">
        <w:rPr>
          <w:rStyle w:val="aa"/>
        </w:rPr>
        <w:footnoteReference w:id="9"/>
      </w:r>
      <w:r w:rsidRPr="002E334A">
        <w:t xml:space="preserve"> в 2018 году, отмечается, что могут иметь место случаи, когда граждане не могут подать жалобу и не могут надлежащим образом урегулировать вопросы из-за незнания правовых норм. Также имеют место случаи, когда законные приговоры о выплате компенсаций не исполняются или их исполнение задерживается. В связи с этим в настоящее время реализуется </w:t>
      </w:r>
      <w:r w:rsidR="002279A3">
        <w:t>«</w:t>
      </w:r>
      <w:r w:rsidRPr="002E334A">
        <w:t>Национальная программа по совершенствованию правового просвещения населения</w:t>
      </w:r>
      <w:r w:rsidR="002279A3">
        <w:t>»</w:t>
      </w:r>
      <w:r w:rsidRPr="002E334A">
        <w:t xml:space="preserve">, направленная на повышение осведомленности и улучшение правовых знаний лиц с инвалидностью, а также на оказание им правовой помощи и их консультирование. </w:t>
      </w:r>
    </w:p>
    <w:p w14:paraId="32DB8696" w14:textId="77777777" w:rsidR="00154A55" w:rsidRPr="002E334A" w:rsidRDefault="00154A55" w:rsidP="00712487">
      <w:pPr>
        <w:pStyle w:val="H1G"/>
      </w:pPr>
      <w:r w:rsidRPr="002E334A">
        <w:tab/>
      </w:r>
      <w:r w:rsidRPr="002E334A">
        <w:tab/>
        <w:t>Ответ на пункт 2 е) перечня вопросов</w:t>
      </w:r>
    </w:p>
    <w:p w14:paraId="2AC7039B" w14:textId="77777777" w:rsidR="00154A55" w:rsidRPr="002E334A" w:rsidRDefault="00154A55" w:rsidP="000908D3">
      <w:pPr>
        <w:pStyle w:val="SingleTxtG"/>
      </w:pPr>
      <w:r w:rsidRPr="002E334A">
        <w:t>62.</w:t>
      </w:r>
      <w:r w:rsidRPr="002E334A">
        <w:tab/>
        <w:t xml:space="preserve">Министерство юстиции и внутренних дел (МЮВД) в сотрудничестве с Национальным юридическим институтом, Фондом им. </w:t>
      </w:r>
      <w:proofErr w:type="spellStart"/>
      <w:r w:rsidRPr="002E334A">
        <w:t>Ханнса</w:t>
      </w:r>
      <w:proofErr w:type="spellEnd"/>
      <w:r w:rsidRPr="002E334A">
        <w:t xml:space="preserve"> Зейделя и Фондом </w:t>
      </w:r>
      <w:r w:rsidR="00B45330">
        <w:br/>
      </w:r>
      <w:r w:rsidRPr="002E334A">
        <w:t xml:space="preserve">им. </w:t>
      </w:r>
      <w:proofErr w:type="spellStart"/>
      <w:r w:rsidRPr="002E334A">
        <w:t>Жанцана</w:t>
      </w:r>
      <w:proofErr w:type="spellEnd"/>
      <w:r w:rsidRPr="002E334A">
        <w:t xml:space="preserve"> подготовило 14 видеопосланий для улучшения правовых знаний и образования населения. С тем чтобы эти видеопослания были доступны для лиц с нарушениями слуха, они были переведены на язык жестов и размещены на веб-сайтах МЮВД, его 12 агентств и организаций, а также продемонстрированы на экранах, размещенных в служебных помещениях этих агентств. Кроме того, в 2018 году в сотрудничестве с Национальным реабилитационным и учебным центром была организована подготовка (обучение языку жестов) инструкторов и сурдопереводчиков, которые будут разъяснять и передавать лицам с инвалидностью информацию о функционировании и деятельности МЮВД и его ведомств. Для</w:t>
      </w:r>
      <w:r w:rsidR="002E017C">
        <w:t> </w:t>
      </w:r>
      <w:r w:rsidRPr="002E334A">
        <w:t>прохождения подготовки были зачислены представители 11 организаций; по ее итогам им были выданы соответствующие свидетельства. Государственный регистрационный орган привлек для обучения шрифту Брайля и языку жестов по одному</w:t>
      </w:r>
      <w:r w:rsidR="00B45330">
        <w:t>−</w:t>
      </w:r>
      <w:r w:rsidRPr="002E334A">
        <w:t>двум сотрудников из числа принимающего и обслуживающего персонала каждого местного отделения. Обучение языку жестов с получением свидетельств прошли в общей сложности 26 сотрудников местных и столичных отделений.</w:t>
      </w:r>
    </w:p>
    <w:p w14:paraId="2FE2265A" w14:textId="77777777" w:rsidR="00154A55" w:rsidRPr="002E334A" w:rsidRDefault="00154A55" w:rsidP="000908D3">
      <w:pPr>
        <w:pStyle w:val="SingleTxtG"/>
      </w:pPr>
      <w:r w:rsidRPr="002E334A">
        <w:t>63.</w:t>
      </w:r>
      <w:r w:rsidRPr="002E334A">
        <w:tab/>
        <w:t xml:space="preserve">В целях предотвращения нарушений этических норм и просвещения сотрудников судебных органов Генеральный судебный совет в 2016 году организовал несколько учебных курсов для 57 судей и 250 сотрудников столичных и пяти провинциальных судов, а также для более чем 25 сотрудников НПО, отобранных НПО </w:t>
      </w:r>
      <w:r w:rsidR="002279A3">
        <w:t>«</w:t>
      </w:r>
      <w:r w:rsidRPr="002E334A">
        <w:t>Форум открытого общества</w:t>
      </w:r>
      <w:r w:rsidR="002279A3">
        <w:t>»</w:t>
      </w:r>
      <w:r w:rsidRPr="002E334A">
        <w:t xml:space="preserve"> для наблюдения за деятельностью судебных органов. Учебные курсы были посвящены таким темам, как </w:t>
      </w:r>
      <w:r w:rsidR="002279A3">
        <w:t>«</w:t>
      </w:r>
      <w:r w:rsidRPr="002E334A">
        <w:t>Процедура рассмотрения жалоб, касающихся судебной этики</w:t>
      </w:r>
      <w:r w:rsidR="002279A3">
        <w:t>»</w:t>
      </w:r>
      <w:r w:rsidRPr="002E334A">
        <w:t xml:space="preserve">, </w:t>
      </w:r>
      <w:r w:rsidR="002279A3">
        <w:t>«</w:t>
      </w:r>
      <w:r w:rsidRPr="002E334A">
        <w:t xml:space="preserve">Сообщения и отношение к ним должностных лиц </w:t>
      </w:r>
      <w:r w:rsidRPr="002E334A">
        <w:lastRenderedPageBreak/>
        <w:t>администрации судов</w:t>
      </w:r>
      <w:r w:rsidR="002279A3">
        <w:t>»</w:t>
      </w:r>
      <w:r w:rsidRPr="002E334A">
        <w:t xml:space="preserve"> и </w:t>
      </w:r>
      <w:r w:rsidR="002279A3">
        <w:t>«</w:t>
      </w:r>
      <w:r w:rsidRPr="002E334A">
        <w:t>Нарушение кодекса поведения судей и права на подачу жалобы</w:t>
      </w:r>
      <w:r w:rsidR="002279A3">
        <w:t>»</w:t>
      </w:r>
      <w:r w:rsidRPr="002E334A">
        <w:t xml:space="preserve">. </w:t>
      </w:r>
    </w:p>
    <w:p w14:paraId="11E62AC2" w14:textId="77777777" w:rsidR="00154A55" w:rsidRPr="002E334A" w:rsidRDefault="00154A55" w:rsidP="000908D3">
      <w:pPr>
        <w:pStyle w:val="SingleTxtG"/>
      </w:pPr>
      <w:r w:rsidRPr="002E334A">
        <w:t>64.</w:t>
      </w:r>
      <w:r w:rsidRPr="002E334A">
        <w:tab/>
        <w:t xml:space="preserve">В 2017 году Национальное управление полиции организовало модульное обучение по теме </w:t>
      </w:r>
      <w:r w:rsidR="002279A3">
        <w:t>«</w:t>
      </w:r>
      <w:r w:rsidRPr="002E334A">
        <w:t>Методология общения с лицами с инвалидностью</w:t>
      </w:r>
      <w:r w:rsidR="002279A3">
        <w:t>»</w:t>
      </w:r>
      <w:r w:rsidRPr="002E334A">
        <w:t xml:space="preserve"> для сотрудников уголовного розыска и других категорий оперативных сотрудников, отвечающих за борьбу с преступностью, а в 2018 году </w:t>
      </w:r>
      <w:r w:rsidR="00373B0C">
        <w:t>⸺</w:t>
      </w:r>
      <w:r w:rsidRPr="002E334A">
        <w:t xml:space="preserve"> по теме </w:t>
      </w:r>
      <w:r w:rsidR="002279A3">
        <w:t>«</w:t>
      </w:r>
      <w:r w:rsidRPr="002E334A">
        <w:t>Подготовка инструкторов из числа сотрудников полиции, отвечающих за общение с лицами с инвалидностью</w:t>
      </w:r>
      <w:r w:rsidR="002279A3">
        <w:t>»</w:t>
      </w:r>
      <w:r w:rsidRPr="002E334A">
        <w:t xml:space="preserve"> для сотрудников патрульно-постовой службы, охраны и инспекторов полицейских подразделений. В общей сложности в обучении приняли участие 105</w:t>
      </w:r>
      <w:r w:rsidR="00373B0C">
        <w:t> </w:t>
      </w:r>
      <w:r w:rsidRPr="002E334A">
        <w:t>сотрудников подразделений, департаментов и территориальных отделений полиции. В будущем подобная подготовка должна быть проводиться на поэтапной основе для судебных и гражданских служащих всех уровней.</w:t>
      </w:r>
    </w:p>
    <w:p w14:paraId="460302B5" w14:textId="77777777" w:rsidR="00154A55" w:rsidRPr="002E334A" w:rsidRDefault="00154A55" w:rsidP="00373B0C">
      <w:pPr>
        <w:pStyle w:val="H1G"/>
      </w:pPr>
      <w:r w:rsidRPr="002E334A">
        <w:tab/>
      </w:r>
      <w:r w:rsidRPr="002E334A">
        <w:tab/>
        <w:t>Ответ на пункт 3 перечня вопросов</w:t>
      </w:r>
    </w:p>
    <w:p w14:paraId="7C8BB65D" w14:textId="77777777" w:rsidR="00154A55" w:rsidRPr="002E334A" w:rsidRDefault="00154A55" w:rsidP="000908D3">
      <w:pPr>
        <w:pStyle w:val="SingleTxtG"/>
      </w:pPr>
      <w:r w:rsidRPr="002E334A">
        <w:t>65.</w:t>
      </w:r>
      <w:r w:rsidRPr="002E334A">
        <w:tab/>
        <w:t>В Конституции Монголии и ее законах об образовании, здравоохранении, труде и семье нет ни одного положения или статьи, которые бы ограничивали женщин или являлись бы дискриминационными по отношению к ним. Аналогичный тезис применим к женщинам и девочкам с инвалидностью. Монголия ратифицировала Конвенцию Организации Объединенных Наций о ликвидации всех форм дискриминации в отношении женщин в 1981 году, а также приняла Закон о поощрении гендерного равенства в 1991 году и Закон о борьбе с насилием в семье в 2016 году. В</w:t>
      </w:r>
      <w:r w:rsidR="00373B0C">
        <w:t> </w:t>
      </w:r>
      <w:r w:rsidRPr="002E334A">
        <w:t>2017 году была принята и осуществляется Национальная программа поощрения гендерного равенства.</w:t>
      </w:r>
    </w:p>
    <w:p w14:paraId="16DFFB1C" w14:textId="77777777" w:rsidR="00154A55" w:rsidRPr="002E334A" w:rsidRDefault="00154A55" w:rsidP="000908D3">
      <w:pPr>
        <w:pStyle w:val="SingleTxtG"/>
      </w:pPr>
      <w:r w:rsidRPr="002E334A">
        <w:t>66.</w:t>
      </w:r>
      <w:r w:rsidRPr="002E334A">
        <w:tab/>
        <w:t xml:space="preserve">МТСЗ привлекает представителей НПО, занимающихся вопросами защиты и охраны прав женщин и детей с инвалидностью, к подготовке правовых документов, касающихся лиц с инвалидностью, докладов по любым международным конвенциям и договорам, а также ко всем процессам, связанным с разработкой программ и политики. Женщины и девочки с инвалидностью и представители НПО, которые занимаются защитой их прав, принимают участие во всех проводимых мероприятиях. </w:t>
      </w:r>
    </w:p>
    <w:p w14:paraId="29B11540" w14:textId="77777777" w:rsidR="00154A55" w:rsidRPr="002E334A" w:rsidRDefault="00154A55" w:rsidP="00373B0C">
      <w:pPr>
        <w:pStyle w:val="H1G"/>
      </w:pPr>
      <w:r w:rsidRPr="002E334A">
        <w:tab/>
      </w:r>
      <w:r w:rsidRPr="002E334A">
        <w:tab/>
        <w:t>Ответ на пункт 4 а) перечня вопросов</w:t>
      </w:r>
    </w:p>
    <w:p w14:paraId="0988F4F2" w14:textId="77777777" w:rsidR="00154A55" w:rsidRPr="002E334A" w:rsidRDefault="00154A55" w:rsidP="000908D3">
      <w:pPr>
        <w:pStyle w:val="SingleTxtG"/>
      </w:pPr>
      <w:r w:rsidRPr="002E334A">
        <w:t>67.</w:t>
      </w:r>
      <w:r w:rsidRPr="002E334A">
        <w:tab/>
        <w:t>Согласно статистическим данным за 2018 год в 2018</w:t>
      </w:r>
      <w:r w:rsidR="00373B0C" w:rsidRPr="00373B0C">
        <w:t>/</w:t>
      </w:r>
      <w:r w:rsidRPr="002E334A">
        <w:t xml:space="preserve">19 учебном году в дошкольные учреждения было зачислено в целом по стране 1087 детей-инвалидов, </w:t>
      </w:r>
      <w:r w:rsidR="00373B0C">
        <w:br/>
      </w:r>
      <w:r w:rsidRPr="002E334A">
        <w:t xml:space="preserve">а в средние школы </w:t>
      </w:r>
      <w:r w:rsidR="00373B0C">
        <w:t>⸺</w:t>
      </w:r>
      <w:r w:rsidRPr="002E334A">
        <w:t xml:space="preserve"> 6518 детей-инвалидов. На их долю приходится 57,2</w:t>
      </w:r>
      <w:r w:rsidR="00373B0C">
        <w:t> </w:t>
      </w:r>
      <w:r w:rsidRPr="002E334A">
        <w:t>% детей-инвалидов дошкольного возраста и 78</w:t>
      </w:r>
      <w:r w:rsidR="005F394A">
        <w:rPr>
          <w:lang w:val="en-US"/>
        </w:rPr>
        <w:t> </w:t>
      </w:r>
      <w:r w:rsidRPr="002E334A">
        <w:t>% детей-инвалидов школьного возраста. В</w:t>
      </w:r>
      <w:r w:rsidR="00373B0C">
        <w:t> </w:t>
      </w:r>
      <w:r w:rsidRPr="002E334A">
        <w:t xml:space="preserve">рамках повышения уровня охвата школьным образованием детей-инвалидов и содействия инклюзивному образованию в четырех специальных и восьми обычных школах осуществляется финансируемый ЯАМС проект </w:t>
      </w:r>
      <w:r w:rsidR="002279A3">
        <w:t>«</w:t>
      </w:r>
      <w:r w:rsidRPr="002E334A">
        <w:t>Улучшение услуг в области здравоохранения, образования и социального обеспечения для детей с особыми образовательными потребностями</w:t>
      </w:r>
      <w:r w:rsidR="002279A3">
        <w:t>»</w:t>
      </w:r>
      <w:r w:rsidRPr="002E334A">
        <w:t xml:space="preserve">. Кроме того, в сотрудничестве с ЮНИСЕФ в шести школах был осуществлен проект </w:t>
      </w:r>
      <w:r w:rsidR="002279A3">
        <w:t>«</w:t>
      </w:r>
      <w:r w:rsidRPr="002E334A">
        <w:t>Инклюзивная, здоровая и качественная учебная среда</w:t>
      </w:r>
      <w:r w:rsidR="002279A3">
        <w:t>»</w:t>
      </w:r>
      <w:r w:rsidRPr="002E334A">
        <w:t xml:space="preserve">. В рамках этого проекта было разработано программное приложение </w:t>
      </w:r>
      <w:r w:rsidR="002279A3">
        <w:t>«</w:t>
      </w:r>
      <w:r w:rsidRPr="002E334A">
        <w:t>Друг</w:t>
      </w:r>
      <w:r w:rsidR="002279A3">
        <w:t>»</w:t>
      </w:r>
      <w:r w:rsidRPr="002E334A">
        <w:t xml:space="preserve"> (</w:t>
      </w:r>
      <w:r w:rsidR="002279A3">
        <w:t>«</w:t>
      </w:r>
      <w:proofErr w:type="spellStart"/>
      <w:r w:rsidRPr="002E334A">
        <w:t>Наиз</w:t>
      </w:r>
      <w:proofErr w:type="spellEnd"/>
      <w:r w:rsidR="002279A3">
        <w:t>»</w:t>
      </w:r>
      <w:r w:rsidRPr="002E334A">
        <w:t xml:space="preserve">), призванное помочь детям-инвалидам преодолеть потенциальные препятствия, с которыми они могут столкнуться в школьной жизни. В целях расширения возможностей для обучения молодежи с инвалидностью, профессионально-техническое училище Национального реабилитационного центра предлагает обучение по следующим специальностям: </w:t>
      </w:r>
    </w:p>
    <w:p w14:paraId="6629A055" w14:textId="77777777" w:rsidR="00154A55" w:rsidRPr="00373B0C" w:rsidRDefault="00154A55" w:rsidP="00373B0C">
      <w:pPr>
        <w:pStyle w:val="Bullet1G"/>
      </w:pPr>
      <w:r w:rsidRPr="002E334A">
        <w:t>технолог хл</w:t>
      </w:r>
      <w:r w:rsidRPr="00373B0C">
        <w:t>ебопекарного и кондитерского производства</w:t>
      </w:r>
      <w:r w:rsidR="00527A49">
        <w:t>;</w:t>
      </w:r>
      <w:r w:rsidRPr="00373B0C">
        <w:t xml:space="preserve"> </w:t>
      </w:r>
    </w:p>
    <w:p w14:paraId="65F8D476" w14:textId="77777777" w:rsidR="00154A55" w:rsidRPr="00373B0C" w:rsidRDefault="00154A55" w:rsidP="00373B0C">
      <w:pPr>
        <w:pStyle w:val="Bullet1G"/>
      </w:pPr>
      <w:r w:rsidRPr="00373B0C">
        <w:t>переводчик жестового языка</w:t>
      </w:r>
      <w:r w:rsidR="00527A49">
        <w:t>;</w:t>
      </w:r>
    </w:p>
    <w:p w14:paraId="15FBAF2D" w14:textId="77777777" w:rsidR="00154A55" w:rsidRPr="002E334A" w:rsidRDefault="00154A55" w:rsidP="00373B0C">
      <w:pPr>
        <w:pStyle w:val="Bullet1G"/>
      </w:pPr>
      <w:r w:rsidRPr="00373B0C">
        <w:t>швея, портн</w:t>
      </w:r>
      <w:r w:rsidRPr="002E334A">
        <w:t>ой</w:t>
      </w:r>
      <w:r w:rsidR="00527A49">
        <w:t>;</w:t>
      </w:r>
    </w:p>
    <w:p w14:paraId="737C11EF" w14:textId="77777777" w:rsidR="00154A55" w:rsidRPr="002E334A" w:rsidRDefault="00154A55" w:rsidP="00373B0C">
      <w:pPr>
        <w:pStyle w:val="Bullet1G"/>
      </w:pPr>
      <w:r w:rsidRPr="002E334A">
        <w:t>повар</w:t>
      </w:r>
      <w:r w:rsidR="00527A49">
        <w:t>;</w:t>
      </w:r>
    </w:p>
    <w:p w14:paraId="79C8EDB0" w14:textId="77777777" w:rsidR="00154A55" w:rsidRPr="002E334A" w:rsidRDefault="00154A55" w:rsidP="00373B0C">
      <w:pPr>
        <w:pStyle w:val="Bullet1G"/>
      </w:pPr>
      <w:r w:rsidRPr="002E334A">
        <w:lastRenderedPageBreak/>
        <w:t>оператор компьютера; при этом недавно по запросам работодателей было начато обучение по следующим специальностям:</w:t>
      </w:r>
    </w:p>
    <w:p w14:paraId="2C53807C" w14:textId="77777777" w:rsidR="00154A55" w:rsidRPr="00373B0C" w:rsidRDefault="00154A55" w:rsidP="00373B0C">
      <w:pPr>
        <w:pStyle w:val="Bullet2G"/>
      </w:pPr>
      <w:r w:rsidRPr="002E334A">
        <w:t>работник теп</w:t>
      </w:r>
      <w:r w:rsidRPr="00373B0C">
        <w:t xml:space="preserve">лицы </w:t>
      </w:r>
      <w:r w:rsidR="00373B0C">
        <w:t>⸺</w:t>
      </w:r>
      <w:r w:rsidRPr="00373B0C">
        <w:t xml:space="preserve"> 1 год</w:t>
      </w:r>
      <w:r w:rsidR="00527A49">
        <w:t>;</w:t>
      </w:r>
    </w:p>
    <w:p w14:paraId="1A74DF27" w14:textId="77777777" w:rsidR="00154A55" w:rsidRPr="002E334A" w:rsidRDefault="002279A3" w:rsidP="00373B0C">
      <w:pPr>
        <w:pStyle w:val="Bullet2G"/>
      </w:pPr>
      <w:r>
        <w:t>«</w:t>
      </w:r>
      <w:r w:rsidR="00154A55" w:rsidRPr="00373B0C">
        <w:t>оператор вяз</w:t>
      </w:r>
      <w:r w:rsidR="00154A55" w:rsidRPr="002E334A">
        <w:t>альных машин</w:t>
      </w:r>
      <w:r>
        <w:t>»</w:t>
      </w:r>
      <w:r w:rsidR="00154A55" w:rsidRPr="002E334A">
        <w:t xml:space="preserve"> </w:t>
      </w:r>
      <w:r w:rsidR="00373B0C">
        <w:t>⸺</w:t>
      </w:r>
      <w:r w:rsidR="00154A55" w:rsidRPr="002E334A">
        <w:t xml:space="preserve"> 1 год</w:t>
      </w:r>
      <w:r w:rsidR="00527A49">
        <w:t>.</w:t>
      </w:r>
    </w:p>
    <w:p w14:paraId="10A1A74C" w14:textId="77777777" w:rsidR="00154A55" w:rsidRPr="002E334A" w:rsidRDefault="00154A55" w:rsidP="000908D3">
      <w:pPr>
        <w:pStyle w:val="SingleTxtG"/>
      </w:pPr>
      <w:r w:rsidRPr="002E334A">
        <w:t>68.</w:t>
      </w:r>
      <w:r w:rsidRPr="002E334A">
        <w:tab/>
        <w:t xml:space="preserve">Обучение в этом центре профессиональной подготовки прошли и вышли на рынок труда в общей сложности 205 молодых лиц с инвалидностью. Из них </w:t>
      </w:r>
      <w:r w:rsidR="00EB78B7">
        <w:br/>
      </w:r>
      <w:r w:rsidRPr="002E334A">
        <w:t>в 2016</w:t>
      </w:r>
      <w:r w:rsidR="00EB78B7" w:rsidRPr="00EB78B7">
        <w:t>/</w:t>
      </w:r>
      <w:r w:rsidRPr="002E334A">
        <w:t xml:space="preserve">17 учебном году по </w:t>
      </w:r>
      <w:r w:rsidR="00527A49" w:rsidRPr="00527A49">
        <w:t>7</w:t>
      </w:r>
      <w:r w:rsidRPr="002E334A">
        <w:t xml:space="preserve"> специальностям обучались 62 молодых человека, в</w:t>
      </w:r>
      <w:r w:rsidR="00EB78B7">
        <w:rPr>
          <w:lang w:val="en-US"/>
        </w:rPr>
        <w:t> </w:t>
      </w:r>
      <w:r w:rsidRPr="002E334A">
        <w:t>2017</w:t>
      </w:r>
      <w:r w:rsidR="00EB78B7" w:rsidRPr="00EB78B7">
        <w:t>/</w:t>
      </w:r>
      <w:r w:rsidRPr="002E334A">
        <w:t xml:space="preserve">18 учебном году по </w:t>
      </w:r>
      <w:r w:rsidR="00527A49" w:rsidRPr="00527A49">
        <w:t>5</w:t>
      </w:r>
      <w:r w:rsidRPr="002E334A">
        <w:t xml:space="preserve"> специальностям обучалось 43 молодых человека и в</w:t>
      </w:r>
      <w:r w:rsidR="00EB78B7">
        <w:rPr>
          <w:lang w:val="en-US"/>
        </w:rPr>
        <w:t> </w:t>
      </w:r>
      <w:r w:rsidRPr="002E334A">
        <w:t>2018</w:t>
      </w:r>
      <w:r w:rsidR="00EB78B7" w:rsidRPr="00EB78B7">
        <w:t>/</w:t>
      </w:r>
      <w:r w:rsidRPr="002E334A">
        <w:t xml:space="preserve">19 учебном году по </w:t>
      </w:r>
      <w:r w:rsidR="00527A49" w:rsidRPr="00527A49">
        <w:t>8</w:t>
      </w:r>
      <w:r w:rsidRPr="002E334A">
        <w:t xml:space="preserve"> специальностям </w:t>
      </w:r>
      <w:r w:rsidR="00EB78B7">
        <w:t>⸺</w:t>
      </w:r>
      <w:r w:rsidRPr="002E334A">
        <w:t xml:space="preserve"> 100 молодых людей. Средний показатель их трудоустройства от общего количества выпускников составляет 68</w:t>
      </w:r>
      <w:r w:rsidR="00EB78B7" w:rsidRPr="00EB78B7">
        <w:t>,</w:t>
      </w:r>
      <w:r w:rsidRPr="002E334A">
        <w:t>5</w:t>
      </w:r>
      <w:r w:rsidR="00EB78B7">
        <w:rPr>
          <w:lang w:val="en-US"/>
        </w:rPr>
        <w:t> </w:t>
      </w:r>
      <w:r w:rsidRPr="002E334A">
        <w:t xml:space="preserve">%. Специальные подкомиссии на уровне аймаков и на местах, которые отвечают за образование, </w:t>
      </w:r>
      <w:r w:rsidRPr="002E334A">
        <w:rPr>
          <w:shd w:val="clear" w:color="auto" w:fill="FFFFFF"/>
        </w:rPr>
        <w:t>охрану здоровья</w:t>
      </w:r>
      <w:r w:rsidRPr="002E334A">
        <w:t xml:space="preserve"> и социальную защиту детей с инвалидностью, принимают такие меры, как привлечение детей-инвалидов к медицинским осмотрам и обследованиям; раннее выявление инвалидности; возвращение детей, бросивших школу, в образовательные учреждения; и обеспечение их социального благополучия и защиты. Так, например, в 2018 году эти подкомиссии добились охвата соответствующими службами около 5000 детей (рост в два раза) и, опираясь на местные ресурсы, приняли меры по созданию центра дневного ухода и </w:t>
      </w:r>
      <w:r w:rsidR="002279A3">
        <w:t>«</w:t>
      </w:r>
      <w:r w:rsidRPr="002E334A">
        <w:t>Центра развития детей-инвалидов</w:t>
      </w:r>
      <w:r w:rsidR="002279A3">
        <w:t>»</w:t>
      </w:r>
      <w:r w:rsidRPr="002E334A">
        <w:t xml:space="preserve"> для поддержки развития детей-инвалидов, которые не были зачислены в школы, а также по направлению детей-инвалидов в санаторий, привлечению детей к специализированному врачебному осмотру. </w:t>
      </w:r>
    </w:p>
    <w:p w14:paraId="249BD711" w14:textId="77777777" w:rsidR="00154A55" w:rsidRPr="002E334A" w:rsidRDefault="00154A55" w:rsidP="00EB78B7">
      <w:pPr>
        <w:pStyle w:val="H1G"/>
      </w:pPr>
      <w:r w:rsidRPr="002E334A">
        <w:tab/>
      </w:r>
      <w:r w:rsidRPr="002E334A">
        <w:tab/>
        <w:t>Ответ на пункт 4 b) перечня вопросов</w:t>
      </w:r>
    </w:p>
    <w:p w14:paraId="09967375" w14:textId="77777777" w:rsidR="00154A55" w:rsidRPr="002E334A" w:rsidRDefault="00154A55" w:rsidP="000908D3">
      <w:pPr>
        <w:pStyle w:val="SingleTxtG"/>
      </w:pPr>
      <w:r w:rsidRPr="002E334A">
        <w:t>69.</w:t>
      </w:r>
      <w:r w:rsidRPr="002E334A">
        <w:tab/>
        <w:t>В соответствии с Законом о социальном обеспечении и Законом о правах человека лиц с инвалидностью родителям, включая родителей детей-инвалидов, предоставляются следующие виды помощи:</w:t>
      </w:r>
    </w:p>
    <w:p w14:paraId="6BD7FF88" w14:textId="77777777" w:rsidR="00154A55" w:rsidRPr="002E334A" w:rsidRDefault="00154A55" w:rsidP="000908D3">
      <w:pPr>
        <w:pStyle w:val="SingleTxtG"/>
      </w:pPr>
      <w:r w:rsidRPr="002E334A">
        <w:tab/>
        <w:t>a)</w:t>
      </w:r>
      <w:r w:rsidRPr="002E334A">
        <w:tab/>
        <w:t>ежемесячная пенсия по социальному обеспечению (174 000 тугриков) на карликов, достигших 16-летнего возраста, и лиц с инвалидностью, потерявших 50 и более процентов трудоспособности;</w:t>
      </w:r>
    </w:p>
    <w:p w14:paraId="5872EECE" w14:textId="77777777" w:rsidR="00154A55" w:rsidRPr="002E334A" w:rsidRDefault="00154A55" w:rsidP="000908D3">
      <w:pPr>
        <w:pStyle w:val="SingleTxtG"/>
      </w:pPr>
      <w:r w:rsidRPr="002E334A">
        <w:tab/>
        <w:t>b)</w:t>
      </w:r>
      <w:r w:rsidRPr="002E334A">
        <w:tab/>
        <w:t>ежемесячное пособие, равное выплачиваемой в настоящее время пенсии по социальному обеспечению (174</w:t>
      </w:r>
      <w:r w:rsidR="00EB78B7">
        <w:rPr>
          <w:lang w:val="en-US"/>
        </w:rPr>
        <w:t> </w:t>
      </w:r>
      <w:r w:rsidRPr="002E334A">
        <w:t>000 тугриков), которое устанавливает правительство для лиц в возрасте до 16 лет, нуждающихся в постоянном уходе;</w:t>
      </w:r>
    </w:p>
    <w:p w14:paraId="4C402BFA" w14:textId="77777777" w:rsidR="00154A55" w:rsidRPr="002E334A" w:rsidRDefault="00154A55" w:rsidP="000908D3">
      <w:pPr>
        <w:pStyle w:val="SingleTxtG"/>
      </w:pPr>
      <w:r w:rsidRPr="002E334A">
        <w:tab/>
        <w:t>c)</w:t>
      </w:r>
      <w:r w:rsidRPr="002E334A">
        <w:tab/>
        <w:t>скидка со стоимости пребывания в интернате, учебников и школьной формы, которая распространяется на обучающихся в дошкольных учреждениях или средних школах детей-инвалидов и детей родителей-инвалидов;</w:t>
      </w:r>
    </w:p>
    <w:p w14:paraId="54E3F92D" w14:textId="77777777" w:rsidR="00154A55" w:rsidRPr="002E334A" w:rsidRDefault="00154A55" w:rsidP="000908D3">
      <w:pPr>
        <w:pStyle w:val="SingleTxtG"/>
      </w:pPr>
      <w:r w:rsidRPr="002E334A">
        <w:tab/>
        <w:t>d)</w:t>
      </w:r>
      <w:r w:rsidRPr="002E334A">
        <w:tab/>
        <w:t>компенсация платы за коммунальные услуги или оказание один раз в год денежной помощи на приобретение топлива при наличии детей-инвалидов в возрасте до 16 лет, нуждающихся в постоянном уходе, лиц с нарушениями зрения и слуха, карликов и лиц, потерявших трудоспособность, если жилище не подключено к центральному отоплению;</w:t>
      </w:r>
    </w:p>
    <w:p w14:paraId="48DB07A4" w14:textId="77777777" w:rsidR="00154A55" w:rsidRPr="002E334A" w:rsidRDefault="00154A55" w:rsidP="000908D3">
      <w:pPr>
        <w:pStyle w:val="SingleTxtG"/>
      </w:pPr>
      <w:r w:rsidRPr="002E334A">
        <w:tab/>
        <w:t>e)</w:t>
      </w:r>
      <w:r w:rsidRPr="002E334A">
        <w:tab/>
      </w:r>
      <w:r w:rsidRPr="002E334A">
        <w:rPr>
          <w:rStyle w:val="extended-textshort"/>
        </w:rPr>
        <w:t>100-</w:t>
      </w:r>
      <w:r w:rsidRPr="000908D3">
        <w:t>процентное</w:t>
      </w:r>
      <w:r w:rsidRPr="002E334A">
        <w:rPr>
          <w:rStyle w:val="extended-textshort"/>
        </w:rPr>
        <w:t xml:space="preserve"> возмещение</w:t>
      </w:r>
      <w:r w:rsidRPr="002E334A">
        <w:t xml:space="preserve"> правительством расходов на протезы отечественного производства для детей-инвалидов в возрасте до 18 лет в случаях, когда они переросли свой протез или он вышел из строя;</w:t>
      </w:r>
    </w:p>
    <w:p w14:paraId="15C105AF" w14:textId="77777777" w:rsidR="00154A55" w:rsidRPr="002E334A" w:rsidRDefault="00154A55" w:rsidP="000908D3">
      <w:pPr>
        <w:pStyle w:val="SingleTxtG"/>
      </w:pPr>
      <w:r w:rsidRPr="002E334A">
        <w:tab/>
        <w:t>f)</w:t>
      </w:r>
      <w:r w:rsidRPr="002E334A">
        <w:tab/>
      </w:r>
      <w:r w:rsidRPr="002E334A">
        <w:rPr>
          <w:rStyle w:val="extended-textshort"/>
        </w:rPr>
        <w:t>100-</w:t>
      </w:r>
      <w:r w:rsidRPr="000908D3">
        <w:t>процентное</w:t>
      </w:r>
      <w:r w:rsidRPr="002E334A">
        <w:rPr>
          <w:rStyle w:val="extended-textshort"/>
        </w:rPr>
        <w:t xml:space="preserve"> возмещение</w:t>
      </w:r>
      <w:r w:rsidRPr="002E334A">
        <w:t xml:space="preserve"> один раз в три года расходов на приобретение протезов и инвалидных колясок отечественного производства для детей-инвалидов в возрасте до 18 лет;</w:t>
      </w:r>
    </w:p>
    <w:p w14:paraId="2903BBA7" w14:textId="77777777" w:rsidR="00154A55" w:rsidRPr="002E334A" w:rsidRDefault="00154A55" w:rsidP="000908D3">
      <w:pPr>
        <w:pStyle w:val="SingleTxtG"/>
      </w:pPr>
      <w:r w:rsidRPr="002E334A">
        <w:tab/>
        <w:t>g)</w:t>
      </w:r>
      <w:r w:rsidRPr="002E334A">
        <w:tab/>
        <w:t>скидка на транспортные расходы детей-инвалидов, их воспитателей и лиц, ухаживающих за ними, в связи с посещением школьного или дошкольного учреждения либо предоставление им права на бесплатный проезд в автобусе;</w:t>
      </w:r>
    </w:p>
    <w:p w14:paraId="0F42CE89" w14:textId="77777777" w:rsidR="00154A55" w:rsidRPr="002E334A" w:rsidRDefault="00154A55" w:rsidP="000908D3">
      <w:pPr>
        <w:pStyle w:val="SingleTxtG"/>
      </w:pPr>
      <w:r w:rsidRPr="002E334A">
        <w:tab/>
        <w:t>h)</w:t>
      </w:r>
      <w:r w:rsidRPr="002E334A">
        <w:tab/>
        <w:t xml:space="preserve">одноразовая годовая субсидия на транспортные расходы, проживание и питание в связи с необходимостью лечения на местных курортах: a) в размере </w:t>
      </w:r>
      <w:r w:rsidR="00D81987">
        <w:br/>
      </w:r>
      <w:r w:rsidRPr="002E334A">
        <w:lastRenderedPageBreak/>
        <w:t>100</w:t>
      </w:r>
      <w:r w:rsidR="00D81987">
        <w:rPr>
          <w:lang w:val="en-US"/>
        </w:rPr>
        <w:t> </w:t>
      </w:r>
      <w:r w:rsidRPr="002E334A">
        <w:t xml:space="preserve">% для детей-инвалидов и </w:t>
      </w:r>
      <w:r w:rsidRPr="002E334A">
        <w:rPr>
          <w:lang w:val="fr-CH"/>
        </w:rPr>
        <w:t>b</w:t>
      </w:r>
      <w:r w:rsidRPr="002E334A">
        <w:t>) в размере 50</w:t>
      </w:r>
      <w:r w:rsidR="00D81987">
        <w:rPr>
          <w:lang w:val="en-US"/>
        </w:rPr>
        <w:t> </w:t>
      </w:r>
      <w:r w:rsidRPr="002E334A">
        <w:t>% для лица, осуществляющего уход за ребенком-инвалидом;</w:t>
      </w:r>
    </w:p>
    <w:p w14:paraId="10FA2195" w14:textId="77777777" w:rsidR="00154A55" w:rsidRPr="002E334A" w:rsidRDefault="00154A55" w:rsidP="000908D3">
      <w:pPr>
        <w:pStyle w:val="SingleTxtG"/>
      </w:pPr>
      <w:r w:rsidRPr="002E334A">
        <w:tab/>
        <w:t>i)</w:t>
      </w:r>
      <w:r w:rsidRPr="002E334A">
        <w:tab/>
        <w:t>отмена для детей-инвалидов требования о предварительном бронировании мест для получения доступа к местным курортам и центрам по уходу за детьми без;</w:t>
      </w:r>
    </w:p>
    <w:p w14:paraId="66E7135D" w14:textId="77777777" w:rsidR="00154A55" w:rsidRPr="002E334A" w:rsidRDefault="00154A55" w:rsidP="000908D3">
      <w:pPr>
        <w:pStyle w:val="SingleTxtG"/>
      </w:pPr>
      <w:r w:rsidRPr="002E334A">
        <w:tab/>
        <w:t>j)</w:t>
      </w:r>
      <w:r w:rsidRPr="002E334A">
        <w:tab/>
        <w:t>возмещение один раз в год расходов на проезд, если по решению врачей-экспертов областных медучреждений лицам, проживающим на расстоянии 1000 км и более, необходимо приехать в столицу для всестороннего медицинского обследования;</w:t>
      </w:r>
    </w:p>
    <w:p w14:paraId="49DEC681" w14:textId="77777777" w:rsidR="00154A55" w:rsidRPr="002E334A" w:rsidRDefault="00154A55" w:rsidP="000908D3">
      <w:pPr>
        <w:pStyle w:val="SingleTxtG"/>
      </w:pPr>
      <w:r w:rsidRPr="002E334A">
        <w:tab/>
        <w:t>k)</w:t>
      </w:r>
      <w:r w:rsidRPr="002E334A">
        <w:tab/>
        <w:t>субсидии на питание в детском саду для детей-инвалидов или детей лиц, полностью утративших трудоспособность;</w:t>
      </w:r>
    </w:p>
    <w:p w14:paraId="0272160A" w14:textId="77777777" w:rsidR="00154A55" w:rsidRPr="002E334A" w:rsidRDefault="00154A55" w:rsidP="000908D3">
      <w:pPr>
        <w:pStyle w:val="SingleTxtG"/>
      </w:pPr>
      <w:r w:rsidRPr="002E334A">
        <w:tab/>
        <w:t>l)</w:t>
      </w:r>
      <w:r w:rsidRPr="002E334A">
        <w:tab/>
        <w:t>5</w:t>
      </w:r>
      <w:r w:rsidRPr="002E334A">
        <w:rPr>
          <w:rStyle w:val="extended-textshort"/>
        </w:rPr>
        <w:t xml:space="preserve">0-процентное возмещение </w:t>
      </w:r>
      <w:r w:rsidRPr="002E334A">
        <w:t>правительством платы за пребывание детей-инвалидов в детских летних лагерях;</w:t>
      </w:r>
    </w:p>
    <w:p w14:paraId="6DC42292" w14:textId="77777777" w:rsidR="00154A55" w:rsidRPr="002E334A" w:rsidRDefault="00154A55" w:rsidP="000908D3">
      <w:pPr>
        <w:pStyle w:val="SingleTxtG"/>
      </w:pPr>
      <w:r w:rsidRPr="002E334A">
        <w:tab/>
        <w:t>m)</w:t>
      </w:r>
      <w:r w:rsidRPr="002E334A">
        <w:tab/>
        <w:t>7</w:t>
      </w:r>
      <w:r w:rsidRPr="002E334A">
        <w:rPr>
          <w:rStyle w:val="extended-textshort"/>
        </w:rPr>
        <w:t>0-процентное возмещение</w:t>
      </w:r>
      <w:r w:rsidRPr="002E334A">
        <w:t xml:space="preserve"> расходов на прохождение ребенком-инвалидом по рекомендации больничного учреждения водной терапии.</w:t>
      </w:r>
    </w:p>
    <w:p w14:paraId="186F29F0" w14:textId="77777777" w:rsidR="00154A55" w:rsidRPr="002E334A" w:rsidRDefault="00154A55" w:rsidP="000908D3">
      <w:pPr>
        <w:pStyle w:val="SingleTxtG"/>
      </w:pPr>
      <w:r w:rsidRPr="002E334A">
        <w:t>70.</w:t>
      </w:r>
      <w:r w:rsidRPr="002E334A">
        <w:tab/>
        <w:t xml:space="preserve">Кроме того, отвечающие определенным критериям члены семьи лица с инвалидностью имеют право на участие в таких программах, как </w:t>
      </w:r>
      <w:r w:rsidR="002279A3">
        <w:t>«</w:t>
      </w:r>
      <w:r w:rsidRPr="002E334A">
        <w:t>Деньги на ребенка</w:t>
      </w:r>
      <w:r w:rsidR="002279A3">
        <w:t>»</w:t>
      </w:r>
      <w:r w:rsidRPr="002E334A">
        <w:t xml:space="preserve">, </w:t>
      </w:r>
      <w:r w:rsidR="002279A3">
        <w:t>«</w:t>
      </w:r>
      <w:r w:rsidRPr="002E334A">
        <w:t>Специализированный уход за больными</w:t>
      </w:r>
      <w:r w:rsidR="002279A3">
        <w:t>»</w:t>
      </w:r>
      <w:r w:rsidRPr="002E334A">
        <w:t xml:space="preserve">, </w:t>
      </w:r>
      <w:r w:rsidR="002279A3">
        <w:t>«</w:t>
      </w:r>
      <w:r w:rsidRPr="002E334A">
        <w:t>Социально-бытовые услуги на по месту жительства</w:t>
      </w:r>
      <w:r w:rsidR="002279A3">
        <w:t>»</w:t>
      </w:r>
      <w:r w:rsidRPr="002E334A">
        <w:t xml:space="preserve"> и </w:t>
      </w:r>
      <w:r w:rsidR="002279A3">
        <w:t>«</w:t>
      </w:r>
      <w:r w:rsidRPr="002E334A">
        <w:t>Пособие на питание</w:t>
      </w:r>
      <w:r w:rsidR="002279A3">
        <w:t>»</w:t>
      </w:r>
      <w:r w:rsidRPr="002E334A">
        <w:t xml:space="preserve">. </w:t>
      </w:r>
    </w:p>
    <w:p w14:paraId="7BA8A025" w14:textId="77777777" w:rsidR="00154A55" w:rsidRPr="002E334A" w:rsidRDefault="00154A55" w:rsidP="000908D3">
      <w:pPr>
        <w:pStyle w:val="SingleTxtG"/>
      </w:pPr>
      <w:r w:rsidRPr="002E334A">
        <w:t>71.</w:t>
      </w:r>
      <w:r w:rsidRPr="002E334A">
        <w:tab/>
        <w:t xml:space="preserve">Кроме того, родителям и опекунам детей-инвалидов оказывают помощь государственные организации и НПО, которые осуществляют различные виды деятельности. Например, в 2018 году при Национальном реабилитационном центре был создан </w:t>
      </w:r>
      <w:r w:rsidR="002279A3">
        <w:t>«</w:t>
      </w:r>
      <w:r w:rsidRPr="002E334A">
        <w:t>кабинет психологов-консультантов</w:t>
      </w:r>
      <w:r w:rsidR="002279A3">
        <w:t>»</w:t>
      </w:r>
      <w:r w:rsidRPr="002E334A">
        <w:t xml:space="preserve">. В 10 аймаках было организовано комплексное учебно-восстановительное мероприятие по теме </w:t>
      </w:r>
      <w:r w:rsidR="002279A3">
        <w:t>«</w:t>
      </w:r>
      <w:r w:rsidRPr="002E334A">
        <w:t>Раннее выявление инвалидности у детей и участие</w:t>
      </w:r>
      <w:r w:rsidR="002279A3">
        <w:t>»</w:t>
      </w:r>
      <w:r w:rsidRPr="002E334A">
        <w:t xml:space="preserve"> с привлечением семей и лиц, ухаживающих за детьми-инвалидами; в будущем такая деятельность будет расширена. В целях содействия трудоустройству родителей детей-инвалидов, начиная с 2018 года их привлекают к участию в Программе содействия трудоустройству. </w:t>
      </w:r>
    </w:p>
    <w:p w14:paraId="0F14A1FB" w14:textId="77777777" w:rsidR="00154A55" w:rsidRPr="002E334A" w:rsidRDefault="00154A55" w:rsidP="00D81987">
      <w:pPr>
        <w:pStyle w:val="H1G"/>
      </w:pPr>
      <w:r w:rsidRPr="002E334A">
        <w:tab/>
      </w:r>
      <w:r w:rsidRPr="002E334A">
        <w:tab/>
        <w:t>Ответ на пункт 4 с) перечня вопросов</w:t>
      </w:r>
    </w:p>
    <w:p w14:paraId="2596DB73" w14:textId="77777777" w:rsidR="00154A55" w:rsidRPr="002E334A" w:rsidRDefault="00154A55" w:rsidP="000908D3">
      <w:pPr>
        <w:pStyle w:val="SingleTxtG"/>
      </w:pPr>
      <w:r w:rsidRPr="002E334A">
        <w:t>72.</w:t>
      </w:r>
      <w:r w:rsidRPr="002E334A">
        <w:tab/>
        <w:t>Монголия ратифицировала Конвенцию о правах ребенка в 1990 году и приняла Закон о защите прав ребенка в 1996 году. Этот закон был отменен в 2016 году в связи с принятием Закона о защите ребенка и Закона о правах ребенка. Кроме того, в</w:t>
      </w:r>
      <w:r w:rsidR="00D81987">
        <w:rPr>
          <w:lang w:val="en-US"/>
        </w:rPr>
        <w:t> </w:t>
      </w:r>
      <w:r w:rsidRPr="002E334A">
        <w:t>настоящее время осуществляется Национальная программа развития и защиты детей (2017</w:t>
      </w:r>
      <w:r w:rsidR="00D81987">
        <w:t>−</w:t>
      </w:r>
      <w:r w:rsidRPr="002E334A">
        <w:t>2021 годы), которая была утверждена постановлением правительства № 270 в</w:t>
      </w:r>
      <w:r w:rsidR="00D81987">
        <w:rPr>
          <w:lang w:val="en-US"/>
        </w:rPr>
        <w:t> </w:t>
      </w:r>
      <w:r w:rsidRPr="002E334A">
        <w:t>2017</w:t>
      </w:r>
      <w:r w:rsidR="00D81987">
        <w:rPr>
          <w:lang w:val="en-US"/>
        </w:rPr>
        <w:t> </w:t>
      </w:r>
      <w:r w:rsidRPr="002E334A">
        <w:t xml:space="preserve">году. Упомянутые законы устанавливают запрет на любое насилие и неправомерное обращение в отношении ребенка, препятствуют оставлению ребенка без попечения и надзора за ним, устанавливают полный запрет на все виды физического наказания ребенка. </w:t>
      </w:r>
      <w:r w:rsidRPr="002E334A">
        <w:rPr>
          <w:shd w:val="clear" w:color="auto" w:fill="FFFFFF"/>
        </w:rPr>
        <w:t>Например, статья 10 Закона об охране ребенка гласит следующее:</w:t>
      </w:r>
      <w:r w:rsidRPr="002E334A">
        <w:t xml:space="preserve"> </w:t>
      </w:r>
    </w:p>
    <w:p w14:paraId="276D8646" w14:textId="77777777" w:rsidR="00154A55" w:rsidRPr="002E334A" w:rsidRDefault="00D81987" w:rsidP="00D81987">
      <w:pPr>
        <w:pStyle w:val="SingleTxtG"/>
        <w:ind w:left="1701" w:hanging="567"/>
      </w:pPr>
      <w:r>
        <w:tab/>
      </w:r>
      <w:r w:rsidR="002279A3">
        <w:t>«</w:t>
      </w:r>
      <w:r w:rsidR="00154A55" w:rsidRPr="002E334A">
        <w:t>10.1</w:t>
      </w:r>
      <w:r>
        <w:rPr>
          <w:lang w:val="en-US"/>
        </w:rPr>
        <w:t> </w:t>
      </w:r>
      <w:r w:rsidR="00154A55" w:rsidRPr="002E334A">
        <w:t>В целях содействия социальной реинтеграции ребенка, который подвергается опасности; является потерпевшей стороной преступления; совершил преступление или правонарушение; был приговорен или подвергнут мерам принуждения; или освобожден из исправительного учреждения, предоставляются следующие меры защиты:</w:t>
      </w:r>
    </w:p>
    <w:p w14:paraId="2FC4E773" w14:textId="77777777" w:rsidR="00154A55" w:rsidRPr="002E334A" w:rsidRDefault="00D81987" w:rsidP="000908D3">
      <w:pPr>
        <w:pStyle w:val="SingleTxtG"/>
      </w:pPr>
      <w:r>
        <w:tab/>
      </w:r>
      <w:r w:rsidR="00154A55" w:rsidRPr="002E334A">
        <w:t>10.1.1</w:t>
      </w:r>
      <w:r>
        <w:rPr>
          <w:lang w:val="en-US"/>
        </w:rPr>
        <w:t> </w:t>
      </w:r>
      <w:r w:rsidR="00154A55" w:rsidRPr="002E334A">
        <w:t xml:space="preserve">получение, поиск и проверка информации; </w:t>
      </w:r>
    </w:p>
    <w:p w14:paraId="2FEFED36" w14:textId="77777777" w:rsidR="00154A55" w:rsidRPr="002E334A" w:rsidRDefault="00D81987" w:rsidP="000908D3">
      <w:pPr>
        <w:pStyle w:val="SingleTxtG"/>
      </w:pPr>
      <w:r>
        <w:tab/>
      </w:r>
      <w:r w:rsidR="00154A55" w:rsidRPr="002E334A">
        <w:t>10.1.2</w:t>
      </w:r>
      <w:r>
        <w:rPr>
          <w:lang w:val="en-US"/>
        </w:rPr>
        <w:t> </w:t>
      </w:r>
      <w:r w:rsidR="00154A55" w:rsidRPr="002E334A">
        <w:t xml:space="preserve">оценка состояния; </w:t>
      </w:r>
    </w:p>
    <w:p w14:paraId="226C0091" w14:textId="77777777" w:rsidR="00154A55" w:rsidRPr="00527A49" w:rsidRDefault="00D81987" w:rsidP="000908D3">
      <w:pPr>
        <w:pStyle w:val="SingleTxtG"/>
      </w:pPr>
      <w:r>
        <w:tab/>
      </w:r>
      <w:r w:rsidR="00154A55" w:rsidRPr="002E334A">
        <w:t>10.1.3</w:t>
      </w:r>
      <w:r>
        <w:rPr>
          <w:lang w:val="en-US"/>
        </w:rPr>
        <w:t> </w:t>
      </w:r>
      <w:r w:rsidR="00154A55" w:rsidRPr="002E334A">
        <w:t>обеспечение безопасности</w:t>
      </w:r>
      <w:r w:rsidR="00527A49">
        <w:t>;</w:t>
      </w:r>
    </w:p>
    <w:p w14:paraId="245E8D40" w14:textId="77777777" w:rsidR="00154A55" w:rsidRPr="002E334A" w:rsidRDefault="00D81987" w:rsidP="000908D3">
      <w:pPr>
        <w:pStyle w:val="SingleTxtG"/>
      </w:pPr>
      <w:r>
        <w:tab/>
      </w:r>
      <w:r w:rsidR="00154A55" w:rsidRPr="002E334A">
        <w:t>10.1.4</w:t>
      </w:r>
      <w:r>
        <w:rPr>
          <w:lang w:val="en-US"/>
        </w:rPr>
        <w:t> </w:t>
      </w:r>
      <w:r w:rsidR="00154A55" w:rsidRPr="002E334A">
        <w:t>поддержка и посредничество</w:t>
      </w:r>
      <w:r w:rsidR="00527A49">
        <w:t>;</w:t>
      </w:r>
    </w:p>
    <w:p w14:paraId="5A5D8A2B" w14:textId="77777777" w:rsidR="00154A55" w:rsidRPr="002E334A" w:rsidRDefault="00D81987" w:rsidP="000908D3">
      <w:pPr>
        <w:pStyle w:val="SingleTxtG"/>
      </w:pPr>
      <w:r>
        <w:tab/>
      </w:r>
      <w:r w:rsidR="00154A55" w:rsidRPr="002E334A">
        <w:t>10.1.5</w:t>
      </w:r>
      <w:r>
        <w:rPr>
          <w:lang w:val="en-US"/>
        </w:rPr>
        <w:t> </w:t>
      </w:r>
      <w:r w:rsidR="00154A55" w:rsidRPr="002E334A">
        <w:t xml:space="preserve">предоставление услуг Правовым комитетом по правам ребенка; </w:t>
      </w:r>
    </w:p>
    <w:p w14:paraId="518A7D1F" w14:textId="77777777" w:rsidR="00154A55" w:rsidRPr="002E334A" w:rsidRDefault="00D81987" w:rsidP="000908D3">
      <w:pPr>
        <w:pStyle w:val="SingleTxtG"/>
      </w:pPr>
      <w:r>
        <w:lastRenderedPageBreak/>
        <w:tab/>
      </w:r>
      <w:r w:rsidR="00154A55" w:rsidRPr="002E334A">
        <w:t>10.1.6</w:t>
      </w:r>
      <w:r>
        <w:rPr>
          <w:lang w:val="en-US"/>
        </w:rPr>
        <w:t> </w:t>
      </w:r>
      <w:r w:rsidR="00154A55" w:rsidRPr="002E334A">
        <w:t xml:space="preserve">воссоединение с семьей. </w:t>
      </w:r>
    </w:p>
    <w:p w14:paraId="48EEDE82" w14:textId="77777777" w:rsidR="00154A55" w:rsidRPr="002E334A" w:rsidRDefault="00D81987" w:rsidP="00D81987">
      <w:pPr>
        <w:pStyle w:val="SingleTxtG"/>
        <w:ind w:left="1701" w:hanging="567"/>
      </w:pPr>
      <w:r>
        <w:tab/>
      </w:r>
      <w:r w:rsidR="00154A55" w:rsidRPr="002E334A">
        <w:t>10.2</w:t>
      </w:r>
      <w:r>
        <w:rPr>
          <w:lang w:val="en-US"/>
        </w:rPr>
        <w:t> </w:t>
      </w:r>
      <w:r w:rsidR="00154A55" w:rsidRPr="002E334A">
        <w:t>Меры защиты ребенка осуществляются государственной организацией или могут быть делегированы физическому лицу, специализирующемуся в области охраны детства, либо аккредитованному юридическому лицу, выполняющему определенные государственные обязанности на договорной основе</w:t>
      </w:r>
      <w:r w:rsidR="002279A3">
        <w:t>»</w:t>
      </w:r>
      <w:r w:rsidR="00154A55" w:rsidRPr="002E334A">
        <w:t>.</w:t>
      </w:r>
    </w:p>
    <w:p w14:paraId="0EDB0FAD" w14:textId="77777777" w:rsidR="00154A55" w:rsidRPr="002E334A" w:rsidRDefault="00154A55" w:rsidP="000908D3">
      <w:pPr>
        <w:pStyle w:val="SingleTxtG"/>
      </w:pPr>
      <w:r w:rsidRPr="002E334A">
        <w:t>73.</w:t>
      </w:r>
      <w:r w:rsidRPr="002E334A">
        <w:tab/>
        <w:t xml:space="preserve">В рамках реализации этого положения существует возможность для сотрудничества с НПО, которые действуют в интересах детей-инвалидов и их родителей. В целях защиты прав женщин и девочек с инвалидностью, а также определения форм подверженности насилию и давлению было проведено единственное в своем роде выборочное обследование. На основе выводов, рекомендаций и обзоров, представляемых исследователями, а также рекомендаций по вопросам сексуального и репродуктивного здоровья и осуществления прав женщин и девочек </w:t>
      </w:r>
      <w:r w:rsidRPr="002E334A">
        <w:rPr>
          <w:lang w:val="fr-CH"/>
        </w:rPr>
        <w:t>c</w:t>
      </w:r>
      <w:r w:rsidRPr="002E334A">
        <w:t xml:space="preserve"> инвалидностью, которые были изложены в подготовленном НКПЧМ </w:t>
      </w:r>
      <w:r w:rsidR="003D7CCE">
        <w:t>восемнадцатом</w:t>
      </w:r>
      <w:r w:rsidRPr="002E334A">
        <w:t xml:space="preserve"> докладе о положении в области прав человека и свобод в Монголии, принимаются определенные меры, а некоторые вопросы включаются в правовые документы.</w:t>
      </w:r>
    </w:p>
    <w:p w14:paraId="04F50949" w14:textId="77777777" w:rsidR="00154A55" w:rsidRPr="002E334A" w:rsidRDefault="00154A55" w:rsidP="000908D3">
      <w:pPr>
        <w:pStyle w:val="SingleTxtG"/>
      </w:pPr>
      <w:r w:rsidRPr="002E334A">
        <w:t>74.</w:t>
      </w:r>
      <w:r w:rsidRPr="002E334A">
        <w:tab/>
        <w:t xml:space="preserve">В соответствии с подписанным с международной организацией </w:t>
      </w:r>
      <w:r w:rsidR="002279A3">
        <w:t>«</w:t>
      </w:r>
      <w:proofErr w:type="spellStart"/>
      <w:r w:rsidRPr="002E334A">
        <w:t>Уорлд</w:t>
      </w:r>
      <w:proofErr w:type="spellEnd"/>
      <w:r w:rsidRPr="002E334A">
        <w:t xml:space="preserve"> </w:t>
      </w:r>
      <w:proofErr w:type="spellStart"/>
      <w:r w:rsidRPr="002E334A">
        <w:t>вижн</w:t>
      </w:r>
      <w:proofErr w:type="spellEnd"/>
      <w:r w:rsidRPr="002E334A">
        <w:t xml:space="preserve"> </w:t>
      </w:r>
      <w:proofErr w:type="spellStart"/>
      <w:r w:rsidRPr="002E334A">
        <w:t>интернэшнл</w:t>
      </w:r>
      <w:proofErr w:type="spellEnd"/>
      <w:r w:rsidR="002279A3">
        <w:t>»</w:t>
      </w:r>
      <w:r w:rsidRPr="002E334A">
        <w:t xml:space="preserve"> меморандумом, начиная с января 2017 года в 16 аймаках и </w:t>
      </w:r>
      <w:r w:rsidR="003D7CCE">
        <w:t>5</w:t>
      </w:r>
      <w:r w:rsidRPr="002E334A">
        <w:t xml:space="preserve"> </w:t>
      </w:r>
      <w:proofErr w:type="spellStart"/>
      <w:r w:rsidRPr="002E334A">
        <w:t>сомонах</w:t>
      </w:r>
      <w:proofErr w:type="spellEnd"/>
      <w:r w:rsidRPr="002E334A">
        <w:t xml:space="preserve"> реализуется программа </w:t>
      </w:r>
      <w:r w:rsidR="002279A3">
        <w:t>«</w:t>
      </w:r>
      <w:r w:rsidRPr="002E334A">
        <w:t>Помощь на дому</w:t>
      </w:r>
      <w:r w:rsidR="002279A3">
        <w:t>»</w:t>
      </w:r>
      <w:r w:rsidRPr="002E334A">
        <w:t xml:space="preserve">. В рамках этой программы 250 работников, оказывающих помощь на дому, прошли обучение и совместно организовали </w:t>
      </w:r>
      <w:r w:rsidR="00F070A2">
        <w:t>4 </w:t>
      </w:r>
      <w:r w:rsidRPr="002E334A">
        <w:t xml:space="preserve">методических занятия. В 2018 году для участия в программе оказания помощи на дому было отобрано 8100 относящихся к целевой группе домохозяйств со всей страны. Поскольку программа </w:t>
      </w:r>
      <w:r w:rsidR="002279A3">
        <w:t>«</w:t>
      </w:r>
      <w:r w:rsidRPr="002E334A">
        <w:t>Помощь на дому</w:t>
      </w:r>
      <w:r w:rsidR="002279A3">
        <w:t>»</w:t>
      </w:r>
      <w:r w:rsidRPr="002E334A">
        <w:t xml:space="preserve"> больше подходит для отдаленных и пригородных районов, планируется продолжить осуществление этой программы именно в этих районах, а также привлечь к участию в ней НПО и частный сектор, с</w:t>
      </w:r>
      <w:r w:rsidR="00621AF2">
        <w:t> </w:t>
      </w:r>
      <w:r w:rsidRPr="002E334A">
        <w:t xml:space="preserve">тем чтобы расширить диапазон прямых услуг, предоставляемых женщинам и девочкам с инвалидностью. </w:t>
      </w:r>
    </w:p>
    <w:p w14:paraId="4771FA27" w14:textId="77777777" w:rsidR="00154A55" w:rsidRPr="002E334A" w:rsidRDefault="00154A55" w:rsidP="00621AF2">
      <w:pPr>
        <w:pStyle w:val="H1G"/>
      </w:pPr>
      <w:r w:rsidRPr="002E334A">
        <w:tab/>
      </w:r>
      <w:r w:rsidRPr="002E334A">
        <w:tab/>
        <w:t>Ответ на пункт 4 d) перечня вопросов</w:t>
      </w:r>
    </w:p>
    <w:p w14:paraId="7A9692B1" w14:textId="77777777" w:rsidR="00154A55" w:rsidRPr="002E334A" w:rsidRDefault="00154A55" w:rsidP="000908D3">
      <w:pPr>
        <w:pStyle w:val="SingleTxtG"/>
      </w:pPr>
      <w:r w:rsidRPr="002E334A">
        <w:t>75.</w:t>
      </w:r>
      <w:r w:rsidRPr="002E334A">
        <w:tab/>
        <w:t xml:space="preserve">Представители лиц с инвалидностью участвуют в разработке, обсуждении, обеспечении выполнения и контроле за выполнением политических документов и правовых актов, касающихся прав человека и интересов молодежи и детей. Принимаются определенные меры по расширению социального участия лиц с инвалидностью в жизни общества, созданию условий для выражения ими </w:t>
      </w:r>
      <w:r w:rsidR="00626605">
        <w:br/>
      </w:r>
      <w:r w:rsidRPr="002E334A">
        <w:t xml:space="preserve">своих взглядов и совершенствованию их навыков общения. Так, например, было разработано </w:t>
      </w:r>
      <w:r w:rsidR="00626605">
        <w:t>9</w:t>
      </w:r>
      <w:r w:rsidRPr="002E334A">
        <w:t xml:space="preserve"> комплектов учебных модулей по формированию жизненных навыков, охватывающих вопросы коммуникации с лицами с инвалидностью и расширения их участия в общественной жизни, а также организована подготовка инструкторов для сотрудников центров развития молодежи в 21 аймаке и </w:t>
      </w:r>
      <w:r w:rsidR="00D239FF">
        <w:t>9</w:t>
      </w:r>
      <w:r w:rsidRPr="002E334A">
        <w:t xml:space="preserve"> </w:t>
      </w:r>
      <w:proofErr w:type="spellStart"/>
      <w:r w:rsidRPr="002E334A">
        <w:t>сомонах</w:t>
      </w:r>
      <w:proofErr w:type="spellEnd"/>
      <w:r w:rsidRPr="002E334A">
        <w:t xml:space="preserve">. В настоящее время инструкторы организуют комплексную подготовку по формированию жизненных навыков у подростков и молодых людей с инвалидностью в возрасте от 15 до 34 лет. Благодаря такой подготовке на местах предлагается широкий круг инициатив и идей по работе с детьми и молодежью из числа с инвалидов. Например, Центр развития молодежи </w:t>
      </w:r>
      <w:proofErr w:type="spellStart"/>
      <w:r w:rsidRPr="002E334A">
        <w:t>Сонгинохайрханского</w:t>
      </w:r>
      <w:proofErr w:type="spellEnd"/>
      <w:r w:rsidRPr="002E334A">
        <w:t xml:space="preserve"> района в Улан-Баторе объявил 2018 год </w:t>
      </w:r>
      <w:r w:rsidR="002279A3">
        <w:t>«</w:t>
      </w:r>
      <w:r w:rsidRPr="002E334A">
        <w:t>Годом поощрения участия молодежи из целевых групп</w:t>
      </w:r>
      <w:r w:rsidR="002279A3">
        <w:t>»</w:t>
      </w:r>
      <w:r w:rsidRPr="002E334A">
        <w:t xml:space="preserve">, провел </w:t>
      </w:r>
      <w:r w:rsidR="002279A3">
        <w:t>«</w:t>
      </w:r>
      <w:r w:rsidRPr="002E334A">
        <w:t>Месячник развития молодежи</w:t>
      </w:r>
      <w:r w:rsidR="002279A3">
        <w:t>»</w:t>
      </w:r>
      <w:r w:rsidRPr="002E334A">
        <w:t xml:space="preserve"> по случаю </w:t>
      </w:r>
      <w:r w:rsidR="002279A3">
        <w:t>«</w:t>
      </w:r>
      <w:r w:rsidRPr="002E334A">
        <w:t>Дня монгольской молодежи</w:t>
      </w:r>
      <w:r w:rsidR="002279A3">
        <w:t>»</w:t>
      </w:r>
      <w:r w:rsidRPr="002E334A">
        <w:t xml:space="preserve"> и организовал мероприятие </w:t>
      </w:r>
      <w:r w:rsidR="002279A3">
        <w:t>«</w:t>
      </w:r>
      <w:r w:rsidRPr="002E334A">
        <w:t xml:space="preserve">Равные права </w:t>
      </w:r>
      <w:r w:rsidR="00D239FF">
        <w:t>⸺</w:t>
      </w:r>
      <w:r w:rsidRPr="002E334A">
        <w:t xml:space="preserve"> равные возможности</w:t>
      </w:r>
      <w:r w:rsidR="002279A3">
        <w:t>»</w:t>
      </w:r>
      <w:r w:rsidRPr="002E334A">
        <w:t>, с тем чтобы услышать молодых людей с инвалидностью, дать им возможность объединиться и выразить свои взгляды, способствовать развитию их физических, интеллектуальных и спортивных навыков и укреплению здоровья. В ходе мероприятия состоялся обмен информацией о социальных услугах, предоставляемых государством лицам с инвалидностью, а также о международной политике и решениях, касающихся лиц с инвалидностью, и были организованы спортивные соревнования среди молодежи. Мероприятие показало свою эффективность, поскольку оно позволило повысить самооценку у инвалидов и более активно проводить их социализацию.</w:t>
      </w:r>
    </w:p>
    <w:p w14:paraId="7D86790C" w14:textId="77777777" w:rsidR="00154A55" w:rsidRPr="002E334A" w:rsidRDefault="00154A55" w:rsidP="000908D3">
      <w:pPr>
        <w:pStyle w:val="SingleTxtG"/>
      </w:pPr>
      <w:r w:rsidRPr="002E334A">
        <w:lastRenderedPageBreak/>
        <w:t>76.</w:t>
      </w:r>
      <w:r w:rsidRPr="002E334A">
        <w:tab/>
        <w:t xml:space="preserve">Представители НПО, которые работают в интересах детей и молодежи с инвалидностью и отстаивают их права, регулярно участвуют в мероприятиях, организуемых для лиц с инвалидностью и НПО. В будущем на местном и центральном уровнях будет поощряться привлечение детей и молодежи с инвалидностью к участию в национальных и местных конференциях, семинарах, рабочих совещаниях, учебных, культурных, художественных и спортивных мероприятиях, а также в политике и программах. </w:t>
      </w:r>
    </w:p>
    <w:p w14:paraId="2ADEBF2A" w14:textId="77777777" w:rsidR="00154A55" w:rsidRPr="002E334A" w:rsidRDefault="00154A55" w:rsidP="00554CFD">
      <w:pPr>
        <w:pStyle w:val="H1G"/>
      </w:pPr>
      <w:r w:rsidRPr="002E334A">
        <w:tab/>
      </w:r>
      <w:r w:rsidRPr="002E334A">
        <w:tab/>
        <w:t>Ответ на пункт 5 перечня вопросов</w:t>
      </w:r>
    </w:p>
    <w:p w14:paraId="3E588733" w14:textId="77777777" w:rsidR="00154A55" w:rsidRPr="002E334A" w:rsidRDefault="00154A55" w:rsidP="000908D3">
      <w:pPr>
        <w:pStyle w:val="SingleTxtG"/>
      </w:pPr>
      <w:r w:rsidRPr="002E334A">
        <w:t>77.</w:t>
      </w:r>
      <w:r w:rsidRPr="002E334A">
        <w:tab/>
        <w:t xml:space="preserve">В рамках проекта </w:t>
      </w:r>
      <w:r w:rsidRPr="002E334A">
        <w:rPr>
          <w:shd w:val="clear" w:color="auto" w:fill="FFFFFF"/>
        </w:rPr>
        <w:t>ЯАМС</w:t>
      </w:r>
      <w:r w:rsidR="00AE7096">
        <w:t>−</w:t>
      </w:r>
      <w:r w:rsidRPr="002E334A">
        <w:t xml:space="preserve">ПСУИ прошли обучение 32 инструктора из числа инвалидов для организации курсов подготовки по теме </w:t>
      </w:r>
      <w:r w:rsidR="002279A3">
        <w:t>«</w:t>
      </w:r>
      <w:r w:rsidRPr="002E334A">
        <w:t>Инвалидность и равенство</w:t>
      </w:r>
      <w:r w:rsidR="002279A3">
        <w:t>»</w:t>
      </w:r>
      <w:r w:rsidRPr="002E334A">
        <w:t xml:space="preserve"> (ИР). Благодаря их помощи было организовано 250 учебных курсов, в которых приняли участие 8500 государственных служащих и работников частного сектора. Эти курсы подготовки организует МТСЗ в его 45 учреждени</w:t>
      </w:r>
      <w:r w:rsidR="00AE7096">
        <w:t>ях</w:t>
      </w:r>
      <w:r w:rsidRPr="002E334A">
        <w:t xml:space="preserve">, а </w:t>
      </w:r>
      <w:proofErr w:type="spellStart"/>
      <w:r w:rsidRPr="002E334A">
        <w:t>подсоветы</w:t>
      </w:r>
      <w:proofErr w:type="spellEnd"/>
      <w:r w:rsidRPr="002E334A">
        <w:t xml:space="preserve">, отвечающие за обеспечение прав человека лиц с инвалидностью при каждом министерстве, организуют эту подготовку в своих секторах. К подготовке были привлечены представители государственных и частных организаций, например Института повышения квалификации учителей, столичного отдела образования, а также преподаватели служб по уходу за детьми на уровне аймаков и </w:t>
      </w:r>
      <w:proofErr w:type="spellStart"/>
      <w:r w:rsidRPr="002E334A">
        <w:t>сомонов</w:t>
      </w:r>
      <w:proofErr w:type="spellEnd"/>
      <w:r w:rsidRPr="002E334A">
        <w:t xml:space="preserve">, при этом в охваченных подготовкой организациях наблюдаются существенные изменения с точки зрения улучшения их среды и доступности. </w:t>
      </w:r>
    </w:p>
    <w:p w14:paraId="65477A4E" w14:textId="77777777" w:rsidR="00154A55" w:rsidRPr="002E334A" w:rsidRDefault="00154A55" w:rsidP="000908D3">
      <w:pPr>
        <w:pStyle w:val="SingleTxtG"/>
      </w:pPr>
      <w:r w:rsidRPr="002E334A">
        <w:t>78.</w:t>
      </w:r>
      <w:r w:rsidRPr="002E334A">
        <w:tab/>
        <w:t xml:space="preserve">Подготовкой планируется охватить руководителей и работников таких секторов, как здравоохранение, спорт, образование и наука. </w:t>
      </w:r>
    </w:p>
    <w:p w14:paraId="022BE6D2" w14:textId="77777777" w:rsidR="00154A55" w:rsidRPr="002E334A" w:rsidRDefault="00154A55" w:rsidP="000908D3">
      <w:pPr>
        <w:pStyle w:val="SingleTxtG"/>
      </w:pPr>
      <w:r w:rsidRPr="002E334A">
        <w:t>79.</w:t>
      </w:r>
      <w:r w:rsidRPr="002E334A">
        <w:tab/>
        <w:t>В целях расширения подготовки по повышению информированности об инвалидах на местах проводится подготовка местных инструкторов. Кроме того,</w:t>
      </w:r>
      <w:r w:rsidR="00554CFD">
        <w:t xml:space="preserve"> </w:t>
      </w:r>
      <w:r w:rsidRPr="002E334A">
        <w:t>в</w:t>
      </w:r>
      <w:r w:rsidR="00554CFD">
        <w:t> </w:t>
      </w:r>
      <w:r w:rsidRPr="002E334A">
        <w:t xml:space="preserve">сотрудничестве с ЦСП </w:t>
      </w:r>
      <w:r w:rsidR="002279A3">
        <w:t>«</w:t>
      </w:r>
      <w:r w:rsidRPr="002E334A">
        <w:t>Всеобщий прогресс</w:t>
      </w:r>
      <w:r w:rsidR="002279A3">
        <w:t>»</w:t>
      </w:r>
      <w:r w:rsidRPr="002E334A">
        <w:t xml:space="preserve"> с 2018 года проводится кампания влияния на тему </w:t>
      </w:r>
      <w:r w:rsidR="002279A3">
        <w:t>«</w:t>
      </w:r>
      <w:r w:rsidRPr="002E334A">
        <w:t>Монголия делает попытку</w:t>
      </w:r>
      <w:r w:rsidR="002279A3">
        <w:t>»</w:t>
      </w:r>
      <w:r w:rsidRPr="002E334A">
        <w:t xml:space="preserve"> для обеспечения соблюдения Закона о правах человека лиц с инвалидностью и повышения осведомленности общества о необходимости создания благоприятной и доступной для них среды. Утверждено содержание учебного предмета </w:t>
      </w:r>
      <w:r w:rsidR="002279A3">
        <w:t>«</w:t>
      </w:r>
      <w:r w:rsidRPr="002E334A">
        <w:t>Здоровье</w:t>
      </w:r>
      <w:r w:rsidR="002279A3">
        <w:t>»</w:t>
      </w:r>
      <w:r w:rsidRPr="002E334A">
        <w:t>, который будет включен в программу средней школы для преподавания в 1</w:t>
      </w:r>
      <w:r w:rsidR="008C7410">
        <w:t>−</w:t>
      </w:r>
      <w:r w:rsidRPr="002E334A">
        <w:t xml:space="preserve">3 классах в рамках учебной дисциплины </w:t>
      </w:r>
      <w:r w:rsidR="002279A3">
        <w:t>«</w:t>
      </w:r>
      <w:r w:rsidRPr="002E334A">
        <w:t>Человек и окружающая среда</w:t>
      </w:r>
      <w:r w:rsidR="002279A3">
        <w:t>»</w:t>
      </w:r>
      <w:r w:rsidRPr="002E334A">
        <w:t>; в 2019</w:t>
      </w:r>
      <w:r w:rsidR="008C7410" w:rsidRPr="008C7410">
        <w:t>/</w:t>
      </w:r>
      <w:r w:rsidRPr="002E334A">
        <w:t>20 учебном году этот предмет уже преподается в 4</w:t>
      </w:r>
      <w:r w:rsidR="008C7410">
        <w:t>−</w:t>
      </w:r>
      <w:r w:rsidRPr="002E334A">
        <w:t>12 классах и затрагивает шесть областей: личная гигиена, питание, физические упражнения, психическое здоровье, вредные привычки и репродуктивное здоровье. В</w:t>
      </w:r>
      <w:r w:rsidR="008C7410">
        <w:rPr>
          <w:lang w:val="en-US"/>
        </w:rPr>
        <w:t> </w:t>
      </w:r>
      <w:r w:rsidRPr="002E334A">
        <w:t>рамках обеспечения соблюдения статьи 7 главы 2 Закона о правах человека лиц с инвалидностью в сотрудничестве с представительством ЮНЕСКО в Пекине был разработан учебный модуль для привлечения средств массовой информации к работе по повышению осведомленности общественности о лицах с инвалидностью и поощрения позитивного отношения к ним, которое открывает новые возможности для лиц с инвалидностью; соответствующую подготовку в качестве инструкторов прошли 25 журналистов. Мы считаем, что эта работа явится подспорьем в решении многих текущих проблем, с которыми сталкиваются лица с инвалидностью в таких областях как инфраструктура, доступность информации, вспомогательные услуги в сфере здравоохранения и образования, услуги по социальному обеспечению и защите, трудоустройству и получение постоянной работы.</w:t>
      </w:r>
    </w:p>
    <w:p w14:paraId="6942A9A7" w14:textId="77777777" w:rsidR="00154A55" w:rsidRPr="002E334A" w:rsidRDefault="00154A55" w:rsidP="00B862F7">
      <w:pPr>
        <w:pStyle w:val="H1G"/>
      </w:pPr>
      <w:r w:rsidRPr="002E334A">
        <w:tab/>
      </w:r>
      <w:r w:rsidRPr="002E334A">
        <w:tab/>
        <w:t>Ответ на пункт 6 а) перечня вопросов</w:t>
      </w:r>
    </w:p>
    <w:p w14:paraId="3D7361AF" w14:textId="77777777" w:rsidR="00154A55" w:rsidRPr="002E334A" w:rsidRDefault="00154A55" w:rsidP="000908D3">
      <w:pPr>
        <w:pStyle w:val="SingleTxtG"/>
      </w:pPr>
      <w:r w:rsidRPr="002E334A">
        <w:t>80.</w:t>
      </w:r>
      <w:r w:rsidRPr="002E334A">
        <w:tab/>
        <w:t xml:space="preserve">В целях улучшения и расширения доступа лиц с инвалидностью Управление по информационно-коммуникационным технологиям (УИКТ) осуществило в 2019 году проект </w:t>
      </w:r>
      <w:r w:rsidR="002279A3">
        <w:t>«</w:t>
      </w:r>
      <w:r w:rsidRPr="002E334A">
        <w:t xml:space="preserve">Разработка программного обеспечения для преобразования текстовой информации на монгольском языке в </w:t>
      </w:r>
      <w:proofErr w:type="spellStart"/>
      <w:r w:rsidRPr="002E334A">
        <w:t>аудиоформат</w:t>
      </w:r>
      <w:proofErr w:type="spellEnd"/>
      <w:r w:rsidR="002279A3">
        <w:t>»</w:t>
      </w:r>
      <w:r w:rsidRPr="002E334A">
        <w:t xml:space="preserve">. Программное обеспечение, разработанное в рамках этого проекта, включает в себя систему, которая преобразует текстовую информацию в естественную или синтезированную речь, а также экранного диктора, поддерживающего синтезированную речь. Однако использование этого программного обеспечения является недостаточным. Отвечающий за обеспечение </w:t>
      </w:r>
      <w:r w:rsidRPr="002E334A">
        <w:lastRenderedPageBreak/>
        <w:t xml:space="preserve">прав человека лиц с инвалидностью </w:t>
      </w:r>
      <w:proofErr w:type="spellStart"/>
      <w:r w:rsidRPr="002E334A">
        <w:t>подсовет</w:t>
      </w:r>
      <w:proofErr w:type="spellEnd"/>
      <w:r w:rsidRPr="002E334A">
        <w:t xml:space="preserve"> УИКТ в своем плане действий на </w:t>
      </w:r>
      <w:r w:rsidR="00B862F7">
        <w:br/>
      </w:r>
      <w:r w:rsidRPr="002E334A">
        <w:t>2017</w:t>
      </w:r>
      <w:r w:rsidR="00B862F7">
        <w:t>−</w:t>
      </w:r>
      <w:r w:rsidRPr="002E334A">
        <w:t xml:space="preserve">2020 годы предусмотрел оказание услуги по приему и передаче звонков экстренным службам в аудио- и видеоформатах в рамках содействия обеспечению доступности информации для лиц с инвалидностью. В этой связи Комиссия по регулированию коммуникаций Монголии и ООО </w:t>
      </w:r>
      <w:r w:rsidR="002279A3">
        <w:t>«</w:t>
      </w:r>
      <w:proofErr w:type="spellStart"/>
      <w:r w:rsidRPr="002E334A">
        <w:t>Юнитель</w:t>
      </w:r>
      <w:proofErr w:type="spellEnd"/>
      <w:r w:rsidR="002279A3">
        <w:t>»</w:t>
      </w:r>
      <w:r w:rsidRPr="002E334A">
        <w:t xml:space="preserve"> инициировали создание телефонной службы </w:t>
      </w:r>
      <w:r w:rsidR="002279A3">
        <w:t>«</w:t>
      </w:r>
      <w:r w:rsidRPr="002E334A">
        <w:t>Мой помощник 104</w:t>
      </w:r>
      <w:r w:rsidR="002279A3">
        <w:t>»</w:t>
      </w:r>
      <w:r w:rsidRPr="002E334A">
        <w:t xml:space="preserve">, которая должна принимать и передавать звонки экстренным службам в аудио- и видеоформатах. Однако службой </w:t>
      </w:r>
      <w:r w:rsidR="002279A3">
        <w:t>«</w:t>
      </w:r>
      <w:r w:rsidRPr="002E334A">
        <w:t>Мой помощник 104</w:t>
      </w:r>
      <w:r w:rsidR="002279A3">
        <w:t>»</w:t>
      </w:r>
      <w:r w:rsidRPr="002E334A">
        <w:t xml:space="preserve"> воспользовались только 400 из 1000 человек, получающих помощь в общении. Предоставление данной услуги было временно приостановлено, так как более 300 пользователей не оплатили счета, а 238 пользователей отказались от этой услуги. Для того чтобы продолжить предоставление этой услугу в будущем</w:t>
      </w:r>
      <w:r w:rsidR="00687B09" w:rsidRPr="00687B09">
        <w:t>,</w:t>
      </w:r>
      <w:r w:rsidRPr="002E334A">
        <w:t xml:space="preserve"> поступило предложение включить эту услугу в проект АБР </w:t>
      </w:r>
      <w:r w:rsidR="002279A3">
        <w:t>«</w:t>
      </w:r>
      <w:r w:rsidRPr="002E334A">
        <w:t>Горячая линия</w:t>
      </w:r>
      <w:r w:rsidR="002279A3">
        <w:t>»</w:t>
      </w:r>
      <w:r w:rsidRPr="002E334A">
        <w:t>.</w:t>
      </w:r>
    </w:p>
    <w:p w14:paraId="0E774447" w14:textId="77777777" w:rsidR="00154A55" w:rsidRPr="002E334A" w:rsidRDefault="00154A55" w:rsidP="000908D3">
      <w:pPr>
        <w:pStyle w:val="SingleTxtG"/>
      </w:pPr>
      <w:r w:rsidRPr="002E334A">
        <w:t>81.</w:t>
      </w:r>
      <w:r w:rsidRPr="002E334A">
        <w:tab/>
        <w:t>В целях устранения барьеров в области связи и информационных технологий в сотрудничестве с проектом ЯАМС</w:t>
      </w:r>
      <w:r w:rsidR="00687B09">
        <w:t>−</w:t>
      </w:r>
      <w:r w:rsidRPr="002E334A">
        <w:t xml:space="preserve">ПСУИ принимается ряд мер в целях, в частности, укрепления национального потенциала, оценки условий, изучения технологического прогресса и поиска соответствующих решений. </w:t>
      </w:r>
    </w:p>
    <w:p w14:paraId="10831922" w14:textId="77777777" w:rsidR="00154A55" w:rsidRPr="002E334A" w:rsidRDefault="00154A55" w:rsidP="000908D3">
      <w:pPr>
        <w:pStyle w:val="SingleTxtG"/>
      </w:pPr>
      <w:r w:rsidRPr="002E334A">
        <w:t>82.</w:t>
      </w:r>
      <w:r w:rsidRPr="002E334A">
        <w:tab/>
        <w:t xml:space="preserve">Например, в рамках этого проекта в сотрудничестве с Национальной ассоциацией глухих и Национальной федерацией слепых была проведена оценка доступности информации. Доступность информации для слепых оценивалась по девяти критериям, а для глухих </w:t>
      </w:r>
      <w:r w:rsidR="00B862F7">
        <w:t>⸺</w:t>
      </w:r>
      <w:r w:rsidRPr="002E334A">
        <w:t xml:space="preserve"> по семи критериям; по ее итогам был представлен ряд рекомендаций. </w:t>
      </w:r>
    </w:p>
    <w:p w14:paraId="1067EFD1" w14:textId="77777777" w:rsidR="00154A55" w:rsidRPr="002E334A" w:rsidRDefault="00154A55" w:rsidP="000908D3">
      <w:pPr>
        <w:pStyle w:val="SingleTxtG"/>
      </w:pPr>
      <w:r w:rsidRPr="002E334A">
        <w:t>83.</w:t>
      </w:r>
      <w:r w:rsidRPr="002E334A">
        <w:tab/>
      </w:r>
      <w:proofErr w:type="spellStart"/>
      <w:r w:rsidRPr="002E334A">
        <w:t>Подсовет</w:t>
      </w:r>
      <w:proofErr w:type="spellEnd"/>
      <w:r w:rsidRPr="002E334A">
        <w:t xml:space="preserve">, отвечающий за обеспечение прав человека лиц с инвалидностью в рамках УИКТ, учредил подразделение, отвечающее за повышение доступности информации в целях обеспечения подготовки к применению на общественном телевидении международного стандарта N.702 для жестового языка и технологии отображения субтитров. </w:t>
      </w:r>
    </w:p>
    <w:p w14:paraId="7E67DCD2" w14:textId="77777777" w:rsidR="00154A55" w:rsidRPr="002E334A" w:rsidRDefault="00154A55" w:rsidP="000908D3">
      <w:pPr>
        <w:pStyle w:val="SingleTxtG"/>
      </w:pPr>
      <w:r w:rsidRPr="002E334A">
        <w:t>84.</w:t>
      </w:r>
      <w:r w:rsidRPr="002E334A">
        <w:tab/>
        <w:t xml:space="preserve">Была организована серия семинаров по повышению доступности информации, в ходе которых государственные и частные организации решили сотрудничать в создании соответствующей модели. В своем плане действий на 2019 год </w:t>
      </w:r>
      <w:proofErr w:type="spellStart"/>
      <w:r w:rsidRPr="002E334A">
        <w:t>подсовет</w:t>
      </w:r>
      <w:proofErr w:type="spellEnd"/>
      <w:r w:rsidRPr="002E334A">
        <w:t xml:space="preserve"> при УИКТ определился с созданием модельного сайта и телевизионного канала и выбрал соответствующий телевизионный канал и сайт. В рамках проекта АБР были проведены встречи клиентов, пользователей и исполнителей по вопросам проектирования и разработки программного обеспечения для преобразования данных, выводимых на экран компьютера в звуковую/речевую информацию, доступную для лиц с нарушениями зрения. </w:t>
      </w:r>
    </w:p>
    <w:p w14:paraId="718F5175" w14:textId="77777777" w:rsidR="00154A55" w:rsidRPr="002E334A" w:rsidRDefault="00154A55" w:rsidP="00B862F7">
      <w:pPr>
        <w:pStyle w:val="H1G"/>
      </w:pPr>
      <w:r w:rsidRPr="002E334A">
        <w:tab/>
      </w:r>
      <w:r w:rsidRPr="002E334A">
        <w:tab/>
        <w:t>Ответ на пункт 6 b) перечня вопросов</w:t>
      </w:r>
    </w:p>
    <w:p w14:paraId="2234E85F" w14:textId="77777777" w:rsidR="00154A55" w:rsidRPr="002E334A" w:rsidRDefault="00154A55" w:rsidP="000908D3">
      <w:pPr>
        <w:pStyle w:val="SingleTxtG"/>
      </w:pPr>
      <w:r w:rsidRPr="002E334A">
        <w:t>85.</w:t>
      </w:r>
      <w:r w:rsidRPr="002E334A">
        <w:tab/>
        <w:t xml:space="preserve">Принимаемые меры, а также соответствующие нормы и нормативные акты по совершенствованию и обеспечению соблюдения правовой базы, необходимой для создания инфраструктуры, доступной лицам с инвалидностью, в целях содействия их участию в жизни общества, указаны в разделе 3 ответа на вопрос 1 b). Во исполнение постановления Министра труда и социальной защиты об организации оценки доступности учреждений по вопросам труда и социальной защиты населения в </w:t>
      </w:r>
      <w:r w:rsidR="00903D41">
        <w:br/>
      </w:r>
      <w:r w:rsidRPr="002E334A">
        <w:t xml:space="preserve">Улан-Баторе для лиц с инвалидностью на основе оценки рекомендаций, разработанных в сотрудничестве с группой по оценке центра </w:t>
      </w:r>
      <w:r w:rsidR="002279A3">
        <w:t>«</w:t>
      </w:r>
      <w:proofErr w:type="spellStart"/>
      <w:r w:rsidRPr="002E334A">
        <w:t>Тугээмел</w:t>
      </w:r>
      <w:proofErr w:type="spellEnd"/>
      <w:r w:rsidRPr="002E334A">
        <w:t xml:space="preserve"> </w:t>
      </w:r>
      <w:proofErr w:type="spellStart"/>
      <w:r w:rsidRPr="002E334A">
        <w:t>Хегжил</w:t>
      </w:r>
      <w:proofErr w:type="spellEnd"/>
      <w:r w:rsidR="002279A3">
        <w:t>»</w:t>
      </w:r>
      <w:r w:rsidRPr="002E334A">
        <w:t xml:space="preserve">, были предприняты следующие действия: </w:t>
      </w:r>
    </w:p>
    <w:p w14:paraId="62C34985" w14:textId="77777777" w:rsidR="00154A55" w:rsidRPr="00903D41" w:rsidRDefault="00154A55" w:rsidP="00903D41">
      <w:pPr>
        <w:pStyle w:val="Bullet1G"/>
      </w:pPr>
      <w:r w:rsidRPr="002E334A">
        <w:t>в Улан-Баторе бы</w:t>
      </w:r>
      <w:r w:rsidRPr="00903D41">
        <w:t>ло произведено уплотнение грунта на площади 9731 м</w:t>
      </w:r>
      <w:r w:rsidRPr="00903D41">
        <w:rPr>
          <w:vertAlign w:val="superscript"/>
        </w:rPr>
        <w:t>2</w:t>
      </w:r>
      <w:r w:rsidRPr="00903D41">
        <w:t xml:space="preserve">, </w:t>
      </w:r>
      <w:r w:rsidR="00903D41">
        <w:br/>
      </w:r>
      <w:r w:rsidRPr="00903D41">
        <w:t>что создало условия для беспрепятственного передвижения пешеходов и лиц с инвалидностью;</w:t>
      </w:r>
    </w:p>
    <w:p w14:paraId="78E85851" w14:textId="77777777" w:rsidR="00154A55" w:rsidRPr="00903D41" w:rsidRDefault="00154A55" w:rsidP="00903D41">
      <w:pPr>
        <w:pStyle w:val="Bullet1G"/>
      </w:pPr>
      <w:r w:rsidRPr="00903D41">
        <w:t>в четырех местах для лиц с инвалидностью были оборудованы пандусы;</w:t>
      </w:r>
    </w:p>
    <w:p w14:paraId="049115F0" w14:textId="77777777" w:rsidR="00154A55" w:rsidRPr="00903D41" w:rsidRDefault="00154A55" w:rsidP="00903D41">
      <w:pPr>
        <w:pStyle w:val="Bullet1G"/>
      </w:pPr>
      <w:r w:rsidRPr="00903D41">
        <w:t xml:space="preserve">на пешеходных тротуарах была устроена </w:t>
      </w:r>
      <w:r w:rsidR="002279A3">
        <w:t>«</w:t>
      </w:r>
      <w:r w:rsidRPr="00903D41">
        <w:t>направляющая</w:t>
      </w:r>
      <w:r w:rsidR="002279A3">
        <w:t>»</w:t>
      </w:r>
      <w:r w:rsidRPr="00903D41">
        <w:t xml:space="preserve"> тактильная разметка длиной 450 м;</w:t>
      </w:r>
    </w:p>
    <w:p w14:paraId="4D034B10" w14:textId="77777777" w:rsidR="00154A55" w:rsidRPr="002E334A" w:rsidRDefault="00154A55" w:rsidP="00903D41">
      <w:pPr>
        <w:pStyle w:val="Bullet1G"/>
      </w:pPr>
      <w:r w:rsidRPr="00903D41">
        <w:lastRenderedPageBreak/>
        <w:t>были благоустро</w:t>
      </w:r>
      <w:r w:rsidRPr="002E334A">
        <w:t>ены и сданы в эксплуатацию внешние территории шести больничных учреждений.</w:t>
      </w:r>
    </w:p>
    <w:p w14:paraId="12638B78" w14:textId="77777777" w:rsidR="00154A55" w:rsidRPr="002E334A" w:rsidRDefault="00154A55" w:rsidP="000908D3">
      <w:pPr>
        <w:pStyle w:val="SingleTxtG"/>
      </w:pPr>
      <w:r w:rsidRPr="002E334A">
        <w:t>86.</w:t>
      </w:r>
      <w:r w:rsidRPr="002E334A">
        <w:tab/>
        <w:t>Кроме того, был осуществлен пилотный проект по повышению доступности здания МТСЗ.</w:t>
      </w:r>
    </w:p>
    <w:p w14:paraId="0FEA283A" w14:textId="77777777" w:rsidR="00154A55" w:rsidRPr="002E334A" w:rsidRDefault="00154A55" w:rsidP="000908D3">
      <w:pPr>
        <w:pStyle w:val="SingleTxtG"/>
      </w:pPr>
      <w:r w:rsidRPr="002E334A">
        <w:t>87.</w:t>
      </w:r>
      <w:r w:rsidRPr="002E334A">
        <w:tab/>
        <w:t xml:space="preserve">По сравнению с предыдущими годами на эти мероприятия было выделено относительно больше средств, а после принятия новых законов объем средств, которые будут выделяться на обеспечение доступности, будет увеличен. Меры, принятые для повышения доступности общественного транспорта, зданий и сооружений, а также дорог и тротуаров общего пользования, подробно изложены в настоящем докладе в ответе на пункт b) раздела перечня вопросов, касающегося </w:t>
      </w:r>
      <w:r w:rsidR="002279A3">
        <w:t>«</w:t>
      </w:r>
      <w:r w:rsidRPr="002E334A">
        <w:t>общих обязательств</w:t>
      </w:r>
      <w:r w:rsidR="002279A3">
        <w:t>»</w:t>
      </w:r>
      <w:r w:rsidRPr="002E334A">
        <w:t>.</w:t>
      </w:r>
    </w:p>
    <w:p w14:paraId="2516044D" w14:textId="77777777" w:rsidR="00154A55" w:rsidRPr="002E334A" w:rsidRDefault="00154A55" w:rsidP="00903D41">
      <w:pPr>
        <w:pStyle w:val="H1G"/>
      </w:pPr>
      <w:r w:rsidRPr="002E334A">
        <w:tab/>
      </w:r>
      <w:r w:rsidRPr="002E334A">
        <w:tab/>
        <w:t>Ответ на пункт 6 с) перечня вопросов</w:t>
      </w:r>
    </w:p>
    <w:p w14:paraId="58AFBF89" w14:textId="77777777" w:rsidR="00154A55" w:rsidRPr="002E334A" w:rsidRDefault="00154A55" w:rsidP="000908D3">
      <w:pPr>
        <w:pStyle w:val="SingleTxtG"/>
      </w:pPr>
      <w:r w:rsidRPr="002E334A">
        <w:t>88.</w:t>
      </w:r>
      <w:r w:rsidRPr="002E334A">
        <w:tab/>
        <w:t xml:space="preserve">В 2018 году на основании постановления правительства № 308 было подготовлено и одобрено предложение о расширении специального совета, отвечающего за обеспечение прав человека лиц с инвалидностью. По мере расширения деятельности специального совета каждый сектор будет уделять больше внимания лицам с инвалидностью, включать относящиеся к ним вопросы прав человека в законодательство, политику и программы и расширять возможности лиц с инвалидностью и соответствующих НПО в части участия в процессах правоприменения и мониторинга. Например, 31 января 2018 года Министр строительства и градостроения заключил договоры с губернаторами столицы и провинций, в которых указано на необходимость провести оценку доступности для лиц с инвалидностью всех общественных зданий в столице и аймаках, сделать выводы о расширении доступности, а также обеспечить контроль за выполнением. Кроме того, организациям лиц с инвалидностью было поручено провести оценку доступности государственных и общественных зданий, на основе которой будут приняты соответствующие меры. В целях обеспечения исполнения законодательства и нормативных актов независимым экспертам в области строительства и архитектуры поручается проведение оценки вероятных рисков по техническим чертежам зданий многоквартирных домов, школ, дошкольных учреждений, офисов, сервисных центров, больниц, общежитий, культурных центров. В соответствии с </w:t>
      </w:r>
      <w:r w:rsidR="002279A3">
        <w:t>«</w:t>
      </w:r>
      <w:r w:rsidRPr="002E334A">
        <w:t>Положением о вводе в эксплуатацию помещений</w:t>
      </w:r>
      <w:r w:rsidR="002279A3">
        <w:t>»</w:t>
      </w:r>
      <w:r w:rsidRPr="002E334A">
        <w:t xml:space="preserve">, принятым правительством в 2017 году, в состав государственной комиссии по вводу зданий в эксплуатацию включены представители лиц с инвалидностью. </w:t>
      </w:r>
    </w:p>
    <w:p w14:paraId="6953C222" w14:textId="77777777" w:rsidR="00154A55" w:rsidRPr="002E334A" w:rsidRDefault="00154A55" w:rsidP="000908D3">
      <w:pPr>
        <w:pStyle w:val="SingleTxtG"/>
      </w:pPr>
      <w:r w:rsidRPr="002E334A">
        <w:t>89.</w:t>
      </w:r>
      <w:r w:rsidRPr="002E334A">
        <w:tab/>
        <w:t>При поддержке проекта ЯАМС</w:t>
      </w:r>
      <w:r w:rsidR="00687B09">
        <w:t>−</w:t>
      </w:r>
      <w:r w:rsidRPr="002E334A">
        <w:t>ПСУИ разрабатывается подробный план действий по расширению сотрудничества и усилению согласованности между государственным центральным административным органом, соответствующими государственными организациями и частными компаниями, а также по совершенствованию системы выдачи разрешений на строительство и мониторинга. По</w:t>
      </w:r>
      <w:r w:rsidR="002279A3">
        <w:rPr>
          <w:lang w:val="en-US"/>
        </w:rPr>
        <w:t> </w:t>
      </w:r>
      <w:r w:rsidRPr="002E334A">
        <w:t>итогам этой работы будет подготовлен контрольный список для проверки того, включены ли лица с инвалидностью в процесс выдачи разрешений на строительство и ввод зданий в эксплуатацию.</w:t>
      </w:r>
    </w:p>
    <w:p w14:paraId="4D4B8A9C" w14:textId="77777777" w:rsidR="00154A55" w:rsidRPr="002E334A" w:rsidRDefault="00154A55" w:rsidP="002279A3">
      <w:pPr>
        <w:pStyle w:val="H1G"/>
      </w:pPr>
      <w:r w:rsidRPr="002E334A">
        <w:tab/>
      </w:r>
      <w:r w:rsidRPr="002E334A">
        <w:tab/>
        <w:t>Ответ на пункт 6 d) перечня вопросов</w:t>
      </w:r>
    </w:p>
    <w:p w14:paraId="661170F7" w14:textId="77777777" w:rsidR="00154A55" w:rsidRPr="002E334A" w:rsidRDefault="00154A55" w:rsidP="000908D3">
      <w:pPr>
        <w:pStyle w:val="SingleTxtG"/>
      </w:pPr>
      <w:r w:rsidRPr="002E334A">
        <w:t>90.</w:t>
      </w:r>
      <w:r w:rsidRPr="002E334A">
        <w:tab/>
        <w:t xml:space="preserve">Потребности лиц с инвалидностью определены в более чем 10 нормах и правилах, действующих в Монголии. Если вновь построенные здания и помещения не соответствуют этим стандартам, они не сдаются в эксплуатацию, и государственная комиссия вновь рассматривает вопрос о сдаче здания в эксплуатацию после принятия корректирующих мер. Кроме того, Главное агентство по проведению специализированных инспекций (ГАСИ) проводит инспекцию по использованию помещений и принимает корректирующие меры. Например, в соответствии с принятыми директором ГАСИ в 2019 году методическими рекомендациями № 01/58, в период с марта по октябрь 2019 года была проведена общенациональная </w:t>
      </w:r>
      <w:r w:rsidRPr="002E334A">
        <w:lastRenderedPageBreak/>
        <w:t xml:space="preserve">профилактическая проверка соблюдения требований к доступности для лиц с инвалидностью с точки зрения строительных чертежей, монтажа, использования, материалов, качества оборудования и безопасности квартир, государственных и гражданских объектов, а также зданий, улиц и отдельных районов. </w:t>
      </w:r>
    </w:p>
    <w:p w14:paraId="46279BF5" w14:textId="77777777" w:rsidR="00154A55" w:rsidRPr="002E334A" w:rsidRDefault="00154A55" w:rsidP="000908D3">
      <w:pPr>
        <w:pStyle w:val="SingleTxtG"/>
      </w:pPr>
      <w:r w:rsidRPr="002E334A">
        <w:t>91.</w:t>
      </w:r>
      <w:r w:rsidRPr="002E334A">
        <w:tab/>
        <w:t>По состоянию на август по всей стране было обследовано более 190 детских садов, школ, развлекательных центров и многоквартирных домов. По результатам проверок были выявлены следующие недостатки: планировочные решения для лиц с инвалидностью (например, оборудование туалетных комнат, лифтов, направляющих поручней внутри здания, автостоянок, установка информационных систем не были предусмотрены) не были в полном объеме включены в технические чертежи новых зданий; устройство пандусов было запланировано, но они не соответствуют стандартам; установка направляющих поручней не была запланирована, при этом для лиц с инвалидностью во введенных в эксплуатацию зданиях не были установлены туалетные комнаты, направляющие поручни, пандусы, указатели адресов и не отведены места на автостоянках. Для устранения дефектов и недостатков в соответствующие организации было направлено 48 официальных требований и 25</w:t>
      </w:r>
      <w:r w:rsidR="002279A3">
        <w:rPr>
          <w:lang w:val="en-US"/>
        </w:rPr>
        <w:t> </w:t>
      </w:r>
      <w:r w:rsidRPr="002E334A">
        <w:t xml:space="preserve">заключений. В рамках этого мероприятия было организовано </w:t>
      </w:r>
      <w:r w:rsidR="00687B09" w:rsidRPr="00687B09">
        <w:t>9</w:t>
      </w:r>
      <w:r w:rsidRPr="002E334A">
        <w:t xml:space="preserve"> курсов подготовки для строительных проектировщиков, архитекторов, заказчиков и исполнителей и частных лиц, в которых приняли участие более 300 человек. </w:t>
      </w:r>
    </w:p>
    <w:p w14:paraId="7896D2E1" w14:textId="77777777" w:rsidR="00154A55" w:rsidRPr="002E334A" w:rsidRDefault="00154A55" w:rsidP="000908D3">
      <w:pPr>
        <w:pStyle w:val="SingleTxtG"/>
      </w:pPr>
      <w:r w:rsidRPr="002E334A">
        <w:t>92.</w:t>
      </w:r>
      <w:r w:rsidRPr="002E334A">
        <w:tab/>
        <w:t xml:space="preserve">На общедоступных сайтах и сайтах организаций было опубликовано 10 видов плакатов и рекомендаций по планированию с учетом потребностей лиц с инвалидностью. </w:t>
      </w:r>
    </w:p>
    <w:p w14:paraId="4D24E983" w14:textId="77777777" w:rsidR="00154A55" w:rsidRPr="002E334A" w:rsidRDefault="00154A55" w:rsidP="000908D3">
      <w:pPr>
        <w:pStyle w:val="SingleTxtG"/>
      </w:pPr>
      <w:r w:rsidRPr="002E334A">
        <w:t>93.</w:t>
      </w:r>
      <w:r w:rsidRPr="002E334A">
        <w:tab/>
        <w:t>По итогам инспекционной проверки были приняты следующие меры:</w:t>
      </w:r>
    </w:p>
    <w:p w14:paraId="1C1F3676" w14:textId="77777777" w:rsidR="00154A55" w:rsidRPr="002E334A" w:rsidRDefault="00154A55" w:rsidP="000908D3">
      <w:pPr>
        <w:pStyle w:val="SingleTxtG"/>
      </w:pPr>
      <w:r w:rsidRPr="002E334A">
        <w:tab/>
        <w:t>a)</w:t>
      </w:r>
      <w:r w:rsidRPr="002E334A">
        <w:tab/>
        <w:t xml:space="preserve">в 2019 году в городе </w:t>
      </w:r>
      <w:proofErr w:type="spellStart"/>
      <w:r w:rsidRPr="002E334A">
        <w:t>Эрденет</w:t>
      </w:r>
      <w:proofErr w:type="spellEnd"/>
      <w:r w:rsidRPr="002E334A">
        <w:t xml:space="preserve">, Орхонский аймак, с учетом потребностей лиц с инвалидностью за счет местного финансирования 91 переход будет исполнен в одном уровне с тротуаром и проезжей частью дороги; </w:t>
      </w:r>
    </w:p>
    <w:p w14:paraId="7479079C" w14:textId="77777777" w:rsidR="00154A55" w:rsidRPr="002E334A" w:rsidRDefault="00154A55" w:rsidP="000908D3">
      <w:pPr>
        <w:pStyle w:val="SingleTxtG"/>
      </w:pPr>
      <w:r w:rsidRPr="002E334A">
        <w:tab/>
        <w:t>b)</w:t>
      </w:r>
      <w:r w:rsidRPr="002E334A">
        <w:tab/>
        <w:t xml:space="preserve">с соблюдением установленных жестких сроков проведения работ в более чем 50 зданиях и помещениях были установлены и переделаны: пандусы, оборудование для туалетов, направляющие поручни, входы и выходы, парковочные места на автостоянках, таблички с указанием услуг, предоставляемых в каждом помещении и на каждом этаже. </w:t>
      </w:r>
    </w:p>
    <w:p w14:paraId="6225D518" w14:textId="77777777" w:rsidR="00154A55" w:rsidRPr="002E334A" w:rsidRDefault="00154A55" w:rsidP="002279A3">
      <w:pPr>
        <w:pStyle w:val="H1G"/>
      </w:pPr>
      <w:r w:rsidRPr="002E334A">
        <w:tab/>
      </w:r>
      <w:r w:rsidRPr="002E334A">
        <w:tab/>
        <w:t>Ответ на пункт 7 перечня вопросов</w:t>
      </w:r>
    </w:p>
    <w:p w14:paraId="606CE96F" w14:textId="77777777" w:rsidR="00154A55" w:rsidRPr="002E334A" w:rsidRDefault="00154A55" w:rsidP="00154A55">
      <w:pPr>
        <w:pStyle w:val="SingleTxtG"/>
      </w:pPr>
      <w:r w:rsidRPr="002E334A">
        <w:t>94.</w:t>
      </w:r>
      <w:r w:rsidRPr="002E334A">
        <w:tab/>
        <w:t xml:space="preserve">Монголия приняла </w:t>
      </w:r>
      <w:r w:rsidR="002279A3">
        <w:t>«</w:t>
      </w:r>
      <w:r w:rsidRPr="002E334A">
        <w:t xml:space="preserve">Среднесрочную стратегию осуществления </w:t>
      </w:r>
      <w:proofErr w:type="spellStart"/>
      <w:r w:rsidRPr="002E334A">
        <w:t>Сендайской</w:t>
      </w:r>
      <w:proofErr w:type="spellEnd"/>
      <w:r w:rsidRPr="002E334A">
        <w:t xml:space="preserve"> рамочной программы по снижению риска бедствий</w:t>
      </w:r>
      <w:r w:rsidR="002279A3">
        <w:t>»</w:t>
      </w:r>
      <w:r w:rsidRPr="002E334A">
        <w:t xml:space="preserve"> и в 2017 году подготовила 65</w:t>
      </w:r>
      <w:r w:rsidR="002279A3">
        <w:t> </w:t>
      </w:r>
      <w:r w:rsidRPr="002E334A">
        <w:t xml:space="preserve">инструкторов в университетах, 65 </w:t>
      </w:r>
      <w:r w:rsidR="002279A3">
        <w:t>⸺</w:t>
      </w:r>
      <w:r w:rsidRPr="002E334A">
        <w:t xml:space="preserve"> в школах и детских садах и 90 </w:t>
      </w:r>
      <w:r w:rsidR="002279A3">
        <w:t>⸺</w:t>
      </w:r>
      <w:r w:rsidRPr="002E334A">
        <w:t xml:space="preserve"> в</w:t>
      </w:r>
      <w:r w:rsidR="002279A3">
        <w:t> </w:t>
      </w:r>
      <w:r w:rsidRPr="002E334A">
        <w:t xml:space="preserve">профессионально-технических училищах и политехнических колледжах. </w:t>
      </w:r>
      <w:r w:rsidR="002279A3">
        <w:br/>
      </w:r>
      <w:r w:rsidRPr="002E334A">
        <w:t xml:space="preserve">В 2018 году по линии интерактивной программы </w:t>
      </w:r>
      <w:r w:rsidR="002279A3">
        <w:t>«</w:t>
      </w:r>
      <w:r w:rsidRPr="002E334A">
        <w:t>Будь готов</w:t>
      </w:r>
      <w:r w:rsidR="002279A3">
        <w:t>»</w:t>
      </w:r>
      <w:r w:rsidRPr="002E334A">
        <w:t xml:space="preserve"> 795 раз проводилась подготовка учащихся университетов, профессиональных колледжей, средних школ и дошкольных учреждениях, которой в общей сложности было охвачено 153</w:t>
      </w:r>
      <w:r w:rsidR="002279A3">
        <w:t> </w:t>
      </w:r>
      <w:r w:rsidRPr="002E334A">
        <w:t>209</w:t>
      </w:r>
      <w:r w:rsidR="002279A3">
        <w:t> </w:t>
      </w:r>
      <w:r w:rsidRPr="002E334A">
        <w:t xml:space="preserve">человек. </w:t>
      </w:r>
    </w:p>
    <w:p w14:paraId="4D4440DB" w14:textId="77777777" w:rsidR="00154A55" w:rsidRPr="002E334A" w:rsidRDefault="00154A55" w:rsidP="00154A55">
      <w:pPr>
        <w:pStyle w:val="SingleTxtG"/>
      </w:pPr>
      <w:r w:rsidRPr="002E334A">
        <w:t>95.</w:t>
      </w:r>
      <w:r w:rsidRPr="002E334A">
        <w:tab/>
        <w:t>В 2018</w:t>
      </w:r>
      <w:r w:rsidR="002279A3" w:rsidRPr="002279A3">
        <w:t>/</w:t>
      </w:r>
      <w:r w:rsidRPr="002E334A">
        <w:t xml:space="preserve">19 учебном году в учебную программу в качестве обязательных были включены такие предметы, как </w:t>
      </w:r>
      <w:r w:rsidR="002279A3">
        <w:t>«</w:t>
      </w:r>
      <w:r w:rsidRPr="002E334A">
        <w:t>Навыки безопасной жизнедеятельности</w:t>
      </w:r>
      <w:r w:rsidR="002279A3">
        <w:t>»</w:t>
      </w:r>
      <w:r w:rsidRPr="002E334A">
        <w:t xml:space="preserve"> и </w:t>
      </w:r>
      <w:r w:rsidR="002279A3">
        <w:t>«</w:t>
      </w:r>
      <w:r w:rsidRPr="002E334A">
        <w:t>Управление деятельностью по предупреждению стихийных бедствий</w:t>
      </w:r>
      <w:r w:rsidR="002279A3">
        <w:t>»</w:t>
      </w:r>
      <w:r w:rsidRPr="002E334A">
        <w:t xml:space="preserve">. Создан учебно-методический центр по вопросам защиты населения столицы от стихийных бедствий. Он представляет собой целый комплекс, при этом в нем имеется зал для тренировок в условиях землетрясения, зал для тренировок в условиях задымления, зал для тренировок по оказанию первой медицинской помощи и блок экстренной медицинской помощи. Кроме того, в 2018 году был опубликован доклад о положении дел в области обеспечения готовности к бедствиям на национальном уровне, первый программный документ Монголии по вопросам предупреждения бедствий, </w:t>
      </w:r>
      <w:r w:rsidR="002279A3">
        <w:br/>
      </w:r>
      <w:r w:rsidRPr="002E334A">
        <w:t xml:space="preserve">а в сотрудничестве с организацией </w:t>
      </w:r>
      <w:r w:rsidR="002279A3">
        <w:t>«</w:t>
      </w:r>
      <w:proofErr w:type="spellStart"/>
      <w:r w:rsidRPr="002E334A">
        <w:t>Уорлд</w:t>
      </w:r>
      <w:proofErr w:type="spellEnd"/>
      <w:r w:rsidRPr="002E334A">
        <w:t xml:space="preserve"> </w:t>
      </w:r>
      <w:proofErr w:type="spellStart"/>
      <w:r w:rsidRPr="002E334A">
        <w:t>вижн</w:t>
      </w:r>
      <w:proofErr w:type="spellEnd"/>
      <w:r w:rsidRPr="002E334A">
        <w:t xml:space="preserve"> </w:t>
      </w:r>
      <w:proofErr w:type="spellStart"/>
      <w:r w:rsidRPr="002E334A">
        <w:t>интернэшнл</w:t>
      </w:r>
      <w:proofErr w:type="spellEnd"/>
      <w:r w:rsidR="002279A3">
        <w:t>»</w:t>
      </w:r>
      <w:r w:rsidRPr="002E334A">
        <w:t xml:space="preserve"> была разработана </w:t>
      </w:r>
      <w:r w:rsidR="002279A3">
        <w:t>«</w:t>
      </w:r>
      <w:r w:rsidRPr="002E334A">
        <w:t>Методология анализа риска бедствий на уровне общин</w:t>
      </w:r>
      <w:r w:rsidR="002279A3">
        <w:t>»</w:t>
      </w:r>
      <w:r w:rsidRPr="002E334A">
        <w:t xml:space="preserve">. </w:t>
      </w:r>
    </w:p>
    <w:p w14:paraId="4E790339" w14:textId="77777777" w:rsidR="00154A55" w:rsidRPr="002E334A" w:rsidRDefault="00154A55" w:rsidP="00154A55">
      <w:pPr>
        <w:pStyle w:val="SingleTxtG"/>
      </w:pPr>
      <w:r w:rsidRPr="002E334A">
        <w:lastRenderedPageBreak/>
        <w:t>96.</w:t>
      </w:r>
      <w:r w:rsidRPr="002E334A">
        <w:tab/>
        <w:t xml:space="preserve">В целях повышения уровня добровольного участия в работе по снижению риска бедствий по линии программы </w:t>
      </w:r>
      <w:r w:rsidR="002279A3">
        <w:t>«</w:t>
      </w:r>
      <w:r w:rsidRPr="002E334A">
        <w:t>Будь готов</w:t>
      </w:r>
      <w:r w:rsidR="002279A3">
        <w:t>»</w:t>
      </w:r>
      <w:r w:rsidRPr="002E334A">
        <w:t xml:space="preserve"> было организовано 12 комплексных курсов подготовки для 4497 граждан и членов 1014 </w:t>
      </w:r>
      <w:r w:rsidR="002279A3">
        <w:t>«</w:t>
      </w:r>
      <w:r w:rsidRPr="002E334A">
        <w:t>Групп добровольцев</w:t>
      </w:r>
      <w:r w:rsidR="002279A3">
        <w:t>»</w:t>
      </w:r>
      <w:r w:rsidRPr="002E334A">
        <w:t>, созданных на случай чрезвычайных ситуаций в 21 крупной компании и подразделениях 48</w:t>
      </w:r>
      <w:r w:rsidR="000B5D1A">
        <w:t> </w:t>
      </w:r>
      <w:r w:rsidRPr="002E334A">
        <w:t xml:space="preserve">подкомитетов в </w:t>
      </w:r>
      <w:r w:rsidR="00687B09" w:rsidRPr="00687B09">
        <w:t>9</w:t>
      </w:r>
      <w:r w:rsidRPr="002E334A">
        <w:t xml:space="preserve"> районах Улан-Батора, при этом за основу был взят механизм партнерства по оказанию первой помощи, объединяющий 330 сел в 21 аймаке. Подготовку прошли 5511 граждан из 399 подразделений. С использованием разработанного в 2018 году комплекта учебных материалов </w:t>
      </w:r>
      <w:r w:rsidR="002279A3">
        <w:t>«</w:t>
      </w:r>
      <w:r w:rsidRPr="002E334A">
        <w:t>Будь готов</w:t>
      </w:r>
      <w:r w:rsidR="002279A3">
        <w:t>»</w:t>
      </w:r>
      <w:r w:rsidRPr="002E334A">
        <w:t xml:space="preserve"> Национальное агентство по управлению чрезвычайными ситуациями, отделение организации </w:t>
      </w:r>
      <w:r w:rsidR="002279A3">
        <w:t>«</w:t>
      </w:r>
      <w:proofErr w:type="spellStart"/>
      <w:r w:rsidRPr="002E334A">
        <w:t>Уорлд</w:t>
      </w:r>
      <w:proofErr w:type="spellEnd"/>
      <w:r w:rsidRPr="002E334A">
        <w:t xml:space="preserve"> </w:t>
      </w:r>
      <w:proofErr w:type="spellStart"/>
      <w:r w:rsidRPr="002E334A">
        <w:t>вижн</w:t>
      </w:r>
      <w:proofErr w:type="spellEnd"/>
      <w:r w:rsidRPr="002E334A">
        <w:t xml:space="preserve"> </w:t>
      </w:r>
      <w:proofErr w:type="spellStart"/>
      <w:r w:rsidRPr="002E334A">
        <w:t>интернэшнл</w:t>
      </w:r>
      <w:proofErr w:type="spellEnd"/>
      <w:r w:rsidR="002279A3">
        <w:t>»</w:t>
      </w:r>
      <w:r w:rsidRPr="002E334A">
        <w:t xml:space="preserve"> в Монголии и Монгольское общество Красного Креста организовали в 21 аймаке и </w:t>
      </w:r>
      <w:r w:rsidR="00687B09">
        <w:t>9</w:t>
      </w:r>
      <w:r w:rsidRPr="002E334A">
        <w:t xml:space="preserve"> районах в общей сложности 2229</w:t>
      </w:r>
      <w:r w:rsidR="000B5D1A">
        <w:t> </w:t>
      </w:r>
      <w:r w:rsidRPr="002E334A">
        <w:t xml:space="preserve">учебных мероприятий. Подготовку прошли в общей сложности 279 791 человек, включая 5006 взрослых и детей с инвалидностью. </w:t>
      </w:r>
    </w:p>
    <w:p w14:paraId="137D909B" w14:textId="77777777" w:rsidR="00154A55" w:rsidRPr="002E334A" w:rsidRDefault="00154A55" w:rsidP="00154A55">
      <w:pPr>
        <w:pStyle w:val="SingleTxtG"/>
      </w:pPr>
      <w:r w:rsidRPr="002E334A">
        <w:t>97.</w:t>
      </w:r>
      <w:r w:rsidRPr="002E334A">
        <w:tab/>
        <w:t xml:space="preserve">25 июля 2018 года на основании Постановления директора Агентства по развитию семьи, детей и молодежи № А/155 была сформирована </w:t>
      </w:r>
      <w:r w:rsidR="002279A3">
        <w:t>«</w:t>
      </w:r>
      <w:r w:rsidRPr="002E334A">
        <w:t>Подгруппа по защите детей в чрезвычайных ситуациях</w:t>
      </w:r>
      <w:r w:rsidR="002279A3">
        <w:t>»</w:t>
      </w:r>
      <w:r w:rsidRPr="002E334A">
        <w:t xml:space="preserve">. Была создана группа по работе с </w:t>
      </w:r>
      <w:r w:rsidR="000B5D1A">
        <w:br/>
      </w:r>
      <w:r w:rsidRPr="002E334A">
        <w:t xml:space="preserve">детьми-инвалидами во время чрезвычайных ситуаций, в состав которой вошли специалисты основных пяти подгрупп, и которая в настоящее время разрабатывает план действий по защите детей во время чрезвычайных ситуаций и бедствий. Кроме того, будет разработан </w:t>
      </w:r>
      <w:r w:rsidR="002279A3">
        <w:t>«</w:t>
      </w:r>
      <w:r w:rsidRPr="002E334A">
        <w:t>план по обеспечению готовности к защите детей</w:t>
      </w:r>
      <w:r w:rsidR="002279A3">
        <w:t>»</w:t>
      </w:r>
      <w:r w:rsidRPr="002E334A">
        <w:t xml:space="preserve"> во время чрезвычайной ситуации, содержащий конкретные положения о работе с </w:t>
      </w:r>
      <w:r w:rsidR="000B5D1A">
        <w:br/>
      </w:r>
      <w:r w:rsidRPr="002E334A">
        <w:t xml:space="preserve">детьми-инвалидами и оказании медицинской, социальной и психологической помощи и поддержки во время чрезвычайных ситуаций. Этот план будет принят в 2019 году, при этом также планируется укрепить потенциал специализированных служб по защите детей. </w:t>
      </w:r>
    </w:p>
    <w:p w14:paraId="53213731" w14:textId="77777777" w:rsidR="00154A55" w:rsidRPr="002E334A" w:rsidRDefault="00154A55" w:rsidP="000B5D1A">
      <w:pPr>
        <w:pStyle w:val="H1G"/>
      </w:pPr>
      <w:r w:rsidRPr="002E334A">
        <w:tab/>
      </w:r>
      <w:r w:rsidRPr="002E334A">
        <w:tab/>
        <w:t>Ответ на пункт 8 а) перечня вопросов</w:t>
      </w:r>
    </w:p>
    <w:p w14:paraId="3C4F2513" w14:textId="77777777" w:rsidR="00154A55" w:rsidRPr="002E334A" w:rsidRDefault="00154A55" w:rsidP="00154A55">
      <w:pPr>
        <w:pStyle w:val="SingleTxtG"/>
      </w:pPr>
      <w:r w:rsidRPr="002E334A">
        <w:t>98.</w:t>
      </w:r>
      <w:r w:rsidRPr="002E334A">
        <w:tab/>
        <w:t xml:space="preserve">Статья 18.2 действующего Гражданского кодекса гласит, что суд признает лицо недееспособным, которое вследствие психического расстройства не может понимать значения своих действий или руководить ими, и устанавливает над ним опеку; </w:t>
      </w:r>
      <w:r w:rsidR="000B5D1A">
        <w:br/>
      </w:r>
      <w:r w:rsidRPr="002E334A">
        <w:t xml:space="preserve">а статья 18.3 устанавливает, от имени лица, признанного недееспособным, сделки совершает его опекун. В соответствии с этими положениями, суд устанавливает опеку над лицом, лишенным гражданской дееспособности; и это лицо может принимать решения при помощи своего опекуна. Каких-либо других положений, препятствующих равноправному участию лиц с инвалидностью в жизни гражданского общества, не существует. Таким образом, нет никакой необходимости и потребности вносить изменения в действующий Гражданский кодекс. </w:t>
      </w:r>
    </w:p>
    <w:p w14:paraId="434E0E50" w14:textId="77777777" w:rsidR="00154A55" w:rsidRPr="002E334A" w:rsidRDefault="00154A55" w:rsidP="000B5D1A">
      <w:pPr>
        <w:pStyle w:val="H1G"/>
      </w:pPr>
      <w:r w:rsidRPr="002E334A">
        <w:tab/>
      </w:r>
      <w:r w:rsidRPr="002E334A">
        <w:tab/>
        <w:t>Ответ на пункт 8 b) перечня вопросов</w:t>
      </w:r>
    </w:p>
    <w:p w14:paraId="2487E6AF" w14:textId="77777777" w:rsidR="00154A55" w:rsidRPr="002E334A" w:rsidRDefault="00154A55" w:rsidP="00154A55">
      <w:pPr>
        <w:pStyle w:val="SingleTxtG"/>
      </w:pPr>
      <w:r w:rsidRPr="002E334A">
        <w:t>99.</w:t>
      </w:r>
      <w:r w:rsidRPr="002E334A">
        <w:tab/>
      </w:r>
      <w:r w:rsidR="002279A3">
        <w:t>«</w:t>
      </w:r>
      <w:r w:rsidRPr="002E334A">
        <w:t>Центр правовой помощи</w:t>
      </w:r>
      <w:r w:rsidR="002279A3">
        <w:t>»</w:t>
      </w:r>
      <w:r w:rsidRPr="002E334A">
        <w:t xml:space="preserve"> и его филиалы на местах предоставляют безвозмездные услуги всем лицам с инвалидностью, особенно лицам с психосоциальной и/или интеллектуальной инвалидностью, с тем чтобы они могли осуществлять свою правоспособность во всех сферах жизни. В 2016 году этот центр предоставил безвозмездные услуги 79 лицам с инвалидностью, за 2017 год соответствующий показатель составил 82 человека, за 2018 год </w:t>
      </w:r>
      <w:r w:rsidR="000B5D1A">
        <w:t>⸺</w:t>
      </w:r>
      <w:r w:rsidRPr="002E334A">
        <w:t xml:space="preserve"> 110 человек, </w:t>
      </w:r>
      <w:r w:rsidR="000B5D1A">
        <w:br/>
      </w:r>
      <w:r w:rsidRPr="002E334A">
        <w:t xml:space="preserve">а за 8 месяцев 2019 года </w:t>
      </w:r>
      <w:r w:rsidR="000B5D1A">
        <w:t>⸺</w:t>
      </w:r>
      <w:r w:rsidRPr="002E334A">
        <w:t xml:space="preserve"> 95 человек. </w:t>
      </w:r>
    </w:p>
    <w:p w14:paraId="0CA99654" w14:textId="77777777" w:rsidR="00154A55" w:rsidRPr="002E334A" w:rsidRDefault="00154A55" w:rsidP="00AC1993">
      <w:pPr>
        <w:pStyle w:val="H1G"/>
      </w:pPr>
      <w:r w:rsidRPr="002E334A">
        <w:tab/>
      </w:r>
      <w:r w:rsidRPr="002E334A">
        <w:tab/>
        <w:t>Ответ на пункт 8 с) перечня вопросов</w:t>
      </w:r>
    </w:p>
    <w:p w14:paraId="60F8C451" w14:textId="6C4E2DA6" w:rsidR="00154A55" w:rsidRPr="002E334A" w:rsidRDefault="00154A55" w:rsidP="00154A55">
      <w:pPr>
        <w:pStyle w:val="SingleTxtG"/>
      </w:pPr>
      <w:r w:rsidRPr="002E334A">
        <w:t>100.</w:t>
      </w:r>
      <w:r w:rsidRPr="002E334A">
        <w:tab/>
        <w:t xml:space="preserve">В сотрудничестве с монгольскими ОЛИ мы организовали апреле 2018 года учебные курсы для лиц с инвалидностью и руководителей ОЛИ. Подготовку прошли более 70 лиц с инвалидностью, которые получили знания о правах человека и правовых нормах. Что касается Национальной программы содействия правовому просвещению населения, то мы разместили информацию о </w:t>
      </w:r>
      <w:r w:rsidR="002279A3">
        <w:t>«</w:t>
      </w:r>
      <w:r w:rsidRPr="002E334A">
        <w:t>Правах человека лиц с инвалидностью</w:t>
      </w:r>
      <w:r w:rsidR="002279A3">
        <w:t>»</w:t>
      </w:r>
      <w:r w:rsidRPr="002E334A">
        <w:t xml:space="preserve"> на веб</w:t>
      </w:r>
      <w:r w:rsidR="002F0375" w:rsidRPr="002F0375">
        <w:t>-</w:t>
      </w:r>
      <w:r w:rsidRPr="002E334A">
        <w:t xml:space="preserve">сайте </w:t>
      </w:r>
      <w:hyperlink r:id="rId9" w:history="1">
        <w:r w:rsidR="00AC1993" w:rsidRPr="00F00A4B">
          <w:rPr>
            <w:rStyle w:val="af1"/>
          </w:rPr>
          <w:t>www.ekhutuch.mn</w:t>
        </w:r>
      </w:hyperlink>
      <w:r w:rsidRPr="002E334A">
        <w:t xml:space="preserve">. Кроме того, был выпущен буклет </w:t>
      </w:r>
      <w:r w:rsidR="002279A3">
        <w:lastRenderedPageBreak/>
        <w:t>«</w:t>
      </w:r>
      <w:r w:rsidRPr="002E334A">
        <w:t>Руководство по семейно-правовым отношениям</w:t>
      </w:r>
      <w:r w:rsidR="002279A3">
        <w:t>»</w:t>
      </w:r>
      <w:r w:rsidRPr="002E334A">
        <w:t xml:space="preserve">, который содержит информацию об особенностях прав лиц с инвалидностью на образование и труд; а также сведения о социальной защите и социальном обеспечении. Мы также подготавливаем неформальную учебную программу и справочник по правовой подготовке для всех граждан. Главное управление судебных приставов организовало для своих сотрудников подготовку по правам человека. Комиссия по правам человека Монголии в сотрудничестве с Монгольской ассоциацией адвокатов организовала подготовку уполномоченных по правам человека. </w:t>
      </w:r>
    </w:p>
    <w:p w14:paraId="42905348" w14:textId="77777777" w:rsidR="00154A55" w:rsidRPr="002E334A" w:rsidRDefault="00154A55" w:rsidP="00AC1993">
      <w:pPr>
        <w:pStyle w:val="H1G"/>
      </w:pPr>
      <w:r w:rsidRPr="002E334A">
        <w:tab/>
      </w:r>
      <w:r w:rsidRPr="002E334A">
        <w:tab/>
        <w:t>Ответ на пункт 9 перечня вопросов</w:t>
      </w:r>
    </w:p>
    <w:p w14:paraId="35D7D4A9" w14:textId="77777777" w:rsidR="00154A55" w:rsidRPr="002E334A" w:rsidRDefault="00154A55" w:rsidP="00154A55">
      <w:pPr>
        <w:pStyle w:val="SingleTxtG"/>
      </w:pPr>
      <w:r w:rsidRPr="002E334A">
        <w:t>101.</w:t>
      </w:r>
      <w:r w:rsidRPr="002E334A">
        <w:tab/>
        <w:t>Статья 18.1 Гражданского кодекса гласит, что лица, не достигшие семи лет, не обладают гражданской правоспособностью, а в статье 18.2 указывается, что суд признает лицо недееспособным, которое вследствие психического расстройства не может понимать значения своих действий или руководить ими, и устанавливает над ним опеку. Согласно обследованию, проведенному Национальным статистическим управлением (НСУ), к концу 2018 года в стране насчитывался 20</w:t>
      </w:r>
      <w:r w:rsidR="00AC1993">
        <w:t> </w:t>
      </w:r>
      <w:r w:rsidRPr="002E334A">
        <w:t>371 человек с интеллектуальной инвалидностью, что составляет 19,3</w:t>
      </w:r>
      <w:r w:rsidR="00AC1993">
        <w:t> </w:t>
      </w:r>
      <w:r w:rsidRPr="002E334A">
        <w:t xml:space="preserve">% всех лиц с инвалидностью. </w:t>
      </w:r>
    </w:p>
    <w:p w14:paraId="340639A0" w14:textId="77777777" w:rsidR="00154A55" w:rsidRPr="002E334A" w:rsidRDefault="00154A55" w:rsidP="00154A55">
      <w:pPr>
        <w:pStyle w:val="SingleTxtG"/>
      </w:pPr>
      <w:r w:rsidRPr="002E334A">
        <w:t>102.</w:t>
      </w:r>
      <w:r w:rsidRPr="002E334A">
        <w:tab/>
        <w:t xml:space="preserve">Однако Управление не проводило обследования, чтобы выяснить, сколько из них суд признал недееспособными. </w:t>
      </w:r>
    </w:p>
    <w:p w14:paraId="6DDD8DFB" w14:textId="77777777" w:rsidR="00154A55" w:rsidRPr="002E334A" w:rsidRDefault="00154A55" w:rsidP="00AC1993">
      <w:pPr>
        <w:pStyle w:val="H1G"/>
      </w:pPr>
      <w:r w:rsidRPr="002E334A">
        <w:tab/>
      </w:r>
      <w:r w:rsidRPr="002E334A">
        <w:tab/>
        <w:t>Ответ на пункт 10 а) перечня вопросов</w:t>
      </w:r>
    </w:p>
    <w:p w14:paraId="679CD4BC" w14:textId="77777777" w:rsidR="00154A55" w:rsidRPr="002E334A" w:rsidRDefault="00154A55" w:rsidP="00154A55">
      <w:pPr>
        <w:pStyle w:val="SingleTxtG"/>
      </w:pPr>
      <w:r w:rsidRPr="002E334A">
        <w:t>103.</w:t>
      </w:r>
      <w:r w:rsidRPr="002E334A">
        <w:tab/>
      </w:r>
      <w:r w:rsidR="006D4959">
        <w:t>Одиннадцать</w:t>
      </w:r>
      <w:r w:rsidRPr="002E334A">
        <w:t xml:space="preserve"> сотрудников МЮВД и его подразделений прошли подготовку, с</w:t>
      </w:r>
      <w:r w:rsidR="00877325">
        <w:t> </w:t>
      </w:r>
      <w:r w:rsidRPr="002E334A">
        <w:t xml:space="preserve">тем чтобы они могли выполнять функции переводчиков лиц с инвалидностью и/или обеспечивать их сопровождение. В соответствии с </w:t>
      </w:r>
      <w:r w:rsidR="002279A3">
        <w:t>«</w:t>
      </w:r>
      <w:r w:rsidRPr="002E334A">
        <w:t>Планом по наращиванию потенциала и возможностей сотрудников полиции</w:t>
      </w:r>
      <w:r w:rsidR="002279A3">
        <w:t>»</w:t>
      </w:r>
      <w:r w:rsidRPr="002E334A">
        <w:t>, принятым директором полиции, мы организовали в период 2016</w:t>
      </w:r>
      <w:r w:rsidR="000B5F5F">
        <w:t>−</w:t>
      </w:r>
      <w:r w:rsidRPr="002E334A">
        <w:t xml:space="preserve">2018 годов курсы </w:t>
      </w:r>
      <w:r w:rsidR="002279A3">
        <w:t>«</w:t>
      </w:r>
      <w:r w:rsidRPr="002E334A">
        <w:t>Правила корректного обращения с инвалидами</w:t>
      </w:r>
      <w:r w:rsidR="002279A3">
        <w:t>»</w:t>
      </w:r>
      <w:r w:rsidRPr="002E334A">
        <w:t xml:space="preserve">, в которых приняли участие более 100 сотрудников полиции. Эти курсы включали следующие модули подготовки: </w:t>
      </w:r>
      <w:r w:rsidR="002279A3">
        <w:t>«</w:t>
      </w:r>
      <w:r w:rsidRPr="002E334A">
        <w:t>Базовые знания о проблемах инвалидов, видах и особенностях инвалидности</w:t>
      </w:r>
      <w:r w:rsidR="002279A3">
        <w:t>»</w:t>
      </w:r>
      <w:r w:rsidRPr="002E334A">
        <w:t xml:space="preserve">, </w:t>
      </w:r>
      <w:r w:rsidR="002279A3">
        <w:t>«</w:t>
      </w:r>
      <w:r w:rsidRPr="002E334A">
        <w:t>Виды помощи, которую сотрудники полиции могут оказать лицам с инвалидностью, и некоторые вопросы</w:t>
      </w:r>
      <w:r w:rsidR="002279A3">
        <w:t>»</w:t>
      </w:r>
      <w:r w:rsidRPr="002E334A">
        <w:t xml:space="preserve">, </w:t>
      </w:r>
      <w:r w:rsidR="002279A3">
        <w:t>«</w:t>
      </w:r>
      <w:r w:rsidRPr="002E334A">
        <w:t>Законодательство, посвященное правам человека лиц с инвалидностью</w:t>
      </w:r>
      <w:r w:rsidR="002279A3">
        <w:t>»</w:t>
      </w:r>
      <w:r w:rsidRPr="002E334A">
        <w:t xml:space="preserve">, </w:t>
      </w:r>
      <w:r w:rsidR="002279A3">
        <w:t>«</w:t>
      </w:r>
      <w:r w:rsidRPr="002E334A">
        <w:t>Правила корректного общения с лицами с нарушениями слуха</w:t>
      </w:r>
      <w:r w:rsidR="002279A3">
        <w:t>»</w:t>
      </w:r>
      <w:r w:rsidRPr="002E334A">
        <w:t xml:space="preserve">, </w:t>
      </w:r>
      <w:r w:rsidR="002279A3">
        <w:t>«</w:t>
      </w:r>
      <w:r w:rsidRPr="002E334A">
        <w:t>Правила корректного общения с лицами с нарушениями зрения</w:t>
      </w:r>
      <w:r w:rsidR="002279A3">
        <w:t>»</w:t>
      </w:r>
      <w:r w:rsidRPr="002E334A">
        <w:t xml:space="preserve">, </w:t>
      </w:r>
      <w:r w:rsidR="002279A3">
        <w:t>«</w:t>
      </w:r>
      <w:r w:rsidRPr="002E334A">
        <w:t>Правила корректного общения с лицами с интеллектуальной инвалидностью</w:t>
      </w:r>
      <w:r w:rsidR="002279A3">
        <w:t>»</w:t>
      </w:r>
      <w:r w:rsidRPr="002E334A">
        <w:t xml:space="preserve">, </w:t>
      </w:r>
      <w:r w:rsidR="002279A3">
        <w:t>«</w:t>
      </w:r>
      <w:r w:rsidRPr="002E334A">
        <w:t>Правила корректного общения с пользователями инвалидных колясок и вопросы доступности</w:t>
      </w:r>
      <w:r w:rsidR="002279A3">
        <w:t>»</w:t>
      </w:r>
      <w:r w:rsidRPr="002E334A">
        <w:t xml:space="preserve">, </w:t>
      </w:r>
      <w:r w:rsidR="002279A3">
        <w:t>«</w:t>
      </w:r>
      <w:r w:rsidRPr="002E334A">
        <w:t>Независимый образ жизни</w:t>
      </w:r>
      <w:r w:rsidR="002279A3">
        <w:t>»</w:t>
      </w:r>
      <w:r w:rsidRPr="002E334A">
        <w:t xml:space="preserve">. По инициативе Министерства труда и социальной защиты </w:t>
      </w:r>
      <w:r w:rsidR="007C097A">
        <w:t>4</w:t>
      </w:r>
      <w:r w:rsidRPr="002E334A">
        <w:t xml:space="preserve"> оператора из центра управления информацией и чрезвычайными ситуациями прошли курсы языка жестов; 20</w:t>
      </w:r>
      <w:r w:rsidR="000B5F5F">
        <w:t> </w:t>
      </w:r>
      <w:r w:rsidRPr="002E334A">
        <w:t>сотрудников департамента полиции Улан-Батора прошли базовую подготовку по использованию языка жестов.</w:t>
      </w:r>
    </w:p>
    <w:p w14:paraId="069A2890" w14:textId="77777777" w:rsidR="00154A55" w:rsidRPr="002E334A" w:rsidRDefault="00154A55" w:rsidP="00154A55">
      <w:pPr>
        <w:pStyle w:val="SingleTxtG"/>
      </w:pPr>
      <w:r w:rsidRPr="002E334A">
        <w:t>104.</w:t>
      </w:r>
      <w:r w:rsidRPr="002E334A">
        <w:tab/>
        <w:t>В соответствии со статьей 27.4 Закона о правах лиц с инвалидностью, которая гласит, что суд, прокуратура и другие законодательные органы бесплатно обеспечивают лицам с инвалидностью необходимые условия, включая услуги по чтению и написанию документов, сурдопереводу и письменному переводу, и что связанные с этим расходы должны покрываться из государственного бюджета, мы, в</w:t>
      </w:r>
      <w:r w:rsidR="000B5F5F">
        <w:t> </w:t>
      </w:r>
      <w:r w:rsidRPr="002E334A">
        <w:t xml:space="preserve">сотрудничестве с ГУРЛИ, организовали два раза в 2019 году учебные курсы на тему </w:t>
      </w:r>
      <w:r w:rsidR="002279A3">
        <w:t>«</w:t>
      </w:r>
      <w:r w:rsidRPr="002E334A">
        <w:t>Подготовка сотрудников полиции для сопровождения лиц с инвалидностью</w:t>
      </w:r>
      <w:r w:rsidR="002279A3">
        <w:t>»</w:t>
      </w:r>
      <w:r w:rsidRPr="002E334A">
        <w:t>. Эти</w:t>
      </w:r>
      <w:r w:rsidR="000B5F5F">
        <w:t> </w:t>
      </w:r>
      <w:r w:rsidRPr="002E334A">
        <w:t xml:space="preserve">курсы прошли 60 сотрудников полиции, при этом им были выданы соответствующие сертификаты. </w:t>
      </w:r>
    </w:p>
    <w:p w14:paraId="6312BDE1" w14:textId="77777777" w:rsidR="00154A55" w:rsidRPr="002E334A" w:rsidRDefault="00154A55" w:rsidP="00154A55">
      <w:pPr>
        <w:pStyle w:val="SingleTxtG"/>
      </w:pPr>
      <w:r w:rsidRPr="002E334A">
        <w:t>105.</w:t>
      </w:r>
      <w:r w:rsidRPr="002E334A">
        <w:tab/>
        <w:t xml:space="preserve">Государственная регистрационная служба организовала практические занятия по использованию шрифта Брайля и языка жестов для </w:t>
      </w:r>
      <w:r w:rsidR="007C097A">
        <w:t>1−2</w:t>
      </w:r>
      <w:r w:rsidRPr="002E334A">
        <w:t xml:space="preserve"> сотрудников каждого своего местного отделения, при этом сертификаты получили в общей сложности 26</w:t>
      </w:r>
      <w:r w:rsidR="007C097A">
        <w:t> </w:t>
      </w:r>
      <w:r w:rsidRPr="002E334A">
        <w:t>сотрудников. Мы также подготовили сборник законодательных актов, касающихся прав человека лиц с инвалидностью, и издали его на шрифте Брайля в 30</w:t>
      </w:r>
      <w:r w:rsidR="000B5F5F">
        <w:t> </w:t>
      </w:r>
      <w:r w:rsidRPr="002E334A">
        <w:t xml:space="preserve">экземплярах; </w:t>
      </w:r>
      <w:r w:rsidRPr="002E334A">
        <w:lastRenderedPageBreak/>
        <w:t xml:space="preserve">эта работа финансировалась по линии проекта </w:t>
      </w:r>
      <w:r w:rsidR="002279A3">
        <w:t>«</w:t>
      </w:r>
      <w:r w:rsidRPr="002E334A">
        <w:t xml:space="preserve">Гражданское </w:t>
      </w:r>
      <w:r w:rsidR="000B5F5F">
        <w:br/>
      </w:r>
      <w:r w:rsidRPr="002E334A">
        <w:t>участие</w:t>
      </w:r>
      <w:r w:rsidR="000B5F5F">
        <w:t xml:space="preserve"> ⸺ </w:t>
      </w:r>
      <w:r w:rsidRPr="002E334A">
        <w:t>2</w:t>
      </w:r>
      <w:r w:rsidR="002279A3">
        <w:t>»</w:t>
      </w:r>
      <w:r w:rsidRPr="002E334A">
        <w:t xml:space="preserve"> и была проведена в сотрудничестве с Федерацией слепых Монголии.</w:t>
      </w:r>
    </w:p>
    <w:p w14:paraId="610B48F6" w14:textId="77777777" w:rsidR="00154A55" w:rsidRPr="002E334A" w:rsidRDefault="00154A55" w:rsidP="000B5F5F">
      <w:pPr>
        <w:pStyle w:val="H1G"/>
      </w:pPr>
      <w:r w:rsidRPr="002E334A">
        <w:tab/>
      </w:r>
      <w:r w:rsidRPr="002E334A">
        <w:tab/>
        <w:t>Ответ на пункт 10 b) перечня вопросов</w:t>
      </w:r>
    </w:p>
    <w:p w14:paraId="08FAF89C" w14:textId="77777777" w:rsidR="00154A55" w:rsidRPr="002E334A" w:rsidRDefault="00154A55" w:rsidP="000908D3">
      <w:pPr>
        <w:pStyle w:val="SingleTxtG"/>
      </w:pPr>
      <w:r w:rsidRPr="002E334A">
        <w:t>106.</w:t>
      </w:r>
      <w:r w:rsidRPr="002E334A">
        <w:tab/>
        <w:t>Соответствующие государственные организации направили заинтересованным сторонам предложения о сотрудничестве с целью обеспечения полного доступа к средствам правовой защиты, включая предоставление услуг переводчиков и безвозмездных услуг в случаях, когда лица с инвалидностью становятся жертвами преступлений или правонарушений; или дают показания, если они сами совершили преступления.</w:t>
      </w:r>
    </w:p>
    <w:tbl>
      <w:tblPr>
        <w:tblW w:w="7370" w:type="dxa"/>
        <w:tblInd w:w="1134" w:type="dxa"/>
        <w:tblLayout w:type="fixed"/>
        <w:tblCellMar>
          <w:left w:w="0" w:type="dxa"/>
          <w:right w:w="0" w:type="dxa"/>
        </w:tblCellMar>
        <w:tblLook w:val="04A0" w:firstRow="1" w:lastRow="0" w:firstColumn="1" w:lastColumn="0" w:noHBand="0" w:noVBand="1"/>
      </w:tblPr>
      <w:tblGrid>
        <w:gridCol w:w="1344"/>
        <w:gridCol w:w="1456"/>
        <w:gridCol w:w="1482"/>
        <w:gridCol w:w="1636"/>
        <w:gridCol w:w="1452"/>
      </w:tblGrid>
      <w:tr w:rsidR="002E334A" w:rsidRPr="00B779E3" w14:paraId="10B158C9" w14:textId="77777777" w:rsidTr="00ED7B4B">
        <w:trPr>
          <w:tblHeader/>
        </w:trPr>
        <w:tc>
          <w:tcPr>
            <w:tcW w:w="1344" w:type="dxa"/>
            <w:tcBorders>
              <w:top w:val="single" w:sz="4" w:space="0" w:color="auto"/>
              <w:bottom w:val="single" w:sz="12" w:space="0" w:color="auto"/>
            </w:tcBorders>
            <w:shd w:val="clear" w:color="auto" w:fill="auto"/>
            <w:tcMar>
              <w:top w:w="80" w:type="dxa"/>
              <w:left w:w="80" w:type="dxa"/>
              <w:bottom w:w="80" w:type="dxa"/>
              <w:right w:w="80" w:type="dxa"/>
            </w:tcMar>
            <w:vAlign w:val="bottom"/>
          </w:tcPr>
          <w:p w14:paraId="1F203A16" w14:textId="77777777" w:rsidR="00154A55" w:rsidRPr="00B779E3" w:rsidRDefault="00154A55" w:rsidP="00B779E3">
            <w:pPr>
              <w:spacing w:before="80" w:after="80" w:line="200" w:lineRule="exact"/>
              <w:ind w:left="28"/>
              <w:rPr>
                <w:rFonts w:cs="Times New Roman"/>
                <w:i/>
                <w:sz w:val="16"/>
              </w:rPr>
            </w:pPr>
          </w:p>
        </w:tc>
        <w:tc>
          <w:tcPr>
            <w:tcW w:w="1456" w:type="dxa"/>
            <w:tcBorders>
              <w:top w:val="single" w:sz="4" w:space="0" w:color="auto"/>
              <w:bottom w:val="single" w:sz="12" w:space="0" w:color="auto"/>
            </w:tcBorders>
            <w:shd w:val="clear" w:color="auto" w:fill="auto"/>
            <w:tcMar>
              <w:top w:w="80" w:type="dxa"/>
              <w:left w:w="80" w:type="dxa"/>
              <w:bottom w:w="80" w:type="dxa"/>
              <w:right w:w="80" w:type="dxa"/>
            </w:tcMar>
            <w:vAlign w:val="bottom"/>
          </w:tcPr>
          <w:p w14:paraId="3261276C" w14:textId="77777777" w:rsidR="00154A55" w:rsidRPr="00B779E3" w:rsidRDefault="00154A55" w:rsidP="00B779E3">
            <w:pPr>
              <w:spacing w:before="80" w:after="80" w:line="200" w:lineRule="exact"/>
              <w:ind w:left="28"/>
              <w:jc w:val="right"/>
              <w:rPr>
                <w:rFonts w:cs="Times New Roman"/>
                <w:i/>
                <w:sz w:val="16"/>
              </w:rPr>
            </w:pPr>
            <w:r w:rsidRPr="00B779E3">
              <w:rPr>
                <w:rFonts w:cs="Times New Roman"/>
                <w:i/>
                <w:iCs/>
                <w:sz w:val="16"/>
              </w:rPr>
              <w:t>Количество</w:t>
            </w:r>
            <w:r w:rsidR="00B779E3">
              <w:rPr>
                <w:rFonts w:cs="Times New Roman"/>
                <w:i/>
                <w:iCs/>
                <w:sz w:val="16"/>
              </w:rPr>
              <w:br/>
            </w:r>
            <w:r w:rsidRPr="00B779E3">
              <w:rPr>
                <w:rFonts w:cs="Times New Roman"/>
                <w:i/>
                <w:iCs/>
                <w:sz w:val="16"/>
              </w:rPr>
              <w:t xml:space="preserve">лиц </w:t>
            </w:r>
            <w:r w:rsidR="00ED7B4B">
              <w:rPr>
                <w:rFonts w:cs="Times New Roman"/>
                <w:i/>
                <w:iCs/>
                <w:sz w:val="16"/>
              </w:rPr>
              <w:br/>
            </w:r>
            <w:r w:rsidRPr="00B779E3">
              <w:rPr>
                <w:rFonts w:cs="Times New Roman"/>
                <w:i/>
                <w:iCs/>
                <w:sz w:val="16"/>
              </w:rPr>
              <w:t>с инвалидностью, ставших жертвами преступлений</w:t>
            </w:r>
          </w:p>
        </w:tc>
        <w:tc>
          <w:tcPr>
            <w:tcW w:w="1482" w:type="dxa"/>
            <w:tcBorders>
              <w:top w:val="single" w:sz="4" w:space="0" w:color="auto"/>
              <w:bottom w:val="single" w:sz="12" w:space="0" w:color="auto"/>
            </w:tcBorders>
            <w:shd w:val="clear" w:color="auto" w:fill="auto"/>
            <w:tcMar>
              <w:top w:w="80" w:type="dxa"/>
              <w:left w:w="80" w:type="dxa"/>
              <w:bottom w:w="80" w:type="dxa"/>
              <w:right w:w="80" w:type="dxa"/>
            </w:tcMar>
            <w:vAlign w:val="bottom"/>
          </w:tcPr>
          <w:p w14:paraId="5432345F" w14:textId="77777777" w:rsidR="00154A55" w:rsidRPr="00B779E3" w:rsidRDefault="00154A55" w:rsidP="00B779E3">
            <w:pPr>
              <w:spacing w:before="80" w:after="80" w:line="200" w:lineRule="exact"/>
              <w:ind w:left="28"/>
              <w:jc w:val="right"/>
              <w:rPr>
                <w:rFonts w:cs="Times New Roman"/>
                <w:i/>
                <w:sz w:val="16"/>
              </w:rPr>
            </w:pPr>
            <w:r w:rsidRPr="00B779E3">
              <w:rPr>
                <w:rFonts w:cs="Times New Roman"/>
                <w:i/>
                <w:iCs/>
                <w:sz w:val="16"/>
              </w:rPr>
              <w:t xml:space="preserve">Количество </w:t>
            </w:r>
            <w:r w:rsidR="00B779E3">
              <w:rPr>
                <w:rFonts w:cs="Times New Roman"/>
                <w:i/>
                <w:iCs/>
                <w:sz w:val="16"/>
              </w:rPr>
              <w:br/>
            </w:r>
            <w:r w:rsidRPr="00B779E3">
              <w:rPr>
                <w:rFonts w:cs="Times New Roman"/>
                <w:i/>
                <w:iCs/>
                <w:sz w:val="16"/>
              </w:rPr>
              <w:t xml:space="preserve">лиц </w:t>
            </w:r>
            <w:r w:rsidR="00FC6CE6">
              <w:rPr>
                <w:rFonts w:cs="Times New Roman"/>
                <w:i/>
                <w:iCs/>
                <w:sz w:val="16"/>
              </w:rPr>
              <w:br/>
            </w:r>
            <w:r w:rsidRPr="00B779E3">
              <w:rPr>
                <w:rFonts w:cs="Times New Roman"/>
                <w:i/>
                <w:iCs/>
                <w:sz w:val="16"/>
              </w:rPr>
              <w:t>с инвалидностью, привлеченных к ответственности</w:t>
            </w:r>
          </w:p>
        </w:tc>
        <w:tc>
          <w:tcPr>
            <w:tcW w:w="1636" w:type="dxa"/>
            <w:tcBorders>
              <w:top w:val="single" w:sz="4" w:space="0" w:color="auto"/>
              <w:bottom w:val="single" w:sz="12" w:space="0" w:color="auto"/>
            </w:tcBorders>
            <w:shd w:val="clear" w:color="auto" w:fill="auto"/>
            <w:tcMar>
              <w:top w:w="80" w:type="dxa"/>
              <w:left w:w="80" w:type="dxa"/>
              <w:bottom w:w="80" w:type="dxa"/>
              <w:right w:w="80" w:type="dxa"/>
            </w:tcMar>
            <w:vAlign w:val="bottom"/>
          </w:tcPr>
          <w:p w14:paraId="25100E0F" w14:textId="77777777" w:rsidR="00154A55" w:rsidRPr="00B779E3" w:rsidRDefault="00154A55" w:rsidP="00B779E3">
            <w:pPr>
              <w:spacing w:before="80" w:after="80" w:line="200" w:lineRule="exact"/>
              <w:ind w:left="28"/>
              <w:jc w:val="right"/>
              <w:rPr>
                <w:rFonts w:cs="Times New Roman"/>
                <w:i/>
                <w:sz w:val="16"/>
              </w:rPr>
            </w:pPr>
            <w:r w:rsidRPr="00B779E3">
              <w:rPr>
                <w:rFonts w:cs="Times New Roman"/>
                <w:i/>
                <w:iCs/>
                <w:sz w:val="16"/>
              </w:rPr>
              <w:t>Количество лиц</w:t>
            </w:r>
            <w:r w:rsidR="00B779E3">
              <w:rPr>
                <w:rFonts w:cs="Times New Roman"/>
                <w:i/>
                <w:iCs/>
                <w:sz w:val="16"/>
              </w:rPr>
              <w:br/>
            </w:r>
            <w:r w:rsidRPr="00B779E3">
              <w:rPr>
                <w:rFonts w:cs="Times New Roman"/>
                <w:i/>
                <w:iCs/>
                <w:sz w:val="16"/>
              </w:rPr>
              <w:t xml:space="preserve">с инвалидностью, которым были предоставлены сурдопереводчики для обеспечения полного доступа </w:t>
            </w:r>
            <w:r w:rsidR="00B779E3">
              <w:rPr>
                <w:rFonts w:cs="Times New Roman"/>
                <w:i/>
                <w:iCs/>
                <w:sz w:val="16"/>
              </w:rPr>
              <w:br/>
            </w:r>
            <w:r w:rsidRPr="00B779E3">
              <w:rPr>
                <w:rFonts w:cs="Times New Roman"/>
                <w:i/>
                <w:iCs/>
                <w:sz w:val="16"/>
              </w:rPr>
              <w:t>к средствам судебной защиты</w:t>
            </w:r>
          </w:p>
        </w:tc>
        <w:tc>
          <w:tcPr>
            <w:tcW w:w="1452" w:type="dxa"/>
            <w:tcBorders>
              <w:top w:val="single" w:sz="4" w:space="0" w:color="auto"/>
              <w:bottom w:val="single" w:sz="12" w:space="0" w:color="auto"/>
            </w:tcBorders>
            <w:shd w:val="clear" w:color="auto" w:fill="auto"/>
            <w:tcMar>
              <w:top w:w="80" w:type="dxa"/>
              <w:left w:w="80" w:type="dxa"/>
              <w:bottom w:w="80" w:type="dxa"/>
              <w:right w:w="80" w:type="dxa"/>
            </w:tcMar>
            <w:vAlign w:val="bottom"/>
          </w:tcPr>
          <w:p w14:paraId="73F81E5A" w14:textId="77777777" w:rsidR="00154A55" w:rsidRPr="00B779E3" w:rsidRDefault="00154A55" w:rsidP="00B779E3">
            <w:pPr>
              <w:spacing w:before="80" w:after="80" w:line="200" w:lineRule="exact"/>
              <w:ind w:left="28"/>
              <w:jc w:val="right"/>
              <w:rPr>
                <w:rFonts w:cs="Times New Roman"/>
                <w:i/>
                <w:sz w:val="16"/>
              </w:rPr>
            </w:pPr>
            <w:r w:rsidRPr="00B779E3">
              <w:rPr>
                <w:rFonts w:cs="Times New Roman"/>
                <w:i/>
                <w:iCs/>
                <w:sz w:val="16"/>
              </w:rPr>
              <w:t xml:space="preserve">Количество лиц </w:t>
            </w:r>
            <w:r w:rsidR="00B779E3">
              <w:rPr>
                <w:rFonts w:cs="Times New Roman"/>
                <w:i/>
                <w:iCs/>
                <w:sz w:val="16"/>
              </w:rPr>
              <w:br/>
            </w:r>
            <w:r w:rsidRPr="00B779E3">
              <w:rPr>
                <w:rFonts w:cs="Times New Roman"/>
                <w:i/>
                <w:iCs/>
                <w:sz w:val="16"/>
              </w:rPr>
              <w:t>с инвалидностью, получивших бесплатную юридическую помощь от Центра правовой помощи и его филиалов</w:t>
            </w:r>
            <w:r w:rsidR="00B779E3">
              <w:rPr>
                <w:rFonts w:cs="Times New Roman"/>
                <w:i/>
                <w:iCs/>
                <w:sz w:val="16"/>
              </w:rPr>
              <w:br/>
            </w:r>
            <w:r w:rsidRPr="00B779E3">
              <w:rPr>
                <w:rFonts w:cs="Times New Roman"/>
                <w:i/>
                <w:iCs/>
                <w:sz w:val="16"/>
              </w:rPr>
              <w:t>на местах</w:t>
            </w:r>
          </w:p>
        </w:tc>
      </w:tr>
      <w:tr w:rsidR="002E334A" w:rsidRPr="00B779E3" w14:paraId="35A5DC43" w14:textId="77777777" w:rsidTr="00ED7B4B">
        <w:tc>
          <w:tcPr>
            <w:tcW w:w="1344" w:type="dxa"/>
            <w:tcBorders>
              <w:top w:val="single" w:sz="12" w:space="0" w:color="auto"/>
            </w:tcBorders>
            <w:shd w:val="clear" w:color="auto" w:fill="auto"/>
            <w:tcMar>
              <w:top w:w="80" w:type="dxa"/>
              <w:left w:w="80" w:type="dxa"/>
              <w:bottom w:w="80" w:type="dxa"/>
              <w:right w:w="80" w:type="dxa"/>
            </w:tcMar>
          </w:tcPr>
          <w:p w14:paraId="7EA7D4AF" w14:textId="77777777" w:rsidR="00154A55" w:rsidRPr="00B779E3" w:rsidRDefault="00154A55" w:rsidP="00B779E3">
            <w:pPr>
              <w:spacing w:before="40" w:after="40" w:line="220" w:lineRule="exact"/>
              <w:rPr>
                <w:rFonts w:cs="Times New Roman"/>
                <w:sz w:val="18"/>
              </w:rPr>
            </w:pPr>
            <w:r w:rsidRPr="00B779E3">
              <w:rPr>
                <w:rFonts w:cs="Times New Roman"/>
                <w:sz w:val="18"/>
              </w:rPr>
              <w:t>2016</w:t>
            </w:r>
          </w:p>
        </w:tc>
        <w:tc>
          <w:tcPr>
            <w:tcW w:w="1456" w:type="dxa"/>
            <w:tcBorders>
              <w:top w:val="single" w:sz="12" w:space="0" w:color="auto"/>
            </w:tcBorders>
            <w:shd w:val="clear" w:color="auto" w:fill="auto"/>
            <w:tcMar>
              <w:top w:w="80" w:type="dxa"/>
              <w:left w:w="80" w:type="dxa"/>
              <w:bottom w:w="80" w:type="dxa"/>
              <w:right w:w="80" w:type="dxa"/>
            </w:tcMar>
            <w:vAlign w:val="bottom"/>
          </w:tcPr>
          <w:p w14:paraId="07972A39" w14:textId="77777777" w:rsidR="00154A55" w:rsidRPr="00B779E3" w:rsidRDefault="00154A55" w:rsidP="00B779E3">
            <w:pPr>
              <w:spacing w:before="40" w:after="40" w:line="220" w:lineRule="exact"/>
              <w:jc w:val="right"/>
              <w:rPr>
                <w:rFonts w:cs="Times New Roman"/>
                <w:sz w:val="18"/>
              </w:rPr>
            </w:pPr>
            <w:r w:rsidRPr="00B779E3">
              <w:rPr>
                <w:rFonts w:cs="Times New Roman"/>
                <w:sz w:val="18"/>
              </w:rPr>
              <w:t>106</w:t>
            </w:r>
          </w:p>
        </w:tc>
        <w:tc>
          <w:tcPr>
            <w:tcW w:w="1482" w:type="dxa"/>
            <w:tcBorders>
              <w:top w:val="single" w:sz="12" w:space="0" w:color="auto"/>
            </w:tcBorders>
            <w:shd w:val="clear" w:color="auto" w:fill="auto"/>
            <w:tcMar>
              <w:top w:w="80" w:type="dxa"/>
              <w:left w:w="80" w:type="dxa"/>
              <w:bottom w:w="80" w:type="dxa"/>
              <w:right w:w="80" w:type="dxa"/>
            </w:tcMar>
            <w:vAlign w:val="bottom"/>
          </w:tcPr>
          <w:p w14:paraId="4D3B8EDE" w14:textId="77777777" w:rsidR="00154A55" w:rsidRPr="00B779E3" w:rsidRDefault="00154A55" w:rsidP="00B779E3">
            <w:pPr>
              <w:spacing w:before="40" w:after="40" w:line="220" w:lineRule="exact"/>
              <w:jc w:val="right"/>
              <w:rPr>
                <w:rFonts w:cs="Times New Roman"/>
                <w:sz w:val="18"/>
              </w:rPr>
            </w:pPr>
            <w:r w:rsidRPr="00B779E3">
              <w:rPr>
                <w:rFonts w:cs="Times New Roman"/>
                <w:sz w:val="18"/>
              </w:rPr>
              <w:t>74</w:t>
            </w:r>
          </w:p>
        </w:tc>
        <w:tc>
          <w:tcPr>
            <w:tcW w:w="1636" w:type="dxa"/>
            <w:tcBorders>
              <w:top w:val="single" w:sz="12" w:space="0" w:color="auto"/>
            </w:tcBorders>
            <w:shd w:val="clear" w:color="auto" w:fill="auto"/>
            <w:tcMar>
              <w:top w:w="80" w:type="dxa"/>
              <w:left w:w="80" w:type="dxa"/>
              <w:bottom w:w="80" w:type="dxa"/>
              <w:right w:w="80" w:type="dxa"/>
            </w:tcMar>
            <w:vAlign w:val="bottom"/>
          </w:tcPr>
          <w:p w14:paraId="00E4C367" w14:textId="77777777" w:rsidR="00154A55" w:rsidRPr="00B779E3" w:rsidRDefault="00154A55" w:rsidP="00B779E3">
            <w:pPr>
              <w:spacing w:before="40" w:after="40" w:line="220" w:lineRule="exact"/>
              <w:jc w:val="right"/>
              <w:rPr>
                <w:rFonts w:cs="Times New Roman"/>
                <w:sz w:val="18"/>
              </w:rPr>
            </w:pPr>
            <w:r w:rsidRPr="00B779E3">
              <w:rPr>
                <w:rFonts w:cs="Times New Roman"/>
                <w:sz w:val="18"/>
              </w:rPr>
              <w:t>68</w:t>
            </w:r>
          </w:p>
        </w:tc>
        <w:tc>
          <w:tcPr>
            <w:tcW w:w="1452" w:type="dxa"/>
            <w:tcBorders>
              <w:top w:val="single" w:sz="12" w:space="0" w:color="auto"/>
            </w:tcBorders>
            <w:shd w:val="clear" w:color="auto" w:fill="auto"/>
            <w:tcMar>
              <w:top w:w="80" w:type="dxa"/>
              <w:left w:w="80" w:type="dxa"/>
              <w:bottom w:w="80" w:type="dxa"/>
              <w:right w:w="80" w:type="dxa"/>
            </w:tcMar>
            <w:vAlign w:val="bottom"/>
          </w:tcPr>
          <w:p w14:paraId="6328F758" w14:textId="77777777" w:rsidR="00154A55" w:rsidRPr="00B779E3" w:rsidRDefault="00154A55" w:rsidP="00B779E3">
            <w:pPr>
              <w:spacing w:before="40" w:after="40" w:line="220" w:lineRule="exact"/>
              <w:jc w:val="right"/>
              <w:rPr>
                <w:rFonts w:cs="Times New Roman"/>
                <w:sz w:val="18"/>
              </w:rPr>
            </w:pPr>
            <w:r w:rsidRPr="00B779E3">
              <w:rPr>
                <w:rFonts w:cs="Times New Roman"/>
                <w:sz w:val="18"/>
              </w:rPr>
              <w:t>79</w:t>
            </w:r>
          </w:p>
        </w:tc>
      </w:tr>
      <w:tr w:rsidR="002E334A" w:rsidRPr="00B779E3" w14:paraId="0DF35D7F" w14:textId="77777777" w:rsidTr="00ED7B4B">
        <w:tc>
          <w:tcPr>
            <w:tcW w:w="1344" w:type="dxa"/>
            <w:shd w:val="clear" w:color="auto" w:fill="auto"/>
            <w:tcMar>
              <w:top w:w="80" w:type="dxa"/>
              <w:left w:w="80" w:type="dxa"/>
              <w:bottom w:w="80" w:type="dxa"/>
              <w:right w:w="80" w:type="dxa"/>
            </w:tcMar>
          </w:tcPr>
          <w:p w14:paraId="36FFCDDB" w14:textId="77777777" w:rsidR="00154A55" w:rsidRPr="00B779E3" w:rsidRDefault="00154A55" w:rsidP="00B779E3">
            <w:pPr>
              <w:spacing w:before="40" w:after="40" w:line="220" w:lineRule="exact"/>
              <w:rPr>
                <w:rFonts w:cs="Times New Roman"/>
                <w:sz w:val="18"/>
              </w:rPr>
            </w:pPr>
            <w:r w:rsidRPr="00B779E3">
              <w:rPr>
                <w:rFonts w:cs="Times New Roman"/>
                <w:sz w:val="18"/>
              </w:rPr>
              <w:t>2017</w:t>
            </w:r>
          </w:p>
        </w:tc>
        <w:tc>
          <w:tcPr>
            <w:tcW w:w="1456" w:type="dxa"/>
            <w:shd w:val="clear" w:color="auto" w:fill="auto"/>
            <w:tcMar>
              <w:top w:w="80" w:type="dxa"/>
              <w:left w:w="80" w:type="dxa"/>
              <w:bottom w:w="80" w:type="dxa"/>
              <w:right w:w="80" w:type="dxa"/>
            </w:tcMar>
            <w:vAlign w:val="bottom"/>
          </w:tcPr>
          <w:p w14:paraId="0E892A65" w14:textId="77777777" w:rsidR="00154A55" w:rsidRPr="00B779E3" w:rsidRDefault="00154A55" w:rsidP="00B779E3">
            <w:pPr>
              <w:spacing w:before="40" w:after="40" w:line="220" w:lineRule="exact"/>
              <w:jc w:val="right"/>
              <w:rPr>
                <w:rFonts w:cs="Times New Roman"/>
                <w:sz w:val="18"/>
              </w:rPr>
            </w:pPr>
            <w:r w:rsidRPr="00B779E3">
              <w:rPr>
                <w:rFonts w:cs="Times New Roman"/>
                <w:sz w:val="18"/>
              </w:rPr>
              <w:t>217</w:t>
            </w:r>
          </w:p>
        </w:tc>
        <w:tc>
          <w:tcPr>
            <w:tcW w:w="1482" w:type="dxa"/>
            <w:shd w:val="clear" w:color="auto" w:fill="auto"/>
            <w:tcMar>
              <w:top w:w="80" w:type="dxa"/>
              <w:left w:w="80" w:type="dxa"/>
              <w:bottom w:w="80" w:type="dxa"/>
              <w:right w:w="80" w:type="dxa"/>
            </w:tcMar>
            <w:vAlign w:val="bottom"/>
          </w:tcPr>
          <w:p w14:paraId="3F2C2461" w14:textId="77777777" w:rsidR="00154A55" w:rsidRPr="00B779E3" w:rsidRDefault="00154A55" w:rsidP="00B779E3">
            <w:pPr>
              <w:spacing w:before="40" w:after="40" w:line="220" w:lineRule="exact"/>
              <w:jc w:val="right"/>
              <w:rPr>
                <w:rFonts w:cs="Times New Roman"/>
                <w:sz w:val="18"/>
              </w:rPr>
            </w:pPr>
            <w:r w:rsidRPr="00B779E3">
              <w:rPr>
                <w:rFonts w:cs="Times New Roman"/>
                <w:sz w:val="18"/>
              </w:rPr>
              <w:t>169</w:t>
            </w:r>
          </w:p>
        </w:tc>
        <w:tc>
          <w:tcPr>
            <w:tcW w:w="1636" w:type="dxa"/>
            <w:shd w:val="clear" w:color="auto" w:fill="auto"/>
            <w:tcMar>
              <w:top w:w="80" w:type="dxa"/>
              <w:left w:w="80" w:type="dxa"/>
              <w:bottom w:w="80" w:type="dxa"/>
              <w:right w:w="80" w:type="dxa"/>
            </w:tcMar>
            <w:vAlign w:val="bottom"/>
          </w:tcPr>
          <w:p w14:paraId="1B7C8637" w14:textId="77777777" w:rsidR="00154A55" w:rsidRPr="00B779E3" w:rsidRDefault="00154A55" w:rsidP="00B779E3">
            <w:pPr>
              <w:spacing w:before="40" w:after="40" w:line="220" w:lineRule="exact"/>
              <w:jc w:val="right"/>
              <w:rPr>
                <w:rFonts w:cs="Times New Roman"/>
                <w:sz w:val="18"/>
              </w:rPr>
            </w:pPr>
            <w:r w:rsidRPr="00B779E3">
              <w:rPr>
                <w:rFonts w:cs="Times New Roman"/>
                <w:sz w:val="18"/>
              </w:rPr>
              <w:t>112</w:t>
            </w:r>
          </w:p>
        </w:tc>
        <w:tc>
          <w:tcPr>
            <w:tcW w:w="1452" w:type="dxa"/>
            <w:shd w:val="clear" w:color="auto" w:fill="auto"/>
            <w:tcMar>
              <w:top w:w="80" w:type="dxa"/>
              <w:left w:w="80" w:type="dxa"/>
              <w:bottom w:w="80" w:type="dxa"/>
              <w:right w:w="80" w:type="dxa"/>
            </w:tcMar>
            <w:vAlign w:val="bottom"/>
          </w:tcPr>
          <w:p w14:paraId="1335B1D1" w14:textId="77777777" w:rsidR="00154A55" w:rsidRPr="00B779E3" w:rsidRDefault="00154A55" w:rsidP="00B779E3">
            <w:pPr>
              <w:spacing w:before="40" w:after="40" w:line="220" w:lineRule="exact"/>
              <w:jc w:val="right"/>
              <w:rPr>
                <w:rFonts w:cs="Times New Roman"/>
                <w:sz w:val="18"/>
              </w:rPr>
            </w:pPr>
            <w:r w:rsidRPr="00B779E3">
              <w:rPr>
                <w:rFonts w:cs="Times New Roman"/>
                <w:sz w:val="18"/>
              </w:rPr>
              <w:t>82</w:t>
            </w:r>
          </w:p>
        </w:tc>
      </w:tr>
      <w:tr w:rsidR="002E334A" w:rsidRPr="00B779E3" w14:paraId="470BDB2A" w14:textId="77777777" w:rsidTr="00ED7B4B">
        <w:tc>
          <w:tcPr>
            <w:tcW w:w="1344" w:type="dxa"/>
            <w:shd w:val="clear" w:color="auto" w:fill="auto"/>
            <w:tcMar>
              <w:top w:w="80" w:type="dxa"/>
              <w:left w:w="80" w:type="dxa"/>
              <w:bottom w:w="80" w:type="dxa"/>
              <w:right w:w="80" w:type="dxa"/>
            </w:tcMar>
          </w:tcPr>
          <w:p w14:paraId="4C5677F3" w14:textId="77777777" w:rsidR="00154A55" w:rsidRPr="00B779E3" w:rsidRDefault="00154A55" w:rsidP="00B779E3">
            <w:pPr>
              <w:spacing w:before="40" w:after="40" w:line="220" w:lineRule="exact"/>
              <w:rPr>
                <w:rFonts w:cs="Times New Roman"/>
                <w:sz w:val="18"/>
              </w:rPr>
            </w:pPr>
            <w:r w:rsidRPr="00B779E3">
              <w:rPr>
                <w:rFonts w:cs="Times New Roman"/>
                <w:sz w:val="18"/>
              </w:rPr>
              <w:t>2018</w:t>
            </w:r>
          </w:p>
        </w:tc>
        <w:tc>
          <w:tcPr>
            <w:tcW w:w="1456" w:type="dxa"/>
            <w:shd w:val="clear" w:color="auto" w:fill="auto"/>
            <w:tcMar>
              <w:top w:w="80" w:type="dxa"/>
              <w:left w:w="80" w:type="dxa"/>
              <w:bottom w:w="80" w:type="dxa"/>
              <w:right w:w="80" w:type="dxa"/>
            </w:tcMar>
            <w:vAlign w:val="bottom"/>
          </w:tcPr>
          <w:p w14:paraId="2C448291" w14:textId="77777777" w:rsidR="00154A55" w:rsidRPr="00B779E3" w:rsidRDefault="00154A55" w:rsidP="00B779E3">
            <w:pPr>
              <w:spacing w:before="40" w:after="40" w:line="220" w:lineRule="exact"/>
              <w:jc w:val="right"/>
              <w:rPr>
                <w:rFonts w:cs="Times New Roman"/>
                <w:sz w:val="18"/>
              </w:rPr>
            </w:pPr>
            <w:r w:rsidRPr="00B779E3">
              <w:rPr>
                <w:rFonts w:cs="Times New Roman"/>
                <w:sz w:val="18"/>
              </w:rPr>
              <w:t>161</w:t>
            </w:r>
          </w:p>
        </w:tc>
        <w:tc>
          <w:tcPr>
            <w:tcW w:w="1482" w:type="dxa"/>
            <w:shd w:val="clear" w:color="auto" w:fill="auto"/>
            <w:tcMar>
              <w:top w:w="80" w:type="dxa"/>
              <w:left w:w="80" w:type="dxa"/>
              <w:bottom w:w="80" w:type="dxa"/>
              <w:right w:w="80" w:type="dxa"/>
            </w:tcMar>
            <w:vAlign w:val="bottom"/>
          </w:tcPr>
          <w:p w14:paraId="5B51AD9F" w14:textId="77777777" w:rsidR="00154A55" w:rsidRPr="00B779E3" w:rsidRDefault="00154A55" w:rsidP="00B779E3">
            <w:pPr>
              <w:spacing w:before="40" w:after="40" w:line="220" w:lineRule="exact"/>
              <w:jc w:val="right"/>
              <w:rPr>
                <w:rFonts w:cs="Times New Roman"/>
                <w:sz w:val="18"/>
              </w:rPr>
            </w:pPr>
            <w:r w:rsidRPr="00B779E3">
              <w:rPr>
                <w:rFonts w:cs="Times New Roman"/>
                <w:sz w:val="18"/>
              </w:rPr>
              <w:t>165</w:t>
            </w:r>
          </w:p>
        </w:tc>
        <w:tc>
          <w:tcPr>
            <w:tcW w:w="1636" w:type="dxa"/>
            <w:shd w:val="clear" w:color="auto" w:fill="auto"/>
            <w:tcMar>
              <w:top w:w="80" w:type="dxa"/>
              <w:left w:w="80" w:type="dxa"/>
              <w:bottom w:w="80" w:type="dxa"/>
              <w:right w:w="80" w:type="dxa"/>
            </w:tcMar>
            <w:vAlign w:val="bottom"/>
          </w:tcPr>
          <w:p w14:paraId="677E8866" w14:textId="77777777" w:rsidR="00154A55" w:rsidRPr="00B779E3" w:rsidRDefault="00154A55" w:rsidP="00B779E3">
            <w:pPr>
              <w:spacing w:before="40" w:after="40" w:line="220" w:lineRule="exact"/>
              <w:jc w:val="right"/>
              <w:rPr>
                <w:rFonts w:cs="Times New Roman"/>
                <w:sz w:val="18"/>
              </w:rPr>
            </w:pPr>
            <w:r w:rsidRPr="00B779E3">
              <w:rPr>
                <w:rFonts w:cs="Times New Roman"/>
                <w:sz w:val="18"/>
              </w:rPr>
              <w:t>95</w:t>
            </w:r>
          </w:p>
        </w:tc>
        <w:tc>
          <w:tcPr>
            <w:tcW w:w="1452" w:type="dxa"/>
            <w:shd w:val="clear" w:color="auto" w:fill="auto"/>
            <w:tcMar>
              <w:top w:w="80" w:type="dxa"/>
              <w:left w:w="80" w:type="dxa"/>
              <w:bottom w:w="80" w:type="dxa"/>
              <w:right w:w="80" w:type="dxa"/>
            </w:tcMar>
            <w:vAlign w:val="bottom"/>
          </w:tcPr>
          <w:p w14:paraId="7C439083" w14:textId="77777777" w:rsidR="00154A55" w:rsidRPr="00B779E3" w:rsidRDefault="00154A55" w:rsidP="00B779E3">
            <w:pPr>
              <w:spacing w:before="40" w:after="40" w:line="220" w:lineRule="exact"/>
              <w:jc w:val="right"/>
              <w:rPr>
                <w:rFonts w:cs="Times New Roman"/>
                <w:sz w:val="18"/>
              </w:rPr>
            </w:pPr>
            <w:r w:rsidRPr="00B779E3">
              <w:rPr>
                <w:rFonts w:cs="Times New Roman"/>
                <w:sz w:val="18"/>
              </w:rPr>
              <w:t>110</w:t>
            </w:r>
          </w:p>
        </w:tc>
      </w:tr>
      <w:tr w:rsidR="002E334A" w:rsidRPr="00B779E3" w14:paraId="48D52954" w14:textId="77777777" w:rsidTr="00ED7B4B">
        <w:tc>
          <w:tcPr>
            <w:tcW w:w="1344" w:type="dxa"/>
            <w:tcBorders>
              <w:bottom w:val="single" w:sz="12" w:space="0" w:color="auto"/>
            </w:tcBorders>
            <w:shd w:val="clear" w:color="auto" w:fill="auto"/>
            <w:tcMar>
              <w:top w:w="80" w:type="dxa"/>
              <w:left w:w="80" w:type="dxa"/>
              <w:bottom w:w="80" w:type="dxa"/>
              <w:right w:w="80" w:type="dxa"/>
            </w:tcMar>
          </w:tcPr>
          <w:p w14:paraId="2CE3B18D" w14:textId="77777777" w:rsidR="00154A55" w:rsidRPr="00B779E3" w:rsidRDefault="00154A55" w:rsidP="00B779E3">
            <w:pPr>
              <w:spacing w:before="40" w:after="40" w:line="220" w:lineRule="exact"/>
              <w:rPr>
                <w:rFonts w:cs="Times New Roman"/>
                <w:sz w:val="18"/>
              </w:rPr>
            </w:pPr>
            <w:r w:rsidRPr="00B779E3">
              <w:rPr>
                <w:rFonts w:cs="Times New Roman"/>
                <w:sz w:val="18"/>
              </w:rPr>
              <w:t xml:space="preserve">Первые восемь месяцев </w:t>
            </w:r>
            <w:r w:rsidR="00B779E3">
              <w:rPr>
                <w:rFonts w:cs="Times New Roman"/>
                <w:sz w:val="18"/>
              </w:rPr>
              <w:br/>
            </w:r>
            <w:r w:rsidRPr="00B779E3">
              <w:rPr>
                <w:rFonts w:cs="Times New Roman"/>
                <w:sz w:val="18"/>
              </w:rPr>
              <w:t>2019 года</w:t>
            </w:r>
          </w:p>
        </w:tc>
        <w:tc>
          <w:tcPr>
            <w:tcW w:w="1456" w:type="dxa"/>
            <w:tcBorders>
              <w:bottom w:val="single" w:sz="12" w:space="0" w:color="auto"/>
            </w:tcBorders>
            <w:shd w:val="clear" w:color="auto" w:fill="auto"/>
            <w:tcMar>
              <w:top w:w="80" w:type="dxa"/>
              <w:left w:w="80" w:type="dxa"/>
              <w:bottom w:w="80" w:type="dxa"/>
              <w:right w:w="80" w:type="dxa"/>
            </w:tcMar>
            <w:vAlign w:val="bottom"/>
          </w:tcPr>
          <w:p w14:paraId="361F3927" w14:textId="77777777" w:rsidR="00154A55" w:rsidRPr="00B779E3" w:rsidRDefault="00154A55" w:rsidP="00B779E3">
            <w:pPr>
              <w:spacing w:before="40" w:after="40" w:line="220" w:lineRule="exact"/>
              <w:jc w:val="right"/>
              <w:rPr>
                <w:rFonts w:cs="Times New Roman"/>
                <w:sz w:val="18"/>
              </w:rPr>
            </w:pPr>
            <w:r w:rsidRPr="00B779E3">
              <w:rPr>
                <w:rFonts w:cs="Times New Roman"/>
                <w:sz w:val="18"/>
              </w:rPr>
              <w:t>81</w:t>
            </w:r>
          </w:p>
        </w:tc>
        <w:tc>
          <w:tcPr>
            <w:tcW w:w="1482" w:type="dxa"/>
            <w:tcBorders>
              <w:bottom w:val="single" w:sz="12" w:space="0" w:color="auto"/>
            </w:tcBorders>
            <w:shd w:val="clear" w:color="auto" w:fill="auto"/>
            <w:tcMar>
              <w:top w:w="80" w:type="dxa"/>
              <w:left w:w="80" w:type="dxa"/>
              <w:bottom w:w="80" w:type="dxa"/>
              <w:right w:w="80" w:type="dxa"/>
            </w:tcMar>
            <w:vAlign w:val="bottom"/>
          </w:tcPr>
          <w:p w14:paraId="66E05938" w14:textId="77777777" w:rsidR="00154A55" w:rsidRPr="00B779E3" w:rsidRDefault="00154A55" w:rsidP="00B779E3">
            <w:pPr>
              <w:spacing w:before="40" w:after="40" w:line="220" w:lineRule="exact"/>
              <w:jc w:val="right"/>
              <w:rPr>
                <w:rFonts w:cs="Times New Roman"/>
                <w:sz w:val="18"/>
              </w:rPr>
            </w:pPr>
            <w:r w:rsidRPr="00B779E3">
              <w:rPr>
                <w:rFonts w:cs="Times New Roman"/>
                <w:sz w:val="18"/>
              </w:rPr>
              <w:t>73</w:t>
            </w:r>
          </w:p>
        </w:tc>
        <w:tc>
          <w:tcPr>
            <w:tcW w:w="1636" w:type="dxa"/>
            <w:tcBorders>
              <w:bottom w:val="single" w:sz="12" w:space="0" w:color="auto"/>
            </w:tcBorders>
            <w:shd w:val="clear" w:color="auto" w:fill="auto"/>
            <w:tcMar>
              <w:top w:w="80" w:type="dxa"/>
              <w:left w:w="80" w:type="dxa"/>
              <w:bottom w:w="80" w:type="dxa"/>
              <w:right w:w="80" w:type="dxa"/>
            </w:tcMar>
            <w:vAlign w:val="bottom"/>
          </w:tcPr>
          <w:p w14:paraId="47CBA132" w14:textId="77777777" w:rsidR="00154A55" w:rsidRPr="00B779E3" w:rsidRDefault="00154A55" w:rsidP="00B779E3">
            <w:pPr>
              <w:spacing w:before="40" w:after="40" w:line="220" w:lineRule="exact"/>
              <w:jc w:val="right"/>
              <w:rPr>
                <w:rFonts w:cs="Times New Roman"/>
                <w:sz w:val="18"/>
              </w:rPr>
            </w:pPr>
            <w:r w:rsidRPr="00B779E3">
              <w:rPr>
                <w:rFonts w:cs="Times New Roman"/>
                <w:sz w:val="18"/>
              </w:rPr>
              <w:t>34</w:t>
            </w:r>
          </w:p>
        </w:tc>
        <w:tc>
          <w:tcPr>
            <w:tcW w:w="1452" w:type="dxa"/>
            <w:tcBorders>
              <w:bottom w:val="single" w:sz="12" w:space="0" w:color="auto"/>
            </w:tcBorders>
            <w:shd w:val="clear" w:color="auto" w:fill="auto"/>
            <w:tcMar>
              <w:top w:w="80" w:type="dxa"/>
              <w:left w:w="80" w:type="dxa"/>
              <w:bottom w:w="80" w:type="dxa"/>
              <w:right w:w="80" w:type="dxa"/>
            </w:tcMar>
            <w:vAlign w:val="bottom"/>
          </w:tcPr>
          <w:p w14:paraId="69F3CB8F" w14:textId="77777777" w:rsidR="00154A55" w:rsidRPr="00B779E3" w:rsidRDefault="00154A55" w:rsidP="00B779E3">
            <w:pPr>
              <w:spacing w:before="40" w:after="40" w:line="220" w:lineRule="exact"/>
              <w:jc w:val="right"/>
              <w:rPr>
                <w:rFonts w:cs="Times New Roman"/>
                <w:sz w:val="18"/>
              </w:rPr>
            </w:pPr>
            <w:r w:rsidRPr="00B779E3">
              <w:rPr>
                <w:rFonts w:cs="Times New Roman"/>
                <w:sz w:val="18"/>
              </w:rPr>
              <w:t>95</w:t>
            </w:r>
          </w:p>
        </w:tc>
      </w:tr>
    </w:tbl>
    <w:p w14:paraId="349F6970" w14:textId="77777777" w:rsidR="00154A55" w:rsidRPr="002E334A" w:rsidRDefault="00154A55" w:rsidP="00B779E3">
      <w:pPr>
        <w:pStyle w:val="SingleTxtG"/>
        <w:spacing w:before="120"/>
      </w:pPr>
      <w:r w:rsidRPr="002E334A">
        <w:t>107.</w:t>
      </w:r>
      <w:r w:rsidRPr="002E334A">
        <w:tab/>
        <w:t>Мы также даем указания сотрудникам обеспечивать с самого начала судебного производства психологическую защиту жертв и свидетелей и оказывать им помощь; гуманно общаться с ними; поддерживать их психологически; защищать жизнь, здоровье и безопасность жертвы; и принимать незамедлительные меры против преступников. Два наших сотрудника прошли подготовку, с тем чтобы выполнять функции переводчиков лиц с инвалидностью и обеспечивать их сопровождение, а</w:t>
      </w:r>
      <w:r w:rsidR="00B779E3">
        <w:t> </w:t>
      </w:r>
      <w:r w:rsidRPr="002E334A">
        <w:t xml:space="preserve">также предоставлять им соответствующие услуги с учетом их особых потребностей. </w:t>
      </w:r>
    </w:p>
    <w:p w14:paraId="629CB312" w14:textId="77777777" w:rsidR="00154A55" w:rsidRPr="002E334A" w:rsidRDefault="00154A55" w:rsidP="00BD0A36">
      <w:pPr>
        <w:pStyle w:val="H1G"/>
      </w:pPr>
      <w:r w:rsidRPr="002E334A">
        <w:tab/>
      </w:r>
      <w:r w:rsidRPr="002E334A">
        <w:tab/>
        <w:t>Ответ на пункт 11 а) перечня вопросов</w:t>
      </w:r>
    </w:p>
    <w:p w14:paraId="308E9B06" w14:textId="77777777" w:rsidR="00154A55" w:rsidRPr="002E334A" w:rsidRDefault="00154A55" w:rsidP="00154A55">
      <w:pPr>
        <w:pStyle w:val="SingleTxtG"/>
      </w:pPr>
      <w:r w:rsidRPr="002E334A">
        <w:t>108.</w:t>
      </w:r>
      <w:r w:rsidRPr="002E334A">
        <w:tab/>
        <w:t>В соответствии со статьей 99 Закона об уголовном судопроизводстве (старое название) права и обязанности участников уголовного судопроизводства печатаются шрифтом Брайля, при этом права, обязанности и другая соответствующая информация должны доводиться до сведения лиц с инвалидностью. Установлены общие гарантии защиты прав и свобод лиц с инвалидностью, обвиняемых в совершении преступления или ставших жертвами.</w:t>
      </w:r>
    </w:p>
    <w:p w14:paraId="69DDF4B7" w14:textId="77777777" w:rsidR="00154A55" w:rsidRPr="002E334A" w:rsidRDefault="00154A55" w:rsidP="00154A55">
      <w:pPr>
        <w:pStyle w:val="SingleTxtG"/>
      </w:pPr>
      <w:r w:rsidRPr="002E334A">
        <w:t>109.</w:t>
      </w:r>
      <w:r w:rsidRPr="002E334A">
        <w:tab/>
        <w:t xml:space="preserve">Наряду с Конституцией Монголии, Законом о полиции и Законом об уголовном судопроизводстве применяются такие постановления, как </w:t>
      </w:r>
      <w:r w:rsidR="002279A3">
        <w:t>«</w:t>
      </w:r>
      <w:r w:rsidRPr="002E334A">
        <w:t>Стандартные правила организации работы</w:t>
      </w:r>
      <w:r w:rsidR="002279A3">
        <w:t>»</w:t>
      </w:r>
      <w:r w:rsidRPr="002E334A">
        <w:t xml:space="preserve"> (Указ № 429 от 2014 года начальника Главного управления полиции), </w:t>
      </w:r>
      <w:r w:rsidR="002279A3">
        <w:t>«</w:t>
      </w:r>
      <w:r w:rsidRPr="002E334A">
        <w:t>Об оказании поддержки лицам с нарушениями речи</w:t>
      </w:r>
      <w:r w:rsidR="002279A3">
        <w:t>»</w:t>
      </w:r>
      <w:r w:rsidRPr="002E334A">
        <w:t>/код</w:t>
      </w:r>
      <w:r w:rsidR="00F3775B">
        <w:t> </w:t>
      </w:r>
      <w:r w:rsidRPr="002E334A">
        <w:t>238/</w:t>
      </w:r>
      <w:r w:rsidR="00F3775B">
        <w:t xml:space="preserve"> </w:t>
      </w:r>
      <w:r w:rsidRPr="002E334A">
        <w:t>(Указ</w:t>
      </w:r>
      <w:r w:rsidR="00F3775B">
        <w:t> </w:t>
      </w:r>
      <w:r w:rsidRPr="002E334A">
        <w:t>№</w:t>
      </w:r>
      <w:r w:rsidR="00F3775B">
        <w:t> </w:t>
      </w:r>
      <w:r w:rsidRPr="002E334A">
        <w:t xml:space="preserve">A/262, 2017 год) и </w:t>
      </w:r>
      <w:r w:rsidR="002279A3">
        <w:t>«</w:t>
      </w:r>
      <w:r w:rsidRPr="002E334A">
        <w:t>О борьбе с бытовым насилием</w:t>
      </w:r>
      <w:r w:rsidR="002279A3">
        <w:t>»</w:t>
      </w:r>
      <w:r w:rsidRPr="002E334A">
        <w:t>/код 326/(Указ № A/263 от 2017 года)</w:t>
      </w:r>
      <w:r w:rsidR="002279A3">
        <w:t>»</w:t>
      </w:r>
      <w:r w:rsidRPr="002E334A">
        <w:t xml:space="preserve">. В 2017 году был подписан меморандум о взаимопонимании между Главным управлением полиции и Международной организацией по праву развития, на основании которого был реализован проект </w:t>
      </w:r>
      <w:r w:rsidR="002279A3">
        <w:t>«</w:t>
      </w:r>
      <w:r w:rsidRPr="002E334A">
        <w:t>Укрепление правового сектора в целях борьбы с нарушениями на гендерной почве в Монголии</w:t>
      </w:r>
      <w:r w:rsidR="002279A3">
        <w:t>»</w:t>
      </w:r>
      <w:r w:rsidRPr="002E334A">
        <w:t xml:space="preserve">. Разработана учебная программа для подготовки сотрудников полиции по вопросам защиты прав граждан, </w:t>
      </w:r>
      <w:r w:rsidRPr="002E334A">
        <w:lastRenderedPageBreak/>
        <w:t xml:space="preserve">которые стали или могут стать жертвами бытового насилия, при этом подразделения полиции на местах следят за ее реализацией. </w:t>
      </w:r>
    </w:p>
    <w:p w14:paraId="030211E3" w14:textId="77777777" w:rsidR="00154A55" w:rsidRPr="002E334A" w:rsidRDefault="00154A55" w:rsidP="00154A55">
      <w:pPr>
        <w:pStyle w:val="SingleTxtG"/>
      </w:pPr>
      <w:r w:rsidRPr="002E334A">
        <w:t>110.</w:t>
      </w:r>
      <w:r w:rsidRPr="002E334A">
        <w:tab/>
        <w:t xml:space="preserve">В соответствии с </w:t>
      </w:r>
      <w:r w:rsidR="002279A3">
        <w:t>«</w:t>
      </w:r>
      <w:r w:rsidRPr="002E334A">
        <w:t>Общими требованиями к помещениям для проведения следственных действий</w:t>
      </w:r>
      <w:r w:rsidR="002279A3">
        <w:t>»</w:t>
      </w:r>
      <w:r w:rsidRPr="002E334A">
        <w:t xml:space="preserve"> (Приказ Государственного прокурора № А/57 от 2017 года), в наличии должны иметься специально оборудованные комнаты, комнаты для работы с посетителями и комнаты для проведения следственных действий с несовершеннолетними, при этом во исполнение статьи 17 Закона об уголовном судопроизводстве для проведения следственных действий подразделения полиции всех уровней должны получить от прокурора специальное разрешение. В настоящее время имеется 65 специально оборудованных комнат, 185 комнат для работы с посетителями и 47 комнат для проведения следственных действий с несовершеннолетними. Благодаря финансированию Фонда Канады в объеме более </w:t>
      </w:r>
      <w:r w:rsidR="00F3775B">
        <w:br/>
      </w:r>
      <w:r w:rsidRPr="002E334A">
        <w:t>100 м</w:t>
      </w:r>
      <w:r w:rsidR="00F3775B">
        <w:t>лн</w:t>
      </w:r>
      <w:r w:rsidRPr="002E334A">
        <w:t xml:space="preserve"> тугриков оснащены </w:t>
      </w:r>
      <w:r w:rsidR="007C097A">
        <w:t>5</w:t>
      </w:r>
      <w:r w:rsidRPr="002E334A">
        <w:t xml:space="preserve"> комнат, которые используются для осмотра и подготовки объектов исследования и идентификации. В соответствии с </w:t>
      </w:r>
      <w:r w:rsidR="002279A3">
        <w:t>«</w:t>
      </w:r>
      <w:r w:rsidRPr="002E334A">
        <w:t>Общими требованиями к помещениям для проведения следственных действий</w:t>
      </w:r>
      <w:r w:rsidR="002279A3">
        <w:t>»</w:t>
      </w:r>
      <w:r w:rsidRPr="002E334A">
        <w:t xml:space="preserve">, комнаты для работы с посетителями, где осуществляется прием граждан, оборудованы видеокамерами и звукозаписывающими устройствами. Во избежание удаления видео- и звукозаписей сервер размещен в помещении, при этом обеспечивается его надлежащее функционирование. </w:t>
      </w:r>
    </w:p>
    <w:p w14:paraId="0174D92E" w14:textId="77777777" w:rsidR="00154A55" w:rsidRPr="002E334A" w:rsidRDefault="00154A55" w:rsidP="00154A55">
      <w:pPr>
        <w:pStyle w:val="SingleTxtG"/>
      </w:pPr>
      <w:r w:rsidRPr="002E334A">
        <w:t>111.</w:t>
      </w:r>
      <w:r w:rsidRPr="002E334A">
        <w:tab/>
        <w:t>Уголовные обвинения были предъявлены в общей сложности 481 гражданину с инвалидностью, при этом соответствующий показатель за 2016 год составил 74</w:t>
      </w:r>
      <w:r w:rsidR="00F3775B">
        <w:t> </w:t>
      </w:r>
      <w:r w:rsidRPr="002E334A">
        <w:t xml:space="preserve">человека, за 2017 год </w:t>
      </w:r>
      <w:r w:rsidR="00F3775B">
        <w:t>⸺</w:t>
      </w:r>
      <w:r w:rsidRPr="002E334A">
        <w:t xml:space="preserve"> 169 человек, за 2018 год </w:t>
      </w:r>
      <w:r w:rsidR="00F3775B">
        <w:t>⸺</w:t>
      </w:r>
      <w:r w:rsidRPr="002E334A">
        <w:t xml:space="preserve"> 165 человек и за 2019 год </w:t>
      </w:r>
      <w:r w:rsidR="00F3775B">
        <w:t>⸺</w:t>
      </w:r>
      <w:r w:rsidRPr="002E334A">
        <w:t xml:space="preserve"> 75</w:t>
      </w:r>
      <w:r w:rsidR="00F3775B">
        <w:t> </w:t>
      </w:r>
      <w:r w:rsidRPr="002E334A">
        <w:t>человек, среди них 413 мужчин (15 несовершеннолетних) и 68 женщин (10</w:t>
      </w:r>
      <w:r w:rsidR="00F3775B">
        <w:t> </w:t>
      </w:r>
      <w:r w:rsidRPr="002E334A">
        <w:t xml:space="preserve">несовершеннолетних). Против 14 из них были возбуждены уголовные дела об убийстве, против 187 </w:t>
      </w:r>
      <w:r w:rsidR="00F3775B">
        <w:t>⸺</w:t>
      </w:r>
      <w:r w:rsidRPr="002E334A">
        <w:t xml:space="preserve"> о нанесении вреда здоровью, против 23 </w:t>
      </w:r>
      <w:r w:rsidR="00F3775B">
        <w:t>⸺</w:t>
      </w:r>
      <w:r w:rsidRPr="002E334A">
        <w:t xml:space="preserve"> о мошенничестве, против 13 </w:t>
      </w:r>
      <w:r w:rsidR="00F3775B">
        <w:t>⸺</w:t>
      </w:r>
      <w:r w:rsidRPr="002E334A">
        <w:t xml:space="preserve"> об ограблении, против 130 </w:t>
      </w:r>
      <w:r w:rsidR="00F3775B">
        <w:t>⸺</w:t>
      </w:r>
      <w:r w:rsidRPr="002E334A">
        <w:t xml:space="preserve"> о краже, против 20 </w:t>
      </w:r>
      <w:r w:rsidR="00F3775B">
        <w:t>⸺</w:t>
      </w:r>
      <w:r w:rsidRPr="002E334A">
        <w:t xml:space="preserve"> об изнасиловании, против 6 </w:t>
      </w:r>
      <w:r w:rsidR="00F3775B">
        <w:t>⸺</w:t>
      </w:r>
      <w:r w:rsidRPr="002E334A">
        <w:t xml:space="preserve"> о бытовом насилии, против 20 </w:t>
      </w:r>
      <w:r w:rsidR="00F3775B">
        <w:t>⸺</w:t>
      </w:r>
      <w:r w:rsidRPr="002E334A">
        <w:t xml:space="preserve"> о нарушении правил безопасности дорожного движения, а еще 68 дел находятся в стадии расследования. Служба судебных приставов следит за состоянием здоровья заключенных-инвалидов и с этой целью организует их регулярные медицинские осмотры, лечение и медицинское обслуживание. За отчетный период было продлено действие свидетельств об инвалидности 75 заключенных-инвалидов. В сотрудничестве с Агентством по труду и социальному обеспечению была выплачена годовая пенсия 70 заключенным, при этом было выделено 730,8 млн тугриков на нужды вышедших из тюрьмы 609 граждан, которые не имеют жилья и нуждаются в социальной помощи. В соответствии с положениями Закона о социальном обеспечении, Правилами назначения и предоставления пенсии по социальному обеспечению (приложение 1, Постановление правительства 185, 2012 год) и Указом о восстановлении в системе социального страхования (Указ № А/14 от 2018 года, </w:t>
      </w:r>
      <w:r w:rsidR="0091659C">
        <w:t>М</w:t>
      </w:r>
      <w:r w:rsidRPr="002E334A">
        <w:t xml:space="preserve">инистр труда и социальной защиты), заключенных перед освобождением информируют о том, какая необходима документация для их охвата системой социального обеспечения. </w:t>
      </w:r>
    </w:p>
    <w:p w14:paraId="7ABC7787" w14:textId="77777777" w:rsidR="00154A55" w:rsidRPr="002E334A" w:rsidRDefault="00154A55" w:rsidP="0041366C">
      <w:pPr>
        <w:pStyle w:val="H1G"/>
      </w:pPr>
      <w:r w:rsidRPr="002E334A">
        <w:tab/>
      </w:r>
      <w:r w:rsidRPr="002E334A">
        <w:tab/>
        <w:t>Ответ на пункт 11 b) перечня вопросов</w:t>
      </w:r>
    </w:p>
    <w:p w14:paraId="2B426143" w14:textId="77777777" w:rsidR="00154A55" w:rsidRPr="002E334A" w:rsidRDefault="00154A55" w:rsidP="00154A55">
      <w:pPr>
        <w:pStyle w:val="SingleTxtG"/>
      </w:pPr>
      <w:r w:rsidRPr="002E334A">
        <w:t>112.</w:t>
      </w:r>
      <w:r w:rsidRPr="002E334A">
        <w:tab/>
        <w:t>В соответствии с Правилами функционирования центров содержания под стражей (Указ № A/246, 2017</w:t>
      </w:r>
      <w:r w:rsidR="0091659C">
        <w:t xml:space="preserve"> год</w:t>
      </w:r>
      <w:r w:rsidRPr="002E334A">
        <w:t>, Министра юстиции и внутренних дел), Режимом работы центров содержания под стражей (Указ № A/185, 2017</w:t>
      </w:r>
      <w:r w:rsidR="0091659C">
        <w:t xml:space="preserve"> год</w:t>
      </w:r>
      <w:r w:rsidRPr="002E334A">
        <w:t xml:space="preserve">) и Стандартом, регулирующим необходимое пространство для лиц с инвалидностью в общественных местах (MNS 6055:2009), центры содержания под стражей и рабочие места оборудованы видеокамерами. </w:t>
      </w:r>
    </w:p>
    <w:p w14:paraId="2C9A0B4D" w14:textId="77777777" w:rsidR="00154A55" w:rsidRPr="002E334A" w:rsidRDefault="00154A55" w:rsidP="00154A55">
      <w:pPr>
        <w:pStyle w:val="SingleTxtG"/>
      </w:pPr>
      <w:r w:rsidRPr="002E334A">
        <w:t>113.</w:t>
      </w:r>
      <w:r w:rsidRPr="002E334A">
        <w:tab/>
        <w:t xml:space="preserve">В целях улучшения условий в центрах содержания под стражей Указом руководителя Агентства по стандартизации и измерениям № С/18 от 2019 года был утвержден Стандарт </w:t>
      </w:r>
      <w:r w:rsidR="002279A3">
        <w:t>«</w:t>
      </w:r>
      <w:r w:rsidRPr="002E334A">
        <w:t>Общие требования к улучшению санитарно-гигиенических условий и медицинского обслуживания в центрах содержания под стражей</w:t>
      </w:r>
      <w:r w:rsidR="002F3AF7">
        <w:t>»</w:t>
      </w:r>
      <w:r w:rsidRPr="002E334A">
        <w:t xml:space="preserve"> (MNS</w:t>
      </w:r>
      <w:r w:rsidR="0091659C">
        <w:t> </w:t>
      </w:r>
      <w:r w:rsidRPr="002E334A">
        <w:t>5527:2019), который основывается на проекте, разработанном Целевой группой по улучшению условий в центрах содержания под стражей (созданной 30</w:t>
      </w:r>
      <w:r w:rsidR="0091659C">
        <w:t xml:space="preserve"> </w:t>
      </w:r>
      <w:r w:rsidRPr="002E334A">
        <w:t>марта 2018</w:t>
      </w:r>
      <w:r w:rsidR="0091659C">
        <w:t> </w:t>
      </w:r>
      <w:r w:rsidRPr="002E334A">
        <w:t>года приказом председателя Главного управления полиции №</w:t>
      </w:r>
      <w:r w:rsidR="0091659C">
        <w:t> </w:t>
      </w:r>
      <w:r w:rsidRPr="002E334A">
        <w:t xml:space="preserve">А/98). </w:t>
      </w:r>
      <w:r w:rsidRPr="002E334A">
        <w:lastRenderedPageBreak/>
        <w:t>Во</w:t>
      </w:r>
      <w:r w:rsidR="00AB7340">
        <w:t> </w:t>
      </w:r>
      <w:r w:rsidRPr="002E334A">
        <w:t>избежание нарушений прав человека в центрах содержания под стражей и во исполнение вышеупомянутого Стандарта в июне 2019 года соответствующая информация была направлена полицейским подразделениям всех уровней. Для</w:t>
      </w:r>
      <w:r w:rsidR="00AB7340">
        <w:t> </w:t>
      </w:r>
      <w:r w:rsidRPr="002E334A">
        <w:t>улучшения условий в центрах содержания под стражей в подразделениях полиции в их распоряжение было предоставлено 38 дефибрилляторов с монитором и соответствующими устройствами, стоимость которых составила 5,5 млн тугриков. В</w:t>
      </w:r>
      <w:r w:rsidR="00AB7340">
        <w:t> </w:t>
      </w:r>
      <w:r w:rsidRPr="002E334A">
        <w:t xml:space="preserve">целях поощрения прав человека, в соответствии с законами, подзаконными актами и стандартами Монголии проводятся работы по ремонту и техническому обслуживанию, производится оснащение оборудованием, устанавливаются системы безопасности и сигнализации, а также предоставляются технические средства обучения. НКПЧМ провела две оценки. </w:t>
      </w:r>
    </w:p>
    <w:p w14:paraId="2CB05926" w14:textId="77777777" w:rsidR="00154A55" w:rsidRPr="002E334A" w:rsidRDefault="00154A55" w:rsidP="00154A55">
      <w:pPr>
        <w:pStyle w:val="SingleTxtG"/>
      </w:pPr>
      <w:r w:rsidRPr="002E334A">
        <w:t>114.</w:t>
      </w:r>
      <w:r w:rsidRPr="002E334A">
        <w:tab/>
        <w:t xml:space="preserve">В целях улучшения условий и обеспечения уважения человеческого достоинства и прав человека 18 из 26 арестных домов были отстроены заново, а </w:t>
      </w:r>
      <w:r w:rsidR="002F3AF7">
        <w:t>7</w:t>
      </w:r>
      <w:r w:rsidRPr="002E334A">
        <w:t xml:space="preserve"> из них были отремонтированы, с тем чтобы соответствовать предъявляемым требованиям. Согласно Закону об исполнении наказаний, норма жилой площади в расчете на одного следственно-арестованного составляет 2,5 квадратных метра. Однако в новых зданиях она равна 3</w:t>
      </w:r>
      <w:r w:rsidR="00AB7340">
        <w:t>−</w:t>
      </w:r>
      <w:r w:rsidRPr="002E334A">
        <w:t>3,5 квадратным метрам, при этом помещения имеют естественное освещение, и в них обеспечивается воздухообмен. Заново отстроенные и/или отремонтированные центры содержания под стражей отвечают основным требованиям статьи 9. Общие требования к тюремным камерам соответствуют положениям Минимальных стандартных правил ООН, касающихся обращения с заключенными. Утвержден типовой набор продуктов питания и услуг для подозреваемых и обвиняемых, при этом перечень продуктов питания был расширен. Во исполнение статьи 20 Минимальных стандартных правил ООН, касающихся обращения с заключенными, соблюдаются требования в отношении предоставления лечения и вегетарианской пищи. Подразделения полиции, Служба судебных приставов и Служба пограничной охраны уделяют пристальное</w:t>
      </w:r>
      <w:r w:rsidR="00BC6CB5">
        <w:t xml:space="preserve"> </w:t>
      </w:r>
      <w:r w:rsidRPr="002E334A">
        <w:t>внимание вопросам обеспечения доступности для лиц с инвалидностью, например они оборудовали некоторые информационные стойки специальными знаками, приняли меры для предоставления услуг инвалидам без очереди и оснастили некоторые бюро обслуживания средствами визуализации и система усиления звука. Помимо мер по улучшению условий в центрах содержания под стражей, были организованы информационные мероприятия для сотрудников, в частности для местного персонала, работающего с лицами с инвалидностью. Например, в период 2016</w:t>
      </w:r>
      <w:r w:rsidR="00AB7340">
        <w:t>−</w:t>
      </w:r>
      <w:r w:rsidRPr="002E334A">
        <w:t xml:space="preserve">2018 годов подготовка персонала центров содержания под стражей проводилась 23 раза. В общей сложности ее прошли 526 сотрудников. В Юридическом университете приказом директора от 2018 года начато обучение по специальности </w:t>
      </w:r>
      <w:r w:rsidR="002279A3">
        <w:t>«</w:t>
      </w:r>
      <w:r w:rsidRPr="002E334A">
        <w:t>Безопасность в местах содержания под стражей</w:t>
      </w:r>
      <w:r w:rsidR="002279A3">
        <w:t>»</w:t>
      </w:r>
      <w:r w:rsidRPr="002E334A">
        <w:t>, прохождение которого предполагает получение степени бакалавра. В соответствии с учебной программой, необходимо получить два зачета (96</w:t>
      </w:r>
      <w:r w:rsidR="00AB7340">
        <w:t> </w:t>
      </w:r>
      <w:r w:rsidRPr="002E334A">
        <w:t xml:space="preserve">часов занятий) по предмету </w:t>
      </w:r>
      <w:r w:rsidR="002279A3">
        <w:t>«</w:t>
      </w:r>
      <w:r w:rsidRPr="002E334A">
        <w:t>Права человека</w:t>
      </w:r>
      <w:r w:rsidR="002279A3">
        <w:t>»</w:t>
      </w:r>
      <w:r w:rsidRPr="002E334A">
        <w:t xml:space="preserve">. </w:t>
      </w:r>
    </w:p>
    <w:p w14:paraId="0458C7EC" w14:textId="77777777" w:rsidR="00154A55" w:rsidRPr="002E334A" w:rsidRDefault="00154A55" w:rsidP="00523BEB">
      <w:pPr>
        <w:pStyle w:val="H1G"/>
      </w:pPr>
      <w:r w:rsidRPr="002E334A">
        <w:tab/>
      </w:r>
      <w:r w:rsidRPr="002E334A">
        <w:tab/>
        <w:t>Ответ на пункт 12 а) перечня вопросов</w:t>
      </w:r>
    </w:p>
    <w:p w14:paraId="5CFA564A" w14:textId="77777777" w:rsidR="00154A55" w:rsidRPr="002E334A" w:rsidRDefault="00154A55" w:rsidP="00154A55">
      <w:pPr>
        <w:pStyle w:val="SingleTxtG"/>
      </w:pPr>
      <w:r w:rsidRPr="002E334A">
        <w:t>115.</w:t>
      </w:r>
      <w:r w:rsidRPr="002E334A">
        <w:tab/>
        <w:t xml:space="preserve">22 декабря 2016 года был принят Закон о борьбе с бытовым насилием, который вступил в силу 1 февраля 2017 года. В связи с этим Законом планируется разработать в общей сложности 33 правила и распоряжений, 31 из которых находится в процессе осуществления. 12 правил посвящены приютам для жертв, службе социального обеспечения и защиты детей, психологическому консультированию и справочно-информационной службе. Следуя правилам и приказам в отношении осуществления Закона, Министр юстиции и внутренних дел, Министр труда и социальной защиты и Министр здравоохранения издали Совместный указ о создании Совместной группы по оказанию первичной медико-санитарной помощи жертвам и ее соответствующему финансированию; правилах функционирования службы единого окна и ее соответствующего финансирования; аккредитации НПО для оказания услуг жертвам, а также подготовке волонтеров для оказания влияния на изменение поведения того, кто совершил нарушение. В соответствии с этим Законом, курсы подготовки и повышения квалификации по вопросам предоставления жертвам бытового насилия услуг по реабилитации, обеспечению их безопасности и улучшения правовой </w:t>
      </w:r>
      <w:r w:rsidRPr="002E334A">
        <w:lastRenderedPageBreak/>
        <w:t xml:space="preserve">поддержки организуются на национальном и региональном уровнях, а также на уровне аймаков и </w:t>
      </w:r>
      <w:proofErr w:type="spellStart"/>
      <w:r w:rsidRPr="002E334A">
        <w:t>сомонов</w:t>
      </w:r>
      <w:proofErr w:type="spellEnd"/>
      <w:r w:rsidRPr="002E334A">
        <w:t xml:space="preserve">. </w:t>
      </w:r>
    </w:p>
    <w:p w14:paraId="0ACD3F82" w14:textId="77777777" w:rsidR="00154A55" w:rsidRPr="002E334A" w:rsidRDefault="00154A55" w:rsidP="00154A55">
      <w:pPr>
        <w:pStyle w:val="SingleTxtG"/>
      </w:pPr>
      <w:r w:rsidRPr="002E334A">
        <w:t>116.</w:t>
      </w:r>
      <w:r w:rsidRPr="002E334A">
        <w:tab/>
        <w:t xml:space="preserve">В рамках осуществления Закона о правах ребенка и Закона о защите детей было утверждено 10 правил, касающихся оценки текущей ситуации, создания базы данных и аккредитации поставщиков услуг по вопросам защиты детей, инспекторов по вопросам нравственности и правам ребенка и социальных работников. </w:t>
      </w:r>
    </w:p>
    <w:p w14:paraId="7F0A23E8" w14:textId="77777777" w:rsidR="00154A55" w:rsidRPr="002E334A" w:rsidRDefault="00154A55" w:rsidP="00154A55">
      <w:pPr>
        <w:pStyle w:val="SingleTxtG"/>
      </w:pPr>
      <w:r w:rsidRPr="002E334A">
        <w:t>117.</w:t>
      </w:r>
      <w:r w:rsidRPr="002E334A">
        <w:tab/>
        <w:t xml:space="preserve">По состоянию на середину 2019 года в телефонный центр </w:t>
      </w:r>
      <w:r w:rsidR="002279A3">
        <w:t>«</w:t>
      </w:r>
      <w:r w:rsidRPr="002E334A">
        <w:t>Детская помощь</w:t>
      </w:r>
      <w:r w:rsidR="002279A3">
        <w:t>»</w:t>
      </w:r>
      <w:r w:rsidRPr="002E334A">
        <w:t>, горячая линия 108, поступило в общей сложности 84</w:t>
      </w:r>
      <w:r w:rsidR="00523BEB">
        <w:t> </w:t>
      </w:r>
      <w:r w:rsidRPr="002E334A">
        <w:t>819 звонков, при этом о 2569</w:t>
      </w:r>
      <w:r w:rsidR="00523BEB">
        <w:t> </w:t>
      </w:r>
      <w:r w:rsidRPr="002E334A">
        <w:t xml:space="preserve">случаях сотрудники местных отделений Управления по делам семьи, детей и молодежи сообщили Совместной группе. </w:t>
      </w:r>
      <w:r w:rsidR="008A3DA6">
        <w:t>963</w:t>
      </w:r>
      <w:r w:rsidRPr="002E334A">
        <w:t xml:space="preserve"> дела были урегулированы путем предоставления социальных услуг. </w:t>
      </w:r>
      <w:r w:rsidR="008A3DA6">
        <w:t>327</w:t>
      </w:r>
      <w:r w:rsidRPr="002E334A">
        <w:t xml:space="preserve"> детей забрали по срочным вызовам и поместили в приюты с целью обеспечения их безопасности. Городское управление полиции и Департамент развития детей и семьи регулярно проводили работу по установлению личности детей, оставленных без присмотра, и возвращали их родителям и лицам, осуществляющим уход. В случае необходимости срок пребывания в приюте, центре социального обеспечения и центре по уходу может быть более длительным. Дети, которые долгое время не возвращались домой и которые не могут вернуться домой, направляются в </w:t>
      </w:r>
      <w:r w:rsidR="002279A3">
        <w:t>«</w:t>
      </w:r>
      <w:r w:rsidRPr="002E334A">
        <w:t>Интеграционный центр для безнадзорных детей</w:t>
      </w:r>
      <w:r w:rsidR="002279A3">
        <w:t>»</w:t>
      </w:r>
      <w:r w:rsidRPr="002E334A">
        <w:t xml:space="preserve"> в</w:t>
      </w:r>
      <w:r w:rsidR="008A3DA6">
        <w:t> </w:t>
      </w:r>
      <w:proofErr w:type="spellStart"/>
      <w:r w:rsidRPr="002E334A">
        <w:t>Багахангайском</w:t>
      </w:r>
      <w:proofErr w:type="spellEnd"/>
      <w:r w:rsidRPr="002E334A">
        <w:t xml:space="preserve"> районе для прохождения курса социально-психологической реабилитации. В статье 13 Закона о защите детей говорится о Стандарте предоставления услуг по уходу за детьми, который был утвержден Национальным советом по стандартизации в декабре 2017 года. В отношении центром социального обеспечения и центров по уходу применяются новые стандарты. Для сотрудников юридических и судебных органов организована непрерывная подготовка по вопросам предупреждения и пресечения бытового насилия, при этом аналогичную подготовку проходят слушатели Полицейской академии Университета правоохранительной деятельности. </w:t>
      </w:r>
    </w:p>
    <w:p w14:paraId="431078A3" w14:textId="77777777" w:rsidR="00154A55" w:rsidRPr="002E334A" w:rsidRDefault="00154A55" w:rsidP="00154A55">
      <w:pPr>
        <w:pStyle w:val="SingleTxtG"/>
      </w:pPr>
      <w:r w:rsidRPr="002E334A">
        <w:t>118.</w:t>
      </w:r>
      <w:r w:rsidRPr="002E334A">
        <w:tab/>
        <w:t xml:space="preserve">Поэтапно организуются мероприятия по повышению уровня информированности населения. В 2017 году в электронном формате была проведена национальная кампания </w:t>
      </w:r>
      <w:r w:rsidR="002279A3">
        <w:t>«</w:t>
      </w:r>
      <w:r w:rsidRPr="002E334A">
        <w:t>Забота и защита</w:t>
      </w:r>
      <w:r w:rsidR="002279A3">
        <w:t>»</w:t>
      </w:r>
      <w:r w:rsidRPr="002E334A">
        <w:t>, в рамках которой известные актеры снялись в видеоролике о предотвращении и пресечении бытового насилия; этот видеоролик был размещен на веб</w:t>
      </w:r>
      <w:r w:rsidR="002F3AF7">
        <w:t>-</w:t>
      </w:r>
      <w:r w:rsidRPr="002E334A">
        <w:t>сайте, а количество его просмотров составило 65</w:t>
      </w:r>
      <w:r w:rsidR="00523BEB">
        <w:t> </w:t>
      </w:r>
      <w:r w:rsidRPr="002E334A">
        <w:t>149</w:t>
      </w:r>
      <w:r w:rsidR="00523BEB">
        <w:t> </w:t>
      </w:r>
      <w:r w:rsidRPr="002E334A">
        <w:t>раз. Учащиеся высших учебных заведений</w:t>
      </w:r>
      <w:r w:rsidR="00BC6CB5">
        <w:t xml:space="preserve"> </w:t>
      </w:r>
      <w:r w:rsidRPr="002E334A">
        <w:t xml:space="preserve">провели дискуссию на тему </w:t>
      </w:r>
      <w:r w:rsidR="002279A3">
        <w:t>«</w:t>
      </w:r>
      <w:r w:rsidRPr="002E334A">
        <w:t>Участие студентов и молодежи в деятельности по защите детей и сокращению масштабов бытового насилия</w:t>
      </w:r>
      <w:r w:rsidR="002279A3">
        <w:t>»</w:t>
      </w:r>
      <w:r w:rsidRPr="002E334A">
        <w:t xml:space="preserve">. В этом мероприятии приняли участие 48 высших учебных заведений и 96 команд. В 2018 году насчитывалось 25 приютов и служб единого окна для женщин и девочек-инвалидов, ставших жертвами сексуальных надругательств, бытового насилия и бесчеловечного обращения. Приюты соответствуют стандарту Монголии (6040:2009) </w:t>
      </w:r>
      <w:r w:rsidR="002279A3">
        <w:t>«</w:t>
      </w:r>
      <w:r w:rsidRPr="002E334A">
        <w:t>Общие требования, предъявляемые к службе приютов в интересах защиты жертв</w:t>
      </w:r>
      <w:r w:rsidR="002279A3">
        <w:t>»</w:t>
      </w:r>
      <w:r w:rsidRPr="002E334A">
        <w:t xml:space="preserve">. </w:t>
      </w:r>
    </w:p>
    <w:p w14:paraId="69F0DAB5" w14:textId="77777777" w:rsidR="00154A55" w:rsidRPr="002E334A" w:rsidRDefault="00154A55" w:rsidP="00154A55">
      <w:pPr>
        <w:pStyle w:val="SingleTxtG"/>
      </w:pPr>
      <w:r w:rsidRPr="002E334A">
        <w:t>119.</w:t>
      </w:r>
      <w:r w:rsidRPr="002E334A">
        <w:tab/>
        <w:t>На сегодняшний день в стране насчитывается 14</w:t>
      </w:r>
      <w:r w:rsidR="00523BEB" w:rsidRPr="00BC6CB5">
        <w:rPr>
          <w:rStyle w:val="aa"/>
        </w:rPr>
        <w:footnoteReference w:id="10"/>
      </w:r>
      <w:r w:rsidRPr="002E334A">
        <w:t xml:space="preserve"> приютов и 14</w:t>
      </w:r>
      <w:r w:rsidR="00523BEB" w:rsidRPr="00BC6CB5">
        <w:rPr>
          <w:rStyle w:val="aa"/>
        </w:rPr>
        <w:footnoteReference w:id="11"/>
      </w:r>
      <w:r w:rsidRPr="002E334A">
        <w:t xml:space="preserve"> центров единого окна. По данным за первы</w:t>
      </w:r>
      <w:r w:rsidR="00071F0E">
        <w:t>е</w:t>
      </w:r>
      <w:r w:rsidRPr="002E334A">
        <w:t xml:space="preserve"> </w:t>
      </w:r>
      <w:r w:rsidR="00071F0E">
        <w:t>5</w:t>
      </w:r>
      <w:r w:rsidRPr="002E334A">
        <w:t xml:space="preserve"> месяцев в приютах находилось 972 человека. 481</w:t>
      </w:r>
      <w:r w:rsidR="00071F0E">
        <w:t> </w:t>
      </w:r>
      <w:r w:rsidRPr="002E334A">
        <w:t xml:space="preserve">из них был взрослым, а 491 </w:t>
      </w:r>
      <w:r w:rsidR="00523BEB">
        <w:t>⸺</w:t>
      </w:r>
      <w:r w:rsidRPr="002E334A">
        <w:t xml:space="preserve"> ребенком. Приют имеется при каждом городском управлении полиции и при управлении полиции аймака </w:t>
      </w:r>
      <w:proofErr w:type="spellStart"/>
      <w:r w:rsidRPr="002E334A">
        <w:t>Дорноговь</w:t>
      </w:r>
      <w:proofErr w:type="spellEnd"/>
      <w:r w:rsidRPr="002E334A">
        <w:t xml:space="preserve">. По данным за первые </w:t>
      </w:r>
      <w:r w:rsidR="008A3DA6">
        <w:t>5</w:t>
      </w:r>
      <w:r w:rsidRPr="002E334A">
        <w:t xml:space="preserve"> месяцев в приютах находилось 20 лиц с инвалидностью, которые получали юридическую и психологическую поддержку. Ими также занимается отделение Совместной группы, имеющееся по месту их проживания. Из этих лиц с инвалидностью 10 были взрослыми, а 10 </w:t>
      </w:r>
      <w:r w:rsidR="00523BEB">
        <w:t>⸺</w:t>
      </w:r>
      <w:r w:rsidRPr="002E334A">
        <w:t xml:space="preserve"> детьми. 14 из них с нарушениями речи, 2</w:t>
      </w:r>
      <w:r w:rsidR="008F7A50">
        <w:t> ⸺ </w:t>
      </w:r>
      <w:r w:rsidRPr="002E334A">
        <w:t xml:space="preserve">с нарушениями опорно-двигательного аппарата и 4 </w:t>
      </w:r>
      <w:r w:rsidR="008F7A50">
        <w:t>⸺</w:t>
      </w:r>
      <w:r w:rsidRPr="002E334A">
        <w:t xml:space="preserve"> с нарушениями зрения. </w:t>
      </w:r>
    </w:p>
    <w:p w14:paraId="58033542" w14:textId="77777777" w:rsidR="00154A55" w:rsidRPr="002E334A" w:rsidRDefault="00154A55" w:rsidP="00154A55">
      <w:pPr>
        <w:pStyle w:val="SingleTxtG"/>
      </w:pPr>
      <w:r w:rsidRPr="002E334A">
        <w:t>120.</w:t>
      </w:r>
      <w:r w:rsidRPr="002E334A">
        <w:tab/>
        <w:t xml:space="preserve">В 2018 году МТСЗ обратилось к НПО </w:t>
      </w:r>
      <w:r w:rsidR="002279A3">
        <w:t>«</w:t>
      </w:r>
      <w:r w:rsidRPr="002E334A">
        <w:t>Национальный центр по правам женщин-инвалидов</w:t>
      </w:r>
      <w:r w:rsidR="002279A3">
        <w:t>»</w:t>
      </w:r>
      <w:r w:rsidRPr="002E334A">
        <w:t xml:space="preserve"> с просьбой провести обследование с целью определения способов искоренения сексуальных посягательств в отношении девочек и </w:t>
      </w:r>
      <w:r w:rsidR="00906937">
        <w:br/>
      </w:r>
      <w:r w:rsidRPr="002E334A">
        <w:lastRenderedPageBreak/>
        <w:t xml:space="preserve">женщин-инвалидов. В этом обследовании был сделан вывод о том, что причиной возникновения риска нарушений является уровень образования женщин. Они не могут посещать различные учебные курсы, организуемые государственными и негосударственными организациями. Не хватает учебных материалов для лиц с инвалидностью. С учетом того, что осведомленность общества по вопросам гендерного равенства является основой для развития человеческого потенциала и ликвидации несправедливости и дискриминации, при поддержке ЮНФПА мы разрабатываем для лиц с инвалидностью и социальных работников руководство по вопросам, касающимся нарушений на гендерной почве. </w:t>
      </w:r>
    </w:p>
    <w:p w14:paraId="0E1F0736" w14:textId="77777777" w:rsidR="00154A55" w:rsidRPr="002E334A" w:rsidRDefault="00154A55" w:rsidP="00906937">
      <w:pPr>
        <w:pStyle w:val="H1G"/>
      </w:pPr>
      <w:r w:rsidRPr="002E334A">
        <w:tab/>
      </w:r>
      <w:r w:rsidRPr="002E334A">
        <w:tab/>
        <w:t>Ответ на пункт 12 b) перечня вопросов</w:t>
      </w:r>
    </w:p>
    <w:p w14:paraId="57645B1D" w14:textId="77777777" w:rsidR="00154A55" w:rsidRPr="002E334A" w:rsidRDefault="00154A55" w:rsidP="00154A55">
      <w:pPr>
        <w:pStyle w:val="SingleTxtG"/>
      </w:pPr>
      <w:r w:rsidRPr="002E334A">
        <w:t>121.</w:t>
      </w:r>
      <w:r w:rsidRPr="002E334A">
        <w:tab/>
        <w:t xml:space="preserve">Одна из функций ГУРЛИ заключается в наблюдении за соблюдением законов, норм и положений политики, касающихся лиц с инвалидностью, реализацией Национальной программы и соответствующих мероприятий, оценке их результативности, организации согласно действующим правилам аудита, представлении информации и подготовке необходимых обследований. ГУРЛИ был создан </w:t>
      </w:r>
      <w:r w:rsidR="00906937">
        <w:t>совсем</w:t>
      </w:r>
      <w:r w:rsidRPr="002E334A">
        <w:t xml:space="preserve"> недавно, поэтому мониторинг и оценка осуществления мероприятий в области борьбы с эксплуатацией, насилием и надругательствами над лицами с инвалидностью находятся в стадии планирования. Агентства по развитию семьи, детей и молодежи будет играть определенную роль в деле реализации Закона о правах ребенка и Закона о защите детей. В будущем необходимо будет укрепить потенциал этого учреждения, разработать соответствующие законы и соответствующий координационный механизм и обеспечить увязку мероприятий.</w:t>
      </w:r>
    </w:p>
    <w:p w14:paraId="40083FBA" w14:textId="77777777" w:rsidR="00154A55" w:rsidRPr="002E334A" w:rsidRDefault="00154A55" w:rsidP="00154A55">
      <w:pPr>
        <w:pStyle w:val="H1G"/>
      </w:pPr>
      <w:r w:rsidRPr="002E334A">
        <w:tab/>
      </w:r>
      <w:r w:rsidRPr="002E334A">
        <w:tab/>
      </w:r>
      <w:r w:rsidRPr="002E334A">
        <w:rPr>
          <w:bCs/>
        </w:rPr>
        <w:t>Ответ на пункт 12 с) перечня вопросов</w:t>
      </w:r>
    </w:p>
    <w:p w14:paraId="17819465" w14:textId="77777777" w:rsidR="00154A55" w:rsidRPr="002E334A" w:rsidRDefault="00154A55" w:rsidP="00154A55">
      <w:pPr>
        <w:pStyle w:val="SingleTxtG"/>
      </w:pPr>
      <w:r w:rsidRPr="002E334A">
        <w:t>122.</w:t>
      </w:r>
      <w:r w:rsidRPr="002E334A">
        <w:tab/>
        <w:t xml:space="preserve">Статья 13 Закона о начальном и среднем образовании гласит, что </w:t>
      </w:r>
      <w:r w:rsidR="002279A3">
        <w:t>«</w:t>
      </w:r>
      <w:r w:rsidRPr="002E334A">
        <w:t>в</w:t>
      </w:r>
      <w:r w:rsidR="00906937">
        <w:t> </w:t>
      </w:r>
      <w:r w:rsidRPr="002E334A">
        <w:t>зависимости от количества детей с инвалидностью, обучающихся в обычных школах, в штат сотрудников могут быть зачислены специальный педагог, помощник педагога, психолог, медсестра, врач-реабилитолог и социальный работник</w:t>
      </w:r>
      <w:r w:rsidR="002279A3">
        <w:t>»</w:t>
      </w:r>
      <w:r w:rsidRPr="002E334A">
        <w:t>; в случае насилия над ребенком с инвалидностью в школе, первоначальную психологическую консультацию могут предоставить школьный социальный работник и психолог, а</w:t>
      </w:r>
      <w:r w:rsidR="00906937">
        <w:t> </w:t>
      </w:r>
      <w:r w:rsidRPr="002E334A">
        <w:t xml:space="preserve">администрация школы должна провести работу с родителями и другими организациями. Поддержку и психологическую помощь оказывает совместная группа в составе представителей медицинского учреждения, администрации </w:t>
      </w:r>
      <w:proofErr w:type="spellStart"/>
      <w:r w:rsidRPr="002E334A">
        <w:t>сомона</w:t>
      </w:r>
      <w:proofErr w:type="spellEnd"/>
      <w:r w:rsidRPr="002E334A">
        <w:t xml:space="preserve">, полиции и организаций социального обеспечения. С целью оценки психических особенностей членов семьи и лиц с инвалидностью, предоставления информации и консультаций, выслушивания их мнений и обмена знаниями НПО </w:t>
      </w:r>
      <w:r w:rsidR="002279A3">
        <w:t>«</w:t>
      </w:r>
      <w:r w:rsidRPr="002E334A">
        <w:t>Международные учебные курсы</w:t>
      </w:r>
      <w:r w:rsidR="00906937">
        <w:t> ⸺ </w:t>
      </w:r>
      <w:r w:rsidRPr="002E334A">
        <w:t>Монголия</w:t>
      </w:r>
      <w:r w:rsidR="002279A3">
        <w:t>»</w:t>
      </w:r>
      <w:r w:rsidRPr="002E334A">
        <w:t xml:space="preserve"> организовала в 2018 году для сотрудников Национального центра реабилитации и обучения трехмесячную подготовку по вопросам предоставления индивидуальных и адресных психологических консультаций членам семьи и лицам с инвалидностью. </w:t>
      </w:r>
    </w:p>
    <w:p w14:paraId="6126A7A7" w14:textId="77777777" w:rsidR="00154A55" w:rsidRPr="002E334A" w:rsidRDefault="00154A55" w:rsidP="00154A55">
      <w:pPr>
        <w:pStyle w:val="SingleTxtG"/>
      </w:pPr>
      <w:r w:rsidRPr="002E334A">
        <w:t>123.</w:t>
      </w:r>
      <w:r w:rsidRPr="002E334A">
        <w:tab/>
        <w:t xml:space="preserve">В 2018 году в этом же Национальном центре при финансовой поддержке компании </w:t>
      </w:r>
      <w:r w:rsidR="002279A3">
        <w:t>«</w:t>
      </w:r>
      <w:proofErr w:type="spellStart"/>
      <w:r w:rsidRPr="002E334A">
        <w:t>Оюу</w:t>
      </w:r>
      <w:proofErr w:type="spellEnd"/>
      <w:r w:rsidRPr="002E334A">
        <w:t xml:space="preserve"> </w:t>
      </w:r>
      <w:proofErr w:type="spellStart"/>
      <w:r w:rsidRPr="002E334A">
        <w:t>Толгой</w:t>
      </w:r>
      <w:proofErr w:type="spellEnd"/>
      <w:r w:rsidR="002279A3">
        <w:t>»</w:t>
      </w:r>
      <w:r w:rsidRPr="002E334A">
        <w:t xml:space="preserve"> был открыт </w:t>
      </w:r>
      <w:r w:rsidR="002279A3">
        <w:t>«</w:t>
      </w:r>
      <w:r w:rsidRPr="002E334A">
        <w:t>Кабинет психологических консультаций</w:t>
      </w:r>
      <w:r w:rsidR="002279A3">
        <w:t>»</w:t>
      </w:r>
      <w:r w:rsidRPr="002E334A">
        <w:t xml:space="preserve">, задача которого состоит в оказании лицам с инвалидностью, членам их семей и лицам, осуществляющим за ними уход, доступной и конкретной консультационной психологической помощи. </w:t>
      </w:r>
    </w:p>
    <w:p w14:paraId="22FA9E04" w14:textId="77777777" w:rsidR="00154A55" w:rsidRPr="002E334A" w:rsidRDefault="00154A55" w:rsidP="00154A55">
      <w:pPr>
        <w:pStyle w:val="SingleTxtG"/>
      </w:pPr>
      <w:r w:rsidRPr="002E334A">
        <w:t>124.</w:t>
      </w:r>
      <w:r w:rsidRPr="002E334A">
        <w:tab/>
        <w:t xml:space="preserve">Создана база данных о лицах, получивших психологическую консультацию, при этом психологический кабинет работает по графику. </w:t>
      </w:r>
    </w:p>
    <w:p w14:paraId="038CCBF5" w14:textId="77777777" w:rsidR="00154A55" w:rsidRPr="002E334A" w:rsidRDefault="00154A55" w:rsidP="00154A55">
      <w:pPr>
        <w:pStyle w:val="SingleTxtG"/>
      </w:pPr>
      <w:r w:rsidRPr="002E334A">
        <w:t>125.</w:t>
      </w:r>
      <w:r w:rsidRPr="002E334A">
        <w:tab/>
        <w:t xml:space="preserve">За период с апреля 2018 года индивидуальная психологическая помощь была оказана 89 лицам. За первое полугодие 2019 года услугами этой службы воспользовались 24 человека. </w:t>
      </w:r>
    </w:p>
    <w:p w14:paraId="4B793AF0" w14:textId="77777777" w:rsidR="00154A55" w:rsidRPr="002E334A" w:rsidRDefault="00154A55" w:rsidP="00154A55">
      <w:pPr>
        <w:pStyle w:val="SingleTxtG"/>
      </w:pPr>
      <w:r w:rsidRPr="002E334A">
        <w:t>126.</w:t>
      </w:r>
      <w:r w:rsidRPr="002E334A">
        <w:tab/>
        <w:t xml:space="preserve">Цель кабинета психологических консультаций состоит в оказании поддержки лицам с инвалидностью и членам их семей с целью решения стоящих перед ними проблем. </w:t>
      </w:r>
    </w:p>
    <w:p w14:paraId="04D6E73A" w14:textId="77777777" w:rsidR="00154A55" w:rsidRPr="002E334A" w:rsidRDefault="00154A55" w:rsidP="00906937">
      <w:pPr>
        <w:pStyle w:val="H1G"/>
      </w:pPr>
      <w:r w:rsidRPr="002E334A">
        <w:lastRenderedPageBreak/>
        <w:tab/>
      </w:r>
      <w:r w:rsidRPr="002E334A">
        <w:tab/>
        <w:t>Ответ на пункт 13 перечня вопросов</w:t>
      </w:r>
    </w:p>
    <w:p w14:paraId="43714DF9" w14:textId="77777777" w:rsidR="00154A55" w:rsidRPr="002E334A" w:rsidRDefault="00154A55" w:rsidP="00154A55">
      <w:pPr>
        <w:pStyle w:val="SingleTxtG"/>
      </w:pPr>
      <w:r w:rsidRPr="002E334A">
        <w:t>127.</w:t>
      </w:r>
      <w:r w:rsidRPr="002E334A">
        <w:tab/>
        <w:t xml:space="preserve">Результаты обследования по вопросам сексуального и репродуктивного здоровья женщин-инвалидов опубликованы в Докладе № 18/2019 о правах и свободах человека в Монголии, подготовленном Национальной комиссией по правам человека Монголии. В нем делается вывод о том, что </w:t>
      </w:r>
      <w:r w:rsidR="002279A3">
        <w:t>«</w:t>
      </w:r>
      <w:r w:rsidRPr="002E334A">
        <w:t>имеется ряд законодательных актов и программных документов, касающихся сексуального и репродуктивного здоровья женщин и молодежи с инвалидностью в Монголии</w:t>
      </w:r>
      <w:r w:rsidR="002279A3">
        <w:t>»</w:t>
      </w:r>
      <w:r w:rsidRPr="002E334A">
        <w:t>. В нем рекомендуется, чтобы вышеупомянутым положениям о сексуальном и репродуктивном здоровье и правам женщин-инвалидов уделялось приоритетное внимание в рамках сотрудничества</w:t>
      </w:r>
      <w:r w:rsidRPr="00BC6CB5">
        <w:rPr>
          <w:rStyle w:val="aa"/>
        </w:rPr>
        <w:footnoteReference w:id="12"/>
      </w:r>
      <w:r w:rsidR="00906937">
        <w:t>.</w:t>
      </w:r>
      <w:r w:rsidRPr="002E334A">
        <w:t xml:space="preserve"> НКПЧМ рекомендует парламенту Монголии следующее: </w:t>
      </w:r>
      <w:r w:rsidR="002279A3">
        <w:t>«</w:t>
      </w:r>
      <w:r w:rsidRPr="002E334A">
        <w:t>Два. О сексуальном и репродуктивном здоровье и правах женщин-инвалидов:</w:t>
      </w:r>
    </w:p>
    <w:p w14:paraId="6CC9223F" w14:textId="77777777" w:rsidR="00154A55" w:rsidRPr="002E334A" w:rsidRDefault="00154A55" w:rsidP="00154A55">
      <w:pPr>
        <w:pStyle w:val="Bullet1G"/>
        <w:numPr>
          <w:ilvl w:val="0"/>
          <w:numId w:val="4"/>
        </w:numPr>
      </w:pPr>
      <w:r w:rsidRPr="002E334A">
        <w:t>создать в Государственном административном центре по вопросам здравоохранения информационную базу данных по вопросам здоровья и медицинского обслуживания женщин-инвалидов; укреплять систему регулярного сбора данных и использовать получаемую информацию для принятия решений;</w:t>
      </w:r>
    </w:p>
    <w:p w14:paraId="7B33AE17" w14:textId="77777777" w:rsidR="00154A55" w:rsidRPr="002E334A" w:rsidRDefault="00154A55" w:rsidP="00154A55">
      <w:pPr>
        <w:pStyle w:val="Bullet1G"/>
        <w:numPr>
          <w:ilvl w:val="0"/>
          <w:numId w:val="4"/>
        </w:numPr>
      </w:pPr>
      <w:r w:rsidRPr="002E334A">
        <w:t xml:space="preserve">включить в программу подготовки медицинских и социальных </w:t>
      </w:r>
      <w:r w:rsidR="00906937">
        <w:br/>
      </w:r>
      <w:r w:rsidRPr="002E334A">
        <w:t>работников предметы, посвященные правам человека лиц с инвалидностью и социальной модели инвалидности, и предусмотреть организацию курсов усовершенствования;</w:t>
      </w:r>
    </w:p>
    <w:p w14:paraId="08AA9515" w14:textId="77777777" w:rsidR="00154A55" w:rsidRPr="002E334A" w:rsidRDefault="00154A55" w:rsidP="00154A55">
      <w:pPr>
        <w:pStyle w:val="Bullet1G"/>
        <w:numPr>
          <w:ilvl w:val="0"/>
          <w:numId w:val="4"/>
        </w:numPr>
      </w:pPr>
      <w:r w:rsidRPr="002E334A">
        <w:t xml:space="preserve">обеспечить всеобщую доступность информации по вопросам репродуктивного здоровья в медицинских учреждениях аймаков и столицы и снабдить кабинеты репродуктивного здоровья и родильные дома необходимыми </w:t>
      </w:r>
      <w:proofErr w:type="spellStart"/>
      <w:r w:rsidRPr="002E334A">
        <w:t>ассистивными</w:t>
      </w:r>
      <w:proofErr w:type="spellEnd"/>
      <w:r w:rsidRPr="002E334A">
        <w:t xml:space="preserve"> устройствами, отвечающих потребностям лиц с инвалидностью;</w:t>
      </w:r>
    </w:p>
    <w:p w14:paraId="1325E953" w14:textId="77777777" w:rsidR="00154A55" w:rsidRPr="002E334A" w:rsidRDefault="00154A55" w:rsidP="00154A55">
      <w:pPr>
        <w:pStyle w:val="Bullet1G"/>
        <w:numPr>
          <w:ilvl w:val="0"/>
          <w:numId w:val="4"/>
        </w:numPr>
      </w:pPr>
      <w:r w:rsidRPr="002E334A">
        <w:t>проводить оценку и мониторинг осуществления положений и правил в области здравоохранения и обеспечить их соответствие правам лиц с инвалидностью на репродуктивное здоровье, описанным в КПИ и Национальном законе о правах лиц с инвалидностью</w:t>
      </w:r>
      <w:r w:rsidR="002279A3">
        <w:t>»</w:t>
      </w:r>
      <w:r w:rsidRPr="00BC6CB5">
        <w:rPr>
          <w:rStyle w:val="aa"/>
        </w:rPr>
        <w:footnoteReference w:id="13"/>
      </w:r>
      <w:r w:rsidR="00906937">
        <w:t>.</w:t>
      </w:r>
      <w:r w:rsidRPr="002E334A">
        <w:t xml:space="preserve"> Соответствующие выводы, предложения и рекомендации по их выполнению находятся в стадии рассмотрения. </w:t>
      </w:r>
    </w:p>
    <w:p w14:paraId="3074CC73" w14:textId="77777777" w:rsidR="00154A55" w:rsidRPr="002E334A" w:rsidRDefault="00154A55" w:rsidP="00154A55">
      <w:pPr>
        <w:pStyle w:val="H1G"/>
      </w:pPr>
      <w:r w:rsidRPr="002E334A">
        <w:tab/>
      </w:r>
      <w:r w:rsidRPr="002E334A">
        <w:tab/>
      </w:r>
      <w:r w:rsidRPr="002E334A">
        <w:rPr>
          <w:bCs/>
        </w:rPr>
        <w:t>Ответ на пункт 14 перечня вопросов</w:t>
      </w:r>
    </w:p>
    <w:p w14:paraId="0BD43391" w14:textId="77777777" w:rsidR="00154A55" w:rsidRPr="002E334A" w:rsidRDefault="00154A55" w:rsidP="00154A55">
      <w:pPr>
        <w:pStyle w:val="SingleTxtG"/>
      </w:pPr>
      <w:r w:rsidRPr="002E334A">
        <w:t>128.</w:t>
      </w:r>
      <w:r w:rsidRPr="002E334A">
        <w:tab/>
        <w:t>Статьи 19 и 19 b) КПИ</w:t>
      </w:r>
      <w:r w:rsidR="00426DC9">
        <w:t>,</w:t>
      </w:r>
      <w:r w:rsidRPr="002E334A">
        <w:t xml:space="preserve"> отраженные в главе 32 </w:t>
      </w:r>
      <w:r w:rsidR="002279A3">
        <w:t>«</w:t>
      </w:r>
      <w:r w:rsidRPr="002E334A">
        <w:t>Право на самостоятельный образ жизни</w:t>
      </w:r>
      <w:r w:rsidR="002279A3">
        <w:t>»</w:t>
      </w:r>
      <w:r w:rsidRPr="002E334A">
        <w:t xml:space="preserve"> Национального закона о правах лиц с инвалидностью, статья 32.2 которого гласит: </w:t>
      </w:r>
      <w:r w:rsidR="002279A3">
        <w:t>«</w:t>
      </w:r>
      <w:r w:rsidRPr="002E334A">
        <w:t>Персональная помощь и взаимное консультирование являются неотъемлемыми элементами самостоятельного образа жизни лиц с инвалидностью</w:t>
      </w:r>
      <w:r w:rsidR="00906937">
        <w:t>»</w:t>
      </w:r>
      <w:r w:rsidRPr="002E334A">
        <w:t xml:space="preserve">. </w:t>
      </w:r>
    </w:p>
    <w:p w14:paraId="66CB08B5" w14:textId="77777777" w:rsidR="00154A55" w:rsidRPr="002E334A" w:rsidRDefault="00154A55" w:rsidP="00154A55">
      <w:pPr>
        <w:pStyle w:val="SingleTxtG"/>
      </w:pPr>
      <w:r w:rsidRPr="002E334A">
        <w:t>129.</w:t>
      </w:r>
      <w:r w:rsidRPr="002E334A">
        <w:tab/>
        <w:t xml:space="preserve">В соответствии со статьей 32.3, которая гласит, что </w:t>
      </w:r>
      <w:r w:rsidR="002279A3">
        <w:t>«</w:t>
      </w:r>
      <w:r w:rsidRPr="002E334A">
        <w:t>Правила, виды и способы предоставления услуг для обеспечения самостоятельного образа жизни лиц с инвалидностью и требования к организациям, предоставляющим такие услуги, разрабатываются членом Кабинета министров, который ведает вопросами, касающимися инвалидов</w:t>
      </w:r>
      <w:r w:rsidR="002279A3">
        <w:t>»</w:t>
      </w:r>
      <w:r w:rsidRPr="002E334A">
        <w:t xml:space="preserve">, </w:t>
      </w:r>
      <w:r w:rsidR="00426DC9">
        <w:t>М</w:t>
      </w:r>
      <w:r w:rsidRPr="002E334A">
        <w:t>инистр труда и социальной защиты издал в 2017 году Постановление № A/184. Однако меры, принятые для выполнения этого Постановления, не являются достаточными. В нем подчеркивается, что гражданин с потерей трудоспособности свыше 70</w:t>
      </w:r>
      <w:r w:rsidR="00906937">
        <w:t> </w:t>
      </w:r>
      <w:r w:rsidRPr="002E334A">
        <w:t xml:space="preserve">% и старше 16 лет осуществляет свое право на самостоятельный образ жизни благодаря услугам </w:t>
      </w:r>
      <w:r w:rsidR="002279A3">
        <w:t>«</w:t>
      </w:r>
      <w:r w:rsidRPr="002E334A">
        <w:t>Службы персональной помощи</w:t>
      </w:r>
      <w:r w:rsidR="002279A3">
        <w:t>»</w:t>
      </w:r>
      <w:r w:rsidRPr="002E334A">
        <w:t>. В</w:t>
      </w:r>
      <w:r w:rsidR="00906937">
        <w:t> </w:t>
      </w:r>
      <w:r w:rsidRPr="002E334A">
        <w:t xml:space="preserve">настоящее время вопросами подготовки персональных помощников занимается ЦСП </w:t>
      </w:r>
      <w:r w:rsidR="002279A3">
        <w:t>«</w:t>
      </w:r>
      <w:r w:rsidRPr="002E334A">
        <w:t>Всеобщий прогресс</w:t>
      </w:r>
      <w:r w:rsidR="002279A3">
        <w:t>»</w:t>
      </w:r>
      <w:r w:rsidRPr="002E334A">
        <w:t>, который проводит на национальном уровне деятельность в поддержку самостоятельного образа жизни лиц с тяжелой степенью инвалидности. В общей сложности подготовлено 250 персональных помощников. В Монголии насчитывается более 95</w:t>
      </w:r>
      <w:r w:rsidR="00906937">
        <w:t> </w:t>
      </w:r>
      <w:r w:rsidRPr="002E334A">
        <w:t xml:space="preserve">000 лиц с инвалидностью в возрасте старше 16 лет, однако </w:t>
      </w:r>
      <w:r w:rsidRPr="002E334A">
        <w:lastRenderedPageBreak/>
        <w:t xml:space="preserve">статистические данные о лицах с инвалидностью, нуждающихся в персональной помощи, отсутствуют. </w:t>
      </w:r>
    </w:p>
    <w:p w14:paraId="1619E917" w14:textId="245C9A66" w:rsidR="00154A55" w:rsidRPr="002E334A" w:rsidRDefault="00154A55" w:rsidP="00154A55">
      <w:pPr>
        <w:pStyle w:val="SingleTxtG"/>
      </w:pPr>
      <w:r w:rsidRPr="002E334A">
        <w:t>130.</w:t>
      </w:r>
      <w:r w:rsidRPr="002E334A">
        <w:tab/>
        <w:t xml:space="preserve">В соответствии с Законом о социальном обеспечении государство предоставляет некоторые виды услуг для поощрения самостоятельного образа жизни лиц с инвалидностью через </w:t>
      </w:r>
      <w:r w:rsidR="002279A3">
        <w:t>«</w:t>
      </w:r>
      <w:r w:rsidRPr="002E334A">
        <w:t>Службу социального обеспечения на уровне общин</w:t>
      </w:r>
      <w:r w:rsidR="002279A3">
        <w:t>»</w:t>
      </w:r>
      <w:r w:rsidRPr="002E334A">
        <w:t>. Она</w:t>
      </w:r>
      <w:r w:rsidR="00906937">
        <w:t> </w:t>
      </w:r>
      <w:r w:rsidRPr="002E334A">
        <w:t xml:space="preserve">организует учебные курсы, предоставляет консультации, услуги по уходу в дневное время, а также услуги по уходу на дому и социальному обеспечению в целях развития у лиц с инвалидностью уверенности в себе, поощрения их к самостоятельному образу жизни, профессиональной деятельности и раскрытию талантов. Служба социального обеспечения на уровне общин предоставляет свои услуги целевым группам, включая лиц с инвалидностью и престарелых, при этом поставщиками этих услуг на договорной основе являются НПО и структуры, описанные в статье 18.5 Закона о социальном обеспечении. В 2016 году объем финансирования и количество людей, получивших услуги, составили соответственно 1,6 млрд тугриков и 7760 человек, в 2017 году </w:t>
      </w:r>
      <w:r w:rsidR="00906937">
        <w:t>⸺</w:t>
      </w:r>
      <w:r w:rsidRPr="002E334A">
        <w:t xml:space="preserve"> 1,6 млрд тугриков и 10 379 человек, а в 2018 году </w:t>
      </w:r>
      <w:r w:rsidR="007C0D3B">
        <w:t>⸺</w:t>
      </w:r>
      <w:r w:rsidRPr="002E334A">
        <w:t xml:space="preserve"> 3,6 млрд тугриков и 21 220 человек. МТСЗ провело обсуждения с ЯАМС и решило начать вторую фазу проекта. Проект будет сосредоточен на разработке политики и плана действий по созданию системы обеспечения самостоятельного образа жизни лиц с инвалидностью. Задача состоит в:</w:t>
      </w:r>
    </w:p>
    <w:p w14:paraId="7B0FC8F4" w14:textId="77777777" w:rsidR="00154A55" w:rsidRPr="002E334A" w:rsidRDefault="00154A55" w:rsidP="00154A55">
      <w:pPr>
        <w:pStyle w:val="Bullet1G"/>
        <w:numPr>
          <w:ilvl w:val="0"/>
          <w:numId w:val="4"/>
        </w:numPr>
      </w:pPr>
      <w:r w:rsidRPr="002E334A">
        <w:t>разработке плана действий по обеспечению самостоятельного образа жизни лиц с инвалидностью и осуществлении пилотных проектов на местном уровне;</w:t>
      </w:r>
    </w:p>
    <w:p w14:paraId="279D4249" w14:textId="77777777" w:rsidR="00154A55" w:rsidRPr="002E334A" w:rsidRDefault="00154A55" w:rsidP="00154A55">
      <w:pPr>
        <w:pStyle w:val="Bullet1G"/>
        <w:numPr>
          <w:ilvl w:val="0"/>
          <w:numId w:val="4"/>
        </w:numPr>
      </w:pPr>
      <w:r w:rsidRPr="002E334A">
        <w:t>организации обучение по повышению осведомленности общественности для местных руководителей и заинтересованных сторон с целью обеспечения осуществления права лиц с инвалидностью на самостоятельный образ жизни;</w:t>
      </w:r>
    </w:p>
    <w:p w14:paraId="5704B7EB" w14:textId="77777777" w:rsidR="00154A55" w:rsidRPr="002E334A" w:rsidRDefault="00154A55" w:rsidP="00154A55">
      <w:pPr>
        <w:pStyle w:val="Bullet1G"/>
        <w:numPr>
          <w:ilvl w:val="0"/>
          <w:numId w:val="4"/>
        </w:numPr>
      </w:pPr>
      <w:r w:rsidRPr="002E334A">
        <w:t>разработке предложение в отношении финансирования, необходимого для развития службы обеспечения самостоятельного образа жизни лиц с инвалидностью.</w:t>
      </w:r>
    </w:p>
    <w:p w14:paraId="6B10A48F" w14:textId="77777777" w:rsidR="00154A55" w:rsidRPr="002E334A" w:rsidRDefault="00154A55" w:rsidP="00154A55">
      <w:pPr>
        <w:pStyle w:val="H1G"/>
      </w:pPr>
      <w:r w:rsidRPr="002E334A">
        <w:tab/>
      </w:r>
      <w:r w:rsidRPr="002E334A">
        <w:tab/>
      </w:r>
      <w:r w:rsidRPr="002E334A">
        <w:rPr>
          <w:bCs/>
        </w:rPr>
        <w:t>Ответ на пункт 15 перечня вопросов</w:t>
      </w:r>
    </w:p>
    <w:p w14:paraId="7885FB41" w14:textId="77777777" w:rsidR="00154A55" w:rsidRPr="002E334A" w:rsidRDefault="00154A55" w:rsidP="00154A55">
      <w:pPr>
        <w:pStyle w:val="SingleTxtG"/>
      </w:pPr>
      <w:r w:rsidRPr="002E334A">
        <w:t>131.</w:t>
      </w:r>
      <w:r w:rsidRPr="002E334A">
        <w:tab/>
        <w:t xml:space="preserve">В соответствии со статьей 26 Закона о правах лиц с инвалидностью, расходы на протезирование для детей в возрасте до 18 лет возмещаются в полном объеме в случае истечения срока службы протеза, или когда он перестает подходить ребенку в связи с ростом организма. Расходы на протезы отечественного производства и приобретение ортопедических и специальных приспособлений, включая инвалидные коляски, для детей младше 18 лет и лиц с инвалидностью, которые не имеют права на скидку со стоимости реабилитационных услуг и протезов, возмещаются в полном объеме раз в три года из Фонда социального страхования. В 2018 году на нужды 15,5 тыс. человек из Фонда социальной защиты было выделено 2,8 млрд тугриков. Однако доступность протезов конечностей и </w:t>
      </w:r>
      <w:proofErr w:type="spellStart"/>
      <w:r w:rsidRPr="002E334A">
        <w:t>ассистивных</w:t>
      </w:r>
      <w:proofErr w:type="spellEnd"/>
      <w:r w:rsidRPr="002E334A">
        <w:t xml:space="preserve"> средств для лиц с инвалидностью с целью расширения их участия в общественной жизни ограничена. Это негативно сказывается на развитии производства протезов конечностей и </w:t>
      </w:r>
      <w:proofErr w:type="spellStart"/>
      <w:r w:rsidRPr="002E334A">
        <w:t>ассистивных</w:t>
      </w:r>
      <w:proofErr w:type="spellEnd"/>
      <w:r w:rsidRPr="002E334A">
        <w:t xml:space="preserve"> средств с использованием новых технологий. На основании Указа </w:t>
      </w:r>
      <w:r w:rsidR="00D0031F">
        <w:t>М</w:t>
      </w:r>
      <w:r w:rsidRPr="002E334A">
        <w:t xml:space="preserve">инистра труда и социальной защиты создана Целевая группа по пересмотру перечня протезов и </w:t>
      </w:r>
      <w:proofErr w:type="spellStart"/>
      <w:r w:rsidRPr="002E334A">
        <w:t>ассистивных</w:t>
      </w:r>
      <w:proofErr w:type="spellEnd"/>
      <w:r w:rsidRPr="002E334A">
        <w:t xml:space="preserve"> устройств, которые должны предоставляться Фондом социальной защиты. В рамках проекта АБР проводится оценка риска для здоровья, потребностей в </w:t>
      </w:r>
      <w:proofErr w:type="spellStart"/>
      <w:r w:rsidRPr="002E334A">
        <w:t>ассистивных</w:t>
      </w:r>
      <w:proofErr w:type="spellEnd"/>
      <w:r w:rsidRPr="002E334A">
        <w:t xml:space="preserve"> устройствах, необходимых расходов и соответствующих пакетов социального страхования. Он также предусматривает выработку рекомендаций, пересмотр и расширение существующего перечня </w:t>
      </w:r>
      <w:proofErr w:type="spellStart"/>
      <w:r w:rsidRPr="002E334A">
        <w:t>ассистивных</w:t>
      </w:r>
      <w:proofErr w:type="spellEnd"/>
      <w:r w:rsidRPr="002E334A">
        <w:t xml:space="preserve"> устройств, создание системы справедливых закупок, анализ протезов, ортопедических и специальных устройств, которые могут быть произведены в Монголии, и разработку минимальных стандартов производства и закупок. В Монголии не проводилось никаких обследований и оценок в отношении коррекции протезов, ортопедических и </w:t>
      </w:r>
      <w:proofErr w:type="spellStart"/>
      <w:r w:rsidRPr="002E334A">
        <w:t>ассистивных</w:t>
      </w:r>
      <w:proofErr w:type="spellEnd"/>
      <w:r w:rsidRPr="002E334A">
        <w:t xml:space="preserve"> приспособлений. Правительство Монголии сталкивается с проблемой отсутствия фактологических данных. В соответствии с призывом, с которым ВОЗ обратилась к своим </w:t>
      </w:r>
      <w:r w:rsidR="007C0D3B">
        <w:br/>
      </w:r>
      <w:r w:rsidRPr="002E334A">
        <w:lastRenderedPageBreak/>
        <w:t xml:space="preserve">странам-членам, Монголия также проводит оценку использования </w:t>
      </w:r>
      <w:proofErr w:type="spellStart"/>
      <w:r w:rsidRPr="002E334A">
        <w:t>ассистивных</w:t>
      </w:r>
      <w:proofErr w:type="spellEnd"/>
      <w:r w:rsidRPr="002E334A">
        <w:t xml:space="preserve"> устройств и качества продукции. </w:t>
      </w:r>
    </w:p>
    <w:p w14:paraId="4704EFD0" w14:textId="77777777" w:rsidR="00154A55" w:rsidRPr="002E334A" w:rsidRDefault="00154A55" w:rsidP="007C0D3B">
      <w:pPr>
        <w:pStyle w:val="H1G"/>
      </w:pPr>
      <w:r w:rsidRPr="002E334A">
        <w:tab/>
      </w:r>
      <w:r w:rsidRPr="002E334A">
        <w:tab/>
        <w:t>Ответ на пункт 16 а) перечня вопросов</w:t>
      </w:r>
    </w:p>
    <w:p w14:paraId="2370DA80" w14:textId="77777777" w:rsidR="00154A55" w:rsidRPr="002E334A" w:rsidRDefault="00154A55" w:rsidP="00154A55">
      <w:pPr>
        <w:pStyle w:val="SingleTxtG"/>
      </w:pPr>
      <w:r w:rsidRPr="002E334A">
        <w:t>132.</w:t>
      </w:r>
      <w:r w:rsidRPr="002E334A">
        <w:tab/>
        <w:t xml:space="preserve">Департамент информационно-коммуникационных технологий разработал программу речевого воспроизведения текстов на монгольском языке с целью обеспечения своевременного и не сопряженного с дополнительными расходами доступа к информации для лиц с инвалидностью. С помощью этой программы лица с инвалидностью могут получать доступ к веб-сайтам, новостным и другим телепередачам на монгольском языке. Лица с инвалидностью, в том числе с нарушениями слуха и зрения, могут получать доступ к информации через службы сурдоперевода, письменного перевода, написания и чтения документов, а также справочной службы. В течение одного часа в новостной программе </w:t>
      </w:r>
      <w:r w:rsidR="002279A3">
        <w:t>«</w:t>
      </w:r>
      <w:proofErr w:type="spellStart"/>
      <w:r w:rsidRPr="002E334A">
        <w:t>Цагиин</w:t>
      </w:r>
      <w:proofErr w:type="spellEnd"/>
      <w:r w:rsidRPr="002E334A">
        <w:t xml:space="preserve"> </w:t>
      </w:r>
      <w:proofErr w:type="spellStart"/>
      <w:r w:rsidRPr="002E334A">
        <w:t>хурд</w:t>
      </w:r>
      <w:proofErr w:type="spellEnd"/>
      <w:r w:rsidR="002279A3">
        <w:t>»</w:t>
      </w:r>
      <w:r w:rsidRPr="002E334A">
        <w:t xml:space="preserve"> Монгольского национального телевидения на регулярной основе обеспечивается сурдоперевод. С июня 2019 года НСУ транслирует по Монгольскому национальному телевидению ежемесячные социально-экономические новости с сурдопереводом. С</w:t>
      </w:r>
      <w:r w:rsidR="007C0D3B">
        <w:t> </w:t>
      </w:r>
      <w:r w:rsidRPr="002E334A">
        <w:t xml:space="preserve">этого года с сурдопереводом производится и показ национального фестиваля </w:t>
      </w:r>
      <w:r w:rsidR="002279A3">
        <w:t>«</w:t>
      </w:r>
      <w:proofErr w:type="spellStart"/>
      <w:r w:rsidRPr="002E334A">
        <w:t>Наадам</w:t>
      </w:r>
      <w:proofErr w:type="spellEnd"/>
      <w:r w:rsidR="002279A3">
        <w:t>»</w:t>
      </w:r>
      <w:r w:rsidRPr="002E334A">
        <w:t>. Сурдоперевод обеспечивается в ходе национальных и международных совещаний, форумов, семинаров и спортивных мероприятий. МТСЗ предлагает транслировать с сурдопереводом некоторые важные государственные мероприятия, в</w:t>
      </w:r>
      <w:r w:rsidR="00D0031F">
        <w:t> </w:t>
      </w:r>
      <w:r w:rsidRPr="002E334A">
        <w:t xml:space="preserve">том числе на </w:t>
      </w:r>
      <w:r w:rsidR="002279A3">
        <w:t>«</w:t>
      </w:r>
      <w:r w:rsidRPr="002E334A">
        <w:t>заседания парламента</w:t>
      </w:r>
      <w:r w:rsidR="002279A3">
        <w:t>»</w:t>
      </w:r>
      <w:r w:rsidRPr="002E334A">
        <w:t xml:space="preserve">, обзор </w:t>
      </w:r>
      <w:r w:rsidR="002279A3">
        <w:t>«</w:t>
      </w:r>
      <w:r w:rsidRPr="002E334A">
        <w:t>заседаний кабинета министров</w:t>
      </w:r>
      <w:r w:rsidR="002279A3">
        <w:t>»</w:t>
      </w:r>
      <w:r w:rsidRPr="002E334A">
        <w:t xml:space="preserve"> и телепрограмму </w:t>
      </w:r>
      <w:r w:rsidR="002279A3">
        <w:t>«</w:t>
      </w:r>
      <w:proofErr w:type="spellStart"/>
      <w:r w:rsidRPr="002E334A">
        <w:t>Засаг</w:t>
      </w:r>
      <w:proofErr w:type="spellEnd"/>
      <w:r w:rsidRPr="002E334A">
        <w:t xml:space="preserve"> </w:t>
      </w:r>
      <w:proofErr w:type="spellStart"/>
      <w:r w:rsidRPr="002E334A">
        <w:t>цаг</w:t>
      </w:r>
      <w:proofErr w:type="spellEnd"/>
      <w:r w:rsidR="002279A3">
        <w:t>»</w:t>
      </w:r>
      <w:r w:rsidRPr="002E334A">
        <w:t xml:space="preserve"> (Правительственный час</w:t>
      </w:r>
      <w:r w:rsidR="002279A3">
        <w:t>»</w:t>
      </w:r>
      <w:r w:rsidRPr="002E334A">
        <w:t xml:space="preserve">). С марта 2019 года программа </w:t>
      </w:r>
      <w:r w:rsidR="002279A3">
        <w:t>«</w:t>
      </w:r>
      <w:r w:rsidRPr="002E334A">
        <w:t>Новости</w:t>
      </w:r>
      <w:r w:rsidR="002279A3">
        <w:t>»</w:t>
      </w:r>
      <w:r w:rsidRPr="002E334A">
        <w:t xml:space="preserve"> на канале С1 транслируется с сурдопереводом. </w:t>
      </w:r>
    </w:p>
    <w:p w14:paraId="3B7B3578" w14:textId="77777777" w:rsidR="00154A55" w:rsidRPr="002E334A" w:rsidRDefault="00154A55" w:rsidP="00154A55">
      <w:pPr>
        <w:pStyle w:val="SingleTxtG"/>
      </w:pPr>
      <w:r w:rsidRPr="002E334A">
        <w:t>133.</w:t>
      </w:r>
      <w:r w:rsidRPr="002E334A">
        <w:tab/>
        <w:t>Координационный комитет по коммуникации в настоящее время переводит руководство WGA2.0 для повышения доступности веб-сайта и его содержания для соответствующих организаций.</w:t>
      </w:r>
    </w:p>
    <w:p w14:paraId="00BF15B0" w14:textId="77777777" w:rsidR="00154A55" w:rsidRPr="002E334A" w:rsidRDefault="00154A55" w:rsidP="007C0D3B">
      <w:pPr>
        <w:pStyle w:val="H1G"/>
      </w:pPr>
      <w:r w:rsidRPr="002E334A">
        <w:tab/>
      </w:r>
      <w:r w:rsidRPr="002E334A">
        <w:tab/>
        <w:t>Ответ на пункт 16 b) перечня вопросов</w:t>
      </w:r>
    </w:p>
    <w:p w14:paraId="3DAFB34A" w14:textId="77777777" w:rsidR="00154A55" w:rsidRPr="002E334A" w:rsidRDefault="00154A55" w:rsidP="00154A55">
      <w:pPr>
        <w:pStyle w:val="SingleTxtG"/>
      </w:pPr>
      <w:r w:rsidRPr="002E334A">
        <w:t>134.</w:t>
      </w:r>
      <w:r w:rsidRPr="002E334A">
        <w:tab/>
        <w:t xml:space="preserve">Правительство Монголии уделяет внимание развитию монгольского языка жестов, который является основным средством общения для людей с нарушениями слуха и речи. </w:t>
      </w:r>
    </w:p>
    <w:p w14:paraId="187DFA20" w14:textId="77777777" w:rsidR="00154A55" w:rsidRPr="002E334A" w:rsidRDefault="00154A55" w:rsidP="00154A55">
      <w:pPr>
        <w:pStyle w:val="SingleTxtG"/>
      </w:pPr>
      <w:r w:rsidRPr="002E334A">
        <w:t>135.</w:t>
      </w:r>
      <w:r w:rsidRPr="002E334A">
        <w:tab/>
        <w:t>В частности, правительство Монголии разработало словарь, содержащий 3000</w:t>
      </w:r>
      <w:r w:rsidR="007C0D3B">
        <w:t> </w:t>
      </w:r>
      <w:r w:rsidRPr="002E334A">
        <w:t xml:space="preserve">слов языка жестов. Постепенно проводится обучение специалистов языку жестов. Подготовку проходят социальные работники, учителя, полицейские и сотрудники по работе с детьми. При поддержке ЮНИСЕФ в Специальной школе № 29 для детей с нарушениями слуха создан Центр комплексного обучения языку жестов и организованы учебные курсы для родителей, учителей, заинтересованных лиц и молодежи. Завершен процесс стандартизации монгольского языка жестов и выбора наиболее необходимых слов для использования детьми обычных школ и детских садов, а также их перевода на язык жестов. В </w:t>
      </w:r>
      <w:proofErr w:type="spellStart"/>
      <w:r w:rsidRPr="002E334A">
        <w:t>сомонах</w:t>
      </w:r>
      <w:proofErr w:type="spellEnd"/>
      <w:r w:rsidRPr="002E334A">
        <w:t xml:space="preserve"> было проведено обследование по языку жестов, а в сотрудничестве с НПО </w:t>
      </w:r>
      <w:r w:rsidR="002279A3">
        <w:t>«</w:t>
      </w:r>
      <w:r w:rsidRPr="002E334A">
        <w:t>Просвещение по проблемам потери слуха</w:t>
      </w:r>
      <w:r w:rsidR="002279A3">
        <w:t>»</w:t>
      </w:r>
      <w:r w:rsidRPr="002E334A">
        <w:t xml:space="preserve"> была организована подготовка инструкторов на местном уровне, которую прошли 80 участников из 4 аймаков. В Профессиональном учебном центре Национального центра реабилитации и обучения вскоре будет открыт курс </w:t>
      </w:r>
      <w:r w:rsidR="002279A3">
        <w:t>«</w:t>
      </w:r>
      <w:r w:rsidRPr="002E334A">
        <w:t xml:space="preserve">Язык жестов </w:t>
      </w:r>
      <w:r w:rsidR="007C0D3B">
        <w:t>⸺</w:t>
      </w:r>
      <w:r w:rsidRPr="002E334A">
        <w:t xml:space="preserve"> письменный и устный переводчик</w:t>
      </w:r>
      <w:r w:rsidR="002279A3">
        <w:t>»</w:t>
      </w:r>
      <w:r w:rsidRPr="002E334A">
        <w:t>, обучение на котором составляет полтора года. Во исполнение статьи 12 Закона о правах лиц с инвалидностью перевод на язык жестов обеспечивается Национальной телевещательной компанией Монголии при освещении всех общественных мероприятий, при этом другие средства массовой информации призывают общественность изучать язык жестов. При участии ОЛИ поэтапно организуются курсы обучения языку жестов начального и второго уровней сложности. За последние четыре года курс обучения прошли в общей сложности 400</w:t>
      </w:r>
      <w:r w:rsidR="007C0D3B">
        <w:t> </w:t>
      </w:r>
      <w:r w:rsidRPr="002E334A">
        <w:t xml:space="preserve">государственных служащих и сотрудников ОЛИ: в 2016 году </w:t>
      </w:r>
      <w:r w:rsidR="007C0D3B">
        <w:t>⸺</w:t>
      </w:r>
      <w:r w:rsidRPr="002E334A">
        <w:t xml:space="preserve"> 46 человек, </w:t>
      </w:r>
      <w:r w:rsidR="007C0D3B">
        <w:br/>
      </w:r>
      <w:r w:rsidRPr="002E334A">
        <w:t xml:space="preserve">в 2017 году </w:t>
      </w:r>
      <w:r w:rsidR="007C0D3B">
        <w:t>⸺</w:t>
      </w:r>
      <w:r w:rsidRPr="002E334A">
        <w:t xml:space="preserve"> 75 человек, в 2018 году </w:t>
      </w:r>
      <w:r w:rsidR="007C0D3B">
        <w:t>⸺</w:t>
      </w:r>
      <w:r w:rsidRPr="002E334A">
        <w:t xml:space="preserve"> 112 человек и в 2019 году </w:t>
      </w:r>
      <w:r w:rsidR="007C0D3B">
        <w:t>⸺</w:t>
      </w:r>
      <w:r w:rsidRPr="002E334A">
        <w:t xml:space="preserve"> 94 человека. Разработан проект постановления об обеспечении услуг по переводу на монгольском языке жестов, однако он не утвержден, поскольку профессия сурдопереводчика не </w:t>
      </w:r>
      <w:r w:rsidRPr="002E334A">
        <w:lastRenderedPageBreak/>
        <w:t xml:space="preserve">фигурирует в перечне специальностей и профессий Монголии. На основе этого постановления будет осуществляться координация работы службы сурдоперевода для лиц с нарушениями слуха и речи. </w:t>
      </w:r>
    </w:p>
    <w:p w14:paraId="33F14D35" w14:textId="77777777" w:rsidR="00154A55" w:rsidRPr="002E334A" w:rsidRDefault="00154A55" w:rsidP="007C0D3B">
      <w:pPr>
        <w:pStyle w:val="H1G"/>
      </w:pPr>
      <w:r w:rsidRPr="002E334A">
        <w:tab/>
      </w:r>
      <w:r w:rsidRPr="002E334A">
        <w:tab/>
        <w:t>Ответ на пункт 16 с) перечня вопросов</w:t>
      </w:r>
    </w:p>
    <w:p w14:paraId="4B2BAAD7" w14:textId="77777777" w:rsidR="00154A55" w:rsidRPr="002E334A" w:rsidRDefault="00154A55" w:rsidP="00154A55">
      <w:pPr>
        <w:pStyle w:val="SingleTxtG"/>
      </w:pPr>
      <w:r w:rsidRPr="002E334A">
        <w:t>136.</w:t>
      </w:r>
      <w:r w:rsidRPr="002E334A">
        <w:tab/>
        <w:t xml:space="preserve">Правительство осуществляет инвестиции и постепенно закупает </w:t>
      </w:r>
      <w:proofErr w:type="spellStart"/>
      <w:r w:rsidRPr="002E334A">
        <w:t>ассистивные</w:t>
      </w:r>
      <w:proofErr w:type="spellEnd"/>
      <w:r w:rsidRPr="002E334A">
        <w:t xml:space="preserve"> приспособления. В Специальной школе № 25, где обучаются дети с инвалидностью, для обеспечения доступности при финансовой поддержке ООО </w:t>
      </w:r>
      <w:r w:rsidR="002279A3">
        <w:t>«</w:t>
      </w:r>
      <w:proofErr w:type="spellStart"/>
      <w:r w:rsidRPr="002E334A">
        <w:t>Оюу</w:t>
      </w:r>
      <w:proofErr w:type="spellEnd"/>
      <w:r w:rsidRPr="002E334A">
        <w:t xml:space="preserve"> </w:t>
      </w:r>
      <w:proofErr w:type="spellStart"/>
      <w:r w:rsidRPr="002E334A">
        <w:t>Толгой</w:t>
      </w:r>
      <w:proofErr w:type="spellEnd"/>
      <w:r w:rsidR="002279A3">
        <w:t>»</w:t>
      </w:r>
      <w:r w:rsidRPr="002E334A">
        <w:t xml:space="preserve"> был установлен лифт стоимостью 140,0 млн тугриков. Для пяти обычных школ и двух детских садов были закуплены автобус (стоимостью 1 млрд тугриков), а также мебель и доступные учебные материалы (стоимостью 500,0 млн тугриков). </w:t>
      </w:r>
    </w:p>
    <w:p w14:paraId="6545E9F9" w14:textId="77777777" w:rsidR="00154A55" w:rsidRPr="002E334A" w:rsidRDefault="00154A55" w:rsidP="00154A55">
      <w:pPr>
        <w:pStyle w:val="H1G"/>
      </w:pPr>
      <w:r w:rsidRPr="002E334A">
        <w:tab/>
      </w:r>
      <w:r w:rsidRPr="002E334A">
        <w:tab/>
      </w:r>
      <w:r w:rsidRPr="002E334A">
        <w:rPr>
          <w:bCs/>
        </w:rPr>
        <w:t>Ответ на пункт 17 перечня вопросов</w:t>
      </w:r>
    </w:p>
    <w:p w14:paraId="462DD690" w14:textId="77777777" w:rsidR="00154A55" w:rsidRPr="002E334A" w:rsidRDefault="00154A55" w:rsidP="00154A55">
      <w:pPr>
        <w:pStyle w:val="SingleTxtG"/>
      </w:pPr>
      <w:r w:rsidRPr="002E334A">
        <w:t>137.</w:t>
      </w:r>
      <w:r w:rsidRPr="002E334A">
        <w:tab/>
        <w:t xml:space="preserve">Право на вступление в брак, усыновление/удочерение детей закреплено в следующих статьях Закона о семье: </w:t>
      </w:r>
    </w:p>
    <w:p w14:paraId="678D3BBC" w14:textId="77777777" w:rsidR="00154A55" w:rsidRPr="002E334A" w:rsidRDefault="00154A55" w:rsidP="00154A55">
      <w:pPr>
        <w:pStyle w:val="Bullet1G"/>
        <w:numPr>
          <w:ilvl w:val="0"/>
          <w:numId w:val="4"/>
        </w:numPr>
      </w:pPr>
      <w:r w:rsidRPr="002E334A">
        <w:t>Статья 4. Брак, принципы семейных взаимоотношений; 4.1 Брак основывается на равенстве прав и принципе добровольности.</w:t>
      </w:r>
    </w:p>
    <w:p w14:paraId="30398AF1" w14:textId="77777777" w:rsidR="00154A55" w:rsidRPr="002E334A" w:rsidRDefault="00154A55" w:rsidP="00154A55">
      <w:pPr>
        <w:pStyle w:val="Bullet1G"/>
        <w:numPr>
          <w:ilvl w:val="0"/>
          <w:numId w:val="4"/>
        </w:numPr>
      </w:pPr>
      <w:r w:rsidRPr="002E334A">
        <w:t xml:space="preserve">Статья 6. Условия для вступления в брак; 6.1 В отсутствие обстоятельств, препятствующих заключению брака, которые указаны в статье 9.1, гражданин или гражданка Монголии может на основе взаимного согласия вступать в брак с гражданином иностранного государства или с лицом, не имеющим гражданства. </w:t>
      </w:r>
    </w:p>
    <w:p w14:paraId="2A940BC1" w14:textId="77777777" w:rsidR="00154A55" w:rsidRPr="002E334A" w:rsidRDefault="00154A55" w:rsidP="00154A55">
      <w:pPr>
        <w:pStyle w:val="Bullet1G"/>
        <w:numPr>
          <w:ilvl w:val="0"/>
          <w:numId w:val="4"/>
        </w:numPr>
      </w:pPr>
      <w:r w:rsidRPr="002E334A">
        <w:t>Статья</w:t>
      </w:r>
      <w:r w:rsidR="002B1238">
        <w:t> </w:t>
      </w:r>
      <w:r w:rsidRPr="002E334A">
        <w:t xml:space="preserve">9. Обстоятельства, препятствующие заключению брака; </w:t>
      </w:r>
      <w:r w:rsidR="002B1238">
        <w:br/>
      </w:r>
      <w:r w:rsidRPr="002E334A">
        <w:t>9.1 Не допускается заключение брака между:</w:t>
      </w:r>
    </w:p>
    <w:p w14:paraId="0C93BA8A" w14:textId="77777777" w:rsidR="00154A55" w:rsidRPr="002E334A" w:rsidRDefault="00154A55" w:rsidP="00154A55">
      <w:pPr>
        <w:pStyle w:val="Bullet2G"/>
        <w:numPr>
          <w:ilvl w:val="0"/>
          <w:numId w:val="5"/>
        </w:numPr>
      </w:pPr>
      <w:r w:rsidRPr="002E334A">
        <w:t>9.1.1 лицами, из которых хотя бы одно еще не расторгло предыдущий брак;</w:t>
      </w:r>
    </w:p>
    <w:p w14:paraId="1A68084B" w14:textId="77777777" w:rsidR="00154A55" w:rsidRPr="002E334A" w:rsidRDefault="00154A55" w:rsidP="00154A55">
      <w:pPr>
        <w:pStyle w:val="Bullet2G"/>
        <w:numPr>
          <w:ilvl w:val="0"/>
          <w:numId w:val="5"/>
        </w:numPr>
      </w:pPr>
      <w:r w:rsidRPr="002E334A">
        <w:t>9.1.2 лицами, оба или одно из которых не достигли возраста, установленного в статье 6.1;</w:t>
      </w:r>
    </w:p>
    <w:p w14:paraId="2412D5A7" w14:textId="77777777" w:rsidR="00154A55" w:rsidRPr="002E334A" w:rsidRDefault="00154A55" w:rsidP="00154A55">
      <w:pPr>
        <w:pStyle w:val="Bullet2G"/>
        <w:numPr>
          <w:ilvl w:val="0"/>
          <w:numId w:val="5"/>
        </w:numPr>
      </w:pPr>
      <w:r w:rsidRPr="002E334A">
        <w:t>9.1.3 близкими родственниками;</w:t>
      </w:r>
    </w:p>
    <w:p w14:paraId="019B282F" w14:textId="77777777" w:rsidR="00154A55" w:rsidRPr="002E334A" w:rsidRDefault="00154A55" w:rsidP="00154A55">
      <w:pPr>
        <w:pStyle w:val="Bullet2G"/>
        <w:numPr>
          <w:ilvl w:val="0"/>
          <w:numId w:val="5"/>
        </w:numPr>
      </w:pPr>
      <w:r w:rsidRPr="002E334A">
        <w:t>9.1.4 лицом, осуществляющим уход, и его/ее подопечным/подопечной;</w:t>
      </w:r>
    </w:p>
    <w:p w14:paraId="3861559D" w14:textId="77777777" w:rsidR="00154A55" w:rsidRPr="002E334A" w:rsidRDefault="00154A55" w:rsidP="00154A55">
      <w:pPr>
        <w:pStyle w:val="Bullet2G"/>
        <w:numPr>
          <w:ilvl w:val="0"/>
          <w:numId w:val="5"/>
        </w:numPr>
      </w:pPr>
      <w:r w:rsidRPr="002E334A">
        <w:t>9.1.5 усыновителями и усыновленными;</w:t>
      </w:r>
    </w:p>
    <w:p w14:paraId="091E26E8" w14:textId="77777777" w:rsidR="00154A55" w:rsidRPr="002E334A" w:rsidRDefault="00154A55" w:rsidP="00154A55">
      <w:pPr>
        <w:pStyle w:val="Bullet2G"/>
        <w:numPr>
          <w:ilvl w:val="0"/>
          <w:numId w:val="5"/>
        </w:numPr>
      </w:pPr>
      <w:r w:rsidRPr="002E334A">
        <w:t>9.1.6 лицами, оба или одно из которых имеют психическое заболевание, которое, как правило, передается по наследству.</w:t>
      </w:r>
    </w:p>
    <w:p w14:paraId="64C73A11" w14:textId="77777777" w:rsidR="00154A55" w:rsidRPr="002E334A" w:rsidRDefault="00154A55" w:rsidP="00154A55">
      <w:pPr>
        <w:pStyle w:val="Bullet1G"/>
        <w:numPr>
          <w:ilvl w:val="0"/>
          <w:numId w:val="4"/>
        </w:numPr>
      </w:pPr>
      <w:r w:rsidRPr="002E334A">
        <w:t>Статья 54. Усыновление (удочерение) детей; 54.1 Усыновление (удочерение) ребенка производится в его интересах.</w:t>
      </w:r>
    </w:p>
    <w:p w14:paraId="4A0B8953" w14:textId="77777777" w:rsidR="00154A55" w:rsidRPr="002E334A" w:rsidRDefault="00154A55" w:rsidP="00154A55">
      <w:pPr>
        <w:pStyle w:val="Bullet1G"/>
        <w:numPr>
          <w:ilvl w:val="0"/>
          <w:numId w:val="4"/>
        </w:numPr>
      </w:pPr>
      <w:r w:rsidRPr="002E334A">
        <w:t xml:space="preserve">Статья 57. Лица, имеющие право быть усыновителями; 57.1 Усыновителем ребенка должно быть совершеннолетнее, дееспособное лицо, которое способно покрывать расходы на ребенка и воспитывать его. </w:t>
      </w:r>
    </w:p>
    <w:p w14:paraId="37A00540" w14:textId="77777777" w:rsidR="00154A55" w:rsidRPr="002E334A" w:rsidRDefault="00154A55" w:rsidP="00154A55">
      <w:pPr>
        <w:pStyle w:val="SingleTxtG"/>
      </w:pPr>
      <w:r w:rsidRPr="002E334A">
        <w:t>138.</w:t>
      </w:r>
      <w:r w:rsidRPr="002E334A">
        <w:tab/>
        <w:t xml:space="preserve">Вышеуказанные статьи законодательства применимы ко всем лицам с инвалидностью. Правительство представило парламенту пересмотренный вариант Закона о семье. Статей, которые бы строго ограничивали права лиц с инвалидностью на вступление в брак, усыновление ребенка и осуществление их родительских прав не существует. В случае необходимости некоторые статьи во время сессии парламента могут быть изменены. В целях оказания поддержки родителям-инвалидам в уходе за их детьми правительство Монголии, в соответствии с пунктом 6 статьи 13.5 Закона о социальном обеспечении, выделяет на детей в возрасте до 16 лет, нуждающихся в постоянном уходе, ежемесячные пособия в размере ежемесячной пенсии по социальному обеспечению. </w:t>
      </w:r>
    </w:p>
    <w:p w14:paraId="10F648C3" w14:textId="77777777" w:rsidR="00154A55" w:rsidRPr="002E334A" w:rsidRDefault="00154A55" w:rsidP="00154A55">
      <w:pPr>
        <w:pStyle w:val="SingleTxtG"/>
      </w:pPr>
      <w:r w:rsidRPr="002E334A">
        <w:lastRenderedPageBreak/>
        <w:t>139.</w:t>
      </w:r>
      <w:r w:rsidRPr="002E334A">
        <w:tab/>
        <w:t xml:space="preserve">С 2018 года родители детей-инвалидов, которые являются безработными и ухаживают за своими детьми, охвачены Программой содействия трудоустройству лиц с инвалидностью. </w:t>
      </w:r>
    </w:p>
    <w:p w14:paraId="53521284" w14:textId="77777777" w:rsidR="00154A55" w:rsidRPr="002E334A" w:rsidRDefault="00154A55" w:rsidP="002B1238">
      <w:pPr>
        <w:pStyle w:val="H1G"/>
      </w:pPr>
      <w:r w:rsidRPr="002E334A">
        <w:tab/>
      </w:r>
      <w:r w:rsidRPr="002E334A">
        <w:tab/>
        <w:t>Ответ на пункт 18 перечня вопросов</w:t>
      </w:r>
    </w:p>
    <w:p w14:paraId="0E9D3C34" w14:textId="77777777" w:rsidR="00154A55" w:rsidRPr="002E334A" w:rsidRDefault="00154A55" w:rsidP="00154A55">
      <w:pPr>
        <w:pStyle w:val="SingleTxtG"/>
      </w:pPr>
      <w:r w:rsidRPr="002E334A">
        <w:t>140.</w:t>
      </w:r>
      <w:r w:rsidRPr="002E334A">
        <w:tab/>
        <w:t>В октябре 2013 года в Центре образования Университета образования Монголии были открыты два годичных класса для подготовки преподавателей для работы с учащимися, которые имеют особые образовательные потребности (индекс D40300). В 2013</w:t>
      </w:r>
      <w:r w:rsidR="002B1238" w:rsidRPr="002B1238">
        <w:t>/</w:t>
      </w:r>
      <w:r w:rsidRPr="002E334A">
        <w:t>14 и 2014</w:t>
      </w:r>
      <w:r w:rsidR="002B1238" w:rsidRPr="002B1238">
        <w:t>/</w:t>
      </w:r>
      <w:r w:rsidRPr="002E334A">
        <w:t>15 учебных годах соответствующее обучение прошли 77</w:t>
      </w:r>
      <w:r w:rsidR="002B1238">
        <w:rPr>
          <w:lang w:val="en-US"/>
        </w:rPr>
        <w:t> </w:t>
      </w:r>
      <w:r w:rsidRPr="002E334A">
        <w:t>человек, которые сегодня работают в специальных школах, детских садах и НПО. С 2015</w:t>
      </w:r>
      <w:r w:rsidR="002B1238" w:rsidRPr="002B1238">
        <w:t>/</w:t>
      </w:r>
      <w:r w:rsidRPr="002E334A">
        <w:t>16 учебного года срок обучения для получения диплома бакалавра был продлен с одного года до трех с половиной лет. В 2017</w:t>
      </w:r>
      <w:r w:rsidR="002B1238" w:rsidRPr="002B1238">
        <w:t>/</w:t>
      </w:r>
      <w:r w:rsidRPr="002E334A">
        <w:t xml:space="preserve">18 учебном году в учебный план Университета образования Монголии было включено два зачетных занятия на тему </w:t>
      </w:r>
      <w:r w:rsidR="002279A3">
        <w:t>«</w:t>
      </w:r>
      <w:r w:rsidRPr="002E334A">
        <w:t>Нарушения речи и способы их коррекции</w:t>
      </w:r>
      <w:r w:rsidR="002279A3">
        <w:t>»</w:t>
      </w:r>
      <w:r w:rsidRPr="002E334A">
        <w:t>. В рамках программы сотрудничества по обмену между преподавателями и студентами, специализирующимися в области образования для лиц с особыми потребностями, была организована ознакомительная поездка в Венгерскую Республику и Японию. В настоящее время разрабатывается учебный материал. В 2018</w:t>
      </w:r>
      <w:r w:rsidR="002B1238" w:rsidRPr="002B1238">
        <w:t>/</w:t>
      </w:r>
      <w:r w:rsidRPr="002E334A">
        <w:t>19 учебном году для преподавательского состава 2137</w:t>
      </w:r>
      <w:r w:rsidR="002B1238">
        <w:rPr>
          <w:lang w:val="en-US"/>
        </w:rPr>
        <w:t> </w:t>
      </w:r>
      <w:r w:rsidRPr="002E334A">
        <w:t>училищ был организован онлайн-курс подготовки по инклюзивному образованию, а также распространены соответствующие учебные материалы. В общей сложности подготовку по вопросам инклюзивного образования прошли 2680</w:t>
      </w:r>
      <w:r w:rsidR="002B1238">
        <w:rPr>
          <w:lang w:val="en-US"/>
        </w:rPr>
        <w:t> </w:t>
      </w:r>
      <w:r w:rsidRPr="002E334A">
        <w:t>преподавателей и работников училищ, в том числе 1200 преподавателей дисциплин по 14 специальностям с десятилетним стажем работы, 836 преподавателей дисциплин по 13 специальностям с пятилетним стажем работы и 644 преподавателя дисциплин по 13 специальностям с годовым стажем работы. В 2019</w:t>
      </w:r>
      <w:r w:rsidR="002B1238" w:rsidRPr="002B1238">
        <w:t>/</w:t>
      </w:r>
      <w:r w:rsidRPr="002E334A">
        <w:t>20 учебном году благодаря стипендиям, выделенным правительством России, восемь студентов уехали на учебу по специальностям логопедия, сурдопедагогика (преподаватель для лиц с нарушениями слуха), олигофренопедагогика (диалектолог). В 2018</w:t>
      </w:r>
      <w:r w:rsidR="002B1238" w:rsidRPr="002B1238">
        <w:t>/</w:t>
      </w:r>
      <w:r w:rsidRPr="002E334A">
        <w:t xml:space="preserve">19 учебном году курс </w:t>
      </w:r>
      <w:r w:rsidR="002279A3">
        <w:t>«</w:t>
      </w:r>
      <w:r w:rsidRPr="002E334A">
        <w:t>Образование для лиц с особыми потребностями</w:t>
      </w:r>
      <w:r w:rsidR="002279A3">
        <w:t>»</w:t>
      </w:r>
      <w:r w:rsidRPr="002E334A">
        <w:t xml:space="preserve"> в Университете образования Монголии прошли более 100 студентов. С целью содействия инклюзивному образованию детей с инвалидностью начато осуществление проекта по созданию доступной среды в детских садах и школах. Этот проект предусматривает работы по переустройству зданий отдельных детских садов и школ, с тем чтобы они стали доступными, организацию ознакомительного учебного курса для педагогов, сотрудников администрации ряда </w:t>
      </w:r>
      <w:proofErr w:type="spellStart"/>
      <w:r w:rsidRPr="002E334A">
        <w:t>сомонов</w:t>
      </w:r>
      <w:proofErr w:type="spellEnd"/>
      <w:r w:rsidRPr="002E334A">
        <w:t xml:space="preserve"> и багов, а также для родителей, и проведение информационно-просветительских мероприятий. В 2018</w:t>
      </w:r>
      <w:r w:rsidR="002B1238" w:rsidRPr="002B1238">
        <w:t>/</w:t>
      </w:r>
      <w:r w:rsidRPr="002E334A">
        <w:t xml:space="preserve">19 учебном году в 32 специальных классах общеобразовательных школ страны обучалось 420 детей с инвалидностью. 56 детей с инвалидностью обучались в </w:t>
      </w:r>
      <w:r w:rsidR="00B73CB9">
        <w:t>5</w:t>
      </w:r>
      <w:r w:rsidRPr="002E334A">
        <w:t xml:space="preserve"> специальных группах детских садов. Эти специальные классы призваны содействовать продвижению инклюзивного образования на местном уровне. Уже достигнуты определенные результаты. </w:t>
      </w:r>
    </w:p>
    <w:p w14:paraId="411B6019" w14:textId="77777777" w:rsidR="00154A55" w:rsidRPr="002E334A" w:rsidRDefault="00154A55" w:rsidP="002B1238">
      <w:pPr>
        <w:pStyle w:val="H23G"/>
      </w:pPr>
      <w:r w:rsidRPr="002E334A">
        <w:tab/>
      </w:r>
      <w:r w:rsidRPr="002E334A">
        <w:tab/>
        <w:t xml:space="preserve">Интеграция детей с инвалидностью в систему школьного образования </w:t>
      </w:r>
      <w:r w:rsidR="00B73CB9">
        <w:br/>
      </w:r>
      <w:r w:rsidRPr="002E334A">
        <w:t>(2016-2018 годы)</w:t>
      </w:r>
    </w:p>
    <w:tbl>
      <w:tblPr>
        <w:tblW w:w="8504" w:type="dxa"/>
        <w:tblInd w:w="1134" w:type="dxa"/>
        <w:tblLayout w:type="fixed"/>
        <w:tblCellMar>
          <w:left w:w="0" w:type="dxa"/>
          <w:right w:w="0" w:type="dxa"/>
        </w:tblCellMar>
        <w:tblLook w:val="04A0" w:firstRow="1" w:lastRow="0" w:firstColumn="1" w:lastColumn="0" w:noHBand="0" w:noVBand="1"/>
      </w:tblPr>
      <w:tblGrid>
        <w:gridCol w:w="798"/>
        <w:gridCol w:w="1246"/>
        <w:gridCol w:w="1134"/>
        <w:gridCol w:w="1413"/>
        <w:gridCol w:w="1300"/>
        <w:gridCol w:w="1304"/>
        <w:gridCol w:w="1309"/>
      </w:tblGrid>
      <w:tr w:rsidR="002B1238" w:rsidRPr="002B1238" w14:paraId="3CDE2AEA" w14:textId="77777777" w:rsidTr="002B1238">
        <w:trPr>
          <w:tblHeader/>
        </w:trPr>
        <w:tc>
          <w:tcPr>
            <w:tcW w:w="798" w:type="dxa"/>
            <w:tcBorders>
              <w:top w:val="single" w:sz="4" w:space="0" w:color="auto"/>
              <w:bottom w:val="single" w:sz="12" w:space="0" w:color="auto"/>
            </w:tcBorders>
            <w:shd w:val="clear" w:color="auto" w:fill="auto"/>
            <w:tcMar>
              <w:top w:w="80" w:type="dxa"/>
              <w:left w:w="80" w:type="dxa"/>
              <w:bottom w:w="80" w:type="dxa"/>
              <w:right w:w="80" w:type="dxa"/>
            </w:tcMar>
            <w:vAlign w:val="bottom"/>
          </w:tcPr>
          <w:p w14:paraId="52426451" w14:textId="77777777" w:rsidR="00154A55" w:rsidRPr="002B1238" w:rsidRDefault="00154A55" w:rsidP="002B1238">
            <w:pPr>
              <w:spacing w:before="80" w:after="80" w:line="200" w:lineRule="exact"/>
              <w:ind w:left="28"/>
              <w:rPr>
                <w:rFonts w:cs="Times New Roman"/>
                <w:i/>
                <w:sz w:val="16"/>
              </w:rPr>
            </w:pPr>
            <w:r w:rsidRPr="002B1238">
              <w:rPr>
                <w:rFonts w:cs="Times New Roman"/>
                <w:i/>
                <w:sz w:val="16"/>
              </w:rPr>
              <w:t>Учебный год</w:t>
            </w:r>
          </w:p>
        </w:tc>
        <w:tc>
          <w:tcPr>
            <w:tcW w:w="1246" w:type="dxa"/>
            <w:tcBorders>
              <w:top w:val="single" w:sz="4" w:space="0" w:color="auto"/>
              <w:bottom w:val="single" w:sz="12" w:space="0" w:color="auto"/>
            </w:tcBorders>
            <w:shd w:val="clear" w:color="auto" w:fill="auto"/>
            <w:tcMar>
              <w:top w:w="80" w:type="dxa"/>
              <w:left w:w="80" w:type="dxa"/>
              <w:bottom w:w="80" w:type="dxa"/>
              <w:right w:w="80" w:type="dxa"/>
            </w:tcMar>
            <w:vAlign w:val="bottom"/>
          </w:tcPr>
          <w:p w14:paraId="580F4AF8" w14:textId="77777777" w:rsidR="00154A55" w:rsidRPr="002B1238" w:rsidRDefault="00154A55" w:rsidP="002B1238">
            <w:pPr>
              <w:spacing w:before="80" w:after="80" w:line="200" w:lineRule="exact"/>
              <w:ind w:left="28"/>
              <w:jc w:val="right"/>
              <w:rPr>
                <w:rFonts w:cs="Times New Roman"/>
                <w:i/>
                <w:sz w:val="16"/>
              </w:rPr>
            </w:pPr>
            <w:r w:rsidRPr="002B1238">
              <w:rPr>
                <w:rFonts w:cs="Times New Roman"/>
                <w:i/>
                <w:sz w:val="16"/>
              </w:rPr>
              <w:t xml:space="preserve">Количество детей </w:t>
            </w:r>
            <w:r w:rsidRPr="002B1238">
              <w:rPr>
                <w:rFonts w:cs="Times New Roman"/>
                <w:i/>
                <w:spacing w:val="-2"/>
                <w:sz w:val="16"/>
              </w:rPr>
              <w:t>с инвалидностью</w:t>
            </w:r>
          </w:p>
        </w:tc>
        <w:tc>
          <w:tcPr>
            <w:tcW w:w="1134" w:type="dxa"/>
            <w:tcBorders>
              <w:top w:val="single" w:sz="4" w:space="0" w:color="auto"/>
              <w:bottom w:val="single" w:sz="12" w:space="0" w:color="auto"/>
            </w:tcBorders>
            <w:shd w:val="clear" w:color="auto" w:fill="auto"/>
            <w:tcMar>
              <w:top w:w="80" w:type="dxa"/>
              <w:left w:w="80" w:type="dxa"/>
              <w:bottom w:w="80" w:type="dxa"/>
              <w:right w:w="80" w:type="dxa"/>
            </w:tcMar>
            <w:vAlign w:val="bottom"/>
          </w:tcPr>
          <w:p w14:paraId="5DBBFA3D" w14:textId="77777777" w:rsidR="00154A55" w:rsidRPr="002B1238" w:rsidRDefault="00154A55" w:rsidP="002B1238">
            <w:pPr>
              <w:spacing w:before="80" w:after="80" w:line="200" w:lineRule="exact"/>
              <w:ind w:left="28"/>
              <w:jc w:val="right"/>
              <w:rPr>
                <w:rFonts w:cs="Times New Roman"/>
                <w:i/>
                <w:sz w:val="16"/>
              </w:rPr>
            </w:pPr>
            <w:r w:rsidRPr="002B1238">
              <w:rPr>
                <w:rFonts w:cs="Times New Roman"/>
                <w:i/>
                <w:sz w:val="16"/>
              </w:rPr>
              <w:t xml:space="preserve">Дети </w:t>
            </w:r>
            <w:r w:rsidR="002B1238">
              <w:rPr>
                <w:rFonts w:cs="Times New Roman"/>
                <w:i/>
                <w:sz w:val="16"/>
              </w:rPr>
              <w:br/>
            </w:r>
            <w:r w:rsidRPr="002B1238">
              <w:rPr>
                <w:rFonts w:cs="Times New Roman"/>
                <w:i/>
                <w:sz w:val="16"/>
              </w:rPr>
              <w:t xml:space="preserve">младше </w:t>
            </w:r>
            <w:r w:rsidR="002B1238">
              <w:rPr>
                <w:rFonts w:cs="Times New Roman"/>
                <w:i/>
                <w:sz w:val="16"/>
              </w:rPr>
              <w:br/>
            </w:r>
            <w:r w:rsidRPr="002B1238">
              <w:rPr>
                <w:rFonts w:cs="Times New Roman"/>
                <w:i/>
                <w:sz w:val="16"/>
              </w:rPr>
              <w:t>трех лет</w:t>
            </w:r>
          </w:p>
        </w:tc>
        <w:tc>
          <w:tcPr>
            <w:tcW w:w="1413" w:type="dxa"/>
            <w:tcBorders>
              <w:top w:val="single" w:sz="4" w:space="0" w:color="auto"/>
              <w:bottom w:val="single" w:sz="12" w:space="0" w:color="auto"/>
            </w:tcBorders>
            <w:shd w:val="clear" w:color="auto" w:fill="auto"/>
            <w:tcMar>
              <w:top w:w="80" w:type="dxa"/>
              <w:left w:w="80" w:type="dxa"/>
              <w:bottom w:w="80" w:type="dxa"/>
              <w:right w:w="80" w:type="dxa"/>
            </w:tcMar>
            <w:vAlign w:val="bottom"/>
          </w:tcPr>
          <w:p w14:paraId="0F7BD074" w14:textId="77777777" w:rsidR="00154A55" w:rsidRPr="002B1238" w:rsidRDefault="00154A55" w:rsidP="002B1238">
            <w:pPr>
              <w:spacing w:before="80" w:after="80" w:line="200" w:lineRule="exact"/>
              <w:ind w:left="28"/>
              <w:jc w:val="right"/>
              <w:rPr>
                <w:rFonts w:cs="Times New Roman"/>
                <w:i/>
                <w:sz w:val="16"/>
              </w:rPr>
            </w:pPr>
            <w:r w:rsidRPr="002B1238">
              <w:rPr>
                <w:rFonts w:cs="Times New Roman"/>
                <w:i/>
                <w:sz w:val="16"/>
              </w:rPr>
              <w:t xml:space="preserve">Количество лиц </w:t>
            </w:r>
            <w:r w:rsidR="002B1238">
              <w:rPr>
                <w:rFonts w:cs="Times New Roman"/>
                <w:i/>
                <w:sz w:val="16"/>
              </w:rPr>
              <w:br/>
            </w:r>
            <w:r w:rsidRPr="002B1238">
              <w:rPr>
                <w:rFonts w:cs="Times New Roman"/>
                <w:i/>
                <w:sz w:val="16"/>
              </w:rPr>
              <w:t xml:space="preserve">с инвалидностью, обучающихся </w:t>
            </w:r>
            <w:r w:rsidR="002B1238">
              <w:rPr>
                <w:rFonts w:cs="Times New Roman"/>
                <w:i/>
                <w:sz w:val="16"/>
              </w:rPr>
              <w:br/>
            </w:r>
            <w:r w:rsidRPr="002B1238">
              <w:rPr>
                <w:rFonts w:cs="Times New Roman"/>
                <w:i/>
                <w:sz w:val="16"/>
              </w:rPr>
              <w:t>в центрах непрерывного образования</w:t>
            </w:r>
          </w:p>
        </w:tc>
        <w:tc>
          <w:tcPr>
            <w:tcW w:w="1300" w:type="dxa"/>
            <w:tcBorders>
              <w:top w:val="single" w:sz="4" w:space="0" w:color="auto"/>
              <w:bottom w:val="single" w:sz="12" w:space="0" w:color="auto"/>
            </w:tcBorders>
            <w:shd w:val="clear" w:color="auto" w:fill="auto"/>
            <w:tcMar>
              <w:top w:w="80" w:type="dxa"/>
              <w:left w:w="80" w:type="dxa"/>
              <w:bottom w:w="80" w:type="dxa"/>
              <w:right w:w="80" w:type="dxa"/>
            </w:tcMar>
            <w:vAlign w:val="bottom"/>
          </w:tcPr>
          <w:p w14:paraId="1BF8A0E6" w14:textId="77777777" w:rsidR="00154A55" w:rsidRPr="002B1238" w:rsidRDefault="00154A55" w:rsidP="002B1238">
            <w:pPr>
              <w:spacing w:before="80" w:after="80" w:line="200" w:lineRule="exact"/>
              <w:ind w:left="28"/>
              <w:jc w:val="right"/>
              <w:rPr>
                <w:rFonts w:cs="Times New Roman"/>
                <w:i/>
                <w:sz w:val="16"/>
              </w:rPr>
            </w:pPr>
            <w:r w:rsidRPr="002B1238">
              <w:rPr>
                <w:rFonts w:cs="Times New Roman"/>
                <w:i/>
                <w:sz w:val="16"/>
              </w:rPr>
              <w:t xml:space="preserve">Количество детей с инвалидностью, обучающихся </w:t>
            </w:r>
            <w:r w:rsidR="002B1238">
              <w:rPr>
                <w:rFonts w:cs="Times New Roman"/>
                <w:i/>
                <w:sz w:val="16"/>
              </w:rPr>
              <w:br/>
            </w:r>
            <w:r w:rsidRPr="002B1238">
              <w:rPr>
                <w:rFonts w:cs="Times New Roman"/>
                <w:i/>
                <w:sz w:val="16"/>
              </w:rPr>
              <w:t>в обычных школах</w:t>
            </w:r>
          </w:p>
        </w:tc>
        <w:tc>
          <w:tcPr>
            <w:tcW w:w="1304" w:type="dxa"/>
            <w:tcBorders>
              <w:top w:val="single" w:sz="4" w:space="0" w:color="auto"/>
              <w:bottom w:val="single" w:sz="12" w:space="0" w:color="auto"/>
            </w:tcBorders>
            <w:shd w:val="clear" w:color="auto" w:fill="auto"/>
            <w:tcMar>
              <w:top w:w="80" w:type="dxa"/>
              <w:left w:w="80" w:type="dxa"/>
              <w:bottom w:w="80" w:type="dxa"/>
              <w:right w:w="80" w:type="dxa"/>
            </w:tcMar>
            <w:vAlign w:val="bottom"/>
          </w:tcPr>
          <w:p w14:paraId="2C415838" w14:textId="77777777" w:rsidR="00154A55" w:rsidRPr="002B1238" w:rsidRDefault="00154A55" w:rsidP="002B1238">
            <w:pPr>
              <w:spacing w:before="80" w:after="80" w:line="200" w:lineRule="exact"/>
              <w:ind w:left="28"/>
              <w:jc w:val="right"/>
              <w:rPr>
                <w:rFonts w:cs="Times New Roman"/>
                <w:i/>
                <w:sz w:val="16"/>
              </w:rPr>
            </w:pPr>
            <w:r w:rsidRPr="002B1238">
              <w:rPr>
                <w:rFonts w:cs="Times New Roman"/>
                <w:i/>
                <w:sz w:val="16"/>
              </w:rPr>
              <w:t xml:space="preserve">Количество детей с инвалидностью в детских </w:t>
            </w:r>
            <w:r w:rsidR="00B73CB9">
              <w:rPr>
                <w:rFonts w:cs="Times New Roman"/>
                <w:i/>
                <w:sz w:val="16"/>
              </w:rPr>
              <w:br/>
            </w:r>
            <w:r w:rsidRPr="002B1238">
              <w:rPr>
                <w:rFonts w:cs="Times New Roman"/>
                <w:i/>
                <w:sz w:val="16"/>
              </w:rPr>
              <w:t>садах</w:t>
            </w:r>
          </w:p>
        </w:tc>
        <w:tc>
          <w:tcPr>
            <w:tcW w:w="1309" w:type="dxa"/>
            <w:tcBorders>
              <w:top w:val="single" w:sz="4" w:space="0" w:color="auto"/>
              <w:bottom w:val="single" w:sz="12" w:space="0" w:color="auto"/>
            </w:tcBorders>
            <w:shd w:val="clear" w:color="auto" w:fill="auto"/>
            <w:tcMar>
              <w:top w:w="80" w:type="dxa"/>
              <w:left w:w="80" w:type="dxa"/>
              <w:bottom w:w="80" w:type="dxa"/>
              <w:right w:w="80" w:type="dxa"/>
            </w:tcMar>
            <w:vAlign w:val="bottom"/>
          </w:tcPr>
          <w:p w14:paraId="61E22CD1" w14:textId="77777777" w:rsidR="00154A55" w:rsidRPr="002B1238" w:rsidRDefault="00154A55" w:rsidP="002B1238">
            <w:pPr>
              <w:spacing w:before="80" w:after="80" w:line="200" w:lineRule="exact"/>
              <w:ind w:left="28"/>
              <w:jc w:val="right"/>
              <w:rPr>
                <w:rFonts w:cs="Times New Roman"/>
                <w:i/>
                <w:sz w:val="16"/>
              </w:rPr>
            </w:pPr>
            <w:r w:rsidRPr="002B1238">
              <w:rPr>
                <w:rFonts w:cs="Times New Roman"/>
                <w:i/>
                <w:sz w:val="16"/>
              </w:rPr>
              <w:t>Процентная доля детей с инвалидностью, охваченных системой образования</w:t>
            </w:r>
          </w:p>
        </w:tc>
      </w:tr>
      <w:tr w:rsidR="002B1238" w:rsidRPr="002B1238" w14:paraId="35B0DA33" w14:textId="77777777" w:rsidTr="002B1238">
        <w:tc>
          <w:tcPr>
            <w:tcW w:w="798" w:type="dxa"/>
            <w:tcBorders>
              <w:top w:val="single" w:sz="12" w:space="0" w:color="auto"/>
            </w:tcBorders>
            <w:shd w:val="clear" w:color="auto" w:fill="auto"/>
            <w:tcMar>
              <w:top w:w="80" w:type="dxa"/>
              <w:left w:w="80" w:type="dxa"/>
              <w:bottom w:w="80" w:type="dxa"/>
              <w:right w:w="80" w:type="dxa"/>
            </w:tcMar>
          </w:tcPr>
          <w:p w14:paraId="32211672" w14:textId="77777777" w:rsidR="00154A55" w:rsidRPr="002B1238" w:rsidRDefault="00154A55" w:rsidP="002B1238">
            <w:pPr>
              <w:spacing w:before="40" w:after="40" w:line="220" w:lineRule="exact"/>
              <w:rPr>
                <w:rFonts w:cs="Times New Roman"/>
                <w:sz w:val="18"/>
              </w:rPr>
            </w:pPr>
            <w:r w:rsidRPr="002B1238">
              <w:rPr>
                <w:rFonts w:cs="Times New Roman"/>
                <w:sz w:val="18"/>
              </w:rPr>
              <w:t>2016</w:t>
            </w:r>
            <w:r w:rsidR="002B1238">
              <w:rPr>
                <w:rFonts w:cs="Times New Roman"/>
                <w:sz w:val="18"/>
                <w:lang w:val="en-US"/>
              </w:rPr>
              <w:t>/</w:t>
            </w:r>
            <w:r w:rsidRPr="002B1238">
              <w:rPr>
                <w:rFonts w:cs="Times New Roman"/>
                <w:sz w:val="18"/>
              </w:rPr>
              <w:t>17</w:t>
            </w:r>
          </w:p>
        </w:tc>
        <w:tc>
          <w:tcPr>
            <w:tcW w:w="1246" w:type="dxa"/>
            <w:tcBorders>
              <w:top w:val="single" w:sz="12" w:space="0" w:color="auto"/>
            </w:tcBorders>
            <w:shd w:val="clear" w:color="auto" w:fill="auto"/>
            <w:tcMar>
              <w:top w:w="80" w:type="dxa"/>
              <w:left w:w="80" w:type="dxa"/>
              <w:bottom w:w="80" w:type="dxa"/>
              <w:right w:w="80" w:type="dxa"/>
            </w:tcMar>
            <w:vAlign w:val="bottom"/>
          </w:tcPr>
          <w:p w14:paraId="3A66D92C" w14:textId="77777777" w:rsidR="00154A55" w:rsidRPr="002B1238" w:rsidRDefault="00154A55" w:rsidP="002B1238">
            <w:pPr>
              <w:spacing w:before="40" w:after="40" w:line="220" w:lineRule="exact"/>
              <w:jc w:val="right"/>
              <w:rPr>
                <w:rFonts w:cs="Times New Roman"/>
                <w:sz w:val="18"/>
              </w:rPr>
            </w:pPr>
            <w:r w:rsidRPr="002B1238">
              <w:rPr>
                <w:rFonts w:cs="Times New Roman"/>
                <w:sz w:val="18"/>
              </w:rPr>
              <w:t>10 724</w:t>
            </w:r>
          </w:p>
        </w:tc>
        <w:tc>
          <w:tcPr>
            <w:tcW w:w="1134" w:type="dxa"/>
            <w:tcBorders>
              <w:top w:val="single" w:sz="12" w:space="0" w:color="auto"/>
            </w:tcBorders>
            <w:shd w:val="clear" w:color="auto" w:fill="auto"/>
            <w:tcMar>
              <w:top w:w="80" w:type="dxa"/>
              <w:left w:w="80" w:type="dxa"/>
              <w:bottom w:w="80" w:type="dxa"/>
              <w:right w:w="80" w:type="dxa"/>
            </w:tcMar>
            <w:vAlign w:val="bottom"/>
          </w:tcPr>
          <w:p w14:paraId="16A64AF3" w14:textId="77777777" w:rsidR="00154A55" w:rsidRPr="002B1238" w:rsidRDefault="00154A55" w:rsidP="002B1238">
            <w:pPr>
              <w:spacing w:before="40" w:after="40" w:line="220" w:lineRule="exact"/>
              <w:jc w:val="right"/>
              <w:rPr>
                <w:rFonts w:cs="Times New Roman"/>
                <w:sz w:val="18"/>
              </w:rPr>
            </w:pPr>
            <w:r w:rsidRPr="002B1238">
              <w:rPr>
                <w:rFonts w:cs="Times New Roman"/>
                <w:sz w:val="18"/>
              </w:rPr>
              <w:t>данные</w:t>
            </w:r>
            <w:r w:rsidR="00BC6CB5" w:rsidRPr="002B1238">
              <w:rPr>
                <w:rFonts w:cs="Times New Roman"/>
                <w:sz w:val="18"/>
              </w:rPr>
              <w:t xml:space="preserve"> </w:t>
            </w:r>
            <w:r w:rsidRPr="002B1238">
              <w:rPr>
                <w:rFonts w:cs="Times New Roman"/>
                <w:sz w:val="18"/>
              </w:rPr>
              <w:t>отсутствуют</w:t>
            </w:r>
          </w:p>
        </w:tc>
        <w:tc>
          <w:tcPr>
            <w:tcW w:w="1413" w:type="dxa"/>
            <w:tcBorders>
              <w:top w:val="single" w:sz="12" w:space="0" w:color="auto"/>
            </w:tcBorders>
            <w:shd w:val="clear" w:color="auto" w:fill="auto"/>
            <w:tcMar>
              <w:top w:w="80" w:type="dxa"/>
              <w:left w:w="80" w:type="dxa"/>
              <w:bottom w:w="80" w:type="dxa"/>
              <w:right w:w="80" w:type="dxa"/>
            </w:tcMar>
            <w:vAlign w:val="bottom"/>
          </w:tcPr>
          <w:p w14:paraId="0495F737" w14:textId="77777777" w:rsidR="00154A55" w:rsidRPr="002B1238" w:rsidRDefault="00154A55" w:rsidP="002B1238">
            <w:pPr>
              <w:spacing w:before="40" w:after="40" w:line="220" w:lineRule="exact"/>
              <w:jc w:val="right"/>
              <w:rPr>
                <w:rFonts w:cs="Times New Roman"/>
                <w:sz w:val="18"/>
              </w:rPr>
            </w:pPr>
            <w:r w:rsidRPr="002B1238">
              <w:rPr>
                <w:rFonts w:cs="Times New Roman"/>
                <w:sz w:val="18"/>
              </w:rPr>
              <w:t>данные отсутствуют</w:t>
            </w:r>
          </w:p>
        </w:tc>
        <w:tc>
          <w:tcPr>
            <w:tcW w:w="1300" w:type="dxa"/>
            <w:tcBorders>
              <w:top w:val="single" w:sz="12" w:space="0" w:color="auto"/>
            </w:tcBorders>
            <w:shd w:val="clear" w:color="auto" w:fill="auto"/>
            <w:tcMar>
              <w:top w:w="80" w:type="dxa"/>
              <w:left w:w="80" w:type="dxa"/>
              <w:bottom w:w="80" w:type="dxa"/>
              <w:right w:w="80" w:type="dxa"/>
            </w:tcMar>
            <w:vAlign w:val="bottom"/>
          </w:tcPr>
          <w:p w14:paraId="0839AF88" w14:textId="77777777" w:rsidR="00154A55" w:rsidRPr="002B1238" w:rsidRDefault="00154A55" w:rsidP="002B1238">
            <w:pPr>
              <w:spacing w:before="40" w:after="40" w:line="220" w:lineRule="exact"/>
              <w:jc w:val="right"/>
              <w:rPr>
                <w:rFonts w:cs="Times New Roman"/>
                <w:sz w:val="18"/>
              </w:rPr>
            </w:pPr>
            <w:r w:rsidRPr="002B1238">
              <w:rPr>
                <w:rFonts w:cs="Times New Roman"/>
                <w:sz w:val="18"/>
              </w:rPr>
              <w:t>8 362</w:t>
            </w:r>
          </w:p>
        </w:tc>
        <w:tc>
          <w:tcPr>
            <w:tcW w:w="1304" w:type="dxa"/>
            <w:tcBorders>
              <w:top w:val="single" w:sz="12" w:space="0" w:color="auto"/>
            </w:tcBorders>
            <w:shd w:val="clear" w:color="auto" w:fill="auto"/>
            <w:tcMar>
              <w:top w:w="80" w:type="dxa"/>
              <w:left w:w="80" w:type="dxa"/>
              <w:bottom w:w="80" w:type="dxa"/>
              <w:right w:w="80" w:type="dxa"/>
            </w:tcMar>
            <w:vAlign w:val="bottom"/>
          </w:tcPr>
          <w:p w14:paraId="280FB0E0" w14:textId="77777777" w:rsidR="00154A55" w:rsidRPr="002B1238" w:rsidRDefault="00154A55" w:rsidP="002B1238">
            <w:pPr>
              <w:spacing w:before="40" w:after="40" w:line="220" w:lineRule="exact"/>
              <w:jc w:val="right"/>
              <w:rPr>
                <w:rFonts w:cs="Times New Roman"/>
                <w:sz w:val="18"/>
              </w:rPr>
            </w:pPr>
            <w:r w:rsidRPr="002B1238">
              <w:rPr>
                <w:rFonts w:cs="Times New Roman"/>
                <w:sz w:val="18"/>
              </w:rPr>
              <w:t>1 513</w:t>
            </w:r>
          </w:p>
        </w:tc>
        <w:tc>
          <w:tcPr>
            <w:tcW w:w="1309" w:type="dxa"/>
            <w:tcBorders>
              <w:top w:val="single" w:sz="12" w:space="0" w:color="auto"/>
            </w:tcBorders>
            <w:shd w:val="clear" w:color="auto" w:fill="auto"/>
            <w:tcMar>
              <w:top w:w="80" w:type="dxa"/>
              <w:left w:w="80" w:type="dxa"/>
              <w:bottom w:w="80" w:type="dxa"/>
              <w:right w:w="80" w:type="dxa"/>
            </w:tcMar>
            <w:vAlign w:val="bottom"/>
          </w:tcPr>
          <w:p w14:paraId="7D014B40" w14:textId="77777777" w:rsidR="00154A55" w:rsidRPr="002B1238" w:rsidRDefault="00154A55" w:rsidP="002B1238">
            <w:pPr>
              <w:spacing w:before="40" w:after="40" w:line="220" w:lineRule="exact"/>
              <w:jc w:val="right"/>
              <w:rPr>
                <w:rFonts w:cs="Times New Roman"/>
                <w:sz w:val="18"/>
              </w:rPr>
            </w:pPr>
            <w:r w:rsidRPr="002B1238">
              <w:rPr>
                <w:rFonts w:cs="Times New Roman"/>
                <w:sz w:val="18"/>
              </w:rPr>
              <w:t>92</w:t>
            </w:r>
            <w:r w:rsidR="00B73CB9">
              <w:rPr>
                <w:rFonts w:cs="Times New Roman"/>
                <w:sz w:val="18"/>
              </w:rPr>
              <w:t> </w:t>
            </w:r>
            <w:r w:rsidRPr="002B1238">
              <w:rPr>
                <w:rFonts w:cs="Times New Roman"/>
                <w:sz w:val="18"/>
              </w:rPr>
              <w:t>%</w:t>
            </w:r>
          </w:p>
        </w:tc>
      </w:tr>
      <w:tr w:rsidR="002B1238" w:rsidRPr="002B1238" w14:paraId="0EBC1232" w14:textId="77777777" w:rsidTr="002B1238">
        <w:tc>
          <w:tcPr>
            <w:tcW w:w="798" w:type="dxa"/>
            <w:shd w:val="clear" w:color="auto" w:fill="auto"/>
            <w:tcMar>
              <w:top w:w="80" w:type="dxa"/>
              <w:left w:w="80" w:type="dxa"/>
              <w:bottom w:w="80" w:type="dxa"/>
              <w:right w:w="80" w:type="dxa"/>
            </w:tcMar>
          </w:tcPr>
          <w:p w14:paraId="5CAFAB6B" w14:textId="77777777" w:rsidR="00154A55" w:rsidRPr="002B1238" w:rsidRDefault="00154A55" w:rsidP="002B1238">
            <w:pPr>
              <w:spacing w:before="40" w:after="40" w:line="220" w:lineRule="exact"/>
              <w:rPr>
                <w:rFonts w:cs="Times New Roman"/>
                <w:sz w:val="18"/>
              </w:rPr>
            </w:pPr>
            <w:r w:rsidRPr="002B1238">
              <w:rPr>
                <w:rFonts w:cs="Times New Roman"/>
                <w:sz w:val="18"/>
              </w:rPr>
              <w:t>2017</w:t>
            </w:r>
            <w:r w:rsidR="002B1238">
              <w:rPr>
                <w:rFonts w:cs="Times New Roman"/>
                <w:sz w:val="18"/>
                <w:lang w:val="en-US"/>
              </w:rPr>
              <w:t>/</w:t>
            </w:r>
            <w:r w:rsidRPr="002B1238">
              <w:rPr>
                <w:rFonts w:cs="Times New Roman"/>
                <w:sz w:val="18"/>
              </w:rPr>
              <w:t>18</w:t>
            </w:r>
          </w:p>
        </w:tc>
        <w:tc>
          <w:tcPr>
            <w:tcW w:w="1246" w:type="dxa"/>
            <w:shd w:val="clear" w:color="auto" w:fill="auto"/>
            <w:tcMar>
              <w:top w:w="80" w:type="dxa"/>
              <w:left w:w="80" w:type="dxa"/>
              <w:bottom w:w="80" w:type="dxa"/>
              <w:right w:w="80" w:type="dxa"/>
            </w:tcMar>
            <w:vAlign w:val="bottom"/>
          </w:tcPr>
          <w:p w14:paraId="5A50205B" w14:textId="77777777" w:rsidR="00154A55" w:rsidRPr="002B1238" w:rsidRDefault="00154A55" w:rsidP="002B1238">
            <w:pPr>
              <w:spacing w:before="40" w:after="40" w:line="220" w:lineRule="exact"/>
              <w:jc w:val="right"/>
              <w:rPr>
                <w:rFonts w:cs="Times New Roman"/>
                <w:sz w:val="18"/>
              </w:rPr>
            </w:pPr>
            <w:r w:rsidRPr="002B1238">
              <w:rPr>
                <w:rFonts w:cs="Times New Roman"/>
                <w:sz w:val="18"/>
              </w:rPr>
              <w:t>11 453</w:t>
            </w:r>
          </w:p>
        </w:tc>
        <w:tc>
          <w:tcPr>
            <w:tcW w:w="1134" w:type="dxa"/>
            <w:shd w:val="clear" w:color="auto" w:fill="auto"/>
            <w:tcMar>
              <w:top w:w="80" w:type="dxa"/>
              <w:left w:w="80" w:type="dxa"/>
              <w:bottom w:w="80" w:type="dxa"/>
              <w:right w:w="80" w:type="dxa"/>
            </w:tcMar>
            <w:vAlign w:val="bottom"/>
          </w:tcPr>
          <w:p w14:paraId="4EF61FE5" w14:textId="77777777" w:rsidR="00154A55" w:rsidRPr="002B1238" w:rsidRDefault="00154A55" w:rsidP="002B1238">
            <w:pPr>
              <w:spacing w:before="40" w:after="40" w:line="220" w:lineRule="exact"/>
              <w:jc w:val="right"/>
              <w:rPr>
                <w:rFonts w:cs="Times New Roman"/>
                <w:sz w:val="18"/>
              </w:rPr>
            </w:pPr>
            <w:r w:rsidRPr="002B1238">
              <w:rPr>
                <w:rFonts w:cs="Times New Roman"/>
                <w:sz w:val="18"/>
              </w:rPr>
              <w:t>данные отсутствуют</w:t>
            </w:r>
          </w:p>
        </w:tc>
        <w:tc>
          <w:tcPr>
            <w:tcW w:w="1413" w:type="dxa"/>
            <w:shd w:val="clear" w:color="auto" w:fill="auto"/>
            <w:tcMar>
              <w:top w:w="80" w:type="dxa"/>
              <w:left w:w="80" w:type="dxa"/>
              <w:bottom w:w="80" w:type="dxa"/>
              <w:right w:w="80" w:type="dxa"/>
            </w:tcMar>
            <w:vAlign w:val="bottom"/>
          </w:tcPr>
          <w:p w14:paraId="5332700D" w14:textId="77777777" w:rsidR="00154A55" w:rsidRPr="002B1238" w:rsidRDefault="00154A55" w:rsidP="002B1238">
            <w:pPr>
              <w:spacing w:before="40" w:after="40" w:line="220" w:lineRule="exact"/>
              <w:jc w:val="right"/>
              <w:rPr>
                <w:rFonts w:cs="Times New Roman"/>
                <w:sz w:val="18"/>
              </w:rPr>
            </w:pPr>
            <w:r w:rsidRPr="002B1238">
              <w:rPr>
                <w:rFonts w:cs="Times New Roman"/>
                <w:sz w:val="18"/>
              </w:rPr>
              <w:t>1 094</w:t>
            </w:r>
          </w:p>
        </w:tc>
        <w:tc>
          <w:tcPr>
            <w:tcW w:w="1300" w:type="dxa"/>
            <w:shd w:val="clear" w:color="auto" w:fill="auto"/>
            <w:tcMar>
              <w:top w:w="80" w:type="dxa"/>
              <w:left w:w="80" w:type="dxa"/>
              <w:bottom w:w="80" w:type="dxa"/>
              <w:right w:w="80" w:type="dxa"/>
            </w:tcMar>
            <w:vAlign w:val="bottom"/>
          </w:tcPr>
          <w:p w14:paraId="51019716" w14:textId="77777777" w:rsidR="00154A55" w:rsidRPr="002B1238" w:rsidRDefault="00154A55" w:rsidP="002B1238">
            <w:pPr>
              <w:spacing w:before="40" w:after="40" w:line="220" w:lineRule="exact"/>
              <w:jc w:val="right"/>
              <w:rPr>
                <w:rFonts w:cs="Times New Roman"/>
                <w:sz w:val="18"/>
              </w:rPr>
            </w:pPr>
            <w:r w:rsidRPr="002B1238">
              <w:rPr>
                <w:rFonts w:cs="Times New Roman"/>
                <w:sz w:val="18"/>
              </w:rPr>
              <w:t>7 279</w:t>
            </w:r>
          </w:p>
        </w:tc>
        <w:tc>
          <w:tcPr>
            <w:tcW w:w="1304" w:type="dxa"/>
            <w:shd w:val="clear" w:color="auto" w:fill="auto"/>
            <w:tcMar>
              <w:top w:w="80" w:type="dxa"/>
              <w:left w:w="80" w:type="dxa"/>
              <w:bottom w:w="80" w:type="dxa"/>
              <w:right w:w="80" w:type="dxa"/>
            </w:tcMar>
            <w:vAlign w:val="bottom"/>
          </w:tcPr>
          <w:p w14:paraId="450E0434" w14:textId="77777777" w:rsidR="00154A55" w:rsidRPr="002B1238" w:rsidRDefault="00154A55" w:rsidP="002B1238">
            <w:pPr>
              <w:spacing w:before="40" w:after="40" w:line="220" w:lineRule="exact"/>
              <w:jc w:val="right"/>
              <w:rPr>
                <w:rFonts w:cs="Times New Roman"/>
                <w:sz w:val="18"/>
              </w:rPr>
            </w:pPr>
            <w:r w:rsidRPr="002B1238">
              <w:rPr>
                <w:rFonts w:cs="Times New Roman"/>
                <w:sz w:val="18"/>
              </w:rPr>
              <w:t>1 597</w:t>
            </w:r>
          </w:p>
        </w:tc>
        <w:tc>
          <w:tcPr>
            <w:tcW w:w="1309" w:type="dxa"/>
            <w:shd w:val="clear" w:color="auto" w:fill="auto"/>
            <w:tcMar>
              <w:top w:w="80" w:type="dxa"/>
              <w:left w:w="80" w:type="dxa"/>
              <w:bottom w:w="80" w:type="dxa"/>
              <w:right w:w="80" w:type="dxa"/>
            </w:tcMar>
            <w:vAlign w:val="bottom"/>
          </w:tcPr>
          <w:p w14:paraId="45C4173B" w14:textId="77777777" w:rsidR="00154A55" w:rsidRPr="002B1238" w:rsidRDefault="00154A55" w:rsidP="002B1238">
            <w:pPr>
              <w:spacing w:before="40" w:after="40" w:line="220" w:lineRule="exact"/>
              <w:jc w:val="right"/>
              <w:rPr>
                <w:rFonts w:cs="Times New Roman"/>
                <w:sz w:val="18"/>
              </w:rPr>
            </w:pPr>
            <w:r w:rsidRPr="002B1238">
              <w:rPr>
                <w:rFonts w:cs="Times New Roman"/>
                <w:sz w:val="18"/>
              </w:rPr>
              <w:t>87,0</w:t>
            </w:r>
            <w:r w:rsidR="00B73CB9">
              <w:rPr>
                <w:rFonts w:cs="Times New Roman"/>
                <w:sz w:val="18"/>
              </w:rPr>
              <w:t> </w:t>
            </w:r>
            <w:r w:rsidRPr="002B1238">
              <w:rPr>
                <w:rFonts w:cs="Times New Roman"/>
                <w:sz w:val="18"/>
              </w:rPr>
              <w:t>%</w:t>
            </w:r>
          </w:p>
        </w:tc>
      </w:tr>
      <w:tr w:rsidR="002B1238" w:rsidRPr="002B1238" w14:paraId="264316E2" w14:textId="77777777" w:rsidTr="002B1238">
        <w:tc>
          <w:tcPr>
            <w:tcW w:w="798" w:type="dxa"/>
            <w:tcBorders>
              <w:bottom w:val="single" w:sz="12" w:space="0" w:color="auto"/>
            </w:tcBorders>
            <w:shd w:val="clear" w:color="auto" w:fill="auto"/>
            <w:tcMar>
              <w:top w:w="80" w:type="dxa"/>
              <w:left w:w="80" w:type="dxa"/>
              <w:bottom w:w="80" w:type="dxa"/>
              <w:right w:w="80" w:type="dxa"/>
            </w:tcMar>
          </w:tcPr>
          <w:p w14:paraId="6012C0E2" w14:textId="77777777" w:rsidR="00154A55" w:rsidRPr="002B1238" w:rsidRDefault="00154A55" w:rsidP="002B1238">
            <w:pPr>
              <w:spacing w:before="40" w:after="40" w:line="220" w:lineRule="exact"/>
              <w:rPr>
                <w:rFonts w:cs="Times New Roman"/>
                <w:sz w:val="18"/>
              </w:rPr>
            </w:pPr>
            <w:r w:rsidRPr="002B1238">
              <w:rPr>
                <w:rFonts w:cs="Times New Roman"/>
                <w:sz w:val="18"/>
              </w:rPr>
              <w:lastRenderedPageBreak/>
              <w:t>2018</w:t>
            </w:r>
            <w:r w:rsidR="002B1238">
              <w:rPr>
                <w:rFonts w:cs="Times New Roman"/>
                <w:sz w:val="18"/>
                <w:lang w:val="en-US"/>
              </w:rPr>
              <w:t>/</w:t>
            </w:r>
            <w:r w:rsidRPr="002B1238">
              <w:rPr>
                <w:rFonts w:cs="Times New Roman"/>
                <w:sz w:val="18"/>
              </w:rPr>
              <w:t>19</w:t>
            </w:r>
          </w:p>
        </w:tc>
        <w:tc>
          <w:tcPr>
            <w:tcW w:w="1246" w:type="dxa"/>
            <w:tcBorders>
              <w:bottom w:val="single" w:sz="12" w:space="0" w:color="auto"/>
            </w:tcBorders>
            <w:shd w:val="clear" w:color="auto" w:fill="auto"/>
            <w:tcMar>
              <w:top w:w="80" w:type="dxa"/>
              <w:left w:w="80" w:type="dxa"/>
              <w:bottom w:w="80" w:type="dxa"/>
              <w:right w:w="80" w:type="dxa"/>
            </w:tcMar>
            <w:vAlign w:val="bottom"/>
          </w:tcPr>
          <w:p w14:paraId="4A7E8B32" w14:textId="77777777" w:rsidR="00154A55" w:rsidRPr="002B1238" w:rsidRDefault="00154A55" w:rsidP="002B1238">
            <w:pPr>
              <w:spacing w:before="40" w:after="40" w:line="220" w:lineRule="exact"/>
              <w:jc w:val="right"/>
              <w:rPr>
                <w:rFonts w:cs="Times New Roman"/>
                <w:sz w:val="18"/>
              </w:rPr>
            </w:pPr>
            <w:r w:rsidRPr="002B1238">
              <w:rPr>
                <w:rFonts w:cs="Times New Roman"/>
                <w:sz w:val="18"/>
              </w:rPr>
              <w:t>10 660</w:t>
            </w:r>
          </w:p>
        </w:tc>
        <w:tc>
          <w:tcPr>
            <w:tcW w:w="1134" w:type="dxa"/>
            <w:tcBorders>
              <w:bottom w:val="single" w:sz="12" w:space="0" w:color="auto"/>
            </w:tcBorders>
            <w:shd w:val="clear" w:color="auto" w:fill="auto"/>
            <w:tcMar>
              <w:top w:w="80" w:type="dxa"/>
              <w:left w:w="80" w:type="dxa"/>
              <w:bottom w:w="80" w:type="dxa"/>
              <w:right w:w="80" w:type="dxa"/>
            </w:tcMar>
            <w:vAlign w:val="bottom"/>
          </w:tcPr>
          <w:p w14:paraId="73AEE8FC" w14:textId="77777777" w:rsidR="00154A55" w:rsidRPr="002B1238" w:rsidRDefault="00154A55" w:rsidP="002B1238">
            <w:pPr>
              <w:spacing w:before="40" w:after="40" w:line="220" w:lineRule="exact"/>
              <w:jc w:val="right"/>
              <w:rPr>
                <w:rFonts w:cs="Times New Roman"/>
                <w:sz w:val="18"/>
              </w:rPr>
            </w:pPr>
            <w:r w:rsidRPr="002B1238">
              <w:rPr>
                <w:rFonts w:cs="Times New Roman"/>
                <w:sz w:val="18"/>
              </w:rPr>
              <w:t>763</w:t>
            </w:r>
          </w:p>
        </w:tc>
        <w:tc>
          <w:tcPr>
            <w:tcW w:w="1413" w:type="dxa"/>
            <w:tcBorders>
              <w:bottom w:val="single" w:sz="12" w:space="0" w:color="auto"/>
            </w:tcBorders>
            <w:shd w:val="clear" w:color="auto" w:fill="auto"/>
            <w:tcMar>
              <w:top w:w="80" w:type="dxa"/>
              <w:left w:w="80" w:type="dxa"/>
              <w:bottom w:w="80" w:type="dxa"/>
              <w:right w:w="80" w:type="dxa"/>
            </w:tcMar>
            <w:vAlign w:val="bottom"/>
          </w:tcPr>
          <w:p w14:paraId="182CF400" w14:textId="77777777" w:rsidR="00154A55" w:rsidRPr="002B1238" w:rsidRDefault="00154A55" w:rsidP="002B1238">
            <w:pPr>
              <w:spacing w:before="40" w:after="40" w:line="220" w:lineRule="exact"/>
              <w:jc w:val="right"/>
              <w:rPr>
                <w:rFonts w:cs="Times New Roman"/>
                <w:sz w:val="18"/>
              </w:rPr>
            </w:pPr>
            <w:r w:rsidRPr="002B1238">
              <w:rPr>
                <w:rFonts w:cs="Times New Roman"/>
                <w:sz w:val="18"/>
              </w:rPr>
              <w:t>1 064</w:t>
            </w:r>
          </w:p>
        </w:tc>
        <w:tc>
          <w:tcPr>
            <w:tcW w:w="1300" w:type="dxa"/>
            <w:tcBorders>
              <w:bottom w:val="single" w:sz="12" w:space="0" w:color="auto"/>
            </w:tcBorders>
            <w:shd w:val="clear" w:color="auto" w:fill="auto"/>
            <w:tcMar>
              <w:top w:w="80" w:type="dxa"/>
              <w:left w:w="80" w:type="dxa"/>
              <w:bottom w:w="80" w:type="dxa"/>
              <w:right w:w="80" w:type="dxa"/>
            </w:tcMar>
            <w:vAlign w:val="bottom"/>
          </w:tcPr>
          <w:p w14:paraId="0F995F92" w14:textId="77777777" w:rsidR="00154A55" w:rsidRPr="002B1238" w:rsidRDefault="00154A55" w:rsidP="002B1238">
            <w:pPr>
              <w:spacing w:before="40" w:after="40" w:line="220" w:lineRule="exact"/>
              <w:jc w:val="right"/>
              <w:rPr>
                <w:rFonts w:cs="Times New Roman"/>
                <w:sz w:val="18"/>
              </w:rPr>
            </w:pPr>
            <w:r w:rsidRPr="002B1238">
              <w:rPr>
                <w:rFonts w:cs="Times New Roman"/>
                <w:sz w:val="18"/>
              </w:rPr>
              <w:t>6 518</w:t>
            </w:r>
          </w:p>
        </w:tc>
        <w:tc>
          <w:tcPr>
            <w:tcW w:w="1304" w:type="dxa"/>
            <w:tcBorders>
              <w:bottom w:val="single" w:sz="12" w:space="0" w:color="auto"/>
            </w:tcBorders>
            <w:shd w:val="clear" w:color="auto" w:fill="auto"/>
            <w:tcMar>
              <w:top w:w="80" w:type="dxa"/>
              <w:left w:w="80" w:type="dxa"/>
              <w:bottom w:w="80" w:type="dxa"/>
              <w:right w:w="80" w:type="dxa"/>
            </w:tcMar>
            <w:vAlign w:val="bottom"/>
          </w:tcPr>
          <w:p w14:paraId="09F42707" w14:textId="77777777" w:rsidR="00154A55" w:rsidRPr="002B1238" w:rsidRDefault="00154A55" w:rsidP="002B1238">
            <w:pPr>
              <w:spacing w:before="40" w:after="40" w:line="220" w:lineRule="exact"/>
              <w:jc w:val="right"/>
              <w:rPr>
                <w:rFonts w:cs="Times New Roman"/>
                <w:sz w:val="18"/>
              </w:rPr>
            </w:pPr>
            <w:r w:rsidRPr="002B1238">
              <w:rPr>
                <w:rFonts w:cs="Times New Roman"/>
                <w:sz w:val="18"/>
              </w:rPr>
              <w:t>1 087</w:t>
            </w:r>
          </w:p>
        </w:tc>
        <w:tc>
          <w:tcPr>
            <w:tcW w:w="1309" w:type="dxa"/>
            <w:tcBorders>
              <w:bottom w:val="single" w:sz="12" w:space="0" w:color="auto"/>
            </w:tcBorders>
            <w:shd w:val="clear" w:color="auto" w:fill="auto"/>
            <w:tcMar>
              <w:top w:w="80" w:type="dxa"/>
              <w:left w:w="80" w:type="dxa"/>
              <w:bottom w:w="80" w:type="dxa"/>
              <w:right w:w="80" w:type="dxa"/>
            </w:tcMar>
            <w:vAlign w:val="bottom"/>
          </w:tcPr>
          <w:p w14:paraId="7689F9DA" w14:textId="77777777" w:rsidR="00154A55" w:rsidRPr="002B1238" w:rsidRDefault="00154A55" w:rsidP="002B1238">
            <w:pPr>
              <w:spacing w:before="40" w:after="40" w:line="220" w:lineRule="exact"/>
              <w:jc w:val="right"/>
              <w:rPr>
                <w:rFonts w:cs="Times New Roman"/>
                <w:sz w:val="18"/>
              </w:rPr>
            </w:pPr>
            <w:r w:rsidRPr="002B1238">
              <w:rPr>
                <w:rFonts w:cs="Times New Roman"/>
                <w:sz w:val="18"/>
              </w:rPr>
              <w:t>88,4</w:t>
            </w:r>
            <w:r w:rsidR="00B73CB9">
              <w:rPr>
                <w:rFonts w:cs="Times New Roman"/>
                <w:sz w:val="18"/>
              </w:rPr>
              <w:t> </w:t>
            </w:r>
            <w:r w:rsidRPr="002B1238">
              <w:rPr>
                <w:rFonts w:cs="Times New Roman"/>
                <w:sz w:val="18"/>
              </w:rPr>
              <w:t>%</w:t>
            </w:r>
          </w:p>
        </w:tc>
      </w:tr>
    </w:tbl>
    <w:p w14:paraId="76D1AB26" w14:textId="77777777" w:rsidR="00154A55" w:rsidRPr="002E334A" w:rsidRDefault="00154A55" w:rsidP="002B1238">
      <w:pPr>
        <w:pStyle w:val="SingleTxtG"/>
        <w:spacing w:before="120"/>
      </w:pPr>
      <w:r w:rsidRPr="002E334A">
        <w:t>141.</w:t>
      </w:r>
      <w:r w:rsidRPr="002E334A">
        <w:tab/>
        <w:t>В Монголии дети начинают получать образование с трехлетнего возраста. Согласно статистическим данным, охват детей с инвалидностью системой образования в 2018</w:t>
      </w:r>
      <w:r w:rsidR="002B1238" w:rsidRPr="002B1238">
        <w:t>/</w:t>
      </w:r>
      <w:r w:rsidRPr="002E334A">
        <w:t>19 учебном году составил 88,4</w:t>
      </w:r>
      <w:r w:rsidR="002B1238">
        <w:rPr>
          <w:lang w:val="en-US"/>
        </w:rPr>
        <w:t> </w:t>
      </w:r>
      <w:r w:rsidRPr="002E334A">
        <w:t>%.</w:t>
      </w:r>
    </w:p>
    <w:p w14:paraId="649FC2D8" w14:textId="77777777" w:rsidR="00154A55" w:rsidRPr="002E334A" w:rsidRDefault="00154A55" w:rsidP="00154A55">
      <w:pPr>
        <w:pStyle w:val="SingleTxtG"/>
      </w:pPr>
      <w:r w:rsidRPr="002E334A">
        <w:rPr>
          <w:noProof/>
          <w:lang w:eastAsia="en-GB"/>
        </w:rPr>
        <w:drawing>
          <wp:inline distT="0" distB="0" distL="0" distR="0" wp14:anchorId="34B4C89C" wp14:editId="3B1E9970">
            <wp:extent cx="4243705" cy="3105509"/>
            <wp:effectExtent l="0" t="0" r="4445" b="0"/>
            <wp:docPr id="107374182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002C3FD" w14:textId="77777777" w:rsidR="00154A55" w:rsidRPr="002E334A" w:rsidRDefault="00154A55" w:rsidP="000908D3">
      <w:pPr>
        <w:pStyle w:val="SingleTxtG"/>
      </w:pPr>
      <w:r w:rsidRPr="002E334A">
        <w:t>142.</w:t>
      </w:r>
      <w:r w:rsidRPr="002E334A">
        <w:tab/>
        <w:t>В 2018</w:t>
      </w:r>
      <w:r w:rsidR="00374434" w:rsidRPr="00374434">
        <w:t>/</w:t>
      </w:r>
      <w:r w:rsidRPr="002E334A">
        <w:t xml:space="preserve">19 учебном году в стране насчитывалось 355 центров непрерывного обучения, в которых обучалось 7296 человек. </w:t>
      </w:r>
      <w:r w:rsidR="00B73CB9">
        <w:t>933</w:t>
      </w:r>
      <w:r w:rsidRPr="002E334A">
        <w:t xml:space="preserve"> из них являлись учащимися с инвалидностью, что составляет 12,8</w:t>
      </w:r>
      <w:r w:rsidR="00374434">
        <w:t> </w:t>
      </w:r>
      <w:r w:rsidRPr="002E334A">
        <w:t>% от общего числа учащихся. 42,1</w:t>
      </w:r>
      <w:r w:rsidR="00374434">
        <w:t> </w:t>
      </w:r>
      <w:r w:rsidRPr="002E334A">
        <w:t>% (393) учащихся с инвалидностью обучалось по программе начальной школы, 47,2</w:t>
      </w:r>
      <w:r w:rsidR="00374434">
        <w:t> </w:t>
      </w:r>
      <w:r w:rsidRPr="002E334A">
        <w:t>% (440)</w:t>
      </w:r>
      <w:r w:rsidR="00B73CB9">
        <w:t> </w:t>
      </w:r>
      <w:r w:rsidR="00374434">
        <w:t>⸺</w:t>
      </w:r>
      <w:r w:rsidRPr="002E334A">
        <w:t xml:space="preserve"> по программе дошкольных учебных заведений и 10,7</w:t>
      </w:r>
      <w:r w:rsidR="00374434">
        <w:t> </w:t>
      </w:r>
      <w:r w:rsidRPr="002E334A">
        <w:t xml:space="preserve">% (100) </w:t>
      </w:r>
      <w:r w:rsidR="00374434">
        <w:t>⸺</w:t>
      </w:r>
      <w:r w:rsidRPr="002E334A">
        <w:t xml:space="preserve"> по</w:t>
      </w:r>
      <w:r w:rsidR="00374434">
        <w:t> </w:t>
      </w:r>
      <w:r w:rsidRPr="002E334A">
        <w:t xml:space="preserve">программе средней школы. Центры непрерывного обучения восьми аймаков и двух </w:t>
      </w:r>
      <w:proofErr w:type="spellStart"/>
      <w:r w:rsidRPr="002E334A">
        <w:t>сомонов</w:t>
      </w:r>
      <w:proofErr w:type="spellEnd"/>
      <w:r w:rsidRPr="002E334A">
        <w:t xml:space="preserve"> организуют</w:t>
      </w:r>
      <w:r w:rsidR="00BC6CB5">
        <w:t xml:space="preserve"> </w:t>
      </w:r>
      <w:r w:rsidRPr="002E334A">
        <w:t>для детей с тяжелыми формами инвалидности неформальное обучение на дому. Такого рода услуги предоставлялись 131 ребенку с инвалидностью, из которых 55</w:t>
      </w:r>
      <w:r w:rsidR="00374434">
        <w:t> </w:t>
      </w:r>
      <w:r w:rsidRPr="002E334A">
        <w:t>% (72) составляли мальчики, а 45</w:t>
      </w:r>
      <w:r w:rsidR="00374434">
        <w:t> </w:t>
      </w:r>
      <w:r w:rsidRPr="002E334A">
        <w:t xml:space="preserve">% (59) </w:t>
      </w:r>
      <w:r w:rsidR="00374434">
        <w:t>⸺</w:t>
      </w:r>
      <w:r w:rsidRPr="002E334A">
        <w:t xml:space="preserve"> девочки. </w:t>
      </w:r>
    </w:p>
    <w:p w14:paraId="6525B3D9" w14:textId="77777777" w:rsidR="00154A55" w:rsidRPr="002E334A" w:rsidRDefault="00154A55" w:rsidP="00374434">
      <w:pPr>
        <w:pStyle w:val="H1G"/>
      </w:pPr>
      <w:r w:rsidRPr="002E334A">
        <w:tab/>
      </w:r>
      <w:r w:rsidRPr="002E334A">
        <w:tab/>
        <w:t>Ответ на пункт 19 перечня вопросов</w:t>
      </w:r>
    </w:p>
    <w:p w14:paraId="72717E18" w14:textId="77777777" w:rsidR="00154A55" w:rsidRPr="002E334A" w:rsidRDefault="00154A55" w:rsidP="00154A55">
      <w:pPr>
        <w:pStyle w:val="SingleTxtG"/>
      </w:pPr>
      <w:r w:rsidRPr="002E334A">
        <w:t>143.</w:t>
      </w:r>
      <w:r w:rsidRPr="002E334A">
        <w:tab/>
        <w:t>В рамках осуществления генерального плана были приняты следующие меры по обеспечению реализации права детей и молодежи с инвалидностью на образование:</w:t>
      </w:r>
    </w:p>
    <w:p w14:paraId="06FF5F00" w14:textId="77777777" w:rsidR="00154A55" w:rsidRPr="002E334A" w:rsidRDefault="00154A55" w:rsidP="00154A55">
      <w:pPr>
        <w:pStyle w:val="SingleTxtG"/>
      </w:pPr>
      <w:r w:rsidRPr="002E334A">
        <w:tab/>
        <w:t>a)</w:t>
      </w:r>
      <w:r w:rsidRPr="002E334A">
        <w:tab/>
        <w:t>разработка учебных материалов по 10 темам с учетом различных форм инвалидности у детей. Например: разработка в общей сложности трех учебных материал</w:t>
      </w:r>
      <w:r w:rsidR="00B73CB9">
        <w:t>ов</w:t>
      </w:r>
      <w:r w:rsidRPr="002E334A">
        <w:t xml:space="preserve"> для детей с инвалидностью: двух </w:t>
      </w:r>
      <w:r w:rsidR="00B73CB9">
        <w:t xml:space="preserve">⸺ </w:t>
      </w:r>
      <w:r w:rsidRPr="002E334A">
        <w:t xml:space="preserve">для учащихся с интеллектуальной инвалидностью и одного </w:t>
      </w:r>
      <w:r w:rsidR="00B73CB9">
        <w:t xml:space="preserve">⸺ </w:t>
      </w:r>
      <w:r w:rsidRPr="002E334A">
        <w:t xml:space="preserve">для учащихся с нарушениями слуха. Эти учебники были направлены в пять специальных школ. В настоящее время подготавливаются два учебника по математике и три </w:t>
      </w:r>
      <w:r w:rsidR="00374434">
        <w:t>⸺</w:t>
      </w:r>
      <w:r w:rsidRPr="002E334A">
        <w:t xml:space="preserve"> по монгольскому языку. Учебная программа является для учителя инструментом, предусматривающим применение учебных материалов и методологии, разработанных с учетом степени интеллектуальной инвалидности;</w:t>
      </w:r>
    </w:p>
    <w:p w14:paraId="0DEC3548" w14:textId="77777777" w:rsidR="00154A55" w:rsidRPr="002E334A" w:rsidRDefault="00154A55" w:rsidP="00154A55">
      <w:pPr>
        <w:pStyle w:val="SingleTxtG"/>
      </w:pPr>
      <w:r w:rsidRPr="002E334A">
        <w:tab/>
        <w:t>b)</w:t>
      </w:r>
      <w:r w:rsidRPr="002E334A">
        <w:tab/>
        <w:t xml:space="preserve">внесение следующих поправок в Закон о дошкольном образовании: </w:t>
      </w:r>
      <w:r w:rsidR="002279A3">
        <w:t>«</w:t>
      </w:r>
      <w:r w:rsidRPr="002E334A">
        <w:t xml:space="preserve">Статья 9.12 Преподаватель и социальный работник, которые работают с </w:t>
      </w:r>
      <w:r w:rsidR="00B73CB9">
        <w:br/>
      </w:r>
      <w:r w:rsidRPr="002E334A">
        <w:lastRenderedPageBreak/>
        <w:t>детьми</w:t>
      </w:r>
      <w:r w:rsidR="00B73CB9">
        <w:t>-</w:t>
      </w:r>
      <w:r w:rsidRPr="002E334A">
        <w:t xml:space="preserve">инвалидами, должны владеть методикой и знаниями, необходимыми для их работы; Статья 8.15 Количество детей с инвалидностью на учителя определяется головным государственным административным органом, ведающим вопросами образования, социальной защиты и финансирования; </w:t>
      </w:r>
    </w:p>
    <w:p w14:paraId="39C4BA10" w14:textId="77777777" w:rsidR="00154A55" w:rsidRPr="002E334A" w:rsidRDefault="00154A55" w:rsidP="00154A55">
      <w:pPr>
        <w:pStyle w:val="SingleTxtG"/>
      </w:pPr>
      <w:r w:rsidRPr="002E334A">
        <w:tab/>
        <w:t>с)</w:t>
      </w:r>
      <w:r w:rsidRPr="002E334A">
        <w:tab/>
        <w:t xml:space="preserve">профессия </w:t>
      </w:r>
      <w:r w:rsidR="002279A3">
        <w:t>«</w:t>
      </w:r>
      <w:r w:rsidRPr="002E334A">
        <w:t xml:space="preserve">Преподаватель по специальности </w:t>
      </w:r>
      <w:r w:rsidR="00B73CB9" w:rsidRPr="00B73CB9">
        <w:t>“</w:t>
      </w:r>
      <w:r w:rsidRPr="002E334A">
        <w:t>Образование для лиц с особыми потребностями</w:t>
      </w:r>
      <w:r w:rsidR="00B73CB9" w:rsidRPr="00B73CB9">
        <w:t>”</w:t>
      </w:r>
      <w:r w:rsidR="002279A3">
        <w:t>»</w:t>
      </w:r>
      <w:r w:rsidRPr="002E334A">
        <w:t xml:space="preserve"> вошла в список 20 самых востребованных профессий года. Плата за обучение в магистратуре и аспирантуре покрывается из Государственного фонда. Планируется ввести четырехлетний курс обучения по специальности </w:t>
      </w:r>
      <w:r w:rsidR="002279A3">
        <w:t>«</w:t>
      </w:r>
      <w:r w:rsidRPr="002E334A">
        <w:t>Образование для лиц с особыми потребностями</w:t>
      </w:r>
      <w:r w:rsidR="002279A3">
        <w:t>»</w:t>
      </w:r>
      <w:r w:rsidRPr="002E334A">
        <w:t>, по окончании которого будет присваиваться степень бакалавра;</w:t>
      </w:r>
    </w:p>
    <w:p w14:paraId="4B22C669" w14:textId="77777777" w:rsidR="00154A55" w:rsidRPr="002E334A" w:rsidRDefault="00154A55" w:rsidP="00154A55">
      <w:pPr>
        <w:pStyle w:val="SingleTxtG"/>
      </w:pPr>
      <w:r w:rsidRPr="002E334A">
        <w:tab/>
        <w:t>d)</w:t>
      </w:r>
      <w:r w:rsidRPr="002E334A">
        <w:tab/>
        <w:t>для 105 преподавателей и сотрудников, отвечающих за инклюзивное образование в учебных заведениях 21 аймака, 282 учителей и помощников учителей специальных школ и детских садов и 30 дефектологов организованы курсы повышения квалификации с целью их ознакомления с новыми возможностями в области обучения детей с инвалидностью;</w:t>
      </w:r>
    </w:p>
    <w:p w14:paraId="102298BE" w14:textId="77777777" w:rsidR="00154A55" w:rsidRPr="002E334A" w:rsidRDefault="00154A55" w:rsidP="00154A55">
      <w:pPr>
        <w:pStyle w:val="SingleTxtG"/>
      </w:pPr>
      <w:r w:rsidRPr="002E334A">
        <w:tab/>
        <w:t>e)</w:t>
      </w:r>
      <w:r w:rsidRPr="002E334A">
        <w:tab/>
        <w:t xml:space="preserve">в 2009 году из государственного бюджета было выделено 389,8 млн тугриков на приобретение специального библиотечного оборудования для студентов, обучающихся в государственных университетах, в том числе в Университете </w:t>
      </w:r>
      <w:r w:rsidR="00B73CB9">
        <w:t>о</w:t>
      </w:r>
      <w:r w:rsidRPr="002E334A">
        <w:t xml:space="preserve">бразования, Монгольском государственном университете, Университете </w:t>
      </w:r>
      <w:r w:rsidR="00B73CB9">
        <w:t>т</w:t>
      </w:r>
      <w:r w:rsidRPr="002E334A">
        <w:t xml:space="preserve">ехники и </w:t>
      </w:r>
      <w:r w:rsidR="00B73CB9">
        <w:t>т</w:t>
      </w:r>
      <w:r w:rsidRPr="002E334A">
        <w:t xml:space="preserve">ехнологии и </w:t>
      </w:r>
      <w:proofErr w:type="spellStart"/>
      <w:r w:rsidRPr="002E334A">
        <w:t>Дарханском</w:t>
      </w:r>
      <w:proofErr w:type="spellEnd"/>
      <w:r w:rsidRPr="002E334A">
        <w:t xml:space="preserve"> технологическом институте;</w:t>
      </w:r>
    </w:p>
    <w:p w14:paraId="1A4A6866" w14:textId="77777777" w:rsidR="00154A55" w:rsidRPr="002E334A" w:rsidRDefault="00154A55" w:rsidP="00154A55">
      <w:pPr>
        <w:pStyle w:val="SingleTxtG"/>
      </w:pPr>
      <w:r w:rsidRPr="002E334A">
        <w:tab/>
        <w:t>f)</w:t>
      </w:r>
      <w:r w:rsidRPr="002E334A">
        <w:tab/>
        <w:t>в соответствии со статьей 2.1.5 (Постановление Правительства № 177 от 2018 года), плата за обучение учащегося, который является инвалидом или родители которого являются инвалидами, покрывается из государственного бюджета;</w:t>
      </w:r>
    </w:p>
    <w:p w14:paraId="3393CD73" w14:textId="77777777" w:rsidR="00154A55" w:rsidRPr="002E334A" w:rsidRDefault="00154A55" w:rsidP="00154A55">
      <w:pPr>
        <w:pStyle w:val="SingleTxtG"/>
      </w:pPr>
      <w:r w:rsidRPr="002E334A">
        <w:tab/>
        <w:t>g)</w:t>
      </w:r>
      <w:r w:rsidRPr="002E334A">
        <w:tab/>
        <w:t xml:space="preserve">например, в 2013 году пособия из Государственного образовательного фонда получили 692 студента (496,6 млн тугриков), а в 2015 году </w:t>
      </w:r>
      <w:r w:rsidR="007B168C">
        <w:t>⸺</w:t>
      </w:r>
      <w:r w:rsidRPr="002E334A">
        <w:t xml:space="preserve"> 1563 студента (2,9</w:t>
      </w:r>
      <w:r w:rsidR="007B168C">
        <w:t> </w:t>
      </w:r>
      <w:r w:rsidRPr="002E334A">
        <w:t>млрд тугриков);</w:t>
      </w:r>
    </w:p>
    <w:p w14:paraId="483D77B0" w14:textId="77777777" w:rsidR="00154A55" w:rsidRPr="002E334A" w:rsidRDefault="00154A55" w:rsidP="00154A55">
      <w:pPr>
        <w:pStyle w:val="SingleTxtG"/>
      </w:pPr>
      <w:r w:rsidRPr="002E334A">
        <w:tab/>
        <w:t>h)</w:t>
      </w:r>
      <w:r w:rsidRPr="002E334A">
        <w:tab/>
        <w:t xml:space="preserve">в 2015 году лица с инвалидностью были включены в целевую группу для участия в программе непрерывного обучения. По линии этой программы осуществляется обучение детей с инвалидностью, которые не получили общего образования, с тем чтобы они имели возможность участвовать в политической и общественной жизни и могли реализовать свое право на образование. </w:t>
      </w:r>
    </w:p>
    <w:p w14:paraId="79257CA4" w14:textId="77777777" w:rsidR="00154A55" w:rsidRPr="002E334A" w:rsidRDefault="00154A55" w:rsidP="004B05CC">
      <w:pPr>
        <w:pStyle w:val="H1G"/>
      </w:pPr>
      <w:r w:rsidRPr="002E334A">
        <w:tab/>
      </w:r>
      <w:r w:rsidRPr="002E334A">
        <w:tab/>
        <w:t>Ответ на пункт 20 а) перечня вопросов</w:t>
      </w:r>
    </w:p>
    <w:p w14:paraId="2E2B9A63" w14:textId="77777777" w:rsidR="00154A55" w:rsidRPr="002E334A" w:rsidRDefault="00154A55" w:rsidP="00154A55">
      <w:pPr>
        <w:pStyle w:val="SingleTxtG"/>
      </w:pPr>
      <w:r w:rsidRPr="002E334A">
        <w:t>144.</w:t>
      </w:r>
      <w:r w:rsidRPr="002E334A">
        <w:tab/>
        <w:t xml:space="preserve">Медицинское обслуживание в Монголии финансируется из государственного бюджета и фонда медицинского страхования. Все медицинские расходы детей в возрасте до 18 лет, граждан, не имеющих других регулярных доходов, помимо пенсии, членов семьи, доходы которых ниже прожиточного минимума, матери и отца, ухаживающих за детьми в возрасте до </w:t>
      </w:r>
      <w:r w:rsidR="00B73CB9">
        <w:t>2</w:t>
      </w:r>
      <w:r w:rsidRPr="002E334A">
        <w:t xml:space="preserve"> лет, покрываются государством. Поскольку лица с инвалидностью отвечают вышеупомянутым критериям, они имеют доступ к медицинскому обслуживанию в соответствии с законом. Например: </w:t>
      </w:r>
    </w:p>
    <w:p w14:paraId="59CE96B7" w14:textId="77777777" w:rsidR="00154A55" w:rsidRPr="002E334A" w:rsidRDefault="00154A55" w:rsidP="00154A55">
      <w:pPr>
        <w:pStyle w:val="SingleTxtG"/>
      </w:pPr>
      <w:r w:rsidRPr="002E334A">
        <w:tab/>
        <w:t>a)</w:t>
      </w:r>
      <w:r w:rsidRPr="002E334A">
        <w:tab/>
      </w:r>
      <w:r w:rsidR="00B73CB9">
        <w:t>м</w:t>
      </w:r>
      <w:r w:rsidRPr="002E334A">
        <w:t xml:space="preserve">едицинские расходы, покрываемые за счет средств Фонда медицинского страхования (12 услуг): больничная койка; амбулаторное медицинское обследование; последующее наблюдение; диагностика: лабораторные исследования; лечение; дневной стационар; госпитализация больных раком и другими заболеваниями; традиционная медицина; реабилитация и санаторий; некоторые дорогостоящие медицинские услуги; необходимое медицинское оборудование; скидка на жизненно необходимые и важнейшие лекарственные препараты, назначенные домашними врачами и врачами поликлиник </w:t>
      </w:r>
      <w:proofErr w:type="spellStart"/>
      <w:r w:rsidRPr="002E334A">
        <w:t>сомонов</w:t>
      </w:r>
      <w:proofErr w:type="spellEnd"/>
      <w:r w:rsidRPr="002E334A">
        <w:t xml:space="preserve">, багов (самая мелкая административная единица), аймаков и районов; некоторые виды искусственных трубок, включая катетер, желудочный мешок, протезы, ортопедические приспособления для реабилитации, реабилитационные услуги центров семейного здоровья, а также центров здоровья на уровне </w:t>
      </w:r>
      <w:proofErr w:type="spellStart"/>
      <w:r w:rsidRPr="002E334A">
        <w:t>сомонов</w:t>
      </w:r>
      <w:proofErr w:type="spellEnd"/>
      <w:r w:rsidRPr="002E334A">
        <w:t xml:space="preserve"> и насел</w:t>
      </w:r>
      <w:r w:rsidR="006D21DE">
        <w:t>е</w:t>
      </w:r>
      <w:r w:rsidRPr="002E334A">
        <w:t xml:space="preserve">нных пунктов, медицинское обслуживание на дому, дневное стационарное лечение, диагностика, лабораторные исследования; химическая и инфракрасная терапия при лечении рака; </w:t>
      </w:r>
      <w:r w:rsidRPr="002E334A">
        <w:lastRenderedPageBreak/>
        <w:t>дородовое и послеродовое наблюдение и уход за женщинами; услуги аккредитованного спортивного клуба, активные физические упражнения и спорт;</w:t>
      </w:r>
    </w:p>
    <w:p w14:paraId="6578C0A5" w14:textId="77777777" w:rsidR="00154A55" w:rsidRPr="002E334A" w:rsidRDefault="00154A55" w:rsidP="00154A55">
      <w:pPr>
        <w:pStyle w:val="SingleTxtG"/>
      </w:pPr>
      <w:r w:rsidRPr="002E334A">
        <w:tab/>
        <w:t>b)</w:t>
      </w:r>
      <w:r w:rsidRPr="002E334A">
        <w:tab/>
      </w:r>
      <w:r w:rsidR="00B73CB9">
        <w:t>м</w:t>
      </w:r>
      <w:r w:rsidRPr="002E334A">
        <w:t>едицинские расходы, покрываемые за счет средств из государственного бюджета (10 услуг): беременность, роды, охрана здоровья матери после рождения; эпидемиологическая, принудительная вакцинация по эпидемическим показаниям; дезинфекция в районе вспышки инфекционных заболеваний; медицинские услуги в случае стихийных бедствий и вспышек инфекционных заболеваний; медицинское просвещение; медицинское обслуживание детей; лечение онкологических заболеваний; лечение психических расстройств, инфекционных заболеваний, неотложная помощь; реанимация, частичное покрытие стоимости лекарств, используемых для лечения в больнице или для длительного реабилитационного лечения; оказание медицинской и психологической помощи жертвам физического и сексуального насилия.</w:t>
      </w:r>
    </w:p>
    <w:p w14:paraId="648375CC" w14:textId="77777777" w:rsidR="00154A55" w:rsidRPr="002E334A" w:rsidRDefault="00154A55" w:rsidP="00154A55">
      <w:pPr>
        <w:pStyle w:val="SingleTxtG"/>
      </w:pPr>
      <w:r w:rsidRPr="002E334A">
        <w:t>145.</w:t>
      </w:r>
      <w:r w:rsidRPr="002E334A">
        <w:tab/>
        <w:t>В соответствии с Законом о здравоохранении медицинские услуги предоставляют следующие организации здравоохранения:</w:t>
      </w:r>
    </w:p>
    <w:p w14:paraId="224AF69E" w14:textId="77777777" w:rsidR="00154A55" w:rsidRPr="002E334A" w:rsidRDefault="00154A55" w:rsidP="00154A55">
      <w:pPr>
        <w:pStyle w:val="Bullet1G"/>
        <w:numPr>
          <w:ilvl w:val="0"/>
          <w:numId w:val="4"/>
        </w:numPr>
      </w:pPr>
      <w:r w:rsidRPr="002E334A">
        <w:t>15.1.1</w:t>
      </w:r>
      <w:r w:rsidR="004B05CC">
        <w:t> </w:t>
      </w:r>
      <w:r w:rsidRPr="002E334A">
        <w:t>центры семейного здоровья;</w:t>
      </w:r>
    </w:p>
    <w:p w14:paraId="30E3C744" w14:textId="77777777" w:rsidR="00154A55" w:rsidRPr="002E334A" w:rsidRDefault="00154A55" w:rsidP="00154A55">
      <w:pPr>
        <w:pStyle w:val="Bullet1G"/>
        <w:numPr>
          <w:ilvl w:val="0"/>
          <w:numId w:val="4"/>
        </w:numPr>
      </w:pPr>
      <w:r w:rsidRPr="002E334A">
        <w:t>15.1.2</w:t>
      </w:r>
      <w:r w:rsidR="004B05CC">
        <w:t> </w:t>
      </w:r>
      <w:r w:rsidRPr="002E334A">
        <w:t xml:space="preserve">центры здоровья на уровне </w:t>
      </w:r>
      <w:proofErr w:type="spellStart"/>
      <w:r w:rsidRPr="002E334A">
        <w:t>сомонов</w:t>
      </w:r>
      <w:proofErr w:type="spellEnd"/>
      <w:r w:rsidRPr="002E334A">
        <w:t xml:space="preserve"> и насел</w:t>
      </w:r>
      <w:r w:rsidR="006D21DE">
        <w:t>е</w:t>
      </w:r>
      <w:r w:rsidRPr="002E334A">
        <w:t>нных пунктов;</w:t>
      </w:r>
    </w:p>
    <w:p w14:paraId="2D605A90" w14:textId="77777777" w:rsidR="00154A55" w:rsidRPr="002E334A" w:rsidRDefault="00154A55" w:rsidP="00154A55">
      <w:pPr>
        <w:pStyle w:val="Bullet1G"/>
        <w:numPr>
          <w:ilvl w:val="0"/>
          <w:numId w:val="4"/>
        </w:numPr>
      </w:pPr>
      <w:r w:rsidRPr="002E334A">
        <w:t>15.1.3</w:t>
      </w:r>
      <w:r w:rsidR="004B05CC">
        <w:t> </w:t>
      </w:r>
      <w:r w:rsidRPr="002E334A">
        <w:t>больницы общего профиля;</w:t>
      </w:r>
    </w:p>
    <w:p w14:paraId="647F1E80" w14:textId="77777777" w:rsidR="00154A55" w:rsidRPr="002E334A" w:rsidRDefault="00154A55" w:rsidP="00154A55">
      <w:pPr>
        <w:pStyle w:val="Bullet1G"/>
        <w:numPr>
          <w:ilvl w:val="0"/>
          <w:numId w:val="4"/>
        </w:numPr>
      </w:pPr>
      <w:r w:rsidRPr="002E334A">
        <w:t>15.1.4</w:t>
      </w:r>
      <w:r w:rsidR="004B05CC">
        <w:t> </w:t>
      </w:r>
      <w:r w:rsidRPr="002E334A">
        <w:t>клиники;</w:t>
      </w:r>
    </w:p>
    <w:p w14:paraId="7BC20CAF" w14:textId="77777777" w:rsidR="00154A55" w:rsidRPr="002E334A" w:rsidRDefault="00154A55" w:rsidP="00154A55">
      <w:pPr>
        <w:pStyle w:val="Bullet1G"/>
        <w:numPr>
          <w:ilvl w:val="0"/>
          <w:numId w:val="4"/>
        </w:numPr>
      </w:pPr>
      <w:r w:rsidRPr="002E334A">
        <w:t>15.1.5</w:t>
      </w:r>
      <w:r w:rsidR="004B05CC">
        <w:t> </w:t>
      </w:r>
      <w:r w:rsidRPr="002E334A">
        <w:t>родильные дома;</w:t>
      </w:r>
    </w:p>
    <w:p w14:paraId="5E6D7CE6" w14:textId="77777777" w:rsidR="00154A55" w:rsidRPr="002E334A" w:rsidRDefault="00154A55" w:rsidP="00154A55">
      <w:pPr>
        <w:pStyle w:val="Bullet1G"/>
        <w:numPr>
          <w:ilvl w:val="0"/>
          <w:numId w:val="4"/>
        </w:numPr>
      </w:pPr>
      <w:r w:rsidRPr="002E334A">
        <w:t>15.1.6</w:t>
      </w:r>
      <w:r w:rsidR="004B05CC">
        <w:t> </w:t>
      </w:r>
      <w:r w:rsidRPr="002E334A">
        <w:t>поликлиники;</w:t>
      </w:r>
    </w:p>
    <w:p w14:paraId="295D6FFA" w14:textId="77777777" w:rsidR="00154A55" w:rsidRPr="002E334A" w:rsidRDefault="00154A55" w:rsidP="00154A55">
      <w:pPr>
        <w:pStyle w:val="Bullet1G"/>
        <w:numPr>
          <w:ilvl w:val="0"/>
          <w:numId w:val="4"/>
        </w:numPr>
      </w:pPr>
      <w:r w:rsidRPr="002E334A">
        <w:t>15.1.7</w:t>
      </w:r>
      <w:r w:rsidR="004B05CC">
        <w:t> </w:t>
      </w:r>
      <w:r w:rsidRPr="002E334A">
        <w:t>центральная больница;</w:t>
      </w:r>
    </w:p>
    <w:p w14:paraId="009D9D4B" w14:textId="77777777" w:rsidR="00154A55" w:rsidRPr="002E334A" w:rsidRDefault="00154A55" w:rsidP="00154A55">
      <w:pPr>
        <w:pStyle w:val="Bullet1G"/>
        <w:numPr>
          <w:ilvl w:val="0"/>
          <w:numId w:val="4"/>
        </w:numPr>
      </w:pPr>
      <w:r w:rsidRPr="002E334A">
        <w:t>15.1.8</w:t>
      </w:r>
      <w:r w:rsidR="004B05CC">
        <w:t> </w:t>
      </w:r>
      <w:r w:rsidRPr="002E334A">
        <w:t>санатории;</w:t>
      </w:r>
    </w:p>
    <w:p w14:paraId="39A8070F" w14:textId="77777777" w:rsidR="00154A55" w:rsidRPr="002E334A" w:rsidRDefault="00154A55" w:rsidP="00154A55">
      <w:pPr>
        <w:pStyle w:val="Bullet1G"/>
        <w:numPr>
          <w:ilvl w:val="0"/>
          <w:numId w:val="4"/>
        </w:numPr>
      </w:pPr>
      <w:r w:rsidRPr="002E334A">
        <w:t>15.1.9</w:t>
      </w:r>
      <w:r w:rsidR="004B05CC">
        <w:t> </w:t>
      </w:r>
      <w:r w:rsidRPr="002E334A">
        <w:t>центры неотложной медицинской помощи;</w:t>
      </w:r>
    </w:p>
    <w:p w14:paraId="7E23A8DB" w14:textId="77777777" w:rsidR="00154A55" w:rsidRPr="002E334A" w:rsidRDefault="00154A55" w:rsidP="00154A55">
      <w:pPr>
        <w:pStyle w:val="Bullet1G"/>
        <w:numPr>
          <w:ilvl w:val="0"/>
          <w:numId w:val="4"/>
        </w:numPr>
      </w:pPr>
      <w:r w:rsidRPr="002E334A">
        <w:t>15.1.10</w:t>
      </w:r>
      <w:r w:rsidR="004B05CC">
        <w:t> </w:t>
      </w:r>
      <w:r w:rsidRPr="002E334A">
        <w:t>реабилитационные центры;</w:t>
      </w:r>
    </w:p>
    <w:p w14:paraId="3911E021" w14:textId="77777777" w:rsidR="00154A55" w:rsidRPr="002E334A" w:rsidRDefault="00154A55" w:rsidP="00154A55">
      <w:pPr>
        <w:pStyle w:val="Bullet1G"/>
        <w:numPr>
          <w:ilvl w:val="0"/>
          <w:numId w:val="4"/>
        </w:numPr>
      </w:pPr>
      <w:r w:rsidRPr="002E334A">
        <w:t>15.1.12</w:t>
      </w:r>
      <w:r w:rsidR="004B05CC">
        <w:t> </w:t>
      </w:r>
      <w:r w:rsidRPr="002E334A">
        <w:t>центры специализированной медицинской помощи;</w:t>
      </w:r>
    </w:p>
    <w:p w14:paraId="7DD03484" w14:textId="77777777" w:rsidR="00154A55" w:rsidRPr="002E334A" w:rsidRDefault="00154A55" w:rsidP="00154A55">
      <w:pPr>
        <w:pStyle w:val="Bullet1G"/>
        <w:numPr>
          <w:ilvl w:val="0"/>
          <w:numId w:val="4"/>
        </w:numPr>
      </w:pPr>
      <w:r w:rsidRPr="002E334A">
        <w:t>15.1.13</w:t>
      </w:r>
      <w:r w:rsidR="004B05CC">
        <w:t> </w:t>
      </w:r>
      <w:r w:rsidRPr="002E334A">
        <w:t>специализированные лечебные учреждения;</w:t>
      </w:r>
    </w:p>
    <w:p w14:paraId="377BA6B0" w14:textId="77777777" w:rsidR="00154A55" w:rsidRPr="002E334A" w:rsidRDefault="00154A55" w:rsidP="00154A55">
      <w:pPr>
        <w:pStyle w:val="Bullet1G"/>
        <w:numPr>
          <w:ilvl w:val="0"/>
          <w:numId w:val="4"/>
        </w:numPr>
      </w:pPr>
      <w:r w:rsidRPr="002E334A">
        <w:t>15.1.14</w:t>
      </w:r>
      <w:r w:rsidR="004B05CC">
        <w:t> </w:t>
      </w:r>
      <w:r w:rsidRPr="002E334A">
        <w:t>центры сестринского ухода.</w:t>
      </w:r>
    </w:p>
    <w:p w14:paraId="1DB675CC" w14:textId="77777777" w:rsidR="00154A55" w:rsidRPr="002E334A" w:rsidRDefault="00154A55" w:rsidP="00154A55">
      <w:pPr>
        <w:pStyle w:val="H1G"/>
      </w:pPr>
      <w:r w:rsidRPr="002E334A">
        <w:tab/>
      </w:r>
      <w:r w:rsidRPr="002E334A">
        <w:tab/>
      </w:r>
      <w:r w:rsidRPr="002E334A">
        <w:rPr>
          <w:bCs/>
        </w:rPr>
        <w:t>Ответ на пункт 20 b) перечня вопросов</w:t>
      </w:r>
    </w:p>
    <w:p w14:paraId="7BD1CE00" w14:textId="77777777" w:rsidR="00154A55" w:rsidRPr="002E334A" w:rsidRDefault="00154A55" w:rsidP="00154A55">
      <w:pPr>
        <w:pStyle w:val="SingleTxtG"/>
      </w:pPr>
      <w:r w:rsidRPr="002E334A">
        <w:t>146.</w:t>
      </w:r>
      <w:r w:rsidRPr="002E334A">
        <w:tab/>
        <w:t>В сотрудничестве с ОЛИ и международными организациями для государственных служащих и работников служб системы обслуживания населения организуются учебные курсы по повышению уровня осведомленности о проблеме инвалидности и правах человека лиц с инвалидностью. Например, в 2018 году курс ИР по линии проекта ЯАМС</w:t>
      </w:r>
      <w:r w:rsidR="004B05CC">
        <w:t>−</w:t>
      </w:r>
      <w:r w:rsidRPr="002E334A">
        <w:t>ПСУИ прошли 32 инструктора. Прошедшие подготовку инструкторы организовали 229 курсов обучение для государственных служащих, сотрудников частных структур, работников сектора образования и социальной защиты. Мы планируем привлечь к курсам ИР и работников сектора здравоохранения.</w:t>
      </w:r>
    </w:p>
    <w:p w14:paraId="3AD8CD5D" w14:textId="77777777" w:rsidR="00154A55" w:rsidRPr="002E334A" w:rsidRDefault="00154A55" w:rsidP="00154A55">
      <w:pPr>
        <w:pStyle w:val="SingleTxtG"/>
      </w:pPr>
      <w:r w:rsidRPr="002E334A">
        <w:t>147.</w:t>
      </w:r>
      <w:r w:rsidRPr="002E334A">
        <w:tab/>
        <w:t xml:space="preserve">Необходимо укреплять потенциал сотрудников сектора здравоохранения по вопросам инвалидности и обращения с инвалидами. Однако не все в наших силах. </w:t>
      </w:r>
    </w:p>
    <w:p w14:paraId="2A4B29E6" w14:textId="77777777" w:rsidR="00154A55" w:rsidRPr="002E334A" w:rsidRDefault="00154A55" w:rsidP="002419BD">
      <w:pPr>
        <w:pStyle w:val="H1G"/>
      </w:pPr>
      <w:r w:rsidRPr="002E334A">
        <w:tab/>
      </w:r>
      <w:r w:rsidRPr="002E334A">
        <w:tab/>
        <w:t>Ответ на пункт 21 перечня вопросов</w:t>
      </w:r>
    </w:p>
    <w:p w14:paraId="2093307A" w14:textId="77777777" w:rsidR="00154A55" w:rsidRPr="002E334A" w:rsidRDefault="00154A55" w:rsidP="00154A55">
      <w:pPr>
        <w:pStyle w:val="SingleTxtG"/>
      </w:pPr>
      <w:r w:rsidRPr="002E334A">
        <w:t>148.</w:t>
      </w:r>
      <w:r w:rsidRPr="002E334A">
        <w:tab/>
        <w:t xml:space="preserve">Для содействия трудоустройству лиц с инвалидностью в Монголии существуют механизмы установления квот для хозяйствующих субъектов, поощрения их самозанятости и поддержки работодателей, принимающих инвалидов на работу. Научно-исследовательский институт труда и социальной защиты провел обследование на предмет соблюдения статьи 111 Закона о труде, в котором описываются квоты на прием инвалидов на работу в 2018 году. В ходе обследования были определены </w:t>
      </w:r>
      <w:r w:rsidRPr="002E334A">
        <w:lastRenderedPageBreak/>
        <w:t>стоящие проблемы и выработаны рекомендации и предложения в отношении принятия дальнейших мер по осуществлению статьи 111 Закона о труде. Согласно результатам обследования, причинами неприема лиц с инвалидностью на работу являются: отсутствие работы, которую могли бы выполнять лица с инвалидностью в организации (57,3</w:t>
      </w:r>
      <w:r w:rsidR="002419BD">
        <w:t> </w:t>
      </w:r>
      <w:r w:rsidRPr="002E334A">
        <w:t>% ответивших); отсутствие у лиц с инвалидностью требуемой квалификации (51,5</w:t>
      </w:r>
      <w:r w:rsidR="002419BD">
        <w:t> </w:t>
      </w:r>
      <w:r w:rsidRPr="002E334A">
        <w:t xml:space="preserve">% ответивших); большие трудности с приспособлением рабочего места </w:t>
      </w:r>
      <w:r w:rsidR="002419BD">
        <w:br/>
      </w:r>
      <w:r w:rsidRPr="002E334A">
        <w:t>(34,6</w:t>
      </w:r>
      <w:r w:rsidR="002419BD">
        <w:t> </w:t>
      </w:r>
      <w:r w:rsidRPr="002E334A">
        <w:t>% ответивших) и отсутствие со стороны лиц с инвалидностью попыток устроиться на работу в соответствующую организацию (63,6</w:t>
      </w:r>
      <w:r w:rsidR="002419BD">
        <w:t> </w:t>
      </w:r>
      <w:r w:rsidRPr="002E334A">
        <w:t>% ответивших).</w:t>
      </w:r>
    </w:p>
    <w:p w14:paraId="49B77C94" w14:textId="77777777" w:rsidR="00154A55" w:rsidRPr="002E334A" w:rsidRDefault="00154A55" w:rsidP="00154A55">
      <w:pPr>
        <w:pStyle w:val="SingleTxtG"/>
      </w:pPr>
      <w:r w:rsidRPr="002E334A">
        <w:t>149.</w:t>
      </w:r>
      <w:r w:rsidRPr="002E334A">
        <w:tab/>
        <w:t xml:space="preserve">С целью повышения ответственности хозяйствующих субъектов, которые не выполняют требований системы квот, в парламент Монголии представлены пересмотренный вариант Закона о труде и поправка к Закону о конфликте интересов. </w:t>
      </w:r>
    </w:p>
    <w:p w14:paraId="1F3325D1" w14:textId="77777777" w:rsidR="00154A55" w:rsidRPr="002E334A" w:rsidRDefault="00154A55" w:rsidP="00154A55">
      <w:pPr>
        <w:pStyle w:val="SingleTxtG"/>
      </w:pPr>
      <w:r w:rsidRPr="002E334A">
        <w:t>150.</w:t>
      </w:r>
      <w:r w:rsidRPr="002E334A">
        <w:tab/>
        <w:t xml:space="preserve">Закон о содействии трудоустройству, который в настоящее время пересматривается, предусматривает принятие мер по повышению профессиональной квалификации лиц с инвалидностью, создание службы их трудоустройства и их активное участие. </w:t>
      </w:r>
    </w:p>
    <w:p w14:paraId="083E738F" w14:textId="77777777" w:rsidR="00154A55" w:rsidRPr="002E334A" w:rsidRDefault="00154A55" w:rsidP="00154A55">
      <w:pPr>
        <w:pStyle w:val="SingleTxtG"/>
      </w:pPr>
      <w:r w:rsidRPr="002E334A">
        <w:t>151.</w:t>
      </w:r>
      <w:r w:rsidRPr="002E334A">
        <w:tab/>
        <w:t>В целях более эффективного осуществления Закона о труде были приняты Указ Президента и постановление правительства, о которых рассказывается</w:t>
      </w:r>
      <w:r w:rsidR="00BC6CB5">
        <w:t xml:space="preserve"> </w:t>
      </w:r>
      <w:r w:rsidRPr="002E334A">
        <w:t xml:space="preserve">в разделе 4 ответа на пункт 1 b) перечня вопросов. </w:t>
      </w:r>
    </w:p>
    <w:p w14:paraId="5EE3E401" w14:textId="77777777" w:rsidR="00154A55" w:rsidRPr="002E334A" w:rsidRDefault="00154A55" w:rsidP="00154A55">
      <w:pPr>
        <w:pStyle w:val="SingleTxtG"/>
      </w:pPr>
      <w:r w:rsidRPr="002E334A">
        <w:t>152.</w:t>
      </w:r>
      <w:r w:rsidRPr="002E334A">
        <w:tab/>
        <w:t xml:space="preserve">О мерах по обеспечению трудоустройства лиц с инвалидностью, которые подлежат принятию в рамках проекта АБР, говорится в ответах на пункты 1 b) и </w:t>
      </w:r>
      <w:r w:rsidR="006D21DE">
        <w:t xml:space="preserve">4 </w:t>
      </w:r>
      <w:r w:rsidRPr="002E334A">
        <w:t xml:space="preserve">c) перечня вопросов. </w:t>
      </w:r>
    </w:p>
    <w:p w14:paraId="67AED6E6" w14:textId="77777777" w:rsidR="00154A55" w:rsidRPr="002E334A" w:rsidRDefault="00154A55" w:rsidP="00154A55">
      <w:pPr>
        <w:pStyle w:val="H1G"/>
      </w:pPr>
      <w:r w:rsidRPr="002E334A">
        <w:tab/>
      </w:r>
      <w:r w:rsidRPr="002E334A">
        <w:tab/>
      </w:r>
      <w:r w:rsidRPr="002E334A">
        <w:rPr>
          <w:bCs/>
        </w:rPr>
        <w:t>Ответ на пункт 22 перечня вопросов</w:t>
      </w:r>
    </w:p>
    <w:p w14:paraId="39771BE8" w14:textId="1406EB51" w:rsidR="00154A55" w:rsidRPr="002E334A" w:rsidRDefault="00154A55" w:rsidP="00154A55">
      <w:pPr>
        <w:pStyle w:val="SingleTxtG"/>
      </w:pPr>
      <w:r w:rsidRPr="002E334A">
        <w:t>153.</w:t>
      </w:r>
      <w:r w:rsidRPr="002E334A">
        <w:tab/>
        <w:t xml:space="preserve">В 2016, 2018 и 2019 годах ежемесячная пенсия и пособия на уход, предоставляемые Фондом социального страхования и Фондом социального обеспечения, увеличились в результате повышения минимальной заработной платы и прожиточного минимума следующим образом: минимальная пенсия, предоставляемая Фондом социального страхования, достигла 310 </w:t>
      </w:r>
      <w:r w:rsidR="00F94187">
        <w:t>000</w:t>
      </w:r>
      <w:r w:rsidRPr="002E334A">
        <w:t xml:space="preserve"> тугриков в месяц, минимальная пенсия с отчислением процентов </w:t>
      </w:r>
      <w:r w:rsidR="00D266DB">
        <w:t>⸺</w:t>
      </w:r>
      <w:r w:rsidRPr="002E334A">
        <w:t xml:space="preserve"> 270 </w:t>
      </w:r>
      <w:r w:rsidR="00F94187">
        <w:t>000</w:t>
      </w:r>
      <w:r w:rsidRPr="002E334A">
        <w:t xml:space="preserve"> тугриков в месяц, пенсия по социальному обеспечению </w:t>
      </w:r>
      <w:r w:rsidR="00D266DB">
        <w:t>⸺</w:t>
      </w:r>
      <w:r w:rsidRPr="002E334A">
        <w:t xml:space="preserve"> 174 </w:t>
      </w:r>
      <w:r w:rsidR="00F94187">
        <w:t>000</w:t>
      </w:r>
      <w:r w:rsidRPr="002E334A">
        <w:t xml:space="preserve"> тугриков в месяц, пособие на уход, предоставляемое лицам, осуществляющим уход за инвалидами </w:t>
      </w:r>
      <w:r w:rsidR="00D266DB">
        <w:t>⸺</w:t>
      </w:r>
      <w:r w:rsidRPr="002E334A">
        <w:t xml:space="preserve"> 76 </w:t>
      </w:r>
      <w:r w:rsidR="00F94187">
        <w:t>000</w:t>
      </w:r>
      <w:r w:rsidRPr="002E334A">
        <w:t xml:space="preserve"> тугриков в месяц и пособие родителям детей с инвалидностью </w:t>
      </w:r>
      <w:r w:rsidR="00D266DB">
        <w:t>⸺</w:t>
      </w:r>
      <w:r w:rsidRPr="002E334A">
        <w:t xml:space="preserve"> 174 </w:t>
      </w:r>
      <w:r w:rsidR="00F94187">
        <w:t>000</w:t>
      </w:r>
      <w:r w:rsidRPr="002E334A">
        <w:t xml:space="preserve"> тугриков в месяц. В результате увеличения вышеупомянутых пособий пенсия и пособия на уход достигли прожиточного минимума. О поддержке, оказываемой родителям детей с инвалидностью и самим детям-инвалидам в соответствии с Законом о социальном обеспечении и Законом о правах лиц с инвалидностью, говорится в ответе на пункт</w:t>
      </w:r>
      <w:r w:rsidR="00D266DB">
        <w:t> </w:t>
      </w:r>
      <w:r w:rsidRPr="002E334A">
        <w:t>4</w:t>
      </w:r>
      <w:r w:rsidR="00D266DB">
        <w:t> </w:t>
      </w:r>
      <w:r w:rsidRPr="002E334A">
        <w:t>b) перечня вопросов, касающемся статьи 7. Закон о социальном обеспечении в настоящее время пересматривается, и его новый вариант будет представлен парламенту. Поправки к Закону предусматривают предоставление четырех видов услуг, включая пенсию по социальному обеспечению, пособие, поддержку, скидки и обслуживание. Существующие положения Закона, касающиеся образования, медицинского обслуживания, обеспечения питания и ухода применительно к соответствующим группам населения, будут сохранены. В него будут включены положения об особых обстоятельствах, в которых могут предоставляться социальная поддержка и скидки. Кроме того, он предусматривает предоставление услуг организациями, занимающимися социальным вспомоществованием.</w:t>
      </w:r>
    </w:p>
    <w:p w14:paraId="297671C4" w14:textId="77777777" w:rsidR="00154A55" w:rsidRPr="002E334A" w:rsidRDefault="00154A55" w:rsidP="00154A55">
      <w:pPr>
        <w:pStyle w:val="SingleTxtG"/>
      </w:pPr>
      <w:r w:rsidRPr="002E334A">
        <w:t>154.</w:t>
      </w:r>
      <w:r w:rsidRPr="002E334A">
        <w:tab/>
        <w:t>Разработаны определенные критерии назначения пенсии инвалиду старше 16</w:t>
      </w:r>
      <w:r w:rsidR="00D266DB">
        <w:t> </w:t>
      </w:r>
      <w:r w:rsidRPr="002E334A">
        <w:t>лет, потерявшему трудоспособность на 50</w:t>
      </w:r>
      <w:r w:rsidR="00D266DB">
        <w:t>−</w:t>
      </w:r>
      <w:r w:rsidRPr="002E334A">
        <w:t>69</w:t>
      </w:r>
      <w:r w:rsidR="00D266DB">
        <w:t> %</w:t>
      </w:r>
      <w:r w:rsidRPr="002E334A">
        <w:t>, карлику старше 16 лет, матери</w:t>
      </w:r>
      <w:r w:rsidR="006D21DE">
        <w:t>-одиночке</w:t>
      </w:r>
      <w:r w:rsidRPr="002E334A">
        <w:t xml:space="preserve"> или отцу-одиночке старше 18 лет с тремя и более детьми, а также пособия малообеспеченным семьям. Пособие малообеспеченным семьям назначается с учетом дополнительных критериев, связанных с услугами в области трудоустройства, здравоохранения и образования. Пособие предоставляется малообеспеченным семьям или семьям, которые живут за чертой бедности или имеют небольшой доход и остро нуждаются в социальной помощи. Это положение Закона, призванное содействовать </w:t>
      </w:r>
      <w:r w:rsidRPr="002E334A">
        <w:lastRenderedPageBreak/>
        <w:t xml:space="preserve">сокращению масштабов нищеты, еще не выполнено. Все вышеупомянутые положения применимы к лицам с инвалидностью. </w:t>
      </w:r>
    </w:p>
    <w:p w14:paraId="3FF747EA" w14:textId="77777777" w:rsidR="00154A55" w:rsidRPr="002E334A" w:rsidRDefault="00154A55" w:rsidP="001B4CEB">
      <w:pPr>
        <w:pStyle w:val="H1G"/>
      </w:pPr>
      <w:r w:rsidRPr="002E334A">
        <w:tab/>
      </w:r>
      <w:r w:rsidRPr="002E334A">
        <w:tab/>
        <w:t>Ответ на пункт 23 перечня вопросов</w:t>
      </w:r>
    </w:p>
    <w:p w14:paraId="0C8EC270" w14:textId="77777777" w:rsidR="00154A55" w:rsidRPr="002E334A" w:rsidRDefault="00154A55" w:rsidP="00154A55">
      <w:pPr>
        <w:pStyle w:val="SingleTxtG"/>
      </w:pPr>
      <w:r w:rsidRPr="002E334A">
        <w:t>155.</w:t>
      </w:r>
      <w:r w:rsidRPr="002E334A">
        <w:tab/>
        <w:t xml:space="preserve">В статье 3.1.1 Закона о выборах говорится, что избирательным правом обладают граждане Монголии, достигшие 18 лет, зарегистрированные в системе записи актов гражданского состояния и обладающие полной дееспособностью, при этом она основывается на статье 21.2 Конституции Монголии </w:t>
      </w:r>
      <w:r w:rsidR="002279A3">
        <w:t>«</w:t>
      </w:r>
      <w:r w:rsidRPr="002E334A">
        <w:t>Члены парламента избираются гражданами Монголии, обладающими избирательным правом, на четырехлетний срок тайным голосованием</w:t>
      </w:r>
      <w:r w:rsidR="002279A3">
        <w:t>»</w:t>
      </w:r>
      <w:r w:rsidRPr="002E334A">
        <w:t xml:space="preserve">; статье 25.1.16 </w:t>
      </w:r>
      <w:r w:rsidR="006D21DE">
        <w:t>«</w:t>
      </w:r>
      <w:r w:rsidRPr="002E334A">
        <w:t>Проведение всенародного референдума: результаты референдума, в котором приняло участие большинство граждан, обладающих избирательным правом, считаются действительными и окончательными</w:t>
      </w:r>
      <w:r w:rsidR="006D21DE">
        <w:t>»</w:t>
      </w:r>
      <w:r w:rsidRPr="002E334A">
        <w:t xml:space="preserve">; статье 31.3 </w:t>
      </w:r>
      <w:r w:rsidR="002279A3">
        <w:t>«</w:t>
      </w:r>
      <w:r w:rsidRPr="002E334A">
        <w:t>Президент избирается гражданами Монголии, обладающими избирательным правом, на основе прямого и свободного волеизъявления путем тайного голосования</w:t>
      </w:r>
      <w:r w:rsidR="002279A3">
        <w:t>»</w:t>
      </w:r>
      <w:r w:rsidRPr="002E334A">
        <w:t xml:space="preserve">; статье 18.2 Гражданского кодекса </w:t>
      </w:r>
      <w:r w:rsidR="002279A3">
        <w:t>«</w:t>
      </w:r>
      <w:r w:rsidRPr="002E334A">
        <w:t>Гражданский суд назначает лицо, осуществляющее уход за лицом, которое считается недееспособным в силу наличия у него/нее психического расстройства и которое не может контролировать свои действия</w:t>
      </w:r>
      <w:r w:rsidR="002279A3">
        <w:t>»</w:t>
      </w:r>
      <w:r w:rsidRPr="002E334A">
        <w:t>. Поэтому вышеупомянутая статья Закона о выборах не может быть изменена, если не будут изменены соответствующие статьи Конституции Монголии и Гражданского кодекса.</w:t>
      </w:r>
    </w:p>
    <w:p w14:paraId="5BC601C7" w14:textId="77777777" w:rsidR="00154A55" w:rsidRPr="002E334A" w:rsidRDefault="00154A55" w:rsidP="00154A55">
      <w:pPr>
        <w:pStyle w:val="SingleTxtG"/>
      </w:pPr>
      <w:r w:rsidRPr="002E334A">
        <w:t>156.</w:t>
      </w:r>
      <w:r w:rsidRPr="002E334A">
        <w:tab/>
        <w:t>С целью создания доступных условий для участия лиц с инвалидностью в тайном голосовании Комиссия по всеобщим выборам Монголии разработала в 2008</w:t>
      </w:r>
      <w:r w:rsidR="002673E4">
        <w:t> </w:t>
      </w:r>
      <w:r w:rsidRPr="002E334A">
        <w:t xml:space="preserve">году Руководство по подготовке кабинок для голосования и избирательных участков, которое, в частности, предусматривает </w:t>
      </w:r>
      <w:r w:rsidR="002279A3">
        <w:t>«</w:t>
      </w:r>
      <w:r w:rsidRPr="002E334A">
        <w:t>обеспечение доступности избирательных урн для лиц с инвалидностью</w:t>
      </w:r>
      <w:r w:rsidR="002279A3">
        <w:t>»</w:t>
      </w:r>
      <w:r w:rsidRPr="002E334A">
        <w:t xml:space="preserve"> и </w:t>
      </w:r>
      <w:r w:rsidR="002279A3">
        <w:t>«</w:t>
      </w:r>
      <w:r w:rsidRPr="002E334A">
        <w:t>установку кабинок для голосования, оборудованных для целей участия лиц с инвалидностью в тайном голосовании</w:t>
      </w:r>
      <w:r w:rsidR="002279A3">
        <w:t>»</w:t>
      </w:r>
      <w:r w:rsidRPr="002E334A">
        <w:t xml:space="preserve">. </w:t>
      </w:r>
    </w:p>
    <w:p w14:paraId="563F06E2" w14:textId="77777777" w:rsidR="00154A55" w:rsidRPr="002E334A" w:rsidRDefault="00154A55" w:rsidP="00154A55">
      <w:pPr>
        <w:pStyle w:val="SingleTxtG"/>
      </w:pPr>
      <w:r w:rsidRPr="002E334A">
        <w:t>157.</w:t>
      </w:r>
      <w:r w:rsidRPr="002E334A">
        <w:tab/>
        <w:t>С целью обеспечения осуществления закрепленного в Законе о выборах права лиц с инвалидностью на участие в голосовании были приняты меры по обеспечению доступности кабинок для голосования для избирателей, пользующихся инвалидными колясками, и их оснащению специальными приспособлениями. Во время парламентских выборов 2016 года и выборов Президента Монголии 2017 года во всех избирательных участках для избирателей с нарушениями зрения были установлены таблички с шрифтом Брайля.</w:t>
      </w:r>
    </w:p>
    <w:p w14:paraId="4AF7F2E7" w14:textId="77777777" w:rsidR="00154A55" w:rsidRPr="002E334A" w:rsidRDefault="00154A55" w:rsidP="00154A55">
      <w:pPr>
        <w:pStyle w:val="SingleTxtG"/>
      </w:pPr>
      <w:r w:rsidRPr="002E334A">
        <w:t>158.</w:t>
      </w:r>
      <w:r w:rsidRPr="002E334A">
        <w:tab/>
        <w:t xml:space="preserve">ГУРЛИ создало целевую группу по оценке Закона о политических партиях и Закона о выборах (приказ директора № А/37 от 2019 года) для изучения положения дел с осуществлением статьи 29 об участии лиц с инвалидностью в политической и общественной жизни страны. В состав этой целевой группы входят следующие организации: Национальная федерация ОЛИ, Объединенная федерация лиц с инвалидностью, Ассоциация граждан с инвалидностью, Национальная федерация слепых, Национальная ассоциация инвалидов-колясочников, ЦСП </w:t>
      </w:r>
      <w:r w:rsidR="002279A3">
        <w:t>«</w:t>
      </w:r>
      <w:r w:rsidRPr="002E334A">
        <w:t>Всеобщий прогресс</w:t>
      </w:r>
      <w:r w:rsidR="002279A3">
        <w:t>»</w:t>
      </w:r>
      <w:r w:rsidRPr="002E334A">
        <w:t xml:space="preserve">, Национальная федерация глухих, Национальный совет лиц с инвалидностью, Национальная федерация организаций глухих и НПО </w:t>
      </w:r>
      <w:r w:rsidR="002279A3">
        <w:t>«</w:t>
      </w:r>
      <w:proofErr w:type="spellStart"/>
      <w:r w:rsidRPr="002E334A">
        <w:t>Тегш</w:t>
      </w:r>
      <w:proofErr w:type="spellEnd"/>
      <w:r w:rsidRPr="002E334A">
        <w:t xml:space="preserve"> </w:t>
      </w:r>
      <w:proofErr w:type="spellStart"/>
      <w:r w:rsidRPr="002E334A">
        <w:t>Ниигем</w:t>
      </w:r>
      <w:proofErr w:type="spellEnd"/>
      <w:r w:rsidR="002279A3">
        <w:t>»</w:t>
      </w:r>
      <w:r w:rsidRPr="002E334A">
        <w:t>. В настоящее время целевая группа подготавливает предложения о внесении поправок в Закон о парламентских выборах, включая оценку, заключение, предложения и исследование по вопросу о текущем правовом положении в Монголии и осуществлении права избирать и быть избранным в соответствии с международными нормами.</w:t>
      </w:r>
    </w:p>
    <w:p w14:paraId="252E69DA" w14:textId="77777777" w:rsidR="00154A55" w:rsidRPr="002E334A" w:rsidRDefault="00154A55" w:rsidP="00154A55">
      <w:pPr>
        <w:pStyle w:val="H1G"/>
      </w:pPr>
      <w:r w:rsidRPr="002E334A">
        <w:tab/>
      </w:r>
      <w:r w:rsidRPr="002E334A">
        <w:tab/>
      </w:r>
      <w:r w:rsidRPr="002E334A">
        <w:rPr>
          <w:bCs/>
        </w:rPr>
        <w:t>Ответ на пункт 24 перечня вопросов</w:t>
      </w:r>
    </w:p>
    <w:p w14:paraId="009F932F" w14:textId="77777777" w:rsidR="00154A55" w:rsidRPr="002E334A" w:rsidRDefault="00154A55" w:rsidP="00154A55">
      <w:pPr>
        <w:pStyle w:val="SingleTxtG"/>
      </w:pPr>
      <w:r w:rsidRPr="002E334A">
        <w:t>159.</w:t>
      </w:r>
      <w:r w:rsidRPr="002E334A">
        <w:tab/>
        <w:t>Были приняты некоторые меры для обеспечения лицам с инвалидностью доступа к культурным материалам и информационным ресурсам с использованием информационно-коммуникационных технологий. Например, для расширения аудиобиблиотеки мы преобразовали 75 книг, изданных в 2010</w:t>
      </w:r>
      <w:r w:rsidR="002673E4">
        <w:t>−</w:t>
      </w:r>
      <w:r w:rsidRPr="002E334A">
        <w:t xml:space="preserve">2017 годах в бумажном формате, в электронные аудиокниги и книги, набранные шрифтом Брайля, </w:t>
      </w:r>
      <w:r w:rsidR="001B3F55">
        <w:br/>
      </w:r>
      <w:r w:rsidRPr="002E334A">
        <w:lastRenderedPageBreak/>
        <w:t>и опубликовали их в более крупном формате. В 2017 году аудиобиблиотека Национальной федерации слепых пополнилась 27 книгами. В 2018 году 1090</w:t>
      </w:r>
      <w:r w:rsidR="001B3F55">
        <w:t> </w:t>
      </w:r>
      <w:r w:rsidRPr="002E334A">
        <w:t xml:space="preserve">пользователей прочли 1611 книг. Из них 391 книга была прочитана в читальном зале, а 1190 книг </w:t>
      </w:r>
      <w:r w:rsidR="001B3F55">
        <w:t>⸺</w:t>
      </w:r>
      <w:r w:rsidRPr="002E334A">
        <w:t xml:space="preserve"> дома, при этом 30 книг были обменяны. Программа доступа к рабочему столу без зрительного контроля (</w:t>
      </w:r>
      <w:r w:rsidRPr="00F93500">
        <w:t>NVDA</w:t>
      </w:r>
      <w:r w:rsidRPr="002E334A">
        <w:t>), которая широко используется во всем мире, была переведена на монгольский язык, и теперь доступна ее вторая обновленная версия. В целях повышения качества, доступности и возможностей считывающих устройств со шрифтом Брайля и электронных библиотек для людей с нарушениями зрения были предприняты следующие шаги:</w:t>
      </w:r>
    </w:p>
    <w:p w14:paraId="04DE3464" w14:textId="77777777" w:rsidR="00154A55" w:rsidRPr="002E334A" w:rsidRDefault="00154A55" w:rsidP="00154A55">
      <w:pPr>
        <w:pStyle w:val="Bullet1G"/>
        <w:numPr>
          <w:ilvl w:val="0"/>
          <w:numId w:val="4"/>
        </w:numPr>
      </w:pPr>
      <w:r w:rsidRPr="002E334A">
        <w:t xml:space="preserve">присоединение к международной книжной службе </w:t>
      </w:r>
      <w:r w:rsidR="002279A3">
        <w:t>«</w:t>
      </w:r>
      <w:r w:rsidRPr="002E334A">
        <w:t>ABC GLOBAL BOOK SERVICE</w:t>
      </w:r>
      <w:r w:rsidR="002279A3">
        <w:t>»</w:t>
      </w:r>
      <w:r w:rsidRPr="002E334A">
        <w:t>;</w:t>
      </w:r>
    </w:p>
    <w:p w14:paraId="5B8C8A4A" w14:textId="77777777" w:rsidR="00154A55" w:rsidRPr="002E334A" w:rsidRDefault="00154A55" w:rsidP="00154A55">
      <w:pPr>
        <w:pStyle w:val="Bullet1G"/>
        <w:numPr>
          <w:ilvl w:val="0"/>
          <w:numId w:val="4"/>
        </w:numPr>
      </w:pPr>
      <w:r w:rsidRPr="002E334A">
        <w:t>преобразование 20 отобранных книг в электронный формат с использованием программы DAYSY E-PUB 3.0.</w:t>
      </w:r>
    </w:p>
    <w:p w14:paraId="39A2136E" w14:textId="77777777" w:rsidR="00154A55" w:rsidRPr="002E334A" w:rsidRDefault="00154A55" w:rsidP="00154A55">
      <w:pPr>
        <w:pStyle w:val="H1G"/>
      </w:pPr>
      <w:r w:rsidRPr="002E334A">
        <w:tab/>
      </w:r>
      <w:r w:rsidRPr="002E334A">
        <w:tab/>
      </w:r>
      <w:r w:rsidRPr="002E334A">
        <w:rPr>
          <w:bCs/>
        </w:rPr>
        <w:t>Ответ на пункт 25 перечня вопросов</w:t>
      </w:r>
    </w:p>
    <w:p w14:paraId="19D035AF" w14:textId="77777777" w:rsidR="00154A55" w:rsidRPr="002E334A" w:rsidRDefault="00154A55" w:rsidP="00154A55">
      <w:pPr>
        <w:pStyle w:val="SingleTxtG"/>
      </w:pPr>
      <w:r w:rsidRPr="002E334A">
        <w:t>160.</w:t>
      </w:r>
      <w:r w:rsidRPr="002E334A">
        <w:tab/>
        <w:t>Статистические данные по инвалидности, используемые в нашей стране, поступают из официальных и административных источников (</w:t>
      </w:r>
      <w:r w:rsidR="001B3F55">
        <w:t>т</w:t>
      </w:r>
      <w:r w:rsidRPr="002E334A">
        <w:t>аблица 1). Официальными источниками статистических данных являются переписи населения и жилищного фонда, база данных по населению и жилищному фонду, выборочные обследования домашних хозяйств и некоторые социальные показатели. В ходе национальной переписи населения и жилищного фонда 2010 года НСУ с целью получения представления о демографических характеристиках, социально-экономическом положении и быте лиц с инвалидностью в Монголии провело специальное тематическое обследование и впоследствии обнародовало его результаты. Правительство готовит краткий набор вопросов Вашингтонской группы (ВГ) для использования при проведении национальной переписи населения 2020 года. В целях повышения международной сопоставимости статистических данных по инвалидности и мониторинга качества и эффективности политики и программ, направленных на поощрение равного участия лиц с инвалидностью в социальной, экономической и культурной жизни, краткий набор вопросов ВГ и недавно переработанные вопросы в отношении взрослых и детей были использованы после 2016 года в рамках ряда выборочных обследований, включая:</w:t>
      </w:r>
    </w:p>
    <w:p w14:paraId="63A8426E" w14:textId="77777777" w:rsidR="00154A55" w:rsidRPr="002E334A" w:rsidRDefault="00154A55" w:rsidP="00154A55">
      <w:pPr>
        <w:pStyle w:val="Bullet1G"/>
        <w:numPr>
          <w:ilvl w:val="0"/>
          <w:numId w:val="4"/>
        </w:numPr>
      </w:pPr>
      <w:r w:rsidRPr="002E334A">
        <w:t>Социально-экономическое обследование домашних хозяйств, 2018 год;</w:t>
      </w:r>
    </w:p>
    <w:p w14:paraId="49095738" w14:textId="77777777" w:rsidR="00154A55" w:rsidRPr="002E334A" w:rsidRDefault="00154A55" w:rsidP="00154A55">
      <w:pPr>
        <w:pStyle w:val="Bullet1G"/>
        <w:numPr>
          <w:ilvl w:val="0"/>
          <w:numId w:val="4"/>
        </w:numPr>
      </w:pPr>
      <w:r w:rsidRPr="002E334A">
        <w:t>Обследование рабочей силы, экспериментальный проект, 2018 год;</w:t>
      </w:r>
    </w:p>
    <w:p w14:paraId="0663D058" w14:textId="77777777" w:rsidR="00154A55" w:rsidRPr="002E334A" w:rsidRDefault="00154A55" w:rsidP="00154A55">
      <w:pPr>
        <w:pStyle w:val="Bullet1G"/>
        <w:numPr>
          <w:ilvl w:val="0"/>
          <w:numId w:val="4"/>
        </w:numPr>
      </w:pPr>
      <w:r w:rsidRPr="002E334A">
        <w:t>Обследование по вопросам гендерного насилия, 2017 год;</w:t>
      </w:r>
    </w:p>
    <w:p w14:paraId="3E3C8102" w14:textId="77777777" w:rsidR="00154A55" w:rsidRPr="002E334A" w:rsidRDefault="00154A55" w:rsidP="00154A55">
      <w:pPr>
        <w:pStyle w:val="Bullet1G"/>
        <w:numPr>
          <w:ilvl w:val="0"/>
          <w:numId w:val="4"/>
        </w:numPr>
      </w:pPr>
      <w:r w:rsidRPr="002E334A">
        <w:t>Выборочное обследование социальных показателей, 2018 год;</w:t>
      </w:r>
    </w:p>
    <w:p w14:paraId="322DF6AE" w14:textId="77777777" w:rsidR="00154A55" w:rsidRPr="002E334A" w:rsidRDefault="00154A55" w:rsidP="00154A55">
      <w:pPr>
        <w:pStyle w:val="Bullet1G"/>
        <w:numPr>
          <w:ilvl w:val="0"/>
          <w:numId w:val="4"/>
        </w:numPr>
      </w:pPr>
      <w:r w:rsidRPr="002E334A">
        <w:t>Обследование по вопросу использования времени, 2019 год.</w:t>
      </w:r>
    </w:p>
    <w:p w14:paraId="285D3998" w14:textId="77777777" w:rsidR="00154A55" w:rsidRPr="002E334A" w:rsidRDefault="00154A55" w:rsidP="00154A55">
      <w:pPr>
        <w:pStyle w:val="SingleTxtG"/>
      </w:pPr>
      <w:r w:rsidRPr="002E334A">
        <w:t>161.</w:t>
      </w:r>
      <w:r w:rsidRPr="002E334A">
        <w:tab/>
        <w:t xml:space="preserve">Для баз административных данных осуществляется сбор информация о взрослых и детях, которые были признаны инвалидами по решению МОКНС, МЗ, МТСЗ, врачебно-трудовых экспертных комиссий (ВТЭК) и комиссий по оказанию медико-педагогической и социальной помощи детям-инвалидам. МОКНС ведет учет детей с инвалидностью, обучающихся в дошкольных учебных заведениях и обычных школах, данные же об учащихся колледжей и университетов, которые являются инвалидами, отсутствуют. Поэтому в 2019 году МОКНС в сотрудничестве с НСУ пересмотрело инструкцию по заполнению форм, используемых в высших учебных заведениях, и вновь добавило в них вопросы, касающиеся инвалидности. МЗ ведет учет лиц с инвалидностью, обращающихся в больницы всех уровней, а МТСЗ </w:t>
      </w:r>
      <w:r w:rsidR="001B3F55">
        <w:t>⸺</w:t>
      </w:r>
      <w:r w:rsidRPr="002E334A">
        <w:t xml:space="preserve"> учет инвалидов, которые имеют доступ к услугам системы социальной защиты, включая пенсии, пособия, льготы, скидки, а также учащихся-инвалидов, обучающихся в профессионально-технических училищах. </w:t>
      </w:r>
    </w:p>
    <w:p w14:paraId="1B774188" w14:textId="77777777" w:rsidR="001B3F55" w:rsidRDefault="001B3F55">
      <w:pPr>
        <w:suppressAutoHyphens w:val="0"/>
        <w:spacing w:line="240" w:lineRule="auto"/>
        <w:rPr>
          <w:rFonts w:eastAsia="Times New Roman" w:cs="Times New Roman"/>
          <w:szCs w:val="20"/>
        </w:rPr>
      </w:pPr>
      <w:r>
        <w:br w:type="page"/>
      </w:r>
    </w:p>
    <w:p w14:paraId="4919B28E" w14:textId="77777777" w:rsidR="00154A55" w:rsidRPr="002E334A" w:rsidRDefault="00154A55" w:rsidP="000908D3">
      <w:pPr>
        <w:pStyle w:val="SingleTxtG"/>
      </w:pPr>
      <w:r w:rsidRPr="002E334A">
        <w:lastRenderedPageBreak/>
        <w:t>162.</w:t>
      </w:r>
      <w:r w:rsidRPr="002E334A">
        <w:tab/>
        <w:t>В будущем необходимо провести конкретные мероприятия, в том числе создать базу данных, касающихся осуществления политических прав и свобод лиц с инвалидностью, а особенно улучшить правовую среду для реализации избирательных прав.</w:t>
      </w:r>
    </w:p>
    <w:p w14:paraId="79E3DB9B" w14:textId="77777777" w:rsidR="00154A55" w:rsidRPr="002E334A" w:rsidRDefault="001B3F55" w:rsidP="001B3F55">
      <w:pPr>
        <w:pStyle w:val="H23G"/>
        <w:rPr>
          <w:bCs/>
        </w:rPr>
      </w:pPr>
      <w:r w:rsidRPr="001B3F55">
        <w:rPr>
          <w:b w:val="0"/>
          <w:bCs/>
        </w:rPr>
        <w:tab/>
      </w:r>
      <w:r w:rsidRPr="001B3F55">
        <w:rPr>
          <w:b w:val="0"/>
          <w:bCs/>
        </w:rPr>
        <w:tab/>
      </w:r>
      <w:r w:rsidR="00154A55" w:rsidRPr="001B3F55">
        <w:rPr>
          <w:b w:val="0"/>
          <w:bCs/>
        </w:rPr>
        <w:t>Таблица 1</w:t>
      </w:r>
      <w:r w:rsidRPr="001B3F55">
        <w:rPr>
          <w:b w:val="0"/>
          <w:bCs/>
        </w:rPr>
        <w:br/>
      </w:r>
      <w:r w:rsidR="00154A55" w:rsidRPr="002E334A">
        <w:rPr>
          <w:bCs/>
        </w:rPr>
        <w:t>Источники информации в разбивке по видам</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69"/>
        <w:gridCol w:w="2939"/>
        <w:gridCol w:w="561"/>
        <w:gridCol w:w="3401"/>
      </w:tblGrid>
      <w:tr w:rsidR="002E334A" w:rsidRPr="0098664A" w14:paraId="3DCDC845" w14:textId="77777777" w:rsidTr="0098664A">
        <w:trPr>
          <w:cantSplit/>
          <w:tblHeader/>
        </w:trPr>
        <w:tc>
          <w:tcPr>
            <w:tcW w:w="3969" w:type="dxa"/>
            <w:gridSpan w:val="3"/>
            <w:tcBorders>
              <w:top w:val="single" w:sz="4" w:space="0" w:color="auto"/>
              <w:bottom w:val="single" w:sz="12" w:space="0" w:color="auto"/>
            </w:tcBorders>
            <w:shd w:val="clear" w:color="auto" w:fill="auto"/>
            <w:vAlign w:val="bottom"/>
          </w:tcPr>
          <w:p w14:paraId="356CCA56" w14:textId="77777777" w:rsidR="00154A55" w:rsidRPr="0098664A" w:rsidRDefault="00154A55" w:rsidP="00DE24D1">
            <w:pPr>
              <w:pStyle w:val="SingleTxtG"/>
              <w:suppressAutoHyphens w:val="0"/>
              <w:spacing w:before="80" w:after="80" w:line="200" w:lineRule="exact"/>
              <w:ind w:left="0" w:right="113"/>
              <w:jc w:val="left"/>
              <w:rPr>
                <w:i/>
                <w:sz w:val="16"/>
                <w:szCs w:val="16"/>
              </w:rPr>
            </w:pPr>
            <w:r w:rsidRPr="0098664A">
              <w:rPr>
                <w:i/>
                <w:iCs/>
                <w:sz w:val="16"/>
                <w:szCs w:val="16"/>
              </w:rPr>
              <w:t>Национальное статистическое управление</w:t>
            </w:r>
          </w:p>
        </w:tc>
        <w:tc>
          <w:tcPr>
            <w:tcW w:w="3401" w:type="dxa"/>
            <w:tcBorders>
              <w:top w:val="single" w:sz="4" w:space="0" w:color="auto"/>
              <w:bottom w:val="single" w:sz="12" w:space="0" w:color="auto"/>
            </w:tcBorders>
            <w:shd w:val="clear" w:color="auto" w:fill="auto"/>
            <w:vAlign w:val="bottom"/>
          </w:tcPr>
          <w:p w14:paraId="299B16FE" w14:textId="77777777" w:rsidR="00154A55" w:rsidRPr="0098664A" w:rsidRDefault="00154A55" w:rsidP="00DE24D1">
            <w:pPr>
              <w:pStyle w:val="SingleTxtG"/>
              <w:suppressAutoHyphens w:val="0"/>
              <w:spacing w:before="80" w:after="80" w:line="200" w:lineRule="exact"/>
              <w:ind w:left="0" w:right="113"/>
              <w:jc w:val="left"/>
              <w:rPr>
                <w:i/>
                <w:sz w:val="16"/>
                <w:szCs w:val="16"/>
              </w:rPr>
            </w:pPr>
            <w:r w:rsidRPr="0098664A">
              <w:rPr>
                <w:i/>
                <w:iCs/>
                <w:sz w:val="16"/>
                <w:szCs w:val="16"/>
              </w:rPr>
              <w:t>Правительство</w:t>
            </w:r>
          </w:p>
        </w:tc>
      </w:tr>
      <w:tr w:rsidR="002E334A" w:rsidRPr="002E334A" w14:paraId="0CEF1678" w14:textId="77777777" w:rsidTr="0098664A">
        <w:trPr>
          <w:cantSplit/>
          <w:tblHeader/>
        </w:trPr>
        <w:tc>
          <w:tcPr>
            <w:tcW w:w="469" w:type="dxa"/>
            <w:vMerge w:val="restart"/>
            <w:tcBorders>
              <w:top w:val="single" w:sz="12" w:space="0" w:color="auto"/>
            </w:tcBorders>
            <w:shd w:val="clear" w:color="auto" w:fill="auto"/>
            <w:textDirection w:val="btLr"/>
          </w:tcPr>
          <w:p w14:paraId="1A88C92C" w14:textId="77777777" w:rsidR="00154A55" w:rsidRPr="002E334A" w:rsidRDefault="00154A55" w:rsidP="00DE24D1">
            <w:pPr>
              <w:pStyle w:val="SingleTxtG"/>
              <w:suppressAutoHyphens w:val="0"/>
              <w:spacing w:before="40" w:line="220" w:lineRule="exact"/>
              <w:ind w:left="0" w:right="113"/>
              <w:jc w:val="center"/>
            </w:pPr>
            <w:r w:rsidRPr="002E334A">
              <w:t>Официальная статистика</w:t>
            </w:r>
          </w:p>
        </w:tc>
        <w:tc>
          <w:tcPr>
            <w:tcW w:w="2939" w:type="dxa"/>
            <w:tcBorders>
              <w:top w:val="single" w:sz="12" w:space="0" w:color="auto"/>
            </w:tcBorders>
            <w:shd w:val="clear" w:color="auto" w:fill="auto"/>
          </w:tcPr>
          <w:p w14:paraId="0C9A691D" w14:textId="77777777" w:rsidR="00154A55" w:rsidRPr="002E334A" w:rsidRDefault="00154A55" w:rsidP="0098664A">
            <w:pPr>
              <w:pStyle w:val="SingleTxtG"/>
              <w:spacing w:before="40" w:line="220" w:lineRule="exact"/>
              <w:ind w:left="0" w:right="113"/>
              <w:jc w:val="left"/>
            </w:pPr>
            <w:r w:rsidRPr="002E334A">
              <w:t>Некоторые социальные показатели (ежегодно)</w:t>
            </w:r>
          </w:p>
          <w:p w14:paraId="1ABF45FE" w14:textId="77777777" w:rsidR="00154A55" w:rsidRPr="002E334A" w:rsidRDefault="00154A55" w:rsidP="0098664A">
            <w:pPr>
              <w:pStyle w:val="SingleTxtG"/>
              <w:tabs>
                <w:tab w:val="left" w:pos="284"/>
              </w:tabs>
              <w:spacing w:before="40" w:line="220" w:lineRule="exact"/>
              <w:ind w:left="0" w:right="113"/>
              <w:jc w:val="left"/>
            </w:pPr>
            <w:r w:rsidRPr="002E334A">
              <w:sym w:font="Wingdings" w:char="F09F"/>
            </w:r>
            <w:r w:rsidRPr="002E334A">
              <w:tab/>
              <w:t>Лица с инвалидностью, возраст, пол, вид, форма</w:t>
            </w:r>
          </w:p>
        </w:tc>
        <w:tc>
          <w:tcPr>
            <w:tcW w:w="561" w:type="dxa"/>
            <w:vMerge w:val="restart"/>
            <w:tcBorders>
              <w:top w:val="single" w:sz="12" w:space="0" w:color="auto"/>
            </w:tcBorders>
            <w:shd w:val="clear" w:color="auto" w:fill="auto"/>
            <w:textDirection w:val="btLr"/>
          </w:tcPr>
          <w:p w14:paraId="36ECED8D" w14:textId="77777777" w:rsidR="00154A55" w:rsidRPr="002E334A" w:rsidRDefault="00154A55" w:rsidP="0098664A">
            <w:pPr>
              <w:pStyle w:val="SingleTxtG"/>
              <w:spacing w:before="40" w:line="220" w:lineRule="exact"/>
              <w:ind w:left="0" w:right="113"/>
              <w:jc w:val="center"/>
            </w:pPr>
            <w:r w:rsidRPr="002E334A">
              <w:t>Административные учетные записи и отчетность</w:t>
            </w:r>
          </w:p>
        </w:tc>
        <w:tc>
          <w:tcPr>
            <w:tcW w:w="3401" w:type="dxa"/>
            <w:tcBorders>
              <w:top w:val="single" w:sz="12" w:space="0" w:color="auto"/>
            </w:tcBorders>
            <w:shd w:val="clear" w:color="auto" w:fill="auto"/>
          </w:tcPr>
          <w:p w14:paraId="3A62109E" w14:textId="77777777" w:rsidR="00154A55" w:rsidRPr="002E334A" w:rsidRDefault="00154A55" w:rsidP="0098664A">
            <w:pPr>
              <w:pStyle w:val="SingleTxtG"/>
              <w:spacing w:before="40" w:line="220" w:lineRule="exact"/>
              <w:ind w:left="0" w:right="113"/>
              <w:jc w:val="left"/>
            </w:pPr>
            <w:r w:rsidRPr="002E334A">
              <w:t>Министерство образования, культуры, науки и спорта (МОКНС)</w:t>
            </w:r>
          </w:p>
          <w:p w14:paraId="5F24416F" w14:textId="77777777" w:rsidR="00154A55" w:rsidRPr="002E334A" w:rsidRDefault="00154A55" w:rsidP="0098664A">
            <w:pPr>
              <w:pStyle w:val="SingleTxtG"/>
              <w:tabs>
                <w:tab w:val="left" w:pos="284"/>
              </w:tabs>
              <w:spacing w:before="40" w:line="220" w:lineRule="exact"/>
              <w:ind w:left="0" w:right="113"/>
              <w:jc w:val="left"/>
            </w:pPr>
            <w:r w:rsidRPr="002E334A">
              <w:sym w:font="Wingdings" w:char="F09F"/>
            </w:r>
            <w:r w:rsidRPr="002E334A">
              <w:tab/>
              <w:t>Количество детей с инвалидностью, обучающихся в дошкольных учебных заведениях и обычных школах</w:t>
            </w:r>
          </w:p>
        </w:tc>
      </w:tr>
      <w:tr w:rsidR="002E334A" w:rsidRPr="002E334A" w14:paraId="362EB71E" w14:textId="77777777" w:rsidTr="0098664A">
        <w:trPr>
          <w:cantSplit/>
          <w:tblHeader/>
        </w:trPr>
        <w:tc>
          <w:tcPr>
            <w:tcW w:w="469" w:type="dxa"/>
            <w:vMerge/>
            <w:shd w:val="clear" w:color="auto" w:fill="auto"/>
          </w:tcPr>
          <w:p w14:paraId="4B3DB696" w14:textId="77777777" w:rsidR="00154A55" w:rsidRPr="002E334A" w:rsidRDefault="00154A55" w:rsidP="00DE24D1">
            <w:pPr>
              <w:pStyle w:val="SingleTxtG"/>
              <w:suppressAutoHyphens w:val="0"/>
              <w:spacing w:before="40" w:line="220" w:lineRule="exact"/>
              <w:ind w:left="0" w:right="113"/>
              <w:jc w:val="left"/>
            </w:pPr>
          </w:p>
        </w:tc>
        <w:tc>
          <w:tcPr>
            <w:tcW w:w="2939" w:type="dxa"/>
            <w:shd w:val="clear" w:color="auto" w:fill="auto"/>
          </w:tcPr>
          <w:p w14:paraId="19926CCA" w14:textId="77777777" w:rsidR="00154A55" w:rsidRPr="002E334A" w:rsidRDefault="00154A55" w:rsidP="0098664A">
            <w:pPr>
              <w:pStyle w:val="SingleTxtG"/>
              <w:spacing w:before="40" w:line="220" w:lineRule="exact"/>
              <w:ind w:left="0" w:right="113"/>
              <w:jc w:val="left"/>
            </w:pPr>
            <w:r w:rsidRPr="002E334A">
              <w:t>Национальная перепись населения и жилищного фонда 2010 года</w:t>
            </w:r>
          </w:p>
          <w:p w14:paraId="21644220" w14:textId="77777777" w:rsidR="00154A55" w:rsidRPr="002E334A" w:rsidRDefault="00154A55" w:rsidP="0098664A">
            <w:pPr>
              <w:pStyle w:val="SingleTxtG"/>
              <w:spacing w:before="40" w:line="220" w:lineRule="exact"/>
              <w:ind w:left="0" w:right="113"/>
              <w:jc w:val="left"/>
            </w:pPr>
            <w:r w:rsidRPr="002E334A">
              <w:t>База данных по населению и домашним хозяйствам</w:t>
            </w:r>
          </w:p>
          <w:p w14:paraId="1E4976B5" w14:textId="77777777" w:rsidR="00154A55" w:rsidRPr="002E334A" w:rsidRDefault="00154A55" w:rsidP="0098664A">
            <w:pPr>
              <w:pStyle w:val="SingleTxtG"/>
              <w:tabs>
                <w:tab w:val="left" w:pos="284"/>
              </w:tabs>
              <w:spacing w:before="40" w:line="220" w:lineRule="exact"/>
              <w:ind w:left="0" w:right="113"/>
              <w:jc w:val="left"/>
            </w:pPr>
            <w:r w:rsidRPr="002E334A">
              <w:sym w:font="Wingdings" w:char="F09F"/>
            </w:r>
            <w:r w:rsidRPr="002E334A">
              <w:tab/>
              <w:t>Лица с инвалидностью, возраст, пол, вид, форма</w:t>
            </w:r>
          </w:p>
        </w:tc>
        <w:tc>
          <w:tcPr>
            <w:tcW w:w="561" w:type="dxa"/>
            <w:vMerge/>
            <w:shd w:val="clear" w:color="auto" w:fill="auto"/>
          </w:tcPr>
          <w:p w14:paraId="035BB042" w14:textId="77777777" w:rsidR="00154A55" w:rsidRPr="002E334A" w:rsidRDefault="00154A55" w:rsidP="0098664A">
            <w:pPr>
              <w:pStyle w:val="SingleTxtG"/>
              <w:spacing w:before="40" w:line="220" w:lineRule="exact"/>
              <w:ind w:left="0" w:right="113"/>
              <w:jc w:val="left"/>
            </w:pPr>
          </w:p>
        </w:tc>
        <w:tc>
          <w:tcPr>
            <w:tcW w:w="3401" w:type="dxa"/>
            <w:shd w:val="clear" w:color="auto" w:fill="auto"/>
          </w:tcPr>
          <w:p w14:paraId="6F8597C9" w14:textId="77777777" w:rsidR="00154A55" w:rsidRPr="002E334A" w:rsidRDefault="00154A55" w:rsidP="0098664A">
            <w:pPr>
              <w:pStyle w:val="SingleTxtG"/>
              <w:spacing w:before="40" w:line="220" w:lineRule="exact"/>
              <w:ind w:left="0" w:right="113"/>
              <w:jc w:val="left"/>
            </w:pPr>
            <w:r w:rsidRPr="002E334A">
              <w:t>Министерство здравоохранения (МЗ)</w:t>
            </w:r>
          </w:p>
          <w:p w14:paraId="731CE29E" w14:textId="77777777" w:rsidR="00154A55" w:rsidRPr="002E334A" w:rsidRDefault="00154A55" w:rsidP="0098664A">
            <w:pPr>
              <w:pStyle w:val="SingleTxtG"/>
              <w:tabs>
                <w:tab w:val="left" w:pos="284"/>
              </w:tabs>
              <w:spacing w:before="40" w:line="220" w:lineRule="exact"/>
              <w:ind w:left="0" w:right="113"/>
              <w:jc w:val="left"/>
            </w:pPr>
            <w:r w:rsidRPr="002E334A">
              <w:sym w:font="Wingdings" w:char="F09F"/>
            </w:r>
            <w:r w:rsidRPr="002E334A">
              <w:tab/>
              <w:t>Количество лиц с инвалидностью, обратившихся в больницы всех уровней</w:t>
            </w:r>
          </w:p>
        </w:tc>
      </w:tr>
      <w:tr w:rsidR="002E334A" w:rsidRPr="002E334A" w14:paraId="342EAB62" w14:textId="77777777" w:rsidTr="0098664A">
        <w:trPr>
          <w:cantSplit/>
          <w:tblHeader/>
        </w:trPr>
        <w:tc>
          <w:tcPr>
            <w:tcW w:w="469" w:type="dxa"/>
            <w:vMerge/>
            <w:shd w:val="clear" w:color="auto" w:fill="auto"/>
          </w:tcPr>
          <w:p w14:paraId="3933CD25" w14:textId="77777777" w:rsidR="00154A55" w:rsidRPr="002E334A" w:rsidRDefault="00154A55" w:rsidP="00DE24D1">
            <w:pPr>
              <w:pStyle w:val="SingleTxtG"/>
              <w:suppressAutoHyphens w:val="0"/>
              <w:spacing w:before="40" w:line="220" w:lineRule="exact"/>
              <w:ind w:left="0" w:right="113"/>
              <w:jc w:val="left"/>
            </w:pPr>
          </w:p>
        </w:tc>
        <w:tc>
          <w:tcPr>
            <w:tcW w:w="2939" w:type="dxa"/>
            <w:shd w:val="clear" w:color="auto" w:fill="auto"/>
          </w:tcPr>
          <w:p w14:paraId="1351D6B7" w14:textId="77777777" w:rsidR="00154A55" w:rsidRPr="002E334A" w:rsidRDefault="00154A55" w:rsidP="0098664A">
            <w:pPr>
              <w:pStyle w:val="SingleTxtG"/>
              <w:spacing w:before="40" w:line="220" w:lineRule="exact"/>
              <w:ind w:left="0" w:right="113"/>
              <w:jc w:val="left"/>
            </w:pPr>
            <w:r w:rsidRPr="002E334A">
              <w:t>Обследование домашних хозяйств:</w:t>
            </w:r>
          </w:p>
          <w:p w14:paraId="45A6EEE4" w14:textId="77777777" w:rsidR="00154A55" w:rsidRPr="002E334A" w:rsidRDefault="00154A55" w:rsidP="0098664A">
            <w:pPr>
              <w:pStyle w:val="SingleTxtG"/>
              <w:tabs>
                <w:tab w:val="left" w:pos="284"/>
              </w:tabs>
              <w:spacing w:before="40" w:line="220" w:lineRule="exact"/>
              <w:ind w:left="0" w:right="113"/>
              <w:jc w:val="left"/>
            </w:pPr>
            <w:r w:rsidRPr="002E334A">
              <w:sym w:font="Wingdings" w:char="F09F"/>
            </w:r>
            <w:r w:rsidRPr="002E334A">
              <w:tab/>
              <w:t>Социально-экономическое обследование домашних хозяйств, раз в два года</w:t>
            </w:r>
          </w:p>
          <w:p w14:paraId="30277473" w14:textId="77777777" w:rsidR="00154A55" w:rsidRPr="002E334A" w:rsidRDefault="00154A55" w:rsidP="0098664A">
            <w:pPr>
              <w:pStyle w:val="SingleTxtG"/>
              <w:tabs>
                <w:tab w:val="left" w:pos="284"/>
              </w:tabs>
              <w:spacing w:before="40" w:line="220" w:lineRule="exact"/>
              <w:ind w:left="0" w:right="113"/>
              <w:jc w:val="left"/>
            </w:pPr>
            <w:r w:rsidRPr="002E334A">
              <w:sym w:font="Wingdings" w:char="F09F"/>
            </w:r>
            <w:r w:rsidRPr="002E334A">
              <w:tab/>
              <w:t>Обследование рабочей силы, ежегодно</w:t>
            </w:r>
          </w:p>
          <w:p w14:paraId="74AB2E86" w14:textId="77777777" w:rsidR="00154A55" w:rsidRPr="002E334A" w:rsidRDefault="00154A55" w:rsidP="0098664A">
            <w:pPr>
              <w:pStyle w:val="SingleTxtG"/>
              <w:tabs>
                <w:tab w:val="left" w:pos="284"/>
              </w:tabs>
              <w:spacing w:before="40" w:line="220" w:lineRule="exact"/>
              <w:ind w:left="0" w:right="113"/>
              <w:jc w:val="left"/>
            </w:pPr>
            <w:r w:rsidRPr="002E334A">
              <w:sym w:font="Wingdings" w:char="F09F"/>
            </w:r>
            <w:r w:rsidRPr="002E334A">
              <w:tab/>
              <w:t>Обследование по вопросам гендерного насилия, 2017 год</w:t>
            </w:r>
          </w:p>
          <w:p w14:paraId="6624C735" w14:textId="77777777" w:rsidR="00154A55" w:rsidRPr="002E334A" w:rsidRDefault="00154A55" w:rsidP="0098664A">
            <w:pPr>
              <w:pStyle w:val="SingleTxtG"/>
              <w:tabs>
                <w:tab w:val="left" w:pos="284"/>
              </w:tabs>
              <w:spacing w:before="40" w:line="220" w:lineRule="exact"/>
              <w:ind w:left="0" w:right="113"/>
              <w:jc w:val="left"/>
            </w:pPr>
            <w:r w:rsidRPr="002E334A">
              <w:sym w:font="Wingdings" w:char="F09F"/>
            </w:r>
            <w:r w:rsidRPr="002E334A">
              <w:tab/>
              <w:t xml:space="preserve">Выборочное обследование социальных показателей, </w:t>
            </w:r>
            <w:r w:rsidR="0098664A">
              <w:br/>
            </w:r>
            <w:r w:rsidRPr="002E334A">
              <w:t xml:space="preserve">2018 год </w:t>
            </w:r>
          </w:p>
          <w:p w14:paraId="2BFB3843" w14:textId="77777777" w:rsidR="00154A55" w:rsidRPr="002E334A" w:rsidRDefault="00154A55" w:rsidP="0098664A">
            <w:pPr>
              <w:pStyle w:val="SingleTxtG"/>
              <w:tabs>
                <w:tab w:val="left" w:pos="284"/>
              </w:tabs>
              <w:spacing w:before="40" w:line="220" w:lineRule="exact"/>
              <w:ind w:left="0" w:right="113"/>
              <w:jc w:val="left"/>
            </w:pPr>
            <w:r w:rsidRPr="002E334A">
              <w:sym w:font="Wingdings" w:char="F09F"/>
            </w:r>
            <w:r w:rsidRPr="002E334A">
              <w:tab/>
              <w:t xml:space="preserve">Экспериментальный опрос </w:t>
            </w:r>
            <w:r w:rsidR="0098664A">
              <w:br/>
            </w:r>
            <w:r w:rsidRPr="002E334A">
              <w:t xml:space="preserve">о понимании детального пакета вопросов Вашингтонской группы, 2009 год </w:t>
            </w:r>
          </w:p>
          <w:p w14:paraId="5FAA2D6B" w14:textId="77777777" w:rsidR="00154A55" w:rsidRPr="002E334A" w:rsidRDefault="00154A55" w:rsidP="0098664A">
            <w:pPr>
              <w:pStyle w:val="SingleTxtG"/>
              <w:tabs>
                <w:tab w:val="left" w:pos="284"/>
              </w:tabs>
              <w:spacing w:before="40" w:line="220" w:lineRule="exact"/>
              <w:ind w:left="0" w:right="113"/>
              <w:jc w:val="left"/>
            </w:pPr>
            <w:r w:rsidRPr="002E334A">
              <w:sym w:font="Wingdings" w:char="F09F"/>
            </w:r>
            <w:r w:rsidRPr="002E334A">
              <w:tab/>
              <w:t xml:space="preserve">Экспериментальная перепись населения в аймаках </w:t>
            </w:r>
            <w:proofErr w:type="spellStart"/>
            <w:r w:rsidRPr="002E334A">
              <w:t>Ховд</w:t>
            </w:r>
            <w:proofErr w:type="spellEnd"/>
            <w:r w:rsidRPr="002E334A">
              <w:t xml:space="preserve"> и </w:t>
            </w:r>
            <w:proofErr w:type="spellStart"/>
            <w:r w:rsidRPr="002E334A">
              <w:t>Увс</w:t>
            </w:r>
            <w:proofErr w:type="spellEnd"/>
            <w:r w:rsidRPr="002E334A">
              <w:t xml:space="preserve">, 2018 год </w:t>
            </w:r>
          </w:p>
          <w:p w14:paraId="1E9D3BDD" w14:textId="77777777" w:rsidR="00154A55" w:rsidRPr="002E334A" w:rsidRDefault="00154A55" w:rsidP="0098664A">
            <w:pPr>
              <w:pStyle w:val="SingleTxtG"/>
              <w:tabs>
                <w:tab w:val="left" w:pos="284"/>
              </w:tabs>
              <w:spacing w:before="40" w:line="220" w:lineRule="exact"/>
              <w:ind w:left="0" w:right="113"/>
              <w:jc w:val="left"/>
            </w:pPr>
            <w:r w:rsidRPr="002E334A">
              <w:sym w:font="Wingdings" w:char="F09F"/>
            </w:r>
            <w:r w:rsidRPr="002E334A">
              <w:tab/>
              <w:t xml:space="preserve">Обследование по вопросу использования времени, </w:t>
            </w:r>
            <w:r w:rsidR="0098664A">
              <w:br/>
            </w:r>
            <w:r w:rsidRPr="002E334A">
              <w:t xml:space="preserve">2019 год </w:t>
            </w:r>
          </w:p>
          <w:p w14:paraId="110E4689" w14:textId="77777777" w:rsidR="00154A55" w:rsidRPr="002E334A" w:rsidRDefault="008550B0" w:rsidP="008550B0">
            <w:pPr>
              <w:pStyle w:val="SingleTxtG"/>
              <w:tabs>
                <w:tab w:val="left" w:pos="284"/>
              </w:tabs>
              <w:spacing w:before="40" w:line="220" w:lineRule="exact"/>
              <w:ind w:left="0" w:right="113"/>
              <w:jc w:val="left"/>
            </w:pPr>
            <w:r w:rsidRPr="002E334A">
              <w:sym w:font="Wingdings" w:char="F09F"/>
            </w:r>
            <w:r w:rsidRPr="002E334A">
              <w:tab/>
            </w:r>
            <w:r w:rsidR="00154A55" w:rsidRPr="002E334A">
              <w:t>Лица с инвалидностью, возраст, пол, вид, форма</w:t>
            </w:r>
          </w:p>
        </w:tc>
        <w:tc>
          <w:tcPr>
            <w:tcW w:w="561" w:type="dxa"/>
            <w:vMerge/>
            <w:shd w:val="clear" w:color="auto" w:fill="auto"/>
          </w:tcPr>
          <w:p w14:paraId="6BB4A08D" w14:textId="77777777" w:rsidR="00154A55" w:rsidRPr="002E334A" w:rsidRDefault="00154A55" w:rsidP="0098664A">
            <w:pPr>
              <w:pStyle w:val="SingleTxtG"/>
              <w:spacing w:before="40" w:line="220" w:lineRule="exact"/>
              <w:ind w:left="0" w:right="113"/>
              <w:jc w:val="left"/>
            </w:pPr>
          </w:p>
        </w:tc>
        <w:tc>
          <w:tcPr>
            <w:tcW w:w="3401" w:type="dxa"/>
            <w:shd w:val="clear" w:color="auto" w:fill="auto"/>
          </w:tcPr>
          <w:p w14:paraId="0B803690" w14:textId="77777777" w:rsidR="00154A55" w:rsidRPr="002E334A" w:rsidRDefault="00154A55" w:rsidP="0098664A">
            <w:pPr>
              <w:pStyle w:val="SingleTxtG"/>
              <w:spacing w:before="40" w:line="220" w:lineRule="exact"/>
              <w:ind w:left="0" w:right="113"/>
              <w:jc w:val="left"/>
            </w:pPr>
            <w:r w:rsidRPr="002E334A">
              <w:t>Министерство труда и социальной защиты (МТСЗ)</w:t>
            </w:r>
          </w:p>
          <w:p w14:paraId="50B9F72C" w14:textId="77777777" w:rsidR="00154A55" w:rsidRPr="002E334A" w:rsidRDefault="00154A55" w:rsidP="0098664A">
            <w:pPr>
              <w:pStyle w:val="SingleTxtG"/>
              <w:tabs>
                <w:tab w:val="left" w:pos="284"/>
              </w:tabs>
              <w:spacing w:before="40" w:line="220" w:lineRule="exact"/>
              <w:ind w:left="0" w:right="113"/>
              <w:jc w:val="left"/>
            </w:pPr>
            <w:r w:rsidRPr="002E334A">
              <w:sym w:font="Wingdings" w:char="F09F"/>
            </w:r>
            <w:r w:rsidRPr="002E334A">
              <w:tab/>
              <w:t>Главное управление труда и социальной защиты:</w:t>
            </w:r>
          </w:p>
          <w:p w14:paraId="094C2A0E" w14:textId="77777777" w:rsidR="00154A55" w:rsidRPr="002E334A" w:rsidRDefault="00154A55" w:rsidP="0098664A">
            <w:pPr>
              <w:pStyle w:val="SingleTxtG"/>
              <w:tabs>
                <w:tab w:val="left" w:pos="284"/>
                <w:tab w:val="left" w:pos="709"/>
              </w:tabs>
              <w:spacing w:before="40" w:line="220" w:lineRule="exact"/>
              <w:ind w:left="329" w:right="113"/>
              <w:jc w:val="left"/>
            </w:pPr>
            <w:r w:rsidRPr="002E334A">
              <w:sym w:font="Wingdings" w:char="F09F"/>
            </w:r>
            <w:r w:rsidRPr="002E334A">
              <w:tab/>
              <w:t xml:space="preserve">Количество карликов старше 16 лет, размер пенсий и пособий </w:t>
            </w:r>
          </w:p>
          <w:p w14:paraId="49F6111C" w14:textId="77777777" w:rsidR="00154A55" w:rsidRPr="002E334A" w:rsidRDefault="00154A55" w:rsidP="0098664A">
            <w:pPr>
              <w:pStyle w:val="SingleTxtG"/>
              <w:tabs>
                <w:tab w:val="left" w:pos="284"/>
                <w:tab w:val="left" w:pos="709"/>
              </w:tabs>
              <w:spacing w:before="40" w:line="220" w:lineRule="exact"/>
              <w:ind w:left="329" w:right="113"/>
              <w:jc w:val="left"/>
            </w:pPr>
            <w:r w:rsidRPr="002E334A">
              <w:sym w:font="Wingdings" w:char="F09F"/>
            </w:r>
            <w:r w:rsidRPr="002E334A">
              <w:tab/>
              <w:t>Количество лиц с инвалидностью, получающих пенсии и пособия, и размер пенсий и пособий</w:t>
            </w:r>
          </w:p>
          <w:p w14:paraId="7FFB3795" w14:textId="77777777" w:rsidR="00154A55" w:rsidRPr="002E334A" w:rsidRDefault="00154A55" w:rsidP="0098664A">
            <w:pPr>
              <w:pStyle w:val="SingleTxtG"/>
              <w:tabs>
                <w:tab w:val="left" w:pos="284"/>
              </w:tabs>
              <w:spacing w:before="40" w:line="220" w:lineRule="exact"/>
              <w:ind w:left="0" w:right="113"/>
              <w:jc w:val="left"/>
            </w:pPr>
            <w:r w:rsidRPr="002E334A">
              <w:sym w:font="Wingdings" w:char="F09F"/>
            </w:r>
            <w:r w:rsidRPr="002E334A">
              <w:tab/>
              <w:t>Главное управление социального страхования:</w:t>
            </w:r>
          </w:p>
          <w:p w14:paraId="63905C38" w14:textId="77777777" w:rsidR="00154A55" w:rsidRPr="002E334A" w:rsidRDefault="00154A55" w:rsidP="0098664A">
            <w:pPr>
              <w:pStyle w:val="SingleTxtG"/>
              <w:tabs>
                <w:tab w:val="left" w:pos="284"/>
                <w:tab w:val="left" w:pos="709"/>
              </w:tabs>
              <w:spacing w:before="40" w:line="220" w:lineRule="exact"/>
              <w:ind w:left="329" w:right="113"/>
              <w:jc w:val="left"/>
            </w:pPr>
            <w:r w:rsidRPr="002E334A">
              <w:sym w:font="Wingdings" w:char="F09F"/>
            </w:r>
            <w:r w:rsidRPr="002E334A">
              <w:tab/>
              <w:t>Количество лиц с инвалидностью, получающих пенсии и пособия, и размер пенсий и пособий</w:t>
            </w:r>
          </w:p>
        </w:tc>
      </w:tr>
    </w:tbl>
    <w:p w14:paraId="7D719CAC" w14:textId="77777777" w:rsidR="00154A55" w:rsidRPr="002E334A" w:rsidRDefault="00154A55" w:rsidP="007C1CE0">
      <w:pPr>
        <w:pStyle w:val="SingleTxtG"/>
        <w:spacing w:before="120"/>
      </w:pPr>
      <w:r w:rsidRPr="002E334A">
        <w:t>163.</w:t>
      </w:r>
      <w:r w:rsidRPr="002E334A">
        <w:tab/>
        <w:t xml:space="preserve">Количественные данные о лицах с инвалидностью собираются из различных источников, что обуславливает расхождения в данных и, соответственно, необходимость наличия интегрированной базы данных; в этой связи мы сотрудничаем с норвежской благотворительной организацией с целью создания </w:t>
      </w:r>
      <w:r w:rsidR="002279A3">
        <w:t>«</w:t>
      </w:r>
      <w:r w:rsidRPr="002E334A">
        <w:t>первичной базы данных о лицах с инвалидностью</w:t>
      </w:r>
      <w:r w:rsidR="002279A3">
        <w:t>»</w:t>
      </w:r>
      <w:r w:rsidRPr="002E334A">
        <w:t xml:space="preserve">. Эта база данных позволит выявить различия между информацией о количестве людей, получающих пенсии, пособия и услуги по линии фонда социального обеспечения и социального страхования, и информацией, содержащейся в базе данных по населению и домашним хозяйствам. Кроме того, она </w:t>
      </w:r>
      <w:r w:rsidRPr="002E334A">
        <w:lastRenderedPageBreak/>
        <w:t>будет пополнена информацией ВТЭК о потере трудоспособности в процентах и ее продолжительности. Благодаря применению и совершенствованию соответствующего программного обеспечения первичной базой данных о лицах с инвалидностью смогут пользоваться различные органы на национальном, провинциальном (аймак), столичном, поселковом и районном уровнях. Она будет автоматически обновляться при каждом вводе или выводе учетных данных о лицах с инвалидностью.</w:t>
      </w:r>
    </w:p>
    <w:p w14:paraId="0A947D08" w14:textId="77777777" w:rsidR="00154A55" w:rsidRPr="002E334A" w:rsidRDefault="00154A55" w:rsidP="00154A55">
      <w:pPr>
        <w:pStyle w:val="H1G"/>
      </w:pPr>
      <w:r w:rsidRPr="002E334A">
        <w:tab/>
      </w:r>
      <w:r w:rsidRPr="002E334A">
        <w:tab/>
      </w:r>
      <w:r w:rsidRPr="002E334A">
        <w:rPr>
          <w:bCs/>
        </w:rPr>
        <w:t>Ответ на пункт 26 перечня вопросов</w:t>
      </w:r>
    </w:p>
    <w:p w14:paraId="7D8D49D5" w14:textId="77777777" w:rsidR="00154A55" w:rsidRPr="002E334A" w:rsidRDefault="00154A55" w:rsidP="00154A55">
      <w:pPr>
        <w:pStyle w:val="SingleTxtG"/>
      </w:pPr>
      <w:r w:rsidRPr="002E334A">
        <w:t>164.</w:t>
      </w:r>
      <w:r w:rsidRPr="002E334A">
        <w:tab/>
        <w:t>В 2020 году планируется провести национальную перепись населения и жилищного фонда Монголии. В январе 2019 года будет организована экспериментальная перепись. В ходе переписи будет также опробован краткий перечень вопросов ВГ. С учетом полученных результатов будет принято решение о включении вопросов ВГ в национальную перепись населения, которая состоится в январе 2020 года. Данные об инвалидности будут проанализированы после проведения национальной переписи 2020 года. Результаты переписи населения будут обнародованы и станут доступными для лиц с инвалидностью.</w:t>
      </w:r>
    </w:p>
    <w:p w14:paraId="30567DD8" w14:textId="77777777" w:rsidR="00154A55" w:rsidRPr="002E334A" w:rsidRDefault="00154A55" w:rsidP="00154A55">
      <w:pPr>
        <w:pStyle w:val="SingleTxtG"/>
      </w:pPr>
      <w:r w:rsidRPr="002E334A">
        <w:t>165.</w:t>
      </w:r>
      <w:r w:rsidRPr="002E334A">
        <w:tab/>
        <w:t xml:space="preserve">После 2013 года НСУ создало исследовательскую группу для сбора данных по итогам выборочных обследований домашних хозяйств, проводимых статистическими департаментами и отделами аймаков и городов. Для сотрудников организуются учебные курсы, посвященные использованию новой методологии выборочных обследований. Например, в 2018 году на основе методологии, утвержденной </w:t>
      </w:r>
      <w:r w:rsidR="007C1CE0">
        <w:t>девятнадцатой</w:t>
      </w:r>
      <w:r w:rsidRPr="002E334A">
        <w:t xml:space="preserve"> Международной конференцией статистиков труда, была пересмотрена методология проведения обследований рабочей силы. Около 100 сотрудников, которые будут осуществлять сбор данных, проходят в электронном и очном формате поэтапную подготовку, посвященную этой методологии. Для сбора данных в рамках выборочных обследований по гендерному насилию и социальным показателям на основе соответствующих критериев был произведен отбор исследователей, которые в 2017 и 2018 годах прошли 20-дневную подготовку по утвержденной программе.</w:t>
      </w:r>
    </w:p>
    <w:p w14:paraId="01269EEA" w14:textId="77777777" w:rsidR="00154A55" w:rsidRPr="002E334A" w:rsidRDefault="00154A55" w:rsidP="00154A55">
      <w:pPr>
        <w:pStyle w:val="H1G"/>
      </w:pPr>
      <w:r w:rsidRPr="002E334A">
        <w:tab/>
      </w:r>
      <w:r w:rsidRPr="002E334A">
        <w:tab/>
      </w:r>
      <w:r w:rsidRPr="002E334A">
        <w:rPr>
          <w:bCs/>
        </w:rPr>
        <w:t>Ответ на пункт 27 перечня вопросов</w:t>
      </w:r>
    </w:p>
    <w:p w14:paraId="41AB2982" w14:textId="77777777" w:rsidR="00154A55" w:rsidRPr="002E334A" w:rsidRDefault="00154A55" w:rsidP="00154A55">
      <w:pPr>
        <w:pStyle w:val="SingleTxtG"/>
      </w:pPr>
      <w:r w:rsidRPr="002E334A">
        <w:t>166.</w:t>
      </w:r>
      <w:r w:rsidRPr="002E334A">
        <w:tab/>
        <w:t xml:space="preserve">Правительство Монголии уделяет внимание сотрудничеству с международными проектами и программами, которые доступны для лиц с инвалидностью и положительно сказываются на работе </w:t>
      </w:r>
      <w:r w:rsidRPr="00B034F0">
        <w:t>ОЛИ</w:t>
      </w:r>
      <w:r w:rsidRPr="002E334A">
        <w:t xml:space="preserve"> на международном и национальном уровнях.</w:t>
      </w:r>
    </w:p>
    <w:p w14:paraId="5E644A66" w14:textId="77777777" w:rsidR="00154A55" w:rsidRPr="002E334A" w:rsidRDefault="00154A55" w:rsidP="00154A55">
      <w:pPr>
        <w:pStyle w:val="SingleTxtG"/>
      </w:pPr>
      <w:r w:rsidRPr="002E334A">
        <w:t>167.</w:t>
      </w:r>
      <w:r w:rsidRPr="002E334A">
        <w:tab/>
        <w:t>Ранее в настоящем докладе мы представили подробную информацию о сотрудничестве с международными проектами и программами, в частности в ответах на вопросы, содержащиеся в разделе А. Цель и общие обязательства (статьи 1</w:t>
      </w:r>
      <w:r w:rsidR="005674F7">
        <w:t>−</w:t>
      </w:r>
      <w:r w:rsidRPr="002E334A">
        <w:t>4): пункт 1. Принятые и планируемые меры</w:t>
      </w:r>
      <w:r w:rsidR="00D41CE9">
        <w:t>:</w:t>
      </w:r>
      <w:r w:rsidRPr="002E334A">
        <w:t xml:space="preserve"> подпункт d), и в разделе B. Конкретные права (статьи 5</w:t>
      </w:r>
      <w:r w:rsidR="005674F7">
        <w:t>−</w:t>
      </w:r>
      <w:r w:rsidRPr="002E334A">
        <w:t xml:space="preserve">30): </w:t>
      </w:r>
      <w:r w:rsidR="00D41CE9">
        <w:t xml:space="preserve">Статья 5. </w:t>
      </w:r>
      <w:r w:rsidRPr="002E334A">
        <w:t>Равенство и недискриминация, пункт 2 c).</w:t>
      </w:r>
    </w:p>
    <w:p w14:paraId="48871F1E" w14:textId="77777777" w:rsidR="00154A55" w:rsidRPr="002E334A" w:rsidRDefault="00154A55" w:rsidP="00154A55">
      <w:pPr>
        <w:pStyle w:val="SingleTxtG"/>
      </w:pPr>
      <w:r w:rsidRPr="002E334A">
        <w:t>168.</w:t>
      </w:r>
      <w:r w:rsidRPr="002E334A">
        <w:tab/>
        <w:t xml:space="preserve">Ниже приводится несколько примеров вклада национальных ОЛИ в рамках международного сотрудничества: </w:t>
      </w:r>
    </w:p>
    <w:p w14:paraId="02C1A99A" w14:textId="77777777" w:rsidR="00154A55" w:rsidRPr="002E334A" w:rsidRDefault="00154A55" w:rsidP="00154A55">
      <w:pPr>
        <w:pStyle w:val="SingleTxtG"/>
      </w:pPr>
      <w:r w:rsidRPr="002E334A">
        <w:tab/>
        <w:t>a)</w:t>
      </w:r>
      <w:r w:rsidRPr="002E334A">
        <w:tab/>
        <w:t xml:space="preserve">проект ЯАМС </w:t>
      </w:r>
      <w:r w:rsidR="002279A3">
        <w:t>«</w:t>
      </w:r>
      <w:r w:rsidRPr="002E334A">
        <w:t>Улучшение медицинского обслуживания, образования и социальной защиты детей с особыми образовательными потребностями</w:t>
      </w:r>
      <w:r w:rsidR="002279A3">
        <w:t>»</w:t>
      </w:r>
      <w:r w:rsidRPr="002E334A">
        <w:t xml:space="preserve">. Этот проект осуществляется в </w:t>
      </w:r>
      <w:proofErr w:type="spellStart"/>
      <w:r w:rsidRPr="002E334A">
        <w:t>Баянгольском</w:t>
      </w:r>
      <w:proofErr w:type="spellEnd"/>
      <w:r w:rsidRPr="002E334A">
        <w:t xml:space="preserve"> районе Улан-Батор и в аймаке </w:t>
      </w:r>
      <w:proofErr w:type="spellStart"/>
      <w:r w:rsidRPr="002E334A">
        <w:t>Хувсгел</w:t>
      </w:r>
      <w:proofErr w:type="spellEnd"/>
      <w:r w:rsidRPr="002E334A">
        <w:t xml:space="preserve">. В рамках этого проекта, который направлен на создание благоприятных условий для инклюзивного образования детей с инвалидностью, разработаны диагностические материалы, развивающие программы и образовательная модель для детей с инвалидностью, пособие </w:t>
      </w:r>
      <w:r w:rsidR="002279A3">
        <w:t>«</w:t>
      </w:r>
      <w:r w:rsidRPr="002E334A">
        <w:t>Комплексная поддержка развития детей с инвалидностью</w:t>
      </w:r>
      <w:r w:rsidR="002279A3">
        <w:t>»</w:t>
      </w:r>
      <w:r w:rsidRPr="002E334A">
        <w:t xml:space="preserve"> для отраслевых комитетов по вопросам образования, охраны здоровья и социальной защиты детей с инвалидностью, монгольская версия </w:t>
      </w:r>
      <w:r w:rsidR="002279A3">
        <w:t>«</w:t>
      </w:r>
      <w:proofErr w:type="spellStart"/>
      <w:r w:rsidRPr="002E334A">
        <w:t>Tanaka</w:t>
      </w:r>
      <w:proofErr w:type="spellEnd"/>
      <w:r w:rsidRPr="002E334A">
        <w:t xml:space="preserve"> </w:t>
      </w:r>
      <w:proofErr w:type="spellStart"/>
      <w:r w:rsidRPr="002E334A">
        <w:t>bine</w:t>
      </w:r>
      <w:proofErr w:type="spellEnd"/>
      <w:r w:rsidRPr="002E334A">
        <w:t xml:space="preserve"> IQ </w:t>
      </w:r>
      <w:proofErr w:type="spellStart"/>
      <w:r w:rsidRPr="002E334A">
        <w:t>Test</w:t>
      </w:r>
      <w:proofErr w:type="spellEnd"/>
      <w:r w:rsidRPr="002E334A">
        <w:t xml:space="preserve"> V</w:t>
      </w:r>
      <w:r w:rsidR="002279A3">
        <w:t>»</w:t>
      </w:r>
      <w:r w:rsidRPr="002E334A">
        <w:t xml:space="preserve"> и тематические видеоуроки по инклюзивному образованию для онлайновых курсов повышения квалификации преподавателей;</w:t>
      </w:r>
    </w:p>
    <w:p w14:paraId="5A943B68" w14:textId="77777777" w:rsidR="00154A55" w:rsidRPr="002E334A" w:rsidRDefault="00154A55" w:rsidP="00154A55">
      <w:pPr>
        <w:pStyle w:val="SingleTxtG"/>
      </w:pPr>
      <w:r w:rsidRPr="002E334A">
        <w:lastRenderedPageBreak/>
        <w:tab/>
        <w:t>b)</w:t>
      </w:r>
      <w:r w:rsidRPr="002E334A">
        <w:tab/>
        <w:t xml:space="preserve">проект ЯАМС </w:t>
      </w:r>
      <w:r w:rsidR="002279A3">
        <w:t>«</w:t>
      </w:r>
      <w:r w:rsidRPr="002E334A">
        <w:t>Поддержка социального участия лиц с инвалидностью в городе Улан-Батор</w:t>
      </w:r>
      <w:r w:rsidR="002279A3">
        <w:t>»</w:t>
      </w:r>
      <w:r w:rsidRPr="002E334A">
        <w:t xml:space="preserve"> (ЯАМС</w:t>
      </w:r>
      <w:r w:rsidR="00642B51">
        <w:t>−</w:t>
      </w:r>
      <w:r w:rsidRPr="002E334A">
        <w:t>ПСУИ). Совместной структурой принятия решений в рамках этого проекта является Совместный координационный комитет в составе 20</w:t>
      </w:r>
      <w:r w:rsidR="005674F7">
        <w:t> </w:t>
      </w:r>
      <w:r w:rsidRPr="002E334A">
        <w:t>членов, 8 из которых представляют ОЛИ. Проект направлен на улучшение доступности информации и инфраструктуры для лиц с инвалидностью, создание базы данных и наращивание потенциала правительственных и неправительственных организаций, работающих с инвалидами. По линии проекта организуются курсы ИР, которые уже упоминались ранее в настоящем докладе. Инструкторами являются лица с инвалидностью, которые представляют ОЛИ. За два года было проведено более 250</w:t>
      </w:r>
      <w:r w:rsidR="005674F7">
        <w:t> </w:t>
      </w:r>
      <w:r w:rsidRPr="002E334A">
        <w:t xml:space="preserve">занятий, в которых приняли участие более 8500 заинтересованных лиц. Кроме того, благодаря этому проекту в Монголии был впервые организован аудит доступности информации и инфраструктуры, при этом по его линии предоставляются консультации в отношении разработке проекта закона о доступности. С целью повышения потенциала лиц с инвалидностью и государственных служащих была организована серия курсов подготовки </w:t>
      </w:r>
      <w:r w:rsidR="002279A3">
        <w:t>«</w:t>
      </w:r>
      <w:r w:rsidRPr="002E334A">
        <w:t>Молодые лидеры</w:t>
      </w:r>
      <w:r w:rsidR="002279A3">
        <w:t>»</w:t>
      </w:r>
      <w:r w:rsidRPr="002E334A">
        <w:t xml:space="preserve"> и серия учебных занятий по вопросам инвалидности. Более 50 заинтересованных лиц прошли тематическую подготовку в Японии. Также была оказана поддержка в деле публикации правительственного информационного документа о политике и деятельности государства по вопросам, связанным с инвалидностью, в 2018 и 2019 годах. В рамках проекта оказывается поддержка МТСЗ с целью разработки Национальной базы данных о лицах с инвалидностью, что является одной из наиболее сложных задач;</w:t>
      </w:r>
    </w:p>
    <w:p w14:paraId="03B7E30C" w14:textId="77777777" w:rsidR="00154A55" w:rsidRPr="002E334A" w:rsidRDefault="00154A55" w:rsidP="00154A55">
      <w:pPr>
        <w:pStyle w:val="SingleTxtG"/>
      </w:pPr>
      <w:r w:rsidRPr="002E334A">
        <w:tab/>
        <w:t>с)</w:t>
      </w:r>
      <w:r w:rsidRPr="002E334A">
        <w:tab/>
      </w:r>
      <w:r w:rsidR="002279A3">
        <w:t>«</w:t>
      </w:r>
      <w:r w:rsidRPr="002E334A">
        <w:t>Центр развития для детей с инвалидностью</w:t>
      </w:r>
      <w:r w:rsidR="002279A3">
        <w:t>»</w:t>
      </w:r>
      <w:r w:rsidRPr="002E334A">
        <w:t>, при финансовой поддержке Китайской Народной Республики. Центр организует учебные и развивающие мероприятия для детей с инвалидностью и их родителей. Он располагает стационарным отделением, рассчитанным на 250 детей, а также амбулаторно-реабилитационной службой для предоставления услуг 250 детям. Центр становится моделью комплексного обслуживания;</w:t>
      </w:r>
    </w:p>
    <w:p w14:paraId="408DFACE" w14:textId="77777777" w:rsidR="00154A55" w:rsidRPr="002E334A" w:rsidRDefault="00154A55" w:rsidP="00154A55">
      <w:pPr>
        <w:pStyle w:val="SingleTxtG"/>
      </w:pPr>
      <w:r w:rsidRPr="002E334A">
        <w:tab/>
        <w:t>d)</w:t>
      </w:r>
      <w:r w:rsidRPr="002E334A">
        <w:tab/>
        <w:t xml:space="preserve">проект АБР </w:t>
      </w:r>
      <w:r w:rsidR="002279A3">
        <w:t>«</w:t>
      </w:r>
      <w:r w:rsidRPr="002E334A">
        <w:t xml:space="preserve">Обеспечение </w:t>
      </w:r>
      <w:proofErr w:type="spellStart"/>
      <w:r w:rsidRPr="002E334A">
        <w:t>инклюзивности</w:t>
      </w:r>
      <w:proofErr w:type="spellEnd"/>
      <w:r w:rsidRPr="002E334A">
        <w:t xml:space="preserve"> и предоставление услуг лицам с инвалидностью (льготные кредиты)</w:t>
      </w:r>
      <w:r w:rsidR="002279A3">
        <w:t>»</w:t>
      </w:r>
      <w:r w:rsidRPr="002E334A">
        <w:t>. Этот проект начал осуществляться в этом году. Он направлен на повышение эффективности участия лиц с инвалидностью, улучшение обслуживания в Улан-Баторе и аймаках, расширение возможностей трудоустройства, а также обеспечение финансовой независимости лиц с инвалидностью и их вклада в развитие экономики. В состав Комитета по управлению проектом входят четыре представителя ОЛИ, что составляет 30</w:t>
      </w:r>
      <w:r w:rsidR="005674F7">
        <w:t> </w:t>
      </w:r>
      <w:r w:rsidRPr="002E334A">
        <w:t xml:space="preserve">% членов Совета. Их основная задача заключается в утверждении плана и бюджета мероприятий и закупок по линии проекта, а также в контроле за расходами. И они имеют право голоса при принятии Комитетом своих решений. В рамках проекта в Улан-Баторе будет построен </w:t>
      </w:r>
      <w:r w:rsidR="002279A3">
        <w:t>«</w:t>
      </w:r>
      <w:r w:rsidRPr="002E334A">
        <w:t>Центр занятости, предпринимательской деятельности, исследований и разработок для лиц с инвалидностью</w:t>
      </w:r>
      <w:r w:rsidR="002279A3">
        <w:t>»</w:t>
      </w:r>
      <w:r w:rsidRPr="002E334A">
        <w:t xml:space="preserve">, а в шести аймаках </w:t>
      </w:r>
      <w:r w:rsidR="005674F7">
        <w:t>⸺</w:t>
      </w:r>
      <w:r w:rsidRPr="002E334A">
        <w:t xml:space="preserve"> центры развития для детей и граждан с инвалидностью. Кроме того, в течение пяти лет по линии проекта будут реализованы важные меры в целях ранней диагностики, лечения и развития детей с инвалидностью, улучшения инфраструктуры, программного обеспечения и необходимых </w:t>
      </w:r>
      <w:proofErr w:type="spellStart"/>
      <w:r w:rsidRPr="002E334A">
        <w:t>ассистивных</w:t>
      </w:r>
      <w:proofErr w:type="spellEnd"/>
      <w:r w:rsidRPr="002E334A">
        <w:t xml:space="preserve"> устройств для инвалидов, увеличения занятости, а также разработки стратегии и политики в интересах инвалидов;</w:t>
      </w:r>
    </w:p>
    <w:p w14:paraId="21DB9A90" w14:textId="77777777" w:rsidR="00154A55" w:rsidRPr="002E334A" w:rsidRDefault="00154A55" w:rsidP="00154A55">
      <w:pPr>
        <w:pStyle w:val="SingleTxtG"/>
      </w:pPr>
      <w:r w:rsidRPr="002E334A">
        <w:tab/>
        <w:t>e)</w:t>
      </w:r>
      <w:r w:rsidRPr="002E334A">
        <w:tab/>
        <w:t xml:space="preserve">проект технического сотрудничества </w:t>
      </w:r>
      <w:r w:rsidR="002279A3">
        <w:t>«</w:t>
      </w:r>
      <w:r w:rsidRPr="002E334A">
        <w:t>Спортивный комплекс, специально оборудованный для лиц с инвалидностью</w:t>
      </w:r>
      <w:r w:rsidR="002279A3">
        <w:t>»</w:t>
      </w:r>
      <w:r w:rsidRPr="002E334A">
        <w:t>, при финансовой поддержке правительства Китайской Народной Республики. Комплекс будет оснащен разнообразным современным оборудованием для 10 видов спорта. Регулярно тренироваться в нем смогут 200</w:t>
      </w:r>
      <w:r w:rsidR="005674F7">
        <w:t>−</w:t>
      </w:r>
      <w:r w:rsidRPr="002E334A">
        <w:t xml:space="preserve">400 атлетов; при нем будут иметься крытый стадион с 200-метровой круговой беговой дорожкой и раздвижной крышей, наружные </w:t>
      </w:r>
      <w:r w:rsidR="005674F7">
        <w:br/>
      </w:r>
      <w:r w:rsidRPr="002E334A">
        <w:t>400-метровые беговые дорожки, отвечающие мировым стандартам, а также гостиница, где могут быть размещены 200 атлетов. Этим комплексом могут пользоваться спортсмены с инвалидностью;</w:t>
      </w:r>
    </w:p>
    <w:p w14:paraId="00C5451B" w14:textId="77777777" w:rsidR="00154A55" w:rsidRPr="002E334A" w:rsidRDefault="00154A55" w:rsidP="00154A55">
      <w:pPr>
        <w:pStyle w:val="SingleTxtG"/>
      </w:pPr>
      <w:r w:rsidRPr="002E334A">
        <w:tab/>
        <w:t>f)</w:t>
      </w:r>
      <w:r w:rsidRPr="002E334A">
        <w:tab/>
        <w:t>в сотрудничестве с ЯАМС мы готовимся начать вторую фазу проекта по расширению социального участия лиц с инвалидностью. Мы планируем активно привлекать представителей ОЛИ и самих инвалидов;</w:t>
      </w:r>
    </w:p>
    <w:p w14:paraId="2AF8D887" w14:textId="103B7752" w:rsidR="00154A55" w:rsidRPr="002E334A" w:rsidRDefault="00154A55" w:rsidP="00154A55">
      <w:pPr>
        <w:pStyle w:val="SingleTxtG"/>
      </w:pPr>
      <w:r w:rsidRPr="002E334A">
        <w:lastRenderedPageBreak/>
        <w:tab/>
        <w:t>g)</w:t>
      </w:r>
      <w:r w:rsidRPr="002E334A">
        <w:tab/>
        <w:t>2</w:t>
      </w:r>
      <w:r w:rsidR="00165893">
        <w:t>–</w:t>
      </w:r>
      <w:r w:rsidRPr="002E334A">
        <w:t xml:space="preserve">3 июля 2019 года в Улан-Баторе правительство Монголии успешно организовало под эгидой премьер-министра четвертый Азиатско-Тихоокеанский конгресс по инклюзивному развитию на основе общин, который проходил на тему </w:t>
      </w:r>
      <w:r w:rsidR="002279A3">
        <w:t>«</w:t>
      </w:r>
      <w:r w:rsidRPr="002E334A">
        <w:t>Обеспечение устойчивого социально-экономического развития при помощи инклюзивного развития на основе общин</w:t>
      </w:r>
      <w:r w:rsidR="002279A3">
        <w:t>»</w:t>
      </w:r>
      <w:r w:rsidRPr="002E334A">
        <w:t xml:space="preserve">. В нем приняли участие более 700 делегатов из 40 стран, которые представляли правительственные и неправительственные организации, агентства по развитию, частный и деловой секторы. Участники приехали из 31 страны Азиатско-Тихоокеанского региона и 9 стран других регионов и континентов (из Австрии, Италии и Мозамбика), при этом 128 из них являлись лицами с инвалидностью. В целях подготовки и проведения конференции мы наладили сотрудничество с международными организациями, включая Азиатско-тихоокеанскую реабилитационную сеть на уровне общин (РУО), Азиатско-тихоокеанский центр по вопросам развития в интересах инвалидов (АТЦИ), Всемирную организацию здравоохранения (ВОЗ), Экономическую и социальную комиссию Организации Объединенных Наций для Азии и Тихого океана (ЭСКАТО), Фонд Леонарда </w:t>
      </w:r>
      <w:proofErr w:type="spellStart"/>
      <w:r w:rsidRPr="002E334A">
        <w:t>Чешира</w:t>
      </w:r>
      <w:proofErr w:type="spellEnd"/>
      <w:r w:rsidRPr="002E334A">
        <w:t xml:space="preserve">, организацию ХМС (Христианская миссия по поддержке слепых), Итальянскую ассоциацию друзей Рауля </w:t>
      </w:r>
      <w:proofErr w:type="spellStart"/>
      <w:r w:rsidRPr="002E334A">
        <w:t>Фоллеро</w:t>
      </w:r>
      <w:proofErr w:type="spellEnd"/>
      <w:r w:rsidRPr="002E334A">
        <w:t xml:space="preserve"> (ИАДФ), Проект Европейского </w:t>
      </w:r>
      <w:r w:rsidR="00DC24C0">
        <w:t>с</w:t>
      </w:r>
      <w:r w:rsidRPr="002E334A">
        <w:t>оюза по содействию занятости (</w:t>
      </w:r>
      <w:proofErr w:type="spellStart"/>
      <w:r w:rsidRPr="002E334A">
        <w:t>SECiM</w:t>
      </w:r>
      <w:proofErr w:type="spellEnd"/>
      <w:r w:rsidRPr="002E334A">
        <w:t xml:space="preserve">) в Монголии, Проект ЯАМС </w:t>
      </w:r>
      <w:r w:rsidR="002279A3">
        <w:t>«</w:t>
      </w:r>
      <w:r w:rsidRPr="002E334A">
        <w:t>Поддержка социального участия лиц с инвалидностью в городе Улан-Батор</w:t>
      </w:r>
      <w:r w:rsidR="002279A3">
        <w:t>»</w:t>
      </w:r>
      <w:r w:rsidRPr="002E334A">
        <w:t xml:space="preserve"> (ЯАМС</w:t>
      </w:r>
      <w:r w:rsidR="00DC24C0">
        <w:t>−</w:t>
      </w:r>
      <w:r w:rsidRPr="002E334A">
        <w:t xml:space="preserve">ПСУИ), а также с местными неправительственными организациями, включая НПО </w:t>
      </w:r>
      <w:r w:rsidR="002279A3">
        <w:t>«</w:t>
      </w:r>
      <w:proofErr w:type="spellStart"/>
      <w:r w:rsidRPr="002E334A">
        <w:t>Тегш</w:t>
      </w:r>
      <w:proofErr w:type="spellEnd"/>
      <w:r w:rsidRPr="002E334A">
        <w:t xml:space="preserve"> </w:t>
      </w:r>
      <w:proofErr w:type="spellStart"/>
      <w:r w:rsidRPr="002E334A">
        <w:t>Ниигем</w:t>
      </w:r>
      <w:proofErr w:type="spellEnd"/>
      <w:r w:rsidR="002279A3">
        <w:t>»</w:t>
      </w:r>
      <w:r w:rsidRPr="002E334A">
        <w:t xml:space="preserve">, ЦСП </w:t>
      </w:r>
      <w:r w:rsidR="002279A3">
        <w:t>«</w:t>
      </w:r>
      <w:r w:rsidRPr="002E334A">
        <w:t>Всеобщий прогресс</w:t>
      </w:r>
      <w:r w:rsidR="002279A3">
        <w:t>»</w:t>
      </w:r>
      <w:r w:rsidRPr="002E334A">
        <w:t xml:space="preserve"> и Форум ИР.</w:t>
      </w:r>
    </w:p>
    <w:p w14:paraId="279783F8" w14:textId="77777777" w:rsidR="00154A55" w:rsidRPr="002E334A" w:rsidRDefault="00154A55" w:rsidP="00154A55">
      <w:pPr>
        <w:pStyle w:val="H1G"/>
      </w:pPr>
      <w:r w:rsidRPr="002E334A">
        <w:tab/>
      </w:r>
      <w:r w:rsidRPr="002E334A">
        <w:tab/>
      </w:r>
      <w:r w:rsidRPr="002E334A">
        <w:rPr>
          <w:bCs/>
        </w:rPr>
        <w:t>Ответ на пункт 28 а) перечня вопросов</w:t>
      </w:r>
    </w:p>
    <w:p w14:paraId="7AAE86A9" w14:textId="77777777" w:rsidR="00154A55" w:rsidRPr="002E334A" w:rsidRDefault="00154A55" w:rsidP="00154A55">
      <w:pPr>
        <w:pStyle w:val="SingleTxtG"/>
      </w:pPr>
      <w:r w:rsidRPr="002E334A">
        <w:t>169.</w:t>
      </w:r>
      <w:r w:rsidRPr="002E334A">
        <w:tab/>
        <w:t>Учреждена целевая группа для пересмотра Закона о НКПЧМ. Концепция закона соответствует Парижским принципам, касающимся статуса национальных учреждений, занимающихся поощрением и защитой прав человека.</w:t>
      </w:r>
    </w:p>
    <w:p w14:paraId="1471077B" w14:textId="77777777" w:rsidR="00154A55" w:rsidRPr="002E334A" w:rsidRDefault="00154A55" w:rsidP="00154A55">
      <w:pPr>
        <w:pStyle w:val="H1G"/>
      </w:pPr>
      <w:r w:rsidRPr="002E334A">
        <w:tab/>
      </w:r>
      <w:r w:rsidRPr="002E334A">
        <w:tab/>
      </w:r>
      <w:r w:rsidRPr="002E334A">
        <w:rPr>
          <w:bCs/>
        </w:rPr>
        <w:t>Ответ на пункт 28 b) перечня вопросов</w:t>
      </w:r>
    </w:p>
    <w:p w14:paraId="4F38C223" w14:textId="77777777" w:rsidR="00154A55" w:rsidRPr="002E334A" w:rsidRDefault="00154A55" w:rsidP="00154A55">
      <w:pPr>
        <w:pStyle w:val="SingleTxtG"/>
      </w:pPr>
      <w:r w:rsidRPr="002E334A">
        <w:t>170.</w:t>
      </w:r>
      <w:r w:rsidRPr="002E334A">
        <w:tab/>
        <w:t xml:space="preserve">Предусматривается, что инвалиды будут участвовать в наблюдении за осуществлением КПИ через представляющие их организации. Например, упрощенная процедура подготовки доклада об осуществлении КПИ позволила обеспечить участие лиц с инвалидностью. В то же время мы привлекаем соответствующие ОЛИ к осуществлению секторальной политики и деятельности, наблюдению, работе по укреплению потенциала секторальных работников, обучению и информированию общественности по вопросам инвалидности, а также к мероприятиям, призванным содействовать трудоустройству инвалидов. Некоторая информация представлена в соответствующих разделах настоящего доклада. </w:t>
      </w:r>
    </w:p>
    <w:p w14:paraId="4F7CAB5B" w14:textId="77777777" w:rsidR="00154A55" w:rsidRPr="002E334A" w:rsidRDefault="00154A55" w:rsidP="00154A55">
      <w:pPr>
        <w:pStyle w:val="SingleTxtG"/>
      </w:pPr>
      <w:r w:rsidRPr="002E334A">
        <w:t>171.</w:t>
      </w:r>
      <w:r w:rsidRPr="002E334A">
        <w:tab/>
        <w:t xml:space="preserve">Конкретным примером реализации положений статей 6.3.7 и 15.1.4 Закона о содействии трудоустройству, статьи 111 Закона о труде и статьи 3 Закона о социальной защите инвалидов является осуществление программы финансовой поддержки лиц с инвалидностью и хозяйствующих субъектов с целью создания рабочих мест, соответствующих уровню квалификации инвалидов. Представители ОЛИ участвуют в работе целевой группы и оценке хода осуществления этой программы. Например, представители ОЛИ принимали участие в оценке </w:t>
      </w:r>
      <w:r w:rsidR="002279A3">
        <w:t>«</w:t>
      </w:r>
      <w:r w:rsidRPr="002E334A">
        <w:t>Программы финансовой поддержки лиц с инвалидностью и хозяйствующих субъектов</w:t>
      </w:r>
      <w:r w:rsidR="002279A3">
        <w:t>»</w:t>
      </w:r>
      <w:r w:rsidRPr="002E334A">
        <w:t xml:space="preserve"> в 2016, 2017, 2018 и 2019 годах.</w:t>
      </w:r>
    </w:p>
    <w:p w14:paraId="7CC69873" w14:textId="77777777" w:rsidR="00154A55" w:rsidRPr="002E334A" w:rsidRDefault="00154A55" w:rsidP="00154A55">
      <w:pPr>
        <w:pStyle w:val="H1G"/>
      </w:pPr>
      <w:r w:rsidRPr="002E334A">
        <w:tab/>
      </w:r>
      <w:r w:rsidRPr="002E334A">
        <w:tab/>
      </w:r>
      <w:r w:rsidRPr="002E334A">
        <w:rPr>
          <w:bCs/>
        </w:rPr>
        <w:t>Ответ на пункт 28 с) перечня вопросов</w:t>
      </w:r>
    </w:p>
    <w:p w14:paraId="69D35E2C" w14:textId="77777777" w:rsidR="00154A55" w:rsidRPr="002E334A" w:rsidRDefault="00154A55" w:rsidP="00154A55">
      <w:pPr>
        <w:pStyle w:val="SingleTxtG"/>
      </w:pPr>
      <w:r w:rsidRPr="002E334A">
        <w:t>172.</w:t>
      </w:r>
      <w:r w:rsidRPr="002E334A">
        <w:tab/>
        <w:t xml:space="preserve">За осуществление КПИ на национальном уровне отвечает возглавляемый Министром труда и социальной защиты Национальный совет по координации </w:t>
      </w:r>
      <w:proofErr w:type="spellStart"/>
      <w:r w:rsidRPr="002E334A">
        <w:t>межсекторальных</w:t>
      </w:r>
      <w:proofErr w:type="spellEnd"/>
      <w:r w:rsidRPr="002E334A">
        <w:t xml:space="preserve"> действий в интересах обеспечения прав лиц с инвалидностью. В</w:t>
      </w:r>
      <w:r w:rsidR="005674F7">
        <w:t> </w:t>
      </w:r>
      <w:r w:rsidRPr="002E334A">
        <w:t>состав Совета входят государственные секретари всех профильных министерств. В</w:t>
      </w:r>
      <w:r w:rsidR="005674F7">
        <w:t> </w:t>
      </w:r>
      <w:r w:rsidRPr="002E334A">
        <w:t xml:space="preserve">министерствах существуют соответствующие </w:t>
      </w:r>
      <w:proofErr w:type="spellStart"/>
      <w:r w:rsidRPr="002E334A">
        <w:t>подсоветы</w:t>
      </w:r>
      <w:proofErr w:type="spellEnd"/>
      <w:r w:rsidRPr="002E334A">
        <w:t>, а в аймаках, столице</w:t>
      </w:r>
      <w:r w:rsidR="005674F7">
        <w:br/>
      </w:r>
      <w:r w:rsidRPr="002E334A">
        <w:t xml:space="preserve">и ее районах </w:t>
      </w:r>
      <w:r w:rsidR="005674F7">
        <w:t>⸺</w:t>
      </w:r>
      <w:r w:rsidRPr="002E334A">
        <w:t xml:space="preserve"> отраслевые советы, работой которых руководят главы этих административных единиц.</w:t>
      </w:r>
    </w:p>
    <w:p w14:paraId="6CD0BB7D" w14:textId="77777777" w:rsidR="00154A55" w:rsidRPr="002E334A" w:rsidRDefault="00154A55" w:rsidP="00154A55">
      <w:pPr>
        <w:pStyle w:val="SingleTxtG"/>
      </w:pPr>
      <w:r w:rsidRPr="002E334A">
        <w:lastRenderedPageBreak/>
        <w:t>173.</w:t>
      </w:r>
      <w:r w:rsidRPr="002E334A">
        <w:tab/>
        <w:t xml:space="preserve">Что касается правительственных структур, то за разработку конкретной политики и мероприятий, связанных с осуществлением КПИ, отвечает МТСЗ, а за руководство повседневной деятельностью и координацию реализации КПИ правительством </w:t>
      </w:r>
      <w:r w:rsidR="005674F7">
        <w:t>⸺</w:t>
      </w:r>
      <w:r w:rsidRPr="002E334A">
        <w:t xml:space="preserve"> ГУРЛИ.</w:t>
      </w:r>
    </w:p>
    <w:p w14:paraId="1EB58DC4" w14:textId="77777777" w:rsidR="00154A55" w:rsidRPr="002E334A" w:rsidRDefault="00154A55" w:rsidP="00154A55">
      <w:pPr>
        <w:pStyle w:val="SingleTxtG"/>
      </w:pPr>
      <w:r w:rsidRPr="002E334A">
        <w:br w:type="page"/>
      </w:r>
    </w:p>
    <w:p w14:paraId="360C6CA6" w14:textId="77777777" w:rsidR="00154A55" w:rsidRPr="002E334A" w:rsidRDefault="00154A55" w:rsidP="005674F7">
      <w:pPr>
        <w:pStyle w:val="H1G"/>
      </w:pPr>
      <w:r w:rsidRPr="002E334A">
        <w:lastRenderedPageBreak/>
        <w:tab/>
      </w:r>
      <w:r w:rsidRPr="002E334A">
        <w:tab/>
        <w:t>Список сокращений, использованных в докладе</w:t>
      </w:r>
    </w:p>
    <w:p w14:paraId="15B0EAFB" w14:textId="77777777" w:rsidR="00A353F6" w:rsidRPr="002E334A" w:rsidRDefault="00A353F6" w:rsidP="00154A55">
      <w:pPr>
        <w:pStyle w:val="SingleTxtG"/>
        <w:jc w:val="left"/>
      </w:pPr>
      <w:r w:rsidRPr="002E334A">
        <w:t>ВТЭК</w:t>
      </w:r>
      <w:r w:rsidRPr="002E334A">
        <w:tab/>
      </w:r>
      <w:r w:rsidRPr="002E334A">
        <w:tab/>
      </w:r>
      <w:r>
        <w:tab/>
      </w:r>
      <w:r w:rsidRPr="002E334A">
        <w:t>врачебно-трудовые экспертные комиссии</w:t>
      </w:r>
    </w:p>
    <w:p w14:paraId="3F336E62" w14:textId="77777777" w:rsidR="00A353F6" w:rsidRPr="002E334A" w:rsidRDefault="00A353F6" w:rsidP="00154A55">
      <w:pPr>
        <w:pStyle w:val="SingleTxtG"/>
        <w:jc w:val="left"/>
      </w:pPr>
      <w:r w:rsidRPr="002E334A">
        <w:t xml:space="preserve">ГУРЛИ </w:t>
      </w:r>
      <w:r w:rsidRPr="002E334A">
        <w:tab/>
      </w:r>
      <w:r>
        <w:tab/>
      </w:r>
      <w:r w:rsidRPr="002E334A">
        <w:t>Главное управление по вопросам развития лиц с инвалидностью</w:t>
      </w:r>
    </w:p>
    <w:p w14:paraId="331E7F38" w14:textId="114027D9" w:rsidR="00A353F6" w:rsidRDefault="00A353F6" w:rsidP="00154A55">
      <w:pPr>
        <w:pStyle w:val="SingleTxtG"/>
        <w:jc w:val="left"/>
      </w:pPr>
      <w:r w:rsidRPr="002E334A">
        <w:t>КПИ</w:t>
      </w:r>
      <w:r w:rsidRPr="002E334A">
        <w:tab/>
      </w:r>
      <w:r w:rsidRPr="002E334A">
        <w:tab/>
      </w:r>
      <w:r>
        <w:tab/>
      </w:r>
      <w:r w:rsidRPr="002E334A">
        <w:t>Конвенция о правах инвалидов</w:t>
      </w:r>
    </w:p>
    <w:p w14:paraId="3403441D" w14:textId="77777777" w:rsidR="00A353F6" w:rsidRPr="002E334A" w:rsidRDefault="00A353F6" w:rsidP="00154A55">
      <w:pPr>
        <w:pStyle w:val="SingleTxtG"/>
        <w:jc w:val="left"/>
      </w:pPr>
      <w:r w:rsidRPr="002E334A">
        <w:t>МЗ</w:t>
      </w:r>
      <w:r w:rsidRPr="002E334A">
        <w:tab/>
      </w:r>
      <w:r w:rsidRPr="002E334A">
        <w:tab/>
      </w:r>
      <w:r>
        <w:tab/>
      </w:r>
      <w:r w:rsidRPr="002E334A">
        <w:t>Министерство здравоохранения</w:t>
      </w:r>
    </w:p>
    <w:p w14:paraId="7C58CBEC" w14:textId="77777777" w:rsidR="00A353F6" w:rsidRPr="002E334A" w:rsidRDefault="00A353F6" w:rsidP="00154A55">
      <w:pPr>
        <w:pStyle w:val="SingleTxtG"/>
        <w:jc w:val="left"/>
      </w:pPr>
      <w:r w:rsidRPr="002E334A">
        <w:t>МОКНС</w:t>
      </w:r>
      <w:r w:rsidRPr="002E334A">
        <w:tab/>
      </w:r>
      <w:r w:rsidRPr="002E334A">
        <w:tab/>
        <w:t>Министерство образования, культуры, науки и спорта</w:t>
      </w:r>
    </w:p>
    <w:p w14:paraId="75941032" w14:textId="77777777" w:rsidR="00A353F6" w:rsidRPr="002E334A" w:rsidRDefault="00A353F6" w:rsidP="00154A55">
      <w:pPr>
        <w:pStyle w:val="SingleTxtG"/>
        <w:jc w:val="left"/>
      </w:pPr>
      <w:r w:rsidRPr="002E334A">
        <w:t>МТСЗ</w:t>
      </w:r>
      <w:r w:rsidRPr="002E334A">
        <w:tab/>
      </w:r>
      <w:r w:rsidRPr="002E334A">
        <w:tab/>
      </w:r>
      <w:r>
        <w:tab/>
      </w:r>
      <w:r w:rsidRPr="002E334A">
        <w:t xml:space="preserve">Министерство труда и социальной защиты </w:t>
      </w:r>
    </w:p>
    <w:p w14:paraId="4C3E4AEB" w14:textId="77777777" w:rsidR="00A353F6" w:rsidRPr="002E334A" w:rsidRDefault="00A353F6" w:rsidP="00154A55">
      <w:pPr>
        <w:pStyle w:val="SingleTxtG"/>
        <w:jc w:val="left"/>
      </w:pPr>
      <w:r w:rsidRPr="002E334A">
        <w:t>МЮВД</w:t>
      </w:r>
      <w:r w:rsidRPr="002E334A">
        <w:tab/>
      </w:r>
      <w:r>
        <w:tab/>
      </w:r>
      <w:r w:rsidRPr="002E334A">
        <w:t>Министерства юстиции и внутренних дел</w:t>
      </w:r>
    </w:p>
    <w:p w14:paraId="0CCD03D9" w14:textId="77777777" w:rsidR="00A353F6" w:rsidRPr="002E334A" w:rsidRDefault="00A353F6" w:rsidP="00154A55">
      <w:pPr>
        <w:pStyle w:val="SingleTxtG"/>
        <w:jc w:val="left"/>
      </w:pPr>
      <w:r w:rsidRPr="002E334A">
        <w:t>НКПЧМ</w:t>
      </w:r>
      <w:r w:rsidRPr="002E334A">
        <w:tab/>
      </w:r>
      <w:r>
        <w:tab/>
      </w:r>
      <w:r w:rsidRPr="002E334A">
        <w:t>Национальная комиссия по правам человека Монголии</w:t>
      </w:r>
    </w:p>
    <w:p w14:paraId="30195394" w14:textId="77777777" w:rsidR="00A353F6" w:rsidRPr="002E334A" w:rsidRDefault="00A353F6" w:rsidP="00154A55">
      <w:pPr>
        <w:pStyle w:val="SingleTxtG"/>
        <w:jc w:val="left"/>
      </w:pPr>
      <w:r w:rsidRPr="002E334A">
        <w:t>НПО</w:t>
      </w:r>
      <w:r w:rsidRPr="002E334A">
        <w:tab/>
      </w:r>
      <w:r w:rsidRPr="002E334A">
        <w:tab/>
      </w:r>
      <w:r>
        <w:tab/>
      </w:r>
      <w:r w:rsidRPr="002E334A">
        <w:t>Неправительственная организация</w:t>
      </w:r>
    </w:p>
    <w:p w14:paraId="56A83400" w14:textId="77777777" w:rsidR="00A353F6" w:rsidRPr="002E334A" w:rsidRDefault="00A353F6" w:rsidP="00154A55">
      <w:pPr>
        <w:pStyle w:val="SingleTxtG"/>
        <w:jc w:val="left"/>
      </w:pPr>
      <w:r w:rsidRPr="002E334A">
        <w:t>ОЛИ</w:t>
      </w:r>
      <w:r w:rsidRPr="002E334A">
        <w:tab/>
      </w:r>
      <w:r w:rsidRPr="002E334A">
        <w:tab/>
      </w:r>
      <w:r>
        <w:tab/>
      </w:r>
      <w:r w:rsidRPr="002E334A">
        <w:t>Организации лиц с инвалидностью</w:t>
      </w:r>
    </w:p>
    <w:p w14:paraId="0DDFB8AC" w14:textId="77777777" w:rsidR="00A353F6" w:rsidRPr="002E334A" w:rsidRDefault="00A353F6" w:rsidP="00154A55">
      <w:pPr>
        <w:pStyle w:val="SingleTxtG"/>
        <w:jc w:val="left"/>
      </w:pPr>
      <w:r w:rsidRPr="002E334A">
        <w:t>Проект АБР</w:t>
      </w:r>
      <w:r w:rsidRPr="002E334A">
        <w:tab/>
      </w:r>
      <w:r>
        <w:tab/>
        <w:t>«</w:t>
      </w:r>
      <w:r w:rsidRPr="002E334A">
        <w:t xml:space="preserve">Обеспечение </w:t>
      </w:r>
      <w:proofErr w:type="spellStart"/>
      <w:r w:rsidRPr="002E334A">
        <w:t>инклюзивности</w:t>
      </w:r>
      <w:proofErr w:type="spellEnd"/>
      <w:r w:rsidRPr="002E334A">
        <w:t xml:space="preserve"> и предоставление услуг лицам </w:t>
      </w:r>
      <w:r>
        <w:br/>
      </w:r>
      <w:r>
        <w:tab/>
      </w:r>
      <w:r>
        <w:tab/>
      </w:r>
      <w:r>
        <w:tab/>
      </w:r>
      <w:r w:rsidRPr="002E334A">
        <w:t>с инвалидностью</w:t>
      </w:r>
      <w:r>
        <w:t>»</w:t>
      </w:r>
    </w:p>
    <w:p w14:paraId="5ABC5BB3" w14:textId="77777777" w:rsidR="00A353F6" w:rsidRPr="002E334A" w:rsidRDefault="00A353F6" w:rsidP="00154A55">
      <w:pPr>
        <w:pStyle w:val="SingleTxtG"/>
        <w:jc w:val="left"/>
      </w:pPr>
      <w:r w:rsidRPr="002E334A">
        <w:t>ЦСП</w:t>
      </w:r>
      <w:r w:rsidRPr="002E334A">
        <w:tab/>
      </w:r>
      <w:r>
        <w:tab/>
      </w:r>
      <w:r>
        <w:tab/>
      </w:r>
      <w:r w:rsidRPr="002E334A">
        <w:t>Центр самостоятельного проживания лиц с инвалидностью</w:t>
      </w:r>
    </w:p>
    <w:p w14:paraId="0716CB3B" w14:textId="1C9AD2D0" w:rsidR="00A353F6" w:rsidRPr="002E334A" w:rsidRDefault="00A353F6" w:rsidP="00154A55">
      <w:pPr>
        <w:pStyle w:val="SingleTxtG"/>
        <w:jc w:val="left"/>
      </w:pPr>
      <w:r w:rsidRPr="002E334A">
        <w:t>ЯАМС</w:t>
      </w:r>
      <w:r>
        <w:t>−</w:t>
      </w:r>
      <w:r w:rsidRPr="002E334A">
        <w:t>ПСУИ</w:t>
      </w:r>
      <w:r w:rsidRPr="002E334A">
        <w:tab/>
        <w:t xml:space="preserve">Проект ЯАМС </w:t>
      </w:r>
      <w:r>
        <w:t>«</w:t>
      </w:r>
      <w:r w:rsidRPr="002E334A">
        <w:t xml:space="preserve">Поддержка социального участия лиц </w:t>
      </w:r>
      <w:r w:rsidR="0025524E">
        <w:br/>
      </w:r>
      <w:r w:rsidR="0025524E">
        <w:tab/>
      </w:r>
      <w:r w:rsidR="0025524E">
        <w:tab/>
      </w:r>
      <w:r w:rsidR="0025524E">
        <w:tab/>
      </w:r>
      <w:r w:rsidRPr="002E334A">
        <w:t>с инвалидностью в городе Улан-Батор</w:t>
      </w:r>
      <w:r>
        <w:t>»</w:t>
      </w:r>
    </w:p>
    <w:bookmarkEnd w:id="0"/>
    <w:p w14:paraId="107F4AD0" w14:textId="77777777" w:rsidR="00BC6CB5" w:rsidRDefault="00154A55" w:rsidP="00154A55">
      <w:pPr>
        <w:pStyle w:val="SingleTxtG"/>
        <w:spacing w:before="240"/>
        <w:jc w:val="center"/>
      </w:pPr>
      <w:r w:rsidRPr="00A353F6">
        <w:rPr>
          <w:u w:val="single"/>
        </w:rPr>
        <w:tab/>
      </w:r>
      <w:r w:rsidRPr="00A353F6">
        <w:rPr>
          <w:u w:val="single"/>
        </w:rPr>
        <w:tab/>
      </w:r>
      <w:r w:rsidRPr="00A353F6">
        <w:rPr>
          <w:u w:val="single"/>
        </w:rPr>
        <w:tab/>
      </w:r>
    </w:p>
    <w:p w14:paraId="7E65BFC3" w14:textId="77777777" w:rsidR="00381C24" w:rsidRPr="002E334A" w:rsidRDefault="00381C24" w:rsidP="00983128"/>
    <w:sectPr w:rsidR="00381C24" w:rsidRPr="002E334A" w:rsidSect="0034694D">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AFF3B" w14:textId="77777777" w:rsidR="002F0375" w:rsidRPr="00A312BC" w:rsidRDefault="002F0375" w:rsidP="00A312BC"/>
  </w:endnote>
  <w:endnote w:type="continuationSeparator" w:id="0">
    <w:p w14:paraId="27EBB446" w14:textId="77777777" w:rsidR="002F0375" w:rsidRPr="00A312BC" w:rsidRDefault="002F037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069EA" w14:textId="77777777" w:rsidR="002F0375" w:rsidRPr="0034694D" w:rsidRDefault="002F0375">
    <w:pPr>
      <w:pStyle w:val="a8"/>
    </w:pPr>
    <w:r w:rsidRPr="0034694D">
      <w:rPr>
        <w:b/>
        <w:sz w:val="18"/>
      </w:rPr>
      <w:fldChar w:fldCharType="begin"/>
    </w:r>
    <w:r w:rsidRPr="0034694D">
      <w:rPr>
        <w:b/>
        <w:sz w:val="18"/>
      </w:rPr>
      <w:instrText xml:space="preserve"> PAGE  \* MERGEFORMAT </w:instrText>
    </w:r>
    <w:r w:rsidRPr="0034694D">
      <w:rPr>
        <w:b/>
        <w:sz w:val="18"/>
      </w:rPr>
      <w:fldChar w:fldCharType="separate"/>
    </w:r>
    <w:r w:rsidRPr="0034694D">
      <w:rPr>
        <w:b/>
        <w:noProof/>
        <w:sz w:val="18"/>
      </w:rPr>
      <w:t>2</w:t>
    </w:r>
    <w:r w:rsidRPr="0034694D">
      <w:rPr>
        <w:b/>
        <w:sz w:val="18"/>
      </w:rPr>
      <w:fldChar w:fldCharType="end"/>
    </w:r>
    <w:r>
      <w:rPr>
        <w:b/>
        <w:sz w:val="18"/>
      </w:rPr>
      <w:tab/>
    </w:r>
    <w:r>
      <w:t>GE.20-09920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47EE6" w14:textId="77777777" w:rsidR="002F0375" w:rsidRPr="0034694D" w:rsidRDefault="002F0375" w:rsidP="0034694D">
    <w:pPr>
      <w:pStyle w:val="a8"/>
      <w:tabs>
        <w:tab w:val="clear" w:pos="9639"/>
        <w:tab w:val="right" w:pos="9638"/>
      </w:tabs>
      <w:rPr>
        <w:b/>
        <w:sz w:val="18"/>
      </w:rPr>
    </w:pPr>
    <w:r>
      <w:t>GE.20-09920</w:t>
    </w:r>
    <w:r>
      <w:tab/>
    </w:r>
    <w:r w:rsidRPr="0034694D">
      <w:rPr>
        <w:b/>
        <w:sz w:val="18"/>
      </w:rPr>
      <w:fldChar w:fldCharType="begin"/>
    </w:r>
    <w:r w:rsidRPr="0034694D">
      <w:rPr>
        <w:b/>
        <w:sz w:val="18"/>
      </w:rPr>
      <w:instrText xml:space="preserve"> PAGE  \* MERGEFORMAT </w:instrText>
    </w:r>
    <w:r w:rsidRPr="0034694D">
      <w:rPr>
        <w:b/>
        <w:sz w:val="18"/>
      </w:rPr>
      <w:fldChar w:fldCharType="separate"/>
    </w:r>
    <w:r w:rsidRPr="0034694D">
      <w:rPr>
        <w:b/>
        <w:noProof/>
        <w:sz w:val="18"/>
      </w:rPr>
      <w:t>3</w:t>
    </w:r>
    <w:r w:rsidRPr="0034694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7C377" w14:textId="39BEAD4C" w:rsidR="002F0375" w:rsidRPr="00AC2B31" w:rsidRDefault="002F0375" w:rsidP="0034694D">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4B93711A" wp14:editId="7266D4E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20-09920  (R)</w:t>
    </w:r>
    <w:r>
      <w:rPr>
        <w:noProof/>
      </w:rPr>
      <w:drawing>
        <wp:anchor distT="0" distB="0" distL="114300" distR="114300" simplePos="0" relativeHeight="251659264" behindDoc="0" locked="0" layoutInCell="1" allowOverlap="1" wp14:anchorId="6E026F51" wp14:editId="6E7568B0">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040321 </w:t>
    </w:r>
    <w:r>
      <w:t>10</w:t>
    </w:r>
    <w:r>
      <w:rPr>
        <w:lang w:val="en-US"/>
      </w:rPr>
      <w:t>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10BB5" w14:textId="77777777" w:rsidR="002F0375" w:rsidRPr="001075E9" w:rsidRDefault="002F0375" w:rsidP="001075E9">
      <w:pPr>
        <w:tabs>
          <w:tab w:val="right" w:pos="2155"/>
        </w:tabs>
        <w:spacing w:after="80" w:line="240" w:lineRule="auto"/>
        <w:ind w:left="680"/>
        <w:rPr>
          <w:u w:val="single"/>
        </w:rPr>
      </w:pPr>
      <w:r>
        <w:rPr>
          <w:u w:val="single"/>
        </w:rPr>
        <w:tab/>
      </w:r>
    </w:p>
  </w:footnote>
  <w:footnote w:type="continuationSeparator" w:id="0">
    <w:p w14:paraId="7534C297" w14:textId="77777777" w:rsidR="002F0375" w:rsidRDefault="002F0375" w:rsidP="00407B78">
      <w:pPr>
        <w:tabs>
          <w:tab w:val="right" w:pos="2155"/>
        </w:tabs>
        <w:spacing w:after="80"/>
        <w:ind w:left="680"/>
        <w:rPr>
          <w:u w:val="single"/>
        </w:rPr>
      </w:pPr>
      <w:r>
        <w:rPr>
          <w:u w:val="single"/>
        </w:rPr>
        <w:tab/>
      </w:r>
    </w:p>
  </w:footnote>
  <w:footnote w:id="1">
    <w:p w14:paraId="293E284B" w14:textId="7A7C24E7" w:rsidR="002F0375" w:rsidRPr="00C9054E" w:rsidRDefault="002F0375">
      <w:pPr>
        <w:pStyle w:val="ad"/>
        <w:rPr>
          <w:sz w:val="20"/>
        </w:rPr>
      </w:pPr>
      <w:r>
        <w:tab/>
      </w:r>
      <w:r w:rsidRPr="00C9054E">
        <w:rPr>
          <w:rStyle w:val="aa"/>
          <w:sz w:val="20"/>
          <w:vertAlign w:val="baseline"/>
        </w:rPr>
        <w:t>*</w:t>
      </w:r>
      <w:r w:rsidRPr="00C9054E">
        <w:rPr>
          <w:rStyle w:val="aa"/>
          <w:vertAlign w:val="baseline"/>
        </w:rPr>
        <w:tab/>
      </w:r>
      <w:r w:rsidR="002A26AE" w:rsidRPr="00E35BA2">
        <w:t>Насто</w:t>
      </w:r>
      <w:bookmarkStart w:id="1" w:name="_GoBack"/>
      <w:bookmarkEnd w:id="1"/>
      <w:r w:rsidR="002A26AE" w:rsidRPr="00E35BA2">
        <w:t>ящий</w:t>
      </w:r>
      <w:r w:rsidR="002A26AE">
        <w:t xml:space="preserve"> </w:t>
      </w:r>
      <w:r w:rsidR="002A26AE" w:rsidRPr="00E35BA2">
        <w:t>документ</w:t>
      </w:r>
      <w:r w:rsidR="002A26AE">
        <w:t xml:space="preserve"> </w:t>
      </w:r>
      <w:r w:rsidR="002A26AE" w:rsidRPr="00E35BA2">
        <w:t>выпускается</w:t>
      </w:r>
      <w:r w:rsidR="002A26AE">
        <w:t xml:space="preserve"> </w:t>
      </w:r>
      <w:r w:rsidR="002A26AE" w:rsidRPr="00E35BA2">
        <w:t>без</w:t>
      </w:r>
      <w:r w:rsidR="002A26AE">
        <w:t xml:space="preserve"> </w:t>
      </w:r>
      <w:r w:rsidR="002A26AE" w:rsidRPr="00E35BA2">
        <w:t>официального</w:t>
      </w:r>
      <w:r w:rsidR="002A26AE">
        <w:t xml:space="preserve"> </w:t>
      </w:r>
      <w:r w:rsidR="002A26AE" w:rsidRPr="00E35BA2">
        <w:t>редактирования.</w:t>
      </w:r>
    </w:p>
  </w:footnote>
  <w:footnote w:id="2">
    <w:p w14:paraId="509C7E91" w14:textId="77777777" w:rsidR="002F0375" w:rsidRPr="008570A9" w:rsidRDefault="002F0375" w:rsidP="00BC6CB5">
      <w:pPr>
        <w:pStyle w:val="ad"/>
      </w:pPr>
      <w:r w:rsidRPr="00C87200">
        <w:tab/>
      </w:r>
      <w:r w:rsidRPr="00BC6CB5">
        <w:rPr>
          <w:rStyle w:val="aa"/>
        </w:rPr>
        <w:footnoteRef/>
      </w:r>
      <w:r w:rsidRPr="008570A9">
        <w:rPr>
          <w:rStyle w:val="aa"/>
        </w:rPr>
        <w:tab/>
      </w:r>
      <w:r>
        <w:t>Статья</w:t>
      </w:r>
      <w:r w:rsidRPr="008570A9">
        <w:t xml:space="preserve"> 14 </w:t>
      </w:r>
      <w:r>
        <w:t>и</w:t>
      </w:r>
      <w:r w:rsidRPr="008570A9">
        <w:t xml:space="preserve"> </w:t>
      </w:r>
      <w:r>
        <w:t>статья</w:t>
      </w:r>
      <w:r w:rsidRPr="008570A9">
        <w:t xml:space="preserve"> 16</w:t>
      </w:r>
      <w:r>
        <w:t xml:space="preserve"> Конституции Монголии</w:t>
      </w:r>
      <w:r w:rsidRPr="008570A9">
        <w:t>.</w:t>
      </w:r>
    </w:p>
  </w:footnote>
  <w:footnote w:id="3">
    <w:p w14:paraId="1EB058CB" w14:textId="77777777" w:rsidR="002F0375" w:rsidRPr="00A914B2" w:rsidRDefault="002F0375" w:rsidP="00BC6CB5">
      <w:pPr>
        <w:pStyle w:val="ad"/>
      </w:pPr>
      <w:r w:rsidRPr="008570A9">
        <w:tab/>
      </w:r>
      <w:r w:rsidRPr="00BC6CB5">
        <w:rPr>
          <w:rStyle w:val="aa"/>
        </w:rPr>
        <w:footnoteRef/>
      </w:r>
      <w:r w:rsidRPr="00A914B2">
        <w:rPr>
          <w:rStyle w:val="aa"/>
        </w:rPr>
        <w:tab/>
      </w:r>
      <w:r>
        <w:t xml:space="preserve">Статья </w:t>
      </w:r>
      <w:r w:rsidRPr="00A914B2">
        <w:t xml:space="preserve">5, </w:t>
      </w:r>
      <w:r>
        <w:t>Закон об образовании</w:t>
      </w:r>
      <w:r w:rsidRPr="00A914B2">
        <w:t>.</w:t>
      </w:r>
    </w:p>
  </w:footnote>
  <w:footnote w:id="4">
    <w:p w14:paraId="6E4B2E99" w14:textId="77777777" w:rsidR="002F0375" w:rsidRPr="00A914B2" w:rsidRDefault="002F0375" w:rsidP="00BC6CB5">
      <w:pPr>
        <w:pStyle w:val="ad"/>
      </w:pPr>
      <w:r w:rsidRPr="00A914B2">
        <w:tab/>
      </w:r>
      <w:r w:rsidRPr="00BC6CB5">
        <w:rPr>
          <w:rStyle w:val="aa"/>
        </w:rPr>
        <w:footnoteRef/>
      </w:r>
      <w:r w:rsidRPr="00A914B2">
        <w:rPr>
          <w:rStyle w:val="aa"/>
        </w:rPr>
        <w:tab/>
      </w:r>
      <w:r w:rsidRPr="00A914B2">
        <w:t xml:space="preserve">Статья 4, </w:t>
      </w:r>
      <w:r>
        <w:t xml:space="preserve">Закон о </w:t>
      </w:r>
      <w:r w:rsidRPr="00AC3095">
        <w:t>здравоохранении</w:t>
      </w:r>
      <w:r w:rsidRPr="00A914B2">
        <w:t>.</w:t>
      </w:r>
    </w:p>
  </w:footnote>
  <w:footnote w:id="5">
    <w:p w14:paraId="55478F07" w14:textId="77777777" w:rsidR="002F0375" w:rsidRPr="00A914B2" w:rsidRDefault="002F0375" w:rsidP="00BC6CB5">
      <w:pPr>
        <w:pStyle w:val="ad"/>
      </w:pPr>
      <w:r w:rsidRPr="00A914B2">
        <w:tab/>
      </w:r>
      <w:r w:rsidRPr="00BC6CB5">
        <w:rPr>
          <w:rStyle w:val="aa"/>
        </w:rPr>
        <w:footnoteRef/>
      </w:r>
      <w:r w:rsidRPr="00A914B2">
        <w:rPr>
          <w:rStyle w:val="aa"/>
        </w:rPr>
        <w:tab/>
      </w:r>
      <w:r w:rsidRPr="00A914B2">
        <w:t xml:space="preserve">Статья 4, </w:t>
      </w:r>
      <w:r>
        <w:t>Закон о семье</w:t>
      </w:r>
      <w:r w:rsidRPr="00A914B2">
        <w:t>.</w:t>
      </w:r>
    </w:p>
  </w:footnote>
  <w:footnote w:id="6">
    <w:p w14:paraId="3546EBAA" w14:textId="77777777" w:rsidR="002F0375" w:rsidRPr="00625173" w:rsidRDefault="002F0375" w:rsidP="00BC6CB5">
      <w:pPr>
        <w:pStyle w:val="ad"/>
      </w:pPr>
      <w:r w:rsidRPr="00A914B2">
        <w:tab/>
      </w:r>
      <w:r w:rsidRPr="00BC6CB5">
        <w:rPr>
          <w:rStyle w:val="aa"/>
        </w:rPr>
        <w:footnoteRef/>
      </w:r>
      <w:r w:rsidRPr="00625173">
        <w:rPr>
          <w:rStyle w:val="aa"/>
        </w:rPr>
        <w:tab/>
      </w:r>
      <w:hyperlink r:id="rId1" w:history="1">
        <w:r w:rsidRPr="00880E1D">
          <w:rPr>
            <w:rStyle w:val="af1"/>
            <w:rFonts w:eastAsiaTheme="minorHAnsi"/>
          </w:rPr>
          <w:t>https</w:t>
        </w:r>
        <w:r w:rsidRPr="00625173">
          <w:rPr>
            <w:rStyle w:val="af1"/>
            <w:rFonts w:eastAsiaTheme="minorHAnsi"/>
          </w:rPr>
          <w:t>://</w:t>
        </w:r>
        <w:r w:rsidRPr="00880E1D">
          <w:rPr>
            <w:rStyle w:val="af1"/>
            <w:rFonts w:eastAsiaTheme="minorHAnsi"/>
          </w:rPr>
          <w:t>mof</w:t>
        </w:r>
        <w:r w:rsidRPr="00625173">
          <w:rPr>
            <w:rStyle w:val="af1"/>
            <w:rFonts w:eastAsiaTheme="minorHAnsi"/>
          </w:rPr>
          <w:t>.</w:t>
        </w:r>
        <w:r w:rsidRPr="00880E1D">
          <w:rPr>
            <w:rStyle w:val="af1"/>
            <w:rFonts w:eastAsiaTheme="minorHAnsi"/>
          </w:rPr>
          <w:t>gov</w:t>
        </w:r>
        <w:r w:rsidRPr="00625173">
          <w:rPr>
            <w:rStyle w:val="af1"/>
            <w:rFonts w:eastAsiaTheme="minorHAnsi"/>
          </w:rPr>
          <w:t>.</w:t>
        </w:r>
        <w:r w:rsidRPr="00880E1D">
          <w:rPr>
            <w:rStyle w:val="af1"/>
            <w:rFonts w:eastAsiaTheme="minorHAnsi"/>
          </w:rPr>
          <w:t>mn</w:t>
        </w:r>
        <w:r w:rsidRPr="00625173">
          <w:rPr>
            <w:rStyle w:val="af1"/>
            <w:rFonts w:eastAsiaTheme="minorHAnsi"/>
          </w:rPr>
          <w:t>/</w:t>
        </w:r>
        <w:r w:rsidRPr="00880E1D">
          <w:rPr>
            <w:rStyle w:val="af1"/>
            <w:rFonts w:eastAsiaTheme="minorHAnsi"/>
          </w:rPr>
          <w:t>files</w:t>
        </w:r>
        <w:r w:rsidRPr="00625173">
          <w:rPr>
            <w:rStyle w:val="af1"/>
            <w:rFonts w:eastAsiaTheme="minorHAnsi"/>
          </w:rPr>
          <w:t>/</w:t>
        </w:r>
        <w:r w:rsidRPr="00880E1D">
          <w:rPr>
            <w:rStyle w:val="af1"/>
            <w:rFonts w:eastAsiaTheme="minorHAnsi"/>
          </w:rPr>
          <w:t>uploads</w:t>
        </w:r>
        <w:r w:rsidRPr="00625173">
          <w:rPr>
            <w:rStyle w:val="af1"/>
            <w:rFonts w:eastAsiaTheme="minorHAnsi"/>
          </w:rPr>
          <w:t>/</w:t>
        </w:r>
        <w:r w:rsidRPr="00880E1D">
          <w:rPr>
            <w:rStyle w:val="af1"/>
            <w:rFonts w:eastAsiaTheme="minorHAnsi"/>
          </w:rPr>
          <w:t>article</w:t>
        </w:r>
        <w:r w:rsidRPr="00625173">
          <w:rPr>
            <w:rStyle w:val="af1"/>
            <w:rFonts w:eastAsiaTheme="minorHAnsi"/>
          </w:rPr>
          <w:t>/</w:t>
        </w:r>
        <w:r w:rsidRPr="00880E1D">
          <w:rPr>
            <w:rStyle w:val="af1"/>
            <w:rFonts w:eastAsiaTheme="minorHAnsi"/>
          </w:rPr>
          <w:t>Tusviin</w:t>
        </w:r>
        <w:r w:rsidRPr="00625173">
          <w:rPr>
            <w:rStyle w:val="af1"/>
            <w:rFonts w:eastAsiaTheme="minorHAnsi"/>
          </w:rPr>
          <w:t>_</w:t>
        </w:r>
        <w:r w:rsidRPr="00880E1D">
          <w:rPr>
            <w:rStyle w:val="af1"/>
            <w:rFonts w:eastAsiaTheme="minorHAnsi"/>
          </w:rPr>
          <w:t>huvaari</w:t>
        </w:r>
        <w:r w:rsidRPr="00625173">
          <w:rPr>
            <w:rStyle w:val="af1"/>
            <w:rFonts w:eastAsiaTheme="minorHAnsi"/>
          </w:rPr>
          <w:t>.</w:t>
        </w:r>
        <w:r w:rsidRPr="00880E1D">
          <w:rPr>
            <w:rStyle w:val="af1"/>
            <w:rFonts w:eastAsiaTheme="minorHAnsi"/>
          </w:rPr>
          <w:t>pdf</w:t>
        </w:r>
      </w:hyperlink>
      <w:r w:rsidRPr="00625173">
        <w:rPr>
          <w:rStyle w:val="af1"/>
          <w:rFonts w:eastAsiaTheme="minorHAnsi"/>
        </w:rPr>
        <w:t>.</w:t>
      </w:r>
    </w:p>
  </w:footnote>
  <w:footnote w:id="7">
    <w:p w14:paraId="7CCBB6B7" w14:textId="77777777" w:rsidR="002F0375" w:rsidRPr="00625173" w:rsidRDefault="002F0375" w:rsidP="00BC6CB5">
      <w:pPr>
        <w:pStyle w:val="ad"/>
      </w:pPr>
      <w:r w:rsidRPr="00625173">
        <w:tab/>
      </w:r>
      <w:r w:rsidRPr="00BC6CB5">
        <w:rPr>
          <w:rStyle w:val="aa"/>
        </w:rPr>
        <w:footnoteRef/>
      </w:r>
      <w:r w:rsidRPr="00625173">
        <w:rPr>
          <w:rStyle w:val="aa"/>
        </w:rPr>
        <w:tab/>
      </w:r>
      <w:hyperlink r:id="rId2" w:history="1">
        <w:r w:rsidRPr="00880E1D">
          <w:rPr>
            <w:rStyle w:val="af1"/>
            <w:rFonts w:eastAsiaTheme="minorHAnsi"/>
          </w:rPr>
          <w:t>https</w:t>
        </w:r>
        <w:r w:rsidRPr="00625173">
          <w:rPr>
            <w:rStyle w:val="af1"/>
            <w:rFonts w:eastAsiaTheme="minorHAnsi"/>
          </w:rPr>
          <w:t>://</w:t>
        </w:r>
        <w:r w:rsidRPr="00880E1D">
          <w:rPr>
            <w:rStyle w:val="af1"/>
            <w:rFonts w:eastAsiaTheme="minorHAnsi"/>
          </w:rPr>
          <w:t>mof</w:t>
        </w:r>
        <w:r w:rsidRPr="00625173">
          <w:rPr>
            <w:rStyle w:val="af1"/>
            <w:rFonts w:eastAsiaTheme="minorHAnsi"/>
          </w:rPr>
          <w:t>.</w:t>
        </w:r>
        <w:r w:rsidRPr="00880E1D">
          <w:rPr>
            <w:rStyle w:val="af1"/>
            <w:rFonts w:eastAsiaTheme="minorHAnsi"/>
          </w:rPr>
          <w:t>gov</w:t>
        </w:r>
        <w:r w:rsidRPr="00625173">
          <w:rPr>
            <w:rStyle w:val="af1"/>
            <w:rFonts w:eastAsiaTheme="minorHAnsi"/>
          </w:rPr>
          <w:t>.</w:t>
        </w:r>
        <w:r w:rsidRPr="00880E1D">
          <w:rPr>
            <w:rStyle w:val="af1"/>
            <w:rFonts w:eastAsiaTheme="minorHAnsi"/>
          </w:rPr>
          <w:t>mn</w:t>
        </w:r>
        <w:r w:rsidRPr="00625173">
          <w:rPr>
            <w:rStyle w:val="af1"/>
            <w:rFonts w:eastAsiaTheme="minorHAnsi"/>
          </w:rPr>
          <w:t>/</w:t>
        </w:r>
        <w:r w:rsidRPr="00880E1D">
          <w:rPr>
            <w:rStyle w:val="af1"/>
            <w:rFonts w:eastAsiaTheme="minorHAnsi"/>
          </w:rPr>
          <w:t>files</w:t>
        </w:r>
        <w:r w:rsidRPr="00625173">
          <w:rPr>
            <w:rStyle w:val="af1"/>
            <w:rFonts w:eastAsiaTheme="minorHAnsi"/>
          </w:rPr>
          <w:t>/</w:t>
        </w:r>
        <w:r w:rsidRPr="00880E1D">
          <w:rPr>
            <w:rStyle w:val="af1"/>
            <w:rFonts w:eastAsiaTheme="minorHAnsi"/>
          </w:rPr>
          <w:t>uploads</w:t>
        </w:r>
        <w:r w:rsidRPr="00625173">
          <w:rPr>
            <w:rStyle w:val="af1"/>
            <w:rFonts w:eastAsiaTheme="minorHAnsi"/>
          </w:rPr>
          <w:t>/</w:t>
        </w:r>
        <w:r w:rsidRPr="00880E1D">
          <w:rPr>
            <w:rStyle w:val="af1"/>
            <w:rFonts w:eastAsiaTheme="minorHAnsi"/>
          </w:rPr>
          <w:t>article</w:t>
        </w:r>
        <w:r w:rsidRPr="00625173">
          <w:rPr>
            <w:rStyle w:val="af1"/>
            <w:rFonts w:eastAsiaTheme="minorHAnsi"/>
          </w:rPr>
          <w:t>/20181217_</w:t>
        </w:r>
        <w:r w:rsidRPr="00880E1D">
          <w:rPr>
            <w:rStyle w:val="af1"/>
            <w:rFonts w:eastAsiaTheme="minorHAnsi"/>
          </w:rPr>
          <w:t>book</w:t>
        </w:r>
        <w:r w:rsidRPr="00625173">
          <w:rPr>
            <w:rStyle w:val="af1"/>
            <w:rFonts w:eastAsiaTheme="minorHAnsi"/>
          </w:rPr>
          <w:t>_</w:t>
        </w:r>
        <w:r w:rsidRPr="00880E1D">
          <w:rPr>
            <w:rStyle w:val="af1"/>
            <w:rFonts w:eastAsiaTheme="minorHAnsi"/>
          </w:rPr>
          <w:t>MON</w:t>
        </w:r>
        <w:r w:rsidRPr="00625173">
          <w:rPr>
            <w:rStyle w:val="af1"/>
            <w:rFonts w:eastAsiaTheme="minorHAnsi"/>
          </w:rPr>
          <w:t>_</w:t>
        </w:r>
        <w:r w:rsidRPr="00880E1D">
          <w:rPr>
            <w:rStyle w:val="af1"/>
            <w:rFonts w:eastAsiaTheme="minorHAnsi"/>
          </w:rPr>
          <w:t>final</w:t>
        </w:r>
        <w:r w:rsidRPr="00625173">
          <w:rPr>
            <w:rStyle w:val="af1"/>
            <w:rFonts w:eastAsiaTheme="minorHAnsi"/>
          </w:rPr>
          <w:t>_1.</w:t>
        </w:r>
        <w:r w:rsidRPr="00880E1D">
          <w:rPr>
            <w:rStyle w:val="af1"/>
            <w:rFonts w:eastAsiaTheme="minorHAnsi"/>
          </w:rPr>
          <w:t>pdf</w:t>
        </w:r>
      </w:hyperlink>
      <w:r w:rsidRPr="00625173">
        <w:t>.</w:t>
      </w:r>
    </w:p>
  </w:footnote>
  <w:footnote w:id="8">
    <w:p w14:paraId="2E2D8224" w14:textId="77777777" w:rsidR="002F0375" w:rsidRPr="00154A55" w:rsidRDefault="002F0375" w:rsidP="00BC6CB5">
      <w:pPr>
        <w:pStyle w:val="ad"/>
        <w:rPr>
          <w:lang w:val="en-US"/>
        </w:rPr>
      </w:pPr>
      <w:r w:rsidRPr="00625173">
        <w:tab/>
      </w:r>
      <w:r w:rsidRPr="00BC6CB5">
        <w:rPr>
          <w:rStyle w:val="aa"/>
        </w:rPr>
        <w:footnoteRef/>
      </w:r>
      <w:r w:rsidRPr="00154A55">
        <w:rPr>
          <w:rStyle w:val="aa"/>
          <w:lang w:val="en-US"/>
        </w:rPr>
        <w:tab/>
      </w:r>
      <w:r w:rsidRPr="00154A55">
        <w:rPr>
          <w:lang w:val="en-US"/>
        </w:rPr>
        <w:t>MLSP and JICA “Issues concerning PWDs: Policy and action” Information reference, p. 48.</w:t>
      </w:r>
    </w:p>
  </w:footnote>
  <w:footnote w:id="9">
    <w:p w14:paraId="22E67C11" w14:textId="77777777" w:rsidR="002F0375" w:rsidRPr="005268F9" w:rsidRDefault="002F0375" w:rsidP="00BC6CB5">
      <w:pPr>
        <w:pStyle w:val="ad"/>
      </w:pPr>
      <w:r w:rsidRPr="00154A55">
        <w:rPr>
          <w:lang w:val="en-US"/>
        </w:rPr>
        <w:tab/>
      </w:r>
      <w:r w:rsidRPr="00BC6CB5">
        <w:rPr>
          <w:rStyle w:val="aa"/>
        </w:rPr>
        <w:footnoteRef/>
      </w:r>
      <w:r w:rsidRPr="005268F9">
        <w:rPr>
          <w:rStyle w:val="aa"/>
        </w:rPr>
        <w:tab/>
      </w:r>
      <w:r>
        <w:t>Семнадцатый</w:t>
      </w:r>
      <w:r w:rsidRPr="005268F9">
        <w:t xml:space="preserve"> доклад о положении в области прав человека и свобод в Монголии, стр. 115</w:t>
      </w:r>
      <w:r>
        <w:t xml:space="preserve"> оригинала</w:t>
      </w:r>
      <w:r w:rsidRPr="005268F9">
        <w:t>.</w:t>
      </w:r>
    </w:p>
  </w:footnote>
  <w:footnote w:id="10">
    <w:p w14:paraId="7F325B9C" w14:textId="77777777" w:rsidR="002F0375" w:rsidRPr="00CF58F6" w:rsidRDefault="002F0375" w:rsidP="00523BEB">
      <w:pPr>
        <w:pStyle w:val="ad"/>
      </w:pPr>
      <w:r>
        <w:tab/>
      </w:r>
      <w:r w:rsidRPr="00BC6CB5">
        <w:rPr>
          <w:rStyle w:val="aa"/>
        </w:rPr>
        <w:footnoteRef/>
      </w:r>
      <w:r>
        <w:tab/>
        <w:t xml:space="preserve">В аймаках </w:t>
      </w:r>
      <w:proofErr w:type="spellStart"/>
      <w:r>
        <w:t>Архангай</w:t>
      </w:r>
      <w:proofErr w:type="spellEnd"/>
      <w:r>
        <w:t xml:space="preserve">, </w:t>
      </w:r>
      <w:proofErr w:type="spellStart"/>
      <w:r>
        <w:t>Булган</w:t>
      </w:r>
      <w:proofErr w:type="spellEnd"/>
      <w:r>
        <w:t>, Гоби-</w:t>
      </w:r>
      <w:proofErr w:type="spellStart"/>
      <w:r>
        <w:t>Сумбэр</w:t>
      </w:r>
      <w:proofErr w:type="spellEnd"/>
      <w:r>
        <w:t xml:space="preserve">, </w:t>
      </w:r>
      <w:proofErr w:type="spellStart"/>
      <w:r>
        <w:t>Дорноговь</w:t>
      </w:r>
      <w:proofErr w:type="spellEnd"/>
      <w:r>
        <w:t xml:space="preserve">, </w:t>
      </w:r>
      <w:proofErr w:type="spellStart"/>
      <w:r>
        <w:t>Уверхангай</w:t>
      </w:r>
      <w:proofErr w:type="spellEnd"/>
      <w:r>
        <w:t xml:space="preserve">, </w:t>
      </w:r>
      <w:proofErr w:type="spellStart"/>
      <w:r>
        <w:t>Дундговь</w:t>
      </w:r>
      <w:proofErr w:type="spellEnd"/>
      <w:r>
        <w:t xml:space="preserve">, </w:t>
      </w:r>
      <w:proofErr w:type="spellStart"/>
      <w:r>
        <w:t>Увс</w:t>
      </w:r>
      <w:proofErr w:type="spellEnd"/>
      <w:r>
        <w:t xml:space="preserve">, Туве </w:t>
      </w:r>
      <w:r>
        <w:br/>
        <w:t xml:space="preserve">и </w:t>
      </w:r>
      <w:proofErr w:type="spellStart"/>
      <w:r>
        <w:t>Сухэ</w:t>
      </w:r>
      <w:proofErr w:type="spellEnd"/>
      <w:r>
        <w:t>-Батор имеется по одному приюту; в аймаке Сэлэнгэ ⸺ два и в Улан-Баторе ⸺ три.</w:t>
      </w:r>
    </w:p>
  </w:footnote>
  <w:footnote w:id="11">
    <w:p w14:paraId="49F15BCB" w14:textId="77777777" w:rsidR="002F0375" w:rsidRPr="00CF58F6" w:rsidRDefault="002F0375" w:rsidP="00523BEB">
      <w:pPr>
        <w:pStyle w:val="ad"/>
      </w:pPr>
      <w:r w:rsidRPr="00AE7D61">
        <w:tab/>
      </w:r>
      <w:r w:rsidRPr="00BC6CB5">
        <w:rPr>
          <w:rStyle w:val="aa"/>
        </w:rPr>
        <w:footnoteRef/>
      </w:r>
      <w:r>
        <w:tab/>
        <w:t>В аймаках Баян-</w:t>
      </w:r>
      <w:proofErr w:type="spellStart"/>
      <w:r>
        <w:t>Улгий</w:t>
      </w:r>
      <w:proofErr w:type="spellEnd"/>
      <w:r>
        <w:t xml:space="preserve">, </w:t>
      </w:r>
      <w:proofErr w:type="spellStart"/>
      <w:r>
        <w:t>Баянхонгор</w:t>
      </w:r>
      <w:proofErr w:type="spellEnd"/>
      <w:r>
        <w:t xml:space="preserve">, </w:t>
      </w:r>
      <w:proofErr w:type="spellStart"/>
      <w:r>
        <w:t>Говь</w:t>
      </w:r>
      <w:proofErr w:type="spellEnd"/>
      <w:r>
        <w:t>-Алтай, Дархан-</w:t>
      </w:r>
      <w:proofErr w:type="spellStart"/>
      <w:r>
        <w:t>Уул</w:t>
      </w:r>
      <w:proofErr w:type="spellEnd"/>
      <w:r>
        <w:t xml:space="preserve">, </w:t>
      </w:r>
      <w:proofErr w:type="spellStart"/>
      <w:r>
        <w:t>Дорнод</w:t>
      </w:r>
      <w:proofErr w:type="spellEnd"/>
      <w:r>
        <w:t xml:space="preserve">, </w:t>
      </w:r>
      <w:proofErr w:type="spellStart"/>
      <w:r>
        <w:t>Завхан</w:t>
      </w:r>
      <w:proofErr w:type="spellEnd"/>
      <w:r>
        <w:t xml:space="preserve">, Орхон, </w:t>
      </w:r>
      <w:proofErr w:type="spellStart"/>
      <w:r>
        <w:t>Хувсгел</w:t>
      </w:r>
      <w:proofErr w:type="spellEnd"/>
      <w:r>
        <w:t xml:space="preserve"> и </w:t>
      </w:r>
      <w:proofErr w:type="spellStart"/>
      <w:r>
        <w:t>Хэнтий</w:t>
      </w:r>
      <w:proofErr w:type="spellEnd"/>
      <w:r>
        <w:t xml:space="preserve"> имеется по одному центру единого окна, а в Улан-Баторе ⸺ пять.</w:t>
      </w:r>
    </w:p>
  </w:footnote>
  <w:footnote w:id="12">
    <w:p w14:paraId="4B5B58C8" w14:textId="77777777" w:rsidR="002F0375" w:rsidRPr="00154A55" w:rsidRDefault="002F0375" w:rsidP="00BC6CB5">
      <w:pPr>
        <w:pStyle w:val="ad"/>
        <w:rPr>
          <w:lang w:val="en-US"/>
        </w:rPr>
      </w:pPr>
      <w:r>
        <w:rPr>
          <w:color w:val="0000FF"/>
          <w:u w:color="0000FF"/>
        </w:rPr>
        <w:tab/>
      </w:r>
      <w:r w:rsidRPr="00BC6CB5">
        <w:rPr>
          <w:rStyle w:val="aa"/>
        </w:rPr>
        <w:footnoteRef/>
      </w:r>
      <w:r w:rsidRPr="00CF58F6">
        <w:rPr>
          <w:lang w:val="en-US"/>
        </w:rPr>
        <w:tab/>
        <w:t xml:space="preserve">Report No.18/2019 on human rights and liberty in Mongolia, Ulaanbaatar 2019, page 105. </w:t>
      </w:r>
    </w:p>
  </w:footnote>
  <w:footnote w:id="13">
    <w:p w14:paraId="0A69C8ED" w14:textId="77777777" w:rsidR="002F0375" w:rsidRPr="00154A55" w:rsidRDefault="002F0375" w:rsidP="00BC6CB5">
      <w:pPr>
        <w:pStyle w:val="ad"/>
        <w:rPr>
          <w:lang w:val="en-US"/>
        </w:rPr>
      </w:pPr>
      <w:r w:rsidRPr="00CF58F6">
        <w:rPr>
          <w:color w:val="0000FF"/>
          <w:u w:color="0000FF"/>
          <w:lang w:val="en-US"/>
        </w:rPr>
        <w:tab/>
      </w:r>
      <w:r w:rsidRPr="00BC6CB5">
        <w:rPr>
          <w:rStyle w:val="aa"/>
        </w:rPr>
        <w:footnoteRef/>
      </w:r>
      <w:r w:rsidRPr="00CF58F6">
        <w:rPr>
          <w:lang w:val="en-US"/>
        </w:rPr>
        <w:tab/>
        <w:t>Report No.18/2019 on human rights and liberty in Mongolia, Ulaanbaatar 2019, page 284</w:t>
      </w:r>
      <w:r>
        <w:rPr>
          <w:lang w:val="en-US"/>
        </w:rPr>
        <w:t>−</w:t>
      </w:r>
      <w:r w:rsidRPr="00CF58F6">
        <w:rPr>
          <w:lang w:val="en-US"/>
        </w:rPr>
        <w:t>285.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9D75F" w14:textId="65615A91" w:rsidR="002F0375" w:rsidRPr="0034694D" w:rsidRDefault="002F0375">
    <w:pPr>
      <w:pStyle w:val="a5"/>
    </w:pPr>
    <w:fldSimple w:instr=" TITLE  \* MERGEFORMAT ">
      <w:r w:rsidR="00272CDD">
        <w:t>CRPD/C/MNG/2-3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EA82F" w14:textId="3C585046" w:rsidR="002F0375" w:rsidRPr="0034694D" w:rsidRDefault="002F0375" w:rsidP="0034694D">
    <w:pPr>
      <w:pStyle w:val="a5"/>
      <w:jc w:val="right"/>
    </w:pPr>
    <w:fldSimple w:instr=" TITLE  \* MERGEFORMAT ">
      <w:r w:rsidR="00272CDD">
        <w:t>CRPD/C/MNG/2-3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
  </w:num>
  <w:num w:numId="3">
    <w:abstractNumId w:val="3"/>
  </w:num>
  <w:num w:numId="4">
    <w:abstractNumId w:val="1"/>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5">
    <w:abstractNumId w:val="0"/>
    <w:lvlOverride w:ilvl="0">
      <w:lvl w:ilvl="0" w:tplc="FAE4B376">
        <w:start w:val="1"/>
        <w:numFmt w:val="bullet"/>
        <w:lvlText w:val="•"/>
        <w:lvlJc w:val="left"/>
        <w:pPr>
          <w:tabs>
            <w:tab w:val="num" w:pos="2268"/>
          </w:tabs>
          <w:ind w:left="2268" w:hanging="170"/>
        </w:pPr>
        <w:rPr>
          <w:rFonts w:ascii="Times New Roman" w:hAnsi="Times New Roman" w:cs="Times New Roman" w:hint="default"/>
        </w:rPr>
      </w:lvl>
    </w:lvlOverride>
  </w:num>
  <w:num w:numId="6">
    <w:abstractNumId w:val="4"/>
  </w:num>
  <w:num w:numId="7">
    <w:abstractNumId w:val="6"/>
  </w:num>
  <w:num w:numId="8">
    <w:abstractNumId w:val="1"/>
  </w:num>
  <w:num w:numId="9">
    <w:abstractNumId w:val="0"/>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11089"/>
    <w:rsid w:val="00026643"/>
    <w:rsid w:val="00033EE1"/>
    <w:rsid w:val="00042B72"/>
    <w:rsid w:val="000558BD"/>
    <w:rsid w:val="00071F0E"/>
    <w:rsid w:val="000908D3"/>
    <w:rsid w:val="000A2DAB"/>
    <w:rsid w:val="000B57E7"/>
    <w:rsid w:val="000B5D1A"/>
    <w:rsid w:val="000B5F5F"/>
    <w:rsid w:val="000B6373"/>
    <w:rsid w:val="000B732B"/>
    <w:rsid w:val="000F09DF"/>
    <w:rsid w:val="000F61B2"/>
    <w:rsid w:val="001075E9"/>
    <w:rsid w:val="00154A55"/>
    <w:rsid w:val="00165893"/>
    <w:rsid w:val="00180183"/>
    <w:rsid w:val="0018024D"/>
    <w:rsid w:val="0018649F"/>
    <w:rsid w:val="00196389"/>
    <w:rsid w:val="001B3EF6"/>
    <w:rsid w:val="001B3F55"/>
    <w:rsid w:val="001B4CEB"/>
    <w:rsid w:val="001B5404"/>
    <w:rsid w:val="001C499F"/>
    <w:rsid w:val="001C7A89"/>
    <w:rsid w:val="001E7B61"/>
    <w:rsid w:val="00215062"/>
    <w:rsid w:val="002279A3"/>
    <w:rsid w:val="002419BD"/>
    <w:rsid w:val="00242CF5"/>
    <w:rsid w:val="0025524E"/>
    <w:rsid w:val="002673E4"/>
    <w:rsid w:val="00272CDD"/>
    <w:rsid w:val="0027441B"/>
    <w:rsid w:val="002846B3"/>
    <w:rsid w:val="002A26AE"/>
    <w:rsid w:val="002A2EFC"/>
    <w:rsid w:val="002B1238"/>
    <w:rsid w:val="002B74B1"/>
    <w:rsid w:val="002C0E18"/>
    <w:rsid w:val="002D06E3"/>
    <w:rsid w:val="002D5AAC"/>
    <w:rsid w:val="002E017C"/>
    <w:rsid w:val="002E334A"/>
    <w:rsid w:val="002E5067"/>
    <w:rsid w:val="002E594E"/>
    <w:rsid w:val="002F0375"/>
    <w:rsid w:val="002F3AF7"/>
    <w:rsid w:val="002F405F"/>
    <w:rsid w:val="002F7EEC"/>
    <w:rsid w:val="00301299"/>
    <w:rsid w:val="00305C08"/>
    <w:rsid w:val="00307FB6"/>
    <w:rsid w:val="00317339"/>
    <w:rsid w:val="00322004"/>
    <w:rsid w:val="003349E4"/>
    <w:rsid w:val="003402C2"/>
    <w:rsid w:val="0034694D"/>
    <w:rsid w:val="00373B0C"/>
    <w:rsid w:val="00374434"/>
    <w:rsid w:val="00381C24"/>
    <w:rsid w:val="003958D0"/>
    <w:rsid w:val="003B00E5"/>
    <w:rsid w:val="003D7CCE"/>
    <w:rsid w:val="00407B78"/>
    <w:rsid w:val="00411437"/>
    <w:rsid w:val="0041366C"/>
    <w:rsid w:val="004214F6"/>
    <w:rsid w:val="00424203"/>
    <w:rsid w:val="00426DC9"/>
    <w:rsid w:val="00434B00"/>
    <w:rsid w:val="00452493"/>
    <w:rsid w:val="00453318"/>
    <w:rsid w:val="00454E07"/>
    <w:rsid w:val="00472C5C"/>
    <w:rsid w:val="004B05CC"/>
    <w:rsid w:val="004C16E6"/>
    <w:rsid w:val="004D2894"/>
    <w:rsid w:val="0050108D"/>
    <w:rsid w:val="00513081"/>
    <w:rsid w:val="00517901"/>
    <w:rsid w:val="00523BEB"/>
    <w:rsid w:val="00526683"/>
    <w:rsid w:val="00527A49"/>
    <w:rsid w:val="00554CFD"/>
    <w:rsid w:val="005674F7"/>
    <w:rsid w:val="005709E0"/>
    <w:rsid w:val="00572E19"/>
    <w:rsid w:val="00593CD3"/>
    <w:rsid w:val="005961C8"/>
    <w:rsid w:val="005966F1"/>
    <w:rsid w:val="005C1BDD"/>
    <w:rsid w:val="005D7914"/>
    <w:rsid w:val="005E2B41"/>
    <w:rsid w:val="005E59DA"/>
    <w:rsid w:val="005F0B42"/>
    <w:rsid w:val="005F394A"/>
    <w:rsid w:val="00621AF2"/>
    <w:rsid w:val="00626605"/>
    <w:rsid w:val="006327B8"/>
    <w:rsid w:val="00642B51"/>
    <w:rsid w:val="006571D7"/>
    <w:rsid w:val="00681A10"/>
    <w:rsid w:val="00687B09"/>
    <w:rsid w:val="006A1ED8"/>
    <w:rsid w:val="006A5D35"/>
    <w:rsid w:val="006B5625"/>
    <w:rsid w:val="006C2031"/>
    <w:rsid w:val="006D21DE"/>
    <w:rsid w:val="006D3814"/>
    <w:rsid w:val="006D461A"/>
    <w:rsid w:val="006D4959"/>
    <w:rsid w:val="006D718C"/>
    <w:rsid w:val="006F35EE"/>
    <w:rsid w:val="007021FF"/>
    <w:rsid w:val="007078A1"/>
    <w:rsid w:val="00712487"/>
    <w:rsid w:val="00712895"/>
    <w:rsid w:val="00744B34"/>
    <w:rsid w:val="00745764"/>
    <w:rsid w:val="00757357"/>
    <w:rsid w:val="007B168C"/>
    <w:rsid w:val="007B3823"/>
    <w:rsid w:val="007C097A"/>
    <w:rsid w:val="007C0D3B"/>
    <w:rsid w:val="007C1CE0"/>
    <w:rsid w:val="007C3F50"/>
    <w:rsid w:val="00806737"/>
    <w:rsid w:val="00820869"/>
    <w:rsid w:val="00825F8D"/>
    <w:rsid w:val="00833758"/>
    <w:rsid w:val="00834B71"/>
    <w:rsid w:val="008550B0"/>
    <w:rsid w:val="0086445C"/>
    <w:rsid w:val="00877325"/>
    <w:rsid w:val="00881E04"/>
    <w:rsid w:val="008934D2"/>
    <w:rsid w:val="00894693"/>
    <w:rsid w:val="008A08D7"/>
    <w:rsid w:val="008A3DA6"/>
    <w:rsid w:val="008B6909"/>
    <w:rsid w:val="008C7410"/>
    <w:rsid w:val="008D5B02"/>
    <w:rsid w:val="008F7A50"/>
    <w:rsid w:val="0090064C"/>
    <w:rsid w:val="00903712"/>
    <w:rsid w:val="00903D41"/>
    <w:rsid w:val="00906890"/>
    <w:rsid w:val="00906901"/>
    <w:rsid w:val="00906937"/>
    <w:rsid w:val="00911BE4"/>
    <w:rsid w:val="0091659C"/>
    <w:rsid w:val="00951972"/>
    <w:rsid w:val="009608F3"/>
    <w:rsid w:val="00971411"/>
    <w:rsid w:val="009810F7"/>
    <w:rsid w:val="00983128"/>
    <w:rsid w:val="0098664A"/>
    <w:rsid w:val="009A24AC"/>
    <w:rsid w:val="00A14DA8"/>
    <w:rsid w:val="00A312BC"/>
    <w:rsid w:val="00A353F6"/>
    <w:rsid w:val="00A60CBA"/>
    <w:rsid w:val="00A62B8A"/>
    <w:rsid w:val="00A8305A"/>
    <w:rsid w:val="00A84021"/>
    <w:rsid w:val="00A84D35"/>
    <w:rsid w:val="00A917B3"/>
    <w:rsid w:val="00AB4B51"/>
    <w:rsid w:val="00AB7340"/>
    <w:rsid w:val="00AC12E8"/>
    <w:rsid w:val="00AC1993"/>
    <w:rsid w:val="00AC2B31"/>
    <w:rsid w:val="00AE7096"/>
    <w:rsid w:val="00AF76AC"/>
    <w:rsid w:val="00B034F0"/>
    <w:rsid w:val="00B10CC7"/>
    <w:rsid w:val="00B36DF7"/>
    <w:rsid w:val="00B40B1E"/>
    <w:rsid w:val="00B45330"/>
    <w:rsid w:val="00B539E7"/>
    <w:rsid w:val="00B60AFD"/>
    <w:rsid w:val="00B62458"/>
    <w:rsid w:val="00B739FE"/>
    <w:rsid w:val="00B73CB9"/>
    <w:rsid w:val="00B779E3"/>
    <w:rsid w:val="00B862F7"/>
    <w:rsid w:val="00BC18B2"/>
    <w:rsid w:val="00BC6CB5"/>
    <w:rsid w:val="00BD0A36"/>
    <w:rsid w:val="00BD33EE"/>
    <w:rsid w:val="00C106D6"/>
    <w:rsid w:val="00C36B79"/>
    <w:rsid w:val="00C52874"/>
    <w:rsid w:val="00C60F0C"/>
    <w:rsid w:val="00C63D42"/>
    <w:rsid w:val="00C670C6"/>
    <w:rsid w:val="00C805C9"/>
    <w:rsid w:val="00C9054E"/>
    <w:rsid w:val="00C92939"/>
    <w:rsid w:val="00CA1679"/>
    <w:rsid w:val="00CB151C"/>
    <w:rsid w:val="00CE3803"/>
    <w:rsid w:val="00CE5A1A"/>
    <w:rsid w:val="00CE6874"/>
    <w:rsid w:val="00CF55F6"/>
    <w:rsid w:val="00D0031F"/>
    <w:rsid w:val="00D239FF"/>
    <w:rsid w:val="00D266DB"/>
    <w:rsid w:val="00D33D63"/>
    <w:rsid w:val="00D41CE9"/>
    <w:rsid w:val="00D81987"/>
    <w:rsid w:val="00D90028"/>
    <w:rsid w:val="00D90138"/>
    <w:rsid w:val="00D968E2"/>
    <w:rsid w:val="00DC24C0"/>
    <w:rsid w:val="00DC6CA7"/>
    <w:rsid w:val="00DD78D1"/>
    <w:rsid w:val="00DE24D1"/>
    <w:rsid w:val="00DE32CD"/>
    <w:rsid w:val="00DF71B9"/>
    <w:rsid w:val="00E30B7B"/>
    <w:rsid w:val="00E73F76"/>
    <w:rsid w:val="00E74465"/>
    <w:rsid w:val="00E77684"/>
    <w:rsid w:val="00E92F15"/>
    <w:rsid w:val="00EA2C9F"/>
    <w:rsid w:val="00EA420E"/>
    <w:rsid w:val="00EB78B7"/>
    <w:rsid w:val="00ED0BDA"/>
    <w:rsid w:val="00ED7B4B"/>
    <w:rsid w:val="00EF1360"/>
    <w:rsid w:val="00EF3220"/>
    <w:rsid w:val="00EF4145"/>
    <w:rsid w:val="00F070A2"/>
    <w:rsid w:val="00F13648"/>
    <w:rsid w:val="00F25B74"/>
    <w:rsid w:val="00F3775B"/>
    <w:rsid w:val="00F43903"/>
    <w:rsid w:val="00F93500"/>
    <w:rsid w:val="00F94155"/>
    <w:rsid w:val="00F94187"/>
    <w:rsid w:val="00F9783F"/>
    <w:rsid w:val="00FC6CE6"/>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AB27E4"/>
  <w15:docId w15:val="{E93C6DFD-1AC8-4482-8DD2-A4954F8B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rsid w:val="007C3F50"/>
    <w:pPr>
      <w:keepNext/>
      <w:outlineLvl w:val="1"/>
    </w:pPr>
    <w:rPr>
      <w:rFonts w:cs="Arial"/>
      <w:bCs/>
      <w:iCs/>
      <w:szCs w:val="28"/>
    </w:rPr>
  </w:style>
  <w:style w:type="paragraph" w:styleId="3">
    <w:name w:val="heading 3"/>
    <w:basedOn w:val="a"/>
    <w:next w:val="a"/>
    <w:link w:val="30"/>
    <w:semiHidden/>
    <w:rsid w:val="007C3F50"/>
    <w:pPr>
      <w:keepNext/>
      <w:spacing w:before="240" w:after="60"/>
      <w:outlineLvl w:val="2"/>
    </w:pPr>
    <w:rPr>
      <w:rFonts w:ascii="Arial" w:hAnsi="Arial" w:cs="Arial"/>
      <w:b/>
      <w:bCs/>
      <w:sz w:val="26"/>
      <w:szCs w:val="26"/>
    </w:rPr>
  </w:style>
  <w:style w:type="paragraph" w:styleId="4">
    <w:name w:val="heading 4"/>
    <w:basedOn w:val="a"/>
    <w:next w:val="a"/>
    <w:link w:val="40"/>
    <w:semiHidden/>
    <w:rsid w:val="007C3F50"/>
    <w:pPr>
      <w:keepNext/>
      <w:spacing w:before="240" w:after="60"/>
      <w:outlineLvl w:val="3"/>
    </w:pPr>
    <w:rPr>
      <w:b/>
      <w:bCs/>
      <w:sz w:val="28"/>
      <w:szCs w:val="28"/>
    </w:rPr>
  </w:style>
  <w:style w:type="paragraph" w:styleId="5">
    <w:name w:val="heading 5"/>
    <w:basedOn w:val="a"/>
    <w:next w:val="a"/>
    <w:link w:val="50"/>
    <w:semiHidden/>
    <w:rsid w:val="007C3F50"/>
    <w:pPr>
      <w:spacing w:before="240" w:after="60"/>
      <w:outlineLvl w:val="4"/>
    </w:pPr>
    <w:rPr>
      <w:b/>
      <w:bCs/>
      <w:i/>
      <w:iCs/>
      <w:sz w:val="26"/>
      <w:szCs w:val="26"/>
    </w:rPr>
  </w:style>
  <w:style w:type="paragraph" w:styleId="6">
    <w:name w:val="heading 6"/>
    <w:basedOn w:val="a"/>
    <w:next w:val="a"/>
    <w:link w:val="60"/>
    <w:semiHidden/>
    <w:rsid w:val="007C3F50"/>
    <w:pPr>
      <w:spacing w:before="240" w:after="60"/>
      <w:outlineLvl w:val="5"/>
    </w:pPr>
    <w:rPr>
      <w:b/>
      <w:bCs/>
      <w:sz w:val="22"/>
    </w:rPr>
  </w:style>
  <w:style w:type="paragraph" w:styleId="7">
    <w:name w:val="heading 7"/>
    <w:basedOn w:val="a"/>
    <w:next w:val="a"/>
    <w:link w:val="70"/>
    <w:semiHidden/>
    <w:rsid w:val="007C3F50"/>
    <w:pPr>
      <w:spacing w:before="240" w:after="60"/>
      <w:outlineLvl w:val="6"/>
    </w:pPr>
    <w:rPr>
      <w:sz w:val="24"/>
      <w:szCs w:val="24"/>
    </w:rPr>
  </w:style>
  <w:style w:type="paragraph" w:styleId="8">
    <w:name w:val="heading 8"/>
    <w:basedOn w:val="a"/>
    <w:next w:val="a"/>
    <w:link w:val="80"/>
    <w:semiHidden/>
    <w:rsid w:val="007C3F50"/>
    <w:pPr>
      <w:spacing w:before="240" w:after="60"/>
      <w:outlineLvl w:val="7"/>
    </w:pPr>
    <w:rPr>
      <w:i/>
      <w:iCs/>
      <w:sz w:val="24"/>
      <w:szCs w:val="24"/>
    </w:rPr>
  </w:style>
  <w:style w:type="paragraph" w:styleId="9">
    <w:name w:val="heading 9"/>
    <w:basedOn w:val="a"/>
    <w:next w:val="a"/>
    <w:link w:val="90"/>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E92F15"/>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0690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rsid w:val="00E92F15"/>
    <w:rPr>
      <w:color w:val="0000FF" w:themeColor="hyperlink"/>
      <w:u w:val="none"/>
    </w:rPr>
  </w:style>
  <w:style w:type="character" w:styleId="af2">
    <w:name w:val="FollowedHyperlink"/>
    <w:basedOn w:val="a0"/>
    <w:rsid w:val="00E92F15"/>
    <w:rPr>
      <w:color w:val="800080" w:themeColor="followedHyperlink"/>
      <w:u w:val="none"/>
    </w:rPr>
  </w:style>
  <w:style w:type="numbering" w:styleId="111111">
    <w:name w:val="Outline List 2"/>
    <w:basedOn w:val="a2"/>
    <w:semiHidden/>
    <w:rsid w:val="00154A55"/>
    <w:pPr>
      <w:numPr>
        <w:numId w:val="6"/>
      </w:numPr>
    </w:pPr>
  </w:style>
  <w:style w:type="numbering" w:styleId="1ai">
    <w:name w:val="Outline List 1"/>
    <w:basedOn w:val="a2"/>
    <w:semiHidden/>
    <w:rsid w:val="00154A55"/>
    <w:pPr>
      <w:numPr>
        <w:numId w:val="7"/>
      </w:numPr>
    </w:pPr>
  </w:style>
  <w:style w:type="character" w:customStyle="1" w:styleId="20">
    <w:name w:val="Заголовок 2 Знак"/>
    <w:basedOn w:val="a0"/>
    <w:link w:val="2"/>
    <w:semiHidden/>
    <w:rsid w:val="00154A55"/>
    <w:rPr>
      <w:rFonts w:eastAsiaTheme="minorHAnsi" w:cs="Arial"/>
      <w:bCs/>
      <w:iCs/>
      <w:szCs w:val="28"/>
      <w:lang w:val="ru-RU" w:eastAsia="en-US"/>
    </w:rPr>
  </w:style>
  <w:style w:type="character" w:customStyle="1" w:styleId="30">
    <w:name w:val="Заголовок 3 Знак"/>
    <w:basedOn w:val="a0"/>
    <w:link w:val="3"/>
    <w:semiHidden/>
    <w:rsid w:val="00154A55"/>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154A55"/>
    <w:rPr>
      <w:rFonts w:eastAsiaTheme="minorHAnsi" w:cstheme="minorBidi"/>
      <w:b/>
      <w:bCs/>
      <w:sz w:val="28"/>
      <w:szCs w:val="28"/>
      <w:lang w:val="ru-RU" w:eastAsia="en-US"/>
    </w:rPr>
  </w:style>
  <w:style w:type="character" w:customStyle="1" w:styleId="50">
    <w:name w:val="Заголовок 5 Знак"/>
    <w:basedOn w:val="a0"/>
    <w:link w:val="5"/>
    <w:semiHidden/>
    <w:rsid w:val="00154A55"/>
    <w:rPr>
      <w:rFonts w:eastAsiaTheme="minorHAnsi" w:cstheme="minorBidi"/>
      <w:b/>
      <w:bCs/>
      <w:i/>
      <w:iCs/>
      <w:sz w:val="26"/>
      <w:szCs w:val="26"/>
      <w:lang w:val="ru-RU" w:eastAsia="en-US"/>
    </w:rPr>
  </w:style>
  <w:style w:type="character" w:customStyle="1" w:styleId="60">
    <w:name w:val="Заголовок 6 Знак"/>
    <w:basedOn w:val="a0"/>
    <w:link w:val="6"/>
    <w:semiHidden/>
    <w:rsid w:val="00154A55"/>
    <w:rPr>
      <w:rFonts w:eastAsiaTheme="minorHAnsi" w:cstheme="minorBidi"/>
      <w:b/>
      <w:bCs/>
      <w:sz w:val="22"/>
      <w:szCs w:val="22"/>
      <w:lang w:val="ru-RU" w:eastAsia="en-US"/>
    </w:rPr>
  </w:style>
  <w:style w:type="character" w:customStyle="1" w:styleId="70">
    <w:name w:val="Заголовок 7 Знак"/>
    <w:basedOn w:val="a0"/>
    <w:link w:val="7"/>
    <w:semiHidden/>
    <w:rsid w:val="00154A55"/>
    <w:rPr>
      <w:rFonts w:eastAsiaTheme="minorHAnsi" w:cstheme="minorBidi"/>
      <w:sz w:val="24"/>
      <w:szCs w:val="24"/>
      <w:lang w:val="ru-RU" w:eastAsia="en-US"/>
    </w:rPr>
  </w:style>
  <w:style w:type="character" w:customStyle="1" w:styleId="80">
    <w:name w:val="Заголовок 8 Знак"/>
    <w:basedOn w:val="a0"/>
    <w:link w:val="8"/>
    <w:semiHidden/>
    <w:rsid w:val="00154A55"/>
    <w:rPr>
      <w:rFonts w:eastAsiaTheme="minorHAnsi" w:cstheme="minorBidi"/>
      <w:i/>
      <w:iCs/>
      <w:sz w:val="24"/>
      <w:szCs w:val="24"/>
      <w:lang w:val="ru-RU" w:eastAsia="en-US"/>
    </w:rPr>
  </w:style>
  <w:style w:type="character" w:customStyle="1" w:styleId="90">
    <w:name w:val="Заголовок 9 Знак"/>
    <w:basedOn w:val="a0"/>
    <w:link w:val="9"/>
    <w:semiHidden/>
    <w:rsid w:val="00154A55"/>
    <w:rPr>
      <w:rFonts w:ascii="Arial" w:eastAsiaTheme="minorHAnsi" w:hAnsi="Arial" w:cs="Arial"/>
      <w:sz w:val="22"/>
      <w:szCs w:val="22"/>
      <w:lang w:val="ru-RU" w:eastAsia="en-US"/>
    </w:rPr>
  </w:style>
  <w:style w:type="character" w:styleId="af3">
    <w:name w:val="Book Title"/>
    <w:basedOn w:val="a0"/>
    <w:uiPriority w:val="33"/>
    <w:rsid w:val="00154A55"/>
    <w:rPr>
      <w:b/>
      <w:bCs/>
      <w:smallCaps/>
      <w:spacing w:val="5"/>
    </w:rPr>
  </w:style>
  <w:style w:type="character" w:customStyle="1" w:styleId="SingleTxtGChar">
    <w:name w:val="_ Single Txt_G Char"/>
    <w:basedOn w:val="a0"/>
    <w:link w:val="SingleTxtG"/>
    <w:rsid w:val="00154A55"/>
    <w:rPr>
      <w:lang w:val="ru-RU" w:eastAsia="en-US"/>
    </w:rPr>
  </w:style>
  <w:style w:type="character" w:styleId="af4">
    <w:name w:val="annotation reference"/>
    <w:basedOn w:val="a0"/>
    <w:uiPriority w:val="99"/>
    <w:semiHidden/>
    <w:unhideWhenUsed/>
    <w:rsid w:val="00154A55"/>
    <w:rPr>
      <w:sz w:val="16"/>
      <w:szCs w:val="16"/>
    </w:rPr>
  </w:style>
  <w:style w:type="paragraph" w:styleId="af5">
    <w:name w:val="annotation text"/>
    <w:basedOn w:val="a"/>
    <w:link w:val="af6"/>
    <w:uiPriority w:val="99"/>
    <w:semiHidden/>
    <w:unhideWhenUsed/>
    <w:rsid w:val="00154A55"/>
    <w:pPr>
      <w:spacing w:line="240" w:lineRule="auto"/>
    </w:pPr>
    <w:rPr>
      <w:rFonts w:eastAsia="SimSun" w:cs="Times New Roman"/>
      <w:szCs w:val="20"/>
      <w:lang w:val="en-GB"/>
    </w:rPr>
  </w:style>
  <w:style w:type="character" w:customStyle="1" w:styleId="af6">
    <w:name w:val="Текст примечания Знак"/>
    <w:basedOn w:val="a0"/>
    <w:link w:val="af5"/>
    <w:uiPriority w:val="99"/>
    <w:semiHidden/>
    <w:rsid w:val="00154A55"/>
    <w:rPr>
      <w:rFonts w:eastAsia="SimSun"/>
      <w:lang w:val="en-GB" w:eastAsia="en-US"/>
    </w:rPr>
  </w:style>
  <w:style w:type="paragraph" w:styleId="af7">
    <w:name w:val="annotation subject"/>
    <w:basedOn w:val="af5"/>
    <w:next w:val="af5"/>
    <w:link w:val="af8"/>
    <w:uiPriority w:val="99"/>
    <w:semiHidden/>
    <w:unhideWhenUsed/>
    <w:rsid w:val="00154A55"/>
    <w:rPr>
      <w:b/>
      <w:bCs/>
    </w:rPr>
  </w:style>
  <w:style w:type="character" w:customStyle="1" w:styleId="af8">
    <w:name w:val="Тема примечания Знак"/>
    <w:basedOn w:val="af6"/>
    <w:link w:val="af7"/>
    <w:uiPriority w:val="99"/>
    <w:semiHidden/>
    <w:rsid w:val="00154A55"/>
    <w:rPr>
      <w:rFonts w:eastAsia="SimSun"/>
      <w:b/>
      <w:bCs/>
      <w:lang w:val="en-GB" w:eastAsia="en-US"/>
    </w:rPr>
  </w:style>
  <w:style w:type="character" w:customStyle="1" w:styleId="eref">
    <w:name w:val="eref"/>
    <w:basedOn w:val="a0"/>
    <w:rsid w:val="00154A55"/>
  </w:style>
  <w:style w:type="character" w:customStyle="1" w:styleId="terminologypart">
    <w:name w:val="terminologypart"/>
    <w:basedOn w:val="a0"/>
    <w:rsid w:val="00154A55"/>
  </w:style>
  <w:style w:type="character" w:styleId="af9">
    <w:name w:val="Emphasis"/>
    <w:basedOn w:val="a0"/>
    <w:uiPriority w:val="20"/>
    <w:qFormat/>
    <w:rsid w:val="00154A55"/>
    <w:rPr>
      <w:i/>
      <w:iCs/>
    </w:rPr>
  </w:style>
  <w:style w:type="character" w:styleId="HTML">
    <w:name w:val="HTML Cite"/>
    <w:basedOn w:val="a0"/>
    <w:uiPriority w:val="99"/>
    <w:semiHidden/>
    <w:unhideWhenUsed/>
    <w:rsid w:val="00154A55"/>
    <w:rPr>
      <w:i/>
      <w:iCs/>
    </w:rPr>
  </w:style>
  <w:style w:type="character" w:customStyle="1" w:styleId="dyjrff">
    <w:name w:val="dyjrff"/>
    <w:basedOn w:val="a0"/>
    <w:rsid w:val="00154A55"/>
  </w:style>
  <w:style w:type="paragraph" w:customStyle="1" w:styleId="action-menu-item">
    <w:name w:val="action-menu-item"/>
    <w:basedOn w:val="a"/>
    <w:rsid w:val="00154A55"/>
    <w:pPr>
      <w:suppressAutoHyphens w:val="0"/>
      <w:spacing w:before="100" w:beforeAutospacing="1" w:after="100" w:afterAutospacing="1" w:line="240" w:lineRule="auto"/>
    </w:pPr>
    <w:rPr>
      <w:rFonts w:eastAsia="Times New Roman" w:cs="Times New Roman"/>
      <w:sz w:val="24"/>
      <w:szCs w:val="24"/>
      <w:lang w:val="fr-FR" w:eastAsia="fr-FR"/>
    </w:rPr>
  </w:style>
  <w:style w:type="character" w:styleId="afa">
    <w:name w:val="Unresolved Mention"/>
    <w:basedOn w:val="a0"/>
    <w:uiPriority w:val="99"/>
    <w:semiHidden/>
    <w:unhideWhenUsed/>
    <w:rsid w:val="00154A55"/>
    <w:rPr>
      <w:color w:val="605E5C"/>
      <w:shd w:val="clear" w:color="auto" w:fill="E1DFDD"/>
    </w:rPr>
  </w:style>
  <w:style w:type="character" w:customStyle="1" w:styleId="f">
    <w:name w:val="f"/>
    <w:basedOn w:val="a0"/>
    <w:rsid w:val="00154A55"/>
  </w:style>
  <w:style w:type="paragraph" w:styleId="afb">
    <w:name w:val="Revision"/>
    <w:hidden/>
    <w:uiPriority w:val="99"/>
    <w:semiHidden/>
    <w:rsid w:val="00154A55"/>
    <w:rPr>
      <w:rFonts w:eastAsia="SimSun"/>
      <w:lang w:val="en-GB" w:eastAsia="en-US"/>
    </w:rPr>
  </w:style>
  <w:style w:type="character" w:customStyle="1" w:styleId="extended-textshort">
    <w:name w:val="extended-text__short"/>
    <w:basedOn w:val="a0"/>
    <w:rsid w:val="00154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ekhutuch.mn"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mof.gov.mn/files/uploads/article/20181217_book_MON_final_1.pdf" TargetMode="External"/><Relationship Id="rId1" Type="http://schemas.openxmlformats.org/officeDocument/2006/relationships/hyperlink" Target="https://mof.gov.mn/files/uploads/article/Tusviin_huvaari.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a:lstStyle/>
          <a:p>
            <a:pPr algn="l">
              <a:defRPr sz="1000" b="1" i="0" u="none" strike="noStrike">
                <a:solidFill>
                  <a:srgbClr val="000000"/>
                </a:solidFill>
                <a:latin typeface="Times New Roman"/>
              </a:defRPr>
            </a:pPr>
            <a:r>
              <a:rPr lang="ru-RU" sz="1000" b="1" i="0" u="none" strike="noStrike">
                <a:solidFill>
                  <a:srgbClr val="000000"/>
                </a:solidFill>
                <a:latin typeface="Times New Roman"/>
              </a:rPr>
              <a:t>Количество учащихся</a:t>
            </a:r>
            <a:r>
              <a:rPr lang="en-US" sz="1000" b="1" i="0" u="none" strike="noStrike">
                <a:solidFill>
                  <a:srgbClr val="000000"/>
                </a:solidFill>
                <a:latin typeface="Times New Roman"/>
              </a:rPr>
              <a:t>/</a:t>
            </a:r>
            <a:r>
              <a:rPr lang="ru-RU" sz="1000" b="1" i="0" u="none" strike="noStrike">
                <a:solidFill>
                  <a:srgbClr val="000000"/>
                </a:solidFill>
                <a:latin typeface="Times New Roman"/>
              </a:rPr>
              <a:t>по возрастным группам:</a:t>
            </a:r>
            <a:r>
              <a:rPr lang="en-US" sz="1000" b="1" i="0" u="none" strike="noStrike">
                <a:solidFill>
                  <a:srgbClr val="000000"/>
                </a:solidFill>
                <a:latin typeface="Times New Roman"/>
              </a:rPr>
              <a:t> </a:t>
            </a:r>
            <a:br>
              <a:rPr lang="ru-RU" sz="1000" b="1" i="0" u="none" strike="noStrike">
                <a:solidFill>
                  <a:srgbClr val="000000"/>
                </a:solidFill>
                <a:latin typeface="Times New Roman"/>
              </a:rPr>
            </a:br>
            <a:r>
              <a:rPr lang="ru-RU" sz="1000" b="1" i="0" u="none" strike="noStrike">
                <a:solidFill>
                  <a:sysClr val="windowText" lastClr="000000"/>
                </a:solidFill>
                <a:latin typeface="Times New Roman"/>
              </a:rPr>
              <a:t>внизу</a:t>
            </a:r>
            <a:r>
              <a:rPr lang="ru-RU" sz="1000" b="1" i="0" u="none" strike="noStrike" baseline="0">
                <a:solidFill>
                  <a:srgbClr val="000000"/>
                </a:solidFill>
                <a:latin typeface="Times New Roman"/>
              </a:rPr>
              <a:t> </a:t>
            </a:r>
            <a:r>
              <a:rPr lang="ru-RU" sz="1000" b="1" i="0" u="none" strike="noStrike">
                <a:solidFill>
                  <a:srgbClr val="000000"/>
                </a:solidFill>
                <a:latin typeface="Times New Roman"/>
              </a:rPr>
              <a:t>моложе</a:t>
            </a:r>
            <a:r>
              <a:rPr lang="en-US" sz="1000" b="1" i="0" u="none" strike="noStrike">
                <a:solidFill>
                  <a:srgbClr val="000000"/>
                </a:solidFill>
                <a:latin typeface="Times New Roman"/>
              </a:rPr>
              <a:t> 8</a:t>
            </a:r>
            <a:r>
              <a:rPr lang="ru-RU" sz="1000" b="1" i="0" u="none" strike="noStrike">
                <a:solidFill>
                  <a:srgbClr val="000000"/>
                </a:solidFill>
                <a:latin typeface="Times New Roman"/>
              </a:rPr>
              <a:t> лет</a:t>
            </a:r>
            <a:r>
              <a:rPr lang="en-US" sz="1000" b="1" i="0" u="none" strike="noStrike">
                <a:solidFill>
                  <a:srgbClr val="000000"/>
                </a:solidFill>
                <a:latin typeface="Times New Roman"/>
              </a:rPr>
              <a:t>, 8</a:t>
            </a:r>
            <a:r>
              <a:rPr lang="en-GB" sz="1000" b="1" i="0" u="none" strike="noStrike" baseline="0">
                <a:effectLst/>
              </a:rPr>
              <a:t>–</a:t>
            </a:r>
            <a:r>
              <a:rPr lang="en-US" sz="1000" b="1" i="0" u="none" strike="noStrike">
                <a:solidFill>
                  <a:srgbClr val="000000"/>
                </a:solidFill>
                <a:latin typeface="Times New Roman"/>
              </a:rPr>
              <a:t>10</a:t>
            </a:r>
            <a:r>
              <a:rPr lang="ru-RU" sz="1000" b="1" i="0" u="none" strike="noStrike">
                <a:solidFill>
                  <a:srgbClr val="000000"/>
                </a:solidFill>
                <a:latin typeface="Times New Roman"/>
              </a:rPr>
              <a:t> лет</a:t>
            </a:r>
            <a:r>
              <a:rPr lang="en-US" sz="1000" b="1" i="0" u="none" strike="noStrike">
                <a:solidFill>
                  <a:srgbClr val="000000"/>
                </a:solidFill>
                <a:latin typeface="Times New Roman"/>
              </a:rPr>
              <a:t>, 11</a:t>
            </a:r>
            <a:r>
              <a:rPr lang="en-GB" sz="1000" b="1" i="0" u="none" strike="noStrike" baseline="0">
                <a:effectLst/>
              </a:rPr>
              <a:t>–</a:t>
            </a:r>
            <a:r>
              <a:rPr lang="en-US" sz="1000" b="1" i="0" u="none" strike="noStrike">
                <a:solidFill>
                  <a:srgbClr val="000000"/>
                </a:solidFill>
                <a:latin typeface="Times New Roman"/>
              </a:rPr>
              <a:t>14</a:t>
            </a:r>
            <a:r>
              <a:rPr lang="ru-RU" sz="1000" b="1" i="0" u="none" strike="noStrike">
                <a:solidFill>
                  <a:srgbClr val="000000"/>
                </a:solidFill>
                <a:latin typeface="Times New Roman"/>
              </a:rPr>
              <a:t> лет</a:t>
            </a:r>
            <a:r>
              <a:rPr lang="en-US" sz="1000" b="1" i="0" u="none" strike="noStrike">
                <a:solidFill>
                  <a:srgbClr val="000000"/>
                </a:solidFill>
                <a:latin typeface="Times New Roman"/>
              </a:rPr>
              <a:t>, 15</a:t>
            </a:r>
            <a:r>
              <a:rPr lang="en-GB" sz="1000" b="1" i="0" u="none" strike="noStrike" baseline="0">
                <a:effectLst/>
              </a:rPr>
              <a:t>–</a:t>
            </a:r>
            <a:r>
              <a:rPr lang="en-US" sz="1000" b="1" i="0" u="none" strike="noStrike">
                <a:solidFill>
                  <a:srgbClr val="000000"/>
                </a:solidFill>
                <a:latin typeface="Times New Roman"/>
              </a:rPr>
              <a:t>18</a:t>
            </a:r>
            <a:r>
              <a:rPr lang="ru-RU" sz="1000" b="1" i="0" u="none" strike="noStrike">
                <a:solidFill>
                  <a:srgbClr val="000000"/>
                </a:solidFill>
                <a:latin typeface="Times New Roman"/>
              </a:rPr>
              <a:t> лет</a:t>
            </a:r>
            <a:r>
              <a:rPr lang="en-US" sz="1000" b="1" i="0" u="none" strike="noStrike">
                <a:solidFill>
                  <a:srgbClr val="000000"/>
                </a:solidFill>
                <a:latin typeface="Times New Roman"/>
              </a:rPr>
              <a:t>
</a:t>
            </a:r>
          </a:p>
        </c:rich>
      </c:tx>
      <c:layout>
        <c:manualLayout>
          <c:xMode val="edge"/>
          <c:yMode val="edge"/>
          <c:x val="0"/>
          <c:y val="1.6359918200408999E-2"/>
          <c:w val="1"/>
          <c:h val="0.19297500000000001"/>
        </c:manualLayout>
      </c:layout>
      <c:overlay val="1"/>
      <c:spPr>
        <a:noFill/>
        <a:effectLst/>
      </c:spPr>
    </c:title>
    <c:autoTitleDeleted val="0"/>
    <c:view3D>
      <c:rotX val="50"/>
      <c:hPercent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27441E-2"/>
          <c:y val="0.19297500000000001"/>
          <c:w val="0.82609500000000002"/>
          <c:h val="0.56704500000000002"/>
        </c:manualLayout>
      </c:layout>
      <c:pie3DChart>
        <c:varyColors val="0"/>
        <c:ser>
          <c:idx val="0"/>
          <c:order val="0"/>
          <c:tx>
            <c:strRef>
              <c:f>Sheet1!$A$2</c:f>
              <c:strCache>
                <c:ptCount val="1"/>
                <c:pt idx="0">
                  <c:v>Sales</c:v>
                </c:pt>
              </c:strCache>
            </c:strRef>
          </c:tx>
          <c:spPr>
            <a:solidFill>
              <a:schemeClr val="accent1"/>
            </a:solidFill>
            <a:ln w="12700" cap="flat">
              <a:noFill/>
              <a:miter lim="400000"/>
            </a:ln>
            <a:effectLst/>
            <a:sp3d prstMaterial="matte"/>
          </c:spPr>
          <c:explosion val="25"/>
          <c:dPt>
            <c:idx val="0"/>
            <c:bubble3D val="0"/>
            <c:extLst>
              <c:ext xmlns:c16="http://schemas.microsoft.com/office/drawing/2014/chart" uri="{C3380CC4-5D6E-409C-BE32-E72D297353CC}">
                <c16:uniqueId val="{00000000-E174-42FD-BA7A-31482E054495}"/>
              </c:ext>
            </c:extLst>
          </c:dPt>
          <c:dPt>
            <c:idx val="1"/>
            <c:bubble3D val="0"/>
            <c:spPr>
              <a:solidFill>
                <a:schemeClr val="accent2"/>
              </a:solidFill>
              <a:ln w="12700" cap="flat">
                <a:noFill/>
                <a:miter lim="400000"/>
              </a:ln>
              <a:effectLst/>
              <a:sp3d prstMaterial="matte"/>
            </c:spPr>
            <c:extLst>
              <c:ext xmlns:c16="http://schemas.microsoft.com/office/drawing/2014/chart" uri="{C3380CC4-5D6E-409C-BE32-E72D297353CC}">
                <c16:uniqueId val="{00000002-E174-42FD-BA7A-31482E054495}"/>
              </c:ext>
            </c:extLst>
          </c:dPt>
          <c:dPt>
            <c:idx val="2"/>
            <c:bubble3D val="0"/>
            <c:spPr>
              <a:solidFill>
                <a:schemeClr val="accent3"/>
              </a:solidFill>
              <a:ln w="12700" cap="flat">
                <a:noFill/>
                <a:miter lim="400000"/>
              </a:ln>
              <a:effectLst/>
              <a:sp3d prstMaterial="matte"/>
            </c:spPr>
            <c:extLst>
              <c:ext xmlns:c16="http://schemas.microsoft.com/office/drawing/2014/chart" uri="{C3380CC4-5D6E-409C-BE32-E72D297353CC}">
                <c16:uniqueId val="{00000004-E174-42FD-BA7A-31482E054495}"/>
              </c:ext>
            </c:extLst>
          </c:dPt>
          <c:dPt>
            <c:idx val="3"/>
            <c:bubble3D val="0"/>
            <c:spPr>
              <a:solidFill>
                <a:schemeClr val="accent4"/>
              </a:solidFill>
              <a:ln w="12700" cap="flat">
                <a:noFill/>
                <a:miter lim="400000"/>
              </a:ln>
              <a:effectLst/>
              <a:sp3d prstMaterial="matte"/>
            </c:spPr>
            <c:extLst>
              <c:ext xmlns:c16="http://schemas.microsoft.com/office/drawing/2014/chart" uri="{C3380CC4-5D6E-409C-BE32-E72D297353CC}">
                <c16:uniqueId val="{00000006-E174-42FD-BA7A-31482E054495}"/>
              </c:ext>
            </c:extLst>
          </c:dPt>
          <c:dLbls>
            <c:dLbl>
              <c:idx val="0"/>
              <c:tx>
                <c:rich>
                  <a:bodyPr/>
                  <a:lstStyle/>
                  <a:p>
                    <a:pPr>
                      <a:defRPr sz="800" b="0" i="0" u="none" strike="noStrike">
                        <a:solidFill>
                          <a:srgbClr val="000000"/>
                        </a:solidFill>
                        <a:latin typeface="Times New Roman"/>
                      </a:defRPr>
                    </a:pPr>
                    <a:r>
                      <a:rPr lang="en-US"/>
                      <a:t>11</a:t>
                    </a:r>
                    <a:r>
                      <a:rPr lang="en-US" baseline="0"/>
                      <a:t> %</a:t>
                    </a:r>
                    <a:endParaRPr lang="en-US"/>
                  </a:p>
                </c:rich>
              </c:tx>
              <c:numFmt formatCode="0%" sourceLinked="0"/>
              <c:spPr/>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E174-42FD-BA7A-31482E054495}"/>
                </c:ext>
              </c:extLst>
            </c:dLbl>
            <c:dLbl>
              <c:idx val="1"/>
              <c:tx>
                <c:rich>
                  <a:bodyPr/>
                  <a:lstStyle/>
                  <a:p>
                    <a:pPr>
                      <a:defRPr sz="800" b="0" i="0" u="none" strike="noStrike">
                        <a:solidFill>
                          <a:srgbClr val="000000"/>
                        </a:solidFill>
                        <a:latin typeface="Times New Roman"/>
                      </a:defRPr>
                    </a:pPr>
                    <a:r>
                      <a:rPr lang="en-US"/>
                      <a:t>30 %</a:t>
                    </a:r>
                  </a:p>
                </c:rich>
              </c:tx>
              <c:numFmt formatCode="0%" sourceLinked="0"/>
              <c:spPr/>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E174-42FD-BA7A-31482E054495}"/>
                </c:ext>
              </c:extLst>
            </c:dLbl>
            <c:dLbl>
              <c:idx val="2"/>
              <c:tx>
                <c:rich>
                  <a:bodyPr/>
                  <a:lstStyle/>
                  <a:p>
                    <a:pPr>
                      <a:defRPr sz="800" b="0" i="0" u="none" strike="noStrike">
                        <a:solidFill>
                          <a:srgbClr val="000000"/>
                        </a:solidFill>
                        <a:latin typeface="Times New Roman"/>
                      </a:defRPr>
                    </a:pPr>
                    <a:r>
                      <a:rPr lang="en-US"/>
                      <a:t>35</a:t>
                    </a:r>
                    <a:r>
                      <a:rPr lang="en-US" baseline="0"/>
                      <a:t> %</a:t>
                    </a:r>
                    <a:endParaRPr lang="en-US"/>
                  </a:p>
                </c:rich>
              </c:tx>
              <c:numFmt formatCode="0%" sourceLinked="0"/>
              <c:spPr/>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E174-42FD-BA7A-31482E054495}"/>
                </c:ext>
              </c:extLst>
            </c:dLbl>
            <c:dLbl>
              <c:idx val="3"/>
              <c:tx>
                <c:rich>
                  <a:bodyPr/>
                  <a:lstStyle/>
                  <a:p>
                    <a:pPr>
                      <a:defRPr sz="800" b="0" i="0" u="none" strike="noStrike">
                        <a:solidFill>
                          <a:srgbClr val="000000"/>
                        </a:solidFill>
                        <a:latin typeface="Times New Roman"/>
                      </a:defRPr>
                    </a:pPr>
                    <a:r>
                      <a:rPr lang="en-US"/>
                      <a:t>24 %</a:t>
                    </a:r>
                  </a:p>
                </c:rich>
              </c:tx>
              <c:numFmt formatCode="0%" sourceLinked="0"/>
              <c:spPr/>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E174-42FD-BA7A-31482E054495}"/>
                </c:ext>
              </c:extLst>
            </c:dLbl>
            <c:numFmt formatCode="0%" sourceLinked="0"/>
            <c:spPr>
              <a:noFill/>
              <a:ln>
                <a:noFill/>
              </a:ln>
              <a:effectLst/>
            </c:spPr>
            <c:txPr>
              <a:bodyPr/>
              <a:lstStyle/>
              <a:p>
                <a:pPr>
                  <a:defRPr sz="800" b="0" i="0" u="none" strike="noStrike">
                    <a:solidFill>
                      <a:srgbClr val="000000"/>
                    </a:solidFill>
                    <a:latin typeface="Times New Roman"/>
                  </a:defRPr>
                </a:pPr>
                <a:endParaRPr lang="ru-RU"/>
              </a:p>
            </c:txPr>
            <c:dLblPos val="inEnd"/>
            <c:showLegendKey val="0"/>
            <c:showVal val="0"/>
            <c:showCatName val="0"/>
            <c:showSerName val="0"/>
            <c:showPercent val="1"/>
            <c:showBubbleSize val="0"/>
            <c:showLeaderLines val="0"/>
            <c:extLst>
              <c:ext xmlns:c15="http://schemas.microsoft.com/office/drawing/2012/chart" uri="{CE6537A1-D6FC-4f65-9D91-7224C49458BB}"/>
            </c:extLst>
          </c:dLbls>
          <c:cat>
            <c:strRef>
              <c:f>Sheet1!$B$1:$E$1</c:f>
              <c:strCache>
                <c:ptCount val="4"/>
                <c:pt idx="0">
                  <c:v>8-доош насны</c:v>
                </c:pt>
                <c:pt idx="1">
                  <c:v>8-10 насны</c:v>
                </c:pt>
                <c:pt idx="2">
                  <c:v>11-14 насны</c:v>
                </c:pt>
                <c:pt idx="3">
                  <c:v>15-18 насны</c:v>
                </c:pt>
              </c:strCache>
            </c:strRef>
          </c:cat>
          <c:val>
            <c:numRef>
              <c:f>Sheet1!$B$2:$E$2</c:f>
              <c:numCache>
                <c:formatCode>General</c:formatCode>
                <c:ptCount val="4"/>
                <c:pt idx="0">
                  <c:v>11.6</c:v>
                </c:pt>
                <c:pt idx="1">
                  <c:v>29.7</c:v>
                </c:pt>
                <c:pt idx="2">
                  <c:v>35.1</c:v>
                </c:pt>
                <c:pt idx="3">
                  <c:v>23.6</c:v>
                </c:pt>
              </c:numCache>
            </c:numRef>
          </c:val>
          <c:extLst>
            <c:ext xmlns:c16="http://schemas.microsoft.com/office/drawing/2014/chart" uri="{C3380CC4-5D6E-409C-BE32-E72D297353CC}">
              <c16:uniqueId val="{00000007-E174-42FD-BA7A-31482E054495}"/>
            </c:ext>
          </c:extLst>
        </c:ser>
        <c:dLbls>
          <c:showLegendKey val="0"/>
          <c:showVal val="0"/>
          <c:showCatName val="0"/>
          <c:showSerName val="0"/>
          <c:showPercent val="0"/>
          <c:showBubbleSize val="0"/>
          <c:showLeaderLines val="0"/>
        </c:dLbls>
      </c:pie3DChart>
      <c:spPr>
        <a:solidFill>
          <a:srgbClr val="FFFFFF"/>
        </a:solidFill>
        <a:ln w="12700" cap="flat">
          <a:noFill/>
          <a:miter lim="400000"/>
        </a:ln>
        <a:effectLst/>
      </c:spPr>
    </c:plotArea>
    <c:legend>
      <c:legendPos val="b"/>
      <c:layout>
        <c:manualLayout>
          <c:xMode val="edge"/>
          <c:yMode val="edge"/>
          <c:x val="0"/>
          <c:y val="0.83591975781788341"/>
          <c:w val="0.98562443845462711"/>
          <c:h val="0.10115005535812446"/>
        </c:manualLayout>
      </c:layout>
      <c:overlay val="1"/>
      <c:spPr>
        <a:noFill/>
        <a:ln w="12700" cap="flat">
          <a:noFill/>
          <a:miter lim="400000"/>
        </a:ln>
        <a:effectLst/>
      </c:spPr>
      <c:txPr>
        <a:bodyPr rot="0"/>
        <a:lstStyle/>
        <a:p>
          <a:pPr>
            <a:defRPr sz="900" b="0" i="0" u="none" strike="noStrike">
              <a:solidFill>
                <a:srgbClr val="000000"/>
              </a:solidFill>
              <a:latin typeface="Times New Roman"/>
            </a:defRPr>
          </a:pPr>
          <a:endParaRPr lang="ru-RU"/>
        </a:p>
      </c:txPr>
    </c:legend>
    <c:plotVisOnly val="1"/>
    <c:dispBlanksAs val="gap"/>
    <c:showDLblsOverMax val="1"/>
  </c:chart>
  <c:spPr>
    <a:solidFill>
      <a:srgbClr val="FFFFFF"/>
    </a:solidFill>
    <a:ln w="12700" cap="flat">
      <a:solidFill>
        <a:srgbClr val="888888"/>
      </a:solidFill>
      <a:prstDash val="solid"/>
      <a:miter lim="800000"/>
    </a:ln>
    <a:effectLst/>
  </c:sp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F7E98-4C85-40C0-A2AF-7F2F84824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6</TotalTime>
  <Pages>47</Pages>
  <Words>20587</Words>
  <Characters>136906</Characters>
  <Application>Microsoft Office Word</Application>
  <DocSecurity>0</DocSecurity>
  <Lines>2489</Lines>
  <Paragraphs>496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CRPD/C/MNG/2-3</vt:lpstr>
      <vt:lpstr>A/</vt:lpstr>
      <vt:lpstr>A/</vt:lpstr>
    </vt:vector>
  </TitlesOfParts>
  <Company>DCM</Company>
  <LinksUpToDate>false</LinksUpToDate>
  <CharactersWithSpaces>156997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CRPD/C/MNG/2-3</dc:title>
  <dc:subject/>
  <dc:creator>Ekaterina SALYNSKAYA</dc:creator>
  <cp:keywords/>
  <cp:lastModifiedBy>Natalia Shuvalova</cp:lastModifiedBy>
  <cp:revision>3</cp:revision>
  <cp:lastPrinted>2021-03-10T10:43:00Z</cp:lastPrinted>
  <dcterms:created xsi:type="dcterms:W3CDTF">2021-03-10T10:43:00Z</dcterms:created>
  <dcterms:modified xsi:type="dcterms:W3CDTF">2021-03-10T10:48:00Z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