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A799F" w:rsidRDefault="002D5AAC" w:rsidP="00ED4F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D4F86" w:rsidP="00ED4F86">
            <w:pPr>
              <w:jc w:val="right"/>
            </w:pPr>
            <w:r w:rsidRPr="00ED4F86">
              <w:rPr>
                <w:sz w:val="40"/>
              </w:rPr>
              <w:t>CRPD</w:t>
            </w:r>
            <w:r>
              <w:t>/C/MNE/CO/1</w:t>
            </w:r>
          </w:p>
        </w:tc>
      </w:tr>
      <w:tr w:rsidR="002D5AAC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D4F86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D4F86" w:rsidRDefault="00ED4F86" w:rsidP="00ED4F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ED4F86" w:rsidRDefault="00ED4F86" w:rsidP="00ED4F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D4F86" w:rsidRPr="008934D2" w:rsidRDefault="00ED4F86" w:rsidP="00ED4F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D4F86" w:rsidRPr="00E83107" w:rsidRDefault="00ED4F86" w:rsidP="00ED4F86">
      <w:pPr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Комитет</w:t>
      </w:r>
      <w:r w:rsidRPr="00E8310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по</w:t>
      </w:r>
      <w:r w:rsidRPr="00E8310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правам</w:t>
      </w:r>
      <w:r w:rsidRPr="00E8310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инвалидов</w:t>
      </w:r>
    </w:p>
    <w:p w:rsidR="00ED4F86" w:rsidRPr="002231C9" w:rsidRDefault="00ED4F86" w:rsidP="00ED4F86">
      <w:pPr>
        <w:pStyle w:val="HChGR"/>
      </w:pPr>
      <w:r w:rsidRPr="002231C9">
        <w:tab/>
      </w:r>
      <w:r w:rsidRPr="002231C9">
        <w:tab/>
        <w:t>Заключительные замечания по первоначальному докладу Черногории</w:t>
      </w:r>
      <w:r w:rsidRPr="002231C9">
        <w:rPr>
          <w:b w:val="0"/>
          <w:sz w:val="20"/>
        </w:rPr>
        <w:footnoteReference w:customMarkFollows="1" w:id="1"/>
        <w:t>*</w:t>
      </w:r>
    </w:p>
    <w:p w:rsidR="00ED4F86" w:rsidRPr="002231C9" w:rsidRDefault="00ED4F86" w:rsidP="00ED4F86">
      <w:pPr>
        <w:pStyle w:val="HChGR"/>
      </w:pPr>
      <w:r w:rsidRPr="002231C9">
        <w:tab/>
      </w:r>
      <w:r w:rsidRPr="002231C9">
        <w:rPr>
          <w:lang w:val="en-US"/>
        </w:rPr>
        <w:t>I</w:t>
      </w:r>
      <w:r w:rsidRPr="002231C9">
        <w:t>.</w:t>
      </w:r>
      <w:r w:rsidRPr="002231C9">
        <w:tab/>
        <w:t>Введение</w:t>
      </w:r>
    </w:p>
    <w:p w:rsidR="00ED4F86" w:rsidRPr="002231C9" w:rsidRDefault="00ED4F86" w:rsidP="00ED4F86">
      <w:pPr>
        <w:pStyle w:val="SingleTxtGR"/>
      </w:pPr>
      <w:r w:rsidRPr="002231C9">
        <w:t>1.</w:t>
      </w:r>
      <w:r w:rsidRPr="002231C9">
        <w:tab/>
        <w:t>Комитет рассмотрел первоначальный доклад Черногории (CRPD/C/</w:t>
      </w:r>
      <w:r w:rsidRPr="002231C9">
        <w:br/>
        <w:t xml:space="preserve">MNE/1) на своих 340-м и 341-м заседаниях (см. CRPD/C/SR.340 и 341), состоявшихся 17 и 18 августа 2017 года. На своем 353-м заседании 28 августа </w:t>
      </w:r>
      <w:r w:rsidRPr="002231C9">
        <w:br/>
        <w:t>2017 года Комитет принял следующие заключительные замечания.</w:t>
      </w:r>
    </w:p>
    <w:p w:rsidR="00ED4F86" w:rsidRPr="002231C9" w:rsidRDefault="00ED4F86" w:rsidP="00ED4F86">
      <w:pPr>
        <w:pStyle w:val="SingleTxtGR"/>
      </w:pPr>
      <w:r w:rsidRPr="002231C9">
        <w:t>2.</w:t>
      </w:r>
      <w:r w:rsidRPr="002231C9">
        <w:tab/>
        <w:t>Комитет приветствует первоначальный доклад Черногории, подготовленный в соответствии с принятыми Комитетом руководящими принципами представления докладов. Он также высоко оценивает письменные ответы государства-участника (CRPD/C/MNE/Q/1/Add.1) на подготовленный Комитетом перечень вопросов (CRPD/C/MNE/Q/1).</w:t>
      </w:r>
    </w:p>
    <w:p w:rsidR="00ED4F86" w:rsidRPr="002231C9" w:rsidRDefault="00ED4F86" w:rsidP="00ED4F86">
      <w:pPr>
        <w:pStyle w:val="SingleTxtGR"/>
      </w:pPr>
      <w:r w:rsidRPr="002231C9">
        <w:t>3.</w:t>
      </w:r>
      <w:r w:rsidRPr="002231C9">
        <w:tab/>
        <w:t xml:space="preserve">Комитет положительно оценивает конструктивный диалог, состоявшийся в ходе рассмотрения доклада, и выражает признательность государству-участнику за направление делегации высокого уровня, в состав которой входили представители различных министерств, а также Постоянного представительства Черногории при Отделении Организации Объединенных Наций и других международных организациях в Женеве. </w:t>
      </w:r>
    </w:p>
    <w:p w:rsidR="00ED4F86" w:rsidRPr="002231C9" w:rsidRDefault="00ED4F86" w:rsidP="00ED4F86">
      <w:pPr>
        <w:pStyle w:val="HChGR"/>
      </w:pPr>
      <w:r w:rsidRPr="002231C9">
        <w:tab/>
      </w:r>
      <w:r w:rsidRPr="002231C9">
        <w:rPr>
          <w:lang w:val="en-US"/>
        </w:rPr>
        <w:t>II</w:t>
      </w:r>
      <w:r w:rsidRPr="002231C9">
        <w:t>.</w:t>
      </w:r>
      <w:r w:rsidRPr="002231C9">
        <w:tab/>
        <w:t>Позитивные аспекты</w:t>
      </w:r>
    </w:p>
    <w:p w:rsidR="00ED4F86" w:rsidRPr="002231C9" w:rsidRDefault="00ED4F86" w:rsidP="00ED4F86">
      <w:pPr>
        <w:pStyle w:val="SingleTxtGR"/>
      </w:pPr>
      <w:r w:rsidRPr="002231C9">
        <w:t>4.</w:t>
      </w:r>
      <w:r w:rsidRPr="002231C9">
        <w:tab/>
        <w:t>Комитет дает высокую оценку усилиям государства-участника в связи с</w:t>
      </w:r>
      <w:r w:rsidRPr="002231C9">
        <w:rPr>
          <w:lang w:val="en-US"/>
        </w:rPr>
        <w:t> </w:t>
      </w:r>
      <w:r w:rsidRPr="002231C9">
        <w:t>принятием:</w:t>
      </w:r>
    </w:p>
    <w:p w:rsidR="00ED4F86" w:rsidRPr="002231C9" w:rsidRDefault="00ED4F86" w:rsidP="00ED4F86">
      <w:pPr>
        <w:pStyle w:val="SingleTxtGR"/>
      </w:pPr>
      <w:r w:rsidRPr="002231C9">
        <w:tab/>
        <w:t>а)</w:t>
      </w:r>
      <w:r w:rsidRPr="002231C9">
        <w:tab/>
        <w:t>Закона о запрещении дискриминации в отношении инвалидов;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b</w:t>
      </w:r>
      <w:r w:rsidRPr="002231C9">
        <w:t>)</w:t>
      </w:r>
      <w:r w:rsidRPr="002231C9">
        <w:tab/>
        <w:t>Закона о ландшафтном планировании и строительстве;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c</w:t>
      </w:r>
      <w:r w:rsidRPr="002231C9">
        <w:t>)</w:t>
      </w:r>
      <w:r w:rsidRPr="002231C9">
        <w:tab/>
        <w:t>Закона о профессиональной реабилитации и трудоустройстве инвалидов;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d</w:t>
      </w:r>
      <w:r w:rsidRPr="002231C9">
        <w:t>)</w:t>
      </w:r>
      <w:r w:rsidRPr="002231C9">
        <w:tab/>
        <w:t>Закона о Защитнике прав и свобод человека;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e</w:t>
      </w:r>
      <w:r w:rsidRPr="002231C9">
        <w:t>)</w:t>
      </w:r>
      <w:r w:rsidRPr="002231C9">
        <w:tab/>
        <w:t xml:space="preserve">Стратегии по интеграции инвалидов в Черногории на </w:t>
      </w:r>
      <w:r w:rsidRPr="002231C9">
        <w:br/>
        <w:t>2016–2020 годы;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f</w:t>
      </w:r>
      <w:r w:rsidRPr="002231C9">
        <w:t>)</w:t>
      </w:r>
      <w:r w:rsidRPr="002231C9">
        <w:tab/>
        <w:t>Стратегии по социальной интеграции рома и египтян в Черногории на 2016–2020 годы;</w:t>
      </w:r>
    </w:p>
    <w:p w:rsidR="00ED4F86" w:rsidRPr="002231C9" w:rsidRDefault="00ED4F86" w:rsidP="00ED4F86">
      <w:pPr>
        <w:pStyle w:val="SingleTxtGR"/>
      </w:pPr>
      <w:r w:rsidRPr="002231C9">
        <w:lastRenderedPageBreak/>
        <w:tab/>
      </w:r>
      <w:r w:rsidRPr="002231C9">
        <w:rPr>
          <w:lang w:val="en-US"/>
        </w:rPr>
        <w:t>g</w:t>
      </w:r>
      <w:r w:rsidRPr="002231C9">
        <w:t>)</w:t>
      </w:r>
      <w:r w:rsidRPr="002231C9">
        <w:tab/>
        <w:t>Стратегии по защите инвалидов от дискриминации и поощрению равенства на 2017–2021 годы;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h</w:t>
      </w:r>
      <w:r w:rsidRPr="002231C9">
        <w:t>)</w:t>
      </w:r>
      <w:r w:rsidRPr="002231C9">
        <w:tab/>
        <w:t>Стратегии защиты от бытового насилия на 2016–2020 годы;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i</w:t>
      </w:r>
      <w:r w:rsidRPr="002231C9">
        <w:t>)</w:t>
      </w:r>
      <w:r w:rsidRPr="002231C9">
        <w:tab/>
        <w:t>Стратегии устойчивого развития на 2016–2020 годы;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j</w:t>
      </w:r>
      <w:r w:rsidRPr="002231C9">
        <w:t>)</w:t>
      </w:r>
      <w:r w:rsidRPr="002231C9">
        <w:tab/>
        <w:t>Стратегии по развитию предпринимательства среди женщин на 2015–2020 годы.</w:t>
      </w:r>
    </w:p>
    <w:p w:rsidR="00ED4F86" w:rsidRPr="002231C9" w:rsidRDefault="00ED4F86" w:rsidP="00ED4F86">
      <w:pPr>
        <w:pStyle w:val="SingleTxtGR"/>
      </w:pPr>
      <w:r w:rsidRPr="002231C9">
        <w:t>5.</w:t>
      </w:r>
      <w:r w:rsidRPr="002231C9">
        <w:tab/>
        <w:t>Комитет приветствует усилия по пересмотру действующего законодательства Черногории на основе проведенного в сентябре 2016 года официального анализа 60 законов.</w:t>
      </w:r>
    </w:p>
    <w:p w:rsidR="00ED4F86" w:rsidRPr="002231C9" w:rsidRDefault="00ED4F86" w:rsidP="00ED4F86">
      <w:pPr>
        <w:pStyle w:val="HChGR"/>
      </w:pPr>
      <w:r w:rsidRPr="002231C9">
        <w:tab/>
      </w:r>
      <w:r w:rsidRPr="002231C9">
        <w:rPr>
          <w:lang w:val="en-US"/>
        </w:rPr>
        <w:t>III</w:t>
      </w:r>
      <w:r w:rsidRPr="002231C9">
        <w:t>.</w:t>
      </w:r>
      <w:r w:rsidRPr="002231C9">
        <w:tab/>
        <w:t xml:space="preserve">Основные вопросы, вызывающие обеспокоенность, </w:t>
      </w:r>
      <w:r w:rsidRPr="002231C9">
        <w:br/>
        <w:t>и рекомендации</w:t>
      </w:r>
    </w:p>
    <w:p w:rsidR="00ED4F86" w:rsidRPr="002231C9" w:rsidRDefault="00ED4F86" w:rsidP="00ED4F86">
      <w:pPr>
        <w:pStyle w:val="H1GR"/>
      </w:pPr>
      <w:r w:rsidRPr="002231C9">
        <w:tab/>
        <w:t>А.</w:t>
      </w:r>
      <w:r w:rsidRPr="002231C9">
        <w:tab/>
        <w:t>Общие принципы и обязательства (статьи 1–4)</w:t>
      </w:r>
    </w:p>
    <w:p w:rsidR="00ED4F86" w:rsidRPr="002231C9" w:rsidRDefault="00ED4F86" w:rsidP="00ED4F86">
      <w:pPr>
        <w:pStyle w:val="SingleTxtGR"/>
      </w:pPr>
      <w:r w:rsidRPr="002231C9">
        <w:t>6.</w:t>
      </w:r>
      <w:r w:rsidRPr="002231C9">
        <w:tab/>
        <w:t xml:space="preserve">Комитет выражает озабоченность в целом недостаточным прогрессом в деле приведения национального законодательства в полное соответствие с Конвенцией и замены нынешней медицинской модели инвалидности правозащитным подходом. Комитет также обеспокоен отсутствием в государственных бюджетах прозрачных и поддающихся оценке статей расходов на осуществление законов, политики и программ в области реализации прав инвалидов, особенно в части осуществления Стратегии по интеграции инвалидов. 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>7.</w:t>
      </w:r>
      <w:r w:rsidRPr="002231C9">
        <w:tab/>
      </w:r>
      <w:r w:rsidRPr="002231C9">
        <w:rPr>
          <w:b/>
        </w:rPr>
        <w:t>Комитет рекомендует государству-участнику применять в рамках всех своих законов, политики и мероприятий правозащитный подход. Он</w:t>
      </w:r>
      <w:r w:rsidRPr="002231C9">
        <w:rPr>
          <w:b/>
          <w:lang w:val="en-US"/>
        </w:rPr>
        <w:t> </w:t>
      </w:r>
      <w:r w:rsidRPr="002231C9">
        <w:rPr>
          <w:b/>
        </w:rPr>
        <w:t>также рекомендует государству-участнику проводить среди политических деятелей, специалистов и широкой общественности просветительскую и разъяснительную работу по вопросам прав инвалидов, закрепленных в Конвенции и Факультативном протоколе к ней. Он также рекомендует государству-участнику: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ab/>
      </w:r>
      <w:r w:rsidRPr="002231C9">
        <w:rPr>
          <w:b/>
          <w:bCs/>
        </w:rPr>
        <w:t>а)</w:t>
      </w:r>
      <w:r w:rsidRPr="002231C9">
        <w:rPr>
          <w:b/>
          <w:bCs/>
        </w:rPr>
        <w:tab/>
      </w:r>
      <w:r w:rsidRPr="002231C9">
        <w:rPr>
          <w:b/>
        </w:rPr>
        <w:t>продолжать предпринимать усилия по периодическому пересмотру существующего законодательства и законопроектов на основе регулярных и полностью доступных консультаций с инвалидами и представляющими их организациями и обеспечивать проведение оценки влияния на права инвалидов в качестве неотъемлемого элемента законотворческого процесса;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ab/>
      </w:r>
      <w:r w:rsidRPr="002231C9">
        <w:rPr>
          <w:b/>
          <w:bCs/>
          <w:lang w:val="en-US"/>
        </w:rPr>
        <w:t>b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</w:r>
      <w:r w:rsidRPr="002231C9">
        <w:rPr>
          <w:b/>
        </w:rPr>
        <w:t>выделять поддающиеся учету, достаточные, последовательные, согласованные и устойчивые бюджетные ресурсы на разработку и осуществление законов, политики и стратегий, касающихся осуществления Конвенции, включая Стратегию по интеграции инвалидов.</w:t>
      </w:r>
    </w:p>
    <w:p w:rsidR="00ED4F86" w:rsidRPr="002231C9" w:rsidRDefault="00ED4F86" w:rsidP="00ED4F86">
      <w:pPr>
        <w:pStyle w:val="SingleTxtGR"/>
      </w:pPr>
      <w:r w:rsidRPr="002231C9">
        <w:t>8.</w:t>
      </w:r>
      <w:r w:rsidRPr="002231C9">
        <w:tab/>
        <w:t>Комитет обеспокоен отсутствием регулярной и устойчивой финансовой поддержки организаций инвалидов, особенно на местном уровне. Он также озабочен отсутствием транспарентного и четко структурированного механизма регулярных консультаций с инвалидами и представляющими их организациями.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>9.</w:t>
      </w:r>
      <w:r w:rsidRPr="002231C9">
        <w:tab/>
      </w:r>
      <w:r w:rsidRPr="002231C9">
        <w:rPr>
          <w:b/>
        </w:rPr>
        <w:t>Комитет рекомендует государству-участнику на устойчивой основе выделять организациям инвалидов достаточные финансовые ресурсы. Он также рекомендует государству-участнику обеспечивать на национальном и местном уровнях эффективное участие организаций инвалидов и проведение с ними консультаций, включая организации, представляющие женщин-инвалидов и детей-инвалидов, лиц с нарушениями слуха и глухих, а также лиц с психосоциальными и/или интеллектуальными расстройствами на транспарентных условиях в контексте разработки законодательства и политики.</w:t>
      </w:r>
    </w:p>
    <w:p w:rsidR="00ED4F86" w:rsidRPr="002231C9" w:rsidRDefault="00ED4F86" w:rsidP="00ED4F86">
      <w:pPr>
        <w:pStyle w:val="H1GR"/>
      </w:pPr>
      <w:r w:rsidRPr="002231C9">
        <w:tab/>
        <w:t>В.</w:t>
      </w:r>
      <w:r w:rsidRPr="002231C9">
        <w:tab/>
        <w:t>Конкретные права (статьи 5–30)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Равенство и недискриминация (статья 5)</w:t>
      </w:r>
    </w:p>
    <w:p w:rsidR="00ED4F86" w:rsidRPr="002231C9" w:rsidRDefault="00ED4F86" w:rsidP="00ED4F86">
      <w:pPr>
        <w:pStyle w:val="SingleTxtGR"/>
      </w:pPr>
      <w:r w:rsidRPr="002231C9">
        <w:t>10.</w:t>
      </w:r>
      <w:r w:rsidRPr="002231C9">
        <w:tab/>
        <w:t>Комитет с озабоченностью отмечает, что определенные антидискриминационные положения по вопросам инвалидности сами по себе носят дискриминационный характер, поскольку применяются к дискриминации, основанной исключительно на определенных типах нарушений здоровья. Комитет обеспокоен:</w:t>
      </w:r>
    </w:p>
    <w:p w:rsidR="00ED4F86" w:rsidRPr="002231C9" w:rsidRDefault="00ED4F86" w:rsidP="00ED4F86">
      <w:pPr>
        <w:pStyle w:val="SingleTxtGR"/>
      </w:pPr>
      <w:r w:rsidRPr="002231C9">
        <w:tab/>
        <w:t>а)</w:t>
      </w:r>
      <w:r w:rsidRPr="002231C9">
        <w:tab/>
        <w:t>крайне небольшим числом жалоб на дискриминацию, которое может свидетельствовать о недостаточном знании населением, особенно инвалидами, закрепленных в Конвенции прав и имеющихся механизмов для подачи жалоб на дискриминацию, а также отсутствием доверия в системе правосудия;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b</w:t>
      </w:r>
      <w:r w:rsidRPr="002231C9">
        <w:t>)</w:t>
      </w:r>
      <w:r w:rsidRPr="002231C9">
        <w:tab/>
        <w:t>отсутствием эффективной равной защиты инвалидов, которые могут подвергаться межсекторальной дискриминации, как например инвалиды, являющиеся членами различных этнических групп, включая рома, ашкали и египтян, а также беженцы, просители убежища и внутренне перемещенные лица;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c</w:t>
      </w:r>
      <w:r w:rsidRPr="002231C9">
        <w:t>)</w:t>
      </w:r>
      <w:r w:rsidRPr="002231C9">
        <w:tab/>
        <w:t>продолжающимся применением экспертизы инвалидности для оценки определенных прав человека, а также несовпадающих определений инвалидности, включающих уничижительные выражения;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d</w:t>
      </w:r>
      <w:r w:rsidRPr="002231C9">
        <w:t>)</w:t>
      </w:r>
      <w:r w:rsidRPr="002231C9">
        <w:tab/>
        <w:t>отсутствием в Законе о запрещении дискриминации в отношении инвалидов соответствующего Конвенции определения разумного приспособления.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Cs/>
        </w:rPr>
        <w:t>11.</w:t>
      </w:r>
      <w:r w:rsidRPr="002231C9">
        <w:rPr>
          <w:bCs/>
        </w:rPr>
        <w:tab/>
      </w:r>
      <w:r w:rsidRPr="002231C9">
        <w:rPr>
          <w:b/>
        </w:rPr>
        <w:t>Комитет рекомендует государству-участнику внести необходимые законодательные поправки для обеспечения в соответствии с Конвенцией равной и полной защиты всех инвалидов от всех форм дискриминации, включая межсекторальную дискриминацию. Он также рекомендует государству-участнику: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tab/>
      </w:r>
      <w:r w:rsidRPr="002231C9">
        <w:rPr>
          <w:b/>
          <w:bCs/>
        </w:rPr>
        <w:t>а)</w:t>
      </w:r>
      <w:r w:rsidRPr="002231C9">
        <w:rPr>
          <w:b/>
          <w:bCs/>
        </w:rPr>
        <w:tab/>
        <w:t>предпринять шаги по повышению осведомленности общественности в целях поощрения инвалидов к представлению сообщений о случаях дискриминации и обеспечивать их доступ к удобной для ознакомления информации об их правах по Конвенции, а также об имеющихся механизмах подачи жалоб;</w:t>
      </w:r>
    </w:p>
    <w:p w:rsidR="00ED4F86" w:rsidRPr="002231C9" w:rsidRDefault="00ED4F86" w:rsidP="002231C9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b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организовать подготовку соответствующих специалистов, в</w:t>
      </w:r>
      <w:r w:rsidR="002231C9">
        <w:rPr>
          <w:b/>
          <w:bCs/>
        </w:rPr>
        <w:t> </w:t>
      </w:r>
      <w:r w:rsidRPr="002231C9">
        <w:rPr>
          <w:b/>
          <w:bCs/>
        </w:rPr>
        <w:t>частности сотрудников правоохранительных органов и судебного корпуса, по Конвенции и методам надлежащего рассмотрения жалоб на дискриминацию по признаку инвалидности;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  <w:t>с)</w:t>
      </w:r>
      <w:r w:rsidRPr="002231C9">
        <w:rPr>
          <w:b/>
          <w:bCs/>
        </w:rPr>
        <w:tab/>
        <w:t>активизировать усилия по предотвращению и устранению последствий межсекторальной дискриминации в отношении инвалидов, принадлежащих к группам меньшинств, особенно в отношении детей, и обеспечивать их равный доступ ко всем предусмотренным Конвенцией правам;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d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обеспечивать соответствие Конвенции любых процедур экспертизы и не допускать, чтобы их применение имело следствием дискриминационное обращение, прекратить использование несходных определений инвалидности и уничижительных выражений, заменив их правозащитным подходом к инвалидности;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  <w:t>е)</w:t>
      </w:r>
      <w:r w:rsidRPr="002231C9">
        <w:rPr>
          <w:b/>
          <w:bCs/>
        </w:rPr>
        <w:tab/>
        <w:t>принять и применять концепцию разумного приспособления наряду с эффективными санкциями в интересах обеспечения того, чтобы отказ в предоставлении разумного приспособления рассматривался как дискриминация по признаку инвалидности.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Женщины-инвалиды (статья 6)</w:t>
      </w:r>
    </w:p>
    <w:p w:rsidR="00ED4F86" w:rsidRPr="002231C9" w:rsidRDefault="00ED4F86" w:rsidP="00ED4F86">
      <w:pPr>
        <w:pStyle w:val="SingleTxtGR"/>
      </w:pPr>
      <w:r w:rsidRPr="002231C9">
        <w:t>12.</w:t>
      </w:r>
      <w:r w:rsidRPr="002231C9">
        <w:tab/>
        <w:t>Комитет обеспокоен сохранением дискриминации и насилия в отношении женщин-инвалидов и девочек-инвалидов и тем фактом, что принимаемые государством-участником меры для предупреждения такой дискриминации и насилия и обеспечения в соответствующих случаях надлежащего возмещения вреда в значительной мере являются недостаточными. Комитет также озабочен:</w:t>
      </w:r>
    </w:p>
    <w:p w:rsidR="00ED4F86" w:rsidRPr="002231C9" w:rsidRDefault="00ED4F86" w:rsidP="00ED4F86">
      <w:pPr>
        <w:pStyle w:val="SingleTxtGR"/>
      </w:pPr>
      <w:r w:rsidRPr="002231C9">
        <w:tab/>
        <w:t>а)</w:t>
      </w:r>
      <w:r w:rsidRPr="002231C9">
        <w:tab/>
        <w:t>отсутствием конкретных данных о положении женщин-инвалидов и девочек-инвалидов;</w:t>
      </w:r>
    </w:p>
    <w:p w:rsidR="00ED4F86" w:rsidRPr="002231C9" w:rsidRDefault="00ED4F86" w:rsidP="00747716">
      <w:pPr>
        <w:pStyle w:val="SingleTxtGR"/>
      </w:pPr>
      <w:r w:rsidRPr="002231C9">
        <w:tab/>
        <w:t>b)</w:t>
      </w:r>
      <w:r w:rsidRPr="002231C9">
        <w:tab/>
        <w:t>в большинстве случаев недостаточными конкретными мерами в отношении женщин-инвалидов и девочек</w:t>
      </w:r>
      <w:r w:rsidR="00747716">
        <w:t>-</w:t>
      </w:r>
      <w:r w:rsidRPr="002231C9">
        <w:t xml:space="preserve">инвалидов в рамках законодательства и политики по вопросам гендерного равенства и инвалидности, а также отсутствием любых мер в отношении женщин-инвалидов и девочек-инвалидов, подвергающихся межсекторальным формам дискриминации; </w:t>
      </w:r>
    </w:p>
    <w:p w:rsidR="00ED4F86" w:rsidRPr="002231C9" w:rsidRDefault="00ED4F86" w:rsidP="00ED4F86">
      <w:pPr>
        <w:pStyle w:val="SingleTxtGR"/>
      </w:pPr>
      <w:r w:rsidRPr="002231C9">
        <w:tab/>
        <w:t>с)</w:t>
      </w:r>
      <w:r w:rsidRPr="002231C9">
        <w:tab/>
        <w:t>тем фактом, что женщины-инвалиды и девочки-инвалиды часто становятся жертвами гендерного насилия и сексуальной эксплуатации, о которых они зачастую проявляют неготовность сообщать, а также недостаточной доступностью мероприятий по предотвращению насилия;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d</w:t>
      </w:r>
      <w:r w:rsidRPr="002231C9">
        <w:t>)</w:t>
      </w:r>
      <w:r w:rsidRPr="002231C9">
        <w:tab/>
        <w:t>отсутствием информации о достаточном и прозрачном финансировании и позитивных мерах по обеспечению занятости, ориентированных на удовлетворение потребностей женщин-инвалидов.</w:t>
      </w:r>
    </w:p>
    <w:p w:rsidR="00ED4F86" w:rsidRPr="002231C9" w:rsidRDefault="00ED4F86" w:rsidP="00747716">
      <w:pPr>
        <w:pStyle w:val="SingleTxtGR"/>
        <w:rPr>
          <w:b/>
        </w:rPr>
      </w:pPr>
      <w:r w:rsidRPr="002231C9">
        <w:t>13.</w:t>
      </w:r>
      <w:r w:rsidRPr="002231C9">
        <w:tab/>
      </w:r>
      <w:r w:rsidRPr="002231C9">
        <w:rPr>
          <w:b/>
        </w:rPr>
        <w:t>Ссылаясь на свое замечание общего порядка № 3 (2016) по вопросу о женщинах-инвалидах и девочках-инвалидах и с учетом целей 5.1, 5.2 и 5.5 Целей в области устойчивого развития</w:t>
      </w:r>
      <w:r w:rsidR="00747716">
        <w:rPr>
          <w:b/>
        </w:rPr>
        <w:t>,</w:t>
      </w:r>
      <w:r w:rsidRPr="002231C9">
        <w:rPr>
          <w:b/>
        </w:rPr>
        <w:t xml:space="preserve"> Комитет рекомендует государству-участнику при активном участии женщин-инвалидов через посредство представляющих их организаций на всех стадиях разработки мероприятий и процессов принятия решений: 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tab/>
      </w:r>
      <w:r w:rsidRPr="002231C9">
        <w:rPr>
          <w:b/>
          <w:bCs/>
        </w:rPr>
        <w:t>а)</w:t>
      </w:r>
      <w:r w:rsidRPr="002231C9">
        <w:rPr>
          <w:b/>
          <w:bCs/>
        </w:rPr>
        <w:tab/>
        <w:t>выделять достаточные ресурсы для проведения исследовательской работы и сбора данных о женщинах-инвалидах и девочках-инвалидах в разбивке по возрасту, географическому району, типу инвалидности, семейному положению и месту проживания (в условиях специализированных учреждений закрытого типа или ухода на базе общин);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b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учитывать вопросы инвалидности в законодательстве, политике и программах в области обеспечения гендерного равенства, а также гендерные аспекты в законодательстве и политике по вопросам инвалидности, и разработать целевую политику в отношении женщин-инвалидов;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c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предотвращать и пресекать множественные и взаимопересекающиеся формы дискриминации, с которыми сталкиваются женщины-инвалиды и девочки-инвалиды, уделяя при этом особое внимание доступу к правосудию, защите от насилия и надругательств, образованию, здравоохранению и занятости;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  <w:t>d)</w:t>
      </w:r>
      <w:r w:rsidRPr="002231C9">
        <w:rPr>
          <w:b/>
          <w:bCs/>
        </w:rPr>
        <w:tab/>
        <w:t>учитывать проблематику инвалидности во всех законах, политике и программах в области защиты от насилия, надругательств и эксплуатации, принимать меры по повышению осведомленности общественности в целях поощрения женщин-инвалидов и девочек-инвалидов к представлению сообщений обо всех формах домогательств и насилия, которым они подвергаются, обеспечивать их доступ к удобной для ознакомления информации и соответствующим услугам по поддержке жертв, в том числе на местном уровне, а также надлежащим образом наказывать виновных.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Дети-инвалиды (статья 7)</w:t>
      </w:r>
    </w:p>
    <w:p w:rsidR="00ED4F86" w:rsidRPr="002231C9" w:rsidRDefault="00ED4F86" w:rsidP="00ED0D56">
      <w:pPr>
        <w:pStyle w:val="SingleTxtGR"/>
      </w:pPr>
      <w:r w:rsidRPr="002231C9">
        <w:t>14.</w:t>
      </w:r>
      <w:r w:rsidRPr="002231C9">
        <w:tab/>
        <w:t>Комитет с озабоченностью отмечает, что интересы детей-инвалидов недостаточно учитываются при принятии влияющих на их жизнь решений. Он</w:t>
      </w:r>
      <w:r w:rsidR="00ED0D56" w:rsidRPr="002231C9">
        <w:rPr>
          <w:lang w:val="en-US"/>
        </w:rPr>
        <w:t> </w:t>
      </w:r>
      <w:r w:rsidRPr="002231C9">
        <w:t>также обеспокоен:</w:t>
      </w:r>
    </w:p>
    <w:p w:rsidR="00ED4F86" w:rsidRPr="002231C9" w:rsidRDefault="00ED4F86" w:rsidP="00ED4F86">
      <w:pPr>
        <w:pStyle w:val="SingleTxtGR"/>
      </w:pPr>
      <w:r w:rsidRPr="002231C9">
        <w:tab/>
        <w:t>а)</w:t>
      </w:r>
      <w:r w:rsidRPr="002231C9">
        <w:tab/>
        <w:t>широкими масштабами дискриминации в отношении детей-инвалидов и их социального отчуждения;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b</w:t>
      </w:r>
      <w:r w:rsidRPr="002231C9">
        <w:t>)</w:t>
      </w:r>
      <w:r w:rsidRPr="002231C9">
        <w:tab/>
        <w:t>недостаточным сбором данных о положении детей-инвалидов;</w:t>
      </w:r>
    </w:p>
    <w:p w:rsidR="00ED4F86" w:rsidRPr="002231C9" w:rsidRDefault="00ED4F86" w:rsidP="00ED4F86">
      <w:pPr>
        <w:pStyle w:val="SingleTxtGR"/>
      </w:pPr>
      <w:r w:rsidRPr="002231C9">
        <w:tab/>
        <w:t>с)</w:t>
      </w:r>
      <w:r w:rsidRPr="002231C9">
        <w:tab/>
        <w:t>частыми случаями помещения детей-инвалидов в специализированные учреждения, несмотря на запрет помещения детей-инвалидов в возрасте до трех лет в такие учреждения, включая так называемые дневные центры по уходу, а также разделением специализированных учреждений по типам инвалидности;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d</w:t>
      </w:r>
      <w:r w:rsidRPr="002231C9">
        <w:t>)</w:t>
      </w:r>
      <w:r w:rsidRPr="002231C9">
        <w:tab/>
        <w:t>во многих случаях недостаточной эффективностью услуг по ранней диагностике и лечению, особенно на местном уровне, которые чаще всего предоставляются в соответствии с медицинской моделью;</w:t>
      </w:r>
    </w:p>
    <w:p w:rsidR="00ED4F86" w:rsidRPr="002231C9" w:rsidRDefault="00ED4F86" w:rsidP="00ED4F86">
      <w:pPr>
        <w:pStyle w:val="SingleTxtGR"/>
      </w:pPr>
      <w:r w:rsidRPr="002231C9">
        <w:tab/>
        <w:t>е)</w:t>
      </w:r>
      <w:r w:rsidRPr="002231C9">
        <w:tab/>
        <w:t>недостаточной поддержкой родителей детей-инвалидов.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>15.</w:t>
      </w:r>
      <w:r w:rsidRPr="002231C9">
        <w:tab/>
      </w:r>
      <w:r w:rsidRPr="002231C9">
        <w:rPr>
          <w:b/>
        </w:rPr>
        <w:t>Комитет рекомендует государству-участнику активизировать усилия по выделению всех необходимых ресурсов в целях ликвидации дискриминации в отношении детей-инвалидов и их отчуждения, уделяя при этом особое внимание детям, находящимся под угрозой межсекторальной дискриминации. Он также рекомендует государству-участнику: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tab/>
      </w:r>
      <w:r w:rsidRPr="002231C9">
        <w:rPr>
          <w:b/>
          <w:bCs/>
        </w:rPr>
        <w:t>а)</w:t>
      </w:r>
      <w:r w:rsidRPr="002231C9">
        <w:rPr>
          <w:b/>
          <w:bCs/>
        </w:rPr>
        <w:tab/>
        <w:t>принять политику и программы, обеспечивающие право детей-инвалидов на выражение своих взглядов по всем касающимся их вопросам;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b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принять оперативные меры для деинституционализации детей и выделить все необходимые ресурсы для обеспечения их доступа ко всем необходимым услугам в контексте ухода в условиях общин вместо центров по дневному уходу или любых других сегрегированных структур;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c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оказывать всем детям-инвалидам независимо от типа нарушения здоровья соответствующие услуги по их лечению и развитию в раннем возрасте в сотрудничестве с представительными организациями родителей детей-инвалидов, в том числе на местном уровне, в соответствии с Конвенцией;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d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развивать эффективные качественные услуги по оказанию поддержки на уровне общин родителям, ухаживающим за детьми-инвалидами.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Просветительно-воспитательная работа (статья 8)</w:t>
      </w:r>
    </w:p>
    <w:p w:rsidR="00ED4F86" w:rsidRPr="002231C9" w:rsidRDefault="00ED4F86" w:rsidP="00ED4F86">
      <w:pPr>
        <w:pStyle w:val="SingleTxtGR"/>
      </w:pPr>
      <w:r w:rsidRPr="002231C9">
        <w:t>16.</w:t>
      </w:r>
      <w:r w:rsidRPr="002231C9">
        <w:tab/>
        <w:t>Комитет озабочен отсутствием программ достаточной подготовки для сотрудников государственных и частных средств массовой информации по вопросам правозащитного подхода к инвалидности, а также подготовки лиц, обучающихся по профилю архитектура и проектирование по вопросам доступности и универсального дизайна.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>17.</w:t>
      </w:r>
      <w:r w:rsidRPr="002231C9">
        <w:tab/>
      </w:r>
      <w:r w:rsidRPr="002231C9">
        <w:rPr>
          <w:b/>
        </w:rPr>
        <w:t xml:space="preserve">Комитет рекомендует государству-участнику выделять все необходимые людские, технические и финансовые ресурсы в целях: 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tab/>
      </w:r>
      <w:r w:rsidRPr="002231C9">
        <w:rPr>
          <w:b/>
          <w:bCs/>
        </w:rPr>
        <w:t>а)</w:t>
      </w:r>
      <w:r w:rsidRPr="002231C9">
        <w:rPr>
          <w:b/>
          <w:bCs/>
        </w:rPr>
        <w:tab/>
        <w:t>организации подготовки сотрудников государственных и частных средств массовой информации по вопросам Конвенции, с уделением особого внимания правозащитному подходу к инвалидности, а также поощрения позитивного представления об инвалидах, их правах и их вкладе в жизнь общества в интересах искоренения негативных стереотипов и предрассудков в отношении инвалидов;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b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</w:r>
      <w:r w:rsidRPr="002231C9">
        <w:rPr>
          <w:b/>
        </w:rPr>
        <w:t>принимать эффективные меры для включения в учебные программы для лиц, обучающихся по профилю архитектура и проектирование, обязательных модулей о правах инвалидов с особым упором на вопросы доступности и универсального дизайна.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Доступность (статья 9)</w:t>
      </w:r>
    </w:p>
    <w:p w:rsidR="00ED4F86" w:rsidRPr="002231C9" w:rsidRDefault="00ED4F86" w:rsidP="00ED4F86">
      <w:pPr>
        <w:pStyle w:val="SingleTxtGR"/>
      </w:pPr>
      <w:r w:rsidRPr="002231C9">
        <w:t>18.</w:t>
      </w:r>
      <w:r w:rsidRPr="002231C9">
        <w:tab/>
        <w:t>Комитет обеспокоен отсутствием комплексной стратегии обеспечения доступности или согласованного законодательства. Он с озабоченностью отмечает, что, по сообщениям, большинство государственных служб и зданий, системы электронного банковского обслуживания и банкоматы, горячая телефонная линия «112» для оповещения в чрезвычайных ситуациях и общественный транспорт являются недоступными или недостаточно доступными для инвалидов.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>19.</w:t>
      </w:r>
      <w:r w:rsidRPr="002231C9">
        <w:tab/>
      </w:r>
      <w:r w:rsidRPr="002231C9">
        <w:rPr>
          <w:b/>
        </w:rPr>
        <w:t>Комитет рекомендует государству-участнику в соответствии со статьей 9 Конвенции, замечанием общего порядка № 2 (2014) о доступности и целями 11.2 и 11.7 Целей в области устойчивого развития: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</w:r>
      <w:r w:rsidRPr="002231C9">
        <w:rPr>
          <w:b/>
          <w:bCs/>
          <w:lang w:val="en-US"/>
        </w:rPr>
        <w:t>a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принять подкрепленную достаточными ресурсами комплексную стратегию обеспечения доступности и план действий с эффективным механизмом мониторинга, установить целевые показатели и разумные сроки для устранения барьеров, а также ввести имеющие исковую силу и эффективные санкции в случаях несоблюдения установленных требований;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b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принять ускоренные меры для обеспечения доступности горячей телефонной линии «112»;</w:t>
      </w:r>
    </w:p>
    <w:p w:rsidR="00ED4F86" w:rsidRPr="002231C9" w:rsidRDefault="00ED4F86" w:rsidP="00F60814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c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поощрять универсальный дизайн для всех зданий, государственных служб</w:t>
      </w:r>
      <w:r w:rsidRPr="002231C9">
        <w:rPr>
          <w:b/>
        </w:rPr>
        <w:t xml:space="preserve"> и общественного транспорта, уделяя при этом особое внимание применимым информационно-коммуникационным технологиям, в</w:t>
      </w:r>
      <w:r w:rsidR="00CB3B2A">
        <w:rPr>
          <w:b/>
        </w:rPr>
        <w:t> </w:t>
      </w:r>
      <w:r w:rsidRPr="002231C9">
        <w:rPr>
          <w:b/>
        </w:rPr>
        <w:t>консультации с инвалидами и представляющими их организациями, в</w:t>
      </w:r>
      <w:r w:rsidR="00F60814">
        <w:rPr>
          <w:b/>
        </w:rPr>
        <w:t> </w:t>
      </w:r>
      <w:r w:rsidRPr="002231C9">
        <w:rPr>
          <w:b/>
        </w:rPr>
        <w:t>том числе на местном уровне.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Право на жизнь (статья 10)</w:t>
      </w:r>
    </w:p>
    <w:p w:rsidR="00ED4F86" w:rsidRPr="002231C9" w:rsidRDefault="00ED4F86" w:rsidP="00ED4F86">
      <w:pPr>
        <w:pStyle w:val="SingleTxtGR"/>
      </w:pPr>
      <w:r w:rsidRPr="002231C9">
        <w:t>20.</w:t>
      </w:r>
      <w:r w:rsidRPr="002231C9">
        <w:tab/>
        <w:t>Комитет обеспокоен сообщениями о случаях смерти в результате асфиксии в психиатрических клиниках, а также тем, что после этих ставших известными случаев не было принято никаких конкретных превентивных мер, обеспечивающих соответствующие гарантии. Комитет с озабоченностью отмечает, что в больницах не применяются специальные инструкции о порядке действий при получении заявлений о злоупотреблениях и не предусмотрено обязательное проведение вскрытия после смерти людей, помещенных в специализированные учреждения.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>21.</w:t>
      </w:r>
      <w:r w:rsidRPr="002231C9">
        <w:tab/>
      </w:r>
      <w:r w:rsidRPr="002231C9">
        <w:rPr>
          <w:b/>
        </w:rPr>
        <w:t>Комитет рекомендует государству-участнику: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tab/>
      </w:r>
      <w:r w:rsidRPr="002231C9">
        <w:rPr>
          <w:b/>
          <w:bCs/>
        </w:rPr>
        <w:t>а)</w:t>
      </w:r>
      <w:r w:rsidRPr="002231C9">
        <w:rPr>
          <w:b/>
          <w:bCs/>
        </w:rPr>
        <w:tab/>
        <w:t>создать обеспечивающие анонимность заявителя и доступные механизмы подачи жалоб во всех больницах, в частности в психиатрических клиниках и отделениях, а также в специализированных учреждениях закрытого типа, и разработать инструкцию о порядке действий, обязательную к исполнению всеми больницами и специализированными учреждениями при поступлении заявлений о злоупотреблениях;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  <w:bCs/>
        </w:rPr>
        <w:tab/>
      </w:r>
      <w:r w:rsidRPr="002231C9">
        <w:rPr>
          <w:b/>
          <w:bCs/>
          <w:lang w:val="en-US"/>
        </w:rPr>
        <w:t>b</w:t>
      </w:r>
      <w:r w:rsidRPr="002231C9">
        <w:rPr>
          <w:b/>
          <w:bCs/>
        </w:rPr>
        <w:t>)</w:t>
      </w:r>
      <w:r w:rsidRPr="002231C9">
        <w:rPr>
          <w:b/>
          <w:bCs/>
        </w:rPr>
        <w:tab/>
        <w:t>ввести требование об обязательном проведении вскрытия в случаях смерти в больницах и специализированных учреждениях;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  <w:t>с)</w:t>
      </w:r>
      <w:r w:rsidRPr="002231C9">
        <w:rPr>
          <w:b/>
          <w:bCs/>
        </w:rPr>
        <w:tab/>
        <w:t>ввести</w:t>
      </w:r>
      <w:r w:rsidRPr="002231C9">
        <w:rPr>
          <w:b/>
        </w:rPr>
        <w:t xml:space="preserve"> особые гарантии для предотвращения во всех больницах и специализированных учреждениях таких несчастных случаев, как асфиксия.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Ситуации риска и чрезвычайные гуманитарные ситуации (статья 11)</w:t>
      </w:r>
    </w:p>
    <w:p w:rsidR="00ED4F86" w:rsidRPr="002231C9" w:rsidRDefault="00ED4F86" w:rsidP="00ED4F86">
      <w:pPr>
        <w:pStyle w:val="SingleTxtGR"/>
      </w:pPr>
      <w:r w:rsidRPr="002231C9">
        <w:t>22.</w:t>
      </w:r>
      <w:r w:rsidRPr="002231C9">
        <w:tab/>
        <w:t>Комитет озабочен отсутствием комплексной стратегии, инструктивных материалов о порядке действий или стандартов, а также регулярной подготовки соответствующих специалистов и работающих в общественных зданиях сотрудников, направленных на обеспечение доступа инвалидов к помощи в ситуациях риска и чрезвычайных гуманитарных ситуациях. Он также обеспокоен отсутствием равного доступа к информации, в частности к удобным для использования и адаптированным учебникам, в том числе к инструктивным материалам, в соответствии с его замечанием общего порядка № 2.</w:t>
      </w:r>
    </w:p>
    <w:p w:rsidR="00ED4F86" w:rsidRPr="002231C9" w:rsidRDefault="00ED4F86" w:rsidP="00ED0D56">
      <w:pPr>
        <w:pStyle w:val="SingleTxtGR"/>
        <w:keepNext/>
        <w:keepLines/>
        <w:rPr>
          <w:b/>
        </w:rPr>
      </w:pPr>
      <w:r w:rsidRPr="002231C9">
        <w:t>23.</w:t>
      </w:r>
      <w:r w:rsidRPr="002231C9">
        <w:tab/>
      </w:r>
      <w:r w:rsidRPr="002231C9">
        <w:rPr>
          <w:b/>
        </w:rPr>
        <w:t>Комитет рекомендует государству-участнику в целях выработки доступной и комплексной стратегии на случай чрезвычайных ситуаций и инструктивных материалов о порядке действий в ситуациях риска создать в соответствии с Сендайской рамочной программой по снижению риска бедствий на 2015–2030 годы эффективный механизм (включая, например, «горячие» телефонные линии, системы рассылки текстовых предупреждений, общие руководства, издаваемые с использованием языка жестов и шрифта Брайля), а также требовать от всех государственных служб разработки индивидуальных и местных планов безопасной эвакуации инвалидов в консультации с инвалидами через посредство представляющих их организаций, в том числе на местном уровне.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Равенство перед законом (статья 12)</w:t>
      </w:r>
    </w:p>
    <w:p w:rsidR="00ED4F86" w:rsidRPr="002231C9" w:rsidRDefault="00ED4F86" w:rsidP="00ED4F86">
      <w:pPr>
        <w:pStyle w:val="SingleTxtGR"/>
      </w:pPr>
      <w:r w:rsidRPr="002231C9">
        <w:t>24.</w:t>
      </w:r>
      <w:r w:rsidRPr="002231C9">
        <w:tab/>
        <w:t>Комитет выражает обеспокоенность в связи с существующим режимом субститутивного принятия решений и попечительства, который ограничивает осуществление различных прав. Комитет с озабоченностью указывает, что множество инвалидов до сих пор лишены полной правоспособности.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t>25.</w:t>
      </w:r>
      <w:r w:rsidRPr="002231C9">
        <w:tab/>
      </w:r>
      <w:r w:rsidRPr="002231C9">
        <w:rPr>
          <w:b/>
        </w:rPr>
        <w:t xml:space="preserve">Ссылаясь на свое замечание общего порядка № 1 (2014) о равенстве перед законом, Комитет настоятельно призывает государство-участник полностью согласовать свое законодательство с Конвенцией, заменить действующий режим попечительства и субститутивного принятия решений системой оказания поддержки при принятии решений, которая полностью обеспечивает самостоятельность, неприкосновенность, достоинство, волю и предпочтения лица, а также ввести транспарентные и эффективные средства правовой защиты для лишенных правоспособности инвалидов. 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Доступ к правосудию (статья 13)</w:t>
      </w:r>
    </w:p>
    <w:p w:rsidR="00ED4F86" w:rsidRPr="002231C9" w:rsidRDefault="00ED4F86" w:rsidP="00ED4F86">
      <w:pPr>
        <w:pStyle w:val="SingleTxtGR"/>
      </w:pPr>
      <w:r w:rsidRPr="002231C9">
        <w:t>26.</w:t>
      </w:r>
      <w:r w:rsidRPr="002231C9">
        <w:tab/>
        <w:t>Комитет обеспокоен тем, что большинство зданий судов в стране остаются недоступными для лиц с физическими нарушениями, а также тем, что:</w:t>
      </w:r>
    </w:p>
    <w:p w:rsidR="00ED4F86" w:rsidRPr="002231C9" w:rsidRDefault="00ED4F86" w:rsidP="00ED4F86">
      <w:pPr>
        <w:pStyle w:val="SingleTxtGR"/>
      </w:pPr>
      <w:r w:rsidRPr="002231C9">
        <w:tab/>
        <w:t>а)</w:t>
      </w:r>
      <w:r w:rsidRPr="002231C9">
        <w:tab/>
        <w:t xml:space="preserve">лица, работающие в сфере отправления правосудия, не проходят достаточной подготовки по правам инвалидов, в том числе по вопросам процессуальной доступности, особенно в отношении доступа к ассистивным технологиям; </w:t>
      </w:r>
    </w:p>
    <w:p w:rsidR="00ED4F86" w:rsidRPr="002231C9" w:rsidRDefault="00ED4F86" w:rsidP="00ED0D56">
      <w:pPr>
        <w:pStyle w:val="SingleTxtGR"/>
      </w:pPr>
      <w:r w:rsidRPr="002231C9">
        <w:tab/>
      </w:r>
      <w:r w:rsidRPr="002231C9">
        <w:rPr>
          <w:lang w:val="en-US"/>
        </w:rPr>
        <w:t>b</w:t>
      </w:r>
      <w:r w:rsidRPr="002231C9">
        <w:t>)</w:t>
      </w:r>
      <w:r w:rsidRPr="002231C9">
        <w:tab/>
        <w:t>юридическая помощь, лицензированные и высококвалифицированные услуги по переводу с использованием языка жестов и шрифта Брайля, а</w:t>
      </w:r>
      <w:r w:rsidR="00ED0D56" w:rsidRPr="002231C9">
        <w:rPr>
          <w:lang w:val="en-US"/>
        </w:rPr>
        <w:t> </w:t>
      </w:r>
      <w:r w:rsidRPr="002231C9">
        <w:t>также альтернативные методы коммуникации и другие механизмы обеспечения лицам с умственными и психосоциальными расстройствами доступа к судебным и административным процедурам являются недостаточно доступными.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27.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 обеспечивать свободный от барьеров и недискриминационный доступ к правосудию на основе свободного выбора и преференций инвалидов, а также соответствующие инвалидности и возрасту коррективы при всех судебных разбирательствах. Он рекомендует государству-участнику прилагать более активные усилия с целью: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  <w:lang w:val="en-US"/>
        </w:rPr>
        <w:t>a</w:t>
      </w:r>
      <w:r w:rsidRPr="002231C9">
        <w:rPr>
          <w:b/>
        </w:rPr>
        <w:t>)</w:t>
      </w:r>
      <w:r w:rsidRPr="002231C9">
        <w:rPr>
          <w:b/>
        </w:rPr>
        <w:tab/>
        <w:t>обеспечения на недискриминационной основе на всех стадиях судебных и административных разбирательств доступности таких услуг, как использование шрифта Брайля, перевод на язык жестов, альтернативные методы коммуникации и легко читаемые форматы;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</w:r>
      <w:r w:rsidRPr="002231C9">
        <w:rPr>
          <w:b/>
          <w:lang w:val="en-US"/>
        </w:rPr>
        <w:t>b</w:t>
      </w:r>
      <w:r w:rsidRPr="002231C9">
        <w:rPr>
          <w:b/>
        </w:rPr>
        <w:t>)</w:t>
      </w:r>
      <w:r w:rsidRPr="002231C9">
        <w:rPr>
          <w:b/>
        </w:rPr>
        <w:tab/>
        <w:t>надлежащей подготовки сотрудников судебных, правоохранительных и</w:t>
      </w:r>
      <w:r w:rsidRPr="002231C9">
        <w:rPr>
          <w:b/>
          <w:bCs/>
        </w:rPr>
        <w:t xml:space="preserve"> нотариальных органов по вопросам применения правозащитного подхода к инвалидности.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Свобода и личная неприкосновенность (статья 14)</w:t>
      </w:r>
    </w:p>
    <w:p w:rsidR="00ED4F86" w:rsidRPr="002231C9" w:rsidRDefault="00ED4F86" w:rsidP="00ED4F86">
      <w:pPr>
        <w:pStyle w:val="SingleTxtGR"/>
      </w:pPr>
      <w:r w:rsidRPr="002231C9">
        <w:t>28.</w:t>
      </w:r>
      <w:r w:rsidRPr="002231C9">
        <w:tab/>
        <w:t>Комитет с озабоченностью отмечает, что применяемый ныне медицинский подход к инвалидности допускает лишение инвалидов свободы по причине нарушения здоровья и предусматривает недобровольную госпитализацию и принудительное помещение в специализированные учреждения закрытого типа детей и совершеннолетних с умственными и/или психосоциальными расстройствами. Комитет также с озабоченностью отмечает, что согласно статье 33 Закона о защите и осуществлении прав психически больных лиц сотрудники полиции обязаны лишать свободы лицо на основании всего лишь подозрения в наличии «психического расстройства». Комитет обеспокоен отсутствием информации о каких-либо гарантиях в этой области и возможности оспаривания решений о лишении свободы.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29.</w:t>
      </w:r>
      <w:r w:rsidRPr="002231C9">
        <w:rPr>
          <w:bCs/>
        </w:rPr>
        <w:tab/>
      </w:r>
      <w:r w:rsidRPr="002231C9">
        <w:rPr>
          <w:b/>
          <w:bCs/>
        </w:rPr>
        <w:t>Комитет настоятельно призывает государство-участник отменить законы и инструкции, допускающие любые формы лишения свободы по причине нарушения здоровья или предполагаемого нарушения здоровья и обеспечить эффективные гарантии и средства правовой защиты инвалидов, лишенных свободы по причине нарушения здоровья.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ED4F86" w:rsidRPr="002231C9" w:rsidRDefault="00ED4F86" w:rsidP="00ED4F86">
      <w:pPr>
        <w:pStyle w:val="SingleTxtGR"/>
      </w:pPr>
      <w:r w:rsidRPr="002231C9">
        <w:t>30.</w:t>
      </w:r>
      <w:r w:rsidRPr="002231C9">
        <w:tab/>
        <w:t>Комитет с обеспокоенностью отмечает, что статья 43 Закона о защите и осуществлении прав психически больных лиц допускает применение силы, фиксирующих средств и изоляцию лиц с умственными и/или психосоциальными расстройствами. Он также озабочен сообщениями, согласно которым к инвалидам, отказывающимся принимать лекарства в психиатрических клиниках, применяется сила.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31.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 внести в законодательство необходимые поправки и принять эффективные меры для запрета практики недобровольного помещения в специализированные учреждения или госпитализации, принудительного медицинского и/или психиатрического лечения, фиксации с применением химических или физических средств, мер принуждения и изоляции, которые равнозначны пыткам или жестокому, бесчеловечному или унижающему достоинству обращению или наказанию, и обеспечивать, чтобы любое применение персоналом такой практики, способов и методов лечения должным образом преследовалось по суду и влекло за собой надлежащее наказание. В этой связи Комитет рекомендует также государству-участнику проводить независимые, регулярные и внезапные проверки в специализированных учреждениях закрытого типа.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Свобода от эксплуатации, насилия и надругательства (статья 16)</w:t>
      </w:r>
    </w:p>
    <w:p w:rsidR="00ED4F86" w:rsidRPr="002231C9" w:rsidRDefault="00ED4F86" w:rsidP="00ED4F86">
      <w:pPr>
        <w:pStyle w:val="SingleTxtGR"/>
      </w:pPr>
      <w:r w:rsidRPr="002231C9">
        <w:t>32.</w:t>
      </w:r>
      <w:r w:rsidRPr="002231C9">
        <w:tab/>
        <w:t>Комитет с озабоченностью отмечает широкое распространение насилия в отношении инвалидов, в частности в отношении женщин и детей, и отсутствие эффективной работы по предупреждению насилия, в том числе сексуального насилия, во всех обстоятельствах, а также по мониторингу мероприятий по предупреждению насилия. Комитет с обеспокоенностью отмечает:</w:t>
      </w:r>
    </w:p>
    <w:p w:rsidR="00ED4F86" w:rsidRPr="002231C9" w:rsidRDefault="00ED4F86" w:rsidP="00ED4F86">
      <w:pPr>
        <w:pStyle w:val="SingleTxtGR"/>
      </w:pPr>
      <w:r w:rsidRPr="002231C9">
        <w:tab/>
        <w:t>а)</w:t>
      </w:r>
      <w:r w:rsidRPr="002231C9">
        <w:tab/>
        <w:t>соответствующие профессиональные группы, такие как социальные работники, педагогический персонал, медики и сотрудники судебных органов, не проходят достаточной подготовки по вопросам предупреждения насилия в отношении инвалидов;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b</w:t>
      </w:r>
      <w:r w:rsidRPr="002231C9">
        <w:t>)</w:t>
      </w:r>
      <w:r w:rsidRPr="002231C9">
        <w:tab/>
        <w:t>государство-участник не осуществляет сбор и опубликование каких-либо данных о насилии в отношении инвалидов.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33.</w:t>
      </w:r>
      <w:r w:rsidRPr="002231C9">
        <w:rPr>
          <w:bCs/>
        </w:rPr>
        <w:tab/>
      </w:r>
      <w:r w:rsidRPr="002231C9">
        <w:rPr>
          <w:b/>
          <w:bCs/>
        </w:rPr>
        <w:t xml:space="preserve">Комитет рекомендует государству-участнику обеспечить наличие доступных, эффективных и независимых механизмов мониторинга учреждений и программ, предназначенных для обслуживания инвалидов, а также механизмов рассмотрения жалоб в соответствии с пунктом 3 статьи 16 Конвенции, предоставить органам власти полномочия по выявлению и расследованию всех случаев применения насилия в отношении инвалидов и судебному преследованию виновных. Комитет также рекомендует государству-участнику: </w:t>
      </w:r>
    </w:p>
    <w:p w:rsidR="00ED4F86" w:rsidRPr="002231C9" w:rsidRDefault="00ED4F86" w:rsidP="00ED0D5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</w:rPr>
        <w:t>а)</w:t>
      </w:r>
      <w:r w:rsidRPr="002231C9">
        <w:rPr>
          <w:b/>
        </w:rPr>
        <w:tab/>
        <w:t>создать такие доступные и анонимные системы оказания услуг инвалидам, которые сталкиваются с насилием у себя дома и за его пределами, как приюты, службы поддержки пострадавших, «горячие» телефонные линии и механизмы подачи жалоб, в том числе на местном уровне, и</w:t>
      </w:r>
      <w:r w:rsidR="00ED0D56" w:rsidRPr="002231C9">
        <w:rPr>
          <w:b/>
          <w:lang w:val="en-US"/>
        </w:rPr>
        <w:t> </w:t>
      </w:r>
      <w:r w:rsidRPr="002231C9">
        <w:rPr>
          <w:b/>
        </w:rPr>
        <w:t>обеспечивать в их работе учет гендерных аспектов и прав детей;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</w:rPr>
        <w:tab/>
      </w:r>
      <w:r w:rsidRPr="002231C9">
        <w:rPr>
          <w:b/>
          <w:lang w:val="en-US"/>
        </w:rPr>
        <w:t>b</w:t>
      </w:r>
      <w:r w:rsidRPr="002231C9">
        <w:rPr>
          <w:b/>
        </w:rPr>
        <w:t>)</w:t>
      </w:r>
      <w:r w:rsidRPr="002231C9">
        <w:rPr>
          <w:b/>
        </w:rPr>
        <w:tab/>
        <w:t>организовать подготовку всех соответствующих специалистов, особенно сотрудников полиции, органов системы отправления правосудия, пенитенциарных учреждений, социальных работников и медиков, в целях обеспечения защиты инвалидов от эксплуатации, надругательств и насилия и их предупреждения. Такая подготовка должна предусматривать эффективные меры по представлению сообщений с целью обеспечения серьезного отношения к подвергающимся насилию лицам и эффективного расследования случаев такого насилия, преследования и наказания виновных в интересах предупреждения повторения таких случаев;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  <w:t>с)</w:t>
      </w:r>
      <w:r w:rsidRPr="002231C9">
        <w:rPr>
          <w:b/>
        </w:rPr>
        <w:tab/>
        <w:t>проводить исследования и создать систему сбора и опубликования информации и</w:t>
      </w:r>
      <w:r w:rsidRPr="002231C9">
        <w:rPr>
          <w:b/>
          <w:bCs/>
        </w:rPr>
        <w:t xml:space="preserve"> статистических данных о насилии в отношении инвалидов в разбивке по возрасту, полу, типу насилия и обстоятельствам совершения актов насилия.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Защита личной целостности (статья 17)</w:t>
      </w:r>
    </w:p>
    <w:p w:rsidR="00ED4F86" w:rsidRPr="002231C9" w:rsidRDefault="00ED4F86" w:rsidP="00ED4F86">
      <w:pPr>
        <w:pStyle w:val="SingleTxtGR"/>
      </w:pPr>
      <w:r w:rsidRPr="002231C9">
        <w:t>34.</w:t>
      </w:r>
      <w:r w:rsidRPr="002231C9">
        <w:tab/>
        <w:t>Комитет с обеспокоенностью отмечает, что согласно статье 24 Закона о защите и осуществлении прав психически больных лиц в определенных условиях допускается проведение биомедицинских исследований на лицах с умственными и/или психосоциальными расстройствами без их предварительного, осознанного и полностью добровольного согласия.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35.</w:t>
      </w:r>
      <w:r w:rsidRPr="002231C9">
        <w:rPr>
          <w:bCs/>
        </w:rPr>
        <w:tab/>
      </w:r>
      <w:r w:rsidRPr="002231C9">
        <w:rPr>
          <w:b/>
          <w:bCs/>
        </w:rPr>
        <w:t>Комитет настоятельно призывает государство-участник ускорить внесение в законодательство всех необходимых поправок в интересах недопущения осуществления каких-либо форм медицинских или иных научных исследований на инвалидах без их предварительного, осознанного и полностью добровольного согласия. Комитет напоминает государству-участнику, что такое согласие не может быть дано с использованием субститутивной модели принятия решений.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 xml:space="preserve">Самостоятельный образ жизни и вовлеченность в местное сообщество (статья 19) </w:t>
      </w:r>
    </w:p>
    <w:p w:rsidR="00ED4F86" w:rsidRPr="00221674" w:rsidRDefault="00ED4F86" w:rsidP="00ED4F86">
      <w:pPr>
        <w:pStyle w:val="SingleTxtGR"/>
        <w:rPr>
          <w:spacing w:val="2"/>
        </w:rPr>
      </w:pPr>
      <w:r w:rsidRPr="002231C9">
        <w:t>36.</w:t>
      </w:r>
      <w:r w:rsidRPr="002231C9">
        <w:tab/>
        <w:t xml:space="preserve">Комитет обеспокоен сохранением практики стационарного ухода в специализированных учреждениях и отсутствием какой-либо всеобъемлющей </w:t>
      </w:r>
      <w:r w:rsidRPr="00221674">
        <w:rPr>
          <w:spacing w:val="2"/>
        </w:rPr>
        <w:t>стратегии деинституционализации. Он также выражает озабоченность по поводу:</w:t>
      </w:r>
    </w:p>
    <w:p w:rsidR="00ED4F86" w:rsidRPr="002231C9" w:rsidRDefault="00ED4F86" w:rsidP="00ED4F86">
      <w:pPr>
        <w:pStyle w:val="SingleTxtGR"/>
      </w:pPr>
      <w:r w:rsidRPr="002231C9">
        <w:tab/>
        <w:t>а)</w:t>
      </w:r>
      <w:r w:rsidRPr="002231C9">
        <w:tab/>
      </w:r>
      <w:r w:rsidRPr="00221674">
        <w:rPr>
          <w:spacing w:val="2"/>
        </w:rPr>
        <w:t>большого количества помещенных в специализированные учреждения инвалидов,</w:t>
      </w:r>
      <w:r w:rsidRPr="002231C9">
        <w:t xml:space="preserve"> а также все еще недостаточных усилий государства-участника по развитию услуг по индивидуальной поддержке;</w:t>
      </w:r>
    </w:p>
    <w:p w:rsidR="00ED4F86" w:rsidRPr="002231C9" w:rsidRDefault="00ED4F86" w:rsidP="00ED4F86">
      <w:pPr>
        <w:pStyle w:val="SingleTxtGR"/>
      </w:pPr>
      <w:r w:rsidRPr="002231C9">
        <w:tab/>
      </w:r>
      <w:r w:rsidRPr="002231C9">
        <w:rPr>
          <w:lang w:val="en-US"/>
        </w:rPr>
        <w:t>b</w:t>
      </w:r>
      <w:r w:rsidRPr="002231C9">
        <w:t>)</w:t>
      </w:r>
      <w:r w:rsidRPr="002231C9">
        <w:tab/>
        <w:t>перевода помещенных в специализированные учреждения лиц в другие учреждения в качестве одной из форм «каникул»;</w:t>
      </w:r>
    </w:p>
    <w:p w:rsidR="00ED4F86" w:rsidRPr="002231C9" w:rsidRDefault="00ED4F86" w:rsidP="00221674">
      <w:pPr>
        <w:pStyle w:val="SingleTxtGR"/>
      </w:pPr>
      <w:r w:rsidRPr="002231C9">
        <w:tab/>
      </w:r>
      <w:r w:rsidRPr="002231C9">
        <w:rPr>
          <w:lang w:val="en-US"/>
        </w:rPr>
        <w:t>c</w:t>
      </w:r>
      <w:r w:rsidRPr="002231C9">
        <w:t>)</w:t>
      </w:r>
      <w:r w:rsidRPr="002231C9">
        <w:tab/>
        <w:t>выделения ресурсов на создание малых структур, в которых тем не</w:t>
      </w:r>
      <w:r w:rsidR="00221674">
        <w:t> </w:t>
      </w:r>
      <w:r w:rsidRPr="002231C9">
        <w:t>менее по-прежнему допускается сегрегация и которые фактически представляют собой специализированные учреждения, вместо ассигнования более значительных средств на уход на базе общин.</w:t>
      </w:r>
    </w:p>
    <w:p w:rsidR="00ED4F86" w:rsidRPr="002231C9" w:rsidRDefault="00ED4F86" w:rsidP="00221674">
      <w:pPr>
        <w:pStyle w:val="SingleTxtGR"/>
        <w:keepNext/>
        <w:keepLines/>
        <w:rPr>
          <w:b/>
          <w:bCs/>
        </w:rPr>
      </w:pPr>
      <w:r w:rsidRPr="002231C9">
        <w:rPr>
          <w:bCs/>
        </w:rPr>
        <w:t>37.</w:t>
      </w:r>
      <w:r w:rsidRPr="002231C9">
        <w:rPr>
          <w:bCs/>
        </w:rPr>
        <w:tab/>
      </w:r>
      <w:r w:rsidRPr="002231C9">
        <w:rPr>
          <w:b/>
          <w:bCs/>
        </w:rPr>
        <w:t>Комитет настоятельно призывает государство-участник принять комплексную стратегию, содержащую четкие временные ориентиры проведения эффективной деинституционализации, и выделить достаточные ресурсы на ее осуществление. Комитет рекомендует государству-участнику: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</w:rPr>
        <w:t>а)</w:t>
      </w:r>
      <w:r w:rsidRPr="002231C9">
        <w:rPr>
          <w:b/>
        </w:rPr>
        <w:tab/>
        <w:t>принять на себя обязательство не создавать новых учреждений или иных структур для сегрегированного содержания пациентов и развивать вместо этого широкий круг услуг на базе общин, в том числе на местном уровне, которые соответствуют потребностям инвалидов и обеспечивают уважение их самостоятельности, выбора, достоинства и личной жизни, а также предусматривают поддержку со стороны других инвалидов и прочие альтернативы медицинской модели психического здоровья;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</w:rPr>
        <w:tab/>
        <w:t>b)</w:t>
      </w:r>
      <w:r w:rsidRPr="002231C9">
        <w:rPr>
          <w:b/>
        </w:rPr>
        <w:tab/>
        <w:t>отказаться от концепции «каникул» в другом учреждении и обеспечить инвалидам возможность проводить «каникулы» в условиях ухода на базе общин;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  <w:t>с)</w:t>
      </w:r>
      <w:r w:rsidRPr="002231C9">
        <w:rPr>
          <w:b/>
        </w:rPr>
        <w:tab/>
        <w:t>обеспечивать</w:t>
      </w:r>
      <w:r w:rsidRPr="002231C9">
        <w:rPr>
          <w:b/>
          <w:bCs/>
        </w:rPr>
        <w:t xml:space="preserve"> вовлеченность инвалидов и представляющих их организаций на всех этапах разработки стратегий и схем самостоятельного образа жизни.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Индивидуальная мобильность (статья 20)</w:t>
      </w:r>
    </w:p>
    <w:p w:rsidR="00ED4F86" w:rsidRPr="002231C9" w:rsidRDefault="00ED4F86" w:rsidP="00ED4F86">
      <w:pPr>
        <w:pStyle w:val="SingleTxtGR"/>
      </w:pPr>
      <w:r w:rsidRPr="002231C9">
        <w:t>38.</w:t>
      </w:r>
      <w:r w:rsidRPr="002231C9">
        <w:tab/>
        <w:t xml:space="preserve">Комитет обеспокоен отсутствием практики универсального распределения облегчающих мобильность устройств и отмечает недостаточные усилия по обеспечению индивидуальной мобильности. 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39.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 принять меры по совершенствованию транспарентного доступа к ассистивным устройствам и технологиям, а также обеспечивать доступные и справедливые схемы выплаты возмещения в целях предотвращения каких-либо дополнительных расходов и/или административного бремени инвалидов.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 xml:space="preserve">Свобода выражения мнения и убеждений и доступ к информации </w:t>
      </w:r>
      <w:r w:rsidRPr="002231C9">
        <w:br/>
        <w:t>(статья 21)</w:t>
      </w:r>
    </w:p>
    <w:p w:rsidR="00ED4F86" w:rsidRPr="002231C9" w:rsidRDefault="00ED4F86" w:rsidP="00ED4F86">
      <w:pPr>
        <w:pStyle w:val="SingleTxtGR"/>
      </w:pPr>
      <w:r w:rsidRPr="002231C9">
        <w:t>40.</w:t>
      </w:r>
      <w:r w:rsidRPr="002231C9">
        <w:tab/>
        <w:t>Комитет обеспокоен в целом недостаточным наличием общественной информации и средств массовой информации для инвалидов в удобных для ознакомления и и</w:t>
      </w:r>
      <w:r w:rsidR="005326AD">
        <w:t>спользования форматах, например</w:t>
      </w:r>
      <w:r w:rsidRPr="002231C9">
        <w:t xml:space="preserve"> шрифта Брайля, перевода речи глухого для слепых, языка жестов, простого и доступного языка, аудиодискрипции, титрования, субтитров и прочее. Он также обеспокоен:</w:t>
      </w:r>
    </w:p>
    <w:p w:rsidR="00ED4F86" w:rsidRPr="002231C9" w:rsidRDefault="00ED4F86" w:rsidP="00ED4F86">
      <w:pPr>
        <w:pStyle w:val="SingleTxtGR"/>
      </w:pPr>
      <w:r w:rsidRPr="002231C9">
        <w:tab/>
        <w:t>а)</w:t>
      </w:r>
      <w:r w:rsidRPr="002231C9">
        <w:tab/>
        <w:t>непризнанием Черногорией языка жестов в качестве одного из официальных языков, а также недостаточными усилиями государства-участника по эффективному поощрению и упрощению использования языка жестов наряду с применением всех прочих альтернативных методов и доступных форматов коммуникации, особенно в условиях участия инвалидов в официальных контактах;</w:t>
      </w:r>
    </w:p>
    <w:p w:rsidR="00ED4F86" w:rsidRPr="002231C9" w:rsidRDefault="00ED4F86" w:rsidP="00ED4F86">
      <w:pPr>
        <w:pStyle w:val="SingleTxtGR"/>
      </w:pPr>
      <w:r w:rsidRPr="002231C9">
        <w:tab/>
        <w:t>b)</w:t>
      </w:r>
      <w:r w:rsidRPr="002231C9">
        <w:tab/>
        <w:t xml:space="preserve">отсутствием информации об установленных и надежных процедурах подачи заявок на обеспечение перевода на язык жестов во время публичных процедур и общественных мероприятий. 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41.</w:t>
      </w:r>
      <w:r w:rsidRPr="002231C9">
        <w:rPr>
          <w:bCs/>
        </w:rPr>
        <w:tab/>
      </w:r>
      <w:r w:rsidRPr="002231C9">
        <w:rPr>
          <w:b/>
          <w:bCs/>
        </w:rPr>
        <w:t xml:space="preserve">Комитет рекомендует государству-участнику разработать и использовать перечисленные выше доступные форматы коммуникации для средств массовой и общественной информации, а также выделить достаточные финансовые средства на их разработку, пропаганду и использование в соответствии с пунктом 3 статьи 24 и пунктом </w:t>
      </w:r>
      <w:r w:rsidRPr="002231C9">
        <w:rPr>
          <w:b/>
          <w:bCs/>
          <w:lang w:val="en-US"/>
        </w:rPr>
        <w:t>b</w:t>
      </w:r>
      <w:r w:rsidRPr="002231C9">
        <w:rPr>
          <w:b/>
          <w:bCs/>
        </w:rPr>
        <w:t>) статьи 29 Конвенции, а также замечанием общего порядка № 2 (2014) о доступности. В этой связи он также рекомендует государству-участнику принять меры для полного юридического признания языка жестов сообщества глухих в Черногории, а также шрифта Брайля.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Уважение дома и семьи (статья 23)</w:t>
      </w:r>
    </w:p>
    <w:p w:rsidR="00ED4F86" w:rsidRPr="002231C9" w:rsidRDefault="00ED4F86" w:rsidP="00ED0D56">
      <w:pPr>
        <w:pStyle w:val="SingleTxtGR"/>
        <w:keepNext/>
        <w:keepLines/>
      </w:pPr>
      <w:r w:rsidRPr="002231C9">
        <w:t>42.</w:t>
      </w:r>
      <w:r w:rsidRPr="002231C9">
        <w:tab/>
        <w:t>Комитет с глубокой обеспокоенностью отмечает, что:</w:t>
      </w:r>
    </w:p>
    <w:p w:rsidR="00ED4F86" w:rsidRPr="002231C9" w:rsidRDefault="00ED4F86" w:rsidP="00ED0D56">
      <w:pPr>
        <w:pStyle w:val="SingleTxtGR"/>
        <w:keepNext/>
        <w:keepLines/>
      </w:pPr>
      <w:r w:rsidRPr="002231C9">
        <w:tab/>
        <w:t>а)</w:t>
      </w:r>
      <w:r w:rsidRPr="002231C9">
        <w:tab/>
        <w:t>законодательство Черногории ограничивает право находящихся под опекунством инвалидов вступать в брак, а также ограничивает их родительские права;</w:t>
      </w:r>
    </w:p>
    <w:p w:rsidR="00ED4F86" w:rsidRPr="002231C9" w:rsidRDefault="00ED4F86" w:rsidP="00ED4F86">
      <w:pPr>
        <w:pStyle w:val="SingleTxtGR"/>
      </w:pPr>
      <w:r w:rsidRPr="002231C9">
        <w:tab/>
        <w:t>b)</w:t>
      </w:r>
      <w:r w:rsidRPr="002231C9">
        <w:tab/>
        <w:t>родители-инвалиды, в частности женщины, не пользуются достаточной поддержкой со стороны государства при выполнении ими своих родительских обязанностей в отношении своих детей, и в условиях самостоятельного воспитания детей их могут у них забрать.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43.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 в ускоренном порядке согласовать свое законодательство с Конвенцией и обеспечить инвалидам возможность осуществления своего права на вступление в брак, своих родительских прав и права на усыновление наравне с другими, а также оказание в общинах услуг по поддержке родителей-инвалидов. В этой связи Комитет также рекомендует государству-участнику принять все необходимые меры, в том числе законодательного характера, для обеспечения того, чтобы женщины-инвалиды ни при каких обстоятельствах не лишались опеки над своими детьми и/или контактов с ними в силу своей инвалидности или самостоятельного воспитания своих детей и, при необходимости, обеспечивать оказание таким матерям поддержки на базе общин.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Образование (статья 24)</w:t>
      </w:r>
    </w:p>
    <w:p w:rsidR="00ED4F86" w:rsidRPr="0091256C" w:rsidRDefault="00ED4F86" w:rsidP="0091256C">
      <w:pPr>
        <w:pStyle w:val="SingleTxtGR"/>
      </w:pPr>
      <w:r w:rsidRPr="0091256C">
        <w:t>44.</w:t>
      </w:r>
      <w:r w:rsidRPr="0091256C">
        <w:tab/>
        <w:t>Комитет обеспокоен отсутствием всеобъемлющего законодательства о</w:t>
      </w:r>
      <w:r w:rsidR="00ED0D56" w:rsidRPr="0091256C">
        <w:t> </w:t>
      </w:r>
      <w:r w:rsidRPr="0091256C">
        <w:t>качественном инклюзивном образовании. Он также выражает озабоченность:</w:t>
      </w:r>
    </w:p>
    <w:p w:rsidR="00ED4F86" w:rsidRPr="0091256C" w:rsidRDefault="00ED4F86" w:rsidP="0091256C">
      <w:pPr>
        <w:pStyle w:val="SingleTxtGR"/>
      </w:pPr>
      <w:r w:rsidRPr="0091256C">
        <w:tab/>
        <w:t>а)</w:t>
      </w:r>
      <w:r w:rsidRPr="0091256C">
        <w:tab/>
        <w:t>отсутствием сопоставимых и всеобъемлющих данных о детях-инвалидах в основной системе образования;</w:t>
      </w:r>
    </w:p>
    <w:p w:rsidR="00ED4F86" w:rsidRPr="0091256C" w:rsidRDefault="00ED4F86" w:rsidP="0091256C">
      <w:pPr>
        <w:pStyle w:val="SingleTxtGR"/>
      </w:pPr>
      <w:r w:rsidRPr="0091256C">
        <w:tab/>
        <w:t>b)</w:t>
      </w:r>
      <w:r w:rsidRPr="0091256C">
        <w:tab/>
        <w:t>преобладанием системы оценки детей-инвалидов при наборе в школу, которая, как представляется, противоречит закрепленной в Конвенции правозащитной модели инвалидности;</w:t>
      </w:r>
    </w:p>
    <w:p w:rsidR="00ED4F86" w:rsidRPr="0091256C" w:rsidRDefault="00ED4F86" w:rsidP="0091256C">
      <w:pPr>
        <w:pStyle w:val="SingleTxtGR"/>
      </w:pPr>
      <w:r w:rsidRPr="0091256C">
        <w:tab/>
        <w:t>c)</w:t>
      </w:r>
      <w:r w:rsidRPr="0091256C">
        <w:tab/>
        <w:t>отсутствием информации о позитивных и недискриминационных мерах по набору учащихся-инвалидов в учебные заведения основной системы образования, а также о предоставлении им разумных приспособлений;</w:t>
      </w:r>
    </w:p>
    <w:p w:rsidR="00ED4F86" w:rsidRPr="0091256C" w:rsidRDefault="00ED4F86" w:rsidP="0091256C">
      <w:pPr>
        <w:pStyle w:val="SingleTxtGR"/>
      </w:pPr>
      <w:r w:rsidRPr="0091256C">
        <w:tab/>
        <w:t>d)</w:t>
      </w:r>
      <w:r w:rsidRPr="0091256C">
        <w:tab/>
        <w:t>в целом недостаточной доступностью высшего образования.</w:t>
      </w:r>
    </w:p>
    <w:p w:rsidR="00ED4F86" w:rsidRPr="002231C9" w:rsidRDefault="00ED4F86" w:rsidP="00ED0D56">
      <w:pPr>
        <w:pStyle w:val="SingleTxtGR"/>
        <w:rPr>
          <w:b/>
          <w:bCs/>
        </w:rPr>
      </w:pPr>
      <w:r w:rsidRPr="002231C9">
        <w:rPr>
          <w:bCs/>
        </w:rPr>
        <w:t>45.</w:t>
      </w:r>
      <w:r w:rsidRPr="002231C9">
        <w:rPr>
          <w:bCs/>
        </w:rPr>
        <w:tab/>
      </w:r>
      <w:r w:rsidRPr="002231C9">
        <w:rPr>
          <w:b/>
          <w:bCs/>
        </w:rPr>
        <w:t>Ссылаясь на свое замечание общего порядка № 4 (2016) о праве на инклюзивное образование и цель 4 в области устойчивого развития, в</w:t>
      </w:r>
      <w:r w:rsidR="00ED0D56" w:rsidRPr="002231C9">
        <w:rPr>
          <w:b/>
          <w:bCs/>
          <w:lang w:val="en-US"/>
        </w:rPr>
        <w:t> </w:t>
      </w:r>
      <w:r w:rsidRPr="002231C9">
        <w:rPr>
          <w:b/>
          <w:bCs/>
        </w:rPr>
        <w:t>частности на цели 4.5 и 4.8, Комитет рекомендует государству-участнику прилагать более значительные усилия по развитию инклюзивного образования и в частности: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Cs/>
        </w:rPr>
        <w:t>a</w:t>
      </w:r>
      <w:r w:rsidRPr="002231C9">
        <w:rPr>
          <w:b/>
        </w:rPr>
        <w:t>)</w:t>
      </w:r>
      <w:r w:rsidRPr="002231C9">
        <w:rPr>
          <w:b/>
        </w:rPr>
        <w:tab/>
        <w:t>принять и осуществлять согласованную стратегию и план действий, содержащие четкие временные ориентиры, показатели и предусматривающие мониторинг и параметры оценки инклюзивного и качественного образования в основной системе образования;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</w:rPr>
        <w:tab/>
        <w:t>b)</w:t>
      </w:r>
      <w:r w:rsidRPr="002231C9">
        <w:rPr>
          <w:b/>
        </w:rPr>
        <w:tab/>
        <w:t>наладить сбор данных о детях-инвалидах, обучающихся в рамках основной системы образования, и предпринять последовательные шаги по повышению доступности школ основной системы образования и высших учебных заведений с установлением увязанных с конкретными сроками целей, включая положение о разумном приспособлении и индивидуальной поддержке, доступной среде, доступных и адаптированных учебных материалах и инклюзивных учебных планах;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</w:rPr>
        <w:tab/>
        <w:t>c)</w:t>
      </w:r>
      <w:r w:rsidRPr="002231C9">
        <w:rPr>
          <w:b/>
        </w:rPr>
        <w:tab/>
        <w:t>пересмотреть систему оценки детей-инвалидов при наборе в школу и обеспечивать недискриминационный доступ всех детей-инвалидов к инклюзивному образованию в соответствии с замечанием общего порядка № 4;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  <w:t>d)</w:t>
      </w:r>
      <w:r w:rsidRPr="002231C9">
        <w:rPr>
          <w:b/>
        </w:rPr>
        <w:tab/>
        <w:t>обеспечивать</w:t>
      </w:r>
      <w:r w:rsidRPr="002231C9">
        <w:rPr>
          <w:b/>
          <w:bCs/>
        </w:rPr>
        <w:t xml:space="preserve"> обязательную подготовку до поступления на работу и без отрыва от трудовой деятельности всех учителей и другого педагогического персонала по вопросам качественного инклюзивного образования и выделять все необходимые кадровые, технические и финансовые ресурсы.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Здоровье (статья 25)</w:t>
      </w:r>
    </w:p>
    <w:p w:rsidR="00ED4F86" w:rsidRPr="002231C9" w:rsidRDefault="00ED4F86" w:rsidP="00ED4F86">
      <w:pPr>
        <w:pStyle w:val="SingleTxtGR"/>
      </w:pPr>
      <w:r w:rsidRPr="002231C9">
        <w:t>46.</w:t>
      </w:r>
      <w:r w:rsidRPr="002231C9">
        <w:tab/>
        <w:t>Комитет выражает обеспокоенность по поводу ограниченного и неравного доступа к медицинским услугам инвалидов, особенно лиц, помещенных в специализированные учреждения. Он также озабочен:</w:t>
      </w:r>
    </w:p>
    <w:p w:rsidR="00ED4F86" w:rsidRPr="002231C9" w:rsidRDefault="00ED4F86" w:rsidP="00ED0D56">
      <w:pPr>
        <w:pStyle w:val="SingleTxtGR"/>
      </w:pPr>
      <w:r w:rsidRPr="002231C9">
        <w:tab/>
        <w:t>a)</w:t>
      </w:r>
      <w:r w:rsidRPr="002231C9">
        <w:tab/>
        <w:t>неравным доступом к услугам в области сексуального и репрод</w:t>
      </w:r>
      <w:r w:rsidR="004F7426">
        <w:t>уктивного здоровья, в частности</w:t>
      </w:r>
      <w:r w:rsidRPr="002231C9">
        <w:t xml:space="preserve"> на местном уровне и особенно для женщин, о</w:t>
      </w:r>
      <w:r w:rsidR="00ED0D56" w:rsidRPr="002231C9">
        <w:rPr>
          <w:lang w:val="en-US"/>
        </w:rPr>
        <w:t> </w:t>
      </w:r>
      <w:r w:rsidRPr="002231C9">
        <w:t>чем, среди прочего, свидетельствует крайне незначительное количество имеющихся гинекологических кресел;</w:t>
      </w:r>
    </w:p>
    <w:p w:rsidR="00ED4F86" w:rsidRPr="002231C9" w:rsidRDefault="00ED4F86" w:rsidP="00ED4F86">
      <w:pPr>
        <w:pStyle w:val="SingleTxtGR"/>
      </w:pPr>
      <w:r w:rsidRPr="002231C9">
        <w:tab/>
        <w:t>b)</w:t>
      </w:r>
      <w:r w:rsidRPr="002231C9">
        <w:tab/>
        <w:t>отсутствием надлежащей подготовки специалистов системы здравоохранения по вопросам прав человека инвалидов;</w:t>
      </w:r>
    </w:p>
    <w:p w:rsidR="00ED4F86" w:rsidRPr="002231C9" w:rsidRDefault="00ED4F86" w:rsidP="00ED4F86">
      <w:pPr>
        <w:pStyle w:val="SingleTxtGR"/>
      </w:pPr>
      <w:r w:rsidRPr="002231C9">
        <w:tab/>
        <w:t>c)</w:t>
      </w:r>
      <w:r w:rsidRPr="002231C9">
        <w:tab/>
        <w:t>отсутствием информации о принимаемых мерах для обеспечения действий специалистов по охране здоровья на основе индивидуального, свободного и осознанного согласия при принятии всех решений в отношении права инвалидов на здоровье;</w:t>
      </w:r>
    </w:p>
    <w:p w:rsidR="00ED4F86" w:rsidRPr="002231C9" w:rsidRDefault="00ED4F86" w:rsidP="00ED4F86">
      <w:pPr>
        <w:pStyle w:val="SingleTxtGR"/>
      </w:pPr>
      <w:r w:rsidRPr="002231C9">
        <w:tab/>
        <w:t>d)</w:t>
      </w:r>
      <w:r w:rsidRPr="002231C9">
        <w:tab/>
        <w:t>отсутствием информации по вопросу о том, полностью ли запрещена стерилизация инвалидов без их согласия.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47.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 принять все необходимые законодательные и политические меры и планы действий, а также выделить достаточные ресурсы на их реализацию в целях обеспечения: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</w:rPr>
        <w:t>a)</w:t>
      </w:r>
      <w:r w:rsidRPr="002231C9">
        <w:rPr>
          <w:b/>
        </w:rPr>
        <w:tab/>
        <w:t>доступа всех инвалидов к своевременным и качественным услугам по охране здоровья, в том числе на местном уровне;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</w:rPr>
        <w:tab/>
        <w:t>b)</w:t>
      </w:r>
      <w:r w:rsidRPr="002231C9">
        <w:rPr>
          <w:b/>
        </w:rPr>
        <w:tab/>
        <w:t xml:space="preserve">полной доступности услуг в области сексуального и репродуктивного здоровья и информации по этим вопросам для инвалидов, в том числе за счет увеличения числа доступных гинекологических кресел и предоставления необходимой информации в доступных форматах и с использованием альтернативных методов коммуникации для всех женщин-инвалидов и девочек-инвалидов по вопросам их сексуальных и репродуктивных прав; 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</w:rPr>
        <w:tab/>
        <w:t>c)</w:t>
      </w:r>
      <w:r w:rsidRPr="002231C9">
        <w:rPr>
          <w:b/>
        </w:rPr>
        <w:tab/>
        <w:t>полного запрета принудительной стерилизации при всех обстоятельствах;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  <w:t>d)</w:t>
      </w:r>
      <w:r w:rsidRPr="002231C9">
        <w:rPr>
          <w:b/>
        </w:rPr>
        <w:tab/>
      </w:r>
      <w:r w:rsidRPr="002231C9">
        <w:rPr>
          <w:b/>
          <w:bCs/>
        </w:rPr>
        <w:t>прохождения всеми специалистами, работающими в основной системе здравоохранения, подготовки по вопросам закрепленных в Конвенции прав, в том числе по проблематике права на свободное и осознанное согласие с особым учетом необходимости обеспечения разумного приспособления, а также привлечения к осуществлению такой подготовки инвалидов и представляющих их организаций;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ab/>
      </w:r>
      <w:r w:rsidRPr="002231C9">
        <w:rPr>
          <w:b/>
        </w:rPr>
        <w:t>e)</w:t>
      </w:r>
      <w:r w:rsidRPr="002231C9">
        <w:rPr>
          <w:b/>
        </w:rPr>
        <w:tab/>
        <w:t>оказания</w:t>
      </w:r>
      <w:r w:rsidRPr="002231C9">
        <w:rPr>
          <w:b/>
          <w:bCs/>
        </w:rPr>
        <w:t xml:space="preserve"> инвалидам всех услуг по уходу и охране здоровья, включая любой психиатрический уход и услуги, на основе свободного и осознанного согласия соответствующего лица, полного запрета получения такого согласия от третьей стороны и наказания за любое отступление от принципа действий на основе получения свободного и осознанного согласия пациента. </w:t>
      </w:r>
    </w:p>
    <w:p w:rsidR="00ED4F86" w:rsidRPr="002231C9" w:rsidRDefault="00ED4F86" w:rsidP="00ED4F86">
      <w:pPr>
        <w:pStyle w:val="H23GR"/>
        <w:rPr>
          <w:lang w:eastAsia="zh-CN"/>
        </w:rPr>
      </w:pPr>
      <w:r w:rsidRPr="002231C9">
        <w:tab/>
      </w:r>
      <w:r w:rsidRPr="002231C9">
        <w:tab/>
        <w:t>Труд и занятость (статья 27)</w:t>
      </w:r>
    </w:p>
    <w:p w:rsidR="00ED4F86" w:rsidRPr="002231C9" w:rsidRDefault="00ED4F86" w:rsidP="00ED4F86">
      <w:pPr>
        <w:pStyle w:val="SingleTxtGR"/>
      </w:pPr>
      <w:r w:rsidRPr="002231C9">
        <w:t>48.</w:t>
      </w:r>
      <w:r w:rsidRPr="002231C9">
        <w:tab/>
        <w:t>Комитет озабочен отсутствием информации об эффективной защите работающих по найму инвалидов от увольнения. Он также выражает обеспокоенность:</w:t>
      </w:r>
    </w:p>
    <w:p w:rsidR="00ED4F86" w:rsidRPr="002231C9" w:rsidRDefault="00ED4F86" w:rsidP="00ED4F86">
      <w:pPr>
        <w:pStyle w:val="SingleTxtGR"/>
      </w:pPr>
      <w:r w:rsidRPr="002231C9">
        <w:tab/>
        <w:t>a)</w:t>
      </w:r>
      <w:r w:rsidRPr="002231C9">
        <w:tab/>
        <w:t>повышенной уязвимостью инвалидов, особенно женщин-инвалидов, по отношению к безработице;</w:t>
      </w:r>
    </w:p>
    <w:p w:rsidR="00ED4F86" w:rsidRPr="002231C9" w:rsidRDefault="00ED4F86" w:rsidP="00ED4F86">
      <w:pPr>
        <w:pStyle w:val="SingleTxtGR"/>
      </w:pPr>
      <w:r w:rsidRPr="002231C9">
        <w:tab/>
        <w:t>b)</w:t>
      </w:r>
      <w:r w:rsidRPr="002231C9">
        <w:tab/>
        <w:t>отсутствием информации о субсидиях или иных мерах, помимо обязательства работодателей, не соблюдающих минимальную квоту найма инвалидов, вносить вклады в Фонд профессиональной реабилитации и трудоустройства инвалидов;</w:t>
      </w:r>
    </w:p>
    <w:p w:rsidR="00ED4F86" w:rsidRPr="002231C9" w:rsidRDefault="00ED4F86" w:rsidP="00ED4F86">
      <w:pPr>
        <w:pStyle w:val="SingleTxtGR"/>
      </w:pPr>
      <w:r w:rsidRPr="002231C9">
        <w:tab/>
        <w:t>c)</w:t>
      </w:r>
      <w:r w:rsidRPr="002231C9">
        <w:tab/>
        <w:t>недостаточным обеспечением разумного приспособления рабочих мест;</w:t>
      </w:r>
    </w:p>
    <w:p w:rsidR="00ED4F86" w:rsidRPr="002231C9" w:rsidRDefault="00ED4F86" w:rsidP="00ED4F86">
      <w:pPr>
        <w:pStyle w:val="SingleTxtGR"/>
      </w:pPr>
      <w:r w:rsidRPr="002231C9">
        <w:tab/>
        <w:t>d)</w:t>
      </w:r>
      <w:r w:rsidRPr="002231C9">
        <w:tab/>
        <w:t>использованием медицинской модели инвалидности для оценки трудоспособности людей, что противоречит Конвенции;</w:t>
      </w:r>
    </w:p>
    <w:p w:rsidR="00ED4F86" w:rsidRPr="002231C9" w:rsidRDefault="00ED4F86" w:rsidP="00ED4F86">
      <w:pPr>
        <w:pStyle w:val="SingleTxtGR"/>
      </w:pPr>
      <w:r w:rsidRPr="002231C9">
        <w:tab/>
        <w:t>e)</w:t>
      </w:r>
      <w:r w:rsidRPr="002231C9">
        <w:tab/>
        <w:t>недостаточно полными данными о положении инвалидов в сфере занятости, особенно в частном секторе.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49.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 проанализировать и устранить любые факторы, препятствующие занятости инвалидов, а также принять меры по дальнейшему поощрению занятости на открытом рынке труда в государственном и частном секторах, уделяя при этом особое внимание женщинам, в тесных консультациях с инвалидами и представляющими их организациями. Он также рекомендует государству-участнику: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</w:rPr>
        <w:t>a)</w:t>
      </w:r>
      <w:r w:rsidRPr="002231C9">
        <w:rPr>
          <w:b/>
        </w:rPr>
        <w:tab/>
        <w:t>принять законодательство, предусматривающее эффективные санкции в отношении работодателей, которые не обеспечивают разумное приспособление рабочих мест;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</w:rPr>
        <w:tab/>
        <w:t>b)</w:t>
      </w:r>
      <w:r w:rsidRPr="002231C9">
        <w:rPr>
          <w:b/>
        </w:rPr>
        <w:tab/>
        <w:t>осуществлять сбор статистических данных об уровне занятости и положении инвалидов в разбивке по полу, возрасту, типу занятости и заработной плате;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  <w:t>c)</w:t>
      </w:r>
      <w:r w:rsidRPr="002231C9">
        <w:rPr>
          <w:b/>
        </w:rPr>
        <w:tab/>
        <w:t>внести</w:t>
      </w:r>
      <w:r w:rsidRPr="002231C9">
        <w:rPr>
          <w:b/>
          <w:bCs/>
        </w:rPr>
        <w:t xml:space="preserve"> изменения в процедуры оценки в контексте занятости в соответствии с предусмотренной в Конвенции правозащитной моделью инвалидности.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Достаточный уровень жизни и социальная защита (статья 28)</w:t>
      </w:r>
    </w:p>
    <w:p w:rsidR="00ED4F86" w:rsidRPr="002231C9" w:rsidRDefault="00ED4F86" w:rsidP="00ED4F86">
      <w:pPr>
        <w:pStyle w:val="SingleTxtGR"/>
      </w:pPr>
      <w:r w:rsidRPr="002231C9">
        <w:t>50.</w:t>
      </w:r>
      <w:r w:rsidRPr="002231C9">
        <w:tab/>
        <w:t>Комитет с обеспокоенностью отмечает, что государство-участник не осуществляет регулярный и транспарентный мониторинг повышения стоимости жизни инвалидов. Комитет выражает озабоченность в связи с тем, что:</w:t>
      </w:r>
    </w:p>
    <w:p w:rsidR="00ED4F86" w:rsidRPr="002231C9" w:rsidRDefault="00ED4F86" w:rsidP="00ED4F86">
      <w:pPr>
        <w:pStyle w:val="SingleTxtGR"/>
      </w:pPr>
      <w:r w:rsidRPr="002231C9">
        <w:tab/>
        <w:t>a)</w:t>
      </w:r>
      <w:r w:rsidRPr="002231C9">
        <w:tab/>
        <w:t>женщины-инвалиды особо подвержены бедности, поскольку они более уязвимы по отношению к безработице и их доходы и/или получаемые ими пособия зачастую используются совместно с членами их семей или полностью расходуются последними;</w:t>
      </w:r>
    </w:p>
    <w:p w:rsidR="00ED4F86" w:rsidRPr="002231C9" w:rsidRDefault="00ED4F86" w:rsidP="00ED4F86">
      <w:pPr>
        <w:pStyle w:val="SingleTxtGR"/>
      </w:pPr>
      <w:r w:rsidRPr="002231C9">
        <w:tab/>
        <w:t>b)</w:t>
      </w:r>
      <w:r w:rsidRPr="002231C9">
        <w:tab/>
        <w:t>мужья иногда оставляют женщин-инвалидов, что может еще более усугублять угрозу бедности;</w:t>
      </w:r>
    </w:p>
    <w:p w:rsidR="00ED4F86" w:rsidRPr="002231C9" w:rsidRDefault="00ED4F86" w:rsidP="00ED4F86">
      <w:pPr>
        <w:pStyle w:val="SingleTxtGR"/>
      </w:pPr>
      <w:r w:rsidRPr="002231C9">
        <w:tab/>
        <w:t>c)</w:t>
      </w:r>
      <w:r w:rsidRPr="002231C9">
        <w:tab/>
        <w:t>на местном уровне отсутствуют доступные и транспарентные данные о детях-инвалидах, не имеющих доступа к социальной защите.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51.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Cs/>
        </w:rPr>
        <w:tab/>
      </w:r>
      <w:r w:rsidRPr="002231C9">
        <w:rPr>
          <w:b/>
        </w:rPr>
        <w:t>a)</w:t>
      </w:r>
      <w:r w:rsidRPr="002231C9">
        <w:rPr>
          <w:b/>
        </w:rPr>
        <w:tab/>
        <w:t>осуществлять регулярный мониторинг стоимости жизни инвалидов и соответственно корректировать пособия по инвалидности;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  <w:t>b)</w:t>
      </w:r>
      <w:r w:rsidRPr="002231C9">
        <w:rPr>
          <w:b/>
        </w:rPr>
        <w:tab/>
        <w:t xml:space="preserve">в соответствии с подпунктом </w:t>
      </w:r>
      <w:r w:rsidRPr="002231C9">
        <w:rPr>
          <w:b/>
          <w:lang w:val="en-US"/>
        </w:rPr>
        <w:t>d</w:t>
      </w:r>
      <w:r w:rsidRPr="002231C9">
        <w:rPr>
          <w:b/>
        </w:rPr>
        <w:t>) пункта 41 заключительных замечаний</w:t>
      </w:r>
      <w:r w:rsidRPr="002231C9">
        <w:rPr>
          <w:b/>
          <w:bCs/>
        </w:rPr>
        <w:t xml:space="preserve"> Комитета по ликвидации дискриминации в отношении женщин (CEDAW/C/MNE/CO/2) повышать информированность о важности экономической самостоятельности женщин-инвалидов, установить надлежащие процедуры, позволяющие женщинам-инвалидам потребовать свои заработанные средства и/или пособия в том случае, если они были отобраны у них членами семьи, и обеспечивать, чтобы пособия переводились непосредственно женщинам-инвалидам, а не членам их семей;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</w:rPr>
        <w:t>c)</w:t>
      </w:r>
      <w:r w:rsidRPr="002231C9">
        <w:rPr>
          <w:b/>
        </w:rPr>
        <w:tab/>
        <w:t>принять все необходимые меры, в том числе законодательного характера, для обеспечения надлежащего осуществления права на получение алиментов покинутыми мужьями женщинами-инвалидами, а также для получения такими женщинами, если они находятся в бедственном положении, достаточных социальных пособий;</w:t>
      </w:r>
    </w:p>
    <w:p w:rsidR="00ED4F86" w:rsidRPr="002231C9" w:rsidRDefault="00ED4F86" w:rsidP="00ED4F86">
      <w:pPr>
        <w:pStyle w:val="SingleTxtGR"/>
      </w:pPr>
      <w:r w:rsidRPr="002231C9">
        <w:rPr>
          <w:b/>
        </w:rPr>
        <w:tab/>
        <w:t>d)</w:t>
      </w:r>
      <w:r w:rsidRPr="002231C9">
        <w:rPr>
          <w:b/>
        </w:rPr>
        <w:tab/>
        <w:t>осуществлять сбор данных обо всех детях-инвалидах на местном уровне</w:t>
      </w:r>
      <w:r w:rsidRPr="002231C9">
        <w:rPr>
          <w:b/>
          <w:bCs/>
        </w:rPr>
        <w:t xml:space="preserve"> и обеспечивать каждому ребенку доступ к получению пособий по инвалидности в интересах достижения им жизненного уровня выше прожиточного.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Участие в политической и общественной жизни (статья 29)</w:t>
      </w:r>
    </w:p>
    <w:p w:rsidR="00ED4F86" w:rsidRPr="002231C9" w:rsidRDefault="00ED4F86" w:rsidP="00ED4F86">
      <w:pPr>
        <w:pStyle w:val="SingleTxtGR"/>
      </w:pPr>
      <w:r w:rsidRPr="002231C9">
        <w:t>52.</w:t>
      </w:r>
      <w:r w:rsidRPr="002231C9">
        <w:tab/>
        <w:t>Комитет обеспокоен нарастающей отчужденностью инвалидов от общественной жизни в силу увеличения числа инвалидов с ограниченной правоспособностью. Комитет выражает особую озабоченность в связи с тем, что:</w:t>
      </w:r>
    </w:p>
    <w:p w:rsidR="00ED4F86" w:rsidRPr="002231C9" w:rsidRDefault="00ED4F86" w:rsidP="00ED4F86">
      <w:pPr>
        <w:pStyle w:val="SingleTxtGR"/>
      </w:pPr>
      <w:r w:rsidRPr="002231C9">
        <w:tab/>
        <w:t>a)</w:t>
      </w:r>
      <w:r w:rsidRPr="002231C9">
        <w:tab/>
        <w:t>лица с ограниченной правоспособностью лишаются права голоса и права баллотироваться на выборах;</w:t>
      </w:r>
    </w:p>
    <w:p w:rsidR="00ED4F86" w:rsidRPr="002231C9" w:rsidRDefault="00ED4F86" w:rsidP="00ED4F86">
      <w:pPr>
        <w:pStyle w:val="SingleTxtGR"/>
      </w:pPr>
      <w:r w:rsidRPr="002231C9">
        <w:tab/>
        <w:t>b)</w:t>
      </w:r>
      <w:r w:rsidRPr="002231C9">
        <w:tab/>
        <w:t>в электоральном процессе сохраняются определенные физические и информационные барьеры.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53.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 внести в электоральные закон/законы и правила процедуры изменения в целях: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</w:rPr>
        <w:t>a)</w:t>
      </w:r>
      <w:r w:rsidRPr="002231C9">
        <w:rPr>
          <w:b/>
        </w:rPr>
        <w:tab/>
        <w:t>предоставления всем инвалидам права голоса и права баллотироваться на выборах;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  <w:t>b)</w:t>
      </w:r>
      <w:r w:rsidRPr="002231C9">
        <w:rPr>
          <w:bCs/>
        </w:rPr>
        <w:tab/>
      </w:r>
      <w:r w:rsidRPr="002231C9">
        <w:rPr>
          <w:b/>
          <w:bCs/>
        </w:rPr>
        <w:t>обеспечения беспрепятственного физического доступа к голосованию, надежных механизмов сохранения тайны голосования независимо от формы инвалидности, а также наличия других материалов и информации о выборах в доступных форматах в соответствии с замечанием общего порядка Комитета № 2 (2014) о доступности.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Участие в культурной жизни, проведении досуга и отдыха и занятии спортом (статья 30)</w:t>
      </w:r>
    </w:p>
    <w:p w:rsidR="00ED4F86" w:rsidRPr="002231C9" w:rsidRDefault="00ED4F86" w:rsidP="00ED4F86">
      <w:pPr>
        <w:pStyle w:val="SingleTxtGR"/>
      </w:pPr>
      <w:r w:rsidRPr="002231C9">
        <w:t>54.</w:t>
      </w:r>
      <w:r w:rsidRPr="002231C9">
        <w:tab/>
        <w:t xml:space="preserve">Комитет обеспокоен тем, что государство-участник до сих пор не ратифицировало 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произведениям. Комитет также озабочен тем, что спортивные центры в достаточной степени не занимаются пропагандой инклюзивных программ регулярных занятий спортом. 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55.</w:t>
      </w:r>
      <w:r w:rsidRPr="002231C9">
        <w:rPr>
          <w:bCs/>
        </w:rPr>
        <w:tab/>
      </w:r>
      <w:r w:rsidRPr="002231C9">
        <w:rPr>
          <w:b/>
          <w:bCs/>
        </w:rPr>
        <w:t>Комитет предлагает государству-участнику принять все надлежащие меры для ратификации и осуществления Марракешского договора в ближайшее возможное время. Он рекомендует государству-участнику выделить необходимые ресурсы для расширения доступа инвалидов всех возрастов к инклюзивным спортивным программам.</w:t>
      </w:r>
    </w:p>
    <w:p w:rsidR="00ED4F86" w:rsidRPr="002231C9" w:rsidRDefault="00ED4F86" w:rsidP="00ED4F86">
      <w:pPr>
        <w:pStyle w:val="H1GR"/>
      </w:pPr>
      <w:r w:rsidRPr="002231C9">
        <w:tab/>
        <w:t>C.</w:t>
      </w:r>
      <w:r w:rsidRPr="002231C9">
        <w:tab/>
        <w:t>Конкретные обязательства (статьи 31–33)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Статистика и сбор данных (статья 31)</w:t>
      </w:r>
    </w:p>
    <w:p w:rsidR="00ED4F86" w:rsidRPr="002231C9" w:rsidRDefault="00ED4F86" w:rsidP="00ED4F86">
      <w:pPr>
        <w:pStyle w:val="SingleTxtGR"/>
      </w:pPr>
      <w:r w:rsidRPr="002231C9">
        <w:t>56.</w:t>
      </w:r>
      <w:r w:rsidRPr="002231C9">
        <w:tab/>
        <w:t>Комитет с озабоченностью отмечает, что государство-участник в должной степени не осуществляет систематический сбор дезагрегированных данных об инвалидах по всем секторам, а также тот факт, что функции по сбору данных осуществляются на несогласованной основе различными учреждениями.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57.</w:t>
      </w:r>
      <w:r w:rsidRPr="002231C9">
        <w:rPr>
          <w:bCs/>
        </w:rPr>
        <w:tab/>
      </w:r>
      <w:r w:rsidRPr="002231C9">
        <w:rPr>
          <w:b/>
          <w:bCs/>
        </w:rPr>
        <w:t>Комитет рекомендует государству-участнику создать унифицированную и всеобъемлющую систему сбора, анализа и распространения данных о положении инвалидов в разбивке по полу, возрасту, этническому происхождению, типу инвалидности, социально-экономическому положению, занятости, месту жительства, а также данных о барьерах, с которыми сталкиваются инвалиды в обществе. Комитет также рекомендует государству-участнику в своей деятельности опираться на методологию и вопросы Вашингтонской группы по статистике инвалидности.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Международное сотрудничество (статья 32)</w:t>
      </w:r>
    </w:p>
    <w:p w:rsidR="00ED4F86" w:rsidRPr="002231C9" w:rsidRDefault="00ED4F86" w:rsidP="00ED4F86">
      <w:pPr>
        <w:pStyle w:val="SingleTxtGR"/>
      </w:pPr>
      <w:r w:rsidRPr="002231C9">
        <w:t>58.</w:t>
      </w:r>
      <w:r w:rsidRPr="002231C9">
        <w:tab/>
        <w:t>Комитет озабочен тем, что государство-участник недостаточно привлекает существующие в Черногории представительные организации инвалидов к взаимодействию с международными неправительственными организациями и другими государствами-участниками в области международного сотрудничества.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59.</w:t>
      </w:r>
      <w:r w:rsidRPr="002231C9">
        <w:rPr>
          <w:bCs/>
        </w:rPr>
        <w:tab/>
      </w:r>
      <w:r w:rsidRPr="002231C9">
        <w:rPr>
          <w:b/>
          <w:bCs/>
        </w:rPr>
        <w:t>Комитет призывает государство-участник привлекать представительные организации инвалидов к международному сотрудничеству и обеспечивать учет правозащитного подхода к инвалидности в соответствии с положениями Конвенции в рамках всех усилий по достижению Целей в области устойчивого развития.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Национальное осуществление и мониторинг (статья 33)</w:t>
      </w:r>
    </w:p>
    <w:p w:rsidR="00ED4F86" w:rsidRPr="002231C9" w:rsidRDefault="00ED4F86" w:rsidP="00ED4F86">
      <w:pPr>
        <w:pStyle w:val="SingleTxtGR"/>
      </w:pPr>
      <w:r w:rsidRPr="002231C9">
        <w:t>60.</w:t>
      </w:r>
      <w:r w:rsidRPr="002231C9">
        <w:tab/>
        <w:t>Комитет обеспокоен отсутствием четко определенного координационного механизма, упоминаемого в пункте 1 статьи 33 Конвенции. Комитет с озабоченностью указывает, что Омбудсмен не выполняет обязанности независимого механизма, изложенные в пункте 2 статьи 33.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61.</w:t>
      </w:r>
      <w:r w:rsidRPr="002231C9">
        <w:rPr>
          <w:bCs/>
        </w:rPr>
        <w:tab/>
      </w:r>
      <w:r w:rsidRPr="002231C9">
        <w:rPr>
          <w:b/>
          <w:bCs/>
        </w:rPr>
        <w:t>Принимая во внимание принятые Комитетом в 2016 году Руководящие принципы в отношении независимых структур мониторинга и их участия в работе Комитета, он рекомендует государству-участнику: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  <w:bCs/>
        </w:rPr>
        <w:tab/>
      </w:r>
      <w:r w:rsidRPr="002231C9">
        <w:rPr>
          <w:b/>
        </w:rPr>
        <w:t>a)</w:t>
      </w:r>
      <w:r w:rsidRPr="002231C9">
        <w:rPr>
          <w:b/>
        </w:rPr>
        <w:tab/>
        <w:t>назначить правительственный орган для выполнения функций координационного центра по осуществлению Конвенции и рассмотреть возможность назначения координационного механизма в соответствии с пунктом 1 статьи 33 Конвенции;</w:t>
      </w:r>
    </w:p>
    <w:p w:rsidR="00ED4F86" w:rsidRPr="002231C9" w:rsidRDefault="00ED4F86" w:rsidP="00ED4F86">
      <w:pPr>
        <w:pStyle w:val="SingleTxtGR"/>
        <w:rPr>
          <w:b/>
        </w:rPr>
      </w:pPr>
      <w:r w:rsidRPr="002231C9">
        <w:rPr>
          <w:b/>
        </w:rPr>
        <w:tab/>
        <w:t>b)</w:t>
      </w:r>
      <w:r w:rsidRPr="002231C9">
        <w:rPr>
          <w:b/>
        </w:rPr>
        <w:tab/>
        <w:t>создать национальный независимый механизм для мониторинга осуществления Конвенции и обеспечить его соответствие принципам, касающимся статуса национальных учреждений, занимающихся поощрением и защитой прав человека (Парижские принципы);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/>
        </w:rPr>
        <w:tab/>
        <w:t>c)</w:t>
      </w:r>
      <w:r w:rsidRPr="002231C9">
        <w:rPr>
          <w:b/>
        </w:rPr>
        <w:tab/>
      </w:r>
      <w:r w:rsidRPr="002231C9">
        <w:rPr>
          <w:b/>
          <w:bCs/>
        </w:rPr>
        <w:t>обеспечивать полное участие инвалидов и представляющих их организаций в процессе мониторинга, в том числе путем выделения необходимого финансирования.</w:t>
      </w:r>
    </w:p>
    <w:p w:rsidR="00ED4F86" w:rsidRPr="002231C9" w:rsidRDefault="00ED4F86" w:rsidP="00ED4F86">
      <w:pPr>
        <w:pStyle w:val="HChGR"/>
      </w:pPr>
      <w:r w:rsidRPr="002231C9">
        <w:tab/>
      </w:r>
      <w:r w:rsidRPr="002231C9">
        <w:rPr>
          <w:lang w:val="en-US"/>
        </w:rPr>
        <w:t>IV</w:t>
      </w:r>
      <w:r w:rsidRPr="002231C9">
        <w:t>.</w:t>
      </w:r>
      <w:r w:rsidRPr="002231C9">
        <w:tab/>
        <w:t>Последующая деятельность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Распространение информации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62.</w:t>
      </w:r>
      <w:r w:rsidRPr="002231C9">
        <w:rPr>
          <w:bCs/>
        </w:rPr>
        <w:tab/>
      </w:r>
      <w:r w:rsidRPr="002231C9">
        <w:rPr>
          <w:b/>
          <w:bCs/>
        </w:rPr>
        <w:t>Комитет просит государство-участник в течение 12 месяцев после принятия настоящих заключительных замечаний и в соответствии с пунктом 2 статьи 35 Конвенции представить информацию о принятых мерах по осуществлению рекомендаций Комитета, изложенных в пунктах 11 (равенство и недискриминация) и 19 (доступность).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63.</w:t>
      </w:r>
      <w:r w:rsidRPr="002231C9">
        <w:rPr>
          <w:bCs/>
        </w:rPr>
        <w:tab/>
      </w:r>
      <w:r w:rsidRPr="002231C9">
        <w:rPr>
          <w:b/>
          <w:bCs/>
        </w:rPr>
        <w:t>Комитет просит государство-участник выполнить рекомендации, изложенные в настоящих заключительных замечаниях. Он рекомендует государству-участнику препроводить заключительные замечания для рассмотрения и принятия мер членам правительства и парламента, должностным лицам соответствующих министерств, местных органов власти, организациям инвалидов и членам соответствующих профессиональных групп, в частности специалистам в области образования, медицины и юриспруденции, а также сотрудникам средств массовой информации с использованием современных общественных программ информационного обеспечения.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64.</w:t>
      </w:r>
      <w:r w:rsidRPr="002231C9">
        <w:rPr>
          <w:bCs/>
        </w:rPr>
        <w:tab/>
      </w:r>
      <w:r w:rsidRPr="002231C9">
        <w:rPr>
          <w:b/>
          <w:bCs/>
        </w:rPr>
        <w:t>Комитет настоятельно призывает государство-участник привлекать организации гражданского общества, в частности организации инвалидов, к подготовке его периодического доклада.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65.</w:t>
      </w:r>
      <w:r w:rsidRPr="002231C9">
        <w:rPr>
          <w:bCs/>
        </w:rPr>
        <w:tab/>
      </w:r>
      <w:r w:rsidRPr="002231C9">
        <w:rPr>
          <w:b/>
          <w:bCs/>
        </w:rPr>
        <w:t>Комитет просит государство-участник широко распространить настоящие заключительные замечания, в том числе среди неправительственных организаций и организаций инвалидов, а также среди самих инвалидов и членов их семей на национальных языках и языках меньшинств, включая язык жестов, и в доступных форматах, в том числе в легко читаемом формате, и разместить их на правительственном веб-сайте, посвященном правам человека.</w:t>
      </w:r>
    </w:p>
    <w:p w:rsidR="00ED4F86" w:rsidRPr="002231C9" w:rsidRDefault="00ED4F86" w:rsidP="00ED4F86">
      <w:pPr>
        <w:pStyle w:val="H23GR"/>
      </w:pPr>
      <w:r w:rsidRPr="002231C9">
        <w:tab/>
      </w:r>
      <w:r w:rsidRPr="002231C9">
        <w:tab/>
        <w:t>Следующий периодический доклад</w:t>
      </w:r>
    </w:p>
    <w:p w:rsidR="00ED4F86" w:rsidRPr="002231C9" w:rsidRDefault="00ED4F86" w:rsidP="00ED4F86">
      <w:pPr>
        <w:pStyle w:val="SingleTxtGR"/>
        <w:rPr>
          <w:b/>
          <w:bCs/>
        </w:rPr>
      </w:pPr>
      <w:r w:rsidRPr="002231C9">
        <w:rPr>
          <w:bCs/>
        </w:rPr>
        <w:t>66.</w:t>
      </w:r>
      <w:r w:rsidRPr="002231C9">
        <w:rPr>
          <w:bCs/>
        </w:rPr>
        <w:tab/>
      </w:r>
      <w:r w:rsidRPr="002231C9">
        <w:rPr>
          <w:b/>
          <w:bCs/>
        </w:rPr>
        <w:t xml:space="preserve">Комитет просит государство-участник представить свои объединенные второй, третий и четвертый периодические доклады к 2 декабря </w:t>
      </w:r>
      <w:r w:rsidRPr="002231C9">
        <w:rPr>
          <w:b/>
          <w:bCs/>
        </w:rPr>
        <w:br/>
        <w:t>2023 года и включить в них информацию об осуществлении рекомендаций, содержащихся в настоящих заключительных замечаниях. Комитет также просит государство-участник рассмотреть возможность представления вышеупомянутых докладов в соответствии с принятой Комитетом упрощенной процедурой представления докладов, согласно которой Комитет готовит перечень вопросов не менее чем за год до установленной даты представления доклада государством-участником. Ответы государства-участника на такой перечень вопросов являются его докладом.</w:t>
      </w:r>
    </w:p>
    <w:p w:rsidR="00ED4F86" w:rsidRPr="002231C9" w:rsidRDefault="00ED4F86" w:rsidP="00ED4F86">
      <w:pPr>
        <w:spacing w:before="240"/>
        <w:jc w:val="center"/>
        <w:rPr>
          <w:sz w:val="24"/>
          <w:szCs w:val="24"/>
          <w:u w:val="single"/>
        </w:rPr>
      </w:pPr>
      <w:r w:rsidRPr="002231C9">
        <w:rPr>
          <w:sz w:val="24"/>
          <w:szCs w:val="24"/>
          <w:u w:val="single"/>
        </w:rPr>
        <w:tab/>
      </w:r>
      <w:r w:rsidRPr="002231C9">
        <w:rPr>
          <w:sz w:val="24"/>
          <w:szCs w:val="24"/>
          <w:u w:val="single"/>
        </w:rPr>
        <w:tab/>
      </w:r>
      <w:r w:rsidRPr="002231C9">
        <w:rPr>
          <w:sz w:val="24"/>
          <w:szCs w:val="24"/>
          <w:u w:val="single"/>
        </w:rPr>
        <w:tab/>
      </w:r>
    </w:p>
    <w:p w:rsidR="00381C24" w:rsidRPr="002231C9" w:rsidRDefault="00381C24" w:rsidP="002E5067"/>
    <w:sectPr w:rsidR="00381C24" w:rsidRPr="002231C9" w:rsidSect="00ED4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9F" w:rsidRPr="00A312BC" w:rsidRDefault="008A799F" w:rsidP="00A312BC"/>
  </w:endnote>
  <w:endnote w:type="continuationSeparator" w:id="0">
    <w:p w:rsidR="008A799F" w:rsidRPr="00A312BC" w:rsidRDefault="008A79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86" w:rsidRPr="00ED4F86" w:rsidRDefault="00ED4F86">
    <w:pPr>
      <w:pStyle w:val="a8"/>
    </w:pPr>
    <w:r w:rsidRPr="00ED4F86">
      <w:rPr>
        <w:b/>
        <w:sz w:val="18"/>
      </w:rPr>
      <w:fldChar w:fldCharType="begin"/>
    </w:r>
    <w:r w:rsidRPr="00ED4F86">
      <w:rPr>
        <w:b/>
        <w:sz w:val="18"/>
      </w:rPr>
      <w:instrText xml:space="preserve"> PAGE  \* MERGEFORMAT </w:instrText>
    </w:r>
    <w:r w:rsidRPr="00ED4F86">
      <w:rPr>
        <w:b/>
        <w:sz w:val="18"/>
      </w:rPr>
      <w:fldChar w:fldCharType="separate"/>
    </w:r>
    <w:r w:rsidR="00F50C3F">
      <w:rPr>
        <w:b/>
        <w:noProof/>
        <w:sz w:val="18"/>
      </w:rPr>
      <w:t>2</w:t>
    </w:r>
    <w:r w:rsidRPr="00ED4F86">
      <w:rPr>
        <w:b/>
        <w:sz w:val="18"/>
      </w:rPr>
      <w:fldChar w:fldCharType="end"/>
    </w:r>
    <w:r>
      <w:rPr>
        <w:b/>
        <w:sz w:val="18"/>
      </w:rPr>
      <w:tab/>
    </w:r>
    <w:r>
      <w:t>GE.17-16718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86" w:rsidRPr="00ED4F86" w:rsidRDefault="00ED4F86" w:rsidP="00ED4F86">
    <w:pPr>
      <w:pStyle w:val="a8"/>
      <w:tabs>
        <w:tab w:val="clear" w:pos="9639"/>
        <w:tab w:val="right" w:pos="9638"/>
      </w:tabs>
      <w:rPr>
        <w:b/>
        <w:sz w:val="18"/>
      </w:rPr>
    </w:pPr>
    <w:r>
      <w:t>GE.17-16718</w:t>
    </w:r>
    <w:r>
      <w:tab/>
    </w:r>
    <w:r w:rsidRPr="00ED4F86">
      <w:rPr>
        <w:b/>
        <w:sz w:val="18"/>
      </w:rPr>
      <w:fldChar w:fldCharType="begin"/>
    </w:r>
    <w:r w:rsidRPr="00ED4F86">
      <w:rPr>
        <w:b/>
        <w:sz w:val="18"/>
      </w:rPr>
      <w:instrText xml:space="preserve"> PAGE  \* MERGEFORMAT </w:instrText>
    </w:r>
    <w:r w:rsidRPr="00ED4F86">
      <w:rPr>
        <w:b/>
        <w:sz w:val="18"/>
      </w:rPr>
      <w:fldChar w:fldCharType="separate"/>
    </w:r>
    <w:r w:rsidR="00F50C3F">
      <w:rPr>
        <w:b/>
        <w:noProof/>
        <w:sz w:val="18"/>
      </w:rPr>
      <w:t>15</w:t>
    </w:r>
    <w:r w:rsidRPr="00ED4F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D4F86" w:rsidRDefault="00ED4F86" w:rsidP="00ED4F8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7216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17-16718  (R)</w:t>
    </w:r>
    <w:r>
      <w:rPr>
        <w:lang w:val="en-US"/>
      </w:rPr>
      <w:t xml:space="preserve">  181017  201017</w:t>
    </w:r>
    <w:r>
      <w:br/>
    </w:r>
    <w:r w:rsidRPr="00ED4F86">
      <w:rPr>
        <w:rFonts w:ascii="C39T30Lfz" w:hAnsi="C39T30Lfz"/>
        <w:spacing w:val="0"/>
        <w:w w:val="100"/>
        <w:sz w:val="56"/>
      </w:rPr>
      <w:t></w:t>
    </w:r>
    <w:r w:rsidRPr="00ED4F86">
      <w:rPr>
        <w:rFonts w:ascii="C39T30Lfz" w:hAnsi="C39T30Lfz"/>
        <w:spacing w:val="0"/>
        <w:w w:val="100"/>
        <w:sz w:val="56"/>
      </w:rPr>
      <w:t></w:t>
    </w:r>
    <w:r w:rsidRPr="00ED4F86">
      <w:rPr>
        <w:rFonts w:ascii="C39T30Lfz" w:hAnsi="C39T30Lfz"/>
        <w:spacing w:val="0"/>
        <w:w w:val="100"/>
        <w:sz w:val="56"/>
      </w:rPr>
      <w:t></w:t>
    </w:r>
    <w:r w:rsidRPr="00ED4F86">
      <w:rPr>
        <w:rFonts w:ascii="C39T30Lfz" w:hAnsi="C39T30Lfz"/>
        <w:spacing w:val="0"/>
        <w:w w:val="100"/>
        <w:sz w:val="56"/>
      </w:rPr>
      <w:t></w:t>
    </w:r>
    <w:r w:rsidRPr="00ED4F86">
      <w:rPr>
        <w:rFonts w:ascii="C39T30Lfz" w:hAnsi="C39T30Lfz"/>
        <w:spacing w:val="0"/>
        <w:w w:val="100"/>
        <w:sz w:val="56"/>
      </w:rPr>
      <w:t></w:t>
    </w:r>
    <w:r w:rsidRPr="00ED4F86">
      <w:rPr>
        <w:rFonts w:ascii="C39T30Lfz" w:hAnsi="C39T30Lfz"/>
        <w:spacing w:val="0"/>
        <w:w w:val="100"/>
        <w:sz w:val="56"/>
      </w:rPr>
      <w:t></w:t>
    </w:r>
    <w:r w:rsidRPr="00ED4F86">
      <w:rPr>
        <w:rFonts w:ascii="C39T30Lfz" w:hAnsi="C39T30Lfz"/>
        <w:spacing w:val="0"/>
        <w:w w:val="100"/>
        <w:sz w:val="56"/>
      </w:rPr>
      <w:t></w:t>
    </w:r>
    <w:r w:rsidRPr="00ED4F86">
      <w:rPr>
        <w:rFonts w:ascii="C39T30Lfz" w:hAnsi="C39T30Lfz"/>
        <w:spacing w:val="0"/>
        <w:w w:val="100"/>
        <w:sz w:val="56"/>
      </w:rPr>
      <w:t></w:t>
    </w:r>
    <w:r w:rsidRPr="00ED4F8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MNE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NE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9F" w:rsidRPr="001075E9" w:rsidRDefault="008A79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799F" w:rsidRDefault="008A79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D4F86" w:rsidRPr="00EE1006" w:rsidRDefault="00ED4F86" w:rsidP="00ED4F86">
      <w:pPr>
        <w:pStyle w:val="ad"/>
        <w:spacing w:line="360" w:lineRule="auto"/>
        <w:rPr>
          <w:sz w:val="20"/>
          <w:lang w:val="ru-RU" w:eastAsia="zh-CN"/>
        </w:rPr>
      </w:pPr>
      <w:r w:rsidRPr="00FB3B03">
        <w:rPr>
          <w:szCs w:val="18"/>
        </w:rPr>
        <w:tab/>
      </w:r>
      <w:r w:rsidRPr="00176A14">
        <w:rPr>
          <w:sz w:val="20"/>
          <w:lang w:val="ru-RU"/>
        </w:rPr>
        <w:t>*</w:t>
      </w:r>
      <w:r w:rsidRPr="00176A14">
        <w:rPr>
          <w:szCs w:val="18"/>
          <w:lang w:val="ru-RU"/>
        </w:rPr>
        <w:tab/>
      </w:r>
      <w:r w:rsidRPr="00A67281">
        <w:rPr>
          <w:bCs/>
          <w:szCs w:val="18"/>
          <w:lang w:val="ru-RU"/>
        </w:rPr>
        <w:t>Приняты Комитетом на его восемнадцатой сессии (14–31 августа 2017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86" w:rsidRPr="00ED4F86" w:rsidRDefault="00F50C3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CRPD/C/MNE/CO/1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86" w:rsidRPr="00ED4F86" w:rsidRDefault="00F50C3F" w:rsidP="00ED4F8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CRPD/C/MNE/CO/1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86" w:rsidRDefault="00ED4F86" w:rsidP="00ED4F8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9F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21674"/>
    <w:rsid w:val="002231C9"/>
    <w:rsid w:val="0027441B"/>
    <w:rsid w:val="002846B3"/>
    <w:rsid w:val="00294B8A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F7426"/>
    <w:rsid w:val="0050108D"/>
    <w:rsid w:val="00513081"/>
    <w:rsid w:val="00517901"/>
    <w:rsid w:val="00526683"/>
    <w:rsid w:val="005326AD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47716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A799F"/>
    <w:rsid w:val="008B6909"/>
    <w:rsid w:val="00903712"/>
    <w:rsid w:val="00906890"/>
    <w:rsid w:val="00911BE4"/>
    <w:rsid w:val="0091256C"/>
    <w:rsid w:val="00951972"/>
    <w:rsid w:val="009608F3"/>
    <w:rsid w:val="009A24AC"/>
    <w:rsid w:val="00A14DA8"/>
    <w:rsid w:val="00A312BC"/>
    <w:rsid w:val="00A84021"/>
    <w:rsid w:val="00A84D35"/>
    <w:rsid w:val="00A917B3"/>
    <w:rsid w:val="00AB013C"/>
    <w:rsid w:val="00AB4B51"/>
    <w:rsid w:val="00AC12E8"/>
    <w:rsid w:val="00B10CC7"/>
    <w:rsid w:val="00B36DF7"/>
    <w:rsid w:val="00B539E7"/>
    <w:rsid w:val="00B62458"/>
    <w:rsid w:val="00BC18B2"/>
    <w:rsid w:val="00BD33EE"/>
    <w:rsid w:val="00C0427B"/>
    <w:rsid w:val="00C106D6"/>
    <w:rsid w:val="00C60F0C"/>
    <w:rsid w:val="00C805C9"/>
    <w:rsid w:val="00C92939"/>
    <w:rsid w:val="00CA1679"/>
    <w:rsid w:val="00CA490B"/>
    <w:rsid w:val="00CB151C"/>
    <w:rsid w:val="00CB3B2A"/>
    <w:rsid w:val="00CE5A1A"/>
    <w:rsid w:val="00CF55F6"/>
    <w:rsid w:val="00D1632D"/>
    <w:rsid w:val="00D33D63"/>
    <w:rsid w:val="00D90028"/>
    <w:rsid w:val="00D90138"/>
    <w:rsid w:val="00DC0EF1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D0D56"/>
    <w:rsid w:val="00ED4F86"/>
    <w:rsid w:val="00EF1360"/>
    <w:rsid w:val="00EF3220"/>
    <w:rsid w:val="00F43903"/>
    <w:rsid w:val="00F50C3F"/>
    <w:rsid w:val="00F6081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1B094"/>
  <w15:docId w15:val="{8AFE5B96-7BED-4882-8AE9-2BA8ABEA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2741-EA0B-4893-9B40-F46CB67B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16</Pages>
  <Words>5504</Words>
  <Characters>39852</Characters>
  <Application>Microsoft Office Word</Application>
  <DocSecurity>0</DocSecurity>
  <Lines>781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CRPD/C/MNE/CO/1</vt:lpstr>
      <vt:lpstr>A/</vt:lpstr>
    </vt:vector>
  </TitlesOfParts>
  <Company>DCM</Company>
  <LinksUpToDate>false</LinksUpToDate>
  <CharactersWithSpaces>45113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CRPD/C/MNE/CO/1</dc:title>
  <dc:subject/>
  <dc:creator>SHUVALOVA Natalia</dc:creator>
  <cp:keywords/>
  <cp:lastModifiedBy>SHUVALOVA Natalia</cp:lastModifiedBy>
  <cp:revision>3</cp:revision>
  <cp:lastPrinted>2017-10-20T07:58:00Z</cp:lastPrinted>
  <dcterms:created xsi:type="dcterms:W3CDTF">2017-10-20T07:58:00Z</dcterms:created>
  <dcterms:modified xsi:type="dcterms:W3CDTF">2017-10-20T07:59:00Z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