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8109D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109DB" w:rsidP="008109DB">
            <w:pPr>
              <w:jc w:val="right"/>
            </w:pPr>
            <w:r w:rsidRPr="008109DB">
              <w:rPr>
                <w:sz w:val="40"/>
              </w:rPr>
              <w:t>CERD</w:t>
            </w:r>
            <w:r>
              <w:t>/C/POL/Q/20-21</w:t>
            </w:r>
          </w:p>
        </w:tc>
      </w:tr>
      <w:tr w:rsidR="002D5AAC" w:rsidTr="008109D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109DB" w:rsidRDefault="008109DB" w:rsidP="00B778C8">
            <w:pPr>
              <w:spacing w:before="240"/>
            </w:pPr>
            <w:r>
              <w:t>Distr. general</w:t>
            </w:r>
          </w:p>
          <w:p w:rsidR="008109DB" w:rsidRDefault="008109DB" w:rsidP="008109DB">
            <w:pPr>
              <w:spacing w:line="240" w:lineRule="exact"/>
            </w:pPr>
            <w:r>
              <w:t>18 de noviembre de 2013</w:t>
            </w:r>
          </w:p>
          <w:p w:rsidR="008109DB" w:rsidRDefault="008109DB" w:rsidP="008109DB">
            <w:pPr>
              <w:spacing w:line="240" w:lineRule="exact"/>
            </w:pPr>
            <w:r>
              <w:t>Español</w:t>
            </w:r>
          </w:p>
          <w:p w:rsidR="002D5AAC" w:rsidRDefault="008109DB" w:rsidP="008109DB">
            <w:pPr>
              <w:spacing w:line="240" w:lineRule="exact"/>
            </w:pPr>
            <w:r>
              <w:t>Original: inglés</w:t>
            </w:r>
          </w:p>
        </w:tc>
      </w:tr>
    </w:tbl>
    <w:p w:rsidR="008109DB" w:rsidRPr="008109DB" w:rsidRDefault="008109DB" w:rsidP="008109DB">
      <w:pPr>
        <w:spacing w:before="120"/>
        <w:rPr>
          <w:b/>
          <w:sz w:val="24"/>
          <w:szCs w:val="24"/>
        </w:rPr>
      </w:pPr>
      <w:r w:rsidRPr="008109DB">
        <w:rPr>
          <w:b/>
          <w:sz w:val="24"/>
          <w:szCs w:val="24"/>
        </w:rPr>
        <w:t>Comité para la Eliminación de la Discriminación Racial</w:t>
      </w:r>
    </w:p>
    <w:p w:rsidR="008109DB" w:rsidRPr="00127CD6" w:rsidRDefault="008109DB" w:rsidP="008109DB">
      <w:pPr>
        <w:rPr>
          <w:b/>
        </w:rPr>
      </w:pPr>
      <w:r w:rsidRPr="00127CD6">
        <w:rPr>
          <w:b/>
        </w:rPr>
        <w:t>84º período de sesiones</w:t>
      </w:r>
    </w:p>
    <w:p w:rsidR="008109DB" w:rsidRPr="00127CD6" w:rsidRDefault="008109DB" w:rsidP="008109DB">
      <w:r w:rsidRPr="00127CD6">
        <w:t>3 a 21 de febrero de 2014</w:t>
      </w:r>
    </w:p>
    <w:p w:rsidR="008109DB" w:rsidRPr="00127CD6" w:rsidRDefault="008109DB" w:rsidP="008109DB">
      <w:r w:rsidRPr="00127CD6">
        <w:t>Tema 6 del programa provisional</w:t>
      </w:r>
    </w:p>
    <w:p w:rsidR="008109DB" w:rsidRDefault="008109DB" w:rsidP="008109DB">
      <w:pPr>
        <w:rPr>
          <w:b/>
        </w:rPr>
      </w:pPr>
      <w:r w:rsidRPr="00127CD6">
        <w:rPr>
          <w:b/>
        </w:rPr>
        <w:t>Examen de los inform</w:t>
      </w:r>
      <w:r w:rsidR="00A05C7F">
        <w:rPr>
          <w:b/>
        </w:rPr>
        <w:t>es, observaciones e información</w:t>
      </w:r>
    </w:p>
    <w:p w:rsidR="008109DB" w:rsidRDefault="008109DB" w:rsidP="008109DB">
      <w:pPr>
        <w:rPr>
          <w:b/>
        </w:rPr>
      </w:pPr>
      <w:r w:rsidRPr="00127CD6">
        <w:rPr>
          <w:b/>
        </w:rPr>
        <w:t>presentados por l</w:t>
      </w:r>
      <w:r w:rsidR="00A05C7F">
        <w:rPr>
          <w:b/>
        </w:rPr>
        <w:t>os Estados partes en virtud del</w:t>
      </w:r>
    </w:p>
    <w:p w:rsidR="008109DB" w:rsidRPr="00127CD6" w:rsidRDefault="008109DB" w:rsidP="008109DB">
      <w:pPr>
        <w:rPr>
          <w:b/>
        </w:rPr>
      </w:pPr>
      <w:r w:rsidRPr="00127CD6">
        <w:rPr>
          <w:b/>
        </w:rPr>
        <w:t>artículo 9 de la Convención</w:t>
      </w:r>
    </w:p>
    <w:p w:rsidR="008109DB" w:rsidRPr="008109DB" w:rsidRDefault="008109DB" w:rsidP="008109DB">
      <w:pPr>
        <w:pStyle w:val="HChG"/>
      </w:pPr>
      <w:r w:rsidRPr="008109DB">
        <w:tab/>
      </w:r>
      <w:r w:rsidRPr="008109DB">
        <w:tab/>
        <w:t xml:space="preserve">Lista de temas relativa a los informes periódicos 20º y 21º </w:t>
      </w:r>
      <w:r>
        <w:t>de </w:t>
      </w:r>
      <w:r w:rsidRPr="008109DB">
        <w:t>Polonia (CERD/C/POL/20-21)</w:t>
      </w:r>
    </w:p>
    <w:p w:rsidR="008109DB" w:rsidRPr="008109DB" w:rsidRDefault="008109DB" w:rsidP="008109DB">
      <w:pPr>
        <w:pStyle w:val="H1G"/>
      </w:pPr>
      <w:r w:rsidRPr="008109DB">
        <w:tab/>
      </w:r>
      <w:r w:rsidRPr="008109DB">
        <w:tab/>
        <w:t>Nota del Relator para el país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8109DB" w:rsidRPr="00127CD6" w:rsidTr="001271B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8109DB" w:rsidRPr="00127CD6" w:rsidRDefault="008109DB" w:rsidP="001271B8">
            <w:pPr>
              <w:pStyle w:val="SingleTxtG"/>
              <w:spacing w:after="0" w:line="240" w:lineRule="auto"/>
              <w:ind w:left="0" w:right="0"/>
              <w:jc w:val="left"/>
            </w:pPr>
          </w:p>
        </w:tc>
      </w:tr>
      <w:tr w:rsidR="008109DB" w:rsidRPr="00127CD6" w:rsidTr="001271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8109DB" w:rsidRPr="00127CD6" w:rsidRDefault="008109DB" w:rsidP="001271B8">
            <w:pPr>
              <w:spacing w:after="120"/>
              <w:jc w:val="both"/>
            </w:pPr>
            <w:r w:rsidRPr="00127CD6">
              <w:tab/>
      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      </w:r>
          </w:p>
        </w:tc>
      </w:tr>
      <w:tr w:rsidR="008109DB" w:rsidRPr="00127CD6" w:rsidTr="001271B8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8109DB" w:rsidRPr="00127CD6" w:rsidRDefault="008109DB" w:rsidP="001271B8">
            <w:pPr>
              <w:pStyle w:val="SingleTxtG"/>
              <w:spacing w:after="0" w:line="240" w:lineRule="auto"/>
              <w:ind w:left="0" w:right="0"/>
              <w:jc w:val="left"/>
            </w:pPr>
          </w:p>
        </w:tc>
      </w:tr>
    </w:tbl>
    <w:p w:rsidR="008109DB" w:rsidRPr="00127CD6" w:rsidRDefault="008109DB" w:rsidP="008109DB">
      <w:pPr>
        <w:pStyle w:val="H23G"/>
      </w:pPr>
      <w:r w:rsidRPr="00127CD6">
        <w:tab/>
        <w:t>1.</w:t>
      </w:r>
      <w:r w:rsidRPr="00127CD6">
        <w:tab/>
        <w:t>Estadísticas sobre la composición de la población</w:t>
      </w:r>
    </w:p>
    <w:p w:rsidR="008109DB" w:rsidRPr="00127CD6" w:rsidRDefault="008109DB" w:rsidP="008109DB">
      <w:pPr>
        <w:pStyle w:val="SingleTxtG"/>
      </w:pPr>
      <w:r w:rsidRPr="00127CD6">
        <w:tab/>
        <w:t>a)</w:t>
      </w:r>
      <w:r w:rsidRPr="00127CD6">
        <w:tab/>
        <w:t>Información actualizada sobre la composición étnica de la población, incluidos indicadores socioeconómicos pertinentes a raíz del censo nacional de 2011 y del estudio posterior al censo sobre la identidad nacional de la población (CERD/C/POL/20-21, párr. 11).</w:t>
      </w:r>
    </w:p>
    <w:p w:rsidR="008109DB" w:rsidRPr="00127CD6" w:rsidRDefault="008109DB" w:rsidP="008109DB">
      <w:pPr>
        <w:pStyle w:val="H23G"/>
      </w:pPr>
      <w:r w:rsidRPr="00127CD6">
        <w:tab/>
        <w:t>2.</w:t>
      </w:r>
      <w:r w:rsidRPr="00127CD6">
        <w:tab/>
        <w:t>La Convención en el derecho interno; marco institucional y de políticas para su aplicación (artículos 2, 4, 6 y 7)</w:t>
      </w:r>
    </w:p>
    <w:p w:rsidR="008109DB" w:rsidRPr="00127CD6" w:rsidRDefault="008109DB" w:rsidP="008109DB">
      <w:pPr>
        <w:pStyle w:val="SingleTxtG"/>
      </w:pPr>
      <w:r w:rsidRPr="00127CD6">
        <w:tab/>
        <w:t>a)</w:t>
      </w:r>
      <w:r w:rsidRPr="00127CD6">
        <w:tab/>
        <w:t>Medidas previstas para enmendar el Código Penal a fin de tipificar expresamente la motivación racial como circunstancia agravante de un delito (CERD/C/POL/20-21, párrs. 52 a 53, 97 y 98);</w:t>
      </w:r>
    </w:p>
    <w:p w:rsidR="008109DB" w:rsidRPr="00127CD6" w:rsidRDefault="008109DB" w:rsidP="008109DB">
      <w:pPr>
        <w:pStyle w:val="SingleTxtG"/>
      </w:pPr>
      <w:r w:rsidRPr="00127CD6">
        <w:tab/>
        <w:t>b)</w:t>
      </w:r>
      <w:r w:rsidRPr="00127CD6">
        <w:tab/>
        <w:t>Casos de aplicación directa de la Convención en el ordenamiento jurídico interno; medidas adicionales para difundir ampliamente la legislación contra la discriminación y concienciar a la población (CERD/C/POL/20-21, párr. 93);</w:t>
      </w:r>
    </w:p>
    <w:p w:rsidR="008109DB" w:rsidRPr="00127CD6" w:rsidRDefault="008109DB" w:rsidP="008109DB">
      <w:pPr>
        <w:pStyle w:val="SingleTxtG"/>
      </w:pPr>
      <w:r w:rsidRPr="00127CD6">
        <w:tab/>
        <w:t>c)</w:t>
      </w:r>
      <w:r w:rsidRPr="00127CD6">
        <w:tab/>
        <w:t>Recursos asignados al Defensor de los Derechos Humanos para hacer frente a la discriminación racial, en particular a las denuncias presentadas contra la policía (CERD/C/POL/CO/19, párr. 6; CERD/C/POL/20-21, párrs. 27 a 30 y 113 a 115);</w:t>
      </w:r>
    </w:p>
    <w:p w:rsidR="008109DB" w:rsidRPr="008109DB" w:rsidRDefault="008109DB" w:rsidP="008109DB">
      <w:pPr>
        <w:pStyle w:val="SingleTxtG"/>
      </w:pPr>
      <w:r w:rsidRPr="00127CD6">
        <w:tab/>
        <w:t>d)</w:t>
      </w:r>
      <w:r w:rsidRPr="00127CD6">
        <w:tab/>
        <w:t xml:space="preserve">Información adicional sobre la labor de los "consultores sobre racismo" en la Fiscalía (CERD/C/POL/20-21, párr. 33) y del Consejo de Lucha contra la Discriminación Racial, la Xenofobia y las Formas Conexas de Intolerancia (CERD/C/POL/CO/19, párr. </w:t>
      </w:r>
      <w:r w:rsidRPr="008109DB">
        <w:t>13; CERD/C/POL/20-21, párr. 81);</w:t>
      </w:r>
    </w:p>
    <w:p w:rsidR="008109DB" w:rsidRPr="00127CD6" w:rsidRDefault="008109DB" w:rsidP="008109DB">
      <w:pPr>
        <w:pStyle w:val="SingleTxtG"/>
      </w:pPr>
      <w:r w:rsidRPr="008109DB">
        <w:tab/>
      </w:r>
      <w:r w:rsidRPr="00127CD6">
        <w:t>e)</w:t>
      </w:r>
      <w:r w:rsidRPr="00127CD6">
        <w:tab/>
      </w:r>
      <w:r w:rsidRPr="004721E7">
        <w:rPr>
          <w:spacing w:val="-4"/>
        </w:rPr>
        <w:t>Efectos de las sesiones de capacitación organizadas para los agentes del orden sobre la prevención y la lucha contra los delitos motivados por prejuicios</w:t>
      </w:r>
      <w:r w:rsidRPr="004721E7">
        <w:rPr>
          <w:spacing w:val="-6"/>
        </w:rPr>
        <w:t xml:space="preserve"> (CERD/C/POL/CO/19, </w:t>
      </w:r>
      <w:r w:rsidRPr="004721E7">
        <w:rPr>
          <w:spacing w:val="-2"/>
        </w:rPr>
        <w:t xml:space="preserve">párr. </w:t>
      </w:r>
      <w:r w:rsidRPr="004721E7">
        <w:rPr>
          <w:spacing w:val="-2"/>
          <w:lang w:val="en-GB"/>
        </w:rPr>
        <w:t xml:space="preserve">6; CERD/C/POL/20-21, párrs. 27 a 29, CERD/C/POL/CO/19/Add.1, párrs. </w:t>
      </w:r>
      <w:r w:rsidRPr="004721E7">
        <w:rPr>
          <w:spacing w:val="-2"/>
        </w:rPr>
        <w:t>25 a 49);</w:t>
      </w:r>
    </w:p>
    <w:p w:rsidR="008109DB" w:rsidRPr="00127CD6" w:rsidRDefault="008109DB" w:rsidP="008109DB">
      <w:pPr>
        <w:pStyle w:val="SingleTxtG"/>
      </w:pPr>
      <w:r w:rsidRPr="00127CD6">
        <w:tab/>
        <w:t>f)</w:t>
      </w:r>
      <w:r w:rsidRPr="00127CD6">
        <w:tab/>
        <w:t>Información actualizada sobre los retos existentes y las medidas adicionales adoptadas para combatir el racismo en el deporte y proporcionar reparación a las víctimas (CERD/C/POL/CO/19, párr. 8; CERD/C/POL/20-21, párrs. 42 a 51);</w:t>
      </w:r>
    </w:p>
    <w:p w:rsidR="008109DB" w:rsidRPr="00127CD6" w:rsidRDefault="008109DB" w:rsidP="008109DB">
      <w:pPr>
        <w:pStyle w:val="SingleTxtG"/>
      </w:pPr>
      <w:r w:rsidRPr="00127CD6">
        <w:tab/>
        <w:t>g)</w:t>
      </w:r>
      <w:r w:rsidRPr="00127CD6">
        <w:tab/>
        <w:t>Medidas adicionales para hacer frente a las organizaciones racistas y a los discursos racistas en los medios de comunicación, incluido Internet (CERD/C/POL/CO/19, párrs. 9 y 11; CERD/C/POL/20-21, párrs. 52 a 54, 77 a 80 y 97 a 111).</w:t>
      </w:r>
    </w:p>
    <w:p w:rsidR="008109DB" w:rsidRPr="00127CD6" w:rsidRDefault="008109DB" w:rsidP="008109DB">
      <w:pPr>
        <w:pStyle w:val="H23G"/>
      </w:pPr>
      <w:r w:rsidRPr="00127CD6">
        <w:tab/>
        <w:t>3.</w:t>
      </w:r>
      <w:r w:rsidRPr="00127CD6">
        <w:tab/>
        <w:t xml:space="preserve">Aplicación de la Convención a las minorías nacionales y étnicas (artículos 2, 4, </w:t>
      </w:r>
      <w:r w:rsidRPr="00127CD6">
        <w:br/>
        <w:t>5 y 7)</w:t>
      </w:r>
    </w:p>
    <w:p w:rsidR="008109DB" w:rsidRPr="00127CD6" w:rsidRDefault="008109DB" w:rsidP="008109DB">
      <w:pPr>
        <w:pStyle w:val="SingleTxtG"/>
      </w:pPr>
      <w:r w:rsidRPr="00127CD6">
        <w:tab/>
        <w:t>a)</w:t>
      </w:r>
      <w:r w:rsidRPr="00127CD6">
        <w:tab/>
        <w:t>Medidas adicionales adoptadas o previstas para combatir estereotipos negativos relativos a las minorías nacionales y étnicas, incluida la sensibilización de la opinión pública sobre el diálogo intercultural y la tolerancia; resultados alcanzados en la aplicación de la Ley de minorías nacionales y étnicas e idiomas regionales (CERD/C/POL/20-21, párrs. 1 y 2, 174 a 183 y 189);</w:t>
      </w:r>
    </w:p>
    <w:p w:rsidR="008109DB" w:rsidRPr="00127CD6" w:rsidRDefault="008109DB" w:rsidP="008109DB">
      <w:pPr>
        <w:pStyle w:val="SingleTxtG"/>
      </w:pPr>
      <w:r w:rsidRPr="00127CD6">
        <w:tab/>
        <w:t>b)</w:t>
      </w:r>
      <w:r w:rsidRPr="00127CD6">
        <w:tab/>
        <w:t>Información adicional acerca de los resultados de la encuesta de 2012 sobre asociaciones nacionales que servirán para organizar actividades destinadas a erradicar los prejuicios y la discriminación hacia las minorías (CERD/C/POL/20-21, párr. 196);</w:t>
      </w:r>
    </w:p>
    <w:p w:rsidR="008109DB" w:rsidRPr="00127CD6" w:rsidRDefault="008109DB" w:rsidP="008109DB">
      <w:pPr>
        <w:pStyle w:val="SingleTxtG"/>
      </w:pPr>
      <w:r w:rsidRPr="00127CD6">
        <w:tab/>
        <w:t>c)</w:t>
      </w:r>
      <w:r w:rsidRPr="00127CD6">
        <w:tab/>
        <w:t>Situación de la comunidad judía en Polonia, sus lugares de culto y sus cementerios (CERD/C/POL/CO/19/Add.1, párrs. 50 a 66); efectos de las medidas adoptadas a este respecto, como actividades educativas para combatir los actos de carácter antisemita (CERD/C/POL/CO/19, párr. 7; CERD/C/POL/20-21, párrs. 36 a 41).</w:t>
      </w:r>
    </w:p>
    <w:p w:rsidR="008109DB" w:rsidRPr="00127CD6" w:rsidRDefault="008109DB" w:rsidP="008109DB">
      <w:pPr>
        <w:pStyle w:val="H23G"/>
      </w:pPr>
      <w:r w:rsidRPr="00127CD6">
        <w:tab/>
        <w:t>4.</w:t>
      </w:r>
      <w:r w:rsidRPr="00127CD6">
        <w:tab/>
        <w:t>Situación de la comunidad romaní (artículos 2 a 7)</w:t>
      </w:r>
    </w:p>
    <w:p w:rsidR="008109DB" w:rsidRPr="00127CD6" w:rsidRDefault="008109DB" w:rsidP="008109DB">
      <w:pPr>
        <w:pStyle w:val="SingleTxtG"/>
      </w:pPr>
      <w:r w:rsidRPr="00127CD6">
        <w:tab/>
        <w:t>a)</w:t>
      </w:r>
      <w:r w:rsidRPr="00127CD6">
        <w:tab/>
        <w:t>Información actualizada sobre la labor del Equipo de Asuntos de los Romaníes (CERD/C/POL/20-21, párr. 1);</w:t>
      </w:r>
    </w:p>
    <w:p w:rsidR="008109DB" w:rsidRPr="00127CD6" w:rsidRDefault="008109DB" w:rsidP="008109DB">
      <w:pPr>
        <w:pStyle w:val="SingleTxtG"/>
      </w:pPr>
      <w:r w:rsidRPr="00127CD6">
        <w:tab/>
        <w:t>b)</w:t>
      </w:r>
      <w:r w:rsidRPr="00127CD6">
        <w:tab/>
      </w:r>
      <w:r w:rsidRPr="00A05C7F">
        <w:rPr>
          <w:spacing w:val="-3"/>
        </w:rPr>
        <w:t>Resultados concretos obtenidos mediante el Programa en favor de la comunidad romaní de Polonia 2004-2013, en particular en relación con su disfrute de los derechos económicos, sociales y culturales</w:t>
      </w:r>
      <w:r w:rsidRPr="00A05C7F">
        <w:rPr>
          <w:spacing w:val="-2"/>
        </w:rPr>
        <w:t xml:space="preserve"> (</w:t>
      </w:r>
      <w:r w:rsidRPr="0023088F">
        <w:t>CERD/C/POL/CO/19, párr. 4</w:t>
      </w:r>
      <w:r w:rsidR="00A05C7F" w:rsidRPr="0023088F">
        <w:t>; CERD/C/POL/20-</w:t>
      </w:r>
      <w:r w:rsidRPr="0023088F">
        <w:t>21, párrs. 3 y 6, CERD/C/POL/CO/19/Add.1, párrs. 1 a 24);</w:t>
      </w:r>
    </w:p>
    <w:p w:rsidR="008109DB" w:rsidRPr="00127CD6" w:rsidRDefault="008109DB" w:rsidP="008109DB">
      <w:pPr>
        <w:pStyle w:val="SingleTxtG"/>
      </w:pPr>
      <w:r w:rsidRPr="00127CD6">
        <w:tab/>
        <w:t>c)</w:t>
      </w:r>
      <w:r w:rsidRPr="00127CD6">
        <w:tab/>
        <w:t>Información adicional sobre la educación de los niños romaníes, incluidas las medidas adicionales adoptadas para reducir la tasa de abandono e</w:t>
      </w:r>
      <w:r>
        <w:t xml:space="preserve">scolar (CERD/C/POL/CO/19, párr. </w:t>
      </w:r>
      <w:r w:rsidRPr="00127CD6">
        <w:t>5; CERD/C/POL/20-21, párrs. 12 a 26);</w:t>
      </w:r>
    </w:p>
    <w:p w:rsidR="008109DB" w:rsidRPr="00127CD6" w:rsidRDefault="008109DB" w:rsidP="008109DB">
      <w:pPr>
        <w:pStyle w:val="SingleTxtG"/>
      </w:pPr>
      <w:r w:rsidRPr="00127CD6">
        <w:tab/>
        <w:t>d)</w:t>
      </w:r>
      <w:r w:rsidRPr="00127CD6">
        <w:tab/>
        <w:t>Iniciativas para promover el derecho a una vivienda adecuada y medidas adoptadas para eliminar la segregación de hecho de los romaníes en materia de vivienda (CERD/C/POL/20-21, párr. 3).</w:t>
      </w:r>
    </w:p>
    <w:p w:rsidR="008109DB" w:rsidRPr="00127CD6" w:rsidRDefault="008109DB" w:rsidP="008109DB">
      <w:pPr>
        <w:pStyle w:val="H23G"/>
      </w:pPr>
      <w:r w:rsidRPr="00127CD6">
        <w:tab/>
        <w:t>5.</w:t>
      </w:r>
      <w:r w:rsidRPr="00127CD6">
        <w:tab/>
        <w:t xml:space="preserve">Discriminación contra los no ciudadanos, incluidos los migrantes, los refugiados </w:t>
      </w:r>
      <w:r w:rsidRPr="00127CD6">
        <w:br/>
        <w:t>y los solicitantes de asilo (artículos 5</w:t>
      </w:r>
      <w:r w:rsidRPr="00127CD6">
        <w:t xml:space="preserve"> </w:t>
      </w:r>
      <w:r w:rsidRPr="00127CD6">
        <w:t>y 6)</w:t>
      </w:r>
    </w:p>
    <w:p w:rsidR="008109DB" w:rsidRPr="00127CD6" w:rsidRDefault="008109DB" w:rsidP="008109DB">
      <w:pPr>
        <w:pStyle w:val="SingleTxtG"/>
      </w:pPr>
      <w:r w:rsidRPr="00127CD6">
        <w:tab/>
        <w:t>a)</w:t>
      </w:r>
      <w:r w:rsidRPr="00127CD6">
        <w:tab/>
        <w:t xml:space="preserve">Información detallada sobre las condiciones de </w:t>
      </w:r>
      <w:r w:rsidR="004721E7">
        <w:t>detención</w:t>
      </w:r>
      <w:r w:rsidRPr="00127CD6">
        <w:t xml:space="preserve"> de los extranjeros en las zonas de tránsito y los centros de deportación; información actualizada sobre la detención de niños que tratan de obtener la condición de refugiado (A/HRC/21/14 y Add.1, párrs. 90.118 y 90.121);</w:t>
      </w:r>
    </w:p>
    <w:p w:rsidR="008109DB" w:rsidRPr="00127CD6" w:rsidRDefault="008109DB" w:rsidP="008109DB">
      <w:pPr>
        <w:pStyle w:val="SingleTxtG"/>
      </w:pPr>
      <w:r w:rsidRPr="00127CD6">
        <w:tab/>
        <w:t>b)</w:t>
      </w:r>
      <w:r w:rsidRPr="00127CD6">
        <w:tab/>
        <w:t>Medidas adicionales para facilitar la in</w:t>
      </w:r>
      <w:r>
        <w:t>tegración de los no ciudadanos, </w:t>
      </w:r>
      <w:r w:rsidRPr="00127CD6">
        <w:t xml:space="preserve">incluido el acceso a servicios de atención de la salud, a la educación, a una </w:t>
      </w:r>
      <w:r>
        <w:t xml:space="preserve">vivienda </w:t>
      </w:r>
      <w:r w:rsidRPr="00127CD6">
        <w:t>adecuada y al mercado laboral (A/HRC/WG.6/13/POL/2, párr. 59; A/HRC/WG.6/13/POL/3, párrs. 8 y 9 y</w:t>
      </w:r>
      <w:r>
        <w:t xml:space="preserve"> 54 a 56</w:t>
      </w:r>
      <w:r w:rsidRPr="00127CD6">
        <w:t>);</w:t>
      </w:r>
    </w:p>
    <w:p w:rsidR="008109DB" w:rsidRPr="00127CD6" w:rsidRDefault="008109DB" w:rsidP="008109DB">
      <w:pPr>
        <w:pStyle w:val="SingleTxtG"/>
      </w:pPr>
      <w:r w:rsidRPr="00127CD6">
        <w:tab/>
        <w:t>c)</w:t>
      </w:r>
      <w:r w:rsidRPr="00127CD6">
        <w:tab/>
        <w:t>Esfuerzos realizados para combatir la discriminación y la xenofobia en las regiones o áreas en que hay centros de acogida para solicitantes de asilo (A/HRC/WG.6/13/POL/2, párr. 13);</w:t>
      </w:r>
    </w:p>
    <w:p w:rsidR="008109DB" w:rsidRPr="00127CD6" w:rsidRDefault="008109DB" w:rsidP="008109DB">
      <w:pPr>
        <w:pStyle w:val="SingleTxtG"/>
      </w:pPr>
      <w:r w:rsidRPr="00127CD6">
        <w:tab/>
        <w:t>d)</w:t>
      </w:r>
      <w:r w:rsidRPr="00127CD6">
        <w:tab/>
        <w:t>Medidas adicionales para prevenir y combatir la trata y para proporcionar medios de reparación a las víctimas, en particular las de origen extranjero (CERD/C/POL/CO/19, párr. 10; CERD/C/POL/20-21, párrs. 55 a 76).</w:t>
      </w:r>
    </w:p>
    <w:p w:rsidR="008109DB" w:rsidRPr="00127CD6" w:rsidRDefault="008109DB" w:rsidP="008109DB">
      <w:pPr>
        <w:pStyle w:val="SingleTxtG"/>
        <w:spacing w:before="240"/>
        <w:jc w:val="center"/>
        <w:rPr>
          <w:u w:val="single"/>
        </w:rPr>
      </w:pPr>
      <w:r w:rsidRPr="00127CD6">
        <w:rPr>
          <w:u w:val="single"/>
        </w:rPr>
        <w:tab/>
      </w:r>
      <w:r w:rsidRPr="00127CD6">
        <w:rPr>
          <w:u w:val="single"/>
        </w:rPr>
        <w:tab/>
      </w:r>
      <w:r w:rsidRPr="00127CD6">
        <w:rPr>
          <w:u w:val="single"/>
        </w:rPr>
        <w:tab/>
      </w:r>
    </w:p>
    <w:sectPr w:rsidR="008109DB" w:rsidRPr="00127CD6" w:rsidSect="008109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B8" w:rsidRPr="00D43FF0" w:rsidRDefault="00D219B8" w:rsidP="00D43FF0">
      <w:pPr>
        <w:pStyle w:val="Footer"/>
      </w:pPr>
    </w:p>
  </w:endnote>
  <w:endnote w:type="continuationSeparator" w:id="0">
    <w:p w:rsidR="00D219B8" w:rsidRPr="00D43FF0" w:rsidRDefault="00D219B8" w:rsidP="00D43FF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B8" w:rsidRPr="008109DB" w:rsidRDefault="001271B8" w:rsidP="008109DB">
    <w:pPr>
      <w:pStyle w:val="Footer"/>
      <w:tabs>
        <w:tab w:val="right" w:pos="9638"/>
      </w:tabs>
    </w:pPr>
    <w:r w:rsidRPr="008109DB">
      <w:rPr>
        <w:b/>
        <w:sz w:val="18"/>
      </w:rPr>
      <w:fldChar w:fldCharType="begin"/>
    </w:r>
    <w:r w:rsidRPr="008109DB">
      <w:rPr>
        <w:b/>
        <w:sz w:val="18"/>
      </w:rPr>
      <w:instrText xml:space="preserve"> PAGE  \* MERGEFORMAT </w:instrText>
    </w:r>
    <w:r w:rsidRPr="008109DB">
      <w:rPr>
        <w:b/>
        <w:sz w:val="18"/>
      </w:rPr>
      <w:fldChar w:fldCharType="separate"/>
    </w:r>
    <w:r w:rsidR="00CF5132">
      <w:rPr>
        <w:b/>
        <w:noProof/>
        <w:sz w:val="18"/>
      </w:rPr>
      <w:t>2</w:t>
    </w:r>
    <w:r w:rsidRPr="008109DB">
      <w:rPr>
        <w:b/>
        <w:sz w:val="18"/>
      </w:rPr>
      <w:fldChar w:fldCharType="end"/>
    </w:r>
    <w:r>
      <w:rPr>
        <w:b/>
        <w:sz w:val="18"/>
      </w:rPr>
      <w:tab/>
    </w:r>
    <w:r>
      <w:t>GE.13-48819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B8" w:rsidRPr="008109DB" w:rsidRDefault="001271B8" w:rsidP="008109DB">
    <w:pPr>
      <w:pStyle w:val="Footer"/>
      <w:tabs>
        <w:tab w:val="right" w:pos="9638"/>
      </w:tabs>
      <w:rPr>
        <w:b/>
        <w:sz w:val="18"/>
      </w:rPr>
    </w:pPr>
    <w:r>
      <w:t>GE.13-48819</w:t>
    </w:r>
    <w:r>
      <w:tab/>
    </w:r>
    <w:r w:rsidRPr="008109DB">
      <w:rPr>
        <w:b/>
        <w:sz w:val="18"/>
      </w:rPr>
      <w:fldChar w:fldCharType="begin"/>
    </w:r>
    <w:r w:rsidRPr="008109DB">
      <w:rPr>
        <w:b/>
        <w:sz w:val="18"/>
      </w:rPr>
      <w:instrText xml:space="preserve"> PAGE  \* MERGEFORMAT </w:instrText>
    </w:r>
    <w:r w:rsidRPr="008109DB">
      <w:rPr>
        <w:b/>
        <w:sz w:val="18"/>
      </w:rPr>
      <w:fldChar w:fldCharType="separate"/>
    </w:r>
    <w:r w:rsidR="00CF5132">
      <w:rPr>
        <w:b/>
        <w:noProof/>
        <w:sz w:val="18"/>
      </w:rPr>
      <w:t>3</w:t>
    </w:r>
    <w:r w:rsidRPr="008109D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B8" w:rsidRDefault="001271B8" w:rsidP="008109DB">
    <w:pPr>
      <w:pStyle w:val="Footer"/>
      <w:spacing w:before="240"/>
      <w:rPr>
        <w:sz w:val="20"/>
      </w:rPr>
    </w:pPr>
    <w:r>
      <w:rPr>
        <w:sz w:val="20"/>
      </w:rPr>
      <w:t>GE.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13-48819  (S)    061213    101213</w:t>
    </w:r>
  </w:p>
  <w:p w:rsidR="001271B8" w:rsidRPr="008109DB" w:rsidRDefault="001271B8" w:rsidP="008109DB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20-21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B8" w:rsidRPr="001075E9" w:rsidRDefault="00D219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19B8" w:rsidRDefault="00D219B8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B8" w:rsidRPr="008109DB" w:rsidRDefault="001271B8">
    <w:pPr>
      <w:pStyle w:val="Header"/>
    </w:pPr>
    <w:r>
      <w:t>CERD/C/POL/Q/20-21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B8" w:rsidRPr="008109DB" w:rsidRDefault="001271B8" w:rsidP="008109DB">
    <w:pPr>
      <w:pStyle w:val="Header"/>
      <w:jc w:val="right"/>
    </w:pPr>
    <w:r>
      <w:t>CERD/C/POL/Q/20-21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C4"/>
    <w:rsid w:val="00006BB9"/>
    <w:rsid w:val="000107A1"/>
    <w:rsid w:val="0002339D"/>
    <w:rsid w:val="00036733"/>
    <w:rsid w:val="000B57E7"/>
    <w:rsid w:val="000C7C10"/>
    <w:rsid w:val="000F09DF"/>
    <w:rsid w:val="000F61B2"/>
    <w:rsid w:val="00103A93"/>
    <w:rsid w:val="001075E9"/>
    <w:rsid w:val="001271B8"/>
    <w:rsid w:val="00133DFF"/>
    <w:rsid w:val="00145F2F"/>
    <w:rsid w:val="00160FF7"/>
    <w:rsid w:val="00180183"/>
    <w:rsid w:val="00196389"/>
    <w:rsid w:val="001C7A89"/>
    <w:rsid w:val="00201F1A"/>
    <w:rsid w:val="0023088F"/>
    <w:rsid w:val="002433EC"/>
    <w:rsid w:val="00246FA3"/>
    <w:rsid w:val="0025226E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46B"/>
    <w:rsid w:val="00454E07"/>
    <w:rsid w:val="00471CB3"/>
    <w:rsid w:val="004721E7"/>
    <w:rsid w:val="0050108D"/>
    <w:rsid w:val="0051740C"/>
    <w:rsid w:val="00572E19"/>
    <w:rsid w:val="005F0B42"/>
    <w:rsid w:val="0061367B"/>
    <w:rsid w:val="00634841"/>
    <w:rsid w:val="00655A21"/>
    <w:rsid w:val="006725B3"/>
    <w:rsid w:val="006808A9"/>
    <w:rsid w:val="006936C4"/>
    <w:rsid w:val="006D631C"/>
    <w:rsid w:val="006F35EE"/>
    <w:rsid w:val="007021FF"/>
    <w:rsid w:val="007076CB"/>
    <w:rsid w:val="00717345"/>
    <w:rsid w:val="007967DF"/>
    <w:rsid w:val="008109DB"/>
    <w:rsid w:val="00834B71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A05C7F"/>
    <w:rsid w:val="00A17DFD"/>
    <w:rsid w:val="00A4674B"/>
    <w:rsid w:val="00A917B3"/>
    <w:rsid w:val="00AB4B51"/>
    <w:rsid w:val="00B066FC"/>
    <w:rsid w:val="00B10CC7"/>
    <w:rsid w:val="00B35309"/>
    <w:rsid w:val="00B62458"/>
    <w:rsid w:val="00B778C8"/>
    <w:rsid w:val="00BA3587"/>
    <w:rsid w:val="00BB36EA"/>
    <w:rsid w:val="00BD33EE"/>
    <w:rsid w:val="00C60F0C"/>
    <w:rsid w:val="00C63C2A"/>
    <w:rsid w:val="00C805C9"/>
    <w:rsid w:val="00CA1679"/>
    <w:rsid w:val="00CF5132"/>
    <w:rsid w:val="00D05347"/>
    <w:rsid w:val="00D219B8"/>
    <w:rsid w:val="00D43FF0"/>
    <w:rsid w:val="00D90138"/>
    <w:rsid w:val="00DA26B8"/>
    <w:rsid w:val="00DD4E25"/>
    <w:rsid w:val="00E73F76"/>
    <w:rsid w:val="00EA31D8"/>
    <w:rsid w:val="00EA5579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EA31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3</Pages>
  <Words>964</Words>
  <Characters>5306</Characters>
  <Application>Microsoft Office Outlook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CERD/C/POL/Q/20-21</vt:lpstr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CERD/C/POL/Q/20-21</dc:title>
  <dc:subject>Final</dc:subject>
  <dc:creator>Ángel Moreno</dc:creator>
  <cp:keywords/>
  <dc:description/>
  <cp:lastModifiedBy>Maruchi Zeballos</cp:lastModifiedBy>
  <cp:revision>2</cp:revision>
  <cp:lastPrinted>2013-12-10T08:33:00Z</cp:lastPrinted>
  <dcterms:created xsi:type="dcterms:W3CDTF">2013-12-10T09:22:00Z</dcterms:created>
  <dcterms:modified xsi:type="dcterms:W3CDTF">2013-12-10T09:22:00Z</dcterms:modified>
</cp:coreProperties>
</file>