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B94701" w:rsidP="00B94701">
            <w:pPr>
              <w:jc w:val="right"/>
            </w:pPr>
            <w:r w:rsidRPr="00B94701">
              <w:rPr>
                <w:sz w:val="40"/>
              </w:rPr>
              <w:t>CERD</w:t>
            </w:r>
            <w:r>
              <w:t>/C/POL/Q/20-21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B9470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B94701" w:rsidRDefault="00B94701" w:rsidP="00593658">
            <w:pPr>
              <w:spacing w:before="240"/>
            </w:pPr>
            <w:r>
              <w:t>Distr. générale</w:t>
            </w:r>
          </w:p>
          <w:p w:rsidR="00B94701" w:rsidRDefault="00B94701" w:rsidP="00B94701">
            <w:pPr>
              <w:spacing w:line="240" w:lineRule="exact"/>
            </w:pPr>
            <w:r>
              <w:t xml:space="preserve">18 novembre 2013 </w:t>
            </w:r>
          </w:p>
          <w:p w:rsidR="00B94701" w:rsidRDefault="00B94701" w:rsidP="00B94701">
            <w:pPr>
              <w:spacing w:line="240" w:lineRule="exact"/>
            </w:pPr>
            <w:r>
              <w:t>Français</w:t>
            </w:r>
          </w:p>
          <w:p w:rsidR="002E0D40" w:rsidRPr="00DB58B5" w:rsidRDefault="00B94701" w:rsidP="00B94701">
            <w:pPr>
              <w:spacing w:line="240" w:lineRule="exact"/>
            </w:pPr>
            <w:r>
              <w:t>Original: anglais</w:t>
            </w:r>
          </w:p>
        </w:tc>
      </w:tr>
    </w:tbl>
    <w:p w:rsidR="00FF1DBD" w:rsidRDefault="0078670C" w:rsidP="00B94701">
      <w:pPr>
        <w:spacing w:before="120"/>
        <w:rPr>
          <w:b/>
          <w:sz w:val="24"/>
          <w:szCs w:val="24"/>
        </w:rPr>
      </w:pPr>
      <w:r w:rsidRPr="00C56102">
        <w:rPr>
          <w:b/>
          <w:sz w:val="24"/>
          <w:szCs w:val="24"/>
        </w:rPr>
        <w:t>Comité pour l</w:t>
      </w:r>
      <w:r w:rsidR="00B94701">
        <w:rPr>
          <w:b/>
          <w:sz w:val="24"/>
          <w:szCs w:val="24"/>
        </w:rPr>
        <w:t>’</w:t>
      </w:r>
      <w:r w:rsidRPr="00C56102">
        <w:rPr>
          <w:b/>
          <w:sz w:val="24"/>
          <w:szCs w:val="24"/>
        </w:rPr>
        <w:t>éliminati</w:t>
      </w:r>
      <w:r w:rsidR="00B94701">
        <w:rPr>
          <w:b/>
          <w:sz w:val="24"/>
          <w:szCs w:val="24"/>
        </w:rPr>
        <w:t>on de la discrimination raciale</w:t>
      </w:r>
    </w:p>
    <w:p w:rsidR="00B94701" w:rsidRPr="00236F58" w:rsidRDefault="00B94701" w:rsidP="00236F58">
      <w:pPr>
        <w:rPr>
          <w:b/>
          <w:lang w:val="fr-FR"/>
        </w:rPr>
      </w:pPr>
      <w:r w:rsidRPr="00236F58">
        <w:rPr>
          <w:b/>
          <w:lang w:val="fr-FR"/>
        </w:rPr>
        <w:t>Quatre-vingt</w:t>
      </w:r>
      <w:r w:rsidR="008B3097">
        <w:rPr>
          <w:b/>
          <w:lang w:val="fr-FR"/>
        </w:rPr>
        <w:t>-</w:t>
      </w:r>
      <w:r w:rsidRPr="00236F58">
        <w:rPr>
          <w:b/>
          <w:lang w:val="fr-FR"/>
        </w:rPr>
        <w:t xml:space="preserve">quatrième session </w:t>
      </w:r>
    </w:p>
    <w:p w:rsidR="00B94701" w:rsidRPr="00236F58" w:rsidRDefault="00B94701" w:rsidP="00236F58">
      <w:pPr>
        <w:rPr>
          <w:lang w:val="fr-FR"/>
        </w:rPr>
      </w:pPr>
      <w:r w:rsidRPr="00236F58">
        <w:rPr>
          <w:lang w:val="fr-FR"/>
        </w:rPr>
        <w:t>3-21 février 2014</w:t>
      </w:r>
    </w:p>
    <w:p w:rsidR="00B94701" w:rsidRPr="00236F58" w:rsidRDefault="00B94701" w:rsidP="00236F58">
      <w:pPr>
        <w:rPr>
          <w:lang w:val="fr-FR"/>
        </w:rPr>
      </w:pPr>
      <w:r w:rsidRPr="00236F58">
        <w:rPr>
          <w:lang w:val="fr-FR"/>
        </w:rPr>
        <w:t>Point 6 de l’ordre du jour provisoire</w:t>
      </w:r>
    </w:p>
    <w:p w:rsidR="00B94701" w:rsidRPr="00236F58" w:rsidRDefault="00B94701" w:rsidP="00236F58">
      <w:pPr>
        <w:rPr>
          <w:b/>
          <w:lang w:val="fr-FR"/>
        </w:rPr>
      </w:pPr>
      <w:r w:rsidRPr="00236F58">
        <w:rPr>
          <w:b/>
          <w:lang w:val="fr-FR"/>
        </w:rPr>
        <w:t xml:space="preserve">Examen des rapports, observations et renseignements </w:t>
      </w:r>
      <w:r w:rsidR="000844A3">
        <w:rPr>
          <w:b/>
          <w:lang w:val="fr-FR"/>
        </w:rPr>
        <w:t>présentés</w:t>
      </w:r>
      <w:r w:rsidRPr="00236F58">
        <w:rPr>
          <w:b/>
          <w:lang w:val="fr-FR"/>
        </w:rPr>
        <w:t xml:space="preserve"> </w:t>
      </w:r>
      <w:r w:rsidRPr="00236F58">
        <w:rPr>
          <w:b/>
          <w:lang w:val="fr-FR"/>
        </w:rPr>
        <w:br/>
        <w:t xml:space="preserve">par les États parties </w:t>
      </w:r>
      <w:r w:rsidR="000844A3">
        <w:rPr>
          <w:b/>
          <w:lang w:val="fr-FR"/>
        </w:rPr>
        <w:t>conformément à</w:t>
      </w:r>
      <w:r w:rsidRPr="00236F58">
        <w:rPr>
          <w:b/>
          <w:lang w:val="fr-FR"/>
        </w:rPr>
        <w:t xml:space="preserve"> l’article 9 de la Convention</w:t>
      </w:r>
    </w:p>
    <w:p w:rsidR="00B94701" w:rsidRPr="00B94701" w:rsidRDefault="00B94701" w:rsidP="00236F58">
      <w:pPr>
        <w:pStyle w:val="HChG"/>
      </w:pPr>
      <w:r w:rsidRPr="00B94701">
        <w:tab/>
      </w:r>
      <w:r w:rsidRPr="00B94701">
        <w:tab/>
        <w:t>Liste de thèmes concernant les vingtième et vingt</w:t>
      </w:r>
      <w:r w:rsidR="00236F58">
        <w:t xml:space="preserve"> et </w:t>
      </w:r>
      <w:r w:rsidRPr="00B94701">
        <w:t>unième rapports périodiques de la Pologne (CERD/C/POL/20-21)</w:t>
      </w:r>
    </w:p>
    <w:p w:rsidR="00B94701" w:rsidRDefault="00B94701" w:rsidP="00236F58">
      <w:pPr>
        <w:pStyle w:val="H1G"/>
      </w:pPr>
      <w:r w:rsidRPr="00B94701">
        <w:tab/>
      </w:r>
      <w:r w:rsidRPr="00B94701">
        <w:tab/>
        <w:t>Note du Rapporteur pour la Pologne</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tblPr>
      <w:tblGrid>
        <w:gridCol w:w="7653"/>
      </w:tblGrid>
      <w:tr w:rsidR="00236F58" w:rsidTr="00236F5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236F58" w:rsidRDefault="00236F58" w:rsidP="00236F58"/>
        </w:tc>
      </w:tr>
      <w:tr w:rsidR="00236F58" w:rsidTr="00236F58">
        <w:trPr>
          <w:jc w:val="center"/>
        </w:trPr>
        <w:tc>
          <w:tcPr>
            <w:tcW w:w="7653" w:type="dxa"/>
            <w:tcBorders>
              <w:left w:val="single" w:sz="4" w:space="0" w:color="auto"/>
              <w:bottom w:val="nil"/>
              <w:right w:val="single" w:sz="4" w:space="0" w:color="auto"/>
            </w:tcBorders>
            <w:shd w:val="clear" w:color="auto" w:fill="auto"/>
          </w:tcPr>
          <w:p w:rsidR="00236F58" w:rsidRPr="00236F58" w:rsidRDefault="00236F58" w:rsidP="00236F58">
            <w:pPr>
              <w:spacing w:after="120"/>
              <w:ind w:firstLine="567"/>
              <w:jc w:val="both"/>
            </w:pPr>
            <w:r w:rsidRPr="00236F58">
              <w:rPr>
                <w:lang w:val="fr-FR"/>
              </w:rPr>
              <w:t>À sa soixante-seizième session, le Comité pour l’élimination de la discrimination raciale a décidé (A/65/18, par. 85) que le Rapporteur pour le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w:t>
            </w:r>
            <w:r w:rsidR="008B3097">
              <w:rPr>
                <w:lang w:val="fr-FR"/>
              </w:rPr>
              <w:t xml:space="preserve"> écrite</w:t>
            </w:r>
            <w:r w:rsidRPr="00236F58">
              <w:rPr>
                <w:lang w:val="fr-FR"/>
              </w:rPr>
              <w:t>.</w:t>
            </w:r>
          </w:p>
        </w:tc>
      </w:tr>
      <w:tr w:rsidR="00236F58" w:rsidTr="00236F5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236F58" w:rsidRDefault="00236F58" w:rsidP="00236F58"/>
        </w:tc>
      </w:tr>
    </w:tbl>
    <w:p w:rsidR="00B94701" w:rsidRPr="00B94701" w:rsidRDefault="00236F58" w:rsidP="00236F58">
      <w:pPr>
        <w:pStyle w:val="H23G"/>
      </w:pPr>
      <w:r>
        <w:tab/>
      </w:r>
      <w:r w:rsidR="00B94701" w:rsidRPr="00B94701">
        <w:t>1.</w:t>
      </w:r>
      <w:r w:rsidR="00B94701" w:rsidRPr="00B94701">
        <w:tab/>
        <w:t xml:space="preserve">Statistiques sur la composition de la population </w:t>
      </w:r>
    </w:p>
    <w:p w:rsidR="00B94701" w:rsidRPr="00B94701" w:rsidRDefault="00B94701" w:rsidP="00236F58">
      <w:pPr>
        <w:pStyle w:val="SingleTxtG"/>
        <w:ind w:firstLine="567"/>
      </w:pPr>
      <w:r w:rsidRPr="00B94701">
        <w:t>a)</w:t>
      </w:r>
      <w:r w:rsidRPr="00B94701">
        <w:tab/>
        <w:t xml:space="preserve">Informations </w:t>
      </w:r>
      <w:r w:rsidR="000844A3">
        <w:t>actualisées</w:t>
      </w:r>
      <w:r w:rsidRPr="00B94701">
        <w:t xml:space="preserve"> sur la composition ethnique de la population, </w:t>
      </w:r>
      <w:r w:rsidR="000844A3">
        <w:t>avec</w:t>
      </w:r>
      <w:r w:rsidRPr="00B94701">
        <w:t xml:space="preserve"> indicateur</w:t>
      </w:r>
      <w:r w:rsidR="000844A3">
        <w:t>s socioéconomiques</w:t>
      </w:r>
      <w:r w:rsidRPr="00B94701">
        <w:t>, après le recensement national de 2011 et l</w:t>
      </w:r>
      <w:r>
        <w:t>’</w:t>
      </w:r>
      <w:r w:rsidRPr="00B94701">
        <w:t>étude sur l</w:t>
      </w:r>
      <w:r>
        <w:t>’</w:t>
      </w:r>
      <w:r w:rsidRPr="00B94701">
        <w:t>identité nationale de la population polonaise</w:t>
      </w:r>
      <w:r w:rsidR="000844A3">
        <w:t xml:space="preserve"> </w:t>
      </w:r>
      <w:r w:rsidRPr="00B94701">
        <w:t xml:space="preserve"> menée après le recensement (CERD/C/POL/20-21, par.11).</w:t>
      </w:r>
    </w:p>
    <w:p w:rsidR="00B94701" w:rsidRPr="00B94701" w:rsidRDefault="00236F58" w:rsidP="00236F58">
      <w:pPr>
        <w:pStyle w:val="H23G"/>
      </w:pPr>
      <w:r>
        <w:tab/>
        <w:t>2.</w:t>
      </w:r>
      <w:r>
        <w:tab/>
      </w:r>
      <w:r w:rsidR="00B94701" w:rsidRPr="00B94701">
        <w:t xml:space="preserve">La Convention dans le droit interne; cadre institutionnel et politique de sa mise en œuvre (art. 2, 4, 6 et </w:t>
      </w:r>
      <w:bookmarkStart w:id="0" w:name="hit18"/>
      <w:bookmarkEnd w:id="0"/>
      <w:r w:rsidR="00B94701" w:rsidRPr="00B94701">
        <w:t xml:space="preserve">7) </w:t>
      </w:r>
    </w:p>
    <w:p w:rsidR="00B94701" w:rsidRPr="00B94701" w:rsidRDefault="00B94701" w:rsidP="00236F58">
      <w:pPr>
        <w:pStyle w:val="SingleTxtG"/>
        <w:ind w:firstLine="567"/>
      </w:pPr>
      <w:r w:rsidRPr="00B94701">
        <w:t>a)</w:t>
      </w:r>
      <w:r w:rsidRPr="00B94701">
        <w:tab/>
        <w:t xml:space="preserve">Mesures envisagées pour modifier le Code pénal de </w:t>
      </w:r>
      <w:r w:rsidR="00586936">
        <w:t>manière à qualifier</w:t>
      </w:r>
      <w:r w:rsidRPr="00B94701">
        <w:t xml:space="preserve"> expressément le motif racial de circonstance aggravante dans les cas d</w:t>
      </w:r>
      <w:r>
        <w:t>’</w:t>
      </w:r>
      <w:r w:rsidR="00586936">
        <w:t>infraction</w:t>
      </w:r>
      <w:r w:rsidRPr="00B94701">
        <w:t xml:space="preserve"> (CERD/C/POL/20-21, par. 52, 53, 97 et 98);</w:t>
      </w:r>
    </w:p>
    <w:p w:rsidR="00B94701" w:rsidRPr="00B94701" w:rsidRDefault="00B94701" w:rsidP="00236F58">
      <w:pPr>
        <w:pStyle w:val="SingleTxtG"/>
        <w:ind w:firstLine="567"/>
      </w:pPr>
      <w:r w:rsidRPr="00B94701">
        <w:t>b)</w:t>
      </w:r>
      <w:r w:rsidRPr="00B94701">
        <w:tab/>
        <w:t>Exemples d</w:t>
      </w:r>
      <w:r>
        <w:t>’</w:t>
      </w:r>
      <w:r w:rsidRPr="00B94701">
        <w:t>applicabilité directe de la Convention dans l</w:t>
      </w:r>
      <w:r>
        <w:t>’</w:t>
      </w:r>
      <w:r w:rsidRPr="00B94701">
        <w:t>ordre juridique interne; efforts supplémentaires déployés pour assurer une large diffusion de la législation antidiscrimination et sensibiliser l</w:t>
      </w:r>
      <w:r>
        <w:t>’</w:t>
      </w:r>
      <w:r w:rsidRPr="00B94701">
        <w:t>opinion publique (CERD/C/POL/20-21, par. 93);</w:t>
      </w:r>
    </w:p>
    <w:p w:rsidR="00B94701" w:rsidRPr="00B94701" w:rsidRDefault="00B94701" w:rsidP="008B3097">
      <w:pPr>
        <w:pStyle w:val="SingleTxtG"/>
        <w:keepNext/>
        <w:keepLines/>
        <w:ind w:firstLine="567"/>
      </w:pPr>
      <w:r w:rsidRPr="00B94701">
        <w:t>c)</w:t>
      </w:r>
      <w:r w:rsidRPr="00B94701">
        <w:tab/>
        <w:t>Allocation de ressources au Défenseur des droits de l</w:t>
      </w:r>
      <w:r>
        <w:t>’</w:t>
      </w:r>
      <w:r w:rsidRPr="00B94701">
        <w:t xml:space="preserve">homme pour lui permettre </w:t>
      </w:r>
      <w:r w:rsidR="00586936">
        <w:t>d’intervenir en cas de</w:t>
      </w:r>
      <w:r w:rsidRPr="00B94701">
        <w:t xml:space="preserve"> discrimination raciale, </w:t>
      </w:r>
      <w:r w:rsidR="00586936">
        <w:t>notamment à l’occasion de</w:t>
      </w:r>
      <w:r w:rsidRPr="00B94701">
        <w:t xml:space="preserve"> plaintes déposées contre la police (CERD/C/POL/CO/19, par. 6; CERD/C/POL/20-21, par. 27 à 30 et 113 à 115); </w:t>
      </w:r>
    </w:p>
    <w:p w:rsidR="00B94701" w:rsidRPr="00B94701" w:rsidRDefault="00B94701" w:rsidP="00236F58">
      <w:pPr>
        <w:pStyle w:val="SingleTxtG"/>
        <w:ind w:firstLine="567"/>
      </w:pPr>
      <w:r w:rsidRPr="00B94701">
        <w:t>d)</w:t>
      </w:r>
      <w:r w:rsidRPr="00B94701">
        <w:tab/>
        <w:t xml:space="preserve">Informations complémentaires sur le travail mené par les spécialistes des questions de racisme </w:t>
      </w:r>
      <w:r w:rsidR="00586936">
        <w:t>du ministère public</w:t>
      </w:r>
      <w:r w:rsidRPr="00B94701">
        <w:t xml:space="preserve"> (CERD/C/POL/20-21, par. 33) ainsi que par le Conseil de lutte contre la discrimination raciale, la xénophobie et l</w:t>
      </w:r>
      <w:r>
        <w:t>’</w:t>
      </w:r>
      <w:r w:rsidRPr="00B94701">
        <w:t>intolérance (CERD/C/POL/CO/19, par. 13; CERD/C/POL/20-21, par. 81);</w:t>
      </w:r>
    </w:p>
    <w:p w:rsidR="00B94701" w:rsidRPr="00B94701" w:rsidRDefault="00B94701" w:rsidP="00236F58">
      <w:pPr>
        <w:pStyle w:val="SingleTxtG"/>
        <w:ind w:firstLine="567"/>
      </w:pPr>
      <w:r w:rsidRPr="00B94701">
        <w:t>e)</w:t>
      </w:r>
      <w:r w:rsidRPr="00B94701">
        <w:tab/>
        <w:t xml:space="preserve">Incidence des </w:t>
      </w:r>
      <w:r w:rsidR="00586936">
        <w:t>stages de formation sur la prévention et la répression des crimes motivés par la haine et organisés à l’intention des responsables de l’application des lois</w:t>
      </w:r>
      <w:r>
        <w:t xml:space="preserve"> </w:t>
      </w:r>
      <w:r w:rsidRPr="00B94701">
        <w:t>(CERD/C/POL/CO/19, par. 6; CERD/C/POL/20-21, par. 27 à 29, CERD/C/POL/CO/</w:t>
      </w:r>
      <w:r w:rsidR="000844A3">
        <w:t xml:space="preserve"> </w:t>
      </w:r>
      <w:r w:rsidRPr="00B94701">
        <w:t>19/Add.1, par. 25 à 49);</w:t>
      </w:r>
    </w:p>
    <w:p w:rsidR="00B94701" w:rsidRPr="00B94701" w:rsidRDefault="00B94701" w:rsidP="00236F58">
      <w:pPr>
        <w:pStyle w:val="SingleTxtG"/>
        <w:ind w:firstLine="567"/>
      </w:pPr>
      <w:r w:rsidRPr="00B94701">
        <w:t>f)</w:t>
      </w:r>
      <w:r w:rsidRPr="00B94701">
        <w:tab/>
      </w:r>
      <w:r w:rsidR="00586936">
        <w:t xml:space="preserve">Information mise à jour sur les problèmes actuels et </w:t>
      </w:r>
      <w:r w:rsidR="008B3097">
        <w:t xml:space="preserve">sur </w:t>
      </w:r>
      <w:r w:rsidR="00586936">
        <w:t>les nouvelles mesures</w:t>
      </w:r>
      <w:r w:rsidRPr="00B94701">
        <w:t xml:space="preserve"> prises pour lutter contre le racisme dans le domaine du sport ainsi que pour offrir réparation aux victimes (CERD/C/POL/CO/19, par. 8; CERD/C/POL/20-21, par. 42 à 51);</w:t>
      </w:r>
    </w:p>
    <w:p w:rsidR="00B94701" w:rsidRPr="00B94701" w:rsidRDefault="00B94701" w:rsidP="00236F58">
      <w:pPr>
        <w:pStyle w:val="SingleTxtG"/>
        <w:ind w:firstLine="567"/>
      </w:pPr>
      <w:r w:rsidRPr="00B94701">
        <w:t>g)</w:t>
      </w:r>
      <w:r w:rsidRPr="00B94701">
        <w:tab/>
      </w:r>
      <w:r w:rsidR="00586936">
        <w:t>Nouvelles mesures prises pour sanctionner les</w:t>
      </w:r>
      <w:r w:rsidRPr="00B94701">
        <w:t xml:space="preserve"> organisations racistes et les propos racistes dans les médias, y compris </w:t>
      </w:r>
      <w:r w:rsidR="00586936">
        <w:t>l’</w:t>
      </w:r>
      <w:r w:rsidRPr="00B94701">
        <w:t>Internet (CERD/C/POL/CO/19, par. 9 et 11; CERD/C/POL/20-21, par. 52 à 54, 77 à 80, 97 à 111).</w:t>
      </w:r>
    </w:p>
    <w:p w:rsidR="00B94701" w:rsidRPr="00B94701" w:rsidRDefault="00236F58" w:rsidP="00236F58">
      <w:pPr>
        <w:pStyle w:val="H23G"/>
      </w:pPr>
      <w:r>
        <w:tab/>
      </w:r>
      <w:r w:rsidR="00B94701" w:rsidRPr="00B94701">
        <w:t>3.</w:t>
      </w:r>
      <w:r w:rsidR="00B94701" w:rsidRPr="00B94701">
        <w:tab/>
        <w:t>Application de la Convention aux minorités nationales et ethniques (art. 2, 4, 5 et 7)</w:t>
      </w:r>
    </w:p>
    <w:p w:rsidR="00B94701" w:rsidRPr="00B94701" w:rsidRDefault="00B94701" w:rsidP="00236F58">
      <w:pPr>
        <w:pStyle w:val="SingleTxtG"/>
        <w:ind w:firstLine="567"/>
      </w:pPr>
      <w:r w:rsidRPr="00B94701">
        <w:t>a)</w:t>
      </w:r>
      <w:r w:rsidRPr="00B94701">
        <w:tab/>
      </w:r>
      <w:r w:rsidR="00586936">
        <w:t>Nouvelles mesures prises ou envisagées pour combattre les préjugés concernant les minorités nationales et ethniques, notamment pour sensibiliser l’opinion publique au dialogue interculturel et à la tolérance; résultats obtenus dans l’application de la loi sur les minorités nationales et ethniques et les langues régionales</w:t>
      </w:r>
      <w:r w:rsidRPr="00B94701">
        <w:t xml:space="preserve"> (CERD/C/POL/20-21, par. 1</w:t>
      </w:r>
      <w:r w:rsidR="008B3097">
        <w:rPr>
          <w:vertAlign w:val="superscript"/>
        </w:rPr>
        <w:t xml:space="preserve"> </w:t>
      </w:r>
      <w:r w:rsidR="008B3097">
        <w:t xml:space="preserve">et </w:t>
      </w:r>
      <w:r w:rsidRPr="00B94701">
        <w:t xml:space="preserve">2, 174 à 183, </w:t>
      </w:r>
      <w:r w:rsidR="00586936">
        <w:t>et</w:t>
      </w:r>
      <w:r w:rsidRPr="00B94701">
        <w:t xml:space="preserve"> 189); </w:t>
      </w:r>
    </w:p>
    <w:p w:rsidR="00B94701" w:rsidRPr="00B94701" w:rsidRDefault="00B94701" w:rsidP="00236F58">
      <w:pPr>
        <w:pStyle w:val="SingleTxtG"/>
        <w:ind w:firstLine="567"/>
      </w:pPr>
      <w:r w:rsidRPr="00B94701">
        <w:t>b)</w:t>
      </w:r>
      <w:r w:rsidRPr="00B94701">
        <w:tab/>
      </w:r>
      <w:r w:rsidR="00586936">
        <w:t>Complément d’information</w:t>
      </w:r>
      <w:r w:rsidRPr="00B94701">
        <w:t xml:space="preserve"> </w:t>
      </w:r>
      <w:r w:rsidR="00586936">
        <w:t>concernant les résultats</w:t>
      </w:r>
      <w:r w:rsidRPr="00B94701">
        <w:t xml:space="preserve"> de l</w:t>
      </w:r>
      <w:r>
        <w:t>’</w:t>
      </w:r>
      <w:r w:rsidRPr="00B94701">
        <w:t xml:space="preserve">enquête de 2012 </w:t>
      </w:r>
      <w:r w:rsidR="00586936">
        <w:t>sur les</w:t>
      </w:r>
      <w:r w:rsidRPr="00B94701">
        <w:t xml:space="preserve"> associations nationales </w:t>
      </w:r>
      <w:r w:rsidR="00586936">
        <w:t>qui seront utilisés</w:t>
      </w:r>
      <w:r w:rsidRPr="00B94701">
        <w:t xml:space="preserve"> pour organiser des activités visant à éliminer les préjugés et la discrimination à l</w:t>
      </w:r>
      <w:r>
        <w:t>’</w:t>
      </w:r>
      <w:r w:rsidRPr="00B94701">
        <w:t>encontre des minorités (CERD/C/POL/20-21, par. 196);</w:t>
      </w:r>
    </w:p>
    <w:p w:rsidR="00B94701" w:rsidRPr="00B94701" w:rsidRDefault="00B94701" w:rsidP="00236F58">
      <w:pPr>
        <w:pStyle w:val="SingleTxtG"/>
        <w:ind w:firstLine="567"/>
      </w:pPr>
      <w:r w:rsidRPr="00B94701">
        <w:t>c)</w:t>
      </w:r>
      <w:r w:rsidRPr="00B94701">
        <w:tab/>
        <w:t xml:space="preserve">Situation de la communauté juive de Pologne, </w:t>
      </w:r>
      <w:r w:rsidR="00586936">
        <w:t xml:space="preserve">ses </w:t>
      </w:r>
      <w:r w:rsidRPr="00B94701">
        <w:t xml:space="preserve">lieux de culte et </w:t>
      </w:r>
      <w:r w:rsidR="00586936">
        <w:t xml:space="preserve">ses </w:t>
      </w:r>
      <w:r w:rsidRPr="00B94701">
        <w:t>cimetières (CERD/C/POL/CO/19/Add.1, par. 50 à 66); incidence des mesures</w:t>
      </w:r>
      <w:r>
        <w:t xml:space="preserve"> </w:t>
      </w:r>
      <w:r w:rsidRPr="00B94701">
        <w:t>prises pour lutter contre</w:t>
      </w:r>
      <w:r w:rsidR="00586936">
        <w:t xml:space="preserve"> les actes de caractère </w:t>
      </w:r>
      <w:r w:rsidRPr="00B94701">
        <w:t>antisémite, tel</w:t>
      </w:r>
      <w:r w:rsidR="008B3097">
        <w:t>le</w:t>
      </w:r>
      <w:r w:rsidR="00586936">
        <w:t>s</w:t>
      </w:r>
      <w:r w:rsidRPr="00B94701">
        <w:t xml:space="preserve"> que l</w:t>
      </w:r>
      <w:r>
        <w:t>’</w:t>
      </w:r>
      <w:r w:rsidRPr="00B94701">
        <w:t>organisation d</w:t>
      </w:r>
      <w:r>
        <w:t>’</w:t>
      </w:r>
      <w:r w:rsidRPr="00B94701">
        <w:t>activités éducatives (CERD/C/POL/CO/19, par. 7; CERD/C/POL/20-21, par. 36 à 41).</w:t>
      </w:r>
    </w:p>
    <w:p w:rsidR="00B94701" w:rsidRPr="00B94701" w:rsidRDefault="00236F58" w:rsidP="00236F58">
      <w:pPr>
        <w:pStyle w:val="H23G"/>
      </w:pPr>
      <w:r>
        <w:tab/>
      </w:r>
      <w:r w:rsidR="00B94701" w:rsidRPr="00B94701">
        <w:t>4.</w:t>
      </w:r>
      <w:r w:rsidR="00B94701" w:rsidRPr="00B94701">
        <w:tab/>
        <w:t>Situation de la communauté rom (art. 2 à 7)</w:t>
      </w:r>
    </w:p>
    <w:p w:rsidR="00B94701" w:rsidRPr="00B94701" w:rsidRDefault="00B94701" w:rsidP="00236F58">
      <w:pPr>
        <w:pStyle w:val="SingleTxtG"/>
        <w:ind w:firstLine="567"/>
      </w:pPr>
      <w:r w:rsidRPr="00B94701">
        <w:t>a)</w:t>
      </w:r>
      <w:r w:rsidRPr="00B94701">
        <w:tab/>
      </w:r>
      <w:r w:rsidR="00586936">
        <w:t>Information actualisée</w:t>
      </w:r>
      <w:r w:rsidRPr="00B94701">
        <w:t xml:space="preserve"> sur le travail de l</w:t>
      </w:r>
      <w:r>
        <w:t>’</w:t>
      </w:r>
      <w:r w:rsidRPr="00B94701">
        <w:t>Équipe spécialisée dans les affaires roms (CERD/C/POL/20-21, par. 1);</w:t>
      </w:r>
    </w:p>
    <w:p w:rsidR="00B94701" w:rsidRPr="00B94701" w:rsidRDefault="00B94701" w:rsidP="00236F58">
      <w:pPr>
        <w:pStyle w:val="SingleTxtG"/>
        <w:ind w:firstLine="567"/>
      </w:pPr>
      <w:r w:rsidRPr="00B94701">
        <w:t>b)</w:t>
      </w:r>
      <w:r w:rsidRPr="00B94701">
        <w:tab/>
        <w:t xml:space="preserve">Résultats concrets obtenus dans le cadre du Programme </w:t>
      </w:r>
      <w:r w:rsidR="00586936" w:rsidRPr="00B94701">
        <w:t>2004-2013</w:t>
      </w:r>
      <w:r w:rsidR="00586936">
        <w:t xml:space="preserve"> </w:t>
      </w:r>
      <w:r w:rsidRPr="00B94701">
        <w:t xml:space="preserve">en faveur </w:t>
      </w:r>
      <w:r w:rsidR="00586936">
        <w:t xml:space="preserve">de la communauté rom </w:t>
      </w:r>
      <w:r w:rsidR="008B3097">
        <w:t>de</w:t>
      </w:r>
      <w:r w:rsidR="00586936">
        <w:t xml:space="preserve"> Pologne</w:t>
      </w:r>
      <w:r w:rsidRPr="00B94701">
        <w:t>, en particulier en ce qui concerne l</w:t>
      </w:r>
      <w:r>
        <w:t>’</w:t>
      </w:r>
      <w:r w:rsidRPr="00B94701">
        <w:t>exercice des droits économiques, sociaux et culturels (CERD/C/POL/CO/19, par. 4; CERD/C/</w:t>
      </w:r>
      <w:r w:rsidR="000844A3">
        <w:t xml:space="preserve"> </w:t>
      </w:r>
      <w:r w:rsidR="008B3097">
        <w:t>POL20-21, par. </w:t>
      </w:r>
      <w:r w:rsidRPr="00B94701">
        <w:t>3 et 6, CERD/C/POL/CO/19/Add.1, par. 1 à 24);</w:t>
      </w:r>
    </w:p>
    <w:p w:rsidR="00B94701" w:rsidRPr="00B94701" w:rsidRDefault="00B94701" w:rsidP="00236F58">
      <w:pPr>
        <w:pStyle w:val="SingleTxtG"/>
        <w:ind w:firstLine="567"/>
      </w:pPr>
      <w:r w:rsidRPr="00B94701">
        <w:t>c)</w:t>
      </w:r>
      <w:r w:rsidRPr="00B94701">
        <w:tab/>
      </w:r>
      <w:r w:rsidR="00586936">
        <w:t>Complément d’information</w:t>
      </w:r>
      <w:r w:rsidRPr="00B94701">
        <w:t xml:space="preserve"> sur l</w:t>
      </w:r>
      <w:r>
        <w:t>’</w:t>
      </w:r>
      <w:r w:rsidRPr="00B94701">
        <w:t xml:space="preserve">éducation des enfants roms, y compris sur les </w:t>
      </w:r>
      <w:r w:rsidR="00586936">
        <w:t>nouvelles mesures</w:t>
      </w:r>
      <w:r w:rsidRPr="00B94701">
        <w:t xml:space="preserve"> prises pour réduire le taux d</w:t>
      </w:r>
      <w:r>
        <w:t>’</w:t>
      </w:r>
      <w:r w:rsidRPr="00B94701">
        <w:t>abandon scolaire (CERD/C/</w:t>
      </w:r>
      <w:r w:rsidR="000844A3">
        <w:t xml:space="preserve"> </w:t>
      </w:r>
      <w:r w:rsidRPr="00B94701">
        <w:t>POL/CO/19, par. 5; CERD/C/POL/20-21, par. 12 à 26);</w:t>
      </w:r>
    </w:p>
    <w:p w:rsidR="00B94701" w:rsidRPr="00B94701" w:rsidRDefault="00B94701" w:rsidP="00236F58">
      <w:pPr>
        <w:pStyle w:val="SingleTxtG"/>
        <w:ind w:firstLine="567"/>
      </w:pPr>
      <w:r w:rsidRPr="00B94701">
        <w:t>d)</w:t>
      </w:r>
      <w:r w:rsidRPr="00B94701">
        <w:tab/>
        <w:t xml:space="preserve">Efforts </w:t>
      </w:r>
      <w:r w:rsidR="00586936">
        <w:t xml:space="preserve">de promotion du </w:t>
      </w:r>
      <w:r w:rsidRPr="00B94701">
        <w:t>droit à un logement convenable et mesures prises pour éliminer la ségrégation de facto des Roms en matière de logement (CERD/C/</w:t>
      </w:r>
      <w:r w:rsidR="008B3097">
        <w:t xml:space="preserve"> </w:t>
      </w:r>
      <w:r w:rsidRPr="00B94701">
        <w:t>POL/20</w:t>
      </w:r>
      <w:r w:rsidR="008B3097">
        <w:noBreakHyphen/>
      </w:r>
      <w:r w:rsidRPr="00B94701">
        <w:t xml:space="preserve">21, par. 3). </w:t>
      </w:r>
    </w:p>
    <w:p w:rsidR="00B94701" w:rsidRPr="00B94701" w:rsidRDefault="00236F58" w:rsidP="00236F58">
      <w:pPr>
        <w:pStyle w:val="H23G"/>
      </w:pPr>
      <w:r>
        <w:tab/>
      </w:r>
      <w:r w:rsidR="00B94701" w:rsidRPr="00B94701">
        <w:t>5.</w:t>
      </w:r>
      <w:r w:rsidR="00B94701" w:rsidRPr="00B94701">
        <w:tab/>
        <w:t>Discrimination à l</w:t>
      </w:r>
      <w:r w:rsidR="00B94701">
        <w:t>’</w:t>
      </w:r>
      <w:r w:rsidR="00B94701" w:rsidRPr="00B94701">
        <w:t xml:space="preserve">égard des non-ressortissants, notamment des </w:t>
      </w:r>
      <w:r w:rsidR="00586936">
        <w:t xml:space="preserve">migrants, </w:t>
      </w:r>
      <w:r w:rsidR="00B94701" w:rsidRPr="00B94701">
        <w:t>réfugiés</w:t>
      </w:r>
      <w:r w:rsidR="00B94701" w:rsidRPr="00B94701">
        <w:br/>
        <w:t>et demandeurs d</w:t>
      </w:r>
      <w:r w:rsidR="00B94701">
        <w:t>’</w:t>
      </w:r>
      <w:r w:rsidR="00B94701" w:rsidRPr="00B94701">
        <w:t>asile (art. 5 et 6)</w:t>
      </w:r>
    </w:p>
    <w:p w:rsidR="00B94701" w:rsidRPr="00B94701" w:rsidRDefault="00B94701" w:rsidP="00236F58">
      <w:pPr>
        <w:pStyle w:val="SingleTxtG"/>
        <w:ind w:firstLine="567"/>
      </w:pPr>
      <w:r w:rsidRPr="00B94701">
        <w:t>a)</w:t>
      </w:r>
      <w:r w:rsidRPr="00B94701">
        <w:tab/>
        <w:t xml:space="preserve">Information détaillée sur les conditions de </w:t>
      </w:r>
      <w:r w:rsidR="00586936">
        <w:t>séjour</w:t>
      </w:r>
      <w:r w:rsidRPr="00B94701">
        <w:t xml:space="preserve"> des étrangers dans les zones de transit ou les centres de rétention</w:t>
      </w:r>
      <w:r>
        <w:t>;</w:t>
      </w:r>
      <w:r w:rsidRPr="00B94701">
        <w:t xml:space="preserve"> </w:t>
      </w:r>
      <w:r w:rsidR="00586936">
        <w:t>information actualisée</w:t>
      </w:r>
      <w:r w:rsidRPr="00B94701">
        <w:t xml:space="preserve"> sur la rétention des enfants demandeurs d</w:t>
      </w:r>
      <w:r>
        <w:t>’</w:t>
      </w:r>
      <w:r w:rsidRPr="00B94701">
        <w:t>asile (A/HRC/21/14 et Add. 1</w:t>
      </w:r>
      <w:r w:rsidR="008B3097">
        <w:t>, par. 90.118 et 90.</w:t>
      </w:r>
      <w:r w:rsidRPr="00B94701">
        <w:t xml:space="preserve">121); </w:t>
      </w:r>
    </w:p>
    <w:p w:rsidR="00B94701" w:rsidRPr="00B94701" w:rsidRDefault="00B94701" w:rsidP="00236F58">
      <w:pPr>
        <w:pStyle w:val="SingleTxtG"/>
        <w:ind w:firstLine="567"/>
      </w:pPr>
      <w:r w:rsidRPr="00B94701">
        <w:t>b)</w:t>
      </w:r>
      <w:r w:rsidRPr="00B94701">
        <w:tab/>
        <w:t>Mesures complémentaires prises pour faciliter l</w:t>
      </w:r>
      <w:r>
        <w:t>’</w:t>
      </w:r>
      <w:r w:rsidRPr="00B94701">
        <w:t xml:space="preserve">intégration des </w:t>
      </w:r>
      <w:proofErr w:type="spellStart"/>
      <w:r w:rsidRPr="00B94701">
        <w:t>non</w:t>
      </w:r>
      <w:r w:rsidR="00047B56">
        <w:noBreakHyphen/>
      </w:r>
      <w:r w:rsidRPr="00B94701">
        <w:t>ressortissants</w:t>
      </w:r>
      <w:proofErr w:type="spellEnd"/>
      <w:r w:rsidRPr="00B94701">
        <w:t>, y compris l</w:t>
      </w:r>
      <w:r>
        <w:t>’</w:t>
      </w:r>
      <w:r w:rsidRPr="00B94701">
        <w:t>accès aux soins de santé, à l</w:t>
      </w:r>
      <w:r>
        <w:t>’</w:t>
      </w:r>
      <w:r w:rsidR="00586936">
        <w:t>enseignement</w:t>
      </w:r>
      <w:r w:rsidRPr="00B94701">
        <w:t>, à un logement convenable et au marché du tra</w:t>
      </w:r>
      <w:r w:rsidR="000844A3">
        <w:t>vail (A/HRC/WG.6/13/POL/2, par. </w:t>
      </w:r>
      <w:r w:rsidRPr="00B94701">
        <w:t>59; A/HRC/WG.6/</w:t>
      </w:r>
      <w:r w:rsidR="00236F58">
        <w:t xml:space="preserve"> </w:t>
      </w:r>
      <w:r w:rsidRPr="00B94701">
        <w:t xml:space="preserve">13/POL/3, par. 8 et 9, </w:t>
      </w:r>
      <w:r w:rsidR="00035495">
        <w:t>et</w:t>
      </w:r>
      <w:r w:rsidR="008B3097">
        <w:t xml:space="preserve"> 54 à 56</w:t>
      </w:r>
      <w:r w:rsidRPr="00B94701">
        <w:t>);</w:t>
      </w:r>
    </w:p>
    <w:p w:rsidR="00B94701" w:rsidRPr="00B94701" w:rsidRDefault="00B94701" w:rsidP="00236F58">
      <w:pPr>
        <w:pStyle w:val="SingleTxtG"/>
        <w:ind w:firstLine="567"/>
      </w:pPr>
      <w:r w:rsidRPr="00B94701">
        <w:t>c)</w:t>
      </w:r>
      <w:r w:rsidRPr="00B94701">
        <w:tab/>
      </w:r>
      <w:r w:rsidR="00035495">
        <w:t>Action menée</w:t>
      </w:r>
      <w:r w:rsidRPr="00B94701">
        <w:t xml:space="preserve"> pour lutter contre la discrimination et la xénophobie dans les </w:t>
      </w:r>
      <w:r w:rsidR="00035495">
        <w:t>zones ou les quartiers</w:t>
      </w:r>
      <w:r w:rsidRPr="00B94701">
        <w:t xml:space="preserve"> où sont implantés des centres d</w:t>
      </w:r>
      <w:r>
        <w:t>’</w:t>
      </w:r>
      <w:r w:rsidRPr="00B94701">
        <w:t>accueil pour demandeurs d</w:t>
      </w:r>
      <w:r>
        <w:t>’</w:t>
      </w:r>
      <w:r w:rsidRPr="00B94701">
        <w:t>asile (A/HRC/WG.6/13/POL/2, par. 13);</w:t>
      </w:r>
    </w:p>
    <w:p w:rsidR="00B94701" w:rsidRPr="00B94701" w:rsidRDefault="00B94701" w:rsidP="00236F58">
      <w:pPr>
        <w:pStyle w:val="SingleTxtG"/>
        <w:ind w:firstLine="567"/>
      </w:pPr>
      <w:r w:rsidRPr="00B94701">
        <w:t>d)</w:t>
      </w:r>
      <w:r w:rsidRPr="00B94701">
        <w:tab/>
      </w:r>
      <w:r w:rsidR="00035495">
        <w:t>Nouvelles mesures</w:t>
      </w:r>
      <w:r w:rsidRPr="00B94701">
        <w:t xml:space="preserve"> prises pour prévenir </w:t>
      </w:r>
      <w:r w:rsidR="00035495">
        <w:t xml:space="preserve">et combattre </w:t>
      </w:r>
      <w:r w:rsidRPr="00B94701">
        <w:t xml:space="preserve">la traite </w:t>
      </w:r>
      <w:r w:rsidR="00035495">
        <w:t>des êtres humains et pour offrir</w:t>
      </w:r>
      <w:r w:rsidRPr="00B94701">
        <w:t xml:space="preserve"> réparation aux victimes, en particulier aux étrangers (CERD/C/POL/CO/19, par. 10; CERD/C/POL/20-21, par. 55 à 76).</w:t>
      </w:r>
    </w:p>
    <w:p w:rsidR="00B94701" w:rsidRPr="00B94701" w:rsidRDefault="00B94701" w:rsidP="00B94701">
      <w:pPr>
        <w:pStyle w:val="SingleTxtG"/>
        <w:spacing w:before="240" w:after="0"/>
        <w:jc w:val="center"/>
        <w:rPr>
          <w:u w:val="single"/>
        </w:rPr>
      </w:pPr>
      <w:r>
        <w:rPr>
          <w:u w:val="single"/>
        </w:rPr>
        <w:tab/>
      </w:r>
      <w:r>
        <w:rPr>
          <w:u w:val="single"/>
        </w:rPr>
        <w:tab/>
      </w:r>
      <w:r>
        <w:rPr>
          <w:u w:val="single"/>
        </w:rPr>
        <w:tab/>
      </w:r>
    </w:p>
    <w:sectPr w:rsidR="00B94701" w:rsidRPr="00B94701" w:rsidSect="00B9470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D0" w:rsidRDefault="00C93ED0"/>
  </w:endnote>
  <w:endnote w:type="continuationSeparator" w:id="0">
    <w:p w:rsidR="00C93ED0" w:rsidRDefault="00C93ED0"/>
  </w:endnote>
  <w:endnote w:type="continuationNotice" w:id="1">
    <w:p w:rsidR="00C93ED0" w:rsidRPr="00201F68" w:rsidRDefault="00C93ED0"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01" w:rsidRPr="00B94701" w:rsidRDefault="00B94701" w:rsidP="00B94701">
    <w:pPr>
      <w:pStyle w:val="Footer"/>
      <w:tabs>
        <w:tab w:val="right" w:pos="9638"/>
      </w:tabs>
    </w:pPr>
    <w:r w:rsidRPr="00B94701">
      <w:rPr>
        <w:b/>
        <w:sz w:val="18"/>
      </w:rPr>
      <w:fldChar w:fldCharType="begin"/>
    </w:r>
    <w:r w:rsidRPr="00B94701">
      <w:rPr>
        <w:b/>
        <w:sz w:val="18"/>
      </w:rPr>
      <w:instrText xml:space="preserve"> PAGE  \* MERGEFORMAT </w:instrText>
    </w:r>
    <w:r w:rsidRPr="00B94701">
      <w:rPr>
        <w:b/>
        <w:sz w:val="18"/>
      </w:rPr>
      <w:fldChar w:fldCharType="separate"/>
    </w:r>
    <w:r w:rsidR="00432E03">
      <w:rPr>
        <w:b/>
        <w:noProof/>
        <w:sz w:val="18"/>
      </w:rPr>
      <w:t>2</w:t>
    </w:r>
    <w:r w:rsidRPr="00B94701">
      <w:rPr>
        <w:b/>
        <w:sz w:val="18"/>
      </w:rPr>
      <w:fldChar w:fldCharType="end"/>
    </w:r>
    <w:r>
      <w:rPr>
        <w:b/>
        <w:sz w:val="18"/>
      </w:rPr>
      <w:tab/>
    </w:r>
    <w:r>
      <w:t>GE.13-48817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01" w:rsidRPr="00B94701" w:rsidRDefault="00B94701" w:rsidP="00B94701">
    <w:pPr>
      <w:pStyle w:val="Footer"/>
      <w:tabs>
        <w:tab w:val="right" w:pos="9638"/>
      </w:tabs>
      <w:rPr>
        <w:b/>
        <w:sz w:val="18"/>
      </w:rPr>
    </w:pPr>
    <w:r>
      <w:t>GE.13-48817</w:t>
    </w:r>
    <w:r>
      <w:tab/>
    </w:r>
    <w:r w:rsidRPr="00B94701">
      <w:rPr>
        <w:b/>
        <w:sz w:val="18"/>
      </w:rPr>
      <w:fldChar w:fldCharType="begin"/>
    </w:r>
    <w:r w:rsidRPr="00B94701">
      <w:rPr>
        <w:b/>
        <w:sz w:val="18"/>
      </w:rPr>
      <w:instrText xml:space="preserve"> PAGE  \* MERGEFORMAT </w:instrText>
    </w:r>
    <w:r w:rsidRPr="00B94701">
      <w:rPr>
        <w:b/>
        <w:sz w:val="18"/>
      </w:rPr>
      <w:fldChar w:fldCharType="separate"/>
    </w:r>
    <w:r w:rsidR="008B3097">
      <w:rPr>
        <w:b/>
        <w:noProof/>
        <w:sz w:val="18"/>
      </w:rPr>
      <w:t>3</w:t>
    </w:r>
    <w:r w:rsidRPr="00B9470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D0" w:rsidRPr="00B94701" w:rsidRDefault="00B94701" w:rsidP="00B94701">
    <w:pPr>
      <w:pStyle w:val="Footer"/>
      <w:spacing w:before="120"/>
      <w:rPr>
        <w:sz w:val="20"/>
      </w:rPr>
    </w:pPr>
    <w:r>
      <w:rPr>
        <w:sz w:val="20"/>
      </w:rPr>
      <w:t>GE.</w:t>
    </w:r>
    <w:r w:rsidR="00C93ED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13-48817  (F)    111213    121213</w:t>
    </w:r>
    <w:r>
      <w:rPr>
        <w:sz w:val="20"/>
      </w:rPr>
      <w:br/>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sidRPr="00B9470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2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D0" w:rsidRPr="00D27D5E" w:rsidRDefault="00C93ED0" w:rsidP="00D27D5E">
      <w:pPr>
        <w:tabs>
          <w:tab w:val="right" w:pos="2155"/>
        </w:tabs>
        <w:spacing w:after="80"/>
        <w:ind w:left="680"/>
        <w:rPr>
          <w:u w:val="single"/>
        </w:rPr>
      </w:pPr>
      <w:r>
        <w:rPr>
          <w:u w:val="single"/>
        </w:rPr>
        <w:tab/>
      </w:r>
    </w:p>
  </w:footnote>
  <w:footnote w:type="continuationSeparator" w:id="0">
    <w:p w:rsidR="00C93ED0" w:rsidRPr="00AA7FE7" w:rsidRDefault="00C93ED0" w:rsidP="00AA7FE7">
      <w:pPr>
        <w:tabs>
          <w:tab w:val="right" w:pos="2155"/>
        </w:tabs>
        <w:spacing w:after="80"/>
        <w:ind w:left="680"/>
        <w:rPr>
          <w:u w:val="single"/>
        </w:rPr>
      </w:pPr>
      <w:r w:rsidRPr="00AA7FE7">
        <w:rPr>
          <w:u w:val="single"/>
        </w:rPr>
        <w:tab/>
      </w:r>
    </w:p>
  </w:footnote>
  <w:footnote w:type="continuationNotice" w:id="1">
    <w:p w:rsidR="00C93ED0" w:rsidRPr="00201F68" w:rsidRDefault="00C93ED0"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01" w:rsidRPr="00B94701" w:rsidRDefault="00B94701">
    <w:pPr>
      <w:pStyle w:val="Header"/>
    </w:pPr>
    <w:r>
      <w:t>CERD/C/POL/Q/20-21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01" w:rsidRPr="00B94701" w:rsidRDefault="00B94701" w:rsidP="00B94701">
    <w:pPr>
      <w:pStyle w:val="Header"/>
      <w:jc w:val="right"/>
    </w:pPr>
    <w:r>
      <w:t>CERD/C/POL/Q/20-21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0E34C"/>
    <w:lvl w:ilvl="0">
      <w:start w:val="1"/>
      <w:numFmt w:val="decimal"/>
      <w:lvlText w:val="%1."/>
      <w:lvlJc w:val="left"/>
      <w:pPr>
        <w:tabs>
          <w:tab w:val="num" w:pos="1492"/>
        </w:tabs>
        <w:ind w:left="1492" w:hanging="360"/>
      </w:pPr>
    </w:lvl>
  </w:abstractNum>
  <w:abstractNum w:abstractNumId="1">
    <w:nsid w:val="FFFFFF7D"/>
    <w:multiLevelType w:val="singleLevel"/>
    <w:tmpl w:val="8070EB48"/>
    <w:lvl w:ilvl="0">
      <w:start w:val="1"/>
      <w:numFmt w:val="decimal"/>
      <w:lvlText w:val="%1."/>
      <w:lvlJc w:val="left"/>
      <w:pPr>
        <w:tabs>
          <w:tab w:val="num" w:pos="1209"/>
        </w:tabs>
        <w:ind w:left="1209" w:hanging="360"/>
      </w:pPr>
    </w:lvl>
  </w:abstractNum>
  <w:abstractNum w:abstractNumId="2">
    <w:nsid w:val="FFFFFF7E"/>
    <w:multiLevelType w:val="singleLevel"/>
    <w:tmpl w:val="67CC9436"/>
    <w:lvl w:ilvl="0">
      <w:start w:val="1"/>
      <w:numFmt w:val="decimal"/>
      <w:lvlText w:val="%1."/>
      <w:lvlJc w:val="left"/>
      <w:pPr>
        <w:tabs>
          <w:tab w:val="num" w:pos="926"/>
        </w:tabs>
        <w:ind w:left="926" w:hanging="360"/>
      </w:pPr>
    </w:lvl>
  </w:abstractNum>
  <w:abstractNum w:abstractNumId="3">
    <w:nsid w:val="FFFFFF7F"/>
    <w:multiLevelType w:val="singleLevel"/>
    <w:tmpl w:val="D4708F00"/>
    <w:lvl w:ilvl="0">
      <w:start w:val="1"/>
      <w:numFmt w:val="decimal"/>
      <w:lvlText w:val="%1."/>
      <w:lvlJc w:val="left"/>
      <w:pPr>
        <w:tabs>
          <w:tab w:val="num" w:pos="643"/>
        </w:tabs>
        <w:ind w:left="643" w:hanging="360"/>
      </w:pPr>
    </w:lvl>
  </w:abstractNum>
  <w:abstractNum w:abstractNumId="4">
    <w:nsid w:val="FFFFFF80"/>
    <w:multiLevelType w:val="singleLevel"/>
    <w:tmpl w:val="D338A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CB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A831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468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4A9B9A"/>
    <w:lvl w:ilvl="0">
      <w:start w:val="1"/>
      <w:numFmt w:val="decimal"/>
      <w:lvlText w:val="%1."/>
      <w:lvlJc w:val="left"/>
      <w:pPr>
        <w:tabs>
          <w:tab w:val="num" w:pos="360"/>
        </w:tabs>
        <w:ind w:left="360" w:hanging="360"/>
      </w:pPr>
    </w:lvl>
  </w:abstractNum>
  <w:abstractNum w:abstractNumId="9">
    <w:nsid w:val="FFFFFF89"/>
    <w:multiLevelType w:val="singleLevel"/>
    <w:tmpl w:val="56DC9C98"/>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ED0"/>
    <w:rsid w:val="00016AC5"/>
    <w:rsid w:val="00035495"/>
    <w:rsid w:val="00047B56"/>
    <w:rsid w:val="00054609"/>
    <w:rsid w:val="000844A3"/>
    <w:rsid w:val="000A6F55"/>
    <w:rsid w:val="000E7579"/>
    <w:rsid w:val="000F41F2"/>
    <w:rsid w:val="001231AD"/>
    <w:rsid w:val="001450E6"/>
    <w:rsid w:val="00150465"/>
    <w:rsid w:val="00160540"/>
    <w:rsid w:val="00192EEB"/>
    <w:rsid w:val="00197832"/>
    <w:rsid w:val="001A20FB"/>
    <w:rsid w:val="001B3867"/>
    <w:rsid w:val="001D72C5"/>
    <w:rsid w:val="001D7F8A"/>
    <w:rsid w:val="001E3FEB"/>
    <w:rsid w:val="001E4A02"/>
    <w:rsid w:val="00201F68"/>
    <w:rsid w:val="00225A8C"/>
    <w:rsid w:val="00236F58"/>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32E03"/>
    <w:rsid w:val="00472145"/>
    <w:rsid w:val="00540389"/>
    <w:rsid w:val="00543D5E"/>
    <w:rsid w:val="00571F41"/>
    <w:rsid w:val="00586936"/>
    <w:rsid w:val="00593658"/>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8670C"/>
    <w:rsid w:val="007F55CB"/>
    <w:rsid w:val="00844750"/>
    <w:rsid w:val="008B3097"/>
    <w:rsid w:val="008B44C4"/>
    <w:rsid w:val="008D2259"/>
    <w:rsid w:val="008E7FAE"/>
    <w:rsid w:val="00911BF7"/>
    <w:rsid w:val="00977EC8"/>
    <w:rsid w:val="009C17F5"/>
    <w:rsid w:val="009C5ECB"/>
    <w:rsid w:val="009D3A8C"/>
    <w:rsid w:val="009D6F78"/>
    <w:rsid w:val="009E7956"/>
    <w:rsid w:val="00A2492E"/>
    <w:rsid w:val="00A82B6C"/>
    <w:rsid w:val="00AA7FE7"/>
    <w:rsid w:val="00AB3173"/>
    <w:rsid w:val="00AC01AA"/>
    <w:rsid w:val="00AC67A1"/>
    <w:rsid w:val="00AC7977"/>
    <w:rsid w:val="00AE352C"/>
    <w:rsid w:val="00B32E2D"/>
    <w:rsid w:val="00B61990"/>
    <w:rsid w:val="00B94701"/>
    <w:rsid w:val="00BF0556"/>
    <w:rsid w:val="00C03431"/>
    <w:rsid w:val="00C261F8"/>
    <w:rsid w:val="00C33100"/>
    <w:rsid w:val="00C93ED0"/>
    <w:rsid w:val="00CD1A71"/>
    <w:rsid w:val="00CD1FBB"/>
    <w:rsid w:val="00D016B5"/>
    <w:rsid w:val="00D034F1"/>
    <w:rsid w:val="00D27D5E"/>
    <w:rsid w:val="00D37345"/>
    <w:rsid w:val="00DB322B"/>
    <w:rsid w:val="00DC156C"/>
    <w:rsid w:val="00DE6D90"/>
    <w:rsid w:val="00DF002F"/>
    <w:rsid w:val="00E0244D"/>
    <w:rsid w:val="00E1753A"/>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 w:type="paragraph" w:customStyle="1" w:styleId="ParNoG">
    <w:name w:val="_ParNo_G"/>
    <w:basedOn w:val="SingleTxtG"/>
    <w:rsid w:val="009D6F78"/>
    <w:pPr>
      <w:numPr>
        <w:numId w:val="3"/>
      </w:numPr>
    </w:pPr>
  </w:style>
  <w:style w:type="table" w:styleId="TableGrid">
    <w:name w:val="Table Grid"/>
    <w:basedOn w:val="TableNormal"/>
    <w:semiHidden/>
    <w:rsid w:val="00B9470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3</Pages>
  <Words>929</Words>
  <Characters>5352</Characters>
  <Application>Microsoft Office Outlook</Application>
  <DocSecurity>4</DocSecurity>
  <Lines>102</Lines>
  <Paragraphs>45</Paragraphs>
  <ScaleCrop>false</ScaleCrop>
  <HeadingPairs>
    <vt:vector size="2" baseType="variant">
      <vt:variant>
        <vt:lpstr>Titre</vt:lpstr>
      </vt:variant>
      <vt:variant>
        <vt:i4>1</vt:i4>
      </vt:variant>
    </vt:vector>
  </HeadingPairs>
  <TitlesOfParts>
    <vt:vector size="1" baseType="lpstr">
      <vt:lpstr>CERD/C/POL/Q/20-21</vt:lpstr>
    </vt:vector>
  </TitlesOfParts>
  <Company>CSD</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CERD/C/POL/Q/20-21</dc:title>
  <dc:subject>final</dc:subject>
  <dc:creator>BEAUNEE</dc:creator>
  <cp:keywords/>
  <dc:description/>
  <cp:lastModifiedBy>BEAUNEE</cp:lastModifiedBy>
  <cp:revision>2</cp:revision>
  <cp:lastPrinted>2013-12-12T07:33:00Z</cp:lastPrinted>
  <dcterms:created xsi:type="dcterms:W3CDTF">2013-12-12T08:13:00Z</dcterms:created>
  <dcterms:modified xsi:type="dcterms:W3CDTF">2013-12-12T08:13:00Z</dcterms:modified>
</cp:coreProperties>
</file>