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678"/>
        <w:gridCol w:w="3260"/>
      </w:tblGrid>
      <w:tr w:rsidR="00712E12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559" w:type="dxa"/>
            <w:tcBorders>
              <w:bottom w:val="single" w:sz="6" w:space="0" w:color="auto"/>
            </w:tcBorders>
          </w:tcPr>
          <w:p w:rsidR="00712E12" w:rsidRDefault="00712E12">
            <w:pPr>
              <w:spacing w:before="6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NATIONS</w:t>
            </w:r>
            <w:r>
              <w:rPr>
                <w:rFonts w:ascii="Arial" w:hAnsi="Arial" w:cs="Arial"/>
                <w:b/>
                <w:bCs/>
                <w:sz w:val="28"/>
              </w:rPr>
              <w:br/>
              <w:t>UNIES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712E12" w:rsidRDefault="00712E12"/>
        </w:tc>
        <w:tc>
          <w:tcPr>
            <w:tcW w:w="3260" w:type="dxa"/>
            <w:tcBorders>
              <w:bottom w:val="single" w:sz="6" w:space="0" w:color="auto"/>
            </w:tcBorders>
          </w:tcPr>
          <w:p w:rsidR="00712E12" w:rsidRDefault="00712E12">
            <w:pPr>
              <w:ind w:right="17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72"/>
              </w:rPr>
              <w:t>CCPR</w:t>
            </w:r>
          </w:p>
        </w:tc>
      </w:tr>
      <w:tr w:rsidR="00712E12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559" w:type="dxa"/>
            <w:tcBorders>
              <w:top w:val="single" w:sz="6" w:space="0" w:color="auto"/>
              <w:bottom w:val="single" w:sz="24" w:space="0" w:color="auto"/>
            </w:tcBorders>
            <w:tcMar>
              <w:top w:w="170" w:type="dxa"/>
            </w:tcMar>
          </w:tcPr>
          <w:p w:rsidR="00712E12" w:rsidRDefault="00712E12">
            <w:r>
              <w:object w:dxaOrig="1361" w:dyaOrig="1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3.75pt" o:ole="" o:allowoverlap="f">
                  <v:imagedata r:id="rId7" o:title=""/>
                </v:shape>
                <o:OLEObject Type="Embed" ProgID="Word.Picture.8" ShapeID="_x0000_i1025" DrawAspect="Content" ObjectID="_1392799383" r:id="rId8"/>
              </w:object>
            </w:r>
          </w:p>
        </w:tc>
        <w:tc>
          <w:tcPr>
            <w:tcW w:w="4678" w:type="dxa"/>
            <w:tcBorders>
              <w:top w:val="single" w:sz="6" w:space="0" w:color="auto"/>
              <w:bottom w:val="single" w:sz="24" w:space="0" w:color="auto"/>
            </w:tcBorders>
            <w:tcMar>
              <w:top w:w="170" w:type="dxa"/>
            </w:tcMar>
          </w:tcPr>
          <w:p w:rsidR="00712E12" w:rsidRDefault="00712E12">
            <w:pPr>
              <w:widowControl w:val="0"/>
              <w:spacing w:before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Pacte international</w:t>
            </w:r>
            <w:r>
              <w:rPr>
                <w:rFonts w:ascii="Arial" w:hAnsi="Arial" w:cs="Arial"/>
                <w:b/>
                <w:bCs/>
                <w:sz w:val="32"/>
              </w:rPr>
              <w:br/>
              <w:t>relatif aux droits civils</w:t>
            </w:r>
            <w:r>
              <w:rPr>
                <w:rFonts w:ascii="Arial" w:hAnsi="Arial" w:cs="Arial"/>
                <w:b/>
                <w:bCs/>
                <w:sz w:val="32"/>
              </w:rPr>
              <w:br/>
              <w:t>et politiques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24" w:space="0" w:color="auto"/>
            </w:tcBorders>
            <w:tcMar>
              <w:top w:w="170" w:type="dxa"/>
            </w:tcMar>
          </w:tcPr>
          <w:p w:rsidR="00712E12" w:rsidRDefault="00712E12">
            <w:pPr>
              <w:spacing w:after="240"/>
            </w:pPr>
            <w:r>
              <w:t>Distr.</w:t>
            </w:r>
            <w:r>
              <w:br/>
              <w:t>RESTREINTE</w:t>
            </w:r>
            <w:r>
              <w:rPr>
                <w:rStyle w:val="FootnoteReference"/>
              </w:rPr>
              <w:footnoteReference w:customMarkFollows="1" w:id="1"/>
              <w:t>*</w:t>
            </w:r>
          </w:p>
          <w:p w:rsidR="00712E12" w:rsidRDefault="00712E12">
            <w:pPr>
              <w:spacing w:after="240"/>
            </w:pPr>
            <w:r>
              <w:t>CCPR/C/</w:t>
            </w:r>
            <w:r w:rsidR="00DB6129">
              <w:t>92</w:t>
            </w:r>
            <w:r>
              <w:t>/D/</w:t>
            </w:r>
            <w:r w:rsidR="00DB6129">
              <w:t>1358/2005</w:t>
            </w:r>
            <w:r>
              <w:br/>
            </w:r>
            <w:r w:rsidR="00DB6129">
              <w:t>24 avril</w:t>
            </w:r>
            <w:r>
              <w:t xml:space="preserve"> 200</w:t>
            </w:r>
            <w:r w:rsidR="00927BCB">
              <w:t>8</w:t>
            </w:r>
          </w:p>
          <w:p w:rsidR="00712E12" w:rsidRDefault="00712E12">
            <w:r>
              <w:t>FRANÇAIS</w:t>
            </w:r>
            <w:r>
              <w:br/>
              <w:t>Original: ANGLAIS</w:t>
            </w:r>
          </w:p>
        </w:tc>
      </w:tr>
    </w:tbl>
    <w:p w:rsidR="00712E12" w:rsidRDefault="00712E12" w:rsidP="00AF6E96">
      <w:pPr>
        <w:spacing w:before="120" w:after="480"/>
      </w:pPr>
      <w:r>
        <w:t>COMITÉ DES DROITS DE L</w:t>
      </w:r>
      <w:r w:rsidR="00AF6E96">
        <w:t>’</w:t>
      </w:r>
      <w:r>
        <w:t>HOMME</w:t>
      </w:r>
      <w:r>
        <w:br/>
      </w:r>
      <w:r w:rsidR="00DB6129">
        <w:t>Quatre</w:t>
      </w:r>
      <w:r w:rsidR="00DB6129">
        <w:noBreakHyphen/>
        <w:t>vingt</w:t>
      </w:r>
      <w:r w:rsidR="00DB6129">
        <w:noBreakHyphen/>
        <w:t xml:space="preserve">douzième </w:t>
      </w:r>
      <w:r>
        <w:t>session</w:t>
      </w:r>
      <w:r>
        <w:br/>
      </w:r>
      <w:r w:rsidR="00DB6129">
        <w:t>17 mars</w:t>
      </w:r>
      <w:r w:rsidR="00DB6129">
        <w:noBreakHyphen/>
        <w:t>4 avril</w:t>
      </w:r>
      <w:r>
        <w:t xml:space="preserve"> 200</w:t>
      </w:r>
      <w:r w:rsidR="00927BCB">
        <w:t>8</w:t>
      </w:r>
    </w:p>
    <w:p w:rsidR="00712E12" w:rsidRDefault="00712E12">
      <w:pPr>
        <w:spacing w:after="240"/>
        <w:jc w:val="center"/>
        <w:rPr>
          <w:b/>
          <w:bCs/>
        </w:rPr>
      </w:pPr>
      <w:r>
        <w:rPr>
          <w:b/>
          <w:bCs/>
        </w:rPr>
        <w:t>DÉCISION</w:t>
      </w:r>
    </w:p>
    <w:p w:rsidR="00712E12" w:rsidRDefault="00712E12">
      <w:pPr>
        <w:spacing w:after="480"/>
        <w:jc w:val="center"/>
        <w:rPr>
          <w:b/>
          <w:bCs/>
        </w:rPr>
      </w:pPr>
      <w:r>
        <w:rPr>
          <w:b/>
          <w:bCs/>
        </w:rPr>
        <w:t>Communication n</w:t>
      </w:r>
      <w:r>
        <w:rPr>
          <w:b/>
          <w:bCs/>
          <w:vertAlign w:val="superscript"/>
        </w:rPr>
        <w:t>o</w:t>
      </w:r>
      <w:r w:rsidR="00BB2F70">
        <w:rPr>
          <w:b/>
          <w:bCs/>
        </w:rPr>
        <w:t> </w:t>
      </w:r>
      <w:r w:rsidR="00DB6129">
        <w:rPr>
          <w:b/>
          <w:bCs/>
        </w:rPr>
        <w:t>1358/2005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712E1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712E12" w:rsidRDefault="00712E1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Présentée par</w:t>
            </w:r>
            <w:r>
              <w:t>:</w:t>
            </w:r>
          </w:p>
        </w:tc>
        <w:tc>
          <w:tcPr>
            <w:tcW w:w="6379" w:type="dxa"/>
          </w:tcPr>
          <w:p w:rsidR="00712E12" w:rsidRDefault="00DB6129">
            <w:pPr>
              <w:spacing w:after="240"/>
            </w:pPr>
            <w:r w:rsidRPr="0009228C">
              <w:rPr>
                <w:szCs w:val="24"/>
              </w:rPr>
              <w:t>Viktor Korneenko (non représenté par un conseil)</w:t>
            </w:r>
          </w:p>
        </w:tc>
      </w:tr>
      <w:tr w:rsidR="00712E1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712E12" w:rsidRDefault="00712E1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Au nom de</w:t>
            </w:r>
            <w:r>
              <w:t>:</w:t>
            </w:r>
          </w:p>
        </w:tc>
        <w:tc>
          <w:tcPr>
            <w:tcW w:w="6379" w:type="dxa"/>
          </w:tcPr>
          <w:p w:rsidR="00712E12" w:rsidRDefault="00DB6129">
            <w:pPr>
              <w:spacing w:after="240"/>
            </w:pPr>
            <w:r w:rsidRPr="0009228C">
              <w:rPr>
                <w:szCs w:val="24"/>
              </w:rPr>
              <w:t>L</w:t>
            </w:r>
            <w:r w:rsidR="00AF6E96">
              <w:rPr>
                <w:szCs w:val="24"/>
              </w:rPr>
              <w:t>’</w:t>
            </w:r>
            <w:r w:rsidRPr="0009228C">
              <w:rPr>
                <w:szCs w:val="24"/>
              </w:rPr>
              <w:t>auteur</w:t>
            </w:r>
          </w:p>
        </w:tc>
      </w:tr>
      <w:tr w:rsidR="00712E1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712E12" w:rsidRDefault="00712E1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État partie</w:t>
            </w:r>
            <w:r>
              <w:t>:</w:t>
            </w:r>
          </w:p>
        </w:tc>
        <w:tc>
          <w:tcPr>
            <w:tcW w:w="6379" w:type="dxa"/>
          </w:tcPr>
          <w:p w:rsidR="00712E12" w:rsidRDefault="00DB6129">
            <w:pPr>
              <w:spacing w:after="240"/>
            </w:pPr>
            <w:r w:rsidRPr="0009228C">
              <w:rPr>
                <w:szCs w:val="24"/>
              </w:rPr>
              <w:t>Bélarus</w:t>
            </w:r>
          </w:p>
        </w:tc>
      </w:tr>
      <w:tr w:rsidR="00712E1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712E12" w:rsidRDefault="00712E1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Date de la communication</w:t>
            </w:r>
            <w:r>
              <w:t>:</w:t>
            </w:r>
          </w:p>
        </w:tc>
        <w:tc>
          <w:tcPr>
            <w:tcW w:w="6379" w:type="dxa"/>
          </w:tcPr>
          <w:p w:rsidR="00712E12" w:rsidRDefault="00DB6129">
            <w:pPr>
              <w:spacing w:after="240"/>
            </w:pPr>
            <w:r w:rsidRPr="0009228C">
              <w:rPr>
                <w:szCs w:val="24"/>
              </w:rPr>
              <w:t>10 novembre 2004 (date de la lettre initiale</w:t>
            </w:r>
            <w:r>
              <w:rPr>
                <w:szCs w:val="24"/>
              </w:rPr>
              <w:t>)</w:t>
            </w:r>
          </w:p>
        </w:tc>
      </w:tr>
      <w:tr w:rsidR="00712E1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712E12" w:rsidRDefault="00712E1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Références</w:t>
            </w:r>
            <w:r>
              <w:t>:</w:t>
            </w:r>
          </w:p>
        </w:tc>
        <w:tc>
          <w:tcPr>
            <w:tcW w:w="6379" w:type="dxa"/>
          </w:tcPr>
          <w:p w:rsidR="00712E12" w:rsidRDefault="00DB6129">
            <w:pPr>
              <w:spacing w:after="240"/>
            </w:pPr>
            <w:r w:rsidRPr="0009228C">
              <w:rPr>
                <w:szCs w:val="24"/>
              </w:rPr>
              <w:t>Décision prise par le Rapporteur spécial en application de l</w:t>
            </w:r>
            <w:r w:rsidR="00AF6E96">
              <w:rPr>
                <w:szCs w:val="24"/>
              </w:rPr>
              <w:t>’</w:t>
            </w:r>
            <w:r w:rsidRPr="0009228C">
              <w:rPr>
                <w:szCs w:val="24"/>
              </w:rPr>
              <w:t>article 97 du Règlement intérieur, communiquée à l</w:t>
            </w:r>
            <w:r w:rsidR="00AF6E96">
              <w:rPr>
                <w:szCs w:val="24"/>
              </w:rPr>
              <w:t>’</w:t>
            </w:r>
            <w:r w:rsidRPr="0009228C">
              <w:rPr>
                <w:szCs w:val="24"/>
              </w:rPr>
              <w:t>État partie le 1</w:t>
            </w:r>
            <w:r w:rsidRPr="0009228C">
              <w:rPr>
                <w:szCs w:val="24"/>
                <w:vertAlign w:val="superscript"/>
              </w:rPr>
              <w:t>er</w:t>
            </w:r>
            <w:r w:rsidRPr="0009228C">
              <w:rPr>
                <w:szCs w:val="24"/>
              </w:rPr>
              <w:t> février 2005 (non publiée sous forme de document)</w:t>
            </w:r>
          </w:p>
        </w:tc>
      </w:tr>
      <w:tr w:rsidR="00712E1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712E12" w:rsidRDefault="00712E1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Date de la présente décision</w:t>
            </w:r>
            <w:r>
              <w:t>:</w:t>
            </w:r>
          </w:p>
        </w:tc>
        <w:tc>
          <w:tcPr>
            <w:tcW w:w="6379" w:type="dxa"/>
          </w:tcPr>
          <w:p w:rsidR="00712E12" w:rsidRDefault="00DB6129">
            <w:pPr>
              <w:spacing w:after="240"/>
            </w:pPr>
            <w:r>
              <w:rPr>
                <w:szCs w:val="24"/>
              </w:rPr>
              <w:t>1</w:t>
            </w:r>
            <w:r w:rsidRPr="00751CF3">
              <w:rPr>
                <w:szCs w:val="24"/>
                <w:vertAlign w:val="superscript"/>
              </w:rPr>
              <w:t>er</w:t>
            </w:r>
            <w:r>
              <w:rPr>
                <w:szCs w:val="24"/>
              </w:rPr>
              <w:t xml:space="preserve"> avril</w:t>
            </w:r>
            <w:r w:rsidRPr="0009228C">
              <w:rPr>
                <w:szCs w:val="24"/>
              </w:rPr>
              <w:t xml:space="preserve"> 2008</w:t>
            </w:r>
          </w:p>
        </w:tc>
      </w:tr>
    </w:tbl>
    <w:p w:rsidR="0030162B" w:rsidRDefault="00DB6129" w:rsidP="0030162B">
      <w:pPr>
        <w:spacing w:after="240"/>
        <w:ind w:firstLine="567"/>
      </w:pPr>
      <w:r>
        <w:rPr>
          <w:i/>
        </w:rPr>
        <w:br w:type="page"/>
      </w:r>
      <w:r w:rsidR="0030162B" w:rsidRPr="0030162B">
        <w:rPr>
          <w:i/>
        </w:rPr>
        <w:t>Objet</w:t>
      </w:r>
      <w:r w:rsidR="0030162B">
        <w:t>:</w:t>
      </w:r>
      <w:r>
        <w:t xml:space="preserve"> </w:t>
      </w:r>
      <w:r w:rsidRPr="0009228C">
        <w:rPr>
          <w:szCs w:val="24"/>
        </w:rPr>
        <w:t>Déni de la possibilité de se porter candidat à la chambre basse du Parlement du Bélarus</w:t>
      </w:r>
    </w:p>
    <w:p w:rsidR="0030162B" w:rsidRDefault="0030162B" w:rsidP="0030162B">
      <w:pPr>
        <w:spacing w:after="240"/>
        <w:ind w:firstLine="567"/>
      </w:pPr>
      <w:r w:rsidRPr="0030162B">
        <w:rPr>
          <w:i/>
        </w:rPr>
        <w:t xml:space="preserve">Questions de </w:t>
      </w:r>
      <w:r w:rsidR="00875C87">
        <w:rPr>
          <w:i/>
        </w:rPr>
        <w:t>fond</w:t>
      </w:r>
      <w:r w:rsidR="00875C87" w:rsidRPr="00875C87">
        <w:t>:</w:t>
      </w:r>
      <w:r w:rsidR="00DB6129">
        <w:t xml:space="preserve"> </w:t>
      </w:r>
      <w:r w:rsidR="00DB6129" w:rsidRPr="0009228C">
        <w:rPr>
          <w:szCs w:val="24"/>
        </w:rPr>
        <w:t>Droit d</w:t>
      </w:r>
      <w:r w:rsidR="00AF6E96">
        <w:rPr>
          <w:szCs w:val="24"/>
        </w:rPr>
        <w:t>’</w:t>
      </w:r>
      <w:r w:rsidR="00DB6129" w:rsidRPr="0009228C">
        <w:rPr>
          <w:szCs w:val="24"/>
        </w:rPr>
        <w:t>être élu sans restriction déraisonnable et sans distinction; accès à la justice; droit de chacun de demander à un tribunal compétent, indépendant et impartial, établi par la loi, de se prononcer sur ses droits et obligations de caractère civil</w:t>
      </w:r>
    </w:p>
    <w:p w:rsidR="0030162B" w:rsidRDefault="0030162B" w:rsidP="0030162B">
      <w:pPr>
        <w:spacing w:after="240"/>
        <w:ind w:firstLine="567"/>
      </w:pPr>
      <w:r w:rsidRPr="0030162B">
        <w:rPr>
          <w:i/>
        </w:rPr>
        <w:t>Question</w:t>
      </w:r>
      <w:r w:rsidR="00616E61">
        <w:rPr>
          <w:i/>
        </w:rPr>
        <w:t>s</w:t>
      </w:r>
      <w:r w:rsidRPr="0030162B">
        <w:rPr>
          <w:i/>
        </w:rPr>
        <w:t xml:space="preserve"> de </w:t>
      </w:r>
      <w:r w:rsidR="00875C87">
        <w:rPr>
          <w:i/>
        </w:rPr>
        <w:t>procédure</w:t>
      </w:r>
      <w:r>
        <w:t>:</w:t>
      </w:r>
      <w:r w:rsidR="00DB6129">
        <w:t xml:space="preserve"> </w:t>
      </w:r>
      <w:r w:rsidR="00DB6129" w:rsidRPr="0009228C">
        <w:rPr>
          <w:szCs w:val="24"/>
        </w:rPr>
        <w:t>Griefs non étayés</w:t>
      </w:r>
    </w:p>
    <w:p w:rsidR="0030162B" w:rsidRDefault="0030162B" w:rsidP="0030162B">
      <w:pPr>
        <w:spacing w:after="240"/>
        <w:ind w:firstLine="567"/>
      </w:pPr>
      <w:r w:rsidRPr="0030162B">
        <w:rPr>
          <w:i/>
        </w:rPr>
        <w:t>Article</w:t>
      </w:r>
      <w:r>
        <w:rPr>
          <w:i/>
        </w:rPr>
        <w:t>s</w:t>
      </w:r>
      <w:r w:rsidRPr="0030162B">
        <w:rPr>
          <w:i/>
        </w:rPr>
        <w:t xml:space="preserve"> du Pacte</w:t>
      </w:r>
      <w:r>
        <w:t>:</w:t>
      </w:r>
      <w:r w:rsidR="00DB6129">
        <w:t xml:space="preserve"> </w:t>
      </w:r>
      <w:r w:rsidR="00DB6129" w:rsidRPr="0009228C">
        <w:rPr>
          <w:szCs w:val="24"/>
        </w:rPr>
        <w:t>14 (par. 1), 25, 26</w:t>
      </w:r>
    </w:p>
    <w:p w:rsidR="00616E61" w:rsidRDefault="00616E61" w:rsidP="00616E61">
      <w:pPr>
        <w:spacing w:after="240"/>
        <w:ind w:firstLine="567"/>
      </w:pPr>
      <w:r w:rsidRPr="0030162B">
        <w:rPr>
          <w:i/>
        </w:rPr>
        <w:t>Article</w:t>
      </w:r>
      <w:r w:rsidR="00532072">
        <w:rPr>
          <w:i/>
        </w:rPr>
        <w:t xml:space="preserve"> </w:t>
      </w:r>
      <w:r w:rsidRPr="0030162B">
        <w:rPr>
          <w:i/>
        </w:rPr>
        <w:t>du Protocole facultatif</w:t>
      </w:r>
      <w:r>
        <w:t>:</w:t>
      </w:r>
      <w:r w:rsidR="00DB6129">
        <w:t xml:space="preserve"> </w:t>
      </w:r>
      <w:r w:rsidR="00DB6129" w:rsidRPr="0009228C">
        <w:rPr>
          <w:szCs w:val="24"/>
        </w:rPr>
        <w:t>2</w:t>
      </w:r>
    </w:p>
    <w:p w:rsidR="00712E12" w:rsidRDefault="00712E12" w:rsidP="0030162B">
      <w:pPr>
        <w:spacing w:after="240"/>
        <w:jc w:val="center"/>
      </w:pPr>
      <w:r>
        <w:t>[ANNEXE]</w:t>
      </w:r>
    </w:p>
    <w:p w:rsidR="00712E12" w:rsidRDefault="00712E12">
      <w:pPr>
        <w:keepNext/>
        <w:keepLines/>
        <w:spacing w:after="240"/>
        <w:jc w:val="center"/>
        <w:rPr>
          <w:b/>
          <w:bCs/>
        </w:rPr>
      </w:pPr>
      <w:r>
        <w:rPr>
          <w:b/>
          <w:bCs/>
        </w:rPr>
        <w:br w:type="page"/>
        <w:t>ANNEXE</w:t>
      </w:r>
    </w:p>
    <w:p w:rsidR="00712E12" w:rsidRDefault="00712E12">
      <w:pPr>
        <w:keepNext/>
        <w:keepLines/>
        <w:spacing w:after="240"/>
        <w:jc w:val="center"/>
        <w:rPr>
          <w:b/>
          <w:bCs/>
        </w:rPr>
      </w:pPr>
      <w:r>
        <w:rPr>
          <w:b/>
          <w:bCs/>
        </w:rPr>
        <w:t>DÉCISION DU COMITÉ DES DROITS DE L</w:t>
      </w:r>
      <w:r w:rsidR="00AF6E96">
        <w:rPr>
          <w:b/>
          <w:bCs/>
        </w:rPr>
        <w:t>’</w:t>
      </w:r>
      <w:r>
        <w:rPr>
          <w:b/>
          <w:bCs/>
        </w:rPr>
        <w:t xml:space="preserve">HOMME EN VERTU DU PROTOCOLE FACULTATIF SE RAPPORTANT AU PACTE INTERNATIONAL </w:t>
      </w:r>
      <w:r>
        <w:rPr>
          <w:b/>
          <w:bCs/>
        </w:rPr>
        <w:br/>
        <w:t>RELATIF AUX DROITS CIVILS ET POLITIQUES</w:t>
      </w:r>
    </w:p>
    <w:p w:rsidR="00712E12" w:rsidRDefault="00532072">
      <w:pPr>
        <w:spacing w:after="240"/>
        <w:jc w:val="center"/>
        <w:rPr>
          <w:b/>
          <w:bCs/>
        </w:rPr>
      </w:pPr>
      <w:r>
        <w:rPr>
          <w:b/>
          <w:bCs/>
        </w:rPr>
        <w:t>Quatre</w:t>
      </w:r>
      <w:r>
        <w:rPr>
          <w:b/>
          <w:bCs/>
        </w:rPr>
        <w:noBreakHyphen/>
        <w:t>vingt</w:t>
      </w:r>
      <w:r>
        <w:rPr>
          <w:b/>
          <w:bCs/>
        </w:rPr>
        <w:noBreakHyphen/>
        <w:t>douzième</w:t>
      </w:r>
      <w:r w:rsidR="0030162B">
        <w:rPr>
          <w:b/>
          <w:bCs/>
        </w:rPr>
        <w:t xml:space="preserve"> session</w:t>
      </w:r>
    </w:p>
    <w:p w:rsidR="00712E12" w:rsidRDefault="00712E12">
      <w:pPr>
        <w:spacing w:after="240"/>
        <w:jc w:val="center"/>
        <w:rPr>
          <w:b/>
          <w:bCs/>
        </w:rPr>
      </w:pPr>
      <w:r>
        <w:rPr>
          <w:b/>
          <w:bCs/>
        </w:rPr>
        <w:t>concernant la</w:t>
      </w:r>
    </w:p>
    <w:p w:rsidR="00712E12" w:rsidRDefault="00712E12">
      <w:pPr>
        <w:spacing w:after="240"/>
        <w:jc w:val="center"/>
      </w:pPr>
      <w:r>
        <w:rPr>
          <w:b/>
          <w:bCs/>
        </w:rPr>
        <w:t>Communication n</w:t>
      </w:r>
      <w:r>
        <w:rPr>
          <w:b/>
          <w:bCs/>
          <w:vertAlign w:val="superscript"/>
        </w:rPr>
        <w:t>o</w:t>
      </w:r>
      <w:r>
        <w:rPr>
          <w:b/>
          <w:bCs/>
        </w:rPr>
        <w:t> </w:t>
      </w:r>
      <w:r w:rsidR="00532072">
        <w:rPr>
          <w:b/>
          <w:bCs/>
        </w:rPr>
        <w:t>1358/2005</w:t>
      </w:r>
      <w:r w:rsidR="00616E61" w:rsidRPr="00532072">
        <w:rPr>
          <w:rStyle w:val="FootnoteReference"/>
          <w:bCs/>
        </w:rPr>
        <w:footnoteReference w:customMarkFollows="1" w:id="2"/>
        <w:t>**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712E12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12E12" w:rsidRDefault="00712E1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Présentée par</w:t>
            </w:r>
            <w:r>
              <w:t>:</w:t>
            </w:r>
          </w:p>
        </w:tc>
        <w:tc>
          <w:tcPr>
            <w:tcW w:w="6521" w:type="dxa"/>
          </w:tcPr>
          <w:p w:rsidR="00712E12" w:rsidRDefault="00532072">
            <w:pPr>
              <w:spacing w:after="240"/>
            </w:pPr>
            <w:r w:rsidRPr="0009228C">
              <w:rPr>
                <w:szCs w:val="24"/>
              </w:rPr>
              <w:t>Viktor Korneenko (non représenté par un conseil)</w:t>
            </w:r>
          </w:p>
        </w:tc>
      </w:tr>
      <w:tr w:rsidR="00712E12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12E12" w:rsidRDefault="00712E1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Au nom de</w:t>
            </w:r>
            <w:r>
              <w:t>:</w:t>
            </w:r>
          </w:p>
        </w:tc>
        <w:tc>
          <w:tcPr>
            <w:tcW w:w="6521" w:type="dxa"/>
          </w:tcPr>
          <w:p w:rsidR="00712E12" w:rsidRDefault="00532072">
            <w:pPr>
              <w:spacing w:after="240"/>
            </w:pPr>
            <w:r w:rsidRPr="0009228C">
              <w:rPr>
                <w:szCs w:val="24"/>
              </w:rPr>
              <w:t>L</w:t>
            </w:r>
            <w:r w:rsidR="00AF6E96">
              <w:rPr>
                <w:szCs w:val="24"/>
              </w:rPr>
              <w:t>’</w:t>
            </w:r>
            <w:r w:rsidRPr="0009228C">
              <w:rPr>
                <w:szCs w:val="24"/>
              </w:rPr>
              <w:t>auteur</w:t>
            </w:r>
          </w:p>
        </w:tc>
      </w:tr>
      <w:tr w:rsidR="00712E12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12E12" w:rsidRDefault="00712E1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État partie</w:t>
            </w:r>
            <w:r>
              <w:t>:</w:t>
            </w:r>
          </w:p>
        </w:tc>
        <w:tc>
          <w:tcPr>
            <w:tcW w:w="6521" w:type="dxa"/>
          </w:tcPr>
          <w:p w:rsidR="00712E12" w:rsidRDefault="00532072">
            <w:pPr>
              <w:spacing w:after="240"/>
            </w:pPr>
            <w:r w:rsidRPr="0009228C">
              <w:rPr>
                <w:szCs w:val="24"/>
              </w:rPr>
              <w:t>Bélarus</w:t>
            </w:r>
          </w:p>
        </w:tc>
      </w:tr>
      <w:tr w:rsidR="00712E12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12E12" w:rsidRDefault="00712E1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Date de la communication</w:t>
            </w:r>
            <w:r>
              <w:t>:</w:t>
            </w:r>
          </w:p>
        </w:tc>
        <w:tc>
          <w:tcPr>
            <w:tcW w:w="6521" w:type="dxa"/>
          </w:tcPr>
          <w:p w:rsidR="00712E12" w:rsidRDefault="00532072">
            <w:pPr>
              <w:spacing w:after="240"/>
            </w:pPr>
            <w:r w:rsidRPr="0009228C">
              <w:rPr>
                <w:szCs w:val="24"/>
              </w:rPr>
              <w:t>10 novembre 2004 (date de la lettre initiale)</w:t>
            </w:r>
          </w:p>
        </w:tc>
      </w:tr>
    </w:tbl>
    <w:p w:rsidR="00712E12" w:rsidRDefault="00712E12">
      <w:pPr>
        <w:spacing w:before="240" w:after="240"/>
        <w:ind w:firstLine="567"/>
      </w:pPr>
      <w:r>
        <w:rPr>
          <w:i/>
          <w:iCs/>
        </w:rPr>
        <w:t>Le Comité des droits de l</w:t>
      </w:r>
      <w:r w:rsidR="00AF6E96">
        <w:rPr>
          <w:i/>
          <w:iCs/>
        </w:rPr>
        <w:t>’</w:t>
      </w:r>
      <w:r>
        <w:rPr>
          <w:i/>
          <w:iCs/>
        </w:rPr>
        <w:t>homme</w:t>
      </w:r>
      <w:r>
        <w:t>, institué en vertu de l</w:t>
      </w:r>
      <w:r w:rsidR="00AF6E96">
        <w:t>’</w:t>
      </w:r>
      <w:r>
        <w:t>article 28 du Pacte international relatif aux droits civils et politiques,</w:t>
      </w:r>
    </w:p>
    <w:p w:rsidR="00712E12" w:rsidRDefault="00712E12">
      <w:pPr>
        <w:spacing w:after="240"/>
        <w:ind w:firstLine="567"/>
      </w:pPr>
      <w:r>
        <w:rPr>
          <w:i/>
          <w:iCs/>
        </w:rPr>
        <w:t>Réuni le</w:t>
      </w:r>
      <w:r>
        <w:t xml:space="preserve"> </w:t>
      </w:r>
      <w:r w:rsidR="00532072">
        <w:t>1</w:t>
      </w:r>
      <w:r w:rsidR="00532072" w:rsidRPr="00532072">
        <w:rPr>
          <w:vertAlign w:val="superscript"/>
        </w:rPr>
        <w:t>er</w:t>
      </w:r>
      <w:r w:rsidR="00532072">
        <w:t xml:space="preserve"> avril 2008</w:t>
      </w:r>
      <w:r>
        <w:t>,</w:t>
      </w:r>
    </w:p>
    <w:p w:rsidR="00712E12" w:rsidRDefault="00712E12">
      <w:pPr>
        <w:spacing w:after="240"/>
        <w:ind w:firstLine="567"/>
      </w:pPr>
      <w:r>
        <w:rPr>
          <w:i/>
          <w:iCs/>
        </w:rPr>
        <w:t>Adopte</w:t>
      </w:r>
      <w:r>
        <w:t xml:space="preserve"> ce qui suit:</w:t>
      </w:r>
    </w:p>
    <w:p w:rsidR="00712E12" w:rsidRDefault="0030162B">
      <w:pPr>
        <w:spacing w:after="240"/>
        <w:jc w:val="center"/>
      </w:pPr>
      <w:r>
        <w:rPr>
          <w:b/>
          <w:bCs/>
        </w:rPr>
        <w:t>Décision concernant la recevabilité</w:t>
      </w:r>
    </w:p>
    <w:p w:rsidR="00532072" w:rsidRDefault="00532072" w:rsidP="00532072">
      <w:pPr>
        <w:spacing w:after="24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09228C">
        <w:rPr>
          <w:szCs w:val="24"/>
        </w:rPr>
        <w:t>L</w:t>
      </w:r>
      <w:r w:rsidR="00AF6E96">
        <w:rPr>
          <w:szCs w:val="24"/>
        </w:rPr>
        <w:t>’</w:t>
      </w:r>
      <w:r w:rsidRPr="0009228C">
        <w:rPr>
          <w:szCs w:val="24"/>
        </w:rPr>
        <w:t xml:space="preserve">auteur de la communication est </w:t>
      </w:r>
      <w:r>
        <w:rPr>
          <w:szCs w:val="24"/>
        </w:rPr>
        <w:t xml:space="preserve">M. </w:t>
      </w:r>
      <w:r w:rsidRPr="0009228C">
        <w:rPr>
          <w:szCs w:val="24"/>
        </w:rPr>
        <w:t>Viktor Korneenko, d</w:t>
      </w:r>
      <w:r w:rsidR="00875C87">
        <w:rPr>
          <w:szCs w:val="24"/>
        </w:rPr>
        <w:t>e nationalité bélarussienne, né </w:t>
      </w:r>
      <w:r w:rsidRPr="0009228C">
        <w:rPr>
          <w:szCs w:val="24"/>
        </w:rPr>
        <w:t>en 1957 et résidant à Gomel (Bélarus). Il affirme être victime de violations par le Bélarus</w:t>
      </w:r>
      <w:r w:rsidRPr="0009228C">
        <w:rPr>
          <w:rStyle w:val="FootnoteReference"/>
          <w:szCs w:val="24"/>
        </w:rPr>
        <w:footnoteReference w:id="3"/>
      </w:r>
      <w:r w:rsidRPr="0009228C">
        <w:rPr>
          <w:szCs w:val="24"/>
        </w:rPr>
        <w:t xml:space="preserve"> du paragraphe 1 de l</w:t>
      </w:r>
      <w:r w:rsidR="00AF6E96">
        <w:rPr>
          <w:szCs w:val="24"/>
        </w:rPr>
        <w:t>’</w:t>
      </w:r>
      <w:r w:rsidRPr="0009228C">
        <w:rPr>
          <w:szCs w:val="24"/>
        </w:rPr>
        <w:t>article 14 et des art</w:t>
      </w:r>
      <w:r w:rsidRPr="00242671">
        <w:t>icles 25 et 26 du Pacte international relatif aux droits civils et politiques. Il n</w:t>
      </w:r>
      <w:r w:rsidR="00AF6E96">
        <w:rPr>
          <w:szCs w:val="24"/>
        </w:rPr>
        <w:t>’</w:t>
      </w:r>
      <w:r w:rsidRPr="0009228C">
        <w:rPr>
          <w:szCs w:val="24"/>
        </w:rPr>
        <w:t>est pas représenté par un conseil.</w:t>
      </w:r>
    </w:p>
    <w:p w:rsidR="00532072" w:rsidRPr="00532072" w:rsidRDefault="00532072" w:rsidP="00532072">
      <w:pPr>
        <w:keepNext/>
        <w:spacing w:after="240"/>
        <w:rPr>
          <w:b/>
          <w:szCs w:val="24"/>
        </w:rPr>
      </w:pPr>
      <w:r w:rsidRPr="00532072">
        <w:rPr>
          <w:b/>
          <w:szCs w:val="24"/>
        </w:rPr>
        <w:t>Rappel des faits présentés par l</w:t>
      </w:r>
      <w:r w:rsidR="00AF6E96">
        <w:rPr>
          <w:b/>
          <w:szCs w:val="24"/>
        </w:rPr>
        <w:t>’</w:t>
      </w:r>
      <w:r w:rsidRPr="00532072">
        <w:rPr>
          <w:b/>
          <w:szCs w:val="24"/>
        </w:rPr>
        <w:t>auteur</w:t>
      </w:r>
    </w:p>
    <w:p w:rsidR="00532072" w:rsidRPr="0009228C" w:rsidRDefault="00532072" w:rsidP="00442F02">
      <w:pPr>
        <w:spacing w:after="240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ab/>
      </w:r>
      <w:r w:rsidRPr="0009228C">
        <w:rPr>
          <w:szCs w:val="24"/>
        </w:rPr>
        <w:t>De 1996 à 2002, l</w:t>
      </w:r>
      <w:r w:rsidR="00AF6E96">
        <w:rPr>
          <w:szCs w:val="24"/>
        </w:rPr>
        <w:t>’</w:t>
      </w:r>
      <w:r w:rsidRPr="0009228C">
        <w:rPr>
          <w:szCs w:val="24"/>
        </w:rPr>
        <w:t>auteur a été Président de l</w:t>
      </w:r>
      <w:r w:rsidR="00AF6E96">
        <w:rPr>
          <w:szCs w:val="24"/>
        </w:rPr>
        <w:t>’</w:t>
      </w:r>
      <w:r w:rsidRPr="0009228C">
        <w:rPr>
          <w:szCs w:val="24"/>
        </w:rPr>
        <w:t xml:space="preserve">association régionale de Gomel </w:t>
      </w:r>
      <w:r>
        <w:rPr>
          <w:szCs w:val="24"/>
        </w:rPr>
        <w:t>«</w:t>
      </w:r>
      <w:r w:rsidRPr="0009228C">
        <w:rPr>
          <w:szCs w:val="24"/>
        </w:rPr>
        <w:t>Initiatives ci</w:t>
      </w:r>
      <w:r w:rsidRPr="00242671">
        <w:t>viles</w:t>
      </w:r>
      <w:r>
        <w:rPr>
          <w:szCs w:val="24"/>
        </w:rPr>
        <w:t>». D</w:t>
      </w:r>
      <w:r w:rsidRPr="0009228C">
        <w:rPr>
          <w:szCs w:val="24"/>
        </w:rPr>
        <w:t>epuis 2001, il est militant du Parti civique unifié et, depuis 2003, Président de la Fondation pour l</w:t>
      </w:r>
      <w:r w:rsidR="00AF6E96">
        <w:rPr>
          <w:szCs w:val="24"/>
        </w:rPr>
        <w:t>’</w:t>
      </w:r>
      <w:r w:rsidRPr="0009228C">
        <w:rPr>
          <w:szCs w:val="24"/>
        </w:rPr>
        <w:t>aide au développement local. À une date non précisée, il a été désigné candidat aux élections de 2004 à la Chambre des représentants (chambr</w:t>
      </w:r>
      <w:r w:rsidRPr="00242671">
        <w:t>e basse) de l</w:t>
      </w:r>
      <w:r w:rsidR="00AF6E96">
        <w:rPr>
          <w:szCs w:val="24"/>
        </w:rPr>
        <w:t>’</w:t>
      </w:r>
      <w:r w:rsidRPr="0009228C">
        <w:rPr>
          <w:szCs w:val="24"/>
        </w:rPr>
        <w:t>Assemblée nationale bélarussienne (Parlement), pour représenter la circonscription électorale industrielle n</w:t>
      </w:r>
      <w:r w:rsidRPr="0009228C">
        <w:rPr>
          <w:szCs w:val="24"/>
          <w:vertAlign w:val="superscript"/>
        </w:rPr>
        <w:t>o </w:t>
      </w:r>
      <w:r w:rsidRPr="0009228C">
        <w:rPr>
          <w:szCs w:val="24"/>
        </w:rPr>
        <w:t xml:space="preserve">37 de Gomel. Le 6 septembre 2004, il a présenté à la Commission électorale régionale 142 listes portant 1 080 signatures de soutien </w:t>
      </w:r>
      <w:r w:rsidRPr="00242671">
        <w:t>à sa candidature</w:t>
      </w:r>
      <w:r>
        <w:rPr>
          <w:szCs w:val="24"/>
        </w:rPr>
        <w:t>,</w:t>
      </w:r>
      <w:r w:rsidRPr="0009228C">
        <w:rPr>
          <w:szCs w:val="24"/>
        </w:rPr>
        <w:t xml:space="preserve"> qui avaient été recueillies par un groupe d</w:t>
      </w:r>
      <w:r w:rsidR="00AF6E96">
        <w:rPr>
          <w:szCs w:val="24"/>
        </w:rPr>
        <w:t>’</w:t>
      </w:r>
      <w:r w:rsidRPr="0009228C">
        <w:rPr>
          <w:szCs w:val="24"/>
        </w:rPr>
        <w:t xml:space="preserve">initiative créé à cette fin. </w:t>
      </w:r>
    </w:p>
    <w:p w:rsidR="00532072" w:rsidRPr="00242671" w:rsidRDefault="00442F02" w:rsidP="00532072">
      <w:pPr>
        <w:spacing w:after="240"/>
      </w:pPr>
      <w:r>
        <w:rPr>
          <w:szCs w:val="24"/>
        </w:rPr>
        <w:t>2.2</w:t>
      </w:r>
      <w:r>
        <w:rPr>
          <w:szCs w:val="24"/>
        </w:rPr>
        <w:tab/>
      </w:r>
      <w:r w:rsidR="00532072" w:rsidRPr="0009228C">
        <w:rPr>
          <w:szCs w:val="24"/>
        </w:rPr>
        <w:t>Le 16 septembre 2004, la Commission électorale régionale a refusé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enregistrer la candidature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au motif que 57 signatures de soutien, soit 16,2 % du tot</w:t>
      </w:r>
      <w:r w:rsidR="00532072" w:rsidRPr="00242671">
        <w:t>al,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étaient pas valables</w:t>
      </w:r>
      <w:r w:rsidR="00532072" w:rsidRPr="0009228C">
        <w:rPr>
          <w:rStyle w:val="FootnoteReference"/>
          <w:szCs w:val="24"/>
        </w:rPr>
        <w:footnoteReference w:id="4"/>
      </w:r>
      <w:r w:rsidR="00532072" w:rsidRPr="0009228C">
        <w:rPr>
          <w:szCs w:val="24"/>
        </w:rPr>
        <w:t>. Elle a également noté, dans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extrait n</w:t>
      </w:r>
      <w:r w:rsidR="00532072" w:rsidRPr="0009228C">
        <w:rPr>
          <w:szCs w:val="24"/>
          <w:vertAlign w:val="superscript"/>
        </w:rPr>
        <w:t>o </w:t>
      </w:r>
      <w:r w:rsidR="00532072" w:rsidRPr="0009228C">
        <w:rPr>
          <w:szCs w:val="24"/>
        </w:rPr>
        <w:t>5 de sa décision en date du 16 septembre 2004, que deux électeurs, Kontsevoy et Kontsevaya, lui avaient demandé de retirer leur signature des listes.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fait valoir que conformémen</w:t>
      </w:r>
      <w:r w:rsidR="00532072" w:rsidRPr="00242671">
        <w:t>t au paragraphe 5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 xml:space="preserve">article 67 du Code électoral (Recommandations concernant la procédure intitulées </w:t>
      </w:r>
      <w:r w:rsidR="00532072">
        <w:rPr>
          <w:szCs w:val="24"/>
        </w:rPr>
        <w:t>«</w:t>
      </w:r>
      <w:r w:rsidR="00532072" w:rsidRPr="0009228C">
        <w:rPr>
          <w:szCs w:val="24"/>
        </w:rPr>
        <w:t>Aspects juridiques et organisationnels des activités des commissions électorales régionales relatives aux élections des députés à la Chambre des repré</w:t>
      </w:r>
      <w:r w:rsidR="00532072" w:rsidRPr="00242671">
        <w:t>sentants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Assemblée nationale de la République du Bélarus</w:t>
      </w:r>
      <w:r w:rsidR="00532072">
        <w:rPr>
          <w:szCs w:val="24"/>
        </w:rPr>
        <w:t>»</w:t>
      </w:r>
      <w:r w:rsidR="00532072" w:rsidRPr="0009228C">
        <w:rPr>
          <w:szCs w:val="24"/>
        </w:rPr>
        <w:t>, approuvées par la Commission électorale centrale dans sa décision n</w:t>
      </w:r>
      <w:r w:rsidR="00532072" w:rsidRPr="0009228C">
        <w:rPr>
          <w:szCs w:val="24"/>
          <w:vertAlign w:val="superscript"/>
        </w:rPr>
        <w:t>o </w:t>
      </w:r>
      <w:r w:rsidR="00875C87">
        <w:rPr>
          <w:szCs w:val="24"/>
        </w:rPr>
        <w:t>5 en date du 20 mai 2004), la </w:t>
      </w:r>
      <w:r w:rsidR="00532072" w:rsidRPr="0009228C">
        <w:rPr>
          <w:szCs w:val="24"/>
        </w:rPr>
        <w:t>Commission électorale régionale devait établir un procès</w:t>
      </w:r>
      <w:r>
        <w:rPr>
          <w:szCs w:val="24"/>
        </w:rPr>
        <w:noBreakHyphen/>
      </w:r>
      <w:r w:rsidR="00532072" w:rsidRPr="0009228C">
        <w:rPr>
          <w:szCs w:val="24"/>
        </w:rPr>
        <w:t>verbal de la vérification des signa</w:t>
      </w:r>
      <w:r w:rsidR="00532072" w:rsidRPr="00242671">
        <w:t>tures, en précisant pourquoi certaines signatures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étaient pas valables. Or cela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 pas été fait.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affirme 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en réalité la Commission électorale régionale a décidé de ne pas enregistrer sa candidature en se fondant uniquement sur une information</w:t>
      </w:r>
      <w:r w:rsidR="00532072" w:rsidRPr="00242671">
        <w:t xml:space="preserve"> non corroborée de sa secrétaire.</w:t>
      </w:r>
    </w:p>
    <w:p w:rsidR="00532072" w:rsidRPr="0009228C" w:rsidRDefault="00442F02" w:rsidP="00532072">
      <w:pPr>
        <w:spacing w:after="240"/>
        <w:rPr>
          <w:szCs w:val="24"/>
        </w:rPr>
      </w:pPr>
      <w:r>
        <w:rPr>
          <w:szCs w:val="24"/>
        </w:rPr>
        <w:t>2.3</w:t>
      </w:r>
      <w:r>
        <w:rPr>
          <w:szCs w:val="24"/>
        </w:rPr>
        <w:tab/>
      </w:r>
      <w:r w:rsidR="00532072" w:rsidRPr="0009228C">
        <w:rPr>
          <w:szCs w:val="24"/>
        </w:rPr>
        <w:t>Le 17 septembre 2004,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a prié la secrétaire de la Commission électorale régionale, en présence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un observateur des élections du Bureau des institutions démocratiques et des droits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homme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Organisation pour la sécurité et la coopération en Europe (OSCE), de lui montrer le procès</w:t>
      </w:r>
      <w:r>
        <w:rPr>
          <w:szCs w:val="24"/>
        </w:rPr>
        <w:noBreakHyphen/>
      </w:r>
      <w:r w:rsidR="00532072" w:rsidRPr="0009228C">
        <w:rPr>
          <w:szCs w:val="24"/>
        </w:rPr>
        <w:t>verbal écrit de la vérification des signatures. La secrétaire a refusé en arguant que la liste des signatures et le procès</w:t>
      </w:r>
      <w:r>
        <w:rPr>
          <w:szCs w:val="24"/>
        </w:rPr>
        <w:noBreakHyphen/>
      </w:r>
      <w:r w:rsidR="00532072" w:rsidRPr="0009228C">
        <w:rPr>
          <w:szCs w:val="24"/>
        </w:rPr>
        <w:t>verbal demandé par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avaient déjà été transmis au commissaire électoral principal.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fait valoir que, conformément au paragraphe 6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article 66 du Code électoral, la Commission électorale régionale devait conserver les listes de signatures jusqu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 xml:space="preserve">à la cessation de ses fonctions. </w:t>
      </w:r>
    </w:p>
    <w:p w:rsidR="00532072" w:rsidRPr="0009228C" w:rsidRDefault="00442F02" w:rsidP="00532072">
      <w:pPr>
        <w:spacing w:after="240"/>
        <w:rPr>
          <w:szCs w:val="24"/>
        </w:rPr>
      </w:pPr>
      <w:r>
        <w:rPr>
          <w:szCs w:val="24"/>
        </w:rPr>
        <w:t>2.4</w:t>
      </w:r>
      <w:r>
        <w:rPr>
          <w:szCs w:val="24"/>
        </w:rPr>
        <w:tab/>
      </w:r>
      <w:r w:rsidR="00532072" w:rsidRPr="0009228C">
        <w:rPr>
          <w:szCs w:val="24"/>
        </w:rPr>
        <w:t>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affirme q</w:t>
      </w:r>
      <w:r w:rsidR="00532072" w:rsidRPr="00242671">
        <w:t>ue la secrétaire de la Commission électorale régionale, qui était également administratrice du Comité exécutif</w:t>
      </w:r>
      <w:r w:rsidR="00532072" w:rsidRPr="0009228C">
        <w:rPr>
          <w:szCs w:val="24"/>
        </w:rPr>
        <w:t xml:space="preserve"> du district soviétique de Gomel, a eu des préventions contre lui dès le moment où son groupe lui a demandé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approuver la liste des signatures d</w:t>
      </w:r>
      <w:r w:rsidR="00532072" w:rsidRPr="00242671">
        <w:t>e soutien en apposant le cachet du Comité exécutif. À cette époque, la secrétaire a tenu publiquement des propos sur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 xml:space="preserve">auteur, colportant de fausses informations qui auraient porté atteinte à son honneur, à sa dignité et à sa réputation professionnelle. </w:t>
      </w:r>
    </w:p>
    <w:p w:rsidR="00532072" w:rsidRPr="0009228C" w:rsidRDefault="00442F02" w:rsidP="00532072">
      <w:pPr>
        <w:spacing w:after="240"/>
        <w:rPr>
          <w:szCs w:val="24"/>
        </w:rPr>
      </w:pPr>
      <w:r>
        <w:rPr>
          <w:szCs w:val="24"/>
        </w:rPr>
        <w:t>2.5</w:t>
      </w:r>
      <w:r>
        <w:rPr>
          <w:szCs w:val="24"/>
        </w:rPr>
        <w:tab/>
      </w:r>
      <w:r w:rsidR="00532072" w:rsidRPr="0009228C">
        <w:rPr>
          <w:szCs w:val="24"/>
        </w:rPr>
        <w:t>L</w:t>
      </w:r>
      <w:r w:rsidR="00AF6E96">
        <w:rPr>
          <w:szCs w:val="24"/>
        </w:rPr>
        <w:t>’</w:t>
      </w:r>
      <w:r w:rsidR="00532072">
        <w:rPr>
          <w:szCs w:val="24"/>
        </w:rPr>
        <w:t>auteur explique qu</w:t>
      </w:r>
      <w:r w:rsidR="00AF6E96">
        <w:rPr>
          <w:szCs w:val="24"/>
        </w:rPr>
        <w:t>’</w:t>
      </w:r>
      <w:r w:rsidR="00532072">
        <w:rPr>
          <w:szCs w:val="24"/>
        </w:rPr>
        <w:t>il s</w:t>
      </w:r>
      <w:r w:rsidR="00AF6E96">
        <w:rPr>
          <w:szCs w:val="24"/>
        </w:rPr>
        <w:t>’</w:t>
      </w:r>
      <w:r w:rsidR="00532072">
        <w:rPr>
          <w:szCs w:val="24"/>
        </w:rPr>
        <w:t>est plaint l</w:t>
      </w:r>
      <w:r w:rsidR="00532072" w:rsidRPr="0009228C">
        <w:rPr>
          <w:szCs w:val="24"/>
        </w:rPr>
        <w:t>e 7 septembre 2004 des agissements de la secrétaire de la Commission électorale régionale auprès du Procureur du district soviétique de Gomel. Il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 pas reçu de réponse dans les trois jours, contrairement</w:t>
      </w:r>
      <w:r w:rsidR="00AF6E96">
        <w:rPr>
          <w:szCs w:val="24"/>
        </w:rPr>
        <w:t xml:space="preserve"> aux dispositions du paragraphe </w:t>
      </w:r>
      <w:r w:rsidR="00532072" w:rsidRPr="0009228C">
        <w:rPr>
          <w:szCs w:val="24"/>
        </w:rPr>
        <w:t>7 de l</w:t>
      </w:r>
      <w:r w:rsidR="00AF6E96">
        <w:rPr>
          <w:szCs w:val="24"/>
        </w:rPr>
        <w:t>’article </w:t>
      </w:r>
      <w:r w:rsidR="00532072" w:rsidRPr="0009228C">
        <w:rPr>
          <w:szCs w:val="24"/>
        </w:rPr>
        <w:t>49 du Code électoral bélarussien. Le 21 septembre 2004, il s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est plaint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inaction du Procureur du district soviétique de Gomel auprès du Bureau du Procureur de la région de Gomel. Le 29 septembre 2004, le Procureur de la région de Gomel a répondu que, conformément à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article 8 de la loi sur les requêtes des citoyens, la plainte de l</w:t>
      </w:r>
      <w:r w:rsidR="00AF6E96">
        <w:rPr>
          <w:szCs w:val="24"/>
        </w:rPr>
        <w:t>’auteur en date du 7 septembre </w:t>
      </w:r>
      <w:r w:rsidR="00532072" w:rsidRPr="0009228C">
        <w:rPr>
          <w:szCs w:val="24"/>
        </w:rPr>
        <w:t>2004 devait être examinée dans un délai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un mois, et que les actes de la secrétaire de la Commission électorale régionale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étaient constitutifs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aucune infraction administrative ou pénale. En date du 27 septembre 2004, le Procureur du district soviétique de Gomel a donné une réponse analogue à la plainte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auteur. Le 6 octobre 2004,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a fait appel de la décision du Procureur de la région de Gomel auprès du Bureau du Procureur du B</w:t>
      </w:r>
      <w:r w:rsidR="00AF6E96">
        <w:rPr>
          <w:szCs w:val="24"/>
        </w:rPr>
        <w:t>élarus. Le </w:t>
      </w:r>
      <w:r w:rsidR="00532072" w:rsidRPr="0009228C">
        <w:rPr>
          <w:szCs w:val="24"/>
        </w:rPr>
        <w:t>20 octobre 2004, celui</w:t>
      </w:r>
      <w:r>
        <w:rPr>
          <w:szCs w:val="24"/>
        </w:rPr>
        <w:noBreakHyphen/>
      </w:r>
      <w:r w:rsidR="00532072" w:rsidRPr="0009228C">
        <w:rPr>
          <w:szCs w:val="24"/>
        </w:rPr>
        <w:t>ci a confirmé la décision du Procureur de la région de Gomel concernant la secrétaire de la Commission électorale régionale mais a relevé que la plainte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aurait dû être examinée dans les délais prévus par le Code électoral.</w:t>
      </w:r>
    </w:p>
    <w:p w:rsidR="00532072" w:rsidRPr="0009228C" w:rsidRDefault="00442F02" w:rsidP="00532072">
      <w:pPr>
        <w:spacing w:after="240"/>
        <w:rPr>
          <w:szCs w:val="24"/>
        </w:rPr>
      </w:pPr>
      <w:r>
        <w:rPr>
          <w:szCs w:val="24"/>
        </w:rPr>
        <w:t>2.6</w:t>
      </w:r>
      <w:r>
        <w:rPr>
          <w:szCs w:val="24"/>
        </w:rPr>
        <w:tab/>
      </w:r>
      <w:r w:rsidR="00532072" w:rsidRPr="0009228C">
        <w:rPr>
          <w:szCs w:val="24"/>
        </w:rPr>
        <w:t>À une date non précisée,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a demandé à la secrétaire de la Commission électorale régionale de lui montrer les requêtes écrites des deux électeurs qui auraient exigé que leur signature soit retirée des listes de soutien à sa candidature (voir par. 2.2)</w:t>
      </w:r>
      <w:r w:rsidR="00532072">
        <w:rPr>
          <w:szCs w:val="24"/>
        </w:rPr>
        <w:t>. S</w:t>
      </w:r>
      <w:r w:rsidR="00532072" w:rsidRPr="0009228C">
        <w:rPr>
          <w:szCs w:val="24"/>
        </w:rPr>
        <w:t>a demande a été rejetée.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fait observer que,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après les copies des listes de signatures,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électeur Kontsevaya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avait en réalité jamais soutenu sa candidature, de sorte 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il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avait pas pu demander le retrait de sa signature.</w:t>
      </w:r>
    </w:p>
    <w:p w:rsidR="00532072" w:rsidRPr="0009228C" w:rsidRDefault="00442F02" w:rsidP="00532072">
      <w:pPr>
        <w:spacing w:after="240"/>
        <w:rPr>
          <w:szCs w:val="24"/>
        </w:rPr>
      </w:pPr>
      <w:r>
        <w:rPr>
          <w:szCs w:val="24"/>
        </w:rPr>
        <w:t>2.7</w:t>
      </w:r>
      <w:r>
        <w:rPr>
          <w:szCs w:val="24"/>
        </w:rPr>
        <w:tab/>
      </w:r>
      <w:r w:rsidR="00532072" w:rsidRPr="0009228C">
        <w:rPr>
          <w:szCs w:val="24"/>
        </w:rPr>
        <w:t>À une date non précisée,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a fait appel de la décision de la Commission électorale régionale du 16 septembre 2004 auprès de la Commission électora</w:t>
      </w:r>
      <w:r>
        <w:rPr>
          <w:szCs w:val="24"/>
        </w:rPr>
        <w:t>le centrale. Dans cet appel, il </w:t>
      </w:r>
      <w:r w:rsidR="00532072" w:rsidRPr="0009228C">
        <w:rPr>
          <w:szCs w:val="24"/>
        </w:rPr>
        <w:t>affirmait avoir été privé de la possibilité de produire des preuves de la validité des signatures car il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avait pas pu voir les requêtes écrites (voir par. 2.6) ni le procès</w:t>
      </w:r>
      <w:r>
        <w:rPr>
          <w:szCs w:val="24"/>
        </w:rPr>
        <w:noBreakHyphen/>
      </w:r>
      <w:r w:rsidR="00532072" w:rsidRPr="0009228C">
        <w:rPr>
          <w:szCs w:val="24"/>
        </w:rPr>
        <w:t>verbal de la vérification des signatures établi par la secrétaire de la Commission électoral</w:t>
      </w:r>
      <w:r>
        <w:rPr>
          <w:szCs w:val="24"/>
        </w:rPr>
        <w:t>e régionale (voir par. 2.3). Le </w:t>
      </w:r>
      <w:r w:rsidR="00532072" w:rsidRPr="0009228C">
        <w:rPr>
          <w:szCs w:val="24"/>
        </w:rPr>
        <w:t>23 septembre 2004, la Commission électorale centrale a rejeté le recours sans avoir entendu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auteur. Peu après, celui</w:t>
      </w:r>
      <w:r>
        <w:rPr>
          <w:szCs w:val="24"/>
        </w:rPr>
        <w:noBreakHyphen/>
      </w:r>
      <w:r w:rsidR="00532072" w:rsidRPr="0009228C">
        <w:rPr>
          <w:szCs w:val="24"/>
        </w:rPr>
        <w:t>ci a été autorisé à consulter le dossier et le procès</w:t>
      </w:r>
      <w:r>
        <w:rPr>
          <w:szCs w:val="24"/>
        </w:rPr>
        <w:noBreakHyphen/>
      </w:r>
      <w:r w:rsidR="00532072" w:rsidRPr="0009228C">
        <w:rPr>
          <w:szCs w:val="24"/>
        </w:rPr>
        <w:t xml:space="preserve">verbal censé montrer que certaines </w:t>
      </w:r>
      <w:r w:rsidR="00532072">
        <w:rPr>
          <w:szCs w:val="24"/>
        </w:rPr>
        <w:t xml:space="preserve">signatures </w:t>
      </w:r>
      <w:r w:rsidR="00532072" w:rsidRPr="0009228C">
        <w:rPr>
          <w:szCs w:val="24"/>
        </w:rPr>
        <w:t>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 xml:space="preserve">étaient pas valables. Il note que les requêtes des deux électeurs qui auraient demandé le retrait de leur signature ne figuraient pas dans le dossier. </w:t>
      </w:r>
    </w:p>
    <w:p w:rsidR="00532072" w:rsidRPr="0009228C" w:rsidRDefault="00442F02" w:rsidP="00532072">
      <w:pPr>
        <w:spacing w:after="240"/>
        <w:rPr>
          <w:szCs w:val="24"/>
        </w:rPr>
      </w:pPr>
      <w:r>
        <w:rPr>
          <w:szCs w:val="24"/>
        </w:rPr>
        <w:t>2.8</w:t>
      </w:r>
      <w:r>
        <w:rPr>
          <w:szCs w:val="24"/>
        </w:rPr>
        <w:tab/>
      </w:r>
      <w:r w:rsidR="00532072" w:rsidRPr="0009228C">
        <w:rPr>
          <w:szCs w:val="24"/>
        </w:rPr>
        <w:t>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donne les noms de 11 électeurs dont la signatu</w:t>
      </w:r>
      <w:r>
        <w:t>re a été jugée non valable. La </w:t>
      </w:r>
      <w:r w:rsidR="00532072" w:rsidRPr="00242671">
        <w:t>Commission électorale régionale avait conclu que ces électeurs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avaient pas signé les listes de soutien à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et 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ils avaient refusé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apporter des explications par écrit comme ses agents les en avaient priés.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</w:t>
      </w:r>
      <w:r w:rsidR="00532072" w:rsidRPr="00242671">
        <w:t xml:space="preserve">r a </w:t>
      </w:r>
      <w:r>
        <w:t>pris contact avec chacun des 11 </w:t>
      </w:r>
      <w:r w:rsidR="00532072" w:rsidRPr="00242671">
        <w:t>électeurs, lesquels ont affirmé 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ils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avaient jamais nié avoir signé les listes en question et 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aucun agent de la Commission électorale régionale ne les a</w:t>
      </w:r>
      <w:r w:rsidR="00532072">
        <w:rPr>
          <w:szCs w:val="24"/>
        </w:rPr>
        <w:t>vait</w:t>
      </w:r>
      <w:r w:rsidR="00532072" w:rsidRPr="0009228C">
        <w:rPr>
          <w:szCs w:val="24"/>
        </w:rPr>
        <w:t xml:space="preserve"> joints pour vérifier leur signature. Ils ont envoyé des </w:t>
      </w:r>
      <w:r w:rsidR="00532072" w:rsidRPr="00242671">
        <w:t>déclarations écrites à cet effet à la Commission électorale régionale, dont la plupart étaient certifiées par un notaire</w:t>
      </w:r>
      <w:r w:rsidR="00532072" w:rsidRPr="0009228C">
        <w:rPr>
          <w:rStyle w:val="FootnoteReference"/>
          <w:szCs w:val="24"/>
        </w:rPr>
        <w:footnoteReference w:id="5"/>
      </w:r>
      <w:r w:rsidR="00532072" w:rsidRPr="0009228C">
        <w:rPr>
          <w:szCs w:val="24"/>
        </w:rPr>
        <w:t xml:space="preserve">. </w:t>
      </w:r>
    </w:p>
    <w:p w:rsidR="00532072" w:rsidRPr="0009228C" w:rsidRDefault="00442F02" w:rsidP="00532072">
      <w:pPr>
        <w:spacing w:after="240"/>
        <w:rPr>
          <w:szCs w:val="24"/>
        </w:rPr>
      </w:pPr>
      <w:r>
        <w:rPr>
          <w:szCs w:val="24"/>
        </w:rPr>
        <w:t>2.9</w:t>
      </w:r>
      <w:r>
        <w:rPr>
          <w:szCs w:val="24"/>
        </w:rPr>
        <w:tab/>
      </w:r>
      <w:r w:rsidR="00532072" w:rsidRPr="0009228C">
        <w:rPr>
          <w:szCs w:val="24"/>
        </w:rPr>
        <w:t>À une date non précisée,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 xml:space="preserve">auteur a interjeté appel de la décision de la Commission électorale régionale datée du 23 septembre 2004 </w:t>
      </w:r>
      <w:r w:rsidR="00532072" w:rsidRPr="00242671">
        <w:t>auprès de l</w:t>
      </w:r>
      <w:r>
        <w:t>a Cour suprême. Le 30 septembre </w:t>
      </w:r>
      <w:r w:rsidR="00532072" w:rsidRPr="00242671">
        <w:t>2004, son recours a été rejeté</w:t>
      </w:r>
      <w:r w:rsidR="00532072">
        <w:rPr>
          <w:szCs w:val="24"/>
        </w:rPr>
        <w:t>.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arrêt de la Cour suprême est devenu définitif dès 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il a été rendu et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est pas susceptible de cassation. La Cour suprême a établi notamment 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il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y avait pas lieu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infirme</w:t>
      </w:r>
      <w:r w:rsidR="00532072" w:rsidRPr="00242671">
        <w:t>r la décision de la Commission électorale centrale qui avait refusé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enregistrement de la candidature et que les déclarations écrites des électeurs présentées par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(par. 2.8) étaient peu fiables parce 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 xml:space="preserve">elles avaient été obtenues en violation de </w:t>
      </w:r>
      <w:r w:rsidR="00532072" w:rsidRPr="00242671">
        <w:t>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article 181 du Code de procédure civile</w:t>
      </w:r>
      <w:r w:rsidR="00532072" w:rsidRPr="0009228C">
        <w:rPr>
          <w:rStyle w:val="FootnoteReference"/>
          <w:szCs w:val="24"/>
        </w:rPr>
        <w:footnoteReference w:id="6"/>
      </w:r>
      <w:r w:rsidR="00532072" w:rsidRPr="0009228C">
        <w:rPr>
          <w:szCs w:val="24"/>
        </w:rPr>
        <w:t>. Elle a fondé son arrêt relatif à la nullité des signatures de soutien à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sur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analyse graphologique effectuée le 29 septembre 2004 par le Bureau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expertise pénale du Département des affaires internes du</w:t>
      </w:r>
      <w:r w:rsidR="00532072" w:rsidRPr="00242671">
        <w:t xml:space="preserve"> </w:t>
      </w:r>
      <w:r w:rsidR="00AF6E96">
        <w:t>d</w:t>
      </w:r>
      <w:r w:rsidR="00532072" w:rsidRPr="00242671">
        <w:t>istrict soviétique de Gomel.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note que les signatures des électeurs ont été déclarées non valables le 16 s</w:t>
      </w:r>
      <w:r w:rsidR="00AF6E96">
        <w:rPr>
          <w:szCs w:val="24"/>
        </w:rPr>
        <w:t>eptembre 2004, soit deux </w:t>
      </w:r>
      <w:r w:rsidR="00532072" w:rsidRPr="0009228C">
        <w:rPr>
          <w:szCs w:val="24"/>
        </w:rPr>
        <w:t>semaines avant la date à laquelle sa candidature aurait dû, selon lui, être enregistrée, auquel cas il aurait affro</w:t>
      </w:r>
      <w:r w:rsidR="00532072" w:rsidRPr="00242671">
        <w:t>nté le Vice</w:t>
      </w:r>
      <w:r>
        <w:noBreakHyphen/>
      </w:r>
      <w:r w:rsidR="00532072" w:rsidRPr="00242671">
        <w:t>Ministre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intérieur qui briguait également un siège à la Chambre des représentants. En outre, à la date exacte où elles ont prétendument été examinées, les listes de signatures se trouvaient en réalité dans les locaux de la Commission élect</w:t>
      </w:r>
      <w:r w:rsidR="00532072" w:rsidRPr="00242671">
        <w:t>orale centrale.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conteste le passage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arrêt de la Cour suprême indiquant 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il n</w:t>
      </w:r>
      <w:r w:rsidR="00AF6E96">
        <w:rPr>
          <w:szCs w:val="24"/>
        </w:rPr>
        <w:t>’</w:t>
      </w:r>
      <w:r w:rsidR="002B7719">
        <w:rPr>
          <w:szCs w:val="24"/>
        </w:rPr>
        <w:t>a pas nié à </w:t>
      </w:r>
      <w:r w:rsidR="00532072" w:rsidRPr="0009228C">
        <w:rPr>
          <w:szCs w:val="24"/>
        </w:rPr>
        <w:t>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 xml:space="preserve">audience </w:t>
      </w:r>
      <w:r w:rsidR="00532072">
        <w:rPr>
          <w:szCs w:val="24"/>
        </w:rPr>
        <w:t>la présence de</w:t>
      </w:r>
      <w:r w:rsidR="00532072" w:rsidRPr="0009228C">
        <w:rPr>
          <w:szCs w:val="24"/>
        </w:rPr>
        <w:t xml:space="preserve"> signatures non valables sur les listes 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il avait présentées à la Commission électorale régionale. Il renvo</w:t>
      </w:r>
      <w:r w:rsidR="00532072" w:rsidRPr="00242671">
        <w:t xml:space="preserve">ie </w:t>
      </w:r>
      <w:r w:rsidR="00AF6E96">
        <w:t>aux déclarations écrites des 11 </w:t>
      </w:r>
      <w:r w:rsidR="00532072" w:rsidRPr="00242671">
        <w:t>électeurs jointes au dossier à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appui de son recours. Selon lui, c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est pour ces raisons 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il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 pas eu le droit de consulter les minutes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 xml:space="preserve">audience. </w:t>
      </w:r>
    </w:p>
    <w:p w:rsidR="00532072" w:rsidRDefault="00442F02" w:rsidP="00532072">
      <w:pPr>
        <w:spacing w:after="240"/>
        <w:rPr>
          <w:szCs w:val="24"/>
        </w:rPr>
      </w:pPr>
      <w:r>
        <w:rPr>
          <w:szCs w:val="24"/>
        </w:rPr>
        <w:t>2.10</w:t>
      </w:r>
      <w:r>
        <w:rPr>
          <w:szCs w:val="24"/>
        </w:rPr>
        <w:tab/>
      </w:r>
      <w:r w:rsidR="00532072" w:rsidRPr="0009228C">
        <w:rPr>
          <w:szCs w:val="24"/>
        </w:rPr>
        <w:t>À une date non précisée,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a fait appel auprès du Président de la Cour suprême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arrêt de la Cour daté du 30 septembre 2004. Le 13 octobre 2004, le Vice</w:t>
      </w:r>
      <w:r>
        <w:rPr>
          <w:szCs w:val="24"/>
        </w:rPr>
        <w:noBreakHyphen/>
      </w:r>
      <w:r w:rsidR="00532072" w:rsidRPr="0009228C">
        <w:rPr>
          <w:szCs w:val="24"/>
        </w:rPr>
        <w:t>Président de la Cour suprême a rejeté le recours.</w:t>
      </w:r>
    </w:p>
    <w:p w:rsidR="00532072" w:rsidRPr="00442F02" w:rsidRDefault="00532072" w:rsidP="00442F02">
      <w:pPr>
        <w:keepNext/>
        <w:spacing w:after="240"/>
        <w:rPr>
          <w:b/>
          <w:szCs w:val="24"/>
        </w:rPr>
      </w:pPr>
      <w:r w:rsidRPr="00442F02">
        <w:rPr>
          <w:b/>
          <w:szCs w:val="24"/>
        </w:rPr>
        <w:t>Teneur de la plainte</w:t>
      </w:r>
    </w:p>
    <w:p w:rsidR="00532072" w:rsidRPr="0009228C" w:rsidRDefault="00442F02" w:rsidP="00532072">
      <w:pPr>
        <w:spacing w:after="240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ab/>
      </w:r>
      <w:r w:rsidR="00532072" w:rsidRPr="0009228C">
        <w:rPr>
          <w:szCs w:val="24"/>
        </w:rPr>
        <w:t>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affirme 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on lui a refusé le droit à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égalité devant les tribunaux et le droit de demander à un tribunal de se prononcer sur ses droits et obligations de caractère civil (</w:t>
      </w:r>
      <w:r w:rsidR="00532072">
        <w:rPr>
          <w:szCs w:val="24"/>
        </w:rPr>
        <w:t xml:space="preserve">art. 14, </w:t>
      </w:r>
      <w:r w:rsidR="00532072" w:rsidRPr="0009228C">
        <w:rPr>
          <w:szCs w:val="24"/>
        </w:rPr>
        <w:t>par. 1</w:t>
      </w:r>
      <w:r w:rsidR="00532072">
        <w:rPr>
          <w:szCs w:val="24"/>
        </w:rPr>
        <w:t>,</w:t>
      </w:r>
      <w:r w:rsidR="00532072" w:rsidRPr="0009228C">
        <w:rPr>
          <w:szCs w:val="24"/>
        </w:rPr>
        <w:t xml:space="preserve"> du Pacte). </w:t>
      </w:r>
    </w:p>
    <w:p w:rsidR="00532072" w:rsidRPr="0009228C" w:rsidRDefault="00442F02" w:rsidP="00532072">
      <w:pPr>
        <w:spacing w:after="240"/>
        <w:rPr>
          <w:szCs w:val="24"/>
        </w:rPr>
      </w:pPr>
      <w:r>
        <w:rPr>
          <w:szCs w:val="24"/>
        </w:rPr>
        <w:t>3.2</w:t>
      </w:r>
      <w:r>
        <w:rPr>
          <w:szCs w:val="24"/>
        </w:rPr>
        <w:tab/>
      </w:r>
      <w:r w:rsidR="00532072" w:rsidRPr="0009228C">
        <w:rPr>
          <w:szCs w:val="24"/>
        </w:rPr>
        <w:t>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 xml:space="preserve">auteur affirme </w:t>
      </w:r>
      <w:r w:rsidR="00532072">
        <w:rPr>
          <w:szCs w:val="24"/>
        </w:rPr>
        <w:t xml:space="preserve">également </w:t>
      </w:r>
      <w:r w:rsidR="00532072" w:rsidRPr="0009228C">
        <w:rPr>
          <w:szCs w:val="24"/>
        </w:rPr>
        <w:t>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on lui a refusé le droit</w:t>
      </w:r>
      <w:r w:rsidR="00532072">
        <w:rPr>
          <w:szCs w:val="24"/>
        </w:rPr>
        <w:t xml:space="preserve">, </w:t>
      </w:r>
      <w:r w:rsidR="00532072" w:rsidRPr="0009228C">
        <w:rPr>
          <w:szCs w:val="24"/>
        </w:rPr>
        <w:t>garanti par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article 25 du Pacte,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être élu député à la Chambre des représentants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Assemblée nationale bélarussienne au cours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élections honnêtes au suffrage universel et égal, et que la libre expression de la volonté des électeurs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 pas été respectée</w:t>
      </w:r>
      <w:r w:rsidR="00532072">
        <w:rPr>
          <w:szCs w:val="24"/>
        </w:rPr>
        <w:t>.</w:t>
      </w:r>
    </w:p>
    <w:p w:rsidR="00532072" w:rsidRDefault="00442F02" w:rsidP="00532072">
      <w:pPr>
        <w:spacing w:after="240"/>
        <w:rPr>
          <w:szCs w:val="24"/>
        </w:rPr>
      </w:pPr>
      <w:r>
        <w:rPr>
          <w:szCs w:val="24"/>
        </w:rPr>
        <w:t>3.3</w:t>
      </w:r>
      <w:r>
        <w:rPr>
          <w:szCs w:val="24"/>
        </w:rPr>
        <w:tab/>
      </w:r>
      <w:r w:rsidR="00532072" w:rsidRPr="0009228C">
        <w:rPr>
          <w:szCs w:val="24"/>
        </w:rPr>
        <w:t>Enfin,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fait valoir que les autorités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 xml:space="preserve">État partie ont violé le droit à une égale protection de la loi </w:t>
      </w:r>
      <w:r w:rsidR="00532072">
        <w:rPr>
          <w:szCs w:val="24"/>
        </w:rPr>
        <w:t>qui lui est reconnu à</w:t>
      </w:r>
      <w:r w:rsidR="00532072" w:rsidRPr="0009228C">
        <w:rPr>
          <w:szCs w:val="24"/>
        </w:rPr>
        <w:t xml:space="preserve">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article 26 du Pacte, puisqu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il a été victime de discrimination en raison de ses opinions politiques.</w:t>
      </w:r>
    </w:p>
    <w:p w:rsidR="00532072" w:rsidRPr="00442F02" w:rsidRDefault="00532072" w:rsidP="00442F02">
      <w:pPr>
        <w:keepNext/>
        <w:spacing w:after="240"/>
        <w:rPr>
          <w:b/>
          <w:szCs w:val="24"/>
        </w:rPr>
      </w:pPr>
      <w:r w:rsidRPr="00442F02">
        <w:rPr>
          <w:b/>
          <w:szCs w:val="24"/>
        </w:rPr>
        <w:t>Observations de l</w:t>
      </w:r>
      <w:r w:rsidR="00AF6E96">
        <w:rPr>
          <w:b/>
          <w:szCs w:val="24"/>
        </w:rPr>
        <w:t>’</w:t>
      </w:r>
      <w:r w:rsidRPr="00442F02">
        <w:rPr>
          <w:b/>
          <w:szCs w:val="24"/>
        </w:rPr>
        <w:t>État partie sur la recevabilité et le fond</w:t>
      </w:r>
    </w:p>
    <w:p w:rsidR="00532072" w:rsidRPr="0009228C" w:rsidRDefault="00442F02" w:rsidP="002B7719">
      <w:pPr>
        <w:spacing w:after="180"/>
        <w:rPr>
          <w:szCs w:val="24"/>
        </w:rPr>
      </w:pPr>
      <w:r>
        <w:rPr>
          <w:szCs w:val="24"/>
        </w:rPr>
        <w:t>4.1</w:t>
      </w:r>
      <w:r>
        <w:rPr>
          <w:szCs w:val="24"/>
        </w:rPr>
        <w:tab/>
      </w:r>
      <w:r w:rsidR="00532072" w:rsidRPr="0009228C">
        <w:rPr>
          <w:szCs w:val="24"/>
        </w:rPr>
        <w:t>Dans une réponse du 25 septembre 2006,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 xml:space="preserve">État partie a </w:t>
      </w:r>
      <w:r w:rsidR="00532072">
        <w:rPr>
          <w:szCs w:val="24"/>
        </w:rPr>
        <w:t>rappelé</w:t>
      </w:r>
      <w:r w:rsidR="00532072" w:rsidRPr="0009228C">
        <w:rPr>
          <w:szCs w:val="24"/>
        </w:rPr>
        <w:t xml:space="preserve"> la chronologie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affaire. Il a indiqué que la Commission électorale centrale avait examiné la liste des signatures de soutien à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auteur, les témoignages des électeurs, les procès</w:t>
      </w:r>
      <w:r>
        <w:rPr>
          <w:szCs w:val="24"/>
        </w:rPr>
        <w:noBreakHyphen/>
      </w:r>
      <w:r w:rsidR="00532072" w:rsidRPr="0009228C">
        <w:rPr>
          <w:szCs w:val="24"/>
        </w:rPr>
        <w:t>verbaux de la Commission électorale régionale et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avis des experts, avant de conclure que la Commissi</w:t>
      </w:r>
      <w:r w:rsidR="002B7719">
        <w:rPr>
          <w:szCs w:val="24"/>
        </w:rPr>
        <w:t>on électorale régionale avait à </w:t>
      </w:r>
      <w:r w:rsidR="00532072" w:rsidRPr="0009228C">
        <w:rPr>
          <w:szCs w:val="24"/>
        </w:rPr>
        <w:t>juste titre écarté 57 signatures</w:t>
      </w:r>
      <w:r>
        <w:rPr>
          <w:szCs w:val="24"/>
        </w:rPr>
        <w:t xml:space="preserve"> non valables (par. 2.7) − 27 </w:t>
      </w:r>
      <w:r w:rsidR="00532072" w:rsidRPr="0009228C">
        <w:rPr>
          <w:szCs w:val="24"/>
        </w:rPr>
        <w:t>parce que les électeurs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avaient pas signé eux</w:t>
      </w:r>
      <w:r>
        <w:rPr>
          <w:szCs w:val="24"/>
        </w:rPr>
        <w:noBreakHyphen/>
      </w:r>
      <w:r w:rsidR="00532072" w:rsidRPr="0009228C">
        <w:rPr>
          <w:szCs w:val="24"/>
        </w:rPr>
        <w:t>mêmes les listes ou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av</w:t>
      </w:r>
      <w:r w:rsidR="00AF6E96">
        <w:rPr>
          <w:szCs w:val="24"/>
        </w:rPr>
        <w:t>aient pas mentionné la date, 17 </w:t>
      </w:r>
      <w:r w:rsidR="00532072" w:rsidRPr="0009228C">
        <w:rPr>
          <w:szCs w:val="24"/>
        </w:rPr>
        <w:t>parce</w:t>
      </w:r>
      <w:r w:rsidR="00532072" w:rsidRPr="00242671">
        <w:t xml:space="preserve"> que les listes é</w:t>
      </w:r>
      <w:r w:rsidR="00AF6E96">
        <w:t>lectorales étaient erronées, 12 </w:t>
      </w:r>
      <w:r w:rsidR="00532072" w:rsidRPr="00242671">
        <w:t xml:space="preserve">parce que les données requises ne figuraient pas dans les listes de </w:t>
      </w:r>
      <w:r w:rsidR="00AF6E96">
        <w:t>signatures, et 1 </w:t>
      </w:r>
      <w:r w:rsidR="00532072" w:rsidRPr="00242671">
        <w:t>parce que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électeur ne résidait pas dans la circonscription électorale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 xml:space="preserve">auteur. </w:t>
      </w:r>
    </w:p>
    <w:p w:rsidR="00532072" w:rsidRDefault="00442F02" w:rsidP="002B7719">
      <w:pPr>
        <w:spacing w:after="180"/>
        <w:rPr>
          <w:szCs w:val="24"/>
        </w:rPr>
      </w:pPr>
      <w:r>
        <w:rPr>
          <w:szCs w:val="24"/>
        </w:rPr>
        <w:t>4.2</w:t>
      </w:r>
      <w:r>
        <w:rPr>
          <w:szCs w:val="24"/>
        </w:rPr>
        <w:tab/>
      </w:r>
      <w:r w:rsidR="00532072" w:rsidRPr="0009228C">
        <w:rPr>
          <w:szCs w:val="24"/>
        </w:rPr>
        <w:t>Lorsqu</w:t>
      </w:r>
      <w:r w:rsidR="00AF6E96">
        <w:rPr>
          <w:szCs w:val="24"/>
        </w:rPr>
        <w:t>’</w:t>
      </w:r>
      <w:r w:rsidR="00532072">
        <w:rPr>
          <w:szCs w:val="24"/>
        </w:rPr>
        <w:t>elle</w:t>
      </w:r>
      <w:r w:rsidR="00532072" w:rsidRPr="0009228C">
        <w:rPr>
          <w:szCs w:val="24"/>
        </w:rPr>
        <w:t xml:space="preserve"> a examiné le recours formulé par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contre la décision de la Commission électorale régionale datée du 16 septembre 2004 et la décision de la Commission électorale centrale datée du 23 septembre 2004 relative au refus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 xml:space="preserve">enregistrer sa candidature, </w:t>
      </w:r>
      <w:r w:rsidR="00532072">
        <w:rPr>
          <w:szCs w:val="24"/>
        </w:rPr>
        <w:t>la Cour suprême</w:t>
      </w:r>
      <w:r w:rsidR="00532072" w:rsidRPr="0009228C">
        <w:rPr>
          <w:szCs w:val="24"/>
        </w:rPr>
        <w:t xml:space="preserve"> a confirmé la nullité des signatures en question (par. 2.9) en se fondant sur le protocole de la Commission électorale régionale et sur les procès</w:t>
      </w:r>
      <w:r>
        <w:rPr>
          <w:szCs w:val="24"/>
        </w:rPr>
        <w:noBreakHyphen/>
      </w:r>
      <w:r w:rsidR="00532072" w:rsidRPr="0009228C">
        <w:rPr>
          <w:szCs w:val="24"/>
        </w:rPr>
        <w:t>verbaux établis par les membres de cette commission conformément aux pouvoirs qui leur sont conférés par la loi électorale. Devant la Cour,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 pas affirmé 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il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y avait pas de signatures non valables dans les listes, mais que celles</w:t>
      </w:r>
      <w:r>
        <w:rPr>
          <w:szCs w:val="24"/>
        </w:rPr>
        <w:noBreakHyphen/>
      </w:r>
      <w:r w:rsidR="00532072" w:rsidRPr="0009228C">
        <w:rPr>
          <w:szCs w:val="24"/>
        </w:rPr>
        <w:t>ci représentaient moins de 15 % du nombre total de signatures vérifiées. Il a présenté à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appui de sa position des déclarations écrites certifiées émanant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électeurs dont la signature avait été jugée non valable. La Cour a écarté cet élément de preuve, car les déclarations avaient été obtenues en violation du principe énoncé à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article 181 du Code de procédure civile.</w:t>
      </w:r>
    </w:p>
    <w:p w:rsidR="00532072" w:rsidRPr="00442F02" w:rsidRDefault="00532072" w:rsidP="002B7719">
      <w:pPr>
        <w:keepNext/>
        <w:spacing w:after="180"/>
        <w:rPr>
          <w:b/>
          <w:szCs w:val="24"/>
        </w:rPr>
      </w:pPr>
      <w:r w:rsidRPr="00442F02">
        <w:rPr>
          <w:b/>
          <w:szCs w:val="24"/>
        </w:rPr>
        <w:t>Commentaires de l</w:t>
      </w:r>
      <w:r w:rsidR="00AF6E96">
        <w:rPr>
          <w:b/>
          <w:szCs w:val="24"/>
        </w:rPr>
        <w:t>’</w:t>
      </w:r>
      <w:r w:rsidRPr="00442F02">
        <w:rPr>
          <w:b/>
          <w:szCs w:val="24"/>
        </w:rPr>
        <w:t>auteur sur les observations de l</w:t>
      </w:r>
      <w:r w:rsidR="00AF6E96">
        <w:rPr>
          <w:b/>
          <w:szCs w:val="24"/>
        </w:rPr>
        <w:t>’</w:t>
      </w:r>
      <w:r w:rsidRPr="00442F02">
        <w:rPr>
          <w:b/>
          <w:szCs w:val="24"/>
        </w:rPr>
        <w:t>État partie</w:t>
      </w:r>
    </w:p>
    <w:p w:rsidR="00532072" w:rsidRDefault="00442F02" w:rsidP="002B7719">
      <w:pPr>
        <w:spacing w:after="18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="00532072" w:rsidRPr="0009228C">
        <w:rPr>
          <w:szCs w:val="24"/>
        </w:rPr>
        <w:t>Dans une réponse du 3 avril 2007,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réfute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argument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État partie selon lequel il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 pas affirmé devant le tribunal 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il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 xml:space="preserve">y avait pas de signatures non valables dans </w:t>
      </w:r>
      <w:r w:rsidR="00532072" w:rsidRPr="00242671">
        <w:t>les listes de soutien. Il rappelle que, dans son premier recours, il a expressément contesté ce passage de la décision de la Cour suprême datée du 30 septembre 2004. Il répète qu</w:t>
      </w:r>
      <w:r w:rsidR="00AF6E96">
        <w:rPr>
          <w:szCs w:val="24"/>
        </w:rPr>
        <w:t>’il a présenté au tribunal 11 </w:t>
      </w:r>
      <w:r w:rsidR="00532072" w:rsidRPr="0009228C">
        <w:rPr>
          <w:szCs w:val="24"/>
        </w:rPr>
        <w:t>déclarations écrites certifiées par notaire éman</w:t>
      </w:r>
      <w:r w:rsidR="00532072" w:rsidRPr="00242671">
        <w:t>ant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 xml:space="preserve">électeurs dont la signature avait été considérée comme nulle. </w:t>
      </w:r>
      <w:r w:rsidR="00532072">
        <w:rPr>
          <w:szCs w:val="24"/>
        </w:rPr>
        <w:t>C</w:t>
      </w:r>
      <w:r w:rsidR="00532072" w:rsidRPr="0009228C">
        <w:rPr>
          <w:szCs w:val="24"/>
        </w:rPr>
        <w:t>e nombre de signatures supplémentaires aurait suffi pour faire enregistrer sa candidature.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fait valoir que si la Cour suprême a rejeté ces déclarations c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est uniq</w:t>
      </w:r>
      <w:r w:rsidR="00532072" w:rsidRPr="00242671">
        <w:t>uement parce 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elle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est pas indépendante du pouvoir exécutif. À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appui de cette thèse, il renvoie au rapport du Rapporteur spécial sur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indépendance des juges et des avocats sur sa mission au Bélarus en 2001, qui avait conclu que le P</w:t>
      </w:r>
      <w:r w:rsidR="00532072" w:rsidRPr="00242671">
        <w:t>résident a un pouvoir discrétionnaire absolu en ce qui concerne la nomination et la révocation des juges</w:t>
      </w:r>
      <w:r w:rsidR="00532072" w:rsidRPr="0009228C">
        <w:rPr>
          <w:rStyle w:val="FootnoteReference"/>
          <w:szCs w:val="24"/>
        </w:rPr>
        <w:footnoteReference w:id="7"/>
      </w:r>
      <w:r w:rsidR="00532072" w:rsidRPr="0009228C">
        <w:rPr>
          <w:szCs w:val="24"/>
        </w:rPr>
        <w:t>.</w:t>
      </w:r>
    </w:p>
    <w:p w:rsidR="00532072" w:rsidRPr="00442F02" w:rsidRDefault="00532072" w:rsidP="002B7719">
      <w:pPr>
        <w:keepNext/>
        <w:spacing w:after="180"/>
        <w:rPr>
          <w:b/>
          <w:szCs w:val="24"/>
        </w:rPr>
      </w:pPr>
      <w:r w:rsidRPr="00442F02">
        <w:rPr>
          <w:b/>
          <w:szCs w:val="24"/>
        </w:rPr>
        <w:t>Délibérations du Comité</w:t>
      </w:r>
    </w:p>
    <w:p w:rsidR="00532072" w:rsidRPr="00442F02" w:rsidRDefault="00532072" w:rsidP="002B7719">
      <w:pPr>
        <w:keepNext/>
        <w:spacing w:after="180"/>
        <w:rPr>
          <w:b/>
          <w:szCs w:val="24"/>
        </w:rPr>
      </w:pPr>
      <w:r w:rsidRPr="00442F02">
        <w:rPr>
          <w:b/>
          <w:szCs w:val="24"/>
        </w:rPr>
        <w:t>Examen de la recevabilité</w:t>
      </w:r>
    </w:p>
    <w:p w:rsidR="00532072" w:rsidRPr="0009228C" w:rsidRDefault="00442F02" w:rsidP="002B7719">
      <w:pPr>
        <w:spacing w:after="180"/>
        <w:rPr>
          <w:szCs w:val="24"/>
        </w:rPr>
      </w:pPr>
      <w:r>
        <w:rPr>
          <w:szCs w:val="24"/>
        </w:rPr>
        <w:t>6.1</w:t>
      </w:r>
      <w:r>
        <w:rPr>
          <w:szCs w:val="24"/>
        </w:rPr>
        <w:tab/>
      </w:r>
      <w:r w:rsidR="00532072" w:rsidRPr="0009228C">
        <w:rPr>
          <w:szCs w:val="24"/>
        </w:rPr>
        <w:t>Avant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examiner toute plainte soumise dans une communication, le Comité des droits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homme doit, conformément à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article 93 de son règlement intérieur, déterminer si la communication est recevable en vertu du Protocole facultatif se rapportant au Pacte.</w:t>
      </w:r>
    </w:p>
    <w:p w:rsidR="00532072" w:rsidRPr="0009228C" w:rsidRDefault="00442F02" w:rsidP="00532072">
      <w:pPr>
        <w:spacing w:after="240"/>
        <w:rPr>
          <w:szCs w:val="24"/>
        </w:rPr>
      </w:pPr>
      <w:r>
        <w:rPr>
          <w:szCs w:val="24"/>
        </w:rPr>
        <w:t>6.2</w:t>
      </w:r>
      <w:r>
        <w:rPr>
          <w:szCs w:val="24"/>
        </w:rPr>
        <w:tab/>
      </w:r>
      <w:r w:rsidR="00532072" w:rsidRPr="0009228C">
        <w:rPr>
          <w:szCs w:val="24"/>
        </w:rPr>
        <w:t>Le Comité s</w:t>
      </w:r>
      <w:r w:rsidR="00AF6E96">
        <w:rPr>
          <w:szCs w:val="24"/>
        </w:rPr>
        <w:t>’</w:t>
      </w:r>
      <w:r w:rsidR="00532072" w:rsidRPr="0009228C">
        <w:rPr>
          <w:szCs w:val="24"/>
        </w:rPr>
        <w:t xml:space="preserve">est assuré, comme il est tenu de le faire conformément au paragraphe 2 a) </w:t>
      </w:r>
      <w:r w:rsidR="00697779">
        <w:rPr>
          <w:szCs w:val="24"/>
        </w:rPr>
        <w:t xml:space="preserve">et b ) </w:t>
      </w:r>
      <w:r w:rsidR="00532072" w:rsidRPr="0009228C">
        <w:rPr>
          <w:szCs w:val="24"/>
        </w:rPr>
        <w:t>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article 5 du Protocole facultatif, que la même question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était pas déjà en cours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examen devant une autre instance internationale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enquête ou de règlement</w:t>
      </w:r>
      <w:r w:rsidR="00532072">
        <w:rPr>
          <w:szCs w:val="24"/>
        </w:rPr>
        <w:t>,</w:t>
      </w:r>
      <w:r w:rsidR="00532072" w:rsidRPr="0009228C">
        <w:rPr>
          <w:szCs w:val="24"/>
        </w:rPr>
        <w:t xml:space="preserve"> et </w:t>
      </w:r>
      <w:r w:rsidR="00532072">
        <w:rPr>
          <w:szCs w:val="24"/>
        </w:rPr>
        <w:t xml:space="preserve">il </w:t>
      </w:r>
      <w:r w:rsidR="00532072" w:rsidRPr="0009228C">
        <w:rPr>
          <w:szCs w:val="24"/>
        </w:rPr>
        <w:t>note que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État partie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 pas contesté que les recours internes avaient été épuisés.</w:t>
      </w:r>
    </w:p>
    <w:p w:rsidR="00532072" w:rsidRPr="0009228C" w:rsidRDefault="00442F02" w:rsidP="00532072">
      <w:pPr>
        <w:spacing w:after="240"/>
        <w:rPr>
          <w:szCs w:val="24"/>
        </w:rPr>
      </w:pPr>
      <w:r>
        <w:rPr>
          <w:szCs w:val="24"/>
        </w:rPr>
        <w:t>6.3</w:t>
      </w:r>
      <w:r>
        <w:rPr>
          <w:szCs w:val="24"/>
        </w:rPr>
        <w:tab/>
      </w:r>
      <w:r w:rsidR="00532072" w:rsidRPr="0009228C">
        <w:rPr>
          <w:szCs w:val="24"/>
        </w:rPr>
        <w:t>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affirme que le droit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être élu député à la Chambre des représentants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 xml:space="preserve">Assemblée nationale bélarussienne, </w:t>
      </w:r>
      <w:r w:rsidR="00532072">
        <w:rPr>
          <w:szCs w:val="24"/>
        </w:rPr>
        <w:t>qui lui est reconnu à</w:t>
      </w:r>
      <w:r w:rsidR="00532072" w:rsidRPr="0009228C">
        <w:rPr>
          <w:szCs w:val="24"/>
        </w:rPr>
        <w:t xml:space="preserve">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article 25 du Pacte,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 pas été respecté parce que sa candidature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 pas été enregistrée. Le Comité note que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conteste également la manière dont les tribunaux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État partie ont examiné sa plainte relative au refus des commissions électorales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enregistrer sa candidature, ainsi que le refus des tribunaux de prendre dûment en considération les déclarations certifiées par notaire émanant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électeurs dont la signature avait été jugée non valable par la Commission électorale régionale et la Commission électorale centrale. Sans préjudice de la question de savoir si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affaire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devait être examinée dans le cadre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une procédure j</w:t>
      </w:r>
      <w:r w:rsidR="00AF6E96">
        <w:rPr>
          <w:szCs w:val="24"/>
        </w:rPr>
        <w:t>udiciaire au sens du paragraphe </w:t>
      </w:r>
      <w:r w:rsidR="00532072" w:rsidRPr="0009228C">
        <w:rPr>
          <w:szCs w:val="24"/>
        </w:rPr>
        <w:t>1 de l</w:t>
      </w:r>
      <w:r w:rsidR="00AF6E96">
        <w:rPr>
          <w:szCs w:val="24"/>
        </w:rPr>
        <w:t>’article </w:t>
      </w:r>
      <w:r w:rsidR="00532072" w:rsidRPr="0009228C">
        <w:rPr>
          <w:szCs w:val="24"/>
        </w:rPr>
        <w:t>14 du Pacte, le Comité fait observer que ces griefs portent essentiellement sur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appréciation des faits et des preuves par le tribunal. Il rappelle que c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est généralement aux tribunaux des États parties 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il appartient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apprécier les faits et les éléments de preuve dans une affaire donnée, à moins qu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il ne soit prouvé que cette appréciation a été manifestement arbitraire ou a constitué un déni de justice</w:t>
      </w:r>
      <w:r w:rsidR="00532072" w:rsidRPr="0009228C">
        <w:rPr>
          <w:rStyle w:val="FootnoteReference"/>
          <w:szCs w:val="24"/>
        </w:rPr>
        <w:footnoteReference w:id="8"/>
      </w:r>
      <w:r w:rsidR="00532072" w:rsidRPr="0009228C">
        <w:rPr>
          <w:szCs w:val="24"/>
        </w:rPr>
        <w:t>. Le Comité estime que les faits présentés par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ne montrent pas suffisamment que la procédure, dans son cas, avait été entachée de telles irrégularités.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 pas réfuté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argument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État partie selon lequel la Cour suprême a appliqué comme il convient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article 181 du Code de procédure civile en ce qui concerne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 xml:space="preserve">invocation des déclarations </w:t>
      </w:r>
      <w:r w:rsidR="00532072">
        <w:rPr>
          <w:szCs w:val="24"/>
        </w:rPr>
        <w:t>faites par</w:t>
      </w:r>
      <w:r w:rsidR="00532072" w:rsidRPr="0009228C">
        <w:rPr>
          <w:szCs w:val="24"/>
        </w:rPr>
        <w:t xml:space="preserve"> certains signataires </w:t>
      </w:r>
      <w:r w:rsidR="00532072">
        <w:rPr>
          <w:szCs w:val="24"/>
        </w:rPr>
        <w:t xml:space="preserve">qui </w:t>
      </w:r>
      <w:r w:rsidR="00532072" w:rsidRPr="0009228C">
        <w:rPr>
          <w:szCs w:val="24"/>
        </w:rPr>
        <w:t>appuya</w:t>
      </w:r>
      <w:r w:rsidR="00532072">
        <w:rPr>
          <w:szCs w:val="24"/>
        </w:rPr>
        <w:t>ient</w:t>
      </w:r>
      <w:r w:rsidR="00532072" w:rsidRPr="0009228C">
        <w:rPr>
          <w:szCs w:val="24"/>
        </w:rPr>
        <w:t xml:space="preserve"> sa candidature </w:t>
      </w:r>
      <w:r w:rsidR="00532072">
        <w:rPr>
          <w:szCs w:val="24"/>
        </w:rPr>
        <w:t>au sujet d</w:t>
      </w:r>
      <w:r w:rsidR="00532072" w:rsidRPr="0009228C">
        <w:rPr>
          <w:szCs w:val="24"/>
        </w:rPr>
        <w:t>e la validité de leurs signatures</w:t>
      </w:r>
      <w:r w:rsidR="00AF6E96">
        <w:rPr>
          <w:szCs w:val="24"/>
        </w:rPr>
        <w:t>. En </w:t>
      </w:r>
      <w:r w:rsidR="00532072" w:rsidRPr="0009228C">
        <w:rPr>
          <w:szCs w:val="24"/>
        </w:rPr>
        <w:t xml:space="preserve">conséquence, le Comité estime que les </w:t>
      </w:r>
      <w:r w:rsidR="00532072">
        <w:rPr>
          <w:szCs w:val="24"/>
        </w:rPr>
        <w:t>griefs</w:t>
      </w:r>
      <w:r w:rsidR="00532072" w:rsidRPr="0009228C">
        <w:rPr>
          <w:szCs w:val="24"/>
        </w:rPr>
        <w:t xml:space="preserve"> de l</w:t>
      </w:r>
      <w:r w:rsidR="00AF6E96">
        <w:rPr>
          <w:szCs w:val="24"/>
        </w:rPr>
        <w:t>’auteur au titre du paragraphe </w:t>
      </w:r>
      <w:r w:rsidR="00532072" w:rsidRPr="0009228C">
        <w:rPr>
          <w:szCs w:val="24"/>
        </w:rPr>
        <w:t>1 de l</w:t>
      </w:r>
      <w:r w:rsidR="00AF6E96">
        <w:rPr>
          <w:szCs w:val="24"/>
        </w:rPr>
        <w:t>’article </w:t>
      </w:r>
      <w:r w:rsidR="00532072" w:rsidRPr="0009228C">
        <w:rPr>
          <w:szCs w:val="24"/>
        </w:rPr>
        <w:t>14 du Pacte ne sont pas suffisamment étayés aux fins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article 2 du Protocole facultatif et sont par conséquent irrecevables. Il en résulte que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ne saurait non plus prétendre avoir été injustement privé de la possibilité de briguer un siège à la Chambre des représentants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Assemblée nationale bélarussienne, en violation de l</w:t>
      </w:r>
      <w:r w:rsidR="00AF6E96">
        <w:rPr>
          <w:szCs w:val="24"/>
        </w:rPr>
        <w:t>’article 25 du Pacte. Le </w:t>
      </w:r>
      <w:r w:rsidR="00532072" w:rsidRPr="0009228C">
        <w:rPr>
          <w:szCs w:val="24"/>
        </w:rPr>
        <w:t>Comité conclut donc que cette partie de la communication est également irrecevable en vertu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article 2 du Protocole facultatif</w:t>
      </w:r>
      <w:r w:rsidR="00532072">
        <w:rPr>
          <w:szCs w:val="24"/>
        </w:rPr>
        <w:t xml:space="preserve">. </w:t>
      </w:r>
    </w:p>
    <w:p w:rsidR="00532072" w:rsidRPr="0009228C" w:rsidRDefault="00442F02" w:rsidP="00532072">
      <w:pPr>
        <w:spacing w:after="240"/>
        <w:rPr>
          <w:szCs w:val="24"/>
        </w:rPr>
      </w:pPr>
      <w:r>
        <w:rPr>
          <w:szCs w:val="24"/>
        </w:rPr>
        <w:t>6.4</w:t>
      </w:r>
      <w:r>
        <w:rPr>
          <w:szCs w:val="24"/>
        </w:rPr>
        <w:tab/>
      </w:r>
      <w:r w:rsidR="00532072" w:rsidRPr="0009228C">
        <w:rPr>
          <w:szCs w:val="24"/>
        </w:rPr>
        <w:t>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affirme qu</w:t>
      </w:r>
      <w:r w:rsidR="00532072">
        <w:rPr>
          <w:szCs w:val="24"/>
        </w:rPr>
        <w:t>e le</w:t>
      </w:r>
      <w:r w:rsidR="00532072" w:rsidRPr="0009228C">
        <w:rPr>
          <w:szCs w:val="24"/>
        </w:rPr>
        <w:t xml:space="preserve"> droit à une égale protection de la loi</w:t>
      </w:r>
      <w:r w:rsidR="00532072">
        <w:rPr>
          <w:szCs w:val="24"/>
        </w:rPr>
        <w:t>,</w:t>
      </w:r>
      <w:r w:rsidR="00532072" w:rsidRPr="0009228C">
        <w:rPr>
          <w:szCs w:val="24"/>
        </w:rPr>
        <w:t xml:space="preserve"> </w:t>
      </w:r>
      <w:r w:rsidR="00532072">
        <w:rPr>
          <w:szCs w:val="24"/>
        </w:rPr>
        <w:t>qui lui est reconnu à</w:t>
      </w:r>
      <w:r w:rsidR="00532072" w:rsidRPr="0009228C">
        <w:rPr>
          <w:szCs w:val="24"/>
        </w:rPr>
        <w:t xml:space="preserve"> l</w:t>
      </w:r>
      <w:r w:rsidR="00AF6E96">
        <w:rPr>
          <w:szCs w:val="24"/>
        </w:rPr>
        <w:t>’article </w:t>
      </w:r>
      <w:r w:rsidR="00532072" w:rsidRPr="0009228C">
        <w:rPr>
          <w:szCs w:val="24"/>
        </w:rPr>
        <w:t xml:space="preserve">26 du </w:t>
      </w:r>
      <w:r w:rsidR="00532072">
        <w:rPr>
          <w:szCs w:val="24"/>
        </w:rPr>
        <w:t>Pacte,</w:t>
      </w:r>
      <w:r w:rsidR="00532072" w:rsidRPr="0009228C">
        <w:rPr>
          <w:szCs w:val="24"/>
        </w:rPr>
        <w:t xml:space="preserve"> </w:t>
      </w:r>
      <w:r w:rsidR="00532072">
        <w:rPr>
          <w:szCs w:val="24"/>
        </w:rPr>
        <w:t>n</w:t>
      </w:r>
      <w:r w:rsidR="00AF6E96">
        <w:rPr>
          <w:szCs w:val="24"/>
        </w:rPr>
        <w:t>’</w:t>
      </w:r>
      <w:r w:rsidR="00532072">
        <w:rPr>
          <w:szCs w:val="24"/>
        </w:rPr>
        <w:t>a pas été respecté parce qu</w:t>
      </w:r>
      <w:r w:rsidR="00AF6E96">
        <w:rPr>
          <w:szCs w:val="24"/>
        </w:rPr>
        <w:t>’</w:t>
      </w:r>
      <w:r w:rsidR="00532072">
        <w:rPr>
          <w:szCs w:val="24"/>
        </w:rPr>
        <w:t>il a été victime d</w:t>
      </w:r>
      <w:r w:rsidR="00532072" w:rsidRPr="0009228C">
        <w:rPr>
          <w:szCs w:val="24"/>
        </w:rPr>
        <w:t>e discrimination en raison de ses opinions politiques. Le Comité note cependant que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auteur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 pas apporté d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informations ni de pièce justificative à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appui de ce grief. En outre, on ignore si ces questions ont été soulevées devant les tribunaux nationaux. Dans ces c</w:t>
      </w:r>
      <w:r w:rsidR="00532072">
        <w:rPr>
          <w:szCs w:val="24"/>
        </w:rPr>
        <w:t>onditions</w:t>
      </w:r>
      <w:r w:rsidR="00532072" w:rsidRPr="0009228C">
        <w:rPr>
          <w:szCs w:val="24"/>
        </w:rPr>
        <w:t>, le Comité considère que cette partie de la communication n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 pas été étayée aux fins de la recevabilité et la déclare donc irrecevable en vertu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article 2 du Protocole facultatif.</w:t>
      </w:r>
    </w:p>
    <w:p w:rsidR="00532072" w:rsidRPr="0009228C" w:rsidRDefault="00442F02" w:rsidP="00532072">
      <w:pPr>
        <w:spacing w:after="240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="00532072" w:rsidRPr="0009228C">
        <w:rPr>
          <w:szCs w:val="24"/>
        </w:rPr>
        <w:t>En conséquence, le Comité des droits de l</w:t>
      </w:r>
      <w:r w:rsidR="00AF6E96">
        <w:rPr>
          <w:szCs w:val="24"/>
        </w:rPr>
        <w:t>’</w:t>
      </w:r>
      <w:r w:rsidR="00532072" w:rsidRPr="0009228C">
        <w:rPr>
          <w:szCs w:val="24"/>
        </w:rPr>
        <w:t>homme décide</w:t>
      </w:r>
      <w:r w:rsidR="00532072">
        <w:rPr>
          <w:szCs w:val="24"/>
        </w:rPr>
        <w:t>:</w:t>
      </w:r>
    </w:p>
    <w:p w:rsidR="00532072" w:rsidRPr="0009228C" w:rsidRDefault="00532072" w:rsidP="00532072">
      <w:pPr>
        <w:spacing w:after="240"/>
        <w:ind w:firstLine="567"/>
        <w:rPr>
          <w:szCs w:val="24"/>
        </w:rPr>
      </w:pPr>
      <w:r w:rsidRPr="0009228C">
        <w:rPr>
          <w:szCs w:val="24"/>
        </w:rPr>
        <w:t>a)</w:t>
      </w:r>
      <w:r w:rsidRPr="0009228C">
        <w:rPr>
          <w:szCs w:val="24"/>
        </w:rPr>
        <w:tab/>
        <w:t>Que la communication est irrecevable en vertu de l</w:t>
      </w:r>
      <w:r w:rsidR="00AF6E96">
        <w:rPr>
          <w:szCs w:val="24"/>
        </w:rPr>
        <w:t>’</w:t>
      </w:r>
      <w:r w:rsidRPr="0009228C">
        <w:rPr>
          <w:szCs w:val="24"/>
        </w:rPr>
        <w:t>article 2 du Protocole facultatif;</w:t>
      </w:r>
    </w:p>
    <w:p w:rsidR="00532072" w:rsidRPr="0009228C" w:rsidRDefault="00532072" w:rsidP="00532072">
      <w:pPr>
        <w:spacing w:after="240"/>
        <w:ind w:firstLine="567"/>
        <w:rPr>
          <w:szCs w:val="24"/>
        </w:rPr>
      </w:pPr>
      <w:r w:rsidRPr="0009228C">
        <w:rPr>
          <w:szCs w:val="24"/>
        </w:rPr>
        <w:t>b)</w:t>
      </w:r>
      <w:r w:rsidRPr="0009228C">
        <w:rPr>
          <w:szCs w:val="24"/>
        </w:rPr>
        <w:tab/>
        <w:t>Que la présente décision sera communiquée à l</w:t>
      </w:r>
      <w:r w:rsidR="00AF6E96">
        <w:rPr>
          <w:szCs w:val="24"/>
        </w:rPr>
        <w:t>’</w:t>
      </w:r>
      <w:r w:rsidRPr="0009228C">
        <w:rPr>
          <w:szCs w:val="24"/>
        </w:rPr>
        <w:t>État partie et à l</w:t>
      </w:r>
      <w:r w:rsidR="00AF6E96">
        <w:rPr>
          <w:szCs w:val="24"/>
        </w:rPr>
        <w:t>’</w:t>
      </w:r>
      <w:r w:rsidRPr="0009228C">
        <w:rPr>
          <w:szCs w:val="24"/>
        </w:rPr>
        <w:t>auteur de la communication.</w:t>
      </w:r>
    </w:p>
    <w:p w:rsidR="00532072" w:rsidRDefault="00532072" w:rsidP="00AF6E96">
      <w:pPr>
        <w:spacing w:after="120"/>
        <w:rPr>
          <w:szCs w:val="24"/>
        </w:rPr>
      </w:pPr>
      <w:r w:rsidRPr="0009228C">
        <w:rPr>
          <w:szCs w:val="24"/>
        </w:rPr>
        <w:t>[Adopté en anglais (version originale), en espagnol et en français. Paraîtra ultérieurement en arabe, en chinois et en russe dans le rapport annuel du Comité à l</w:t>
      </w:r>
      <w:r w:rsidR="00AF6E96">
        <w:rPr>
          <w:szCs w:val="24"/>
        </w:rPr>
        <w:t>’</w:t>
      </w:r>
      <w:r w:rsidRPr="0009228C">
        <w:rPr>
          <w:szCs w:val="24"/>
        </w:rPr>
        <w:t>Assemblée générale.]</w:t>
      </w:r>
      <w:bookmarkStart w:id="0" w:name="insstart"/>
      <w:bookmarkEnd w:id="0"/>
    </w:p>
    <w:p w:rsidR="00712E12" w:rsidRDefault="00532072" w:rsidP="00AF6E96">
      <w:pPr>
        <w:spacing w:after="120"/>
        <w:jc w:val="center"/>
        <w:rPr>
          <w:b/>
          <w:bCs/>
        </w:rPr>
      </w:pPr>
      <w:r>
        <w:rPr>
          <w:szCs w:val="24"/>
        </w:rPr>
        <w:t>-----</w:t>
      </w:r>
    </w:p>
    <w:sectPr w:rsidR="00712E12" w:rsidSect="00AE77C3">
      <w:headerReference w:type="even" r:id="rId9"/>
      <w:headerReference w:type="default" r:id="rId10"/>
      <w:footerReference w:type="first" r:id="rId11"/>
      <w:pgSz w:w="11906" w:h="16838"/>
      <w:pgMar w:top="1134" w:right="850" w:bottom="1984" w:left="1701" w:header="850" w:footer="170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EE" w:rsidRDefault="00DA53EE">
      <w:r>
        <w:separator/>
      </w:r>
    </w:p>
  </w:endnote>
  <w:endnote w:type="continuationSeparator" w:id="0">
    <w:p w:rsidR="00DA53EE" w:rsidRDefault="00DA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B7" w:rsidRDefault="00744CB7">
    <w:pPr>
      <w:pStyle w:val="Footer"/>
      <w:spacing w:before="240"/>
    </w:pPr>
    <w:r>
      <w:t>GE.08</w:t>
    </w:r>
    <w:r>
      <w:noBreakHyphen/>
    </w:r>
    <w:r w:rsidR="00AE77C3">
      <w:t xml:space="preserve">41495  </w:t>
    </w:r>
    <w:r>
      <w:t>(F)</w:t>
    </w:r>
    <w:r w:rsidR="00DB6129">
      <w:t xml:space="preserve">    030708</w:t>
    </w:r>
    <w:r w:rsidR="006F1B0F">
      <w:t xml:space="preserve">    040708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EE" w:rsidRDefault="00DA53EE">
      <w:r>
        <w:separator/>
      </w:r>
    </w:p>
  </w:footnote>
  <w:footnote w:type="continuationSeparator" w:id="0">
    <w:p w:rsidR="00DA53EE" w:rsidRDefault="00DA53EE">
      <w:r>
        <w:continuationSeparator/>
      </w:r>
    </w:p>
  </w:footnote>
  <w:footnote w:id="1">
    <w:p w:rsidR="00744CB7" w:rsidRDefault="00744CB7">
      <w:pPr>
        <w:pStyle w:val="FootnoteText"/>
        <w:spacing w:after="240"/>
      </w:pPr>
      <w:r>
        <w:rPr>
          <w:rStyle w:val="FootnoteReference"/>
        </w:rPr>
        <w:t>*</w:t>
      </w:r>
      <w:r>
        <w:t xml:space="preserve"> Rendue publique sur d</w:t>
      </w:r>
      <w:r w:rsidR="00532072">
        <w:t xml:space="preserve">écision du Comité des droits de </w:t>
      </w:r>
      <w:r>
        <w:t>l’homme.</w:t>
      </w:r>
    </w:p>
  </w:footnote>
  <w:footnote w:id="2">
    <w:p w:rsidR="00532072" w:rsidRDefault="00744CB7" w:rsidP="00532072">
      <w:pPr>
        <w:pStyle w:val="FootnoteText"/>
        <w:spacing w:after="240"/>
      </w:pPr>
      <w:r>
        <w:rPr>
          <w:rStyle w:val="FootnoteReference"/>
        </w:rPr>
        <w:t>**</w:t>
      </w:r>
      <w:r>
        <w:t xml:space="preserve"> Les membres du Comité dont le nom suit ont participé à l’examen de la communication:</w:t>
      </w:r>
      <w:r w:rsidR="00532072">
        <w:t xml:space="preserve"> </w:t>
      </w:r>
      <w:r w:rsidR="00532072">
        <w:rPr>
          <w:color w:val="000000"/>
          <w:szCs w:val="22"/>
        </w:rPr>
        <w:t>M. Abdelfattah Amor, M. Prafullachandra Natwarlal Bha</w:t>
      </w:r>
      <w:r w:rsidR="00AF6E96">
        <w:rPr>
          <w:color w:val="000000"/>
          <w:szCs w:val="22"/>
        </w:rPr>
        <w:t xml:space="preserve">gwati, </w:t>
      </w:r>
      <w:r w:rsidR="00AF6E96" w:rsidRPr="00AF6E96">
        <w:rPr>
          <w:color w:val="000000"/>
          <w:szCs w:val="22"/>
        </w:rPr>
        <w:t>M</w:t>
      </w:r>
      <w:r w:rsidR="00AF6E96" w:rsidRPr="00AF6E96">
        <w:rPr>
          <w:color w:val="000000"/>
          <w:szCs w:val="22"/>
          <w:vertAlign w:val="superscript"/>
        </w:rPr>
        <w:t>me</w:t>
      </w:r>
      <w:r w:rsidR="00AF6E96" w:rsidRPr="00AF6E96">
        <w:rPr>
          <w:color w:val="000000"/>
          <w:szCs w:val="22"/>
        </w:rPr>
        <w:t> </w:t>
      </w:r>
      <w:r w:rsidR="00AF6E96">
        <w:rPr>
          <w:color w:val="000000"/>
          <w:szCs w:val="22"/>
        </w:rPr>
        <w:t xml:space="preserve"> </w:t>
      </w:r>
      <w:r w:rsidR="00532072">
        <w:rPr>
          <w:color w:val="000000"/>
          <w:szCs w:val="22"/>
        </w:rPr>
        <w:t xml:space="preserve"> Christine Chanet, M. Maurice Glèlè Ahanhanzo, M. Yuji Iwasawa, M. Edwin Johnson, M. Walter Kälin, M. Ahmed Tawfik Khalil, M. Rajsoomer Lallah, </w:t>
      </w:r>
      <w:r w:rsidR="00532072" w:rsidRPr="00532072">
        <w:rPr>
          <w:color w:val="000000"/>
          <w:szCs w:val="22"/>
        </w:rPr>
        <w:t>M</w:t>
      </w:r>
      <w:r w:rsidR="00532072" w:rsidRPr="00532072">
        <w:rPr>
          <w:color w:val="000000"/>
          <w:szCs w:val="22"/>
          <w:vertAlign w:val="superscript"/>
        </w:rPr>
        <w:t>me</w:t>
      </w:r>
      <w:r w:rsidR="00532072" w:rsidRPr="00532072">
        <w:rPr>
          <w:color w:val="000000"/>
          <w:szCs w:val="22"/>
        </w:rPr>
        <w:t> </w:t>
      </w:r>
      <w:r w:rsidR="00532072">
        <w:rPr>
          <w:color w:val="000000"/>
          <w:szCs w:val="22"/>
        </w:rPr>
        <w:t xml:space="preserve">Zonke Zanele Majodina, </w:t>
      </w:r>
      <w:r w:rsidR="00532072" w:rsidRPr="00532072">
        <w:rPr>
          <w:color w:val="000000"/>
          <w:szCs w:val="22"/>
        </w:rPr>
        <w:t>M</w:t>
      </w:r>
      <w:r w:rsidR="00532072" w:rsidRPr="00532072">
        <w:rPr>
          <w:color w:val="000000"/>
          <w:szCs w:val="22"/>
          <w:vertAlign w:val="superscript"/>
        </w:rPr>
        <w:t>me</w:t>
      </w:r>
      <w:r w:rsidR="00532072" w:rsidRPr="00532072">
        <w:rPr>
          <w:color w:val="000000"/>
          <w:szCs w:val="22"/>
        </w:rPr>
        <w:t> </w:t>
      </w:r>
      <w:r w:rsidR="00532072">
        <w:rPr>
          <w:color w:val="000000"/>
          <w:szCs w:val="22"/>
        </w:rPr>
        <w:t xml:space="preserve">Iulia Antoanella Motoc, M. Michael O’Flaherty, </w:t>
      </w:r>
      <w:r w:rsidR="00532072" w:rsidRPr="00532072">
        <w:rPr>
          <w:color w:val="000000"/>
          <w:szCs w:val="22"/>
        </w:rPr>
        <w:t>M</w:t>
      </w:r>
      <w:r w:rsidR="00532072" w:rsidRPr="00532072">
        <w:rPr>
          <w:color w:val="000000"/>
          <w:szCs w:val="22"/>
          <w:vertAlign w:val="superscript"/>
        </w:rPr>
        <w:t>me</w:t>
      </w:r>
      <w:r w:rsidR="00532072" w:rsidRPr="00532072">
        <w:rPr>
          <w:color w:val="000000"/>
          <w:szCs w:val="22"/>
        </w:rPr>
        <w:t> </w:t>
      </w:r>
      <w:r w:rsidR="00532072">
        <w:rPr>
          <w:color w:val="000000"/>
          <w:szCs w:val="22"/>
        </w:rPr>
        <w:t xml:space="preserve">Elisabeth Palm, M. José Luis Pérez Sanchez-Cerro, M. Rafael Rivas Posada, Sir Nigel Rodley, M. Ivan Shearer et </w:t>
      </w:r>
      <w:r w:rsidR="00532072" w:rsidRPr="00532072">
        <w:rPr>
          <w:color w:val="000000"/>
          <w:szCs w:val="22"/>
        </w:rPr>
        <w:t>M</w:t>
      </w:r>
      <w:r w:rsidR="00532072" w:rsidRPr="00532072">
        <w:rPr>
          <w:color w:val="000000"/>
          <w:szCs w:val="22"/>
          <w:vertAlign w:val="superscript"/>
        </w:rPr>
        <w:t>me</w:t>
      </w:r>
      <w:r w:rsidR="00532072" w:rsidRPr="00532072">
        <w:rPr>
          <w:color w:val="000000"/>
          <w:szCs w:val="22"/>
        </w:rPr>
        <w:t> </w:t>
      </w:r>
      <w:r w:rsidR="00532072">
        <w:rPr>
          <w:color w:val="000000"/>
          <w:szCs w:val="22"/>
        </w:rPr>
        <w:t>Ruth Wedgwood.</w:t>
      </w:r>
    </w:p>
  </w:footnote>
  <w:footnote w:id="3">
    <w:p w:rsidR="00532072" w:rsidRPr="00242671" w:rsidRDefault="00532072" w:rsidP="00532072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r w:rsidRPr="005947C0">
        <w:t>Le Pacte et le Protocole facultatif sont entrés en vigueur pour le Bélarus le 23</w:t>
      </w:r>
      <w:r>
        <w:t> </w:t>
      </w:r>
      <w:r w:rsidRPr="005947C0">
        <w:t>mar</w:t>
      </w:r>
      <w:r w:rsidR="00442F02">
        <w:t>s </w:t>
      </w:r>
      <w:r w:rsidRPr="005947C0">
        <w:t>1976 et le 30</w:t>
      </w:r>
      <w:r>
        <w:t> </w:t>
      </w:r>
      <w:r w:rsidRPr="005947C0">
        <w:t>décembre 1992, respectivement.</w:t>
      </w:r>
    </w:p>
  </w:footnote>
  <w:footnote w:id="4">
    <w:p w:rsidR="00532072" w:rsidRDefault="00532072" w:rsidP="00532072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En ce qui concerne l’enregistrement des candidats, le paragraphe 8 de l’article 68 du Code électoral bélarussien fixe à 15 % au maximum le pourcentage admissible de signatures non valables dans les listes de soutien.</w:t>
      </w:r>
    </w:p>
  </w:footnote>
  <w:footnote w:id="5">
    <w:p w:rsidR="00532072" w:rsidRPr="005947C0" w:rsidRDefault="00532072" w:rsidP="00532072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r w:rsidRPr="005947C0">
        <w:t>Des copies de 16 déclarations écrites adressées à la Commission électorale régionale, dont celles des 11 électeurs cités par l’auteur, figurent au dossier.</w:t>
      </w:r>
    </w:p>
  </w:footnote>
  <w:footnote w:id="6">
    <w:p w:rsidR="00532072" w:rsidRPr="005947C0" w:rsidRDefault="00532072" w:rsidP="00532072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r w:rsidRPr="005947C0">
        <w:t>L’article 181 du Code de procédure civile, intitulé «Recevabilité des éléments de preuve», dispose que «les faits qui conformément à la loi doivent être étayés par des éléments de preuve particuliers ne peuvent être étayés par aucun autre élément de preuve».</w:t>
      </w:r>
    </w:p>
  </w:footnote>
  <w:footnote w:id="7">
    <w:p w:rsidR="00532072" w:rsidRPr="005947C0" w:rsidRDefault="00532072" w:rsidP="00532072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r w:rsidRPr="005947C0">
        <w:t>E/CN.4/2001/65/Add.1, Rapport de mission au Bélarus du Rapporteur spécial sur l’indépendance des juges et des avocats, établi en application de la résolution 2000/42 de la Commission, 8</w:t>
      </w:r>
      <w:r>
        <w:t> </w:t>
      </w:r>
      <w:r w:rsidRPr="005947C0">
        <w:t>février 2001.</w:t>
      </w:r>
    </w:p>
  </w:footnote>
  <w:footnote w:id="8">
    <w:p w:rsidR="00532072" w:rsidRPr="00242671" w:rsidRDefault="00532072" w:rsidP="00532072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r w:rsidRPr="00FC2784">
        <w:t>Voir, notamment, la communication n</w:t>
      </w:r>
      <w:r w:rsidRPr="00FC2784">
        <w:rPr>
          <w:vertAlign w:val="superscript"/>
        </w:rPr>
        <w:t>o</w:t>
      </w:r>
      <w:r>
        <w:t> </w:t>
      </w:r>
      <w:r w:rsidRPr="00FC2784">
        <w:t xml:space="preserve">541/1993, </w:t>
      </w:r>
      <w:r w:rsidRPr="00FC2784">
        <w:rPr>
          <w:i/>
        </w:rPr>
        <w:t>Errol Simms</w:t>
      </w:r>
      <w:r w:rsidRPr="00FC2784">
        <w:t xml:space="preserve"> c. </w:t>
      </w:r>
      <w:r w:rsidRPr="00FC2784">
        <w:rPr>
          <w:i/>
        </w:rPr>
        <w:t>Jamaïque</w:t>
      </w:r>
      <w:r w:rsidRPr="00FC2784">
        <w:t>, décision d’irrecevabilité adoptée le 3</w:t>
      </w:r>
      <w:r>
        <w:t> </w:t>
      </w:r>
      <w:r w:rsidRPr="00FC2784">
        <w:t>avril 1995, par.</w:t>
      </w:r>
      <w:r>
        <w:t> </w:t>
      </w:r>
      <w:r w:rsidRPr="00FC2784">
        <w:t>6.2.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C3" w:rsidRDefault="00AE77C3">
    <w:pPr>
      <w:pStyle w:val="Header"/>
    </w:pPr>
    <w:r>
      <w:t>CCPR/C/92/D/1358/2005</w:t>
    </w:r>
  </w:p>
  <w:p w:rsidR="00AE77C3" w:rsidRDefault="00AE77C3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F7622">
      <w:rPr>
        <w:noProof/>
      </w:rPr>
      <w:t>8</w:t>
    </w:r>
    <w:r>
      <w:fldChar w:fldCharType="end"/>
    </w:r>
  </w:p>
  <w:p w:rsidR="00AE77C3" w:rsidRDefault="00AE77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C3" w:rsidRDefault="00AE77C3" w:rsidP="00AE77C3">
    <w:pPr>
      <w:pStyle w:val="Header"/>
      <w:tabs>
        <w:tab w:val="clear" w:pos="6804"/>
        <w:tab w:val="left" w:pos="6803"/>
      </w:tabs>
    </w:pPr>
    <w:r>
      <w:tab/>
      <w:t>CCPR/C/92/D/1358/2005</w:t>
    </w:r>
  </w:p>
  <w:p w:rsidR="00AE77C3" w:rsidRDefault="00AE77C3" w:rsidP="00AE77C3">
    <w:pPr>
      <w:pStyle w:val="Header"/>
      <w:tabs>
        <w:tab w:val="clear" w:pos="6804"/>
        <w:tab w:val="left" w:pos="6803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F7622">
      <w:rPr>
        <w:noProof/>
      </w:rPr>
      <w:t>7</w:t>
    </w:r>
    <w:r>
      <w:fldChar w:fldCharType="end"/>
    </w:r>
  </w:p>
  <w:p w:rsidR="00AE77C3" w:rsidRDefault="00AE77C3" w:rsidP="00AE77C3">
    <w:pPr>
      <w:pStyle w:val="Header"/>
      <w:tabs>
        <w:tab w:val="clear" w:pos="6804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61AB"/>
    <w:multiLevelType w:val="singleLevel"/>
    <w:tmpl w:val="3D2E8F8C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CB7"/>
    <w:rsid w:val="000134F7"/>
    <w:rsid w:val="000F70C1"/>
    <w:rsid w:val="00172D21"/>
    <w:rsid w:val="002B7719"/>
    <w:rsid w:val="0030162B"/>
    <w:rsid w:val="0037768F"/>
    <w:rsid w:val="003F7622"/>
    <w:rsid w:val="00442F02"/>
    <w:rsid w:val="00532072"/>
    <w:rsid w:val="00616E61"/>
    <w:rsid w:val="00697779"/>
    <w:rsid w:val="006F1B0F"/>
    <w:rsid w:val="00712E12"/>
    <w:rsid w:val="00713090"/>
    <w:rsid w:val="00744CB7"/>
    <w:rsid w:val="00875C87"/>
    <w:rsid w:val="00927BCB"/>
    <w:rsid w:val="00A66633"/>
    <w:rsid w:val="00AE77C3"/>
    <w:rsid w:val="00AF6E96"/>
    <w:rsid w:val="00B12894"/>
    <w:rsid w:val="00BB2F70"/>
    <w:rsid w:val="00DA53EE"/>
    <w:rsid w:val="00DB6129"/>
    <w:rsid w:val="00E10BE0"/>
    <w:rsid w:val="00E61E20"/>
    <w:rsid w:val="00F0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rsid w:val="00927BCB"/>
    <w:pPr>
      <w:keepNext/>
      <w:spacing w:after="240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27BCB"/>
    <w:pPr>
      <w:keepNext/>
      <w:spacing w:after="240"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qFormat/>
    <w:rsid w:val="00927BCB"/>
    <w:pPr>
      <w:keepNext/>
      <w:spacing w:after="240"/>
      <w:outlineLvl w:val="2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pPr>
      <w:tabs>
        <w:tab w:val="left" w:pos="6804"/>
      </w:tabs>
    </w:p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CP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CCPR1</Template>
  <TotalTime>0</TotalTime>
  <Pages>8</Pages>
  <Words>2881</Words>
  <Characters>15846</Characters>
  <Application>Microsoft Office Word</Application>
  <DocSecurity>4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CCPR/C/92/D/1358/2005</vt:lpstr>
    </vt:vector>
  </TitlesOfParts>
  <Company>ONU</Company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CCPR/C/92/D/1358/2005</dc:title>
  <dc:subject>final</dc:subject>
  <dc:creator>BEAUNEE</dc:creator>
  <cp:keywords/>
  <dc:description/>
  <cp:lastModifiedBy>Burdin</cp:lastModifiedBy>
  <cp:revision>2</cp:revision>
  <cp:lastPrinted>2008-07-04T13:03:00Z</cp:lastPrinted>
  <dcterms:created xsi:type="dcterms:W3CDTF">2008-07-04T13:06:00Z</dcterms:created>
  <dcterms:modified xsi:type="dcterms:W3CDTF">2008-07-04T13:06:00Z</dcterms:modified>
</cp:coreProperties>
</file>