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678"/>
        <w:gridCol w:w="3260"/>
      </w:tblGrid>
      <w:tr w:rsidR="00712E12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559" w:type="dxa"/>
            <w:tcBorders>
              <w:bottom w:val="single" w:sz="6" w:space="0" w:color="auto"/>
            </w:tcBorders>
          </w:tcPr>
          <w:p w:rsidR="00712E12" w:rsidRDefault="00712E12">
            <w:pPr>
              <w:spacing w:before="6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NATIONS</w:t>
            </w:r>
            <w:r>
              <w:rPr>
                <w:rFonts w:ascii="Arial" w:hAnsi="Arial" w:cs="Arial"/>
                <w:b/>
                <w:bCs/>
                <w:sz w:val="28"/>
              </w:rPr>
              <w:br/>
              <w:t>UNIES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712E12" w:rsidRDefault="00712E12"/>
        </w:tc>
        <w:tc>
          <w:tcPr>
            <w:tcW w:w="3260" w:type="dxa"/>
            <w:tcBorders>
              <w:bottom w:val="single" w:sz="6" w:space="0" w:color="auto"/>
            </w:tcBorders>
          </w:tcPr>
          <w:p w:rsidR="00712E12" w:rsidRDefault="00712E12">
            <w:pPr>
              <w:ind w:right="17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72"/>
              </w:rPr>
              <w:t>CCPR</w:t>
            </w:r>
          </w:p>
        </w:tc>
      </w:tr>
      <w:tr w:rsidR="00712E12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tcMar>
              <w:top w:w="170" w:type="dxa"/>
            </w:tcMar>
          </w:tcPr>
          <w:p w:rsidR="00712E12" w:rsidRDefault="00712E12"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3.75pt" o:ole="" o:allowoverlap="f">
                  <v:imagedata r:id="rId7" o:title=""/>
                </v:shape>
                <o:OLEObject Type="Embed" ProgID="Word.Picture.8" ShapeID="_x0000_i1025" DrawAspect="Content" ObjectID="_1392808145" r:id="rId8"/>
              </w:object>
            </w:r>
          </w:p>
        </w:tc>
        <w:tc>
          <w:tcPr>
            <w:tcW w:w="4678" w:type="dxa"/>
            <w:tcBorders>
              <w:top w:val="single" w:sz="6" w:space="0" w:color="auto"/>
              <w:bottom w:val="single" w:sz="24" w:space="0" w:color="auto"/>
            </w:tcBorders>
            <w:tcMar>
              <w:top w:w="170" w:type="dxa"/>
            </w:tcMar>
          </w:tcPr>
          <w:p w:rsidR="00712E12" w:rsidRDefault="00712E12">
            <w:pPr>
              <w:widowControl w:val="0"/>
              <w:spacing w:before="120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Pacte international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relatif aux droits civils</w:t>
            </w:r>
            <w:r>
              <w:rPr>
                <w:rFonts w:ascii="Arial" w:hAnsi="Arial" w:cs="Arial"/>
                <w:b/>
                <w:bCs/>
                <w:sz w:val="32"/>
              </w:rPr>
              <w:br/>
              <w:t>et politiques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24" w:space="0" w:color="auto"/>
            </w:tcBorders>
            <w:tcMar>
              <w:top w:w="170" w:type="dxa"/>
            </w:tcMar>
          </w:tcPr>
          <w:p w:rsidR="00712E12" w:rsidRDefault="00712E12">
            <w:pPr>
              <w:spacing w:after="240"/>
            </w:pPr>
            <w:r>
              <w:t>Distr.</w:t>
            </w:r>
            <w:r>
              <w:br/>
              <w:t>RESTREINTE</w:t>
            </w:r>
            <w:r>
              <w:rPr>
                <w:rStyle w:val="FootnoteReference"/>
              </w:rPr>
              <w:footnoteReference w:customMarkFollows="1" w:id="1"/>
              <w:t>*</w:t>
            </w:r>
          </w:p>
          <w:p w:rsidR="00712E12" w:rsidRDefault="00C044B3">
            <w:pPr>
              <w:spacing w:after="240"/>
            </w:pPr>
            <w:r>
              <w:t>CCPR/C/92/D/1528/2006</w:t>
            </w:r>
            <w:r w:rsidR="00712E12">
              <w:br/>
            </w:r>
            <w:r>
              <w:t>23 avril</w:t>
            </w:r>
            <w:r w:rsidR="00712E12">
              <w:t xml:space="preserve"> 200</w:t>
            </w:r>
            <w:r w:rsidR="00927BCB">
              <w:t>8</w:t>
            </w:r>
          </w:p>
          <w:p w:rsidR="00712E12" w:rsidRDefault="00712E12">
            <w:r>
              <w:t>FRANÇAIS</w:t>
            </w:r>
            <w:r>
              <w:br/>
              <w:t xml:space="preserve">Original: </w:t>
            </w:r>
            <w:r w:rsidR="00C044B3">
              <w:t>ESPAGNOL</w:t>
            </w:r>
          </w:p>
        </w:tc>
      </w:tr>
    </w:tbl>
    <w:p w:rsidR="00712E12" w:rsidRDefault="00712E12" w:rsidP="00A124ED">
      <w:pPr>
        <w:spacing w:before="120" w:after="360"/>
      </w:pPr>
      <w:r>
        <w:t>COMITÉ DES DROITS DE L’HOMME</w:t>
      </w:r>
      <w:r>
        <w:br/>
      </w:r>
      <w:proofErr w:type="spellStart"/>
      <w:r w:rsidR="00C044B3">
        <w:t>Quatre</w:t>
      </w:r>
      <w:r w:rsidR="00C044B3">
        <w:noBreakHyphen/>
        <w:t>vingt</w:t>
      </w:r>
      <w:r w:rsidR="00C044B3">
        <w:noBreakHyphen/>
        <w:t>douzième</w:t>
      </w:r>
      <w:proofErr w:type="spellEnd"/>
      <w:r>
        <w:t xml:space="preserve"> session</w:t>
      </w:r>
      <w:r>
        <w:br/>
      </w:r>
      <w:r w:rsidR="00C044B3">
        <w:t>17 mars</w:t>
      </w:r>
      <w:r w:rsidR="00C044B3">
        <w:noBreakHyphen/>
        <w:t>4 avril</w:t>
      </w:r>
      <w:r>
        <w:t xml:space="preserve"> 200</w:t>
      </w:r>
      <w:r w:rsidR="00927BCB">
        <w:t>8</w:t>
      </w:r>
    </w:p>
    <w:p w:rsidR="00712E12" w:rsidRDefault="00712E12">
      <w:pPr>
        <w:spacing w:after="240"/>
        <w:jc w:val="center"/>
        <w:rPr>
          <w:b/>
          <w:bCs/>
        </w:rPr>
      </w:pPr>
      <w:r>
        <w:rPr>
          <w:b/>
          <w:bCs/>
        </w:rPr>
        <w:t>DÉCISION</w:t>
      </w:r>
    </w:p>
    <w:p w:rsidR="00712E12" w:rsidRPr="00B415E7" w:rsidRDefault="00712E12" w:rsidP="00C46DAD">
      <w:pPr>
        <w:spacing w:after="240"/>
        <w:jc w:val="center"/>
        <w:rPr>
          <w:bCs/>
        </w:rPr>
      </w:pPr>
      <w:r>
        <w:rPr>
          <w:b/>
          <w:bCs/>
        </w:rPr>
        <w:t xml:space="preserve">Communication </w:t>
      </w:r>
      <w:r w:rsidRPr="00B415E7">
        <w:rPr>
          <w:b/>
          <w:bCs/>
        </w:rPr>
        <w:t>n</w:t>
      </w:r>
      <w:r w:rsidRPr="00B415E7">
        <w:rPr>
          <w:b/>
          <w:bCs/>
          <w:vertAlign w:val="superscript"/>
        </w:rPr>
        <w:t>o</w:t>
      </w:r>
      <w:r w:rsidRPr="00B415E7">
        <w:rPr>
          <w:b/>
          <w:bCs/>
        </w:rPr>
        <w:t> </w:t>
      </w:r>
      <w:r w:rsidR="00C044B3" w:rsidRPr="00B415E7">
        <w:rPr>
          <w:b/>
          <w:lang w:val="fr-FR"/>
        </w:rPr>
        <w:t>1528/2006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43"/>
        <w:gridCol w:w="6428"/>
      </w:tblGrid>
      <w:tr w:rsidR="00712E12" w:rsidTr="00B15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2" w:type="pct"/>
          </w:tcPr>
          <w:p w:rsidR="00712E12" w:rsidRDefault="00712E12" w:rsidP="00B155DF">
            <w:pPr>
              <w:spacing w:after="200"/>
              <w:rPr>
                <w:u w:val="single"/>
              </w:rPr>
            </w:pPr>
            <w:r>
              <w:rPr>
                <w:u w:val="single"/>
              </w:rPr>
              <w:t>Présentée par</w:t>
            </w:r>
            <w:r>
              <w:t>:</w:t>
            </w:r>
          </w:p>
        </w:tc>
        <w:tc>
          <w:tcPr>
            <w:tcW w:w="3358" w:type="pct"/>
          </w:tcPr>
          <w:p w:rsidR="00712E12" w:rsidRDefault="00C044B3" w:rsidP="00B155DF">
            <w:pPr>
              <w:spacing w:after="200"/>
            </w:pPr>
            <w:r>
              <w:t>Pedro José Fernández Murcia (représenté par un conseil, José</w:t>
            </w:r>
            <w:r w:rsidR="00FE7CE4">
              <w:t> </w:t>
            </w:r>
            <w:r>
              <w:t xml:space="preserve">Luis </w:t>
            </w:r>
            <w:proofErr w:type="spellStart"/>
            <w:r>
              <w:t>Mazón</w:t>
            </w:r>
            <w:proofErr w:type="spellEnd"/>
            <w:r>
              <w:t xml:space="preserve"> Costa)</w:t>
            </w:r>
          </w:p>
        </w:tc>
      </w:tr>
      <w:tr w:rsidR="00C044B3" w:rsidTr="00B15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2" w:type="pct"/>
          </w:tcPr>
          <w:p w:rsidR="00C044B3" w:rsidRDefault="00C044B3" w:rsidP="00B155DF">
            <w:pPr>
              <w:spacing w:after="200"/>
              <w:rPr>
                <w:u w:val="single"/>
              </w:rPr>
            </w:pPr>
            <w:r>
              <w:rPr>
                <w:u w:val="single"/>
              </w:rPr>
              <w:t>Au nom de</w:t>
            </w:r>
            <w:r>
              <w:t>:</w:t>
            </w:r>
          </w:p>
        </w:tc>
        <w:tc>
          <w:tcPr>
            <w:tcW w:w="3358" w:type="pct"/>
          </w:tcPr>
          <w:p w:rsidR="00C044B3" w:rsidRPr="00AD62CD" w:rsidRDefault="00C044B3" w:rsidP="00B155DF">
            <w:pPr>
              <w:suppressAutoHyphens/>
              <w:spacing w:after="200"/>
            </w:pPr>
            <w:r>
              <w:t>L’auteur</w:t>
            </w:r>
          </w:p>
        </w:tc>
      </w:tr>
      <w:tr w:rsidR="00C044B3" w:rsidTr="00B15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2" w:type="pct"/>
          </w:tcPr>
          <w:p w:rsidR="00C044B3" w:rsidRDefault="00C044B3" w:rsidP="00B155DF">
            <w:pPr>
              <w:spacing w:after="200"/>
              <w:rPr>
                <w:u w:val="single"/>
              </w:rPr>
            </w:pPr>
            <w:r>
              <w:rPr>
                <w:u w:val="single"/>
              </w:rPr>
              <w:t>État partie</w:t>
            </w:r>
            <w:r>
              <w:t>:</w:t>
            </w:r>
          </w:p>
        </w:tc>
        <w:tc>
          <w:tcPr>
            <w:tcW w:w="3358" w:type="pct"/>
          </w:tcPr>
          <w:p w:rsidR="00C044B3" w:rsidRPr="00AD62CD" w:rsidRDefault="00C044B3" w:rsidP="00B155DF">
            <w:pPr>
              <w:suppressAutoHyphens/>
              <w:spacing w:after="200"/>
            </w:pPr>
            <w:r>
              <w:t>Espagne</w:t>
            </w:r>
          </w:p>
        </w:tc>
      </w:tr>
      <w:tr w:rsidR="00C044B3" w:rsidTr="00B15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2" w:type="pct"/>
          </w:tcPr>
          <w:p w:rsidR="00C044B3" w:rsidRDefault="00C044B3" w:rsidP="00B155DF">
            <w:pPr>
              <w:spacing w:after="200"/>
              <w:rPr>
                <w:u w:val="single"/>
              </w:rPr>
            </w:pPr>
            <w:r>
              <w:rPr>
                <w:u w:val="single"/>
              </w:rPr>
              <w:t>Date de la communication</w:t>
            </w:r>
            <w:r>
              <w:t>:</w:t>
            </w:r>
          </w:p>
        </w:tc>
        <w:tc>
          <w:tcPr>
            <w:tcW w:w="3358" w:type="pct"/>
          </w:tcPr>
          <w:p w:rsidR="00C044B3" w:rsidRPr="00AD62CD" w:rsidRDefault="00C044B3" w:rsidP="00B155DF">
            <w:pPr>
              <w:suppressAutoHyphens/>
              <w:spacing w:after="200"/>
            </w:pPr>
            <w:r>
              <w:t>26 juillet 2006 (date de la lettre initiale)</w:t>
            </w:r>
          </w:p>
        </w:tc>
      </w:tr>
      <w:tr w:rsidR="00C044B3" w:rsidTr="00B15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2" w:type="pct"/>
          </w:tcPr>
          <w:p w:rsidR="00C044B3" w:rsidRDefault="00C044B3" w:rsidP="00B155DF">
            <w:pPr>
              <w:spacing w:after="200"/>
              <w:rPr>
                <w:u w:val="single"/>
              </w:rPr>
            </w:pPr>
            <w:r>
              <w:rPr>
                <w:u w:val="single"/>
              </w:rPr>
              <w:t>Date de la présente décision</w:t>
            </w:r>
            <w:r>
              <w:t>:</w:t>
            </w:r>
          </w:p>
        </w:tc>
        <w:tc>
          <w:tcPr>
            <w:tcW w:w="3358" w:type="pct"/>
          </w:tcPr>
          <w:p w:rsidR="00C044B3" w:rsidRPr="00AD62CD" w:rsidRDefault="00FE7CE4" w:rsidP="00B155DF">
            <w:pPr>
              <w:suppressAutoHyphens/>
              <w:spacing w:after="200"/>
            </w:pPr>
            <w:r w:rsidRPr="00FE7CE4">
              <w:t>1</w:t>
            </w:r>
            <w:r w:rsidRPr="00FE7CE4">
              <w:rPr>
                <w:vertAlign w:val="superscript"/>
              </w:rPr>
              <w:t>er</w:t>
            </w:r>
            <w:r w:rsidRPr="00FE7CE4">
              <w:t xml:space="preserve"> avril 2008</w:t>
            </w:r>
          </w:p>
        </w:tc>
      </w:tr>
    </w:tbl>
    <w:p w:rsidR="00A124ED" w:rsidRDefault="00A124ED" w:rsidP="00A124ED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6376"/>
      </w:tblGrid>
      <w:tr w:rsidR="00C46DAD" w:rsidRPr="00AD62CD" w:rsidTr="00B15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1" w:type="pct"/>
            <w:shd w:val="clear" w:color="auto" w:fill="auto"/>
          </w:tcPr>
          <w:p w:rsidR="00C46DAD" w:rsidRPr="00AD62CD" w:rsidRDefault="00FE7CE4" w:rsidP="00A124ED">
            <w:pPr>
              <w:keepLines/>
              <w:suppressAutoHyphens/>
              <w:spacing w:after="240"/>
              <w:rPr>
                <w:i/>
              </w:rPr>
            </w:pPr>
            <w:r>
              <w:rPr>
                <w:i/>
              </w:rPr>
              <w:tab/>
            </w:r>
            <w:r w:rsidR="00C46DAD">
              <w:rPr>
                <w:i/>
              </w:rPr>
              <w:t>Objet</w:t>
            </w:r>
            <w:r w:rsidR="00C46DAD">
              <w:t>:</w:t>
            </w:r>
          </w:p>
        </w:tc>
        <w:tc>
          <w:tcPr>
            <w:tcW w:w="3369" w:type="pct"/>
            <w:shd w:val="clear" w:color="auto" w:fill="auto"/>
            <w:tcMar>
              <w:left w:w="108" w:type="dxa"/>
              <w:right w:w="108" w:type="dxa"/>
            </w:tcMar>
          </w:tcPr>
          <w:p w:rsidR="00C46DAD" w:rsidRPr="00AD62CD" w:rsidRDefault="00C46DAD" w:rsidP="00A124ED">
            <w:pPr>
              <w:keepNext/>
              <w:keepLines/>
              <w:suppressAutoHyphens/>
              <w:spacing w:after="240"/>
            </w:pPr>
            <w:r>
              <w:t>Décision du Tribunal suprême déclarant irrecevable un pourvoi en cassation</w:t>
            </w:r>
          </w:p>
        </w:tc>
      </w:tr>
      <w:tr w:rsidR="00C46DAD" w:rsidRPr="00AD62CD" w:rsidTr="00B15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1" w:type="pct"/>
            <w:shd w:val="clear" w:color="auto" w:fill="auto"/>
          </w:tcPr>
          <w:p w:rsidR="00C46DAD" w:rsidRPr="00AD62CD" w:rsidRDefault="00FE7CE4" w:rsidP="00A124ED">
            <w:pPr>
              <w:keepLines/>
              <w:suppressAutoHyphens/>
              <w:spacing w:after="240"/>
              <w:rPr>
                <w:i/>
              </w:rPr>
            </w:pPr>
            <w:r>
              <w:rPr>
                <w:i/>
              </w:rPr>
              <w:tab/>
            </w:r>
            <w:r w:rsidR="00C46DAD">
              <w:rPr>
                <w:i/>
              </w:rPr>
              <w:t>Questions de procédure</w:t>
            </w:r>
            <w:r w:rsidR="00C46DAD">
              <w:t>:</w:t>
            </w:r>
          </w:p>
        </w:tc>
        <w:tc>
          <w:tcPr>
            <w:tcW w:w="3369" w:type="pct"/>
            <w:shd w:val="clear" w:color="auto" w:fill="auto"/>
            <w:tcMar>
              <w:left w:w="108" w:type="dxa"/>
              <w:right w:w="108" w:type="dxa"/>
            </w:tcMar>
          </w:tcPr>
          <w:p w:rsidR="00C46DAD" w:rsidRPr="00AD62CD" w:rsidRDefault="00C46DAD" w:rsidP="00A124ED">
            <w:pPr>
              <w:keepNext/>
              <w:keepLines/>
              <w:suppressAutoHyphens/>
              <w:spacing w:after="240"/>
            </w:pPr>
            <w:r>
              <w:t>Réévaluation de l’application de la législation nationale</w:t>
            </w:r>
          </w:p>
        </w:tc>
      </w:tr>
      <w:tr w:rsidR="00C46DAD" w:rsidRPr="00AD62CD" w:rsidTr="00B15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1" w:type="pct"/>
            <w:shd w:val="clear" w:color="auto" w:fill="auto"/>
          </w:tcPr>
          <w:p w:rsidR="00C46DAD" w:rsidRPr="00AD62CD" w:rsidRDefault="00FE7CE4" w:rsidP="00A124ED">
            <w:pPr>
              <w:keepLines/>
              <w:suppressAutoHyphens/>
              <w:spacing w:after="240"/>
              <w:rPr>
                <w:i/>
              </w:rPr>
            </w:pPr>
            <w:r>
              <w:rPr>
                <w:i/>
              </w:rPr>
              <w:tab/>
            </w:r>
            <w:r w:rsidR="00C46DAD">
              <w:rPr>
                <w:i/>
              </w:rPr>
              <w:t>Question de fond</w:t>
            </w:r>
            <w:r w:rsidR="00C46DAD">
              <w:t>:</w:t>
            </w:r>
          </w:p>
        </w:tc>
        <w:tc>
          <w:tcPr>
            <w:tcW w:w="3369" w:type="pct"/>
            <w:shd w:val="clear" w:color="auto" w:fill="auto"/>
            <w:tcMar>
              <w:left w:w="108" w:type="dxa"/>
              <w:right w:w="108" w:type="dxa"/>
            </w:tcMar>
          </w:tcPr>
          <w:p w:rsidR="00C46DAD" w:rsidRPr="00AD62CD" w:rsidRDefault="00C46DAD" w:rsidP="00A124ED">
            <w:pPr>
              <w:keepNext/>
              <w:keepLines/>
              <w:suppressAutoHyphens/>
              <w:spacing w:after="240"/>
            </w:pPr>
            <w:r>
              <w:t>Égalité devant les tribunaux</w:t>
            </w:r>
          </w:p>
        </w:tc>
      </w:tr>
      <w:tr w:rsidR="00C46DAD" w:rsidRPr="00AD62CD" w:rsidTr="00B15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1" w:type="pct"/>
            <w:shd w:val="clear" w:color="auto" w:fill="auto"/>
          </w:tcPr>
          <w:p w:rsidR="00C46DAD" w:rsidRDefault="00FE7CE4" w:rsidP="00A124ED">
            <w:pPr>
              <w:keepLines/>
              <w:suppressAutoHyphens/>
              <w:spacing w:after="240"/>
              <w:rPr>
                <w:i/>
              </w:rPr>
            </w:pPr>
            <w:r>
              <w:rPr>
                <w:i/>
              </w:rPr>
              <w:tab/>
            </w:r>
            <w:r w:rsidR="00C46DAD">
              <w:rPr>
                <w:i/>
              </w:rPr>
              <w:t>Articles du Pacte</w:t>
            </w:r>
            <w:r w:rsidR="00C46DAD">
              <w:t>:</w:t>
            </w:r>
          </w:p>
        </w:tc>
        <w:tc>
          <w:tcPr>
            <w:tcW w:w="3369" w:type="pct"/>
            <w:shd w:val="clear" w:color="auto" w:fill="auto"/>
            <w:tcMar>
              <w:left w:w="108" w:type="dxa"/>
              <w:right w:w="108" w:type="dxa"/>
            </w:tcMar>
          </w:tcPr>
          <w:p w:rsidR="00C46DAD" w:rsidRDefault="00C46DAD" w:rsidP="00A124ED">
            <w:pPr>
              <w:keepNext/>
              <w:keepLines/>
              <w:suppressAutoHyphens/>
              <w:spacing w:after="240"/>
            </w:pPr>
            <w:r>
              <w:t>14 (par. 1), 26</w:t>
            </w:r>
          </w:p>
        </w:tc>
      </w:tr>
      <w:tr w:rsidR="00C46DAD" w:rsidRPr="00AD62CD" w:rsidTr="00B155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1" w:type="pct"/>
            <w:shd w:val="clear" w:color="auto" w:fill="auto"/>
          </w:tcPr>
          <w:p w:rsidR="00C46DAD" w:rsidRPr="00AD62CD" w:rsidRDefault="00FE7CE4" w:rsidP="00FE7CE4">
            <w:pPr>
              <w:suppressAutoHyphens/>
              <w:spacing w:after="240"/>
              <w:rPr>
                <w:i/>
              </w:rPr>
            </w:pPr>
            <w:r>
              <w:rPr>
                <w:i/>
              </w:rPr>
              <w:tab/>
            </w:r>
            <w:r w:rsidR="00C46DAD">
              <w:rPr>
                <w:i/>
              </w:rPr>
              <w:t xml:space="preserve">Article du Protocole </w:t>
            </w:r>
            <w:r>
              <w:rPr>
                <w:i/>
              </w:rPr>
              <w:tab/>
            </w:r>
            <w:r w:rsidR="00C46DAD">
              <w:rPr>
                <w:i/>
              </w:rPr>
              <w:t>facultatif</w:t>
            </w:r>
            <w:r w:rsidR="00C46DAD">
              <w:t>:</w:t>
            </w:r>
          </w:p>
        </w:tc>
        <w:tc>
          <w:tcPr>
            <w:tcW w:w="3369" w:type="pct"/>
            <w:shd w:val="clear" w:color="auto" w:fill="auto"/>
            <w:tcMar>
              <w:left w:w="108" w:type="dxa"/>
              <w:right w:w="108" w:type="dxa"/>
            </w:tcMar>
          </w:tcPr>
          <w:p w:rsidR="00C46DAD" w:rsidRPr="00AD62CD" w:rsidRDefault="00C46DAD" w:rsidP="00A124ED">
            <w:pPr>
              <w:keepNext/>
              <w:keepLines/>
              <w:suppressAutoHyphens/>
              <w:spacing w:after="240"/>
            </w:pPr>
            <w:r>
              <w:t>2</w:t>
            </w:r>
          </w:p>
        </w:tc>
      </w:tr>
    </w:tbl>
    <w:p w:rsidR="00FE7CE4" w:rsidRDefault="00FE7CE4" w:rsidP="00FE7CE4">
      <w:pPr>
        <w:spacing w:before="240" w:after="240"/>
        <w:jc w:val="center"/>
      </w:pPr>
      <w:r>
        <w:t>[ANNEXE]</w:t>
      </w:r>
    </w:p>
    <w:p w:rsidR="00712E12" w:rsidRDefault="00712E12" w:rsidP="00A124ED">
      <w:pPr>
        <w:spacing w:after="240"/>
        <w:jc w:val="center"/>
        <w:rPr>
          <w:b/>
          <w:bCs/>
        </w:rPr>
      </w:pPr>
      <w:r>
        <w:rPr>
          <w:b/>
          <w:bCs/>
        </w:rPr>
        <w:t>ANNEXE</w:t>
      </w:r>
    </w:p>
    <w:p w:rsidR="00712E12" w:rsidRDefault="00712E12">
      <w:pPr>
        <w:keepNext/>
        <w:keepLines/>
        <w:spacing w:after="240"/>
        <w:jc w:val="center"/>
        <w:rPr>
          <w:b/>
          <w:bCs/>
        </w:rPr>
      </w:pPr>
      <w:r>
        <w:rPr>
          <w:b/>
          <w:bCs/>
        </w:rPr>
        <w:t xml:space="preserve">DÉCISION DU COMITÉ DES DROITS DE L’HOMME EN VERTU DU PROTOCOLE FACULTATIF SE RAPPORTANT AU PACTE INTERNATIONAL </w:t>
      </w:r>
      <w:r>
        <w:rPr>
          <w:b/>
          <w:bCs/>
        </w:rPr>
        <w:br/>
        <w:t>RELATIF AUX DROITS CIVILS ET POLITIQUES</w:t>
      </w:r>
    </w:p>
    <w:p w:rsidR="00712E12" w:rsidRDefault="00FE7CE4">
      <w:pPr>
        <w:spacing w:after="240"/>
        <w:jc w:val="center"/>
        <w:rPr>
          <w:b/>
          <w:bCs/>
        </w:rPr>
      </w:pPr>
      <w:proofErr w:type="spellStart"/>
      <w:r>
        <w:rPr>
          <w:b/>
          <w:bCs/>
        </w:rPr>
        <w:t>quatre</w:t>
      </w:r>
      <w:r>
        <w:rPr>
          <w:b/>
          <w:bCs/>
        </w:rPr>
        <w:noBreakHyphen/>
        <w:t>vingt</w:t>
      </w:r>
      <w:r>
        <w:rPr>
          <w:b/>
          <w:bCs/>
        </w:rPr>
        <w:noBreakHyphen/>
        <w:t>douzième</w:t>
      </w:r>
      <w:proofErr w:type="spellEnd"/>
      <w:r w:rsidR="00712E12">
        <w:rPr>
          <w:b/>
          <w:bCs/>
        </w:rPr>
        <w:t xml:space="preserve"> session</w:t>
      </w:r>
    </w:p>
    <w:p w:rsidR="00712E12" w:rsidRDefault="00712E12">
      <w:pPr>
        <w:spacing w:after="240"/>
        <w:jc w:val="center"/>
        <w:rPr>
          <w:b/>
          <w:bCs/>
        </w:rPr>
      </w:pPr>
      <w:r>
        <w:rPr>
          <w:b/>
          <w:bCs/>
        </w:rPr>
        <w:t>concernant la</w:t>
      </w:r>
    </w:p>
    <w:p w:rsidR="00712E12" w:rsidRDefault="00712E12">
      <w:pPr>
        <w:spacing w:after="240"/>
        <w:jc w:val="center"/>
      </w:pPr>
      <w:r>
        <w:rPr>
          <w:b/>
          <w:bCs/>
        </w:rPr>
        <w:t>Communication n</w:t>
      </w:r>
      <w:r>
        <w:rPr>
          <w:b/>
          <w:bCs/>
          <w:vertAlign w:val="superscript"/>
        </w:rPr>
        <w:t>o</w:t>
      </w:r>
      <w:r>
        <w:rPr>
          <w:b/>
          <w:bCs/>
        </w:rPr>
        <w:t> </w:t>
      </w:r>
      <w:r w:rsidR="00C044B3">
        <w:rPr>
          <w:b/>
          <w:bCs/>
        </w:rPr>
        <w:t>1528/2006</w:t>
      </w:r>
      <w:r w:rsidR="00B155DF">
        <w:rPr>
          <w:rStyle w:val="FootnoteReference"/>
          <w:b w:val="0"/>
          <w:bCs/>
        </w:rPr>
        <w:footnoteReference w:customMarkFollows="1" w:id="2"/>
        <w:t>*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C044B3" w:rsidTr="00C044B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044B3" w:rsidRDefault="00C044B3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Présentée par</w:t>
            </w:r>
            <w:r>
              <w:t>:</w:t>
            </w:r>
          </w:p>
        </w:tc>
        <w:tc>
          <w:tcPr>
            <w:tcW w:w="6521" w:type="dxa"/>
          </w:tcPr>
          <w:p w:rsidR="00C044B3" w:rsidRPr="00AD62CD" w:rsidRDefault="00FE7CE4" w:rsidP="0070331B">
            <w:pPr>
              <w:suppressAutoHyphens/>
              <w:spacing w:after="240"/>
            </w:pPr>
            <w:r>
              <w:t xml:space="preserve">Pedro José Fernández Murcia (représenté par un conseil, José Luis </w:t>
            </w:r>
            <w:proofErr w:type="spellStart"/>
            <w:r>
              <w:t>Mazón</w:t>
            </w:r>
            <w:proofErr w:type="spellEnd"/>
            <w:r>
              <w:t xml:space="preserve"> Costa)</w:t>
            </w:r>
          </w:p>
        </w:tc>
      </w:tr>
      <w:tr w:rsidR="00C044B3" w:rsidTr="00C044B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044B3" w:rsidRDefault="00C044B3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Au nom de</w:t>
            </w:r>
            <w:r>
              <w:t>:</w:t>
            </w:r>
          </w:p>
        </w:tc>
        <w:tc>
          <w:tcPr>
            <w:tcW w:w="6521" w:type="dxa"/>
          </w:tcPr>
          <w:p w:rsidR="00C044B3" w:rsidRPr="00AD62CD" w:rsidRDefault="00B155DF" w:rsidP="0070331B">
            <w:pPr>
              <w:suppressAutoHyphens/>
              <w:spacing w:after="240"/>
            </w:pPr>
            <w:r>
              <w:t>L’auteur</w:t>
            </w:r>
          </w:p>
        </w:tc>
      </w:tr>
      <w:tr w:rsidR="00C044B3" w:rsidTr="00C044B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044B3" w:rsidRDefault="00C044B3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État partie</w:t>
            </w:r>
            <w:r>
              <w:t>:</w:t>
            </w:r>
          </w:p>
        </w:tc>
        <w:tc>
          <w:tcPr>
            <w:tcW w:w="6521" w:type="dxa"/>
          </w:tcPr>
          <w:p w:rsidR="00C044B3" w:rsidRPr="00AD62CD" w:rsidRDefault="00FE7CE4" w:rsidP="0070331B">
            <w:pPr>
              <w:suppressAutoHyphens/>
              <w:spacing w:after="240"/>
            </w:pPr>
            <w:r>
              <w:t>E</w:t>
            </w:r>
            <w:r w:rsidR="00B155DF">
              <w:t>spagne</w:t>
            </w:r>
          </w:p>
        </w:tc>
      </w:tr>
      <w:tr w:rsidR="00C044B3" w:rsidTr="00C044B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C044B3" w:rsidRDefault="00C044B3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Date de la communication</w:t>
            </w:r>
            <w:r>
              <w:t>:</w:t>
            </w:r>
          </w:p>
        </w:tc>
        <w:tc>
          <w:tcPr>
            <w:tcW w:w="6521" w:type="dxa"/>
          </w:tcPr>
          <w:p w:rsidR="00C044B3" w:rsidRDefault="00B155DF" w:rsidP="0070331B">
            <w:pPr>
              <w:suppressAutoHyphens/>
              <w:spacing w:after="240"/>
            </w:pPr>
            <w:r>
              <w:t>26 juillet 2006 (date de la lettre initiale)</w:t>
            </w:r>
          </w:p>
        </w:tc>
      </w:tr>
    </w:tbl>
    <w:p w:rsidR="00712E12" w:rsidRDefault="00712E12">
      <w:pPr>
        <w:spacing w:before="240" w:after="240"/>
        <w:ind w:firstLine="567"/>
      </w:pPr>
      <w:r>
        <w:rPr>
          <w:i/>
          <w:iCs/>
        </w:rPr>
        <w:t>Le Comité des droits de l’homme</w:t>
      </w:r>
      <w:r>
        <w:t>, institué en vertu de l’article 28 du Pacte international relatif aux droits civils et politiques,</w:t>
      </w:r>
    </w:p>
    <w:p w:rsidR="00712E12" w:rsidRDefault="00712E12">
      <w:pPr>
        <w:spacing w:after="240"/>
        <w:ind w:firstLine="567"/>
      </w:pPr>
      <w:r>
        <w:rPr>
          <w:i/>
          <w:iCs/>
        </w:rPr>
        <w:t>Réuni le</w:t>
      </w:r>
      <w:r>
        <w:t xml:space="preserve"> </w:t>
      </w:r>
      <w:r w:rsidR="00B155DF">
        <w:t>1</w:t>
      </w:r>
      <w:r w:rsidR="00B155DF" w:rsidRPr="00B155DF">
        <w:rPr>
          <w:vertAlign w:val="superscript"/>
        </w:rPr>
        <w:t>er</w:t>
      </w:r>
      <w:r w:rsidR="00B155DF">
        <w:t xml:space="preserve"> avril</w:t>
      </w:r>
      <w:r>
        <w:t xml:space="preserve"> 200</w:t>
      </w:r>
      <w:r w:rsidR="00B155DF">
        <w:t>8</w:t>
      </w:r>
      <w:r>
        <w:t>,</w:t>
      </w:r>
    </w:p>
    <w:p w:rsidR="00712E12" w:rsidRDefault="00712E12">
      <w:pPr>
        <w:spacing w:after="240"/>
        <w:ind w:firstLine="567"/>
      </w:pPr>
      <w:r>
        <w:rPr>
          <w:i/>
          <w:iCs/>
        </w:rPr>
        <w:t>Adopte</w:t>
      </w:r>
      <w:r>
        <w:t xml:space="preserve"> ce qui suit:</w:t>
      </w:r>
    </w:p>
    <w:p w:rsidR="00B155DF" w:rsidRPr="00B155DF" w:rsidRDefault="00B155DF" w:rsidP="00FE7CE4">
      <w:pPr>
        <w:spacing w:after="240"/>
        <w:jc w:val="center"/>
        <w:rPr>
          <w:b/>
          <w:lang w:val="fr-FR"/>
        </w:rPr>
      </w:pPr>
      <w:r w:rsidRPr="00B155DF">
        <w:rPr>
          <w:b/>
          <w:lang w:val="fr-FR"/>
        </w:rPr>
        <w:t>Décision concernant la recevabilité</w:t>
      </w:r>
    </w:p>
    <w:p w:rsidR="00B155DF" w:rsidRDefault="00B155DF" w:rsidP="00B155DF">
      <w:pPr>
        <w:spacing w:after="240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3208C5">
        <w:rPr>
          <w:lang w:val="fr-FR"/>
        </w:rPr>
        <w:t>L</w:t>
      </w:r>
      <w:r>
        <w:rPr>
          <w:lang w:val="fr-FR"/>
        </w:rPr>
        <w:t>’</w:t>
      </w:r>
      <w:r w:rsidRPr="003208C5">
        <w:rPr>
          <w:lang w:val="fr-FR"/>
        </w:rPr>
        <w:t>auteur de la communication, datée du 26 juillet 2006, est Pedro José Fernández Murcia, de nationalité espagnole, né en 1952. Il se dit victime d</w:t>
      </w:r>
      <w:r>
        <w:rPr>
          <w:lang w:val="fr-FR"/>
        </w:rPr>
        <w:t>’</w:t>
      </w:r>
      <w:r w:rsidRPr="003208C5">
        <w:rPr>
          <w:lang w:val="fr-FR"/>
        </w:rPr>
        <w:t>une violation par l</w:t>
      </w:r>
      <w:r>
        <w:rPr>
          <w:lang w:val="fr-FR"/>
        </w:rPr>
        <w:t>’</w:t>
      </w:r>
      <w:r w:rsidRPr="003208C5">
        <w:rPr>
          <w:lang w:val="fr-FR"/>
        </w:rPr>
        <w:t>Espagne du paragraphe 1 de l</w:t>
      </w:r>
      <w:r>
        <w:rPr>
          <w:lang w:val="fr-FR"/>
        </w:rPr>
        <w:t>’</w:t>
      </w:r>
      <w:r w:rsidRPr="003208C5">
        <w:rPr>
          <w:lang w:val="fr-FR"/>
        </w:rPr>
        <w:t>article 14 et de l</w:t>
      </w:r>
      <w:r>
        <w:rPr>
          <w:lang w:val="fr-FR"/>
        </w:rPr>
        <w:t>’</w:t>
      </w:r>
      <w:r w:rsidRPr="003208C5">
        <w:rPr>
          <w:lang w:val="fr-FR"/>
        </w:rPr>
        <w:t>article 26 du Pacte. Le Protocole facultatif est entré en vigueur pour l</w:t>
      </w:r>
      <w:r>
        <w:rPr>
          <w:lang w:val="fr-FR"/>
        </w:rPr>
        <w:t>’</w:t>
      </w:r>
      <w:r w:rsidRPr="003208C5">
        <w:rPr>
          <w:lang w:val="fr-FR"/>
        </w:rPr>
        <w:t>Espagne le 25 avril 1985. L</w:t>
      </w:r>
      <w:r>
        <w:rPr>
          <w:lang w:val="fr-FR"/>
        </w:rPr>
        <w:t>’</w:t>
      </w:r>
      <w:r w:rsidRPr="003208C5">
        <w:rPr>
          <w:lang w:val="fr-FR"/>
        </w:rPr>
        <w:t xml:space="preserve">auteur est représenté par un conseil, M. José Luis </w:t>
      </w:r>
      <w:proofErr w:type="spellStart"/>
      <w:r w:rsidRPr="003208C5">
        <w:rPr>
          <w:lang w:val="fr-FR"/>
        </w:rPr>
        <w:t>Mazón</w:t>
      </w:r>
      <w:proofErr w:type="spellEnd"/>
      <w:r w:rsidRPr="003208C5">
        <w:rPr>
          <w:lang w:val="fr-FR"/>
        </w:rPr>
        <w:t xml:space="preserve"> Costa.</w:t>
      </w:r>
    </w:p>
    <w:p w:rsidR="00B155DF" w:rsidRPr="00B155DF" w:rsidRDefault="00B155DF" w:rsidP="009E5980">
      <w:pPr>
        <w:keepNext/>
        <w:keepLines/>
        <w:spacing w:after="240" w:line="272" w:lineRule="exact"/>
        <w:rPr>
          <w:b/>
          <w:lang w:val="fr-FR"/>
        </w:rPr>
      </w:pPr>
      <w:r w:rsidRPr="00B155DF">
        <w:rPr>
          <w:b/>
          <w:lang w:val="fr-FR"/>
        </w:rPr>
        <w:t>Exposé des faits</w:t>
      </w:r>
    </w:p>
    <w:p w:rsidR="00B155DF" w:rsidRPr="003208C5" w:rsidRDefault="00B155DF" w:rsidP="009E5980">
      <w:pPr>
        <w:spacing w:after="240" w:line="272" w:lineRule="exact"/>
        <w:rPr>
          <w:lang w:val="fr-FR"/>
        </w:rPr>
      </w:pPr>
      <w:r>
        <w:rPr>
          <w:lang w:val="fr-FR"/>
        </w:rPr>
        <w:t>2.1</w:t>
      </w:r>
      <w:r>
        <w:rPr>
          <w:lang w:val="fr-FR"/>
        </w:rPr>
        <w:tab/>
      </w:r>
      <w:r w:rsidRPr="003208C5">
        <w:rPr>
          <w:lang w:val="fr-FR"/>
        </w:rPr>
        <w:t>L</w:t>
      </w:r>
      <w:r>
        <w:rPr>
          <w:lang w:val="fr-FR"/>
        </w:rPr>
        <w:t>’</w:t>
      </w:r>
      <w:r w:rsidRPr="003208C5">
        <w:rPr>
          <w:lang w:val="fr-FR"/>
        </w:rPr>
        <w:t>auteur de la communication et son épouse étaient défendeurs dans une procédure civile visant à faire annuler l</w:t>
      </w:r>
      <w:r>
        <w:rPr>
          <w:lang w:val="fr-FR"/>
        </w:rPr>
        <w:t>’</w:t>
      </w:r>
      <w:r w:rsidRPr="003208C5">
        <w:rPr>
          <w:lang w:val="fr-FR"/>
        </w:rPr>
        <w:t>enregistrement de la propriété d</w:t>
      </w:r>
      <w:r>
        <w:rPr>
          <w:lang w:val="fr-FR"/>
        </w:rPr>
        <w:t>’</w:t>
      </w:r>
      <w:r w:rsidRPr="003208C5">
        <w:rPr>
          <w:lang w:val="fr-FR"/>
        </w:rPr>
        <w:t>un terrain acquis en 1987. Les</w:t>
      </w:r>
      <w:r w:rsidR="00FE7CE4">
        <w:rPr>
          <w:lang w:val="fr-FR"/>
        </w:rPr>
        <w:t> </w:t>
      </w:r>
      <w:r w:rsidRPr="003208C5">
        <w:rPr>
          <w:lang w:val="fr-FR"/>
        </w:rPr>
        <w:t>propriétaires initiaux (M. R. M. et F. I. D.) étaient également défendeurs dans la même procédure. La p</w:t>
      </w:r>
      <w:r>
        <w:rPr>
          <w:lang w:val="fr-FR"/>
        </w:rPr>
        <w:t>lainte avait été déposée par M. </w:t>
      </w:r>
      <w:r w:rsidRPr="003208C5">
        <w:rPr>
          <w:lang w:val="fr-FR"/>
        </w:rPr>
        <w:t xml:space="preserve">José </w:t>
      </w:r>
      <w:proofErr w:type="spellStart"/>
      <w:r w:rsidRPr="003208C5">
        <w:rPr>
          <w:lang w:val="fr-FR"/>
        </w:rPr>
        <w:t>Torrico</w:t>
      </w:r>
      <w:proofErr w:type="spellEnd"/>
      <w:r w:rsidRPr="003208C5">
        <w:rPr>
          <w:lang w:val="fr-FR"/>
        </w:rPr>
        <w:t>, qui alléguait avoir précédemment acheté le même bien à une société dans le cadre d</w:t>
      </w:r>
      <w:r>
        <w:rPr>
          <w:lang w:val="fr-FR"/>
        </w:rPr>
        <w:t>’</w:t>
      </w:r>
      <w:r w:rsidRPr="003208C5">
        <w:rPr>
          <w:lang w:val="fr-FR"/>
        </w:rPr>
        <w:t>un contrat privé, sans enregistrer l</w:t>
      </w:r>
      <w:r>
        <w:rPr>
          <w:lang w:val="fr-FR"/>
        </w:rPr>
        <w:t>’</w:t>
      </w:r>
      <w:r w:rsidRPr="003208C5">
        <w:rPr>
          <w:lang w:val="fr-FR"/>
        </w:rPr>
        <w:t>acquisition auprès des autorités.</w:t>
      </w:r>
    </w:p>
    <w:p w:rsidR="00B155DF" w:rsidRPr="003208C5" w:rsidRDefault="00B155DF" w:rsidP="009E5980">
      <w:pPr>
        <w:spacing w:after="240" w:line="272" w:lineRule="exact"/>
        <w:rPr>
          <w:lang w:val="fr-FR"/>
        </w:rPr>
      </w:pPr>
      <w:r>
        <w:rPr>
          <w:lang w:val="fr-FR"/>
        </w:rPr>
        <w:t>2.2</w:t>
      </w:r>
      <w:r>
        <w:rPr>
          <w:lang w:val="fr-FR"/>
        </w:rPr>
        <w:tab/>
      </w:r>
      <w:r w:rsidRPr="003208C5">
        <w:rPr>
          <w:lang w:val="fr-FR"/>
        </w:rPr>
        <w:t>Cette procédure civile découlait d</w:t>
      </w:r>
      <w:r>
        <w:rPr>
          <w:lang w:val="fr-FR"/>
        </w:rPr>
        <w:t>’</w:t>
      </w:r>
      <w:r w:rsidRPr="003208C5">
        <w:rPr>
          <w:lang w:val="fr-FR"/>
        </w:rPr>
        <w:t xml:space="preserve">une action antérieure engagée devant le même juge et dans laquelle M. </w:t>
      </w:r>
      <w:proofErr w:type="spellStart"/>
      <w:r w:rsidRPr="003208C5">
        <w:rPr>
          <w:lang w:val="fr-FR"/>
        </w:rPr>
        <w:t>Torrico</w:t>
      </w:r>
      <w:proofErr w:type="spellEnd"/>
      <w:r w:rsidRPr="003208C5">
        <w:rPr>
          <w:lang w:val="fr-FR"/>
        </w:rPr>
        <w:t xml:space="preserve"> avait obtenu la reconnaissance de la validité d</w:t>
      </w:r>
      <w:r>
        <w:rPr>
          <w:lang w:val="fr-FR"/>
        </w:rPr>
        <w:t>’</w:t>
      </w:r>
      <w:r w:rsidRPr="003208C5">
        <w:rPr>
          <w:lang w:val="fr-FR"/>
        </w:rPr>
        <w:t>un contrat privé concernant l</w:t>
      </w:r>
      <w:r>
        <w:rPr>
          <w:lang w:val="fr-FR"/>
        </w:rPr>
        <w:t>’</w:t>
      </w:r>
      <w:r w:rsidRPr="003208C5">
        <w:rPr>
          <w:lang w:val="fr-FR"/>
        </w:rPr>
        <w:t>acquisition de plusieurs terrains, dont certains avaient été vendus à l</w:t>
      </w:r>
      <w:r>
        <w:rPr>
          <w:lang w:val="fr-FR"/>
        </w:rPr>
        <w:t>’</w:t>
      </w:r>
      <w:r w:rsidRPr="003208C5">
        <w:rPr>
          <w:lang w:val="fr-FR"/>
        </w:rPr>
        <w:t>auteur.</w:t>
      </w:r>
    </w:p>
    <w:p w:rsidR="00B155DF" w:rsidRPr="009332B5" w:rsidRDefault="00B155DF" w:rsidP="009E5980">
      <w:pPr>
        <w:spacing w:after="240" w:line="272" w:lineRule="exact"/>
        <w:rPr>
          <w:lang w:val="fr-FR"/>
        </w:rPr>
      </w:pPr>
      <w:r>
        <w:rPr>
          <w:lang w:val="fr-FR"/>
        </w:rPr>
        <w:t>2.3</w:t>
      </w:r>
      <w:r>
        <w:rPr>
          <w:lang w:val="fr-FR"/>
        </w:rPr>
        <w:tab/>
      </w:r>
      <w:r w:rsidRPr="003208C5">
        <w:rPr>
          <w:lang w:val="fr-FR"/>
        </w:rPr>
        <w:t xml:space="preserve">Le 8 février 2000, le </w:t>
      </w:r>
      <w:r w:rsidR="00FE7CE4">
        <w:rPr>
          <w:lang w:val="fr-FR"/>
        </w:rPr>
        <w:t>T</w:t>
      </w:r>
      <w:r w:rsidRPr="003208C5">
        <w:rPr>
          <w:lang w:val="fr-FR"/>
        </w:rPr>
        <w:t>ribunal de première instance n</w:t>
      </w:r>
      <w:r w:rsidRPr="007D4FEB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 w:rsidRPr="003208C5">
        <w:rPr>
          <w:lang w:val="fr-FR"/>
        </w:rPr>
        <w:t>2 (</w:t>
      </w:r>
      <w:proofErr w:type="spellStart"/>
      <w:r w:rsidRPr="008A3E81">
        <w:rPr>
          <w:lang w:val="fr-FR"/>
        </w:rPr>
        <w:t>Juzgado</w:t>
      </w:r>
      <w:proofErr w:type="spellEnd"/>
      <w:r w:rsidRPr="008A3E81">
        <w:rPr>
          <w:lang w:val="fr-FR"/>
        </w:rPr>
        <w:t xml:space="preserve"> de Primera Instancia</w:t>
      </w:r>
      <w:r w:rsidRPr="003208C5">
        <w:rPr>
          <w:lang w:val="fr-FR"/>
        </w:rPr>
        <w:t>) de Murcie a classé l</w:t>
      </w:r>
      <w:r>
        <w:rPr>
          <w:lang w:val="fr-FR"/>
        </w:rPr>
        <w:t>’</w:t>
      </w:r>
      <w:r w:rsidRPr="003208C5">
        <w:rPr>
          <w:lang w:val="fr-FR"/>
        </w:rPr>
        <w:t xml:space="preserve">affaire. M. </w:t>
      </w:r>
      <w:proofErr w:type="spellStart"/>
      <w:r w:rsidRPr="003208C5">
        <w:rPr>
          <w:lang w:val="fr-FR"/>
        </w:rPr>
        <w:t>Torrico</w:t>
      </w:r>
      <w:proofErr w:type="spellEnd"/>
      <w:r w:rsidRPr="003208C5">
        <w:rPr>
          <w:lang w:val="fr-FR"/>
        </w:rPr>
        <w:t xml:space="preserve"> a fait appel devant </w:t>
      </w:r>
      <w:r w:rsidRPr="001326E3">
        <w:rPr>
          <w:lang w:val="fr-FR"/>
        </w:rPr>
        <w:t>l</w:t>
      </w:r>
      <w:r>
        <w:rPr>
          <w:lang w:val="fr-FR"/>
        </w:rPr>
        <w:t>’</w:t>
      </w:r>
      <w:r w:rsidRPr="001326E3">
        <w:rPr>
          <w:lang w:val="fr-FR"/>
        </w:rPr>
        <w:t>Audiencia Provincial</w:t>
      </w:r>
      <w:r w:rsidRPr="003208C5">
        <w:rPr>
          <w:lang w:val="fr-FR"/>
        </w:rPr>
        <w:t xml:space="preserve"> de Murcie qui a annulé la décision le 23 mai 2000. L</w:t>
      </w:r>
      <w:r>
        <w:rPr>
          <w:lang w:val="fr-FR"/>
        </w:rPr>
        <w:t>’</w:t>
      </w:r>
      <w:r w:rsidRPr="008A3E81">
        <w:rPr>
          <w:lang w:val="fr-FR"/>
        </w:rPr>
        <w:t>Audiencia Provincial</w:t>
      </w:r>
      <w:r w:rsidRPr="003208C5">
        <w:rPr>
          <w:lang w:val="fr-FR"/>
        </w:rPr>
        <w:t xml:space="preserve"> a considéré que l</w:t>
      </w:r>
      <w:r>
        <w:rPr>
          <w:lang w:val="fr-FR"/>
        </w:rPr>
        <w:t>’</w:t>
      </w:r>
      <w:r w:rsidRPr="003208C5">
        <w:rPr>
          <w:lang w:val="fr-FR"/>
        </w:rPr>
        <w:t>auteur n</w:t>
      </w:r>
      <w:r>
        <w:rPr>
          <w:lang w:val="fr-FR"/>
        </w:rPr>
        <w:t>’</w:t>
      </w:r>
      <w:r w:rsidRPr="003208C5">
        <w:rPr>
          <w:lang w:val="fr-FR"/>
        </w:rPr>
        <w:t>avait pas acheté le terrain de bonne foi, de nombreuses preuves attestant qu</w:t>
      </w:r>
      <w:r>
        <w:rPr>
          <w:lang w:val="fr-FR"/>
        </w:rPr>
        <w:t>’</w:t>
      </w:r>
      <w:r w:rsidRPr="003208C5">
        <w:rPr>
          <w:lang w:val="fr-FR"/>
        </w:rPr>
        <w:t xml:space="preserve">il savait que le bien appartenait à M. </w:t>
      </w:r>
      <w:proofErr w:type="spellStart"/>
      <w:r w:rsidRPr="003208C5">
        <w:rPr>
          <w:lang w:val="fr-FR"/>
        </w:rPr>
        <w:t>Torrico</w:t>
      </w:r>
      <w:proofErr w:type="spellEnd"/>
      <w:r w:rsidRPr="003208C5">
        <w:rPr>
          <w:lang w:val="fr-FR"/>
        </w:rPr>
        <w:t>. Elle a donc ordonné que l</w:t>
      </w:r>
      <w:r>
        <w:rPr>
          <w:lang w:val="fr-FR"/>
        </w:rPr>
        <w:t>’</w:t>
      </w:r>
      <w:r w:rsidRPr="003208C5">
        <w:rPr>
          <w:lang w:val="fr-FR"/>
        </w:rPr>
        <w:t>enregistrement du bien aux noms de l</w:t>
      </w:r>
      <w:r>
        <w:rPr>
          <w:lang w:val="fr-FR"/>
        </w:rPr>
        <w:t>’</w:t>
      </w:r>
      <w:r w:rsidRPr="003208C5">
        <w:rPr>
          <w:lang w:val="fr-FR"/>
        </w:rPr>
        <w:t xml:space="preserve">auteur et de son épouse soit déclaré nul et non avenu. </w:t>
      </w:r>
      <w:r w:rsidRPr="009332B5">
        <w:rPr>
          <w:lang w:val="fr-FR"/>
        </w:rPr>
        <w:t>La décision de l</w:t>
      </w:r>
      <w:r>
        <w:rPr>
          <w:lang w:val="fr-FR"/>
        </w:rPr>
        <w:t>’</w:t>
      </w:r>
      <w:r w:rsidRPr="009332B5">
        <w:rPr>
          <w:lang w:val="fr-FR"/>
        </w:rPr>
        <w:t>Audiencia Provincial spécifiait que le jugement n</w:t>
      </w:r>
      <w:r>
        <w:rPr>
          <w:lang w:val="fr-FR"/>
        </w:rPr>
        <w:t>’</w:t>
      </w:r>
      <w:r w:rsidRPr="009332B5">
        <w:rPr>
          <w:lang w:val="fr-FR"/>
        </w:rPr>
        <w:t>était pas susceptible de cassation.</w:t>
      </w:r>
    </w:p>
    <w:p w:rsidR="00B155DF" w:rsidRPr="003208C5" w:rsidRDefault="00B155DF" w:rsidP="009E5980">
      <w:pPr>
        <w:spacing w:after="240" w:line="272" w:lineRule="exact"/>
        <w:rPr>
          <w:lang w:val="fr-FR"/>
        </w:rPr>
      </w:pPr>
      <w:r>
        <w:rPr>
          <w:lang w:val="fr-FR"/>
        </w:rPr>
        <w:t>2.4</w:t>
      </w:r>
      <w:r>
        <w:rPr>
          <w:lang w:val="fr-FR"/>
        </w:rPr>
        <w:tab/>
      </w:r>
      <w:r w:rsidRPr="003208C5">
        <w:rPr>
          <w:lang w:val="fr-FR"/>
        </w:rPr>
        <w:t>L</w:t>
      </w:r>
      <w:r>
        <w:rPr>
          <w:lang w:val="fr-FR"/>
        </w:rPr>
        <w:t>’</w:t>
      </w:r>
      <w:r w:rsidRPr="003208C5">
        <w:rPr>
          <w:lang w:val="fr-FR"/>
        </w:rPr>
        <w:t>auteur s</w:t>
      </w:r>
      <w:r>
        <w:rPr>
          <w:lang w:val="fr-FR"/>
        </w:rPr>
        <w:t>’</w:t>
      </w:r>
      <w:r w:rsidRPr="003208C5">
        <w:rPr>
          <w:lang w:val="fr-FR"/>
        </w:rPr>
        <w:t xml:space="preserve">est </w:t>
      </w:r>
      <w:r>
        <w:rPr>
          <w:lang w:val="fr-FR"/>
        </w:rPr>
        <w:t xml:space="preserve">néanmoins </w:t>
      </w:r>
      <w:r w:rsidRPr="003208C5">
        <w:rPr>
          <w:lang w:val="fr-FR"/>
        </w:rPr>
        <w:t xml:space="preserve">pourvu en cassation. Toutefois, le 10 juin 2003, le Tribunal suprême a déclaré que le jugement rendu par </w:t>
      </w:r>
      <w:r w:rsidRPr="008A3E81">
        <w:rPr>
          <w:lang w:val="fr-FR"/>
        </w:rPr>
        <w:t>l</w:t>
      </w:r>
      <w:r>
        <w:rPr>
          <w:lang w:val="fr-FR"/>
        </w:rPr>
        <w:t>’</w:t>
      </w:r>
      <w:r w:rsidRPr="008A3E81">
        <w:rPr>
          <w:lang w:val="fr-FR"/>
        </w:rPr>
        <w:t>Audiencia Provincial</w:t>
      </w:r>
      <w:r w:rsidRPr="003208C5">
        <w:rPr>
          <w:lang w:val="fr-FR"/>
        </w:rPr>
        <w:t xml:space="preserve"> ne relevait d</w:t>
      </w:r>
      <w:r>
        <w:rPr>
          <w:lang w:val="fr-FR"/>
        </w:rPr>
        <w:t>’</w:t>
      </w:r>
      <w:r w:rsidRPr="003208C5">
        <w:rPr>
          <w:lang w:val="fr-FR"/>
        </w:rPr>
        <w:t>aucune des catégories de jugements susceptibles de recours en cassation en vertu de l</w:t>
      </w:r>
      <w:r>
        <w:rPr>
          <w:lang w:val="fr-FR"/>
        </w:rPr>
        <w:t>’</w:t>
      </w:r>
      <w:r w:rsidRPr="003208C5">
        <w:rPr>
          <w:lang w:val="fr-FR"/>
        </w:rPr>
        <w:t xml:space="preserve">article 1687 de la loi de procédure civile. Le Tribunal a </w:t>
      </w:r>
      <w:r w:rsidRPr="009332B5">
        <w:rPr>
          <w:lang w:val="fr-FR"/>
        </w:rPr>
        <w:t>estimé que, même si le jugement</w:t>
      </w:r>
      <w:r>
        <w:rPr>
          <w:lang w:val="fr-FR"/>
        </w:rPr>
        <w:t>,</w:t>
      </w:r>
      <w:r w:rsidRPr="009332B5">
        <w:rPr>
          <w:lang w:val="fr-FR"/>
        </w:rPr>
        <w:t xml:space="preserve"> dans une mention incidente, requalifiait  l</w:t>
      </w:r>
      <w:r>
        <w:rPr>
          <w:lang w:val="fr-FR"/>
        </w:rPr>
        <w:t>’</w:t>
      </w:r>
      <w:r w:rsidRPr="009332B5">
        <w:rPr>
          <w:lang w:val="fr-FR"/>
        </w:rPr>
        <w:t xml:space="preserve">affaire en </w:t>
      </w:r>
      <w:r>
        <w:rPr>
          <w:lang w:val="fr-FR"/>
        </w:rPr>
        <w:t>«</w:t>
      </w:r>
      <w:r w:rsidRPr="009332B5">
        <w:rPr>
          <w:lang w:val="fr-FR"/>
        </w:rPr>
        <w:t>demande mineure</w:t>
      </w:r>
      <w:r>
        <w:rPr>
          <w:lang w:val="fr-FR"/>
        </w:rPr>
        <w:t>»</w:t>
      </w:r>
      <w:r w:rsidRPr="009332B5">
        <w:rPr>
          <w:lang w:val="fr-FR"/>
        </w:rPr>
        <w:t xml:space="preserve"> (</w:t>
      </w:r>
      <w:proofErr w:type="spellStart"/>
      <w:r w:rsidRPr="009332B5">
        <w:rPr>
          <w:i/>
          <w:lang w:val="fr-FR"/>
        </w:rPr>
        <w:t>juicio</w:t>
      </w:r>
      <w:proofErr w:type="spellEnd"/>
      <w:r w:rsidRPr="009332B5">
        <w:rPr>
          <w:i/>
          <w:lang w:val="fr-FR"/>
        </w:rPr>
        <w:t xml:space="preserve"> de </w:t>
      </w:r>
      <w:proofErr w:type="spellStart"/>
      <w:r w:rsidRPr="009332B5">
        <w:rPr>
          <w:i/>
          <w:lang w:val="fr-FR"/>
        </w:rPr>
        <w:t>menor</w:t>
      </w:r>
      <w:proofErr w:type="spellEnd"/>
      <w:r w:rsidRPr="00C3291F">
        <w:rPr>
          <w:i/>
          <w:lang w:val="fr-FR"/>
        </w:rPr>
        <w:t xml:space="preserve"> </w:t>
      </w:r>
      <w:proofErr w:type="spellStart"/>
      <w:r w:rsidRPr="00C3291F">
        <w:rPr>
          <w:i/>
          <w:lang w:val="fr-FR"/>
        </w:rPr>
        <w:t>cuantía</w:t>
      </w:r>
      <w:proofErr w:type="spellEnd"/>
      <w:r w:rsidRPr="003208C5">
        <w:rPr>
          <w:lang w:val="fr-FR"/>
        </w:rPr>
        <w:t>), catégorie visée par l</w:t>
      </w:r>
      <w:r>
        <w:rPr>
          <w:lang w:val="fr-FR"/>
        </w:rPr>
        <w:t>’</w:t>
      </w:r>
      <w:r w:rsidRPr="003208C5">
        <w:rPr>
          <w:lang w:val="fr-FR"/>
        </w:rPr>
        <w:t>article 1687, l</w:t>
      </w:r>
      <w:r>
        <w:rPr>
          <w:lang w:val="fr-FR"/>
        </w:rPr>
        <w:t>’</w:t>
      </w:r>
      <w:r w:rsidRPr="003208C5">
        <w:rPr>
          <w:lang w:val="fr-FR"/>
        </w:rPr>
        <w:t>affaire relevait en réalité de l</w:t>
      </w:r>
      <w:r>
        <w:rPr>
          <w:lang w:val="fr-FR"/>
        </w:rPr>
        <w:t>’</w:t>
      </w:r>
      <w:r w:rsidRPr="003208C5">
        <w:rPr>
          <w:lang w:val="fr-FR"/>
        </w:rPr>
        <w:t>article 198 de la loi sur les biens fonciers (</w:t>
      </w:r>
      <w:proofErr w:type="spellStart"/>
      <w:r w:rsidRPr="00C3291F">
        <w:rPr>
          <w:i/>
          <w:lang w:val="fr-FR"/>
        </w:rPr>
        <w:t>Reglamento</w:t>
      </w:r>
      <w:proofErr w:type="spellEnd"/>
      <w:r w:rsidRPr="00C3291F">
        <w:rPr>
          <w:i/>
          <w:lang w:val="fr-FR"/>
        </w:rPr>
        <w:t xml:space="preserve"> </w:t>
      </w:r>
      <w:proofErr w:type="spellStart"/>
      <w:r w:rsidRPr="00C3291F">
        <w:rPr>
          <w:i/>
          <w:lang w:val="fr-FR"/>
        </w:rPr>
        <w:t>Hipotecario</w:t>
      </w:r>
      <w:proofErr w:type="spellEnd"/>
      <w:r w:rsidRPr="003208C5">
        <w:rPr>
          <w:lang w:val="fr-FR"/>
        </w:rPr>
        <w:t>), qui ne prévoit pas la possibilité d</w:t>
      </w:r>
      <w:r>
        <w:rPr>
          <w:lang w:val="fr-FR"/>
        </w:rPr>
        <w:t>’</w:t>
      </w:r>
      <w:r w:rsidRPr="003208C5">
        <w:rPr>
          <w:lang w:val="fr-FR"/>
        </w:rPr>
        <w:t>un pourvoi en cassation.</w:t>
      </w:r>
    </w:p>
    <w:p w:rsidR="00B155DF" w:rsidRDefault="00B155DF" w:rsidP="009E5980">
      <w:pPr>
        <w:spacing w:after="240" w:line="272" w:lineRule="exact"/>
        <w:rPr>
          <w:lang w:val="fr-FR"/>
        </w:rPr>
      </w:pPr>
      <w:r>
        <w:rPr>
          <w:lang w:val="fr-FR"/>
        </w:rPr>
        <w:t>2.5</w:t>
      </w:r>
      <w:r>
        <w:rPr>
          <w:lang w:val="fr-FR"/>
        </w:rPr>
        <w:tab/>
      </w:r>
      <w:r w:rsidRPr="003208C5">
        <w:rPr>
          <w:lang w:val="fr-FR"/>
        </w:rPr>
        <w:t>L</w:t>
      </w:r>
      <w:r>
        <w:rPr>
          <w:lang w:val="fr-FR"/>
        </w:rPr>
        <w:t>’</w:t>
      </w:r>
      <w:r w:rsidRPr="003208C5">
        <w:rPr>
          <w:lang w:val="fr-FR"/>
        </w:rPr>
        <w:t>auteur n</w:t>
      </w:r>
      <w:r>
        <w:rPr>
          <w:lang w:val="fr-FR"/>
        </w:rPr>
        <w:t>’</w:t>
      </w:r>
      <w:r w:rsidRPr="003208C5">
        <w:rPr>
          <w:lang w:val="fr-FR"/>
        </w:rPr>
        <w:t xml:space="preserve">a pas formé de recours en </w:t>
      </w:r>
      <w:proofErr w:type="spellStart"/>
      <w:r w:rsidRPr="00C3291F">
        <w:rPr>
          <w:i/>
          <w:lang w:val="fr-FR"/>
        </w:rPr>
        <w:t>amparo</w:t>
      </w:r>
      <w:proofErr w:type="spellEnd"/>
      <w:r w:rsidRPr="003208C5">
        <w:rPr>
          <w:lang w:val="fr-FR"/>
        </w:rPr>
        <w:t xml:space="preserve"> devant le Tribunal constitutionnel. En</w:t>
      </w:r>
      <w:r w:rsidR="00FE7CE4">
        <w:rPr>
          <w:lang w:val="fr-FR"/>
        </w:rPr>
        <w:t> </w:t>
      </w:r>
      <w:r w:rsidRPr="003208C5">
        <w:rPr>
          <w:lang w:val="fr-FR"/>
        </w:rPr>
        <w:t xml:space="preserve">revanche, </w:t>
      </w:r>
      <w:r>
        <w:rPr>
          <w:lang w:val="fr-FR"/>
        </w:rPr>
        <w:t>s</w:t>
      </w:r>
      <w:r w:rsidRPr="003208C5">
        <w:rPr>
          <w:lang w:val="fr-FR"/>
        </w:rPr>
        <w:t xml:space="preserve">es codéfendeurs dans la procédure initiale </w:t>
      </w:r>
      <w:r>
        <w:rPr>
          <w:lang w:val="fr-FR"/>
        </w:rPr>
        <w:t>l’</w:t>
      </w:r>
      <w:r w:rsidRPr="003208C5">
        <w:rPr>
          <w:lang w:val="fr-FR"/>
        </w:rPr>
        <w:t>ont f</w:t>
      </w:r>
      <w:r>
        <w:rPr>
          <w:lang w:val="fr-FR"/>
        </w:rPr>
        <w:t>ait</w:t>
      </w:r>
      <w:r w:rsidRPr="003208C5">
        <w:rPr>
          <w:lang w:val="fr-FR"/>
        </w:rPr>
        <w:t>, en faisant valoir que le refus du Tribunal suprême d</w:t>
      </w:r>
      <w:r>
        <w:rPr>
          <w:lang w:val="fr-FR"/>
        </w:rPr>
        <w:t>’</w:t>
      </w:r>
      <w:r w:rsidRPr="003208C5">
        <w:rPr>
          <w:lang w:val="fr-FR"/>
        </w:rPr>
        <w:t>examiner au fond le recours en cassation constituait une violation du droit à une procédure régulière garanti par la Constitution. Le Tribunal constituti</w:t>
      </w:r>
      <w:r>
        <w:rPr>
          <w:lang w:val="fr-FR"/>
        </w:rPr>
        <w:t>onnel a rejeté le recours le 17 </w:t>
      </w:r>
      <w:r w:rsidRPr="003208C5">
        <w:rPr>
          <w:lang w:val="fr-FR"/>
        </w:rPr>
        <w:t>janvier 2005, concluant que la décision du Tribunal suprême n</w:t>
      </w:r>
      <w:r>
        <w:rPr>
          <w:lang w:val="fr-FR"/>
        </w:rPr>
        <w:t>’</w:t>
      </w:r>
      <w:r w:rsidRPr="003208C5">
        <w:rPr>
          <w:lang w:val="fr-FR"/>
        </w:rPr>
        <w:t>était pas arbitraire ni manifestement erronée. Selon l</w:t>
      </w:r>
      <w:r>
        <w:rPr>
          <w:lang w:val="fr-FR"/>
        </w:rPr>
        <w:t>’</w:t>
      </w:r>
      <w:r w:rsidRPr="003208C5">
        <w:rPr>
          <w:lang w:val="fr-FR"/>
        </w:rPr>
        <w:t xml:space="preserve">auteur, </w:t>
      </w:r>
      <w:r>
        <w:rPr>
          <w:lang w:val="fr-FR"/>
        </w:rPr>
        <w:t>cette</w:t>
      </w:r>
      <w:r w:rsidRPr="003208C5">
        <w:rPr>
          <w:lang w:val="fr-FR"/>
        </w:rPr>
        <w:t xml:space="preserve"> décision prouv</w:t>
      </w:r>
      <w:r>
        <w:rPr>
          <w:lang w:val="fr-FR"/>
        </w:rPr>
        <w:t>e</w:t>
      </w:r>
      <w:r w:rsidRPr="003208C5">
        <w:rPr>
          <w:lang w:val="fr-FR"/>
        </w:rPr>
        <w:t xml:space="preserve"> que le recours en </w:t>
      </w:r>
      <w:proofErr w:type="spellStart"/>
      <w:r w:rsidRPr="00C3291F">
        <w:rPr>
          <w:i/>
          <w:lang w:val="fr-FR"/>
        </w:rPr>
        <w:t>amparo</w:t>
      </w:r>
      <w:proofErr w:type="spellEnd"/>
      <w:r w:rsidRPr="003208C5">
        <w:rPr>
          <w:lang w:val="fr-FR"/>
        </w:rPr>
        <w:t xml:space="preserve"> ne constituait pas un recours utile et que, conformément à la jurisprudence du Comité dans les affaires </w:t>
      </w:r>
      <w:r w:rsidRPr="00C3291F">
        <w:rPr>
          <w:i/>
          <w:lang w:val="fr-FR"/>
        </w:rPr>
        <w:t xml:space="preserve">Gómez </w:t>
      </w:r>
      <w:proofErr w:type="spellStart"/>
      <w:r w:rsidRPr="00C3291F">
        <w:rPr>
          <w:i/>
          <w:lang w:val="fr-FR"/>
        </w:rPr>
        <w:t>Vásquez</w:t>
      </w:r>
      <w:proofErr w:type="spellEnd"/>
      <w:r w:rsidRPr="00C3291F">
        <w:rPr>
          <w:i/>
          <w:lang w:val="fr-FR"/>
        </w:rPr>
        <w:t xml:space="preserve"> </w:t>
      </w:r>
      <w:r w:rsidRPr="008A3E81">
        <w:rPr>
          <w:lang w:val="fr-FR"/>
        </w:rPr>
        <w:t>et</w:t>
      </w:r>
      <w:r w:rsidRPr="00C3291F">
        <w:rPr>
          <w:i/>
          <w:lang w:val="fr-FR"/>
        </w:rPr>
        <w:t xml:space="preserve"> Joseph </w:t>
      </w:r>
      <w:proofErr w:type="spellStart"/>
      <w:r w:rsidRPr="00C3291F">
        <w:rPr>
          <w:i/>
          <w:lang w:val="fr-FR"/>
        </w:rPr>
        <w:t>Semey</w:t>
      </w:r>
      <w:proofErr w:type="spellEnd"/>
      <w:r w:rsidRPr="003208C5">
        <w:rPr>
          <w:lang w:val="fr-FR"/>
        </w:rPr>
        <w:t>, contre l</w:t>
      </w:r>
      <w:r>
        <w:rPr>
          <w:lang w:val="fr-FR"/>
        </w:rPr>
        <w:t>’</w:t>
      </w:r>
      <w:r w:rsidRPr="003208C5">
        <w:rPr>
          <w:lang w:val="fr-FR"/>
        </w:rPr>
        <w:t>Espagne, il n</w:t>
      </w:r>
      <w:r>
        <w:rPr>
          <w:lang w:val="fr-FR"/>
        </w:rPr>
        <w:t>’</w:t>
      </w:r>
      <w:r w:rsidRPr="003208C5">
        <w:rPr>
          <w:lang w:val="fr-FR"/>
        </w:rPr>
        <w:t>était pas nécessaire d</w:t>
      </w:r>
      <w:r>
        <w:rPr>
          <w:lang w:val="fr-FR"/>
        </w:rPr>
        <w:t>’</w:t>
      </w:r>
      <w:r w:rsidRPr="003208C5">
        <w:rPr>
          <w:lang w:val="fr-FR"/>
        </w:rPr>
        <w:t>épuiser des recours qui n</w:t>
      </w:r>
      <w:r>
        <w:rPr>
          <w:lang w:val="fr-FR"/>
        </w:rPr>
        <w:t>’</w:t>
      </w:r>
      <w:r w:rsidRPr="003208C5">
        <w:rPr>
          <w:lang w:val="fr-FR"/>
        </w:rPr>
        <w:t>avaient aucune chance d</w:t>
      </w:r>
      <w:r>
        <w:rPr>
          <w:lang w:val="fr-FR"/>
        </w:rPr>
        <w:t>’</w:t>
      </w:r>
      <w:r w:rsidRPr="003208C5">
        <w:rPr>
          <w:lang w:val="fr-FR"/>
        </w:rPr>
        <w:t>aboutir.</w:t>
      </w:r>
    </w:p>
    <w:p w:rsidR="00B155DF" w:rsidRPr="00B155DF" w:rsidRDefault="00B155DF" w:rsidP="009E5980">
      <w:pPr>
        <w:spacing w:after="240" w:line="272" w:lineRule="exact"/>
        <w:rPr>
          <w:b/>
          <w:lang w:val="fr-FR"/>
        </w:rPr>
      </w:pPr>
      <w:r w:rsidRPr="00B155DF">
        <w:rPr>
          <w:b/>
          <w:lang w:val="fr-FR"/>
        </w:rPr>
        <w:t>Teneur de la plainte</w:t>
      </w:r>
    </w:p>
    <w:p w:rsidR="00B155DF" w:rsidRPr="003208C5" w:rsidRDefault="00B155DF" w:rsidP="009E5980">
      <w:pPr>
        <w:spacing w:after="240" w:line="272" w:lineRule="exact"/>
        <w:rPr>
          <w:lang w:val="fr-FR"/>
        </w:rPr>
      </w:pPr>
      <w:r>
        <w:rPr>
          <w:lang w:val="fr-FR"/>
        </w:rPr>
        <w:t>3.1</w:t>
      </w:r>
      <w:r>
        <w:rPr>
          <w:lang w:val="fr-FR"/>
        </w:rPr>
        <w:tab/>
      </w:r>
      <w:r w:rsidRPr="003208C5">
        <w:rPr>
          <w:lang w:val="fr-FR"/>
        </w:rPr>
        <w:t>L</w:t>
      </w:r>
      <w:r>
        <w:rPr>
          <w:lang w:val="fr-FR"/>
        </w:rPr>
        <w:t>’</w:t>
      </w:r>
      <w:r w:rsidRPr="003208C5">
        <w:rPr>
          <w:lang w:val="fr-FR"/>
        </w:rPr>
        <w:t>auteur affirme que le refus du Tribunal suprême d</w:t>
      </w:r>
      <w:r>
        <w:rPr>
          <w:lang w:val="fr-FR"/>
        </w:rPr>
        <w:t>’</w:t>
      </w:r>
      <w:r w:rsidRPr="003208C5">
        <w:rPr>
          <w:lang w:val="fr-FR"/>
        </w:rPr>
        <w:t>accueillir son pourvoi constitue une violation du droit à l</w:t>
      </w:r>
      <w:r>
        <w:rPr>
          <w:lang w:val="fr-FR"/>
        </w:rPr>
        <w:t>’</w:t>
      </w:r>
      <w:r w:rsidRPr="003208C5">
        <w:rPr>
          <w:lang w:val="fr-FR"/>
        </w:rPr>
        <w:t>égalité devant les tribunaux, garanti au paragraphe 1 de l</w:t>
      </w:r>
      <w:r>
        <w:rPr>
          <w:lang w:val="fr-FR"/>
        </w:rPr>
        <w:t>’</w:t>
      </w:r>
      <w:r w:rsidRPr="003208C5">
        <w:rPr>
          <w:lang w:val="fr-FR"/>
        </w:rPr>
        <w:t xml:space="preserve">article 14 </w:t>
      </w:r>
      <w:r>
        <w:rPr>
          <w:lang w:val="fr-FR"/>
        </w:rPr>
        <w:t xml:space="preserve">et à </w:t>
      </w:r>
      <w:r w:rsidRPr="003208C5">
        <w:rPr>
          <w:lang w:val="fr-FR"/>
        </w:rPr>
        <w:t>l</w:t>
      </w:r>
      <w:r>
        <w:rPr>
          <w:lang w:val="fr-FR"/>
        </w:rPr>
        <w:t>’</w:t>
      </w:r>
      <w:r w:rsidRPr="003208C5">
        <w:rPr>
          <w:lang w:val="fr-FR"/>
        </w:rPr>
        <w:t>article 26 du Pacte, parce qu</w:t>
      </w:r>
      <w:r>
        <w:rPr>
          <w:lang w:val="fr-FR"/>
        </w:rPr>
        <w:t>’</w:t>
      </w:r>
      <w:r w:rsidRPr="003208C5">
        <w:rPr>
          <w:lang w:val="fr-FR"/>
        </w:rPr>
        <w:t xml:space="preserve">il est discriminatoire et arbitraire. </w:t>
      </w:r>
    </w:p>
    <w:p w:rsidR="00B155DF" w:rsidRPr="003208C5" w:rsidRDefault="00B155DF" w:rsidP="009E5980">
      <w:pPr>
        <w:spacing w:after="240" w:line="272" w:lineRule="exact"/>
        <w:rPr>
          <w:lang w:val="fr-FR"/>
        </w:rPr>
      </w:pPr>
      <w:r>
        <w:rPr>
          <w:lang w:val="fr-FR"/>
        </w:rPr>
        <w:t>3.2</w:t>
      </w:r>
      <w:r>
        <w:rPr>
          <w:lang w:val="fr-FR"/>
        </w:rPr>
        <w:tab/>
      </w:r>
      <w:r w:rsidRPr="003208C5">
        <w:rPr>
          <w:lang w:val="fr-FR"/>
        </w:rPr>
        <w:t>L</w:t>
      </w:r>
      <w:r>
        <w:rPr>
          <w:lang w:val="fr-FR"/>
        </w:rPr>
        <w:t>’</w:t>
      </w:r>
      <w:r w:rsidRPr="003208C5">
        <w:rPr>
          <w:lang w:val="fr-FR"/>
        </w:rPr>
        <w:t>article 1687 de la loi de procédure civile dispose qu</w:t>
      </w:r>
      <w:r>
        <w:rPr>
          <w:lang w:val="fr-FR"/>
        </w:rPr>
        <w:t>’</w:t>
      </w:r>
      <w:r w:rsidRPr="003208C5">
        <w:rPr>
          <w:lang w:val="fr-FR"/>
        </w:rPr>
        <w:t>il est possible de se pourvoir en cassation contre les décisions</w:t>
      </w:r>
      <w:r>
        <w:rPr>
          <w:lang w:val="fr-FR"/>
        </w:rPr>
        <w:t xml:space="preserve"> concernant des questions incidentes</w:t>
      </w:r>
      <w:r w:rsidRPr="003208C5">
        <w:rPr>
          <w:lang w:val="fr-FR"/>
        </w:rPr>
        <w:t xml:space="preserve"> (</w:t>
      </w:r>
      <w:r w:rsidRPr="00C3291F">
        <w:rPr>
          <w:i/>
          <w:lang w:val="fr-FR"/>
        </w:rPr>
        <w:t>autos</w:t>
      </w:r>
      <w:r w:rsidRPr="003208C5">
        <w:rPr>
          <w:lang w:val="fr-FR"/>
        </w:rPr>
        <w:t xml:space="preserve">) prises </w:t>
      </w:r>
      <w:r>
        <w:rPr>
          <w:lang w:val="fr-FR"/>
        </w:rPr>
        <w:t xml:space="preserve">en appel </w:t>
      </w:r>
      <w:r w:rsidRPr="003208C5">
        <w:rPr>
          <w:lang w:val="fr-FR"/>
        </w:rPr>
        <w:t>par les tribunaux pour l</w:t>
      </w:r>
      <w:r>
        <w:rPr>
          <w:lang w:val="fr-FR"/>
        </w:rPr>
        <w:t>’</w:t>
      </w:r>
      <w:r w:rsidRPr="003208C5">
        <w:rPr>
          <w:lang w:val="fr-FR"/>
        </w:rPr>
        <w:t xml:space="preserve">exécution </w:t>
      </w:r>
      <w:r>
        <w:rPr>
          <w:lang w:val="fr-FR"/>
        </w:rPr>
        <w:t>de jugements qui sont eux-</w:t>
      </w:r>
      <w:r w:rsidRPr="003208C5">
        <w:rPr>
          <w:lang w:val="fr-FR"/>
        </w:rPr>
        <w:t>mêmes susceptibles de cassation, lorsque les décisions rendues donnent des éclaircissements sur les questions de fond non controversées dans la procédure principale, ou sur lesquelles il n</w:t>
      </w:r>
      <w:r>
        <w:rPr>
          <w:lang w:val="fr-FR"/>
        </w:rPr>
        <w:t>’</w:t>
      </w:r>
      <w:r w:rsidRPr="003208C5">
        <w:rPr>
          <w:lang w:val="fr-FR"/>
        </w:rPr>
        <w:t>a pas été statué dans le jugement, ou qui allaient à l</w:t>
      </w:r>
      <w:r>
        <w:rPr>
          <w:lang w:val="fr-FR"/>
        </w:rPr>
        <w:t>’</w:t>
      </w:r>
      <w:r w:rsidRPr="003208C5">
        <w:rPr>
          <w:lang w:val="fr-FR"/>
        </w:rPr>
        <w:t>encontre de ce jugement.</w:t>
      </w:r>
    </w:p>
    <w:p w:rsidR="00B155DF" w:rsidRPr="003208C5" w:rsidRDefault="00B155DF" w:rsidP="00B155DF">
      <w:pPr>
        <w:spacing w:after="240"/>
        <w:rPr>
          <w:lang w:val="fr-FR"/>
        </w:rPr>
      </w:pPr>
      <w:r>
        <w:rPr>
          <w:lang w:val="fr-FR"/>
        </w:rPr>
        <w:t>3.3</w:t>
      </w:r>
      <w:r>
        <w:rPr>
          <w:lang w:val="fr-FR"/>
        </w:rPr>
        <w:tab/>
      </w:r>
      <w:r w:rsidRPr="003208C5">
        <w:rPr>
          <w:lang w:val="fr-FR"/>
        </w:rPr>
        <w:t>Dans l</w:t>
      </w:r>
      <w:r>
        <w:rPr>
          <w:lang w:val="fr-FR"/>
        </w:rPr>
        <w:t>’</w:t>
      </w:r>
      <w:r w:rsidRPr="003208C5">
        <w:rPr>
          <w:lang w:val="fr-FR"/>
        </w:rPr>
        <w:t>affaire à l</w:t>
      </w:r>
      <w:r>
        <w:rPr>
          <w:lang w:val="fr-FR"/>
        </w:rPr>
        <w:t>’</w:t>
      </w:r>
      <w:r w:rsidRPr="003208C5">
        <w:rPr>
          <w:lang w:val="fr-FR"/>
        </w:rPr>
        <w:t>examen, bien que l</w:t>
      </w:r>
      <w:r>
        <w:rPr>
          <w:lang w:val="fr-FR"/>
        </w:rPr>
        <w:t>’</w:t>
      </w:r>
      <w:r w:rsidRPr="003208C5">
        <w:rPr>
          <w:lang w:val="fr-FR"/>
        </w:rPr>
        <w:t>auteur se soit pourvu en cassation, non pas contre une décision (</w:t>
      </w:r>
      <w:r w:rsidRPr="00C3291F">
        <w:rPr>
          <w:i/>
          <w:lang w:val="fr-FR"/>
        </w:rPr>
        <w:t>auto</w:t>
      </w:r>
      <w:r w:rsidRPr="003208C5">
        <w:rPr>
          <w:lang w:val="fr-FR"/>
        </w:rPr>
        <w:t xml:space="preserve">) mais contre un jugement, le jugement en question avait néanmoins été prononcé dans le contexte de la procédure antérieure, dans laquelle M. </w:t>
      </w:r>
      <w:proofErr w:type="spellStart"/>
      <w:r w:rsidRPr="003208C5">
        <w:rPr>
          <w:lang w:val="fr-FR"/>
        </w:rPr>
        <w:t>Torrico</w:t>
      </w:r>
      <w:proofErr w:type="spellEnd"/>
      <w:r w:rsidRPr="003208C5">
        <w:rPr>
          <w:lang w:val="fr-FR"/>
        </w:rPr>
        <w:t xml:space="preserve"> avait obtenu la reconnaissance de la validité d</w:t>
      </w:r>
      <w:r>
        <w:rPr>
          <w:lang w:val="fr-FR"/>
        </w:rPr>
        <w:t>’</w:t>
      </w:r>
      <w:r w:rsidRPr="003208C5">
        <w:rPr>
          <w:lang w:val="fr-FR"/>
        </w:rPr>
        <w:t>un contrat privé concernant l</w:t>
      </w:r>
      <w:r>
        <w:rPr>
          <w:lang w:val="fr-FR"/>
        </w:rPr>
        <w:t>’</w:t>
      </w:r>
      <w:r w:rsidRPr="003208C5">
        <w:rPr>
          <w:lang w:val="fr-FR"/>
        </w:rPr>
        <w:t>acquisition de plusieurs biens. Le</w:t>
      </w:r>
      <w:r w:rsidR="00FE7CE4">
        <w:rPr>
          <w:lang w:val="fr-FR"/>
        </w:rPr>
        <w:t> </w:t>
      </w:r>
      <w:r w:rsidRPr="003208C5">
        <w:rPr>
          <w:lang w:val="fr-FR"/>
        </w:rPr>
        <w:t>jugement concernait une question qui n</w:t>
      </w:r>
      <w:r>
        <w:rPr>
          <w:lang w:val="fr-FR"/>
        </w:rPr>
        <w:t>’</w:t>
      </w:r>
      <w:r w:rsidRPr="003208C5">
        <w:rPr>
          <w:lang w:val="fr-FR"/>
        </w:rPr>
        <w:t>avait pas été tranchée dans la procédure principale et par conséquent le Tribunal suprême aurait dû interpréter l</w:t>
      </w:r>
      <w:r>
        <w:rPr>
          <w:lang w:val="fr-FR"/>
        </w:rPr>
        <w:t>’</w:t>
      </w:r>
      <w:r w:rsidRPr="003208C5">
        <w:rPr>
          <w:lang w:val="fr-FR"/>
        </w:rPr>
        <w:t>article 1687 de façon à faire droit au pourvoi. Une telle interprétation aurait empêché la discrimination tenant au fait que les décisions (</w:t>
      </w:r>
      <w:r w:rsidRPr="00C3291F">
        <w:rPr>
          <w:i/>
          <w:lang w:val="fr-FR"/>
        </w:rPr>
        <w:t>autos</w:t>
      </w:r>
      <w:r w:rsidRPr="003208C5">
        <w:rPr>
          <w:lang w:val="fr-FR"/>
        </w:rPr>
        <w:t>) sont susceptibles de cassation mais non les jugements.</w:t>
      </w:r>
    </w:p>
    <w:p w:rsidR="00B155DF" w:rsidRDefault="00B155DF" w:rsidP="00B155DF">
      <w:pPr>
        <w:spacing w:after="240"/>
        <w:rPr>
          <w:lang w:val="fr-FR"/>
        </w:rPr>
      </w:pPr>
      <w:r>
        <w:rPr>
          <w:lang w:val="fr-FR"/>
        </w:rPr>
        <w:t>3.4</w:t>
      </w:r>
      <w:r>
        <w:rPr>
          <w:lang w:val="fr-FR"/>
        </w:rPr>
        <w:tab/>
      </w:r>
      <w:r w:rsidRPr="003208C5">
        <w:rPr>
          <w:lang w:val="fr-FR"/>
        </w:rPr>
        <w:t>L</w:t>
      </w:r>
      <w:r>
        <w:rPr>
          <w:lang w:val="fr-FR"/>
        </w:rPr>
        <w:t>’</w:t>
      </w:r>
      <w:r w:rsidRPr="003208C5">
        <w:rPr>
          <w:lang w:val="fr-FR"/>
        </w:rPr>
        <w:t>auteur demande au Comité de constater une violation du paragraphe 1 de l</w:t>
      </w:r>
      <w:r>
        <w:rPr>
          <w:lang w:val="fr-FR"/>
        </w:rPr>
        <w:t>’</w:t>
      </w:r>
      <w:r w:rsidRPr="003208C5">
        <w:rPr>
          <w:lang w:val="fr-FR"/>
        </w:rPr>
        <w:t>article 14 et de l</w:t>
      </w:r>
      <w:r>
        <w:rPr>
          <w:lang w:val="fr-FR"/>
        </w:rPr>
        <w:t>’</w:t>
      </w:r>
      <w:r w:rsidRPr="003208C5">
        <w:rPr>
          <w:lang w:val="fr-FR"/>
        </w:rPr>
        <w:t>article 26. Il devrait également demander à l</w:t>
      </w:r>
      <w:r>
        <w:rPr>
          <w:lang w:val="fr-FR"/>
        </w:rPr>
        <w:t>’</w:t>
      </w:r>
      <w:r w:rsidRPr="003208C5">
        <w:rPr>
          <w:lang w:val="fr-FR"/>
        </w:rPr>
        <w:t>État partie de respecter le droit à un recours utile énoncé au paragraphe 3 a) de l</w:t>
      </w:r>
      <w:r>
        <w:rPr>
          <w:lang w:val="fr-FR"/>
        </w:rPr>
        <w:t>’</w:t>
      </w:r>
      <w:r w:rsidRPr="003208C5">
        <w:rPr>
          <w:lang w:val="fr-FR"/>
        </w:rPr>
        <w:t>article 2 du Pacte en déclarant que l</w:t>
      </w:r>
      <w:r>
        <w:rPr>
          <w:lang w:val="fr-FR"/>
        </w:rPr>
        <w:t>’</w:t>
      </w:r>
      <w:r w:rsidRPr="003208C5">
        <w:rPr>
          <w:lang w:val="fr-FR"/>
        </w:rPr>
        <w:t xml:space="preserve">auteur a le droit de se pourvoir en cassation et de recevoir une indemnisation. </w:t>
      </w:r>
    </w:p>
    <w:p w:rsidR="00B155DF" w:rsidRPr="00B155DF" w:rsidRDefault="00B155DF" w:rsidP="00B155DF">
      <w:pPr>
        <w:spacing w:after="240"/>
        <w:rPr>
          <w:b/>
          <w:lang w:val="fr-FR"/>
        </w:rPr>
      </w:pPr>
      <w:r w:rsidRPr="00B155DF">
        <w:rPr>
          <w:b/>
          <w:lang w:val="fr-FR"/>
        </w:rPr>
        <w:t>Délibérations du Comité</w:t>
      </w:r>
    </w:p>
    <w:p w:rsidR="00B155DF" w:rsidRPr="003208C5" w:rsidRDefault="00B155DF" w:rsidP="00B155DF">
      <w:pPr>
        <w:spacing w:after="240"/>
        <w:rPr>
          <w:lang w:val="fr-FR"/>
        </w:rPr>
      </w:pPr>
      <w:r>
        <w:rPr>
          <w:lang w:val="fr-FR"/>
        </w:rPr>
        <w:t>4.1</w:t>
      </w:r>
      <w:r>
        <w:rPr>
          <w:lang w:val="fr-FR"/>
        </w:rPr>
        <w:tab/>
      </w:r>
      <w:r w:rsidRPr="003208C5">
        <w:rPr>
          <w:lang w:val="fr-FR"/>
        </w:rPr>
        <w:t>Avant d</w:t>
      </w:r>
      <w:r>
        <w:rPr>
          <w:lang w:val="fr-FR"/>
        </w:rPr>
        <w:t>’</w:t>
      </w:r>
      <w:r w:rsidRPr="003208C5">
        <w:rPr>
          <w:lang w:val="fr-FR"/>
        </w:rPr>
        <w:t>examiner toute plainte soumise dans une communication, le Comité des droits de l</w:t>
      </w:r>
      <w:r>
        <w:rPr>
          <w:lang w:val="fr-FR"/>
        </w:rPr>
        <w:t>’</w:t>
      </w:r>
      <w:r w:rsidRPr="003208C5">
        <w:rPr>
          <w:lang w:val="fr-FR"/>
        </w:rPr>
        <w:t>homme doit, conformément à l</w:t>
      </w:r>
      <w:r>
        <w:rPr>
          <w:lang w:val="fr-FR"/>
        </w:rPr>
        <w:t>’</w:t>
      </w:r>
      <w:r w:rsidRPr="003208C5">
        <w:rPr>
          <w:lang w:val="fr-FR"/>
        </w:rPr>
        <w:t xml:space="preserve">article 93 de son règlement intérieur, déterminer si la communication est recevable en vertu du Protocole facultatif </w:t>
      </w:r>
      <w:r>
        <w:rPr>
          <w:lang w:val="fr-FR"/>
        </w:rPr>
        <w:t>s</w:t>
      </w:r>
      <w:r w:rsidRPr="003208C5">
        <w:rPr>
          <w:lang w:val="fr-FR"/>
        </w:rPr>
        <w:t>e rapportant au Pacte.</w:t>
      </w:r>
    </w:p>
    <w:p w:rsidR="00B155DF" w:rsidRPr="003208C5" w:rsidRDefault="00B155DF" w:rsidP="00B155DF">
      <w:pPr>
        <w:spacing w:after="240"/>
        <w:rPr>
          <w:lang w:val="fr-FR"/>
        </w:rPr>
      </w:pPr>
      <w:r>
        <w:rPr>
          <w:lang w:val="fr-FR"/>
        </w:rPr>
        <w:t>4.2</w:t>
      </w:r>
      <w:r>
        <w:rPr>
          <w:lang w:val="fr-FR"/>
        </w:rPr>
        <w:tab/>
      </w:r>
      <w:r w:rsidRPr="003208C5">
        <w:rPr>
          <w:lang w:val="fr-FR"/>
        </w:rPr>
        <w:t>Le Comité s</w:t>
      </w:r>
      <w:r>
        <w:rPr>
          <w:lang w:val="fr-FR"/>
        </w:rPr>
        <w:t>’</w:t>
      </w:r>
      <w:r w:rsidRPr="003208C5">
        <w:rPr>
          <w:lang w:val="fr-FR"/>
        </w:rPr>
        <w:t>est assuré, comme il est tenu de le faire conformément aux dispositions du paragraphe 2 a) de l</w:t>
      </w:r>
      <w:r>
        <w:rPr>
          <w:lang w:val="fr-FR"/>
        </w:rPr>
        <w:t>’</w:t>
      </w:r>
      <w:r w:rsidRPr="003208C5">
        <w:rPr>
          <w:lang w:val="fr-FR"/>
        </w:rPr>
        <w:t>article 5 du Protocole facultatif, que la même question n</w:t>
      </w:r>
      <w:r>
        <w:rPr>
          <w:lang w:val="fr-FR"/>
        </w:rPr>
        <w:t>’</w:t>
      </w:r>
      <w:r w:rsidRPr="003208C5">
        <w:rPr>
          <w:lang w:val="fr-FR"/>
        </w:rPr>
        <w:t>était pas en cours d</w:t>
      </w:r>
      <w:r>
        <w:rPr>
          <w:lang w:val="fr-FR"/>
        </w:rPr>
        <w:t>’</w:t>
      </w:r>
      <w:r w:rsidRPr="003208C5">
        <w:rPr>
          <w:lang w:val="fr-FR"/>
        </w:rPr>
        <w:t>examen devant une autre instance internationale d</w:t>
      </w:r>
      <w:r>
        <w:rPr>
          <w:lang w:val="fr-FR"/>
        </w:rPr>
        <w:t>’</w:t>
      </w:r>
      <w:r w:rsidRPr="003208C5">
        <w:rPr>
          <w:lang w:val="fr-FR"/>
        </w:rPr>
        <w:t>enquête ou de règlement.</w:t>
      </w:r>
    </w:p>
    <w:p w:rsidR="00B155DF" w:rsidRPr="003208C5" w:rsidRDefault="00B155DF" w:rsidP="00B155DF">
      <w:pPr>
        <w:spacing w:after="240"/>
        <w:rPr>
          <w:lang w:val="fr-FR"/>
        </w:rPr>
      </w:pPr>
      <w:r>
        <w:rPr>
          <w:lang w:val="fr-FR"/>
        </w:rPr>
        <w:t>4.3</w:t>
      </w:r>
      <w:r>
        <w:rPr>
          <w:lang w:val="fr-FR"/>
        </w:rPr>
        <w:tab/>
      </w:r>
      <w:r w:rsidRPr="003208C5">
        <w:rPr>
          <w:lang w:val="fr-FR"/>
        </w:rPr>
        <w:t>Le Comité doit déterminer si l</w:t>
      </w:r>
      <w:r>
        <w:rPr>
          <w:lang w:val="fr-FR"/>
        </w:rPr>
        <w:t>’</w:t>
      </w:r>
      <w:r w:rsidRPr="003208C5">
        <w:rPr>
          <w:lang w:val="fr-FR"/>
        </w:rPr>
        <w:t>État partie a porté atteinte aux droits de l</w:t>
      </w:r>
      <w:r>
        <w:rPr>
          <w:lang w:val="fr-FR"/>
        </w:rPr>
        <w:t>’</w:t>
      </w:r>
      <w:r w:rsidRPr="003208C5">
        <w:rPr>
          <w:lang w:val="fr-FR"/>
        </w:rPr>
        <w:t>auteur en vertu du Pacte parce que le Tribunal suprême n</w:t>
      </w:r>
      <w:r>
        <w:rPr>
          <w:lang w:val="fr-FR"/>
        </w:rPr>
        <w:t>’</w:t>
      </w:r>
      <w:r w:rsidRPr="003208C5">
        <w:rPr>
          <w:lang w:val="fr-FR"/>
        </w:rPr>
        <w:t>a pas accueilli le pourvoi en cassation de ce dernier. Le</w:t>
      </w:r>
      <w:r w:rsidR="00FE7CE4">
        <w:rPr>
          <w:lang w:val="fr-FR"/>
        </w:rPr>
        <w:t> </w:t>
      </w:r>
      <w:r w:rsidRPr="003208C5">
        <w:rPr>
          <w:lang w:val="fr-FR"/>
        </w:rPr>
        <w:t>Comité rappelle sa jurisprudence constante et réaffirme qu</w:t>
      </w:r>
      <w:r>
        <w:rPr>
          <w:lang w:val="fr-FR"/>
        </w:rPr>
        <w:t>’</w:t>
      </w:r>
      <w:r w:rsidRPr="003208C5">
        <w:rPr>
          <w:lang w:val="fr-FR"/>
        </w:rPr>
        <w:t>il n</w:t>
      </w:r>
      <w:r>
        <w:rPr>
          <w:lang w:val="fr-FR"/>
        </w:rPr>
        <w:t>’</w:t>
      </w:r>
      <w:r w:rsidRPr="003208C5">
        <w:rPr>
          <w:lang w:val="fr-FR"/>
        </w:rPr>
        <w:t xml:space="preserve">est pas une </w:t>
      </w:r>
      <w:r>
        <w:rPr>
          <w:lang w:val="fr-FR"/>
        </w:rPr>
        <w:t xml:space="preserve">dernière </w:t>
      </w:r>
      <w:r w:rsidRPr="003208C5">
        <w:rPr>
          <w:lang w:val="fr-FR"/>
        </w:rPr>
        <w:t>instance compétente pour examiner les conclusions de fait ou l</w:t>
      </w:r>
      <w:r>
        <w:rPr>
          <w:lang w:val="fr-FR"/>
        </w:rPr>
        <w:t>’</w:t>
      </w:r>
      <w:r w:rsidRPr="003208C5">
        <w:rPr>
          <w:lang w:val="fr-FR"/>
        </w:rPr>
        <w:t>application de la législation nationale, sauf s</w:t>
      </w:r>
      <w:r>
        <w:rPr>
          <w:lang w:val="fr-FR"/>
        </w:rPr>
        <w:t>’</w:t>
      </w:r>
      <w:r w:rsidRPr="003208C5">
        <w:rPr>
          <w:lang w:val="fr-FR"/>
        </w:rPr>
        <w:t>il peut être établi que les procédures suivies par les juridictions nationales ont été arbitraires ou ont représenté un déni de justice</w:t>
      </w:r>
      <w:r>
        <w:rPr>
          <w:rStyle w:val="FootnoteReference"/>
          <w:lang w:val="fr-FR"/>
        </w:rPr>
        <w:footnoteReference w:id="3"/>
        <w:t>1</w:t>
      </w:r>
      <w:r w:rsidRPr="003208C5">
        <w:rPr>
          <w:lang w:val="fr-FR"/>
        </w:rPr>
        <w:t>. L</w:t>
      </w:r>
      <w:r>
        <w:rPr>
          <w:lang w:val="fr-FR"/>
        </w:rPr>
        <w:t>’</w:t>
      </w:r>
      <w:r w:rsidRPr="003208C5">
        <w:rPr>
          <w:lang w:val="fr-FR"/>
        </w:rPr>
        <w:t>auteur n</w:t>
      </w:r>
      <w:r>
        <w:rPr>
          <w:lang w:val="fr-FR"/>
        </w:rPr>
        <w:t>’</w:t>
      </w:r>
      <w:r w:rsidRPr="003208C5">
        <w:rPr>
          <w:lang w:val="fr-FR"/>
        </w:rPr>
        <w:t>a pas montré, aux fins de la recevabilité, que la conduite du Tribunal avait été arbitraire ou avait constitué un déni de justice. La communication est donc irrecevable en vertu de l</w:t>
      </w:r>
      <w:r>
        <w:rPr>
          <w:lang w:val="fr-FR"/>
        </w:rPr>
        <w:t>’</w:t>
      </w:r>
      <w:r w:rsidRPr="003208C5">
        <w:rPr>
          <w:lang w:val="fr-FR"/>
        </w:rPr>
        <w:t xml:space="preserve">article 2 du Protocole facultatif. </w:t>
      </w:r>
    </w:p>
    <w:p w:rsidR="00B155DF" w:rsidRPr="003208C5" w:rsidRDefault="00B155DF" w:rsidP="007A3053">
      <w:pPr>
        <w:spacing w:after="200"/>
        <w:rPr>
          <w:lang w:val="fr-FR"/>
        </w:rPr>
      </w:pPr>
      <w:r>
        <w:rPr>
          <w:lang w:val="fr-FR"/>
        </w:rPr>
        <w:t>4.4</w:t>
      </w:r>
      <w:r>
        <w:rPr>
          <w:lang w:val="fr-FR"/>
        </w:rPr>
        <w:tab/>
      </w:r>
      <w:r w:rsidRPr="003208C5">
        <w:rPr>
          <w:lang w:val="fr-FR"/>
        </w:rPr>
        <w:t>En conséquence, le Comité décide:</w:t>
      </w:r>
    </w:p>
    <w:p w:rsidR="00B155DF" w:rsidRPr="003208C5" w:rsidRDefault="00B155DF" w:rsidP="007A3053">
      <w:pPr>
        <w:spacing w:after="240"/>
        <w:rPr>
          <w:lang w:val="fr-FR"/>
        </w:rPr>
      </w:pPr>
      <w:r w:rsidRPr="003208C5">
        <w:rPr>
          <w:lang w:val="fr-FR"/>
        </w:rPr>
        <w:tab/>
        <w:t>a)</w:t>
      </w:r>
      <w:r w:rsidRPr="003208C5">
        <w:rPr>
          <w:lang w:val="fr-FR"/>
        </w:rPr>
        <w:tab/>
        <w:t>Que la communication est irrecevable en vertu de l</w:t>
      </w:r>
      <w:r>
        <w:rPr>
          <w:lang w:val="fr-FR"/>
        </w:rPr>
        <w:t>’</w:t>
      </w:r>
      <w:r w:rsidRPr="003208C5">
        <w:rPr>
          <w:lang w:val="fr-FR"/>
        </w:rPr>
        <w:t xml:space="preserve">article 2 du Protocole </w:t>
      </w:r>
      <w:r>
        <w:rPr>
          <w:lang w:val="fr-FR"/>
        </w:rPr>
        <w:t>facultatif</w:t>
      </w:r>
      <w:r w:rsidRPr="003208C5">
        <w:rPr>
          <w:lang w:val="fr-FR"/>
        </w:rPr>
        <w:t>;</w:t>
      </w:r>
    </w:p>
    <w:p w:rsidR="00B155DF" w:rsidRPr="003208C5" w:rsidRDefault="00B155DF" w:rsidP="00B155DF">
      <w:pPr>
        <w:spacing w:after="360"/>
        <w:rPr>
          <w:lang w:val="fr-FR"/>
        </w:rPr>
      </w:pPr>
      <w:r w:rsidRPr="003208C5">
        <w:rPr>
          <w:lang w:val="fr-FR"/>
        </w:rPr>
        <w:tab/>
        <w:t>b)</w:t>
      </w:r>
      <w:r w:rsidRPr="003208C5">
        <w:rPr>
          <w:lang w:val="fr-FR"/>
        </w:rPr>
        <w:tab/>
        <w:t>Que la présente décision sera communiquée à l</w:t>
      </w:r>
      <w:r>
        <w:rPr>
          <w:lang w:val="fr-FR"/>
        </w:rPr>
        <w:t>’</w:t>
      </w:r>
      <w:r w:rsidRPr="003208C5">
        <w:rPr>
          <w:lang w:val="fr-FR"/>
        </w:rPr>
        <w:t>État partie, à l</w:t>
      </w:r>
      <w:r>
        <w:rPr>
          <w:lang w:val="fr-FR"/>
        </w:rPr>
        <w:t>’</w:t>
      </w:r>
      <w:r w:rsidRPr="003208C5">
        <w:rPr>
          <w:lang w:val="fr-FR"/>
        </w:rPr>
        <w:t>auteur et à son conseil.</w:t>
      </w:r>
    </w:p>
    <w:p w:rsidR="00B155DF" w:rsidRDefault="00B155DF" w:rsidP="00B155DF">
      <w:pPr>
        <w:spacing w:after="240"/>
        <w:ind w:firstLine="567"/>
        <w:rPr>
          <w:lang w:val="fr-FR"/>
        </w:rPr>
      </w:pPr>
      <w:r w:rsidRPr="003208C5">
        <w:rPr>
          <w:lang w:val="fr-FR"/>
        </w:rPr>
        <w:t xml:space="preserve">[Adopté en </w:t>
      </w:r>
      <w:r>
        <w:rPr>
          <w:lang w:val="fr-FR"/>
        </w:rPr>
        <w:t>espagnol</w:t>
      </w:r>
      <w:r w:rsidRPr="003208C5">
        <w:rPr>
          <w:lang w:val="fr-FR"/>
        </w:rPr>
        <w:t xml:space="preserve"> (version originale), en </w:t>
      </w:r>
      <w:r>
        <w:rPr>
          <w:lang w:val="fr-FR"/>
        </w:rPr>
        <w:t>anglais</w:t>
      </w:r>
      <w:r w:rsidRPr="003208C5">
        <w:rPr>
          <w:lang w:val="fr-FR"/>
        </w:rPr>
        <w:t xml:space="preserve"> et en français. Paraîtra ultérieurement en arabe, en chinois et en russe dans le rapport annuel du Comité à l</w:t>
      </w:r>
      <w:r>
        <w:rPr>
          <w:lang w:val="fr-FR"/>
        </w:rPr>
        <w:t>’</w:t>
      </w:r>
      <w:r w:rsidRPr="003208C5">
        <w:rPr>
          <w:lang w:val="fr-FR"/>
        </w:rPr>
        <w:t>Assemblée générale.]</w:t>
      </w:r>
    </w:p>
    <w:p w:rsidR="00B155DF" w:rsidRPr="00C656A4" w:rsidRDefault="00B155DF" w:rsidP="00B155DF">
      <w:pPr>
        <w:spacing w:after="240"/>
        <w:jc w:val="center"/>
      </w:pPr>
      <w:bookmarkStart w:id="0" w:name="insstart"/>
      <w:bookmarkEnd w:id="0"/>
      <w:r>
        <w:t>-----</w:t>
      </w:r>
    </w:p>
    <w:sectPr w:rsidR="00B155DF" w:rsidRPr="00C656A4" w:rsidSect="00C044B3">
      <w:headerReference w:type="even" r:id="rId9"/>
      <w:headerReference w:type="default" r:id="rId10"/>
      <w:footerReference w:type="first" r:id="rId11"/>
      <w:pgSz w:w="11906" w:h="16838"/>
      <w:pgMar w:top="1134" w:right="850" w:bottom="1984" w:left="1701" w:header="850" w:footer="170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80" w:rsidRDefault="009E5980">
      <w:r>
        <w:separator/>
      </w:r>
    </w:p>
  </w:endnote>
  <w:endnote w:type="continuationSeparator" w:id="0">
    <w:p w:rsidR="009E5980" w:rsidRDefault="009E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80" w:rsidRDefault="009E5980">
    <w:pPr>
      <w:pStyle w:val="Footer"/>
      <w:spacing w:before="240"/>
    </w:pPr>
    <w:r>
      <w:t>GE.08</w:t>
    </w:r>
    <w:r>
      <w:noBreakHyphen/>
      <w:t>41405  (F)    150508    150508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80" w:rsidRDefault="009E5980">
      <w:r>
        <w:separator/>
      </w:r>
    </w:p>
  </w:footnote>
  <w:footnote w:type="continuationSeparator" w:id="0">
    <w:p w:rsidR="009E5980" w:rsidRDefault="009E5980">
      <w:r>
        <w:continuationSeparator/>
      </w:r>
    </w:p>
  </w:footnote>
  <w:footnote w:id="1">
    <w:p w:rsidR="009E5980" w:rsidRDefault="009E5980">
      <w:pPr>
        <w:pStyle w:val="FootnoteText"/>
        <w:spacing w:after="240"/>
      </w:pPr>
      <w:r>
        <w:rPr>
          <w:rStyle w:val="FootnoteReference"/>
        </w:rPr>
        <w:t>*</w:t>
      </w:r>
      <w:r>
        <w:t xml:space="preserve"> Rendue publique sur décision du Comité des droits de l’homme.</w:t>
      </w:r>
    </w:p>
  </w:footnote>
  <w:footnote w:id="2">
    <w:p w:rsidR="009E5980" w:rsidRDefault="009E5980" w:rsidP="00B155DF">
      <w:pPr>
        <w:pStyle w:val="FootnoteText"/>
        <w:spacing w:after="240"/>
      </w:pPr>
      <w:r>
        <w:rPr>
          <w:rStyle w:val="FootnoteReference"/>
        </w:rPr>
        <w:t>*</w:t>
      </w:r>
      <w:r>
        <w:t xml:space="preserve"> Les membres du Comité dont le nom suit ont participé à l’examen de la communication: M. Abdelfattah Amor, M. Prafullachandra Natwarlal Bhagwati, M</w:t>
      </w:r>
      <w:r w:rsidRPr="00FE7CE4">
        <w:rPr>
          <w:vertAlign w:val="superscript"/>
        </w:rPr>
        <w:t>me</w:t>
      </w:r>
      <w:r>
        <w:t xml:space="preserve"> Christine Chanet, M. Maurice Glèlè Ahanhanzo, M. Yuji Iwasawa, M. Edwin Johnson, M. Walter Kälin, M. Ahmed Tawfik Khalil, M. Rajsoomer Lallah, Mme Zonke Zanele Majodina, M</w:t>
      </w:r>
      <w:r w:rsidRPr="00FE7CE4">
        <w:rPr>
          <w:vertAlign w:val="superscript"/>
        </w:rPr>
        <w:t>me</w:t>
      </w:r>
      <w:r>
        <w:rPr>
          <w:vertAlign w:val="superscript"/>
        </w:rPr>
        <w:t> </w:t>
      </w:r>
      <w:r>
        <w:t>Iulia Antoanella Motoc, M. Michael O’Flaherty, M</w:t>
      </w:r>
      <w:r w:rsidRPr="00FE7CE4">
        <w:rPr>
          <w:vertAlign w:val="superscript"/>
        </w:rPr>
        <w:t>me</w:t>
      </w:r>
      <w:r>
        <w:t xml:space="preserve"> Elisabeth Palm, M. José Luis Pérez Sanchez-Cerro, M. Rafael Rivas Posada, Sir Nigel Rodley, M. Ivan Shearer et M</w:t>
      </w:r>
      <w:r w:rsidRPr="00FE7CE4">
        <w:rPr>
          <w:vertAlign w:val="superscript"/>
        </w:rPr>
        <w:t>me</w:t>
      </w:r>
      <w:r>
        <w:rPr>
          <w:vertAlign w:val="superscript"/>
        </w:rPr>
        <w:t> </w:t>
      </w:r>
      <w:r>
        <w:t>Ruth Wedgwood.</w:t>
      </w:r>
    </w:p>
  </w:footnote>
  <w:footnote w:id="3">
    <w:p w:rsidR="009E5980" w:rsidRPr="000738DE" w:rsidRDefault="009E5980" w:rsidP="00B155DF">
      <w:pPr>
        <w:pStyle w:val="FootnoteText"/>
      </w:pPr>
      <w:r>
        <w:rPr>
          <w:rStyle w:val="FootnoteReference"/>
        </w:rPr>
        <w:t>1</w:t>
      </w:r>
      <w:r>
        <w:t xml:space="preserve"> </w:t>
      </w:r>
      <w:r w:rsidRPr="00C3291F">
        <w:t>Voir communication n</w:t>
      </w:r>
      <w:r w:rsidRPr="00C3291F">
        <w:rPr>
          <w:vertAlign w:val="superscript"/>
        </w:rPr>
        <w:t>o</w:t>
      </w:r>
      <w:r w:rsidRPr="00C3291F">
        <w:t xml:space="preserve"> 541/1993, </w:t>
      </w:r>
      <w:r w:rsidRPr="00C3291F">
        <w:rPr>
          <w:i/>
        </w:rPr>
        <w:t>Errol Simms</w:t>
      </w:r>
      <w:r w:rsidRPr="00C3291F">
        <w:t xml:space="preserve"> c. </w:t>
      </w:r>
      <w:r w:rsidRPr="00C3291F">
        <w:rPr>
          <w:i/>
        </w:rPr>
        <w:t>Jamaïque</w:t>
      </w:r>
      <w:r w:rsidRPr="00C3291F">
        <w:t>, décision du 3 avril 1995, par. 6.2; communication n</w:t>
      </w:r>
      <w:r w:rsidRPr="00C3291F">
        <w:rPr>
          <w:vertAlign w:val="superscript"/>
        </w:rPr>
        <w:t>o</w:t>
      </w:r>
      <w:r w:rsidRPr="00C3291F">
        <w:t xml:space="preserve"> 1138/2002, </w:t>
      </w:r>
      <w:r w:rsidRPr="00C3291F">
        <w:rPr>
          <w:i/>
        </w:rPr>
        <w:t>Arenz et consorts</w:t>
      </w:r>
      <w:r w:rsidRPr="00C3291F">
        <w:t xml:space="preserve"> c. </w:t>
      </w:r>
      <w:r w:rsidRPr="00C3291F">
        <w:rPr>
          <w:i/>
        </w:rPr>
        <w:t>Allemagne</w:t>
      </w:r>
      <w:r w:rsidRPr="00C3291F">
        <w:t>, décision du 24 mars 2004, par.</w:t>
      </w:r>
      <w:r>
        <w:t> </w:t>
      </w:r>
      <w:r w:rsidRPr="00C3291F">
        <w:t>8.6; communication n</w:t>
      </w:r>
      <w:r w:rsidRPr="00C3291F">
        <w:rPr>
          <w:vertAlign w:val="superscript"/>
        </w:rPr>
        <w:t>o</w:t>
      </w:r>
      <w:r w:rsidRPr="00C3291F">
        <w:t xml:space="preserve"> 917/2000, </w:t>
      </w:r>
      <w:r w:rsidRPr="00C3291F">
        <w:rPr>
          <w:i/>
        </w:rPr>
        <w:t>Arutyunyan</w:t>
      </w:r>
      <w:r w:rsidRPr="00C3291F">
        <w:t xml:space="preserve"> c. </w:t>
      </w:r>
      <w:r w:rsidRPr="00C3291F">
        <w:rPr>
          <w:i/>
        </w:rPr>
        <w:t>Ouzbékistan</w:t>
      </w:r>
      <w:r>
        <w:t>, constatations adoptées le 29 </w:t>
      </w:r>
      <w:r w:rsidRPr="00C3291F">
        <w:t>mars 2004, par. 5.7.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80" w:rsidRDefault="009E5980">
    <w:pPr>
      <w:pStyle w:val="Header"/>
    </w:pPr>
    <w:r>
      <w:t>CCPR/C/92/D/1528/2006</w:t>
    </w:r>
  </w:p>
  <w:p w:rsidR="009E5980" w:rsidRDefault="009E5980">
    <w:pPr>
      <w:pStyle w:val="Head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E5980" w:rsidRDefault="009E5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80" w:rsidRDefault="009E5980" w:rsidP="00C044B3">
    <w:pPr>
      <w:pStyle w:val="Header"/>
      <w:tabs>
        <w:tab w:val="clear" w:pos="6804"/>
        <w:tab w:val="left" w:pos="6803"/>
      </w:tabs>
    </w:pPr>
    <w:r>
      <w:tab/>
      <w:t>CCPR/C/92/D/1528/2006</w:t>
    </w:r>
  </w:p>
  <w:p w:rsidR="009E5980" w:rsidRDefault="009E5980" w:rsidP="00C044B3">
    <w:pPr>
      <w:pStyle w:val="Header"/>
      <w:tabs>
        <w:tab w:val="clear" w:pos="6804"/>
        <w:tab w:val="left" w:pos="6803"/>
      </w:tabs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E5980" w:rsidRDefault="009E5980" w:rsidP="00C044B3">
    <w:pPr>
      <w:pStyle w:val="Header"/>
      <w:tabs>
        <w:tab w:val="clear" w:pos="6804"/>
        <w:tab w:val="left" w:pos="68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1AB"/>
    <w:multiLevelType w:val="singleLevel"/>
    <w:tmpl w:val="3D2E8F8C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553"/>
    <w:rsid w:val="0070331B"/>
    <w:rsid w:val="00712E12"/>
    <w:rsid w:val="007A3053"/>
    <w:rsid w:val="00811553"/>
    <w:rsid w:val="00841F6A"/>
    <w:rsid w:val="00927BCB"/>
    <w:rsid w:val="009E5980"/>
    <w:rsid w:val="00A124ED"/>
    <w:rsid w:val="00A65DFD"/>
    <w:rsid w:val="00B155DF"/>
    <w:rsid w:val="00B415E7"/>
    <w:rsid w:val="00C044B3"/>
    <w:rsid w:val="00C46DAD"/>
    <w:rsid w:val="00FE7CE4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rsid w:val="00927BCB"/>
    <w:pPr>
      <w:keepNext/>
      <w:spacing w:after="24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27BCB"/>
    <w:pPr>
      <w:keepNext/>
      <w:spacing w:after="240"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qFormat/>
    <w:rsid w:val="00927BCB"/>
    <w:pPr>
      <w:keepNext/>
      <w:spacing w:after="240"/>
      <w:outlineLvl w:val="2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Header">
    <w:name w:val="header"/>
    <w:basedOn w:val="Normal"/>
    <w:pPr>
      <w:tabs>
        <w:tab w:val="left" w:pos="6804"/>
      </w:tabs>
    </w:p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CCPR-Dec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CCPR-Decision</Template>
  <TotalTime>0</TotalTime>
  <Pages>4</Pages>
  <Words>1300</Words>
  <Characters>7051</Characters>
  <Application>Microsoft Office Word</Application>
  <DocSecurity>4</DocSecurity>
  <Lines>150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CCPR/C/92/D/1528/2006</vt:lpstr>
    </vt:vector>
  </TitlesOfParts>
  <Company>ONU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CCPR/C/92/D/1528/2006</dc:title>
  <dc:subject>final</dc:subject>
  <dc:creator>Adtpsfra</dc:creator>
  <cp:keywords/>
  <dc:description/>
  <cp:lastModifiedBy>Adtpsfra</cp:lastModifiedBy>
  <cp:revision>2</cp:revision>
  <cp:lastPrinted>2008-05-15T15:32:00Z</cp:lastPrinted>
  <dcterms:created xsi:type="dcterms:W3CDTF">2008-05-15T15:33:00Z</dcterms:created>
  <dcterms:modified xsi:type="dcterms:W3CDTF">2008-05-15T15:33:00Z</dcterms:modified>
</cp:coreProperties>
</file>