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bidiVisual/>
        <w:tblW w:w="9631"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CA35DF" w14:paraId="01258AB6" w14:textId="77777777" w:rsidTr="00B456A0">
        <w:trPr>
          <w:trHeight w:hRule="exact" w:val="810"/>
        </w:trPr>
        <w:tc>
          <w:tcPr>
            <w:tcW w:w="1266" w:type="dxa"/>
            <w:tcBorders>
              <w:top w:val="nil"/>
              <w:bottom w:val="single" w:sz="4" w:space="0" w:color="auto"/>
            </w:tcBorders>
            <w:shd w:val="clear" w:color="auto" w:fill="auto"/>
          </w:tcPr>
          <w:p w14:paraId="2D28F744" w14:textId="77777777" w:rsidR="00712059" w:rsidRPr="00CA35DF" w:rsidRDefault="00712059" w:rsidP="00700B12">
            <w:pPr>
              <w:kinsoku w:val="0"/>
              <w:overflowPunct w:val="0"/>
              <w:autoSpaceDE w:val="0"/>
              <w:autoSpaceDN w:val="0"/>
              <w:adjustRightInd w:val="0"/>
              <w:snapToGrid w:val="0"/>
              <w:spacing w:after="80" w:line="480" w:lineRule="exact"/>
              <w:rPr>
                <w:rFonts w:hint="cs"/>
                <w:szCs w:val="40"/>
                <w:rtl/>
              </w:rPr>
            </w:pPr>
          </w:p>
        </w:tc>
        <w:tc>
          <w:tcPr>
            <w:tcW w:w="4767" w:type="dxa"/>
            <w:tcBorders>
              <w:top w:val="nil"/>
              <w:bottom w:val="single" w:sz="4" w:space="0" w:color="auto"/>
            </w:tcBorders>
            <w:shd w:val="clear" w:color="auto" w:fill="auto"/>
            <w:vAlign w:val="bottom"/>
          </w:tcPr>
          <w:p w14:paraId="17A2B8BB" w14:textId="77777777" w:rsidR="006B3E27" w:rsidRPr="00CA35DF" w:rsidRDefault="006B3E27" w:rsidP="00E2697F">
            <w:pPr>
              <w:spacing w:after="80" w:line="480" w:lineRule="exact"/>
              <w:ind w:left="57"/>
              <w:rPr>
                <w:sz w:val="30"/>
                <w:szCs w:val="30"/>
                <w:rtl/>
              </w:rPr>
            </w:pPr>
            <w:r w:rsidRPr="00CA35DF">
              <w:rPr>
                <w:rFonts w:hint="cs"/>
                <w:sz w:val="30"/>
                <w:szCs w:val="30"/>
                <w:rtl/>
              </w:rPr>
              <w:t>الأمم المتحدة</w:t>
            </w:r>
          </w:p>
        </w:tc>
        <w:tc>
          <w:tcPr>
            <w:tcW w:w="3598" w:type="dxa"/>
            <w:tcBorders>
              <w:top w:val="nil"/>
              <w:bottom w:val="single" w:sz="4" w:space="0" w:color="auto"/>
            </w:tcBorders>
            <w:shd w:val="clear" w:color="auto" w:fill="auto"/>
            <w:vAlign w:val="bottom"/>
          </w:tcPr>
          <w:p w14:paraId="5895AD48" w14:textId="62E3D0AC" w:rsidR="006B3E27" w:rsidRPr="00B357EC" w:rsidRDefault="00B357EC" w:rsidP="00B357EC">
            <w:pPr>
              <w:bidi w:val="0"/>
              <w:rPr>
                <w:szCs w:val="20"/>
              </w:rPr>
            </w:pPr>
            <w:r w:rsidRPr="002302AD">
              <w:rPr>
                <w:sz w:val="40"/>
                <w:szCs w:val="20"/>
              </w:rPr>
              <w:t>CAT</w:t>
            </w:r>
            <w:r w:rsidRPr="002302AD">
              <w:rPr>
                <w:szCs w:val="20"/>
              </w:rPr>
              <w:t>/C/SAU/QPR/</w:t>
            </w:r>
            <w:r w:rsidRPr="00995CF3">
              <w:rPr>
                <w:szCs w:val="20"/>
              </w:rPr>
              <w:t>3</w:t>
            </w:r>
          </w:p>
        </w:tc>
      </w:tr>
      <w:tr w:rsidR="006B3E27" w:rsidRPr="00CA35DF" w14:paraId="6B4D24AB" w14:textId="77777777" w:rsidTr="00B456A0">
        <w:trPr>
          <w:trHeight w:hRule="exact" w:val="2835"/>
        </w:trPr>
        <w:tc>
          <w:tcPr>
            <w:tcW w:w="1266" w:type="dxa"/>
            <w:tcBorders>
              <w:top w:val="nil"/>
              <w:bottom w:val="single" w:sz="12" w:space="0" w:color="auto"/>
            </w:tcBorders>
            <w:shd w:val="clear" w:color="auto" w:fill="auto"/>
          </w:tcPr>
          <w:p w14:paraId="18471CA5" w14:textId="77777777" w:rsidR="006B3E27" w:rsidRPr="00CA35DF" w:rsidRDefault="00261289" w:rsidP="00CA35DF">
            <w:pPr>
              <w:jc w:val="center"/>
              <w:rPr>
                <w:rtl/>
              </w:rPr>
            </w:pPr>
            <w:r w:rsidRPr="00CA35DF">
              <w:rPr>
                <w:noProof/>
                <w:rtl/>
              </w:rPr>
              <w:drawing>
                <wp:inline distT="0" distB="0" distL="0" distR="0" wp14:anchorId="3E0A5F52" wp14:editId="2EF7A176">
                  <wp:extent cx="629920" cy="611505"/>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9920" cy="611505"/>
                          </a:xfrm>
                          <a:prstGeom prst="rect">
                            <a:avLst/>
                          </a:prstGeom>
                          <a:noFill/>
                        </pic:spPr>
                      </pic:pic>
                    </a:graphicData>
                  </a:graphic>
                </wp:inline>
              </w:drawing>
            </w:r>
          </w:p>
        </w:tc>
        <w:tc>
          <w:tcPr>
            <w:tcW w:w="4767" w:type="dxa"/>
            <w:tcBorders>
              <w:top w:val="nil"/>
              <w:bottom w:val="single" w:sz="12" w:space="0" w:color="auto"/>
            </w:tcBorders>
            <w:shd w:val="clear" w:color="auto" w:fill="auto"/>
          </w:tcPr>
          <w:p w14:paraId="7B22A614" w14:textId="77777777" w:rsidR="00A67AF5" w:rsidRPr="00995CF3" w:rsidRDefault="00817373" w:rsidP="00D3653E">
            <w:pPr>
              <w:spacing w:before="120" w:after="40" w:line="580" w:lineRule="exact"/>
              <w:ind w:left="57"/>
              <w:rPr>
                <w:b/>
                <w:bCs/>
                <w:sz w:val="42"/>
                <w:szCs w:val="42"/>
              </w:rPr>
            </w:pPr>
            <w:r w:rsidRPr="00995CF3">
              <w:rPr>
                <w:rFonts w:hint="cs"/>
                <w:b/>
                <w:bCs/>
                <w:sz w:val="42"/>
                <w:szCs w:val="4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shd w:val="clear" w:color="auto" w:fill="auto"/>
          </w:tcPr>
          <w:p w14:paraId="40D0A52B" w14:textId="77777777" w:rsidR="00624DE8" w:rsidRPr="002C01CE" w:rsidRDefault="00624DE8" w:rsidP="00624DE8">
            <w:pPr>
              <w:bidi w:val="0"/>
              <w:spacing w:before="240" w:line="240" w:lineRule="exact"/>
              <w:jc w:val="left"/>
              <w:rPr>
                <w:rFonts w:eastAsia="Times New Roman" w:cs="Times New Roman"/>
                <w:lang w:val="en-GB"/>
              </w:rPr>
            </w:pPr>
            <w:r w:rsidRPr="002C01CE">
              <w:rPr>
                <w:rFonts w:eastAsia="Times New Roman" w:cs="Times New Roman"/>
                <w:lang w:val="en-GB"/>
              </w:rPr>
              <w:t>Distr.: General</w:t>
            </w:r>
          </w:p>
          <w:p w14:paraId="1F5D3678" w14:textId="77777777" w:rsidR="00624DE8" w:rsidRPr="00583037" w:rsidRDefault="00624DE8" w:rsidP="00624DE8">
            <w:pPr>
              <w:bidi w:val="0"/>
              <w:jc w:val="left"/>
              <w:rPr>
                <w:rFonts w:eastAsia="Times New Roman" w:cs="Times New Roman"/>
              </w:rPr>
            </w:pPr>
            <w:r w:rsidRPr="00995CF3">
              <w:rPr>
                <w:rFonts w:eastAsia="Times New Roman" w:cs="Times New Roman"/>
                <w:lang w:val="en-GB"/>
              </w:rPr>
              <w:t>5</w:t>
            </w:r>
            <w:r w:rsidRPr="002C01CE">
              <w:rPr>
                <w:rFonts w:eastAsia="Times New Roman" w:cs="Times New Roman"/>
                <w:lang w:val="en-GB"/>
              </w:rPr>
              <w:t xml:space="preserve"> January </w:t>
            </w:r>
            <w:r w:rsidRPr="00995CF3">
              <w:rPr>
                <w:rFonts w:eastAsia="Times New Roman" w:cs="Times New Roman"/>
                <w:lang w:val="en-GB"/>
              </w:rPr>
              <w:t>2022</w:t>
            </w:r>
          </w:p>
          <w:p w14:paraId="55FF56E2" w14:textId="77777777" w:rsidR="00624DE8" w:rsidRPr="002C01CE" w:rsidRDefault="00624DE8" w:rsidP="00624DE8">
            <w:pPr>
              <w:bidi w:val="0"/>
              <w:jc w:val="left"/>
              <w:rPr>
                <w:rFonts w:eastAsia="Times New Roman" w:cs="Times New Roman"/>
                <w:lang w:val="en-GB"/>
              </w:rPr>
            </w:pPr>
            <w:r>
              <w:rPr>
                <w:rFonts w:eastAsia="Times New Roman" w:cs="Times New Roman"/>
                <w:lang w:val="en-GB"/>
              </w:rPr>
              <w:t>Arabic</w:t>
            </w:r>
          </w:p>
          <w:p w14:paraId="3FB50C45" w14:textId="77777777" w:rsidR="00624DE8" w:rsidRPr="002C01CE" w:rsidRDefault="00624DE8" w:rsidP="00624DE8">
            <w:pPr>
              <w:bidi w:val="0"/>
              <w:jc w:val="left"/>
              <w:rPr>
                <w:rFonts w:eastAsia="Times New Roman" w:cs="Times New Roman"/>
                <w:lang w:val="en-GB"/>
              </w:rPr>
            </w:pPr>
            <w:r w:rsidRPr="002C01CE">
              <w:rPr>
                <w:rFonts w:eastAsia="Times New Roman" w:cs="Times New Roman"/>
                <w:lang w:val="en-GB"/>
              </w:rPr>
              <w:t>Original: English</w:t>
            </w:r>
          </w:p>
          <w:p w14:paraId="7B4A452F" w14:textId="1FA489B0" w:rsidR="00B357EC" w:rsidRPr="00624DE8" w:rsidRDefault="00624DE8" w:rsidP="00710402">
            <w:pPr>
              <w:bidi w:val="0"/>
              <w:spacing w:line="240" w:lineRule="exact"/>
              <w:ind w:right="794"/>
              <w:jc w:val="left"/>
              <w:rPr>
                <w:szCs w:val="20"/>
              </w:rPr>
            </w:pPr>
            <w:r w:rsidRPr="002C01CE">
              <w:rPr>
                <w:rFonts w:eastAsia="Times New Roman" w:cs="Times New Roman"/>
                <w:lang w:val="en-GB"/>
              </w:rPr>
              <w:t xml:space="preserve">Arabic, English, </w:t>
            </w:r>
            <w:proofErr w:type="gramStart"/>
            <w:r w:rsidRPr="002C01CE">
              <w:rPr>
                <w:rFonts w:eastAsia="Times New Roman" w:cs="Times New Roman"/>
                <w:lang w:val="en-GB"/>
              </w:rPr>
              <w:t>French</w:t>
            </w:r>
            <w:proofErr w:type="gramEnd"/>
            <w:r w:rsidRPr="002C01CE">
              <w:rPr>
                <w:rFonts w:eastAsia="Times New Roman" w:cs="Times New Roman"/>
                <w:lang w:val="en-GB"/>
              </w:rPr>
              <w:t xml:space="preserve"> and Spanish only</w:t>
            </w:r>
          </w:p>
        </w:tc>
      </w:tr>
    </w:tbl>
    <w:p w14:paraId="7290ACB5" w14:textId="77777777" w:rsidR="00E609CB" w:rsidRPr="00995CF3" w:rsidRDefault="00E609CB" w:rsidP="00E609CB">
      <w:pPr>
        <w:pStyle w:val="SingleTxtGA"/>
        <w:spacing w:before="120" w:after="0"/>
        <w:ind w:left="0"/>
        <w:rPr>
          <w:b/>
          <w:bCs/>
          <w:sz w:val="26"/>
          <w:szCs w:val="26"/>
        </w:rPr>
      </w:pPr>
      <w:r w:rsidRPr="00995CF3">
        <w:rPr>
          <w:b/>
          <w:bCs/>
          <w:sz w:val="26"/>
          <w:szCs w:val="26"/>
          <w:rtl/>
        </w:rPr>
        <w:t>لجنة مناهضة التعذيب</w:t>
      </w:r>
    </w:p>
    <w:p w14:paraId="333E9C42" w14:textId="77777777" w:rsidR="00E609CB" w:rsidRPr="00995CF3" w:rsidRDefault="00E609CB" w:rsidP="00A43F64">
      <w:pPr>
        <w:pStyle w:val="HChGA"/>
        <w:spacing w:before="300" w:after="200" w:line="400" w:lineRule="exact"/>
        <w:rPr>
          <w:rFonts w:hint="cs"/>
          <w:rtl/>
        </w:rPr>
      </w:pPr>
      <w:r w:rsidRPr="00995CF3">
        <w:rPr>
          <w:rtl/>
        </w:rPr>
        <w:tab/>
      </w:r>
      <w:r w:rsidRPr="00995CF3">
        <w:rPr>
          <w:rtl/>
        </w:rPr>
        <w:tab/>
        <w:t>قائمة المسائل المحالة قبل تقديم التقرير الدوري الثالث للمملكة العربية السعودية</w:t>
      </w:r>
      <w:r w:rsidRPr="00995CF3">
        <w:rPr>
          <w:rStyle w:val="FootnoteReference"/>
          <w:rFonts w:ascii="Times New Roman Bold" w:hAnsi="Times New Roman Bold"/>
          <w:spacing w:val="-8"/>
          <w:sz w:val="28"/>
          <w:szCs w:val="26"/>
          <w:vertAlign w:val="baseline"/>
          <w:rtl/>
        </w:rPr>
        <w:footnoteReference w:customMarkFollows="1" w:id="1"/>
        <w:t>*</w:t>
      </w:r>
    </w:p>
    <w:p w14:paraId="03FD573D" w14:textId="14E7ABE8" w:rsidR="00E609CB" w:rsidRPr="00995CF3" w:rsidRDefault="00E609CB" w:rsidP="00A43F64">
      <w:pPr>
        <w:pStyle w:val="H1GA"/>
        <w:spacing w:before="200" w:after="200" w:line="380" w:lineRule="exact"/>
      </w:pPr>
      <w:r w:rsidRPr="00995CF3">
        <w:rPr>
          <w:rtl/>
        </w:rPr>
        <w:tab/>
      </w:r>
      <w:r w:rsidRPr="00995CF3">
        <w:rPr>
          <w:rtl/>
        </w:rPr>
        <w:tab/>
        <w:t>معلومات محددة عن تنفيذ المواد من 1 إلى 16 من الاتفاقية</w:t>
      </w:r>
      <w:r w:rsidR="002302AD" w:rsidRPr="00995CF3">
        <w:rPr>
          <w:rtl/>
        </w:rPr>
        <w:t>،</w:t>
      </w:r>
      <w:r w:rsidRPr="00995CF3">
        <w:rPr>
          <w:rtl/>
        </w:rPr>
        <w:t xml:space="preserve"> بما في ذلك المعلومات المتعلقة بالتوصيات السابقة للجنة</w:t>
      </w:r>
    </w:p>
    <w:p w14:paraId="290868AC" w14:textId="77777777" w:rsidR="00E609CB" w:rsidRPr="00995CF3" w:rsidRDefault="00E609CB" w:rsidP="00A43F64">
      <w:pPr>
        <w:pStyle w:val="H23GA"/>
        <w:spacing w:before="200" w:line="360" w:lineRule="exact"/>
      </w:pPr>
      <w:r w:rsidRPr="00995CF3">
        <w:rPr>
          <w:rtl/>
        </w:rPr>
        <w:tab/>
      </w:r>
      <w:r w:rsidRPr="00995CF3">
        <w:rPr>
          <w:rtl/>
        </w:rPr>
        <w:tab/>
        <w:t>المسائل المحددة للمتابعة في الملاحظات الختامية السابقة</w:t>
      </w:r>
    </w:p>
    <w:p w14:paraId="42A45A16" w14:textId="5B9C9967" w:rsidR="00E609CB" w:rsidRPr="007F34D8" w:rsidRDefault="00E609CB" w:rsidP="00A43F64">
      <w:pPr>
        <w:pStyle w:val="SingleTxtGA"/>
        <w:spacing w:line="340" w:lineRule="exact"/>
        <w:rPr>
          <w:lang w:val="en-US"/>
        </w:rPr>
      </w:pPr>
      <w:r w:rsidRPr="00995CF3">
        <w:rPr>
          <w:rtl/>
          <w:lang w:val="en-US"/>
        </w:rPr>
        <w:t>1</w:t>
      </w:r>
      <w:r w:rsidRPr="007F34D8">
        <w:rPr>
          <w:rtl/>
          <w:lang w:val="en-US"/>
        </w:rPr>
        <w:t>-</w:t>
      </w:r>
      <w:r w:rsidRPr="007F34D8">
        <w:rPr>
          <w:rtl/>
          <w:lang w:val="en-US"/>
        </w:rPr>
        <w:tab/>
        <w:t xml:space="preserve">طلبت اللجنة في ملاحظاتها الختامية السابقة إلى الدولة الطرف أن تقدم معلومات عن متابعة </w:t>
      </w:r>
      <w:proofErr w:type="gramStart"/>
      <w:r w:rsidRPr="007F34D8">
        <w:rPr>
          <w:rtl/>
          <w:lang w:val="en-US"/>
        </w:rPr>
        <w:t>توصياتها</w:t>
      </w:r>
      <w:r w:rsidR="00A43F64" w:rsidRPr="002C01CE">
        <w:rPr>
          <w:vertAlign w:val="superscript"/>
          <w:rtl/>
          <w:lang w:val="en-US"/>
        </w:rPr>
        <w:t>(</w:t>
      </w:r>
      <w:proofErr w:type="gramEnd"/>
      <w:r w:rsidR="00A43F64" w:rsidRPr="00995CF3">
        <w:rPr>
          <w:rStyle w:val="FootnoteReference"/>
          <w:szCs w:val="22"/>
          <w:lang w:val="en-US"/>
        </w:rPr>
        <w:footnoteReference w:id="2"/>
      </w:r>
      <w:r w:rsidR="00A43F64" w:rsidRPr="002C01CE">
        <w:rPr>
          <w:vertAlign w:val="superscript"/>
          <w:rtl/>
          <w:lang w:val="en-US"/>
        </w:rPr>
        <w:t>)</w:t>
      </w:r>
      <w:r w:rsidRPr="007F34D8">
        <w:rPr>
          <w:rtl/>
          <w:lang w:val="en-US"/>
        </w:rPr>
        <w:t xml:space="preserve"> بشأن العقوبة البدنية</w:t>
      </w:r>
      <w:r w:rsidR="002302AD">
        <w:rPr>
          <w:rtl/>
          <w:lang w:val="en-US"/>
        </w:rPr>
        <w:t>،</w:t>
      </w:r>
      <w:r w:rsidRPr="007F34D8">
        <w:rPr>
          <w:rtl/>
          <w:lang w:val="en-US"/>
        </w:rPr>
        <w:t xml:space="preserve"> بما في ذلك في حالة رائف بدوي</w:t>
      </w:r>
      <w:r w:rsidR="002302AD">
        <w:rPr>
          <w:rtl/>
          <w:lang w:val="en-US"/>
        </w:rPr>
        <w:t>،</w:t>
      </w:r>
      <w:r w:rsidRPr="007F34D8">
        <w:rPr>
          <w:rtl/>
          <w:lang w:val="en-US"/>
        </w:rPr>
        <w:t xml:space="preserve"> والأعمال الانتقامية ضد المدافعين عن حقوق الإنسان والصحفيين</w:t>
      </w:r>
      <w:r w:rsidR="002302AD">
        <w:rPr>
          <w:rtl/>
          <w:lang w:val="en-US"/>
        </w:rPr>
        <w:t>،</w:t>
      </w:r>
      <w:r w:rsidRPr="007F34D8">
        <w:rPr>
          <w:rtl/>
          <w:lang w:val="en-US"/>
        </w:rPr>
        <w:t xml:space="preserve"> وعقوبة الإعدام</w:t>
      </w:r>
      <w:r w:rsidRPr="002C01CE">
        <w:rPr>
          <w:vertAlign w:val="superscript"/>
          <w:rtl/>
          <w:lang w:val="en-US"/>
        </w:rPr>
        <w:t>(</w:t>
      </w:r>
      <w:r w:rsidRPr="00995CF3">
        <w:rPr>
          <w:rStyle w:val="FootnoteReference"/>
          <w:szCs w:val="22"/>
          <w:lang w:val="en-US"/>
        </w:rPr>
        <w:footnoteReference w:id="3"/>
      </w:r>
      <w:r w:rsidRPr="002C01CE">
        <w:rPr>
          <w:vertAlign w:val="superscript"/>
          <w:rtl/>
          <w:lang w:val="en-US"/>
        </w:rPr>
        <w:t>)</w:t>
      </w:r>
      <w:r>
        <w:rPr>
          <w:rtl/>
          <w:lang w:val="en-US"/>
        </w:rPr>
        <w:t>.</w:t>
      </w:r>
      <w:r w:rsidRPr="007F34D8">
        <w:rPr>
          <w:rtl/>
          <w:lang w:val="en-US"/>
        </w:rPr>
        <w:t xml:space="preserve"> وإذ تلاحظ اللجنة أن الردود المقدمة استجابة لطلبها معلومات وردت في </w:t>
      </w:r>
      <w:r w:rsidRPr="00995CF3">
        <w:rPr>
          <w:rtl/>
          <w:lang w:val="en-US"/>
        </w:rPr>
        <w:t>11</w:t>
      </w:r>
      <w:r w:rsidRPr="007F34D8">
        <w:rPr>
          <w:rtl/>
          <w:lang w:val="en-US"/>
        </w:rPr>
        <w:t xml:space="preserve"> أيار/مايو </w:t>
      </w:r>
      <w:r w:rsidRPr="00995CF3">
        <w:rPr>
          <w:rtl/>
          <w:lang w:val="en-US"/>
        </w:rPr>
        <w:t>2017</w:t>
      </w:r>
      <w:r w:rsidR="002302AD">
        <w:rPr>
          <w:rtl/>
          <w:lang w:val="en-US"/>
        </w:rPr>
        <w:t>،</w:t>
      </w:r>
      <w:r w:rsidRPr="007F34D8">
        <w:rPr>
          <w:rtl/>
          <w:lang w:val="en-US"/>
        </w:rPr>
        <w:t xml:space="preserve"> وإذ تشير إلى الرسالة التي وجهها</w:t>
      </w:r>
      <w:r w:rsidR="002302AD">
        <w:rPr>
          <w:rtl/>
          <w:lang w:val="en-US"/>
        </w:rPr>
        <w:t>،</w:t>
      </w:r>
      <w:r w:rsidRPr="007F34D8">
        <w:rPr>
          <w:rtl/>
          <w:lang w:val="en-US"/>
        </w:rPr>
        <w:t xml:space="preserve"> في </w:t>
      </w:r>
      <w:r w:rsidRPr="00995CF3">
        <w:rPr>
          <w:rtl/>
          <w:lang w:val="en-US"/>
        </w:rPr>
        <w:t>4</w:t>
      </w:r>
      <w:r w:rsidRPr="007F34D8">
        <w:rPr>
          <w:rtl/>
          <w:lang w:val="en-US"/>
        </w:rPr>
        <w:t xml:space="preserve"> حزيران/يونيه </w:t>
      </w:r>
      <w:r w:rsidRPr="00995CF3">
        <w:rPr>
          <w:rtl/>
          <w:lang w:val="en-US"/>
        </w:rPr>
        <w:t>2019</w:t>
      </w:r>
      <w:r w:rsidR="002302AD">
        <w:rPr>
          <w:rtl/>
          <w:lang w:val="en-US"/>
        </w:rPr>
        <w:t>،</w:t>
      </w:r>
      <w:r w:rsidRPr="007F34D8">
        <w:rPr>
          <w:rtl/>
          <w:lang w:val="en-US"/>
        </w:rPr>
        <w:t xml:space="preserve"> </w:t>
      </w:r>
      <w:r w:rsidRPr="00A43F64">
        <w:rPr>
          <w:spacing w:val="-4"/>
          <w:rtl/>
          <w:lang w:val="en-US"/>
        </w:rPr>
        <w:t>مقرر اللجنة المعني بمتابعة الملاحظات الختامية</w:t>
      </w:r>
      <w:r w:rsidR="002302AD">
        <w:rPr>
          <w:spacing w:val="-4"/>
          <w:rtl/>
          <w:lang w:val="en-US"/>
        </w:rPr>
        <w:t>،</w:t>
      </w:r>
      <w:r w:rsidRPr="00A43F64">
        <w:rPr>
          <w:spacing w:val="-4"/>
          <w:rtl/>
          <w:lang w:val="en-US"/>
        </w:rPr>
        <w:t xml:space="preserve"> وطلب فيها </w:t>
      </w:r>
      <w:r w:rsidR="002302AD">
        <w:rPr>
          <w:spacing w:val="-4"/>
          <w:rtl/>
          <w:lang w:val="en-US"/>
        </w:rPr>
        <w:t xml:space="preserve">أيضاً </w:t>
      </w:r>
      <w:r w:rsidRPr="00A43F64">
        <w:rPr>
          <w:spacing w:val="-4"/>
          <w:rtl/>
          <w:lang w:val="en-US"/>
        </w:rPr>
        <w:t>تقديم معلومات عن أعمال القتل والاحتجاز</w:t>
      </w:r>
      <w:r w:rsidRPr="007F34D8">
        <w:rPr>
          <w:rtl/>
          <w:lang w:val="en-US"/>
        </w:rPr>
        <w:t xml:space="preserve"> </w:t>
      </w:r>
      <w:r w:rsidRPr="00A43F64">
        <w:rPr>
          <w:spacing w:val="-4"/>
          <w:rtl/>
          <w:lang w:val="en-US"/>
        </w:rPr>
        <w:t>والتعذيب التي استهدفت مدافعين عن حقوق الإنسان وصحفيين ومعارضين الآخرين</w:t>
      </w:r>
      <w:r w:rsidR="002302AD">
        <w:rPr>
          <w:spacing w:val="-4"/>
          <w:rtl/>
          <w:lang w:val="en-US"/>
        </w:rPr>
        <w:t>،</w:t>
      </w:r>
      <w:r w:rsidRPr="00A43F64">
        <w:rPr>
          <w:spacing w:val="-4"/>
          <w:rtl/>
          <w:lang w:val="en-US"/>
        </w:rPr>
        <w:t xml:space="preserve"> ترى اللجنة أن التوصيات</w:t>
      </w:r>
      <w:r w:rsidRPr="007F34D8">
        <w:rPr>
          <w:rtl/>
          <w:lang w:val="en-US"/>
        </w:rPr>
        <w:t xml:space="preserve"> </w:t>
      </w:r>
      <w:r w:rsidRPr="00A43F64">
        <w:rPr>
          <w:spacing w:val="-4"/>
          <w:rtl/>
          <w:lang w:val="en-US"/>
        </w:rPr>
        <w:t xml:space="preserve">الواردة في الفقرات </w:t>
      </w:r>
      <w:r w:rsidRPr="00995CF3">
        <w:rPr>
          <w:spacing w:val="-4"/>
          <w:rtl/>
          <w:lang w:val="en-US"/>
        </w:rPr>
        <w:t>12</w:t>
      </w:r>
      <w:r w:rsidRPr="00A43F64">
        <w:rPr>
          <w:spacing w:val="-4"/>
          <w:rtl/>
          <w:lang w:val="en-US"/>
        </w:rPr>
        <w:t xml:space="preserve"> و</w:t>
      </w:r>
      <w:r w:rsidRPr="00995CF3">
        <w:rPr>
          <w:spacing w:val="-4"/>
          <w:rtl/>
          <w:lang w:val="en-US"/>
        </w:rPr>
        <w:t>13</w:t>
      </w:r>
      <w:r w:rsidRPr="00A43F64">
        <w:rPr>
          <w:spacing w:val="-4"/>
          <w:rtl/>
          <w:lang w:val="en-US"/>
        </w:rPr>
        <w:t xml:space="preserve"> و</w:t>
      </w:r>
      <w:r w:rsidRPr="00995CF3">
        <w:rPr>
          <w:spacing w:val="-4"/>
          <w:rtl/>
          <w:lang w:val="en-US"/>
        </w:rPr>
        <w:t>19</w:t>
      </w:r>
      <w:r w:rsidR="00A43F64" w:rsidRPr="00A43F64">
        <w:rPr>
          <w:rFonts w:hint="cs"/>
          <w:spacing w:val="-4"/>
          <w:rtl/>
          <w:lang w:val="en-US"/>
        </w:rPr>
        <w:t xml:space="preserve"> </w:t>
      </w:r>
      <w:r w:rsidRPr="00A43F64">
        <w:rPr>
          <w:spacing w:val="-4"/>
          <w:rtl/>
          <w:lang w:val="en-US"/>
        </w:rPr>
        <w:t>و</w:t>
      </w:r>
      <w:r w:rsidRPr="00995CF3">
        <w:rPr>
          <w:spacing w:val="-4"/>
          <w:rtl/>
          <w:lang w:val="en-US"/>
        </w:rPr>
        <w:t>20</w:t>
      </w:r>
      <w:r w:rsidRPr="00A43F64">
        <w:rPr>
          <w:spacing w:val="-4"/>
          <w:rtl/>
          <w:lang w:val="en-US"/>
        </w:rPr>
        <w:t xml:space="preserve"> من الملاحظات الختامية السابقة لم تُنفَّذ </w:t>
      </w:r>
      <w:proofErr w:type="gramStart"/>
      <w:r w:rsidRPr="00A43F64">
        <w:rPr>
          <w:spacing w:val="-4"/>
          <w:rtl/>
          <w:lang w:val="en-US"/>
        </w:rPr>
        <w:t>بعد</w:t>
      </w:r>
      <w:r w:rsidRPr="002C01CE">
        <w:rPr>
          <w:vertAlign w:val="superscript"/>
          <w:rtl/>
          <w:lang w:val="en-US"/>
        </w:rPr>
        <w:t>(</w:t>
      </w:r>
      <w:proofErr w:type="gramEnd"/>
      <w:r w:rsidRPr="00995CF3">
        <w:rPr>
          <w:rStyle w:val="FootnoteReference"/>
          <w:szCs w:val="22"/>
          <w:lang w:val="en-US"/>
        </w:rPr>
        <w:footnoteReference w:id="4"/>
      </w:r>
      <w:r w:rsidRPr="002C01CE">
        <w:rPr>
          <w:vertAlign w:val="superscript"/>
          <w:rtl/>
          <w:lang w:val="en-US"/>
        </w:rPr>
        <w:t>)</w:t>
      </w:r>
      <w:r w:rsidRPr="007F34D8">
        <w:rPr>
          <w:rtl/>
          <w:lang w:val="en-US"/>
        </w:rPr>
        <w:t xml:space="preserve">. وأن التوصيات الواردة في الفقرات </w:t>
      </w:r>
      <w:r w:rsidRPr="00995CF3">
        <w:rPr>
          <w:rtl/>
          <w:lang w:val="en-US"/>
        </w:rPr>
        <w:t>10</w:t>
      </w:r>
      <w:r w:rsidRPr="007F34D8">
        <w:rPr>
          <w:rtl/>
          <w:lang w:val="en-US"/>
        </w:rPr>
        <w:t xml:space="preserve"> و</w:t>
      </w:r>
      <w:r w:rsidRPr="00995CF3">
        <w:rPr>
          <w:rtl/>
          <w:lang w:val="en-US"/>
        </w:rPr>
        <w:t>11</w:t>
      </w:r>
      <w:r w:rsidRPr="007F34D8">
        <w:rPr>
          <w:rtl/>
          <w:lang w:val="en-US"/>
        </w:rPr>
        <w:t xml:space="preserve"> و</w:t>
      </w:r>
      <w:r w:rsidRPr="00995CF3">
        <w:rPr>
          <w:rtl/>
          <w:lang w:val="en-US"/>
        </w:rPr>
        <w:t>42</w:t>
      </w:r>
      <w:r w:rsidRPr="007F34D8">
        <w:rPr>
          <w:rtl/>
          <w:lang w:val="en-US"/>
        </w:rPr>
        <w:t xml:space="preserve"> و</w:t>
      </w:r>
      <w:r w:rsidRPr="00995CF3">
        <w:rPr>
          <w:rtl/>
          <w:lang w:val="en-US"/>
        </w:rPr>
        <w:t>43</w:t>
      </w:r>
      <w:r w:rsidRPr="007F34D8">
        <w:rPr>
          <w:rtl/>
          <w:lang w:val="en-US"/>
        </w:rPr>
        <w:t xml:space="preserve"> قد نفذت جزئي</w:t>
      </w:r>
      <w:r w:rsidR="007C38B3">
        <w:rPr>
          <w:rtl/>
          <w:lang w:val="en-US"/>
        </w:rPr>
        <w:t>اً.</w:t>
      </w:r>
    </w:p>
    <w:p w14:paraId="3620E266" w14:textId="77777777" w:rsidR="00E609CB" w:rsidRPr="00995CF3" w:rsidRDefault="00E609CB" w:rsidP="00A43F64">
      <w:pPr>
        <w:pStyle w:val="H23GA"/>
        <w:spacing w:before="200" w:line="360" w:lineRule="exact"/>
      </w:pPr>
      <w:r w:rsidRPr="00995CF3">
        <w:rPr>
          <w:rtl/>
        </w:rPr>
        <w:tab/>
      </w:r>
      <w:r w:rsidRPr="00995CF3">
        <w:rPr>
          <w:rtl/>
        </w:rPr>
        <w:tab/>
        <w:t xml:space="preserve">المادتان 1 و4 </w:t>
      </w:r>
    </w:p>
    <w:p w14:paraId="269A25D1" w14:textId="5923BCFC" w:rsidR="00E609CB" w:rsidRPr="007F34D8" w:rsidRDefault="00E609CB" w:rsidP="00A43F64">
      <w:pPr>
        <w:pStyle w:val="SingleTxtGA"/>
        <w:spacing w:line="340" w:lineRule="exact"/>
        <w:rPr>
          <w:lang w:val="en-US"/>
        </w:rPr>
      </w:pPr>
      <w:r w:rsidRPr="00995CF3">
        <w:rPr>
          <w:rtl/>
          <w:lang w:val="en-US"/>
        </w:rPr>
        <w:t>2</w:t>
      </w:r>
      <w:r w:rsidRPr="007F34D8">
        <w:rPr>
          <w:rtl/>
          <w:lang w:val="en-US"/>
        </w:rPr>
        <w:t>-</w:t>
      </w:r>
      <w:r w:rsidRPr="007F34D8">
        <w:rPr>
          <w:rtl/>
          <w:lang w:val="en-US"/>
        </w:rPr>
        <w:tab/>
        <w:t>فيما يخص الملاحظات الختامية السابقة للجنة</w:t>
      </w:r>
      <w:r w:rsidR="002302AD">
        <w:rPr>
          <w:rtl/>
          <w:lang w:val="en-US"/>
        </w:rPr>
        <w:t>،</w:t>
      </w:r>
      <w:r w:rsidRPr="007F34D8">
        <w:rPr>
          <w:rtl/>
          <w:lang w:val="en-US"/>
        </w:rPr>
        <w:t xml:space="preserve"> يرجى توضيح ما إذا كانت الدولة الطرف تنوي </w:t>
      </w:r>
      <w:r w:rsidRPr="003831EA">
        <w:rPr>
          <w:spacing w:val="-4"/>
          <w:rtl/>
          <w:lang w:val="en-US"/>
        </w:rPr>
        <w:t>إدراج جريمة التعذيب</w:t>
      </w:r>
      <w:r w:rsidR="002302AD">
        <w:rPr>
          <w:spacing w:val="-4"/>
          <w:rtl/>
          <w:lang w:val="en-US"/>
        </w:rPr>
        <w:t>،</w:t>
      </w:r>
      <w:r w:rsidRPr="003831EA">
        <w:rPr>
          <w:spacing w:val="-4"/>
          <w:rtl/>
          <w:lang w:val="en-US"/>
        </w:rPr>
        <w:t xml:space="preserve"> ومختلف أشكال المشاركة في أعمال التعذيب</w:t>
      </w:r>
      <w:r w:rsidR="002302AD">
        <w:rPr>
          <w:spacing w:val="-4"/>
          <w:rtl/>
          <w:lang w:val="en-US"/>
        </w:rPr>
        <w:t>،</w:t>
      </w:r>
      <w:r w:rsidRPr="003831EA">
        <w:rPr>
          <w:spacing w:val="-4"/>
          <w:rtl/>
          <w:lang w:val="en-US"/>
        </w:rPr>
        <w:t xml:space="preserve"> في التشريعات الوطنية</w:t>
      </w:r>
      <w:r w:rsidR="002302AD">
        <w:rPr>
          <w:spacing w:val="-4"/>
          <w:rtl/>
          <w:lang w:val="en-US"/>
        </w:rPr>
        <w:t>،</w:t>
      </w:r>
      <w:r w:rsidRPr="003831EA">
        <w:rPr>
          <w:spacing w:val="-4"/>
          <w:rtl/>
          <w:lang w:val="en-US"/>
        </w:rPr>
        <w:t xml:space="preserve"> امتثالا</w:t>
      </w:r>
      <w:r w:rsidR="00A43F64" w:rsidRPr="003831EA">
        <w:rPr>
          <w:rFonts w:hint="cs"/>
          <w:spacing w:val="-4"/>
          <w:rtl/>
          <w:lang w:val="en-US"/>
        </w:rPr>
        <w:t>ً</w:t>
      </w:r>
      <w:r w:rsidRPr="003831EA">
        <w:rPr>
          <w:spacing w:val="-4"/>
          <w:rtl/>
          <w:lang w:val="en-US"/>
        </w:rPr>
        <w:t xml:space="preserve"> للتعريف</w:t>
      </w:r>
      <w:r w:rsidRPr="007F34D8">
        <w:rPr>
          <w:rtl/>
          <w:lang w:val="en-US"/>
        </w:rPr>
        <w:t xml:space="preserve"> </w:t>
      </w:r>
      <w:r w:rsidRPr="003831EA">
        <w:rPr>
          <w:spacing w:val="-4"/>
          <w:rtl/>
          <w:lang w:val="en-US"/>
        </w:rPr>
        <w:t xml:space="preserve">المنصوص عليه في المادة </w:t>
      </w:r>
      <w:r w:rsidRPr="00995CF3">
        <w:rPr>
          <w:spacing w:val="-4"/>
          <w:rtl/>
          <w:lang w:val="en-US"/>
        </w:rPr>
        <w:t>1</w:t>
      </w:r>
      <w:r w:rsidRPr="003831EA">
        <w:rPr>
          <w:spacing w:val="-4"/>
          <w:rtl/>
          <w:lang w:val="en-US"/>
        </w:rPr>
        <w:t xml:space="preserve"> من الاتفاقية</w:t>
      </w:r>
      <w:r w:rsidR="002302AD">
        <w:rPr>
          <w:spacing w:val="-4"/>
          <w:rtl/>
          <w:lang w:val="en-US"/>
        </w:rPr>
        <w:t>،</w:t>
      </w:r>
      <w:r w:rsidRPr="003831EA">
        <w:rPr>
          <w:spacing w:val="-4"/>
          <w:rtl/>
          <w:lang w:val="en-US"/>
        </w:rPr>
        <w:t xml:space="preserve"> مع فرض عقوبات مناسبة تأخذ في الاعتبار خطورة </w:t>
      </w:r>
      <w:proofErr w:type="gramStart"/>
      <w:r w:rsidRPr="003831EA">
        <w:rPr>
          <w:spacing w:val="-4"/>
          <w:rtl/>
          <w:lang w:val="en-US"/>
        </w:rPr>
        <w:t>الجريمة</w:t>
      </w:r>
      <w:r w:rsidRPr="002C01CE">
        <w:rPr>
          <w:vertAlign w:val="superscript"/>
          <w:rtl/>
          <w:lang w:val="en-US"/>
        </w:rPr>
        <w:t>(</w:t>
      </w:r>
      <w:proofErr w:type="gramEnd"/>
      <w:r w:rsidRPr="00995CF3">
        <w:rPr>
          <w:rStyle w:val="FootnoteReference"/>
          <w:szCs w:val="22"/>
          <w:lang w:val="en-US"/>
        </w:rPr>
        <w:footnoteReference w:id="5"/>
      </w:r>
      <w:r w:rsidRPr="002C01CE">
        <w:rPr>
          <w:vertAlign w:val="superscript"/>
          <w:rtl/>
          <w:lang w:val="en-US"/>
        </w:rPr>
        <w:t>)</w:t>
      </w:r>
      <w:r w:rsidRPr="007F34D8">
        <w:rPr>
          <w:rtl/>
          <w:lang w:val="en-US"/>
        </w:rPr>
        <w:t>. وإذا كانت تنوي ذلك</w:t>
      </w:r>
      <w:r w:rsidR="002302AD">
        <w:rPr>
          <w:rtl/>
          <w:lang w:val="en-US"/>
        </w:rPr>
        <w:t>،</w:t>
      </w:r>
      <w:r w:rsidRPr="007F34D8">
        <w:rPr>
          <w:rtl/>
          <w:lang w:val="en-US"/>
        </w:rPr>
        <w:t xml:space="preserve"> يرجى توضيح ما إذا وضع جدول زمني للإصلاح التشريعي. وبالإضافة </w:t>
      </w:r>
      <w:r w:rsidRPr="00A43F64">
        <w:rPr>
          <w:spacing w:val="-4"/>
          <w:rtl/>
          <w:lang w:val="en-US"/>
        </w:rPr>
        <w:t>إلى ذلك</w:t>
      </w:r>
      <w:r w:rsidR="002302AD">
        <w:rPr>
          <w:spacing w:val="-4"/>
          <w:rtl/>
          <w:lang w:val="en-US"/>
        </w:rPr>
        <w:t>،</w:t>
      </w:r>
      <w:r w:rsidRPr="00A43F64">
        <w:rPr>
          <w:spacing w:val="-4"/>
          <w:rtl/>
          <w:lang w:val="en-US"/>
        </w:rPr>
        <w:t xml:space="preserve"> </w:t>
      </w:r>
      <w:r w:rsidRPr="003831EA">
        <w:rPr>
          <w:spacing w:val="-6"/>
          <w:rtl/>
          <w:lang w:val="en-US"/>
        </w:rPr>
        <w:t>يرجى بيان ما يلي: (أ) الأحكام الجنائية والعقوبات التي تطبق في معظم الأحيان في قضايا التعذيب؛ (ب) ما إذا</w:t>
      </w:r>
      <w:r w:rsidRPr="00A43F64">
        <w:rPr>
          <w:spacing w:val="-4"/>
          <w:rtl/>
          <w:lang w:val="en-US"/>
        </w:rPr>
        <w:t xml:space="preserve"> كانت قوانين التقادم تنطبق على هذه الجرائم في الإجراءات الجنائية والمدنية؛ (ج) كيف ستضمن</w:t>
      </w:r>
      <w:r w:rsidRPr="007F34D8">
        <w:rPr>
          <w:rtl/>
          <w:lang w:val="en-US"/>
        </w:rPr>
        <w:t xml:space="preserve"> الدولة الطرف عدم جواز تقييد مبدأ حظر التعذيب وأي معاملة أو عقوبة قاسية أو لا إنسانية أو مهينة.</w:t>
      </w:r>
    </w:p>
    <w:p w14:paraId="02A996B3" w14:textId="77777777" w:rsidR="00E609CB" w:rsidRPr="00995CF3" w:rsidRDefault="00E609CB" w:rsidP="00E609CB">
      <w:pPr>
        <w:pStyle w:val="H23GA"/>
      </w:pPr>
      <w:r w:rsidRPr="00995CF3">
        <w:rPr>
          <w:rtl/>
        </w:rPr>
        <w:lastRenderedPageBreak/>
        <w:tab/>
      </w:r>
      <w:r w:rsidRPr="00995CF3">
        <w:rPr>
          <w:rtl/>
        </w:rPr>
        <w:tab/>
        <w:t>المادة 2</w:t>
      </w:r>
      <w:r w:rsidRPr="00995CF3">
        <w:rPr>
          <w:vertAlign w:val="superscript"/>
          <w:rtl/>
        </w:rPr>
        <w:t>(</w:t>
      </w:r>
      <w:r w:rsidRPr="00995CF3">
        <w:rPr>
          <w:rStyle w:val="FootnoteReference"/>
          <w:szCs w:val="22"/>
          <w:lang w:val="en-US"/>
        </w:rPr>
        <w:footnoteReference w:id="6"/>
      </w:r>
      <w:r w:rsidRPr="00995CF3">
        <w:rPr>
          <w:vertAlign w:val="superscript"/>
          <w:rtl/>
        </w:rPr>
        <w:t>)</w:t>
      </w:r>
    </w:p>
    <w:p w14:paraId="3F07075A" w14:textId="368FA10C" w:rsidR="00E609CB" w:rsidRPr="007F34D8" w:rsidRDefault="00E609CB" w:rsidP="00E609CB">
      <w:pPr>
        <w:pStyle w:val="SingleTxtGA"/>
        <w:rPr>
          <w:lang w:val="en-US"/>
        </w:rPr>
      </w:pPr>
      <w:r w:rsidRPr="00995CF3">
        <w:rPr>
          <w:rtl/>
          <w:lang w:val="en-US"/>
        </w:rPr>
        <w:t>3</w:t>
      </w:r>
      <w:r w:rsidRPr="007F34D8">
        <w:rPr>
          <w:rtl/>
          <w:lang w:val="en-US"/>
        </w:rPr>
        <w:t>-</w:t>
      </w:r>
      <w:r w:rsidRPr="007F34D8">
        <w:rPr>
          <w:rtl/>
          <w:lang w:val="en-US"/>
        </w:rPr>
        <w:tab/>
        <w:t>عطفا</w:t>
      </w:r>
      <w:r w:rsidR="00A43F64">
        <w:rPr>
          <w:rFonts w:hint="cs"/>
          <w:rtl/>
          <w:lang w:val="en-US"/>
        </w:rPr>
        <w:t>ً</w:t>
      </w:r>
      <w:r w:rsidRPr="007F34D8">
        <w:rPr>
          <w:rtl/>
          <w:lang w:val="en-US"/>
        </w:rPr>
        <w:t xml:space="preserve"> على الملاحظات الختامية السابقة </w:t>
      </w:r>
      <w:proofErr w:type="gramStart"/>
      <w:r w:rsidRPr="007F34D8">
        <w:rPr>
          <w:rtl/>
          <w:lang w:val="en-US"/>
        </w:rPr>
        <w:t>للجنة</w:t>
      </w:r>
      <w:r w:rsidR="00A43F64">
        <w:rPr>
          <w:vertAlign w:val="superscript"/>
          <w:rtl/>
          <w:lang w:val="en-US"/>
        </w:rPr>
        <w:t>(</w:t>
      </w:r>
      <w:proofErr w:type="gramEnd"/>
      <w:r w:rsidR="00A43F64" w:rsidRPr="00995CF3">
        <w:rPr>
          <w:rStyle w:val="FootnoteReference"/>
          <w:lang w:val="en-US"/>
        </w:rPr>
        <w:footnoteReference w:id="7"/>
      </w:r>
      <w:r w:rsidR="00A43F64">
        <w:rPr>
          <w:vertAlign w:val="superscript"/>
          <w:rtl/>
          <w:lang w:val="en-US"/>
        </w:rPr>
        <w:t>)</w:t>
      </w:r>
      <w:r w:rsidR="002302AD">
        <w:rPr>
          <w:rtl/>
          <w:lang w:val="en-US"/>
        </w:rPr>
        <w:t>،</w:t>
      </w:r>
      <w:r w:rsidRPr="007F34D8">
        <w:rPr>
          <w:rtl/>
          <w:lang w:val="en-US"/>
        </w:rPr>
        <w:t xml:space="preserve"> يرجى بيان ما إذا كانت الدولة الطرف قد اتخذت أي تدابير لضمان امتثال هيئة حقوق الإنسان للمبادئ المتعلقة بمركز المؤسسات الوطنية لتعزيز وحماية حقوق الإنسان (مبادئ باريس)</w:t>
      </w:r>
      <w:r w:rsidRPr="002C01CE">
        <w:rPr>
          <w:vertAlign w:val="superscript"/>
          <w:rtl/>
          <w:lang w:val="en-US"/>
        </w:rPr>
        <w:t>(</w:t>
      </w:r>
      <w:r w:rsidRPr="00995CF3">
        <w:rPr>
          <w:rStyle w:val="FootnoteReference"/>
          <w:szCs w:val="22"/>
          <w:lang w:val="en-US"/>
        </w:rPr>
        <w:footnoteReference w:id="8"/>
      </w:r>
      <w:r w:rsidRPr="002C01CE">
        <w:rPr>
          <w:vertAlign w:val="superscript"/>
          <w:rtl/>
          <w:lang w:val="en-US"/>
        </w:rPr>
        <w:t>)</w:t>
      </w:r>
      <w:r>
        <w:rPr>
          <w:rtl/>
          <w:lang w:val="en-US"/>
        </w:rPr>
        <w:t>.</w:t>
      </w:r>
      <w:r w:rsidRPr="007F34D8">
        <w:rPr>
          <w:rtl/>
          <w:lang w:val="en-US"/>
        </w:rPr>
        <w:t xml:space="preserve"> ويرجى</w:t>
      </w:r>
      <w:r w:rsidR="002302AD">
        <w:rPr>
          <w:rtl/>
          <w:lang w:val="en-US"/>
        </w:rPr>
        <w:t>،</w:t>
      </w:r>
      <w:r w:rsidRPr="007F34D8">
        <w:rPr>
          <w:rtl/>
          <w:lang w:val="en-US"/>
        </w:rPr>
        <w:t xml:space="preserve"> على وجه الخصوص</w:t>
      </w:r>
      <w:r w:rsidR="002302AD">
        <w:rPr>
          <w:rtl/>
          <w:lang w:val="en-US"/>
        </w:rPr>
        <w:t>،</w:t>
      </w:r>
      <w:r w:rsidRPr="007F34D8">
        <w:rPr>
          <w:rtl/>
          <w:lang w:val="en-US"/>
        </w:rPr>
        <w:t xml:space="preserve"> بيان ما إذا كانت الدولة الطرف </w:t>
      </w:r>
      <w:r w:rsidRPr="00A43F64">
        <w:rPr>
          <w:spacing w:val="-4"/>
          <w:rtl/>
          <w:lang w:val="en-US"/>
        </w:rPr>
        <w:t>قد اتخذت تدابير لضمان (أ) استقلال هيئة حقوق الإنسان عن السلطة التنفيذية؛ (ب) وتوفر ميزانية مستقلة</w:t>
      </w:r>
      <w:r w:rsidRPr="007F34D8">
        <w:rPr>
          <w:rtl/>
          <w:lang w:val="en-US"/>
        </w:rPr>
        <w:t xml:space="preserve"> كافية للجنة لكي تضطلع بولايتها؛ (ج) السماح لها بالوصول من دون عائق إلى جميع أماكن الحرمان من </w:t>
      </w:r>
      <w:proofErr w:type="gramStart"/>
      <w:r w:rsidRPr="007F34D8">
        <w:rPr>
          <w:rtl/>
          <w:lang w:val="en-US"/>
        </w:rPr>
        <w:t>الحرية</w:t>
      </w:r>
      <w:r w:rsidRPr="002C01CE">
        <w:rPr>
          <w:vertAlign w:val="superscript"/>
          <w:rtl/>
          <w:lang w:val="en-US"/>
        </w:rPr>
        <w:t>(</w:t>
      </w:r>
      <w:proofErr w:type="gramEnd"/>
      <w:r w:rsidRPr="00995CF3">
        <w:rPr>
          <w:rStyle w:val="FootnoteReference"/>
          <w:szCs w:val="22"/>
          <w:lang w:val="en-US"/>
        </w:rPr>
        <w:footnoteReference w:id="9"/>
      </w:r>
      <w:r w:rsidRPr="002C01CE">
        <w:rPr>
          <w:vertAlign w:val="superscript"/>
          <w:rtl/>
          <w:lang w:val="en-US"/>
        </w:rPr>
        <w:t>)</w:t>
      </w:r>
      <w:r w:rsidRPr="007F34D8">
        <w:rPr>
          <w:rtl/>
          <w:lang w:val="en-US"/>
        </w:rPr>
        <w:t xml:space="preserve">. </w:t>
      </w:r>
      <w:r w:rsidRPr="00A43F64">
        <w:rPr>
          <w:spacing w:val="-4"/>
          <w:rtl/>
          <w:lang w:val="en-US"/>
        </w:rPr>
        <w:t xml:space="preserve">ويرجى </w:t>
      </w:r>
      <w:r w:rsidR="002302AD">
        <w:rPr>
          <w:spacing w:val="-4"/>
          <w:rtl/>
          <w:lang w:val="en-US"/>
        </w:rPr>
        <w:t xml:space="preserve">أيضاً </w:t>
      </w:r>
      <w:r w:rsidRPr="00A43F64">
        <w:rPr>
          <w:spacing w:val="-4"/>
          <w:rtl/>
          <w:lang w:val="en-US"/>
        </w:rPr>
        <w:t>بيان ما إذا كانت الدولة الطرف قد نظرت في التصديق على البروتوكول الاختياري</w:t>
      </w:r>
      <w:r w:rsidRPr="007F34D8">
        <w:rPr>
          <w:rtl/>
          <w:lang w:val="en-US"/>
        </w:rPr>
        <w:t xml:space="preserve"> لاتفاقية مناهضة التعذيب وغيره من ضروب المعاملة أو العقوبة القاسية أو اللاإنسانية أو المهينة وإنشاء </w:t>
      </w:r>
      <w:r w:rsidRPr="00A43F64">
        <w:rPr>
          <w:spacing w:val="-4"/>
          <w:rtl/>
          <w:lang w:val="en-US"/>
        </w:rPr>
        <w:t>مؤسسة مستقلة جديدة لرصد أماكن الاحتجاز بانتظام</w:t>
      </w:r>
      <w:r w:rsidR="002302AD">
        <w:rPr>
          <w:spacing w:val="-4"/>
          <w:rtl/>
          <w:lang w:val="en-US"/>
        </w:rPr>
        <w:t>،</w:t>
      </w:r>
      <w:r w:rsidRPr="00A43F64">
        <w:rPr>
          <w:spacing w:val="-4"/>
          <w:rtl/>
          <w:lang w:val="en-US"/>
        </w:rPr>
        <w:t xml:space="preserve"> على نحو ما أوصت به اللجنة سابق</w:t>
      </w:r>
      <w:r w:rsidR="007C38B3">
        <w:rPr>
          <w:spacing w:val="-4"/>
          <w:rtl/>
          <w:lang w:val="en-US"/>
        </w:rPr>
        <w:t>اً،</w:t>
      </w:r>
      <w:r w:rsidRPr="00A43F64">
        <w:rPr>
          <w:spacing w:val="-4"/>
          <w:rtl/>
          <w:lang w:val="en-US"/>
        </w:rPr>
        <w:t xml:space="preserve"> أو في السماح</w:t>
      </w:r>
      <w:r w:rsidRPr="007F34D8">
        <w:rPr>
          <w:rtl/>
          <w:lang w:val="en-US"/>
        </w:rPr>
        <w:t xml:space="preserve"> </w:t>
      </w:r>
      <w:r w:rsidRPr="00CC268E">
        <w:rPr>
          <w:rtl/>
          <w:lang w:val="en-US"/>
        </w:rPr>
        <w:t xml:space="preserve">للمنظمات غير الحكومية برصد جميع أماكن الاحتجاز بانتظام لاستكمال الرصد الذي تقوم به هيئة حقوق </w:t>
      </w:r>
      <w:proofErr w:type="gramStart"/>
      <w:r w:rsidRPr="00CC268E">
        <w:rPr>
          <w:rtl/>
          <w:lang w:val="en-US"/>
        </w:rPr>
        <w:t>الإنسان</w:t>
      </w:r>
      <w:r w:rsidRPr="002C01CE">
        <w:rPr>
          <w:vertAlign w:val="superscript"/>
          <w:rtl/>
          <w:lang w:val="en-US"/>
        </w:rPr>
        <w:t>(</w:t>
      </w:r>
      <w:proofErr w:type="gramEnd"/>
      <w:r w:rsidRPr="00995CF3">
        <w:rPr>
          <w:rStyle w:val="FootnoteReference"/>
          <w:szCs w:val="22"/>
          <w:lang w:val="en-US"/>
        </w:rPr>
        <w:footnoteReference w:id="10"/>
      </w:r>
      <w:r w:rsidRPr="002C01CE">
        <w:rPr>
          <w:vertAlign w:val="superscript"/>
          <w:rtl/>
          <w:lang w:val="en-US"/>
        </w:rPr>
        <w:t>)</w:t>
      </w:r>
      <w:r w:rsidRPr="007F34D8">
        <w:rPr>
          <w:rtl/>
          <w:lang w:val="en-US"/>
        </w:rPr>
        <w:t xml:space="preserve">. </w:t>
      </w:r>
      <w:r w:rsidRPr="00A43F64">
        <w:rPr>
          <w:spacing w:val="-4"/>
          <w:rtl/>
          <w:lang w:val="en-US"/>
        </w:rPr>
        <w:t xml:space="preserve">ويرجى </w:t>
      </w:r>
      <w:r w:rsidR="002302AD">
        <w:rPr>
          <w:spacing w:val="-4"/>
          <w:rtl/>
          <w:lang w:val="en-US"/>
        </w:rPr>
        <w:t xml:space="preserve">أيضاً </w:t>
      </w:r>
      <w:r w:rsidRPr="00A43F64">
        <w:rPr>
          <w:spacing w:val="-4"/>
          <w:rtl/>
          <w:lang w:val="en-US"/>
        </w:rPr>
        <w:t>تقديم بيانات إحصائية مصنفة حسب السنة والفئة العمرية للضحية (قاصر أو بالغ)</w:t>
      </w:r>
      <w:r w:rsidRPr="007F34D8">
        <w:rPr>
          <w:rtl/>
          <w:lang w:val="en-US"/>
        </w:rPr>
        <w:t xml:space="preserve"> وجنسه وأصله الإثني أو جنسيته</w:t>
      </w:r>
      <w:r w:rsidR="002302AD">
        <w:rPr>
          <w:rtl/>
          <w:lang w:val="en-US"/>
        </w:rPr>
        <w:t>،</w:t>
      </w:r>
      <w:r w:rsidRPr="007F34D8">
        <w:rPr>
          <w:rtl/>
          <w:lang w:val="en-US"/>
        </w:rPr>
        <w:t xml:space="preserve"> عن عدد الشكاوى المتعلقة بالتعذيب وسوء المعاملة التي تلقتها هيئة حقوق الإنسان منذ عام </w:t>
      </w:r>
      <w:r w:rsidRPr="00995CF3">
        <w:rPr>
          <w:rtl/>
          <w:lang w:val="en-US"/>
        </w:rPr>
        <w:t>2016</w:t>
      </w:r>
      <w:r w:rsidR="002302AD">
        <w:rPr>
          <w:rtl/>
          <w:lang w:val="en-US"/>
        </w:rPr>
        <w:t>،</w:t>
      </w:r>
      <w:r w:rsidRPr="007F34D8">
        <w:rPr>
          <w:rtl/>
          <w:lang w:val="en-US"/>
        </w:rPr>
        <w:t xml:space="preserve"> وعن النتيجة التي أسفرت عنها تلك الشكاوى.</w:t>
      </w:r>
    </w:p>
    <w:p w14:paraId="0BB1D5A0" w14:textId="78BBF343" w:rsidR="00E609CB" w:rsidRPr="007F34D8" w:rsidRDefault="00E609CB" w:rsidP="00E609CB">
      <w:pPr>
        <w:pStyle w:val="SingleTxtGA"/>
        <w:rPr>
          <w:lang w:val="en-US"/>
        </w:rPr>
      </w:pPr>
      <w:r w:rsidRPr="00995CF3">
        <w:rPr>
          <w:rtl/>
          <w:lang w:val="en-US"/>
        </w:rPr>
        <w:t>4</w:t>
      </w:r>
      <w:r w:rsidRPr="007F34D8">
        <w:rPr>
          <w:rtl/>
          <w:lang w:val="en-US"/>
        </w:rPr>
        <w:t>-</w:t>
      </w:r>
      <w:r w:rsidRPr="007F34D8">
        <w:rPr>
          <w:rtl/>
          <w:lang w:val="en-US"/>
        </w:rPr>
        <w:tab/>
        <w:t>وفيما يخص الملاحظات الختامية السابقة للجنة</w:t>
      </w:r>
      <w:r w:rsidRPr="002C01CE">
        <w:rPr>
          <w:vertAlign w:val="superscript"/>
          <w:rtl/>
          <w:lang w:val="en-US"/>
        </w:rPr>
        <w:t>(</w:t>
      </w:r>
      <w:r w:rsidRPr="00995CF3">
        <w:rPr>
          <w:rStyle w:val="FootnoteReference"/>
          <w:szCs w:val="22"/>
          <w:lang w:val="en-US"/>
        </w:rPr>
        <w:footnoteReference w:id="11"/>
      </w:r>
      <w:r w:rsidRPr="002C01CE">
        <w:rPr>
          <w:vertAlign w:val="superscript"/>
          <w:rtl/>
          <w:lang w:val="en-US"/>
        </w:rPr>
        <w:t>)</w:t>
      </w:r>
      <w:r w:rsidR="002302AD">
        <w:rPr>
          <w:rtl/>
          <w:lang w:val="en-US"/>
        </w:rPr>
        <w:t>،</w:t>
      </w:r>
      <w:r w:rsidRPr="007F34D8">
        <w:rPr>
          <w:rtl/>
          <w:lang w:val="en-US"/>
        </w:rPr>
        <w:t xml:space="preserve"> وفي ضوء اعتماد نظام مكافحة الإرهاب وتمويله في عام </w:t>
      </w:r>
      <w:r w:rsidRPr="00995CF3">
        <w:rPr>
          <w:rtl/>
          <w:lang w:val="en-US"/>
        </w:rPr>
        <w:t>2017</w:t>
      </w:r>
      <w:r w:rsidR="002302AD">
        <w:rPr>
          <w:rtl/>
          <w:lang w:val="en-US"/>
        </w:rPr>
        <w:t>،</w:t>
      </w:r>
      <w:r w:rsidRPr="007F34D8">
        <w:rPr>
          <w:rtl/>
          <w:lang w:val="en-US"/>
        </w:rPr>
        <w:t xml:space="preserve"> المعدل في حزيران/يونيه </w:t>
      </w:r>
      <w:r w:rsidRPr="00995CF3">
        <w:rPr>
          <w:rtl/>
          <w:lang w:val="en-US"/>
        </w:rPr>
        <w:t>2020</w:t>
      </w:r>
      <w:r w:rsidR="002302AD">
        <w:rPr>
          <w:rtl/>
          <w:lang w:val="en-US"/>
        </w:rPr>
        <w:t>،</w:t>
      </w:r>
      <w:r w:rsidRPr="007F34D8">
        <w:rPr>
          <w:rtl/>
          <w:lang w:val="en-US"/>
        </w:rPr>
        <w:t xml:space="preserve"> يرجى بيان ما إذا كانت الدولة الطرف قد تنظر في إلغاء الأحكام الواردة في نظام الإجراءات الجزائية ونظام مكافحة الإرهاب وتمويله التي تجيز للمحققين احتجاز الأشخاص من دون تهمة لفترات تتراوح بين ستة أشهر وسنة</w:t>
      </w:r>
      <w:r w:rsidRPr="002C01CE">
        <w:rPr>
          <w:vertAlign w:val="superscript"/>
          <w:rtl/>
          <w:lang w:val="en-US"/>
        </w:rPr>
        <w:t>(</w:t>
      </w:r>
      <w:r w:rsidRPr="00995CF3">
        <w:rPr>
          <w:rStyle w:val="FootnoteReference"/>
          <w:szCs w:val="22"/>
          <w:lang w:val="en-US"/>
        </w:rPr>
        <w:footnoteReference w:id="12"/>
      </w:r>
      <w:r w:rsidRPr="002C01CE">
        <w:rPr>
          <w:vertAlign w:val="superscript"/>
          <w:rtl/>
          <w:lang w:val="en-US"/>
        </w:rPr>
        <w:t>)</w:t>
      </w:r>
      <w:r w:rsidR="002302AD">
        <w:rPr>
          <w:rtl/>
          <w:lang w:val="en-US"/>
        </w:rPr>
        <w:t>،</w:t>
      </w:r>
      <w:r w:rsidRPr="007F34D8">
        <w:rPr>
          <w:rtl/>
          <w:lang w:val="en-US"/>
        </w:rPr>
        <w:t xml:space="preserve"> واحتجاز الشخص من دون أن تتاح له إمكانية الاتصال بأفراد أسرته أو محاميه أو المثول أمام القضاء لمدة تصل إلى ثلاثة أشهر</w:t>
      </w:r>
      <w:r w:rsidR="002302AD">
        <w:rPr>
          <w:rtl/>
          <w:lang w:val="en-US"/>
        </w:rPr>
        <w:t>،</w:t>
      </w:r>
      <w:r w:rsidRPr="007F34D8">
        <w:rPr>
          <w:rtl/>
          <w:lang w:val="en-US"/>
        </w:rPr>
        <w:t xml:space="preserve"> مع </w:t>
      </w:r>
      <w:r w:rsidRPr="00A43F64">
        <w:rPr>
          <w:spacing w:val="-4"/>
          <w:rtl/>
          <w:lang w:val="en-US"/>
        </w:rPr>
        <w:t>إمكانية تمديد الاحتجاز لأجل غير مسمى</w:t>
      </w:r>
      <w:r w:rsidRPr="00A43F64">
        <w:rPr>
          <w:spacing w:val="-4"/>
          <w:vertAlign w:val="superscript"/>
          <w:rtl/>
          <w:lang w:val="en-US"/>
        </w:rPr>
        <w:t>(</w:t>
      </w:r>
      <w:r w:rsidRPr="00995CF3">
        <w:rPr>
          <w:rStyle w:val="FootnoteReference"/>
          <w:spacing w:val="-4"/>
          <w:szCs w:val="22"/>
          <w:lang w:val="en-US"/>
        </w:rPr>
        <w:footnoteReference w:id="13"/>
      </w:r>
      <w:r w:rsidRPr="00A43F64">
        <w:rPr>
          <w:spacing w:val="-4"/>
          <w:vertAlign w:val="superscript"/>
          <w:rtl/>
          <w:lang w:val="en-US"/>
        </w:rPr>
        <w:t>)</w:t>
      </w:r>
      <w:r w:rsidRPr="00A43F64">
        <w:rPr>
          <w:spacing w:val="-4"/>
          <w:rtl/>
          <w:lang w:val="en-US"/>
        </w:rPr>
        <w:t xml:space="preserve">. ويرجى </w:t>
      </w:r>
      <w:r w:rsidR="002302AD">
        <w:rPr>
          <w:spacing w:val="-4"/>
          <w:rtl/>
          <w:lang w:val="en-US"/>
        </w:rPr>
        <w:t xml:space="preserve">أيضاً </w:t>
      </w:r>
      <w:r w:rsidRPr="00A43F64">
        <w:rPr>
          <w:spacing w:val="-4"/>
          <w:rtl/>
          <w:lang w:val="en-US"/>
        </w:rPr>
        <w:t>تقديم معلومات عن أي تعديلات تشريعية أدخلتها</w:t>
      </w:r>
      <w:r w:rsidRPr="007F34D8">
        <w:rPr>
          <w:rtl/>
          <w:lang w:val="en-US"/>
        </w:rPr>
        <w:t xml:space="preserve"> </w:t>
      </w:r>
      <w:r w:rsidRPr="00A43F64">
        <w:rPr>
          <w:spacing w:val="-4"/>
          <w:rtl/>
          <w:lang w:val="en-US"/>
        </w:rPr>
        <w:t>الدولة الطرف خلال الفترة المشمولة بالتقرير تنص صراحة على احترام حقوق المحتجزين في الاستعانة بمستشار</w:t>
      </w:r>
      <w:r w:rsidRPr="007F34D8">
        <w:rPr>
          <w:rtl/>
          <w:lang w:val="en-US"/>
        </w:rPr>
        <w:t xml:space="preserve"> </w:t>
      </w:r>
      <w:r w:rsidRPr="00A43F64">
        <w:rPr>
          <w:spacing w:val="-4"/>
          <w:rtl/>
          <w:lang w:val="en-US"/>
        </w:rPr>
        <w:t>قانوني والاتصال بأسرهم بعد اعتقالهم منذ لحظة حرمانهم من الحرية. ويرجى تقديم معلومات عن أي تدابير</w:t>
      </w:r>
      <w:r w:rsidRPr="007F34D8">
        <w:rPr>
          <w:rtl/>
          <w:lang w:val="en-US"/>
        </w:rPr>
        <w:t xml:space="preserve"> أخرى اتخذت لضمان تمتع جميع المحتجزين في القانون والممارسة بجميع الضمانات القانونية الأساسية منذ لحظة حرمانهم من الحرية</w:t>
      </w:r>
      <w:r w:rsidR="002302AD">
        <w:rPr>
          <w:rtl/>
          <w:lang w:val="en-US"/>
        </w:rPr>
        <w:t>،</w:t>
      </w:r>
      <w:r w:rsidRPr="007F34D8">
        <w:rPr>
          <w:rtl/>
          <w:lang w:val="en-US"/>
        </w:rPr>
        <w:t xml:space="preserve"> ألا وهي: (أ) إمكانية الاتصال بمحام يختارونه من دون قيد أو شرط عقب حرمانهم من الحرية وفي إطار السرية التامة</w:t>
      </w:r>
      <w:r w:rsidR="002302AD">
        <w:rPr>
          <w:rtl/>
          <w:lang w:val="en-US"/>
        </w:rPr>
        <w:t>،</w:t>
      </w:r>
      <w:r w:rsidRPr="007F34D8">
        <w:rPr>
          <w:rtl/>
          <w:lang w:val="en-US"/>
        </w:rPr>
        <w:t xml:space="preserve"> أو إمكانية الحصول على المعونة القضائية مجان</w:t>
      </w:r>
      <w:r w:rsidR="00A6354F">
        <w:rPr>
          <w:rtl/>
          <w:lang w:val="en-US"/>
        </w:rPr>
        <w:t xml:space="preserve">اً </w:t>
      </w:r>
      <w:r w:rsidRPr="007F34D8">
        <w:rPr>
          <w:rtl/>
          <w:lang w:val="en-US"/>
        </w:rPr>
        <w:t xml:space="preserve">بالنسبة لمن لا يملك الموارد الكافية لدفع تكاليف التمثيل القانوني؛ (ب) السماح لهم بالاتصال بأحد أفراد الأسرة </w:t>
      </w:r>
      <w:r w:rsidRPr="007F34D8">
        <w:rPr>
          <w:rtl/>
          <w:lang w:val="en-US"/>
        </w:rPr>
        <w:lastRenderedPageBreak/>
        <w:t>أو</w:t>
      </w:r>
      <w:r w:rsidR="00A43F64">
        <w:rPr>
          <w:rFonts w:hint="cs"/>
          <w:rtl/>
          <w:lang w:val="en-US"/>
        </w:rPr>
        <w:t> </w:t>
      </w:r>
      <w:r w:rsidRPr="007F34D8">
        <w:rPr>
          <w:rtl/>
          <w:lang w:val="en-US"/>
        </w:rPr>
        <w:t>أي شخص آخر يختارونه لإبلاغه باحتجازهم ومكان وجودهم منذ لحظة حرمانهم من الحرية؛ (ج)</w:t>
      </w:r>
      <w:r w:rsidR="00A43F64">
        <w:rPr>
          <w:rFonts w:hint="cs"/>
          <w:rtl/>
          <w:lang w:val="en-US"/>
        </w:rPr>
        <w:t> </w:t>
      </w:r>
      <w:r w:rsidRPr="007F34D8">
        <w:rPr>
          <w:rtl/>
          <w:lang w:val="en-US"/>
        </w:rPr>
        <w:t>إبلاغهم بأسباب احتجازهم</w:t>
      </w:r>
      <w:r w:rsidR="002302AD">
        <w:rPr>
          <w:rtl/>
          <w:lang w:val="en-US"/>
        </w:rPr>
        <w:t>،</w:t>
      </w:r>
      <w:r w:rsidRPr="007F34D8">
        <w:rPr>
          <w:rtl/>
          <w:lang w:val="en-US"/>
        </w:rPr>
        <w:t xml:space="preserve"> والتهم الموجهة إليهم</w:t>
      </w:r>
      <w:r w:rsidR="002302AD">
        <w:rPr>
          <w:rtl/>
          <w:lang w:val="en-US"/>
        </w:rPr>
        <w:t>،</w:t>
      </w:r>
      <w:r w:rsidRPr="007F34D8">
        <w:rPr>
          <w:rtl/>
          <w:lang w:val="en-US"/>
        </w:rPr>
        <w:t xml:space="preserve"> وبحقوقهم</w:t>
      </w:r>
      <w:r w:rsidR="002302AD">
        <w:rPr>
          <w:rtl/>
          <w:lang w:val="en-US"/>
        </w:rPr>
        <w:t>،</w:t>
      </w:r>
      <w:r w:rsidRPr="007F34D8">
        <w:rPr>
          <w:rtl/>
          <w:lang w:val="en-US"/>
        </w:rPr>
        <w:t xml:space="preserve"> شفوي</w:t>
      </w:r>
      <w:r w:rsidR="00A6354F">
        <w:rPr>
          <w:rtl/>
          <w:lang w:val="en-US"/>
        </w:rPr>
        <w:t xml:space="preserve">اً </w:t>
      </w:r>
      <w:r w:rsidRPr="007F34D8">
        <w:rPr>
          <w:rtl/>
          <w:lang w:val="en-US"/>
        </w:rPr>
        <w:t>وكتابي</w:t>
      </w:r>
      <w:r w:rsidR="007C38B3">
        <w:rPr>
          <w:rtl/>
          <w:lang w:val="en-US"/>
        </w:rPr>
        <w:t>اً،</w:t>
      </w:r>
      <w:r w:rsidRPr="007F34D8">
        <w:rPr>
          <w:rtl/>
          <w:lang w:val="en-US"/>
        </w:rPr>
        <w:t xml:space="preserve"> بلغة يفهمونها</w:t>
      </w:r>
      <w:r w:rsidR="002302AD">
        <w:rPr>
          <w:rtl/>
          <w:lang w:val="en-US"/>
        </w:rPr>
        <w:t>،</w:t>
      </w:r>
      <w:r w:rsidRPr="007F34D8">
        <w:rPr>
          <w:rtl/>
          <w:lang w:val="en-US"/>
        </w:rPr>
        <w:t xml:space="preserve"> وعن طريق مترجم شفوي إذا لزم الأمر؛ (د) إحضارهم سريعا</w:t>
      </w:r>
      <w:r w:rsidR="00CC268E">
        <w:rPr>
          <w:rFonts w:hint="cs"/>
          <w:rtl/>
          <w:lang w:val="en-US"/>
        </w:rPr>
        <w:t xml:space="preserve">ً </w:t>
      </w:r>
      <w:r w:rsidRPr="007F34D8">
        <w:rPr>
          <w:rtl/>
          <w:lang w:val="en-US"/>
        </w:rPr>
        <w:t xml:space="preserve">- في غضون </w:t>
      </w:r>
      <w:r w:rsidRPr="00995CF3">
        <w:rPr>
          <w:rtl/>
          <w:lang w:val="en-US"/>
        </w:rPr>
        <w:t>48</w:t>
      </w:r>
      <w:r w:rsidRPr="007F34D8">
        <w:rPr>
          <w:rtl/>
          <w:lang w:val="en-US"/>
        </w:rPr>
        <w:t xml:space="preserve"> ساعة - للمثول أمام قاض يملك سلطة إصدار أمر الإفراج عنهم</w:t>
      </w:r>
      <w:r w:rsidR="002302AD">
        <w:rPr>
          <w:rtl/>
          <w:lang w:val="en-US"/>
        </w:rPr>
        <w:t>،</w:t>
      </w:r>
      <w:r w:rsidRPr="007F34D8">
        <w:rPr>
          <w:rtl/>
          <w:lang w:val="en-US"/>
        </w:rPr>
        <w:t xml:space="preserve"> بغض النظر عن التهم الموجهة إليهم؛ و(ه) أن يتمكنوا من أن يمارسوا</w:t>
      </w:r>
      <w:r w:rsidR="002302AD">
        <w:rPr>
          <w:rtl/>
          <w:lang w:val="en-US"/>
        </w:rPr>
        <w:t>،</w:t>
      </w:r>
      <w:r w:rsidRPr="007F34D8">
        <w:rPr>
          <w:rtl/>
          <w:lang w:val="en-US"/>
        </w:rPr>
        <w:t xml:space="preserve"> منذ لحظة حرمانهم من الحرية</w:t>
      </w:r>
      <w:r w:rsidR="002302AD">
        <w:rPr>
          <w:rtl/>
          <w:lang w:val="en-US"/>
        </w:rPr>
        <w:t>،</w:t>
      </w:r>
      <w:r w:rsidRPr="007F34D8">
        <w:rPr>
          <w:rtl/>
          <w:lang w:val="en-US"/>
        </w:rPr>
        <w:t xml:space="preserve"> الحق في طلب عرضهم على طبيب مستقل أو طبيب يختارونه لإجراء فحص طبي سري</w:t>
      </w:r>
      <w:r w:rsidR="002302AD">
        <w:rPr>
          <w:rtl/>
          <w:lang w:val="en-US"/>
        </w:rPr>
        <w:t>،</w:t>
      </w:r>
      <w:r w:rsidRPr="007F34D8">
        <w:rPr>
          <w:rtl/>
          <w:lang w:val="en-US"/>
        </w:rPr>
        <w:t xml:space="preserve"> والموافقة على هذا الطلب. ويرجى </w:t>
      </w:r>
      <w:r w:rsidR="002302AD">
        <w:rPr>
          <w:rtl/>
          <w:lang w:val="en-US"/>
        </w:rPr>
        <w:t xml:space="preserve">أيضاً </w:t>
      </w:r>
      <w:r w:rsidRPr="007F34D8">
        <w:rPr>
          <w:rtl/>
          <w:lang w:val="en-US"/>
        </w:rPr>
        <w:t xml:space="preserve">بيان التدابير المتخذة لضمان تدوين </w:t>
      </w:r>
      <w:r w:rsidRPr="00B35182">
        <w:rPr>
          <w:spacing w:val="-4"/>
          <w:rtl/>
          <w:lang w:val="en-US"/>
        </w:rPr>
        <w:t>معلومات كاملة ومفصلة في السجلات</w:t>
      </w:r>
      <w:r w:rsidR="002302AD" w:rsidRPr="00B35182">
        <w:rPr>
          <w:spacing w:val="-4"/>
          <w:rtl/>
          <w:lang w:val="en-US"/>
        </w:rPr>
        <w:t>،</w:t>
      </w:r>
      <w:r w:rsidRPr="00B35182">
        <w:rPr>
          <w:spacing w:val="-4"/>
          <w:rtl/>
          <w:lang w:val="en-US"/>
        </w:rPr>
        <w:t xml:space="preserve"> بما في ذلك عن جلسات الاستجواب والحوادث التي تقع أثناء الاحتجاز</w:t>
      </w:r>
      <w:r w:rsidR="002302AD">
        <w:rPr>
          <w:rtl/>
          <w:lang w:val="en-US"/>
        </w:rPr>
        <w:t>،</w:t>
      </w:r>
      <w:r w:rsidRPr="007F34D8">
        <w:rPr>
          <w:rtl/>
          <w:lang w:val="en-US"/>
        </w:rPr>
        <w:t xml:space="preserve"> </w:t>
      </w:r>
      <w:r w:rsidRPr="00B35182">
        <w:rPr>
          <w:spacing w:val="-2"/>
          <w:rtl/>
          <w:lang w:val="en-US"/>
        </w:rPr>
        <w:t>والملفات الطبية لكل محتجز</w:t>
      </w:r>
      <w:r w:rsidR="002302AD" w:rsidRPr="00B35182">
        <w:rPr>
          <w:spacing w:val="-2"/>
          <w:rtl/>
          <w:lang w:val="en-US"/>
        </w:rPr>
        <w:t>،</w:t>
      </w:r>
      <w:r w:rsidRPr="00B35182">
        <w:rPr>
          <w:spacing w:val="-2"/>
          <w:rtl/>
          <w:lang w:val="en-US"/>
        </w:rPr>
        <w:t xml:space="preserve"> وإمكانية اطلاع محامي الشخص المحتجز على هذه السجلات في أي وقت</w:t>
      </w:r>
      <w:r w:rsidR="002302AD" w:rsidRPr="00B35182">
        <w:rPr>
          <w:spacing w:val="-2"/>
          <w:rtl/>
          <w:lang w:val="en-US"/>
        </w:rPr>
        <w:t>،</w:t>
      </w:r>
      <w:r w:rsidRPr="007F34D8">
        <w:rPr>
          <w:rtl/>
          <w:lang w:val="en-US"/>
        </w:rPr>
        <w:t xml:space="preserve"> بناء على موافقة موكله</w:t>
      </w:r>
      <w:r w:rsidR="002302AD">
        <w:rPr>
          <w:rtl/>
          <w:lang w:val="en-US"/>
        </w:rPr>
        <w:t>،</w:t>
      </w:r>
      <w:r w:rsidRPr="007F34D8">
        <w:rPr>
          <w:rtl/>
          <w:lang w:val="en-US"/>
        </w:rPr>
        <w:t xml:space="preserve"> على نحو ما أوصت به اللجنة </w:t>
      </w:r>
      <w:proofErr w:type="gramStart"/>
      <w:r w:rsidRPr="007F34D8">
        <w:rPr>
          <w:rtl/>
          <w:lang w:val="en-US"/>
        </w:rPr>
        <w:t>سابقا</w:t>
      </w:r>
      <w:r w:rsidR="00A43F64">
        <w:rPr>
          <w:rFonts w:hint="cs"/>
          <w:rtl/>
          <w:lang w:val="en-US"/>
        </w:rPr>
        <w:t>ً</w:t>
      </w:r>
      <w:r w:rsidRPr="002C01CE">
        <w:rPr>
          <w:vertAlign w:val="superscript"/>
          <w:rtl/>
          <w:lang w:val="en-US"/>
        </w:rPr>
        <w:t>(</w:t>
      </w:r>
      <w:proofErr w:type="gramEnd"/>
      <w:r w:rsidRPr="00995CF3">
        <w:rPr>
          <w:rStyle w:val="FootnoteReference"/>
          <w:szCs w:val="22"/>
          <w:lang w:val="en-US"/>
        </w:rPr>
        <w:footnoteReference w:id="14"/>
      </w:r>
      <w:r w:rsidRPr="002C01CE">
        <w:rPr>
          <w:vertAlign w:val="superscript"/>
          <w:rtl/>
          <w:lang w:val="en-US"/>
        </w:rPr>
        <w:t>)</w:t>
      </w:r>
      <w:r w:rsidRPr="007F34D8">
        <w:rPr>
          <w:rtl/>
          <w:lang w:val="en-US"/>
        </w:rPr>
        <w:t xml:space="preserve">. وفي ضوء ترحيب اللجنة في ملاحظاتها الختامية السابقة بإنشاء موقع "نافذة" </w:t>
      </w:r>
      <w:proofErr w:type="gramStart"/>
      <w:r w:rsidRPr="007F34D8">
        <w:rPr>
          <w:rtl/>
          <w:lang w:val="en-US"/>
        </w:rPr>
        <w:t>الشبكي</w:t>
      </w:r>
      <w:r w:rsidR="00A43F64" w:rsidRPr="002C01CE">
        <w:rPr>
          <w:vertAlign w:val="superscript"/>
          <w:rtl/>
          <w:lang w:val="en-US"/>
        </w:rPr>
        <w:t>(</w:t>
      </w:r>
      <w:proofErr w:type="gramEnd"/>
      <w:r w:rsidR="00A43F64" w:rsidRPr="00995CF3">
        <w:rPr>
          <w:rStyle w:val="FootnoteReference"/>
          <w:szCs w:val="22"/>
          <w:lang w:val="en-US"/>
        </w:rPr>
        <w:footnoteReference w:id="15"/>
      </w:r>
      <w:r w:rsidR="00A43F64" w:rsidRPr="002C01CE">
        <w:rPr>
          <w:vertAlign w:val="superscript"/>
          <w:rtl/>
          <w:lang w:val="en-US"/>
        </w:rPr>
        <w:t>)</w:t>
      </w:r>
      <w:r w:rsidR="00A43F64">
        <w:rPr>
          <w:rFonts w:hint="cs"/>
          <w:vertAlign w:val="superscript"/>
          <w:rtl/>
          <w:lang w:val="en-US"/>
        </w:rPr>
        <w:t xml:space="preserve"> </w:t>
      </w:r>
      <w:r w:rsidR="00A43F64" w:rsidRPr="002C01CE">
        <w:rPr>
          <w:vertAlign w:val="superscript"/>
          <w:rtl/>
          <w:lang w:val="en-US"/>
        </w:rPr>
        <w:t>(</w:t>
      </w:r>
      <w:r w:rsidR="00A43F64" w:rsidRPr="00995CF3">
        <w:rPr>
          <w:rStyle w:val="FootnoteReference"/>
          <w:szCs w:val="22"/>
          <w:lang w:val="en-US"/>
        </w:rPr>
        <w:footnoteReference w:id="16"/>
      </w:r>
      <w:r w:rsidR="00A43F64" w:rsidRPr="002C01CE">
        <w:rPr>
          <w:vertAlign w:val="superscript"/>
          <w:rtl/>
          <w:lang w:val="en-US"/>
        </w:rPr>
        <w:t>)</w:t>
      </w:r>
      <w:r w:rsidR="002302AD">
        <w:rPr>
          <w:rtl/>
          <w:lang w:val="en-US"/>
        </w:rPr>
        <w:t>،</w:t>
      </w:r>
      <w:r w:rsidRPr="007F34D8">
        <w:rPr>
          <w:rtl/>
          <w:lang w:val="en-US"/>
        </w:rPr>
        <w:t xml:space="preserve"> الذي أتاح للأسر الحصول على معلومات عن الأفراد المحتجزين لدى جهاز الاستخبارات العامة (المباحث)</w:t>
      </w:r>
      <w:r w:rsidR="002302AD">
        <w:rPr>
          <w:rtl/>
          <w:lang w:val="en-US"/>
        </w:rPr>
        <w:t>،</w:t>
      </w:r>
      <w:r w:rsidRPr="007F34D8">
        <w:rPr>
          <w:rtl/>
          <w:lang w:val="en-US"/>
        </w:rPr>
        <w:t xml:space="preserve"> يرجى بيان أسباب حذف هذا الموقع</w:t>
      </w:r>
      <w:r>
        <w:rPr>
          <w:rtl/>
          <w:lang w:val="en-US"/>
        </w:rPr>
        <w:t>.</w:t>
      </w:r>
      <w:r w:rsidRPr="007F34D8">
        <w:rPr>
          <w:rtl/>
          <w:lang w:val="en-US"/>
        </w:rPr>
        <w:t xml:space="preserve"> ويرجى </w:t>
      </w:r>
      <w:r w:rsidR="002302AD">
        <w:rPr>
          <w:rtl/>
          <w:lang w:val="en-US"/>
        </w:rPr>
        <w:t xml:space="preserve">أيضاً </w:t>
      </w:r>
      <w:r w:rsidRPr="007F34D8">
        <w:rPr>
          <w:rtl/>
          <w:lang w:val="en-US"/>
        </w:rPr>
        <w:t>بيان تدابير المراقبة المتخذة</w:t>
      </w:r>
      <w:r w:rsidR="002302AD">
        <w:rPr>
          <w:rtl/>
          <w:lang w:val="en-US"/>
        </w:rPr>
        <w:t>،</w:t>
      </w:r>
      <w:r w:rsidRPr="007F34D8">
        <w:rPr>
          <w:rtl/>
          <w:lang w:val="en-US"/>
        </w:rPr>
        <w:t xml:space="preserve"> بما في ذلك الجزاءات التأديبية</w:t>
      </w:r>
      <w:r w:rsidR="002302AD">
        <w:rPr>
          <w:rtl/>
          <w:lang w:val="en-US"/>
        </w:rPr>
        <w:t>،</w:t>
      </w:r>
      <w:r w:rsidRPr="007F34D8">
        <w:rPr>
          <w:rtl/>
          <w:lang w:val="en-US"/>
        </w:rPr>
        <w:t xml:space="preserve"> لضمان احترام موظفي إنفاذ القانون أو غيرهم من الموظفين في الممارسة العملية لجميع الضمانات القانونية الأساسية الممنوحة للأشخاص المحتجزين</w:t>
      </w:r>
      <w:r w:rsidR="002302AD">
        <w:rPr>
          <w:rtl/>
          <w:lang w:val="en-US"/>
        </w:rPr>
        <w:t>،</w:t>
      </w:r>
      <w:r w:rsidRPr="007F34D8">
        <w:rPr>
          <w:rtl/>
          <w:lang w:val="en-US"/>
        </w:rPr>
        <w:t xml:space="preserve"> منذ لحظة حرمانهم من الحرية</w:t>
      </w:r>
      <w:r w:rsidR="002302AD">
        <w:rPr>
          <w:rtl/>
          <w:lang w:val="en-US"/>
        </w:rPr>
        <w:t>،</w:t>
      </w:r>
      <w:r w:rsidRPr="007F34D8">
        <w:rPr>
          <w:rtl/>
          <w:lang w:val="en-US"/>
        </w:rPr>
        <w:t xml:space="preserve"> بما في ذلك حفظ السجلات.</w:t>
      </w:r>
    </w:p>
    <w:p w14:paraId="405D2202" w14:textId="240AC2B6" w:rsidR="00E609CB" w:rsidRPr="007F34D8" w:rsidRDefault="00E609CB" w:rsidP="00E609CB">
      <w:pPr>
        <w:pStyle w:val="SingleTxtGA"/>
        <w:rPr>
          <w:lang w:val="en-US"/>
        </w:rPr>
      </w:pPr>
      <w:r w:rsidRPr="00995CF3">
        <w:rPr>
          <w:rtl/>
          <w:lang w:val="en-US"/>
        </w:rPr>
        <w:t>5</w:t>
      </w:r>
      <w:r w:rsidRPr="007F34D8">
        <w:rPr>
          <w:rtl/>
          <w:lang w:val="en-US"/>
        </w:rPr>
        <w:t>-</w:t>
      </w:r>
      <w:r w:rsidRPr="007F34D8">
        <w:rPr>
          <w:rtl/>
          <w:lang w:val="en-US"/>
        </w:rPr>
        <w:tab/>
      </w:r>
      <w:r w:rsidRPr="00CC268E">
        <w:rPr>
          <w:spacing w:val="-2"/>
          <w:rtl/>
          <w:lang w:val="en-US"/>
        </w:rPr>
        <w:t xml:space="preserve">وفي ضوء الملاحظات الختامية السابقة </w:t>
      </w:r>
      <w:proofErr w:type="gramStart"/>
      <w:r w:rsidRPr="00CC268E">
        <w:rPr>
          <w:spacing w:val="-2"/>
          <w:rtl/>
          <w:lang w:val="en-US"/>
        </w:rPr>
        <w:t>للجنة</w:t>
      </w:r>
      <w:r w:rsidR="00A43F64" w:rsidRPr="00CC268E">
        <w:rPr>
          <w:spacing w:val="-2"/>
          <w:vertAlign w:val="superscript"/>
          <w:rtl/>
          <w:lang w:val="en-US"/>
        </w:rPr>
        <w:t>(</w:t>
      </w:r>
      <w:proofErr w:type="gramEnd"/>
      <w:r w:rsidR="00A43F64" w:rsidRPr="00995CF3">
        <w:rPr>
          <w:rStyle w:val="FootnoteReference"/>
          <w:spacing w:val="-2"/>
          <w:szCs w:val="22"/>
          <w:lang w:val="en-US"/>
        </w:rPr>
        <w:footnoteReference w:id="17"/>
      </w:r>
      <w:r w:rsidR="00A43F64" w:rsidRPr="00CC268E">
        <w:rPr>
          <w:spacing w:val="-2"/>
          <w:vertAlign w:val="superscript"/>
          <w:rtl/>
          <w:lang w:val="en-US"/>
        </w:rPr>
        <w:t>)</w:t>
      </w:r>
      <w:r w:rsidR="002302AD" w:rsidRPr="00CC268E">
        <w:rPr>
          <w:spacing w:val="-2"/>
          <w:rtl/>
          <w:lang w:val="en-US"/>
        </w:rPr>
        <w:t>،</w:t>
      </w:r>
      <w:r w:rsidRPr="00CC268E">
        <w:rPr>
          <w:spacing w:val="-2"/>
          <w:rtl/>
          <w:lang w:val="en-US"/>
        </w:rPr>
        <w:t xml:space="preserve"> والمعلومات الدامغة عن شيوع حالات الاحتجاز</w:t>
      </w:r>
      <w:r w:rsidRPr="007F34D8">
        <w:rPr>
          <w:rtl/>
          <w:lang w:val="en-US"/>
        </w:rPr>
        <w:t xml:space="preserve"> التعسفي</w:t>
      </w:r>
      <w:r w:rsidR="00705E32" w:rsidRPr="002C01CE">
        <w:rPr>
          <w:vertAlign w:val="superscript"/>
          <w:rtl/>
          <w:lang w:val="en-US"/>
        </w:rPr>
        <w:t>(</w:t>
      </w:r>
      <w:r w:rsidR="00705E32" w:rsidRPr="00995CF3">
        <w:rPr>
          <w:rStyle w:val="FootnoteReference"/>
          <w:szCs w:val="22"/>
          <w:lang w:val="en-US"/>
        </w:rPr>
        <w:footnoteReference w:id="18"/>
      </w:r>
      <w:r w:rsidR="00705E32" w:rsidRPr="002C01CE">
        <w:rPr>
          <w:vertAlign w:val="superscript"/>
          <w:rtl/>
          <w:lang w:val="en-US"/>
        </w:rPr>
        <w:t>)</w:t>
      </w:r>
      <w:r w:rsidR="002302AD">
        <w:rPr>
          <w:rtl/>
          <w:lang w:val="en-US"/>
        </w:rPr>
        <w:t>،</w:t>
      </w:r>
      <w:r w:rsidRPr="007F34D8">
        <w:rPr>
          <w:rtl/>
          <w:lang w:val="en-US"/>
        </w:rPr>
        <w:t xml:space="preserve"> والاحتجاز مع منع الاتصال</w:t>
      </w:r>
      <w:r w:rsidR="002302AD">
        <w:rPr>
          <w:rtl/>
          <w:lang w:val="en-US"/>
        </w:rPr>
        <w:t>،</w:t>
      </w:r>
      <w:r w:rsidRPr="007F34D8">
        <w:rPr>
          <w:rtl/>
          <w:lang w:val="en-US"/>
        </w:rPr>
        <w:t xml:space="preserve"> والاختفاء القسري والتعذيب</w:t>
      </w:r>
      <w:r w:rsidR="00705E32" w:rsidRPr="002C01CE">
        <w:rPr>
          <w:vertAlign w:val="superscript"/>
          <w:rtl/>
          <w:lang w:val="en-US"/>
        </w:rPr>
        <w:t>(</w:t>
      </w:r>
      <w:r w:rsidR="00705E32" w:rsidRPr="00995CF3">
        <w:rPr>
          <w:rStyle w:val="FootnoteReference"/>
          <w:szCs w:val="22"/>
          <w:lang w:val="en-US"/>
        </w:rPr>
        <w:footnoteReference w:id="19"/>
      </w:r>
      <w:r w:rsidR="00705E32" w:rsidRPr="002C01CE">
        <w:rPr>
          <w:vertAlign w:val="superscript"/>
          <w:rtl/>
          <w:lang w:val="en-US"/>
        </w:rPr>
        <w:t>)</w:t>
      </w:r>
      <w:r w:rsidRPr="007F34D8">
        <w:rPr>
          <w:rtl/>
          <w:lang w:val="en-US"/>
        </w:rPr>
        <w:t xml:space="preserve"> المنسوبة إلى ضباط جهاز المباحث</w:t>
      </w:r>
      <w:r w:rsidR="002302AD">
        <w:rPr>
          <w:rtl/>
          <w:lang w:val="en-US"/>
        </w:rPr>
        <w:t>،</w:t>
      </w:r>
      <w:r w:rsidRPr="007F34D8">
        <w:rPr>
          <w:rtl/>
          <w:lang w:val="en-US"/>
        </w:rPr>
        <w:t xml:space="preserve"> الذي يخضع حالياً لسلطة النيابة العامة ورئاسة أمن الدولة المنشأة حديث</w:t>
      </w:r>
      <w:r w:rsidR="007C38B3">
        <w:rPr>
          <w:rtl/>
          <w:lang w:val="en-US"/>
        </w:rPr>
        <w:t>اً،</w:t>
      </w:r>
      <w:r w:rsidRPr="007F34D8">
        <w:rPr>
          <w:rtl/>
          <w:lang w:val="en-US"/>
        </w:rPr>
        <w:t xml:space="preserve"> وأفراد هيئة الأمر بالمعروف والنهي عن المنكر</w:t>
      </w:r>
      <w:r w:rsidR="00705E32" w:rsidRPr="002C01CE">
        <w:rPr>
          <w:vertAlign w:val="superscript"/>
          <w:rtl/>
          <w:lang w:val="en-US"/>
        </w:rPr>
        <w:t>(</w:t>
      </w:r>
      <w:r w:rsidR="00705E32" w:rsidRPr="00995CF3">
        <w:rPr>
          <w:rStyle w:val="FootnoteReference"/>
          <w:szCs w:val="22"/>
          <w:lang w:val="en-US"/>
        </w:rPr>
        <w:footnoteReference w:id="20"/>
      </w:r>
      <w:r w:rsidR="00705E32" w:rsidRPr="002C01CE">
        <w:rPr>
          <w:vertAlign w:val="superscript"/>
          <w:rtl/>
          <w:lang w:val="en-US"/>
        </w:rPr>
        <w:t>)</w:t>
      </w:r>
      <w:r w:rsidR="002302AD">
        <w:rPr>
          <w:rtl/>
          <w:lang w:val="en-US"/>
        </w:rPr>
        <w:t>،</w:t>
      </w:r>
      <w:r w:rsidRPr="007F34D8">
        <w:rPr>
          <w:rtl/>
          <w:lang w:val="en-US"/>
        </w:rPr>
        <w:t xml:space="preserve"> وبالإشارة إلى ما ذكرته التقارير عن وجود أماكن احتجاز سرية</w:t>
      </w:r>
      <w:r w:rsidR="002302AD">
        <w:rPr>
          <w:rtl/>
          <w:lang w:val="en-US"/>
        </w:rPr>
        <w:t>،</w:t>
      </w:r>
      <w:r w:rsidRPr="007F34D8">
        <w:rPr>
          <w:rtl/>
          <w:lang w:val="en-US"/>
        </w:rPr>
        <w:t xml:space="preserve"> يرجى </w:t>
      </w:r>
      <w:r w:rsidRPr="00CC268E">
        <w:rPr>
          <w:spacing w:val="-2"/>
          <w:rtl/>
          <w:lang w:val="en-US"/>
        </w:rPr>
        <w:t>بيان ما إذا كانت الدولة الطرف قد فتحت تحقيقات في هذه الممارسات المزعومة</w:t>
      </w:r>
      <w:r w:rsidR="002302AD" w:rsidRPr="00CC268E">
        <w:rPr>
          <w:spacing w:val="-2"/>
          <w:rtl/>
          <w:lang w:val="en-US"/>
        </w:rPr>
        <w:t>،</w:t>
      </w:r>
      <w:r w:rsidRPr="00CC268E">
        <w:rPr>
          <w:spacing w:val="-2"/>
          <w:rtl/>
          <w:lang w:val="en-US"/>
        </w:rPr>
        <w:t xml:space="preserve"> وعن وجود أماكن احتجاز</w:t>
      </w:r>
      <w:r w:rsidRPr="007F34D8">
        <w:rPr>
          <w:rtl/>
          <w:lang w:val="en-US"/>
        </w:rPr>
        <w:t xml:space="preserve"> </w:t>
      </w:r>
      <w:r w:rsidRPr="00CC268E">
        <w:rPr>
          <w:spacing w:val="-2"/>
          <w:rtl/>
          <w:lang w:val="en-US"/>
        </w:rPr>
        <w:t>سرية غير رسمية.</w:t>
      </w:r>
      <w:r w:rsidR="00705E32" w:rsidRPr="00CC268E">
        <w:rPr>
          <w:rFonts w:hint="cs"/>
          <w:spacing w:val="-2"/>
          <w:rtl/>
          <w:lang w:val="en-US"/>
        </w:rPr>
        <w:t xml:space="preserve"> </w:t>
      </w:r>
      <w:r w:rsidRPr="00CC268E">
        <w:rPr>
          <w:spacing w:val="-2"/>
          <w:rtl/>
          <w:lang w:val="en-US"/>
        </w:rPr>
        <w:t>وإذا كان الأمر كذلك</w:t>
      </w:r>
      <w:r w:rsidR="002302AD" w:rsidRPr="00CC268E">
        <w:rPr>
          <w:spacing w:val="-2"/>
          <w:rtl/>
          <w:lang w:val="en-US"/>
        </w:rPr>
        <w:t>،</w:t>
      </w:r>
      <w:r w:rsidRPr="00CC268E">
        <w:rPr>
          <w:spacing w:val="-2"/>
          <w:rtl/>
          <w:lang w:val="en-US"/>
        </w:rPr>
        <w:t xml:space="preserve"> يرجى بيان النتائج التي أسفرت عنها هذه التحقيقات</w:t>
      </w:r>
      <w:r w:rsidR="002302AD" w:rsidRPr="00CC268E">
        <w:rPr>
          <w:spacing w:val="-2"/>
          <w:rtl/>
          <w:lang w:val="en-US"/>
        </w:rPr>
        <w:t>،</w:t>
      </w:r>
      <w:r w:rsidRPr="00CC268E">
        <w:rPr>
          <w:spacing w:val="-2"/>
          <w:rtl/>
          <w:lang w:val="en-US"/>
        </w:rPr>
        <w:t xml:space="preserve"> وذكر ما إذا</w:t>
      </w:r>
      <w:r w:rsidRPr="007F34D8">
        <w:rPr>
          <w:rtl/>
          <w:lang w:val="en-US"/>
        </w:rPr>
        <w:t xml:space="preserve"> كان الأشخاص الذين يمارسون رقابة فعلية على أماكن الاحتجاز غير الرسمية قد خضعوا للمساءلة</w:t>
      </w:r>
      <w:r w:rsidR="002302AD">
        <w:rPr>
          <w:rtl/>
          <w:lang w:val="en-US"/>
        </w:rPr>
        <w:t>،</w:t>
      </w:r>
      <w:r w:rsidRPr="007F34D8">
        <w:rPr>
          <w:rtl/>
          <w:lang w:val="en-US"/>
        </w:rPr>
        <w:t xml:space="preserve"> ونوع التأديب أو العقاب الذي طبق في حقهم. ويرجى </w:t>
      </w:r>
      <w:r w:rsidR="002302AD">
        <w:rPr>
          <w:rtl/>
          <w:lang w:val="en-US"/>
        </w:rPr>
        <w:t xml:space="preserve">أيضاً </w:t>
      </w:r>
      <w:r w:rsidRPr="007F34D8">
        <w:rPr>
          <w:rtl/>
          <w:lang w:val="en-US"/>
        </w:rPr>
        <w:t xml:space="preserve">توضيح ما إذا كانت هيئة الأمر بالمعروف والنهي عن المنكر والنيابة العامة ورئاسة أمن الدولة تخضع للإشراف القضائي العادي. ويرجى </w:t>
      </w:r>
      <w:r w:rsidRPr="00705E32">
        <w:rPr>
          <w:spacing w:val="-2"/>
          <w:rtl/>
          <w:lang w:val="en-US"/>
        </w:rPr>
        <w:t xml:space="preserve">ذكر الإجراءات </w:t>
      </w:r>
      <w:r w:rsidRPr="00CC268E">
        <w:rPr>
          <w:spacing w:val="-5"/>
          <w:rtl/>
          <w:lang w:val="en-US"/>
        </w:rPr>
        <w:t>المتخذة لرصد مرافق الاحتجاز التابعة لجهاز المباحث وموظفي هيئة الأمر بالمعروف والنهي عن المنكر والنيابة</w:t>
      </w:r>
      <w:r w:rsidRPr="00705E32">
        <w:rPr>
          <w:spacing w:val="-2"/>
          <w:rtl/>
          <w:lang w:val="en-US"/>
        </w:rPr>
        <w:t xml:space="preserve"> العامة ورئاسة أمن الدولة</w:t>
      </w:r>
      <w:r w:rsidR="002302AD">
        <w:rPr>
          <w:spacing w:val="-2"/>
          <w:rtl/>
          <w:lang w:val="en-US"/>
        </w:rPr>
        <w:t>،</w:t>
      </w:r>
      <w:r w:rsidRPr="00705E32">
        <w:rPr>
          <w:spacing w:val="-2"/>
          <w:rtl/>
          <w:lang w:val="en-US"/>
        </w:rPr>
        <w:t xml:space="preserve"> وتوضيح ما إذا كان قد طلب من الموظفين المذكورين أعلاه إحضار الأشخاص </w:t>
      </w:r>
      <w:r w:rsidRPr="00CC268E">
        <w:rPr>
          <w:spacing w:val="-5"/>
          <w:rtl/>
          <w:lang w:val="en-US"/>
        </w:rPr>
        <w:t>للمثول أمام قاض خلال فترة زمنية قصيرة. ويرجى بيان عدد الأشخاص الذين احتجزهم وكلاء جهاز المباحث</w:t>
      </w:r>
      <w:r w:rsidRPr="00705E32">
        <w:rPr>
          <w:spacing w:val="-2"/>
          <w:rtl/>
          <w:lang w:val="en-US"/>
        </w:rPr>
        <w:t xml:space="preserve"> والنيابة العامة ورئاسة أمن الدولة سنوي</w:t>
      </w:r>
      <w:r w:rsidR="00A6354F">
        <w:rPr>
          <w:spacing w:val="-2"/>
          <w:rtl/>
          <w:lang w:val="en-US"/>
        </w:rPr>
        <w:t xml:space="preserve">اً </w:t>
      </w:r>
      <w:r w:rsidRPr="00705E32">
        <w:rPr>
          <w:spacing w:val="-2"/>
          <w:rtl/>
          <w:lang w:val="en-US"/>
        </w:rPr>
        <w:t>خلال الفترة المشمولة بالاستعراض</w:t>
      </w:r>
      <w:r w:rsidR="002302AD">
        <w:rPr>
          <w:spacing w:val="-2"/>
          <w:rtl/>
          <w:lang w:val="en-US"/>
        </w:rPr>
        <w:t>،</w:t>
      </w:r>
      <w:r w:rsidRPr="00705E32">
        <w:rPr>
          <w:spacing w:val="-2"/>
          <w:rtl/>
          <w:lang w:val="en-US"/>
        </w:rPr>
        <w:t xml:space="preserve"> وأسماء مراكز الاحتجاز التي يُحتجزون فيها حالي</w:t>
      </w:r>
      <w:r w:rsidR="007C38B3">
        <w:rPr>
          <w:spacing w:val="-2"/>
          <w:rtl/>
          <w:lang w:val="en-US"/>
        </w:rPr>
        <w:t>اً،</w:t>
      </w:r>
      <w:r w:rsidRPr="00705E32">
        <w:rPr>
          <w:spacing w:val="-2"/>
          <w:rtl/>
          <w:lang w:val="en-US"/>
        </w:rPr>
        <w:t xml:space="preserve"> والمدة الزمنية التي قضوها في الاحتجاز قبل</w:t>
      </w:r>
      <w:r w:rsidRPr="007F34D8">
        <w:rPr>
          <w:rtl/>
          <w:lang w:val="en-US"/>
        </w:rPr>
        <w:t xml:space="preserve"> مثولهم أمام سلطة قضائية. </w:t>
      </w:r>
    </w:p>
    <w:p w14:paraId="4FEE7A1F" w14:textId="370BD63C" w:rsidR="00E609CB" w:rsidRPr="00CC268E" w:rsidRDefault="00E609CB" w:rsidP="00CC268E">
      <w:pPr>
        <w:pStyle w:val="SingleTxtGA"/>
        <w:spacing w:line="346" w:lineRule="exact"/>
        <w:rPr>
          <w:spacing w:val="-4"/>
          <w:lang w:val="en-US"/>
        </w:rPr>
      </w:pPr>
      <w:r w:rsidRPr="00995CF3">
        <w:rPr>
          <w:spacing w:val="-4"/>
          <w:rtl/>
          <w:lang w:val="en-US"/>
        </w:rPr>
        <w:lastRenderedPageBreak/>
        <w:t>6</w:t>
      </w:r>
      <w:r w:rsidRPr="00CC268E">
        <w:rPr>
          <w:spacing w:val="-4"/>
          <w:rtl/>
          <w:lang w:val="en-US"/>
        </w:rPr>
        <w:t>-</w:t>
      </w:r>
      <w:r w:rsidRPr="00CC268E">
        <w:rPr>
          <w:spacing w:val="-4"/>
          <w:rtl/>
          <w:lang w:val="en-US"/>
        </w:rPr>
        <w:tab/>
        <w:t xml:space="preserve">وفي ضوء الملاحظات الختامية السابقة </w:t>
      </w:r>
      <w:proofErr w:type="gramStart"/>
      <w:r w:rsidRPr="00CC268E">
        <w:rPr>
          <w:spacing w:val="-4"/>
          <w:rtl/>
          <w:lang w:val="en-US"/>
        </w:rPr>
        <w:t>للجنة</w:t>
      </w:r>
      <w:r w:rsidR="00705E32" w:rsidRPr="00CC268E">
        <w:rPr>
          <w:spacing w:val="-4"/>
          <w:vertAlign w:val="superscript"/>
          <w:rtl/>
          <w:lang w:val="en-US"/>
        </w:rPr>
        <w:t>(</w:t>
      </w:r>
      <w:proofErr w:type="gramEnd"/>
      <w:r w:rsidR="00705E32" w:rsidRPr="00995CF3">
        <w:rPr>
          <w:rStyle w:val="FootnoteReference"/>
          <w:spacing w:val="-4"/>
          <w:szCs w:val="22"/>
          <w:lang w:val="en-US"/>
        </w:rPr>
        <w:footnoteReference w:id="21"/>
      </w:r>
      <w:r w:rsidR="00705E32" w:rsidRPr="00CC268E">
        <w:rPr>
          <w:spacing w:val="-4"/>
          <w:vertAlign w:val="superscript"/>
          <w:rtl/>
          <w:lang w:val="en-US"/>
        </w:rPr>
        <w:t>)</w:t>
      </w:r>
      <w:r w:rsidR="002302AD" w:rsidRPr="00CC268E">
        <w:rPr>
          <w:spacing w:val="-4"/>
          <w:rtl/>
          <w:lang w:val="en-US"/>
        </w:rPr>
        <w:t>،</w:t>
      </w:r>
      <w:r w:rsidRPr="00CC268E">
        <w:rPr>
          <w:spacing w:val="-4"/>
          <w:rtl/>
          <w:lang w:val="en-US"/>
        </w:rPr>
        <w:t xml:space="preserve"> يرجى تقديم معلومات عن التدابير التي اتخذتها </w:t>
      </w:r>
      <w:r w:rsidRPr="00CC268E">
        <w:rPr>
          <w:rtl/>
          <w:lang w:val="en-US"/>
        </w:rPr>
        <w:t>الدولة الطرف لمكافحة جميع أشكال العنف ضد النساء والفتيات</w:t>
      </w:r>
      <w:r w:rsidR="00705E32" w:rsidRPr="00CC268E">
        <w:rPr>
          <w:vertAlign w:val="superscript"/>
          <w:rtl/>
          <w:lang w:val="en-US"/>
        </w:rPr>
        <w:t>(</w:t>
      </w:r>
      <w:r w:rsidR="00705E32" w:rsidRPr="00995CF3">
        <w:rPr>
          <w:rStyle w:val="FootnoteReference"/>
          <w:szCs w:val="22"/>
          <w:lang w:val="en-US"/>
        </w:rPr>
        <w:footnoteReference w:id="22"/>
      </w:r>
      <w:r w:rsidR="00705E32" w:rsidRPr="00CC268E">
        <w:rPr>
          <w:vertAlign w:val="superscript"/>
          <w:rtl/>
          <w:lang w:val="en-US"/>
        </w:rPr>
        <w:t>)</w:t>
      </w:r>
      <w:r w:rsidR="002302AD" w:rsidRPr="00CC268E">
        <w:rPr>
          <w:rtl/>
          <w:lang w:val="en-US"/>
        </w:rPr>
        <w:t>،</w:t>
      </w:r>
      <w:r w:rsidRPr="00CC268E">
        <w:rPr>
          <w:rtl/>
          <w:lang w:val="en-US"/>
        </w:rPr>
        <w:t xml:space="preserve"> بما في ذلك العنف ضد العاملات المنزليات</w:t>
      </w:r>
      <w:r w:rsidR="00705E32" w:rsidRPr="00CC268E">
        <w:rPr>
          <w:spacing w:val="-4"/>
          <w:vertAlign w:val="superscript"/>
          <w:rtl/>
          <w:lang w:val="en-US"/>
        </w:rPr>
        <w:t>(</w:t>
      </w:r>
      <w:r w:rsidR="00705E32" w:rsidRPr="00995CF3">
        <w:rPr>
          <w:rStyle w:val="FootnoteReference"/>
          <w:spacing w:val="-4"/>
          <w:szCs w:val="22"/>
          <w:lang w:val="en-US"/>
        </w:rPr>
        <w:footnoteReference w:id="23"/>
      </w:r>
      <w:r w:rsidR="00705E32" w:rsidRPr="00CC268E">
        <w:rPr>
          <w:spacing w:val="-4"/>
          <w:vertAlign w:val="superscript"/>
          <w:rtl/>
          <w:lang w:val="en-US"/>
        </w:rPr>
        <w:t>)</w:t>
      </w:r>
      <w:r w:rsidR="002302AD" w:rsidRPr="00CC268E">
        <w:rPr>
          <w:spacing w:val="-4"/>
          <w:rtl/>
          <w:lang w:val="en-US"/>
        </w:rPr>
        <w:t>،</w:t>
      </w:r>
      <w:r w:rsidRPr="00CC268E">
        <w:rPr>
          <w:spacing w:val="-4"/>
          <w:rtl/>
          <w:lang w:val="en-US"/>
        </w:rPr>
        <w:t xml:space="preserve"> والقضاء على التعقيم غير الطوعي للنساء ذوات الإعاقة النفسية أو الذهنية</w:t>
      </w:r>
      <w:r w:rsidR="00705E32" w:rsidRPr="00CC268E">
        <w:rPr>
          <w:spacing w:val="-4"/>
          <w:vertAlign w:val="superscript"/>
          <w:rtl/>
          <w:lang w:val="en-US"/>
        </w:rPr>
        <w:t>(</w:t>
      </w:r>
      <w:r w:rsidR="00705E32" w:rsidRPr="00995CF3">
        <w:rPr>
          <w:rStyle w:val="FootnoteReference"/>
          <w:spacing w:val="-4"/>
          <w:szCs w:val="22"/>
          <w:lang w:val="en-US"/>
        </w:rPr>
        <w:footnoteReference w:id="24"/>
      </w:r>
      <w:r w:rsidR="00705E32" w:rsidRPr="00CC268E">
        <w:rPr>
          <w:spacing w:val="-4"/>
          <w:vertAlign w:val="superscript"/>
          <w:rtl/>
          <w:lang w:val="en-US"/>
        </w:rPr>
        <w:t>)</w:t>
      </w:r>
      <w:r w:rsidRPr="00CC268E">
        <w:rPr>
          <w:spacing w:val="-4"/>
          <w:rtl/>
          <w:lang w:val="en-US"/>
        </w:rPr>
        <w:t xml:space="preserve"> - ولا سيما </w:t>
      </w:r>
      <w:r w:rsidRPr="00CC268E">
        <w:rPr>
          <w:spacing w:val="-2"/>
          <w:rtl/>
          <w:lang w:val="en-US"/>
        </w:rPr>
        <w:t>ما</w:t>
      </w:r>
      <w:r w:rsidR="00CC268E" w:rsidRPr="00CC268E">
        <w:rPr>
          <w:rFonts w:hint="cs"/>
          <w:spacing w:val="-2"/>
          <w:rtl/>
          <w:lang w:val="en-US"/>
        </w:rPr>
        <w:t> </w:t>
      </w:r>
      <w:r w:rsidRPr="00CC268E">
        <w:rPr>
          <w:spacing w:val="-2"/>
          <w:rtl/>
          <w:lang w:val="en-US"/>
        </w:rPr>
        <w:t>تعلق منها بالحالات الناجمة عن فعل أو تقصير منسوب إلى سلطات الدولة أو غيرها من الحالات التي تترتب عليها مسؤولية دولية على الدولة الطرف وفق</w:t>
      </w:r>
      <w:r w:rsidR="00A6354F" w:rsidRPr="00CC268E">
        <w:rPr>
          <w:spacing w:val="-2"/>
          <w:rtl/>
          <w:lang w:val="en-US"/>
        </w:rPr>
        <w:t xml:space="preserve">اً </w:t>
      </w:r>
      <w:r w:rsidRPr="00CC268E">
        <w:rPr>
          <w:spacing w:val="-2"/>
          <w:rtl/>
          <w:lang w:val="en-US"/>
        </w:rPr>
        <w:t>للاتفاقية.</w:t>
      </w:r>
      <w:r w:rsidR="00705E32" w:rsidRPr="00CC268E">
        <w:rPr>
          <w:rFonts w:hint="cs"/>
          <w:spacing w:val="-2"/>
          <w:rtl/>
          <w:lang w:val="en-US"/>
        </w:rPr>
        <w:t xml:space="preserve"> </w:t>
      </w:r>
      <w:r w:rsidRPr="00CC268E">
        <w:rPr>
          <w:spacing w:val="-2"/>
          <w:rtl/>
          <w:lang w:val="en-US"/>
        </w:rPr>
        <w:t>ويرجى</w:t>
      </w:r>
      <w:r w:rsidR="002302AD" w:rsidRPr="00CC268E">
        <w:rPr>
          <w:spacing w:val="-2"/>
          <w:rtl/>
          <w:lang w:val="en-US"/>
        </w:rPr>
        <w:t>،</w:t>
      </w:r>
      <w:r w:rsidRPr="00CC268E">
        <w:rPr>
          <w:spacing w:val="-2"/>
          <w:rtl/>
          <w:lang w:val="en-US"/>
        </w:rPr>
        <w:t xml:space="preserve"> على وجه الخصوص</w:t>
      </w:r>
      <w:r w:rsidR="002302AD" w:rsidRPr="00CC268E">
        <w:rPr>
          <w:spacing w:val="-2"/>
          <w:rtl/>
          <w:lang w:val="en-US"/>
        </w:rPr>
        <w:t>،</w:t>
      </w:r>
      <w:r w:rsidRPr="00CC268E">
        <w:rPr>
          <w:spacing w:val="-2"/>
          <w:rtl/>
          <w:lang w:val="en-US"/>
        </w:rPr>
        <w:t xml:space="preserve"> توضيح ما إذا كانت الدولة الطرف قد اتخذت أي خطوات لتحقيق ما يلي: (أ) تجريم جميع أشكال العنف ضد المرأة</w:t>
      </w:r>
      <w:r w:rsidR="002302AD" w:rsidRPr="00CC268E">
        <w:rPr>
          <w:spacing w:val="-2"/>
          <w:rtl/>
          <w:lang w:val="en-US"/>
        </w:rPr>
        <w:t>،</w:t>
      </w:r>
      <w:r w:rsidRPr="00CC268E">
        <w:rPr>
          <w:spacing w:val="-2"/>
          <w:rtl/>
          <w:lang w:val="en-US"/>
        </w:rPr>
        <w:t xml:space="preserve"> بما في ذلك الاغتصاب والاغتصاب الزوجي والزواج بالإكراه</w:t>
      </w:r>
      <w:r w:rsidR="006F2409" w:rsidRPr="00CC268E">
        <w:rPr>
          <w:spacing w:val="-2"/>
          <w:vertAlign w:val="superscript"/>
          <w:rtl/>
          <w:lang w:val="en-US"/>
        </w:rPr>
        <w:t>(</w:t>
      </w:r>
      <w:r w:rsidR="006F2409" w:rsidRPr="00995CF3">
        <w:rPr>
          <w:rStyle w:val="FootnoteReference"/>
          <w:spacing w:val="-2"/>
          <w:szCs w:val="22"/>
          <w:lang w:val="en-US"/>
        </w:rPr>
        <w:footnoteReference w:id="25"/>
      </w:r>
      <w:r w:rsidR="006F2409" w:rsidRPr="00CC268E">
        <w:rPr>
          <w:spacing w:val="-2"/>
          <w:vertAlign w:val="superscript"/>
          <w:rtl/>
          <w:lang w:val="en-US"/>
        </w:rPr>
        <w:t>)</w:t>
      </w:r>
      <w:r w:rsidRPr="00CC268E">
        <w:rPr>
          <w:spacing w:val="-2"/>
          <w:rtl/>
          <w:lang w:val="en-US"/>
        </w:rPr>
        <w:t xml:space="preserve">؛ (ب) إصلاح نظام </w:t>
      </w:r>
      <w:r w:rsidRPr="00CC268E">
        <w:rPr>
          <w:i/>
          <w:iCs/>
          <w:spacing w:val="-2"/>
          <w:rtl/>
          <w:lang w:val="en-US"/>
        </w:rPr>
        <w:t>الكفالة</w:t>
      </w:r>
      <w:r w:rsidRPr="00CC268E">
        <w:rPr>
          <w:spacing w:val="-2"/>
          <w:rtl/>
          <w:lang w:val="en-US"/>
        </w:rPr>
        <w:t xml:space="preserve"> لضمان عدم تعرض العاملات المهاجرات لسوء معاملة يشكل انتهاك</w:t>
      </w:r>
      <w:r w:rsidR="00A6354F" w:rsidRPr="00CC268E">
        <w:rPr>
          <w:spacing w:val="-2"/>
          <w:rtl/>
          <w:lang w:val="en-US"/>
        </w:rPr>
        <w:t xml:space="preserve">اً </w:t>
      </w:r>
      <w:r w:rsidRPr="00CC268E">
        <w:rPr>
          <w:spacing w:val="-2"/>
          <w:rtl/>
          <w:lang w:val="en-US"/>
        </w:rPr>
        <w:t>للاتفاقية</w:t>
      </w:r>
      <w:r w:rsidR="006F2409" w:rsidRPr="00CC268E">
        <w:rPr>
          <w:spacing w:val="-2"/>
          <w:vertAlign w:val="superscript"/>
          <w:rtl/>
          <w:lang w:val="en-US"/>
        </w:rPr>
        <w:t>(</w:t>
      </w:r>
      <w:r w:rsidR="006F2409" w:rsidRPr="00995CF3">
        <w:rPr>
          <w:rStyle w:val="FootnoteReference"/>
          <w:spacing w:val="-2"/>
          <w:szCs w:val="22"/>
          <w:lang w:val="en-US"/>
        </w:rPr>
        <w:footnoteReference w:id="26"/>
      </w:r>
      <w:r w:rsidR="006F2409" w:rsidRPr="00CC268E">
        <w:rPr>
          <w:spacing w:val="-2"/>
          <w:vertAlign w:val="superscript"/>
          <w:rtl/>
          <w:lang w:val="en-US"/>
        </w:rPr>
        <w:t>)</w:t>
      </w:r>
      <w:r w:rsidRPr="00CC268E">
        <w:rPr>
          <w:spacing w:val="-2"/>
          <w:rtl/>
          <w:lang w:val="en-US"/>
        </w:rPr>
        <w:t>؛ (ج) اعتماد تشريعات العمل التي توفر الحماية القانونية للعمال المنزليين المهاجرين من الاستغلال والتعذيب وسوء المعاملة والاتجار</w:t>
      </w:r>
      <w:r w:rsidR="006F2409" w:rsidRPr="00CC268E">
        <w:rPr>
          <w:spacing w:val="-2"/>
          <w:vertAlign w:val="superscript"/>
          <w:rtl/>
          <w:lang w:val="en-US"/>
        </w:rPr>
        <w:t>(</w:t>
      </w:r>
      <w:r w:rsidR="006F2409" w:rsidRPr="00995CF3">
        <w:rPr>
          <w:rStyle w:val="FootnoteReference"/>
          <w:spacing w:val="-2"/>
          <w:szCs w:val="22"/>
          <w:lang w:val="en-US"/>
        </w:rPr>
        <w:footnoteReference w:id="27"/>
      </w:r>
      <w:r w:rsidR="006F2409" w:rsidRPr="00CC268E">
        <w:rPr>
          <w:spacing w:val="-2"/>
          <w:vertAlign w:val="superscript"/>
          <w:rtl/>
          <w:lang w:val="en-US"/>
        </w:rPr>
        <w:t>)</w:t>
      </w:r>
      <w:r w:rsidRPr="00CC268E">
        <w:rPr>
          <w:spacing w:val="-2"/>
          <w:rtl/>
          <w:lang w:val="en-US"/>
        </w:rPr>
        <w:t>؛ (د) ضمان قدرة المرأة عملي</w:t>
      </w:r>
      <w:r w:rsidR="007C38B3" w:rsidRPr="00CC268E">
        <w:rPr>
          <w:spacing w:val="-2"/>
          <w:rtl/>
          <w:lang w:val="en-US"/>
        </w:rPr>
        <w:t>اً،</w:t>
      </w:r>
      <w:r w:rsidRPr="00CC268E">
        <w:rPr>
          <w:spacing w:val="-2"/>
          <w:rtl/>
          <w:lang w:val="en-US"/>
        </w:rPr>
        <w:t xml:space="preserve"> بمن في ذلك العاملة المهاجرة التي تعرضت للعنف أو سوء المعاملة أو الاتجار</w:t>
      </w:r>
      <w:r w:rsidR="006F2409" w:rsidRPr="00CC268E">
        <w:rPr>
          <w:spacing w:val="-2"/>
          <w:vertAlign w:val="superscript"/>
          <w:rtl/>
          <w:lang w:val="en-US"/>
        </w:rPr>
        <w:t>(</w:t>
      </w:r>
      <w:r w:rsidR="006F2409" w:rsidRPr="00995CF3">
        <w:rPr>
          <w:rStyle w:val="FootnoteReference"/>
          <w:spacing w:val="-2"/>
          <w:szCs w:val="22"/>
          <w:lang w:val="en-US"/>
        </w:rPr>
        <w:footnoteReference w:id="28"/>
      </w:r>
      <w:r w:rsidR="006F2409" w:rsidRPr="00CC268E">
        <w:rPr>
          <w:spacing w:val="-2"/>
          <w:vertAlign w:val="superscript"/>
          <w:rtl/>
          <w:lang w:val="en-US"/>
        </w:rPr>
        <w:t>)</w:t>
      </w:r>
      <w:r w:rsidR="002302AD" w:rsidRPr="00CC268E">
        <w:rPr>
          <w:spacing w:val="-2"/>
          <w:rtl/>
          <w:lang w:val="en-US"/>
        </w:rPr>
        <w:t>،</w:t>
      </w:r>
      <w:r w:rsidRPr="00CC268E">
        <w:rPr>
          <w:spacing w:val="-2"/>
          <w:rtl/>
          <w:lang w:val="en-US"/>
        </w:rPr>
        <w:t xml:space="preserve"> على تقديم شكاوى دونما حاجة إلى إذن ولي الأمر</w:t>
      </w:r>
      <w:r w:rsidR="006F2409" w:rsidRPr="00CC268E">
        <w:rPr>
          <w:spacing w:val="-2"/>
          <w:vertAlign w:val="superscript"/>
          <w:rtl/>
          <w:lang w:val="en-US"/>
        </w:rPr>
        <w:t>(</w:t>
      </w:r>
      <w:r w:rsidR="006F2409" w:rsidRPr="00995CF3">
        <w:rPr>
          <w:rStyle w:val="FootnoteReference"/>
          <w:spacing w:val="-2"/>
          <w:szCs w:val="22"/>
          <w:lang w:val="en-US"/>
        </w:rPr>
        <w:footnoteReference w:id="29"/>
      </w:r>
      <w:r w:rsidR="006F2409" w:rsidRPr="00CC268E">
        <w:rPr>
          <w:spacing w:val="-2"/>
          <w:vertAlign w:val="superscript"/>
          <w:rtl/>
          <w:lang w:val="en-US"/>
        </w:rPr>
        <w:t>)</w:t>
      </w:r>
      <w:r w:rsidR="002302AD" w:rsidRPr="00CC268E">
        <w:rPr>
          <w:spacing w:val="-2"/>
          <w:rtl/>
          <w:lang w:val="en-US"/>
        </w:rPr>
        <w:t>،</w:t>
      </w:r>
      <w:r w:rsidRPr="00CC268E">
        <w:rPr>
          <w:spacing w:val="-2"/>
          <w:rtl/>
          <w:lang w:val="en-US"/>
        </w:rPr>
        <w:t xml:space="preserve"> ومن دون خوف من عقوبة الزنا</w:t>
      </w:r>
      <w:r w:rsidR="006F2409" w:rsidRPr="00CC268E">
        <w:rPr>
          <w:spacing w:val="-2"/>
          <w:vertAlign w:val="superscript"/>
          <w:rtl/>
          <w:lang w:val="en-US"/>
        </w:rPr>
        <w:t>(</w:t>
      </w:r>
      <w:r w:rsidR="006F2409" w:rsidRPr="00995CF3">
        <w:rPr>
          <w:rStyle w:val="FootnoteReference"/>
          <w:spacing w:val="-2"/>
          <w:szCs w:val="22"/>
          <w:lang w:val="en-US"/>
        </w:rPr>
        <w:footnoteReference w:id="30"/>
      </w:r>
      <w:r w:rsidR="006F2409" w:rsidRPr="00CC268E">
        <w:rPr>
          <w:spacing w:val="-2"/>
          <w:vertAlign w:val="superscript"/>
          <w:rtl/>
          <w:lang w:val="en-US"/>
        </w:rPr>
        <w:t>)</w:t>
      </w:r>
      <w:r w:rsidR="002302AD" w:rsidRPr="00CC268E">
        <w:rPr>
          <w:spacing w:val="-2"/>
          <w:rtl/>
          <w:lang w:val="en-US"/>
        </w:rPr>
        <w:t>،</w:t>
      </w:r>
      <w:r w:rsidRPr="00CC268E">
        <w:rPr>
          <w:spacing w:val="-2"/>
          <w:rtl/>
          <w:lang w:val="en-US"/>
        </w:rPr>
        <w:t xml:space="preserve"> وعدم إدانتها بالعصيان في حالة الفرار من</w:t>
      </w:r>
      <w:r w:rsidR="00CC268E" w:rsidRPr="00CC268E">
        <w:rPr>
          <w:rFonts w:hint="cs"/>
          <w:spacing w:val="-2"/>
          <w:rtl/>
          <w:lang w:val="en-US"/>
        </w:rPr>
        <w:t> </w:t>
      </w:r>
      <w:r w:rsidRPr="00CC268E">
        <w:rPr>
          <w:spacing w:val="-2"/>
          <w:rtl/>
          <w:lang w:val="en-US"/>
        </w:rPr>
        <w:t>بيتها</w:t>
      </w:r>
      <w:r w:rsidR="006F2409" w:rsidRPr="00CC268E">
        <w:rPr>
          <w:spacing w:val="-2"/>
          <w:vertAlign w:val="superscript"/>
          <w:rtl/>
          <w:lang w:val="en-US"/>
        </w:rPr>
        <w:t>(</w:t>
      </w:r>
      <w:r w:rsidR="006F2409" w:rsidRPr="00995CF3">
        <w:rPr>
          <w:rStyle w:val="FootnoteReference"/>
          <w:spacing w:val="-2"/>
          <w:szCs w:val="22"/>
          <w:lang w:val="en-US"/>
        </w:rPr>
        <w:footnoteReference w:id="31"/>
      </w:r>
      <w:r w:rsidR="006F2409" w:rsidRPr="00CC268E">
        <w:rPr>
          <w:spacing w:val="-2"/>
          <w:vertAlign w:val="superscript"/>
          <w:rtl/>
          <w:lang w:val="en-US"/>
        </w:rPr>
        <w:t>)</w:t>
      </w:r>
      <w:r w:rsidR="002302AD" w:rsidRPr="00CC268E">
        <w:rPr>
          <w:spacing w:val="-2"/>
          <w:rtl/>
          <w:lang w:val="en-US"/>
        </w:rPr>
        <w:t>،</w:t>
      </w:r>
      <w:r w:rsidRPr="00CC268E">
        <w:rPr>
          <w:spacing w:val="-2"/>
          <w:rtl/>
          <w:lang w:val="en-US"/>
        </w:rPr>
        <w:t xml:space="preserve"> وضمان توفر ما يكفي من الملاجئ وخدمات الدعم النفسي والاجتماعي والمعونة</w:t>
      </w:r>
      <w:r w:rsidRPr="00CC268E">
        <w:rPr>
          <w:spacing w:val="-4"/>
          <w:rtl/>
          <w:lang w:val="en-US"/>
        </w:rPr>
        <w:t xml:space="preserve"> القضائية</w:t>
      </w:r>
      <w:r w:rsidR="006F2409" w:rsidRPr="00CC268E">
        <w:rPr>
          <w:spacing w:val="-4"/>
          <w:vertAlign w:val="superscript"/>
          <w:rtl/>
          <w:lang w:val="en-US"/>
        </w:rPr>
        <w:t>(</w:t>
      </w:r>
      <w:r w:rsidR="006F2409" w:rsidRPr="00995CF3">
        <w:rPr>
          <w:rStyle w:val="FootnoteReference"/>
          <w:spacing w:val="-4"/>
          <w:szCs w:val="22"/>
          <w:lang w:val="en-US"/>
        </w:rPr>
        <w:footnoteReference w:id="32"/>
      </w:r>
      <w:r w:rsidR="006F2409" w:rsidRPr="00CC268E">
        <w:rPr>
          <w:spacing w:val="-4"/>
          <w:vertAlign w:val="superscript"/>
          <w:rtl/>
          <w:lang w:val="en-US"/>
        </w:rPr>
        <w:t>)</w:t>
      </w:r>
      <w:r w:rsidRPr="00CC268E">
        <w:rPr>
          <w:spacing w:val="-4"/>
          <w:rtl/>
          <w:lang w:val="en-US"/>
        </w:rPr>
        <w:t>؛ و(ه) تنظيم حملات لتوعية وتدريب موظفي القطاع العام وعامة الجمهور لكي يدركوا أكثر أن ممارسة العنف ضد المرأة يعتبر انتهاك</w:t>
      </w:r>
      <w:r w:rsidR="00A6354F" w:rsidRPr="00CC268E">
        <w:rPr>
          <w:spacing w:val="-4"/>
          <w:rtl/>
          <w:lang w:val="en-US"/>
        </w:rPr>
        <w:t xml:space="preserve">اً </w:t>
      </w:r>
      <w:r w:rsidRPr="00CC268E">
        <w:rPr>
          <w:spacing w:val="-4"/>
          <w:rtl/>
          <w:lang w:val="en-US"/>
        </w:rPr>
        <w:t>جسيم</w:t>
      </w:r>
      <w:r w:rsidR="00A6354F" w:rsidRPr="00CC268E">
        <w:rPr>
          <w:spacing w:val="-4"/>
          <w:rtl/>
          <w:lang w:val="en-US"/>
        </w:rPr>
        <w:t xml:space="preserve">اً </w:t>
      </w:r>
      <w:r w:rsidRPr="00CC268E">
        <w:rPr>
          <w:spacing w:val="-4"/>
          <w:rtl/>
          <w:lang w:val="en-US"/>
        </w:rPr>
        <w:t>للاتفاقية</w:t>
      </w:r>
      <w:r w:rsidR="006F2409" w:rsidRPr="00CC268E">
        <w:rPr>
          <w:spacing w:val="-4"/>
          <w:vertAlign w:val="superscript"/>
          <w:rtl/>
          <w:lang w:val="en-US"/>
        </w:rPr>
        <w:t>(</w:t>
      </w:r>
      <w:r w:rsidR="006F2409" w:rsidRPr="00995CF3">
        <w:rPr>
          <w:rStyle w:val="FootnoteReference"/>
          <w:spacing w:val="-4"/>
          <w:szCs w:val="22"/>
          <w:lang w:val="en-US"/>
        </w:rPr>
        <w:footnoteReference w:id="33"/>
      </w:r>
      <w:r w:rsidR="006F2409" w:rsidRPr="00CC268E">
        <w:rPr>
          <w:spacing w:val="-4"/>
          <w:vertAlign w:val="superscript"/>
          <w:rtl/>
          <w:lang w:val="en-US"/>
        </w:rPr>
        <w:t>)</w:t>
      </w:r>
      <w:r w:rsidRPr="00CC268E">
        <w:rPr>
          <w:spacing w:val="-4"/>
          <w:rtl/>
          <w:lang w:val="en-US"/>
        </w:rPr>
        <w:t>.</w:t>
      </w:r>
      <w:r w:rsidR="006F2409" w:rsidRPr="00CC268E">
        <w:rPr>
          <w:rFonts w:hint="cs"/>
          <w:spacing w:val="-4"/>
          <w:rtl/>
          <w:lang w:val="en-US"/>
        </w:rPr>
        <w:t xml:space="preserve"> </w:t>
      </w:r>
      <w:r w:rsidRPr="00CC268E">
        <w:rPr>
          <w:spacing w:val="-4"/>
          <w:rtl/>
          <w:lang w:val="en-US"/>
        </w:rPr>
        <w:t>ويرجى كذلك إدراج بيانات إحصائية مصنفة حسب سن الضحية (قاصر أو بالغ) وأصله الإثني أو جنسيته</w:t>
      </w:r>
      <w:r w:rsidR="002302AD" w:rsidRPr="00CC268E">
        <w:rPr>
          <w:spacing w:val="-4"/>
          <w:rtl/>
          <w:lang w:val="en-US"/>
        </w:rPr>
        <w:t>،</w:t>
      </w:r>
      <w:r w:rsidRPr="00CC268E">
        <w:rPr>
          <w:spacing w:val="-4"/>
          <w:rtl/>
          <w:lang w:val="en-US"/>
        </w:rPr>
        <w:t xml:space="preserve"> عن عدد الشكاوى والتحقيقات والملاحقات القضائية وأحكام الإدانة والعقوبات التي سُجلت في قضايا العنف الجنساني</w:t>
      </w:r>
      <w:r w:rsidR="002302AD" w:rsidRPr="00CC268E">
        <w:rPr>
          <w:spacing w:val="-4"/>
          <w:rtl/>
          <w:lang w:val="en-US"/>
        </w:rPr>
        <w:t>،</w:t>
      </w:r>
      <w:r w:rsidRPr="00CC268E">
        <w:rPr>
          <w:spacing w:val="-4"/>
          <w:rtl/>
          <w:lang w:val="en-US"/>
        </w:rPr>
        <w:t xml:space="preserve"> بما في ذلك الاتجار والتعذيب والتعقيم غير الطوعي للنساء ذوات الإعاقة النفسية أو الذهنية</w:t>
      </w:r>
      <w:r w:rsidR="002302AD" w:rsidRPr="00CC268E">
        <w:rPr>
          <w:spacing w:val="-4"/>
          <w:rtl/>
          <w:lang w:val="en-US"/>
        </w:rPr>
        <w:t>،</w:t>
      </w:r>
      <w:r w:rsidRPr="00CC268E">
        <w:rPr>
          <w:spacing w:val="-4"/>
          <w:rtl/>
          <w:lang w:val="en-US"/>
        </w:rPr>
        <w:t xml:space="preserve"> منذ النظر في التقرير الدوري </w:t>
      </w:r>
      <w:proofErr w:type="gramStart"/>
      <w:r w:rsidRPr="00CC268E">
        <w:rPr>
          <w:spacing w:val="-4"/>
          <w:rtl/>
          <w:lang w:val="en-US"/>
        </w:rPr>
        <w:t>السابق</w:t>
      </w:r>
      <w:r w:rsidRPr="00CC268E">
        <w:rPr>
          <w:spacing w:val="-4"/>
          <w:vertAlign w:val="superscript"/>
          <w:rtl/>
          <w:lang w:val="en-US"/>
        </w:rPr>
        <w:t>(</w:t>
      </w:r>
      <w:proofErr w:type="gramEnd"/>
      <w:r w:rsidRPr="00995CF3">
        <w:rPr>
          <w:rStyle w:val="FootnoteReference"/>
          <w:spacing w:val="-4"/>
          <w:szCs w:val="22"/>
          <w:lang w:val="en-US"/>
        </w:rPr>
        <w:footnoteReference w:id="34"/>
      </w:r>
      <w:r w:rsidRPr="00CC268E">
        <w:rPr>
          <w:spacing w:val="-4"/>
          <w:vertAlign w:val="superscript"/>
          <w:rtl/>
          <w:lang w:val="en-US"/>
        </w:rPr>
        <w:t>)</w:t>
      </w:r>
      <w:r w:rsidRPr="00CC268E">
        <w:rPr>
          <w:spacing w:val="-4"/>
          <w:rtl/>
          <w:lang w:val="en-US"/>
        </w:rPr>
        <w:t xml:space="preserve">. ويرجى ذكر ما إذا </w:t>
      </w:r>
      <w:r w:rsidRPr="00B35182">
        <w:rPr>
          <w:spacing w:val="-2"/>
          <w:rtl/>
          <w:lang w:val="en-US"/>
        </w:rPr>
        <w:t>كانت الدولة الطرف ستنظر في إلغاء تجريم</w:t>
      </w:r>
      <w:r w:rsidR="002302AD" w:rsidRPr="00B35182">
        <w:rPr>
          <w:spacing w:val="-2"/>
          <w:rtl/>
          <w:lang w:val="en-US"/>
        </w:rPr>
        <w:t xml:space="preserve"> </w:t>
      </w:r>
      <w:r w:rsidRPr="00B35182">
        <w:rPr>
          <w:spacing w:val="-2"/>
          <w:rtl/>
          <w:lang w:val="en-US"/>
        </w:rPr>
        <w:t>الإجهاض لضمان إمكانية الاستفادة بطريقة قانونية ومأمونة وفعالة من خدمات إنهاء الحمل طوعاً في حالة وجود خطر على حياة أو صحة المرأة أو الفتاة الحامل</w:t>
      </w:r>
      <w:r w:rsidR="002302AD" w:rsidRPr="00B35182">
        <w:rPr>
          <w:spacing w:val="-2"/>
          <w:rtl/>
          <w:lang w:val="en-US"/>
        </w:rPr>
        <w:t>،</w:t>
      </w:r>
      <w:r w:rsidRPr="00B35182">
        <w:rPr>
          <w:spacing w:val="-2"/>
          <w:rtl/>
          <w:lang w:val="en-US"/>
        </w:rPr>
        <w:t xml:space="preserve"> وفي حال كان إتمام شهور الحمل قد يلحق ضرر</w:t>
      </w:r>
      <w:r w:rsidR="00A6354F" w:rsidRPr="00B35182">
        <w:rPr>
          <w:spacing w:val="-2"/>
          <w:rtl/>
          <w:lang w:val="en-US"/>
        </w:rPr>
        <w:t xml:space="preserve">اً </w:t>
      </w:r>
      <w:r w:rsidRPr="00B35182">
        <w:rPr>
          <w:spacing w:val="-2"/>
          <w:rtl/>
          <w:lang w:val="en-US"/>
        </w:rPr>
        <w:t>كبير</w:t>
      </w:r>
      <w:r w:rsidR="00A6354F" w:rsidRPr="00B35182">
        <w:rPr>
          <w:spacing w:val="-2"/>
          <w:rtl/>
          <w:lang w:val="en-US"/>
        </w:rPr>
        <w:t xml:space="preserve">اً </w:t>
      </w:r>
      <w:r w:rsidRPr="00B35182">
        <w:rPr>
          <w:spacing w:val="-2"/>
          <w:rtl/>
          <w:lang w:val="en-US"/>
        </w:rPr>
        <w:t>بصحة المرأة أو الفتاة الحامل أو يسبب لها معاناة بالغة</w:t>
      </w:r>
      <w:r w:rsidR="002302AD" w:rsidRPr="00B35182">
        <w:rPr>
          <w:spacing w:val="-2"/>
          <w:rtl/>
          <w:lang w:val="en-US"/>
        </w:rPr>
        <w:t>،</w:t>
      </w:r>
      <w:r w:rsidRPr="00B35182">
        <w:rPr>
          <w:spacing w:val="-2"/>
          <w:rtl/>
          <w:lang w:val="en-US"/>
        </w:rPr>
        <w:t xml:space="preserve"> وخاصة في حالات الحمل الناتج عن الاغتصاب أو سفاح المحارم أو الحمل بجنين غير قابل </w:t>
      </w:r>
      <w:proofErr w:type="gramStart"/>
      <w:r w:rsidRPr="00B35182">
        <w:rPr>
          <w:spacing w:val="-2"/>
          <w:rtl/>
          <w:lang w:val="en-US"/>
        </w:rPr>
        <w:t>للحياة</w:t>
      </w:r>
      <w:r w:rsidRPr="00B35182">
        <w:rPr>
          <w:spacing w:val="-2"/>
          <w:vertAlign w:val="superscript"/>
          <w:rtl/>
          <w:lang w:val="en-US"/>
        </w:rPr>
        <w:t>(</w:t>
      </w:r>
      <w:proofErr w:type="gramEnd"/>
      <w:r w:rsidRPr="00995CF3">
        <w:rPr>
          <w:rStyle w:val="FootnoteReference"/>
          <w:spacing w:val="-2"/>
          <w:szCs w:val="22"/>
          <w:lang w:val="en-US"/>
        </w:rPr>
        <w:footnoteReference w:id="35"/>
      </w:r>
      <w:r w:rsidRPr="00B35182">
        <w:rPr>
          <w:spacing w:val="-2"/>
          <w:vertAlign w:val="superscript"/>
          <w:rtl/>
          <w:lang w:val="en-US"/>
        </w:rPr>
        <w:t>)</w:t>
      </w:r>
      <w:r w:rsidRPr="00B35182">
        <w:rPr>
          <w:spacing w:val="-2"/>
          <w:rtl/>
          <w:lang w:val="en-US"/>
        </w:rPr>
        <w:t>.</w:t>
      </w:r>
    </w:p>
    <w:p w14:paraId="0ACFD779" w14:textId="77777777" w:rsidR="00E609CB" w:rsidRPr="00995CF3" w:rsidRDefault="00E609CB" w:rsidP="00E609CB">
      <w:pPr>
        <w:pStyle w:val="H23GA"/>
      </w:pPr>
      <w:r w:rsidRPr="00995CF3">
        <w:rPr>
          <w:rtl/>
        </w:rPr>
        <w:lastRenderedPageBreak/>
        <w:tab/>
      </w:r>
      <w:r w:rsidRPr="00995CF3">
        <w:rPr>
          <w:rtl/>
        </w:rPr>
        <w:tab/>
        <w:t>المادة 3</w:t>
      </w:r>
    </w:p>
    <w:p w14:paraId="6289F91F" w14:textId="3FE64B32" w:rsidR="00E609CB" w:rsidRPr="007F34D8" w:rsidRDefault="00E609CB" w:rsidP="00E609CB">
      <w:pPr>
        <w:pStyle w:val="SingleTxtGA"/>
        <w:rPr>
          <w:lang w:val="en-US"/>
        </w:rPr>
      </w:pPr>
      <w:r w:rsidRPr="00995CF3">
        <w:rPr>
          <w:rtl/>
          <w:lang w:val="en-US"/>
        </w:rPr>
        <w:t>7</w:t>
      </w:r>
      <w:r w:rsidRPr="007F34D8">
        <w:rPr>
          <w:rtl/>
          <w:lang w:val="en-US"/>
        </w:rPr>
        <w:t>-</w:t>
      </w:r>
      <w:r w:rsidRPr="007F34D8">
        <w:rPr>
          <w:rtl/>
          <w:lang w:val="en-US"/>
        </w:rPr>
        <w:tab/>
        <w:t xml:space="preserve">فيما يخص الملاحظات الختامية السابقة </w:t>
      </w:r>
      <w:proofErr w:type="gramStart"/>
      <w:r w:rsidRPr="007F34D8">
        <w:rPr>
          <w:rtl/>
          <w:lang w:val="en-US"/>
        </w:rPr>
        <w:t>للجنة</w:t>
      </w:r>
      <w:r w:rsidR="006F2409" w:rsidRPr="002C01CE">
        <w:rPr>
          <w:vertAlign w:val="superscript"/>
          <w:rtl/>
          <w:lang w:val="en-US"/>
        </w:rPr>
        <w:t>(</w:t>
      </w:r>
      <w:proofErr w:type="gramEnd"/>
      <w:r w:rsidR="006F2409" w:rsidRPr="00995CF3">
        <w:rPr>
          <w:rStyle w:val="FootnoteReference"/>
          <w:szCs w:val="22"/>
          <w:lang w:val="en-US"/>
        </w:rPr>
        <w:footnoteReference w:id="36"/>
      </w:r>
      <w:r w:rsidR="006F2409" w:rsidRPr="002C01CE">
        <w:rPr>
          <w:vertAlign w:val="superscript"/>
          <w:rtl/>
          <w:lang w:val="en-US"/>
        </w:rPr>
        <w:t>)</w:t>
      </w:r>
      <w:r w:rsidR="002302AD">
        <w:rPr>
          <w:rtl/>
          <w:lang w:val="en-US"/>
        </w:rPr>
        <w:t>،</w:t>
      </w:r>
      <w:r w:rsidRPr="007F34D8">
        <w:rPr>
          <w:rtl/>
          <w:lang w:val="en-US"/>
        </w:rPr>
        <w:t xml:space="preserve"> يرجى توضيح ما إذا كانت الدولة الطرف قد اعتمدت تشريع</w:t>
      </w:r>
      <w:r w:rsidR="00A6354F">
        <w:rPr>
          <w:rtl/>
          <w:lang w:val="en-US"/>
        </w:rPr>
        <w:t xml:space="preserve">اً </w:t>
      </w:r>
      <w:r w:rsidRPr="007F34D8">
        <w:rPr>
          <w:rtl/>
          <w:lang w:val="en-US"/>
        </w:rPr>
        <w:t>يتضمن أحكام</w:t>
      </w:r>
      <w:r w:rsidR="00A6354F">
        <w:rPr>
          <w:rtl/>
          <w:lang w:val="en-US"/>
        </w:rPr>
        <w:t xml:space="preserve">اً </w:t>
      </w:r>
      <w:r w:rsidRPr="007F34D8">
        <w:rPr>
          <w:rtl/>
          <w:lang w:val="en-US"/>
        </w:rPr>
        <w:t>صريحة تنظم مسائل الطرد والإعادة القسرية والتسليم وفق</w:t>
      </w:r>
      <w:r w:rsidR="00A6354F">
        <w:rPr>
          <w:rtl/>
          <w:lang w:val="en-US"/>
        </w:rPr>
        <w:t xml:space="preserve">اً </w:t>
      </w:r>
      <w:r w:rsidRPr="007F34D8">
        <w:rPr>
          <w:rtl/>
          <w:lang w:val="en-US"/>
        </w:rPr>
        <w:t xml:space="preserve">لمبدأ عدم الإعادة القسرية الوارد في المادة </w:t>
      </w:r>
      <w:r w:rsidRPr="00995CF3">
        <w:rPr>
          <w:rtl/>
          <w:lang w:val="en-US"/>
        </w:rPr>
        <w:t>3</w:t>
      </w:r>
      <w:r w:rsidRPr="007F34D8">
        <w:rPr>
          <w:rtl/>
          <w:lang w:val="en-US"/>
        </w:rPr>
        <w:t xml:space="preserve"> من الاتفاقية. ويرجى </w:t>
      </w:r>
      <w:r w:rsidR="002302AD">
        <w:rPr>
          <w:rtl/>
          <w:lang w:val="en-US"/>
        </w:rPr>
        <w:t xml:space="preserve">أيضاً </w:t>
      </w:r>
      <w:r w:rsidRPr="007F34D8">
        <w:rPr>
          <w:rtl/>
          <w:lang w:val="en-US"/>
        </w:rPr>
        <w:t>تحديد ما إذا كان هذا التشريع ينص على سبل انتصاف فعالة في إجراءات الإبعاد</w:t>
      </w:r>
      <w:r w:rsidR="002302AD">
        <w:rPr>
          <w:rtl/>
          <w:lang w:val="en-US"/>
        </w:rPr>
        <w:t>،</w:t>
      </w:r>
      <w:r w:rsidRPr="007F34D8">
        <w:rPr>
          <w:rtl/>
          <w:lang w:val="en-US"/>
        </w:rPr>
        <w:t xml:space="preserve"> بما في ذلك إجراء مراجعة أمام هيئة قضائية مستقلة</w:t>
      </w:r>
      <w:r w:rsidR="002302AD">
        <w:rPr>
          <w:rtl/>
          <w:lang w:val="en-US"/>
        </w:rPr>
        <w:t>،</w:t>
      </w:r>
      <w:r w:rsidRPr="007F34D8">
        <w:rPr>
          <w:rtl/>
          <w:lang w:val="en-US"/>
        </w:rPr>
        <w:t xml:space="preserve"> وإذا كان الأمر كذلك</w:t>
      </w:r>
      <w:r w:rsidR="002302AD">
        <w:rPr>
          <w:rtl/>
          <w:lang w:val="en-US"/>
        </w:rPr>
        <w:t>،</w:t>
      </w:r>
      <w:r w:rsidRPr="007F34D8">
        <w:rPr>
          <w:rtl/>
          <w:lang w:val="en-US"/>
        </w:rPr>
        <w:t xml:space="preserve"> يرجى ذكر السلطة التي تقدم لها الطعون</w:t>
      </w:r>
      <w:r w:rsidR="002302AD">
        <w:rPr>
          <w:rtl/>
          <w:lang w:val="en-US"/>
        </w:rPr>
        <w:t>،</w:t>
      </w:r>
      <w:r w:rsidRPr="007F34D8">
        <w:rPr>
          <w:rtl/>
          <w:lang w:val="en-US"/>
        </w:rPr>
        <w:t xml:space="preserve"> والإجراء المنطبق</w:t>
      </w:r>
      <w:r w:rsidR="002302AD">
        <w:rPr>
          <w:rtl/>
          <w:lang w:val="en-US"/>
        </w:rPr>
        <w:t>،</w:t>
      </w:r>
      <w:r w:rsidRPr="007F34D8">
        <w:rPr>
          <w:rtl/>
          <w:lang w:val="en-US"/>
        </w:rPr>
        <w:t xml:space="preserve"> وما إذا كانت هذه الطعون والالتماسات المتعلقة باللجوء لها أثر إيقافي على قرارات الطرد والتسليم. ويرجى بيان ما إذا كانت الدولة </w:t>
      </w:r>
      <w:r w:rsidRPr="00CC268E">
        <w:rPr>
          <w:spacing w:val="-4"/>
          <w:rtl/>
          <w:lang w:val="en-US"/>
        </w:rPr>
        <w:t>الطرف قد وضعت آليات أو بروتوكولات لتحديد هوية طالبي اللجوء الضعفاء في وقت مبكر وإحالتهم على</w:t>
      </w:r>
      <w:r w:rsidRPr="007F34D8">
        <w:rPr>
          <w:rtl/>
          <w:lang w:val="en-US"/>
        </w:rPr>
        <w:t xml:space="preserve"> الفور</w:t>
      </w:r>
      <w:r w:rsidR="002302AD">
        <w:rPr>
          <w:rtl/>
          <w:lang w:val="en-US"/>
        </w:rPr>
        <w:t>،</w:t>
      </w:r>
      <w:r w:rsidRPr="007F34D8">
        <w:rPr>
          <w:rtl/>
          <w:lang w:val="en-US"/>
        </w:rPr>
        <w:t xml:space="preserve"> ولا سيما القصر المعرضين لخطر الاتجار </w:t>
      </w:r>
      <w:proofErr w:type="gramStart"/>
      <w:r w:rsidRPr="007F34D8">
        <w:rPr>
          <w:rtl/>
          <w:lang w:val="en-US"/>
        </w:rPr>
        <w:t>بهم</w:t>
      </w:r>
      <w:r w:rsidR="006F2409" w:rsidRPr="002C01CE">
        <w:rPr>
          <w:vertAlign w:val="superscript"/>
          <w:rtl/>
          <w:lang w:val="en-US"/>
        </w:rPr>
        <w:t>(</w:t>
      </w:r>
      <w:proofErr w:type="gramEnd"/>
      <w:r w:rsidR="006F2409" w:rsidRPr="00995CF3">
        <w:rPr>
          <w:rStyle w:val="FootnoteReference"/>
          <w:szCs w:val="22"/>
          <w:lang w:val="en-US"/>
        </w:rPr>
        <w:footnoteReference w:id="37"/>
      </w:r>
      <w:r w:rsidR="006F2409" w:rsidRPr="002C01CE">
        <w:rPr>
          <w:vertAlign w:val="superscript"/>
          <w:rtl/>
          <w:lang w:val="en-US"/>
        </w:rPr>
        <w:t>)</w:t>
      </w:r>
      <w:r w:rsidR="002302AD">
        <w:rPr>
          <w:rtl/>
          <w:lang w:val="en-US"/>
        </w:rPr>
        <w:t>،</w:t>
      </w:r>
      <w:r w:rsidRPr="007F34D8">
        <w:rPr>
          <w:rtl/>
          <w:lang w:val="en-US"/>
        </w:rPr>
        <w:t xml:space="preserve"> والأطفال غير المصحوبين والمنفصلين عن ذويهم الذين ربما شاركوا في نزاعات مسلحة في الخارج</w:t>
      </w:r>
      <w:r w:rsidR="006F2409" w:rsidRPr="002C01CE">
        <w:rPr>
          <w:vertAlign w:val="superscript"/>
          <w:rtl/>
          <w:lang w:val="en-US"/>
        </w:rPr>
        <w:t>(</w:t>
      </w:r>
      <w:r w:rsidR="006F2409" w:rsidRPr="00995CF3">
        <w:rPr>
          <w:rStyle w:val="FootnoteReference"/>
          <w:szCs w:val="22"/>
          <w:lang w:val="en-US"/>
        </w:rPr>
        <w:footnoteReference w:id="38"/>
      </w:r>
      <w:r w:rsidR="006F2409" w:rsidRPr="002C01CE">
        <w:rPr>
          <w:vertAlign w:val="superscript"/>
          <w:rtl/>
          <w:lang w:val="en-US"/>
        </w:rPr>
        <w:t>)</w:t>
      </w:r>
      <w:r w:rsidR="002302AD">
        <w:rPr>
          <w:rtl/>
          <w:lang w:val="en-US"/>
        </w:rPr>
        <w:t>،</w:t>
      </w:r>
      <w:r w:rsidRPr="007F34D8">
        <w:rPr>
          <w:rtl/>
          <w:lang w:val="en-US"/>
        </w:rPr>
        <w:t xml:space="preserve"> وضحايا التعذيب</w:t>
      </w:r>
      <w:r w:rsidR="002302AD">
        <w:rPr>
          <w:rtl/>
          <w:lang w:val="en-US"/>
        </w:rPr>
        <w:t>،</w:t>
      </w:r>
      <w:r w:rsidRPr="007F34D8">
        <w:rPr>
          <w:rtl/>
          <w:lang w:val="en-US"/>
        </w:rPr>
        <w:t xml:space="preserve"> على نحو ما أوصت به اللجنة سابقا</w:t>
      </w:r>
      <w:r w:rsidR="006F2409">
        <w:rPr>
          <w:rFonts w:hint="cs"/>
          <w:rtl/>
          <w:lang w:val="en-US"/>
        </w:rPr>
        <w:t>ً</w:t>
      </w:r>
      <w:r>
        <w:rPr>
          <w:rtl/>
          <w:lang w:val="en-US"/>
        </w:rPr>
        <w:t>.</w:t>
      </w:r>
      <w:r w:rsidRPr="007F34D8">
        <w:rPr>
          <w:rtl/>
          <w:lang w:val="en-US"/>
        </w:rPr>
        <w:t xml:space="preserve"> ويرجى بيان ما إذا كانت الدولة الطرف ستنظر في التصديق على الاتفاقية الخاصة بوضع اللاجئين لعام </w:t>
      </w:r>
      <w:r w:rsidRPr="00995CF3">
        <w:rPr>
          <w:rtl/>
          <w:lang w:val="en-US"/>
        </w:rPr>
        <w:t>1951</w:t>
      </w:r>
      <w:r w:rsidR="002302AD">
        <w:rPr>
          <w:rtl/>
          <w:lang w:val="en-US"/>
        </w:rPr>
        <w:t>،</w:t>
      </w:r>
      <w:r w:rsidRPr="007F34D8">
        <w:rPr>
          <w:rtl/>
          <w:lang w:val="en-US"/>
        </w:rPr>
        <w:t xml:space="preserve"> والبروتوكول الخاص بوضع اللاجئين لعام </w:t>
      </w:r>
      <w:r w:rsidRPr="00995CF3">
        <w:rPr>
          <w:rtl/>
          <w:lang w:val="en-US"/>
        </w:rPr>
        <w:t>1967</w:t>
      </w:r>
      <w:r w:rsidR="006F2409" w:rsidRPr="002C01CE">
        <w:rPr>
          <w:vertAlign w:val="superscript"/>
          <w:rtl/>
          <w:lang w:val="en-US"/>
        </w:rPr>
        <w:t>(</w:t>
      </w:r>
      <w:r w:rsidR="006F2409" w:rsidRPr="00995CF3">
        <w:rPr>
          <w:rStyle w:val="FootnoteReference"/>
          <w:szCs w:val="22"/>
          <w:lang w:val="en-US"/>
        </w:rPr>
        <w:footnoteReference w:id="39"/>
      </w:r>
      <w:r w:rsidR="006F2409" w:rsidRPr="002C01CE">
        <w:rPr>
          <w:vertAlign w:val="superscript"/>
          <w:rtl/>
          <w:lang w:val="en-US"/>
        </w:rPr>
        <w:t>)</w:t>
      </w:r>
      <w:r w:rsidR="002302AD">
        <w:rPr>
          <w:rtl/>
          <w:lang w:val="en-US"/>
        </w:rPr>
        <w:t>،</w:t>
      </w:r>
      <w:r w:rsidRPr="007F34D8">
        <w:rPr>
          <w:rtl/>
          <w:lang w:val="en-US"/>
        </w:rPr>
        <w:t xml:space="preserve"> والاتفاقية المتعلقة بوضع الأشخاص عديمي الجنسية لعام </w:t>
      </w:r>
      <w:r w:rsidRPr="00995CF3">
        <w:rPr>
          <w:rtl/>
          <w:lang w:val="en-US"/>
        </w:rPr>
        <w:t>1954</w:t>
      </w:r>
      <w:r w:rsidR="002302AD">
        <w:rPr>
          <w:rtl/>
          <w:lang w:val="en-US"/>
        </w:rPr>
        <w:t>،</w:t>
      </w:r>
      <w:r w:rsidRPr="007F34D8">
        <w:rPr>
          <w:rtl/>
          <w:lang w:val="en-US"/>
        </w:rPr>
        <w:t xml:space="preserve"> واتفاقية خفض حالات انعدام الجنسية لعام </w:t>
      </w:r>
      <w:r w:rsidRPr="00995CF3">
        <w:rPr>
          <w:rtl/>
          <w:lang w:val="en-US"/>
        </w:rPr>
        <w:t>1961</w:t>
      </w:r>
      <w:r w:rsidRPr="007F34D8">
        <w:rPr>
          <w:rtl/>
          <w:lang w:val="en-US"/>
        </w:rPr>
        <w:t>.</w:t>
      </w:r>
    </w:p>
    <w:p w14:paraId="622714FE" w14:textId="1BCADD62" w:rsidR="00E609CB" w:rsidRPr="007F34D8" w:rsidRDefault="00E609CB" w:rsidP="00E609CB">
      <w:pPr>
        <w:pStyle w:val="SingleTxtGA"/>
        <w:rPr>
          <w:lang w:val="en-US"/>
        </w:rPr>
      </w:pPr>
      <w:r w:rsidRPr="00995CF3">
        <w:rPr>
          <w:rtl/>
          <w:lang w:val="en-US"/>
        </w:rPr>
        <w:t>8</w:t>
      </w:r>
      <w:r w:rsidRPr="007F34D8">
        <w:rPr>
          <w:rtl/>
          <w:lang w:val="en-US"/>
        </w:rPr>
        <w:t>-</w:t>
      </w:r>
      <w:r w:rsidRPr="007F34D8">
        <w:rPr>
          <w:rtl/>
          <w:lang w:val="en-US"/>
        </w:rPr>
        <w:tab/>
        <w:t>ويرجى تقديم معلومات إحصائية عن الفترة المشمولة بالاستعراض</w:t>
      </w:r>
      <w:r w:rsidR="002302AD">
        <w:rPr>
          <w:rtl/>
          <w:lang w:val="en-US"/>
        </w:rPr>
        <w:t>،</w:t>
      </w:r>
      <w:r w:rsidRPr="007F34D8">
        <w:rPr>
          <w:rtl/>
          <w:lang w:val="en-US"/>
        </w:rPr>
        <w:t xml:space="preserve"> تكون مصنفة حسب السنة وجنس الضحية وبلده الأصلي أو جنسيته وفئته العمرية (قاصر أو بالغ)</w:t>
      </w:r>
      <w:r w:rsidR="002302AD">
        <w:rPr>
          <w:rtl/>
          <w:lang w:val="en-US"/>
        </w:rPr>
        <w:t>،</w:t>
      </w:r>
      <w:r w:rsidRPr="007F34D8">
        <w:rPr>
          <w:rtl/>
          <w:lang w:val="en-US"/>
        </w:rPr>
        <w:t xml:space="preserve"> بشأن ما يلي: (أ) العدد المسجل لطلبات اللجوء أو التماسات الحماية؛ (ب) عدد طلبات اللجوء أو غيرها من أشكال الحماية الفرعية التي أقرت وعدد طالبي اللجوء الذين حظيت طلباتهم بالموافقة بسبب تعرضهم للتعذيب أو لوجود خطر عليهم من التعرض للتعذيب إذا ما أعيدوا؛ (ج) عدد الأشخاص الذين أعيدوا أو سلموا أو طردوا</w:t>
      </w:r>
      <w:r w:rsidR="002302AD">
        <w:rPr>
          <w:rtl/>
          <w:lang w:val="en-US"/>
        </w:rPr>
        <w:t>،</w:t>
      </w:r>
      <w:r w:rsidRPr="007F34D8">
        <w:rPr>
          <w:rtl/>
          <w:lang w:val="en-US"/>
        </w:rPr>
        <w:t xml:space="preserve"> مع بيان الأسس التي استند إليها لإعادتهم أو تسليمهم أو طردهم</w:t>
      </w:r>
      <w:r w:rsidR="002302AD">
        <w:rPr>
          <w:rtl/>
          <w:lang w:val="en-US"/>
        </w:rPr>
        <w:t>،</w:t>
      </w:r>
      <w:r w:rsidRPr="007F34D8">
        <w:rPr>
          <w:rtl/>
          <w:lang w:val="en-US"/>
        </w:rPr>
        <w:t xml:space="preserve"> وتقديم قائمة ببلدان المقصد؛ و(د) عدد الطعون المقدمة ضد قرارات الطرد استناد</w:t>
      </w:r>
      <w:r w:rsidR="00A6354F">
        <w:rPr>
          <w:rtl/>
          <w:lang w:val="en-US"/>
        </w:rPr>
        <w:t xml:space="preserve">اً </w:t>
      </w:r>
      <w:r w:rsidRPr="007F34D8">
        <w:rPr>
          <w:rtl/>
          <w:lang w:val="en-US"/>
        </w:rPr>
        <w:t>إلى وجود خطر على مقدمي الطلبات من التعرض للتعذيب وسوء المعاملة في بلدانهم الأصلية</w:t>
      </w:r>
      <w:r w:rsidR="002302AD">
        <w:rPr>
          <w:rtl/>
          <w:lang w:val="en-US"/>
        </w:rPr>
        <w:t>،</w:t>
      </w:r>
      <w:r w:rsidRPr="007F34D8">
        <w:rPr>
          <w:rtl/>
          <w:lang w:val="en-US"/>
        </w:rPr>
        <w:t xml:space="preserve"> ونتيجة الطعون المقدمة. </w:t>
      </w:r>
    </w:p>
    <w:p w14:paraId="105D4259" w14:textId="2B8F2531" w:rsidR="00E609CB" w:rsidRPr="007F34D8" w:rsidRDefault="00E609CB" w:rsidP="00E609CB">
      <w:pPr>
        <w:pStyle w:val="SingleTxtGA"/>
        <w:rPr>
          <w:lang w:val="en-US"/>
        </w:rPr>
      </w:pPr>
      <w:r w:rsidRPr="00995CF3">
        <w:rPr>
          <w:rtl/>
          <w:lang w:val="en-US"/>
        </w:rPr>
        <w:t>9</w:t>
      </w:r>
      <w:r w:rsidRPr="007F34D8">
        <w:rPr>
          <w:rtl/>
          <w:lang w:val="en-US"/>
        </w:rPr>
        <w:t>-</w:t>
      </w:r>
      <w:r w:rsidRPr="007F34D8">
        <w:rPr>
          <w:rtl/>
          <w:lang w:val="en-US"/>
        </w:rPr>
        <w:tab/>
        <w:t>ويرجى بيان عدد حالات الإعادة والتسليم والطرد التي نفذتها الدولة الطرف خلال الفترة المشمولة بالتقرير على أساس قبول ضمانات دبلوماسية أو ما يعادلها</w:t>
      </w:r>
      <w:r w:rsidR="002302AD">
        <w:rPr>
          <w:rtl/>
          <w:lang w:val="en-US"/>
        </w:rPr>
        <w:t>،</w:t>
      </w:r>
      <w:r w:rsidRPr="007F34D8">
        <w:rPr>
          <w:rtl/>
          <w:lang w:val="en-US"/>
        </w:rPr>
        <w:t xml:space="preserve"> وكذلك عدد الحالات التي قدمت فيها الدولة الطرف ضمانات دبلوماسية من هذا القبيل</w:t>
      </w:r>
      <w:r w:rsidR="002302AD">
        <w:rPr>
          <w:rtl/>
          <w:lang w:val="en-US"/>
        </w:rPr>
        <w:t>،</w:t>
      </w:r>
      <w:r w:rsidRPr="007F34D8">
        <w:rPr>
          <w:rtl/>
          <w:lang w:val="en-US"/>
        </w:rPr>
        <w:t xml:space="preserve"> ونوع التدابير التي اتخذت في هذه الحالات فيما يتعلق بتدابير الرصد اللاحق.</w:t>
      </w:r>
    </w:p>
    <w:p w14:paraId="64C6FD49" w14:textId="77777777" w:rsidR="00E609CB" w:rsidRPr="00995CF3" w:rsidRDefault="00E609CB" w:rsidP="00E609CB">
      <w:pPr>
        <w:pStyle w:val="H23GA"/>
      </w:pPr>
      <w:r w:rsidRPr="00995CF3">
        <w:rPr>
          <w:rtl/>
        </w:rPr>
        <w:tab/>
      </w:r>
      <w:r w:rsidRPr="00995CF3">
        <w:rPr>
          <w:rtl/>
        </w:rPr>
        <w:tab/>
        <w:t>المواد 5-9</w:t>
      </w:r>
    </w:p>
    <w:p w14:paraId="40EFD91F" w14:textId="422FA2B3" w:rsidR="00E609CB" w:rsidRPr="007F34D8" w:rsidRDefault="00E609CB" w:rsidP="00E609CB">
      <w:pPr>
        <w:pStyle w:val="SingleTxtGA"/>
        <w:rPr>
          <w:lang w:val="en-US"/>
        </w:rPr>
      </w:pPr>
      <w:r w:rsidRPr="00995CF3">
        <w:rPr>
          <w:rtl/>
          <w:lang w:val="en-US"/>
        </w:rPr>
        <w:t>10</w:t>
      </w:r>
      <w:r w:rsidRPr="007F34D8">
        <w:rPr>
          <w:rtl/>
          <w:lang w:val="en-US"/>
        </w:rPr>
        <w:t>-</w:t>
      </w:r>
      <w:r w:rsidRPr="007F34D8">
        <w:rPr>
          <w:rtl/>
          <w:lang w:val="en-US"/>
        </w:rPr>
        <w:tab/>
        <w:t xml:space="preserve">يرجى تقديم معلومات عن أي تشريعات أو تدابير جديدة اعتُمدت لتنفيذ المادة </w:t>
      </w:r>
      <w:r w:rsidRPr="00995CF3">
        <w:rPr>
          <w:rtl/>
          <w:lang w:val="en-US"/>
        </w:rPr>
        <w:t>5</w:t>
      </w:r>
      <w:r w:rsidRPr="007F34D8">
        <w:rPr>
          <w:rtl/>
          <w:lang w:val="en-US"/>
        </w:rPr>
        <w:t xml:space="preserve"> من الاتفاقية. </w:t>
      </w:r>
      <w:r w:rsidRPr="006F2409">
        <w:rPr>
          <w:spacing w:val="-4"/>
          <w:rtl/>
          <w:lang w:val="en-US"/>
        </w:rPr>
        <w:t xml:space="preserve">ويُرجى </w:t>
      </w:r>
      <w:r w:rsidR="002302AD">
        <w:rPr>
          <w:spacing w:val="-4"/>
          <w:rtl/>
          <w:lang w:val="en-US"/>
        </w:rPr>
        <w:t xml:space="preserve">أيضاً </w:t>
      </w:r>
      <w:r w:rsidRPr="006F2409">
        <w:rPr>
          <w:spacing w:val="-4"/>
          <w:rtl/>
          <w:lang w:val="en-US"/>
        </w:rPr>
        <w:t>ذكر التدابير التي اعتمدتها الدولة الطرف خلال الفترة المشمولة بالتقرير امتثال</w:t>
      </w:r>
      <w:r w:rsidR="00A6354F">
        <w:rPr>
          <w:spacing w:val="-4"/>
          <w:rtl/>
          <w:lang w:val="en-US"/>
        </w:rPr>
        <w:t xml:space="preserve">اً </w:t>
      </w:r>
      <w:r w:rsidRPr="006F2409">
        <w:rPr>
          <w:spacing w:val="-4"/>
          <w:rtl/>
          <w:lang w:val="en-US"/>
        </w:rPr>
        <w:t>لالتزامها بالتسليم</w:t>
      </w:r>
      <w:r w:rsidRPr="007F34D8">
        <w:rPr>
          <w:rtl/>
          <w:lang w:val="en-US"/>
        </w:rPr>
        <w:t xml:space="preserve"> أو المحاكمة </w:t>
      </w:r>
      <w:r w:rsidRPr="00995CF3">
        <w:rPr>
          <w:i/>
          <w:iCs/>
          <w:rtl/>
          <w:lang w:val="en-US"/>
        </w:rPr>
        <w:t>(مبدأ التسليم أو المحاكمة)</w:t>
      </w:r>
      <w:r w:rsidRPr="007F34D8">
        <w:rPr>
          <w:rtl/>
          <w:lang w:val="en-US"/>
        </w:rPr>
        <w:t>. ويرجى على وجه الخصوص</w:t>
      </w:r>
      <w:r w:rsidR="002302AD">
        <w:rPr>
          <w:rtl/>
          <w:lang w:val="en-US"/>
        </w:rPr>
        <w:t>،</w:t>
      </w:r>
      <w:r w:rsidRPr="007F34D8">
        <w:rPr>
          <w:rtl/>
          <w:lang w:val="en-US"/>
        </w:rPr>
        <w:t xml:space="preserve"> تقديم معلومات عن الحالات التي وافقت فيها الدولة الطرف على تسليم شخص بسبب التعذيب أو الجرائم ذات الصلة منذ عام </w:t>
      </w:r>
      <w:r w:rsidRPr="00995CF3">
        <w:rPr>
          <w:rtl/>
          <w:lang w:val="en-US"/>
        </w:rPr>
        <w:t>2016</w:t>
      </w:r>
      <w:r w:rsidRPr="007F34D8">
        <w:rPr>
          <w:rtl/>
          <w:lang w:val="en-US"/>
        </w:rPr>
        <w:t xml:space="preserve">. ويرجى </w:t>
      </w:r>
      <w:r w:rsidR="002302AD">
        <w:rPr>
          <w:rtl/>
          <w:lang w:val="en-US"/>
        </w:rPr>
        <w:t xml:space="preserve">أيضاً </w:t>
      </w:r>
      <w:r w:rsidRPr="007F34D8">
        <w:rPr>
          <w:rtl/>
          <w:lang w:val="en-US"/>
        </w:rPr>
        <w:t>بيان ما إذا كانت الدولة الطرف قد رفضت</w:t>
      </w:r>
      <w:r w:rsidR="002302AD">
        <w:rPr>
          <w:rtl/>
          <w:lang w:val="en-US"/>
        </w:rPr>
        <w:t>،</w:t>
      </w:r>
      <w:r w:rsidRPr="007F34D8">
        <w:rPr>
          <w:rtl/>
          <w:lang w:val="en-US"/>
        </w:rPr>
        <w:t xml:space="preserve"> لأي سبب من الأسباب</w:t>
      </w:r>
      <w:r w:rsidR="002302AD">
        <w:rPr>
          <w:rtl/>
          <w:lang w:val="en-US"/>
        </w:rPr>
        <w:t>،</w:t>
      </w:r>
      <w:r w:rsidRPr="007F34D8">
        <w:rPr>
          <w:rtl/>
          <w:lang w:val="en-US"/>
        </w:rPr>
        <w:t xml:space="preserve"> طلب دولة طرف تسليم فرد يُشتبه في ارتكابه جريمة التعذيب وما إذا كانت قد شرعت في اتخاذ أي إجراءات جنائية ضد هذا الفرد </w:t>
      </w:r>
      <w:r w:rsidRPr="0019376C">
        <w:rPr>
          <w:spacing w:val="-4"/>
          <w:rtl/>
          <w:lang w:val="en-US"/>
        </w:rPr>
        <w:t>نتيجة لذلك. وإذا كان الأمر كذلك</w:t>
      </w:r>
      <w:r w:rsidR="002302AD">
        <w:rPr>
          <w:spacing w:val="-4"/>
          <w:rtl/>
          <w:lang w:val="en-US"/>
        </w:rPr>
        <w:t>،</w:t>
      </w:r>
      <w:r w:rsidRPr="0019376C">
        <w:rPr>
          <w:spacing w:val="-4"/>
          <w:rtl/>
          <w:lang w:val="en-US"/>
        </w:rPr>
        <w:t xml:space="preserve"> يرجى تقديم معلومات عن حالة هذه الإجراءات والنتيجة التي أسفرت</w:t>
      </w:r>
      <w:r w:rsidRPr="007F34D8">
        <w:rPr>
          <w:rtl/>
          <w:lang w:val="en-US"/>
        </w:rPr>
        <w:t xml:space="preserve"> عنها. </w:t>
      </w:r>
      <w:r w:rsidRPr="007F34D8">
        <w:rPr>
          <w:rtl/>
          <w:lang w:val="en-US"/>
        </w:rPr>
        <w:lastRenderedPageBreak/>
        <w:t xml:space="preserve">ويرجى </w:t>
      </w:r>
      <w:r w:rsidR="002302AD">
        <w:rPr>
          <w:rtl/>
          <w:lang w:val="en-US"/>
        </w:rPr>
        <w:t xml:space="preserve">أيضاً </w:t>
      </w:r>
      <w:r w:rsidRPr="007F34D8">
        <w:rPr>
          <w:rtl/>
          <w:lang w:val="en-US"/>
        </w:rPr>
        <w:t>إبلاغ اللجنة بأي معاهدات أُبرمت مع دول أطراف أخرى لتسليم المطلوبين للعدالة</w:t>
      </w:r>
      <w:r w:rsidR="002302AD">
        <w:rPr>
          <w:rtl/>
          <w:lang w:val="en-US"/>
        </w:rPr>
        <w:t>،</w:t>
      </w:r>
      <w:r w:rsidRPr="007F34D8">
        <w:rPr>
          <w:rtl/>
          <w:lang w:val="en-US"/>
        </w:rPr>
        <w:t xml:space="preserve"> ويرجى بيان ما إذا كانت الجرائم المشار إليها في المادة </w:t>
      </w:r>
      <w:r w:rsidRPr="00995CF3">
        <w:rPr>
          <w:rtl/>
          <w:lang w:val="en-US"/>
        </w:rPr>
        <w:t>4</w:t>
      </w:r>
      <w:r w:rsidRPr="007F34D8">
        <w:rPr>
          <w:rtl/>
          <w:lang w:val="en-US"/>
        </w:rPr>
        <w:t xml:space="preserve"> من الاتفاقية قد أُدرجت في تلك المعاهدات بوصفها جرائم تستوجب تسليم مرتكبيها. ويُرجى تقديم تفاصيل عن المعاهدات أو الاتفاقات المتعلقة بالمساعدة القانونية والقضائية المتبادلة التي أبرمتها الدولة الطرف</w:t>
      </w:r>
      <w:r w:rsidR="002302AD">
        <w:rPr>
          <w:rtl/>
          <w:lang w:val="en-US"/>
        </w:rPr>
        <w:t>،</w:t>
      </w:r>
      <w:r w:rsidRPr="007F34D8">
        <w:rPr>
          <w:rtl/>
          <w:lang w:val="en-US"/>
        </w:rPr>
        <w:t xml:space="preserve"> وما إذا كانت هذه المعاهدات أو الاتفاقات قد</w:t>
      </w:r>
      <w:r w:rsidR="00A6354F">
        <w:rPr>
          <w:rFonts w:hint="cs"/>
          <w:rtl/>
          <w:lang w:val="en-US"/>
        </w:rPr>
        <w:t> </w:t>
      </w:r>
      <w:r w:rsidRPr="007F34D8">
        <w:rPr>
          <w:rtl/>
          <w:lang w:val="en-US"/>
        </w:rPr>
        <w:t>أدت عملياً إلى إرسال أي أدلة ذات صلة بالملاحقات القضائية في قضايا التعذيب أو سوء المعاملة. وإذا كان الأمر كذلك</w:t>
      </w:r>
      <w:r w:rsidR="002302AD">
        <w:rPr>
          <w:rtl/>
          <w:lang w:val="en-US"/>
        </w:rPr>
        <w:t>،</w:t>
      </w:r>
      <w:r w:rsidRPr="007F34D8">
        <w:rPr>
          <w:rtl/>
          <w:lang w:val="en-US"/>
        </w:rPr>
        <w:t xml:space="preserve"> فيرجى تقديم أمثلة.</w:t>
      </w:r>
    </w:p>
    <w:p w14:paraId="4C6960EA" w14:textId="77777777" w:rsidR="00E609CB" w:rsidRPr="00995CF3" w:rsidRDefault="00E609CB" w:rsidP="00E609CB">
      <w:pPr>
        <w:pStyle w:val="H23GA"/>
        <w:rPr>
          <w:rFonts w:hint="cs"/>
        </w:rPr>
      </w:pPr>
      <w:r w:rsidRPr="00995CF3">
        <w:rPr>
          <w:rtl/>
        </w:rPr>
        <w:tab/>
      </w:r>
      <w:r w:rsidRPr="00995CF3">
        <w:rPr>
          <w:rtl/>
        </w:rPr>
        <w:tab/>
        <w:t>المادة 10</w:t>
      </w:r>
    </w:p>
    <w:p w14:paraId="01B7C502" w14:textId="10986471" w:rsidR="00E609CB" w:rsidRPr="007F34D8" w:rsidRDefault="00E609CB" w:rsidP="00E609CB">
      <w:pPr>
        <w:pStyle w:val="SingleTxtGA"/>
        <w:rPr>
          <w:lang w:val="en-US"/>
        </w:rPr>
      </w:pPr>
      <w:r w:rsidRPr="00995CF3">
        <w:rPr>
          <w:rtl/>
          <w:lang w:val="en-US"/>
        </w:rPr>
        <w:t>11</w:t>
      </w:r>
      <w:r w:rsidRPr="007F34D8">
        <w:rPr>
          <w:rtl/>
          <w:lang w:val="en-US"/>
        </w:rPr>
        <w:t>-</w:t>
      </w:r>
      <w:r w:rsidRPr="007F34D8">
        <w:rPr>
          <w:rtl/>
          <w:lang w:val="en-US"/>
        </w:rPr>
        <w:tab/>
      </w:r>
      <w:r w:rsidRPr="00CC268E">
        <w:rPr>
          <w:spacing w:val="-2"/>
          <w:rtl/>
          <w:lang w:val="en-US"/>
        </w:rPr>
        <w:t xml:space="preserve">فيما يخص الملاحظات الختامية السابقة </w:t>
      </w:r>
      <w:proofErr w:type="gramStart"/>
      <w:r w:rsidRPr="00CC268E">
        <w:rPr>
          <w:spacing w:val="-2"/>
          <w:rtl/>
          <w:lang w:val="en-US"/>
        </w:rPr>
        <w:t>للجنة</w:t>
      </w:r>
      <w:r w:rsidRPr="00CC268E">
        <w:rPr>
          <w:spacing w:val="-2"/>
          <w:vertAlign w:val="superscript"/>
          <w:rtl/>
          <w:lang w:val="en-US"/>
        </w:rPr>
        <w:t>(</w:t>
      </w:r>
      <w:proofErr w:type="gramEnd"/>
      <w:r w:rsidRPr="00995CF3">
        <w:rPr>
          <w:rStyle w:val="FootnoteReference"/>
          <w:spacing w:val="-2"/>
          <w:szCs w:val="22"/>
          <w:lang w:val="en-US"/>
        </w:rPr>
        <w:footnoteReference w:id="40"/>
      </w:r>
      <w:r w:rsidRPr="00CC268E">
        <w:rPr>
          <w:spacing w:val="-2"/>
          <w:vertAlign w:val="superscript"/>
          <w:rtl/>
          <w:lang w:val="en-US"/>
        </w:rPr>
        <w:t>)</w:t>
      </w:r>
      <w:r w:rsidR="002302AD" w:rsidRPr="00CC268E">
        <w:rPr>
          <w:spacing w:val="-2"/>
          <w:rtl/>
          <w:lang w:val="en-US"/>
        </w:rPr>
        <w:t>،</w:t>
      </w:r>
      <w:r w:rsidRPr="00CC268E">
        <w:rPr>
          <w:spacing w:val="-2"/>
          <w:rtl/>
          <w:lang w:val="en-US"/>
        </w:rPr>
        <w:t xml:space="preserve"> يُرجى تقديم معلومات مفصلة عن برامج تدريب المهنيين الطبيين وسائر الموظفين العموميين الذين يتعاملون مع الأشخاص المحرومين من الحرية</w:t>
      </w:r>
      <w:r w:rsidR="002302AD" w:rsidRPr="00CC268E">
        <w:rPr>
          <w:spacing w:val="-2"/>
          <w:rtl/>
          <w:lang w:val="en-US"/>
        </w:rPr>
        <w:t>،</w:t>
      </w:r>
      <w:r w:rsidRPr="00CC268E">
        <w:rPr>
          <w:spacing w:val="-2"/>
          <w:rtl/>
          <w:lang w:val="en-US"/>
        </w:rPr>
        <w:t xml:space="preserve"> مثل موظفي إنفاذ القانون</w:t>
      </w:r>
      <w:r w:rsidR="002302AD" w:rsidRPr="00CC268E">
        <w:rPr>
          <w:spacing w:val="-2"/>
          <w:rtl/>
          <w:lang w:val="en-US"/>
        </w:rPr>
        <w:t>،</w:t>
      </w:r>
      <w:r w:rsidRPr="00CC268E">
        <w:rPr>
          <w:spacing w:val="-2"/>
          <w:rtl/>
          <w:lang w:val="en-US"/>
        </w:rPr>
        <w:t xml:space="preserve"> وموظفي السجون</w:t>
      </w:r>
      <w:r w:rsidR="002302AD" w:rsidRPr="00CC268E">
        <w:rPr>
          <w:spacing w:val="-2"/>
          <w:rtl/>
          <w:lang w:val="en-US"/>
        </w:rPr>
        <w:t>،</w:t>
      </w:r>
      <w:r w:rsidRPr="00CC268E">
        <w:rPr>
          <w:spacing w:val="-2"/>
          <w:rtl/>
          <w:lang w:val="en-US"/>
        </w:rPr>
        <w:t xml:space="preserve"> والقضاة والمدعين العامين</w:t>
      </w:r>
      <w:r w:rsidR="002302AD" w:rsidRPr="00CC268E">
        <w:rPr>
          <w:spacing w:val="-2"/>
          <w:rtl/>
          <w:lang w:val="en-US"/>
        </w:rPr>
        <w:t>،</w:t>
      </w:r>
      <w:r w:rsidRPr="00CC268E">
        <w:rPr>
          <w:spacing w:val="-2"/>
          <w:rtl/>
          <w:lang w:val="en-US"/>
        </w:rPr>
        <w:t xml:space="preserve"> بشأن الكشف عن الآثار البدنية والنفسية للتعذيب وتوثيقها</w:t>
      </w:r>
      <w:r w:rsidR="002302AD" w:rsidRPr="00CC268E">
        <w:rPr>
          <w:spacing w:val="-2"/>
          <w:rtl/>
          <w:lang w:val="en-US"/>
        </w:rPr>
        <w:t>،</w:t>
      </w:r>
      <w:r w:rsidRPr="00CC268E">
        <w:rPr>
          <w:spacing w:val="-2"/>
          <w:rtl/>
          <w:lang w:val="en-US"/>
        </w:rPr>
        <w:t xml:space="preserve"> بما في ذلك ما إذا كانت البرامج تتضمن تدريباً محدداً على دليل التقصي والتوثيق الفعالين للتعذيب وغيره من ضروب المعاملة أو العقوبة القاسية أو اللاإنسانية أو المهينة (بروتوكول إسطنبول)</w:t>
      </w:r>
      <w:r w:rsidRPr="00CC268E">
        <w:rPr>
          <w:spacing w:val="-2"/>
          <w:vertAlign w:val="superscript"/>
          <w:rtl/>
          <w:lang w:val="en-US"/>
        </w:rPr>
        <w:t>(</w:t>
      </w:r>
      <w:r w:rsidRPr="00995CF3">
        <w:rPr>
          <w:rStyle w:val="FootnoteReference"/>
          <w:spacing w:val="-2"/>
          <w:lang w:val="en-US"/>
        </w:rPr>
        <w:footnoteReference w:id="41"/>
      </w:r>
      <w:r w:rsidRPr="00CC268E">
        <w:rPr>
          <w:spacing w:val="-2"/>
          <w:vertAlign w:val="superscript"/>
          <w:rtl/>
          <w:lang w:val="en-US"/>
        </w:rPr>
        <w:t>)</w:t>
      </w:r>
      <w:r w:rsidRPr="00CC268E">
        <w:rPr>
          <w:spacing w:val="-2"/>
          <w:rtl/>
          <w:lang w:val="en-US"/>
        </w:rPr>
        <w:t xml:space="preserve">. ويرجى </w:t>
      </w:r>
      <w:r w:rsidR="002302AD" w:rsidRPr="00CC268E">
        <w:rPr>
          <w:spacing w:val="-2"/>
          <w:rtl/>
          <w:lang w:val="en-US"/>
        </w:rPr>
        <w:t xml:space="preserve">أيضاً </w:t>
      </w:r>
      <w:r w:rsidRPr="00CC268E">
        <w:rPr>
          <w:spacing w:val="-2"/>
          <w:rtl/>
          <w:lang w:val="en-US"/>
        </w:rPr>
        <w:t xml:space="preserve">ذكر التدريب والمبادئ التوجيهية المعتمدة منذ عام </w:t>
      </w:r>
      <w:r w:rsidRPr="00995CF3">
        <w:rPr>
          <w:spacing w:val="-2"/>
          <w:rtl/>
          <w:lang w:val="en-US"/>
        </w:rPr>
        <w:t>2016</w:t>
      </w:r>
      <w:r w:rsidRPr="00CC268E">
        <w:rPr>
          <w:spacing w:val="-2"/>
          <w:rtl/>
          <w:lang w:val="en-US"/>
        </w:rPr>
        <w:t xml:space="preserve"> بشأن كيفية التحقيق والبت في قضايا</w:t>
      </w:r>
      <w:r w:rsidRPr="007F34D8">
        <w:rPr>
          <w:rtl/>
          <w:lang w:val="en-US"/>
        </w:rPr>
        <w:t xml:space="preserve"> </w:t>
      </w:r>
      <w:r w:rsidRPr="00CC268E">
        <w:rPr>
          <w:spacing w:val="-4"/>
          <w:rtl/>
          <w:lang w:val="en-US"/>
        </w:rPr>
        <w:t>الاغتصاب والعنف الجنسي ومقاضاة الجناة. ويرجى ذكر ما إذا كانت هذه الدورات التدريبية إلزامية أو اختيارية</w:t>
      </w:r>
      <w:r w:rsidRPr="007F34D8">
        <w:rPr>
          <w:rtl/>
          <w:lang w:val="en-US"/>
        </w:rPr>
        <w:t xml:space="preserve"> وعدد المرات التي تنظم فيها.</w:t>
      </w:r>
    </w:p>
    <w:p w14:paraId="020D8298" w14:textId="26D36FE6" w:rsidR="00E609CB" w:rsidRPr="007F34D8" w:rsidRDefault="00E609CB" w:rsidP="00E609CB">
      <w:pPr>
        <w:pStyle w:val="SingleTxtGA"/>
        <w:rPr>
          <w:lang w:val="en-US"/>
        </w:rPr>
      </w:pPr>
      <w:r w:rsidRPr="00995CF3">
        <w:rPr>
          <w:rtl/>
          <w:lang w:val="en-US"/>
        </w:rPr>
        <w:t>12</w:t>
      </w:r>
      <w:r w:rsidRPr="007F34D8">
        <w:rPr>
          <w:rtl/>
          <w:lang w:val="en-US"/>
        </w:rPr>
        <w:t>-</w:t>
      </w:r>
      <w:r w:rsidRPr="007F34D8">
        <w:rPr>
          <w:rtl/>
          <w:lang w:val="en-US"/>
        </w:rPr>
        <w:tab/>
      </w:r>
      <w:r w:rsidRPr="00CC268E">
        <w:rPr>
          <w:spacing w:val="-4"/>
          <w:rtl/>
          <w:lang w:val="en-US"/>
        </w:rPr>
        <w:t xml:space="preserve">ويرجى تقديم معلومات عن البرامج التثقيفية التي أعدتها الدولة الطرف منذ عام </w:t>
      </w:r>
      <w:r w:rsidRPr="00995CF3">
        <w:rPr>
          <w:spacing w:val="-4"/>
          <w:rtl/>
          <w:lang w:val="en-US"/>
        </w:rPr>
        <w:t>2016</w:t>
      </w:r>
      <w:r w:rsidRPr="00CC268E">
        <w:rPr>
          <w:spacing w:val="-4"/>
          <w:rtl/>
          <w:lang w:val="en-US"/>
        </w:rPr>
        <w:t xml:space="preserve"> لضمان أن</w:t>
      </w:r>
      <w:r w:rsidRPr="007F34D8">
        <w:rPr>
          <w:rtl/>
          <w:lang w:val="en-US"/>
        </w:rPr>
        <w:t xml:space="preserve"> يكون كل موظف عمومي ولا سيما موظفو إنفاذ القانون وموظفو السجون وموظفو الهجرة ومراقبة الحدود: (أ) على اطلاع كامل بأحكام الاتفاقية والحظر المطلق للتعذيب</w:t>
      </w:r>
      <w:r w:rsidR="002302AD">
        <w:rPr>
          <w:rtl/>
          <w:lang w:val="en-US"/>
        </w:rPr>
        <w:t>،</w:t>
      </w:r>
      <w:r w:rsidRPr="007F34D8">
        <w:rPr>
          <w:rtl/>
          <w:lang w:val="en-US"/>
        </w:rPr>
        <w:t xml:space="preserve"> وأن يدرك أن ارتكاب انتهاكات لا تسامح فيه</w:t>
      </w:r>
      <w:r w:rsidR="002302AD">
        <w:rPr>
          <w:rtl/>
          <w:lang w:val="en-US"/>
        </w:rPr>
        <w:t>،</w:t>
      </w:r>
      <w:r w:rsidRPr="007F34D8">
        <w:rPr>
          <w:rtl/>
          <w:lang w:val="en-US"/>
        </w:rPr>
        <w:t xml:space="preserve"> وأن المسؤول عن ارتكابها سيخضع للتحقيق ويلاحق أمام القضاء؛ (ب) يعامل الأشخاص الذين يعانون من حالة ضعف كما ينبغي أن يعاملوا</w:t>
      </w:r>
      <w:r w:rsidR="0019376C" w:rsidRPr="002C01CE">
        <w:rPr>
          <w:vertAlign w:val="superscript"/>
          <w:rtl/>
          <w:lang w:val="en-US"/>
        </w:rPr>
        <w:t>(</w:t>
      </w:r>
      <w:r w:rsidR="0019376C" w:rsidRPr="00995CF3">
        <w:rPr>
          <w:rStyle w:val="FootnoteReference"/>
          <w:szCs w:val="22"/>
          <w:lang w:val="en-US"/>
        </w:rPr>
        <w:footnoteReference w:id="42"/>
      </w:r>
      <w:r w:rsidR="0019376C" w:rsidRPr="002C01CE">
        <w:rPr>
          <w:vertAlign w:val="superscript"/>
          <w:rtl/>
          <w:lang w:val="en-US"/>
        </w:rPr>
        <w:t>)</w:t>
      </w:r>
      <w:r w:rsidRPr="007F34D8">
        <w:rPr>
          <w:rtl/>
          <w:lang w:val="en-US"/>
        </w:rPr>
        <w:t>؛ و(ج) أن يكون ملم</w:t>
      </w:r>
      <w:r w:rsidR="00A6354F">
        <w:rPr>
          <w:rtl/>
          <w:lang w:val="en-US"/>
        </w:rPr>
        <w:t xml:space="preserve">اً </w:t>
      </w:r>
      <w:r w:rsidRPr="007F34D8">
        <w:rPr>
          <w:rtl/>
          <w:lang w:val="en-US"/>
        </w:rPr>
        <w:t>بالتشريعات والإجراءات التي تكفل مبدأ عدم الإعادة القسرية وبالترتيبات المتعلقة بتحديد هوية ضحايا التعذيب</w:t>
      </w:r>
      <w:r w:rsidR="002302AD">
        <w:rPr>
          <w:rtl/>
          <w:lang w:val="en-US"/>
        </w:rPr>
        <w:t>،</w:t>
      </w:r>
      <w:r w:rsidRPr="007F34D8">
        <w:rPr>
          <w:rtl/>
          <w:lang w:val="en-US"/>
        </w:rPr>
        <w:t xml:space="preserve"> بمن فيهم الأطفال غير المصحوبين والمنفصلين عن ذويهم</w:t>
      </w:r>
      <w:r w:rsidR="002302AD">
        <w:rPr>
          <w:rtl/>
          <w:lang w:val="en-US"/>
        </w:rPr>
        <w:t>،</w:t>
      </w:r>
      <w:r w:rsidRPr="007F34D8">
        <w:rPr>
          <w:rtl/>
          <w:lang w:val="en-US"/>
        </w:rPr>
        <w:t xml:space="preserve"> الذين ربما شاركوا في نزاعات مسلحة في الخارج</w:t>
      </w:r>
      <w:r w:rsidR="0019376C" w:rsidRPr="002C01CE">
        <w:rPr>
          <w:vertAlign w:val="superscript"/>
          <w:rtl/>
          <w:lang w:val="en-US"/>
        </w:rPr>
        <w:t>(</w:t>
      </w:r>
      <w:r w:rsidR="0019376C" w:rsidRPr="00995CF3">
        <w:rPr>
          <w:rStyle w:val="FootnoteReference"/>
          <w:szCs w:val="22"/>
          <w:lang w:val="en-US"/>
        </w:rPr>
        <w:footnoteReference w:id="43"/>
      </w:r>
      <w:r w:rsidR="0019376C" w:rsidRPr="002C01CE">
        <w:rPr>
          <w:vertAlign w:val="superscript"/>
          <w:rtl/>
          <w:lang w:val="en-US"/>
        </w:rPr>
        <w:t>)</w:t>
      </w:r>
      <w:r w:rsidR="002302AD">
        <w:rPr>
          <w:rtl/>
          <w:lang w:val="en-US"/>
        </w:rPr>
        <w:t>،</w:t>
      </w:r>
      <w:r w:rsidRPr="007F34D8">
        <w:rPr>
          <w:rtl/>
          <w:lang w:val="en-US"/>
        </w:rPr>
        <w:t xml:space="preserve"> وتورطوا في الاتجار بالأشخاص</w:t>
      </w:r>
      <w:r w:rsidR="0019376C" w:rsidRPr="002C01CE">
        <w:rPr>
          <w:vertAlign w:val="superscript"/>
          <w:rtl/>
          <w:lang w:val="en-US"/>
        </w:rPr>
        <w:t>(</w:t>
      </w:r>
      <w:r w:rsidR="0019376C" w:rsidRPr="00995CF3">
        <w:rPr>
          <w:rStyle w:val="FootnoteReference"/>
          <w:szCs w:val="22"/>
          <w:lang w:val="en-US"/>
        </w:rPr>
        <w:footnoteReference w:id="44"/>
      </w:r>
      <w:r w:rsidR="0019376C" w:rsidRPr="002C01CE">
        <w:rPr>
          <w:vertAlign w:val="superscript"/>
          <w:rtl/>
          <w:lang w:val="en-US"/>
        </w:rPr>
        <w:t>)</w:t>
      </w:r>
      <w:r w:rsidR="002302AD">
        <w:rPr>
          <w:rtl/>
          <w:lang w:val="en-US"/>
        </w:rPr>
        <w:t>،</w:t>
      </w:r>
      <w:r w:rsidRPr="007F34D8">
        <w:rPr>
          <w:rtl/>
          <w:lang w:val="en-US"/>
        </w:rPr>
        <w:t xml:space="preserve"> والعنف الجنساني</w:t>
      </w:r>
      <w:r>
        <w:rPr>
          <w:rtl/>
          <w:lang w:val="en-US"/>
        </w:rPr>
        <w:t>؛</w:t>
      </w:r>
      <w:r w:rsidRPr="007F34D8">
        <w:rPr>
          <w:rtl/>
          <w:lang w:val="en-US"/>
        </w:rPr>
        <w:t xml:space="preserve"> و(د) مدرب</w:t>
      </w:r>
      <w:r w:rsidR="00A6354F">
        <w:rPr>
          <w:rtl/>
          <w:lang w:val="en-US"/>
        </w:rPr>
        <w:t xml:space="preserve">اً </w:t>
      </w:r>
      <w:r w:rsidRPr="007F34D8">
        <w:rPr>
          <w:rtl/>
          <w:lang w:val="en-US"/>
        </w:rPr>
        <w:t>على أساليب التحقيق التي لا تقوم على الإكراه؛ ويرجى بيان ما إذا كانت تلك الدورات التدريبية إلزامية أو اختيارية</w:t>
      </w:r>
      <w:r w:rsidR="002302AD">
        <w:rPr>
          <w:rtl/>
          <w:lang w:val="en-US"/>
        </w:rPr>
        <w:t>،</w:t>
      </w:r>
      <w:r w:rsidRPr="007F34D8">
        <w:rPr>
          <w:rtl/>
          <w:lang w:val="en-US"/>
        </w:rPr>
        <w:t xml:space="preserve"> وعدد المرات التي تنظم فيها</w:t>
      </w:r>
      <w:r w:rsidR="002302AD">
        <w:rPr>
          <w:rtl/>
          <w:lang w:val="en-US"/>
        </w:rPr>
        <w:t>،</w:t>
      </w:r>
      <w:r w:rsidRPr="007F34D8">
        <w:rPr>
          <w:rtl/>
          <w:lang w:val="en-US"/>
        </w:rPr>
        <w:t xml:space="preserve"> وعدد الموظفين الذين أتموها بالفعل قياس</w:t>
      </w:r>
      <w:r w:rsidR="00A6354F">
        <w:rPr>
          <w:rtl/>
          <w:lang w:val="en-US"/>
        </w:rPr>
        <w:t xml:space="preserve">اً </w:t>
      </w:r>
      <w:r w:rsidRPr="007F34D8">
        <w:rPr>
          <w:rtl/>
          <w:lang w:val="en-US"/>
        </w:rPr>
        <w:t>إلى مجموع عدد موظفي إنفاذ القانون وموظفي السجون</w:t>
      </w:r>
      <w:r w:rsidR="002302AD">
        <w:rPr>
          <w:rtl/>
          <w:lang w:val="en-US"/>
        </w:rPr>
        <w:t>،</w:t>
      </w:r>
      <w:r w:rsidRPr="007F34D8">
        <w:rPr>
          <w:rtl/>
          <w:lang w:val="en-US"/>
        </w:rPr>
        <w:t xml:space="preserve"> ونوع التدابير التي اتخذت لتدريب بقية الموظفين. ويرجى بيان ما إذا كانت الدولة الطرف قد وضعت منهجية لتقييم مدى فعالية البرامج التدريبية والتثقيفية الرامية إلى خفض عدد حالات التعذيب وسوء المعاملة. </w:t>
      </w:r>
    </w:p>
    <w:p w14:paraId="5B57C2C8" w14:textId="77777777" w:rsidR="00E609CB" w:rsidRPr="00995CF3" w:rsidRDefault="00E609CB" w:rsidP="00E609CB">
      <w:pPr>
        <w:pStyle w:val="H23GA"/>
      </w:pPr>
      <w:r w:rsidRPr="00995CF3">
        <w:rPr>
          <w:rtl/>
        </w:rPr>
        <w:tab/>
      </w:r>
      <w:r w:rsidRPr="00995CF3">
        <w:rPr>
          <w:rtl/>
        </w:rPr>
        <w:tab/>
        <w:t>المادة 11</w:t>
      </w:r>
    </w:p>
    <w:p w14:paraId="50D86105" w14:textId="63FA6E62" w:rsidR="00E609CB" w:rsidRPr="007F34D8" w:rsidRDefault="00E609CB" w:rsidP="00E609CB">
      <w:pPr>
        <w:pStyle w:val="SingleTxtGA"/>
        <w:rPr>
          <w:lang w:val="en-US"/>
        </w:rPr>
      </w:pPr>
      <w:r w:rsidRPr="00995CF3">
        <w:rPr>
          <w:rtl/>
          <w:lang w:val="en-US"/>
        </w:rPr>
        <w:t>13</w:t>
      </w:r>
      <w:r w:rsidRPr="007F34D8">
        <w:rPr>
          <w:rtl/>
          <w:lang w:val="en-US"/>
        </w:rPr>
        <w:t>-</w:t>
      </w:r>
      <w:r w:rsidRPr="007F34D8">
        <w:rPr>
          <w:rtl/>
          <w:lang w:val="en-US"/>
        </w:rPr>
        <w:tab/>
        <w:t xml:space="preserve">في ضوء الملاحظات الختامية السابقة </w:t>
      </w:r>
      <w:proofErr w:type="gramStart"/>
      <w:r w:rsidRPr="007F34D8">
        <w:rPr>
          <w:rtl/>
          <w:lang w:val="en-US"/>
        </w:rPr>
        <w:t>للجنة</w:t>
      </w:r>
      <w:r w:rsidR="00D23BD1" w:rsidRPr="002C01CE">
        <w:rPr>
          <w:vertAlign w:val="superscript"/>
          <w:rtl/>
          <w:lang w:val="en-US"/>
        </w:rPr>
        <w:t>(</w:t>
      </w:r>
      <w:proofErr w:type="gramEnd"/>
      <w:r w:rsidR="00D23BD1" w:rsidRPr="00995CF3">
        <w:rPr>
          <w:rStyle w:val="FootnoteReference"/>
          <w:szCs w:val="22"/>
          <w:lang w:val="en-US"/>
        </w:rPr>
        <w:footnoteReference w:id="45"/>
      </w:r>
      <w:r w:rsidR="00D23BD1" w:rsidRPr="002C01CE">
        <w:rPr>
          <w:vertAlign w:val="superscript"/>
          <w:rtl/>
          <w:lang w:val="en-US"/>
        </w:rPr>
        <w:t>)</w:t>
      </w:r>
      <w:r w:rsidR="002302AD">
        <w:rPr>
          <w:rtl/>
          <w:lang w:val="en-US"/>
        </w:rPr>
        <w:t>،</w:t>
      </w:r>
      <w:r w:rsidRPr="007F34D8">
        <w:rPr>
          <w:rtl/>
          <w:lang w:val="en-US"/>
        </w:rPr>
        <w:t xml:space="preserve"> يرجى بيان التدابير المتخذة منذ عام </w:t>
      </w:r>
      <w:r w:rsidRPr="00995CF3">
        <w:rPr>
          <w:rtl/>
          <w:lang w:val="en-US"/>
        </w:rPr>
        <w:t>2016</w:t>
      </w:r>
      <w:r w:rsidRPr="007F34D8">
        <w:rPr>
          <w:rtl/>
          <w:lang w:val="en-US"/>
        </w:rPr>
        <w:t xml:space="preserve"> </w:t>
      </w:r>
      <w:r w:rsidRPr="00CC268E">
        <w:rPr>
          <w:spacing w:val="-2"/>
          <w:rtl/>
          <w:lang w:val="en-US"/>
        </w:rPr>
        <w:t>من أجل زيادة استخدام بدائل السجن</w:t>
      </w:r>
      <w:r w:rsidR="002302AD" w:rsidRPr="00CC268E">
        <w:rPr>
          <w:spacing w:val="-2"/>
          <w:rtl/>
          <w:lang w:val="en-US"/>
        </w:rPr>
        <w:t>،</w:t>
      </w:r>
      <w:r w:rsidRPr="00CC268E">
        <w:rPr>
          <w:spacing w:val="-2"/>
          <w:rtl/>
          <w:lang w:val="en-US"/>
        </w:rPr>
        <w:t xml:space="preserve"> قبل المحاكمة وبعدها على حد سواء</w:t>
      </w:r>
      <w:r w:rsidR="002302AD" w:rsidRPr="00CC268E">
        <w:rPr>
          <w:spacing w:val="-2"/>
          <w:rtl/>
          <w:lang w:val="en-US"/>
        </w:rPr>
        <w:t>،</w:t>
      </w:r>
      <w:r w:rsidRPr="00CC268E">
        <w:rPr>
          <w:spacing w:val="-2"/>
          <w:rtl/>
          <w:lang w:val="en-US"/>
        </w:rPr>
        <w:t xml:space="preserve"> ولا سيما فيما يتعلق بالأحداث</w:t>
      </w:r>
      <w:r w:rsidR="002302AD" w:rsidRPr="00CC268E">
        <w:rPr>
          <w:spacing w:val="-2"/>
          <w:rtl/>
          <w:lang w:val="en-US"/>
        </w:rPr>
        <w:t>،</w:t>
      </w:r>
      <w:r w:rsidRPr="007F34D8">
        <w:rPr>
          <w:rtl/>
          <w:lang w:val="en-US"/>
        </w:rPr>
        <w:t xml:space="preserve"> </w:t>
      </w:r>
      <w:r w:rsidRPr="007F34D8">
        <w:rPr>
          <w:rtl/>
          <w:lang w:val="en-US"/>
        </w:rPr>
        <w:lastRenderedPageBreak/>
        <w:t>وضمان خضوع الاحتجاز السابق للمحاكمة لمراجعة قضائية فورية ومنتظمة. وفي هذا الصدد</w:t>
      </w:r>
      <w:r w:rsidR="002302AD">
        <w:rPr>
          <w:rtl/>
          <w:lang w:val="en-US"/>
        </w:rPr>
        <w:t>،</w:t>
      </w:r>
      <w:r w:rsidRPr="007F34D8">
        <w:rPr>
          <w:rtl/>
          <w:lang w:val="en-US"/>
        </w:rPr>
        <w:t xml:space="preserve"> يرجى بيان مسار تطور تطبيق التدابير البديلة سنوي</w:t>
      </w:r>
      <w:r w:rsidR="00A6354F">
        <w:rPr>
          <w:rtl/>
          <w:lang w:val="en-US"/>
        </w:rPr>
        <w:t xml:space="preserve">اً </w:t>
      </w:r>
      <w:r w:rsidRPr="007F34D8">
        <w:rPr>
          <w:rtl/>
          <w:lang w:val="en-US"/>
        </w:rPr>
        <w:t xml:space="preserve">منذ عام </w:t>
      </w:r>
      <w:r w:rsidRPr="00995CF3">
        <w:rPr>
          <w:rtl/>
          <w:lang w:val="en-US"/>
        </w:rPr>
        <w:t>2016</w:t>
      </w:r>
      <w:r w:rsidRPr="007F34D8">
        <w:rPr>
          <w:rtl/>
          <w:lang w:val="en-US"/>
        </w:rPr>
        <w:t xml:space="preserve">. ويرجى </w:t>
      </w:r>
      <w:r w:rsidR="002302AD">
        <w:rPr>
          <w:rtl/>
          <w:lang w:val="en-US"/>
        </w:rPr>
        <w:t xml:space="preserve">أيضاً </w:t>
      </w:r>
      <w:r w:rsidRPr="007F34D8">
        <w:rPr>
          <w:rtl/>
          <w:lang w:val="en-US"/>
        </w:rPr>
        <w:t xml:space="preserve">تقديم بيانات إحصائية تعود إلى عام </w:t>
      </w:r>
      <w:r w:rsidRPr="00995CF3">
        <w:rPr>
          <w:rtl/>
          <w:lang w:val="en-US"/>
        </w:rPr>
        <w:t>2016</w:t>
      </w:r>
      <w:r w:rsidR="002302AD">
        <w:rPr>
          <w:rtl/>
          <w:lang w:val="en-US"/>
        </w:rPr>
        <w:t>،</w:t>
      </w:r>
      <w:r w:rsidRPr="007F34D8">
        <w:rPr>
          <w:rtl/>
          <w:lang w:val="en-US"/>
        </w:rPr>
        <w:t xml:space="preserve"> وتكون مصنفة حسب السنة وجنس الشخص المحتجز والفئة العمرية (قاصر أو بالغ) وأصله الإثني أو جنسيته</w:t>
      </w:r>
      <w:r w:rsidR="002302AD">
        <w:rPr>
          <w:rtl/>
          <w:lang w:val="en-US"/>
        </w:rPr>
        <w:t>،</w:t>
      </w:r>
      <w:r w:rsidRPr="007F34D8">
        <w:rPr>
          <w:rtl/>
          <w:lang w:val="en-US"/>
        </w:rPr>
        <w:t xml:space="preserve"> عن الطاقة الاستيعابية لجميع أماكن الاحتجاز ومعدل شغلها وعدد المحتجزين قبل المحاكمة والسجناء المحكوم عليهم. ويرجى </w:t>
      </w:r>
      <w:r w:rsidR="002302AD">
        <w:rPr>
          <w:rtl/>
          <w:lang w:val="en-US"/>
        </w:rPr>
        <w:t xml:space="preserve">أيضاً </w:t>
      </w:r>
      <w:r w:rsidRPr="007F34D8">
        <w:rPr>
          <w:rtl/>
          <w:lang w:val="en-US"/>
        </w:rPr>
        <w:t>بيان الخطوات التي اتخذت لتخفيف حالة الاكتظاظ في مرافق الاحتجاز</w:t>
      </w:r>
      <w:r w:rsidR="002302AD">
        <w:rPr>
          <w:rtl/>
          <w:lang w:val="en-US"/>
        </w:rPr>
        <w:t>،</w:t>
      </w:r>
      <w:r w:rsidRPr="007F34D8">
        <w:rPr>
          <w:rtl/>
          <w:lang w:val="en-US"/>
        </w:rPr>
        <w:t xml:space="preserve"> بطرق منها زيادة مخصصات الميزانية لتطوير وتجديد الهياكل الأساسية للسجون وغيرها من مرافق الاحتجاز.</w:t>
      </w:r>
    </w:p>
    <w:p w14:paraId="180EE45F" w14:textId="02923DF7" w:rsidR="00E609CB" w:rsidRPr="007F34D8" w:rsidRDefault="00E609CB" w:rsidP="00E609CB">
      <w:pPr>
        <w:pStyle w:val="SingleTxtGA"/>
        <w:rPr>
          <w:lang w:val="en-US"/>
        </w:rPr>
      </w:pPr>
      <w:r w:rsidRPr="00995CF3">
        <w:rPr>
          <w:rtl/>
          <w:lang w:val="en-US"/>
        </w:rPr>
        <w:t>14</w:t>
      </w:r>
      <w:r w:rsidRPr="007F34D8">
        <w:rPr>
          <w:rtl/>
          <w:lang w:val="en-US"/>
        </w:rPr>
        <w:t>-</w:t>
      </w:r>
      <w:r w:rsidRPr="007F34D8">
        <w:rPr>
          <w:rtl/>
          <w:lang w:val="en-US"/>
        </w:rPr>
        <w:tab/>
        <w:t xml:space="preserve">ويرجى ذكر التدابير المتخذة منذ عام </w:t>
      </w:r>
      <w:r w:rsidRPr="00995CF3">
        <w:rPr>
          <w:rtl/>
          <w:lang w:val="en-US"/>
        </w:rPr>
        <w:t>2016</w:t>
      </w:r>
      <w:r w:rsidRPr="007F34D8">
        <w:rPr>
          <w:rtl/>
          <w:lang w:val="en-US"/>
        </w:rPr>
        <w:t xml:space="preserve"> لتحسين الصرف الصحي ونوعية الغذاء والخدمات والمرافق الصحية المتاحة لجميع المحتجزين</w:t>
      </w:r>
      <w:r w:rsidR="002302AD">
        <w:rPr>
          <w:rtl/>
          <w:lang w:val="en-US"/>
        </w:rPr>
        <w:t>،</w:t>
      </w:r>
      <w:r w:rsidRPr="007F34D8">
        <w:rPr>
          <w:rtl/>
          <w:lang w:val="en-US"/>
        </w:rPr>
        <w:t xml:space="preserve"> ولا سيما رعاية الصحة النفسية والعقلية. ويرجى </w:t>
      </w:r>
      <w:r w:rsidR="002302AD">
        <w:rPr>
          <w:rtl/>
          <w:lang w:val="en-US"/>
        </w:rPr>
        <w:t xml:space="preserve">أيضاً </w:t>
      </w:r>
      <w:r w:rsidRPr="007F34D8">
        <w:rPr>
          <w:rtl/>
          <w:lang w:val="en-US"/>
        </w:rPr>
        <w:t>ذكر ما إذا كان الشخص يخضع للفحص الطبي بشكل اعتيادي عند إدخاله مركز الاحتجاز</w:t>
      </w:r>
      <w:r w:rsidR="002302AD">
        <w:rPr>
          <w:rtl/>
          <w:lang w:val="en-US"/>
        </w:rPr>
        <w:t>،</w:t>
      </w:r>
      <w:r w:rsidRPr="007F34D8">
        <w:rPr>
          <w:rtl/>
          <w:lang w:val="en-US"/>
        </w:rPr>
        <w:t xml:space="preserve"> وبيان الإجراء الذي يوثق بموجبه الموظف الطبي علامات سوء المعاملة ويبلغ عنها من دون خوف من التعرض للانتقام. ويرجى تحديد التدابير المتخذة لضمان مبدأ عدم التمييز في توفير جميع الحقوق اللازمة للأشخاص المحتجزين</w:t>
      </w:r>
      <w:r w:rsidR="002302AD">
        <w:rPr>
          <w:rtl/>
          <w:lang w:val="en-US"/>
        </w:rPr>
        <w:t>،</w:t>
      </w:r>
      <w:r w:rsidRPr="007F34D8">
        <w:rPr>
          <w:rtl/>
          <w:lang w:val="en-US"/>
        </w:rPr>
        <w:t xml:space="preserve"> بما في ذلك ممارسة الشعائر الدينية. ويرجى </w:t>
      </w:r>
      <w:r w:rsidR="002302AD">
        <w:rPr>
          <w:rtl/>
          <w:lang w:val="en-US"/>
        </w:rPr>
        <w:t xml:space="preserve">أيضاً </w:t>
      </w:r>
      <w:r w:rsidRPr="007F34D8">
        <w:rPr>
          <w:rtl/>
          <w:lang w:val="en-US"/>
        </w:rPr>
        <w:t>تقديم معلومات عن الجهود التي تبذلها الدولة الطرف لتلبية الاحتياجات الخاصة للأحداث المحتجزين</w:t>
      </w:r>
      <w:r w:rsidR="002302AD">
        <w:rPr>
          <w:rtl/>
          <w:lang w:val="en-US"/>
        </w:rPr>
        <w:t>،</w:t>
      </w:r>
      <w:r w:rsidRPr="007F34D8">
        <w:rPr>
          <w:rtl/>
          <w:lang w:val="en-US"/>
        </w:rPr>
        <w:t xml:space="preserve"> وضمان فصل هؤلاء الأحداث دائم</w:t>
      </w:r>
      <w:r w:rsidR="00A6354F">
        <w:rPr>
          <w:rtl/>
          <w:lang w:val="en-US"/>
        </w:rPr>
        <w:t xml:space="preserve">اً </w:t>
      </w:r>
      <w:r w:rsidRPr="007F34D8">
        <w:rPr>
          <w:rtl/>
          <w:lang w:val="en-US"/>
        </w:rPr>
        <w:t xml:space="preserve">عن السجناء البالغين. ويرجى </w:t>
      </w:r>
      <w:r w:rsidR="002302AD">
        <w:rPr>
          <w:rtl/>
          <w:lang w:val="en-US"/>
        </w:rPr>
        <w:t xml:space="preserve">أيضاً </w:t>
      </w:r>
      <w:r w:rsidRPr="007F34D8">
        <w:rPr>
          <w:rtl/>
          <w:lang w:val="en-US"/>
        </w:rPr>
        <w:t>بيان ما إذا كانت هناك بروتوكولات لتلبية احتياجات فئات أخرى من السجناء</w:t>
      </w:r>
      <w:r w:rsidR="002302AD">
        <w:rPr>
          <w:rtl/>
          <w:lang w:val="en-US"/>
        </w:rPr>
        <w:t>،</w:t>
      </w:r>
      <w:r w:rsidRPr="007F34D8">
        <w:rPr>
          <w:rtl/>
          <w:lang w:val="en-US"/>
        </w:rPr>
        <w:t xml:space="preserve"> مثل النساء وكبار السن والأشخاص ذوي </w:t>
      </w:r>
      <w:proofErr w:type="gramStart"/>
      <w:r w:rsidRPr="007F34D8">
        <w:rPr>
          <w:rtl/>
          <w:lang w:val="en-US"/>
        </w:rPr>
        <w:t>الإعاقة</w:t>
      </w:r>
      <w:r w:rsidR="00D23BD1" w:rsidRPr="002C01CE">
        <w:rPr>
          <w:vertAlign w:val="superscript"/>
          <w:rtl/>
          <w:lang w:val="en-US"/>
        </w:rPr>
        <w:t>(</w:t>
      </w:r>
      <w:proofErr w:type="gramEnd"/>
      <w:r w:rsidR="00D23BD1" w:rsidRPr="00995CF3">
        <w:rPr>
          <w:rStyle w:val="FootnoteReference"/>
          <w:szCs w:val="22"/>
          <w:lang w:val="en-US"/>
        </w:rPr>
        <w:footnoteReference w:id="46"/>
      </w:r>
      <w:r w:rsidR="00D23BD1" w:rsidRPr="002C01CE">
        <w:rPr>
          <w:vertAlign w:val="superscript"/>
          <w:rtl/>
          <w:lang w:val="en-US"/>
        </w:rPr>
        <w:t>)</w:t>
      </w:r>
      <w:r w:rsidRPr="007F34D8">
        <w:rPr>
          <w:rtl/>
          <w:lang w:val="en-US"/>
        </w:rPr>
        <w:t xml:space="preserve"> والمثليات والمثليين ومزدوجي الميل الجنسي ومغايري الهوية الجنسانية وحاملي صفات الجنسين. </w:t>
      </w:r>
    </w:p>
    <w:p w14:paraId="0E5BC50A" w14:textId="2AD6FD9B" w:rsidR="00E609CB" w:rsidRPr="007F34D8" w:rsidRDefault="00E609CB" w:rsidP="00E609CB">
      <w:pPr>
        <w:pStyle w:val="SingleTxtGA"/>
        <w:rPr>
          <w:lang w:val="en-US"/>
        </w:rPr>
      </w:pPr>
      <w:r w:rsidRPr="00995CF3">
        <w:rPr>
          <w:rtl/>
          <w:lang w:val="en-US"/>
        </w:rPr>
        <w:t>15</w:t>
      </w:r>
      <w:r w:rsidRPr="007F34D8">
        <w:rPr>
          <w:rtl/>
          <w:lang w:val="en-US"/>
        </w:rPr>
        <w:t>-</w:t>
      </w:r>
      <w:r w:rsidRPr="007F34D8">
        <w:rPr>
          <w:rtl/>
          <w:lang w:val="en-US"/>
        </w:rPr>
        <w:tab/>
        <w:t>ويرجى تقديم معلومات عن النظام التأديبي المعتمد في أماكن الاحتجاز</w:t>
      </w:r>
      <w:r w:rsidR="002302AD">
        <w:rPr>
          <w:rtl/>
          <w:lang w:val="en-US"/>
        </w:rPr>
        <w:t>،</w:t>
      </w:r>
      <w:r w:rsidRPr="007F34D8">
        <w:rPr>
          <w:rtl/>
          <w:lang w:val="en-US"/>
        </w:rPr>
        <w:t xml:space="preserve"> وبيان ما إذا كان هناك إجراء يضمن مراعاة الإجراءات القانونية الواجبة وهيئة مستقلة تتولى مراجعة التدابير التأديبية المتخذة. ويرجى </w:t>
      </w:r>
      <w:r w:rsidR="002302AD">
        <w:rPr>
          <w:rtl/>
          <w:lang w:val="en-US"/>
        </w:rPr>
        <w:t xml:space="preserve">أيضاً </w:t>
      </w:r>
      <w:r w:rsidRPr="007F34D8">
        <w:rPr>
          <w:rtl/>
          <w:lang w:val="en-US"/>
        </w:rPr>
        <w:t>تقديم معلومات عما يلي: (أ) المدة القصوى للحبس الانفرادي</w:t>
      </w:r>
      <w:r w:rsidR="002302AD">
        <w:rPr>
          <w:rtl/>
          <w:lang w:val="en-US"/>
        </w:rPr>
        <w:t>،</w:t>
      </w:r>
      <w:r w:rsidRPr="007F34D8">
        <w:rPr>
          <w:rtl/>
          <w:lang w:val="en-US"/>
        </w:rPr>
        <w:t xml:space="preserve"> في القانون وفي الممارسة العملية؛ (ب) التدابير المعمول بها لضمان عدم فرض الحبس الانفرادي على </w:t>
      </w:r>
      <w:proofErr w:type="gramStart"/>
      <w:r w:rsidRPr="007F34D8">
        <w:rPr>
          <w:rtl/>
          <w:lang w:val="en-US"/>
        </w:rPr>
        <w:t>الأطفال</w:t>
      </w:r>
      <w:r w:rsidR="00D23BD1" w:rsidRPr="002C01CE">
        <w:rPr>
          <w:vertAlign w:val="superscript"/>
          <w:rtl/>
          <w:lang w:val="en-US"/>
        </w:rPr>
        <w:t>(</w:t>
      </w:r>
      <w:proofErr w:type="gramEnd"/>
      <w:r w:rsidR="00D23BD1" w:rsidRPr="00995CF3">
        <w:rPr>
          <w:rStyle w:val="FootnoteReference"/>
          <w:szCs w:val="22"/>
          <w:lang w:val="en-US"/>
        </w:rPr>
        <w:footnoteReference w:id="47"/>
      </w:r>
      <w:r w:rsidR="00D23BD1" w:rsidRPr="002C01CE">
        <w:rPr>
          <w:vertAlign w:val="superscript"/>
          <w:rtl/>
          <w:lang w:val="en-US"/>
        </w:rPr>
        <w:t>)</w:t>
      </w:r>
      <w:r w:rsidRPr="007F34D8">
        <w:rPr>
          <w:rtl/>
          <w:lang w:val="en-US"/>
        </w:rPr>
        <w:t xml:space="preserve"> والمراهقين الخارجين على القانون أو الأشخاص ذوي الإعاقات النفسية والاجتماعية؛ (ج) ما إذا كانت جميع أماكن الاحتجاز تحتفظ بسجل للعقوبات التأديبية المفروضة وما إذا كانت مسألة تناسب العقوبات تخضع للرصد. </w:t>
      </w:r>
    </w:p>
    <w:p w14:paraId="71A2D0C5" w14:textId="4582B598" w:rsidR="00E609CB" w:rsidRPr="007F34D8" w:rsidRDefault="00E609CB" w:rsidP="00E609CB">
      <w:pPr>
        <w:pStyle w:val="SingleTxtGA"/>
        <w:rPr>
          <w:lang w:val="en-US"/>
        </w:rPr>
      </w:pPr>
      <w:r w:rsidRPr="00995CF3">
        <w:rPr>
          <w:rtl/>
          <w:lang w:val="en-US"/>
        </w:rPr>
        <w:t>16</w:t>
      </w:r>
      <w:r w:rsidRPr="007F34D8">
        <w:rPr>
          <w:rtl/>
          <w:lang w:val="en-US"/>
        </w:rPr>
        <w:t>-</w:t>
      </w:r>
      <w:r w:rsidRPr="007F34D8">
        <w:rPr>
          <w:rtl/>
          <w:lang w:val="en-US"/>
        </w:rPr>
        <w:tab/>
        <w:t xml:space="preserve">ويرجى تقديم بيانات إحصائية سنوية عن حوادث العنف بين السجناء والوفيات أثناء الاحتجاز منذ عام </w:t>
      </w:r>
      <w:r w:rsidRPr="00995CF3">
        <w:rPr>
          <w:rtl/>
          <w:lang w:val="en-US"/>
        </w:rPr>
        <w:t>2018</w:t>
      </w:r>
      <w:r w:rsidR="002302AD">
        <w:rPr>
          <w:rtl/>
          <w:lang w:val="en-US"/>
        </w:rPr>
        <w:t>،</w:t>
      </w:r>
      <w:r w:rsidRPr="007F34D8">
        <w:rPr>
          <w:rtl/>
          <w:lang w:val="en-US"/>
        </w:rPr>
        <w:t xml:space="preserve"> بما في ذلك في مراكز الاحتجاز التابعة للشرطة</w:t>
      </w:r>
      <w:r w:rsidR="002302AD">
        <w:rPr>
          <w:rtl/>
          <w:lang w:val="en-US"/>
        </w:rPr>
        <w:t>،</w:t>
      </w:r>
      <w:r w:rsidRPr="007F34D8">
        <w:rPr>
          <w:rtl/>
          <w:lang w:val="en-US"/>
        </w:rPr>
        <w:t xml:space="preserve"> تكون مصنفة حسب مكان الاحتجاز وجنس الشخص المصاب أو المتوفى وعمره وأصله الإثني أو جنسيته وسبب الإصابة أو الوفاة (مثل الوفاة الناجمة عن العنف بين الأشخاص المحرومين من حريتهم أو ممارسة العنف ضدهم</w:t>
      </w:r>
      <w:r w:rsidR="002302AD">
        <w:rPr>
          <w:rtl/>
          <w:lang w:val="en-US"/>
        </w:rPr>
        <w:t xml:space="preserve">، </w:t>
      </w:r>
      <w:r w:rsidRPr="007F34D8">
        <w:rPr>
          <w:rtl/>
          <w:lang w:val="en-US"/>
        </w:rPr>
        <w:t xml:space="preserve">أو الانتحار أو الوفاة </w:t>
      </w:r>
      <w:r w:rsidRPr="00A6354F">
        <w:rPr>
          <w:spacing w:val="-2"/>
          <w:rtl/>
          <w:lang w:val="en-US"/>
        </w:rPr>
        <w:t>الطبيعية أو المرض)</w:t>
      </w:r>
      <w:r w:rsidR="002302AD" w:rsidRPr="00A6354F">
        <w:rPr>
          <w:spacing w:val="-2"/>
          <w:rtl/>
          <w:lang w:val="en-US"/>
        </w:rPr>
        <w:t>،</w:t>
      </w:r>
      <w:r w:rsidRPr="00A6354F">
        <w:rPr>
          <w:spacing w:val="-2"/>
          <w:rtl/>
          <w:lang w:val="en-US"/>
        </w:rPr>
        <w:t xml:space="preserve"> بالإضافة إلى معلومات عن عدد الوفيات أو حالات العنف التي تعزى إلى اعتداءات</w:t>
      </w:r>
      <w:r w:rsidRPr="007F34D8">
        <w:rPr>
          <w:rtl/>
          <w:lang w:val="en-US"/>
        </w:rPr>
        <w:t xml:space="preserve"> ارتكبها أو تغاضى عن ارتكابها موظفون عموميون</w:t>
      </w:r>
      <w:r w:rsidR="002302AD">
        <w:rPr>
          <w:rtl/>
          <w:lang w:val="en-US"/>
        </w:rPr>
        <w:t>،</w:t>
      </w:r>
      <w:r w:rsidRPr="007F34D8">
        <w:rPr>
          <w:rtl/>
          <w:lang w:val="en-US"/>
        </w:rPr>
        <w:t xml:space="preserve"> وعدد الإصابات أو الوفيات الناجمة عن استخدام القوة المفرطة أو بسبب عدم توفر المساعدة والعلاج الطبيين في الوقت المناسب. ويرجى بيان ما إذا كانت قد فتح أي تحقيق جنائي تلقائي</w:t>
      </w:r>
      <w:r w:rsidR="00A6354F">
        <w:rPr>
          <w:rtl/>
          <w:lang w:val="en-US"/>
        </w:rPr>
        <w:t xml:space="preserve">اً </w:t>
      </w:r>
      <w:r w:rsidRPr="007F34D8">
        <w:rPr>
          <w:rtl/>
          <w:lang w:val="en-US"/>
        </w:rPr>
        <w:t>في حالات العنف بين السجناء</w:t>
      </w:r>
      <w:r w:rsidR="002302AD">
        <w:rPr>
          <w:rtl/>
          <w:lang w:val="en-US"/>
        </w:rPr>
        <w:t>،</w:t>
      </w:r>
      <w:r w:rsidRPr="007F34D8">
        <w:rPr>
          <w:rtl/>
          <w:lang w:val="en-US"/>
        </w:rPr>
        <w:t xml:space="preserve"> وتقديم تفاصيل عن أي حالات خضعت لتحقيقات إدارية و/أو تحقيقات جنائية لتحديد ما إذا كان الموظفون العموميون يتحملون أي مسؤولية عن </w:t>
      </w:r>
      <w:r w:rsidRPr="00CC268E">
        <w:rPr>
          <w:spacing w:val="-2"/>
          <w:rtl/>
          <w:lang w:val="en-US"/>
        </w:rPr>
        <w:t>العنف بين السجناء أو الوفيات</w:t>
      </w:r>
      <w:r w:rsidR="002302AD" w:rsidRPr="00CC268E">
        <w:rPr>
          <w:spacing w:val="-2"/>
          <w:rtl/>
          <w:lang w:val="en-US"/>
        </w:rPr>
        <w:t>،</w:t>
      </w:r>
      <w:r w:rsidRPr="00CC268E">
        <w:rPr>
          <w:spacing w:val="-2"/>
          <w:rtl/>
          <w:lang w:val="en-US"/>
        </w:rPr>
        <w:t xml:space="preserve"> وعن نتائج تلك التحقيقات وعن التدابير المتخذة لمنع حدوث حالات مماثلة</w:t>
      </w:r>
      <w:r w:rsidRPr="007F34D8">
        <w:rPr>
          <w:rtl/>
          <w:lang w:val="en-US"/>
        </w:rPr>
        <w:t xml:space="preserve"> في المستقبل. ويرجى بيان ما إذا كان أقارب الشخص المتوفى أو المصاب قد منحوا تعويض</w:t>
      </w:r>
      <w:r w:rsidR="00A6354F">
        <w:rPr>
          <w:rtl/>
          <w:lang w:val="en-US"/>
        </w:rPr>
        <w:t xml:space="preserve">اً </w:t>
      </w:r>
      <w:r w:rsidRPr="007F34D8">
        <w:rPr>
          <w:rtl/>
          <w:lang w:val="en-US"/>
        </w:rPr>
        <w:t>في أي حالة من الحالات</w:t>
      </w:r>
      <w:r w:rsidR="002302AD">
        <w:rPr>
          <w:rtl/>
          <w:lang w:val="en-US"/>
        </w:rPr>
        <w:t>،</w:t>
      </w:r>
      <w:r w:rsidRPr="007F34D8">
        <w:rPr>
          <w:rtl/>
          <w:lang w:val="en-US"/>
        </w:rPr>
        <w:t xml:space="preserve"> وإذا لم يكن الأمر كذلك</w:t>
      </w:r>
      <w:r w:rsidR="002302AD">
        <w:rPr>
          <w:rtl/>
          <w:lang w:val="en-US"/>
        </w:rPr>
        <w:t>،</w:t>
      </w:r>
      <w:r w:rsidRPr="007F34D8">
        <w:rPr>
          <w:rtl/>
          <w:lang w:val="en-US"/>
        </w:rPr>
        <w:t xml:space="preserve"> يرجى ذكر أسباب رفض تعويضهم.</w:t>
      </w:r>
    </w:p>
    <w:p w14:paraId="0E3001FE" w14:textId="44844CFA" w:rsidR="00E609CB" w:rsidRPr="007F34D8" w:rsidRDefault="00E609CB" w:rsidP="007E2CB3">
      <w:pPr>
        <w:pStyle w:val="SingleTxtGA"/>
        <w:spacing w:line="350" w:lineRule="exact"/>
        <w:rPr>
          <w:lang w:val="en-US"/>
        </w:rPr>
      </w:pPr>
      <w:r w:rsidRPr="00995CF3">
        <w:rPr>
          <w:rtl/>
          <w:lang w:val="en-US"/>
        </w:rPr>
        <w:lastRenderedPageBreak/>
        <w:t>17</w:t>
      </w:r>
      <w:r w:rsidRPr="007F34D8">
        <w:rPr>
          <w:rtl/>
          <w:lang w:val="en-US"/>
        </w:rPr>
        <w:t>-</w:t>
      </w:r>
      <w:r w:rsidRPr="007F34D8">
        <w:rPr>
          <w:rtl/>
          <w:lang w:val="en-US"/>
        </w:rPr>
        <w:tab/>
        <w:t xml:space="preserve">ويرجى تقديم معلومات عن الضمانات الإجرائية والموضوعية المنطبقة على الحجز القسري للأشخاص ذوي الإعاقات النفسية أو </w:t>
      </w:r>
      <w:proofErr w:type="gramStart"/>
      <w:r w:rsidRPr="007F34D8">
        <w:rPr>
          <w:rtl/>
          <w:lang w:val="en-US"/>
        </w:rPr>
        <w:t>الذهنية</w:t>
      </w:r>
      <w:r w:rsidR="00D23BD1" w:rsidRPr="002C01CE">
        <w:rPr>
          <w:vertAlign w:val="superscript"/>
          <w:rtl/>
          <w:lang w:val="en-US"/>
        </w:rPr>
        <w:t>(</w:t>
      </w:r>
      <w:proofErr w:type="gramEnd"/>
      <w:r w:rsidR="00D23BD1" w:rsidRPr="00995CF3">
        <w:rPr>
          <w:rStyle w:val="FootnoteReference"/>
          <w:szCs w:val="22"/>
          <w:lang w:val="en-US"/>
        </w:rPr>
        <w:footnoteReference w:id="48"/>
      </w:r>
      <w:r w:rsidR="00D23BD1" w:rsidRPr="002C01CE">
        <w:rPr>
          <w:vertAlign w:val="superscript"/>
          <w:rtl/>
          <w:lang w:val="en-US"/>
        </w:rPr>
        <w:t>)</w:t>
      </w:r>
      <w:r w:rsidRPr="007F34D8">
        <w:rPr>
          <w:rtl/>
          <w:lang w:val="en-US"/>
        </w:rPr>
        <w:t xml:space="preserve"> والأطفال والمراهقين الذين يعيشون في مراكز ومؤسسات الإقامة. ويرجى </w:t>
      </w:r>
      <w:r w:rsidR="002302AD">
        <w:rPr>
          <w:rtl/>
          <w:lang w:val="en-US"/>
        </w:rPr>
        <w:t xml:space="preserve">أيضاً </w:t>
      </w:r>
      <w:r w:rsidRPr="007F34D8">
        <w:rPr>
          <w:rtl/>
          <w:lang w:val="en-US"/>
        </w:rPr>
        <w:t xml:space="preserve">تقديم معلومات عن التدابير المتخذة لتوفير خيارات بديلة للرعاية الأسرية والمجتمعية للأشخاص - بمن فيهم الأطفال - الذين يعانون من إعاقات نفسية أو </w:t>
      </w:r>
      <w:proofErr w:type="gramStart"/>
      <w:r w:rsidRPr="007F34D8">
        <w:rPr>
          <w:rtl/>
          <w:lang w:val="en-US"/>
        </w:rPr>
        <w:t>ذهنية</w:t>
      </w:r>
      <w:r w:rsidRPr="002C01CE">
        <w:rPr>
          <w:vertAlign w:val="superscript"/>
          <w:rtl/>
          <w:lang w:val="en-US"/>
        </w:rPr>
        <w:t>(</w:t>
      </w:r>
      <w:proofErr w:type="gramEnd"/>
      <w:r w:rsidRPr="00995CF3">
        <w:rPr>
          <w:rStyle w:val="FootnoteReference"/>
          <w:szCs w:val="22"/>
          <w:lang w:val="en-US"/>
        </w:rPr>
        <w:footnoteReference w:id="49"/>
      </w:r>
      <w:r w:rsidRPr="002C01CE">
        <w:rPr>
          <w:vertAlign w:val="superscript"/>
          <w:rtl/>
          <w:lang w:val="en-US"/>
        </w:rPr>
        <w:t>)</w:t>
      </w:r>
      <w:r w:rsidRPr="007F34D8">
        <w:rPr>
          <w:rtl/>
          <w:lang w:val="en-US"/>
        </w:rPr>
        <w:t xml:space="preserve">. ويرجى توضيح ما إذا كانت هناك آلية مستقلة للإشراف على مراكز ومؤسسات </w:t>
      </w:r>
      <w:proofErr w:type="gramStart"/>
      <w:r w:rsidRPr="007F34D8">
        <w:rPr>
          <w:rtl/>
          <w:lang w:val="en-US"/>
        </w:rPr>
        <w:t>الإقامة</w:t>
      </w:r>
      <w:r w:rsidR="00D23BD1" w:rsidRPr="002C01CE">
        <w:rPr>
          <w:vertAlign w:val="superscript"/>
          <w:rtl/>
          <w:lang w:val="en-US"/>
        </w:rPr>
        <w:t>(</w:t>
      </w:r>
      <w:proofErr w:type="gramEnd"/>
      <w:r w:rsidR="00D23BD1" w:rsidRPr="00995CF3">
        <w:rPr>
          <w:rStyle w:val="FootnoteReference"/>
          <w:szCs w:val="22"/>
          <w:lang w:val="en-US"/>
        </w:rPr>
        <w:footnoteReference w:id="50"/>
      </w:r>
      <w:r w:rsidR="00D23BD1" w:rsidRPr="002C01CE">
        <w:rPr>
          <w:vertAlign w:val="superscript"/>
          <w:rtl/>
          <w:lang w:val="en-US"/>
        </w:rPr>
        <w:t>)</w:t>
      </w:r>
      <w:r w:rsidRPr="007F34D8">
        <w:rPr>
          <w:rtl/>
          <w:lang w:val="en-US"/>
        </w:rPr>
        <w:t xml:space="preserve"> وما إذا كانت هناك قنوات يسهل </w:t>
      </w:r>
      <w:r w:rsidRPr="00CC268E">
        <w:rPr>
          <w:spacing w:val="-2"/>
          <w:rtl/>
          <w:lang w:val="en-US"/>
        </w:rPr>
        <w:t>الوصول إليها للإبلاغ عن حدوث أي حالة من حالات سوء المعاملة فيها ورصدها ومعالجتها</w:t>
      </w:r>
      <w:r w:rsidRPr="002C01CE">
        <w:rPr>
          <w:vertAlign w:val="superscript"/>
          <w:rtl/>
          <w:lang w:val="en-US"/>
        </w:rPr>
        <w:t>(</w:t>
      </w:r>
      <w:r w:rsidRPr="00995CF3">
        <w:rPr>
          <w:rStyle w:val="FootnoteReference"/>
          <w:szCs w:val="22"/>
          <w:lang w:val="en-US"/>
        </w:rPr>
        <w:footnoteReference w:id="51"/>
      </w:r>
      <w:r w:rsidRPr="002C01CE">
        <w:rPr>
          <w:vertAlign w:val="superscript"/>
          <w:rtl/>
          <w:lang w:val="en-US"/>
        </w:rPr>
        <w:t>)</w:t>
      </w:r>
      <w:r>
        <w:rPr>
          <w:rtl/>
          <w:lang w:val="en-US"/>
        </w:rPr>
        <w:t>.</w:t>
      </w:r>
      <w:r w:rsidRPr="007F34D8">
        <w:rPr>
          <w:rtl/>
          <w:lang w:val="en-US"/>
        </w:rPr>
        <w:t xml:space="preserve"> وبالإضافة إلى ذلك</w:t>
      </w:r>
      <w:r w:rsidR="002302AD">
        <w:rPr>
          <w:rtl/>
          <w:lang w:val="en-US"/>
        </w:rPr>
        <w:t>،</w:t>
      </w:r>
      <w:r w:rsidRPr="007F34D8">
        <w:rPr>
          <w:rtl/>
          <w:lang w:val="en-US"/>
        </w:rPr>
        <w:t xml:space="preserve"> يرجى تقديم معلومات عن استخدام وسائل التقييد المادية والكيميائية وغيرها من التدابير القسرية الطبية غير الرضائية ضد الأشخاص المودعين مؤسسات الطب النفسي.</w:t>
      </w:r>
    </w:p>
    <w:p w14:paraId="62C91A74" w14:textId="61D0EC78" w:rsidR="00E609CB" w:rsidRPr="007E2CB3" w:rsidRDefault="00E609CB" w:rsidP="007E2CB3">
      <w:pPr>
        <w:pStyle w:val="SingleTxtGA"/>
        <w:spacing w:line="350" w:lineRule="exact"/>
        <w:rPr>
          <w:lang w:val="en-US"/>
        </w:rPr>
      </w:pPr>
      <w:r w:rsidRPr="00995CF3">
        <w:rPr>
          <w:spacing w:val="-4"/>
          <w:rtl/>
          <w:lang w:val="en-US"/>
        </w:rPr>
        <w:t>18</w:t>
      </w:r>
      <w:r w:rsidRPr="007E2CB3">
        <w:rPr>
          <w:spacing w:val="-4"/>
          <w:rtl/>
          <w:lang w:val="en-US"/>
        </w:rPr>
        <w:t>-</w:t>
      </w:r>
      <w:r w:rsidRPr="007E2CB3">
        <w:rPr>
          <w:spacing w:val="-4"/>
          <w:rtl/>
          <w:lang w:val="en-US"/>
        </w:rPr>
        <w:tab/>
        <w:t>ويرجى بيان الإجراءات والمعايير المستخدمة لتقييم مدى ضرورة وتناسب إيداع طالبي اللجوء والمهاجرين غير الشرعيين الاحتجاز الإداري وذكر ما يوجد من بدائل هذا الاحتجاز. ويرجى توضيح ما</w:t>
      </w:r>
      <w:r w:rsidR="00A6354F" w:rsidRPr="007E2CB3">
        <w:rPr>
          <w:rFonts w:hint="cs"/>
          <w:spacing w:val="-4"/>
          <w:rtl/>
          <w:lang w:val="en-US"/>
        </w:rPr>
        <w:t> </w:t>
      </w:r>
      <w:r w:rsidRPr="007E2CB3">
        <w:rPr>
          <w:spacing w:val="-4"/>
          <w:rtl/>
          <w:lang w:val="en-US"/>
        </w:rPr>
        <w:t>إذا كانت قرارات الاحتجاز الإداري تخضع للمراجعة بصفة دورية</w:t>
      </w:r>
      <w:r w:rsidR="002302AD" w:rsidRPr="007E2CB3">
        <w:rPr>
          <w:spacing w:val="-4"/>
          <w:rtl/>
          <w:lang w:val="en-US"/>
        </w:rPr>
        <w:t>،</w:t>
      </w:r>
      <w:r w:rsidRPr="007E2CB3">
        <w:rPr>
          <w:spacing w:val="-4"/>
          <w:rtl/>
          <w:lang w:val="en-US"/>
        </w:rPr>
        <w:t xml:space="preserve"> وما إذا كان من الجائز تقديم طعن في مشروعية وتناسب هذه القرارات ومدة الاحتجاز التي تفرضها. ويرجى تقديم بيانات إحصائية سنوية مصنفة حسب جنس الشخص المحتجز وفئته العمرية (قاصر/بالغ) وجنسيته</w:t>
      </w:r>
      <w:r w:rsidR="002302AD" w:rsidRPr="007E2CB3">
        <w:rPr>
          <w:spacing w:val="-4"/>
          <w:rtl/>
          <w:lang w:val="en-US"/>
        </w:rPr>
        <w:t>،</w:t>
      </w:r>
      <w:r w:rsidRPr="007E2CB3">
        <w:rPr>
          <w:spacing w:val="-4"/>
          <w:rtl/>
          <w:lang w:val="en-US"/>
        </w:rPr>
        <w:t xml:space="preserve"> وعن عدد الأشخاص المحتجزين لأسباب تتعلق </w:t>
      </w:r>
      <w:r w:rsidRPr="007E2CB3">
        <w:rPr>
          <w:rtl/>
          <w:lang w:val="en-US"/>
        </w:rPr>
        <w:t xml:space="preserve">بالهجرة منذ عام </w:t>
      </w:r>
      <w:r w:rsidRPr="00995CF3">
        <w:rPr>
          <w:rtl/>
          <w:lang w:val="en-US"/>
        </w:rPr>
        <w:t>2016</w:t>
      </w:r>
      <w:r w:rsidR="002302AD" w:rsidRPr="007E2CB3">
        <w:rPr>
          <w:rtl/>
          <w:lang w:val="en-US"/>
        </w:rPr>
        <w:t>،</w:t>
      </w:r>
      <w:r w:rsidRPr="007E2CB3">
        <w:rPr>
          <w:rtl/>
          <w:lang w:val="en-US"/>
        </w:rPr>
        <w:t xml:space="preserve"> ونسبة العدد الإجمالي للحالات في السنة التي استخدمت فيها بدائل الاحتجاز. </w:t>
      </w:r>
      <w:r w:rsidRPr="007E2CB3">
        <w:rPr>
          <w:spacing w:val="-2"/>
          <w:rtl/>
          <w:lang w:val="en-US"/>
        </w:rPr>
        <w:t>ويرجى توضيح ما إذا كان الأشخاص الذين يخضعون للاحتجاز الإداري يفصلون عن المحتجزين العاديين</w:t>
      </w:r>
      <w:r w:rsidR="002302AD" w:rsidRPr="007E2CB3">
        <w:rPr>
          <w:spacing w:val="-2"/>
          <w:rtl/>
          <w:lang w:val="en-US"/>
        </w:rPr>
        <w:t>،</w:t>
      </w:r>
      <w:r w:rsidRPr="007E2CB3">
        <w:rPr>
          <w:rtl/>
          <w:lang w:val="en-US"/>
        </w:rPr>
        <w:t xml:space="preserve"> </w:t>
      </w:r>
      <w:r w:rsidRPr="007E2CB3">
        <w:rPr>
          <w:spacing w:val="-2"/>
          <w:rtl/>
          <w:lang w:val="en-US"/>
        </w:rPr>
        <w:t>وذكر نوع المؤسسات التي يحتجزون فيها</w:t>
      </w:r>
      <w:r w:rsidR="002302AD" w:rsidRPr="007E2CB3">
        <w:rPr>
          <w:spacing w:val="-2"/>
          <w:rtl/>
          <w:lang w:val="en-US"/>
        </w:rPr>
        <w:t>،</w:t>
      </w:r>
      <w:r w:rsidRPr="007E2CB3">
        <w:rPr>
          <w:spacing w:val="-2"/>
          <w:rtl/>
          <w:lang w:val="en-US"/>
        </w:rPr>
        <w:t xml:space="preserve"> بما في ذلك الأسر التي لديها أطفال والأطفال غير المصحوبين.</w:t>
      </w:r>
      <w:r w:rsidRPr="007E2CB3">
        <w:rPr>
          <w:rtl/>
          <w:lang w:val="en-US"/>
        </w:rPr>
        <w:t xml:space="preserve"> </w:t>
      </w:r>
    </w:p>
    <w:p w14:paraId="5808C249" w14:textId="77777777" w:rsidR="00E609CB" w:rsidRPr="00995CF3" w:rsidRDefault="00E609CB" w:rsidP="007E2CB3">
      <w:pPr>
        <w:pStyle w:val="H23GA"/>
        <w:spacing w:line="350" w:lineRule="exact"/>
      </w:pPr>
      <w:r w:rsidRPr="00995CF3">
        <w:rPr>
          <w:rtl/>
        </w:rPr>
        <w:tab/>
      </w:r>
      <w:r w:rsidRPr="00995CF3">
        <w:rPr>
          <w:rtl/>
        </w:rPr>
        <w:tab/>
        <w:t xml:space="preserve">المادتان 12 و13 </w:t>
      </w:r>
    </w:p>
    <w:p w14:paraId="631244CE" w14:textId="7B50B1B7" w:rsidR="00E609CB" w:rsidRPr="007E2CB3" w:rsidRDefault="00E609CB" w:rsidP="007E2CB3">
      <w:pPr>
        <w:pStyle w:val="SingleTxtGA"/>
        <w:spacing w:line="350" w:lineRule="exact"/>
        <w:rPr>
          <w:lang w:val="en-US"/>
        </w:rPr>
      </w:pPr>
      <w:r w:rsidRPr="00995CF3">
        <w:rPr>
          <w:spacing w:val="-2"/>
          <w:rtl/>
          <w:lang w:val="en-US"/>
        </w:rPr>
        <w:t>19</w:t>
      </w:r>
      <w:r w:rsidRPr="007E2CB3">
        <w:rPr>
          <w:spacing w:val="-2"/>
          <w:rtl/>
          <w:lang w:val="en-US"/>
        </w:rPr>
        <w:t>-</w:t>
      </w:r>
      <w:r w:rsidRPr="007E2CB3">
        <w:rPr>
          <w:spacing w:val="-2"/>
          <w:rtl/>
          <w:lang w:val="en-US"/>
        </w:rPr>
        <w:tab/>
        <w:t xml:space="preserve">فيما يخص الملاحظات الختامية </w:t>
      </w:r>
      <w:proofErr w:type="gramStart"/>
      <w:r w:rsidRPr="007E2CB3">
        <w:rPr>
          <w:spacing w:val="-2"/>
          <w:rtl/>
          <w:lang w:val="en-US"/>
        </w:rPr>
        <w:t>السابقة</w:t>
      </w:r>
      <w:r w:rsidR="00A83924" w:rsidRPr="007E2CB3">
        <w:rPr>
          <w:spacing w:val="-2"/>
          <w:vertAlign w:val="superscript"/>
          <w:rtl/>
          <w:lang w:val="en-US"/>
        </w:rPr>
        <w:t>(</w:t>
      </w:r>
      <w:proofErr w:type="gramEnd"/>
      <w:r w:rsidR="00A83924" w:rsidRPr="00995CF3">
        <w:rPr>
          <w:rStyle w:val="FootnoteReference"/>
          <w:spacing w:val="-2"/>
          <w:szCs w:val="22"/>
          <w:lang w:val="en-US"/>
        </w:rPr>
        <w:footnoteReference w:id="52"/>
      </w:r>
      <w:r w:rsidR="00A83924" w:rsidRPr="007E2CB3">
        <w:rPr>
          <w:spacing w:val="-2"/>
          <w:vertAlign w:val="superscript"/>
          <w:rtl/>
          <w:lang w:val="en-US"/>
        </w:rPr>
        <w:t>)</w:t>
      </w:r>
      <w:r w:rsidR="002302AD" w:rsidRPr="007E2CB3">
        <w:rPr>
          <w:spacing w:val="-2"/>
          <w:rtl/>
          <w:lang w:val="en-US"/>
        </w:rPr>
        <w:t>،</w:t>
      </w:r>
      <w:r w:rsidRPr="007E2CB3">
        <w:rPr>
          <w:spacing w:val="-2"/>
          <w:rtl/>
          <w:lang w:val="en-US"/>
        </w:rPr>
        <w:t xml:space="preserve"> يرجى بيان ما إذا كانت الدولة الطرف قد اتخذت خطوات لضمان استقلال هيئة التحقيق والادعاء العام استقلال</w:t>
      </w:r>
      <w:r w:rsidR="00A6354F" w:rsidRPr="007E2CB3">
        <w:rPr>
          <w:spacing w:val="-2"/>
          <w:rtl/>
          <w:lang w:val="en-US"/>
        </w:rPr>
        <w:t xml:space="preserve">اً </w:t>
      </w:r>
      <w:r w:rsidRPr="007E2CB3">
        <w:rPr>
          <w:spacing w:val="-2"/>
          <w:rtl/>
          <w:lang w:val="en-US"/>
        </w:rPr>
        <w:t>تام</w:t>
      </w:r>
      <w:r w:rsidR="00A6354F" w:rsidRPr="007E2CB3">
        <w:rPr>
          <w:spacing w:val="-2"/>
          <w:rtl/>
          <w:lang w:val="en-US"/>
        </w:rPr>
        <w:t xml:space="preserve">اً </w:t>
      </w:r>
      <w:r w:rsidRPr="007E2CB3">
        <w:rPr>
          <w:spacing w:val="-2"/>
          <w:rtl/>
          <w:lang w:val="en-US"/>
        </w:rPr>
        <w:t>عن وزارة الداخلية</w:t>
      </w:r>
      <w:r w:rsidR="002302AD" w:rsidRPr="007E2CB3">
        <w:rPr>
          <w:spacing w:val="-2"/>
          <w:rtl/>
          <w:lang w:val="en-US"/>
        </w:rPr>
        <w:t>،</w:t>
      </w:r>
      <w:r w:rsidRPr="007E2CB3">
        <w:rPr>
          <w:spacing w:val="-2"/>
          <w:rtl/>
          <w:lang w:val="en-US"/>
        </w:rPr>
        <w:t xml:space="preserve"> بحيث لا يكون بمقدور وزارة الداخلية تعيين موظفي الهيئة أو فصلهم أو تأديبهم</w:t>
      </w:r>
      <w:r w:rsidR="002302AD" w:rsidRPr="007E2CB3">
        <w:rPr>
          <w:spacing w:val="-2"/>
          <w:rtl/>
          <w:lang w:val="en-US"/>
        </w:rPr>
        <w:t>،</w:t>
      </w:r>
      <w:r w:rsidRPr="007E2CB3">
        <w:rPr>
          <w:spacing w:val="-2"/>
          <w:rtl/>
          <w:lang w:val="en-US"/>
        </w:rPr>
        <w:t xml:space="preserve"> وكذلك ضمان عدم وجود ارتباط هرمي أو مؤسسي أو تضارب في المصالح بين الجناة المشتبه فيهم والمفتشين. ويرجى </w:t>
      </w:r>
      <w:r w:rsidR="002302AD" w:rsidRPr="007E2CB3">
        <w:rPr>
          <w:spacing w:val="-2"/>
          <w:rtl/>
          <w:lang w:val="en-US"/>
        </w:rPr>
        <w:t xml:space="preserve">أيضاً </w:t>
      </w:r>
      <w:r w:rsidRPr="007E2CB3">
        <w:rPr>
          <w:spacing w:val="-2"/>
          <w:rtl/>
          <w:lang w:val="en-US"/>
        </w:rPr>
        <w:t>ذكر ما إذا كان الموظف العمومي الذي يخضع لتحقيق جنائي أو تأديبي بسبب ارتكابه المزعوم لأعمال التعذيب أو السوء معاملة يوقف عن الخدمة فوراً وطيلة مدة التحقيق</w:t>
      </w:r>
      <w:r w:rsidR="002302AD" w:rsidRPr="007E2CB3">
        <w:rPr>
          <w:spacing w:val="-2"/>
          <w:rtl/>
          <w:lang w:val="en-US"/>
        </w:rPr>
        <w:t>،</w:t>
      </w:r>
      <w:r w:rsidRPr="007E2CB3">
        <w:rPr>
          <w:spacing w:val="-2"/>
          <w:rtl/>
          <w:lang w:val="en-US"/>
        </w:rPr>
        <w:t xml:space="preserve"> شريطة مراعاة مبدأ افتراض البراءة. ويرجى </w:t>
      </w:r>
      <w:r w:rsidR="002302AD" w:rsidRPr="007E2CB3">
        <w:rPr>
          <w:spacing w:val="-2"/>
          <w:rtl/>
          <w:lang w:val="en-US"/>
        </w:rPr>
        <w:t xml:space="preserve">أيضاً </w:t>
      </w:r>
      <w:r w:rsidRPr="007E2CB3">
        <w:rPr>
          <w:spacing w:val="-2"/>
          <w:rtl/>
          <w:lang w:val="en-US"/>
        </w:rPr>
        <w:t>توضيح ما إذا كانت الدولة الطرف قد اتخذت أي تدابير لضمان سرية واستقلالية نظام تلقي الشكاوى المتعلقة بالتعذيب وسوء المعاملة ومتابعة هذه الشكاوى</w:t>
      </w:r>
      <w:r w:rsidR="002302AD" w:rsidRPr="007E2CB3">
        <w:rPr>
          <w:spacing w:val="-2"/>
          <w:rtl/>
          <w:lang w:val="en-US"/>
        </w:rPr>
        <w:t>،</w:t>
      </w:r>
      <w:r w:rsidRPr="007E2CB3">
        <w:rPr>
          <w:spacing w:val="-2"/>
          <w:rtl/>
          <w:lang w:val="en-US"/>
        </w:rPr>
        <w:t xml:space="preserve"> بما في ذلك في الحالات المتعلقة بالضحايا المحرومين من </w:t>
      </w:r>
      <w:proofErr w:type="gramStart"/>
      <w:r w:rsidRPr="007E2CB3">
        <w:rPr>
          <w:spacing w:val="-2"/>
          <w:rtl/>
          <w:lang w:val="en-US"/>
        </w:rPr>
        <w:t>حريتهم</w:t>
      </w:r>
      <w:r w:rsidRPr="007E2CB3">
        <w:rPr>
          <w:spacing w:val="-2"/>
          <w:vertAlign w:val="superscript"/>
          <w:rtl/>
          <w:lang w:val="en-US"/>
        </w:rPr>
        <w:t>(</w:t>
      </w:r>
      <w:proofErr w:type="gramEnd"/>
      <w:r w:rsidRPr="00995CF3">
        <w:rPr>
          <w:rStyle w:val="FootnoteReference"/>
          <w:spacing w:val="-2"/>
          <w:szCs w:val="22"/>
          <w:lang w:val="en-US"/>
        </w:rPr>
        <w:footnoteReference w:id="53"/>
      </w:r>
      <w:r w:rsidRPr="007E2CB3">
        <w:rPr>
          <w:spacing w:val="-2"/>
          <w:vertAlign w:val="superscript"/>
          <w:rtl/>
          <w:lang w:val="en-US"/>
        </w:rPr>
        <w:t>)</w:t>
      </w:r>
      <w:r w:rsidRPr="007E2CB3">
        <w:rPr>
          <w:spacing w:val="-2"/>
          <w:rtl/>
          <w:lang w:val="en-US"/>
        </w:rPr>
        <w:t>. وفي ضوء ورود تقارير تشير إلى تهديد السلطات للضحايا بمنعهم من تقديم شكاوى</w:t>
      </w:r>
      <w:r w:rsidR="002302AD" w:rsidRPr="007E2CB3">
        <w:rPr>
          <w:spacing w:val="-2"/>
          <w:rtl/>
          <w:lang w:val="en-US"/>
        </w:rPr>
        <w:t>،</w:t>
      </w:r>
      <w:r w:rsidRPr="007E2CB3">
        <w:rPr>
          <w:spacing w:val="-2"/>
          <w:rtl/>
          <w:lang w:val="en-US"/>
        </w:rPr>
        <w:t xml:space="preserve"> يرجى توضيح الآليات القائمة لحماية ضحايا التعذيب وسوء المعاملة وأفراد أسرهم والشهود والمحققين من التعرض لأي شكل من أشكال التخويف أو الانتقام بسبب تقديم شكاوى. ويرجى </w:t>
      </w:r>
      <w:r w:rsidR="002302AD" w:rsidRPr="007E2CB3">
        <w:rPr>
          <w:spacing w:val="-2"/>
          <w:rtl/>
          <w:lang w:val="en-US"/>
        </w:rPr>
        <w:t xml:space="preserve">أيضاً </w:t>
      </w:r>
      <w:r w:rsidRPr="007E2CB3">
        <w:rPr>
          <w:spacing w:val="-2"/>
          <w:rtl/>
          <w:lang w:val="en-US"/>
        </w:rPr>
        <w:t xml:space="preserve">توضيح ما إذا جرى تيسير الوصول إلى آلية </w:t>
      </w:r>
      <w:r w:rsidRPr="007E2CB3">
        <w:rPr>
          <w:rtl/>
          <w:lang w:val="en-US"/>
        </w:rPr>
        <w:t>الشكاوى والتعريف بها على نطاق واسع في جميع مرافق الاحتجاز. ويرجى بيان ما إذا كان أصحاب الشكاوى والضحايا يبلغون على النحو الواجب بأي تقدم يطرأ في معالجة شكاواهم ونتيجتها</w:t>
      </w:r>
      <w:r w:rsidR="002302AD" w:rsidRPr="007E2CB3">
        <w:rPr>
          <w:rtl/>
          <w:lang w:val="en-US"/>
        </w:rPr>
        <w:t>،</w:t>
      </w:r>
      <w:r w:rsidRPr="007E2CB3">
        <w:rPr>
          <w:rtl/>
          <w:lang w:val="en-US"/>
        </w:rPr>
        <w:t xml:space="preserve"> وتحديد سبل الانتصاف القضائية المتاحة لهم في حالة اعتراضهم على تقاعس المدعي العام عن اتخاذ أي إجراء. </w:t>
      </w:r>
    </w:p>
    <w:p w14:paraId="4EE68E51" w14:textId="51E8A656" w:rsidR="00E609CB" w:rsidRPr="007F34D8" w:rsidRDefault="00E609CB" w:rsidP="00E609CB">
      <w:pPr>
        <w:pStyle w:val="SingleTxtGA"/>
        <w:rPr>
          <w:lang w:val="en-US"/>
        </w:rPr>
      </w:pPr>
      <w:r w:rsidRPr="00995CF3">
        <w:rPr>
          <w:rtl/>
          <w:lang w:val="en-US"/>
        </w:rPr>
        <w:lastRenderedPageBreak/>
        <w:t>20</w:t>
      </w:r>
      <w:r w:rsidRPr="007F34D8">
        <w:rPr>
          <w:rtl/>
          <w:lang w:val="en-US"/>
        </w:rPr>
        <w:t>-</w:t>
      </w:r>
      <w:r w:rsidRPr="007F34D8">
        <w:rPr>
          <w:rtl/>
          <w:lang w:val="en-US"/>
        </w:rPr>
        <w:tab/>
        <w:t>وفي ضوء الملاحظات الختامية السابقة للجنة</w:t>
      </w:r>
      <w:r w:rsidR="00A83924" w:rsidRPr="002C01CE">
        <w:rPr>
          <w:vertAlign w:val="superscript"/>
          <w:rtl/>
          <w:lang w:val="en-US"/>
        </w:rPr>
        <w:t>(</w:t>
      </w:r>
      <w:r w:rsidR="00A83924" w:rsidRPr="00995CF3">
        <w:rPr>
          <w:rStyle w:val="FootnoteReference"/>
          <w:szCs w:val="22"/>
          <w:lang w:val="en-US"/>
        </w:rPr>
        <w:footnoteReference w:id="54"/>
      </w:r>
      <w:r w:rsidR="00A83924" w:rsidRPr="002C01CE">
        <w:rPr>
          <w:vertAlign w:val="superscript"/>
          <w:rtl/>
          <w:lang w:val="en-US"/>
        </w:rPr>
        <w:t>)</w:t>
      </w:r>
      <w:r w:rsidR="002302AD">
        <w:rPr>
          <w:rtl/>
          <w:lang w:val="en-US"/>
        </w:rPr>
        <w:t>،</w:t>
      </w:r>
      <w:r w:rsidRPr="007F34D8">
        <w:rPr>
          <w:rtl/>
          <w:lang w:val="en-US"/>
        </w:rPr>
        <w:t xml:space="preserve"> وبالنظر إلى ورود عدة معلومات دامغة عن أعمال تعذيب وسوء معاملة ارتكبت أساس</w:t>
      </w:r>
      <w:r w:rsidR="00A6354F">
        <w:rPr>
          <w:rtl/>
          <w:lang w:val="en-US"/>
        </w:rPr>
        <w:t xml:space="preserve">اً </w:t>
      </w:r>
      <w:r w:rsidRPr="007F34D8">
        <w:rPr>
          <w:rtl/>
          <w:lang w:val="en-US"/>
        </w:rPr>
        <w:t>في إدارة التحريات والبحث الجنائي التابعة لوزارة الداخلية ومراكز الاحتجاز التابعة لجهاز المباحث</w:t>
      </w:r>
      <w:r w:rsidR="00A83924" w:rsidRPr="002C01CE">
        <w:rPr>
          <w:vertAlign w:val="superscript"/>
          <w:rtl/>
          <w:lang w:val="en-US"/>
        </w:rPr>
        <w:t>(</w:t>
      </w:r>
      <w:r w:rsidR="00A83924" w:rsidRPr="00995CF3">
        <w:rPr>
          <w:rStyle w:val="FootnoteReference"/>
          <w:szCs w:val="22"/>
          <w:lang w:val="en-US"/>
        </w:rPr>
        <w:footnoteReference w:id="55"/>
      </w:r>
      <w:r w:rsidR="00A83924" w:rsidRPr="002C01CE">
        <w:rPr>
          <w:vertAlign w:val="superscript"/>
          <w:rtl/>
          <w:lang w:val="en-US"/>
        </w:rPr>
        <w:t>)</w:t>
      </w:r>
      <w:r w:rsidR="002302AD">
        <w:rPr>
          <w:rtl/>
          <w:lang w:val="en-US"/>
        </w:rPr>
        <w:t>،</w:t>
      </w:r>
      <w:r w:rsidRPr="007F34D8">
        <w:rPr>
          <w:rtl/>
          <w:lang w:val="en-US"/>
        </w:rPr>
        <w:t xml:space="preserve"> يرجى تقديم بيانات إحصائية سنوية عن الفترة الممتدة من عام </w:t>
      </w:r>
      <w:r w:rsidRPr="00995CF3">
        <w:rPr>
          <w:rtl/>
          <w:lang w:val="en-US"/>
        </w:rPr>
        <w:t>2016</w:t>
      </w:r>
      <w:r w:rsidR="002302AD">
        <w:rPr>
          <w:rtl/>
          <w:lang w:val="en-US"/>
        </w:rPr>
        <w:t>،</w:t>
      </w:r>
      <w:r w:rsidRPr="007F34D8">
        <w:rPr>
          <w:rtl/>
          <w:lang w:val="en-US"/>
        </w:rPr>
        <w:t xml:space="preserve"> تكون مصنفة حسب نوع الجريمة وجنس الضحية</w:t>
      </w:r>
      <w:r w:rsidR="002302AD">
        <w:rPr>
          <w:rtl/>
          <w:lang w:val="en-US"/>
        </w:rPr>
        <w:t>،</w:t>
      </w:r>
      <w:r w:rsidRPr="007F34D8">
        <w:rPr>
          <w:rtl/>
          <w:lang w:val="en-US"/>
        </w:rPr>
        <w:t xml:space="preserve"> وفئته العمرية (قاصر أو بالغ) وأصله الإثني أو جنسيته</w:t>
      </w:r>
      <w:r w:rsidR="002302AD">
        <w:rPr>
          <w:rtl/>
          <w:lang w:val="en-US"/>
        </w:rPr>
        <w:t>،</w:t>
      </w:r>
      <w:r w:rsidRPr="007F34D8">
        <w:rPr>
          <w:rtl/>
          <w:lang w:val="en-US"/>
        </w:rPr>
        <w:t xml:space="preserve"> عما يلي: (أ) عدد الشكاوى التي تلقاها المدعون العامون أو أي سلطة مختصة أخرى</w:t>
      </w:r>
      <w:r w:rsidR="002302AD">
        <w:rPr>
          <w:rtl/>
          <w:lang w:val="en-US"/>
        </w:rPr>
        <w:t>،</w:t>
      </w:r>
      <w:r w:rsidRPr="007F34D8">
        <w:rPr>
          <w:rtl/>
          <w:lang w:val="en-US"/>
        </w:rPr>
        <w:t xml:space="preserve"> أو تقارير التحقيق المقدمة</w:t>
      </w:r>
      <w:r w:rsidR="002302AD">
        <w:rPr>
          <w:rtl/>
          <w:lang w:val="en-US"/>
        </w:rPr>
        <w:t>،</w:t>
      </w:r>
      <w:r w:rsidRPr="007F34D8">
        <w:rPr>
          <w:rtl/>
          <w:lang w:val="en-US"/>
        </w:rPr>
        <w:t xml:space="preserve"> بشأن جرائم مثل إقدام موظف عمومي على ارتكاب أو الشروع في ارتكاب أعمال التعذيب أو سوء المعاملة أو التواطؤ على ارتكاب هذه الأعمال أو المشاركة فيها</w:t>
      </w:r>
      <w:r w:rsidR="002302AD">
        <w:rPr>
          <w:rtl/>
          <w:lang w:val="en-US"/>
        </w:rPr>
        <w:t>،</w:t>
      </w:r>
      <w:r w:rsidRPr="007F34D8">
        <w:rPr>
          <w:rtl/>
          <w:lang w:val="en-US"/>
        </w:rPr>
        <w:t xml:space="preserve"> أو السكوت على ارتكابها أو الموافقة عليها</w:t>
      </w:r>
      <w:r>
        <w:rPr>
          <w:rtl/>
          <w:lang w:val="en-US"/>
        </w:rPr>
        <w:t>؛</w:t>
      </w:r>
      <w:r w:rsidRPr="007F34D8">
        <w:rPr>
          <w:rtl/>
          <w:lang w:val="en-US"/>
        </w:rPr>
        <w:t xml:space="preserve"> (ب) عدد الشكاوى التي أفضت إلى فتح تحقيق جنائي أو تأديبي؛ (ج) عدد الشكاوى التي رفضت؛ (د) عدد الشكاوى التي أسفرت عن ملاحقة قضائية؛ (ه) عدد الشكاوى التي أسفرت عن صدور حكم بالإدانة؛</w:t>
      </w:r>
      <w:r>
        <w:rPr>
          <w:rtl/>
          <w:lang w:val="en-US"/>
        </w:rPr>
        <w:t xml:space="preserve"> و</w:t>
      </w:r>
      <w:r w:rsidRPr="007F34D8">
        <w:rPr>
          <w:rtl/>
          <w:lang w:val="en-US"/>
        </w:rPr>
        <w:t>(و) العقوبات الجزائية والتأديبية التي فرضت</w:t>
      </w:r>
      <w:r w:rsidR="002302AD">
        <w:rPr>
          <w:rtl/>
          <w:lang w:val="en-US"/>
        </w:rPr>
        <w:t>،</w:t>
      </w:r>
      <w:r w:rsidRPr="007F34D8">
        <w:rPr>
          <w:rtl/>
          <w:lang w:val="en-US"/>
        </w:rPr>
        <w:t xml:space="preserve"> مع تحديد مدة عقوبات السجن الصادرة. ويرجى</w:t>
      </w:r>
      <w:r w:rsidR="002302AD">
        <w:rPr>
          <w:rtl/>
          <w:lang w:val="en-US"/>
        </w:rPr>
        <w:t>،</w:t>
      </w:r>
      <w:r w:rsidRPr="007F34D8">
        <w:rPr>
          <w:rtl/>
          <w:lang w:val="en-US"/>
        </w:rPr>
        <w:t xml:space="preserve"> على وجه الخصوص</w:t>
      </w:r>
      <w:r w:rsidR="002302AD">
        <w:rPr>
          <w:rtl/>
          <w:lang w:val="en-US"/>
        </w:rPr>
        <w:t>،</w:t>
      </w:r>
      <w:r w:rsidRPr="007F34D8">
        <w:rPr>
          <w:rtl/>
          <w:lang w:val="en-US"/>
        </w:rPr>
        <w:t xml:space="preserve"> ذكر ما إذا كانت قد فتحت تحقيقات في الادعاءات التالية المتعلقة بممارسة التعذيب وسوء المعاملة</w:t>
      </w:r>
      <w:r w:rsidR="002302AD">
        <w:rPr>
          <w:rtl/>
          <w:lang w:val="en-US"/>
        </w:rPr>
        <w:t>،</w:t>
      </w:r>
      <w:r w:rsidRPr="007F34D8">
        <w:rPr>
          <w:rtl/>
          <w:lang w:val="en-US"/>
        </w:rPr>
        <w:t xml:space="preserve"> ومنها ما أشارت إليه اللجنة سابقا</w:t>
      </w:r>
      <w:r w:rsidR="00A6354F">
        <w:rPr>
          <w:rFonts w:hint="cs"/>
          <w:rtl/>
          <w:lang w:val="en-US"/>
        </w:rPr>
        <w:t>ً</w:t>
      </w:r>
      <w:r w:rsidRPr="007F34D8">
        <w:rPr>
          <w:rtl/>
          <w:lang w:val="en-US"/>
        </w:rPr>
        <w:t>: (أ) في حق محامي حقوق الإنسان</w:t>
      </w:r>
      <w:r w:rsidR="002302AD">
        <w:rPr>
          <w:rtl/>
          <w:lang w:val="en-US"/>
        </w:rPr>
        <w:t>،</w:t>
      </w:r>
      <w:r w:rsidRPr="007F34D8">
        <w:rPr>
          <w:rtl/>
          <w:lang w:val="en-US"/>
        </w:rPr>
        <w:t xml:space="preserve"> وليد أبو الخير في عام </w:t>
      </w:r>
      <w:r w:rsidRPr="00995CF3">
        <w:rPr>
          <w:rtl/>
          <w:lang w:val="en-US"/>
        </w:rPr>
        <w:t>2014</w:t>
      </w:r>
      <w:r w:rsidR="002302AD">
        <w:rPr>
          <w:rtl/>
          <w:lang w:val="en-US"/>
        </w:rPr>
        <w:t>،</w:t>
      </w:r>
      <w:r w:rsidRPr="007F34D8">
        <w:rPr>
          <w:rtl/>
          <w:lang w:val="en-US"/>
        </w:rPr>
        <w:t xml:space="preserve"> عندما كان محتجز</w:t>
      </w:r>
      <w:r w:rsidR="00680FC9">
        <w:rPr>
          <w:rtl/>
          <w:lang w:val="en-US"/>
        </w:rPr>
        <w:t>اً؛</w:t>
      </w:r>
      <w:r w:rsidRPr="007F34D8">
        <w:rPr>
          <w:rtl/>
          <w:lang w:val="en-US"/>
        </w:rPr>
        <w:t xml:space="preserve"> و(ب) انتهاكات الاتفاقية التي يزعم أن موظف</w:t>
      </w:r>
      <w:r w:rsidR="00A6354F">
        <w:rPr>
          <w:rtl/>
          <w:lang w:val="en-US"/>
        </w:rPr>
        <w:t xml:space="preserve">اً </w:t>
      </w:r>
      <w:r w:rsidRPr="007F34D8">
        <w:rPr>
          <w:rtl/>
          <w:lang w:val="en-US"/>
        </w:rPr>
        <w:t xml:space="preserve">في السلك الدبلوماسي ارتكبها أثناء خدمته في الهند في عام </w:t>
      </w:r>
      <w:r w:rsidRPr="00995CF3">
        <w:rPr>
          <w:rtl/>
          <w:lang w:val="en-US"/>
        </w:rPr>
        <w:t>2015</w:t>
      </w:r>
      <w:r w:rsidRPr="007F34D8">
        <w:rPr>
          <w:rtl/>
          <w:lang w:val="en-US"/>
        </w:rPr>
        <w:t xml:space="preserve">. </w:t>
      </w:r>
    </w:p>
    <w:p w14:paraId="7DEEA073" w14:textId="5AB0B5C8" w:rsidR="00E609CB" w:rsidRPr="007E2CB3" w:rsidRDefault="00E609CB" w:rsidP="00E609CB">
      <w:pPr>
        <w:pStyle w:val="SingleTxtGA"/>
        <w:rPr>
          <w:spacing w:val="-4"/>
          <w:lang w:val="en-US"/>
        </w:rPr>
      </w:pPr>
      <w:r w:rsidRPr="00995CF3">
        <w:rPr>
          <w:spacing w:val="-4"/>
          <w:rtl/>
          <w:lang w:val="en-US"/>
        </w:rPr>
        <w:t>21</w:t>
      </w:r>
      <w:r w:rsidRPr="007E2CB3">
        <w:rPr>
          <w:spacing w:val="-4"/>
          <w:rtl/>
          <w:lang w:val="en-US"/>
        </w:rPr>
        <w:t>-</w:t>
      </w:r>
      <w:r w:rsidRPr="007E2CB3">
        <w:rPr>
          <w:spacing w:val="-4"/>
          <w:rtl/>
          <w:lang w:val="en-US"/>
        </w:rPr>
        <w:tab/>
        <w:t xml:space="preserve">وفي ضوء الملاحظات الختامية </w:t>
      </w:r>
      <w:proofErr w:type="gramStart"/>
      <w:r w:rsidRPr="007E2CB3">
        <w:rPr>
          <w:spacing w:val="-4"/>
          <w:rtl/>
          <w:lang w:val="en-US"/>
        </w:rPr>
        <w:t>السابقة</w:t>
      </w:r>
      <w:r w:rsidR="00A83924" w:rsidRPr="007E2CB3">
        <w:rPr>
          <w:spacing w:val="-4"/>
          <w:vertAlign w:val="superscript"/>
          <w:rtl/>
          <w:lang w:val="en-US"/>
        </w:rPr>
        <w:t>(</w:t>
      </w:r>
      <w:proofErr w:type="gramEnd"/>
      <w:r w:rsidR="00A83924" w:rsidRPr="00995CF3">
        <w:rPr>
          <w:rStyle w:val="FootnoteReference"/>
          <w:spacing w:val="-4"/>
          <w:szCs w:val="22"/>
          <w:lang w:val="en-US"/>
        </w:rPr>
        <w:footnoteReference w:id="56"/>
      </w:r>
      <w:r w:rsidR="00A83924" w:rsidRPr="007E2CB3">
        <w:rPr>
          <w:spacing w:val="-4"/>
          <w:vertAlign w:val="superscript"/>
          <w:rtl/>
          <w:lang w:val="en-US"/>
        </w:rPr>
        <w:t>)</w:t>
      </w:r>
      <w:r w:rsidR="002302AD" w:rsidRPr="007E2CB3">
        <w:rPr>
          <w:spacing w:val="-4"/>
          <w:rtl/>
          <w:lang w:val="en-US"/>
        </w:rPr>
        <w:t>،</w:t>
      </w:r>
      <w:r w:rsidRPr="007E2CB3">
        <w:rPr>
          <w:spacing w:val="-4"/>
          <w:rtl/>
          <w:lang w:val="en-US"/>
        </w:rPr>
        <w:t xml:space="preserve"> يرجى ذكر التدابير المتخذة لضمان وجود هيئة قضائية محايدة مستقلة تمام</w:t>
      </w:r>
      <w:r w:rsidR="00A6354F" w:rsidRPr="007E2CB3">
        <w:rPr>
          <w:spacing w:val="-4"/>
          <w:rtl/>
          <w:lang w:val="en-US"/>
        </w:rPr>
        <w:t xml:space="preserve">اً </w:t>
      </w:r>
      <w:r w:rsidRPr="007E2CB3">
        <w:rPr>
          <w:spacing w:val="-4"/>
          <w:rtl/>
          <w:lang w:val="en-US"/>
        </w:rPr>
        <w:t>عن السلطة التنفيذية</w:t>
      </w:r>
      <w:r w:rsidR="002302AD" w:rsidRPr="007E2CB3">
        <w:rPr>
          <w:spacing w:val="-4"/>
          <w:rtl/>
          <w:lang w:val="en-US"/>
        </w:rPr>
        <w:t>،</w:t>
      </w:r>
      <w:r w:rsidRPr="007E2CB3">
        <w:rPr>
          <w:spacing w:val="-4"/>
          <w:rtl/>
          <w:lang w:val="en-US"/>
        </w:rPr>
        <w:t xml:space="preserve"> وتغيير نظام تعيين القضاة</w:t>
      </w:r>
      <w:r w:rsidR="002302AD" w:rsidRPr="007E2CB3">
        <w:rPr>
          <w:spacing w:val="-4"/>
          <w:rtl/>
          <w:lang w:val="en-US"/>
        </w:rPr>
        <w:t>،</w:t>
      </w:r>
      <w:r w:rsidRPr="007E2CB3">
        <w:rPr>
          <w:spacing w:val="-4"/>
          <w:rtl/>
          <w:lang w:val="en-US"/>
        </w:rPr>
        <w:t xml:space="preserve"> بطرق منها ضمان استقلال المحكمة الجزائية المتخصصة عن وزارة الداخلية</w:t>
      </w:r>
      <w:r w:rsidR="002302AD" w:rsidRPr="007E2CB3">
        <w:rPr>
          <w:spacing w:val="-4"/>
          <w:rtl/>
          <w:lang w:val="en-US"/>
        </w:rPr>
        <w:t>،</w:t>
      </w:r>
      <w:r w:rsidRPr="007E2CB3">
        <w:rPr>
          <w:spacing w:val="-4"/>
          <w:rtl/>
          <w:lang w:val="en-US"/>
        </w:rPr>
        <w:t xml:space="preserve"> حتى يتمكن القضاء من معالجة القضايا المتعلقة بالإفلات من العقاب</w:t>
      </w:r>
      <w:r w:rsidR="002302AD" w:rsidRPr="007E2CB3">
        <w:rPr>
          <w:spacing w:val="-4"/>
          <w:rtl/>
          <w:lang w:val="en-US"/>
        </w:rPr>
        <w:t>،</w:t>
      </w:r>
      <w:r w:rsidRPr="007E2CB3">
        <w:rPr>
          <w:spacing w:val="-4"/>
          <w:rtl/>
          <w:lang w:val="en-US"/>
        </w:rPr>
        <w:t xml:space="preserve"> وجبر ضرر الضحايا ومراعاة الإجراءات القانونية الواجبة وفق</w:t>
      </w:r>
      <w:r w:rsidR="00A6354F" w:rsidRPr="007E2CB3">
        <w:rPr>
          <w:spacing w:val="-4"/>
          <w:rtl/>
          <w:lang w:val="en-US"/>
        </w:rPr>
        <w:t xml:space="preserve">اً </w:t>
      </w:r>
      <w:r w:rsidRPr="007E2CB3">
        <w:rPr>
          <w:spacing w:val="-4"/>
          <w:rtl/>
          <w:lang w:val="en-US"/>
        </w:rPr>
        <w:t>للاتفاقية</w:t>
      </w:r>
      <w:r w:rsidR="002302AD" w:rsidRPr="007E2CB3">
        <w:rPr>
          <w:spacing w:val="-4"/>
          <w:rtl/>
          <w:lang w:val="en-US"/>
        </w:rPr>
        <w:t>،</w:t>
      </w:r>
      <w:r w:rsidRPr="007E2CB3">
        <w:rPr>
          <w:spacing w:val="-4"/>
          <w:rtl/>
          <w:lang w:val="en-US"/>
        </w:rPr>
        <w:t xml:space="preserve"> بطريقة محايدة. </w:t>
      </w:r>
    </w:p>
    <w:p w14:paraId="468E529D" w14:textId="77777777" w:rsidR="00E609CB" w:rsidRPr="00995CF3" w:rsidRDefault="00E609CB" w:rsidP="00E609CB">
      <w:pPr>
        <w:pStyle w:val="H23GA"/>
      </w:pPr>
      <w:r w:rsidRPr="00995CF3">
        <w:rPr>
          <w:rtl/>
        </w:rPr>
        <w:tab/>
      </w:r>
      <w:r w:rsidRPr="00995CF3">
        <w:rPr>
          <w:rtl/>
        </w:rPr>
        <w:tab/>
        <w:t>المادة 14</w:t>
      </w:r>
    </w:p>
    <w:p w14:paraId="5D042E2B" w14:textId="79C01520" w:rsidR="00E609CB" w:rsidRPr="007E2CB3" w:rsidRDefault="00E609CB" w:rsidP="00E609CB">
      <w:pPr>
        <w:pStyle w:val="SingleTxtGA"/>
        <w:rPr>
          <w:spacing w:val="-4"/>
          <w:lang w:val="en-US"/>
        </w:rPr>
      </w:pPr>
      <w:r w:rsidRPr="00995CF3">
        <w:rPr>
          <w:spacing w:val="-4"/>
          <w:rtl/>
          <w:lang w:val="en-US"/>
        </w:rPr>
        <w:t>22</w:t>
      </w:r>
      <w:r w:rsidRPr="007E2CB3">
        <w:rPr>
          <w:spacing w:val="-4"/>
          <w:rtl/>
          <w:lang w:val="en-US"/>
        </w:rPr>
        <w:t>-</w:t>
      </w:r>
      <w:r w:rsidRPr="007E2CB3">
        <w:rPr>
          <w:spacing w:val="-4"/>
          <w:rtl/>
          <w:lang w:val="en-US"/>
        </w:rPr>
        <w:tab/>
        <w:t xml:space="preserve">في ضوء الملاحظات الختامية السابقة </w:t>
      </w:r>
      <w:proofErr w:type="gramStart"/>
      <w:r w:rsidRPr="007E2CB3">
        <w:rPr>
          <w:spacing w:val="-4"/>
          <w:rtl/>
          <w:lang w:val="en-US"/>
        </w:rPr>
        <w:t>للجنة</w:t>
      </w:r>
      <w:r w:rsidR="00A83924" w:rsidRPr="007E2CB3">
        <w:rPr>
          <w:spacing w:val="-4"/>
          <w:vertAlign w:val="superscript"/>
          <w:rtl/>
          <w:lang w:val="en-US"/>
        </w:rPr>
        <w:t>(</w:t>
      </w:r>
      <w:proofErr w:type="gramEnd"/>
      <w:r w:rsidR="00A83924" w:rsidRPr="00995CF3">
        <w:rPr>
          <w:rStyle w:val="FootnoteReference"/>
          <w:spacing w:val="-4"/>
          <w:szCs w:val="22"/>
          <w:lang w:val="en-US"/>
        </w:rPr>
        <w:footnoteReference w:id="57"/>
      </w:r>
      <w:r w:rsidR="00A83924" w:rsidRPr="007E2CB3">
        <w:rPr>
          <w:spacing w:val="-4"/>
          <w:vertAlign w:val="superscript"/>
          <w:rtl/>
          <w:lang w:val="en-US"/>
        </w:rPr>
        <w:t>)</w:t>
      </w:r>
      <w:r w:rsidR="002302AD" w:rsidRPr="007E2CB3">
        <w:rPr>
          <w:spacing w:val="-4"/>
          <w:rtl/>
          <w:lang w:val="en-US"/>
        </w:rPr>
        <w:t>،</w:t>
      </w:r>
      <w:r w:rsidRPr="007E2CB3">
        <w:rPr>
          <w:spacing w:val="-4"/>
          <w:rtl/>
          <w:lang w:val="en-US"/>
        </w:rPr>
        <w:t xml:space="preserve"> يرجى بيان ما إذا كانت الدولة الطرف قد استعرضت تشريعاتها لتضمينها أحكام</w:t>
      </w:r>
      <w:r w:rsidR="00A6354F" w:rsidRPr="007E2CB3">
        <w:rPr>
          <w:spacing w:val="-4"/>
          <w:rtl/>
          <w:lang w:val="en-US"/>
        </w:rPr>
        <w:t xml:space="preserve">اً </w:t>
      </w:r>
      <w:r w:rsidRPr="007E2CB3">
        <w:rPr>
          <w:spacing w:val="-4"/>
          <w:rtl/>
          <w:lang w:val="en-US"/>
        </w:rPr>
        <w:t>صريحة بشأن حق جميع ضحايا التعذيب وسوء المعاملة في جبر الضرر</w:t>
      </w:r>
      <w:r w:rsidR="002302AD" w:rsidRPr="007E2CB3">
        <w:rPr>
          <w:spacing w:val="-4"/>
          <w:rtl/>
          <w:lang w:val="en-US"/>
        </w:rPr>
        <w:t>،</w:t>
      </w:r>
      <w:r w:rsidRPr="007E2CB3">
        <w:rPr>
          <w:spacing w:val="-4"/>
          <w:rtl/>
          <w:lang w:val="en-US"/>
        </w:rPr>
        <w:t xml:space="preserve"> بما في ذلك الحصول على التعويض العادل والكافي والاستفادة من إعادة التأهيل. ويرجى </w:t>
      </w:r>
      <w:r w:rsidR="002302AD" w:rsidRPr="007E2CB3">
        <w:rPr>
          <w:spacing w:val="-4"/>
          <w:rtl/>
          <w:lang w:val="en-US"/>
        </w:rPr>
        <w:t xml:space="preserve">أيضاً </w:t>
      </w:r>
      <w:r w:rsidRPr="007E2CB3">
        <w:rPr>
          <w:spacing w:val="-4"/>
          <w:rtl/>
          <w:lang w:val="en-US"/>
        </w:rPr>
        <w:t>بيان ما إذا كانت الدولة الطرف قد اتخذت تدابير تكفل عملي</w:t>
      </w:r>
      <w:r w:rsidR="007C38B3" w:rsidRPr="007E2CB3">
        <w:rPr>
          <w:spacing w:val="-4"/>
          <w:rtl/>
          <w:lang w:val="en-US"/>
        </w:rPr>
        <w:t>اً،</w:t>
      </w:r>
      <w:r w:rsidRPr="007E2CB3">
        <w:rPr>
          <w:spacing w:val="-4"/>
          <w:rtl/>
          <w:lang w:val="en-US"/>
        </w:rPr>
        <w:t xml:space="preserve"> لضحايا التعذيب أو سوء المعاملة</w:t>
      </w:r>
      <w:r w:rsidR="002302AD" w:rsidRPr="007E2CB3">
        <w:rPr>
          <w:spacing w:val="-4"/>
          <w:rtl/>
          <w:lang w:val="en-US"/>
        </w:rPr>
        <w:t>،</w:t>
      </w:r>
      <w:r w:rsidRPr="007E2CB3">
        <w:rPr>
          <w:spacing w:val="-4"/>
          <w:rtl/>
          <w:lang w:val="en-US"/>
        </w:rPr>
        <w:t xml:space="preserve"> بمن فيهم الأشخاص الذين أصيبوا بعاهة مقعدة مدى الحياة نتيجة التعرض للتعذيب</w:t>
      </w:r>
      <w:r w:rsidR="002302AD" w:rsidRPr="007E2CB3">
        <w:rPr>
          <w:spacing w:val="-4"/>
          <w:rtl/>
          <w:lang w:val="en-US"/>
        </w:rPr>
        <w:t>،</w:t>
      </w:r>
      <w:r w:rsidRPr="007E2CB3">
        <w:rPr>
          <w:spacing w:val="-4"/>
          <w:rtl/>
          <w:lang w:val="en-US"/>
        </w:rPr>
        <w:t xml:space="preserve"> إمكانية التماس تعويض فوري وعادل ومناسب</w:t>
      </w:r>
      <w:r w:rsidR="002302AD" w:rsidRPr="007E2CB3">
        <w:rPr>
          <w:spacing w:val="-4"/>
          <w:rtl/>
          <w:lang w:val="en-US"/>
        </w:rPr>
        <w:t>،</w:t>
      </w:r>
      <w:r w:rsidRPr="007E2CB3">
        <w:rPr>
          <w:spacing w:val="-4"/>
          <w:rtl/>
          <w:lang w:val="en-US"/>
        </w:rPr>
        <w:t xml:space="preserve"> وإعادة التأهيل على أكمل وجه ممكن</w:t>
      </w:r>
      <w:r w:rsidR="002302AD" w:rsidRPr="007E2CB3">
        <w:rPr>
          <w:spacing w:val="-4"/>
          <w:rtl/>
          <w:lang w:val="en-US"/>
        </w:rPr>
        <w:t>،</w:t>
      </w:r>
      <w:r w:rsidRPr="007E2CB3">
        <w:rPr>
          <w:spacing w:val="-4"/>
          <w:rtl/>
          <w:lang w:val="en-US"/>
        </w:rPr>
        <w:t xml:space="preserve"> والحصول عليه</w:t>
      </w:r>
      <w:r w:rsidR="002302AD" w:rsidRPr="007E2CB3">
        <w:rPr>
          <w:spacing w:val="-4"/>
          <w:rtl/>
          <w:lang w:val="en-US"/>
        </w:rPr>
        <w:t>،</w:t>
      </w:r>
      <w:r w:rsidRPr="007E2CB3">
        <w:rPr>
          <w:spacing w:val="-4"/>
          <w:rtl/>
          <w:lang w:val="en-US"/>
        </w:rPr>
        <w:t xml:space="preserve"> بما في ذلك في الحالات التي تتحمل فيها الدولة الطرف مسؤولية مدنية. وإذا كان الأمر كذلك</w:t>
      </w:r>
      <w:r w:rsidR="002302AD" w:rsidRPr="007E2CB3">
        <w:rPr>
          <w:spacing w:val="-4"/>
          <w:rtl/>
          <w:lang w:val="en-US"/>
        </w:rPr>
        <w:t>،</w:t>
      </w:r>
      <w:r w:rsidRPr="007E2CB3">
        <w:rPr>
          <w:spacing w:val="-4"/>
          <w:rtl/>
          <w:lang w:val="en-US"/>
        </w:rPr>
        <w:t xml:space="preserve"> يرجى وصف الإجراء المتبع وتوضيح ما</w:t>
      </w:r>
      <w:r w:rsidR="00A6354F" w:rsidRPr="007E2CB3">
        <w:rPr>
          <w:rFonts w:hint="cs"/>
          <w:spacing w:val="-4"/>
          <w:rtl/>
          <w:lang w:val="en-US"/>
        </w:rPr>
        <w:t> </w:t>
      </w:r>
      <w:r w:rsidRPr="007E2CB3">
        <w:rPr>
          <w:spacing w:val="-4"/>
          <w:rtl/>
          <w:lang w:val="en-US"/>
        </w:rPr>
        <w:t>إذا كانت الدولة الطرف مسؤولة قانون</w:t>
      </w:r>
      <w:r w:rsidR="00A6354F" w:rsidRPr="007E2CB3">
        <w:rPr>
          <w:spacing w:val="-4"/>
          <w:rtl/>
          <w:lang w:val="en-US"/>
        </w:rPr>
        <w:t xml:space="preserve">اً </w:t>
      </w:r>
      <w:r w:rsidRPr="007E2CB3">
        <w:rPr>
          <w:spacing w:val="-4"/>
          <w:rtl/>
          <w:lang w:val="en-US"/>
        </w:rPr>
        <w:t>عن سلوك مرتكبي أعمال التعذيب وسوء المعاملة مما يلزمها بتعويض الضحايا.</w:t>
      </w:r>
    </w:p>
    <w:p w14:paraId="046C1F5C" w14:textId="67D81B01" w:rsidR="00E609CB" w:rsidRPr="007E2CB3" w:rsidRDefault="00E609CB" w:rsidP="00E609CB">
      <w:pPr>
        <w:pStyle w:val="SingleTxtGA"/>
        <w:rPr>
          <w:spacing w:val="-4"/>
          <w:lang w:val="en-US"/>
        </w:rPr>
      </w:pPr>
      <w:r w:rsidRPr="00995CF3">
        <w:rPr>
          <w:spacing w:val="-4"/>
          <w:rtl/>
          <w:lang w:val="en-US"/>
        </w:rPr>
        <w:t>23</w:t>
      </w:r>
      <w:r w:rsidRPr="007E2CB3">
        <w:rPr>
          <w:spacing w:val="-4"/>
          <w:rtl/>
          <w:lang w:val="en-US"/>
        </w:rPr>
        <w:t>-</w:t>
      </w:r>
      <w:r w:rsidRPr="007E2CB3">
        <w:rPr>
          <w:spacing w:val="-4"/>
          <w:rtl/>
          <w:lang w:val="en-US"/>
        </w:rPr>
        <w:tab/>
        <w:t>ويرجى تقديم معلومات عن تدابير جبر الضرر والتعويض</w:t>
      </w:r>
      <w:r w:rsidR="002302AD" w:rsidRPr="007E2CB3">
        <w:rPr>
          <w:spacing w:val="-4"/>
          <w:rtl/>
          <w:lang w:val="en-US"/>
        </w:rPr>
        <w:t>،</w:t>
      </w:r>
      <w:r w:rsidRPr="007E2CB3">
        <w:rPr>
          <w:spacing w:val="-4"/>
          <w:rtl/>
          <w:lang w:val="en-US"/>
        </w:rPr>
        <w:t xml:space="preserve"> بما في ذلك وسائل إعادة التأهيل</w:t>
      </w:r>
      <w:r w:rsidR="002302AD" w:rsidRPr="007E2CB3">
        <w:rPr>
          <w:spacing w:val="-4"/>
          <w:rtl/>
          <w:lang w:val="en-US"/>
        </w:rPr>
        <w:t>،</w:t>
      </w:r>
      <w:r w:rsidRPr="007E2CB3">
        <w:rPr>
          <w:spacing w:val="-4"/>
          <w:rtl/>
          <w:lang w:val="en-US"/>
        </w:rPr>
        <w:t xml:space="preserve"> التي أمرت بها المحاكم أو غيرها من الهيئات الحكومية</w:t>
      </w:r>
      <w:r w:rsidR="002302AD" w:rsidRPr="007E2CB3">
        <w:rPr>
          <w:spacing w:val="-4"/>
          <w:rtl/>
          <w:lang w:val="en-US"/>
        </w:rPr>
        <w:t>،</w:t>
      </w:r>
      <w:r w:rsidRPr="007E2CB3">
        <w:rPr>
          <w:spacing w:val="-4"/>
          <w:rtl/>
          <w:lang w:val="en-US"/>
        </w:rPr>
        <w:t xml:space="preserve"> والتي قدمت بالفعل لضحايا التعذيب و/أو سوء المعاملة </w:t>
      </w:r>
      <w:proofErr w:type="gramStart"/>
      <w:r w:rsidRPr="007E2CB3">
        <w:rPr>
          <w:spacing w:val="-4"/>
          <w:rtl/>
          <w:lang w:val="en-US"/>
        </w:rPr>
        <w:t>أو</w:t>
      </w:r>
      <w:r w:rsidR="007E2CB3">
        <w:rPr>
          <w:rFonts w:hint="cs"/>
          <w:spacing w:val="-4"/>
          <w:rtl/>
          <w:lang w:val="en-US"/>
        </w:rPr>
        <w:t>{</w:t>
      </w:r>
      <w:proofErr w:type="gramEnd"/>
      <w:r w:rsidRPr="007E2CB3">
        <w:rPr>
          <w:spacing w:val="-4"/>
          <w:rtl/>
          <w:lang w:val="en-US"/>
        </w:rPr>
        <w:t>أسرهم منذ النظر في التقرير الدوري السابق</w:t>
      </w:r>
      <w:r w:rsidR="002302AD" w:rsidRPr="007E2CB3">
        <w:rPr>
          <w:spacing w:val="-4"/>
          <w:rtl/>
          <w:lang w:val="en-US"/>
        </w:rPr>
        <w:t>،</w:t>
      </w:r>
      <w:r w:rsidRPr="007E2CB3">
        <w:rPr>
          <w:spacing w:val="-4"/>
          <w:rtl/>
          <w:lang w:val="en-US"/>
        </w:rPr>
        <w:t xml:space="preserve"> بمن فيهم ضحايا سوء المعاملة في مؤسسات علاج الأمراض النفسية وفي دور الرعاية</w:t>
      </w:r>
      <w:r w:rsidR="00A83924" w:rsidRPr="007E2CB3">
        <w:rPr>
          <w:spacing w:val="-4"/>
          <w:vertAlign w:val="superscript"/>
          <w:rtl/>
          <w:lang w:val="en-US"/>
        </w:rPr>
        <w:t>(</w:t>
      </w:r>
      <w:r w:rsidR="00A83924" w:rsidRPr="00995CF3">
        <w:rPr>
          <w:rStyle w:val="FootnoteReference"/>
          <w:spacing w:val="-4"/>
          <w:szCs w:val="22"/>
          <w:lang w:val="en-US"/>
        </w:rPr>
        <w:footnoteReference w:id="58"/>
      </w:r>
      <w:r w:rsidR="00A83924" w:rsidRPr="007E2CB3">
        <w:rPr>
          <w:spacing w:val="-4"/>
          <w:vertAlign w:val="superscript"/>
          <w:rtl/>
          <w:lang w:val="en-US"/>
        </w:rPr>
        <w:t>)</w:t>
      </w:r>
      <w:r w:rsidR="002302AD" w:rsidRPr="007E2CB3">
        <w:rPr>
          <w:spacing w:val="-4"/>
          <w:rtl/>
          <w:lang w:val="en-US"/>
        </w:rPr>
        <w:t>،</w:t>
      </w:r>
      <w:r w:rsidRPr="007E2CB3">
        <w:rPr>
          <w:spacing w:val="-4"/>
          <w:rtl/>
          <w:lang w:val="en-US"/>
        </w:rPr>
        <w:t xml:space="preserve"> وضحايا التعقيم غير الطوعي</w:t>
      </w:r>
      <w:r w:rsidR="00A83924" w:rsidRPr="007E2CB3">
        <w:rPr>
          <w:spacing w:val="-4"/>
          <w:vertAlign w:val="superscript"/>
          <w:rtl/>
          <w:lang w:val="en-US"/>
        </w:rPr>
        <w:t>(</w:t>
      </w:r>
      <w:r w:rsidR="00A83924" w:rsidRPr="00995CF3">
        <w:rPr>
          <w:rStyle w:val="FootnoteReference"/>
          <w:spacing w:val="-4"/>
          <w:szCs w:val="22"/>
          <w:lang w:val="en-US"/>
        </w:rPr>
        <w:footnoteReference w:id="59"/>
      </w:r>
      <w:r w:rsidR="00A83924" w:rsidRPr="007E2CB3">
        <w:rPr>
          <w:spacing w:val="-4"/>
          <w:vertAlign w:val="superscript"/>
          <w:rtl/>
          <w:lang w:val="en-US"/>
        </w:rPr>
        <w:t>)</w:t>
      </w:r>
      <w:r w:rsidR="002302AD" w:rsidRPr="007E2CB3">
        <w:rPr>
          <w:spacing w:val="-4"/>
          <w:rtl/>
          <w:lang w:val="en-US"/>
        </w:rPr>
        <w:t>،</w:t>
      </w:r>
      <w:r w:rsidRPr="007E2CB3">
        <w:rPr>
          <w:spacing w:val="-4"/>
          <w:rtl/>
          <w:lang w:val="en-US"/>
        </w:rPr>
        <w:t xml:space="preserve"> وضحايا الاعتداء على الأقليات والاتجار </w:t>
      </w:r>
      <w:r w:rsidRPr="007E2CB3">
        <w:rPr>
          <w:rtl/>
          <w:lang w:val="en-US"/>
        </w:rPr>
        <w:lastRenderedPageBreak/>
        <w:t>والعنف العائلي والجنسي. وينبغي أن تشمل هذه المعلومات عدد طلبات التعويض المقدمة</w:t>
      </w:r>
      <w:r w:rsidR="002302AD" w:rsidRPr="007E2CB3">
        <w:rPr>
          <w:rtl/>
          <w:lang w:val="en-US"/>
        </w:rPr>
        <w:t>،</w:t>
      </w:r>
      <w:r w:rsidRPr="007E2CB3">
        <w:rPr>
          <w:rtl/>
          <w:lang w:val="en-US"/>
        </w:rPr>
        <w:t xml:space="preserve"> وعدد الطلبات التي حظيت بالموافقة</w:t>
      </w:r>
      <w:r w:rsidR="002302AD" w:rsidRPr="007E2CB3">
        <w:rPr>
          <w:rtl/>
          <w:lang w:val="en-US"/>
        </w:rPr>
        <w:t>،</w:t>
      </w:r>
      <w:r w:rsidRPr="007E2CB3">
        <w:rPr>
          <w:rtl/>
          <w:lang w:val="en-US"/>
        </w:rPr>
        <w:t xml:space="preserve"> والمبالغ التي أمر بدفعها والتي دُفعت فعلاً. ويرجى </w:t>
      </w:r>
      <w:r w:rsidR="002302AD" w:rsidRPr="007E2CB3">
        <w:rPr>
          <w:rtl/>
          <w:lang w:val="en-US"/>
        </w:rPr>
        <w:t xml:space="preserve">أيضاً </w:t>
      </w:r>
      <w:r w:rsidRPr="007E2CB3">
        <w:rPr>
          <w:rtl/>
          <w:lang w:val="en-US"/>
        </w:rPr>
        <w:t>تقديم معلومات عن برامج إعادة تأهيل ضحايا التعذيب وسوء المعاملة</w:t>
      </w:r>
      <w:r w:rsidR="002302AD" w:rsidRPr="007E2CB3">
        <w:rPr>
          <w:rtl/>
          <w:lang w:val="en-US"/>
        </w:rPr>
        <w:t>،</w:t>
      </w:r>
      <w:r w:rsidRPr="007E2CB3">
        <w:rPr>
          <w:rtl/>
          <w:lang w:val="en-US"/>
        </w:rPr>
        <w:t xml:space="preserve"> وعن درجة التعاون مع المنظمات غير الحكومية المتخصصة </w:t>
      </w:r>
      <w:r w:rsidRPr="007E2CB3">
        <w:rPr>
          <w:spacing w:val="-4"/>
          <w:rtl/>
          <w:lang w:val="en-US"/>
        </w:rPr>
        <w:t xml:space="preserve">في هذا المجال. ويرجى </w:t>
      </w:r>
      <w:r w:rsidR="002302AD" w:rsidRPr="007E2CB3">
        <w:rPr>
          <w:spacing w:val="-4"/>
          <w:rtl/>
          <w:lang w:val="en-US"/>
        </w:rPr>
        <w:t xml:space="preserve">أيضاً </w:t>
      </w:r>
      <w:r w:rsidRPr="007E2CB3">
        <w:rPr>
          <w:spacing w:val="-4"/>
          <w:rtl/>
          <w:lang w:val="en-US"/>
        </w:rPr>
        <w:t>بيان الخطوات المتخذة للتحقيق في ادعاءات تعرض الراحل منير آدم للتعذيب</w:t>
      </w:r>
      <w:r w:rsidR="002302AD" w:rsidRPr="007E2CB3">
        <w:rPr>
          <w:rtl/>
          <w:lang w:val="en-US"/>
        </w:rPr>
        <w:t>،</w:t>
      </w:r>
      <w:r w:rsidRPr="007E2CB3">
        <w:rPr>
          <w:rtl/>
          <w:lang w:val="en-US"/>
        </w:rPr>
        <w:t xml:space="preserve"> وتوفير الجبر </w:t>
      </w:r>
      <w:proofErr w:type="gramStart"/>
      <w:r w:rsidRPr="007E2CB3">
        <w:rPr>
          <w:rtl/>
          <w:lang w:val="en-US"/>
        </w:rPr>
        <w:t>لأسرته</w:t>
      </w:r>
      <w:r w:rsidRPr="007E2CB3">
        <w:rPr>
          <w:vertAlign w:val="superscript"/>
          <w:rtl/>
          <w:lang w:val="en-US"/>
        </w:rPr>
        <w:t>(</w:t>
      </w:r>
      <w:proofErr w:type="gramEnd"/>
      <w:r w:rsidRPr="00995CF3">
        <w:rPr>
          <w:rStyle w:val="FootnoteReference"/>
          <w:szCs w:val="22"/>
          <w:lang w:val="en-US"/>
        </w:rPr>
        <w:footnoteReference w:id="60"/>
      </w:r>
      <w:r w:rsidRPr="007E2CB3">
        <w:rPr>
          <w:vertAlign w:val="superscript"/>
          <w:rtl/>
          <w:lang w:val="en-US"/>
        </w:rPr>
        <w:t>)</w:t>
      </w:r>
      <w:r w:rsidRPr="007E2CB3">
        <w:rPr>
          <w:rtl/>
          <w:lang w:val="en-US"/>
        </w:rPr>
        <w:t>.</w:t>
      </w:r>
      <w:r w:rsidR="00A83924" w:rsidRPr="007E2CB3">
        <w:rPr>
          <w:rFonts w:hint="cs"/>
          <w:spacing w:val="-4"/>
          <w:rtl/>
          <w:lang w:val="en-US"/>
        </w:rPr>
        <w:t xml:space="preserve"> </w:t>
      </w:r>
    </w:p>
    <w:p w14:paraId="42FBC9F0" w14:textId="77777777" w:rsidR="00E609CB" w:rsidRPr="00995CF3" w:rsidRDefault="00E609CB" w:rsidP="00E609CB">
      <w:pPr>
        <w:pStyle w:val="H23GA"/>
      </w:pPr>
      <w:r w:rsidRPr="00995CF3">
        <w:rPr>
          <w:rtl/>
        </w:rPr>
        <w:tab/>
      </w:r>
      <w:r w:rsidRPr="00995CF3">
        <w:rPr>
          <w:rtl/>
        </w:rPr>
        <w:tab/>
        <w:t xml:space="preserve">المادة 15 </w:t>
      </w:r>
    </w:p>
    <w:p w14:paraId="507EDAE5" w14:textId="2339B54D" w:rsidR="00E609CB" w:rsidRPr="007F34D8" w:rsidRDefault="00E609CB" w:rsidP="007E2CB3">
      <w:pPr>
        <w:pStyle w:val="SingleTxtGA"/>
        <w:spacing w:line="350" w:lineRule="exact"/>
        <w:rPr>
          <w:lang w:val="en-US"/>
        </w:rPr>
      </w:pPr>
      <w:r w:rsidRPr="00995CF3">
        <w:rPr>
          <w:rtl/>
          <w:lang w:val="en-US"/>
        </w:rPr>
        <w:t>24</w:t>
      </w:r>
      <w:r w:rsidRPr="007F34D8">
        <w:rPr>
          <w:rtl/>
          <w:lang w:val="en-US"/>
        </w:rPr>
        <w:t>-</w:t>
      </w:r>
      <w:r w:rsidRPr="007F34D8">
        <w:rPr>
          <w:rtl/>
          <w:lang w:val="en-US"/>
        </w:rPr>
        <w:tab/>
        <w:t xml:space="preserve">في ضوء الملاحظات الختامية </w:t>
      </w:r>
      <w:proofErr w:type="gramStart"/>
      <w:r w:rsidRPr="007F34D8">
        <w:rPr>
          <w:rtl/>
          <w:lang w:val="en-US"/>
        </w:rPr>
        <w:t>السابقة</w:t>
      </w:r>
      <w:r w:rsidR="00A83924" w:rsidRPr="002C01CE">
        <w:rPr>
          <w:vertAlign w:val="superscript"/>
          <w:rtl/>
          <w:lang w:val="en-US"/>
        </w:rPr>
        <w:t>(</w:t>
      </w:r>
      <w:proofErr w:type="gramEnd"/>
      <w:r w:rsidR="00A83924" w:rsidRPr="00995CF3">
        <w:rPr>
          <w:rStyle w:val="FootnoteReference"/>
          <w:szCs w:val="22"/>
          <w:lang w:val="en-US"/>
        </w:rPr>
        <w:footnoteReference w:id="61"/>
      </w:r>
      <w:r w:rsidR="00A83924" w:rsidRPr="002C01CE">
        <w:rPr>
          <w:vertAlign w:val="superscript"/>
          <w:rtl/>
          <w:lang w:val="en-US"/>
        </w:rPr>
        <w:t>)</w:t>
      </w:r>
      <w:r w:rsidRPr="007F34D8">
        <w:rPr>
          <w:rtl/>
          <w:lang w:val="en-US"/>
        </w:rPr>
        <w:t xml:space="preserve"> واعتماد نظام الأدلة الجديد</w:t>
      </w:r>
      <w:r w:rsidR="002302AD">
        <w:rPr>
          <w:rtl/>
          <w:lang w:val="en-US"/>
        </w:rPr>
        <w:t>،</w:t>
      </w:r>
      <w:r w:rsidRPr="007F34D8">
        <w:rPr>
          <w:rtl/>
          <w:lang w:val="en-US"/>
        </w:rPr>
        <w:t xml:space="preserve"> يرجى بيان ما إذا كان النظام الجديد يعترف صراحة بعدم جواز قبول الأدلة التي تم الحصول عليها تحت التعذيب</w:t>
      </w:r>
      <w:r w:rsidR="002302AD">
        <w:rPr>
          <w:rtl/>
          <w:lang w:val="en-US"/>
        </w:rPr>
        <w:t>،</w:t>
      </w:r>
      <w:r w:rsidRPr="007F34D8">
        <w:rPr>
          <w:rtl/>
          <w:lang w:val="en-US"/>
        </w:rPr>
        <w:t xml:space="preserve"> إلا إذا كانت </w:t>
      </w:r>
      <w:r w:rsidRPr="007E2CB3">
        <w:rPr>
          <w:spacing w:val="-4"/>
          <w:rtl/>
          <w:lang w:val="en-US"/>
        </w:rPr>
        <w:t>هذه الاعترافات تشكل دليل</w:t>
      </w:r>
      <w:r w:rsidR="007C38B3" w:rsidRPr="007E2CB3">
        <w:rPr>
          <w:spacing w:val="-4"/>
          <w:rtl/>
          <w:lang w:val="en-US"/>
        </w:rPr>
        <w:t xml:space="preserve">اً </w:t>
      </w:r>
      <w:r w:rsidRPr="007E2CB3">
        <w:rPr>
          <w:spacing w:val="-4"/>
          <w:rtl/>
          <w:lang w:val="en-US"/>
        </w:rPr>
        <w:t xml:space="preserve">في قضية مرفوعة ضد الشخص المتهم بارتكاب التعذيب أو سوء المعاملة. ويرجى </w:t>
      </w:r>
      <w:r w:rsidR="002302AD" w:rsidRPr="007E2CB3">
        <w:rPr>
          <w:spacing w:val="-4"/>
          <w:rtl/>
          <w:lang w:val="en-US"/>
        </w:rPr>
        <w:t xml:space="preserve">أيضاً </w:t>
      </w:r>
      <w:r w:rsidRPr="007E2CB3">
        <w:rPr>
          <w:spacing w:val="-4"/>
          <w:rtl/>
          <w:lang w:val="en-US"/>
        </w:rPr>
        <w:t>بيان التدابير المتخذة لضمان تمتع جميع القضاة</w:t>
      </w:r>
      <w:r w:rsidR="002302AD" w:rsidRPr="007E2CB3">
        <w:rPr>
          <w:spacing w:val="-4"/>
          <w:rtl/>
          <w:lang w:val="en-US"/>
        </w:rPr>
        <w:t>،</w:t>
      </w:r>
      <w:r w:rsidRPr="007E2CB3">
        <w:rPr>
          <w:spacing w:val="-4"/>
          <w:rtl/>
          <w:lang w:val="en-US"/>
        </w:rPr>
        <w:t xml:space="preserve"> ولا سيما قضاة المحكمة الجزائية المتخصصة</w:t>
      </w:r>
      <w:r w:rsidR="002302AD" w:rsidRPr="007E2CB3">
        <w:rPr>
          <w:spacing w:val="-4"/>
          <w:rtl/>
          <w:lang w:val="en-US"/>
        </w:rPr>
        <w:t>،</w:t>
      </w:r>
      <w:r w:rsidRPr="007E2CB3">
        <w:rPr>
          <w:spacing w:val="-4"/>
          <w:rtl/>
          <w:lang w:val="en-US"/>
        </w:rPr>
        <w:t xml:space="preserve"> بالوعي بواجبهم الذي يقتضي منهم النظر في ادعاء المدعى عليهم التعرض للتعذيب أو سوء المعاملة على أيدي المحققين بهدف الحصول على </w:t>
      </w:r>
      <w:proofErr w:type="gramStart"/>
      <w:r w:rsidRPr="007E2CB3">
        <w:rPr>
          <w:spacing w:val="-4"/>
          <w:rtl/>
          <w:lang w:val="en-US"/>
        </w:rPr>
        <w:t>اعترافات</w:t>
      </w:r>
      <w:r w:rsidRPr="002C01CE">
        <w:rPr>
          <w:vertAlign w:val="superscript"/>
          <w:rtl/>
          <w:lang w:val="en-US"/>
        </w:rPr>
        <w:t>(</w:t>
      </w:r>
      <w:proofErr w:type="gramEnd"/>
      <w:r w:rsidRPr="00995CF3">
        <w:rPr>
          <w:rStyle w:val="FootnoteReference"/>
          <w:szCs w:val="22"/>
          <w:lang w:val="en-US"/>
        </w:rPr>
        <w:footnoteReference w:id="62"/>
      </w:r>
      <w:r w:rsidRPr="002C01CE">
        <w:rPr>
          <w:vertAlign w:val="superscript"/>
          <w:rtl/>
          <w:lang w:val="en-US"/>
        </w:rPr>
        <w:t>)</w:t>
      </w:r>
      <w:r w:rsidRPr="007F34D8">
        <w:rPr>
          <w:rtl/>
          <w:lang w:val="en-US"/>
        </w:rPr>
        <w:t xml:space="preserve">. ويرجى </w:t>
      </w:r>
      <w:r w:rsidR="002302AD">
        <w:rPr>
          <w:rtl/>
          <w:lang w:val="en-US"/>
        </w:rPr>
        <w:t xml:space="preserve">أيضاً </w:t>
      </w:r>
      <w:r w:rsidRPr="007F34D8">
        <w:rPr>
          <w:rtl/>
          <w:lang w:val="en-US"/>
        </w:rPr>
        <w:t>تقديم بيانات إحصائية</w:t>
      </w:r>
      <w:r w:rsidR="002302AD">
        <w:rPr>
          <w:rtl/>
          <w:lang w:val="en-US"/>
        </w:rPr>
        <w:t>،</w:t>
      </w:r>
      <w:r w:rsidRPr="007F34D8">
        <w:rPr>
          <w:rtl/>
          <w:lang w:val="en-US"/>
        </w:rPr>
        <w:t xml:space="preserve"> تشمل الفترة الممتدة من عام </w:t>
      </w:r>
      <w:r w:rsidRPr="00995CF3">
        <w:rPr>
          <w:rtl/>
          <w:lang w:val="en-US"/>
        </w:rPr>
        <w:t>2016</w:t>
      </w:r>
      <w:r w:rsidR="002302AD">
        <w:rPr>
          <w:rtl/>
          <w:lang w:val="en-US"/>
        </w:rPr>
        <w:t>،</w:t>
      </w:r>
      <w:r w:rsidRPr="007F34D8">
        <w:rPr>
          <w:rtl/>
          <w:lang w:val="en-US"/>
        </w:rPr>
        <w:t xml:space="preserve"> عن عدد الحالات التي ادعى فيها المدعى عليهم في قضية جنائية انتزاع اعترافاتهم باستخدام التعذيب أو سوء المعاملة</w:t>
      </w:r>
      <w:r w:rsidR="002302AD">
        <w:rPr>
          <w:rtl/>
          <w:lang w:val="en-US"/>
        </w:rPr>
        <w:t>،</w:t>
      </w:r>
      <w:r w:rsidRPr="007F34D8">
        <w:rPr>
          <w:rtl/>
          <w:lang w:val="en-US"/>
        </w:rPr>
        <w:t xml:space="preserve"> وعدد القضايا التي رفضتها المحاكم بسبب تقديم أدلة أو شهادات تم الحصول عليها عن طريق التعذيب أو سوء المعاملة</w:t>
      </w:r>
      <w:r w:rsidR="002302AD">
        <w:rPr>
          <w:rtl/>
          <w:lang w:val="en-US"/>
        </w:rPr>
        <w:t>،</w:t>
      </w:r>
      <w:r w:rsidRPr="007F34D8">
        <w:rPr>
          <w:rtl/>
          <w:lang w:val="en-US"/>
        </w:rPr>
        <w:t xml:space="preserve"> وعدد الشكاوى أو الادعاءات التي رفعها إلى المحكمة مدعى عليهم في قضايا جنائية بشأن تعرضهم للعذيب وخضعت للتحقيق</w:t>
      </w:r>
      <w:r w:rsidR="002302AD">
        <w:rPr>
          <w:rtl/>
          <w:lang w:val="en-US"/>
        </w:rPr>
        <w:t>،</w:t>
      </w:r>
      <w:r w:rsidRPr="007F34D8">
        <w:rPr>
          <w:rtl/>
          <w:lang w:val="en-US"/>
        </w:rPr>
        <w:t xml:space="preserve"> وذكر نتيجة تلك التحقيقات</w:t>
      </w:r>
      <w:r w:rsidR="002302AD">
        <w:rPr>
          <w:rtl/>
          <w:lang w:val="en-US"/>
        </w:rPr>
        <w:t>،</w:t>
      </w:r>
      <w:r w:rsidRPr="007F34D8">
        <w:rPr>
          <w:rtl/>
          <w:lang w:val="en-US"/>
        </w:rPr>
        <w:t xml:space="preserve"> بما في ذلك الأحكام الصادرة بحق من تثبت إدانتهم وأشكال الجبر والتعويض التي استفاد منها الضحايا. ويرجى </w:t>
      </w:r>
      <w:r w:rsidR="002302AD">
        <w:rPr>
          <w:rtl/>
          <w:lang w:val="en-US"/>
        </w:rPr>
        <w:t xml:space="preserve">أيضاً </w:t>
      </w:r>
      <w:r w:rsidRPr="007F34D8">
        <w:rPr>
          <w:rtl/>
          <w:lang w:val="en-US"/>
        </w:rPr>
        <w:t xml:space="preserve">توضيح ما إذا كانت الدولة الطرف قد أعادت النظر في حكمي الإدانة الصادرين بحق علاء </w:t>
      </w:r>
      <w:proofErr w:type="spellStart"/>
      <w:r w:rsidRPr="007F34D8">
        <w:rPr>
          <w:rtl/>
          <w:lang w:val="en-US"/>
        </w:rPr>
        <w:t>برينجي</w:t>
      </w:r>
      <w:proofErr w:type="spellEnd"/>
      <w:r w:rsidRPr="007F34D8">
        <w:rPr>
          <w:rtl/>
          <w:lang w:val="en-US"/>
        </w:rPr>
        <w:t xml:space="preserve"> وعبد الكريم الخضر</w:t>
      </w:r>
      <w:r w:rsidR="002302AD">
        <w:rPr>
          <w:rtl/>
          <w:lang w:val="en-US"/>
        </w:rPr>
        <w:t>،</w:t>
      </w:r>
      <w:r w:rsidRPr="007F34D8">
        <w:rPr>
          <w:rtl/>
          <w:lang w:val="en-US"/>
        </w:rPr>
        <w:t xml:space="preserve"> بناء على توصية اللجنة </w:t>
      </w:r>
      <w:proofErr w:type="gramStart"/>
      <w:r w:rsidRPr="007F34D8">
        <w:rPr>
          <w:rtl/>
          <w:lang w:val="en-US"/>
        </w:rPr>
        <w:t>سابقا</w:t>
      </w:r>
      <w:r w:rsidR="00A83924">
        <w:rPr>
          <w:rFonts w:hint="cs"/>
          <w:rtl/>
          <w:lang w:val="en-US"/>
        </w:rPr>
        <w:t>ً</w:t>
      </w:r>
      <w:r w:rsidR="00A83924" w:rsidRPr="002C01CE">
        <w:rPr>
          <w:vertAlign w:val="superscript"/>
          <w:rtl/>
          <w:lang w:val="en-US"/>
        </w:rPr>
        <w:t>(</w:t>
      </w:r>
      <w:proofErr w:type="gramEnd"/>
      <w:r w:rsidR="00A83924" w:rsidRPr="00995CF3">
        <w:rPr>
          <w:rStyle w:val="FootnoteReference"/>
          <w:szCs w:val="22"/>
          <w:lang w:val="en-US"/>
        </w:rPr>
        <w:footnoteReference w:id="63"/>
      </w:r>
      <w:r w:rsidR="00A83924" w:rsidRPr="002C01CE">
        <w:rPr>
          <w:vertAlign w:val="superscript"/>
          <w:rtl/>
          <w:lang w:val="en-US"/>
        </w:rPr>
        <w:t>)</w:t>
      </w:r>
      <w:r w:rsidR="002302AD">
        <w:rPr>
          <w:rtl/>
          <w:lang w:val="en-US"/>
        </w:rPr>
        <w:t>،</w:t>
      </w:r>
      <w:r w:rsidRPr="007F34D8">
        <w:rPr>
          <w:rtl/>
          <w:lang w:val="en-US"/>
        </w:rPr>
        <w:t xml:space="preserve"> وفتحت تحقيقات في ادعاءات التعذيب التي يزعم أن حسين أبو الخير وعبد الله الحويطي والراحل مصطفى هاشم الدرويش أدلوا بها خلال جلسات محاكمتهم بين عامي </w:t>
      </w:r>
      <w:r w:rsidRPr="00995CF3">
        <w:rPr>
          <w:rtl/>
          <w:lang w:val="en-US"/>
        </w:rPr>
        <w:t>2017</w:t>
      </w:r>
      <w:r w:rsidRPr="007F34D8">
        <w:rPr>
          <w:rtl/>
          <w:lang w:val="en-US"/>
        </w:rPr>
        <w:t xml:space="preserve"> و</w:t>
      </w:r>
      <w:r w:rsidRPr="00995CF3">
        <w:rPr>
          <w:rtl/>
          <w:lang w:val="en-US"/>
        </w:rPr>
        <w:t>2019</w:t>
      </w:r>
      <w:r w:rsidR="002302AD">
        <w:rPr>
          <w:rtl/>
          <w:lang w:val="en-US"/>
        </w:rPr>
        <w:t>،</w:t>
      </w:r>
      <w:r w:rsidRPr="007F34D8">
        <w:rPr>
          <w:rtl/>
          <w:lang w:val="en-US"/>
        </w:rPr>
        <w:t xml:space="preserve"> وحكم عليهم بالإعدام استناد</w:t>
      </w:r>
      <w:r w:rsidR="007C38B3">
        <w:rPr>
          <w:rtl/>
          <w:lang w:val="en-US"/>
        </w:rPr>
        <w:t xml:space="preserve">اً </w:t>
      </w:r>
      <w:r w:rsidRPr="007F34D8">
        <w:rPr>
          <w:rtl/>
          <w:lang w:val="en-US"/>
        </w:rPr>
        <w:t>إلى اعترافات انتزعت منهم بالإكراه.</w:t>
      </w:r>
    </w:p>
    <w:p w14:paraId="2DA073CF" w14:textId="77777777" w:rsidR="00E609CB" w:rsidRPr="00995CF3" w:rsidRDefault="00E609CB" w:rsidP="00E609CB">
      <w:pPr>
        <w:pStyle w:val="H23GA"/>
      </w:pPr>
      <w:r w:rsidRPr="00995CF3">
        <w:rPr>
          <w:rtl/>
        </w:rPr>
        <w:tab/>
      </w:r>
      <w:r w:rsidRPr="00995CF3">
        <w:rPr>
          <w:rtl/>
        </w:rPr>
        <w:tab/>
        <w:t>المادة 16</w:t>
      </w:r>
    </w:p>
    <w:p w14:paraId="7F87A642" w14:textId="060A924B" w:rsidR="00E609CB" w:rsidRPr="007F34D8" w:rsidRDefault="00E609CB" w:rsidP="007E2CB3">
      <w:pPr>
        <w:pStyle w:val="SingleTxtGA"/>
        <w:spacing w:line="350" w:lineRule="exact"/>
        <w:rPr>
          <w:lang w:val="en-US"/>
        </w:rPr>
      </w:pPr>
      <w:r w:rsidRPr="00995CF3">
        <w:rPr>
          <w:rtl/>
          <w:lang w:val="en-US"/>
        </w:rPr>
        <w:t>25</w:t>
      </w:r>
      <w:r w:rsidRPr="007F34D8">
        <w:rPr>
          <w:rtl/>
          <w:lang w:val="en-US"/>
        </w:rPr>
        <w:t>-</w:t>
      </w:r>
      <w:r w:rsidRPr="007F34D8">
        <w:rPr>
          <w:rtl/>
          <w:lang w:val="en-US"/>
        </w:rPr>
        <w:tab/>
        <w:t>في ضوء الملاحظات الختامية السابقة للجنة</w:t>
      </w:r>
      <w:r w:rsidR="00A83924">
        <w:rPr>
          <w:vertAlign w:val="superscript"/>
          <w:rtl/>
          <w:lang w:val="en-US"/>
        </w:rPr>
        <w:t>(</w:t>
      </w:r>
      <w:r w:rsidR="00A83924" w:rsidRPr="00995CF3">
        <w:rPr>
          <w:rStyle w:val="FootnoteReference"/>
          <w:lang w:val="en-US"/>
        </w:rPr>
        <w:footnoteReference w:id="64"/>
      </w:r>
      <w:r w:rsidR="00A83924">
        <w:rPr>
          <w:vertAlign w:val="superscript"/>
          <w:rtl/>
          <w:lang w:val="en-US"/>
        </w:rPr>
        <w:t>)</w:t>
      </w:r>
      <w:r w:rsidR="002302AD">
        <w:rPr>
          <w:rtl/>
          <w:lang w:val="en-US"/>
        </w:rPr>
        <w:t>،</w:t>
      </w:r>
      <w:r w:rsidRPr="007F34D8">
        <w:rPr>
          <w:rtl/>
          <w:lang w:val="en-US"/>
        </w:rPr>
        <w:t xml:space="preserve"> وتقرير المتابعة الذي قدمته الدولة الطرف</w:t>
      </w:r>
      <w:r w:rsidR="00207C80" w:rsidRPr="002C01CE">
        <w:rPr>
          <w:vertAlign w:val="superscript"/>
          <w:rtl/>
          <w:lang w:val="en-US"/>
        </w:rPr>
        <w:t>(</w:t>
      </w:r>
      <w:r w:rsidR="00207C80" w:rsidRPr="00995CF3">
        <w:rPr>
          <w:rStyle w:val="FootnoteReference"/>
          <w:szCs w:val="22"/>
          <w:lang w:val="en-US"/>
        </w:rPr>
        <w:footnoteReference w:id="65"/>
      </w:r>
      <w:r w:rsidR="00207C80" w:rsidRPr="002C01CE">
        <w:rPr>
          <w:vertAlign w:val="superscript"/>
          <w:rtl/>
          <w:lang w:val="en-US"/>
        </w:rPr>
        <w:t>)</w:t>
      </w:r>
      <w:r w:rsidR="002302AD">
        <w:rPr>
          <w:rtl/>
          <w:lang w:val="en-US"/>
        </w:rPr>
        <w:t>،</w:t>
      </w:r>
      <w:r w:rsidRPr="007F34D8">
        <w:rPr>
          <w:rtl/>
          <w:lang w:val="en-US"/>
        </w:rPr>
        <w:t xml:space="preserve"> والرسالة التي وجهها المقرر المعني بمتابعة الملاحظات الختامية</w:t>
      </w:r>
      <w:r w:rsidR="00207C80" w:rsidRPr="002C01CE">
        <w:rPr>
          <w:vertAlign w:val="superscript"/>
          <w:rtl/>
          <w:lang w:val="en-US"/>
        </w:rPr>
        <w:t>(</w:t>
      </w:r>
      <w:r w:rsidR="00207C80" w:rsidRPr="00995CF3">
        <w:rPr>
          <w:rStyle w:val="FootnoteReference"/>
          <w:szCs w:val="22"/>
          <w:lang w:val="en-US"/>
        </w:rPr>
        <w:footnoteReference w:id="66"/>
      </w:r>
      <w:r w:rsidR="00207C80" w:rsidRPr="002C01CE">
        <w:rPr>
          <w:vertAlign w:val="superscript"/>
          <w:rtl/>
          <w:lang w:val="en-US"/>
        </w:rPr>
        <w:t>)</w:t>
      </w:r>
      <w:r w:rsidR="002302AD">
        <w:rPr>
          <w:rtl/>
          <w:lang w:val="en-US"/>
        </w:rPr>
        <w:t>،</w:t>
      </w:r>
      <w:r w:rsidRPr="007F34D8">
        <w:rPr>
          <w:rtl/>
          <w:lang w:val="en-US"/>
        </w:rPr>
        <w:t xml:space="preserve"> وقرار الهيئة العامة في المحكمة العليا في نيسان/أبريل </w:t>
      </w:r>
      <w:r w:rsidRPr="00995CF3">
        <w:rPr>
          <w:rtl/>
          <w:lang w:val="en-US"/>
        </w:rPr>
        <w:t>2020</w:t>
      </w:r>
      <w:r w:rsidRPr="007F34D8">
        <w:rPr>
          <w:rtl/>
          <w:lang w:val="en-US"/>
        </w:rPr>
        <w:t xml:space="preserve"> بحظر استخدام الجلد كشكل من أشكال العقوبة التي يفرضها القضاة (المعروفة باسم </w:t>
      </w:r>
      <w:r w:rsidRPr="00207C80">
        <w:rPr>
          <w:i/>
          <w:iCs/>
          <w:rtl/>
          <w:lang w:val="en-US"/>
        </w:rPr>
        <w:t>"التعزير"</w:t>
      </w:r>
      <w:r w:rsidRPr="007F34D8">
        <w:rPr>
          <w:rtl/>
          <w:lang w:val="en-US"/>
        </w:rPr>
        <w:t>)</w:t>
      </w:r>
      <w:r w:rsidR="002302AD">
        <w:rPr>
          <w:rtl/>
          <w:lang w:val="en-US"/>
        </w:rPr>
        <w:t>،</w:t>
      </w:r>
      <w:r w:rsidRPr="007F34D8">
        <w:rPr>
          <w:rtl/>
          <w:lang w:val="en-US"/>
        </w:rPr>
        <w:t xml:space="preserve"> يرجى بيان ما إذا كانت الدولة الطرف قد اتخذت التدابير التشريعية اللازمة لفرض حظر صريح على العقوبات البدنية في جميع الأماكن</w:t>
      </w:r>
      <w:r w:rsidR="00207C80" w:rsidRPr="002C01CE">
        <w:rPr>
          <w:vertAlign w:val="superscript"/>
          <w:rtl/>
          <w:lang w:val="en-US"/>
        </w:rPr>
        <w:t>(</w:t>
      </w:r>
      <w:r w:rsidR="00207C80" w:rsidRPr="00995CF3">
        <w:rPr>
          <w:rStyle w:val="FootnoteReference"/>
          <w:szCs w:val="22"/>
          <w:lang w:val="en-US"/>
        </w:rPr>
        <w:footnoteReference w:id="67"/>
      </w:r>
      <w:r w:rsidR="00207C80" w:rsidRPr="002C01CE">
        <w:rPr>
          <w:vertAlign w:val="superscript"/>
          <w:rtl/>
          <w:lang w:val="en-US"/>
        </w:rPr>
        <w:t>)</w:t>
      </w:r>
      <w:r w:rsidR="002302AD">
        <w:rPr>
          <w:rtl/>
          <w:lang w:val="en-US"/>
        </w:rPr>
        <w:t>،</w:t>
      </w:r>
      <w:r w:rsidRPr="007F34D8">
        <w:rPr>
          <w:rtl/>
          <w:lang w:val="en-US"/>
        </w:rPr>
        <w:t xml:space="preserve"> بما في ذلك سائر أشكال العقوبة البدنية التي تطبقها السلطة القضائية والسلطة الإدارية</w:t>
      </w:r>
      <w:r w:rsidR="002302AD">
        <w:rPr>
          <w:rtl/>
          <w:lang w:val="en-US"/>
        </w:rPr>
        <w:t>،</w:t>
      </w:r>
      <w:r w:rsidRPr="007F34D8">
        <w:rPr>
          <w:rtl/>
          <w:lang w:val="en-US"/>
        </w:rPr>
        <w:t xml:space="preserve"> مثل قطع الأطراف (المعروف باسم عقوبات </w:t>
      </w:r>
      <w:r w:rsidRPr="00207C80">
        <w:rPr>
          <w:i/>
          <w:iCs/>
          <w:rtl/>
          <w:lang w:val="en-US"/>
        </w:rPr>
        <w:t>الحدود</w:t>
      </w:r>
      <w:r w:rsidRPr="007F34D8">
        <w:rPr>
          <w:rtl/>
          <w:lang w:val="en-US"/>
        </w:rPr>
        <w:t>)</w:t>
      </w:r>
      <w:r>
        <w:rPr>
          <w:rtl/>
          <w:lang w:val="en-US"/>
        </w:rPr>
        <w:t>.</w:t>
      </w:r>
      <w:r w:rsidR="00207C80">
        <w:rPr>
          <w:rFonts w:hint="cs"/>
          <w:rtl/>
          <w:lang w:val="en-US"/>
        </w:rPr>
        <w:t xml:space="preserve"> </w:t>
      </w:r>
      <w:r w:rsidRPr="007F34D8">
        <w:rPr>
          <w:rtl/>
          <w:lang w:val="en-US"/>
        </w:rPr>
        <w:lastRenderedPageBreak/>
        <w:t xml:space="preserve">ويرجى </w:t>
      </w:r>
      <w:r w:rsidR="002302AD">
        <w:rPr>
          <w:rtl/>
          <w:lang w:val="en-US"/>
        </w:rPr>
        <w:t xml:space="preserve">أيضاً </w:t>
      </w:r>
      <w:r w:rsidRPr="007F34D8">
        <w:rPr>
          <w:rtl/>
          <w:lang w:val="en-US"/>
        </w:rPr>
        <w:t>توضيح ما إذا كانت الدولة الطرف قد أعادت النظر في قضايا جميع الأشخاص الذين حكم عليهم بالفعل بالجلد وأي شكل آخر من أشكال العقوبة البدنية</w:t>
      </w:r>
      <w:r w:rsidR="002302AD">
        <w:rPr>
          <w:rtl/>
          <w:lang w:val="en-US"/>
        </w:rPr>
        <w:t>،</w:t>
      </w:r>
      <w:r w:rsidRPr="007F34D8">
        <w:rPr>
          <w:rtl/>
          <w:lang w:val="en-US"/>
        </w:rPr>
        <w:t xml:space="preserve"> بهدف إلغاء أي جانب ينطوي على عقوبة بدنية في الأحكام الصادرة في حقهم</w:t>
      </w:r>
      <w:r w:rsidR="002302AD">
        <w:rPr>
          <w:rtl/>
          <w:lang w:val="en-US"/>
        </w:rPr>
        <w:t>،</w:t>
      </w:r>
      <w:r w:rsidRPr="007F34D8">
        <w:rPr>
          <w:rtl/>
          <w:lang w:val="en-US"/>
        </w:rPr>
        <w:t xml:space="preserve"> كحد أدنى. ويرجى تقديم توضيح بشأن حالة رائف بدوي</w:t>
      </w:r>
      <w:r w:rsidR="002302AD">
        <w:rPr>
          <w:rtl/>
          <w:lang w:val="en-US"/>
        </w:rPr>
        <w:t>،</w:t>
      </w:r>
      <w:r w:rsidRPr="007F34D8">
        <w:rPr>
          <w:rtl/>
          <w:lang w:val="en-US"/>
        </w:rPr>
        <w:t xml:space="preserve"> وما إذا كان قد استفاد من الرعاية الطبية والجبر.</w:t>
      </w:r>
    </w:p>
    <w:p w14:paraId="7B348A78" w14:textId="5AE46832" w:rsidR="00E609CB" w:rsidRPr="007F34D8" w:rsidRDefault="00E609CB" w:rsidP="006C3533">
      <w:pPr>
        <w:pStyle w:val="SingleTxtGA"/>
        <w:textDirection w:val="tbRlV"/>
        <w:rPr>
          <w:lang w:val="en-US"/>
        </w:rPr>
      </w:pPr>
      <w:r w:rsidRPr="00995CF3">
        <w:rPr>
          <w:rtl/>
          <w:lang w:val="en-US"/>
        </w:rPr>
        <w:t>26</w:t>
      </w:r>
      <w:r w:rsidRPr="007F34D8">
        <w:rPr>
          <w:rtl/>
          <w:lang w:val="en-US"/>
        </w:rPr>
        <w:t>-</w:t>
      </w:r>
      <w:r w:rsidRPr="007F34D8">
        <w:rPr>
          <w:rtl/>
          <w:lang w:val="en-US"/>
        </w:rPr>
        <w:tab/>
      </w:r>
      <w:r w:rsidRPr="00207C80">
        <w:rPr>
          <w:spacing w:val="-4"/>
          <w:rtl/>
          <w:lang w:val="en-US"/>
        </w:rPr>
        <w:t>وفيما يتعلق بالملاحظات الختامية السابقة للجنة</w:t>
      </w:r>
      <w:r w:rsidR="00207C80" w:rsidRPr="00207C80">
        <w:rPr>
          <w:spacing w:val="-4"/>
          <w:vertAlign w:val="superscript"/>
          <w:rtl/>
          <w:lang w:val="en-US"/>
        </w:rPr>
        <w:t>(</w:t>
      </w:r>
      <w:r w:rsidR="00207C80" w:rsidRPr="00995CF3">
        <w:rPr>
          <w:spacing w:val="-4"/>
          <w:vertAlign w:val="superscript"/>
          <w:lang w:val="en-US"/>
        </w:rPr>
        <w:footnoteReference w:id="68"/>
      </w:r>
      <w:r w:rsidR="00207C80" w:rsidRPr="00207C80">
        <w:rPr>
          <w:spacing w:val="-4"/>
          <w:vertAlign w:val="superscript"/>
          <w:rtl/>
          <w:lang w:val="en-US"/>
        </w:rPr>
        <w:t>)</w:t>
      </w:r>
      <w:r w:rsidR="002302AD">
        <w:rPr>
          <w:spacing w:val="-4"/>
          <w:rtl/>
          <w:lang w:val="en-US"/>
        </w:rPr>
        <w:t>،</w:t>
      </w:r>
      <w:r w:rsidRPr="00207C80">
        <w:rPr>
          <w:spacing w:val="-4"/>
          <w:rtl/>
          <w:lang w:val="en-US"/>
        </w:rPr>
        <w:t xml:space="preserve"> وتقرير المتابعة الذي قدمته الدولة الطرف</w:t>
      </w:r>
      <w:r w:rsidR="00207C80" w:rsidRPr="00207C80">
        <w:rPr>
          <w:spacing w:val="-4"/>
          <w:vertAlign w:val="superscript"/>
          <w:rtl/>
          <w:lang w:val="en-US"/>
        </w:rPr>
        <w:t>(</w:t>
      </w:r>
      <w:r w:rsidR="00207C80" w:rsidRPr="00995CF3">
        <w:rPr>
          <w:spacing w:val="-4"/>
          <w:vertAlign w:val="superscript"/>
          <w:lang w:val="en-US"/>
        </w:rPr>
        <w:footnoteReference w:id="69"/>
      </w:r>
      <w:r w:rsidR="00207C80" w:rsidRPr="00207C80">
        <w:rPr>
          <w:spacing w:val="-4"/>
          <w:vertAlign w:val="superscript"/>
          <w:rtl/>
          <w:lang w:val="en-US"/>
        </w:rPr>
        <w:t>)</w:t>
      </w:r>
      <w:r w:rsidR="002302AD">
        <w:rPr>
          <w:rtl/>
          <w:lang w:val="en-US"/>
        </w:rPr>
        <w:t>،</w:t>
      </w:r>
      <w:r w:rsidRPr="007F34D8">
        <w:rPr>
          <w:rtl/>
          <w:lang w:val="en-US"/>
        </w:rPr>
        <w:t xml:space="preserve"> ورسالة المقرر المعني بمتابعة الملاحظات الختامية</w:t>
      </w:r>
      <w:r w:rsidR="00207C80" w:rsidRPr="00207C80">
        <w:rPr>
          <w:vertAlign w:val="superscript"/>
          <w:rtl/>
          <w:lang w:val="en-US"/>
        </w:rPr>
        <w:t>(</w:t>
      </w:r>
      <w:r w:rsidR="00207C80" w:rsidRPr="00995CF3">
        <w:rPr>
          <w:vertAlign w:val="superscript"/>
          <w:lang w:val="en-US"/>
        </w:rPr>
        <w:footnoteReference w:id="70"/>
      </w:r>
      <w:r w:rsidR="00207C80" w:rsidRPr="00207C80">
        <w:rPr>
          <w:vertAlign w:val="superscript"/>
          <w:rtl/>
          <w:lang w:val="en-US"/>
        </w:rPr>
        <w:t>)</w:t>
      </w:r>
      <w:r w:rsidR="002302AD">
        <w:rPr>
          <w:rtl/>
          <w:lang w:val="en-US"/>
        </w:rPr>
        <w:t>،</w:t>
      </w:r>
      <w:r w:rsidRPr="007F34D8">
        <w:rPr>
          <w:rtl/>
          <w:lang w:val="en-US"/>
        </w:rPr>
        <w:t xml:space="preserve"> وإعلان رئيس هيئة حقوق الإنسان في </w:t>
      </w:r>
      <w:r w:rsidRPr="00995CF3">
        <w:rPr>
          <w:rtl/>
          <w:lang w:val="en-US"/>
        </w:rPr>
        <w:t>26</w:t>
      </w:r>
      <w:r w:rsidRPr="007F34D8">
        <w:rPr>
          <w:rtl/>
          <w:lang w:val="en-US"/>
        </w:rPr>
        <w:t xml:space="preserve"> </w:t>
      </w:r>
      <w:r w:rsidRPr="006C3533">
        <w:rPr>
          <w:spacing w:val="-2"/>
          <w:rtl/>
          <w:lang w:val="en-US"/>
        </w:rPr>
        <w:t xml:space="preserve">نيسان/أبريل </w:t>
      </w:r>
      <w:r w:rsidRPr="00995CF3">
        <w:rPr>
          <w:spacing w:val="-2"/>
          <w:rtl/>
          <w:lang w:val="en-US"/>
        </w:rPr>
        <w:t>2020</w:t>
      </w:r>
      <w:r w:rsidRPr="006C3533">
        <w:rPr>
          <w:spacing w:val="-2"/>
          <w:rtl/>
          <w:lang w:val="en-US"/>
        </w:rPr>
        <w:t xml:space="preserve"> عن إلغاء عقوبة الإعدام الصادرة في حق أي شخص حكم عليه عندما كان قاصرا</w:t>
      </w:r>
      <w:r w:rsidR="006C3533" w:rsidRPr="006C3533">
        <w:rPr>
          <w:rFonts w:hint="cs"/>
          <w:spacing w:val="-2"/>
          <w:rtl/>
          <w:lang w:val="en-US"/>
        </w:rPr>
        <w:t>ً</w:t>
      </w:r>
      <w:r w:rsidR="006C3533" w:rsidRPr="00207C80">
        <w:rPr>
          <w:vertAlign w:val="superscript"/>
          <w:rtl/>
          <w:lang w:val="en-US"/>
        </w:rPr>
        <w:t>(</w:t>
      </w:r>
      <w:r w:rsidR="006C3533" w:rsidRPr="00995CF3">
        <w:rPr>
          <w:vertAlign w:val="superscript"/>
          <w:lang w:val="en-US"/>
        </w:rPr>
        <w:footnoteReference w:id="71"/>
      </w:r>
      <w:r w:rsidR="006C3533" w:rsidRPr="00207C80">
        <w:rPr>
          <w:vertAlign w:val="superscript"/>
          <w:rtl/>
          <w:lang w:val="en-US"/>
        </w:rPr>
        <w:t>)</w:t>
      </w:r>
      <w:r w:rsidR="002302AD">
        <w:rPr>
          <w:rtl/>
          <w:lang w:val="en-US"/>
        </w:rPr>
        <w:t>،</w:t>
      </w:r>
      <w:r w:rsidRPr="007F34D8">
        <w:rPr>
          <w:rtl/>
          <w:lang w:val="en-US"/>
        </w:rPr>
        <w:t xml:space="preserve"> يرجى بيان ما إذا كانت الدولة الطرف ستعيد النظر في تطبيق وقف اختياري لجميع عمليات الإعدام</w:t>
      </w:r>
      <w:r w:rsidR="002302AD">
        <w:rPr>
          <w:rtl/>
          <w:lang w:val="en-US"/>
        </w:rPr>
        <w:t>،</w:t>
      </w:r>
      <w:r w:rsidRPr="007F34D8">
        <w:rPr>
          <w:rtl/>
          <w:lang w:val="en-US"/>
        </w:rPr>
        <w:t xml:space="preserve"> </w:t>
      </w:r>
      <w:r w:rsidRPr="007E2CB3">
        <w:rPr>
          <w:spacing w:val="2"/>
          <w:rtl/>
          <w:lang w:val="en-US"/>
        </w:rPr>
        <w:t>وتخفيف جميع أحكام الإعدام الحالية إلى أحكام بالسجن</w:t>
      </w:r>
      <w:r w:rsidR="006C3533" w:rsidRPr="007E2CB3">
        <w:rPr>
          <w:spacing w:val="2"/>
          <w:vertAlign w:val="superscript"/>
          <w:rtl/>
          <w:lang w:val="en-US"/>
        </w:rPr>
        <w:t>(</w:t>
      </w:r>
      <w:r w:rsidR="006C3533" w:rsidRPr="00995CF3">
        <w:rPr>
          <w:spacing w:val="2"/>
          <w:vertAlign w:val="superscript"/>
          <w:lang w:val="en-US"/>
        </w:rPr>
        <w:footnoteReference w:id="72"/>
      </w:r>
      <w:r w:rsidR="006C3533" w:rsidRPr="007E2CB3">
        <w:rPr>
          <w:spacing w:val="2"/>
          <w:vertAlign w:val="superscript"/>
          <w:rtl/>
          <w:lang w:val="en-US"/>
        </w:rPr>
        <w:t>)</w:t>
      </w:r>
      <w:r w:rsidR="002302AD" w:rsidRPr="007E2CB3">
        <w:rPr>
          <w:spacing w:val="2"/>
          <w:rtl/>
          <w:lang w:val="en-US"/>
        </w:rPr>
        <w:t>،</w:t>
      </w:r>
      <w:r w:rsidRPr="007E2CB3">
        <w:rPr>
          <w:spacing w:val="2"/>
          <w:rtl/>
          <w:lang w:val="en-US"/>
        </w:rPr>
        <w:t xml:space="preserve"> والانضمام إلى العهد الدولي الخاص بالحقوق</w:t>
      </w:r>
      <w:r w:rsidRPr="007F34D8">
        <w:rPr>
          <w:rtl/>
          <w:lang w:val="en-US"/>
        </w:rPr>
        <w:t xml:space="preserve"> المدنية والسياسية</w:t>
      </w:r>
      <w:r w:rsidR="002302AD">
        <w:rPr>
          <w:rtl/>
          <w:lang w:val="en-US"/>
        </w:rPr>
        <w:t>،</w:t>
      </w:r>
      <w:r w:rsidRPr="007F34D8">
        <w:rPr>
          <w:rtl/>
          <w:lang w:val="en-US"/>
        </w:rPr>
        <w:t xml:space="preserve"> ولا سيما البروتوكول الاختياري الثاني</w:t>
      </w:r>
      <w:r w:rsidR="002302AD">
        <w:rPr>
          <w:rtl/>
          <w:lang w:val="en-US"/>
        </w:rPr>
        <w:t>،</w:t>
      </w:r>
      <w:r w:rsidRPr="007F34D8">
        <w:rPr>
          <w:rtl/>
          <w:lang w:val="en-US"/>
        </w:rPr>
        <w:t xml:space="preserve"> الهادف إلى إلغاء عقوبة الإعدام</w:t>
      </w:r>
      <w:r w:rsidRPr="00207C80">
        <w:rPr>
          <w:vertAlign w:val="superscript"/>
          <w:rtl/>
          <w:lang w:val="en-US"/>
        </w:rPr>
        <w:t>(</w:t>
      </w:r>
      <w:r w:rsidRPr="00995CF3">
        <w:rPr>
          <w:vertAlign w:val="superscript"/>
          <w:lang w:val="en-US"/>
        </w:rPr>
        <w:footnoteReference w:id="73"/>
      </w:r>
      <w:r w:rsidRPr="00207C80">
        <w:rPr>
          <w:vertAlign w:val="superscript"/>
          <w:rtl/>
          <w:lang w:val="en-US"/>
        </w:rPr>
        <w:t>)</w:t>
      </w:r>
      <w:r w:rsidR="006C3533">
        <w:rPr>
          <w:rFonts w:hint="cs"/>
          <w:rtl/>
          <w:lang w:val="en-US"/>
        </w:rPr>
        <w:t xml:space="preserve">. </w:t>
      </w:r>
      <w:r w:rsidRPr="007F34D8">
        <w:rPr>
          <w:rtl/>
          <w:lang w:val="en-US"/>
        </w:rPr>
        <w:t xml:space="preserve">ويرجى </w:t>
      </w:r>
      <w:r w:rsidR="002302AD">
        <w:rPr>
          <w:rtl/>
          <w:lang w:val="en-US"/>
        </w:rPr>
        <w:t xml:space="preserve">أيضاً </w:t>
      </w:r>
      <w:r w:rsidRPr="007F34D8">
        <w:rPr>
          <w:rtl/>
          <w:lang w:val="en-US"/>
        </w:rPr>
        <w:t>تزويد اللجنة ببيانات مصنفة حسب جنس الضحية</w:t>
      </w:r>
      <w:r w:rsidR="002302AD">
        <w:rPr>
          <w:rtl/>
          <w:lang w:val="en-US"/>
        </w:rPr>
        <w:t>،</w:t>
      </w:r>
      <w:r w:rsidRPr="007F34D8">
        <w:rPr>
          <w:rtl/>
          <w:lang w:val="en-US"/>
        </w:rPr>
        <w:t xml:space="preserve"> وعمره وقت ارتكاب الجريمة</w:t>
      </w:r>
      <w:r w:rsidR="002302AD">
        <w:rPr>
          <w:rtl/>
          <w:lang w:val="en-US"/>
        </w:rPr>
        <w:t>،</w:t>
      </w:r>
      <w:r w:rsidRPr="007F34D8">
        <w:rPr>
          <w:rtl/>
          <w:lang w:val="en-US"/>
        </w:rPr>
        <w:t xml:space="preserve"> وجنسيته</w:t>
      </w:r>
      <w:r w:rsidR="002302AD">
        <w:rPr>
          <w:rtl/>
          <w:lang w:val="en-US"/>
        </w:rPr>
        <w:t>،</w:t>
      </w:r>
      <w:r w:rsidRPr="007F34D8">
        <w:rPr>
          <w:rtl/>
          <w:lang w:val="en-US"/>
        </w:rPr>
        <w:t xml:space="preserve"> وعدد الأشخاص الذين ما زالوا في قسم المحكوم عليهم بالإعدام</w:t>
      </w:r>
      <w:r w:rsidR="002302AD">
        <w:rPr>
          <w:rtl/>
          <w:lang w:val="en-US"/>
        </w:rPr>
        <w:t>،</w:t>
      </w:r>
      <w:r w:rsidRPr="007F34D8">
        <w:rPr>
          <w:rtl/>
          <w:lang w:val="en-US"/>
        </w:rPr>
        <w:t xml:space="preserve"> وعدد الأشخاص الذين أعدموا سنوي</w:t>
      </w:r>
      <w:r w:rsidR="007C38B3">
        <w:rPr>
          <w:rtl/>
          <w:lang w:val="en-US"/>
        </w:rPr>
        <w:t xml:space="preserve">اً </w:t>
      </w:r>
      <w:r w:rsidRPr="007F34D8">
        <w:rPr>
          <w:rtl/>
          <w:lang w:val="en-US"/>
        </w:rPr>
        <w:t xml:space="preserve">منذ عام </w:t>
      </w:r>
      <w:r w:rsidRPr="00995CF3">
        <w:rPr>
          <w:rtl/>
          <w:lang w:val="en-US"/>
        </w:rPr>
        <w:t>2016</w:t>
      </w:r>
      <w:r w:rsidR="002302AD">
        <w:rPr>
          <w:rtl/>
          <w:lang w:val="en-US"/>
        </w:rPr>
        <w:t>،</w:t>
      </w:r>
      <w:r w:rsidRPr="007F34D8">
        <w:rPr>
          <w:rtl/>
          <w:lang w:val="en-US"/>
        </w:rPr>
        <w:t xml:space="preserve"> مع بيان نوع الجرائم</w:t>
      </w:r>
      <w:r w:rsidR="002302AD">
        <w:rPr>
          <w:rtl/>
          <w:lang w:val="en-US"/>
        </w:rPr>
        <w:t>،</w:t>
      </w:r>
      <w:r w:rsidRPr="007F34D8">
        <w:rPr>
          <w:rtl/>
          <w:lang w:val="en-US"/>
        </w:rPr>
        <w:t xml:space="preserve"> وعدد الأشخاص الذين استفادوا من تحفيف العقوبة</w:t>
      </w:r>
      <w:r w:rsidR="002302AD">
        <w:rPr>
          <w:rtl/>
          <w:lang w:val="en-US"/>
        </w:rPr>
        <w:t>،</w:t>
      </w:r>
      <w:r w:rsidRPr="007F34D8">
        <w:rPr>
          <w:rtl/>
          <w:lang w:val="en-US"/>
        </w:rPr>
        <w:t xml:space="preserve"> وما إذا كان أي </w:t>
      </w:r>
      <w:r w:rsidRPr="00B35182">
        <w:rPr>
          <w:spacing w:val="-2"/>
          <w:rtl/>
          <w:lang w:val="en-US"/>
        </w:rPr>
        <w:t>شخص قاصر أو شخص من ذوي الإعاقة النفسية الاجتماعية أو الذهنية قد حكم عليه بالإعدام و/أو أعدم</w:t>
      </w:r>
      <w:r w:rsidRPr="007F34D8">
        <w:rPr>
          <w:rtl/>
          <w:lang w:val="en-US"/>
        </w:rPr>
        <w:t xml:space="preserve"> </w:t>
      </w:r>
      <w:r w:rsidRPr="00B35182">
        <w:rPr>
          <w:spacing w:val="-2"/>
          <w:rtl/>
          <w:lang w:val="en-US"/>
        </w:rPr>
        <w:t xml:space="preserve">منذ عام </w:t>
      </w:r>
      <w:r w:rsidRPr="00995CF3">
        <w:rPr>
          <w:spacing w:val="-2"/>
          <w:rtl/>
          <w:lang w:val="en-US"/>
        </w:rPr>
        <w:t>2016</w:t>
      </w:r>
      <w:r w:rsidR="006C3533" w:rsidRPr="00B35182">
        <w:rPr>
          <w:spacing w:val="-2"/>
          <w:vertAlign w:val="superscript"/>
          <w:rtl/>
          <w:lang w:val="en-US"/>
        </w:rPr>
        <w:t>(</w:t>
      </w:r>
      <w:r w:rsidR="006C3533" w:rsidRPr="00995CF3">
        <w:rPr>
          <w:spacing w:val="-2"/>
          <w:vertAlign w:val="superscript"/>
          <w:lang w:val="en-US"/>
        </w:rPr>
        <w:footnoteReference w:id="74"/>
      </w:r>
      <w:r w:rsidR="006C3533" w:rsidRPr="00B35182">
        <w:rPr>
          <w:spacing w:val="-2"/>
          <w:vertAlign w:val="superscript"/>
          <w:rtl/>
          <w:lang w:val="en-US"/>
        </w:rPr>
        <w:t>)</w:t>
      </w:r>
      <w:r w:rsidRPr="00B35182">
        <w:rPr>
          <w:spacing w:val="-2"/>
          <w:rtl/>
          <w:lang w:val="en-US"/>
        </w:rPr>
        <w:t>. ويرجى بيان ظروف احتجاز السجناء في قسم المحكوم عليهم بالإعدام وتوضيح ما إذا</w:t>
      </w:r>
      <w:r w:rsidRPr="007F34D8">
        <w:rPr>
          <w:rtl/>
          <w:lang w:val="en-US"/>
        </w:rPr>
        <w:t xml:space="preserve"> كانت ظروف احتجازهم أكثر صرامة من بقية السجناء. </w:t>
      </w:r>
    </w:p>
    <w:p w14:paraId="29B11A47" w14:textId="30B8C16D" w:rsidR="00E609CB" w:rsidRPr="007E2CB3" w:rsidRDefault="00E609CB" w:rsidP="00E609CB">
      <w:pPr>
        <w:pStyle w:val="SingleTxtGA"/>
        <w:rPr>
          <w:lang w:val="en-US"/>
        </w:rPr>
      </w:pPr>
      <w:r w:rsidRPr="00995CF3">
        <w:rPr>
          <w:rtl/>
          <w:lang w:val="en-US"/>
        </w:rPr>
        <w:t>27</w:t>
      </w:r>
      <w:r w:rsidRPr="007F34D8">
        <w:rPr>
          <w:rtl/>
          <w:lang w:val="en-US"/>
        </w:rPr>
        <w:t>-</w:t>
      </w:r>
      <w:r w:rsidRPr="007F34D8">
        <w:rPr>
          <w:rtl/>
          <w:lang w:val="en-US"/>
        </w:rPr>
        <w:tab/>
      </w:r>
      <w:r w:rsidRPr="006C3533">
        <w:rPr>
          <w:spacing w:val="-2"/>
          <w:rtl/>
          <w:lang w:val="en-US"/>
        </w:rPr>
        <w:t xml:space="preserve">وفيما يخص الملاحظات الختامية </w:t>
      </w:r>
      <w:proofErr w:type="gramStart"/>
      <w:r w:rsidRPr="006C3533">
        <w:rPr>
          <w:spacing w:val="-2"/>
          <w:rtl/>
          <w:lang w:val="en-US"/>
        </w:rPr>
        <w:t>السابقة</w:t>
      </w:r>
      <w:r w:rsidR="006C3533" w:rsidRPr="006C3533">
        <w:rPr>
          <w:spacing w:val="-2"/>
          <w:vertAlign w:val="superscript"/>
          <w:rtl/>
          <w:lang w:val="en-US"/>
        </w:rPr>
        <w:t>(</w:t>
      </w:r>
      <w:proofErr w:type="gramEnd"/>
      <w:r w:rsidR="006C3533" w:rsidRPr="00995CF3">
        <w:rPr>
          <w:spacing w:val="-2"/>
          <w:vertAlign w:val="superscript"/>
          <w:lang w:val="en-US"/>
        </w:rPr>
        <w:footnoteReference w:id="75"/>
      </w:r>
      <w:r w:rsidR="006C3533" w:rsidRPr="006C3533">
        <w:rPr>
          <w:spacing w:val="-2"/>
          <w:vertAlign w:val="superscript"/>
          <w:rtl/>
          <w:lang w:val="en-US"/>
        </w:rPr>
        <w:t>)</w:t>
      </w:r>
      <w:r w:rsidR="002302AD">
        <w:rPr>
          <w:spacing w:val="-2"/>
          <w:rtl/>
          <w:lang w:val="en-US"/>
        </w:rPr>
        <w:t>،</w:t>
      </w:r>
      <w:r w:rsidRPr="006C3533">
        <w:rPr>
          <w:spacing w:val="-2"/>
          <w:rtl/>
          <w:lang w:val="en-US"/>
        </w:rPr>
        <w:t xml:space="preserve"> وتقرير المتابعة الذي قدمته الدولة الطرف</w:t>
      </w:r>
      <w:r w:rsidR="006C3533" w:rsidRPr="006C3533">
        <w:rPr>
          <w:spacing w:val="-2"/>
          <w:vertAlign w:val="superscript"/>
          <w:rtl/>
          <w:lang w:val="en-US"/>
        </w:rPr>
        <w:t>(</w:t>
      </w:r>
      <w:r w:rsidR="006C3533" w:rsidRPr="00995CF3">
        <w:rPr>
          <w:spacing w:val="-2"/>
          <w:vertAlign w:val="superscript"/>
          <w:lang w:val="en-US"/>
        </w:rPr>
        <w:footnoteReference w:id="76"/>
      </w:r>
      <w:r w:rsidR="006C3533" w:rsidRPr="006C3533">
        <w:rPr>
          <w:spacing w:val="-2"/>
          <w:vertAlign w:val="superscript"/>
          <w:rtl/>
          <w:lang w:val="en-US"/>
        </w:rPr>
        <w:t>)</w:t>
      </w:r>
      <w:r w:rsidR="002302AD">
        <w:rPr>
          <w:rFonts w:hint="cs"/>
          <w:spacing w:val="-2"/>
          <w:rtl/>
          <w:lang w:val="en-US"/>
        </w:rPr>
        <w:t>،</w:t>
      </w:r>
      <w:r w:rsidRPr="006C3533">
        <w:rPr>
          <w:spacing w:val="-2"/>
          <w:rtl/>
          <w:lang w:val="en-US"/>
        </w:rPr>
        <w:t xml:space="preserve"> والرسائل التي وجهها المقرر المعني بمتابعة الملاحظات الختامية</w:t>
      </w:r>
      <w:r w:rsidR="006C3533" w:rsidRPr="006C3533">
        <w:rPr>
          <w:spacing w:val="-2"/>
          <w:vertAlign w:val="superscript"/>
          <w:rtl/>
          <w:lang w:val="en-US"/>
        </w:rPr>
        <w:t>(</w:t>
      </w:r>
      <w:r w:rsidR="006C3533" w:rsidRPr="00995CF3">
        <w:rPr>
          <w:spacing w:val="-2"/>
          <w:vertAlign w:val="superscript"/>
          <w:lang w:val="en-US"/>
        </w:rPr>
        <w:footnoteReference w:id="77"/>
      </w:r>
      <w:r w:rsidR="006C3533" w:rsidRPr="006C3533">
        <w:rPr>
          <w:spacing w:val="-2"/>
          <w:vertAlign w:val="superscript"/>
          <w:rtl/>
          <w:lang w:val="en-US"/>
        </w:rPr>
        <w:t>)</w:t>
      </w:r>
      <w:r w:rsidR="006C3533" w:rsidRPr="006C3533">
        <w:rPr>
          <w:rFonts w:hint="cs"/>
          <w:spacing w:val="-2"/>
          <w:rtl/>
          <w:lang w:val="en-US"/>
        </w:rPr>
        <w:t>.</w:t>
      </w:r>
      <w:r w:rsidRPr="006C3533">
        <w:rPr>
          <w:spacing w:val="-2"/>
          <w:rtl/>
          <w:lang w:val="en-US"/>
        </w:rPr>
        <w:t xml:space="preserve"> يرجى بيان ما إذا كانت الدولة الطرف </w:t>
      </w:r>
      <w:r w:rsidRPr="007C38B3">
        <w:rPr>
          <w:spacing w:val="-4"/>
          <w:rtl/>
          <w:lang w:val="en-US"/>
        </w:rPr>
        <w:t>قد أعادت النظر</w:t>
      </w:r>
      <w:r w:rsidR="002302AD" w:rsidRPr="007C38B3">
        <w:rPr>
          <w:spacing w:val="-4"/>
          <w:rtl/>
          <w:lang w:val="en-US"/>
        </w:rPr>
        <w:t>،</w:t>
      </w:r>
      <w:r w:rsidRPr="007C38B3">
        <w:rPr>
          <w:spacing w:val="-4"/>
          <w:rtl/>
          <w:lang w:val="en-US"/>
        </w:rPr>
        <w:t xml:space="preserve"> أو تنوي إعادة النظر في حالات عبد الكريم الخضر ووليد أبو الخير وعمر سعيد وعبد العزيز</w:t>
      </w:r>
      <w:r w:rsidRPr="006C3533">
        <w:rPr>
          <w:spacing w:val="-2"/>
          <w:rtl/>
          <w:lang w:val="en-US"/>
        </w:rPr>
        <w:t xml:space="preserve"> </w:t>
      </w:r>
      <w:proofErr w:type="spellStart"/>
      <w:r w:rsidRPr="006C3533">
        <w:rPr>
          <w:spacing w:val="-2"/>
          <w:rtl/>
          <w:lang w:val="en-US"/>
        </w:rPr>
        <w:t>الشبيلي</w:t>
      </w:r>
      <w:proofErr w:type="spellEnd"/>
      <w:r w:rsidRPr="006C3533">
        <w:rPr>
          <w:spacing w:val="-2"/>
          <w:rtl/>
          <w:lang w:val="en-US"/>
        </w:rPr>
        <w:t xml:space="preserve"> ومحمد صالح البجادي ورائف بدوي</w:t>
      </w:r>
      <w:r w:rsidR="002302AD">
        <w:rPr>
          <w:spacing w:val="-2"/>
          <w:rtl/>
          <w:lang w:val="en-US"/>
        </w:rPr>
        <w:t>،</w:t>
      </w:r>
      <w:r w:rsidRPr="006C3533">
        <w:rPr>
          <w:spacing w:val="-2"/>
          <w:rtl/>
          <w:lang w:val="en-US"/>
        </w:rPr>
        <w:t xml:space="preserve"> التي ورد ذكرها في الملاحظات الختامية السابقة</w:t>
      </w:r>
      <w:r w:rsidR="002302AD">
        <w:rPr>
          <w:spacing w:val="-2"/>
          <w:rtl/>
          <w:lang w:val="en-US"/>
        </w:rPr>
        <w:t xml:space="preserve">، </w:t>
      </w:r>
      <w:r w:rsidRPr="006C3533">
        <w:rPr>
          <w:spacing w:val="-2"/>
          <w:rtl/>
          <w:lang w:val="en-US"/>
        </w:rPr>
        <w:t>وما إذا كانت تنظر في الإفراج عن الأفراد الذين احتجزوا تعسف</w:t>
      </w:r>
      <w:r w:rsidR="007C38B3">
        <w:rPr>
          <w:spacing w:val="-2"/>
          <w:rtl/>
          <w:lang w:val="en-US"/>
        </w:rPr>
        <w:t xml:space="preserve">اً </w:t>
      </w:r>
      <w:r w:rsidRPr="006C3533">
        <w:rPr>
          <w:spacing w:val="-2"/>
          <w:rtl/>
          <w:lang w:val="en-US"/>
        </w:rPr>
        <w:t>لمجرد أنهم أعربوا سلمي</w:t>
      </w:r>
      <w:r w:rsidR="007C38B3">
        <w:rPr>
          <w:spacing w:val="-2"/>
          <w:rtl/>
          <w:lang w:val="en-US"/>
        </w:rPr>
        <w:t xml:space="preserve">اً </w:t>
      </w:r>
      <w:r w:rsidRPr="006C3533">
        <w:rPr>
          <w:spacing w:val="-2"/>
          <w:rtl/>
          <w:lang w:val="en-US"/>
        </w:rPr>
        <w:t>عن انتقادات أو عن مناصرتهم لحقوق الإنسان في سياق الانتهاكات المرتكبة للاتفاقية وفي هذا الصدد</w:t>
      </w:r>
      <w:r w:rsidR="002302AD">
        <w:rPr>
          <w:spacing w:val="-2"/>
          <w:rtl/>
          <w:lang w:val="en-US"/>
        </w:rPr>
        <w:t>،</w:t>
      </w:r>
      <w:r w:rsidRPr="006C3533">
        <w:rPr>
          <w:spacing w:val="-2"/>
          <w:rtl/>
          <w:lang w:val="en-US"/>
        </w:rPr>
        <w:t xml:space="preserve"> يرجى بيان ما إذا كانت الدولة الطرف ستنفذ قرارات الفريق العامل المعني بالاحتجاز التعسفي بشأن الإفراج عن سعود مختار الهاشمي</w:t>
      </w:r>
      <w:r w:rsidR="002302AD">
        <w:rPr>
          <w:spacing w:val="-2"/>
          <w:rtl/>
          <w:lang w:val="en-US"/>
        </w:rPr>
        <w:t>،</w:t>
      </w:r>
      <w:r w:rsidRPr="006C3533">
        <w:rPr>
          <w:spacing w:val="-2"/>
          <w:rtl/>
          <w:lang w:val="en-US"/>
        </w:rPr>
        <w:t xml:space="preserve"> </w:t>
      </w:r>
      <w:r w:rsidRPr="007E2CB3">
        <w:rPr>
          <w:spacing w:val="-4"/>
          <w:rtl/>
          <w:lang w:val="en-US"/>
        </w:rPr>
        <w:t xml:space="preserve">وسليمان </w:t>
      </w:r>
      <w:proofErr w:type="spellStart"/>
      <w:r w:rsidRPr="007E2CB3">
        <w:rPr>
          <w:spacing w:val="-4"/>
          <w:rtl/>
          <w:lang w:val="en-US"/>
        </w:rPr>
        <w:t>الرشودي</w:t>
      </w:r>
      <w:proofErr w:type="spellEnd"/>
      <w:r w:rsidR="002302AD" w:rsidRPr="007E2CB3">
        <w:rPr>
          <w:spacing w:val="-4"/>
          <w:rtl/>
          <w:lang w:val="en-US"/>
        </w:rPr>
        <w:t>،</w:t>
      </w:r>
      <w:r w:rsidRPr="007E2CB3">
        <w:rPr>
          <w:spacing w:val="-4"/>
          <w:rtl/>
          <w:lang w:val="en-US"/>
        </w:rPr>
        <w:t xml:space="preserve"> وخالد الراشد</w:t>
      </w:r>
      <w:r w:rsidR="002302AD" w:rsidRPr="007E2CB3">
        <w:rPr>
          <w:spacing w:val="-4"/>
          <w:rtl/>
          <w:lang w:val="en-US"/>
        </w:rPr>
        <w:t>،</w:t>
      </w:r>
      <w:r w:rsidRPr="007E2CB3">
        <w:rPr>
          <w:spacing w:val="-4"/>
          <w:rtl/>
          <w:lang w:val="en-US"/>
        </w:rPr>
        <w:t xml:space="preserve"> ومحمد عبد الله العتيبي</w:t>
      </w:r>
      <w:r w:rsidR="006C3533" w:rsidRPr="007E2CB3">
        <w:rPr>
          <w:spacing w:val="-4"/>
          <w:vertAlign w:val="superscript"/>
          <w:rtl/>
          <w:lang w:val="en-US"/>
        </w:rPr>
        <w:t>(</w:t>
      </w:r>
      <w:r w:rsidR="006C3533" w:rsidRPr="00995CF3">
        <w:rPr>
          <w:spacing w:val="-4"/>
          <w:vertAlign w:val="superscript"/>
          <w:lang w:val="en-US"/>
        </w:rPr>
        <w:footnoteReference w:id="78"/>
      </w:r>
      <w:r w:rsidR="006C3533" w:rsidRPr="007E2CB3">
        <w:rPr>
          <w:spacing w:val="-4"/>
          <w:vertAlign w:val="superscript"/>
          <w:rtl/>
          <w:lang w:val="en-US"/>
        </w:rPr>
        <w:t>)</w:t>
      </w:r>
      <w:r w:rsidR="002302AD" w:rsidRPr="007E2CB3">
        <w:rPr>
          <w:spacing w:val="-4"/>
          <w:rtl/>
          <w:lang w:val="en-US"/>
        </w:rPr>
        <w:t>،</w:t>
      </w:r>
      <w:r w:rsidRPr="007E2CB3">
        <w:rPr>
          <w:spacing w:val="-4"/>
          <w:rtl/>
          <w:lang w:val="en-US"/>
        </w:rPr>
        <w:t xml:space="preserve"> وأحمد خالد محمد الحسين</w:t>
      </w:r>
      <w:r w:rsidR="006C3533" w:rsidRPr="007E2CB3">
        <w:rPr>
          <w:spacing w:val="-4"/>
          <w:vertAlign w:val="superscript"/>
          <w:rtl/>
          <w:lang w:val="en-US"/>
        </w:rPr>
        <w:t>(</w:t>
      </w:r>
      <w:r w:rsidR="006C3533" w:rsidRPr="00995CF3">
        <w:rPr>
          <w:spacing w:val="-4"/>
          <w:vertAlign w:val="superscript"/>
          <w:lang w:val="en-US"/>
        </w:rPr>
        <w:footnoteReference w:id="79"/>
      </w:r>
      <w:r w:rsidR="006C3533" w:rsidRPr="007E2CB3">
        <w:rPr>
          <w:spacing w:val="-4"/>
          <w:vertAlign w:val="superscript"/>
          <w:rtl/>
          <w:lang w:val="en-US"/>
        </w:rPr>
        <w:t>)</w:t>
      </w:r>
      <w:r w:rsidR="002302AD" w:rsidRPr="007E2CB3">
        <w:rPr>
          <w:spacing w:val="-4"/>
          <w:rtl/>
          <w:lang w:val="en-US"/>
        </w:rPr>
        <w:t>،</w:t>
      </w:r>
      <w:r w:rsidRPr="007E2CB3">
        <w:rPr>
          <w:spacing w:val="-4"/>
          <w:rtl/>
          <w:lang w:val="en-US"/>
        </w:rPr>
        <w:t xml:space="preserve"> ومحمد القحطاني</w:t>
      </w:r>
      <w:r w:rsidRPr="007F34D8">
        <w:rPr>
          <w:rtl/>
          <w:lang w:val="en-US"/>
        </w:rPr>
        <w:t xml:space="preserve"> </w:t>
      </w:r>
      <w:r w:rsidRPr="00B35182">
        <w:rPr>
          <w:spacing w:val="-4"/>
          <w:rtl/>
          <w:lang w:val="en-US"/>
        </w:rPr>
        <w:lastRenderedPageBreak/>
        <w:t>ووليد أبو الخير</w:t>
      </w:r>
      <w:r w:rsidR="006C3533" w:rsidRPr="00B35182">
        <w:rPr>
          <w:spacing w:val="-4"/>
          <w:vertAlign w:val="superscript"/>
          <w:rtl/>
          <w:lang w:val="en-US"/>
        </w:rPr>
        <w:t>(</w:t>
      </w:r>
      <w:r w:rsidR="006C3533" w:rsidRPr="00995CF3">
        <w:rPr>
          <w:spacing w:val="-4"/>
          <w:vertAlign w:val="superscript"/>
          <w:lang w:val="en-US"/>
        </w:rPr>
        <w:footnoteReference w:id="80"/>
      </w:r>
      <w:r w:rsidR="006C3533" w:rsidRPr="00B35182">
        <w:rPr>
          <w:spacing w:val="-4"/>
          <w:vertAlign w:val="superscript"/>
          <w:rtl/>
          <w:lang w:val="en-US"/>
        </w:rPr>
        <w:t>)</w:t>
      </w:r>
      <w:r w:rsidRPr="00B35182">
        <w:rPr>
          <w:spacing w:val="-4"/>
          <w:rtl/>
          <w:lang w:val="en-US"/>
        </w:rPr>
        <w:t xml:space="preserve"> وقرار اللجنة المعنية بحقوق الأشخاص ذوي الإعاقة بشأن الإفراج عن سفر بن عبد الرحمن</w:t>
      </w:r>
      <w:r w:rsidRPr="007F34D8">
        <w:rPr>
          <w:rtl/>
          <w:lang w:val="en-US"/>
        </w:rPr>
        <w:t xml:space="preserve"> الحوالي</w:t>
      </w:r>
      <w:r w:rsidR="006C3533">
        <w:rPr>
          <w:rFonts w:hint="cs"/>
          <w:rtl/>
          <w:lang w:val="en-US"/>
        </w:rPr>
        <w:t>.</w:t>
      </w:r>
      <w:r w:rsidRPr="007F34D8">
        <w:rPr>
          <w:rtl/>
          <w:lang w:val="en-US"/>
        </w:rPr>
        <w:t xml:space="preserve"> ويرجى التعليق على التقارير التي ترد باستمرار عن استخدام موظفي </w:t>
      </w:r>
      <w:r w:rsidRPr="006C3533">
        <w:rPr>
          <w:spacing w:val="-4"/>
          <w:rtl/>
          <w:lang w:val="en-US"/>
        </w:rPr>
        <w:t>الدولة الترهيب والمضايقة والاحتجاز التعسفي وأعمال التعذيب في حق المدافعين عن حقوق الإنسان والصحفيين</w:t>
      </w:r>
      <w:r w:rsidRPr="007F34D8">
        <w:rPr>
          <w:rtl/>
          <w:lang w:val="en-US"/>
        </w:rPr>
        <w:t xml:space="preserve"> والأشخاص الذين يشاركون في انتقاد السلطات سلمي</w:t>
      </w:r>
      <w:r w:rsidR="007C38B3">
        <w:rPr>
          <w:rtl/>
          <w:lang w:val="en-US"/>
        </w:rPr>
        <w:t>اً،</w:t>
      </w:r>
      <w:r w:rsidRPr="007F34D8">
        <w:rPr>
          <w:rtl/>
          <w:lang w:val="en-US"/>
        </w:rPr>
        <w:t xml:space="preserve"> وبيان التدابير المتخذة منذ عام </w:t>
      </w:r>
      <w:r w:rsidRPr="00995CF3">
        <w:rPr>
          <w:rtl/>
          <w:lang w:val="en-US"/>
        </w:rPr>
        <w:t>2016</w:t>
      </w:r>
      <w:r w:rsidRPr="007F34D8">
        <w:rPr>
          <w:rtl/>
          <w:lang w:val="en-US"/>
        </w:rPr>
        <w:t xml:space="preserve"> لضمان </w:t>
      </w:r>
      <w:r w:rsidRPr="006C3533">
        <w:rPr>
          <w:spacing w:val="-2"/>
          <w:rtl/>
          <w:lang w:val="en-US"/>
        </w:rPr>
        <w:t xml:space="preserve">الحماية الفعالة من هذه </w:t>
      </w:r>
      <w:proofErr w:type="gramStart"/>
      <w:r w:rsidRPr="006C3533">
        <w:rPr>
          <w:spacing w:val="-2"/>
          <w:rtl/>
          <w:lang w:val="en-US"/>
        </w:rPr>
        <w:t>الممارسات</w:t>
      </w:r>
      <w:r w:rsidR="006C3533" w:rsidRPr="006C3533">
        <w:rPr>
          <w:spacing w:val="-2"/>
          <w:vertAlign w:val="superscript"/>
          <w:rtl/>
          <w:lang w:val="en-US"/>
        </w:rPr>
        <w:t>(</w:t>
      </w:r>
      <w:proofErr w:type="gramEnd"/>
      <w:r w:rsidR="006C3533" w:rsidRPr="00995CF3">
        <w:rPr>
          <w:spacing w:val="-2"/>
          <w:vertAlign w:val="superscript"/>
          <w:lang w:val="en-US"/>
        </w:rPr>
        <w:footnoteReference w:id="81"/>
      </w:r>
      <w:r w:rsidR="006C3533" w:rsidRPr="006C3533">
        <w:rPr>
          <w:spacing w:val="-2"/>
          <w:vertAlign w:val="superscript"/>
          <w:rtl/>
          <w:lang w:val="en-US"/>
        </w:rPr>
        <w:t>)</w:t>
      </w:r>
      <w:r w:rsidRPr="006C3533">
        <w:rPr>
          <w:spacing w:val="-2"/>
          <w:rtl/>
          <w:lang w:val="en-US"/>
        </w:rPr>
        <w:t xml:space="preserve">. ويرجى </w:t>
      </w:r>
      <w:r w:rsidR="002302AD">
        <w:rPr>
          <w:spacing w:val="-2"/>
          <w:rtl/>
          <w:lang w:val="en-US"/>
        </w:rPr>
        <w:t xml:space="preserve">أيضاً </w:t>
      </w:r>
      <w:r w:rsidRPr="006C3533">
        <w:rPr>
          <w:spacing w:val="-2"/>
          <w:rtl/>
          <w:lang w:val="en-US"/>
        </w:rPr>
        <w:t>تزويد اللجنة بمعلومات عن تقدم التحقيقات والملاحقات</w:t>
      </w:r>
      <w:r w:rsidRPr="007F34D8">
        <w:rPr>
          <w:rtl/>
          <w:lang w:val="en-US"/>
        </w:rPr>
        <w:t xml:space="preserve"> القضائية والمحاكمات والعقوبات المتعلقة بالحالات الواردة أدناه بشأن تعذيب المدافعين عن حقوق الإنسان والصحفيين والأشخاص الذين يظهرون كمنتقدين للسلطات</w:t>
      </w:r>
      <w:r w:rsidR="002302AD">
        <w:rPr>
          <w:rtl/>
          <w:lang w:val="en-US"/>
        </w:rPr>
        <w:t>،</w:t>
      </w:r>
      <w:r w:rsidRPr="007F34D8">
        <w:rPr>
          <w:rtl/>
          <w:lang w:val="en-US"/>
        </w:rPr>
        <w:t xml:space="preserve"> ومن هذه الحالات ما سبق ذكره في الرسائل التي وجهها المقرر المعني بمتابعة الملاحظات الختامية</w:t>
      </w:r>
      <w:r w:rsidR="006C3533" w:rsidRPr="00207C80">
        <w:rPr>
          <w:vertAlign w:val="superscript"/>
          <w:rtl/>
          <w:lang w:val="en-US"/>
        </w:rPr>
        <w:t>(</w:t>
      </w:r>
      <w:r w:rsidR="006C3533" w:rsidRPr="00995CF3">
        <w:rPr>
          <w:vertAlign w:val="superscript"/>
          <w:lang w:val="en-US"/>
        </w:rPr>
        <w:footnoteReference w:id="82"/>
      </w:r>
      <w:r w:rsidR="006C3533" w:rsidRPr="00207C80">
        <w:rPr>
          <w:vertAlign w:val="superscript"/>
          <w:rtl/>
          <w:lang w:val="en-US"/>
        </w:rPr>
        <w:t>)</w:t>
      </w:r>
      <w:r w:rsidRPr="007F34D8">
        <w:rPr>
          <w:rtl/>
          <w:lang w:val="en-US"/>
        </w:rPr>
        <w:t xml:space="preserve">: (أ) الصحفي جمال </w:t>
      </w:r>
      <w:proofErr w:type="spellStart"/>
      <w:r w:rsidRPr="007F34D8">
        <w:rPr>
          <w:rtl/>
          <w:lang w:val="en-US"/>
        </w:rPr>
        <w:t>خاشقجي</w:t>
      </w:r>
      <w:proofErr w:type="spellEnd"/>
      <w:r w:rsidRPr="007F34D8">
        <w:rPr>
          <w:rtl/>
          <w:lang w:val="en-US"/>
        </w:rPr>
        <w:t xml:space="preserve"> الذي تعرض</w:t>
      </w:r>
      <w:r w:rsidR="002302AD">
        <w:rPr>
          <w:rtl/>
          <w:lang w:val="en-US"/>
        </w:rPr>
        <w:t>،</w:t>
      </w:r>
      <w:r w:rsidRPr="007F34D8">
        <w:rPr>
          <w:rtl/>
          <w:lang w:val="en-US"/>
        </w:rPr>
        <w:t xml:space="preserve"> </w:t>
      </w:r>
      <w:r w:rsidRPr="006C3533">
        <w:rPr>
          <w:spacing w:val="-2"/>
          <w:rtl/>
          <w:lang w:val="en-US"/>
        </w:rPr>
        <w:t>وفق</w:t>
      </w:r>
      <w:r w:rsidR="007C38B3">
        <w:rPr>
          <w:spacing w:val="-2"/>
          <w:rtl/>
          <w:lang w:val="en-US"/>
        </w:rPr>
        <w:t xml:space="preserve">اً </w:t>
      </w:r>
      <w:r w:rsidRPr="006C3533">
        <w:rPr>
          <w:spacing w:val="-2"/>
          <w:rtl/>
          <w:lang w:val="en-US"/>
        </w:rPr>
        <w:t>للتقارير</w:t>
      </w:r>
      <w:r w:rsidR="002302AD">
        <w:rPr>
          <w:spacing w:val="-2"/>
          <w:rtl/>
          <w:lang w:val="en-US"/>
        </w:rPr>
        <w:t>،</w:t>
      </w:r>
      <w:r w:rsidRPr="006C3533">
        <w:rPr>
          <w:spacing w:val="-2"/>
          <w:rtl/>
          <w:lang w:val="en-US"/>
        </w:rPr>
        <w:t xml:space="preserve"> </w:t>
      </w:r>
      <w:r w:rsidRPr="00B35182">
        <w:rPr>
          <w:rtl/>
          <w:lang w:val="en-US"/>
        </w:rPr>
        <w:t xml:space="preserve">للتعذيب والإعدام خارج نطاق القضاء في </w:t>
      </w:r>
      <w:r w:rsidRPr="00995CF3">
        <w:rPr>
          <w:rtl/>
          <w:lang w:val="en-US"/>
        </w:rPr>
        <w:t>2</w:t>
      </w:r>
      <w:r w:rsidRPr="00B35182">
        <w:rPr>
          <w:rtl/>
          <w:lang w:val="en-US"/>
        </w:rPr>
        <w:t xml:space="preserve"> تشرين الأول/أكتوبر </w:t>
      </w:r>
      <w:r w:rsidRPr="00995CF3">
        <w:rPr>
          <w:rtl/>
          <w:lang w:val="en-US"/>
        </w:rPr>
        <w:t>2018</w:t>
      </w:r>
      <w:r w:rsidR="002302AD" w:rsidRPr="00B35182">
        <w:rPr>
          <w:rtl/>
          <w:lang w:val="en-US"/>
        </w:rPr>
        <w:t>،</w:t>
      </w:r>
      <w:r w:rsidRPr="00B35182">
        <w:rPr>
          <w:rtl/>
          <w:lang w:val="en-US"/>
        </w:rPr>
        <w:t xml:space="preserve"> على أيدي مسؤولين رفيعي المستوى في قنصلية الدولة الطرف في اسطنبول</w:t>
      </w:r>
      <w:r w:rsidR="006C3533" w:rsidRPr="00B35182">
        <w:rPr>
          <w:vertAlign w:val="superscript"/>
          <w:rtl/>
          <w:lang w:val="en-US"/>
        </w:rPr>
        <w:t>(</w:t>
      </w:r>
      <w:r w:rsidR="006C3533" w:rsidRPr="00995CF3">
        <w:rPr>
          <w:vertAlign w:val="superscript"/>
          <w:lang w:val="en-US"/>
        </w:rPr>
        <w:footnoteReference w:id="83"/>
      </w:r>
      <w:r w:rsidR="006C3533" w:rsidRPr="00B35182">
        <w:rPr>
          <w:vertAlign w:val="superscript"/>
          <w:rtl/>
          <w:lang w:val="en-US"/>
        </w:rPr>
        <w:t>)</w:t>
      </w:r>
      <w:r w:rsidRPr="00B35182">
        <w:rPr>
          <w:rtl/>
          <w:lang w:val="en-US"/>
        </w:rPr>
        <w:t>؛ (ب) المدافعين عن حقوق الإنسان لجين الهذلول</w:t>
      </w:r>
      <w:r w:rsidR="002302AD" w:rsidRPr="00B35182">
        <w:rPr>
          <w:rtl/>
          <w:lang w:val="en-US"/>
        </w:rPr>
        <w:t>،</w:t>
      </w:r>
      <w:r w:rsidRPr="00B35182">
        <w:rPr>
          <w:rtl/>
          <w:lang w:val="en-US"/>
        </w:rPr>
        <w:t xml:space="preserve"> وإيمان النفجان</w:t>
      </w:r>
      <w:r w:rsidR="002302AD" w:rsidRPr="00B35182">
        <w:rPr>
          <w:rtl/>
          <w:lang w:val="en-US"/>
        </w:rPr>
        <w:t>،</w:t>
      </w:r>
      <w:r w:rsidRPr="00B35182">
        <w:rPr>
          <w:rtl/>
          <w:lang w:val="en-US"/>
        </w:rPr>
        <w:t xml:space="preserve"> وعزيزة اليوسف</w:t>
      </w:r>
      <w:r w:rsidR="002302AD" w:rsidRPr="00B35182">
        <w:rPr>
          <w:rtl/>
          <w:lang w:val="en-US"/>
        </w:rPr>
        <w:t>،</w:t>
      </w:r>
      <w:r w:rsidRPr="00B35182">
        <w:rPr>
          <w:rtl/>
          <w:lang w:val="en-US"/>
        </w:rPr>
        <w:t xml:space="preserve"> وسمر بدوي</w:t>
      </w:r>
      <w:r w:rsidR="002302AD" w:rsidRPr="00B35182">
        <w:rPr>
          <w:rtl/>
          <w:lang w:val="en-US"/>
        </w:rPr>
        <w:t>،</w:t>
      </w:r>
      <w:r w:rsidRPr="00B35182">
        <w:rPr>
          <w:rtl/>
          <w:lang w:val="en-US"/>
        </w:rPr>
        <w:t xml:space="preserve"> ونسيمة السادة</w:t>
      </w:r>
      <w:r w:rsidR="002302AD" w:rsidRPr="00B35182">
        <w:rPr>
          <w:rtl/>
          <w:lang w:val="en-US"/>
        </w:rPr>
        <w:t>،</w:t>
      </w:r>
      <w:r w:rsidRPr="00B35182">
        <w:rPr>
          <w:rtl/>
          <w:lang w:val="en-US"/>
        </w:rPr>
        <w:t xml:space="preserve"> ومحمد الربيعة</w:t>
      </w:r>
      <w:r w:rsidR="002302AD" w:rsidRPr="00B35182">
        <w:rPr>
          <w:rtl/>
          <w:lang w:val="en-US"/>
        </w:rPr>
        <w:t>،</w:t>
      </w:r>
      <w:r w:rsidRPr="00B35182">
        <w:rPr>
          <w:rtl/>
          <w:lang w:val="en-US"/>
        </w:rPr>
        <w:t xml:space="preserve"> وإبراهيم </w:t>
      </w:r>
      <w:proofErr w:type="spellStart"/>
      <w:r w:rsidRPr="00B35182">
        <w:rPr>
          <w:rtl/>
          <w:lang w:val="en-US"/>
        </w:rPr>
        <w:t>المديميغ</w:t>
      </w:r>
      <w:proofErr w:type="spellEnd"/>
      <w:r w:rsidR="002302AD" w:rsidRPr="00B35182">
        <w:rPr>
          <w:rtl/>
          <w:lang w:val="en-US"/>
        </w:rPr>
        <w:t>،</w:t>
      </w:r>
      <w:r w:rsidRPr="00B35182">
        <w:rPr>
          <w:rtl/>
          <w:lang w:val="en-US"/>
        </w:rPr>
        <w:t xml:space="preserve"> الذين </w:t>
      </w:r>
      <w:r w:rsidRPr="00156BEB">
        <w:rPr>
          <w:spacing w:val="-4"/>
          <w:rtl/>
          <w:lang w:val="en-US"/>
        </w:rPr>
        <w:t>يزعم أنهم احتجزوا تعسف</w:t>
      </w:r>
      <w:r w:rsidR="007C38B3">
        <w:rPr>
          <w:spacing w:val="-4"/>
          <w:rtl/>
          <w:lang w:val="en-US"/>
        </w:rPr>
        <w:t xml:space="preserve">اً </w:t>
      </w:r>
      <w:r w:rsidRPr="00156BEB">
        <w:rPr>
          <w:spacing w:val="-4"/>
          <w:rtl/>
          <w:lang w:val="en-US"/>
        </w:rPr>
        <w:t>وعذبوا في سجن ذهبان</w:t>
      </w:r>
      <w:r w:rsidR="006C3533" w:rsidRPr="00156BEB">
        <w:rPr>
          <w:rFonts w:hint="cs"/>
          <w:spacing w:val="-4"/>
          <w:rtl/>
          <w:lang w:val="en-US"/>
        </w:rPr>
        <w:t xml:space="preserve">؛ </w:t>
      </w:r>
      <w:r w:rsidRPr="00156BEB">
        <w:rPr>
          <w:spacing w:val="-4"/>
          <w:rtl/>
          <w:lang w:val="en-US"/>
        </w:rPr>
        <w:t>(ج) علي النمر وعبد الله الظاهر وداوود المرهون</w:t>
      </w:r>
      <w:r w:rsidR="002302AD">
        <w:rPr>
          <w:spacing w:val="-4"/>
          <w:rtl/>
          <w:lang w:val="en-US"/>
        </w:rPr>
        <w:t>،</w:t>
      </w:r>
      <w:r w:rsidRPr="00156BEB">
        <w:rPr>
          <w:spacing w:val="-4"/>
          <w:rtl/>
          <w:lang w:val="en-US"/>
        </w:rPr>
        <w:t xml:space="preserve"> الذين</w:t>
      </w:r>
      <w:r w:rsidRPr="007F34D8">
        <w:rPr>
          <w:rtl/>
          <w:lang w:val="en-US"/>
        </w:rPr>
        <w:t xml:space="preserve"> يزعم أنهم احتجزوا تعسف</w:t>
      </w:r>
      <w:r w:rsidR="007C38B3">
        <w:rPr>
          <w:rtl/>
          <w:lang w:val="en-US"/>
        </w:rPr>
        <w:t xml:space="preserve">اً </w:t>
      </w:r>
      <w:r w:rsidRPr="007F34D8">
        <w:rPr>
          <w:rtl/>
          <w:lang w:val="en-US"/>
        </w:rPr>
        <w:t xml:space="preserve">وعذبوا؛ (د) مرتجى </w:t>
      </w:r>
      <w:proofErr w:type="spellStart"/>
      <w:r w:rsidRPr="007F34D8">
        <w:rPr>
          <w:rtl/>
          <w:lang w:val="en-US"/>
        </w:rPr>
        <w:t>قريريص</w:t>
      </w:r>
      <w:proofErr w:type="spellEnd"/>
      <w:r w:rsidR="002302AD">
        <w:rPr>
          <w:rtl/>
          <w:lang w:val="en-US"/>
        </w:rPr>
        <w:t>،</w:t>
      </w:r>
      <w:r w:rsidRPr="007F34D8">
        <w:rPr>
          <w:rtl/>
          <w:lang w:val="en-US"/>
        </w:rPr>
        <w:t xml:space="preserve"> البالغ من العمر </w:t>
      </w:r>
      <w:r w:rsidRPr="00995CF3">
        <w:rPr>
          <w:rtl/>
          <w:lang w:val="en-US"/>
        </w:rPr>
        <w:t>13</w:t>
      </w:r>
      <w:r w:rsidRPr="007F34D8">
        <w:rPr>
          <w:rtl/>
          <w:lang w:val="en-US"/>
        </w:rPr>
        <w:t xml:space="preserve"> عام</w:t>
      </w:r>
      <w:r w:rsidR="007C38B3">
        <w:rPr>
          <w:rtl/>
          <w:lang w:val="en-US"/>
        </w:rPr>
        <w:t>اً،</w:t>
      </w:r>
      <w:r w:rsidRPr="007F34D8">
        <w:rPr>
          <w:rtl/>
          <w:lang w:val="en-US"/>
        </w:rPr>
        <w:t xml:space="preserve"> الذي يزعم أن ضباط المباحث عذبوه في عام </w:t>
      </w:r>
      <w:r w:rsidRPr="00995CF3">
        <w:rPr>
          <w:rtl/>
          <w:lang w:val="en-US"/>
        </w:rPr>
        <w:t>2014</w:t>
      </w:r>
      <w:r w:rsidRPr="007F34D8">
        <w:rPr>
          <w:rtl/>
          <w:lang w:val="en-US"/>
        </w:rPr>
        <w:t xml:space="preserve"> لإجباره على الاعتراف بالمشاركة في مظاهرات سلمية؛ (ه) خالد الراشد الذي عُذب في عام </w:t>
      </w:r>
      <w:r w:rsidRPr="00995CF3">
        <w:rPr>
          <w:rtl/>
          <w:lang w:val="en-US"/>
        </w:rPr>
        <w:t>2006</w:t>
      </w:r>
      <w:r w:rsidRPr="007F34D8">
        <w:rPr>
          <w:rtl/>
          <w:lang w:val="en-US"/>
        </w:rPr>
        <w:t xml:space="preserve"> في أحد المراكز التابعة لجهاز المباحث</w:t>
      </w:r>
      <w:r w:rsidR="002302AD">
        <w:rPr>
          <w:rtl/>
          <w:lang w:val="en-US"/>
        </w:rPr>
        <w:t>،</w:t>
      </w:r>
      <w:r w:rsidRPr="007F34D8">
        <w:rPr>
          <w:rtl/>
          <w:lang w:val="en-US"/>
        </w:rPr>
        <w:t xml:space="preserve"> مما ألحق أضرار</w:t>
      </w:r>
      <w:r w:rsidR="007C38B3">
        <w:rPr>
          <w:rtl/>
          <w:lang w:val="en-US"/>
        </w:rPr>
        <w:t xml:space="preserve">اً </w:t>
      </w:r>
      <w:r w:rsidRPr="007F34D8">
        <w:rPr>
          <w:rtl/>
          <w:lang w:val="en-US"/>
        </w:rPr>
        <w:t xml:space="preserve">جسيمة بصحته؛ </w:t>
      </w:r>
      <w:r w:rsidRPr="007E2CB3">
        <w:rPr>
          <w:rtl/>
          <w:lang w:val="en-US"/>
        </w:rPr>
        <w:t>(و) سلمان العودة</w:t>
      </w:r>
      <w:r w:rsidR="002302AD" w:rsidRPr="007E2CB3">
        <w:rPr>
          <w:rtl/>
          <w:lang w:val="en-US"/>
        </w:rPr>
        <w:t>،</w:t>
      </w:r>
      <w:r w:rsidRPr="007E2CB3">
        <w:rPr>
          <w:rtl/>
          <w:lang w:val="en-US"/>
        </w:rPr>
        <w:t xml:space="preserve"> الذي احتجز في </w:t>
      </w:r>
      <w:r w:rsidRPr="00995CF3">
        <w:rPr>
          <w:rtl/>
          <w:lang w:val="en-US"/>
        </w:rPr>
        <w:t>7</w:t>
      </w:r>
      <w:r w:rsidRPr="007E2CB3">
        <w:rPr>
          <w:rtl/>
          <w:lang w:val="en-US"/>
        </w:rPr>
        <w:t xml:space="preserve"> أيلول/سبتمبر </w:t>
      </w:r>
      <w:r w:rsidRPr="00995CF3">
        <w:rPr>
          <w:rtl/>
          <w:lang w:val="en-US"/>
        </w:rPr>
        <w:t>2017</w:t>
      </w:r>
      <w:r w:rsidR="002302AD" w:rsidRPr="007E2CB3">
        <w:rPr>
          <w:rtl/>
          <w:lang w:val="en-US"/>
        </w:rPr>
        <w:t>،</w:t>
      </w:r>
      <w:r w:rsidRPr="007E2CB3">
        <w:rPr>
          <w:rtl/>
          <w:lang w:val="en-US"/>
        </w:rPr>
        <w:t xml:space="preserve"> وأودع الحبس الانفرادي منذ اعتقاله</w:t>
      </w:r>
      <w:r w:rsidR="002302AD" w:rsidRPr="007E2CB3">
        <w:rPr>
          <w:rtl/>
          <w:lang w:val="en-US"/>
        </w:rPr>
        <w:t>،</w:t>
      </w:r>
      <w:r w:rsidRPr="007E2CB3">
        <w:rPr>
          <w:rtl/>
          <w:lang w:val="en-US"/>
        </w:rPr>
        <w:t xml:space="preserve"> وهو محروم من الرعاية الطبية</w:t>
      </w:r>
      <w:r w:rsidR="002302AD" w:rsidRPr="007E2CB3">
        <w:rPr>
          <w:rtl/>
          <w:lang w:val="en-US"/>
        </w:rPr>
        <w:t>،</w:t>
      </w:r>
      <w:r w:rsidRPr="007E2CB3">
        <w:rPr>
          <w:rtl/>
          <w:lang w:val="en-US"/>
        </w:rPr>
        <w:t xml:space="preserve"> وتعرض لتعذيب بدني شديد؛ (ز) الداعية سليمان الدويش</w:t>
      </w:r>
      <w:r w:rsidR="002302AD" w:rsidRPr="007E2CB3">
        <w:rPr>
          <w:rtl/>
          <w:lang w:val="en-US"/>
        </w:rPr>
        <w:t>،</w:t>
      </w:r>
      <w:r w:rsidRPr="007E2CB3">
        <w:rPr>
          <w:rtl/>
          <w:lang w:val="en-US"/>
        </w:rPr>
        <w:t xml:space="preserve"> الذي قيل إن قوات أمن الدولة أقدمت على اختطافه وإخفائه في عام </w:t>
      </w:r>
      <w:r w:rsidRPr="00995CF3">
        <w:rPr>
          <w:rtl/>
          <w:lang w:val="en-US"/>
        </w:rPr>
        <w:t>2016</w:t>
      </w:r>
      <w:r w:rsidRPr="007E2CB3">
        <w:rPr>
          <w:rtl/>
          <w:lang w:val="en-US"/>
        </w:rPr>
        <w:t>؛ (ح) عبد الرحمن السدحان</w:t>
      </w:r>
      <w:r w:rsidR="002302AD" w:rsidRPr="007E2CB3">
        <w:rPr>
          <w:rtl/>
          <w:lang w:val="en-US"/>
        </w:rPr>
        <w:t>،</w:t>
      </w:r>
      <w:r w:rsidRPr="007E2CB3">
        <w:rPr>
          <w:rtl/>
          <w:lang w:val="en-US"/>
        </w:rPr>
        <w:t xml:space="preserve"> الذي أودع الاحتجاز السري في عام </w:t>
      </w:r>
      <w:r w:rsidRPr="00995CF3">
        <w:rPr>
          <w:rtl/>
          <w:lang w:val="en-US"/>
        </w:rPr>
        <w:t>2018</w:t>
      </w:r>
      <w:r w:rsidR="002302AD" w:rsidRPr="007E2CB3">
        <w:rPr>
          <w:rtl/>
          <w:lang w:val="en-US"/>
        </w:rPr>
        <w:t>،</w:t>
      </w:r>
      <w:r w:rsidRPr="007E2CB3">
        <w:rPr>
          <w:rtl/>
          <w:lang w:val="en-US"/>
        </w:rPr>
        <w:t xml:space="preserve"> وتعرض للتعذيب الشديد والتحرش الجنسي أثناء احتجازه</w:t>
      </w:r>
      <w:r w:rsidR="002302AD" w:rsidRPr="007E2CB3">
        <w:rPr>
          <w:rtl/>
          <w:lang w:val="en-US"/>
        </w:rPr>
        <w:t>،</w:t>
      </w:r>
      <w:r w:rsidRPr="007E2CB3">
        <w:rPr>
          <w:rtl/>
          <w:lang w:val="en-US"/>
        </w:rPr>
        <w:t xml:space="preserve"> على أيدي قوات أمن المباحث؛ (</w:t>
      </w:r>
      <w:r w:rsidRPr="00995CF3">
        <w:rPr>
          <w:rtl/>
          <w:lang w:val="en-US"/>
        </w:rPr>
        <w:t>1</w:t>
      </w:r>
      <w:r w:rsidRPr="007E2CB3">
        <w:rPr>
          <w:rtl/>
          <w:lang w:val="en-US"/>
        </w:rPr>
        <w:t>) الصحفي السعودي تركي الجاسر</w:t>
      </w:r>
      <w:r w:rsidR="002302AD" w:rsidRPr="007E2CB3">
        <w:rPr>
          <w:rtl/>
          <w:lang w:val="en-US"/>
        </w:rPr>
        <w:t>،</w:t>
      </w:r>
      <w:r w:rsidRPr="007E2CB3">
        <w:rPr>
          <w:rtl/>
          <w:lang w:val="en-US"/>
        </w:rPr>
        <w:t xml:space="preserve"> الذي احتجزه ضباط المباحث في آذار/مارس </w:t>
      </w:r>
      <w:r w:rsidRPr="00995CF3">
        <w:rPr>
          <w:rtl/>
          <w:lang w:val="en-US"/>
        </w:rPr>
        <w:t>2018</w:t>
      </w:r>
      <w:r w:rsidR="002302AD" w:rsidRPr="007E2CB3">
        <w:rPr>
          <w:rtl/>
          <w:lang w:val="en-US"/>
        </w:rPr>
        <w:t>،</w:t>
      </w:r>
      <w:r w:rsidRPr="007E2CB3">
        <w:rPr>
          <w:rtl/>
          <w:lang w:val="en-US"/>
        </w:rPr>
        <w:t xml:space="preserve"> ولا يزال مكان وجوده مجهول</w:t>
      </w:r>
      <w:r w:rsidR="00680FC9" w:rsidRPr="007E2CB3">
        <w:rPr>
          <w:rtl/>
          <w:lang w:val="en-US"/>
        </w:rPr>
        <w:t>اً؛</w:t>
      </w:r>
      <w:r w:rsidRPr="007E2CB3">
        <w:rPr>
          <w:rtl/>
          <w:lang w:val="en-US"/>
        </w:rPr>
        <w:t xml:space="preserve"> و(ي) الخريج الجامعي عبد الله جيلان</w:t>
      </w:r>
      <w:r w:rsidR="002302AD" w:rsidRPr="007E2CB3">
        <w:rPr>
          <w:rtl/>
          <w:lang w:val="en-US"/>
        </w:rPr>
        <w:t>،</w:t>
      </w:r>
      <w:r w:rsidRPr="007E2CB3">
        <w:rPr>
          <w:rtl/>
          <w:lang w:val="en-US"/>
        </w:rPr>
        <w:t xml:space="preserve"> الذي احتجزه ضباط قوات أمن الدولة في أيار/مايو </w:t>
      </w:r>
      <w:r w:rsidRPr="00995CF3">
        <w:rPr>
          <w:rtl/>
          <w:lang w:val="en-US"/>
        </w:rPr>
        <w:t>2021</w:t>
      </w:r>
      <w:r w:rsidR="002302AD" w:rsidRPr="007E2CB3">
        <w:rPr>
          <w:rtl/>
          <w:lang w:val="en-US"/>
        </w:rPr>
        <w:t>،</w:t>
      </w:r>
      <w:r w:rsidRPr="007E2CB3">
        <w:rPr>
          <w:rtl/>
          <w:lang w:val="en-US"/>
        </w:rPr>
        <w:t xml:space="preserve"> ولا يزال مكان وجوده مجهول</w:t>
      </w:r>
      <w:r w:rsidR="007C38B3" w:rsidRPr="007E2CB3">
        <w:rPr>
          <w:rtl/>
          <w:lang w:val="en-US"/>
        </w:rPr>
        <w:t>اً.</w:t>
      </w:r>
      <w:r w:rsidRPr="007E2CB3">
        <w:rPr>
          <w:rtl/>
          <w:lang w:val="en-US"/>
        </w:rPr>
        <w:t xml:space="preserve"> وأخير</w:t>
      </w:r>
      <w:r w:rsidR="007C38B3" w:rsidRPr="007E2CB3">
        <w:rPr>
          <w:rtl/>
          <w:lang w:val="en-US"/>
        </w:rPr>
        <w:t>اً،</w:t>
      </w:r>
      <w:r w:rsidRPr="007E2CB3">
        <w:rPr>
          <w:rtl/>
          <w:lang w:val="en-US"/>
        </w:rPr>
        <w:t xml:space="preserve"> يرجى بيان ما إذا كانت الدولة الطرف ستنظر في تنقيح تعريف الإرهاب المنصوص عليه في نظام مكافحة الإرهاب وتمويله لعام </w:t>
      </w:r>
      <w:r w:rsidRPr="00995CF3">
        <w:rPr>
          <w:rtl/>
          <w:lang w:val="en-US"/>
        </w:rPr>
        <w:t>2017</w:t>
      </w:r>
      <w:r w:rsidR="002302AD" w:rsidRPr="007E2CB3">
        <w:rPr>
          <w:rtl/>
          <w:lang w:val="en-US"/>
        </w:rPr>
        <w:t>،</w:t>
      </w:r>
      <w:r w:rsidRPr="007E2CB3">
        <w:rPr>
          <w:rtl/>
          <w:lang w:val="en-US"/>
        </w:rPr>
        <w:t xml:space="preserve"> من أجل تضييق نطاق أحكام التجريم الواردة فيه قدر الإمكان ومنع الاستناد إليها كأساس لملاحقة الأشخاص الذين يعبرون عن آرائهم ويشاركون في أنشطة الدعوة من دون استخدام </w:t>
      </w:r>
      <w:proofErr w:type="gramStart"/>
      <w:r w:rsidRPr="007E2CB3">
        <w:rPr>
          <w:rtl/>
          <w:lang w:val="en-US"/>
        </w:rPr>
        <w:t>العنف</w:t>
      </w:r>
      <w:r w:rsidR="006C3533" w:rsidRPr="007E2CB3">
        <w:rPr>
          <w:vertAlign w:val="superscript"/>
          <w:rtl/>
          <w:lang w:val="en-US"/>
        </w:rPr>
        <w:t>(</w:t>
      </w:r>
      <w:proofErr w:type="gramEnd"/>
      <w:r w:rsidR="006C3533" w:rsidRPr="00995CF3">
        <w:rPr>
          <w:vertAlign w:val="superscript"/>
          <w:lang w:val="en-US"/>
        </w:rPr>
        <w:footnoteReference w:id="84"/>
      </w:r>
      <w:r w:rsidR="006C3533" w:rsidRPr="007E2CB3">
        <w:rPr>
          <w:vertAlign w:val="superscript"/>
          <w:rtl/>
          <w:lang w:val="en-US"/>
        </w:rPr>
        <w:t>)</w:t>
      </w:r>
      <w:r w:rsidR="002302AD" w:rsidRPr="007E2CB3">
        <w:rPr>
          <w:rtl/>
          <w:lang w:val="en-US"/>
        </w:rPr>
        <w:t>،</w:t>
      </w:r>
      <w:r w:rsidRPr="007E2CB3">
        <w:rPr>
          <w:rtl/>
          <w:lang w:val="en-US"/>
        </w:rPr>
        <w:t xml:space="preserve"> ولا سيما في مجال الدفاع عن حقوق الإنسان</w:t>
      </w:r>
      <w:r w:rsidR="002302AD" w:rsidRPr="007E2CB3">
        <w:rPr>
          <w:rtl/>
          <w:lang w:val="en-US"/>
        </w:rPr>
        <w:t>،</w:t>
      </w:r>
      <w:r w:rsidRPr="007E2CB3">
        <w:rPr>
          <w:rtl/>
          <w:lang w:val="en-US"/>
        </w:rPr>
        <w:t xml:space="preserve"> بناء على التوصية التي قدمتها اللجنة سابقا</w:t>
      </w:r>
      <w:r w:rsidR="006C3533" w:rsidRPr="007E2CB3">
        <w:rPr>
          <w:rFonts w:hint="cs"/>
          <w:rtl/>
          <w:lang w:val="en-US"/>
        </w:rPr>
        <w:t>ً</w:t>
      </w:r>
      <w:r w:rsidR="006C3533" w:rsidRPr="007E2CB3">
        <w:rPr>
          <w:vertAlign w:val="superscript"/>
          <w:rtl/>
          <w:lang w:val="en-US"/>
        </w:rPr>
        <w:t>(</w:t>
      </w:r>
      <w:r w:rsidR="006C3533" w:rsidRPr="00995CF3">
        <w:rPr>
          <w:vertAlign w:val="superscript"/>
          <w:lang w:val="en-US"/>
        </w:rPr>
        <w:footnoteReference w:id="85"/>
      </w:r>
      <w:r w:rsidR="006C3533" w:rsidRPr="007E2CB3">
        <w:rPr>
          <w:vertAlign w:val="superscript"/>
          <w:rtl/>
          <w:lang w:val="en-US"/>
        </w:rPr>
        <w:t>)</w:t>
      </w:r>
      <w:r w:rsidRPr="007E2CB3">
        <w:rPr>
          <w:rtl/>
          <w:lang w:val="en-US"/>
        </w:rPr>
        <w:t xml:space="preserve"> وقبلتها الدولة الطرف أثناء الاستعراض الدوري الشامل</w:t>
      </w:r>
      <w:r w:rsidR="006C3533" w:rsidRPr="007E2CB3">
        <w:rPr>
          <w:vertAlign w:val="superscript"/>
          <w:rtl/>
          <w:lang w:val="en-US"/>
        </w:rPr>
        <w:t>(</w:t>
      </w:r>
      <w:r w:rsidR="006C3533" w:rsidRPr="00995CF3">
        <w:rPr>
          <w:vertAlign w:val="superscript"/>
          <w:lang w:val="en-US"/>
        </w:rPr>
        <w:footnoteReference w:id="86"/>
      </w:r>
      <w:r w:rsidR="006C3533" w:rsidRPr="007E2CB3">
        <w:rPr>
          <w:vertAlign w:val="superscript"/>
          <w:rtl/>
          <w:lang w:val="en-US"/>
        </w:rPr>
        <w:t>)</w:t>
      </w:r>
      <w:r w:rsidR="006C3533" w:rsidRPr="007E2CB3">
        <w:rPr>
          <w:rFonts w:hint="cs"/>
          <w:rtl/>
          <w:lang w:val="en-US"/>
        </w:rPr>
        <w:t>.</w:t>
      </w:r>
    </w:p>
    <w:p w14:paraId="0A49D2DD" w14:textId="2194AD6C" w:rsidR="00E609CB" w:rsidRPr="00995CF3" w:rsidRDefault="00E609CB" w:rsidP="00E609CB">
      <w:pPr>
        <w:pStyle w:val="H23GA"/>
      </w:pPr>
      <w:r w:rsidRPr="00995CF3">
        <w:rPr>
          <w:rtl/>
        </w:rPr>
        <w:lastRenderedPageBreak/>
        <w:tab/>
      </w:r>
      <w:r w:rsidRPr="00995CF3">
        <w:rPr>
          <w:rtl/>
        </w:rPr>
        <w:tab/>
        <w:t>مسائل أخرى</w:t>
      </w:r>
    </w:p>
    <w:p w14:paraId="4D2B1D2F" w14:textId="5CB0C484" w:rsidR="00E609CB" w:rsidRPr="007F34D8" w:rsidRDefault="00E609CB" w:rsidP="00E609CB">
      <w:pPr>
        <w:pStyle w:val="SingleTxtGA"/>
        <w:rPr>
          <w:lang w:val="en-US"/>
        </w:rPr>
      </w:pPr>
      <w:r w:rsidRPr="00995CF3">
        <w:rPr>
          <w:rtl/>
          <w:lang w:val="en-US"/>
        </w:rPr>
        <w:t>28</w:t>
      </w:r>
      <w:r w:rsidRPr="007F34D8">
        <w:rPr>
          <w:rtl/>
          <w:lang w:val="en-US"/>
        </w:rPr>
        <w:t>-</w:t>
      </w:r>
      <w:r w:rsidRPr="007F34D8">
        <w:rPr>
          <w:rtl/>
          <w:lang w:val="en-US"/>
        </w:rPr>
        <w:tab/>
        <w:t>بالنظر إلى أن حظر التعذيب هو حظرٌ مطلق ولا يجوز عدم التقيد به</w:t>
      </w:r>
      <w:r w:rsidR="002302AD">
        <w:rPr>
          <w:rtl/>
          <w:lang w:val="en-US"/>
        </w:rPr>
        <w:t>،</w:t>
      </w:r>
      <w:r w:rsidRPr="007F34D8">
        <w:rPr>
          <w:rtl/>
          <w:lang w:val="en-US"/>
        </w:rPr>
        <w:t xml:space="preserve"> حتى في إطار التدابير </w:t>
      </w:r>
      <w:r w:rsidRPr="007E2CB3">
        <w:rPr>
          <w:spacing w:val="-4"/>
          <w:rtl/>
          <w:lang w:val="en-US"/>
        </w:rPr>
        <w:t>المتصلة بحالات الطوارئ وغير ذلك من الظروف الاستثنائية</w:t>
      </w:r>
      <w:r w:rsidR="002302AD" w:rsidRPr="007E2CB3">
        <w:rPr>
          <w:spacing w:val="-4"/>
          <w:rtl/>
          <w:lang w:val="en-US"/>
        </w:rPr>
        <w:t>،</w:t>
      </w:r>
      <w:r w:rsidRPr="007E2CB3">
        <w:rPr>
          <w:spacing w:val="-4"/>
          <w:rtl/>
          <w:lang w:val="en-US"/>
        </w:rPr>
        <w:t xml:space="preserve"> يُرجى تقديم معلومات عن أي خطوات اتخذتها</w:t>
      </w:r>
      <w:r w:rsidRPr="007F34D8">
        <w:rPr>
          <w:rtl/>
          <w:lang w:val="en-US"/>
        </w:rPr>
        <w:t xml:space="preserve"> الدولة الطرف خلال جائحة كوفيد-</w:t>
      </w:r>
      <w:r w:rsidRPr="00995CF3">
        <w:rPr>
          <w:rtl/>
          <w:lang w:val="en-US"/>
        </w:rPr>
        <w:t>19</w:t>
      </w:r>
      <w:r w:rsidRPr="007F34D8">
        <w:rPr>
          <w:rtl/>
          <w:lang w:val="en-US"/>
        </w:rPr>
        <w:t xml:space="preserve"> لضمان امتثال سياساتها وإجراءاتها لالتزاماتها بموجب الاتفاقية. وبالإضافة إلى ذلك</w:t>
      </w:r>
      <w:r w:rsidR="002302AD">
        <w:rPr>
          <w:rtl/>
          <w:lang w:val="en-US"/>
        </w:rPr>
        <w:t>،</w:t>
      </w:r>
      <w:r w:rsidRPr="007F34D8">
        <w:rPr>
          <w:rtl/>
          <w:lang w:val="en-US"/>
        </w:rPr>
        <w:t xml:space="preserve"> يُرجى تحديد التدابير المتخذة بشأن الأشخاص المحرومين من حريتهم والأشخاص الذين لأشكال الحجز الأخرى</w:t>
      </w:r>
      <w:r w:rsidR="002302AD">
        <w:rPr>
          <w:rtl/>
          <w:lang w:val="en-US"/>
        </w:rPr>
        <w:t>،</w:t>
      </w:r>
      <w:r w:rsidRPr="007F34D8">
        <w:rPr>
          <w:rtl/>
          <w:lang w:val="en-US"/>
        </w:rPr>
        <w:t xml:space="preserve"> مثل دور المسنين أو المستشفيات أو المؤسسات الخاصة بالأشخاص ذوي الإعاقات الذهنية والنفسية.</w:t>
      </w:r>
    </w:p>
    <w:p w14:paraId="0A0B770F" w14:textId="77777777" w:rsidR="00E609CB" w:rsidRPr="00995CF3" w:rsidRDefault="00E609CB" w:rsidP="00E609CB">
      <w:pPr>
        <w:pStyle w:val="H23GA"/>
      </w:pPr>
      <w:r w:rsidRPr="00995CF3">
        <w:rPr>
          <w:rtl/>
        </w:rPr>
        <w:tab/>
      </w:r>
      <w:r w:rsidRPr="00995CF3">
        <w:rPr>
          <w:rtl/>
        </w:rPr>
        <w:tab/>
        <w:t>معلومات عامة عن التدابير والتطورات الأخرى المتصلة بتنفيذ الاتفاقية في الدولة الطرف</w:t>
      </w:r>
    </w:p>
    <w:p w14:paraId="74E32BE6" w14:textId="7C264805" w:rsidR="00E609CB" w:rsidRPr="007F34D8" w:rsidRDefault="00E609CB" w:rsidP="00E609CB">
      <w:pPr>
        <w:pStyle w:val="SingleTxtGA"/>
        <w:rPr>
          <w:lang w:val="en-US"/>
        </w:rPr>
      </w:pPr>
      <w:r w:rsidRPr="00995CF3">
        <w:rPr>
          <w:rtl/>
          <w:lang w:val="en-US"/>
        </w:rPr>
        <w:t>29</w:t>
      </w:r>
      <w:r w:rsidRPr="007F34D8">
        <w:rPr>
          <w:rtl/>
          <w:lang w:val="en-US"/>
        </w:rPr>
        <w:t>-</w:t>
      </w:r>
      <w:r w:rsidRPr="007F34D8">
        <w:rPr>
          <w:rtl/>
          <w:lang w:val="en-US"/>
        </w:rPr>
        <w:tab/>
        <w:t xml:space="preserve">يرجى تقديم معلومات مفصلة عن أي تدابير تشريعية أو إدارية أو قضائية أو أي تدابير أخرى ذات صلة اتُخذت منذ النظر في التقرير الدوري السابق تنفيذاً لأحكام الاتفاقية أو لتوصيات اللجنة. ويمكن أن تشمل هذه التدابير التطورات التي طرأت على المؤسسات أو الخطط أو البرامج التي وضعت. ويُرجى </w:t>
      </w:r>
      <w:r w:rsidR="002302AD">
        <w:rPr>
          <w:rtl/>
          <w:lang w:val="en-US"/>
        </w:rPr>
        <w:t xml:space="preserve">أيضاً </w:t>
      </w:r>
      <w:r w:rsidRPr="007F34D8">
        <w:rPr>
          <w:rtl/>
          <w:lang w:val="en-US"/>
        </w:rPr>
        <w:t xml:space="preserve">بيان الموارد المخصصة لذلك وتقديم بيانات إحصائية عنها. ويرجى </w:t>
      </w:r>
      <w:r w:rsidR="002302AD">
        <w:rPr>
          <w:rtl/>
          <w:lang w:val="en-US"/>
        </w:rPr>
        <w:t xml:space="preserve">أيضاً </w:t>
      </w:r>
      <w:r w:rsidRPr="007F34D8">
        <w:rPr>
          <w:rtl/>
          <w:lang w:val="en-US"/>
        </w:rPr>
        <w:t>تقديم أي معلومات أخرى تعتبرها الدولة الطرف ذات صلة بالموضوع.</w:t>
      </w:r>
    </w:p>
    <w:p w14:paraId="188169FC" w14:textId="77777777" w:rsidR="00E609CB" w:rsidRPr="00326462" w:rsidRDefault="00E609CB" w:rsidP="00E609CB">
      <w:pPr>
        <w:pStyle w:val="SingleTxtGA"/>
        <w:jc w:val="center"/>
        <w:rPr>
          <w:rFonts w:hint="cs"/>
          <w:u w:val="single"/>
          <w:rtl/>
        </w:rPr>
      </w:pPr>
      <w:r>
        <w:rPr>
          <w:u w:val="single"/>
          <w:rtl/>
        </w:rPr>
        <w:tab/>
      </w:r>
      <w:r>
        <w:rPr>
          <w:u w:val="single"/>
          <w:rtl/>
        </w:rPr>
        <w:tab/>
      </w:r>
      <w:r>
        <w:rPr>
          <w:u w:val="single"/>
          <w:rtl/>
        </w:rPr>
        <w:tab/>
      </w:r>
    </w:p>
    <w:sectPr w:rsidR="00E609CB" w:rsidRPr="00326462" w:rsidSect="00B357EC">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D6B83" w14:textId="77777777" w:rsidR="002302AD" w:rsidRPr="002901D9" w:rsidRDefault="002302AD" w:rsidP="00874514">
      <w:pPr>
        <w:spacing w:after="60" w:line="240" w:lineRule="auto"/>
        <w:ind w:left="57"/>
        <w:rPr>
          <w:i/>
          <w:iCs/>
        </w:rPr>
      </w:pPr>
      <w:r>
        <w:rPr>
          <w:rFonts w:hint="cs"/>
          <w:i/>
          <w:iCs/>
          <w:rtl/>
        </w:rPr>
        <w:t>الحواشي</w:t>
      </w:r>
    </w:p>
  </w:endnote>
  <w:endnote w:type="continuationSeparator" w:id="0">
    <w:p w14:paraId="7EF2EBEA" w14:textId="77777777" w:rsidR="002302AD" w:rsidRDefault="002302AD"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7983E" w14:textId="778F6227" w:rsidR="002302AD" w:rsidRPr="00700B12" w:rsidRDefault="002302AD" w:rsidP="00700B12">
    <w:pPr>
      <w:pStyle w:val="Footer"/>
      <w:tabs>
        <w:tab w:val="right" w:pos="9638"/>
      </w:tabs>
      <w:rPr>
        <w:b/>
        <w:sz w:val="18"/>
        <w:lang w:val="en-US"/>
      </w:rPr>
    </w:pPr>
    <w:r>
      <w:rPr>
        <w:lang w:val="en-US"/>
      </w:rPr>
      <w:t>GE.22-00080</w:t>
    </w:r>
    <w:r>
      <w:rPr>
        <w:lang w:val="en-US"/>
      </w:rPr>
      <w:tab/>
    </w:r>
    <w:r w:rsidRPr="00700B12">
      <w:rPr>
        <w:b/>
        <w:sz w:val="18"/>
        <w:lang w:val="en-US"/>
      </w:rPr>
      <w:fldChar w:fldCharType="begin"/>
    </w:r>
    <w:r w:rsidRPr="00700B12">
      <w:rPr>
        <w:b/>
        <w:sz w:val="18"/>
        <w:lang w:val="en-US"/>
      </w:rPr>
      <w:instrText xml:space="preserve"> PAGE  \* MERGEFORMAT </w:instrText>
    </w:r>
    <w:r w:rsidRPr="00700B12">
      <w:rPr>
        <w:b/>
        <w:sz w:val="18"/>
        <w:lang w:val="en-US"/>
      </w:rPr>
      <w:fldChar w:fldCharType="separate"/>
    </w:r>
    <w:r w:rsidRPr="00700B12">
      <w:rPr>
        <w:b/>
        <w:noProof/>
        <w:sz w:val="18"/>
        <w:lang w:val="en-US"/>
      </w:rPr>
      <w:t>2</w:t>
    </w:r>
    <w:r w:rsidRPr="00700B12">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72CA2" w14:textId="0E721096" w:rsidR="002302AD" w:rsidRPr="00700B12" w:rsidRDefault="002302AD" w:rsidP="00700B12">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GE.22-00080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6E142" w14:textId="1DF42ADF" w:rsidR="002302AD" w:rsidRPr="00700B12" w:rsidRDefault="002302AD" w:rsidP="00700B12">
    <w:pPr>
      <w:pStyle w:val="Footer"/>
      <w:spacing w:before="600"/>
      <w:ind w:left="567"/>
      <w:jc w:val="right"/>
      <w:rPr>
        <w:sz w:val="20"/>
        <w:lang w:val="en-US"/>
      </w:rPr>
    </w:pPr>
    <w:r>
      <w:rPr>
        <w:sz w:val="20"/>
        <w:lang w:val="en-US"/>
      </w:rPr>
      <w:t>GE.</w:t>
    </w:r>
    <w:r>
      <w:rPr>
        <w:noProof/>
      </w:rPr>
      <w:drawing>
        <wp:anchor distT="0" distB="0" distL="114300" distR="114300" simplePos="0" relativeHeight="251658240" behindDoc="1" locked="1" layoutInCell="0" allowOverlap="1" wp14:anchorId="3F8EBB08" wp14:editId="6A484E4D">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22-00080 (A)</w:t>
    </w:r>
    <w:r>
      <w:rPr>
        <w:noProof/>
        <w:sz w:val="20"/>
        <w:lang w:val="en-US"/>
      </w:rPr>
      <w:drawing>
        <wp:anchor distT="0" distB="0" distL="114300" distR="114300" simplePos="0" relativeHeight="251659264" behindDoc="0" locked="0" layoutInCell="1" allowOverlap="1" wp14:anchorId="0BF0AE27" wp14:editId="30E91364">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9E915" w14:textId="77777777" w:rsidR="002302AD" w:rsidRPr="00C111C6" w:rsidRDefault="002302AD" w:rsidP="00C111C6">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3A52A6C1" w14:textId="77777777" w:rsidR="002302AD" w:rsidRDefault="002302AD" w:rsidP="00656392">
      <w:pPr>
        <w:spacing w:line="240" w:lineRule="auto"/>
      </w:pPr>
      <w:r>
        <w:continuationSeparator/>
      </w:r>
    </w:p>
  </w:footnote>
  <w:footnote w:id="1">
    <w:p w14:paraId="37CBB3A0" w14:textId="77777777" w:rsidR="002302AD" w:rsidRPr="002C01CE" w:rsidRDefault="002302AD" w:rsidP="00A43F64">
      <w:pPr>
        <w:pStyle w:val="FootnoteText1"/>
        <w:spacing w:line="270" w:lineRule="exact"/>
        <w:rPr>
          <w:rtl/>
        </w:rPr>
      </w:pPr>
      <w:r>
        <w:rPr>
          <w:rtl/>
        </w:rPr>
        <w:t>*</w:t>
      </w:r>
      <w:r>
        <w:rPr>
          <w:rtl/>
        </w:rPr>
        <w:tab/>
      </w:r>
      <w:r w:rsidRPr="002C01CE">
        <w:rPr>
          <w:rtl/>
        </w:rPr>
        <w:t>اعتمدتها اللجنة في دورتها الثانية والسبعين (</w:t>
      </w:r>
      <w:r w:rsidRPr="00995CF3">
        <w:rPr>
          <w:rtl/>
        </w:rPr>
        <w:t>8</w:t>
      </w:r>
      <w:r w:rsidRPr="002C01CE">
        <w:rPr>
          <w:rtl/>
        </w:rPr>
        <w:t xml:space="preserve"> تشرين الثاني/يناير - </w:t>
      </w:r>
      <w:r w:rsidRPr="00995CF3">
        <w:rPr>
          <w:rtl/>
        </w:rPr>
        <w:t>3</w:t>
      </w:r>
      <w:r w:rsidRPr="002C01CE">
        <w:rPr>
          <w:rtl/>
        </w:rPr>
        <w:t xml:space="preserve"> كانون الأول/ديسمبر </w:t>
      </w:r>
      <w:r w:rsidRPr="00995CF3">
        <w:rPr>
          <w:rtl/>
        </w:rPr>
        <w:t>2021</w:t>
      </w:r>
      <w:r w:rsidRPr="002C01CE">
        <w:rPr>
          <w:rtl/>
        </w:rPr>
        <w:t>).</w:t>
      </w:r>
    </w:p>
  </w:footnote>
  <w:footnote w:id="2">
    <w:p w14:paraId="78CCAF74" w14:textId="1BEF0BDD" w:rsidR="002302AD" w:rsidRPr="002C01CE" w:rsidRDefault="002302AD" w:rsidP="00A43F64">
      <w:pPr>
        <w:pStyle w:val="FootnoteText1"/>
        <w:spacing w:line="270" w:lineRule="exact"/>
        <w:textDirection w:val="tbRlV"/>
      </w:pPr>
      <w:r w:rsidRPr="002C01CE">
        <w:rPr>
          <w:rtl/>
        </w:rPr>
        <w:t>(</w:t>
      </w:r>
      <w:r w:rsidRPr="00995CF3">
        <w:rPr>
          <w:rStyle w:val="FootnoteReference"/>
          <w:vertAlign w:val="baseline"/>
        </w:rPr>
        <w:footnoteRef/>
      </w:r>
      <w:r w:rsidRPr="002C01CE">
        <w:rPr>
          <w:rtl/>
        </w:rPr>
        <w:t>)</w:t>
      </w:r>
      <w:r>
        <w:rPr>
          <w:rtl/>
        </w:rPr>
        <w:tab/>
      </w:r>
      <w:hyperlink r:id="rId1" w:history="1">
        <w:r w:rsidRPr="00E609CB">
          <w:rPr>
            <w:rStyle w:val="Hyperlink"/>
          </w:rPr>
          <w:t>CAT/C/SAU/CO/</w:t>
        </w:r>
        <w:r w:rsidRPr="00995CF3">
          <w:rPr>
            <w:rStyle w:val="Hyperlink"/>
          </w:rPr>
          <w:t>2</w:t>
        </w:r>
      </w:hyperlink>
      <w:r>
        <w:rPr>
          <w:rtl/>
        </w:rPr>
        <w:t xml:space="preserve">، الفقرة </w:t>
      </w:r>
      <w:r w:rsidRPr="00995CF3">
        <w:rPr>
          <w:rtl/>
        </w:rPr>
        <w:t>52</w:t>
      </w:r>
      <w:r>
        <w:rPr>
          <w:rtl/>
        </w:rPr>
        <w:t>؛ و</w:t>
      </w:r>
      <w:hyperlink r:id="rId2" w:history="1">
        <w:r w:rsidRPr="00E609CB">
          <w:rPr>
            <w:rStyle w:val="Hyperlink"/>
          </w:rPr>
          <w:t>CAT/C/SAU/CO/</w:t>
        </w:r>
        <w:r w:rsidRPr="00995CF3">
          <w:rPr>
            <w:rStyle w:val="Hyperlink"/>
          </w:rPr>
          <w:t>2</w:t>
        </w:r>
        <w:r w:rsidRPr="00E609CB">
          <w:rPr>
            <w:rStyle w:val="Hyperlink"/>
          </w:rPr>
          <w:t>/Corr.</w:t>
        </w:r>
        <w:r w:rsidRPr="00995CF3">
          <w:rPr>
            <w:rStyle w:val="Hyperlink"/>
          </w:rPr>
          <w:t>1</w:t>
        </w:r>
      </w:hyperlink>
      <w:r>
        <w:rPr>
          <w:rtl/>
        </w:rPr>
        <w:t>.</w:t>
      </w:r>
    </w:p>
  </w:footnote>
  <w:footnote w:id="3">
    <w:p w14:paraId="2E00C725" w14:textId="66AF19FE" w:rsidR="002302AD" w:rsidRPr="002C01CE" w:rsidRDefault="002302AD" w:rsidP="00A43F64">
      <w:pPr>
        <w:pStyle w:val="FootnoteText1"/>
        <w:spacing w:line="270" w:lineRule="exact"/>
        <w:textDirection w:val="tbRlV"/>
      </w:pPr>
      <w:r w:rsidRPr="002C01CE">
        <w:rPr>
          <w:rtl/>
        </w:rPr>
        <w:t>(</w:t>
      </w:r>
      <w:r w:rsidRPr="00995CF3">
        <w:rPr>
          <w:rStyle w:val="FootnoteReference"/>
          <w:vertAlign w:val="baseline"/>
        </w:rPr>
        <w:footnoteRef/>
      </w:r>
      <w:r w:rsidRPr="002C01CE">
        <w:rPr>
          <w:rtl/>
        </w:rPr>
        <w:t>)</w:t>
      </w:r>
      <w:r>
        <w:rPr>
          <w:rtl/>
        </w:rPr>
        <w:tab/>
        <w:t xml:space="preserve">المرجع نفسه، الفقرات </w:t>
      </w:r>
      <w:r w:rsidRPr="00995CF3">
        <w:rPr>
          <w:rtl/>
        </w:rPr>
        <w:t>10</w:t>
      </w:r>
      <w:r>
        <w:rPr>
          <w:rtl/>
        </w:rPr>
        <w:t xml:space="preserve"> و</w:t>
      </w:r>
      <w:r w:rsidRPr="00995CF3">
        <w:rPr>
          <w:rtl/>
        </w:rPr>
        <w:t>11</w:t>
      </w:r>
      <w:r>
        <w:rPr>
          <w:rtl/>
        </w:rPr>
        <w:t xml:space="preserve"> و</w:t>
      </w:r>
      <w:r w:rsidRPr="00995CF3">
        <w:rPr>
          <w:rtl/>
        </w:rPr>
        <w:t>12</w:t>
      </w:r>
      <w:r>
        <w:rPr>
          <w:rtl/>
        </w:rPr>
        <w:t xml:space="preserve"> و</w:t>
      </w:r>
      <w:r w:rsidRPr="00995CF3">
        <w:rPr>
          <w:rtl/>
        </w:rPr>
        <w:t>13</w:t>
      </w:r>
      <w:r>
        <w:rPr>
          <w:rtl/>
        </w:rPr>
        <w:t xml:space="preserve"> و</w:t>
      </w:r>
      <w:r w:rsidRPr="00995CF3">
        <w:rPr>
          <w:rtl/>
        </w:rPr>
        <w:t>19</w:t>
      </w:r>
      <w:r>
        <w:rPr>
          <w:rtl/>
        </w:rPr>
        <w:t xml:space="preserve"> و</w:t>
      </w:r>
      <w:r w:rsidRPr="00995CF3">
        <w:rPr>
          <w:rtl/>
        </w:rPr>
        <w:t>20</w:t>
      </w:r>
      <w:r>
        <w:rPr>
          <w:rtl/>
        </w:rPr>
        <w:t xml:space="preserve"> و</w:t>
      </w:r>
      <w:r w:rsidRPr="00995CF3">
        <w:rPr>
          <w:rtl/>
        </w:rPr>
        <w:t>42</w:t>
      </w:r>
      <w:r w:rsidRPr="002C01CE">
        <w:rPr>
          <w:rtl/>
        </w:rPr>
        <w:t xml:space="preserve"> </w:t>
      </w:r>
      <w:r>
        <w:rPr>
          <w:rtl/>
        </w:rPr>
        <w:t>و</w:t>
      </w:r>
      <w:r w:rsidRPr="00995CF3">
        <w:rPr>
          <w:rtl/>
        </w:rPr>
        <w:t>43</w:t>
      </w:r>
      <w:r>
        <w:rPr>
          <w:rtl/>
        </w:rPr>
        <w:t xml:space="preserve"> على التوالي.</w:t>
      </w:r>
    </w:p>
  </w:footnote>
  <w:footnote w:id="4">
    <w:p w14:paraId="6EE4A796" w14:textId="40C9D334" w:rsidR="002302AD" w:rsidRPr="002C01CE" w:rsidRDefault="002302AD" w:rsidP="00A43F64">
      <w:pPr>
        <w:pStyle w:val="FootnoteText1"/>
        <w:spacing w:line="270" w:lineRule="exact"/>
        <w:textDirection w:val="tbRlV"/>
        <w:rPr>
          <w:rFonts w:hint="cs"/>
          <w:rtl/>
        </w:rPr>
      </w:pPr>
      <w:r w:rsidRPr="002C01CE">
        <w:rPr>
          <w:rtl/>
        </w:rPr>
        <w:t>(</w:t>
      </w:r>
      <w:r w:rsidRPr="00995CF3">
        <w:rPr>
          <w:rStyle w:val="FootnoteReference"/>
          <w:vertAlign w:val="baseline"/>
        </w:rPr>
        <w:footnoteRef/>
      </w:r>
      <w:r w:rsidRPr="002C01CE">
        <w:rPr>
          <w:rtl/>
        </w:rPr>
        <w:t>)</w:t>
      </w:r>
      <w:r>
        <w:rPr>
          <w:rtl/>
        </w:rPr>
        <w:tab/>
        <w:t>انظر الرابط التالي</w:t>
      </w:r>
      <w:r>
        <w:rPr>
          <w:rFonts w:hint="cs"/>
          <w:rtl/>
        </w:rPr>
        <w:t xml:space="preserve">: </w:t>
      </w:r>
      <w:bookmarkStart w:id="0" w:name="_Hlk94185345"/>
      <w:r w:rsidRPr="007D18BC">
        <w:t>https://tbinternet.ohchr.org/Treaties/</w:t>
      </w:r>
      <w:hyperlink r:id="rId3" w:history="1">
        <w:r w:rsidRPr="002302AD">
          <w:rPr>
            <w:rStyle w:val="Hyperlink"/>
          </w:rPr>
          <w:t>CAT/Shared%</w:t>
        </w:r>
        <w:r w:rsidRPr="00995CF3">
          <w:rPr>
            <w:rStyle w:val="Hyperlink"/>
          </w:rPr>
          <w:t>20</w:t>
        </w:r>
        <w:r w:rsidRPr="002302AD">
          <w:rPr>
            <w:rStyle w:val="Hyperlink"/>
          </w:rPr>
          <w:t>Documents/SAU/</w:t>
        </w:r>
        <w:r w:rsidRPr="002302AD">
          <w:rPr>
            <w:rStyle w:val="Hyperlink"/>
          </w:rPr>
          <w:br/>
          <w:t>CAT_C_SAU_CO_</w:t>
        </w:r>
        <w:r w:rsidRPr="00995CF3">
          <w:rPr>
            <w:rStyle w:val="Hyperlink"/>
          </w:rPr>
          <w:t>2</w:t>
        </w:r>
        <w:r w:rsidRPr="002302AD">
          <w:rPr>
            <w:rStyle w:val="Hyperlink"/>
          </w:rPr>
          <w:t>_Add-</w:t>
        </w:r>
        <w:r w:rsidRPr="00995CF3">
          <w:rPr>
            <w:rStyle w:val="Hyperlink"/>
          </w:rPr>
          <w:t>1</w:t>
        </w:r>
        <w:r w:rsidRPr="002302AD">
          <w:rPr>
            <w:rStyle w:val="Hyperlink"/>
          </w:rPr>
          <w:t>_</w:t>
        </w:r>
        <w:r w:rsidRPr="00995CF3">
          <w:rPr>
            <w:rStyle w:val="Hyperlink"/>
          </w:rPr>
          <w:t>24759</w:t>
        </w:r>
        <w:r w:rsidRPr="002302AD">
          <w:rPr>
            <w:rStyle w:val="Hyperlink"/>
          </w:rPr>
          <w:t>_A.pdf</w:t>
        </w:r>
        <w:bookmarkEnd w:id="0"/>
      </w:hyperlink>
      <w:r>
        <w:rPr>
          <w:rFonts w:hint="cs"/>
          <w:rtl/>
        </w:rPr>
        <w:t>.</w:t>
      </w:r>
    </w:p>
  </w:footnote>
  <w:footnote w:id="5">
    <w:p w14:paraId="54FE1AD4" w14:textId="062CDEDB" w:rsidR="002302AD" w:rsidRPr="002C01CE" w:rsidRDefault="002302AD" w:rsidP="00A43F64">
      <w:pPr>
        <w:pStyle w:val="FootnoteText1"/>
        <w:spacing w:line="270" w:lineRule="exact"/>
        <w:textDirection w:val="tbRlV"/>
      </w:pPr>
      <w:r w:rsidRPr="002C01CE">
        <w:rPr>
          <w:rtl/>
        </w:rPr>
        <w:t>(</w:t>
      </w:r>
      <w:r w:rsidRPr="00995CF3">
        <w:rPr>
          <w:rStyle w:val="FootnoteReference"/>
          <w:vertAlign w:val="baseline"/>
        </w:rPr>
        <w:footnoteRef/>
      </w:r>
      <w:r w:rsidRPr="002C01CE">
        <w:rPr>
          <w:rtl/>
        </w:rPr>
        <w:t>)</w:t>
      </w:r>
      <w:r>
        <w:rPr>
          <w:rtl/>
        </w:rPr>
        <w:tab/>
      </w:r>
      <w:hyperlink r:id="rId4" w:history="1">
        <w:r w:rsidRPr="00E609CB">
          <w:rPr>
            <w:rStyle w:val="Hyperlink"/>
          </w:rPr>
          <w:t>CAT/C/SAU/CO/</w:t>
        </w:r>
        <w:r w:rsidRPr="00995CF3">
          <w:rPr>
            <w:rStyle w:val="Hyperlink"/>
          </w:rPr>
          <w:t>2</w:t>
        </w:r>
      </w:hyperlink>
      <w:r>
        <w:rPr>
          <w:rtl/>
        </w:rPr>
        <w:t xml:space="preserve">، الفقرتان </w:t>
      </w:r>
      <w:r w:rsidRPr="00995CF3">
        <w:rPr>
          <w:rtl/>
        </w:rPr>
        <w:t>5</w:t>
      </w:r>
      <w:r w:rsidRPr="002C01CE">
        <w:rPr>
          <w:rtl/>
        </w:rPr>
        <w:t>-</w:t>
      </w:r>
      <w:r w:rsidRPr="00995CF3">
        <w:rPr>
          <w:rtl/>
        </w:rPr>
        <w:t>6</w:t>
      </w:r>
      <w:r w:rsidRPr="002C01CE">
        <w:rPr>
          <w:rtl/>
        </w:rPr>
        <w:t>.</w:t>
      </w:r>
      <w:r>
        <w:rPr>
          <w:rtl/>
        </w:rPr>
        <w:t xml:space="preserve"> انظر أيضاً </w:t>
      </w:r>
      <w:hyperlink r:id="rId5" w:history="1">
        <w:r w:rsidRPr="00E609CB">
          <w:rPr>
            <w:rStyle w:val="Hyperlink"/>
          </w:rPr>
          <w:t>CAT/C/CR/</w:t>
        </w:r>
        <w:r w:rsidRPr="00995CF3">
          <w:rPr>
            <w:rStyle w:val="Hyperlink"/>
          </w:rPr>
          <w:t>28</w:t>
        </w:r>
        <w:r w:rsidRPr="00E609CB">
          <w:rPr>
            <w:rStyle w:val="Hyperlink"/>
          </w:rPr>
          <w:t>/</w:t>
        </w:r>
        <w:r w:rsidRPr="00995CF3">
          <w:rPr>
            <w:rStyle w:val="Hyperlink"/>
          </w:rPr>
          <w:t>5</w:t>
        </w:r>
      </w:hyperlink>
      <w:r>
        <w:rPr>
          <w:rtl/>
        </w:rPr>
        <w:t xml:space="preserve">، الفقرتان </w:t>
      </w:r>
      <w:r w:rsidRPr="00995CF3">
        <w:rPr>
          <w:rtl/>
        </w:rPr>
        <w:t>4</w:t>
      </w:r>
      <w:r w:rsidRPr="002C01CE">
        <w:rPr>
          <w:rtl/>
        </w:rPr>
        <w:t>(</w:t>
      </w:r>
      <w:r>
        <w:rPr>
          <w:rtl/>
        </w:rPr>
        <w:t>أ</w:t>
      </w:r>
      <w:r w:rsidRPr="002C01CE">
        <w:rPr>
          <w:rtl/>
        </w:rPr>
        <w:t>)</w:t>
      </w:r>
      <w:r>
        <w:rPr>
          <w:rtl/>
        </w:rPr>
        <w:t xml:space="preserve"> و</w:t>
      </w:r>
      <w:r w:rsidRPr="00995CF3">
        <w:rPr>
          <w:rtl/>
        </w:rPr>
        <w:t>8</w:t>
      </w:r>
      <w:r w:rsidRPr="002C01CE">
        <w:rPr>
          <w:rtl/>
        </w:rPr>
        <w:t>(</w:t>
      </w:r>
      <w:r>
        <w:rPr>
          <w:rtl/>
        </w:rPr>
        <w:t>أ</w:t>
      </w:r>
      <w:r w:rsidRPr="002C01CE">
        <w:rPr>
          <w:rtl/>
        </w:rPr>
        <w:t>)</w:t>
      </w:r>
      <w:r>
        <w:rPr>
          <w:rtl/>
        </w:rPr>
        <w:t xml:space="preserve">. </w:t>
      </w:r>
    </w:p>
  </w:footnote>
  <w:footnote w:id="6">
    <w:p w14:paraId="3358223D" w14:textId="2825EE8E" w:rsidR="002302AD" w:rsidRPr="002C01CE" w:rsidRDefault="002302AD" w:rsidP="00E609CB">
      <w:pPr>
        <w:pStyle w:val="FootnoteText1"/>
        <w:textDirection w:val="tbRlV"/>
      </w:pPr>
      <w:r w:rsidRPr="002C01CE">
        <w:rPr>
          <w:rtl/>
        </w:rPr>
        <w:t>(</w:t>
      </w:r>
      <w:r w:rsidRPr="00995CF3">
        <w:rPr>
          <w:rStyle w:val="FootnoteReference"/>
          <w:vertAlign w:val="baseline"/>
        </w:rPr>
        <w:footnoteRef/>
      </w:r>
      <w:r w:rsidRPr="002C01CE">
        <w:rPr>
          <w:rtl/>
        </w:rPr>
        <w:t>)</w:t>
      </w:r>
      <w:r>
        <w:rPr>
          <w:rtl/>
        </w:rPr>
        <w:tab/>
      </w:r>
      <w:r w:rsidRPr="003831EA">
        <w:rPr>
          <w:spacing w:val="-4"/>
          <w:rtl/>
        </w:rPr>
        <w:t xml:space="preserve">إن المسائل التي أثيرت في إطار المادة </w:t>
      </w:r>
      <w:r w:rsidRPr="00995CF3">
        <w:rPr>
          <w:spacing w:val="-4"/>
          <w:rtl/>
        </w:rPr>
        <w:t>2</w:t>
      </w:r>
      <w:r w:rsidRPr="003831EA">
        <w:rPr>
          <w:spacing w:val="-4"/>
          <w:rtl/>
        </w:rPr>
        <w:t xml:space="preserve"> يمكن أن تتناول </w:t>
      </w:r>
      <w:r>
        <w:rPr>
          <w:spacing w:val="-4"/>
          <w:rtl/>
        </w:rPr>
        <w:t xml:space="preserve">أيضاً </w:t>
      </w:r>
      <w:r w:rsidRPr="003831EA">
        <w:rPr>
          <w:spacing w:val="-4"/>
          <w:rtl/>
        </w:rPr>
        <w:t>مسائل أثيرت في إطار مواد أخرى من الاتفاقية</w:t>
      </w:r>
      <w:r>
        <w:rPr>
          <w:spacing w:val="-4"/>
          <w:rtl/>
        </w:rPr>
        <w:t>،</w:t>
      </w:r>
      <w:r w:rsidRPr="003831EA">
        <w:rPr>
          <w:spacing w:val="-4"/>
          <w:rtl/>
        </w:rPr>
        <w:t xml:space="preserve"> بما فيها المادة </w:t>
      </w:r>
      <w:r w:rsidRPr="00995CF3">
        <w:rPr>
          <w:spacing w:val="-4"/>
          <w:rtl/>
        </w:rPr>
        <w:t>16</w:t>
      </w:r>
      <w:r w:rsidRPr="003831EA">
        <w:rPr>
          <w:spacing w:val="-4"/>
          <w:rtl/>
        </w:rPr>
        <w:t>.</w:t>
      </w:r>
      <w:r w:rsidRPr="002C01CE">
        <w:rPr>
          <w:rFonts w:cs="Times New Roman" w:hint="cs"/>
          <w:rtl/>
        </w:rPr>
        <w:t>‬</w:t>
      </w:r>
      <w:r>
        <w:rPr>
          <w:rtl/>
        </w:rPr>
        <w:t xml:space="preserve"> وكما ذُكر في الفقرة </w:t>
      </w:r>
      <w:r w:rsidRPr="00995CF3">
        <w:rPr>
          <w:rtl/>
        </w:rPr>
        <w:t>3</w:t>
      </w:r>
      <w:r>
        <w:rPr>
          <w:rtl/>
        </w:rPr>
        <w:t xml:space="preserve"> من تعليق اللجنة العام رقم </w:t>
      </w:r>
      <w:r w:rsidRPr="00995CF3">
        <w:rPr>
          <w:rtl/>
        </w:rPr>
        <w:t>2</w:t>
      </w:r>
      <w:r w:rsidRPr="002C01CE">
        <w:rPr>
          <w:rtl/>
        </w:rPr>
        <w:t>(</w:t>
      </w:r>
      <w:r w:rsidRPr="00995CF3">
        <w:rPr>
          <w:rtl/>
        </w:rPr>
        <w:t>2007</w:t>
      </w:r>
      <w:r w:rsidRPr="002C01CE">
        <w:rPr>
          <w:rtl/>
        </w:rPr>
        <w:t>)</w:t>
      </w:r>
      <w:r>
        <w:rPr>
          <w:rtl/>
        </w:rPr>
        <w:t xml:space="preserve"> بشأن تنفيذ الدول الأطراف للمادة </w:t>
      </w:r>
      <w:r w:rsidRPr="00995CF3">
        <w:rPr>
          <w:rtl/>
        </w:rPr>
        <w:t>2</w:t>
      </w:r>
      <w:r>
        <w:rPr>
          <w:rtl/>
        </w:rPr>
        <w:t xml:space="preserve">، فإن الالتزام بمنع التعذيب المنصوص عليه في المادة </w:t>
      </w:r>
      <w:r w:rsidRPr="00995CF3">
        <w:rPr>
          <w:rtl/>
        </w:rPr>
        <w:t>2</w:t>
      </w:r>
      <w:r>
        <w:rPr>
          <w:rtl/>
        </w:rPr>
        <w:t xml:space="preserve"> يتسم بطابع واسع النطاق.</w:t>
      </w:r>
      <w:r>
        <w:rPr>
          <w:rtl/>
        </w:rPr>
        <w:t xml:space="preserve">‬ وتعتبر الالتزامات بمنع التعذيب وغيره من ضروب المعاملة أو العقوبة القاسية أو اللاإنسانية أو المهينة، بموجب الفقرة </w:t>
      </w:r>
      <w:r w:rsidRPr="00995CF3">
        <w:rPr>
          <w:rtl/>
        </w:rPr>
        <w:t>1</w:t>
      </w:r>
      <w:r>
        <w:rPr>
          <w:rtl/>
        </w:rPr>
        <w:t xml:space="preserve"> من المادة </w:t>
      </w:r>
      <w:r w:rsidRPr="00995CF3">
        <w:rPr>
          <w:rtl/>
        </w:rPr>
        <w:t>16</w:t>
      </w:r>
      <w:r>
        <w:rPr>
          <w:rtl/>
        </w:rPr>
        <w:t>، التزامات غير قابلة للتجزئة ومتداخلة ومترابطة.</w:t>
      </w:r>
      <w:r>
        <w:rPr>
          <w:rtl/>
        </w:rPr>
        <w:t>‬ ويتداخل الالتزام بمنع إساءة المعاملة في الممارسة الفعلية مع الالتزام بمنع التعذيب، وينسجم معه إلى حد بعيد. وعملياً، يتسم الحد الفاصل بين مفهومي إساءة المعاملة والتعذيب في كثير من الأحيان بعدم الوضوح. وانظر أيضاً الفصل الخامس من التعليق العام نفسه.</w:t>
      </w:r>
    </w:p>
  </w:footnote>
  <w:footnote w:id="7">
    <w:p w14:paraId="60004AAA" w14:textId="69C28121" w:rsidR="002302AD" w:rsidRPr="002C01CE" w:rsidRDefault="002302AD" w:rsidP="00A43F64">
      <w:pPr>
        <w:pStyle w:val="FootnoteText1"/>
        <w:textDirection w:val="tbRlV"/>
      </w:pPr>
      <w:r w:rsidRPr="002C01CE">
        <w:rPr>
          <w:rtl/>
        </w:rPr>
        <w:t>(</w:t>
      </w:r>
      <w:r w:rsidRPr="00995CF3">
        <w:rPr>
          <w:rStyle w:val="FootnoteReference"/>
          <w:vertAlign w:val="baseline"/>
        </w:rPr>
        <w:footnoteRef/>
      </w:r>
      <w:r w:rsidRPr="002C01CE">
        <w:rPr>
          <w:rtl/>
        </w:rPr>
        <w:t>)</w:t>
      </w:r>
      <w:r>
        <w:rPr>
          <w:rtl/>
        </w:rPr>
        <w:tab/>
      </w:r>
      <w:hyperlink r:id="rId6" w:history="1">
        <w:r w:rsidRPr="00E609CB">
          <w:rPr>
            <w:rStyle w:val="Hyperlink"/>
          </w:rPr>
          <w:t>CAT/C/SAU/CO/</w:t>
        </w:r>
        <w:r w:rsidRPr="00995CF3">
          <w:rPr>
            <w:rStyle w:val="Hyperlink"/>
          </w:rPr>
          <w:t>2</w:t>
        </w:r>
      </w:hyperlink>
      <w:r>
        <w:rPr>
          <w:rtl/>
        </w:rPr>
        <w:t xml:space="preserve">، الفقرتان </w:t>
      </w:r>
      <w:r w:rsidRPr="00995CF3">
        <w:rPr>
          <w:rtl/>
        </w:rPr>
        <w:t>28</w:t>
      </w:r>
      <w:r>
        <w:rPr>
          <w:rtl/>
        </w:rPr>
        <w:t xml:space="preserve"> و</w:t>
      </w:r>
      <w:r w:rsidRPr="00995CF3">
        <w:rPr>
          <w:rtl/>
        </w:rPr>
        <w:t>29</w:t>
      </w:r>
      <w:r>
        <w:rPr>
          <w:rtl/>
        </w:rPr>
        <w:t>.</w:t>
      </w:r>
    </w:p>
  </w:footnote>
  <w:footnote w:id="8">
    <w:p w14:paraId="74A06E74" w14:textId="6B3BA22E" w:rsidR="002302AD" w:rsidRPr="002C01CE" w:rsidRDefault="002302AD" w:rsidP="00E609CB">
      <w:pPr>
        <w:pStyle w:val="FootnoteText1"/>
        <w:textDirection w:val="tbRlV"/>
      </w:pPr>
      <w:r w:rsidRPr="002C01CE">
        <w:rPr>
          <w:rtl/>
        </w:rPr>
        <w:t>(</w:t>
      </w:r>
      <w:r w:rsidRPr="00995CF3">
        <w:rPr>
          <w:rStyle w:val="FootnoteReference"/>
          <w:vertAlign w:val="baseline"/>
        </w:rPr>
        <w:footnoteRef/>
      </w:r>
      <w:r w:rsidRPr="002C01CE">
        <w:rPr>
          <w:rtl/>
        </w:rPr>
        <w:t>)</w:t>
      </w:r>
      <w:r>
        <w:rPr>
          <w:rtl/>
        </w:rPr>
        <w:tab/>
        <w:t xml:space="preserve">انظر أيضاً </w:t>
      </w:r>
      <w:hyperlink r:id="rId7" w:history="1">
        <w:r w:rsidRPr="00E609CB">
          <w:rPr>
            <w:rStyle w:val="Hyperlink"/>
          </w:rPr>
          <w:t>CERD/C/SAU/CO/</w:t>
        </w:r>
        <w:r w:rsidRPr="00995CF3">
          <w:rPr>
            <w:rStyle w:val="Hyperlink"/>
          </w:rPr>
          <w:t>4</w:t>
        </w:r>
        <w:r w:rsidRPr="00E609CB">
          <w:rPr>
            <w:rStyle w:val="Hyperlink"/>
          </w:rPr>
          <w:t>-</w:t>
        </w:r>
        <w:r w:rsidRPr="00995CF3">
          <w:rPr>
            <w:rStyle w:val="Hyperlink"/>
          </w:rPr>
          <w:t>9</w:t>
        </w:r>
      </w:hyperlink>
      <w:r>
        <w:rPr>
          <w:rtl/>
        </w:rPr>
        <w:t xml:space="preserve">، الفقرتان </w:t>
      </w:r>
      <w:r w:rsidRPr="00995CF3">
        <w:rPr>
          <w:rtl/>
        </w:rPr>
        <w:t>9</w:t>
      </w:r>
      <w:r>
        <w:rPr>
          <w:rtl/>
        </w:rPr>
        <w:t xml:space="preserve"> و</w:t>
      </w:r>
      <w:r w:rsidRPr="00995CF3">
        <w:rPr>
          <w:rtl/>
        </w:rPr>
        <w:t>10</w:t>
      </w:r>
      <w:r>
        <w:rPr>
          <w:rtl/>
        </w:rPr>
        <w:t xml:space="preserve">؛ </w:t>
      </w:r>
      <w:hyperlink r:id="rId8" w:history="1">
        <w:r w:rsidRPr="00E609CB">
          <w:rPr>
            <w:rStyle w:val="Hyperlink"/>
          </w:rPr>
          <w:t>CEDAW/C/SAU/CO/</w:t>
        </w:r>
        <w:r w:rsidRPr="00995CF3">
          <w:rPr>
            <w:rStyle w:val="Hyperlink"/>
          </w:rPr>
          <w:t>3</w:t>
        </w:r>
        <w:r w:rsidRPr="00E609CB">
          <w:rPr>
            <w:rStyle w:val="Hyperlink"/>
          </w:rPr>
          <w:t>-</w:t>
        </w:r>
        <w:r w:rsidRPr="00995CF3">
          <w:rPr>
            <w:rStyle w:val="Hyperlink"/>
          </w:rPr>
          <w:t>4</w:t>
        </w:r>
      </w:hyperlink>
      <w:r>
        <w:rPr>
          <w:rtl/>
        </w:rPr>
        <w:t xml:space="preserve">، الفقرتان </w:t>
      </w:r>
      <w:r w:rsidRPr="00995CF3">
        <w:rPr>
          <w:rtl/>
        </w:rPr>
        <w:t>23</w:t>
      </w:r>
      <w:r>
        <w:rPr>
          <w:rtl/>
        </w:rPr>
        <w:t xml:space="preserve"> و</w:t>
      </w:r>
      <w:r w:rsidRPr="00995CF3">
        <w:rPr>
          <w:rtl/>
        </w:rPr>
        <w:t>24</w:t>
      </w:r>
      <w:r>
        <w:rPr>
          <w:rtl/>
        </w:rPr>
        <w:t>؛ و</w:t>
      </w:r>
      <w:hyperlink r:id="rId9" w:history="1">
        <w:r w:rsidRPr="00E609CB">
          <w:rPr>
            <w:rStyle w:val="Hyperlink"/>
          </w:rPr>
          <w:t>A/HRC/WG.</w:t>
        </w:r>
        <w:r w:rsidRPr="00995CF3">
          <w:rPr>
            <w:rStyle w:val="Hyperlink"/>
          </w:rPr>
          <w:t>6</w:t>
        </w:r>
        <w:r w:rsidRPr="00E609CB">
          <w:rPr>
            <w:rStyle w:val="Hyperlink"/>
          </w:rPr>
          <w:t>/</w:t>
        </w:r>
        <w:r w:rsidRPr="00995CF3">
          <w:rPr>
            <w:rStyle w:val="Hyperlink"/>
          </w:rPr>
          <w:t>31</w:t>
        </w:r>
        <w:r w:rsidRPr="00E609CB">
          <w:rPr>
            <w:rStyle w:val="Hyperlink"/>
          </w:rPr>
          <w:t>/SAU/</w:t>
        </w:r>
        <w:r w:rsidRPr="00995CF3">
          <w:rPr>
            <w:rStyle w:val="Hyperlink"/>
          </w:rPr>
          <w:t>2</w:t>
        </w:r>
      </w:hyperlink>
      <w:r>
        <w:rPr>
          <w:rtl/>
        </w:rPr>
        <w:t xml:space="preserve">، الفقرتان </w:t>
      </w:r>
      <w:r w:rsidRPr="00995CF3">
        <w:rPr>
          <w:rtl/>
        </w:rPr>
        <w:t>7</w:t>
      </w:r>
      <w:r>
        <w:rPr>
          <w:rtl/>
        </w:rPr>
        <w:t xml:space="preserve"> و</w:t>
      </w:r>
      <w:r w:rsidRPr="00995CF3">
        <w:rPr>
          <w:rtl/>
        </w:rPr>
        <w:t>8</w:t>
      </w:r>
      <w:r w:rsidRPr="002C01CE">
        <w:rPr>
          <w:rtl/>
        </w:rPr>
        <w:t>.</w:t>
      </w:r>
      <w:r>
        <w:rPr>
          <w:rtl/>
        </w:rPr>
        <w:t xml:space="preserve"> انظر الوثيقة </w:t>
      </w:r>
      <w:hyperlink r:id="rId10" w:history="1">
        <w:r w:rsidRPr="00E609CB">
          <w:rPr>
            <w:rStyle w:val="Hyperlink"/>
          </w:rPr>
          <w:t>A/HRC/</w:t>
        </w:r>
        <w:r w:rsidRPr="00995CF3">
          <w:rPr>
            <w:rStyle w:val="Hyperlink"/>
          </w:rPr>
          <w:t>40</w:t>
        </w:r>
        <w:r w:rsidRPr="00E609CB">
          <w:rPr>
            <w:rStyle w:val="Hyperlink"/>
          </w:rPr>
          <w:t>/</w:t>
        </w:r>
        <w:r w:rsidRPr="00995CF3">
          <w:rPr>
            <w:rStyle w:val="Hyperlink"/>
          </w:rPr>
          <w:t>4</w:t>
        </w:r>
      </w:hyperlink>
      <w:r>
        <w:rPr>
          <w:rtl/>
        </w:rPr>
        <w:t xml:space="preserve">، الفقرة </w:t>
      </w:r>
      <w:r w:rsidRPr="00995CF3">
        <w:rPr>
          <w:rtl/>
        </w:rPr>
        <w:t>122</w:t>
      </w:r>
      <w:r w:rsidR="00242EFA">
        <w:rPr>
          <w:rFonts w:hint="cs"/>
          <w:rtl/>
        </w:rPr>
        <w:t>-</w:t>
      </w:r>
      <w:r w:rsidRPr="00995CF3">
        <w:rPr>
          <w:rtl/>
        </w:rPr>
        <w:t>56</w:t>
      </w:r>
      <w:r>
        <w:rPr>
          <w:rtl/>
        </w:rPr>
        <w:t>؛ و</w:t>
      </w:r>
      <w:hyperlink r:id="rId11" w:history="1">
        <w:r w:rsidRPr="00E609CB">
          <w:rPr>
            <w:rStyle w:val="Hyperlink"/>
          </w:rPr>
          <w:t>A/HRC/</w:t>
        </w:r>
        <w:r w:rsidRPr="00995CF3">
          <w:rPr>
            <w:rStyle w:val="Hyperlink"/>
          </w:rPr>
          <w:t>40</w:t>
        </w:r>
        <w:r w:rsidRPr="00E609CB">
          <w:rPr>
            <w:rStyle w:val="Hyperlink"/>
          </w:rPr>
          <w:t>/</w:t>
        </w:r>
        <w:r w:rsidRPr="00995CF3">
          <w:rPr>
            <w:rStyle w:val="Hyperlink"/>
          </w:rPr>
          <w:t>4</w:t>
        </w:r>
        <w:r w:rsidRPr="00E609CB">
          <w:rPr>
            <w:rStyle w:val="Hyperlink"/>
          </w:rPr>
          <w:t>/Add.</w:t>
        </w:r>
        <w:r w:rsidRPr="00995CF3">
          <w:rPr>
            <w:rStyle w:val="Hyperlink"/>
          </w:rPr>
          <w:t>1</w:t>
        </w:r>
      </w:hyperlink>
      <w:r>
        <w:rPr>
          <w:rtl/>
        </w:rPr>
        <w:t xml:space="preserve">، الفقرة </w:t>
      </w:r>
      <w:r w:rsidRPr="00995CF3">
        <w:rPr>
          <w:rtl/>
        </w:rPr>
        <w:t>9</w:t>
      </w:r>
      <w:r>
        <w:rPr>
          <w:rtl/>
        </w:rPr>
        <w:t xml:space="preserve">، قبول التوصية. </w:t>
      </w:r>
    </w:p>
  </w:footnote>
  <w:footnote w:id="9">
    <w:p w14:paraId="49BA56EB" w14:textId="224EBB97" w:rsidR="002302AD" w:rsidRPr="002C01CE" w:rsidRDefault="002302AD" w:rsidP="00E609CB">
      <w:pPr>
        <w:pStyle w:val="FootnoteText1"/>
        <w:textDirection w:val="tbRlV"/>
      </w:pPr>
      <w:r w:rsidRPr="002C01CE">
        <w:rPr>
          <w:rtl/>
        </w:rPr>
        <w:t>(</w:t>
      </w:r>
      <w:r w:rsidRPr="00995CF3">
        <w:rPr>
          <w:rStyle w:val="FootnoteReference"/>
          <w:vertAlign w:val="baseline"/>
        </w:rPr>
        <w:footnoteRef/>
      </w:r>
      <w:r w:rsidRPr="002C01CE">
        <w:rPr>
          <w:rtl/>
        </w:rPr>
        <w:t>)</w:t>
      </w:r>
      <w:r>
        <w:rPr>
          <w:rtl/>
        </w:rPr>
        <w:tab/>
        <w:t xml:space="preserve">انظر أيضاً </w:t>
      </w:r>
      <w:hyperlink r:id="rId12" w:history="1">
        <w:r w:rsidRPr="00E609CB">
          <w:rPr>
            <w:rStyle w:val="Hyperlink"/>
          </w:rPr>
          <w:t>CERD/C/SAU/CO/</w:t>
        </w:r>
        <w:r w:rsidRPr="00995CF3">
          <w:rPr>
            <w:rStyle w:val="Hyperlink"/>
          </w:rPr>
          <w:t>4</w:t>
        </w:r>
        <w:r w:rsidRPr="00E609CB">
          <w:rPr>
            <w:rStyle w:val="Hyperlink"/>
          </w:rPr>
          <w:t>-</w:t>
        </w:r>
        <w:r w:rsidRPr="00995CF3">
          <w:rPr>
            <w:rStyle w:val="Hyperlink"/>
          </w:rPr>
          <w:t>9</w:t>
        </w:r>
      </w:hyperlink>
      <w:r>
        <w:rPr>
          <w:rtl/>
        </w:rPr>
        <w:t xml:space="preserve">، الفقرتان </w:t>
      </w:r>
      <w:r w:rsidRPr="00995CF3">
        <w:rPr>
          <w:rtl/>
        </w:rPr>
        <w:t>9</w:t>
      </w:r>
      <w:r>
        <w:rPr>
          <w:rtl/>
        </w:rPr>
        <w:t xml:space="preserve"> و</w:t>
      </w:r>
      <w:r w:rsidRPr="00995CF3">
        <w:rPr>
          <w:rtl/>
        </w:rPr>
        <w:t>10</w:t>
      </w:r>
      <w:r w:rsidRPr="002C01CE">
        <w:rPr>
          <w:rtl/>
        </w:rPr>
        <w:t>.</w:t>
      </w:r>
      <w:r>
        <w:rPr>
          <w:rtl/>
        </w:rPr>
        <w:t xml:space="preserve"> </w:t>
      </w:r>
    </w:p>
  </w:footnote>
  <w:footnote w:id="10">
    <w:p w14:paraId="0CA55C1A" w14:textId="0DF08D17" w:rsidR="002302AD" w:rsidRPr="002C01CE" w:rsidRDefault="002302AD" w:rsidP="00E609CB">
      <w:pPr>
        <w:pStyle w:val="FootnoteText1"/>
        <w:textDirection w:val="tbRlV"/>
      </w:pPr>
      <w:r w:rsidRPr="002C01CE">
        <w:rPr>
          <w:rtl/>
        </w:rPr>
        <w:t>(</w:t>
      </w:r>
      <w:r w:rsidRPr="00995CF3">
        <w:rPr>
          <w:rStyle w:val="FootnoteReference"/>
          <w:vertAlign w:val="baseline"/>
        </w:rPr>
        <w:footnoteRef/>
      </w:r>
      <w:r w:rsidRPr="002C01CE">
        <w:rPr>
          <w:rtl/>
        </w:rPr>
        <w:t>)</w:t>
      </w:r>
      <w:r>
        <w:rPr>
          <w:rtl/>
        </w:rPr>
        <w:tab/>
      </w:r>
      <w:hyperlink r:id="rId13" w:history="1">
        <w:r w:rsidRPr="00E609CB">
          <w:rPr>
            <w:rStyle w:val="Hyperlink"/>
          </w:rPr>
          <w:t>CAT/C/SAU/CO/</w:t>
        </w:r>
        <w:r w:rsidRPr="00995CF3">
          <w:rPr>
            <w:rStyle w:val="Hyperlink"/>
          </w:rPr>
          <w:t>2</w:t>
        </w:r>
      </w:hyperlink>
      <w:r>
        <w:rPr>
          <w:rtl/>
        </w:rPr>
        <w:t xml:space="preserve">، الفقرتان </w:t>
      </w:r>
      <w:r w:rsidRPr="00995CF3">
        <w:rPr>
          <w:rtl/>
        </w:rPr>
        <w:t>27</w:t>
      </w:r>
      <w:r w:rsidRPr="002C01CE">
        <w:rPr>
          <w:rtl/>
        </w:rPr>
        <w:t>(</w:t>
      </w:r>
      <w:r>
        <w:rPr>
          <w:rtl/>
        </w:rPr>
        <w:t>ب</w:t>
      </w:r>
      <w:r w:rsidRPr="002C01CE">
        <w:rPr>
          <w:rtl/>
        </w:rPr>
        <w:t>)</w:t>
      </w:r>
      <w:r>
        <w:rPr>
          <w:rtl/>
        </w:rPr>
        <w:t xml:space="preserve"> و</w:t>
      </w:r>
      <w:r w:rsidRPr="00995CF3">
        <w:rPr>
          <w:rtl/>
        </w:rPr>
        <w:t>33</w:t>
      </w:r>
      <w:r w:rsidRPr="002C01CE">
        <w:rPr>
          <w:rtl/>
        </w:rPr>
        <w:t>(</w:t>
      </w:r>
      <w:r>
        <w:rPr>
          <w:rtl/>
        </w:rPr>
        <w:t>ب</w:t>
      </w:r>
      <w:r w:rsidRPr="002C01CE">
        <w:rPr>
          <w:rtl/>
        </w:rPr>
        <w:t>)</w:t>
      </w:r>
      <w:r>
        <w:rPr>
          <w:rtl/>
        </w:rPr>
        <w:t>.</w:t>
      </w:r>
    </w:p>
  </w:footnote>
  <w:footnote w:id="11">
    <w:p w14:paraId="3ECB060C" w14:textId="4E34F849" w:rsidR="002302AD" w:rsidRPr="00A43F64" w:rsidRDefault="002302AD" w:rsidP="00E609CB">
      <w:pPr>
        <w:pStyle w:val="FootnoteText1"/>
        <w:textDirection w:val="tbRlV"/>
        <w:rPr>
          <w:spacing w:val="-2"/>
        </w:rPr>
      </w:pPr>
      <w:r w:rsidRPr="00A43F64">
        <w:rPr>
          <w:spacing w:val="-2"/>
          <w:rtl/>
        </w:rPr>
        <w:t>(</w:t>
      </w:r>
      <w:r w:rsidRPr="00995CF3">
        <w:rPr>
          <w:rStyle w:val="FootnoteReference"/>
          <w:spacing w:val="-2"/>
          <w:vertAlign w:val="baseline"/>
        </w:rPr>
        <w:footnoteRef/>
      </w:r>
      <w:r w:rsidRPr="00A43F64">
        <w:rPr>
          <w:spacing w:val="-2"/>
          <w:rtl/>
        </w:rPr>
        <w:t>)</w:t>
      </w:r>
      <w:r w:rsidRPr="00A43F64">
        <w:rPr>
          <w:spacing w:val="-2"/>
          <w:rtl/>
        </w:rPr>
        <w:tab/>
      </w:r>
      <w:hyperlink r:id="rId14" w:history="1">
        <w:r w:rsidRPr="00A43F64">
          <w:rPr>
            <w:rStyle w:val="Hyperlink"/>
            <w:spacing w:val="-2"/>
          </w:rPr>
          <w:t>CAT/C/SAU/CO/</w:t>
        </w:r>
        <w:r w:rsidRPr="00995CF3">
          <w:rPr>
            <w:rStyle w:val="Hyperlink"/>
            <w:spacing w:val="-2"/>
          </w:rPr>
          <w:t>2</w:t>
        </w:r>
      </w:hyperlink>
      <w:r>
        <w:rPr>
          <w:spacing w:val="-2"/>
          <w:rtl/>
        </w:rPr>
        <w:t>،</w:t>
      </w:r>
      <w:r w:rsidRPr="00A43F64">
        <w:rPr>
          <w:spacing w:val="-2"/>
          <w:rtl/>
        </w:rPr>
        <w:t xml:space="preserve"> الفقرات </w:t>
      </w:r>
      <w:r w:rsidRPr="00995CF3">
        <w:rPr>
          <w:spacing w:val="-2"/>
          <w:rtl/>
        </w:rPr>
        <w:t>14</w:t>
      </w:r>
      <w:r w:rsidRPr="00A43F64">
        <w:rPr>
          <w:spacing w:val="-2"/>
          <w:rtl/>
        </w:rPr>
        <w:t>-</w:t>
      </w:r>
      <w:r w:rsidRPr="00995CF3">
        <w:rPr>
          <w:spacing w:val="-2"/>
          <w:rtl/>
        </w:rPr>
        <w:t>18</w:t>
      </w:r>
      <w:r w:rsidRPr="00A43F64">
        <w:rPr>
          <w:spacing w:val="-2"/>
          <w:rtl/>
        </w:rPr>
        <w:t xml:space="preserve"> والفقرتان </w:t>
      </w:r>
      <w:r w:rsidRPr="00995CF3">
        <w:rPr>
          <w:spacing w:val="-2"/>
          <w:rtl/>
        </w:rPr>
        <w:t>44</w:t>
      </w:r>
      <w:r w:rsidRPr="00A43F64">
        <w:rPr>
          <w:spacing w:val="-2"/>
          <w:rtl/>
        </w:rPr>
        <w:t xml:space="preserve"> و</w:t>
      </w:r>
      <w:r w:rsidRPr="00995CF3">
        <w:rPr>
          <w:spacing w:val="-2"/>
          <w:rtl/>
        </w:rPr>
        <w:t>45</w:t>
      </w:r>
      <w:r w:rsidRPr="00A43F64">
        <w:rPr>
          <w:spacing w:val="-2"/>
          <w:rtl/>
        </w:rPr>
        <w:t xml:space="preserve">. انظر </w:t>
      </w:r>
      <w:r>
        <w:rPr>
          <w:spacing w:val="-2"/>
          <w:rtl/>
        </w:rPr>
        <w:t xml:space="preserve">أيضاً </w:t>
      </w:r>
      <w:hyperlink r:id="rId15" w:history="1">
        <w:r w:rsidRPr="00A43F64">
          <w:rPr>
            <w:rStyle w:val="Hyperlink"/>
            <w:spacing w:val="-2"/>
          </w:rPr>
          <w:t>CAT/C/CR/</w:t>
        </w:r>
        <w:r w:rsidRPr="00995CF3">
          <w:rPr>
            <w:rStyle w:val="Hyperlink"/>
            <w:spacing w:val="-2"/>
          </w:rPr>
          <w:t>28</w:t>
        </w:r>
        <w:r w:rsidRPr="00A43F64">
          <w:rPr>
            <w:rStyle w:val="Hyperlink"/>
            <w:spacing w:val="-2"/>
          </w:rPr>
          <w:t>/</w:t>
        </w:r>
        <w:r w:rsidRPr="00995CF3">
          <w:rPr>
            <w:rStyle w:val="Hyperlink"/>
            <w:spacing w:val="-2"/>
          </w:rPr>
          <w:t>5</w:t>
        </w:r>
      </w:hyperlink>
      <w:r>
        <w:rPr>
          <w:spacing w:val="-2"/>
          <w:rtl/>
        </w:rPr>
        <w:t>،</w:t>
      </w:r>
      <w:r w:rsidRPr="00A43F64">
        <w:rPr>
          <w:spacing w:val="-2"/>
          <w:rtl/>
        </w:rPr>
        <w:t xml:space="preserve"> الفقرتان </w:t>
      </w:r>
      <w:r w:rsidRPr="00995CF3">
        <w:rPr>
          <w:spacing w:val="-2"/>
          <w:rtl/>
        </w:rPr>
        <w:t>4</w:t>
      </w:r>
      <w:r w:rsidRPr="00A43F64">
        <w:rPr>
          <w:spacing w:val="-2"/>
          <w:rtl/>
        </w:rPr>
        <w:t>(د) و(</w:t>
      </w:r>
      <w:r w:rsidRPr="00A43F64">
        <w:rPr>
          <w:rFonts w:hint="cs"/>
          <w:spacing w:val="-2"/>
          <w:rtl/>
        </w:rPr>
        <w:t>ه</w:t>
      </w:r>
      <w:r w:rsidRPr="00A43F64">
        <w:rPr>
          <w:spacing w:val="-2"/>
          <w:rtl/>
        </w:rPr>
        <w:t>) و</w:t>
      </w:r>
      <w:r w:rsidRPr="00995CF3">
        <w:rPr>
          <w:spacing w:val="-2"/>
          <w:rtl/>
        </w:rPr>
        <w:t>8</w:t>
      </w:r>
      <w:r w:rsidRPr="00A43F64">
        <w:rPr>
          <w:spacing w:val="-2"/>
          <w:rtl/>
        </w:rPr>
        <w:t xml:space="preserve">(هـ). </w:t>
      </w:r>
    </w:p>
  </w:footnote>
  <w:footnote w:id="12">
    <w:p w14:paraId="0DB3C178" w14:textId="07A89B3B" w:rsidR="002302AD" w:rsidRPr="002C01CE" w:rsidRDefault="002302AD" w:rsidP="00E609CB">
      <w:pPr>
        <w:pStyle w:val="FootnoteText1"/>
        <w:textDirection w:val="tbRlV"/>
      </w:pPr>
      <w:r w:rsidRPr="002C01CE">
        <w:rPr>
          <w:rtl/>
        </w:rPr>
        <w:t>(</w:t>
      </w:r>
      <w:r w:rsidRPr="00995CF3">
        <w:rPr>
          <w:rStyle w:val="FootnoteReference"/>
          <w:vertAlign w:val="baseline"/>
        </w:rPr>
        <w:footnoteRef/>
      </w:r>
      <w:r w:rsidRPr="002C01CE">
        <w:rPr>
          <w:rtl/>
        </w:rPr>
        <w:t>)</w:t>
      </w:r>
      <w:r>
        <w:rPr>
          <w:rtl/>
        </w:rPr>
        <w:tab/>
        <w:t xml:space="preserve">انظر أيضاً </w:t>
      </w:r>
      <w:hyperlink r:id="rId16" w:history="1">
        <w:r w:rsidRPr="00E609CB">
          <w:rPr>
            <w:rStyle w:val="Hyperlink"/>
          </w:rPr>
          <w:t>A/HRC/WG.</w:t>
        </w:r>
        <w:r w:rsidRPr="00995CF3">
          <w:rPr>
            <w:rStyle w:val="Hyperlink"/>
          </w:rPr>
          <w:t>6</w:t>
        </w:r>
        <w:r w:rsidRPr="00E609CB">
          <w:rPr>
            <w:rStyle w:val="Hyperlink"/>
          </w:rPr>
          <w:t>/</w:t>
        </w:r>
        <w:r w:rsidRPr="00995CF3">
          <w:rPr>
            <w:rStyle w:val="Hyperlink"/>
          </w:rPr>
          <w:t>31</w:t>
        </w:r>
        <w:r w:rsidRPr="00E609CB">
          <w:rPr>
            <w:rStyle w:val="Hyperlink"/>
          </w:rPr>
          <w:t>/SAU/</w:t>
        </w:r>
        <w:r w:rsidRPr="00995CF3">
          <w:rPr>
            <w:rStyle w:val="Hyperlink"/>
          </w:rPr>
          <w:t>2</w:t>
        </w:r>
      </w:hyperlink>
      <w:r>
        <w:rPr>
          <w:rtl/>
        </w:rPr>
        <w:t xml:space="preserve">، الفقرة </w:t>
      </w:r>
      <w:r w:rsidRPr="00995CF3">
        <w:rPr>
          <w:rtl/>
        </w:rPr>
        <w:t>14</w:t>
      </w:r>
      <w:r>
        <w:rPr>
          <w:rtl/>
        </w:rPr>
        <w:t>.</w:t>
      </w:r>
    </w:p>
  </w:footnote>
  <w:footnote w:id="13">
    <w:p w14:paraId="4411DA88" w14:textId="4A352FF3" w:rsidR="002302AD" w:rsidRPr="002C01CE" w:rsidRDefault="002302AD" w:rsidP="00E609CB">
      <w:pPr>
        <w:pStyle w:val="FootnoteText1"/>
        <w:textDirection w:val="tbRlV"/>
      </w:pPr>
      <w:r w:rsidRPr="002C01CE">
        <w:rPr>
          <w:rtl/>
        </w:rPr>
        <w:t>(</w:t>
      </w:r>
      <w:r w:rsidRPr="00995CF3">
        <w:rPr>
          <w:rStyle w:val="FootnoteReference"/>
          <w:vertAlign w:val="baseline"/>
        </w:rPr>
        <w:footnoteRef/>
      </w:r>
      <w:r w:rsidRPr="002C01CE">
        <w:rPr>
          <w:rtl/>
        </w:rPr>
        <w:t>)</w:t>
      </w:r>
      <w:r>
        <w:rPr>
          <w:rtl/>
        </w:rPr>
        <w:tab/>
        <w:t xml:space="preserve">انظر أيضاً </w:t>
      </w:r>
      <w:hyperlink r:id="rId17" w:history="1">
        <w:r w:rsidRPr="00E609CB">
          <w:rPr>
            <w:rStyle w:val="Hyperlink"/>
          </w:rPr>
          <w:t>A/HRC/WG.</w:t>
        </w:r>
        <w:r w:rsidRPr="00995CF3">
          <w:rPr>
            <w:rStyle w:val="Hyperlink"/>
          </w:rPr>
          <w:t>6</w:t>
        </w:r>
        <w:r w:rsidRPr="00E609CB">
          <w:rPr>
            <w:rStyle w:val="Hyperlink"/>
          </w:rPr>
          <w:t>/</w:t>
        </w:r>
        <w:r w:rsidRPr="00995CF3">
          <w:rPr>
            <w:rStyle w:val="Hyperlink"/>
          </w:rPr>
          <w:t>31</w:t>
        </w:r>
        <w:r w:rsidRPr="00E609CB">
          <w:rPr>
            <w:rStyle w:val="Hyperlink"/>
          </w:rPr>
          <w:t>/SAU/</w:t>
        </w:r>
        <w:r w:rsidRPr="00995CF3">
          <w:rPr>
            <w:rStyle w:val="Hyperlink"/>
          </w:rPr>
          <w:t>2</w:t>
        </w:r>
      </w:hyperlink>
      <w:r>
        <w:rPr>
          <w:rtl/>
        </w:rPr>
        <w:t xml:space="preserve">، الفقرة </w:t>
      </w:r>
      <w:r w:rsidRPr="00995CF3">
        <w:rPr>
          <w:rtl/>
        </w:rPr>
        <w:t>14</w:t>
      </w:r>
      <w:r w:rsidRPr="002C01CE">
        <w:rPr>
          <w:rtl/>
        </w:rPr>
        <w:t>.</w:t>
      </w:r>
      <w:r>
        <w:rPr>
          <w:rtl/>
        </w:rPr>
        <w:t xml:space="preserve"> </w:t>
      </w:r>
    </w:p>
  </w:footnote>
  <w:footnote w:id="14">
    <w:p w14:paraId="7BF9673F" w14:textId="5DEF11AD" w:rsidR="002302AD" w:rsidRPr="002C01CE" w:rsidRDefault="002302AD" w:rsidP="00E609CB">
      <w:pPr>
        <w:pStyle w:val="FootnoteText1"/>
        <w:textDirection w:val="tbRlV"/>
      </w:pPr>
      <w:r w:rsidRPr="002C01CE">
        <w:rPr>
          <w:rtl/>
        </w:rPr>
        <w:t>(</w:t>
      </w:r>
      <w:r w:rsidRPr="00995CF3">
        <w:rPr>
          <w:rStyle w:val="FootnoteReference"/>
          <w:vertAlign w:val="baseline"/>
        </w:rPr>
        <w:footnoteRef/>
      </w:r>
      <w:r w:rsidRPr="002C01CE">
        <w:rPr>
          <w:rtl/>
        </w:rPr>
        <w:t>)</w:t>
      </w:r>
      <w:r>
        <w:rPr>
          <w:rtl/>
        </w:rPr>
        <w:tab/>
      </w:r>
      <w:hyperlink r:id="rId18" w:history="1">
        <w:r w:rsidRPr="00E609CB">
          <w:rPr>
            <w:rStyle w:val="Hyperlink"/>
          </w:rPr>
          <w:t>CAT/C/SAU/CO/</w:t>
        </w:r>
        <w:r w:rsidRPr="00995CF3">
          <w:rPr>
            <w:rStyle w:val="Hyperlink"/>
          </w:rPr>
          <w:t>2</w:t>
        </w:r>
      </w:hyperlink>
      <w:r>
        <w:rPr>
          <w:rtl/>
        </w:rPr>
        <w:t xml:space="preserve">، الفقرة </w:t>
      </w:r>
      <w:r w:rsidRPr="00995CF3">
        <w:rPr>
          <w:rtl/>
        </w:rPr>
        <w:t>45</w:t>
      </w:r>
      <w:r>
        <w:rPr>
          <w:rFonts w:hint="cs"/>
          <w:rtl/>
        </w:rPr>
        <w:t>.</w:t>
      </w:r>
    </w:p>
  </w:footnote>
  <w:footnote w:id="15">
    <w:p w14:paraId="4DE90498" w14:textId="29809180" w:rsidR="002302AD" w:rsidRPr="002C01CE" w:rsidRDefault="002302AD" w:rsidP="00A43F64">
      <w:pPr>
        <w:pStyle w:val="FootnoteText1"/>
        <w:textDirection w:val="tbRlV"/>
      </w:pPr>
      <w:r w:rsidRPr="002C01CE">
        <w:rPr>
          <w:rtl/>
        </w:rPr>
        <w:t>(</w:t>
      </w:r>
      <w:r w:rsidRPr="00995CF3">
        <w:rPr>
          <w:rStyle w:val="FootnoteReference"/>
          <w:vertAlign w:val="baseline"/>
        </w:rPr>
        <w:footnoteRef/>
      </w:r>
      <w:r w:rsidRPr="002C01CE">
        <w:rPr>
          <w:rtl/>
        </w:rPr>
        <w:t>)</w:t>
      </w:r>
      <w:r>
        <w:rPr>
          <w:rtl/>
        </w:rPr>
        <w:tab/>
        <w:t xml:space="preserve">المرجع نفسه، الفقرة </w:t>
      </w:r>
      <w:r w:rsidRPr="00995CF3">
        <w:rPr>
          <w:rtl/>
        </w:rPr>
        <w:t>4</w:t>
      </w:r>
      <w:r w:rsidRPr="002C01CE">
        <w:rPr>
          <w:rtl/>
        </w:rPr>
        <w:t>(</w:t>
      </w:r>
      <w:r>
        <w:rPr>
          <w:rtl/>
        </w:rPr>
        <w:t>هـ</w:t>
      </w:r>
      <w:r w:rsidRPr="002C01CE">
        <w:rPr>
          <w:rtl/>
        </w:rPr>
        <w:t>)</w:t>
      </w:r>
      <w:r>
        <w:rPr>
          <w:rtl/>
        </w:rPr>
        <w:t>.</w:t>
      </w:r>
    </w:p>
  </w:footnote>
  <w:footnote w:id="16">
    <w:p w14:paraId="7F621248" w14:textId="768F23B9" w:rsidR="002302AD" w:rsidRPr="002C01CE" w:rsidRDefault="002302AD" w:rsidP="00A43F64">
      <w:pPr>
        <w:pStyle w:val="FootnoteText1"/>
        <w:textDirection w:val="tbRlV"/>
      </w:pPr>
      <w:r w:rsidRPr="002C01CE">
        <w:rPr>
          <w:rtl/>
        </w:rPr>
        <w:t>(</w:t>
      </w:r>
      <w:r w:rsidRPr="00995CF3">
        <w:rPr>
          <w:rStyle w:val="FootnoteReference"/>
          <w:vertAlign w:val="baseline"/>
        </w:rPr>
        <w:footnoteRef/>
      </w:r>
      <w:r w:rsidRPr="002C01CE">
        <w:rPr>
          <w:rtl/>
        </w:rPr>
        <w:t>)</w:t>
      </w:r>
      <w:r>
        <w:rPr>
          <w:rtl/>
        </w:rPr>
        <w:tab/>
        <w:t xml:space="preserve">انظر </w:t>
      </w:r>
      <w:hyperlink r:id="rId19" w:history="1">
        <w:r w:rsidRPr="00E609CB">
          <w:rPr>
            <w:rStyle w:val="Hyperlink"/>
          </w:rPr>
          <w:t>A/HRC/</w:t>
        </w:r>
        <w:r w:rsidRPr="00995CF3">
          <w:rPr>
            <w:rStyle w:val="Hyperlink"/>
          </w:rPr>
          <w:t>40</w:t>
        </w:r>
        <w:r w:rsidRPr="00E609CB">
          <w:rPr>
            <w:rStyle w:val="Hyperlink"/>
          </w:rPr>
          <w:t>/</w:t>
        </w:r>
        <w:r w:rsidRPr="00995CF3">
          <w:rPr>
            <w:rStyle w:val="Hyperlink"/>
          </w:rPr>
          <w:t>4</w:t>
        </w:r>
      </w:hyperlink>
      <w:r>
        <w:rPr>
          <w:rtl/>
        </w:rPr>
        <w:t xml:space="preserve">، الفقرة </w:t>
      </w:r>
      <w:r w:rsidRPr="00995CF3">
        <w:rPr>
          <w:rtl/>
        </w:rPr>
        <w:t>122</w:t>
      </w:r>
      <w:r w:rsidR="00242EFA">
        <w:rPr>
          <w:rFonts w:hint="cs"/>
          <w:rtl/>
        </w:rPr>
        <w:t>-</w:t>
      </w:r>
      <w:r w:rsidRPr="00995CF3">
        <w:rPr>
          <w:rtl/>
        </w:rPr>
        <w:t>121</w:t>
      </w:r>
      <w:r>
        <w:rPr>
          <w:rtl/>
        </w:rPr>
        <w:t>؛ و</w:t>
      </w:r>
      <w:hyperlink r:id="rId20" w:history="1">
        <w:r w:rsidRPr="00E609CB">
          <w:rPr>
            <w:rStyle w:val="Hyperlink"/>
          </w:rPr>
          <w:t>A/HRC/</w:t>
        </w:r>
        <w:r w:rsidRPr="00995CF3">
          <w:rPr>
            <w:rStyle w:val="Hyperlink"/>
          </w:rPr>
          <w:t>40</w:t>
        </w:r>
        <w:r w:rsidRPr="00E609CB">
          <w:rPr>
            <w:rStyle w:val="Hyperlink"/>
          </w:rPr>
          <w:t>/</w:t>
        </w:r>
        <w:r w:rsidRPr="00995CF3">
          <w:rPr>
            <w:rStyle w:val="Hyperlink"/>
          </w:rPr>
          <w:t>4</w:t>
        </w:r>
        <w:r w:rsidRPr="00E609CB">
          <w:rPr>
            <w:rStyle w:val="Hyperlink"/>
          </w:rPr>
          <w:t>/Add.</w:t>
        </w:r>
        <w:r w:rsidRPr="00995CF3">
          <w:rPr>
            <w:rStyle w:val="Hyperlink"/>
          </w:rPr>
          <w:t>1</w:t>
        </w:r>
      </w:hyperlink>
      <w:r>
        <w:rPr>
          <w:rtl/>
        </w:rPr>
        <w:t xml:space="preserve">، الفقرة </w:t>
      </w:r>
      <w:r w:rsidRPr="00995CF3">
        <w:rPr>
          <w:rtl/>
        </w:rPr>
        <w:t>9</w:t>
      </w:r>
      <w:r>
        <w:rPr>
          <w:rtl/>
        </w:rPr>
        <w:t>، قبول التوصية.</w:t>
      </w:r>
    </w:p>
  </w:footnote>
  <w:footnote w:id="17">
    <w:p w14:paraId="7FEE17B3" w14:textId="7772380E" w:rsidR="002302AD" w:rsidRPr="002C01CE" w:rsidRDefault="002302AD" w:rsidP="00A43F64">
      <w:pPr>
        <w:pStyle w:val="FootnoteText1"/>
        <w:textDirection w:val="tbRlV"/>
      </w:pPr>
      <w:r w:rsidRPr="002C01CE">
        <w:rPr>
          <w:rtl/>
        </w:rPr>
        <w:t>(</w:t>
      </w:r>
      <w:r w:rsidRPr="00995CF3">
        <w:rPr>
          <w:rStyle w:val="FootnoteReference"/>
          <w:vertAlign w:val="baseline"/>
        </w:rPr>
        <w:footnoteRef/>
      </w:r>
      <w:r w:rsidRPr="002C01CE">
        <w:rPr>
          <w:rtl/>
        </w:rPr>
        <w:t>)</w:t>
      </w:r>
      <w:r>
        <w:rPr>
          <w:rtl/>
        </w:rPr>
        <w:tab/>
      </w:r>
      <w:hyperlink r:id="rId21" w:history="1">
        <w:r w:rsidRPr="00E609CB">
          <w:rPr>
            <w:rStyle w:val="Hyperlink"/>
          </w:rPr>
          <w:t>CAT/C/SAU/CO/</w:t>
        </w:r>
        <w:r w:rsidRPr="00995CF3">
          <w:rPr>
            <w:rStyle w:val="Hyperlink"/>
          </w:rPr>
          <w:t>2</w:t>
        </w:r>
      </w:hyperlink>
      <w:r>
        <w:rPr>
          <w:rtl/>
        </w:rPr>
        <w:t xml:space="preserve">، الفقرات </w:t>
      </w:r>
      <w:r w:rsidRPr="00995CF3">
        <w:rPr>
          <w:rtl/>
        </w:rPr>
        <w:t>26</w:t>
      </w:r>
      <w:r>
        <w:rPr>
          <w:rtl/>
        </w:rPr>
        <w:t xml:space="preserve"> و</w:t>
      </w:r>
      <w:r w:rsidRPr="00995CF3">
        <w:rPr>
          <w:rtl/>
        </w:rPr>
        <w:t>27</w:t>
      </w:r>
      <w:r>
        <w:rPr>
          <w:rtl/>
        </w:rPr>
        <w:t xml:space="preserve"> و</w:t>
      </w:r>
      <w:r w:rsidRPr="00995CF3">
        <w:rPr>
          <w:rtl/>
        </w:rPr>
        <w:t>28</w:t>
      </w:r>
      <w:r>
        <w:rPr>
          <w:rtl/>
        </w:rPr>
        <w:t xml:space="preserve"> و</w:t>
      </w:r>
      <w:r w:rsidRPr="00995CF3">
        <w:rPr>
          <w:rtl/>
        </w:rPr>
        <w:t>29</w:t>
      </w:r>
      <w:r>
        <w:rPr>
          <w:rtl/>
        </w:rPr>
        <w:t xml:space="preserve"> و</w:t>
      </w:r>
      <w:r w:rsidRPr="00995CF3">
        <w:rPr>
          <w:rtl/>
        </w:rPr>
        <w:t>32</w:t>
      </w:r>
      <w:r>
        <w:rPr>
          <w:rtl/>
        </w:rPr>
        <w:t xml:space="preserve"> و</w:t>
      </w:r>
      <w:r w:rsidRPr="00995CF3">
        <w:rPr>
          <w:rtl/>
        </w:rPr>
        <w:t>33</w:t>
      </w:r>
      <w:r>
        <w:rPr>
          <w:rtl/>
        </w:rPr>
        <w:t>.</w:t>
      </w:r>
    </w:p>
  </w:footnote>
  <w:footnote w:id="18">
    <w:p w14:paraId="635E9FBF" w14:textId="66165976" w:rsidR="002302AD" w:rsidRPr="002C01CE" w:rsidRDefault="002302AD" w:rsidP="00705E32">
      <w:pPr>
        <w:pStyle w:val="FootnoteText1"/>
        <w:textDirection w:val="tbRlV"/>
      </w:pPr>
      <w:r w:rsidRPr="002C01CE">
        <w:rPr>
          <w:rtl/>
        </w:rPr>
        <w:t>(</w:t>
      </w:r>
      <w:r w:rsidRPr="00995CF3">
        <w:rPr>
          <w:rStyle w:val="FootnoteReference"/>
          <w:vertAlign w:val="baseline"/>
        </w:rPr>
        <w:footnoteRef/>
      </w:r>
      <w:r w:rsidRPr="002C01CE">
        <w:rPr>
          <w:rtl/>
        </w:rPr>
        <w:t>)</w:t>
      </w:r>
      <w:r>
        <w:rPr>
          <w:rtl/>
        </w:rPr>
        <w:tab/>
        <w:t xml:space="preserve">انظر أيضاً الفريق العامل المعني بالاحتجاز التعسفي، الرأي رقم </w:t>
      </w:r>
      <w:r w:rsidRPr="00995CF3">
        <w:rPr>
          <w:rtl/>
        </w:rPr>
        <w:t>33</w:t>
      </w:r>
      <w:r w:rsidRPr="002C01CE">
        <w:rPr>
          <w:rtl/>
        </w:rPr>
        <w:t>/</w:t>
      </w:r>
      <w:r w:rsidRPr="00995CF3">
        <w:rPr>
          <w:rtl/>
        </w:rPr>
        <w:t>2020</w:t>
      </w:r>
      <w:r>
        <w:rPr>
          <w:rtl/>
        </w:rPr>
        <w:t xml:space="preserve">، الفقرة </w:t>
      </w:r>
      <w:r w:rsidRPr="00995CF3">
        <w:rPr>
          <w:rtl/>
        </w:rPr>
        <w:t>99</w:t>
      </w:r>
      <w:r w:rsidRPr="002C01CE">
        <w:rPr>
          <w:rtl/>
        </w:rPr>
        <w:t>.</w:t>
      </w:r>
      <w:r>
        <w:rPr>
          <w:rtl/>
        </w:rPr>
        <w:t xml:space="preserve"> </w:t>
      </w:r>
    </w:p>
  </w:footnote>
  <w:footnote w:id="19">
    <w:p w14:paraId="2FA485FF" w14:textId="7B8FAD23" w:rsidR="002302AD" w:rsidRPr="002C01CE" w:rsidRDefault="002302AD" w:rsidP="00705E32">
      <w:pPr>
        <w:pStyle w:val="FootnoteText1"/>
        <w:textDirection w:val="tbRlV"/>
      </w:pPr>
      <w:r w:rsidRPr="002C01CE">
        <w:rPr>
          <w:rtl/>
        </w:rPr>
        <w:t>(</w:t>
      </w:r>
      <w:r w:rsidRPr="00995CF3">
        <w:rPr>
          <w:rStyle w:val="FootnoteReference"/>
          <w:vertAlign w:val="baseline"/>
        </w:rPr>
        <w:footnoteRef/>
      </w:r>
      <w:r w:rsidRPr="002C01CE">
        <w:rPr>
          <w:rtl/>
        </w:rPr>
        <w:t>)</w:t>
      </w:r>
      <w:r>
        <w:rPr>
          <w:rtl/>
        </w:rPr>
        <w:tab/>
        <w:t xml:space="preserve">الفريق العامل المعني بحالات الاختفاء القسري أو غير الطوعي، ادعاء عام: المملكة العربية السعودية، الدورة </w:t>
      </w:r>
      <w:r>
        <w:rPr>
          <w:rFonts w:ascii="Traditional Arabic"/>
          <w:szCs w:val="20"/>
          <w:rtl/>
        </w:rPr>
        <w:t>121</w:t>
      </w:r>
      <w:r>
        <w:rPr>
          <w:rtl/>
        </w:rPr>
        <w:t xml:space="preserve">، </w:t>
      </w:r>
      <w:r>
        <w:rPr>
          <w:rFonts w:ascii="Traditional Arabic"/>
          <w:szCs w:val="20"/>
          <w:rtl/>
        </w:rPr>
        <w:t>11-15</w:t>
      </w:r>
      <w:r>
        <w:rPr>
          <w:rtl/>
        </w:rPr>
        <w:t xml:space="preserve"> </w:t>
      </w:r>
      <w:r w:rsidRPr="00CC268E">
        <w:rPr>
          <w:spacing w:val="-4"/>
          <w:rtl/>
        </w:rPr>
        <w:t xml:space="preserve">أيار/مايو </w:t>
      </w:r>
      <w:r w:rsidRPr="00CC268E">
        <w:rPr>
          <w:rFonts w:ascii="Traditional Arabic"/>
          <w:spacing w:val="-4"/>
          <w:szCs w:val="20"/>
          <w:rtl/>
        </w:rPr>
        <w:t>2020</w:t>
      </w:r>
      <w:r w:rsidRPr="00CC268E">
        <w:rPr>
          <w:spacing w:val="-4"/>
          <w:rtl/>
        </w:rPr>
        <w:t>، متاح على الرابط التالي</w:t>
      </w:r>
      <w:r w:rsidRPr="00CC268E">
        <w:rPr>
          <w:rFonts w:ascii="Traditional Arabic"/>
          <w:spacing w:val="-4"/>
          <w:szCs w:val="20"/>
        </w:rPr>
        <w:t>:</w:t>
      </w:r>
      <w:r w:rsidRPr="00CC268E">
        <w:rPr>
          <w:spacing w:val="-4"/>
          <w:rtl/>
        </w:rPr>
        <w:t xml:space="preserve"> </w:t>
      </w:r>
      <w:r w:rsidR="00CC268E" w:rsidRPr="00CC268E">
        <w:rPr>
          <w:spacing w:val="-4"/>
        </w:rPr>
        <w:t>https://www.ohchr.org/Documents/Issues/Disappearances/Allegations/</w:t>
      </w:r>
      <w:r w:rsidR="00CC268E" w:rsidRPr="00995CF3">
        <w:rPr>
          <w:spacing w:val="-4"/>
        </w:rPr>
        <w:br/>
      </w:r>
      <w:r w:rsidR="00CC268E" w:rsidRPr="00995CF3">
        <w:t>121</w:t>
      </w:r>
      <w:r w:rsidR="00CC268E" w:rsidRPr="00A97B4B">
        <w:t>-SaudiArabia.pdf</w:t>
      </w:r>
      <w:r>
        <w:rPr>
          <w:rFonts w:cs="Times New Roman"/>
          <w:sz w:val="20"/>
          <w:szCs w:val="20"/>
          <w:rtl/>
        </w:rPr>
        <w:t>.</w:t>
      </w:r>
      <w:r>
        <w:rPr>
          <w:rtl/>
        </w:rPr>
        <w:t xml:space="preserve"> انظر </w:t>
      </w:r>
      <w:hyperlink r:id="rId22" w:history="1">
        <w:r w:rsidRPr="002302AD">
          <w:rPr>
            <w:rStyle w:val="Hyperlink"/>
            <w:rFonts w:cs="Times New Roman"/>
            <w:sz w:val="20"/>
            <w:szCs w:val="20"/>
          </w:rPr>
          <w:t>A/HRC/40/4</w:t>
        </w:r>
      </w:hyperlink>
      <w:r>
        <w:rPr>
          <w:rtl/>
        </w:rPr>
        <w:t xml:space="preserve">، الفقرتان </w:t>
      </w:r>
      <w:r>
        <w:rPr>
          <w:rFonts w:ascii="Traditional Arabic"/>
          <w:szCs w:val="20"/>
          <w:rtl/>
        </w:rPr>
        <w:t>122</w:t>
      </w:r>
      <w:r w:rsidR="00CC268E">
        <w:rPr>
          <w:rFonts w:ascii="Traditional Arabic" w:hint="cs"/>
          <w:szCs w:val="20"/>
          <w:rtl/>
        </w:rPr>
        <w:t>-</w:t>
      </w:r>
      <w:r>
        <w:rPr>
          <w:rFonts w:ascii="Traditional Arabic"/>
          <w:szCs w:val="20"/>
          <w:rtl/>
        </w:rPr>
        <w:t>116</w:t>
      </w:r>
      <w:r>
        <w:rPr>
          <w:rtl/>
        </w:rPr>
        <w:t xml:space="preserve"> و</w:t>
      </w:r>
      <w:r>
        <w:rPr>
          <w:rFonts w:ascii="Traditional Arabic"/>
          <w:szCs w:val="20"/>
          <w:rtl/>
        </w:rPr>
        <w:t>122</w:t>
      </w:r>
      <w:r w:rsidR="00CC268E">
        <w:rPr>
          <w:rFonts w:ascii="Traditional Arabic"/>
          <w:szCs w:val="20"/>
        </w:rPr>
        <w:t>-</w:t>
      </w:r>
      <w:r>
        <w:rPr>
          <w:rFonts w:ascii="Traditional Arabic"/>
          <w:szCs w:val="20"/>
          <w:rtl/>
        </w:rPr>
        <w:t>117</w:t>
      </w:r>
      <w:r>
        <w:rPr>
          <w:rtl/>
        </w:rPr>
        <w:t>؛ و</w:t>
      </w:r>
      <w:hyperlink r:id="rId23" w:history="1">
        <w:r w:rsidRPr="002302AD">
          <w:rPr>
            <w:rStyle w:val="Hyperlink"/>
            <w:rFonts w:cs="Times New Roman"/>
            <w:sz w:val="20"/>
            <w:szCs w:val="20"/>
          </w:rPr>
          <w:t>A/HRC/40/4/Add.1</w:t>
        </w:r>
      </w:hyperlink>
      <w:r>
        <w:rPr>
          <w:rtl/>
        </w:rPr>
        <w:t>، الفقرة</w:t>
      </w:r>
      <w:r w:rsidR="00CC268E">
        <w:t> </w:t>
      </w:r>
      <w:r>
        <w:rPr>
          <w:rFonts w:ascii="Traditional Arabic"/>
          <w:szCs w:val="20"/>
          <w:rtl/>
        </w:rPr>
        <w:t>9</w:t>
      </w:r>
      <w:r>
        <w:rPr>
          <w:rtl/>
        </w:rPr>
        <w:t xml:space="preserve">، قبول التوصية. </w:t>
      </w:r>
    </w:p>
  </w:footnote>
  <w:footnote w:id="20">
    <w:p w14:paraId="0CE1FD0E" w14:textId="446F6861" w:rsidR="002302AD" w:rsidRPr="002C01CE" w:rsidRDefault="002302AD" w:rsidP="00705E32">
      <w:pPr>
        <w:pStyle w:val="FootnoteText1"/>
        <w:textDirection w:val="tbRlV"/>
      </w:pPr>
      <w:r w:rsidRPr="002C01CE">
        <w:rPr>
          <w:rtl/>
        </w:rPr>
        <w:t>(</w:t>
      </w:r>
      <w:r w:rsidRPr="00995CF3">
        <w:rPr>
          <w:rStyle w:val="FootnoteReference"/>
          <w:vertAlign w:val="baseline"/>
        </w:rPr>
        <w:footnoteRef/>
      </w:r>
      <w:r w:rsidRPr="002C01CE">
        <w:rPr>
          <w:rtl/>
        </w:rPr>
        <w:t>)</w:t>
      </w:r>
      <w:r>
        <w:rPr>
          <w:rtl/>
        </w:rPr>
        <w:tab/>
      </w:r>
      <w:r w:rsidRPr="003831EA">
        <w:rPr>
          <w:rtl/>
        </w:rPr>
        <w:t xml:space="preserve">انظر </w:t>
      </w:r>
      <w:r>
        <w:rPr>
          <w:rtl/>
        </w:rPr>
        <w:t xml:space="preserve">أيضاً </w:t>
      </w:r>
      <w:hyperlink r:id="rId24" w:history="1">
        <w:r w:rsidRPr="002302AD">
          <w:rPr>
            <w:rStyle w:val="Hyperlink"/>
          </w:rPr>
          <w:t>CAT/C/CR/28/5</w:t>
        </w:r>
      </w:hyperlink>
      <w:r>
        <w:rPr>
          <w:rtl/>
        </w:rPr>
        <w:t>،</w:t>
      </w:r>
      <w:r w:rsidRPr="003831EA">
        <w:rPr>
          <w:rtl/>
        </w:rPr>
        <w:t xml:space="preserve"> الفقرة 8</w:t>
      </w:r>
      <w:r w:rsidR="004C6D71">
        <w:rPr>
          <w:rtl/>
        </w:rPr>
        <w:t>(</w:t>
      </w:r>
      <w:r w:rsidRPr="003831EA">
        <w:rPr>
          <w:rtl/>
        </w:rPr>
        <w:t>ز)</w:t>
      </w:r>
      <w:r>
        <w:rPr>
          <w:rtl/>
        </w:rPr>
        <w:t>.</w:t>
      </w:r>
    </w:p>
  </w:footnote>
  <w:footnote w:id="21">
    <w:p w14:paraId="3FAC09BB" w14:textId="1F60A5BE" w:rsidR="002302AD" w:rsidRPr="002C01CE" w:rsidRDefault="002302AD" w:rsidP="00705E32">
      <w:pPr>
        <w:pStyle w:val="FootnoteText1"/>
        <w:textDirection w:val="tbRlV"/>
        <w:rPr>
          <w:rFonts w:hint="cs"/>
          <w:rtl/>
        </w:rPr>
      </w:pPr>
      <w:r w:rsidRPr="002C01CE">
        <w:rPr>
          <w:rtl/>
        </w:rPr>
        <w:t>(</w:t>
      </w:r>
      <w:r w:rsidRPr="00995CF3">
        <w:rPr>
          <w:rStyle w:val="FootnoteReference"/>
          <w:vertAlign w:val="baseline"/>
        </w:rPr>
        <w:footnoteRef/>
      </w:r>
      <w:r w:rsidRPr="002C01CE">
        <w:rPr>
          <w:rtl/>
        </w:rPr>
        <w:t>)</w:t>
      </w:r>
      <w:r>
        <w:rPr>
          <w:rtl/>
        </w:rPr>
        <w:tab/>
      </w:r>
      <w:hyperlink r:id="rId25" w:history="1">
        <w:r w:rsidRPr="002302AD">
          <w:rPr>
            <w:rStyle w:val="Hyperlink"/>
          </w:rPr>
          <w:t>CAT/C/SAU/CO/2</w:t>
        </w:r>
      </w:hyperlink>
      <w:r>
        <w:rPr>
          <w:rtl/>
        </w:rPr>
        <w:t>،</w:t>
      </w:r>
      <w:r w:rsidRPr="00DF1B3A">
        <w:rPr>
          <w:rtl/>
        </w:rPr>
        <w:t xml:space="preserve"> الفقرات 36 و37 و38 و39 و40 و41.</w:t>
      </w:r>
    </w:p>
  </w:footnote>
  <w:footnote w:id="22">
    <w:p w14:paraId="73C75256" w14:textId="657A53BF" w:rsidR="002302AD" w:rsidRPr="002C01CE" w:rsidRDefault="002302AD" w:rsidP="00705E32">
      <w:pPr>
        <w:pStyle w:val="FootnoteText1"/>
        <w:textDirection w:val="tbRlV"/>
      </w:pPr>
      <w:r w:rsidRPr="002C01CE">
        <w:rPr>
          <w:rtl/>
        </w:rPr>
        <w:t>(</w:t>
      </w:r>
      <w:r w:rsidRPr="00995CF3">
        <w:rPr>
          <w:rStyle w:val="FootnoteReference"/>
          <w:vertAlign w:val="baseline"/>
        </w:rPr>
        <w:footnoteRef/>
      </w:r>
      <w:r w:rsidRPr="002C01CE">
        <w:rPr>
          <w:rtl/>
        </w:rPr>
        <w:t>)</w:t>
      </w:r>
      <w:r>
        <w:rPr>
          <w:rtl/>
        </w:rPr>
        <w:tab/>
      </w:r>
      <w:r w:rsidRPr="00242EFA">
        <w:rPr>
          <w:spacing w:val="-2"/>
          <w:rtl/>
        </w:rPr>
        <w:t xml:space="preserve">انظر أيضاً </w:t>
      </w:r>
      <w:hyperlink r:id="rId26" w:history="1">
        <w:r w:rsidRPr="00242EFA">
          <w:rPr>
            <w:rStyle w:val="Hyperlink"/>
            <w:spacing w:val="-2"/>
          </w:rPr>
          <w:t>CEDAW/C/SAU/CO/3-4</w:t>
        </w:r>
      </w:hyperlink>
      <w:r w:rsidRPr="00242EFA">
        <w:rPr>
          <w:spacing w:val="-2"/>
          <w:rtl/>
        </w:rPr>
        <w:t>، الفقرات 19 و20 و31</w:t>
      </w:r>
      <w:r w:rsidR="00CC268E" w:rsidRPr="00242EFA">
        <w:rPr>
          <w:rFonts w:hint="cs"/>
          <w:spacing w:val="-2"/>
          <w:rtl/>
        </w:rPr>
        <w:t xml:space="preserve"> </w:t>
      </w:r>
      <w:r w:rsidRPr="00242EFA">
        <w:rPr>
          <w:spacing w:val="-2"/>
          <w:rtl/>
        </w:rPr>
        <w:t>و32؛ و</w:t>
      </w:r>
      <w:hyperlink r:id="rId27" w:history="1">
        <w:r w:rsidRPr="00242EFA">
          <w:rPr>
            <w:rStyle w:val="Hyperlink"/>
            <w:spacing w:val="-2"/>
          </w:rPr>
          <w:t>A/HRC/WG.6/31/SAU/2</w:t>
        </w:r>
      </w:hyperlink>
      <w:r w:rsidRPr="00242EFA">
        <w:rPr>
          <w:spacing w:val="-2"/>
          <w:rtl/>
        </w:rPr>
        <w:t>، الفقرتان 51 و59.</w:t>
      </w:r>
      <w:r w:rsidRPr="00DF1B3A">
        <w:rPr>
          <w:rtl/>
        </w:rPr>
        <w:t xml:space="preserve"> انظر </w:t>
      </w:r>
      <w:hyperlink r:id="rId28" w:history="1">
        <w:r w:rsidRPr="002302AD">
          <w:rPr>
            <w:rStyle w:val="Hyperlink"/>
          </w:rPr>
          <w:t>A/HRC/40/4</w:t>
        </w:r>
      </w:hyperlink>
      <w:r>
        <w:rPr>
          <w:rtl/>
        </w:rPr>
        <w:t>،</w:t>
      </w:r>
      <w:r w:rsidRPr="00DF1B3A">
        <w:rPr>
          <w:rtl/>
        </w:rPr>
        <w:t xml:space="preserve"> الفقرات 122</w:t>
      </w:r>
      <w:r w:rsidR="00242EFA">
        <w:rPr>
          <w:rFonts w:hint="cs"/>
          <w:rtl/>
        </w:rPr>
        <w:t>-</w:t>
      </w:r>
      <w:r w:rsidRPr="00DF1B3A">
        <w:rPr>
          <w:rtl/>
        </w:rPr>
        <w:t>50 و122</w:t>
      </w:r>
      <w:r w:rsidR="00CC268E">
        <w:rPr>
          <w:rFonts w:hint="cs"/>
          <w:rtl/>
        </w:rPr>
        <w:t>-</w:t>
      </w:r>
      <w:r w:rsidRPr="00DF1B3A">
        <w:rPr>
          <w:rtl/>
        </w:rPr>
        <w:t>64 و122</w:t>
      </w:r>
      <w:r w:rsidR="00CC268E">
        <w:rPr>
          <w:rFonts w:hint="cs"/>
          <w:rtl/>
        </w:rPr>
        <w:t>-</w:t>
      </w:r>
      <w:r w:rsidRPr="00DF1B3A">
        <w:rPr>
          <w:rtl/>
        </w:rPr>
        <w:t>129؛ و</w:t>
      </w:r>
      <w:hyperlink r:id="rId29" w:history="1">
        <w:r w:rsidRPr="002302AD">
          <w:rPr>
            <w:rStyle w:val="Hyperlink"/>
          </w:rPr>
          <w:t>A/HRC/40/4/Add.1</w:t>
        </w:r>
      </w:hyperlink>
      <w:r>
        <w:rPr>
          <w:rtl/>
        </w:rPr>
        <w:t>،</w:t>
      </w:r>
      <w:r w:rsidRPr="00DF1B3A">
        <w:rPr>
          <w:rtl/>
        </w:rPr>
        <w:t xml:space="preserve"> الفقرة 9</w:t>
      </w:r>
      <w:r>
        <w:rPr>
          <w:rtl/>
        </w:rPr>
        <w:t>،</w:t>
      </w:r>
      <w:r w:rsidRPr="00DF1B3A">
        <w:rPr>
          <w:rtl/>
        </w:rPr>
        <w:t xml:space="preserve"> قبول التوصية</w:t>
      </w:r>
      <w:r w:rsidRPr="002C01CE">
        <w:rPr>
          <w:rtl/>
        </w:rPr>
        <w:t>.</w:t>
      </w:r>
      <w:r>
        <w:rPr>
          <w:rtl/>
        </w:rPr>
        <w:t xml:space="preserve"> </w:t>
      </w:r>
    </w:p>
  </w:footnote>
  <w:footnote w:id="23">
    <w:p w14:paraId="21E37270" w14:textId="63EAA859" w:rsidR="002302AD" w:rsidRPr="002C01CE" w:rsidRDefault="002302AD" w:rsidP="00705E32">
      <w:pPr>
        <w:pStyle w:val="FootnoteText1"/>
        <w:textDirection w:val="tbRlV"/>
      </w:pPr>
      <w:r w:rsidRPr="002C01CE">
        <w:rPr>
          <w:rtl/>
        </w:rPr>
        <w:t>(</w:t>
      </w:r>
      <w:r w:rsidRPr="00995CF3">
        <w:rPr>
          <w:rStyle w:val="FootnoteReference"/>
          <w:vertAlign w:val="baseline"/>
        </w:rPr>
        <w:footnoteRef/>
      </w:r>
      <w:r w:rsidRPr="002C01CE">
        <w:rPr>
          <w:rtl/>
        </w:rPr>
        <w:t>)</w:t>
      </w:r>
      <w:r>
        <w:rPr>
          <w:rtl/>
        </w:rPr>
        <w:tab/>
      </w:r>
      <w:r w:rsidRPr="00DF1B3A">
        <w:rPr>
          <w:rtl/>
        </w:rPr>
        <w:t xml:space="preserve">انظر </w:t>
      </w:r>
      <w:r>
        <w:rPr>
          <w:rtl/>
        </w:rPr>
        <w:t xml:space="preserve">أيضاً </w:t>
      </w:r>
      <w:hyperlink r:id="rId30" w:history="1">
        <w:r w:rsidRPr="002302AD">
          <w:rPr>
            <w:rStyle w:val="Hyperlink"/>
          </w:rPr>
          <w:t>CRC/C/OPSC/SAU/CO/1</w:t>
        </w:r>
      </w:hyperlink>
      <w:r>
        <w:rPr>
          <w:rtl/>
        </w:rPr>
        <w:t>،</w:t>
      </w:r>
      <w:r w:rsidRPr="00DF1B3A">
        <w:rPr>
          <w:rtl/>
        </w:rPr>
        <w:t xml:space="preserve"> الفقرتان 20 و21؛ </w:t>
      </w:r>
      <w:hyperlink r:id="rId31" w:history="1">
        <w:r w:rsidRPr="002302AD">
          <w:rPr>
            <w:rStyle w:val="Hyperlink"/>
          </w:rPr>
          <w:t>CERD/C/SAU/CO/4-9</w:t>
        </w:r>
      </w:hyperlink>
      <w:r>
        <w:rPr>
          <w:rtl/>
        </w:rPr>
        <w:t>،</w:t>
      </w:r>
      <w:r w:rsidRPr="00DF1B3A">
        <w:rPr>
          <w:rtl/>
        </w:rPr>
        <w:t xml:space="preserve"> الفقرتان 19 و20؛ و</w:t>
      </w:r>
      <w:hyperlink r:id="rId32" w:history="1">
        <w:r w:rsidRPr="002302AD">
          <w:rPr>
            <w:rStyle w:val="Hyperlink"/>
          </w:rPr>
          <w:t>CEDAW/C/SAU/CO/3-4</w:t>
        </w:r>
      </w:hyperlink>
      <w:r>
        <w:rPr>
          <w:rtl/>
        </w:rPr>
        <w:t>،</w:t>
      </w:r>
      <w:r w:rsidRPr="00DF1B3A">
        <w:rPr>
          <w:rtl/>
        </w:rPr>
        <w:t xml:space="preserve"> الفقرتان 37 و38</w:t>
      </w:r>
      <w:r w:rsidRPr="002C01CE">
        <w:rPr>
          <w:rtl/>
        </w:rPr>
        <w:t>.</w:t>
      </w:r>
      <w:r>
        <w:rPr>
          <w:rtl/>
        </w:rPr>
        <w:t xml:space="preserve"> </w:t>
      </w:r>
    </w:p>
  </w:footnote>
  <w:footnote w:id="24">
    <w:p w14:paraId="2D72281A" w14:textId="600B2102" w:rsidR="002302AD" w:rsidRPr="002C01CE" w:rsidRDefault="002302AD" w:rsidP="00705E32">
      <w:pPr>
        <w:pStyle w:val="FootnoteText1"/>
        <w:textDirection w:val="tbRlV"/>
      </w:pPr>
      <w:r w:rsidRPr="002C01CE">
        <w:rPr>
          <w:rtl/>
        </w:rPr>
        <w:t>(</w:t>
      </w:r>
      <w:r w:rsidRPr="00995CF3">
        <w:rPr>
          <w:rStyle w:val="FootnoteReference"/>
          <w:vertAlign w:val="baseline"/>
        </w:rPr>
        <w:footnoteRef/>
      </w:r>
      <w:r w:rsidRPr="002C01CE">
        <w:rPr>
          <w:rtl/>
        </w:rPr>
        <w:t>)</w:t>
      </w:r>
      <w:r>
        <w:rPr>
          <w:rtl/>
        </w:rPr>
        <w:tab/>
      </w:r>
      <w:r w:rsidRPr="00DF1B3A">
        <w:rPr>
          <w:rtl/>
        </w:rPr>
        <w:t xml:space="preserve">انظر </w:t>
      </w:r>
      <w:r>
        <w:rPr>
          <w:rtl/>
        </w:rPr>
        <w:t xml:space="preserve">أيضاً </w:t>
      </w:r>
      <w:hyperlink r:id="rId33" w:history="1">
        <w:r w:rsidRPr="002302AD">
          <w:rPr>
            <w:rStyle w:val="Hyperlink"/>
          </w:rPr>
          <w:t>CRPD/C/SAU/CO/1</w:t>
        </w:r>
      </w:hyperlink>
      <w:r>
        <w:rPr>
          <w:rtl/>
        </w:rPr>
        <w:t>،</w:t>
      </w:r>
      <w:r w:rsidRPr="00DF1B3A">
        <w:rPr>
          <w:rtl/>
        </w:rPr>
        <w:t xml:space="preserve"> الفقرتان 31 و32</w:t>
      </w:r>
      <w:r w:rsidRPr="002C01CE">
        <w:rPr>
          <w:rtl/>
        </w:rPr>
        <w:t>.</w:t>
      </w:r>
      <w:r>
        <w:rPr>
          <w:rtl/>
        </w:rPr>
        <w:t xml:space="preserve"> </w:t>
      </w:r>
    </w:p>
  </w:footnote>
  <w:footnote w:id="25">
    <w:p w14:paraId="36959D14" w14:textId="243F457A" w:rsidR="002302AD" w:rsidRPr="002C01CE" w:rsidRDefault="002302AD" w:rsidP="006F2409">
      <w:pPr>
        <w:pStyle w:val="FootnoteText1"/>
        <w:textDirection w:val="tbRlV"/>
      </w:pPr>
      <w:r w:rsidRPr="002C01CE">
        <w:rPr>
          <w:rtl/>
        </w:rPr>
        <w:t>(</w:t>
      </w:r>
      <w:r w:rsidRPr="00995CF3">
        <w:rPr>
          <w:rStyle w:val="FootnoteReference"/>
          <w:vertAlign w:val="baseline"/>
        </w:rPr>
        <w:footnoteRef/>
      </w:r>
      <w:r w:rsidRPr="002C01CE">
        <w:rPr>
          <w:rtl/>
        </w:rPr>
        <w:t>)</w:t>
      </w:r>
      <w:r>
        <w:rPr>
          <w:rtl/>
        </w:rPr>
        <w:tab/>
      </w:r>
      <w:r w:rsidRPr="00DF1B3A">
        <w:rPr>
          <w:rtl/>
        </w:rPr>
        <w:t xml:space="preserve">انظر </w:t>
      </w:r>
      <w:r>
        <w:rPr>
          <w:rtl/>
        </w:rPr>
        <w:t xml:space="preserve">أيضاً </w:t>
      </w:r>
      <w:hyperlink r:id="rId34" w:history="1">
        <w:r w:rsidRPr="002302AD">
          <w:rPr>
            <w:rStyle w:val="Hyperlink"/>
          </w:rPr>
          <w:t>CEDAW/C/SAU/CO/3-4</w:t>
        </w:r>
      </w:hyperlink>
      <w:r>
        <w:rPr>
          <w:rtl/>
        </w:rPr>
        <w:t>،</w:t>
      </w:r>
      <w:r w:rsidRPr="00DF1B3A">
        <w:rPr>
          <w:rtl/>
        </w:rPr>
        <w:t xml:space="preserve"> الفقرات 31 و32 و63 و64</w:t>
      </w:r>
      <w:r>
        <w:rPr>
          <w:rtl/>
        </w:rPr>
        <w:t>.</w:t>
      </w:r>
    </w:p>
  </w:footnote>
  <w:footnote w:id="26">
    <w:p w14:paraId="235B96F9" w14:textId="364C9446" w:rsidR="002302AD" w:rsidRPr="002C01CE" w:rsidRDefault="002302AD" w:rsidP="006F2409">
      <w:pPr>
        <w:pStyle w:val="FootnoteText1"/>
        <w:textDirection w:val="tbRlV"/>
      </w:pPr>
      <w:r w:rsidRPr="002C01CE">
        <w:rPr>
          <w:rtl/>
        </w:rPr>
        <w:t>(</w:t>
      </w:r>
      <w:r w:rsidRPr="00995CF3">
        <w:rPr>
          <w:rStyle w:val="FootnoteReference"/>
          <w:vertAlign w:val="baseline"/>
        </w:rPr>
        <w:footnoteRef/>
      </w:r>
      <w:r w:rsidRPr="002C01CE">
        <w:rPr>
          <w:rtl/>
        </w:rPr>
        <w:t>)</w:t>
      </w:r>
      <w:r>
        <w:rPr>
          <w:rtl/>
        </w:rPr>
        <w:tab/>
      </w:r>
      <w:r w:rsidRPr="00DF1B3A">
        <w:rPr>
          <w:rtl/>
        </w:rPr>
        <w:t xml:space="preserve">انظر </w:t>
      </w:r>
      <w:r>
        <w:rPr>
          <w:rtl/>
        </w:rPr>
        <w:t xml:space="preserve">أيضاً </w:t>
      </w:r>
      <w:hyperlink r:id="rId35" w:history="1">
        <w:r w:rsidRPr="002302AD">
          <w:rPr>
            <w:rStyle w:val="Hyperlink"/>
          </w:rPr>
          <w:t>CEDAW/C/SAU/CO/3-4</w:t>
        </w:r>
      </w:hyperlink>
      <w:r>
        <w:rPr>
          <w:rtl/>
        </w:rPr>
        <w:t>،</w:t>
      </w:r>
      <w:r w:rsidRPr="00DF1B3A">
        <w:rPr>
          <w:rtl/>
        </w:rPr>
        <w:t xml:space="preserve"> الفقرتان 37 و38؛ و</w:t>
      </w:r>
      <w:hyperlink r:id="rId36" w:history="1">
        <w:r w:rsidRPr="002302AD">
          <w:rPr>
            <w:rStyle w:val="Hyperlink"/>
          </w:rPr>
          <w:t>A/HRC/WG.6/31/SAU/2</w:t>
        </w:r>
      </w:hyperlink>
      <w:r>
        <w:rPr>
          <w:rtl/>
        </w:rPr>
        <w:t>،</w:t>
      </w:r>
      <w:r w:rsidRPr="00DF1B3A">
        <w:rPr>
          <w:rtl/>
        </w:rPr>
        <w:t xml:space="preserve"> الفقرة 68</w:t>
      </w:r>
      <w:r w:rsidRPr="002C01CE">
        <w:rPr>
          <w:rtl/>
        </w:rPr>
        <w:t>.</w:t>
      </w:r>
      <w:r>
        <w:rPr>
          <w:rtl/>
        </w:rPr>
        <w:t xml:space="preserve"> </w:t>
      </w:r>
    </w:p>
  </w:footnote>
  <w:footnote w:id="27">
    <w:p w14:paraId="76E734F8" w14:textId="2C9CBC92" w:rsidR="002302AD" w:rsidRPr="002C01CE" w:rsidRDefault="002302AD" w:rsidP="006F2409">
      <w:pPr>
        <w:pStyle w:val="FootnoteText1"/>
        <w:textDirection w:val="tbRlV"/>
      </w:pPr>
      <w:r w:rsidRPr="002C01CE">
        <w:rPr>
          <w:rtl/>
        </w:rPr>
        <w:t>(</w:t>
      </w:r>
      <w:r w:rsidRPr="00995CF3">
        <w:rPr>
          <w:rStyle w:val="FootnoteReference"/>
          <w:vertAlign w:val="baseline"/>
        </w:rPr>
        <w:footnoteRef/>
      </w:r>
      <w:r w:rsidRPr="002C01CE">
        <w:rPr>
          <w:rtl/>
        </w:rPr>
        <w:t>)</w:t>
      </w:r>
      <w:r>
        <w:rPr>
          <w:rtl/>
        </w:rPr>
        <w:tab/>
      </w:r>
      <w:r w:rsidRPr="00DF1B3A">
        <w:rPr>
          <w:rtl/>
        </w:rPr>
        <w:t xml:space="preserve">انظر </w:t>
      </w:r>
      <w:r>
        <w:rPr>
          <w:rtl/>
        </w:rPr>
        <w:t xml:space="preserve">أيضاً </w:t>
      </w:r>
      <w:hyperlink r:id="rId37" w:history="1">
        <w:r w:rsidRPr="002302AD">
          <w:rPr>
            <w:rStyle w:val="Hyperlink"/>
          </w:rPr>
          <w:t>CEDAW/C/SAU/CO/3-4</w:t>
        </w:r>
      </w:hyperlink>
      <w:r>
        <w:rPr>
          <w:rtl/>
        </w:rPr>
        <w:t>،</w:t>
      </w:r>
      <w:r w:rsidRPr="00DF1B3A">
        <w:rPr>
          <w:rtl/>
        </w:rPr>
        <w:t xml:space="preserve"> الفقرتان 37 و38؛ </w:t>
      </w:r>
      <w:hyperlink r:id="rId38" w:history="1">
        <w:r w:rsidRPr="002302AD">
          <w:rPr>
            <w:rStyle w:val="Hyperlink"/>
          </w:rPr>
          <w:t>A/HRC/WG.6/31/SAU/2</w:t>
        </w:r>
      </w:hyperlink>
      <w:r>
        <w:rPr>
          <w:rtl/>
        </w:rPr>
        <w:t>،</w:t>
      </w:r>
      <w:r w:rsidRPr="00DF1B3A">
        <w:rPr>
          <w:rtl/>
        </w:rPr>
        <w:t xml:space="preserve"> الفقرة 37؛ و</w:t>
      </w:r>
      <w:hyperlink r:id="rId39" w:history="1">
        <w:r w:rsidRPr="002302AD">
          <w:rPr>
            <w:rStyle w:val="Hyperlink"/>
          </w:rPr>
          <w:t>A/HRC/WG.6/31/SAU/2</w:t>
        </w:r>
      </w:hyperlink>
      <w:r>
        <w:rPr>
          <w:rtl/>
        </w:rPr>
        <w:t>،</w:t>
      </w:r>
      <w:r w:rsidRPr="00DF1B3A">
        <w:rPr>
          <w:rtl/>
        </w:rPr>
        <w:t xml:space="preserve"> الفقرة 68. انظر </w:t>
      </w:r>
      <w:hyperlink r:id="rId40" w:history="1">
        <w:r w:rsidRPr="002302AD">
          <w:rPr>
            <w:rStyle w:val="Hyperlink"/>
          </w:rPr>
          <w:t>A/HRC/40/4</w:t>
        </w:r>
      </w:hyperlink>
      <w:r>
        <w:rPr>
          <w:rtl/>
        </w:rPr>
        <w:t>،</w:t>
      </w:r>
      <w:r w:rsidRPr="00DF1B3A">
        <w:rPr>
          <w:rtl/>
        </w:rPr>
        <w:t xml:space="preserve"> الفقرة 122</w:t>
      </w:r>
      <w:r w:rsidR="00CC268E">
        <w:rPr>
          <w:rFonts w:hint="cs"/>
          <w:rtl/>
        </w:rPr>
        <w:t>-</w:t>
      </w:r>
      <w:r w:rsidRPr="00DF1B3A">
        <w:rPr>
          <w:rtl/>
        </w:rPr>
        <w:t>195؛ و</w:t>
      </w:r>
      <w:hyperlink r:id="rId41" w:history="1">
        <w:r w:rsidRPr="002302AD">
          <w:rPr>
            <w:rStyle w:val="Hyperlink"/>
          </w:rPr>
          <w:t>A/HRC/40/4/Add.1</w:t>
        </w:r>
      </w:hyperlink>
      <w:r>
        <w:rPr>
          <w:rtl/>
        </w:rPr>
        <w:t>،</w:t>
      </w:r>
      <w:r w:rsidRPr="00DF1B3A">
        <w:rPr>
          <w:rtl/>
        </w:rPr>
        <w:t xml:space="preserve"> الفقرة 9</w:t>
      </w:r>
      <w:r>
        <w:rPr>
          <w:rtl/>
        </w:rPr>
        <w:t>،</w:t>
      </w:r>
      <w:r w:rsidRPr="00DF1B3A">
        <w:rPr>
          <w:rtl/>
        </w:rPr>
        <w:t xml:space="preserve"> قبول التوصية</w:t>
      </w:r>
      <w:r>
        <w:rPr>
          <w:rtl/>
        </w:rPr>
        <w:t>.</w:t>
      </w:r>
    </w:p>
  </w:footnote>
  <w:footnote w:id="28">
    <w:p w14:paraId="688415C2" w14:textId="2167E08A" w:rsidR="002302AD" w:rsidRPr="002C01CE" w:rsidRDefault="002302AD" w:rsidP="006F2409">
      <w:pPr>
        <w:pStyle w:val="FootnoteText1"/>
        <w:textDirection w:val="tbRlV"/>
      </w:pPr>
      <w:r w:rsidRPr="002C01CE">
        <w:rPr>
          <w:rtl/>
        </w:rPr>
        <w:t>(</w:t>
      </w:r>
      <w:r w:rsidRPr="00995CF3">
        <w:rPr>
          <w:rStyle w:val="FootnoteReference"/>
          <w:vertAlign w:val="baseline"/>
        </w:rPr>
        <w:footnoteRef/>
      </w:r>
      <w:r w:rsidRPr="002C01CE">
        <w:rPr>
          <w:rtl/>
        </w:rPr>
        <w:t>)</w:t>
      </w:r>
      <w:r>
        <w:rPr>
          <w:rtl/>
        </w:rPr>
        <w:tab/>
      </w:r>
      <w:r w:rsidRPr="00DF1B3A">
        <w:rPr>
          <w:rtl/>
        </w:rPr>
        <w:t xml:space="preserve">انظر </w:t>
      </w:r>
      <w:r>
        <w:rPr>
          <w:rtl/>
        </w:rPr>
        <w:t xml:space="preserve">أيضاً </w:t>
      </w:r>
      <w:hyperlink r:id="rId42" w:history="1">
        <w:r w:rsidRPr="002302AD">
          <w:rPr>
            <w:rStyle w:val="Hyperlink"/>
          </w:rPr>
          <w:t>CERD/C/SAU/CO/4-9</w:t>
        </w:r>
      </w:hyperlink>
      <w:r>
        <w:rPr>
          <w:rtl/>
        </w:rPr>
        <w:t>،</w:t>
      </w:r>
      <w:r w:rsidRPr="00DF1B3A">
        <w:rPr>
          <w:rtl/>
        </w:rPr>
        <w:t xml:space="preserve"> الفقرتان 35 و36؛ و</w:t>
      </w:r>
      <w:hyperlink r:id="rId43" w:history="1">
        <w:r w:rsidRPr="002302AD">
          <w:rPr>
            <w:rStyle w:val="Hyperlink"/>
          </w:rPr>
          <w:t>CEDAW/C/SAU/CO/3-4</w:t>
        </w:r>
      </w:hyperlink>
      <w:r>
        <w:rPr>
          <w:rtl/>
        </w:rPr>
        <w:t>،</w:t>
      </w:r>
      <w:r w:rsidRPr="00DF1B3A">
        <w:rPr>
          <w:rtl/>
        </w:rPr>
        <w:t xml:space="preserve"> الفقرتان 35 و36</w:t>
      </w:r>
      <w:r w:rsidRPr="002C01CE">
        <w:rPr>
          <w:rtl/>
        </w:rPr>
        <w:t>.</w:t>
      </w:r>
      <w:r>
        <w:rPr>
          <w:rtl/>
        </w:rPr>
        <w:t xml:space="preserve"> </w:t>
      </w:r>
    </w:p>
  </w:footnote>
  <w:footnote w:id="29">
    <w:p w14:paraId="5D2FD234" w14:textId="78A72C2A" w:rsidR="002302AD" w:rsidRPr="002C01CE" w:rsidRDefault="002302AD" w:rsidP="006F2409">
      <w:pPr>
        <w:pStyle w:val="FootnoteText1"/>
        <w:textDirection w:val="tbRlV"/>
      </w:pPr>
      <w:r w:rsidRPr="002C01CE">
        <w:rPr>
          <w:rtl/>
        </w:rPr>
        <w:t>(</w:t>
      </w:r>
      <w:r w:rsidRPr="00995CF3">
        <w:rPr>
          <w:rStyle w:val="FootnoteReference"/>
          <w:vertAlign w:val="baseline"/>
        </w:rPr>
        <w:footnoteRef/>
      </w:r>
      <w:r w:rsidRPr="002C01CE">
        <w:rPr>
          <w:rtl/>
        </w:rPr>
        <w:t>)</w:t>
      </w:r>
      <w:r>
        <w:rPr>
          <w:rtl/>
        </w:rPr>
        <w:tab/>
      </w:r>
      <w:r w:rsidRPr="00DF1B3A">
        <w:rPr>
          <w:rtl/>
        </w:rPr>
        <w:t xml:space="preserve">انظر </w:t>
      </w:r>
      <w:r>
        <w:rPr>
          <w:rtl/>
        </w:rPr>
        <w:t xml:space="preserve">أيضاً </w:t>
      </w:r>
      <w:hyperlink r:id="rId44" w:history="1">
        <w:r w:rsidRPr="002302AD">
          <w:rPr>
            <w:rStyle w:val="Hyperlink"/>
          </w:rPr>
          <w:t>CEDAW/C/SAU/CO/3-4</w:t>
        </w:r>
      </w:hyperlink>
      <w:r>
        <w:rPr>
          <w:rtl/>
        </w:rPr>
        <w:t>،</w:t>
      </w:r>
      <w:r w:rsidRPr="00DF1B3A">
        <w:rPr>
          <w:rtl/>
        </w:rPr>
        <w:t xml:space="preserve"> الفقرات 19 و20 و31 و32؛ و</w:t>
      </w:r>
      <w:hyperlink r:id="rId45" w:history="1">
        <w:r w:rsidRPr="002302AD">
          <w:rPr>
            <w:rStyle w:val="Hyperlink"/>
          </w:rPr>
          <w:t>A/HRC/WG.6/31/SAU/2</w:t>
        </w:r>
      </w:hyperlink>
      <w:r>
        <w:rPr>
          <w:rtl/>
        </w:rPr>
        <w:t>،</w:t>
      </w:r>
      <w:r w:rsidRPr="00DF1B3A">
        <w:rPr>
          <w:rtl/>
        </w:rPr>
        <w:t xml:space="preserve"> الفقرة 51</w:t>
      </w:r>
      <w:r w:rsidRPr="002C01CE">
        <w:rPr>
          <w:rtl/>
        </w:rPr>
        <w:t>.</w:t>
      </w:r>
      <w:r>
        <w:rPr>
          <w:rtl/>
        </w:rPr>
        <w:t xml:space="preserve"> </w:t>
      </w:r>
    </w:p>
  </w:footnote>
  <w:footnote w:id="30">
    <w:p w14:paraId="3338923B" w14:textId="47AD1AE0" w:rsidR="002302AD" w:rsidRPr="002C01CE" w:rsidRDefault="002302AD" w:rsidP="006F2409">
      <w:pPr>
        <w:pStyle w:val="FootnoteText1"/>
        <w:textDirection w:val="tbRlV"/>
      </w:pPr>
      <w:r w:rsidRPr="002C01CE">
        <w:rPr>
          <w:rtl/>
        </w:rPr>
        <w:t>(</w:t>
      </w:r>
      <w:r w:rsidRPr="00995CF3">
        <w:rPr>
          <w:rStyle w:val="FootnoteReference"/>
          <w:vertAlign w:val="baseline"/>
        </w:rPr>
        <w:footnoteRef/>
      </w:r>
      <w:r w:rsidRPr="002C01CE">
        <w:rPr>
          <w:rtl/>
        </w:rPr>
        <w:t>)</w:t>
      </w:r>
      <w:r>
        <w:rPr>
          <w:rtl/>
        </w:rPr>
        <w:tab/>
      </w:r>
      <w:r w:rsidRPr="00DF1B3A">
        <w:rPr>
          <w:rtl/>
        </w:rPr>
        <w:t xml:space="preserve">انظر </w:t>
      </w:r>
      <w:r>
        <w:rPr>
          <w:rtl/>
        </w:rPr>
        <w:t xml:space="preserve">أيضاً </w:t>
      </w:r>
      <w:hyperlink r:id="rId46" w:history="1">
        <w:r w:rsidRPr="002302AD">
          <w:rPr>
            <w:rStyle w:val="Hyperlink"/>
          </w:rPr>
          <w:t>CEDAW/C/SAU/CO/3-4</w:t>
        </w:r>
      </w:hyperlink>
      <w:r>
        <w:rPr>
          <w:rtl/>
        </w:rPr>
        <w:t>،</w:t>
      </w:r>
      <w:r w:rsidRPr="00DF1B3A">
        <w:rPr>
          <w:rtl/>
        </w:rPr>
        <w:t xml:space="preserve"> الفقرتان 33 و34</w:t>
      </w:r>
      <w:r>
        <w:rPr>
          <w:rtl/>
        </w:rPr>
        <w:t xml:space="preserve">. </w:t>
      </w:r>
    </w:p>
  </w:footnote>
  <w:footnote w:id="31">
    <w:p w14:paraId="1118355A" w14:textId="570C42DE" w:rsidR="002302AD" w:rsidRPr="002C01CE" w:rsidRDefault="002302AD" w:rsidP="006F2409">
      <w:pPr>
        <w:pStyle w:val="FootnoteText1"/>
        <w:textDirection w:val="tbRlV"/>
      </w:pPr>
      <w:r w:rsidRPr="002C01CE">
        <w:rPr>
          <w:rtl/>
        </w:rPr>
        <w:t>(</w:t>
      </w:r>
      <w:r w:rsidRPr="00995CF3">
        <w:rPr>
          <w:rStyle w:val="FootnoteReference"/>
          <w:vertAlign w:val="baseline"/>
        </w:rPr>
        <w:footnoteRef/>
      </w:r>
      <w:r w:rsidRPr="002C01CE">
        <w:rPr>
          <w:rtl/>
        </w:rPr>
        <w:t>)</w:t>
      </w:r>
      <w:r>
        <w:rPr>
          <w:rtl/>
        </w:rPr>
        <w:tab/>
      </w:r>
      <w:r w:rsidRPr="00DF1B3A">
        <w:rPr>
          <w:rtl/>
        </w:rPr>
        <w:t xml:space="preserve">انظر </w:t>
      </w:r>
      <w:r>
        <w:rPr>
          <w:rtl/>
        </w:rPr>
        <w:t xml:space="preserve">أيضاً </w:t>
      </w:r>
      <w:hyperlink r:id="rId47" w:history="1">
        <w:r w:rsidRPr="002302AD">
          <w:rPr>
            <w:rStyle w:val="Hyperlink"/>
          </w:rPr>
          <w:t>CEDAW/C/SAU/CO/3-4</w:t>
        </w:r>
      </w:hyperlink>
      <w:r>
        <w:rPr>
          <w:rtl/>
        </w:rPr>
        <w:t>،</w:t>
      </w:r>
      <w:r w:rsidRPr="00DF1B3A">
        <w:rPr>
          <w:rtl/>
        </w:rPr>
        <w:t xml:space="preserve"> الفقرتان 31 و32</w:t>
      </w:r>
      <w:r w:rsidRPr="002C01CE">
        <w:rPr>
          <w:rtl/>
        </w:rPr>
        <w:t>.</w:t>
      </w:r>
      <w:r>
        <w:rPr>
          <w:rtl/>
        </w:rPr>
        <w:t xml:space="preserve"> </w:t>
      </w:r>
    </w:p>
  </w:footnote>
  <w:footnote w:id="32">
    <w:p w14:paraId="2489BED9" w14:textId="0F6AE953" w:rsidR="002302AD" w:rsidRPr="002C01CE" w:rsidRDefault="002302AD" w:rsidP="006F2409">
      <w:pPr>
        <w:pStyle w:val="FootnoteText1"/>
        <w:textDirection w:val="tbRlV"/>
      </w:pPr>
      <w:r w:rsidRPr="002C01CE">
        <w:rPr>
          <w:rtl/>
        </w:rPr>
        <w:t>(</w:t>
      </w:r>
      <w:r w:rsidRPr="00995CF3">
        <w:rPr>
          <w:rStyle w:val="FootnoteReference"/>
          <w:vertAlign w:val="baseline"/>
        </w:rPr>
        <w:footnoteRef/>
      </w:r>
      <w:r w:rsidRPr="002C01CE">
        <w:rPr>
          <w:rtl/>
        </w:rPr>
        <w:t>)</w:t>
      </w:r>
      <w:r>
        <w:rPr>
          <w:rtl/>
        </w:rPr>
        <w:tab/>
      </w:r>
      <w:r w:rsidRPr="00DF1B3A">
        <w:rPr>
          <w:rtl/>
        </w:rPr>
        <w:t xml:space="preserve">انظر </w:t>
      </w:r>
      <w:r>
        <w:rPr>
          <w:rtl/>
        </w:rPr>
        <w:t xml:space="preserve">أيضاً </w:t>
      </w:r>
      <w:hyperlink r:id="rId48" w:history="1">
        <w:r w:rsidRPr="002302AD">
          <w:rPr>
            <w:rStyle w:val="Hyperlink"/>
          </w:rPr>
          <w:t>CRC/C/OPSC/SAU/CO/1</w:t>
        </w:r>
      </w:hyperlink>
      <w:r>
        <w:rPr>
          <w:rtl/>
        </w:rPr>
        <w:t>،</w:t>
      </w:r>
      <w:r w:rsidRPr="00DF1B3A">
        <w:rPr>
          <w:rtl/>
        </w:rPr>
        <w:t xml:space="preserve"> الفقرتان 20 و21؛ و</w:t>
      </w:r>
      <w:hyperlink r:id="rId49" w:history="1">
        <w:r w:rsidRPr="002302AD">
          <w:rPr>
            <w:rStyle w:val="Hyperlink"/>
          </w:rPr>
          <w:t>CEDAW/C/SAU/CO/3-4</w:t>
        </w:r>
      </w:hyperlink>
      <w:r>
        <w:rPr>
          <w:rtl/>
        </w:rPr>
        <w:t>،</w:t>
      </w:r>
      <w:r w:rsidRPr="00DF1B3A">
        <w:rPr>
          <w:rtl/>
        </w:rPr>
        <w:t xml:space="preserve"> الفقرتان 19 و20. انظر</w:t>
      </w:r>
      <w:r w:rsidR="00CC268E">
        <w:rPr>
          <w:rFonts w:hint="cs"/>
          <w:rtl/>
        </w:rPr>
        <w:t> </w:t>
      </w:r>
      <w:hyperlink r:id="rId50" w:history="1">
        <w:r w:rsidRPr="002302AD">
          <w:rPr>
            <w:rStyle w:val="Hyperlink"/>
          </w:rPr>
          <w:t>A/HRC/40/4</w:t>
        </w:r>
      </w:hyperlink>
      <w:r>
        <w:rPr>
          <w:rtl/>
        </w:rPr>
        <w:t>،</w:t>
      </w:r>
      <w:r w:rsidRPr="00DF1B3A">
        <w:rPr>
          <w:rtl/>
        </w:rPr>
        <w:t xml:space="preserve"> الفقرة 122</w:t>
      </w:r>
      <w:r w:rsidR="00242EFA">
        <w:rPr>
          <w:rFonts w:hint="cs"/>
          <w:rtl/>
        </w:rPr>
        <w:t>-</w:t>
      </w:r>
      <w:r w:rsidRPr="00DF1B3A">
        <w:rPr>
          <w:rtl/>
        </w:rPr>
        <w:t>133؛ و</w:t>
      </w:r>
      <w:hyperlink r:id="rId51" w:history="1">
        <w:r w:rsidRPr="002302AD">
          <w:rPr>
            <w:rStyle w:val="Hyperlink"/>
          </w:rPr>
          <w:t>A/HRC/40/4/Add.1</w:t>
        </w:r>
      </w:hyperlink>
      <w:r>
        <w:rPr>
          <w:rtl/>
        </w:rPr>
        <w:t>،</w:t>
      </w:r>
      <w:r w:rsidRPr="00DF1B3A">
        <w:rPr>
          <w:rtl/>
        </w:rPr>
        <w:t xml:space="preserve"> الفقرة 9</w:t>
      </w:r>
      <w:r>
        <w:rPr>
          <w:rtl/>
        </w:rPr>
        <w:t>،</w:t>
      </w:r>
      <w:r w:rsidRPr="00DF1B3A">
        <w:rPr>
          <w:rtl/>
        </w:rPr>
        <w:t xml:space="preserve"> قبول التوصية</w:t>
      </w:r>
      <w:r>
        <w:rPr>
          <w:rFonts w:hint="cs"/>
          <w:rtl/>
        </w:rPr>
        <w:t>.</w:t>
      </w:r>
    </w:p>
  </w:footnote>
  <w:footnote w:id="33">
    <w:p w14:paraId="20795417" w14:textId="43EC7F50" w:rsidR="002302AD" w:rsidRPr="002C01CE" w:rsidRDefault="002302AD" w:rsidP="006F2409">
      <w:pPr>
        <w:pStyle w:val="FootnoteText1"/>
        <w:textDirection w:val="tbRlV"/>
      </w:pPr>
      <w:r w:rsidRPr="002C01CE">
        <w:rPr>
          <w:rtl/>
        </w:rPr>
        <w:t>(</w:t>
      </w:r>
      <w:r w:rsidRPr="00995CF3">
        <w:rPr>
          <w:rStyle w:val="FootnoteReference"/>
          <w:vertAlign w:val="baseline"/>
        </w:rPr>
        <w:footnoteRef/>
      </w:r>
      <w:r w:rsidRPr="002C01CE">
        <w:rPr>
          <w:rtl/>
        </w:rPr>
        <w:t>)</w:t>
      </w:r>
      <w:r>
        <w:rPr>
          <w:rtl/>
        </w:rPr>
        <w:tab/>
      </w:r>
      <w:r w:rsidRPr="00DF1B3A">
        <w:rPr>
          <w:rtl/>
        </w:rPr>
        <w:t xml:space="preserve">انظر </w:t>
      </w:r>
      <w:r>
        <w:rPr>
          <w:rtl/>
        </w:rPr>
        <w:t xml:space="preserve">أيضاً </w:t>
      </w:r>
      <w:hyperlink r:id="rId52" w:history="1">
        <w:r w:rsidRPr="002302AD">
          <w:rPr>
            <w:rStyle w:val="Hyperlink"/>
          </w:rPr>
          <w:t>CRC/C/OPSC/SAU/CO/1</w:t>
        </w:r>
      </w:hyperlink>
      <w:r>
        <w:rPr>
          <w:rtl/>
        </w:rPr>
        <w:t>،</w:t>
      </w:r>
      <w:r w:rsidRPr="00DF1B3A">
        <w:rPr>
          <w:rtl/>
        </w:rPr>
        <w:t xml:space="preserve"> الفقرتان 20 و21</w:t>
      </w:r>
      <w:r w:rsidRPr="002C01CE">
        <w:rPr>
          <w:rtl/>
        </w:rPr>
        <w:t>.</w:t>
      </w:r>
      <w:r>
        <w:rPr>
          <w:rtl/>
        </w:rPr>
        <w:t xml:space="preserve"> </w:t>
      </w:r>
    </w:p>
  </w:footnote>
  <w:footnote w:id="34">
    <w:p w14:paraId="32DE0EDC" w14:textId="544BEEFE" w:rsidR="002302AD" w:rsidRPr="002C01CE" w:rsidRDefault="002302AD" w:rsidP="00E609CB">
      <w:pPr>
        <w:pStyle w:val="FootnoteText1"/>
        <w:textDirection w:val="tbRlV"/>
      </w:pPr>
      <w:r w:rsidRPr="002C01CE">
        <w:rPr>
          <w:rtl/>
        </w:rPr>
        <w:t>(</w:t>
      </w:r>
      <w:r w:rsidRPr="00995CF3">
        <w:rPr>
          <w:rStyle w:val="FootnoteReference"/>
          <w:vertAlign w:val="baseline"/>
        </w:rPr>
        <w:footnoteRef/>
      </w:r>
      <w:r w:rsidRPr="002C01CE">
        <w:rPr>
          <w:rtl/>
        </w:rPr>
        <w:t>)</w:t>
      </w:r>
      <w:r>
        <w:rPr>
          <w:rtl/>
        </w:rPr>
        <w:tab/>
      </w:r>
      <w:r w:rsidRPr="00DF1B3A">
        <w:rPr>
          <w:rtl/>
        </w:rPr>
        <w:t xml:space="preserve">انظر </w:t>
      </w:r>
      <w:r>
        <w:rPr>
          <w:rtl/>
        </w:rPr>
        <w:t xml:space="preserve">أيضاً </w:t>
      </w:r>
      <w:hyperlink r:id="rId53" w:history="1">
        <w:r w:rsidRPr="002302AD">
          <w:rPr>
            <w:rStyle w:val="Hyperlink"/>
          </w:rPr>
          <w:t>CERD/C/SAU/CO/4-9</w:t>
        </w:r>
      </w:hyperlink>
      <w:r>
        <w:rPr>
          <w:rtl/>
        </w:rPr>
        <w:t>،</w:t>
      </w:r>
      <w:r w:rsidRPr="00DF1B3A">
        <w:rPr>
          <w:rtl/>
        </w:rPr>
        <w:t xml:space="preserve"> الفقرتان 35 و36؛ و</w:t>
      </w:r>
      <w:hyperlink r:id="rId54" w:history="1">
        <w:r w:rsidRPr="002302AD">
          <w:rPr>
            <w:rStyle w:val="Hyperlink"/>
          </w:rPr>
          <w:t>CEDAW/C/SAU/CO/3-4</w:t>
        </w:r>
      </w:hyperlink>
      <w:r>
        <w:rPr>
          <w:rtl/>
        </w:rPr>
        <w:t>،</w:t>
      </w:r>
      <w:r w:rsidRPr="00DF1B3A">
        <w:rPr>
          <w:rtl/>
        </w:rPr>
        <w:t xml:space="preserve"> الفقرتان 35 و36</w:t>
      </w:r>
      <w:r>
        <w:rPr>
          <w:rtl/>
        </w:rPr>
        <w:t xml:space="preserve">. </w:t>
      </w:r>
    </w:p>
  </w:footnote>
  <w:footnote w:id="35">
    <w:p w14:paraId="0BECE4C4" w14:textId="5BE7E6F9" w:rsidR="002302AD" w:rsidRPr="002C01CE" w:rsidRDefault="002302AD" w:rsidP="00E609CB">
      <w:pPr>
        <w:pStyle w:val="FootnoteText1"/>
        <w:textDirection w:val="tbRlV"/>
      </w:pPr>
      <w:r w:rsidRPr="002C01CE">
        <w:rPr>
          <w:rtl/>
        </w:rPr>
        <w:t>(</w:t>
      </w:r>
      <w:r w:rsidRPr="00995CF3">
        <w:rPr>
          <w:rStyle w:val="FootnoteReference"/>
          <w:vertAlign w:val="baseline"/>
        </w:rPr>
        <w:footnoteRef/>
      </w:r>
      <w:r w:rsidRPr="002C01CE">
        <w:rPr>
          <w:rtl/>
        </w:rPr>
        <w:t>)</w:t>
      </w:r>
      <w:r>
        <w:rPr>
          <w:rtl/>
        </w:rPr>
        <w:tab/>
      </w:r>
      <w:r w:rsidRPr="00DF1B3A">
        <w:rPr>
          <w:rtl/>
        </w:rPr>
        <w:t xml:space="preserve">انظر </w:t>
      </w:r>
      <w:r>
        <w:rPr>
          <w:rtl/>
        </w:rPr>
        <w:t xml:space="preserve">أيضاً </w:t>
      </w:r>
      <w:hyperlink r:id="rId55" w:history="1">
        <w:r w:rsidRPr="002302AD">
          <w:rPr>
            <w:rStyle w:val="Hyperlink"/>
          </w:rPr>
          <w:t>CEDAW/C/SAU/CO/3-4</w:t>
        </w:r>
      </w:hyperlink>
      <w:r>
        <w:rPr>
          <w:rtl/>
        </w:rPr>
        <w:t>،</w:t>
      </w:r>
      <w:r w:rsidRPr="00DF1B3A">
        <w:rPr>
          <w:rtl/>
        </w:rPr>
        <w:t xml:space="preserve"> الفقرتان 47 و48؛ و</w:t>
      </w:r>
      <w:hyperlink r:id="rId56" w:history="1">
        <w:r w:rsidRPr="002302AD">
          <w:rPr>
            <w:rStyle w:val="Hyperlink"/>
          </w:rPr>
          <w:t>A/HRC/WG.6/31/SAU/2</w:t>
        </w:r>
      </w:hyperlink>
      <w:r>
        <w:rPr>
          <w:rtl/>
        </w:rPr>
        <w:t>،</w:t>
      </w:r>
      <w:r w:rsidRPr="00DF1B3A">
        <w:rPr>
          <w:rtl/>
        </w:rPr>
        <w:t xml:space="preserve"> الفقرة 37</w:t>
      </w:r>
      <w:r>
        <w:rPr>
          <w:rtl/>
        </w:rPr>
        <w:t>.</w:t>
      </w:r>
    </w:p>
  </w:footnote>
  <w:footnote w:id="36">
    <w:p w14:paraId="310D9EBA" w14:textId="682CA79F" w:rsidR="002302AD" w:rsidRPr="002C01CE" w:rsidRDefault="002302AD" w:rsidP="006F2409">
      <w:pPr>
        <w:pStyle w:val="FootnoteText1"/>
        <w:textDirection w:val="tbRlV"/>
      </w:pPr>
      <w:r w:rsidRPr="002C01CE">
        <w:rPr>
          <w:rtl/>
        </w:rPr>
        <w:t>(</w:t>
      </w:r>
      <w:r w:rsidRPr="00995CF3">
        <w:rPr>
          <w:rStyle w:val="FootnoteReference"/>
          <w:vertAlign w:val="baseline"/>
        </w:rPr>
        <w:footnoteRef/>
      </w:r>
      <w:r w:rsidRPr="002C01CE">
        <w:rPr>
          <w:rtl/>
        </w:rPr>
        <w:t>)</w:t>
      </w:r>
      <w:r>
        <w:rPr>
          <w:rtl/>
        </w:rPr>
        <w:tab/>
      </w:r>
      <w:hyperlink r:id="rId57" w:history="1">
        <w:r w:rsidRPr="002302AD">
          <w:rPr>
            <w:rStyle w:val="Hyperlink"/>
          </w:rPr>
          <w:t>CAT/C/SAU/CO/2</w:t>
        </w:r>
      </w:hyperlink>
      <w:r>
        <w:rPr>
          <w:rtl/>
        </w:rPr>
        <w:t>،</w:t>
      </w:r>
      <w:r w:rsidRPr="00DF1B3A">
        <w:rPr>
          <w:rtl/>
        </w:rPr>
        <w:t xml:space="preserve"> الفقرتان 46 و47. انظر </w:t>
      </w:r>
      <w:r>
        <w:rPr>
          <w:rtl/>
        </w:rPr>
        <w:t xml:space="preserve">أيضاً </w:t>
      </w:r>
      <w:hyperlink r:id="rId58" w:history="1">
        <w:r w:rsidRPr="002302AD">
          <w:rPr>
            <w:rStyle w:val="Hyperlink"/>
          </w:rPr>
          <w:t>CAT/C/CR/28/5</w:t>
        </w:r>
      </w:hyperlink>
      <w:r>
        <w:rPr>
          <w:rtl/>
        </w:rPr>
        <w:t>،</w:t>
      </w:r>
      <w:r w:rsidRPr="00DF1B3A">
        <w:rPr>
          <w:rtl/>
        </w:rPr>
        <w:t xml:space="preserve"> الفقرة 4(ز).</w:t>
      </w:r>
    </w:p>
  </w:footnote>
  <w:footnote w:id="37">
    <w:p w14:paraId="51E62241" w14:textId="45B82F85" w:rsidR="002302AD" w:rsidRPr="002C01CE" w:rsidRDefault="002302AD" w:rsidP="006F2409">
      <w:pPr>
        <w:pStyle w:val="FootnoteText1"/>
        <w:textDirection w:val="tbRlV"/>
      </w:pPr>
      <w:r w:rsidRPr="002C01CE">
        <w:rPr>
          <w:rtl/>
        </w:rPr>
        <w:t>(</w:t>
      </w:r>
      <w:r w:rsidRPr="00995CF3">
        <w:rPr>
          <w:rStyle w:val="FootnoteReference"/>
          <w:vertAlign w:val="baseline"/>
        </w:rPr>
        <w:footnoteRef/>
      </w:r>
      <w:r w:rsidRPr="002C01CE">
        <w:rPr>
          <w:rtl/>
        </w:rPr>
        <w:t>)</w:t>
      </w:r>
      <w:r>
        <w:rPr>
          <w:rtl/>
        </w:rPr>
        <w:tab/>
      </w:r>
      <w:r w:rsidRPr="00DF1B3A">
        <w:rPr>
          <w:rtl/>
        </w:rPr>
        <w:t xml:space="preserve">انظر </w:t>
      </w:r>
      <w:r>
        <w:rPr>
          <w:rtl/>
        </w:rPr>
        <w:t xml:space="preserve">أيضاً </w:t>
      </w:r>
      <w:hyperlink r:id="rId59" w:history="1">
        <w:r w:rsidRPr="002302AD">
          <w:rPr>
            <w:rStyle w:val="Hyperlink"/>
          </w:rPr>
          <w:t>CRC/C/OPSC/SAU/CO/1</w:t>
        </w:r>
      </w:hyperlink>
      <w:r>
        <w:rPr>
          <w:rtl/>
        </w:rPr>
        <w:t>،</w:t>
      </w:r>
      <w:r w:rsidRPr="00DF1B3A">
        <w:rPr>
          <w:rtl/>
        </w:rPr>
        <w:t xml:space="preserve"> الفقرتان 20 و21 و36 و37.</w:t>
      </w:r>
    </w:p>
  </w:footnote>
  <w:footnote w:id="38">
    <w:p w14:paraId="4FD7A3A0" w14:textId="1757570E" w:rsidR="002302AD" w:rsidRPr="002C01CE" w:rsidRDefault="002302AD" w:rsidP="006F2409">
      <w:pPr>
        <w:pStyle w:val="FootnoteText1"/>
        <w:textDirection w:val="tbRlV"/>
      </w:pPr>
      <w:r w:rsidRPr="002C01CE">
        <w:rPr>
          <w:rtl/>
        </w:rPr>
        <w:t>(</w:t>
      </w:r>
      <w:r w:rsidRPr="00995CF3">
        <w:rPr>
          <w:rStyle w:val="FootnoteReference"/>
          <w:vertAlign w:val="baseline"/>
        </w:rPr>
        <w:footnoteRef/>
      </w:r>
      <w:r w:rsidRPr="002C01CE">
        <w:rPr>
          <w:rtl/>
        </w:rPr>
        <w:t>)</w:t>
      </w:r>
      <w:r>
        <w:rPr>
          <w:rtl/>
        </w:rPr>
        <w:tab/>
      </w:r>
      <w:r w:rsidRPr="00DF1B3A">
        <w:rPr>
          <w:rtl/>
        </w:rPr>
        <w:t xml:space="preserve">انظر </w:t>
      </w:r>
      <w:r>
        <w:rPr>
          <w:rtl/>
        </w:rPr>
        <w:t xml:space="preserve">أيضاً </w:t>
      </w:r>
      <w:hyperlink r:id="rId60" w:history="1">
        <w:r w:rsidRPr="002302AD">
          <w:rPr>
            <w:rStyle w:val="Hyperlink"/>
          </w:rPr>
          <w:t>CRC/C/OPAC/SAU/CO/1</w:t>
        </w:r>
      </w:hyperlink>
      <w:r>
        <w:rPr>
          <w:rtl/>
        </w:rPr>
        <w:t>،</w:t>
      </w:r>
      <w:r w:rsidRPr="00DF1B3A">
        <w:rPr>
          <w:rtl/>
        </w:rPr>
        <w:t xml:space="preserve"> الفقرتان 38 و39</w:t>
      </w:r>
      <w:r w:rsidR="004C6D71">
        <w:rPr>
          <w:rtl/>
        </w:rPr>
        <w:t>(</w:t>
      </w:r>
      <w:r w:rsidRPr="00DF1B3A">
        <w:rPr>
          <w:rtl/>
        </w:rPr>
        <w:t>أ)-(ج).</w:t>
      </w:r>
    </w:p>
  </w:footnote>
  <w:footnote w:id="39">
    <w:p w14:paraId="10AA92A4" w14:textId="11109061" w:rsidR="002302AD" w:rsidRPr="002C01CE" w:rsidRDefault="002302AD" w:rsidP="006F2409">
      <w:pPr>
        <w:pStyle w:val="FootnoteText1"/>
        <w:textDirection w:val="tbRlV"/>
      </w:pPr>
      <w:r w:rsidRPr="002C01CE">
        <w:rPr>
          <w:rtl/>
        </w:rPr>
        <w:t>(</w:t>
      </w:r>
      <w:r w:rsidRPr="00995CF3">
        <w:rPr>
          <w:rStyle w:val="FootnoteReference"/>
          <w:vertAlign w:val="baseline"/>
        </w:rPr>
        <w:footnoteRef/>
      </w:r>
      <w:r w:rsidRPr="002C01CE">
        <w:rPr>
          <w:rtl/>
        </w:rPr>
        <w:t>)</w:t>
      </w:r>
      <w:r>
        <w:rPr>
          <w:rtl/>
        </w:rPr>
        <w:tab/>
      </w:r>
      <w:r w:rsidRPr="00DF1B3A">
        <w:rPr>
          <w:rtl/>
        </w:rPr>
        <w:t xml:space="preserve">انظر </w:t>
      </w:r>
      <w:r>
        <w:rPr>
          <w:rtl/>
        </w:rPr>
        <w:t xml:space="preserve">أيضاً </w:t>
      </w:r>
      <w:hyperlink r:id="rId61" w:history="1">
        <w:r w:rsidRPr="002302AD">
          <w:rPr>
            <w:rStyle w:val="Hyperlink"/>
          </w:rPr>
          <w:t>CERD/C/SAU/CO/4-9</w:t>
        </w:r>
      </w:hyperlink>
      <w:r>
        <w:rPr>
          <w:rtl/>
        </w:rPr>
        <w:t>،</w:t>
      </w:r>
      <w:r w:rsidRPr="00DF1B3A">
        <w:rPr>
          <w:rtl/>
        </w:rPr>
        <w:t xml:space="preserve"> الفقرتان 33 و34.</w:t>
      </w:r>
    </w:p>
  </w:footnote>
  <w:footnote w:id="40">
    <w:p w14:paraId="1B714447" w14:textId="122E98A9" w:rsidR="002302AD" w:rsidRPr="002C01CE" w:rsidRDefault="002302AD" w:rsidP="00E609CB">
      <w:pPr>
        <w:pStyle w:val="FootnoteText1"/>
        <w:textDirection w:val="tbRlV"/>
      </w:pPr>
      <w:r w:rsidRPr="002C01CE">
        <w:rPr>
          <w:rtl/>
        </w:rPr>
        <w:t>(</w:t>
      </w:r>
      <w:r w:rsidRPr="00995CF3">
        <w:rPr>
          <w:rStyle w:val="FootnoteReference"/>
          <w:vertAlign w:val="baseline"/>
        </w:rPr>
        <w:footnoteRef/>
      </w:r>
      <w:r w:rsidRPr="002C01CE">
        <w:rPr>
          <w:rtl/>
        </w:rPr>
        <w:t>)</w:t>
      </w:r>
      <w:r>
        <w:rPr>
          <w:rtl/>
        </w:rPr>
        <w:tab/>
      </w:r>
      <w:hyperlink r:id="rId62" w:history="1">
        <w:r w:rsidRPr="002302AD">
          <w:rPr>
            <w:rStyle w:val="Hyperlink"/>
          </w:rPr>
          <w:t>CAT/C/SAU/CO/2</w:t>
        </w:r>
      </w:hyperlink>
      <w:r>
        <w:rPr>
          <w:rtl/>
        </w:rPr>
        <w:t>،</w:t>
      </w:r>
      <w:r w:rsidRPr="00A25342">
        <w:rPr>
          <w:rtl/>
        </w:rPr>
        <w:t xml:space="preserve"> الفقرتان 48 و49. انظر </w:t>
      </w:r>
      <w:r>
        <w:rPr>
          <w:rtl/>
        </w:rPr>
        <w:t xml:space="preserve">أيضاً </w:t>
      </w:r>
      <w:hyperlink r:id="rId63" w:history="1">
        <w:r w:rsidRPr="002302AD">
          <w:rPr>
            <w:rStyle w:val="Hyperlink"/>
          </w:rPr>
          <w:t>CAT/C/CR/28/5</w:t>
        </w:r>
      </w:hyperlink>
      <w:r>
        <w:rPr>
          <w:rtl/>
        </w:rPr>
        <w:t>،</w:t>
      </w:r>
      <w:r w:rsidRPr="00A25342">
        <w:rPr>
          <w:rtl/>
        </w:rPr>
        <w:t xml:space="preserve"> الفقرة 4(ي). </w:t>
      </w:r>
    </w:p>
  </w:footnote>
  <w:footnote w:id="41">
    <w:p w14:paraId="6355141C" w14:textId="32A417B1" w:rsidR="002302AD" w:rsidRPr="002C01CE" w:rsidRDefault="002302AD" w:rsidP="00E609CB">
      <w:pPr>
        <w:pStyle w:val="FootnoteText1"/>
        <w:textDirection w:val="tbRlV"/>
      </w:pPr>
      <w:r w:rsidRPr="002C01CE">
        <w:rPr>
          <w:rtl/>
        </w:rPr>
        <w:t>(</w:t>
      </w:r>
      <w:r w:rsidRPr="00995CF3">
        <w:rPr>
          <w:rStyle w:val="FootnoteReference"/>
          <w:vertAlign w:val="baseline"/>
        </w:rPr>
        <w:footnoteRef/>
      </w:r>
      <w:r w:rsidRPr="002C01CE">
        <w:rPr>
          <w:rtl/>
        </w:rPr>
        <w:t>)</w:t>
      </w:r>
      <w:r>
        <w:rPr>
          <w:rtl/>
        </w:rPr>
        <w:tab/>
      </w:r>
      <w:r w:rsidRPr="00A25342">
        <w:rPr>
          <w:rtl/>
        </w:rPr>
        <w:t xml:space="preserve">انظر </w:t>
      </w:r>
      <w:r>
        <w:rPr>
          <w:rtl/>
        </w:rPr>
        <w:t xml:space="preserve">أيضاً </w:t>
      </w:r>
      <w:hyperlink r:id="rId64" w:history="1">
        <w:r w:rsidRPr="002302AD">
          <w:rPr>
            <w:rStyle w:val="Hyperlink"/>
          </w:rPr>
          <w:t>A/HRC/WG.6/31/SAU/2</w:t>
        </w:r>
      </w:hyperlink>
      <w:r>
        <w:rPr>
          <w:rtl/>
        </w:rPr>
        <w:t>،</w:t>
      </w:r>
      <w:r w:rsidRPr="00A25342">
        <w:rPr>
          <w:rtl/>
        </w:rPr>
        <w:t xml:space="preserve"> الفقرة 9.</w:t>
      </w:r>
    </w:p>
  </w:footnote>
  <w:footnote w:id="42">
    <w:p w14:paraId="07286C2C" w14:textId="609F4F30" w:rsidR="002302AD" w:rsidRPr="002C01CE" w:rsidRDefault="002302AD" w:rsidP="0019376C">
      <w:pPr>
        <w:pStyle w:val="FootnoteText1"/>
        <w:textDirection w:val="tbRlV"/>
      </w:pPr>
      <w:r w:rsidRPr="002C01CE">
        <w:rPr>
          <w:rtl/>
        </w:rPr>
        <w:t>(</w:t>
      </w:r>
      <w:r w:rsidRPr="00995CF3">
        <w:rPr>
          <w:rStyle w:val="FootnoteReference"/>
          <w:vertAlign w:val="baseline"/>
        </w:rPr>
        <w:footnoteRef/>
      </w:r>
      <w:r w:rsidRPr="002C01CE">
        <w:rPr>
          <w:rtl/>
        </w:rPr>
        <w:t>)</w:t>
      </w:r>
      <w:r>
        <w:rPr>
          <w:rtl/>
        </w:rPr>
        <w:tab/>
      </w:r>
      <w:r w:rsidRPr="00A25342">
        <w:rPr>
          <w:rtl/>
        </w:rPr>
        <w:t xml:space="preserve">وانظر </w:t>
      </w:r>
      <w:r>
        <w:rPr>
          <w:rtl/>
        </w:rPr>
        <w:t xml:space="preserve">أيضاً </w:t>
      </w:r>
      <w:hyperlink r:id="rId65" w:history="1">
        <w:r w:rsidRPr="002302AD">
          <w:rPr>
            <w:rStyle w:val="Hyperlink"/>
          </w:rPr>
          <w:t>CRPD/C/SAU/CO/1</w:t>
        </w:r>
      </w:hyperlink>
      <w:r>
        <w:rPr>
          <w:rtl/>
        </w:rPr>
        <w:t>،</w:t>
      </w:r>
      <w:r w:rsidRPr="00A25342">
        <w:rPr>
          <w:rtl/>
        </w:rPr>
        <w:t xml:space="preserve"> الفقرتان 25 و26؛ و</w:t>
      </w:r>
      <w:hyperlink r:id="rId66" w:history="1">
        <w:r w:rsidRPr="002302AD">
          <w:rPr>
            <w:rStyle w:val="Hyperlink"/>
          </w:rPr>
          <w:t>CEDAW/C/SAU/CO/3-4</w:t>
        </w:r>
      </w:hyperlink>
      <w:r>
        <w:rPr>
          <w:rtl/>
        </w:rPr>
        <w:t>،</w:t>
      </w:r>
      <w:r w:rsidRPr="00A25342">
        <w:rPr>
          <w:rtl/>
        </w:rPr>
        <w:t xml:space="preserve"> الفقرات 31 و32 و57 و58.</w:t>
      </w:r>
    </w:p>
  </w:footnote>
  <w:footnote w:id="43">
    <w:p w14:paraId="5F0F45D7" w14:textId="59008357" w:rsidR="002302AD" w:rsidRPr="002C01CE" w:rsidRDefault="002302AD" w:rsidP="0019376C">
      <w:pPr>
        <w:pStyle w:val="FootnoteText1"/>
        <w:textDirection w:val="tbRlV"/>
      </w:pPr>
      <w:r w:rsidRPr="002C01CE">
        <w:rPr>
          <w:rtl/>
        </w:rPr>
        <w:t>(</w:t>
      </w:r>
      <w:r w:rsidRPr="00995CF3">
        <w:rPr>
          <w:rStyle w:val="FootnoteReference"/>
          <w:vertAlign w:val="baseline"/>
        </w:rPr>
        <w:footnoteRef/>
      </w:r>
      <w:r w:rsidRPr="002C01CE">
        <w:rPr>
          <w:rtl/>
        </w:rPr>
        <w:t>)</w:t>
      </w:r>
      <w:r>
        <w:rPr>
          <w:rtl/>
        </w:rPr>
        <w:tab/>
      </w:r>
      <w:r w:rsidRPr="00A25342">
        <w:rPr>
          <w:rtl/>
        </w:rPr>
        <w:t xml:space="preserve">انظر </w:t>
      </w:r>
      <w:r>
        <w:rPr>
          <w:rtl/>
        </w:rPr>
        <w:t xml:space="preserve">أيضاً </w:t>
      </w:r>
      <w:hyperlink r:id="rId67" w:history="1">
        <w:r w:rsidRPr="002302AD">
          <w:rPr>
            <w:rStyle w:val="Hyperlink"/>
          </w:rPr>
          <w:t>CRC/C/OPAC/SAU/CO/1</w:t>
        </w:r>
      </w:hyperlink>
      <w:r>
        <w:rPr>
          <w:rtl/>
        </w:rPr>
        <w:t>،</w:t>
      </w:r>
      <w:r w:rsidRPr="00A25342">
        <w:rPr>
          <w:rtl/>
        </w:rPr>
        <w:t xml:space="preserve"> الفقرتان 38 و39</w:t>
      </w:r>
      <w:r w:rsidR="004C6D71">
        <w:rPr>
          <w:rtl/>
        </w:rPr>
        <w:t>(</w:t>
      </w:r>
      <w:r w:rsidRPr="00A25342">
        <w:rPr>
          <w:rtl/>
        </w:rPr>
        <w:t>أ).</w:t>
      </w:r>
    </w:p>
  </w:footnote>
  <w:footnote w:id="44">
    <w:p w14:paraId="2C627E76" w14:textId="7A6F9129" w:rsidR="002302AD" w:rsidRPr="002C01CE" w:rsidRDefault="002302AD" w:rsidP="0019376C">
      <w:pPr>
        <w:pStyle w:val="FootnoteText1"/>
        <w:textDirection w:val="tbRlV"/>
      </w:pPr>
      <w:r w:rsidRPr="002C01CE">
        <w:rPr>
          <w:rtl/>
        </w:rPr>
        <w:t>(</w:t>
      </w:r>
      <w:r w:rsidRPr="00995CF3">
        <w:rPr>
          <w:rStyle w:val="FootnoteReference"/>
          <w:vertAlign w:val="baseline"/>
        </w:rPr>
        <w:footnoteRef/>
      </w:r>
      <w:r w:rsidRPr="002C01CE">
        <w:rPr>
          <w:rtl/>
        </w:rPr>
        <w:t>)</w:t>
      </w:r>
      <w:r>
        <w:rPr>
          <w:rtl/>
        </w:rPr>
        <w:tab/>
      </w:r>
      <w:r w:rsidRPr="00A25342">
        <w:rPr>
          <w:rtl/>
        </w:rPr>
        <w:t xml:space="preserve">انظر </w:t>
      </w:r>
      <w:r>
        <w:rPr>
          <w:rtl/>
        </w:rPr>
        <w:t xml:space="preserve">أيضاً </w:t>
      </w:r>
      <w:hyperlink r:id="rId68" w:history="1">
        <w:r w:rsidRPr="002302AD">
          <w:rPr>
            <w:rStyle w:val="Hyperlink"/>
          </w:rPr>
          <w:t>CRC/C/OPSC/SAU/CO/1</w:t>
        </w:r>
      </w:hyperlink>
      <w:r>
        <w:rPr>
          <w:rtl/>
        </w:rPr>
        <w:t>،</w:t>
      </w:r>
      <w:r w:rsidRPr="00A25342">
        <w:rPr>
          <w:rtl/>
        </w:rPr>
        <w:t xml:space="preserve"> الفقرتان 20 و21.</w:t>
      </w:r>
    </w:p>
  </w:footnote>
  <w:footnote w:id="45">
    <w:p w14:paraId="65A16CBE" w14:textId="33B79B83" w:rsidR="002302AD" w:rsidRPr="002C01CE" w:rsidRDefault="002302AD" w:rsidP="00D23BD1">
      <w:pPr>
        <w:pStyle w:val="FootnoteText1"/>
        <w:textDirection w:val="tbRlV"/>
      </w:pPr>
      <w:r w:rsidRPr="002C01CE">
        <w:rPr>
          <w:rtl/>
        </w:rPr>
        <w:t>(</w:t>
      </w:r>
      <w:r w:rsidRPr="00995CF3">
        <w:rPr>
          <w:rStyle w:val="FootnoteReference"/>
          <w:vertAlign w:val="baseline"/>
        </w:rPr>
        <w:footnoteRef/>
      </w:r>
      <w:r w:rsidRPr="002C01CE">
        <w:rPr>
          <w:rtl/>
        </w:rPr>
        <w:t>)</w:t>
      </w:r>
      <w:r>
        <w:rPr>
          <w:rtl/>
        </w:rPr>
        <w:tab/>
      </w:r>
      <w:hyperlink r:id="rId69" w:history="1">
        <w:r w:rsidRPr="002302AD">
          <w:rPr>
            <w:rStyle w:val="Hyperlink"/>
          </w:rPr>
          <w:t>CAT/C/SAU/CO/2</w:t>
        </w:r>
      </w:hyperlink>
      <w:r>
        <w:rPr>
          <w:rtl/>
        </w:rPr>
        <w:t>،</w:t>
      </w:r>
      <w:r w:rsidRPr="00A25342">
        <w:rPr>
          <w:rtl/>
        </w:rPr>
        <w:t xml:space="preserve"> الفقرتان 30 و31.</w:t>
      </w:r>
    </w:p>
  </w:footnote>
  <w:footnote w:id="46">
    <w:p w14:paraId="7F4FFB7C" w14:textId="1882A979" w:rsidR="002302AD" w:rsidRPr="002C01CE" w:rsidRDefault="002302AD" w:rsidP="00D23BD1">
      <w:pPr>
        <w:pStyle w:val="FootnoteText1"/>
        <w:textDirection w:val="tbRlV"/>
      </w:pPr>
      <w:r w:rsidRPr="002C01CE">
        <w:rPr>
          <w:rtl/>
        </w:rPr>
        <w:t>(</w:t>
      </w:r>
      <w:r w:rsidRPr="00995CF3">
        <w:rPr>
          <w:rStyle w:val="FootnoteReference"/>
          <w:vertAlign w:val="baseline"/>
        </w:rPr>
        <w:footnoteRef/>
      </w:r>
      <w:r w:rsidRPr="002C01CE">
        <w:rPr>
          <w:rtl/>
        </w:rPr>
        <w:t>)</w:t>
      </w:r>
      <w:r>
        <w:rPr>
          <w:rtl/>
        </w:rPr>
        <w:tab/>
      </w:r>
      <w:r w:rsidRPr="00A25342">
        <w:rPr>
          <w:rtl/>
        </w:rPr>
        <w:t xml:space="preserve">انظر </w:t>
      </w:r>
      <w:r>
        <w:rPr>
          <w:rtl/>
        </w:rPr>
        <w:t xml:space="preserve">أيضاً </w:t>
      </w:r>
      <w:hyperlink r:id="rId70" w:history="1">
        <w:r w:rsidRPr="002302AD">
          <w:rPr>
            <w:rStyle w:val="Hyperlink"/>
          </w:rPr>
          <w:t>CRPD/C/SAU/CO/1</w:t>
        </w:r>
      </w:hyperlink>
      <w:r>
        <w:rPr>
          <w:rtl/>
        </w:rPr>
        <w:t>،</w:t>
      </w:r>
      <w:r w:rsidRPr="00A25342">
        <w:rPr>
          <w:rtl/>
        </w:rPr>
        <w:t xml:space="preserve"> الفقرات 25 و26 و29</w:t>
      </w:r>
      <w:r w:rsidR="004C6D71">
        <w:rPr>
          <w:rtl/>
        </w:rPr>
        <w:t>(</w:t>
      </w:r>
      <w:r w:rsidRPr="00A25342">
        <w:rPr>
          <w:rtl/>
        </w:rPr>
        <w:t>أ) و30</w:t>
      </w:r>
      <w:r w:rsidR="004C6D71">
        <w:rPr>
          <w:rtl/>
        </w:rPr>
        <w:t>(</w:t>
      </w:r>
      <w:r w:rsidRPr="00A25342">
        <w:rPr>
          <w:rtl/>
        </w:rPr>
        <w:t>أ).</w:t>
      </w:r>
    </w:p>
  </w:footnote>
  <w:footnote w:id="47">
    <w:p w14:paraId="01B02CBE" w14:textId="792EFDB8" w:rsidR="002302AD" w:rsidRPr="002C01CE" w:rsidRDefault="002302AD" w:rsidP="00D23BD1">
      <w:pPr>
        <w:pStyle w:val="FootnoteText1"/>
        <w:textDirection w:val="tbRlV"/>
      </w:pPr>
      <w:r w:rsidRPr="002C01CE">
        <w:rPr>
          <w:rtl/>
        </w:rPr>
        <w:t>(</w:t>
      </w:r>
      <w:r w:rsidRPr="00995CF3">
        <w:rPr>
          <w:rStyle w:val="FootnoteReference"/>
          <w:vertAlign w:val="baseline"/>
        </w:rPr>
        <w:footnoteRef/>
      </w:r>
      <w:r w:rsidRPr="002C01CE">
        <w:rPr>
          <w:rtl/>
        </w:rPr>
        <w:t>)</w:t>
      </w:r>
      <w:r>
        <w:rPr>
          <w:rtl/>
        </w:rPr>
        <w:tab/>
      </w:r>
      <w:hyperlink r:id="rId71" w:history="1">
        <w:r w:rsidRPr="002302AD">
          <w:rPr>
            <w:rStyle w:val="Hyperlink"/>
          </w:rPr>
          <w:t>A/HRC/WG.6/31/SAU/2</w:t>
        </w:r>
      </w:hyperlink>
      <w:r>
        <w:rPr>
          <w:rtl/>
        </w:rPr>
        <w:t>،</w:t>
      </w:r>
      <w:r w:rsidRPr="00A25342">
        <w:rPr>
          <w:rtl/>
        </w:rPr>
        <w:t xml:space="preserve"> الفقرة 19</w:t>
      </w:r>
      <w:r>
        <w:rPr>
          <w:rFonts w:hint="cs"/>
          <w:rtl/>
        </w:rPr>
        <w:t>.</w:t>
      </w:r>
    </w:p>
  </w:footnote>
  <w:footnote w:id="48">
    <w:p w14:paraId="5D12C47B" w14:textId="076EC6B4" w:rsidR="002302AD" w:rsidRPr="002C01CE" w:rsidRDefault="002302AD" w:rsidP="00D23BD1">
      <w:pPr>
        <w:pStyle w:val="FootnoteText1"/>
        <w:textDirection w:val="tbRlV"/>
      </w:pPr>
      <w:r w:rsidRPr="002C01CE">
        <w:rPr>
          <w:rtl/>
        </w:rPr>
        <w:t>(</w:t>
      </w:r>
      <w:r w:rsidRPr="00995CF3">
        <w:rPr>
          <w:rStyle w:val="FootnoteReference"/>
          <w:vertAlign w:val="baseline"/>
        </w:rPr>
        <w:footnoteRef/>
      </w:r>
      <w:r w:rsidRPr="002C01CE">
        <w:rPr>
          <w:rtl/>
        </w:rPr>
        <w:t>)</w:t>
      </w:r>
      <w:r>
        <w:rPr>
          <w:rtl/>
        </w:rPr>
        <w:tab/>
      </w:r>
      <w:r w:rsidRPr="00A25342">
        <w:rPr>
          <w:rtl/>
        </w:rPr>
        <w:t xml:space="preserve">انظر </w:t>
      </w:r>
      <w:r>
        <w:rPr>
          <w:rtl/>
        </w:rPr>
        <w:t xml:space="preserve">أيضاً </w:t>
      </w:r>
      <w:hyperlink r:id="rId72" w:history="1">
        <w:r w:rsidRPr="002302AD">
          <w:rPr>
            <w:rStyle w:val="Hyperlink"/>
          </w:rPr>
          <w:t>CRPD/C/SAU/CO/1</w:t>
        </w:r>
      </w:hyperlink>
      <w:r>
        <w:rPr>
          <w:rtl/>
        </w:rPr>
        <w:t>،</w:t>
      </w:r>
      <w:r w:rsidRPr="00A25342">
        <w:rPr>
          <w:rtl/>
        </w:rPr>
        <w:t xml:space="preserve"> الفقرتان 25 و26 و35 و36.</w:t>
      </w:r>
    </w:p>
  </w:footnote>
  <w:footnote w:id="49">
    <w:p w14:paraId="2A8FCB2D" w14:textId="33B18F0C" w:rsidR="002302AD" w:rsidRPr="002C01CE" w:rsidRDefault="002302AD" w:rsidP="00E609CB">
      <w:pPr>
        <w:pStyle w:val="FootnoteText1"/>
        <w:textDirection w:val="tbRlV"/>
      </w:pPr>
      <w:r w:rsidRPr="002C01CE">
        <w:rPr>
          <w:rtl/>
        </w:rPr>
        <w:t>(</w:t>
      </w:r>
      <w:r w:rsidRPr="00995CF3">
        <w:rPr>
          <w:rStyle w:val="FootnoteReference"/>
          <w:vertAlign w:val="baseline"/>
        </w:rPr>
        <w:footnoteRef/>
      </w:r>
      <w:r w:rsidRPr="002C01CE">
        <w:rPr>
          <w:rtl/>
        </w:rPr>
        <w:t>)</w:t>
      </w:r>
      <w:r>
        <w:rPr>
          <w:rtl/>
        </w:rPr>
        <w:tab/>
      </w:r>
      <w:r w:rsidRPr="00A25342">
        <w:rPr>
          <w:rtl/>
        </w:rPr>
        <w:t xml:space="preserve">انظر </w:t>
      </w:r>
      <w:r>
        <w:rPr>
          <w:rtl/>
        </w:rPr>
        <w:t xml:space="preserve">أيضاً </w:t>
      </w:r>
      <w:hyperlink r:id="rId73" w:history="1">
        <w:r w:rsidRPr="002302AD">
          <w:rPr>
            <w:rStyle w:val="Hyperlink"/>
          </w:rPr>
          <w:t>CRPD/C/SAU/CO/1</w:t>
        </w:r>
      </w:hyperlink>
      <w:r>
        <w:rPr>
          <w:rtl/>
        </w:rPr>
        <w:t>،</w:t>
      </w:r>
      <w:r w:rsidRPr="00A25342">
        <w:rPr>
          <w:rtl/>
        </w:rPr>
        <w:t xml:space="preserve"> الفقرتان 35 و36.</w:t>
      </w:r>
    </w:p>
  </w:footnote>
  <w:footnote w:id="50">
    <w:p w14:paraId="04C926B3" w14:textId="77946764" w:rsidR="002302AD" w:rsidRPr="002C01CE" w:rsidRDefault="002302AD" w:rsidP="00D23BD1">
      <w:pPr>
        <w:pStyle w:val="FootnoteText1"/>
        <w:textDirection w:val="tbRlV"/>
      </w:pPr>
      <w:r w:rsidRPr="002C01CE">
        <w:rPr>
          <w:rtl/>
        </w:rPr>
        <w:t>(</w:t>
      </w:r>
      <w:r w:rsidRPr="00995CF3">
        <w:rPr>
          <w:rStyle w:val="FootnoteReference"/>
          <w:vertAlign w:val="baseline"/>
        </w:rPr>
        <w:footnoteRef/>
      </w:r>
      <w:r w:rsidRPr="002C01CE">
        <w:rPr>
          <w:rtl/>
        </w:rPr>
        <w:t>)</w:t>
      </w:r>
      <w:r>
        <w:rPr>
          <w:rtl/>
        </w:rPr>
        <w:tab/>
      </w:r>
      <w:r w:rsidRPr="00A25342">
        <w:rPr>
          <w:rtl/>
        </w:rPr>
        <w:t xml:space="preserve">انظر </w:t>
      </w:r>
      <w:r>
        <w:rPr>
          <w:rtl/>
        </w:rPr>
        <w:t xml:space="preserve">أيضاً </w:t>
      </w:r>
      <w:hyperlink r:id="rId74" w:history="1">
        <w:r w:rsidRPr="002302AD">
          <w:rPr>
            <w:rStyle w:val="Hyperlink"/>
          </w:rPr>
          <w:t>CRPD/C/SAU/CO/1</w:t>
        </w:r>
      </w:hyperlink>
      <w:r>
        <w:rPr>
          <w:rtl/>
        </w:rPr>
        <w:t>،</w:t>
      </w:r>
      <w:r w:rsidRPr="00A25342">
        <w:rPr>
          <w:rtl/>
        </w:rPr>
        <w:t xml:space="preserve"> الفقرتان 25 و26.</w:t>
      </w:r>
    </w:p>
  </w:footnote>
  <w:footnote w:id="51">
    <w:p w14:paraId="62765EE2" w14:textId="41CE2223" w:rsidR="002302AD" w:rsidRPr="002C01CE" w:rsidRDefault="002302AD" w:rsidP="00E609CB">
      <w:pPr>
        <w:pStyle w:val="FootnoteText1"/>
        <w:textDirection w:val="tbRlV"/>
        <w:rPr>
          <w:rFonts w:hint="cs"/>
          <w:rtl/>
        </w:rPr>
      </w:pPr>
      <w:r w:rsidRPr="002C01CE">
        <w:rPr>
          <w:rtl/>
        </w:rPr>
        <w:t>(</w:t>
      </w:r>
      <w:r w:rsidRPr="00995CF3">
        <w:rPr>
          <w:rStyle w:val="FootnoteReference"/>
          <w:vertAlign w:val="baseline"/>
        </w:rPr>
        <w:footnoteRef/>
      </w:r>
      <w:r w:rsidRPr="002C01CE">
        <w:rPr>
          <w:rtl/>
        </w:rPr>
        <w:t>)</w:t>
      </w:r>
      <w:r>
        <w:rPr>
          <w:rtl/>
        </w:rPr>
        <w:tab/>
      </w:r>
      <w:r w:rsidRPr="00A25342">
        <w:rPr>
          <w:rtl/>
        </w:rPr>
        <w:t xml:space="preserve">انظر </w:t>
      </w:r>
      <w:r>
        <w:rPr>
          <w:rtl/>
        </w:rPr>
        <w:t xml:space="preserve">أيضاً </w:t>
      </w:r>
      <w:hyperlink r:id="rId75" w:history="1">
        <w:r w:rsidRPr="002302AD">
          <w:rPr>
            <w:rStyle w:val="Hyperlink"/>
          </w:rPr>
          <w:t>CRPD/C/SAU/CO/1</w:t>
        </w:r>
      </w:hyperlink>
      <w:r>
        <w:rPr>
          <w:rtl/>
        </w:rPr>
        <w:t>،</w:t>
      </w:r>
      <w:r w:rsidRPr="00A25342">
        <w:rPr>
          <w:rtl/>
        </w:rPr>
        <w:t xml:space="preserve"> الفقرات 27</w:t>
      </w:r>
      <w:r w:rsidR="004C6D71">
        <w:rPr>
          <w:rtl/>
        </w:rPr>
        <w:t>(</w:t>
      </w:r>
      <w:r w:rsidRPr="00A25342">
        <w:rPr>
          <w:rtl/>
        </w:rPr>
        <w:t>أ)</w:t>
      </w:r>
      <w:r>
        <w:rPr>
          <w:rtl/>
        </w:rPr>
        <w:t>،</w:t>
      </w:r>
      <w:r w:rsidRPr="00A25342">
        <w:rPr>
          <w:rtl/>
        </w:rPr>
        <w:t xml:space="preserve"> و28</w:t>
      </w:r>
      <w:r w:rsidR="004C6D71">
        <w:rPr>
          <w:rtl/>
        </w:rPr>
        <w:t>(</w:t>
      </w:r>
      <w:r w:rsidRPr="00A25342">
        <w:rPr>
          <w:rtl/>
        </w:rPr>
        <w:t>أ)</w:t>
      </w:r>
      <w:r>
        <w:rPr>
          <w:rtl/>
        </w:rPr>
        <w:t>،</w:t>
      </w:r>
      <w:r w:rsidRPr="00A25342">
        <w:rPr>
          <w:rtl/>
        </w:rPr>
        <w:t xml:space="preserve"> و29</w:t>
      </w:r>
      <w:r w:rsidR="004C6D71">
        <w:rPr>
          <w:rtl/>
        </w:rPr>
        <w:t>(</w:t>
      </w:r>
      <w:r w:rsidRPr="00A25342">
        <w:rPr>
          <w:rtl/>
        </w:rPr>
        <w:t>أ) و30</w:t>
      </w:r>
      <w:r w:rsidR="004C6D71">
        <w:rPr>
          <w:rtl/>
        </w:rPr>
        <w:t>(</w:t>
      </w:r>
      <w:r w:rsidRPr="00A25342">
        <w:rPr>
          <w:rtl/>
        </w:rPr>
        <w:t>أ).</w:t>
      </w:r>
    </w:p>
  </w:footnote>
  <w:footnote w:id="52">
    <w:p w14:paraId="64EFDA3B" w14:textId="10D9E518" w:rsidR="002302AD" w:rsidRPr="002C01CE" w:rsidRDefault="002302AD" w:rsidP="00A83924">
      <w:pPr>
        <w:pStyle w:val="FootnoteText1"/>
        <w:textDirection w:val="tbRlV"/>
      </w:pPr>
      <w:r w:rsidRPr="002C01CE">
        <w:rPr>
          <w:rtl/>
        </w:rPr>
        <w:t>(</w:t>
      </w:r>
      <w:r w:rsidRPr="00995CF3">
        <w:rPr>
          <w:rStyle w:val="FootnoteReference"/>
          <w:vertAlign w:val="baseline"/>
        </w:rPr>
        <w:footnoteRef/>
      </w:r>
      <w:r w:rsidRPr="002C01CE">
        <w:rPr>
          <w:rtl/>
        </w:rPr>
        <w:t>)</w:t>
      </w:r>
      <w:r>
        <w:rPr>
          <w:rtl/>
        </w:rPr>
        <w:tab/>
      </w:r>
      <w:hyperlink r:id="rId76" w:history="1">
        <w:r w:rsidRPr="002302AD">
          <w:rPr>
            <w:rStyle w:val="Hyperlink"/>
          </w:rPr>
          <w:t>CAT/C/SAU/CO/2</w:t>
        </w:r>
      </w:hyperlink>
      <w:r>
        <w:rPr>
          <w:rtl/>
        </w:rPr>
        <w:t>،</w:t>
      </w:r>
      <w:r w:rsidRPr="00A25342">
        <w:rPr>
          <w:rtl/>
        </w:rPr>
        <w:t xml:space="preserve"> الفقرات 32 و33</w:t>
      </w:r>
      <w:r w:rsidR="004C6D71">
        <w:rPr>
          <w:rtl/>
        </w:rPr>
        <w:t>(</w:t>
      </w:r>
      <w:r w:rsidRPr="00A25342">
        <w:rPr>
          <w:rtl/>
        </w:rPr>
        <w:t>أ) و35</w:t>
      </w:r>
      <w:r w:rsidR="004C6D71">
        <w:rPr>
          <w:rtl/>
        </w:rPr>
        <w:t>(</w:t>
      </w:r>
      <w:r w:rsidRPr="00A25342">
        <w:rPr>
          <w:rtl/>
        </w:rPr>
        <w:t>ب).</w:t>
      </w:r>
    </w:p>
  </w:footnote>
  <w:footnote w:id="53">
    <w:p w14:paraId="424C8E52" w14:textId="101DC6C4" w:rsidR="002302AD" w:rsidRPr="002C01CE" w:rsidRDefault="002302AD" w:rsidP="00E609CB">
      <w:pPr>
        <w:pStyle w:val="FootnoteText1"/>
        <w:textDirection w:val="tbRlV"/>
      </w:pPr>
      <w:r w:rsidRPr="002C01CE">
        <w:rPr>
          <w:rtl/>
        </w:rPr>
        <w:t>(</w:t>
      </w:r>
      <w:r w:rsidRPr="00995CF3">
        <w:rPr>
          <w:rStyle w:val="FootnoteReference"/>
          <w:vertAlign w:val="baseline"/>
        </w:rPr>
        <w:footnoteRef/>
      </w:r>
      <w:r w:rsidRPr="002C01CE">
        <w:rPr>
          <w:rtl/>
        </w:rPr>
        <w:t>)</w:t>
      </w:r>
      <w:r>
        <w:rPr>
          <w:rtl/>
        </w:rPr>
        <w:tab/>
      </w:r>
      <w:r w:rsidRPr="00A25342">
        <w:rPr>
          <w:rtl/>
        </w:rPr>
        <w:t xml:space="preserve">انظر </w:t>
      </w:r>
      <w:r>
        <w:rPr>
          <w:rtl/>
        </w:rPr>
        <w:t xml:space="preserve">أيضاً </w:t>
      </w:r>
      <w:hyperlink r:id="rId77" w:history="1">
        <w:r w:rsidRPr="002302AD">
          <w:rPr>
            <w:rStyle w:val="Hyperlink"/>
          </w:rPr>
          <w:t>A/HRC/WG.6/31/SAU/2</w:t>
        </w:r>
      </w:hyperlink>
      <w:r>
        <w:rPr>
          <w:rtl/>
        </w:rPr>
        <w:t>،</w:t>
      </w:r>
      <w:r w:rsidRPr="00A25342">
        <w:rPr>
          <w:rtl/>
        </w:rPr>
        <w:t xml:space="preserve"> الفقرة 19. انظر </w:t>
      </w:r>
      <w:hyperlink r:id="rId78" w:history="1">
        <w:r w:rsidRPr="002302AD">
          <w:rPr>
            <w:rStyle w:val="Hyperlink"/>
          </w:rPr>
          <w:t>A/HRC/40/4</w:t>
        </w:r>
      </w:hyperlink>
      <w:r>
        <w:rPr>
          <w:rtl/>
        </w:rPr>
        <w:t>،</w:t>
      </w:r>
      <w:r w:rsidRPr="00A25342">
        <w:rPr>
          <w:rtl/>
        </w:rPr>
        <w:t xml:space="preserve"> الفقرة 122</w:t>
      </w:r>
      <w:r w:rsidR="00242EFA">
        <w:rPr>
          <w:rFonts w:hint="cs"/>
          <w:rtl/>
        </w:rPr>
        <w:t>-</w:t>
      </w:r>
      <w:r w:rsidRPr="00A25342">
        <w:rPr>
          <w:rtl/>
        </w:rPr>
        <w:t>185؛ و</w:t>
      </w:r>
      <w:hyperlink r:id="rId79" w:history="1">
        <w:r w:rsidRPr="002302AD">
          <w:rPr>
            <w:rStyle w:val="Hyperlink"/>
          </w:rPr>
          <w:t>A/HRC/40/4/Add.1</w:t>
        </w:r>
      </w:hyperlink>
      <w:r>
        <w:rPr>
          <w:rtl/>
        </w:rPr>
        <w:t>،</w:t>
      </w:r>
      <w:r w:rsidRPr="00A25342">
        <w:rPr>
          <w:rtl/>
        </w:rPr>
        <w:t xml:space="preserve"> الفقرة 9</w:t>
      </w:r>
      <w:r>
        <w:rPr>
          <w:rtl/>
        </w:rPr>
        <w:t>،</w:t>
      </w:r>
      <w:r w:rsidRPr="00A25342">
        <w:rPr>
          <w:rtl/>
        </w:rPr>
        <w:t xml:space="preserve"> قبول التوصية.</w:t>
      </w:r>
    </w:p>
  </w:footnote>
  <w:footnote w:id="54">
    <w:p w14:paraId="2A9296C4" w14:textId="018811BA" w:rsidR="002302AD" w:rsidRPr="002C01CE" w:rsidRDefault="002302AD" w:rsidP="00A83924">
      <w:pPr>
        <w:pStyle w:val="FootnoteText1"/>
        <w:textDirection w:val="tbRlV"/>
      </w:pPr>
      <w:r w:rsidRPr="002C01CE">
        <w:rPr>
          <w:rtl/>
        </w:rPr>
        <w:t>(</w:t>
      </w:r>
      <w:r w:rsidRPr="00995CF3">
        <w:rPr>
          <w:rStyle w:val="FootnoteReference"/>
          <w:vertAlign w:val="baseline"/>
        </w:rPr>
        <w:footnoteRef/>
      </w:r>
      <w:r w:rsidRPr="002C01CE">
        <w:rPr>
          <w:rtl/>
        </w:rPr>
        <w:t>)</w:t>
      </w:r>
      <w:r>
        <w:rPr>
          <w:rtl/>
        </w:rPr>
        <w:tab/>
      </w:r>
      <w:r w:rsidRPr="00A25342">
        <w:rPr>
          <w:rtl/>
        </w:rPr>
        <w:t xml:space="preserve">انظر </w:t>
      </w:r>
      <w:r>
        <w:rPr>
          <w:rtl/>
        </w:rPr>
        <w:t xml:space="preserve">أيضاً </w:t>
      </w:r>
      <w:hyperlink r:id="rId80" w:history="1">
        <w:r w:rsidRPr="002302AD">
          <w:rPr>
            <w:rStyle w:val="Hyperlink"/>
          </w:rPr>
          <w:t>A/HRC/WG.6/31/SAU/2</w:t>
        </w:r>
      </w:hyperlink>
      <w:r>
        <w:rPr>
          <w:rtl/>
        </w:rPr>
        <w:t>،</w:t>
      </w:r>
      <w:r w:rsidRPr="00A25342">
        <w:rPr>
          <w:rtl/>
        </w:rPr>
        <w:t xml:space="preserve"> الفقرة 19.</w:t>
      </w:r>
    </w:p>
  </w:footnote>
  <w:footnote w:id="55">
    <w:p w14:paraId="7ABD573E" w14:textId="2C4398FE" w:rsidR="002302AD" w:rsidRPr="002C01CE" w:rsidRDefault="002302AD" w:rsidP="00A83924">
      <w:pPr>
        <w:pStyle w:val="FootnoteText1"/>
        <w:textDirection w:val="tbRlV"/>
      </w:pPr>
      <w:r w:rsidRPr="002C01CE">
        <w:rPr>
          <w:rtl/>
        </w:rPr>
        <w:t>(</w:t>
      </w:r>
      <w:r w:rsidRPr="00995CF3">
        <w:rPr>
          <w:rStyle w:val="FootnoteReference"/>
          <w:vertAlign w:val="baseline"/>
        </w:rPr>
        <w:footnoteRef/>
      </w:r>
      <w:r w:rsidRPr="002C01CE">
        <w:rPr>
          <w:rtl/>
        </w:rPr>
        <w:t>)</w:t>
      </w:r>
      <w:r>
        <w:rPr>
          <w:rtl/>
        </w:rPr>
        <w:tab/>
      </w:r>
      <w:hyperlink r:id="rId81" w:history="1">
        <w:r w:rsidRPr="002302AD">
          <w:rPr>
            <w:rStyle w:val="Hyperlink"/>
          </w:rPr>
          <w:t>CAT/C/SAU/CO/2</w:t>
        </w:r>
      </w:hyperlink>
      <w:r>
        <w:rPr>
          <w:rtl/>
        </w:rPr>
        <w:t>،</w:t>
      </w:r>
      <w:r w:rsidRPr="00A25342">
        <w:rPr>
          <w:rtl/>
        </w:rPr>
        <w:t xml:space="preserve"> الفقرتان 7 و8.</w:t>
      </w:r>
    </w:p>
  </w:footnote>
  <w:footnote w:id="56">
    <w:p w14:paraId="296D4D7C" w14:textId="52EE907C" w:rsidR="002302AD" w:rsidRPr="002C01CE" w:rsidRDefault="002302AD" w:rsidP="00A83924">
      <w:pPr>
        <w:pStyle w:val="FootnoteText1"/>
        <w:textDirection w:val="tbRlV"/>
      </w:pPr>
      <w:r w:rsidRPr="002C01CE">
        <w:rPr>
          <w:rtl/>
        </w:rPr>
        <w:t>(</w:t>
      </w:r>
      <w:r w:rsidRPr="00995CF3">
        <w:rPr>
          <w:rStyle w:val="FootnoteReference"/>
          <w:vertAlign w:val="baseline"/>
        </w:rPr>
        <w:footnoteRef/>
      </w:r>
      <w:r w:rsidRPr="002C01CE">
        <w:rPr>
          <w:rtl/>
        </w:rPr>
        <w:t>)</w:t>
      </w:r>
      <w:r>
        <w:rPr>
          <w:rtl/>
        </w:rPr>
        <w:tab/>
      </w:r>
      <w:hyperlink r:id="rId82" w:history="1">
        <w:r w:rsidRPr="002302AD">
          <w:rPr>
            <w:rStyle w:val="Hyperlink"/>
          </w:rPr>
          <w:t>CAT/C/SAU/CO/2</w:t>
        </w:r>
      </w:hyperlink>
      <w:r>
        <w:rPr>
          <w:rtl/>
        </w:rPr>
        <w:t>،</w:t>
      </w:r>
      <w:r w:rsidRPr="00A25342">
        <w:rPr>
          <w:rtl/>
        </w:rPr>
        <w:t xml:space="preserve"> الفقرات 17 و18</w:t>
      </w:r>
      <w:r w:rsidR="004C6D71">
        <w:rPr>
          <w:rtl/>
        </w:rPr>
        <w:t>(</w:t>
      </w:r>
      <w:r w:rsidRPr="00A25342">
        <w:rPr>
          <w:rtl/>
        </w:rPr>
        <w:t>ج) و21 و22.</w:t>
      </w:r>
    </w:p>
  </w:footnote>
  <w:footnote w:id="57">
    <w:p w14:paraId="5D29445D" w14:textId="0E46D23A" w:rsidR="002302AD" w:rsidRPr="002C01CE" w:rsidRDefault="002302AD" w:rsidP="00A83924">
      <w:pPr>
        <w:pStyle w:val="FootnoteText1"/>
        <w:textDirection w:val="tbRlV"/>
      </w:pPr>
      <w:r w:rsidRPr="002C01CE">
        <w:rPr>
          <w:rtl/>
        </w:rPr>
        <w:t>(</w:t>
      </w:r>
      <w:r w:rsidRPr="00995CF3">
        <w:rPr>
          <w:rStyle w:val="FootnoteReference"/>
          <w:vertAlign w:val="baseline"/>
        </w:rPr>
        <w:footnoteRef/>
      </w:r>
      <w:r w:rsidRPr="002C01CE">
        <w:rPr>
          <w:rtl/>
        </w:rPr>
        <w:t>)</w:t>
      </w:r>
      <w:r>
        <w:rPr>
          <w:rtl/>
        </w:rPr>
        <w:tab/>
      </w:r>
      <w:hyperlink r:id="rId83" w:history="1">
        <w:r w:rsidRPr="002302AD">
          <w:rPr>
            <w:rStyle w:val="Hyperlink"/>
          </w:rPr>
          <w:t>CAT/C/SAU/CO/2</w:t>
        </w:r>
      </w:hyperlink>
      <w:r>
        <w:rPr>
          <w:rtl/>
        </w:rPr>
        <w:t>،</w:t>
      </w:r>
      <w:r w:rsidRPr="00A25342">
        <w:rPr>
          <w:rtl/>
        </w:rPr>
        <w:t xml:space="preserve"> الفقرتان 50 و51.</w:t>
      </w:r>
    </w:p>
  </w:footnote>
  <w:footnote w:id="58">
    <w:p w14:paraId="1CA82C4B" w14:textId="445C1F1A" w:rsidR="002302AD" w:rsidRPr="002C01CE" w:rsidRDefault="002302AD" w:rsidP="00A83924">
      <w:pPr>
        <w:pStyle w:val="FootnoteText1"/>
        <w:textDirection w:val="tbRlV"/>
      </w:pPr>
      <w:r w:rsidRPr="002C01CE">
        <w:rPr>
          <w:rtl/>
        </w:rPr>
        <w:t>(</w:t>
      </w:r>
      <w:r w:rsidRPr="00995CF3">
        <w:rPr>
          <w:rStyle w:val="FootnoteReference"/>
          <w:vertAlign w:val="baseline"/>
        </w:rPr>
        <w:footnoteRef/>
      </w:r>
      <w:r w:rsidRPr="002C01CE">
        <w:rPr>
          <w:rtl/>
        </w:rPr>
        <w:t>)</w:t>
      </w:r>
      <w:r>
        <w:rPr>
          <w:rtl/>
        </w:rPr>
        <w:tab/>
      </w:r>
      <w:r w:rsidRPr="00A25342">
        <w:rPr>
          <w:rtl/>
        </w:rPr>
        <w:t xml:space="preserve">انظر </w:t>
      </w:r>
      <w:r>
        <w:rPr>
          <w:rtl/>
        </w:rPr>
        <w:t xml:space="preserve">أيضاً </w:t>
      </w:r>
      <w:hyperlink r:id="rId84" w:history="1">
        <w:r w:rsidRPr="002302AD">
          <w:rPr>
            <w:rStyle w:val="Hyperlink"/>
          </w:rPr>
          <w:t>CRPD/C/SAU/CO/1</w:t>
        </w:r>
      </w:hyperlink>
      <w:r>
        <w:rPr>
          <w:rtl/>
        </w:rPr>
        <w:t>،</w:t>
      </w:r>
      <w:r w:rsidRPr="00A25342">
        <w:rPr>
          <w:rtl/>
        </w:rPr>
        <w:t xml:space="preserve"> الفقرتان 29</w:t>
      </w:r>
      <w:r w:rsidR="004C6D71">
        <w:rPr>
          <w:rtl/>
        </w:rPr>
        <w:t>(</w:t>
      </w:r>
      <w:r w:rsidRPr="00A25342">
        <w:rPr>
          <w:rtl/>
        </w:rPr>
        <w:t>ب) و(ج) و30</w:t>
      </w:r>
      <w:r w:rsidR="004C6D71">
        <w:rPr>
          <w:rtl/>
        </w:rPr>
        <w:t>(</w:t>
      </w:r>
      <w:r w:rsidRPr="00A25342">
        <w:rPr>
          <w:rtl/>
        </w:rPr>
        <w:t>ب) و(ج).</w:t>
      </w:r>
    </w:p>
  </w:footnote>
  <w:footnote w:id="59">
    <w:p w14:paraId="7D19C0E4" w14:textId="2A92D3C6" w:rsidR="002302AD" w:rsidRPr="002C01CE" w:rsidRDefault="002302AD" w:rsidP="00A83924">
      <w:pPr>
        <w:pStyle w:val="FootnoteText1"/>
        <w:textDirection w:val="tbRlV"/>
      </w:pPr>
      <w:r w:rsidRPr="002C01CE">
        <w:rPr>
          <w:rtl/>
        </w:rPr>
        <w:t>(</w:t>
      </w:r>
      <w:r w:rsidRPr="00995CF3">
        <w:rPr>
          <w:rStyle w:val="FootnoteReference"/>
          <w:vertAlign w:val="baseline"/>
        </w:rPr>
        <w:footnoteRef/>
      </w:r>
      <w:r w:rsidRPr="002C01CE">
        <w:rPr>
          <w:rtl/>
        </w:rPr>
        <w:t>)</w:t>
      </w:r>
      <w:r>
        <w:rPr>
          <w:rtl/>
        </w:rPr>
        <w:tab/>
      </w:r>
      <w:r w:rsidRPr="00A25342">
        <w:rPr>
          <w:rtl/>
        </w:rPr>
        <w:t xml:space="preserve">انظر </w:t>
      </w:r>
      <w:r>
        <w:rPr>
          <w:rtl/>
        </w:rPr>
        <w:t xml:space="preserve">أيضاً </w:t>
      </w:r>
      <w:hyperlink r:id="rId85" w:history="1">
        <w:r w:rsidRPr="002302AD">
          <w:rPr>
            <w:rStyle w:val="Hyperlink"/>
          </w:rPr>
          <w:t>CRPD/C/SAU/CO/1</w:t>
        </w:r>
      </w:hyperlink>
      <w:r>
        <w:rPr>
          <w:rtl/>
        </w:rPr>
        <w:t>،</w:t>
      </w:r>
      <w:r w:rsidRPr="00A25342">
        <w:rPr>
          <w:rtl/>
        </w:rPr>
        <w:t xml:space="preserve"> الفقرتان 31 و32.</w:t>
      </w:r>
    </w:p>
  </w:footnote>
  <w:footnote w:id="60">
    <w:p w14:paraId="44C107CC" w14:textId="3DC4F0DE" w:rsidR="002302AD" w:rsidRPr="002C01CE" w:rsidRDefault="002302AD" w:rsidP="00E609CB">
      <w:pPr>
        <w:pStyle w:val="FootnoteText1"/>
        <w:textDirection w:val="tbRlV"/>
      </w:pPr>
      <w:r w:rsidRPr="002C01CE">
        <w:rPr>
          <w:rtl/>
        </w:rPr>
        <w:t>(</w:t>
      </w:r>
      <w:r w:rsidRPr="00995CF3">
        <w:rPr>
          <w:rStyle w:val="FootnoteReference"/>
          <w:vertAlign w:val="baseline"/>
        </w:rPr>
        <w:footnoteRef/>
      </w:r>
      <w:r w:rsidRPr="002C01CE">
        <w:rPr>
          <w:rtl/>
        </w:rPr>
        <w:t>)</w:t>
      </w:r>
      <w:r>
        <w:rPr>
          <w:rtl/>
        </w:rPr>
        <w:tab/>
      </w:r>
      <w:r w:rsidRPr="00A25342">
        <w:rPr>
          <w:rtl/>
        </w:rPr>
        <w:t xml:space="preserve">انظر </w:t>
      </w:r>
      <w:hyperlink r:id="rId86" w:history="1">
        <w:r w:rsidRPr="002302AD">
          <w:rPr>
            <w:rStyle w:val="Hyperlink"/>
          </w:rPr>
          <w:t>CRPD/C/20/D/38/2016</w:t>
        </w:r>
      </w:hyperlink>
      <w:r w:rsidRPr="00A25342">
        <w:rPr>
          <w:rtl/>
        </w:rPr>
        <w:t>.</w:t>
      </w:r>
    </w:p>
  </w:footnote>
  <w:footnote w:id="61">
    <w:p w14:paraId="54FC3979" w14:textId="3F2B6042" w:rsidR="002302AD" w:rsidRPr="002C01CE" w:rsidRDefault="002302AD" w:rsidP="00A83924">
      <w:pPr>
        <w:pStyle w:val="FootnoteText1"/>
        <w:textDirection w:val="tbRlV"/>
      </w:pPr>
      <w:r w:rsidRPr="002C01CE">
        <w:rPr>
          <w:rtl/>
        </w:rPr>
        <w:t>(</w:t>
      </w:r>
      <w:r w:rsidRPr="00995CF3">
        <w:rPr>
          <w:rStyle w:val="FootnoteReference"/>
          <w:vertAlign w:val="baseline"/>
        </w:rPr>
        <w:footnoteRef/>
      </w:r>
      <w:r w:rsidRPr="002C01CE">
        <w:rPr>
          <w:rtl/>
        </w:rPr>
        <w:t>)</w:t>
      </w:r>
      <w:r>
        <w:rPr>
          <w:rtl/>
        </w:rPr>
        <w:tab/>
      </w:r>
      <w:hyperlink r:id="rId87" w:history="1">
        <w:r w:rsidRPr="002302AD">
          <w:rPr>
            <w:rStyle w:val="Hyperlink"/>
          </w:rPr>
          <w:t>CAT/C/SAU/CO/2</w:t>
        </w:r>
      </w:hyperlink>
      <w:r>
        <w:rPr>
          <w:rtl/>
        </w:rPr>
        <w:t>،</w:t>
      </w:r>
      <w:r w:rsidRPr="00A25342">
        <w:rPr>
          <w:rtl/>
        </w:rPr>
        <w:t xml:space="preserve"> الفقرات 18</w:t>
      </w:r>
      <w:r w:rsidR="004C6D71">
        <w:rPr>
          <w:rtl/>
        </w:rPr>
        <w:t>(</w:t>
      </w:r>
      <w:r w:rsidRPr="00A25342">
        <w:rPr>
          <w:rtl/>
        </w:rPr>
        <w:t>ج) و(د) و23 و24.</w:t>
      </w:r>
    </w:p>
  </w:footnote>
  <w:footnote w:id="62">
    <w:p w14:paraId="216A8746" w14:textId="05D45C7F" w:rsidR="002302AD" w:rsidRPr="002C01CE" w:rsidRDefault="002302AD" w:rsidP="00E609CB">
      <w:pPr>
        <w:pStyle w:val="FootnoteText1"/>
        <w:textDirection w:val="tbRlV"/>
      </w:pPr>
      <w:r w:rsidRPr="002C01CE">
        <w:rPr>
          <w:rtl/>
        </w:rPr>
        <w:t>(</w:t>
      </w:r>
      <w:r w:rsidRPr="00995CF3">
        <w:rPr>
          <w:rStyle w:val="FootnoteReference"/>
          <w:vertAlign w:val="baseline"/>
        </w:rPr>
        <w:footnoteRef/>
      </w:r>
      <w:r w:rsidRPr="002C01CE">
        <w:rPr>
          <w:rtl/>
        </w:rPr>
        <w:t>)</w:t>
      </w:r>
      <w:r>
        <w:rPr>
          <w:rtl/>
        </w:rPr>
        <w:tab/>
      </w:r>
      <w:r w:rsidRPr="00A25342">
        <w:rPr>
          <w:rtl/>
        </w:rPr>
        <w:t xml:space="preserve">انظر </w:t>
      </w:r>
      <w:r>
        <w:rPr>
          <w:rtl/>
        </w:rPr>
        <w:t xml:space="preserve">أيضاً </w:t>
      </w:r>
      <w:hyperlink r:id="rId88" w:history="1">
        <w:r w:rsidRPr="002302AD">
          <w:rPr>
            <w:rStyle w:val="Hyperlink"/>
          </w:rPr>
          <w:t>A/HRC/WG.6/31/SAU/2</w:t>
        </w:r>
      </w:hyperlink>
      <w:r>
        <w:rPr>
          <w:rtl/>
        </w:rPr>
        <w:t>،</w:t>
      </w:r>
      <w:r w:rsidRPr="00A25342">
        <w:rPr>
          <w:rtl/>
        </w:rPr>
        <w:t xml:space="preserve"> الفقرة 28.</w:t>
      </w:r>
    </w:p>
  </w:footnote>
  <w:footnote w:id="63">
    <w:p w14:paraId="5400D50D" w14:textId="102EFAD4" w:rsidR="002302AD" w:rsidRPr="002C01CE" w:rsidRDefault="002302AD" w:rsidP="00A83924">
      <w:pPr>
        <w:pStyle w:val="FootnoteText1"/>
        <w:textDirection w:val="tbRlV"/>
      </w:pPr>
      <w:r w:rsidRPr="002C01CE">
        <w:rPr>
          <w:rtl/>
        </w:rPr>
        <w:t>(</w:t>
      </w:r>
      <w:r w:rsidRPr="00995CF3">
        <w:rPr>
          <w:rStyle w:val="FootnoteReference"/>
          <w:vertAlign w:val="baseline"/>
        </w:rPr>
        <w:footnoteRef/>
      </w:r>
      <w:r w:rsidRPr="002C01CE">
        <w:rPr>
          <w:rtl/>
        </w:rPr>
        <w:t>)</w:t>
      </w:r>
      <w:r>
        <w:rPr>
          <w:rtl/>
        </w:rPr>
        <w:tab/>
      </w:r>
      <w:hyperlink r:id="rId89" w:history="1">
        <w:r w:rsidRPr="002302AD">
          <w:rPr>
            <w:rStyle w:val="Hyperlink"/>
          </w:rPr>
          <w:t>CAT/C/SAU/CO/2</w:t>
        </w:r>
      </w:hyperlink>
      <w:r>
        <w:rPr>
          <w:rtl/>
        </w:rPr>
        <w:t>،</w:t>
      </w:r>
      <w:r w:rsidRPr="00A25342">
        <w:rPr>
          <w:rtl/>
        </w:rPr>
        <w:t xml:space="preserve"> الفقرة 18</w:t>
      </w:r>
      <w:r w:rsidR="004C6D71">
        <w:rPr>
          <w:rtl/>
        </w:rPr>
        <w:t>(</w:t>
      </w:r>
      <w:r w:rsidRPr="00A25342">
        <w:rPr>
          <w:rtl/>
        </w:rPr>
        <w:t>د).</w:t>
      </w:r>
    </w:p>
  </w:footnote>
  <w:footnote w:id="64">
    <w:p w14:paraId="4314AD36" w14:textId="672E8B99" w:rsidR="002302AD" w:rsidRPr="002C01CE" w:rsidRDefault="002302AD" w:rsidP="00A83924">
      <w:pPr>
        <w:pStyle w:val="FootnoteText1"/>
        <w:textDirection w:val="tbRlV"/>
      </w:pPr>
      <w:r w:rsidRPr="002C01CE">
        <w:rPr>
          <w:rtl/>
        </w:rPr>
        <w:t>(</w:t>
      </w:r>
      <w:r w:rsidRPr="00995CF3">
        <w:rPr>
          <w:rStyle w:val="FootnoteReference"/>
          <w:vertAlign w:val="baseline"/>
        </w:rPr>
        <w:footnoteRef/>
      </w:r>
      <w:r w:rsidRPr="002C01CE">
        <w:rPr>
          <w:rtl/>
        </w:rPr>
        <w:t>)</w:t>
      </w:r>
      <w:r>
        <w:rPr>
          <w:rtl/>
        </w:rPr>
        <w:tab/>
      </w:r>
      <w:r w:rsidRPr="00A25342">
        <w:rPr>
          <w:rtl/>
        </w:rPr>
        <w:t>المرجع نفسه</w:t>
      </w:r>
      <w:r>
        <w:rPr>
          <w:rtl/>
        </w:rPr>
        <w:t>،</w:t>
      </w:r>
      <w:r w:rsidRPr="00A25342">
        <w:rPr>
          <w:rtl/>
        </w:rPr>
        <w:t xml:space="preserve"> الفقرات 10 و11 و12. انظر </w:t>
      </w:r>
      <w:r>
        <w:rPr>
          <w:rtl/>
        </w:rPr>
        <w:t xml:space="preserve">أيضاً </w:t>
      </w:r>
      <w:hyperlink r:id="rId90" w:history="1">
        <w:r w:rsidRPr="002302AD">
          <w:rPr>
            <w:rStyle w:val="Hyperlink"/>
          </w:rPr>
          <w:t>CAT/C/CR/28/5</w:t>
        </w:r>
      </w:hyperlink>
      <w:r>
        <w:rPr>
          <w:rtl/>
        </w:rPr>
        <w:t>،</w:t>
      </w:r>
      <w:r w:rsidRPr="00A25342">
        <w:rPr>
          <w:rtl/>
        </w:rPr>
        <w:t xml:space="preserve"> الفقرتان 4</w:t>
      </w:r>
      <w:r w:rsidR="004C6D71">
        <w:rPr>
          <w:rtl/>
        </w:rPr>
        <w:t>(</w:t>
      </w:r>
      <w:r w:rsidRPr="00A25342">
        <w:rPr>
          <w:rtl/>
        </w:rPr>
        <w:t>ب) و8</w:t>
      </w:r>
      <w:r w:rsidR="004C6D71">
        <w:rPr>
          <w:rtl/>
        </w:rPr>
        <w:t>(</w:t>
      </w:r>
      <w:r w:rsidRPr="00A25342">
        <w:rPr>
          <w:rtl/>
        </w:rPr>
        <w:t>ب).</w:t>
      </w:r>
    </w:p>
  </w:footnote>
  <w:footnote w:id="65">
    <w:p w14:paraId="23C9C872" w14:textId="7F6814A0" w:rsidR="002302AD" w:rsidRPr="002C01CE" w:rsidRDefault="002302AD" w:rsidP="00207C80">
      <w:pPr>
        <w:pStyle w:val="FootnoteText1"/>
        <w:textDirection w:val="tbRlV"/>
      </w:pPr>
      <w:r w:rsidRPr="002C01CE">
        <w:rPr>
          <w:rtl/>
        </w:rPr>
        <w:t>(</w:t>
      </w:r>
      <w:r w:rsidRPr="00995CF3">
        <w:rPr>
          <w:rStyle w:val="FootnoteReference"/>
          <w:vertAlign w:val="baseline"/>
        </w:rPr>
        <w:footnoteRef/>
      </w:r>
      <w:r w:rsidRPr="002C01CE">
        <w:rPr>
          <w:rtl/>
        </w:rPr>
        <w:t>)</w:t>
      </w:r>
      <w:r>
        <w:rPr>
          <w:rtl/>
        </w:rPr>
        <w:tab/>
      </w:r>
      <w:r w:rsidRPr="002302AD">
        <w:rPr>
          <w:rtl/>
        </w:rPr>
        <w:t>انظر الرابط التالي:</w:t>
      </w:r>
      <w:r>
        <w:rPr>
          <w:rtl/>
        </w:rPr>
        <w:t xml:space="preserve"> </w:t>
      </w:r>
      <w:r w:rsidR="007E2CB3" w:rsidRPr="007D18BC">
        <w:t>https://tbinternet.ohchr.org/Treaties/CAT/Shared%</w:t>
      </w:r>
      <w:r w:rsidR="007E2CB3" w:rsidRPr="00995CF3">
        <w:t>20</w:t>
      </w:r>
      <w:r w:rsidR="007E2CB3" w:rsidRPr="007D18BC">
        <w:t>Documents/SAU/</w:t>
      </w:r>
      <w:r w:rsidR="007E2CB3">
        <w:br/>
      </w:r>
      <w:r w:rsidR="007E2CB3" w:rsidRPr="007D18BC">
        <w:t>CAT_C_SAU_CO_</w:t>
      </w:r>
      <w:r w:rsidR="007E2CB3" w:rsidRPr="00995CF3">
        <w:t>2</w:t>
      </w:r>
      <w:r w:rsidR="007E2CB3" w:rsidRPr="007D18BC">
        <w:t>_Add-</w:t>
      </w:r>
      <w:r w:rsidR="007E2CB3" w:rsidRPr="00995CF3">
        <w:t>1</w:t>
      </w:r>
      <w:r w:rsidR="007E2CB3" w:rsidRPr="007D18BC">
        <w:t>_</w:t>
      </w:r>
      <w:r w:rsidR="007E2CB3" w:rsidRPr="00995CF3">
        <w:t>24759</w:t>
      </w:r>
      <w:r w:rsidR="007E2CB3" w:rsidRPr="007D18BC">
        <w:t>_A.pdf</w:t>
      </w:r>
      <w:r w:rsidRPr="002302AD">
        <w:rPr>
          <w:rtl/>
        </w:rPr>
        <w:t>.</w:t>
      </w:r>
    </w:p>
  </w:footnote>
  <w:footnote w:id="66">
    <w:p w14:paraId="19A90815" w14:textId="37E461A9" w:rsidR="002302AD" w:rsidRPr="002C01CE" w:rsidRDefault="002302AD" w:rsidP="00207C80">
      <w:pPr>
        <w:pStyle w:val="FootnoteText1"/>
        <w:textDirection w:val="tbRlV"/>
      </w:pPr>
      <w:r w:rsidRPr="002C01CE">
        <w:rPr>
          <w:rtl/>
        </w:rPr>
        <w:t>(</w:t>
      </w:r>
      <w:r w:rsidRPr="00995CF3">
        <w:rPr>
          <w:rStyle w:val="FootnoteReference"/>
          <w:vertAlign w:val="baseline"/>
        </w:rPr>
        <w:footnoteRef/>
      </w:r>
      <w:r w:rsidRPr="002C01CE">
        <w:rPr>
          <w:rtl/>
        </w:rPr>
        <w:t>)</w:t>
      </w:r>
      <w:r>
        <w:rPr>
          <w:rtl/>
        </w:rPr>
        <w:tab/>
      </w:r>
      <w:r w:rsidRPr="002302AD">
        <w:rPr>
          <w:rtl/>
        </w:rPr>
        <w:t>الرسالة المؤرخة 11 كانون الأول/ديسمبر 2018.</w:t>
      </w:r>
    </w:p>
  </w:footnote>
  <w:footnote w:id="67">
    <w:p w14:paraId="35402A4E" w14:textId="62CC0F7D" w:rsidR="002302AD" w:rsidRPr="002C01CE" w:rsidRDefault="002302AD" w:rsidP="00207C80">
      <w:pPr>
        <w:pStyle w:val="FootnoteText1"/>
        <w:textDirection w:val="tbRlV"/>
      </w:pPr>
      <w:r w:rsidRPr="002C01CE">
        <w:rPr>
          <w:rtl/>
        </w:rPr>
        <w:t>(</w:t>
      </w:r>
      <w:r w:rsidRPr="00995CF3">
        <w:rPr>
          <w:rStyle w:val="FootnoteReference"/>
          <w:vertAlign w:val="baseline"/>
        </w:rPr>
        <w:footnoteRef/>
      </w:r>
      <w:r w:rsidRPr="002C01CE">
        <w:rPr>
          <w:rtl/>
        </w:rPr>
        <w:t>)</w:t>
      </w:r>
      <w:r>
        <w:rPr>
          <w:rtl/>
        </w:rPr>
        <w:tab/>
      </w:r>
      <w:r w:rsidRPr="002302AD">
        <w:rPr>
          <w:rtl/>
        </w:rPr>
        <w:t xml:space="preserve">انظر </w:t>
      </w:r>
      <w:r>
        <w:rPr>
          <w:rtl/>
        </w:rPr>
        <w:t xml:space="preserve">أيضاً </w:t>
      </w:r>
      <w:hyperlink r:id="rId91" w:history="1">
        <w:r w:rsidRPr="002302AD">
          <w:rPr>
            <w:rStyle w:val="Hyperlink"/>
          </w:rPr>
          <w:t>CRPD/C/SAU/CO/1</w:t>
        </w:r>
      </w:hyperlink>
      <w:r>
        <w:rPr>
          <w:rtl/>
        </w:rPr>
        <w:t>،</w:t>
      </w:r>
      <w:r w:rsidRPr="002302AD">
        <w:rPr>
          <w:rtl/>
        </w:rPr>
        <w:t xml:space="preserve"> الفقرات 11</w:t>
      </w:r>
      <w:r w:rsidR="004C6D71">
        <w:rPr>
          <w:rtl/>
        </w:rPr>
        <w:t>(</w:t>
      </w:r>
      <w:r w:rsidRPr="002302AD">
        <w:rPr>
          <w:rtl/>
        </w:rPr>
        <w:t>ب)</w:t>
      </w:r>
      <w:r>
        <w:rPr>
          <w:rtl/>
        </w:rPr>
        <w:t>،</w:t>
      </w:r>
      <w:r w:rsidRPr="002302AD">
        <w:rPr>
          <w:rtl/>
        </w:rPr>
        <w:t xml:space="preserve"> و12</w:t>
      </w:r>
      <w:r w:rsidR="004C6D71">
        <w:rPr>
          <w:rtl/>
        </w:rPr>
        <w:t>(</w:t>
      </w:r>
      <w:r w:rsidRPr="002302AD">
        <w:rPr>
          <w:rtl/>
        </w:rPr>
        <w:t>ب)</w:t>
      </w:r>
      <w:r>
        <w:rPr>
          <w:rtl/>
        </w:rPr>
        <w:t>،</w:t>
      </w:r>
      <w:r w:rsidRPr="002302AD">
        <w:rPr>
          <w:rtl/>
        </w:rPr>
        <w:t xml:space="preserve"> و27</w:t>
      </w:r>
      <w:r w:rsidR="004C6D71">
        <w:rPr>
          <w:rtl/>
        </w:rPr>
        <w:t>(</w:t>
      </w:r>
      <w:r w:rsidRPr="002302AD">
        <w:rPr>
          <w:rtl/>
        </w:rPr>
        <w:t>أ) و28</w:t>
      </w:r>
      <w:r w:rsidR="004C6D71">
        <w:rPr>
          <w:rtl/>
        </w:rPr>
        <w:t>(</w:t>
      </w:r>
      <w:r w:rsidRPr="002302AD">
        <w:rPr>
          <w:rtl/>
        </w:rPr>
        <w:t>أ). و</w:t>
      </w:r>
      <w:hyperlink r:id="rId92" w:history="1">
        <w:r w:rsidRPr="002302AD">
          <w:rPr>
            <w:rStyle w:val="Hyperlink"/>
          </w:rPr>
          <w:t>A/A/HRC/WG.6/31/SAU/2</w:t>
        </w:r>
      </w:hyperlink>
      <w:r>
        <w:rPr>
          <w:rtl/>
        </w:rPr>
        <w:t>،</w:t>
      </w:r>
      <w:r w:rsidRPr="002302AD">
        <w:rPr>
          <w:rtl/>
        </w:rPr>
        <w:t xml:space="preserve"> الفقرتان 20 و60.</w:t>
      </w:r>
    </w:p>
  </w:footnote>
  <w:footnote w:id="68">
    <w:p w14:paraId="681FF9D6" w14:textId="4FD493E3" w:rsidR="002302AD" w:rsidRPr="002C01CE" w:rsidRDefault="002302AD" w:rsidP="00207C80">
      <w:pPr>
        <w:pStyle w:val="FootnoteText1"/>
        <w:textDirection w:val="tbRlV"/>
      </w:pPr>
      <w:r w:rsidRPr="002C01CE">
        <w:rPr>
          <w:rtl/>
        </w:rPr>
        <w:t>(</w:t>
      </w:r>
      <w:r w:rsidRPr="00995CF3">
        <w:rPr>
          <w:rStyle w:val="FootnoteReference"/>
          <w:vertAlign w:val="baseline"/>
        </w:rPr>
        <w:footnoteRef/>
      </w:r>
      <w:r w:rsidRPr="002C01CE">
        <w:rPr>
          <w:rtl/>
        </w:rPr>
        <w:t>)</w:t>
      </w:r>
      <w:r>
        <w:rPr>
          <w:rtl/>
        </w:rPr>
        <w:tab/>
      </w:r>
      <w:hyperlink r:id="rId93" w:history="1">
        <w:r w:rsidRPr="002302AD">
          <w:rPr>
            <w:rStyle w:val="Hyperlink"/>
          </w:rPr>
          <w:t>CAT/C/SAU/CO/2</w:t>
        </w:r>
      </w:hyperlink>
      <w:r>
        <w:rPr>
          <w:rtl/>
        </w:rPr>
        <w:t>،</w:t>
      </w:r>
      <w:r w:rsidRPr="002302AD">
        <w:rPr>
          <w:rtl/>
        </w:rPr>
        <w:t xml:space="preserve"> الفقرتان 42 و43.</w:t>
      </w:r>
    </w:p>
  </w:footnote>
  <w:footnote w:id="69">
    <w:p w14:paraId="0CFF8496" w14:textId="24A84B21" w:rsidR="002302AD" w:rsidRPr="002C01CE" w:rsidRDefault="002302AD" w:rsidP="00207C80">
      <w:pPr>
        <w:pStyle w:val="FootnoteText1"/>
        <w:textDirection w:val="tbRlV"/>
      </w:pPr>
      <w:r w:rsidRPr="002C01CE">
        <w:rPr>
          <w:rtl/>
        </w:rPr>
        <w:t>(</w:t>
      </w:r>
      <w:r w:rsidRPr="00995CF3">
        <w:rPr>
          <w:rStyle w:val="FootnoteReference"/>
          <w:vertAlign w:val="baseline"/>
        </w:rPr>
        <w:footnoteRef/>
      </w:r>
      <w:r w:rsidRPr="002C01CE">
        <w:rPr>
          <w:rtl/>
        </w:rPr>
        <w:t>)</w:t>
      </w:r>
      <w:r>
        <w:rPr>
          <w:rtl/>
        </w:rPr>
        <w:tab/>
      </w:r>
      <w:r w:rsidRPr="002302AD">
        <w:rPr>
          <w:rtl/>
        </w:rPr>
        <w:t>انظر الرابط التالي:</w:t>
      </w:r>
      <w:r>
        <w:rPr>
          <w:rtl/>
        </w:rPr>
        <w:t xml:space="preserve"> </w:t>
      </w:r>
      <w:bookmarkStart w:id="1" w:name="_Hlk94212007"/>
      <w:r w:rsidR="007E2CB3" w:rsidRPr="007D18BC">
        <w:t>https://tbinternet.ohchr.org/Treaties/CAT/Shared%</w:t>
      </w:r>
      <w:r w:rsidR="007E2CB3" w:rsidRPr="00995CF3">
        <w:t>20</w:t>
      </w:r>
      <w:r w:rsidR="007E2CB3" w:rsidRPr="007D18BC">
        <w:t>Documents/SAU/</w:t>
      </w:r>
      <w:r w:rsidR="007E2CB3">
        <w:br/>
      </w:r>
      <w:r w:rsidR="007E2CB3" w:rsidRPr="007D18BC">
        <w:t>CAT_C_SAU_CO_</w:t>
      </w:r>
      <w:r w:rsidR="007E2CB3" w:rsidRPr="00995CF3">
        <w:t>2</w:t>
      </w:r>
      <w:r w:rsidR="007E2CB3" w:rsidRPr="007D18BC">
        <w:t>_Add-</w:t>
      </w:r>
      <w:r w:rsidR="007E2CB3" w:rsidRPr="00995CF3">
        <w:t>1</w:t>
      </w:r>
      <w:r w:rsidR="007E2CB3" w:rsidRPr="007D18BC">
        <w:t>_</w:t>
      </w:r>
      <w:r w:rsidR="007E2CB3" w:rsidRPr="00995CF3">
        <w:t>24759</w:t>
      </w:r>
      <w:r w:rsidR="007E2CB3" w:rsidRPr="007D18BC">
        <w:t>_A.pdf</w:t>
      </w:r>
      <w:bookmarkEnd w:id="1"/>
      <w:r w:rsidRPr="002302AD">
        <w:rPr>
          <w:rtl/>
        </w:rPr>
        <w:t>.</w:t>
      </w:r>
    </w:p>
  </w:footnote>
  <w:footnote w:id="70">
    <w:p w14:paraId="3DC04EE2" w14:textId="5DFD9C5A" w:rsidR="002302AD" w:rsidRPr="002C01CE" w:rsidRDefault="002302AD" w:rsidP="00207C80">
      <w:pPr>
        <w:pStyle w:val="FootnoteText1"/>
        <w:textDirection w:val="tbRlV"/>
      </w:pPr>
      <w:r w:rsidRPr="002C01CE">
        <w:rPr>
          <w:rtl/>
        </w:rPr>
        <w:t>(</w:t>
      </w:r>
      <w:r w:rsidRPr="00995CF3">
        <w:rPr>
          <w:rStyle w:val="FootnoteReference"/>
          <w:vertAlign w:val="baseline"/>
        </w:rPr>
        <w:footnoteRef/>
      </w:r>
      <w:r w:rsidRPr="002C01CE">
        <w:rPr>
          <w:rtl/>
        </w:rPr>
        <w:t>)</w:t>
      </w:r>
      <w:r>
        <w:rPr>
          <w:rtl/>
        </w:rPr>
        <w:tab/>
      </w:r>
      <w:r w:rsidRPr="002302AD">
        <w:rPr>
          <w:rtl/>
        </w:rPr>
        <w:t>الرسالة المؤرخة 11 كانون الأول/ديسمبر 2018.</w:t>
      </w:r>
    </w:p>
  </w:footnote>
  <w:footnote w:id="71">
    <w:p w14:paraId="200F75B8" w14:textId="1E0B2A19" w:rsidR="002302AD" w:rsidRPr="002C01CE" w:rsidRDefault="002302AD" w:rsidP="006C3533">
      <w:pPr>
        <w:pStyle w:val="FootnoteText1"/>
        <w:textDirection w:val="tbRlV"/>
      </w:pPr>
      <w:r w:rsidRPr="002C01CE">
        <w:rPr>
          <w:rtl/>
        </w:rPr>
        <w:t>(</w:t>
      </w:r>
      <w:r w:rsidRPr="00995CF3">
        <w:rPr>
          <w:rStyle w:val="FootnoteReference"/>
          <w:vertAlign w:val="baseline"/>
        </w:rPr>
        <w:footnoteRef/>
      </w:r>
      <w:r w:rsidRPr="002C01CE">
        <w:rPr>
          <w:rtl/>
        </w:rPr>
        <w:t>)</w:t>
      </w:r>
      <w:r>
        <w:rPr>
          <w:rtl/>
        </w:rPr>
        <w:tab/>
      </w:r>
      <w:r w:rsidRPr="002302AD">
        <w:rPr>
          <w:rtl/>
        </w:rPr>
        <w:t xml:space="preserve">انظر </w:t>
      </w:r>
      <w:r>
        <w:rPr>
          <w:rtl/>
        </w:rPr>
        <w:t xml:space="preserve">أيضاً </w:t>
      </w:r>
      <w:hyperlink r:id="rId94" w:history="1">
        <w:r w:rsidRPr="002302AD">
          <w:rPr>
            <w:rStyle w:val="Hyperlink"/>
          </w:rPr>
          <w:t>A/HRC/WG.6/31/SAU/2</w:t>
        </w:r>
      </w:hyperlink>
      <w:r>
        <w:rPr>
          <w:rtl/>
        </w:rPr>
        <w:t>،</w:t>
      </w:r>
      <w:r w:rsidRPr="002302AD">
        <w:rPr>
          <w:rtl/>
        </w:rPr>
        <w:t xml:space="preserve"> الفقرة 16.</w:t>
      </w:r>
    </w:p>
  </w:footnote>
  <w:footnote w:id="72">
    <w:p w14:paraId="04453FAB" w14:textId="1434CC0C" w:rsidR="002302AD" w:rsidRPr="002C01CE" w:rsidRDefault="002302AD" w:rsidP="006C3533">
      <w:pPr>
        <w:pStyle w:val="FootnoteText1"/>
        <w:textDirection w:val="tbRlV"/>
      </w:pPr>
      <w:r w:rsidRPr="002C01CE">
        <w:rPr>
          <w:rtl/>
        </w:rPr>
        <w:t>(</w:t>
      </w:r>
      <w:r w:rsidRPr="00995CF3">
        <w:rPr>
          <w:rStyle w:val="FootnoteReference"/>
          <w:vertAlign w:val="baseline"/>
        </w:rPr>
        <w:footnoteRef/>
      </w:r>
      <w:r w:rsidRPr="002C01CE">
        <w:rPr>
          <w:rtl/>
        </w:rPr>
        <w:t>)</w:t>
      </w:r>
      <w:r>
        <w:rPr>
          <w:rtl/>
        </w:rPr>
        <w:tab/>
      </w:r>
      <w:r w:rsidRPr="002302AD">
        <w:rPr>
          <w:rtl/>
        </w:rPr>
        <w:t xml:space="preserve">انظر </w:t>
      </w:r>
      <w:hyperlink r:id="rId95" w:history="1">
        <w:r w:rsidRPr="002302AD">
          <w:rPr>
            <w:rStyle w:val="Hyperlink"/>
          </w:rPr>
          <w:t>A/HRC/40/4</w:t>
        </w:r>
      </w:hyperlink>
      <w:r>
        <w:rPr>
          <w:rtl/>
        </w:rPr>
        <w:t>،</w:t>
      </w:r>
      <w:r w:rsidRPr="002302AD">
        <w:rPr>
          <w:rtl/>
        </w:rPr>
        <w:t xml:space="preserve"> الفقرة 122</w:t>
      </w:r>
      <w:r w:rsidR="00242EFA">
        <w:rPr>
          <w:rFonts w:hint="cs"/>
          <w:rtl/>
        </w:rPr>
        <w:t>-</w:t>
      </w:r>
      <w:r w:rsidRPr="002302AD">
        <w:rPr>
          <w:rtl/>
        </w:rPr>
        <w:t>107؛ و</w:t>
      </w:r>
      <w:hyperlink r:id="rId96" w:history="1">
        <w:r w:rsidRPr="002302AD">
          <w:rPr>
            <w:rStyle w:val="Hyperlink"/>
          </w:rPr>
          <w:t>A/HRC/40/4/Add.1</w:t>
        </w:r>
      </w:hyperlink>
      <w:r>
        <w:rPr>
          <w:rtl/>
        </w:rPr>
        <w:t>،</w:t>
      </w:r>
      <w:r w:rsidRPr="002302AD">
        <w:rPr>
          <w:rtl/>
        </w:rPr>
        <w:t xml:space="preserve"> الفقرة 9</w:t>
      </w:r>
      <w:r>
        <w:rPr>
          <w:rtl/>
        </w:rPr>
        <w:t>،</w:t>
      </w:r>
      <w:r w:rsidRPr="002302AD">
        <w:rPr>
          <w:rtl/>
        </w:rPr>
        <w:t xml:space="preserve"> قبول التوصية.</w:t>
      </w:r>
    </w:p>
  </w:footnote>
  <w:footnote w:id="73">
    <w:p w14:paraId="72B77828" w14:textId="124E3606" w:rsidR="002302AD" w:rsidRPr="002C01CE" w:rsidRDefault="002302AD" w:rsidP="00E609CB">
      <w:pPr>
        <w:pStyle w:val="FootnoteText1"/>
        <w:textDirection w:val="tbRlV"/>
      </w:pPr>
      <w:r w:rsidRPr="002C01CE">
        <w:rPr>
          <w:rtl/>
        </w:rPr>
        <w:t>(</w:t>
      </w:r>
      <w:r w:rsidRPr="00995CF3">
        <w:rPr>
          <w:rStyle w:val="FootnoteReference"/>
          <w:vertAlign w:val="baseline"/>
        </w:rPr>
        <w:footnoteRef/>
      </w:r>
      <w:r w:rsidRPr="002C01CE">
        <w:rPr>
          <w:rtl/>
        </w:rPr>
        <w:t>)</w:t>
      </w:r>
      <w:r>
        <w:rPr>
          <w:rtl/>
        </w:rPr>
        <w:tab/>
      </w:r>
      <w:r w:rsidRPr="002302AD">
        <w:rPr>
          <w:rtl/>
        </w:rPr>
        <w:t xml:space="preserve">انظر </w:t>
      </w:r>
      <w:r>
        <w:rPr>
          <w:rtl/>
        </w:rPr>
        <w:t xml:space="preserve">أيضاً </w:t>
      </w:r>
      <w:hyperlink r:id="rId97" w:history="1">
        <w:r w:rsidRPr="002302AD">
          <w:rPr>
            <w:rStyle w:val="Hyperlink"/>
          </w:rPr>
          <w:t>CERD/C/SAU/CO/4-9</w:t>
        </w:r>
      </w:hyperlink>
      <w:r>
        <w:rPr>
          <w:rtl/>
        </w:rPr>
        <w:t>،</w:t>
      </w:r>
      <w:r w:rsidRPr="002302AD">
        <w:rPr>
          <w:rtl/>
        </w:rPr>
        <w:t xml:space="preserve"> الفقرتان 17 و18</w:t>
      </w:r>
      <w:r w:rsidR="004C6D71">
        <w:rPr>
          <w:rtl/>
        </w:rPr>
        <w:t>(</w:t>
      </w:r>
      <w:r w:rsidRPr="002302AD">
        <w:rPr>
          <w:rtl/>
        </w:rPr>
        <w:t>ز)؛ و</w:t>
      </w:r>
      <w:hyperlink r:id="rId98" w:history="1">
        <w:r w:rsidRPr="002302AD">
          <w:rPr>
            <w:rStyle w:val="Hyperlink"/>
          </w:rPr>
          <w:t>A/A/HRC/WG.6/31/SAU/2</w:t>
        </w:r>
      </w:hyperlink>
      <w:r>
        <w:rPr>
          <w:rtl/>
        </w:rPr>
        <w:t>،</w:t>
      </w:r>
      <w:r w:rsidRPr="002302AD">
        <w:rPr>
          <w:rtl/>
        </w:rPr>
        <w:t xml:space="preserve"> الفقرة 16.</w:t>
      </w:r>
    </w:p>
  </w:footnote>
  <w:footnote w:id="74">
    <w:p w14:paraId="7B4EC9B2" w14:textId="6F68869D" w:rsidR="002302AD" w:rsidRPr="002C01CE" w:rsidRDefault="002302AD" w:rsidP="006C3533">
      <w:pPr>
        <w:pStyle w:val="FootnoteText1"/>
        <w:textDirection w:val="tbRlV"/>
      </w:pPr>
      <w:r w:rsidRPr="002C01CE">
        <w:rPr>
          <w:rtl/>
        </w:rPr>
        <w:t>(</w:t>
      </w:r>
      <w:r w:rsidRPr="00995CF3">
        <w:rPr>
          <w:rStyle w:val="FootnoteReference"/>
          <w:vertAlign w:val="baseline"/>
        </w:rPr>
        <w:footnoteRef/>
      </w:r>
      <w:r w:rsidRPr="002C01CE">
        <w:rPr>
          <w:rtl/>
        </w:rPr>
        <w:t>)</w:t>
      </w:r>
      <w:r>
        <w:rPr>
          <w:rtl/>
        </w:rPr>
        <w:tab/>
      </w:r>
      <w:r w:rsidRPr="002302AD">
        <w:rPr>
          <w:rtl/>
        </w:rPr>
        <w:t xml:space="preserve">انظر </w:t>
      </w:r>
      <w:r>
        <w:rPr>
          <w:rtl/>
        </w:rPr>
        <w:t xml:space="preserve">أيضاً </w:t>
      </w:r>
      <w:hyperlink r:id="rId99" w:history="1">
        <w:r w:rsidRPr="002302AD">
          <w:rPr>
            <w:rStyle w:val="Hyperlink"/>
          </w:rPr>
          <w:t>CRPD/C/SAU/CO/1</w:t>
        </w:r>
      </w:hyperlink>
      <w:r>
        <w:rPr>
          <w:rtl/>
        </w:rPr>
        <w:t>،</w:t>
      </w:r>
      <w:r w:rsidRPr="002302AD">
        <w:rPr>
          <w:rtl/>
        </w:rPr>
        <w:t xml:space="preserve"> الفقرتان 17 و18</w:t>
      </w:r>
      <w:r>
        <w:rPr>
          <w:rtl/>
        </w:rPr>
        <w:t xml:space="preserve">. </w:t>
      </w:r>
    </w:p>
  </w:footnote>
  <w:footnote w:id="75">
    <w:p w14:paraId="180B052A" w14:textId="5495D4A0" w:rsidR="002302AD" w:rsidRPr="002C01CE" w:rsidRDefault="002302AD" w:rsidP="006C3533">
      <w:pPr>
        <w:pStyle w:val="FootnoteText1"/>
        <w:textDirection w:val="tbRlV"/>
      </w:pPr>
      <w:r w:rsidRPr="002C01CE">
        <w:rPr>
          <w:rtl/>
        </w:rPr>
        <w:t>(</w:t>
      </w:r>
      <w:r w:rsidRPr="00995CF3">
        <w:rPr>
          <w:rStyle w:val="FootnoteReference"/>
          <w:vertAlign w:val="baseline"/>
        </w:rPr>
        <w:footnoteRef/>
      </w:r>
      <w:r w:rsidRPr="002C01CE">
        <w:rPr>
          <w:rtl/>
        </w:rPr>
        <w:t>)</w:t>
      </w:r>
      <w:r>
        <w:rPr>
          <w:rtl/>
        </w:rPr>
        <w:tab/>
      </w:r>
      <w:hyperlink r:id="rId100" w:history="1">
        <w:r w:rsidRPr="002302AD">
          <w:rPr>
            <w:rStyle w:val="Hyperlink"/>
          </w:rPr>
          <w:t>CAT/C/SAU/CO/2</w:t>
        </w:r>
      </w:hyperlink>
      <w:r>
        <w:rPr>
          <w:rtl/>
        </w:rPr>
        <w:t>،</w:t>
      </w:r>
      <w:r w:rsidRPr="002302AD">
        <w:rPr>
          <w:rtl/>
        </w:rPr>
        <w:t xml:space="preserve"> الفقرتان 19 و20</w:t>
      </w:r>
      <w:r>
        <w:rPr>
          <w:rtl/>
        </w:rPr>
        <w:t xml:space="preserve">. </w:t>
      </w:r>
    </w:p>
  </w:footnote>
  <w:footnote w:id="76">
    <w:p w14:paraId="4EB1AC93" w14:textId="68B435A2" w:rsidR="002302AD" w:rsidRPr="002C01CE" w:rsidRDefault="002302AD" w:rsidP="006C3533">
      <w:pPr>
        <w:pStyle w:val="FootnoteText1"/>
        <w:textDirection w:val="tbRlV"/>
      </w:pPr>
      <w:r w:rsidRPr="002C01CE">
        <w:rPr>
          <w:rtl/>
        </w:rPr>
        <w:t>(</w:t>
      </w:r>
      <w:r w:rsidRPr="00995CF3">
        <w:rPr>
          <w:rStyle w:val="FootnoteReference"/>
          <w:vertAlign w:val="baseline"/>
        </w:rPr>
        <w:footnoteRef/>
      </w:r>
      <w:r w:rsidRPr="002C01CE">
        <w:rPr>
          <w:rtl/>
        </w:rPr>
        <w:t>)</w:t>
      </w:r>
      <w:r>
        <w:rPr>
          <w:rtl/>
        </w:rPr>
        <w:tab/>
      </w:r>
      <w:r w:rsidRPr="002302AD">
        <w:rPr>
          <w:rtl/>
        </w:rPr>
        <w:t xml:space="preserve">انظر الرابط التالي: </w:t>
      </w:r>
      <w:r w:rsidR="007E2CB3" w:rsidRPr="007D18BC">
        <w:t>https://tbinternet.ohchr.org/Treaties/CAT/Shared%</w:t>
      </w:r>
      <w:r w:rsidR="007E2CB3" w:rsidRPr="00995CF3">
        <w:t>20</w:t>
      </w:r>
      <w:r w:rsidR="007E2CB3" w:rsidRPr="007D18BC">
        <w:t>Documents/SAU/</w:t>
      </w:r>
      <w:r w:rsidR="007E2CB3">
        <w:br/>
      </w:r>
      <w:r w:rsidR="007E2CB3" w:rsidRPr="007D18BC">
        <w:t>CAT_C_SAU_CO_</w:t>
      </w:r>
      <w:r w:rsidR="007E2CB3" w:rsidRPr="00995CF3">
        <w:t>2</w:t>
      </w:r>
      <w:r w:rsidR="007E2CB3" w:rsidRPr="007D18BC">
        <w:t>_Add-</w:t>
      </w:r>
      <w:r w:rsidR="007E2CB3" w:rsidRPr="00995CF3">
        <w:t>1</w:t>
      </w:r>
      <w:r w:rsidR="007E2CB3" w:rsidRPr="007D18BC">
        <w:t>_</w:t>
      </w:r>
      <w:r w:rsidR="007E2CB3" w:rsidRPr="00995CF3">
        <w:t>24759</w:t>
      </w:r>
      <w:r w:rsidR="007E2CB3" w:rsidRPr="007D18BC">
        <w:t>_</w:t>
      </w:r>
      <w:proofErr w:type="gramStart"/>
      <w:r w:rsidR="007E2CB3" w:rsidRPr="007D18BC">
        <w:t>A.pdf</w:t>
      </w:r>
      <w:r w:rsidR="007E2CB3">
        <w:t>P</w:t>
      </w:r>
      <w:proofErr w:type="gramEnd"/>
      <w:r w:rsidRPr="002302AD">
        <w:rPr>
          <w:rtl/>
        </w:rPr>
        <w:t xml:space="preserve"> الفقرات 1 و2 و3 و4 و5 و6 و7 و8.</w:t>
      </w:r>
    </w:p>
  </w:footnote>
  <w:footnote w:id="77">
    <w:p w14:paraId="544FA2AD" w14:textId="26BF1FA4" w:rsidR="002302AD" w:rsidRPr="002C01CE" w:rsidRDefault="002302AD" w:rsidP="006C3533">
      <w:pPr>
        <w:pStyle w:val="FootnoteText1"/>
        <w:textDirection w:val="tbRlV"/>
      </w:pPr>
      <w:r w:rsidRPr="002C01CE">
        <w:rPr>
          <w:rtl/>
        </w:rPr>
        <w:t>(</w:t>
      </w:r>
      <w:r w:rsidRPr="00995CF3">
        <w:rPr>
          <w:rStyle w:val="FootnoteReference"/>
          <w:vertAlign w:val="baseline"/>
        </w:rPr>
        <w:footnoteRef/>
      </w:r>
      <w:r w:rsidRPr="002C01CE">
        <w:rPr>
          <w:rtl/>
        </w:rPr>
        <w:t>)</w:t>
      </w:r>
      <w:r>
        <w:rPr>
          <w:rtl/>
        </w:rPr>
        <w:tab/>
      </w:r>
      <w:r w:rsidRPr="002302AD">
        <w:rPr>
          <w:rtl/>
        </w:rPr>
        <w:t>الرسالتان المؤرختان 11 كانون الأول/ديسمبر 2018 و4 حزيران/</w:t>
      </w:r>
      <w:proofErr w:type="gramStart"/>
      <w:r w:rsidRPr="002302AD">
        <w:rPr>
          <w:rtl/>
        </w:rPr>
        <w:t>يونيه</w:t>
      </w:r>
      <w:proofErr w:type="gramEnd"/>
      <w:r w:rsidRPr="002302AD">
        <w:rPr>
          <w:rtl/>
        </w:rPr>
        <w:t xml:space="preserve"> 2019.</w:t>
      </w:r>
      <w:r>
        <w:rPr>
          <w:rtl/>
        </w:rPr>
        <w:t xml:space="preserve"> </w:t>
      </w:r>
    </w:p>
  </w:footnote>
  <w:footnote w:id="78">
    <w:p w14:paraId="693D5A46" w14:textId="10420F27" w:rsidR="002302AD" w:rsidRPr="002C01CE" w:rsidRDefault="002302AD" w:rsidP="006C3533">
      <w:pPr>
        <w:pStyle w:val="FootnoteText1"/>
        <w:textDirection w:val="tbRlV"/>
      </w:pPr>
      <w:r w:rsidRPr="002C01CE">
        <w:rPr>
          <w:rtl/>
        </w:rPr>
        <w:t>(</w:t>
      </w:r>
      <w:r w:rsidRPr="00995CF3">
        <w:rPr>
          <w:rStyle w:val="FootnoteReference"/>
          <w:vertAlign w:val="baseline"/>
        </w:rPr>
        <w:footnoteRef/>
      </w:r>
      <w:r w:rsidRPr="002C01CE">
        <w:rPr>
          <w:rtl/>
        </w:rPr>
        <w:t>)</w:t>
      </w:r>
      <w:r>
        <w:rPr>
          <w:rtl/>
        </w:rPr>
        <w:tab/>
      </w:r>
      <w:r w:rsidRPr="002302AD">
        <w:rPr>
          <w:rtl/>
        </w:rPr>
        <w:t>الفريق العامل المعني بالاحتجاز التعسفي</w:t>
      </w:r>
      <w:r>
        <w:rPr>
          <w:rtl/>
        </w:rPr>
        <w:t>،</w:t>
      </w:r>
      <w:r w:rsidRPr="002302AD">
        <w:rPr>
          <w:rtl/>
        </w:rPr>
        <w:t xml:space="preserve"> الرأي رقم 68/2018.</w:t>
      </w:r>
    </w:p>
  </w:footnote>
  <w:footnote w:id="79">
    <w:p w14:paraId="0FAB0F1D" w14:textId="6B4C936C" w:rsidR="002302AD" w:rsidRPr="002C01CE" w:rsidRDefault="002302AD" w:rsidP="006C3533">
      <w:pPr>
        <w:pStyle w:val="FootnoteText1"/>
        <w:textDirection w:val="tbRlV"/>
      </w:pPr>
      <w:r w:rsidRPr="002C01CE">
        <w:rPr>
          <w:rtl/>
        </w:rPr>
        <w:t>(</w:t>
      </w:r>
      <w:r w:rsidRPr="00995CF3">
        <w:rPr>
          <w:rStyle w:val="FootnoteReference"/>
          <w:vertAlign w:val="baseline"/>
        </w:rPr>
        <w:footnoteRef/>
      </w:r>
      <w:r w:rsidRPr="002C01CE">
        <w:rPr>
          <w:rtl/>
        </w:rPr>
        <w:t>)</w:t>
      </w:r>
      <w:r>
        <w:rPr>
          <w:rtl/>
        </w:rPr>
        <w:tab/>
      </w:r>
      <w:r w:rsidRPr="002302AD">
        <w:rPr>
          <w:rtl/>
        </w:rPr>
        <w:t>الفريق العامل المعني بالاحتجاز التعسفي</w:t>
      </w:r>
      <w:r>
        <w:rPr>
          <w:rtl/>
        </w:rPr>
        <w:t>،</w:t>
      </w:r>
      <w:r w:rsidRPr="002302AD">
        <w:rPr>
          <w:rtl/>
        </w:rPr>
        <w:t xml:space="preserve"> الرأي رقم 22/2019.</w:t>
      </w:r>
    </w:p>
  </w:footnote>
  <w:footnote w:id="80">
    <w:p w14:paraId="441FDCF4" w14:textId="3B6CBA0F" w:rsidR="002302AD" w:rsidRPr="002C01CE" w:rsidRDefault="002302AD" w:rsidP="006C3533">
      <w:pPr>
        <w:pStyle w:val="FootnoteText1"/>
        <w:textDirection w:val="tbRlV"/>
      </w:pPr>
      <w:r w:rsidRPr="002C01CE">
        <w:rPr>
          <w:rtl/>
        </w:rPr>
        <w:t>(</w:t>
      </w:r>
      <w:r w:rsidRPr="00995CF3">
        <w:rPr>
          <w:rStyle w:val="FootnoteReference"/>
          <w:vertAlign w:val="baseline"/>
        </w:rPr>
        <w:footnoteRef/>
      </w:r>
      <w:r w:rsidRPr="002C01CE">
        <w:rPr>
          <w:rtl/>
        </w:rPr>
        <w:t>)</w:t>
      </w:r>
      <w:r>
        <w:rPr>
          <w:rtl/>
        </w:rPr>
        <w:tab/>
      </w:r>
      <w:r w:rsidRPr="002302AD">
        <w:rPr>
          <w:rtl/>
        </w:rPr>
        <w:t>الفريق العامل المعني بالاحتجاز التعسفي</w:t>
      </w:r>
      <w:r>
        <w:rPr>
          <w:rtl/>
        </w:rPr>
        <w:t>،</w:t>
      </w:r>
      <w:r w:rsidRPr="002302AD">
        <w:rPr>
          <w:rtl/>
        </w:rPr>
        <w:t xml:space="preserve"> الرأي رقم 10/2018.</w:t>
      </w:r>
    </w:p>
  </w:footnote>
  <w:footnote w:id="81">
    <w:p w14:paraId="7AB9C1C5" w14:textId="7DC3C09A" w:rsidR="002302AD" w:rsidRPr="002C01CE" w:rsidRDefault="002302AD" w:rsidP="006C3533">
      <w:pPr>
        <w:pStyle w:val="FootnoteText1"/>
        <w:textDirection w:val="tbRlV"/>
      </w:pPr>
      <w:r w:rsidRPr="002C01CE">
        <w:rPr>
          <w:rtl/>
        </w:rPr>
        <w:t>(</w:t>
      </w:r>
      <w:r w:rsidRPr="00995CF3">
        <w:rPr>
          <w:rStyle w:val="FootnoteReference"/>
          <w:vertAlign w:val="baseline"/>
        </w:rPr>
        <w:footnoteRef/>
      </w:r>
      <w:r w:rsidRPr="002C01CE">
        <w:rPr>
          <w:rtl/>
        </w:rPr>
        <w:t>)</w:t>
      </w:r>
      <w:r>
        <w:rPr>
          <w:rtl/>
        </w:rPr>
        <w:tab/>
      </w:r>
      <w:r w:rsidRPr="002302AD">
        <w:rPr>
          <w:rtl/>
        </w:rPr>
        <w:t xml:space="preserve">انظر </w:t>
      </w:r>
      <w:r>
        <w:rPr>
          <w:rtl/>
        </w:rPr>
        <w:t xml:space="preserve">أيضاً </w:t>
      </w:r>
      <w:hyperlink r:id="rId101" w:history="1">
        <w:r w:rsidRPr="002302AD">
          <w:rPr>
            <w:rStyle w:val="Hyperlink"/>
          </w:rPr>
          <w:t>CRC/C/OPSC/SAU/CO/1</w:t>
        </w:r>
      </w:hyperlink>
      <w:r>
        <w:rPr>
          <w:rtl/>
        </w:rPr>
        <w:t>،</w:t>
      </w:r>
      <w:r w:rsidRPr="002302AD">
        <w:rPr>
          <w:rtl/>
        </w:rPr>
        <w:t xml:space="preserve"> الفقرتان 18 و19؛ </w:t>
      </w:r>
      <w:hyperlink r:id="rId102" w:history="1">
        <w:r w:rsidRPr="002302AD">
          <w:rPr>
            <w:rStyle w:val="Hyperlink"/>
          </w:rPr>
          <w:t>CEDAW/C/SAU/CO/3-4</w:t>
        </w:r>
      </w:hyperlink>
      <w:r>
        <w:rPr>
          <w:rtl/>
        </w:rPr>
        <w:t>،</w:t>
      </w:r>
      <w:r w:rsidRPr="002302AD">
        <w:rPr>
          <w:rtl/>
        </w:rPr>
        <w:t xml:space="preserve"> الفقرتان 25 و26؛ و</w:t>
      </w:r>
      <w:hyperlink r:id="rId103" w:history="1">
        <w:r w:rsidRPr="002302AD">
          <w:rPr>
            <w:rStyle w:val="Hyperlink"/>
          </w:rPr>
          <w:t>A/A/HRC/WG.6/31/SAU/2</w:t>
        </w:r>
      </w:hyperlink>
      <w:r>
        <w:rPr>
          <w:rtl/>
        </w:rPr>
        <w:t>،</w:t>
      </w:r>
      <w:r w:rsidRPr="002302AD">
        <w:rPr>
          <w:rtl/>
        </w:rPr>
        <w:t xml:space="preserve"> الفقرة 22.</w:t>
      </w:r>
    </w:p>
  </w:footnote>
  <w:footnote w:id="82">
    <w:p w14:paraId="2198EEFC" w14:textId="2BBCED1E" w:rsidR="002302AD" w:rsidRPr="002C01CE" w:rsidRDefault="002302AD" w:rsidP="006C3533">
      <w:pPr>
        <w:pStyle w:val="FootnoteText1"/>
        <w:textDirection w:val="tbRlV"/>
      </w:pPr>
      <w:r w:rsidRPr="002C01CE">
        <w:rPr>
          <w:rtl/>
        </w:rPr>
        <w:t>(</w:t>
      </w:r>
      <w:r w:rsidRPr="00995CF3">
        <w:rPr>
          <w:rStyle w:val="FootnoteReference"/>
          <w:vertAlign w:val="baseline"/>
        </w:rPr>
        <w:footnoteRef/>
      </w:r>
      <w:r w:rsidRPr="002C01CE">
        <w:rPr>
          <w:rtl/>
        </w:rPr>
        <w:t>)</w:t>
      </w:r>
      <w:r>
        <w:rPr>
          <w:rtl/>
        </w:rPr>
        <w:tab/>
      </w:r>
      <w:r w:rsidRPr="002302AD">
        <w:rPr>
          <w:rtl/>
        </w:rPr>
        <w:t>الرسالتان المؤرختان 11 كانون الأول/ديسمبر 2018 و4 حزيران/</w:t>
      </w:r>
      <w:proofErr w:type="gramStart"/>
      <w:r w:rsidRPr="002302AD">
        <w:rPr>
          <w:rtl/>
        </w:rPr>
        <w:t>يونيه</w:t>
      </w:r>
      <w:proofErr w:type="gramEnd"/>
      <w:r w:rsidRPr="002302AD">
        <w:rPr>
          <w:rtl/>
        </w:rPr>
        <w:t xml:space="preserve"> 2019.</w:t>
      </w:r>
    </w:p>
  </w:footnote>
  <w:footnote w:id="83">
    <w:p w14:paraId="54CD483E" w14:textId="7BF16791" w:rsidR="002302AD" w:rsidRPr="002C01CE" w:rsidRDefault="002302AD" w:rsidP="006C3533">
      <w:pPr>
        <w:pStyle w:val="FootnoteText1"/>
        <w:textDirection w:val="tbRlV"/>
      </w:pPr>
      <w:r w:rsidRPr="002C01CE">
        <w:rPr>
          <w:rtl/>
        </w:rPr>
        <w:t>(</w:t>
      </w:r>
      <w:r w:rsidRPr="00995CF3">
        <w:rPr>
          <w:rStyle w:val="FootnoteReference"/>
          <w:vertAlign w:val="baseline"/>
        </w:rPr>
        <w:footnoteRef/>
      </w:r>
      <w:r w:rsidRPr="002C01CE">
        <w:rPr>
          <w:rtl/>
        </w:rPr>
        <w:t>)</w:t>
      </w:r>
      <w:r>
        <w:rPr>
          <w:rtl/>
        </w:rPr>
        <w:tab/>
      </w:r>
      <w:r w:rsidRPr="007E2CB3">
        <w:rPr>
          <w:spacing w:val="-4"/>
          <w:rtl/>
        </w:rPr>
        <w:t xml:space="preserve">انظر </w:t>
      </w:r>
      <w:hyperlink r:id="rId104" w:history="1">
        <w:r w:rsidRPr="007E2CB3">
          <w:rPr>
            <w:rStyle w:val="Hyperlink"/>
            <w:spacing w:val="-4"/>
          </w:rPr>
          <w:t>A/HRC/40/4</w:t>
        </w:r>
      </w:hyperlink>
      <w:r w:rsidRPr="007E2CB3">
        <w:rPr>
          <w:spacing w:val="-4"/>
          <w:rtl/>
        </w:rPr>
        <w:t>، الفقرات 122</w:t>
      </w:r>
      <w:r w:rsidR="007E2CB3" w:rsidRPr="007E2CB3">
        <w:rPr>
          <w:spacing w:val="-4"/>
          <w:rtl/>
        </w:rPr>
        <w:t>-</w:t>
      </w:r>
      <w:r w:rsidRPr="007E2CB3">
        <w:rPr>
          <w:spacing w:val="-4"/>
          <w:rtl/>
        </w:rPr>
        <w:t>166، و122</w:t>
      </w:r>
      <w:r w:rsidR="007E2CB3" w:rsidRPr="007E2CB3">
        <w:rPr>
          <w:spacing w:val="-4"/>
          <w:rtl/>
        </w:rPr>
        <w:t>-</w:t>
      </w:r>
      <w:r w:rsidRPr="007E2CB3">
        <w:rPr>
          <w:spacing w:val="-4"/>
          <w:rtl/>
        </w:rPr>
        <w:t>167، و122</w:t>
      </w:r>
      <w:r w:rsidR="007E2CB3" w:rsidRPr="007E2CB3">
        <w:rPr>
          <w:spacing w:val="-4"/>
          <w:rtl/>
        </w:rPr>
        <w:t>-</w:t>
      </w:r>
      <w:r w:rsidRPr="007E2CB3">
        <w:rPr>
          <w:spacing w:val="-4"/>
          <w:rtl/>
        </w:rPr>
        <w:t>169، و122</w:t>
      </w:r>
      <w:r w:rsidR="007E2CB3" w:rsidRPr="007E2CB3">
        <w:rPr>
          <w:spacing w:val="-4"/>
          <w:rtl/>
        </w:rPr>
        <w:t>-</w:t>
      </w:r>
      <w:r w:rsidRPr="007E2CB3">
        <w:rPr>
          <w:spacing w:val="-4"/>
          <w:rtl/>
        </w:rPr>
        <w:t>170، و122</w:t>
      </w:r>
      <w:r w:rsidR="007E2CB3" w:rsidRPr="007E2CB3">
        <w:rPr>
          <w:spacing w:val="-4"/>
          <w:rtl/>
        </w:rPr>
        <w:t>-</w:t>
      </w:r>
      <w:r w:rsidRPr="007E2CB3">
        <w:rPr>
          <w:spacing w:val="-4"/>
          <w:rtl/>
        </w:rPr>
        <w:t>175، و122</w:t>
      </w:r>
      <w:r w:rsidR="007E2CB3" w:rsidRPr="007E2CB3">
        <w:rPr>
          <w:spacing w:val="-4"/>
          <w:rtl/>
        </w:rPr>
        <w:t>-</w:t>
      </w:r>
      <w:r w:rsidRPr="007E2CB3">
        <w:rPr>
          <w:spacing w:val="-4"/>
          <w:rtl/>
        </w:rPr>
        <w:t>176، و122</w:t>
      </w:r>
      <w:r w:rsidR="007E2CB3" w:rsidRPr="007E2CB3">
        <w:rPr>
          <w:spacing w:val="-4"/>
          <w:rtl/>
        </w:rPr>
        <w:t>-</w:t>
      </w:r>
      <w:r w:rsidRPr="007E2CB3">
        <w:rPr>
          <w:spacing w:val="-4"/>
          <w:rtl/>
        </w:rPr>
        <w:t>178</w:t>
      </w:r>
      <w:r>
        <w:rPr>
          <w:rtl/>
        </w:rPr>
        <w:t>،</w:t>
      </w:r>
      <w:r w:rsidRPr="002302AD">
        <w:rPr>
          <w:rtl/>
        </w:rPr>
        <w:t xml:space="preserve"> 122</w:t>
      </w:r>
      <w:r w:rsidR="007E2CB3">
        <w:rPr>
          <w:rtl/>
        </w:rPr>
        <w:t>-</w:t>
      </w:r>
      <w:r w:rsidRPr="002302AD">
        <w:rPr>
          <w:rtl/>
        </w:rPr>
        <w:t>179</w:t>
      </w:r>
      <w:r>
        <w:rPr>
          <w:rtl/>
        </w:rPr>
        <w:t>،</w:t>
      </w:r>
      <w:r w:rsidRPr="002302AD">
        <w:rPr>
          <w:rtl/>
        </w:rPr>
        <w:t xml:space="preserve"> و122</w:t>
      </w:r>
      <w:r w:rsidR="007E2CB3">
        <w:rPr>
          <w:rtl/>
        </w:rPr>
        <w:t>-</w:t>
      </w:r>
      <w:r w:rsidRPr="002302AD">
        <w:rPr>
          <w:rtl/>
        </w:rPr>
        <w:t>181</w:t>
      </w:r>
      <w:r>
        <w:rPr>
          <w:rtl/>
        </w:rPr>
        <w:t>،</w:t>
      </w:r>
      <w:r w:rsidRPr="002302AD">
        <w:rPr>
          <w:rtl/>
        </w:rPr>
        <w:t xml:space="preserve"> و122</w:t>
      </w:r>
      <w:r w:rsidR="007E2CB3">
        <w:rPr>
          <w:rtl/>
        </w:rPr>
        <w:t>-</w:t>
      </w:r>
      <w:r w:rsidRPr="002302AD">
        <w:rPr>
          <w:rtl/>
        </w:rPr>
        <w:t>183</w:t>
      </w:r>
      <w:r>
        <w:rPr>
          <w:rtl/>
        </w:rPr>
        <w:t>،</w:t>
      </w:r>
      <w:r w:rsidRPr="002302AD">
        <w:rPr>
          <w:rtl/>
        </w:rPr>
        <w:t xml:space="preserve"> و122</w:t>
      </w:r>
      <w:r w:rsidR="007E2CB3">
        <w:rPr>
          <w:rtl/>
        </w:rPr>
        <w:t>-</w:t>
      </w:r>
      <w:r w:rsidRPr="002302AD">
        <w:rPr>
          <w:rtl/>
        </w:rPr>
        <w:t>186</w:t>
      </w:r>
      <w:r>
        <w:rPr>
          <w:rtl/>
        </w:rPr>
        <w:t>،</w:t>
      </w:r>
      <w:r w:rsidRPr="002302AD">
        <w:rPr>
          <w:rtl/>
        </w:rPr>
        <w:t xml:space="preserve"> و122</w:t>
      </w:r>
      <w:r w:rsidR="007E2CB3">
        <w:rPr>
          <w:rtl/>
        </w:rPr>
        <w:t>-</w:t>
      </w:r>
      <w:r w:rsidRPr="002302AD">
        <w:rPr>
          <w:rtl/>
        </w:rPr>
        <w:t>187</w:t>
      </w:r>
      <w:r>
        <w:rPr>
          <w:rtl/>
        </w:rPr>
        <w:t>،</w:t>
      </w:r>
      <w:r w:rsidRPr="002302AD">
        <w:rPr>
          <w:rtl/>
        </w:rPr>
        <w:t xml:space="preserve"> و122</w:t>
      </w:r>
      <w:r w:rsidR="007E2CB3">
        <w:rPr>
          <w:rtl/>
        </w:rPr>
        <w:t>-</w:t>
      </w:r>
      <w:r w:rsidRPr="002302AD">
        <w:rPr>
          <w:rtl/>
        </w:rPr>
        <w:t>189؛ و</w:t>
      </w:r>
      <w:hyperlink r:id="rId105" w:history="1">
        <w:r w:rsidRPr="002302AD">
          <w:rPr>
            <w:rStyle w:val="Hyperlink"/>
          </w:rPr>
          <w:t>A/HRC/40/4/Add.1</w:t>
        </w:r>
      </w:hyperlink>
      <w:r>
        <w:rPr>
          <w:rtl/>
        </w:rPr>
        <w:t>،</w:t>
      </w:r>
      <w:r w:rsidRPr="002302AD">
        <w:rPr>
          <w:rtl/>
        </w:rPr>
        <w:t xml:space="preserve"> الفقرة 9</w:t>
      </w:r>
      <w:r>
        <w:rPr>
          <w:rtl/>
        </w:rPr>
        <w:t>،</w:t>
      </w:r>
      <w:r w:rsidRPr="002302AD">
        <w:rPr>
          <w:rtl/>
        </w:rPr>
        <w:t xml:space="preserve"> قبول التوصيات.</w:t>
      </w:r>
    </w:p>
  </w:footnote>
  <w:footnote w:id="84">
    <w:p w14:paraId="77BEA059" w14:textId="2B374242" w:rsidR="002302AD" w:rsidRPr="007E2CB3" w:rsidRDefault="002302AD" w:rsidP="006C3533">
      <w:pPr>
        <w:pStyle w:val="FootnoteText1"/>
        <w:textDirection w:val="tbRlV"/>
        <w:rPr>
          <w:spacing w:val="-2"/>
        </w:rPr>
      </w:pPr>
      <w:r w:rsidRPr="002C01CE">
        <w:rPr>
          <w:rtl/>
        </w:rPr>
        <w:t>(</w:t>
      </w:r>
      <w:r w:rsidRPr="00995CF3">
        <w:rPr>
          <w:rStyle w:val="FootnoteReference"/>
          <w:vertAlign w:val="baseline"/>
        </w:rPr>
        <w:footnoteRef/>
      </w:r>
      <w:r w:rsidRPr="002C01CE">
        <w:rPr>
          <w:rtl/>
        </w:rPr>
        <w:t>)</w:t>
      </w:r>
      <w:r>
        <w:rPr>
          <w:rtl/>
        </w:rPr>
        <w:tab/>
      </w:r>
      <w:r w:rsidRPr="002302AD">
        <w:rPr>
          <w:rtl/>
        </w:rPr>
        <w:t xml:space="preserve">انظر </w:t>
      </w:r>
      <w:r>
        <w:rPr>
          <w:rtl/>
        </w:rPr>
        <w:t xml:space="preserve">أيضاً </w:t>
      </w:r>
      <w:hyperlink r:id="rId106" w:history="1">
        <w:r w:rsidRPr="002302AD">
          <w:rPr>
            <w:rStyle w:val="Hyperlink"/>
          </w:rPr>
          <w:t>A/HRC/WG.6/31/SAU/2</w:t>
        </w:r>
      </w:hyperlink>
      <w:r>
        <w:rPr>
          <w:rtl/>
        </w:rPr>
        <w:t>،</w:t>
      </w:r>
      <w:r w:rsidRPr="002302AD">
        <w:rPr>
          <w:rtl/>
        </w:rPr>
        <w:t xml:space="preserve"> الفقرة 34؛ و</w:t>
      </w:r>
      <w:r w:rsidRPr="002302AD">
        <w:t>OL SAU 2020/12</w:t>
      </w:r>
      <w:r>
        <w:rPr>
          <w:rtl/>
        </w:rPr>
        <w:t>،</w:t>
      </w:r>
      <w:r w:rsidRPr="002302AD">
        <w:rPr>
          <w:rtl/>
        </w:rPr>
        <w:t xml:space="preserve"> متاح على الرابط التالي:</w:t>
      </w:r>
      <w:r>
        <w:rPr>
          <w:rtl/>
        </w:rPr>
        <w:t xml:space="preserve"> </w:t>
      </w:r>
      <w:r w:rsidR="007E2CB3" w:rsidRPr="007E2CB3">
        <w:rPr>
          <w:spacing w:val="-2"/>
        </w:rPr>
        <w:t>https://spcommreports.ohchr.org/TMResultsBase/DownLoadPublicCommunicationFile?gId=</w:t>
      </w:r>
      <w:r w:rsidR="007E2CB3" w:rsidRPr="00995CF3">
        <w:rPr>
          <w:spacing w:val="-2"/>
        </w:rPr>
        <w:t>25726</w:t>
      </w:r>
      <w:r w:rsidRPr="007E2CB3">
        <w:rPr>
          <w:spacing w:val="-2"/>
          <w:rtl/>
        </w:rPr>
        <w:t>.</w:t>
      </w:r>
    </w:p>
  </w:footnote>
  <w:footnote w:id="85">
    <w:p w14:paraId="47FB23CC" w14:textId="5EC78F06" w:rsidR="002302AD" w:rsidRPr="002C01CE" w:rsidRDefault="002302AD" w:rsidP="006C3533">
      <w:pPr>
        <w:pStyle w:val="FootnoteText1"/>
        <w:textDirection w:val="tbRlV"/>
      </w:pPr>
      <w:r w:rsidRPr="002C01CE">
        <w:rPr>
          <w:rtl/>
        </w:rPr>
        <w:t>(</w:t>
      </w:r>
      <w:r w:rsidRPr="00995CF3">
        <w:rPr>
          <w:rStyle w:val="FootnoteReference"/>
          <w:vertAlign w:val="baseline"/>
        </w:rPr>
        <w:footnoteRef/>
      </w:r>
      <w:r w:rsidRPr="002C01CE">
        <w:rPr>
          <w:rtl/>
        </w:rPr>
        <w:t>)</w:t>
      </w:r>
      <w:r>
        <w:rPr>
          <w:rtl/>
        </w:rPr>
        <w:tab/>
      </w:r>
      <w:hyperlink r:id="rId107" w:history="1">
        <w:r w:rsidRPr="002302AD">
          <w:rPr>
            <w:rStyle w:val="Hyperlink"/>
          </w:rPr>
          <w:t>CAT/C/SAU/CO/2</w:t>
        </w:r>
      </w:hyperlink>
      <w:r>
        <w:rPr>
          <w:rtl/>
        </w:rPr>
        <w:t>،</w:t>
      </w:r>
      <w:r w:rsidRPr="002302AD">
        <w:rPr>
          <w:rtl/>
        </w:rPr>
        <w:t xml:space="preserve"> الفقرة 18</w:t>
      </w:r>
      <w:r w:rsidR="004C6D71">
        <w:rPr>
          <w:rtl/>
        </w:rPr>
        <w:t>(</w:t>
      </w:r>
      <w:r w:rsidRPr="002302AD">
        <w:rPr>
          <w:rtl/>
        </w:rPr>
        <w:t>أ).</w:t>
      </w:r>
    </w:p>
  </w:footnote>
  <w:footnote w:id="86">
    <w:p w14:paraId="5592D1FE" w14:textId="13F1ED2A" w:rsidR="002302AD" w:rsidRPr="002C01CE" w:rsidRDefault="002302AD" w:rsidP="006C3533">
      <w:pPr>
        <w:pStyle w:val="FootnoteText1"/>
        <w:textDirection w:val="tbRlV"/>
      </w:pPr>
      <w:r w:rsidRPr="002C01CE">
        <w:rPr>
          <w:rtl/>
        </w:rPr>
        <w:t>(</w:t>
      </w:r>
      <w:r w:rsidRPr="00995CF3">
        <w:rPr>
          <w:rStyle w:val="FootnoteReference"/>
          <w:vertAlign w:val="baseline"/>
        </w:rPr>
        <w:footnoteRef/>
      </w:r>
      <w:r w:rsidRPr="002C01CE">
        <w:rPr>
          <w:rtl/>
        </w:rPr>
        <w:t>)</w:t>
      </w:r>
      <w:r>
        <w:rPr>
          <w:rtl/>
        </w:rPr>
        <w:tab/>
      </w:r>
      <w:r w:rsidRPr="002302AD">
        <w:rPr>
          <w:rtl/>
        </w:rPr>
        <w:t xml:space="preserve">انظر </w:t>
      </w:r>
      <w:hyperlink r:id="rId108" w:history="1">
        <w:r w:rsidRPr="002302AD">
          <w:rPr>
            <w:rStyle w:val="Hyperlink"/>
          </w:rPr>
          <w:t>A/HRC/40/4</w:t>
        </w:r>
      </w:hyperlink>
      <w:r>
        <w:rPr>
          <w:rtl/>
        </w:rPr>
        <w:t>،</w:t>
      </w:r>
      <w:r w:rsidRPr="002302AD">
        <w:rPr>
          <w:rtl/>
        </w:rPr>
        <w:t xml:space="preserve"> الفقرات 122</w:t>
      </w:r>
      <w:r w:rsidR="00242EFA">
        <w:rPr>
          <w:rFonts w:hint="cs"/>
          <w:rtl/>
        </w:rPr>
        <w:t>-</w:t>
      </w:r>
      <w:r w:rsidRPr="002302AD">
        <w:rPr>
          <w:rtl/>
        </w:rPr>
        <w:t>90 و122</w:t>
      </w:r>
      <w:r w:rsidR="00242EFA">
        <w:rPr>
          <w:rFonts w:hint="cs"/>
          <w:rtl/>
        </w:rPr>
        <w:t>-</w:t>
      </w:r>
      <w:r w:rsidRPr="002302AD">
        <w:rPr>
          <w:rtl/>
        </w:rPr>
        <w:t>91 و122</w:t>
      </w:r>
      <w:r w:rsidR="00242EFA">
        <w:rPr>
          <w:rFonts w:hint="cs"/>
          <w:rtl/>
        </w:rPr>
        <w:t>-</w:t>
      </w:r>
      <w:r w:rsidRPr="002302AD">
        <w:rPr>
          <w:rtl/>
        </w:rPr>
        <w:t>93؛ و</w:t>
      </w:r>
      <w:hyperlink r:id="rId109" w:history="1">
        <w:r w:rsidRPr="002302AD">
          <w:rPr>
            <w:rStyle w:val="Hyperlink"/>
          </w:rPr>
          <w:t>A/HRC/40/4/Add.1</w:t>
        </w:r>
      </w:hyperlink>
      <w:r>
        <w:rPr>
          <w:rtl/>
        </w:rPr>
        <w:t>،</w:t>
      </w:r>
      <w:r w:rsidRPr="002302AD">
        <w:rPr>
          <w:rtl/>
        </w:rPr>
        <w:t xml:space="preserve"> الفقرة 9</w:t>
      </w:r>
      <w:r>
        <w:rPr>
          <w:rtl/>
        </w:rPr>
        <w:t>،</w:t>
      </w:r>
      <w:r w:rsidRPr="002302AD">
        <w:rPr>
          <w:rtl/>
        </w:rPr>
        <w:t xml:space="preserve"> قبول التوصيات.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82624" w14:textId="619D0BF6" w:rsidR="002302AD" w:rsidRPr="00700B12" w:rsidRDefault="002302AD" w:rsidP="00700B12">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485A7B">
      <w:t>CAT/C/SAU/QPR/3</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9EEFC" w14:textId="2B1EF9DF" w:rsidR="002302AD" w:rsidRPr="00700B12" w:rsidRDefault="002302AD" w:rsidP="00700B12">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485A7B">
      <w:t>CAT/C/SAU/QPR/3</w:t>
    </w:r>
    <w:r>
      <w:rPr>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074AA" w14:textId="77777777" w:rsidR="002302AD" w:rsidRDefault="002302AD" w:rsidP="00143C3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9F3"/>
    <w:rsid w:val="000076D5"/>
    <w:rsid w:val="00043663"/>
    <w:rsid w:val="000456F3"/>
    <w:rsid w:val="000505CF"/>
    <w:rsid w:val="000A2113"/>
    <w:rsid w:val="000D701C"/>
    <w:rsid w:val="000E11D4"/>
    <w:rsid w:val="000E2A71"/>
    <w:rsid w:val="000F71D2"/>
    <w:rsid w:val="00143C39"/>
    <w:rsid w:val="00156BEB"/>
    <w:rsid w:val="00160263"/>
    <w:rsid w:val="00166BD2"/>
    <w:rsid w:val="00167825"/>
    <w:rsid w:val="00170EB3"/>
    <w:rsid w:val="00181F96"/>
    <w:rsid w:val="0019376C"/>
    <w:rsid w:val="001A1371"/>
    <w:rsid w:val="001B346A"/>
    <w:rsid w:val="001D6F7B"/>
    <w:rsid w:val="001E1CAD"/>
    <w:rsid w:val="001E290D"/>
    <w:rsid w:val="00207C80"/>
    <w:rsid w:val="00210DD4"/>
    <w:rsid w:val="002144FA"/>
    <w:rsid w:val="002302AD"/>
    <w:rsid w:val="0023469A"/>
    <w:rsid w:val="00242EFA"/>
    <w:rsid w:val="00243C8A"/>
    <w:rsid w:val="00261289"/>
    <w:rsid w:val="00266034"/>
    <w:rsid w:val="0026755E"/>
    <w:rsid w:val="00267A0E"/>
    <w:rsid w:val="002901D9"/>
    <w:rsid w:val="002976C2"/>
    <w:rsid w:val="00323EC8"/>
    <w:rsid w:val="003260FF"/>
    <w:rsid w:val="00343D95"/>
    <w:rsid w:val="00362E33"/>
    <w:rsid w:val="00374341"/>
    <w:rsid w:val="003831EA"/>
    <w:rsid w:val="00384DA7"/>
    <w:rsid w:val="003D1062"/>
    <w:rsid w:val="00420D7B"/>
    <w:rsid w:val="00450B21"/>
    <w:rsid w:val="00453B63"/>
    <w:rsid w:val="00455780"/>
    <w:rsid w:val="00462F28"/>
    <w:rsid w:val="00472BE8"/>
    <w:rsid w:val="004811D5"/>
    <w:rsid w:val="00485A7B"/>
    <w:rsid w:val="004956DC"/>
    <w:rsid w:val="004A798C"/>
    <w:rsid w:val="004B0A1C"/>
    <w:rsid w:val="004C6D71"/>
    <w:rsid w:val="004D2177"/>
    <w:rsid w:val="004D298E"/>
    <w:rsid w:val="00531DEA"/>
    <w:rsid w:val="0054472E"/>
    <w:rsid w:val="005662A9"/>
    <w:rsid w:val="00575E9A"/>
    <w:rsid w:val="005827D4"/>
    <w:rsid w:val="0059622A"/>
    <w:rsid w:val="005A3015"/>
    <w:rsid w:val="005C5878"/>
    <w:rsid w:val="005C7CEA"/>
    <w:rsid w:val="005D3C0B"/>
    <w:rsid w:val="005E23DF"/>
    <w:rsid w:val="005E5217"/>
    <w:rsid w:val="005E6E97"/>
    <w:rsid w:val="005F0FA4"/>
    <w:rsid w:val="005F30EE"/>
    <w:rsid w:val="0060473A"/>
    <w:rsid w:val="00624DE8"/>
    <w:rsid w:val="00633B5C"/>
    <w:rsid w:val="00656392"/>
    <w:rsid w:val="006646E9"/>
    <w:rsid w:val="00680FC9"/>
    <w:rsid w:val="0068781D"/>
    <w:rsid w:val="006959B0"/>
    <w:rsid w:val="006B2A7F"/>
    <w:rsid w:val="006B3E27"/>
    <w:rsid w:val="006B6507"/>
    <w:rsid w:val="006C104C"/>
    <w:rsid w:val="006C3533"/>
    <w:rsid w:val="006D05CB"/>
    <w:rsid w:val="006F2409"/>
    <w:rsid w:val="00700B12"/>
    <w:rsid w:val="00705E32"/>
    <w:rsid w:val="00706DFD"/>
    <w:rsid w:val="00710402"/>
    <w:rsid w:val="00712059"/>
    <w:rsid w:val="00733704"/>
    <w:rsid w:val="0074737D"/>
    <w:rsid w:val="00761849"/>
    <w:rsid w:val="0078071A"/>
    <w:rsid w:val="007A3847"/>
    <w:rsid w:val="007A54A2"/>
    <w:rsid w:val="007C38B3"/>
    <w:rsid w:val="007D56C1"/>
    <w:rsid w:val="007E2CB3"/>
    <w:rsid w:val="00817373"/>
    <w:rsid w:val="00852A9A"/>
    <w:rsid w:val="00860491"/>
    <w:rsid w:val="00874514"/>
    <w:rsid w:val="00893A8A"/>
    <w:rsid w:val="00897AA1"/>
    <w:rsid w:val="008C0B37"/>
    <w:rsid w:val="008F49E1"/>
    <w:rsid w:val="0090370F"/>
    <w:rsid w:val="00906A57"/>
    <w:rsid w:val="00926795"/>
    <w:rsid w:val="009269D2"/>
    <w:rsid w:val="00942135"/>
    <w:rsid w:val="009521B0"/>
    <w:rsid w:val="00972676"/>
    <w:rsid w:val="00981C12"/>
    <w:rsid w:val="00995CF3"/>
    <w:rsid w:val="009A0C4D"/>
    <w:rsid w:val="009A7E9F"/>
    <w:rsid w:val="009E4397"/>
    <w:rsid w:val="009E5018"/>
    <w:rsid w:val="009F09F5"/>
    <w:rsid w:val="00A12B37"/>
    <w:rsid w:val="00A25342"/>
    <w:rsid w:val="00A34EA8"/>
    <w:rsid w:val="00A43F64"/>
    <w:rsid w:val="00A44D86"/>
    <w:rsid w:val="00A6354F"/>
    <w:rsid w:val="00A67AF5"/>
    <w:rsid w:val="00A83924"/>
    <w:rsid w:val="00A94CA3"/>
    <w:rsid w:val="00AB2C0B"/>
    <w:rsid w:val="00AB6758"/>
    <w:rsid w:val="00B07715"/>
    <w:rsid w:val="00B13763"/>
    <w:rsid w:val="00B35182"/>
    <w:rsid w:val="00B357EC"/>
    <w:rsid w:val="00B456A0"/>
    <w:rsid w:val="00B477A4"/>
    <w:rsid w:val="00B54045"/>
    <w:rsid w:val="00B82677"/>
    <w:rsid w:val="00BA39D4"/>
    <w:rsid w:val="00BD0805"/>
    <w:rsid w:val="00BE49F3"/>
    <w:rsid w:val="00C111C6"/>
    <w:rsid w:val="00C438D7"/>
    <w:rsid w:val="00C62476"/>
    <w:rsid w:val="00C64C7B"/>
    <w:rsid w:val="00C81B50"/>
    <w:rsid w:val="00C87F1F"/>
    <w:rsid w:val="00C96AFF"/>
    <w:rsid w:val="00CA2103"/>
    <w:rsid w:val="00CA35DF"/>
    <w:rsid w:val="00CC268E"/>
    <w:rsid w:val="00CD1801"/>
    <w:rsid w:val="00CF25FC"/>
    <w:rsid w:val="00D10EF1"/>
    <w:rsid w:val="00D23BD1"/>
    <w:rsid w:val="00D317F1"/>
    <w:rsid w:val="00D3653E"/>
    <w:rsid w:val="00D42810"/>
    <w:rsid w:val="00D914A7"/>
    <w:rsid w:val="00DB712F"/>
    <w:rsid w:val="00DC1D29"/>
    <w:rsid w:val="00DD13C3"/>
    <w:rsid w:val="00DD596E"/>
    <w:rsid w:val="00DD621E"/>
    <w:rsid w:val="00DF0575"/>
    <w:rsid w:val="00DF1B3A"/>
    <w:rsid w:val="00E2697F"/>
    <w:rsid w:val="00E609CB"/>
    <w:rsid w:val="00E64B72"/>
    <w:rsid w:val="00E70E04"/>
    <w:rsid w:val="00E76499"/>
    <w:rsid w:val="00EC05A7"/>
    <w:rsid w:val="00EC4B6B"/>
    <w:rsid w:val="00EE56C3"/>
    <w:rsid w:val="00EF1EE5"/>
    <w:rsid w:val="00F158EB"/>
    <w:rsid w:val="00F1695F"/>
    <w:rsid w:val="00F62057"/>
    <w:rsid w:val="00F763B4"/>
    <w:rsid w:val="00F81AF1"/>
    <w:rsid w:val="00F900C3"/>
    <w:rsid w:val="00FF2AB2"/>
    <w:rsid w:val="00FF324E"/>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708B6C"/>
  <w15:docId w15:val="{8CC2283E-AA79-40AD-95BC-ECE71FE34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8EB"/>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F158EB"/>
    <w:pPr>
      <w:bidi w:val="0"/>
      <w:outlineLvl w:val="0"/>
    </w:pPr>
  </w:style>
  <w:style w:type="paragraph" w:styleId="Heading2">
    <w:name w:val="heading 2"/>
    <w:basedOn w:val="Normal"/>
    <w:next w:val="Normal"/>
    <w:link w:val="Heading2Char"/>
    <w:uiPriority w:val="9"/>
    <w:unhideWhenUsed/>
    <w:rsid w:val="00F158EB"/>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F158EB"/>
    <w:pPr>
      <w:keepNext/>
      <w:keepLines/>
      <w:spacing w:before="200"/>
      <w:outlineLvl w:val="2"/>
    </w:pPr>
    <w:rPr>
      <w:b/>
      <w:bCs/>
      <w:color w:val="4F81BD"/>
    </w:rPr>
  </w:style>
  <w:style w:type="paragraph" w:styleId="Heading4">
    <w:name w:val="heading 4"/>
    <w:basedOn w:val="Normal"/>
    <w:next w:val="Normal"/>
    <w:link w:val="Heading4Char"/>
    <w:uiPriority w:val="9"/>
    <w:unhideWhenUsed/>
    <w:rsid w:val="00F158EB"/>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F158EB"/>
    <w:pPr>
      <w:keepNext/>
      <w:keepLines/>
      <w:spacing w:before="200"/>
      <w:outlineLvl w:val="4"/>
    </w:pPr>
    <w:rPr>
      <w:color w:val="243F60"/>
    </w:rPr>
  </w:style>
  <w:style w:type="paragraph" w:styleId="Heading6">
    <w:name w:val="heading 6"/>
    <w:basedOn w:val="Normal"/>
    <w:next w:val="Normal"/>
    <w:link w:val="Heading6Char"/>
    <w:uiPriority w:val="9"/>
    <w:unhideWhenUsed/>
    <w:rsid w:val="00F158EB"/>
    <w:pPr>
      <w:keepNext/>
      <w:keepLines/>
      <w:spacing w:before="200"/>
      <w:outlineLvl w:val="5"/>
    </w:pPr>
    <w:rPr>
      <w:i/>
      <w:iCs/>
      <w:color w:val="243F60"/>
    </w:rPr>
  </w:style>
  <w:style w:type="paragraph" w:styleId="Heading7">
    <w:name w:val="heading 7"/>
    <w:basedOn w:val="Normal"/>
    <w:next w:val="Normal"/>
    <w:link w:val="Heading7Char"/>
    <w:uiPriority w:val="9"/>
    <w:unhideWhenUsed/>
    <w:rsid w:val="00F158EB"/>
    <w:pPr>
      <w:keepNext/>
      <w:keepLines/>
      <w:spacing w:before="200"/>
      <w:outlineLvl w:val="6"/>
    </w:pPr>
    <w:rPr>
      <w:i/>
      <w:iCs/>
      <w:color w:val="404040"/>
    </w:rPr>
  </w:style>
  <w:style w:type="paragraph" w:styleId="Heading8">
    <w:name w:val="heading 8"/>
    <w:basedOn w:val="Normal"/>
    <w:next w:val="Normal"/>
    <w:link w:val="Heading8Char"/>
    <w:uiPriority w:val="9"/>
    <w:unhideWhenUsed/>
    <w:rsid w:val="00F158EB"/>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F158EB"/>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iPriority w:val="99"/>
    <w:unhideWhenUsed/>
    <w:qFormat/>
    <w:rsid w:val="00F158EB"/>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uiPriority w:val="99"/>
    <w:rsid w:val="00F158EB"/>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Ref,de nota al pie,Appel note de bas de page,number,Footnote text,Footnote symbol,SUPERS"/>
    <w:link w:val="Char2"/>
    <w:qFormat/>
    <w:rsid w:val="00F158EB"/>
    <w:rPr>
      <w:szCs w:val="18"/>
      <w:vertAlign w:val="superscript"/>
    </w:rPr>
  </w:style>
  <w:style w:type="paragraph" w:customStyle="1" w:styleId="HMGA">
    <w:name w:val="_ H __M_GA"/>
    <w:basedOn w:val="Normal"/>
    <w:next w:val="SingleTxtGA"/>
    <w:qFormat/>
    <w:rsid w:val="00F158EB"/>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F158EB"/>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F158EB"/>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F158EB"/>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F158EB"/>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F158EB"/>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F158EB"/>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F158EB"/>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F158EB"/>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F158EB"/>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F158EB"/>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F158EB"/>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F158EB"/>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F158EB"/>
    <w:pPr>
      <w:numPr>
        <w:numId w:val="5"/>
      </w:numPr>
      <w:bidi w:val="0"/>
    </w:pPr>
    <w:rPr>
      <w:lang w:val="en-US"/>
    </w:rPr>
  </w:style>
  <w:style w:type="paragraph" w:customStyle="1" w:styleId="Roman1GA">
    <w:name w:val="_Roman 1_GA"/>
    <w:basedOn w:val="Bullet1GA"/>
    <w:qFormat/>
    <w:rsid w:val="00F158EB"/>
    <w:pPr>
      <w:numPr>
        <w:numId w:val="6"/>
      </w:numPr>
      <w:tabs>
        <w:tab w:val="clear" w:pos="2310"/>
        <w:tab w:val="left" w:pos="2486"/>
      </w:tabs>
      <w:ind w:left="2486" w:hanging="378"/>
    </w:pPr>
  </w:style>
  <w:style w:type="paragraph" w:customStyle="1" w:styleId="Roman2GA">
    <w:name w:val="_Roman 2_GA"/>
    <w:basedOn w:val="Bullet2GA"/>
    <w:qFormat/>
    <w:rsid w:val="00F158EB"/>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qFormat/>
    <w:rsid w:val="00F158EB"/>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rsid w:val="00F158EB"/>
    <w:rPr>
      <w:rFonts w:ascii="Times New Roman" w:eastAsia="PMingLiU" w:hAnsi="Times New Roman" w:cs="Simplified Arabic"/>
      <w:sz w:val="18"/>
      <w:lang w:val="en-GB" w:eastAsia="en-US"/>
    </w:rPr>
  </w:style>
  <w:style w:type="character" w:customStyle="1" w:styleId="EndtnoteReference">
    <w:name w:val="Endtnote Reference"/>
    <w:aliases w:val="1_GA"/>
    <w:qFormat/>
    <w:rsid w:val="00F158EB"/>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F158EB"/>
    <w:pPr>
      <w:suppressAutoHyphens/>
      <w:bidi w:val="0"/>
      <w:spacing w:line="240" w:lineRule="auto"/>
    </w:pPr>
    <w:rPr>
      <w:sz w:val="16"/>
      <w:lang w:val="en-GB"/>
    </w:rPr>
  </w:style>
  <w:style w:type="character" w:customStyle="1" w:styleId="FooterChar">
    <w:name w:val="Footer Char"/>
    <w:aliases w:val="3_GA Char,3_G Char"/>
    <w:link w:val="Footer"/>
    <w:rsid w:val="00F158EB"/>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F158EB"/>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F158EB"/>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F158EB"/>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F158EB"/>
    <w:rPr>
      <w:rFonts w:ascii="Times New Roman" w:eastAsia="PMingLiU" w:hAnsi="Times New Roman" w:cs="Simplified Arabic"/>
      <w:sz w:val="22"/>
      <w:szCs w:val="22"/>
      <w:lang w:val="en-GB" w:eastAsia="en-US"/>
    </w:rPr>
  </w:style>
  <w:style w:type="character" w:styleId="PageNumber">
    <w:name w:val="page number"/>
    <w:aliases w:val="7_GA,7_G"/>
    <w:qFormat/>
    <w:rsid w:val="00F158EB"/>
    <w:rPr>
      <w:rFonts w:ascii="Times New Roman Bold" w:hAnsi="Times New Roman Bold"/>
      <w:b/>
      <w:i w:val="0"/>
      <w:sz w:val="18"/>
      <w:szCs w:val="18"/>
    </w:rPr>
  </w:style>
  <w:style w:type="paragraph" w:customStyle="1" w:styleId="XXLargeGA">
    <w:name w:val="XXLarge_GA"/>
    <w:basedOn w:val="Normal"/>
    <w:next w:val="SingleTxtGA"/>
    <w:qFormat/>
    <w:rsid w:val="00F158EB"/>
    <w:pPr>
      <w:suppressAutoHyphens/>
      <w:spacing w:line="820" w:lineRule="exact"/>
    </w:pPr>
    <w:rPr>
      <w:spacing w:val="-8"/>
      <w:w w:val="96"/>
      <w:sz w:val="57"/>
      <w:szCs w:val="86"/>
      <w:lang w:val="en-GB"/>
    </w:rPr>
  </w:style>
  <w:style w:type="character" w:customStyle="1" w:styleId="Heading2Char">
    <w:name w:val="Heading 2 Char"/>
    <w:link w:val="Heading2"/>
    <w:uiPriority w:val="9"/>
    <w:rsid w:val="00F158EB"/>
    <w:rPr>
      <w:rFonts w:ascii="Times New Roman" w:eastAsia="PMingLiU" w:hAnsi="Times New Roman" w:cs="Simplified Arabic"/>
      <w:b/>
      <w:bCs/>
      <w:color w:val="4F81BD"/>
      <w:sz w:val="26"/>
      <w:szCs w:val="26"/>
      <w:lang w:eastAsia="en-US"/>
    </w:rPr>
  </w:style>
  <w:style w:type="character" w:styleId="BookTitle">
    <w:name w:val="Book Title"/>
    <w:uiPriority w:val="33"/>
    <w:rsid w:val="00F158EB"/>
    <w:rPr>
      <w:b/>
      <w:bCs/>
      <w:smallCaps/>
      <w:spacing w:val="5"/>
    </w:rPr>
  </w:style>
  <w:style w:type="character" w:customStyle="1" w:styleId="Heading3Char">
    <w:name w:val="Heading 3 Char"/>
    <w:link w:val="Heading3"/>
    <w:uiPriority w:val="9"/>
    <w:rsid w:val="00F158EB"/>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F158EB"/>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F158EB"/>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F158EB"/>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F158EB"/>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F158EB"/>
    <w:rPr>
      <w:rFonts w:ascii="Times New Roman" w:eastAsia="PMingLiU" w:hAnsi="Times New Roman" w:cs="Simplified Arabic"/>
      <w:color w:val="404040"/>
      <w:lang w:eastAsia="en-US"/>
    </w:rPr>
  </w:style>
  <w:style w:type="character" w:customStyle="1" w:styleId="Heading9Char">
    <w:name w:val="Heading 9 Char"/>
    <w:link w:val="Heading9"/>
    <w:uiPriority w:val="9"/>
    <w:rsid w:val="00F158EB"/>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F158EB"/>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F158EB"/>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F158EB"/>
    <w:pPr>
      <w:numPr>
        <w:ilvl w:val="1"/>
      </w:numPr>
    </w:pPr>
    <w:rPr>
      <w:i/>
      <w:iCs/>
      <w:color w:val="4F81BD"/>
      <w:spacing w:val="15"/>
      <w:sz w:val="24"/>
      <w:szCs w:val="24"/>
    </w:rPr>
  </w:style>
  <w:style w:type="character" w:customStyle="1" w:styleId="SubtitleChar">
    <w:name w:val="Subtitle Char"/>
    <w:link w:val="Subtitle"/>
    <w:uiPriority w:val="11"/>
    <w:rsid w:val="00F158EB"/>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F158EB"/>
    <w:rPr>
      <w:i/>
      <w:iCs/>
      <w:color w:val="808080"/>
    </w:rPr>
  </w:style>
  <w:style w:type="table" w:styleId="ColorfulGrid-Accent6">
    <w:name w:val="Colorful Grid Accent 6"/>
    <w:basedOn w:val="TableNormal"/>
    <w:uiPriority w:val="73"/>
    <w:rsid w:val="00F158EB"/>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F158EB"/>
    <w:rPr>
      <w:i/>
      <w:iCs/>
    </w:rPr>
  </w:style>
  <w:style w:type="character" w:styleId="IntenseEmphasis">
    <w:name w:val="Intense Emphasis"/>
    <w:uiPriority w:val="21"/>
    <w:rsid w:val="00F158EB"/>
    <w:rPr>
      <w:b/>
      <w:bCs/>
      <w:i/>
      <w:iCs/>
      <w:color w:val="4F81BD"/>
    </w:rPr>
  </w:style>
  <w:style w:type="character" w:styleId="Strong">
    <w:name w:val="Strong"/>
    <w:uiPriority w:val="22"/>
    <w:rsid w:val="00F158EB"/>
    <w:rPr>
      <w:b/>
      <w:bCs/>
    </w:rPr>
  </w:style>
  <w:style w:type="paragraph" w:styleId="Quote">
    <w:name w:val="Quote"/>
    <w:basedOn w:val="Normal"/>
    <w:next w:val="Normal"/>
    <w:link w:val="QuoteChar"/>
    <w:uiPriority w:val="29"/>
    <w:rsid w:val="00F158EB"/>
    <w:rPr>
      <w:i/>
      <w:iCs/>
      <w:color w:val="000000"/>
    </w:rPr>
  </w:style>
  <w:style w:type="character" w:customStyle="1" w:styleId="QuoteChar">
    <w:name w:val="Quote Char"/>
    <w:link w:val="Quote"/>
    <w:uiPriority w:val="29"/>
    <w:rsid w:val="00F158EB"/>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F158E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158EB"/>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F158EB"/>
    <w:rPr>
      <w:smallCaps/>
      <w:color w:val="C0504D"/>
      <w:u w:val="single"/>
    </w:rPr>
  </w:style>
  <w:style w:type="character" w:styleId="IntenseReference">
    <w:name w:val="Intense Reference"/>
    <w:uiPriority w:val="32"/>
    <w:rsid w:val="00F158EB"/>
    <w:rPr>
      <w:b/>
      <w:bCs/>
      <w:smallCaps/>
      <w:color w:val="C0504D"/>
      <w:spacing w:val="5"/>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F158EB"/>
    <w:pPr>
      <w:ind w:left="720"/>
    </w:pPr>
  </w:style>
  <w:style w:type="table" w:styleId="MediumShading1-Accent4">
    <w:name w:val="Medium Shading 1 Accent 4"/>
    <w:basedOn w:val="TableNormal"/>
    <w:uiPriority w:val="63"/>
    <w:rsid w:val="00F158EB"/>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F158EB"/>
    <w:rPr>
      <w:rFonts w:eastAsia="MS Mincho"/>
      <w:sz w:val="18"/>
      <w:vertAlign w:val="superscript"/>
    </w:rPr>
  </w:style>
  <w:style w:type="table" w:styleId="TableGrid">
    <w:name w:val="Table Grid"/>
    <w:basedOn w:val="TableNormal"/>
    <w:rsid w:val="00F158EB"/>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58EB"/>
    <w:pPr>
      <w:spacing w:line="240" w:lineRule="auto"/>
    </w:pPr>
    <w:rPr>
      <w:sz w:val="16"/>
      <w:szCs w:val="16"/>
    </w:rPr>
  </w:style>
  <w:style w:type="character" w:customStyle="1" w:styleId="BalloonTextChar">
    <w:name w:val="Balloon Text Char"/>
    <w:link w:val="BalloonText"/>
    <w:uiPriority w:val="99"/>
    <w:semiHidden/>
    <w:rsid w:val="00F158EB"/>
    <w:rPr>
      <w:rFonts w:ascii="Times New Roman" w:eastAsia="PMingLiU" w:hAnsi="Times New Roman" w:cs="Simplified Arabic"/>
      <w:sz w:val="16"/>
      <w:szCs w:val="16"/>
      <w:lang w:eastAsia="en-US"/>
    </w:rPr>
  </w:style>
  <w:style w:type="character" w:styleId="Hyperlink">
    <w:name w:val="Hyperlink"/>
    <w:uiPriority w:val="99"/>
    <w:unhideWhenUsed/>
    <w:rsid w:val="00F158EB"/>
    <w:rPr>
      <w:color w:val="0000FF"/>
      <w:u w:val="none"/>
    </w:rPr>
  </w:style>
  <w:style w:type="paragraph" w:styleId="TOC1">
    <w:name w:val="toc 1"/>
    <w:basedOn w:val="Normal"/>
    <w:link w:val="TOC1Char"/>
    <w:autoRedefine/>
    <w:uiPriority w:val="39"/>
    <w:unhideWhenUsed/>
    <w:rsid w:val="00F158EB"/>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F158EB"/>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F158EB"/>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F158EB"/>
    <w:rPr>
      <w:rFonts w:eastAsia="DengXian"/>
      <w:color w:val="auto"/>
      <w:sz w:val="20"/>
      <w:szCs w:val="20"/>
      <w:u w:val="none"/>
      <w:lang w:eastAsia="zh-CN" w:bidi="ar-EG"/>
    </w:rPr>
  </w:style>
  <w:style w:type="paragraph" w:styleId="TOC4">
    <w:name w:val="toc 4"/>
    <w:basedOn w:val="Normal"/>
    <w:link w:val="TOC4Char"/>
    <w:autoRedefine/>
    <w:uiPriority w:val="39"/>
    <w:unhideWhenUsed/>
    <w:rsid w:val="00F158EB"/>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F158EB"/>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F158EB"/>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F158EB"/>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F158EB"/>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F158EB"/>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F158EB"/>
    <w:rPr>
      <w:color w:val="605E5C"/>
      <w:shd w:val="clear" w:color="auto" w:fill="E1DFDD"/>
    </w:rPr>
  </w:style>
  <w:style w:type="character" w:customStyle="1" w:styleId="TOC1Char">
    <w:name w:val="TOC 1 Char"/>
    <w:basedOn w:val="DefaultParagraphFont"/>
    <w:link w:val="TOC1"/>
    <w:uiPriority w:val="39"/>
    <w:rsid w:val="00F158EB"/>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F158EB"/>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F158EB"/>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F158EB"/>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F158EB"/>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F158EB"/>
    <w:rPr>
      <w:rFonts w:ascii="Times New Roman" w:eastAsia="PMingLiU" w:hAnsi="Times New Roman" w:cs="Simplified Arabic"/>
      <w:lang w:val="en-GB" w:eastAsia="en-US"/>
    </w:rPr>
  </w:style>
  <w:style w:type="paragraph" w:customStyle="1" w:styleId="SessionDate">
    <w:name w:val="Session_Date"/>
    <w:basedOn w:val="Normal"/>
    <w:qFormat/>
    <w:rsid w:val="00F158EB"/>
    <w:pPr>
      <w:spacing w:before="240" w:after="240" w:line="460" w:lineRule="exact"/>
      <w:ind w:left="1247"/>
    </w:pPr>
    <w:rPr>
      <w:b/>
      <w:bCs/>
      <w:sz w:val="32"/>
      <w:szCs w:val="44"/>
    </w:rPr>
  </w:style>
  <w:style w:type="paragraph" w:customStyle="1" w:styleId="SessionNumber">
    <w:name w:val="Session_Number"/>
    <w:basedOn w:val="Normal"/>
    <w:qFormat/>
    <w:rsid w:val="00F158EB"/>
    <w:pPr>
      <w:spacing w:line="480" w:lineRule="exact"/>
      <w:ind w:left="1247"/>
    </w:pPr>
    <w:rPr>
      <w:b/>
      <w:bCs/>
      <w:sz w:val="28"/>
      <w:szCs w:val="38"/>
    </w:rPr>
  </w:style>
  <w:style w:type="paragraph" w:customStyle="1" w:styleId="CityandYear">
    <w:name w:val="City and Year"/>
    <w:basedOn w:val="SingleTxtGA"/>
    <w:qFormat/>
    <w:rsid w:val="00F158EB"/>
    <w:pPr>
      <w:spacing w:line="480" w:lineRule="exact"/>
    </w:pPr>
    <w:rPr>
      <w:b/>
      <w:bCs/>
      <w:sz w:val="30"/>
      <w:szCs w:val="38"/>
      <w:lang w:eastAsia="ar-SA"/>
    </w:rPr>
  </w:style>
  <w:style w:type="paragraph" w:customStyle="1" w:styleId="NormalA">
    <w:name w:val="Normal_A"/>
    <w:basedOn w:val="Normal"/>
    <w:qFormat/>
    <w:rsid w:val="00F158EB"/>
  </w:style>
  <w:style w:type="paragraph" w:customStyle="1" w:styleId="H1G">
    <w:name w:val="_ H_1_G"/>
    <w:basedOn w:val="Normal"/>
    <w:next w:val="Normal"/>
    <w:qFormat/>
    <w:rsid w:val="00F158EB"/>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F158EB"/>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F158EB"/>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F158EB"/>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F158EB"/>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F158EB"/>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F158EB"/>
    <w:rPr>
      <w:sz w:val="44"/>
      <w:szCs w:val="44"/>
      <w:lang w:val="en-US" w:bidi="ar-DZ"/>
    </w:rPr>
  </w:style>
  <w:style w:type="paragraph" w:customStyle="1" w:styleId="FootnoteGA0">
    <w:name w:val="Footnote_GA"/>
    <w:basedOn w:val="Normal"/>
    <w:qFormat/>
    <w:rsid w:val="00F158EB"/>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F158EB"/>
    <w:pPr>
      <w:keepNext/>
      <w:keepLines/>
      <w:spacing w:after="120" w:line="400" w:lineRule="exact"/>
      <w:outlineLvl w:val="0"/>
    </w:pPr>
    <w:rPr>
      <w:b/>
      <w:bCs/>
      <w:kern w:val="14"/>
      <w:sz w:val="24"/>
      <w:szCs w:val="32"/>
    </w:rPr>
  </w:style>
  <w:style w:type="paragraph" w:customStyle="1" w:styleId="HCh">
    <w:name w:val="_ H _Ch"/>
    <w:basedOn w:val="H1"/>
    <w:next w:val="SingleTxt"/>
    <w:qFormat/>
    <w:rsid w:val="00F158EB"/>
    <w:pPr>
      <w:spacing w:line="440" w:lineRule="exact"/>
    </w:pPr>
    <w:rPr>
      <w:spacing w:val="-2"/>
      <w:sz w:val="28"/>
      <w:szCs w:val="36"/>
    </w:rPr>
  </w:style>
  <w:style w:type="character" w:styleId="CommentReference">
    <w:name w:val="annotation reference"/>
    <w:uiPriority w:val="99"/>
    <w:semiHidden/>
    <w:rsid w:val="00F158EB"/>
    <w:rPr>
      <w:sz w:val="6"/>
      <w:szCs w:val="9"/>
    </w:rPr>
  </w:style>
  <w:style w:type="paragraph" w:customStyle="1" w:styleId="HM">
    <w:name w:val="_ H __M"/>
    <w:basedOn w:val="HCh"/>
    <w:next w:val="Normal"/>
    <w:qFormat/>
    <w:rsid w:val="00F158EB"/>
    <w:pPr>
      <w:suppressAutoHyphens/>
      <w:spacing w:line="520" w:lineRule="exact"/>
    </w:pPr>
    <w:rPr>
      <w:spacing w:val="-3"/>
      <w:sz w:val="34"/>
      <w:szCs w:val="48"/>
    </w:rPr>
  </w:style>
  <w:style w:type="paragraph" w:customStyle="1" w:styleId="SingleTxt">
    <w:name w:val="__Single Txt"/>
    <w:basedOn w:val="SingleTxtG"/>
    <w:qFormat/>
    <w:rsid w:val="00F158EB"/>
  </w:style>
  <w:style w:type="paragraph" w:customStyle="1" w:styleId="H23">
    <w:name w:val="_ H_2/3"/>
    <w:basedOn w:val="H1"/>
    <w:next w:val="Normal"/>
    <w:qFormat/>
    <w:rsid w:val="00F158EB"/>
    <w:pPr>
      <w:suppressAutoHyphens/>
      <w:spacing w:line="360" w:lineRule="exact"/>
      <w:outlineLvl w:val="1"/>
    </w:pPr>
    <w:rPr>
      <w:spacing w:val="2"/>
      <w:sz w:val="20"/>
      <w:szCs w:val="28"/>
    </w:rPr>
  </w:style>
  <w:style w:type="paragraph" w:customStyle="1" w:styleId="H4">
    <w:name w:val="_ H_4"/>
    <w:basedOn w:val="Normal"/>
    <w:next w:val="Normal"/>
    <w:qFormat/>
    <w:rsid w:val="00F158EB"/>
    <w:pPr>
      <w:keepNext/>
      <w:keepLines/>
      <w:spacing w:after="120" w:line="360" w:lineRule="exact"/>
      <w:outlineLvl w:val="3"/>
    </w:pPr>
    <w:rPr>
      <w:i/>
      <w:iCs/>
      <w:kern w:val="14"/>
      <w:szCs w:val="28"/>
    </w:rPr>
  </w:style>
  <w:style w:type="paragraph" w:customStyle="1" w:styleId="H56">
    <w:name w:val="_ H_5/6"/>
    <w:basedOn w:val="Normal"/>
    <w:next w:val="Normal"/>
    <w:qFormat/>
    <w:rsid w:val="00F158EB"/>
    <w:pPr>
      <w:keepNext/>
      <w:keepLines/>
      <w:spacing w:after="120" w:line="360" w:lineRule="exact"/>
      <w:outlineLvl w:val="4"/>
    </w:pPr>
    <w:rPr>
      <w:kern w:val="14"/>
      <w:szCs w:val="28"/>
    </w:rPr>
  </w:style>
  <w:style w:type="paragraph" w:customStyle="1" w:styleId="DualTxt">
    <w:name w:val="__Dual Txt"/>
    <w:basedOn w:val="Normal"/>
    <w:qFormat/>
    <w:rsid w:val="00F158EB"/>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F158EB"/>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F158EB"/>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F158EB"/>
    <w:pPr>
      <w:spacing w:after="120" w:line="440" w:lineRule="exact"/>
      <w:jc w:val="center"/>
    </w:pPr>
    <w:rPr>
      <w:b/>
      <w:bCs/>
      <w:sz w:val="25"/>
      <w:szCs w:val="38"/>
    </w:rPr>
  </w:style>
  <w:style w:type="paragraph" w:customStyle="1" w:styleId="JH1">
    <w:name w:val="J_H_1"/>
    <w:basedOn w:val="JCH"/>
    <w:qFormat/>
    <w:rsid w:val="00F158EB"/>
    <w:pPr>
      <w:spacing w:line="420" w:lineRule="exact"/>
    </w:pPr>
    <w:rPr>
      <w:sz w:val="23"/>
      <w:szCs w:val="34"/>
    </w:rPr>
  </w:style>
  <w:style w:type="paragraph" w:customStyle="1" w:styleId="JH2">
    <w:name w:val="J_H_2"/>
    <w:basedOn w:val="JH1"/>
    <w:qFormat/>
    <w:rsid w:val="00F158EB"/>
    <w:pPr>
      <w:spacing w:line="400" w:lineRule="exact"/>
    </w:pPr>
    <w:rPr>
      <w:sz w:val="20"/>
      <w:szCs w:val="30"/>
    </w:rPr>
  </w:style>
  <w:style w:type="paragraph" w:customStyle="1" w:styleId="JSmall">
    <w:name w:val="J_Small"/>
    <w:basedOn w:val="JSingleTxt"/>
    <w:next w:val="JSingleTxt"/>
    <w:qFormat/>
    <w:rsid w:val="00F158EB"/>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F158EB"/>
    <w:pPr>
      <w:tabs>
        <w:tab w:val="right" w:leader="dot" w:pos="360"/>
      </w:tabs>
      <w:spacing w:line="310" w:lineRule="exact"/>
      <w:jc w:val="right"/>
    </w:pPr>
    <w:rPr>
      <w:spacing w:val="5"/>
      <w:w w:val="104"/>
      <w:kern w:val="14"/>
      <w:sz w:val="17"/>
      <w:szCs w:val="25"/>
    </w:rPr>
  </w:style>
  <w:style w:type="character" w:styleId="LineNumber">
    <w:name w:val="line number"/>
    <w:qFormat/>
    <w:rsid w:val="00F158EB"/>
    <w:rPr>
      <w:sz w:val="14"/>
      <w:szCs w:val="16"/>
    </w:rPr>
  </w:style>
  <w:style w:type="paragraph" w:customStyle="1" w:styleId="SmallX">
    <w:name w:val="SmallX"/>
    <w:basedOn w:val="Small"/>
    <w:next w:val="Normal"/>
    <w:qFormat/>
    <w:rsid w:val="00F158EB"/>
    <w:pPr>
      <w:spacing w:line="240" w:lineRule="exact"/>
    </w:pPr>
    <w:rPr>
      <w:spacing w:val="6"/>
      <w:w w:val="106"/>
      <w:sz w:val="14"/>
      <w:szCs w:val="21"/>
    </w:rPr>
  </w:style>
  <w:style w:type="paragraph" w:customStyle="1" w:styleId="XLarge">
    <w:name w:val="XLarge"/>
    <w:basedOn w:val="HM"/>
    <w:qFormat/>
    <w:rsid w:val="00F158EB"/>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F158EB"/>
    <w:pPr>
      <w:spacing w:line="820" w:lineRule="exact"/>
    </w:pPr>
    <w:rPr>
      <w:spacing w:val="-8"/>
      <w:w w:val="96"/>
      <w:sz w:val="57"/>
      <w:szCs w:val="86"/>
    </w:rPr>
  </w:style>
  <w:style w:type="paragraph" w:customStyle="1" w:styleId="Distribution">
    <w:name w:val="Distribution"/>
    <w:basedOn w:val="Normal"/>
    <w:next w:val="Normal"/>
    <w:qFormat/>
    <w:rsid w:val="00F158EB"/>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F158EB"/>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F158EB"/>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F158EB"/>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F158EB"/>
    <w:pPr>
      <w:tabs>
        <w:tab w:val="left" w:pos="662"/>
        <w:tab w:val="left" w:pos="1267"/>
        <w:tab w:val="left" w:pos="1987"/>
        <w:tab w:val="left" w:pos="2650"/>
      </w:tabs>
      <w:spacing w:after="0"/>
      <w:ind w:left="662" w:hanging="662"/>
    </w:pPr>
  </w:style>
  <w:style w:type="paragraph" w:customStyle="1" w:styleId="Committee">
    <w:name w:val="Committee"/>
    <w:basedOn w:val="H1"/>
    <w:qFormat/>
    <w:rsid w:val="00F158EB"/>
    <w:pPr>
      <w:tabs>
        <w:tab w:val="left" w:pos="662"/>
        <w:tab w:val="left" w:pos="1267"/>
        <w:tab w:val="left" w:pos="1987"/>
        <w:tab w:val="left" w:pos="2650"/>
      </w:tabs>
      <w:ind w:right="1264"/>
    </w:pPr>
  </w:style>
  <w:style w:type="paragraph" w:customStyle="1" w:styleId="AgendaItemNormal">
    <w:name w:val="Agenda_Item_Normal"/>
    <w:next w:val="Normal"/>
    <w:qFormat/>
    <w:rsid w:val="00F158EB"/>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F158EB"/>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F158EB"/>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F158EB"/>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F158EB"/>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F158EB"/>
    <w:rPr>
      <w:i w:val="0"/>
      <w:color w:val="0000FF"/>
      <w:u w:val="none"/>
    </w:rPr>
  </w:style>
  <w:style w:type="paragraph" w:customStyle="1" w:styleId="Bullet1">
    <w:name w:val="Bullet 1"/>
    <w:basedOn w:val="Normal"/>
    <w:qFormat/>
    <w:rsid w:val="00F158EB"/>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F158EB"/>
    <w:pPr>
      <w:numPr>
        <w:numId w:val="19"/>
      </w:numPr>
      <w:spacing w:after="120" w:line="360" w:lineRule="exact"/>
      <w:ind w:right="1264"/>
    </w:pPr>
    <w:rPr>
      <w:kern w:val="14"/>
      <w:szCs w:val="28"/>
    </w:rPr>
  </w:style>
  <w:style w:type="paragraph" w:customStyle="1" w:styleId="Bullet3">
    <w:name w:val="Bullet 3"/>
    <w:basedOn w:val="SingleTxt"/>
    <w:qFormat/>
    <w:rsid w:val="00F158EB"/>
    <w:pPr>
      <w:numPr>
        <w:numId w:val="20"/>
      </w:numPr>
      <w:tabs>
        <w:tab w:val="num" w:pos="2495"/>
      </w:tabs>
      <w:ind w:left="2495" w:hanging="545"/>
    </w:pPr>
  </w:style>
  <w:style w:type="paragraph" w:customStyle="1" w:styleId="AgendaTitleH2">
    <w:name w:val="Agenda_Title_H2"/>
    <w:basedOn w:val="H1"/>
    <w:next w:val="Normal"/>
    <w:qFormat/>
    <w:rsid w:val="00F158EB"/>
    <w:pPr>
      <w:ind w:right="5760"/>
      <w:outlineLvl w:val="1"/>
    </w:pPr>
    <w:rPr>
      <w:spacing w:val="2"/>
      <w:sz w:val="20"/>
      <w:szCs w:val="28"/>
    </w:rPr>
  </w:style>
  <w:style w:type="paragraph" w:customStyle="1" w:styleId="STitleM">
    <w:name w:val="S_Title_M"/>
    <w:basedOn w:val="Normal"/>
    <w:next w:val="Normal"/>
    <w:qFormat/>
    <w:rsid w:val="00F158EB"/>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F158EB"/>
    <w:pPr>
      <w:spacing w:line="600" w:lineRule="exact"/>
      <w:ind w:left="1267" w:right="1267"/>
    </w:pPr>
    <w:rPr>
      <w:w w:val="103"/>
      <w:sz w:val="60"/>
      <w:szCs w:val="60"/>
    </w:rPr>
  </w:style>
  <w:style w:type="paragraph" w:customStyle="1" w:styleId="STitleL">
    <w:name w:val="S_Title_L"/>
    <w:basedOn w:val="XLarge"/>
    <w:next w:val="Normal"/>
    <w:qFormat/>
    <w:rsid w:val="00F158EB"/>
    <w:rPr>
      <w:spacing w:val="-8"/>
      <w:w w:val="96"/>
      <w:sz w:val="57"/>
    </w:rPr>
  </w:style>
  <w:style w:type="paragraph" w:styleId="CommentText">
    <w:name w:val="annotation text"/>
    <w:basedOn w:val="Normal"/>
    <w:link w:val="CommentTextChar"/>
    <w:uiPriority w:val="99"/>
    <w:semiHidden/>
    <w:unhideWhenUsed/>
    <w:rsid w:val="00F158EB"/>
    <w:pPr>
      <w:spacing w:line="240" w:lineRule="auto"/>
    </w:pPr>
    <w:rPr>
      <w:kern w:val="14"/>
    </w:rPr>
  </w:style>
  <w:style w:type="character" w:customStyle="1" w:styleId="CommentTextChar">
    <w:name w:val="Comment Text Char"/>
    <w:basedOn w:val="DefaultParagraphFont"/>
    <w:link w:val="CommentText"/>
    <w:uiPriority w:val="99"/>
    <w:semiHidden/>
    <w:rsid w:val="00F158EB"/>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F158EB"/>
    <w:rPr>
      <w:b/>
      <w:bCs/>
    </w:rPr>
  </w:style>
  <w:style w:type="character" w:customStyle="1" w:styleId="CommentSubjectChar">
    <w:name w:val="Comment Subject Char"/>
    <w:basedOn w:val="CommentTextChar"/>
    <w:link w:val="CommentSubject"/>
    <w:uiPriority w:val="99"/>
    <w:semiHidden/>
    <w:rsid w:val="00F158EB"/>
    <w:rPr>
      <w:rFonts w:ascii="Times New Roman" w:eastAsia="PMingLiU" w:hAnsi="Times New Roman" w:cs="Simplified Arabic"/>
      <w:b/>
      <w:bCs/>
      <w:kern w:val="14"/>
      <w:szCs w:val="22"/>
      <w:lang w:eastAsia="en-US"/>
    </w:rPr>
  </w:style>
  <w:style w:type="paragraph" w:customStyle="1" w:styleId="Bullet1G">
    <w:name w:val="_Bullet 1_G"/>
    <w:basedOn w:val="Normal"/>
    <w:qFormat/>
    <w:rsid w:val="00F158EB"/>
    <w:pPr>
      <w:numPr>
        <w:numId w:val="21"/>
      </w:numPr>
      <w:bidi w:val="0"/>
      <w:spacing w:after="120"/>
      <w:ind w:right="1134"/>
      <w:jc w:val="both"/>
    </w:pPr>
    <w:rPr>
      <w:sz w:val="22"/>
    </w:rPr>
  </w:style>
  <w:style w:type="character" w:customStyle="1" w:styleId="SingleTxtGChar">
    <w:name w:val="_ Single Txt_G Char"/>
    <w:link w:val="SingleTxtG"/>
    <w:qFormat/>
    <w:rsid w:val="00F158EB"/>
    <w:rPr>
      <w:rFonts w:ascii="Times New Roman" w:eastAsia="PMingLiU" w:hAnsi="Times New Roman" w:cs="Simplified Arabic"/>
      <w:lang w:val="en-GB" w:eastAsia="en-US"/>
    </w:rPr>
  </w:style>
  <w:style w:type="paragraph" w:customStyle="1" w:styleId="Preparedby">
    <w:name w:val="Prepared by:"/>
    <w:basedOn w:val="H23GA"/>
    <w:qFormat/>
    <w:rsid w:val="00F158EB"/>
    <w:rPr>
      <w:sz w:val="32"/>
      <w:szCs w:val="32"/>
    </w:rPr>
  </w:style>
  <w:style w:type="paragraph" w:customStyle="1" w:styleId="ParaNoG">
    <w:name w:val="_ParaNo._G"/>
    <w:basedOn w:val="SingleTxtG"/>
    <w:rsid w:val="00F158EB"/>
    <w:pPr>
      <w:numPr>
        <w:numId w:val="28"/>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F158EB"/>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F158EB"/>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F158EB"/>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F158EB"/>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F158EB"/>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F158EB"/>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F158EB"/>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F158EB"/>
    <w:rPr>
      <w:rFonts w:asciiTheme="minorHAnsi" w:eastAsiaTheme="minorEastAsia" w:hAnsiTheme="minorHAnsi" w:cstheme="minorBidi"/>
      <w:sz w:val="24"/>
      <w:szCs w:val="24"/>
      <w:lang w:val="fr-FR" w:eastAsia="fr-FR"/>
    </w:rPr>
  </w:style>
  <w:style w:type="paragraph" w:customStyle="1" w:styleId="Default">
    <w:name w:val="Default"/>
    <w:semiHidden/>
    <w:rsid w:val="00F158EB"/>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F158EB"/>
  </w:style>
  <w:style w:type="character" w:customStyle="1" w:styleId="preferred">
    <w:name w:val="preferred"/>
    <w:basedOn w:val="DefaultParagraphFont"/>
    <w:rsid w:val="00F158EB"/>
  </w:style>
  <w:style w:type="character" w:customStyle="1" w:styleId="admitted">
    <w:name w:val="admitted"/>
    <w:basedOn w:val="DefaultParagraphFont"/>
    <w:rsid w:val="00F158EB"/>
  </w:style>
  <w:style w:type="paragraph" w:styleId="TOC7">
    <w:name w:val="toc 7"/>
    <w:basedOn w:val="Normal"/>
    <w:next w:val="Normal"/>
    <w:autoRedefine/>
    <w:uiPriority w:val="39"/>
    <w:unhideWhenUsed/>
    <w:rsid w:val="00C64C7B"/>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C64C7B"/>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C64C7B"/>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rsid w:val="00F158EB"/>
    <w:pPr>
      <w:bidi w:val="0"/>
      <w:spacing w:after="160" w:line="240" w:lineRule="exact"/>
      <w:jc w:val="both"/>
    </w:pPr>
    <w:rPr>
      <w:rFonts w:ascii="Calibri" w:eastAsia="Times New Roman" w:hAnsi="Calibri" w:cs="Arial"/>
      <w:szCs w:val="18"/>
      <w:vertAlign w:val="superscript"/>
      <w:lang w:eastAsia="zh-TW"/>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F158EB"/>
    <w:rPr>
      <w:rFonts w:ascii="Times New Roman" w:eastAsia="PMingLiU" w:hAnsi="Times New Roman" w:cs="Simplified Arabic"/>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6" Type="http://schemas.openxmlformats.org/officeDocument/2006/relationships/hyperlink" Target="http://undocs.org/ar/CEDAW/C/SAU/CO/3" TargetMode="External"/><Relationship Id="rId21" Type="http://schemas.openxmlformats.org/officeDocument/2006/relationships/hyperlink" Target="http://undocs.org/ar/CAT/C/SAU/CO/2" TargetMode="External"/><Relationship Id="rId42" Type="http://schemas.openxmlformats.org/officeDocument/2006/relationships/hyperlink" Target="http://undocs.org/ar/CERD/C/SAU/CO/4" TargetMode="External"/><Relationship Id="rId47" Type="http://schemas.openxmlformats.org/officeDocument/2006/relationships/hyperlink" Target="http://undocs.org/ar/CEDAW/C/SAU/CO/3" TargetMode="External"/><Relationship Id="rId63" Type="http://schemas.openxmlformats.org/officeDocument/2006/relationships/hyperlink" Target="http://undocs.org/ar/CAT/C/CR/28/5" TargetMode="External"/><Relationship Id="rId68" Type="http://schemas.openxmlformats.org/officeDocument/2006/relationships/hyperlink" Target="http://undocs.org/ar/CRC/C/OPSC/SAU/CO/1" TargetMode="External"/><Relationship Id="rId84" Type="http://schemas.openxmlformats.org/officeDocument/2006/relationships/hyperlink" Target="http://undocs.org/ar/CRPD/C/SAU/CO/1" TargetMode="External"/><Relationship Id="rId89" Type="http://schemas.openxmlformats.org/officeDocument/2006/relationships/hyperlink" Target="http://undocs.org/ar/CAT/C/SAU/CO/2" TargetMode="External"/><Relationship Id="rId2" Type="http://schemas.openxmlformats.org/officeDocument/2006/relationships/hyperlink" Target="http://undocs.org/ar/CAT/C/SAU/CO/2/Corr.1" TargetMode="External"/><Relationship Id="rId16" Type="http://schemas.openxmlformats.org/officeDocument/2006/relationships/hyperlink" Target="http://undocs.org/ar/A/HRC/WG.6/31/SAU/2" TargetMode="External"/><Relationship Id="rId29" Type="http://schemas.openxmlformats.org/officeDocument/2006/relationships/hyperlink" Target="http://undocs.org/ar/A/HRC/40/4/Add.1" TargetMode="External"/><Relationship Id="rId107" Type="http://schemas.openxmlformats.org/officeDocument/2006/relationships/hyperlink" Target="http://undocs.org/ar/CAT/C/SAU/CO/2" TargetMode="External"/><Relationship Id="rId11" Type="http://schemas.openxmlformats.org/officeDocument/2006/relationships/hyperlink" Target="http://undocs.org/ar/A/HRC/40/4/Add.1" TargetMode="External"/><Relationship Id="rId24" Type="http://schemas.openxmlformats.org/officeDocument/2006/relationships/hyperlink" Target="http://undocs.org/ar/CAT/C/CR/28/5" TargetMode="External"/><Relationship Id="rId32" Type="http://schemas.openxmlformats.org/officeDocument/2006/relationships/hyperlink" Target="http://undocs.org/ar/CEDAW/C/SAU/CO/3" TargetMode="External"/><Relationship Id="rId37" Type="http://schemas.openxmlformats.org/officeDocument/2006/relationships/hyperlink" Target="http://undocs.org/ar/CEDAW/C/SAU/CO/3" TargetMode="External"/><Relationship Id="rId40" Type="http://schemas.openxmlformats.org/officeDocument/2006/relationships/hyperlink" Target="http://undocs.org/ar/A/HRC/40/4" TargetMode="External"/><Relationship Id="rId45" Type="http://schemas.openxmlformats.org/officeDocument/2006/relationships/hyperlink" Target="http://undocs.org/ar/A/HRC/WG.6/31/SAU/2" TargetMode="External"/><Relationship Id="rId53" Type="http://schemas.openxmlformats.org/officeDocument/2006/relationships/hyperlink" Target="http://undocs.org/ar/CERD/C/SAU/CO/4" TargetMode="External"/><Relationship Id="rId58" Type="http://schemas.openxmlformats.org/officeDocument/2006/relationships/hyperlink" Target="http://undocs.org/ar/CAT/C/CR/28/5" TargetMode="External"/><Relationship Id="rId66" Type="http://schemas.openxmlformats.org/officeDocument/2006/relationships/hyperlink" Target="http://undocs.org/ar/CEDAW/C/SAU/CO/3" TargetMode="External"/><Relationship Id="rId74" Type="http://schemas.openxmlformats.org/officeDocument/2006/relationships/hyperlink" Target="http://undocs.org/ar/CRPD/C/SAU/CO/1" TargetMode="External"/><Relationship Id="rId79" Type="http://schemas.openxmlformats.org/officeDocument/2006/relationships/hyperlink" Target="http://undocs.org/ar/A/HRC/40/4/Add.1" TargetMode="External"/><Relationship Id="rId87" Type="http://schemas.openxmlformats.org/officeDocument/2006/relationships/hyperlink" Target="http://undocs.org/ar/CAT/C/SAU/CO/2" TargetMode="External"/><Relationship Id="rId102" Type="http://schemas.openxmlformats.org/officeDocument/2006/relationships/hyperlink" Target="http://undocs.org/ar/CEDAW/C/SAU/CO/3" TargetMode="External"/><Relationship Id="rId5" Type="http://schemas.openxmlformats.org/officeDocument/2006/relationships/hyperlink" Target="http://undocs.org/ar/CAT/C/CR/28/5" TargetMode="External"/><Relationship Id="rId61" Type="http://schemas.openxmlformats.org/officeDocument/2006/relationships/hyperlink" Target="http://undocs.org/ar/CERD/C/SAU/CO/4" TargetMode="External"/><Relationship Id="rId82" Type="http://schemas.openxmlformats.org/officeDocument/2006/relationships/hyperlink" Target="http://undocs.org/ar/CAT/C/SAU/CO/2" TargetMode="External"/><Relationship Id="rId90" Type="http://schemas.openxmlformats.org/officeDocument/2006/relationships/hyperlink" Target="http://undocs.org/ar/CAT/C/CR/28/5" TargetMode="External"/><Relationship Id="rId95" Type="http://schemas.openxmlformats.org/officeDocument/2006/relationships/hyperlink" Target="http://undocs.org/ar/A/HRC/40/4" TargetMode="External"/><Relationship Id="rId19" Type="http://schemas.openxmlformats.org/officeDocument/2006/relationships/hyperlink" Target="http://undocs.org/ar/A/HRC/40/4" TargetMode="External"/><Relationship Id="rId14" Type="http://schemas.openxmlformats.org/officeDocument/2006/relationships/hyperlink" Target="http://undocs.org/ar/CAT/C/SAU/CO/2" TargetMode="External"/><Relationship Id="rId22" Type="http://schemas.openxmlformats.org/officeDocument/2006/relationships/hyperlink" Target="http://undocs.org/ar/A/HRC/40/4" TargetMode="External"/><Relationship Id="rId27" Type="http://schemas.openxmlformats.org/officeDocument/2006/relationships/hyperlink" Target="http://undocs.org/ar/A/HRC/WG.6/31/SAU/2" TargetMode="External"/><Relationship Id="rId30" Type="http://schemas.openxmlformats.org/officeDocument/2006/relationships/hyperlink" Target="http://undocs.org/ar/CRC/C/OPSC/SAU/CO/1" TargetMode="External"/><Relationship Id="rId35" Type="http://schemas.openxmlformats.org/officeDocument/2006/relationships/hyperlink" Target="http://undocs.org/ar/CEDAW/C/SAU/CO/3" TargetMode="External"/><Relationship Id="rId43" Type="http://schemas.openxmlformats.org/officeDocument/2006/relationships/hyperlink" Target="http://undocs.org/ar/CEDAW/C/SAU/CO/3" TargetMode="External"/><Relationship Id="rId48" Type="http://schemas.openxmlformats.org/officeDocument/2006/relationships/hyperlink" Target="http://undocs.org/ar/CRC/C/OPSC/SAU/CO/1" TargetMode="External"/><Relationship Id="rId56" Type="http://schemas.openxmlformats.org/officeDocument/2006/relationships/hyperlink" Target="http://undocs.org/ar/A/HRC/WG.6/31/SAU/2" TargetMode="External"/><Relationship Id="rId64" Type="http://schemas.openxmlformats.org/officeDocument/2006/relationships/hyperlink" Target="http://undocs.org/ar/A/HRC/WG.6/31/SAU/2" TargetMode="External"/><Relationship Id="rId69" Type="http://schemas.openxmlformats.org/officeDocument/2006/relationships/hyperlink" Target="http://undocs.org/ar/CAT/C/SAU/CO/2" TargetMode="External"/><Relationship Id="rId77" Type="http://schemas.openxmlformats.org/officeDocument/2006/relationships/hyperlink" Target="http://undocs.org/ar/A/HRC/WG.6/31/SAU/2" TargetMode="External"/><Relationship Id="rId100" Type="http://schemas.openxmlformats.org/officeDocument/2006/relationships/hyperlink" Target="http://undocs.org/ar/CAT/C/SAU/CO/2" TargetMode="External"/><Relationship Id="rId105" Type="http://schemas.openxmlformats.org/officeDocument/2006/relationships/hyperlink" Target="http://undocs.org/ar/A/HRC/40/4/Add.1" TargetMode="External"/><Relationship Id="rId8" Type="http://schemas.openxmlformats.org/officeDocument/2006/relationships/hyperlink" Target="http://undocs.org/ar/CEDAW/C/SAU/CO/3" TargetMode="External"/><Relationship Id="rId51" Type="http://schemas.openxmlformats.org/officeDocument/2006/relationships/hyperlink" Target="http://undocs.org/ar/A/HRC/40/4/Add.1" TargetMode="External"/><Relationship Id="rId72" Type="http://schemas.openxmlformats.org/officeDocument/2006/relationships/hyperlink" Target="http://undocs.org/ar/CRPD/C/SAU/CO/1" TargetMode="External"/><Relationship Id="rId80" Type="http://schemas.openxmlformats.org/officeDocument/2006/relationships/hyperlink" Target="http://undocs.org/ar/A/HRC/WG.6/31/SAU/2" TargetMode="External"/><Relationship Id="rId85" Type="http://schemas.openxmlformats.org/officeDocument/2006/relationships/hyperlink" Target="http://undocs.org/ar/CRPD/C/SAU/CO/1" TargetMode="External"/><Relationship Id="rId93" Type="http://schemas.openxmlformats.org/officeDocument/2006/relationships/hyperlink" Target="http://undocs.org/ar/CAT/C/SAU/CO/2" TargetMode="External"/><Relationship Id="rId98" Type="http://schemas.openxmlformats.org/officeDocument/2006/relationships/hyperlink" Target="http://undocs.org/ar/A/A/HRC/WG.6/31/SAU/2" TargetMode="External"/><Relationship Id="rId3" Type="http://schemas.openxmlformats.org/officeDocument/2006/relationships/hyperlink" Target="http://undocs.org/ar/CAT/Shared%20Documents/SAU/CAT_C_SAU_CO_2_Add-1_24759_A.pdf" TargetMode="External"/><Relationship Id="rId12" Type="http://schemas.openxmlformats.org/officeDocument/2006/relationships/hyperlink" Target="http://undocs.org/ar/CERD/C/SAU/CO/4" TargetMode="External"/><Relationship Id="rId17" Type="http://schemas.openxmlformats.org/officeDocument/2006/relationships/hyperlink" Target="http://undocs.org/ar/A/HRC/WG.6/31/SAU/2" TargetMode="External"/><Relationship Id="rId25" Type="http://schemas.openxmlformats.org/officeDocument/2006/relationships/hyperlink" Target="http://undocs.org/ar/CAT/C/SAU/CO/2" TargetMode="External"/><Relationship Id="rId33" Type="http://schemas.openxmlformats.org/officeDocument/2006/relationships/hyperlink" Target="http://undocs.org/ar/CRPD/C/SAU/CO/1" TargetMode="External"/><Relationship Id="rId38" Type="http://schemas.openxmlformats.org/officeDocument/2006/relationships/hyperlink" Target="http://undocs.org/ar/A/HRC/WG.6/31/SAU/2" TargetMode="External"/><Relationship Id="rId46" Type="http://schemas.openxmlformats.org/officeDocument/2006/relationships/hyperlink" Target="http://undocs.org/ar/CEDAW/C/SAU/CO/3" TargetMode="External"/><Relationship Id="rId59" Type="http://schemas.openxmlformats.org/officeDocument/2006/relationships/hyperlink" Target="http://undocs.org/ar/CRC/C/OPSC/SAU/CO/1" TargetMode="External"/><Relationship Id="rId67" Type="http://schemas.openxmlformats.org/officeDocument/2006/relationships/hyperlink" Target="http://undocs.org/ar/CRC/C/OPAC/SAU/CO/1" TargetMode="External"/><Relationship Id="rId103" Type="http://schemas.openxmlformats.org/officeDocument/2006/relationships/hyperlink" Target="http://undocs.org/ar/A/A/HRC/WG.6/31/SAU/2" TargetMode="External"/><Relationship Id="rId108" Type="http://schemas.openxmlformats.org/officeDocument/2006/relationships/hyperlink" Target="http://undocs.org/ar/A/HRC/40/4" TargetMode="External"/><Relationship Id="rId20" Type="http://schemas.openxmlformats.org/officeDocument/2006/relationships/hyperlink" Target="http://undocs.org/ar/A/HRC/40/4/Add.1" TargetMode="External"/><Relationship Id="rId41" Type="http://schemas.openxmlformats.org/officeDocument/2006/relationships/hyperlink" Target="http://undocs.org/ar/A/HRC/40/4/Add.1" TargetMode="External"/><Relationship Id="rId54" Type="http://schemas.openxmlformats.org/officeDocument/2006/relationships/hyperlink" Target="http://undocs.org/ar/CEDAW/C/SAU/CO/3" TargetMode="External"/><Relationship Id="rId62" Type="http://schemas.openxmlformats.org/officeDocument/2006/relationships/hyperlink" Target="http://undocs.org/ar/CAT/C/SAU/CO/2" TargetMode="External"/><Relationship Id="rId70" Type="http://schemas.openxmlformats.org/officeDocument/2006/relationships/hyperlink" Target="http://undocs.org/ar/CRPD/C/SAU/CO/1" TargetMode="External"/><Relationship Id="rId75" Type="http://schemas.openxmlformats.org/officeDocument/2006/relationships/hyperlink" Target="http://undocs.org/ar/CRPD/C/SAU/CO/1" TargetMode="External"/><Relationship Id="rId83" Type="http://schemas.openxmlformats.org/officeDocument/2006/relationships/hyperlink" Target="http://undocs.org/ar/CAT/C/SAU/CO/2" TargetMode="External"/><Relationship Id="rId88" Type="http://schemas.openxmlformats.org/officeDocument/2006/relationships/hyperlink" Target="http://undocs.org/ar/A/HRC/WG.6/31/SAU/2" TargetMode="External"/><Relationship Id="rId91" Type="http://schemas.openxmlformats.org/officeDocument/2006/relationships/hyperlink" Target="http://undocs.org/ar/CRPD/C/SAU/CO/1" TargetMode="External"/><Relationship Id="rId96" Type="http://schemas.openxmlformats.org/officeDocument/2006/relationships/hyperlink" Target="http://undocs.org/ar/A/HRC/40/4/Add.1" TargetMode="External"/><Relationship Id="rId1" Type="http://schemas.openxmlformats.org/officeDocument/2006/relationships/hyperlink" Target="http://undocs.org/ar/CAT/C/SAU/CO/2" TargetMode="External"/><Relationship Id="rId6" Type="http://schemas.openxmlformats.org/officeDocument/2006/relationships/hyperlink" Target="http://undocs.org/ar/CAT/C/SAU/CO/2" TargetMode="External"/><Relationship Id="rId15" Type="http://schemas.openxmlformats.org/officeDocument/2006/relationships/hyperlink" Target="http://undocs.org/ar/CAT/C/CR/28/5" TargetMode="External"/><Relationship Id="rId23" Type="http://schemas.openxmlformats.org/officeDocument/2006/relationships/hyperlink" Target="http://undocs.org/ar/A/HRC/40/4/Add.1" TargetMode="External"/><Relationship Id="rId28" Type="http://schemas.openxmlformats.org/officeDocument/2006/relationships/hyperlink" Target="http://undocs.org/ar/A/HRC/40/4" TargetMode="External"/><Relationship Id="rId36" Type="http://schemas.openxmlformats.org/officeDocument/2006/relationships/hyperlink" Target="http://undocs.org/ar/A/HRC/WG.6/31/SAU/2" TargetMode="External"/><Relationship Id="rId49" Type="http://schemas.openxmlformats.org/officeDocument/2006/relationships/hyperlink" Target="http://undocs.org/ar/CEDAW/C/SAU/CO/3" TargetMode="External"/><Relationship Id="rId57" Type="http://schemas.openxmlformats.org/officeDocument/2006/relationships/hyperlink" Target="http://undocs.org/ar/CAT/C/SAU/CO/2" TargetMode="External"/><Relationship Id="rId106" Type="http://schemas.openxmlformats.org/officeDocument/2006/relationships/hyperlink" Target="http://undocs.org/ar/A/HRC/WG.6/31/SAU/2" TargetMode="External"/><Relationship Id="rId10" Type="http://schemas.openxmlformats.org/officeDocument/2006/relationships/hyperlink" Target="http://undocs.org/ar/A/HRC/40/4" TargetMode="External"/><Relationship Id="rId31" Type="http://schemas.openxmlformats.org/officeDocument/2006/relationships/hyperlink" Target="http://undocs.org/ar/CERD/C/SAU/CO/4" TargetMode="External"/><Relationship Id="rId44" Type="http://schemas.openxmlformats.org/officeDocument/2006/relationships/hyperlink" Target="http://undocs.org/ar/CEDAW/C/SAU/CO/3" TargetMode="External"/><Relationship Id="rId52" Type="http://schemas.openxmlformats.org/officeDocument/2006/relationships/hyperlink" Target="http://undocs.org/ar/CRC/C/OPSC/SAU/CO/1" TargetMode="External"/><Relationship Id="rId60" Type="http://schemas.openxmlformats.org/officeDocument/2006/relationships/hyperlink" Target="http://undocs.org/ar/CRC/C/OPAC/SAU/CO/1" TargetMode="External"/><Relationship Id="rId65" Type="http://schemas.openxmlformats.org/officeDocument/2006/relationships/hyperlink" Target="http://undocs.org/ar/CRPD/C/SAU/CO/1" TargetMode="External"/><Relationship Id="rId73" Type="http://schemas.openxmlformats.org/officeDocument/2006/relationships/hyperlink" Target="http://undocs.org/ar/CRPD/C/SAU/CO/1" TargetMode="External"/><Relationship Id="rId78" Type="http://schemas.openxmlformats.org/officeDocument/2006/relationships/hyperlink" Target="http://undocs.org/ar/A/HRC/40/4" TargetMode="External"/><Relationship Id="rId81" Type="http://schemas.openxmlformats.org/officeDocument/2006/relationships/hyperlink" Target="http://undocs.org/ar/CAT/C/SAU/CO/2" TargetMode="External"/><Relationship Id="rId86" Type="http://schemas.openxmlformats.org/officeDocument/2006/relationships/hyperlink" Target="http://undocs.org/ar/CRPD/C/20/D/38/2016" TargetMode="External"/><Relationship Id="rId94" Type="http://schemas.openxmlformats.org/officeDocument/2006/relationships/hyperlink" Target="http://undocs.org/ar/A/HRC/WG.6/31/SAU/2" TargetMode="External"/><Relationship Id="rId99" Type="http://schemas.openxmlformats.org/officeDocument/2006/relationships/hyperlink" Target="http://undocs.org/ar/CRPD/C/SAU/CO/1" TargetMode="External"/><Relationship Id="rId101" Type="http://schemas.openxmlformats.org/officeDocument/2006/relationships/hyperlink" Target="http://undocs.org/ar/CRC/C/OPSC/SAU/CO/1" TargetMode="External"/><Relationship Id="rId4" Type="http://schemas.openxmlformats.org/officeDocument/2006/relationships/hyperlink" Target="http://undocs.org/ar/CAT/C/SAU/CO/2" TargetMode="External"/><Relationship Id="rId9" Type="http://schemas.openxmlformats.org/officeDocument/2006/relationships/hyperlink" Target="http://undocs.org/ar/A/HRC/WG.6/31/SAU/2" TargetMode="External"/><Relationship Id="rId13" Type="http://schemas.openxmlformats.org/officeDocument/2006/relationships/hyperlink" Target="http://undocs.org/ar/CAT/C/SAU/CO/2" TargetMode="External"/><Relationship Id="rId18" Type="http://schemas.openxmlformats.org/officeDocument/2006/relationships/hyperlink" Target="http://undocs.org/ar/CAT/C/SAU/CO/2" TargetMode="External"/><Relationship Id="rId39" Type="http://schemas.openxmlformats.org/officeDocument/2006/relationships/hyperlink" Target="http://undocs.org/ar/A/HRC/WG.6/31/SAU/2" TargetMode="External"/><Relationship Id="rId109" Type="http://schemas.openxmlformats.org/officeDocument/2006/relationships/hyperlink" Target="http://undocs.org/ar/A/HRC/40/4/Add.1" TargetMode="External"/><Relationship Id="rId34" Type="http://schemas.openxmlformats.org/officeDocument/2006/relationships/hyperlink" Target="http://undocs.org/ar/CEDAW/C/SAU/CO/3" TargetMode="External"/><Relationship Id="rId50" Type="http://schemas.openxmlformats.org/officeDocument/2006/relationships/hyperlink" Target="http://undocs.org/ar/A/HRC/40/4" TargetMode="External"/><Relationship Id="rId55" Type="http://schemas.openxmlformats.org/officeDocument/2006/relationships/hyperlink" Target="http://undocs.org/ar/CEDAW/C/SAU/CO/3" TargetMode="External"/><Relationship Id="rId76" Type="http://schemas.openxmlformats.org/officeDocument/2006/relationships/hyperlink" Target="http://undocs.org/ar/CAT/C/SAU/CO/2" TargetMode="External"/><Relationship Id="rId97" Type="http://schemas.openxmlformats.org/officeDocument/2006/relationships/hyperlink" Target="http://undocs.org/ar/CERD/C/SAU/CO/4" TargetMode="External"/><Relationship Id="rId104" Type="http://schemas.openxmlformats.org/officeDocument/2006/relationships/hyperlink" Target="http://undocs.org/ar/A/HRC/40/4" TargetMode="External"/><Relationship Id="rId7" Type="http://schemas.openxmlformats.org/officeDocument/2006/relationships/hyperlink" Target="http://undocs.org/ar/CERD/C/SAU/CO/4" TargetMode="External"/><Relationship Id="rId71" Type="http://schemas.openxmlformats.org/officeDocument/2006/relationships/hyperlink" Target="http://undocs.org/ar/A/HRC/WG.6/31/SAU/2" TargetMode="External"/><Relationship Id="rId92" Type="http://schemas.openxmlformats.org/officeDocument/2006/relationships/hyperlink" Target="http://undocs.org/ar/A/A/HRC/WG.6/31/SAU/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734A9-C71D-4C53-9B5B-07590E8FE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5</TotalTime>
  <Pages>13</Pages>
  <Words>4211</Words>
  <Characters>26534</Characters>
  <Application>Microsoft Office Word</Application>
  <DocSecurity>0</DocSecurity>
  <Lines>2412</Lines>
  <Paragraphs>1397</Paragraphs>
  <ScaleCrop>false</ScaleCrop>
  <HeadingPairs>
    <vt:vector size="2" baseType="variant">
      <vt:variant>
        <vt:lpstr>Title</vt:lpstr>
      </vt:variant>
      <vt:variant>
        <vt:i4>1</vt:i4>
      </vt:variant>
    </vt:vector>
  </HeadingPairs>
  <TitlesOfParts>
    <vt:vector size="1" baseType="lpstr">
      <vt:lpstr>CAT/C/SAU/QPR/3</vt:lpstr>
    </vt:vector>
  </TitlesOfParts>
  <Company>DCM</Company>
  <LinksUpToDate>false</LinksUpToDate>
  <CharactersWithSpaces>29348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CAT/C/SAU/QPR/3</dc:title>
  <dc:subject>GE.2200080(A)</dc:subject>
  <dc:creator>Gamal MAHMOUD - BOUC</dc:creator>
  <cp:keywords>GE.2200197(A)</cp:keywords>
  <dc:description>Distr.: General_x000d_
5 January 2022_x000d_
Original: English_x000d_
Arabic, English, French and Spanish only</dc:description>
  <cp:lastModifiedBy>Gamal MAHMOUD</cp:lastModifiedBy>
  <cp:revision>3</cp:revision>
  <cp:lastPrinted>2022-01-27T20:50:00Z</cp:lastPrinted>
  <dcterms:created xsi:type="dcterms:W3CDTF">2022-01-27T20:50:00Z</dcterms:created>
  <dcterms:modified xsi:type="dcterms:W3CDTF">2022-01-27T20:55:00Z</dcterms:modified>
  <cp:category>Final</cp:category>
</cp:coreProperties>
</file>