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07138B27" w14:textId="77777777" w:rsidTr="00C01462">
        <w:trPr>
          <w:cantSplit/>
          <w:trHeight w:hRule="exact" w:val="851"/>
        </w:trPr>
        <w:tc>
          <w:tcPr>
            <w:tcW w:w="1276" w:type="dxa"/>
            <w:tcBorders>
              <w:bottom w:val="single" w:sz="4" w:space="0" w:color="auto"/>
            </w:tcBorders>
            <w:vAlign w:val="bottom"/>
          </w:tcPr>
          <w:p w14:paraId="46AE3650" w14:textId="705BAB70" w:rsidR="00307688" w:rsidRPr="007233F9" w:rsidRDefault="00307688" w:rsidP="007233F9">
            <w:pPr>
              <w:pStyle w:val="SingleTxtG"/>
            </w:pPr>
          </w:p>
        </w:tc>
        <w:tc>
          <w:tcPr>
            <w:tcW w:w="2268" w:type="dxa"/>
            <w:tcBorders>
              <w:bottom w:val="single" w:sz="4" w:space="0" w:color="auto"/>
            </w:tcBorders>
            <w:vAlign w:val="bottom"/>
          </w:tcPr>
          <w:p w14:paraId="246670DB"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045A94" w14:textId="77777777" w:rsidR="00307688" w:rsidRPr="002E51B7" w:rsidRDefault="00CF018D" w:rsidP="00CF018D">
            <w:pPr>
              <w:suppressAutoHyphens w:val="0"/>
              <w:spacing w:after="20"/>
              <w:jc w:val="right"/>
            </w:pPr>
            <w:r w:rsidRPr="00CF018D">
              <w:rPr>
                <w:sz w:val="40"/>
              </w:rPr>
              <w:t>CERD</w:t>
            </w:r>
            <w:r>
              <w:t>/C/KAZ/CO/8-10</w:t>
            </w:r>
          </w:p>
        </w:tc>
      </w:tr>
      <w:tr w:rsidR="00307688" w14:paraId="50F3BC40" w14:textId="77777777" w:rsidTr="00C01462">
        <w:trPr>
          <w:cantSplit/>
          <w:trHeight w:hRule="exact" w:val="2835"/>
        </w:trPr>
        <w:tc>
          <w:tcPr>
            <w:tcW w:w="1276" w:type="dxa"/>
            <w:tcBorders>
              <w:top w:val="single" w:sz="4" w:space="0" w:color="auto"/>
              <w:bottom w:val="single" w:sz="12" w:space="0" w:color="auto"/>
            </w:tcBorders>
          </w:tcPr>
          <w:p w14:paraId="13CE112A" w14:textId="77777777" w:rsidR="00307688" w:rsidRDefault="00307688" w:rsidP="00C01462">
            <w:pPr>
              <w:spacing w:before="120"/>
              <w:jc w:val="center"/>
            </w:pPr>
            <w:r>
              <w:rPr>
                <w:noProof/>
                <w:lang w:val="fr-CH" w:eastAsia="fr-CH"/>
              </w:rPr>
              <w:drawing>
                <wp:inline distT="0" distB="0" distL="0" distR="0" wp14:anchorId="1D06C757" wp14:editId="281A1891">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75425C"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247FB5EA"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52729A76" w14:textId="77777777" w:rsidR="00307688" w:rsidRDefault="00CF018D" w:rsidP="00CF018D">
            <w:pPr>
              <w:spacing w:before="240"/>
            </w:pPr>
            <w:r>
              <w:t>Distr.: General</w:t>
            </w:r>
          </w:p>
          <w:p w14:paraId="119C9383" w14:textId="675D8F11" w:rsidR="00CF018D" w:rsidRDefault="002F76D9" w:rsidP="00CF018D">
            <w:pPr>
              <w:suppressAutoHyphens w:val="0"/>
            </w:pPr>
            <w:r>
              <w:t>4</w:t>
            </w:r>
            <w:r w:rsidR="00CF018D">
              <w:t xml:space="preserve"> July 2022</w:t>
            </w:r>
          </w:p>
          <w:p w14:paraId="3ED3B89F" w14:textId="77777777" w:rsidR="00CF018D" w:rsidRDefault="00CF018D" w:rsidP="00CF018D">
            <w:pPr>
              <w:suppressAutoHyphens w:val="0"/>
            </w:pPr>
          </w:p>
          <w:p w14:paraId="5B5E6FCC" w14:textId="77777777" w:rsidR="00CF018D" w:rsidRDefault="00CF018D" w:rsidP="00CF018D">
            <w:pPr>
              <w:suppressAutoHyphens w:val="0"/>
            </w:pPr>
            <w:r>
              <w:t>Original: English</w:t>
            </w:r>
          </w:p>
        </w:tc>
      </w:tr>
    </w:tbl>
    <w:p w14:paraId="5969EDCA" w14:textId="77777777" w:rsidR="00CF018D" w:rsidRDefault="00CF018D" w:rsidP="00CF018D">
      <w:pPr>
        <w:spacing w:before="120"/>
        <w:rPr>
          <w:b/>
          <w:sz w:val="24"/>
          <w:szCs w:val="24"/>
        </w:rPr>
      </w:pPr>
      <w:r>
        <w:rPr>
          <w:b/>
          <w:sz w:val="24"/>
          <w:szCs w:val="24"/>
        </w:rPr>
        <w:t>Committee on the Elimination of Racial Discrimination</w:t>
      </w:r>
    </w:p>
    <w:p w14:paraId="4FD4476E" w14:textId="612EACD2" w:rsidR="00CF018D" w:rsidRPr="001A348D" w:rsidRDefault="00CF018D" w:rsidP="00CF018D">
      <w:pPr>
        <w:pStyle w:val="HChG"/>
      </w:pPr>
      <w:r>
        <w:tab/>
      </w:r>
      <w:r>
        <w:tab/>
        <w:t>Concluding observations on the combined eighth to tenth reports of Kazakhstan</w:t>
      </w:r>
      <w:r w:rsidRPr="00B51714">
        <w:rPr>
          <w:rStyle w:val="FootnoteReference"/>
          <w:b w:val="0"/>
          <w:bCs/>
          <w:sz w:val="20"/>
          <w:vertAlign w:val="baseline"/>
        </w:rPr>
        <w:footnoteReference w:customMarkFollows="1" w:id="1"/>
        <w:t>*</w:t>
      </w:r>
    </w:p>
    <w:p w14:paraId="1DC53A21" w14:textId="77777777" w:rsidR="00CF018D" w:rsidRPr="00C3330E" w:rsidRDefault="00CF018D" w:rsidP="00CF018D">
      <w:pPr>
        <w:pStyle w:val="SingleTxtG"/>
      </w:pPr>
      <w:r w:rsidRPr="00C3330E">
        <w:rPr>
          <w:bCs/>
        </w:rPr>
        <w:t>1.</w:t>
      </w:r>
      <w:r w:rsidRPr="00C3330E">
        <w:rPr>
          <w:bCs/>
        </w:rPr>
        <w:tab/>
      </w:r>
      <w:r w:rsidRPr="00C3330E">
        <w:t>The Committee considered the combined eighth to tenth periodic reports of Kazakhstan,</w:t>
      </w:r>
      <w:r w:rsidRPr="00B21A8B">
        <w:rPr>
          <w:rStyle w:val="FootnoteReference"/>
        </w:rPr>
        <w:footnoteReference w:id="2"/>
      </w:r>
      <w:r w:rsidRPr="00372646">
        <w:rPr>
          <w:vertAlign w:val="superscript"/>
        </w:rPr>
        <w:t xml:space="preserve"> </w:t>
      </w:r>
      <w:r w:rsidRPr="00C3330E">
        <w:t>submitted in one document and presented by the State party during its fourth appearance before the Committee, at its 2879th and 2880th meetings,</w:t>
      </w:r>
      <w:r w:rsidRPr="00B21A8B">
        <w:rPr>
          <w:rStyle w:val="FootnoteReference"/>
        </w:rPr>
        <w:footnoteReference w:id="3"/>
      </w:r>
      <w:r w:rsidRPr="00C3330E">
        <w:t xml:space="preserve"> held on 21 and 22 April 2022. At its 2885th meeting, held on 26 April 2022, it adopted the present concluding observations.</w:t>
      </w:r>
    </w:p>
    <w:p w14:paraId="3253BE6F" w14:textId="77777777" w:rsidR="00CF018D" w:rsidRPr="001A348D" w:rsidRDefault="00CF018D" w:rsidP="00CF018D">
      <w:pPr>
        <w:pStyle w:val="H1G"/>
      </w:pPr>
      <w:r w:rsidRPr="001A348D">
        <w:tab/>
        <w:t>A.</w:t>
      </w:r>
      <w:r w:rsidRPr="001A348D">
        <w:tab/>
        <w:t>Introduction</w:t>
      </w:r>
    </w:p>
    <w:p w14:paraId="51BD75E0" w14:textId="1D9D3B8D" w:rsidR="00CF018D" w:rsidRPr="00C3330E" w:rsidRDefault="00CF018D" w:rsidP="00CF018D">
      <w:pPr>
        <w:pStyle w:val="SingleTxtG"/>
      </w:pPr>
      <w:r w:rsidRPr="00C3330E">
        <w:rPr>
          <w:bCs/>
        </w:rPr>
        <w:t>2.</w:t>
      </w:r>
      <w:r w:rsidRPr="00C3330E">
        <w:rPr>
          <w:bCs/>
        </w:rPr>
        <w:tab/>
      </w:r>
      <w:r w:rsidRPr="00C3330E">
        <w:t xml:space="preserve">The Committee welcomes the submission of the combined eighth to tenth periodic reports of the State party. It </w:t>
      </w:r>
      <w:r>
        <w:t xml:space="preserve">also </w:t>
      </w:r>
      <w:r w:rsidRPr="00C3330E">
        <w:t>welcomes the constructive dialogue with the State party</w:t>
      </w:r>
      <w:r w:rsidR="00B21A8B">
        <w:t>’</w:t>
      </w:r>
      <w:r w:rsidRPr="00C3330E">
        <w:t>s delegation</w:t>
      </w:r>
      <w:r>
        <w:t>,</w:t>
      </w:r>
      <w:r w:rsidRPr="00C3330E">
        <w:t xml:space="preserve"> and </w:t>
      </w:r>
      <w:r>
        <w:t xml:space="preserve">it </w:t>
      </w:r>
      <w:r w:rsidRPr="00C3330E">
        <w:t>thanks the delegation for the information provided during the consideration of the report and after the dialogue.</w:t>
      </w:r>
    </w:p>
    <w:p w14:paraId="6C5FEC23" w14:textId="77777777" w:rsidR="00CF018D" w:rsidRPr="001A348D" w:rsidRDefault="00CF018D" w:rsidP="00CF018D">
      <w:pPr>
        <w:pStyle w:val="H1G"/>
      </w:pPr>
      <w:r w:rsidRPr="001A348D">
        <w:tab/>
        <w:t>B.</w:t>
      </w:r>
      <w:r w:rsidRPr="001A348D">
        <w:tab/>
        <w:t>Positive aspects</w:t>
      </w:r>
    </w:p>
    <w:p w14:paraId="36F2EBC8" w14:textId="77777777" w:rsidR="00CF018D" w:rsidRDefault="00CF018D" w:rsidP="00CF018D">
      <w:pPr>
        <w:pStyle w:val="SingleTxtG"/>
      </w:pPr>
      <w:r>
        <w:rPr>
          <w:bCs/>
        </w:rPr>
        <w:t>3.</w:t>
      </w:r>
      <w:r>
        <w:rPr>
          <w:bCs/>
        </w:rPr>
        <w:tab/>
      </w:r>
      <w:r w:rsidRPr="00F43B3E">
        <w:t xml:space="preserve">The Committee welcomes the </w:t>
      </w:r>
      <w:r>
        <w:t xml:space="preserve">ratification by the </w:t>
      </w:r>
      <w:r w:rsidRPr="00F43B3E">
        <w:t>State party of</w:t>
      </w:r>
      <w:r>
        <w:t xml:space="preserve"> the following international instruments:</w:t>
      </w:r>
    </w:p>
    <w:p w14:paraId="204C353E" w14:textId="0575FE52" w:rsidR="00CF018D" w:rsidRPr="00C3330E" w:rsidRDefault="00CF018D" w:rsidP="00CF018D">
      <w:pPr>
        <w:pStyle w:val="SingleTxtG"/>
      </w:pPr>
      <w:r>
        <w:tab/>
      </w:r>
      <w:r w:rsidRPr="00C3330E">
        <w:t>(a)</w:t>
      </w:r>
      <w:r w:rsidRPr="00C3330E">
        <w:tab/>
        <w:t>The Second Optional Protocol to the International Covenant on Civil and Political Rights</w:t>
      </w:r>
      <w:r>
        <w:t>,</w:t>
      </w:r>
      <w:r w:rsidRPr="00C3330E">
        <w:t xml:space="preserve"> </w:t>
      </w:r>
      <w:r w:rsidRPr="00CE03C7">
        <w:rPr>
          <w:iCs/>
          <w:lang w:val="en-US"/>
        </w:rPr>
        <w:t>aiming at the abolition of the death penalty,</w:t>
      </w:r>
      <w:r w:rsidRPr="006D384F">
        <w:rPr>
          <w:i/>
          <w:iCs/>
          <w:lang w:val="en-US"/>
        </w:rPr>
        <w:t xml:space="preserve"> </w:t>
      </w:r>
      <w:r w:rsidRPr="00C3330E">
        <w:t>in 2022;</w:t>
      </w:r>
    </w:p>
    <w:p w14:paraId="58854CA0" w14:textId="77777777" w:rsidR="00B21A8B" w:rsidRDefault="00CF018D" w:rsidP="00CF018D">
      <w:pPr>
        <w:pStyle w:val="SingleTxtG"/>
      </w:pPr>
      <w:r>
        <w:tab/>
      </w:r>
      <w:r w:rsidRPr="00C3330E">
        <w:t>(b)</w:t>
      </w:r>
      <w:r w:rsidRPr="00C3330E">
        <w:tab/>
        <w:t>The Convention on the Rights of Persons with Disabilities</w:t>
      </w:r>
      <w:r>
        <w:t>,</w:t>
      </w:r>
      <w:r w:rsidRPr="00C3330E">
        <w:t xml:space="preserve"> in 2015.</w:t>
      </w:r>
    </w:p>
    <w:p w14:paraId="64B3DB1F" w14:textId="5486F582" w:rsidR="00CF018D" w:rsidRPr="00C3330E" w:rsidRDefault="00CF018D" w:rsidP="00CF018D">
      <w:pPr>
        <w:pStyle w:val="SingleTxtG"/>
      </w:pPr>
      <w:r w:rsidRPr="00C3330E">
        <w:rPr>
          <w:bCs/>
        </w:rPr>
        <w:t>4.</w:t>
      </w:r>
      <w:r w:rsidRPr="00C3330E">
        <w:rPr>
          <w:bCs/>
        </w:rPr>
        <w:tab/>
      </w:r>
      <w:r w:rsidRPr="00C3330E">
        <w:t>The Committee also welcomes the following legislative, institutional and policy measures taken by the State party:</w:t>
      </w:r>
    </w:p>
    <w:p w14:paraId="62EA1538" w14:textId="0F1A4DF1" w:rsidR="00CF018D" w:rsidRPr="007F0DAE" w:rsidRDefault="00CF018D" w:rsidP="00CF018D">
      <w:pPr>
        <w:pStyle w:val="SingleTxtG"/>
      </w:pPr>
      <w:r>
        <w:tab/>
      </w:r>
      <w:r w:rsidRPr="007F0DAE">
        <w:t>(a)</w:t>
      </w:r>
      <w:r w:rsidRPr="007F0DAE">
        <w:tab/>
        <w:t>The creation in 2020 of the Committee for the Development of Inter</w:t>
      </w:r>
      <w:r>
        <w:t>-</w:t>
      </w:r>
      <w:r w:rsidRPr="007F0DAE">
        <w:t>ethnic Relations within the Ministry of Information and Social Development of Kazakhstan and of the Institute of Applied Ethno-Political Research;</w:t>
      </w:r>
    </w:p>
    <w:p w14:paraId="493CE0D5" w14:textId="7F2CCCA5" w:rsidR="00CF018D" w:rsidRPr="007F0DAE" w:rsidRDefault="00CF018D" w:rsidP="00CF018D">
      <w:pPr>
        <w:pStyle w:val="SingleTxtG"/>
      </w:pPr>
      <w:r>
        <w:tab/>
      </w:r>
      <w:r w:rsidRPr="007F0DAE">
        <w:t>(b)</w:t>
      </w:r>
      <w:r w:rsidRPr="007F0DAE">
        <w:tab/>
        <w:t xml:space="preserve">The amendments made in </w:t>
      </w:r>
      <w:r>
        <w:t xml:space="preserve">2019 </w:t>
      </w:r>
      <w:r w:rsidRPr="007F0DAE">
        <w:t xml:space="preserve">to the </w:t>
      </w:r>
      <w:r>
        <w:t xml:space="preserve">national </w:t>
      </w:r>
      <w:r w:rsidRPr="007F0DAE">
        <w:t>Code on Marriage (Matrimony) and Family, providing for universal registration of the birth of all children, regardless of the legal status of their parents;</w:t>
      </w:r>
    </w:p>
    <w:p w14:paraId="0C168F00" w14:textId="77777777" w:rsidR="00B21A8B" w:rsidRDefault="00CF018D" w:rsidP="00CF018D">
      <w:pPr>
        <w:pStyle w:val="SingleTxtG"/>
      </w:pPr>
      <w:r>
        <w:tab/>
      </w:r>
      <w:r w:rsidRPr="007F0DAE">
        <w:t>(c)</w:t>
      </w:r>
      <w:r w:rsidRPr="007F0DAE">
        <w:tab/>
        <w:t>The identification and documentation campaign that has, since 2020, led to the identification of more than 8,000 undocumented citizens;</w:t>
      </w:r>
    </w:p>
    <w:p w14:paraId="3083955F" w14:textId="0CD96C25" w:rsidR="00CF018D" w:rsidRPr="007F0DAE" w:rsidRDefault="00CF018D" w:rsidP="00CF018D">
      <w:pPr>
        <w:pStyle w:val="SingleTxtG"/>
      </w:pPr>
      <w:r>
        <w:tab/>
      </w:r>
      <w:r w:rsidRPr="007F0DAE">
        <w:t>(d)</w:t>
      </w:r>
      <w:r w:rsidRPr="007F0DAE">
        <w:tab/>
        <w:t xml:space="preserve">The repatriation, since 2019, of </w:t>
      </w:r>
      <w:r>
        <w:t>669</w:t>
      </w:r>
      <w:r w:rsidRPr="007F0DAE">
        <w:t xml:space="preserve"> persons from areas of conflict in </w:t>
      </w:r>
      <w:r w:rsidRPr="00CE03C7">
        <w:rPr>
          <w:bCs/>
          <w:iCs/>
          <w:lang w:val="en-US"/>
        </w:rPr>
        <w:t>Afghanistan</w:t>
      </w:r>
      <w:r w:rsidRPr="00C55217">
        <w:t xml:space="preserve">, </w:t>
      </w:r>
      <w:r w:rsidRPr="00CE03C7">
        <w:rPr>
          <w:bCs/>
          <w:iCs/>
          <w:lang w:val="en-US"/>
        </w:rPr>
        <w:t xml:space="preserve">Iraq </w:t>
      </w:r>
      <w:r>
        <w:rPr>
          <w:bCs/>
          <w:iCs/>
          <w:lang w:val="en-US"/>
        </w:rPr>
        <w:t xml:space="preserve">and </w:t>
      </w:r>
      <w:r w:rsidRPr="00C55217">
        <w:t>the Syrian Arab Republic</w:t>
      </w:r>
      <w:r>
        <w:t xml:space="preserve">, as well as from </w:t>
      </w:r>
      <w:r w:rsidRPr="00CE03C7">
        <w:rPr>
          <w:bCs/>
          <w:iCs/>
          <w:lang w:val="en-US"/>
        </w:rPr>
        <w:t>Turkey</w:t>
      </w:r>
      <w:r w:rsidRPr="00CE03C7">
        <w:rPr>
          <w:iCs/>
          <w:lang w:val="en-US"/>
        </w:rPr>
        <w:t>;</w:t>
      </w:r>
    </w:p>
    <w:p w14:paraId="430633FB" w14:textId="1B197CC8" w:rsidR="00CF018D" w:rsidRDefault="00CF018D" w:rsidP="00CF018D">
      <w:pPr>
        <w:pStyle w:val="SingleTxtG"/>
      </w:pPr>
      <w:r>
        <w:lastRenderedPageBreak/>
        <w:tab/>
        <w:t>(e)</w:t>
      </w:r>
      <w:r>
        <w:tab/>
      </w:r>
      <w:r w:rsidRPr="007F0DAE">
        <w:t xml:space="preserve">The adoption in 2018 of the </w:t>
      </w:r>
      <w:r w:rsidRPr="00CE03C7">
        <w:t xml:space="preserve">Law </w:t>
      </w:r>
      <w:r>
        <w:t>o</w:t>
      </w:r>
      <w:r w:rsidRPr="00CE03C7">
        <w:t>n the Victims Compensation</w:t>
      </w:r>
      <w:r w:rsidRPr="00D2665A">
        <w:rPr>
          <w:b/>
          <w:bCs/>
          <w:i/>
          <w:iCs/>
          <w:lang w:val="en-US"/>
        </w:rPr>
        <w:t xml:space="preserve"> </w:t>
      </w:r>
      <w:r w:rsidRPr="007F0DAE">
        <w:t>Fund</w:t>
      </w:r>
      <w:r>
        <w:t>,</w:t>
      </w:r>
      <w:r w:rsidRPr="007F0DAE">
        <w:t xml:space="preserve"> which enables victims of crimes related to trafficking in persons to receive financial compensation</w:t>
      </w:r>
      <w:r>
        <w:t>.</w:t>
      </w:r>
    </w:p>
    <w:p w14:paraId="2A466916" w14:textId="77777777" w:rsidR="00B21A8B" w:rsidRDefault="00CF018D" w:rsidP="00CF018D">
      <w:pPr>
        <w:pStyle w:val="H1G"/>
      </w:pPr>
      <w:r w:rsidRPr="009E3ABE">
        <w:rPr>
          <w:rFonts w:eastAsia="SimSun"/>
        </w:rPr>
        <w:tab/>
      </w:r>
      <w:r w:rsidRPr="00CF21C5">
        <w:t>C</w:t>
      </w:r>
      <w:r w:rsidRPr="003E684E">
        <w:t>.</w:t>
      </w:r>
      <w:r w:rsidRPr="003E684E">
        <w:tab/>
        <w:t>Concerns and recommendations</w:t>
      </w:r>
    </w:p>
    <w:p w14:paraId="3858D775" w14:textId="5878B862" w:rsidR="00CF018D" w:rsidRPr="00F50836" w:rsidRDefault="00CF018D" w:rsidP="00CF018D">
      <w:pPr>
        <w:pStyle w:val="H23G"/>
      </w:pPr>
      <w:r>
        <w:tab/>
      </w:r>
      <w:r>
        <w:tab/>
      </w:r>
      <w:r w:rsidRPr="00F50836">
        <w:t>Statistic</w:t>
      </w:r>
      <w:r>
        <w:t>s</w:t>
      </w:r>
    </w:p>
    <w:p w14:paraId="434E873C" w14:textId="77777777" w:rsidR="00CF018D" w:rsidRPr="00C3330E" w:rsidRDefault="00CF018D" w:rsidP="00CF018D">
      <w:pPr>
        <w:pStyle w:val="SingleTxtG"/>
      </w:pPr>
      <w:r w:rsidRPr="00C3330E">
        <w:rPr>
          <w:bCs/>
        </w:rPr>
        <w:t>5.</w:t>
      </w:r>
      <w:r w:rsidRPr="00C3330E">
        <w:rPr>
          <w:bCs/>
        </w:rPr>
        <w:tab/>
      </w:r>
      <w:r w:rsidRPr="00C3330E">
        <w:t>The Committee regrets the lack of comprehensive statistics provided on the social and economic situation of the ethnic groups living in the State party, including on persons of African descent (arts. 1</w:t>
      </w:r>
      <w:r>
        <w:t>–</w:t>
      </w:r>
      <w:r w:rsidRPr="00C3330E">
        <w:t>2).</w:t>
      </w:r>
    </w:p>
    <w:p w14:paraId="36A6D992" w14:textId="77777777" w:rsidR="00CF018D" w:rsidRPr="00C3330E" w:rsidRDefault="00CF018D" w:rsidP="00CF018D">
      <w:pPr>
        <w:pStyle w:val="SingleTxtG"/>
        <w:rPr>
          <w:b/>
          <w:bCs/>
        </w:rPr>
      </w:pPr>
      <w:r w:rsidRPr="00C3330E">
        <w:rPr>
          <w:bCs/>
        </w:rPr>
        <w:t>6.</w:t>
      </w:r>
      <w:r w:rsidRPr="00C3330E">
        <w:rPr>
          <w:bCs/>
        </w:rPr>
        <w:tab/>
      </w:r>
      <w:r w:rsidRPr="00C3330E">
        <w:rPr>
          <w:b/>
          <w:bCs/>
        </w:rPr>
        <w:t xml:space="preserve">The Committee recommends that the State party develop a mechanism to regularly </w:t>
      </w:r>
      <w:r w:rsidRPr="007F0DAE">
        <w:rPr>
          <w:b/>
          <w:bCs/>
        </w:rPr>
        <w:t>collect</w:t>
      </w:r>
      <w:r w:rsidRPr="00C3330E">
        <w:rPr>
          <w:b/>
          <w:bCs/>
        </w:rPr>
        <w:t xml:space="preserve"> reliable statistics on the social and economic situation of the ethnic groups living in the State party, including on persons of African descent, in particular on education, employment, health and housing. The Committee also recommends that such statistics be published </w:t>
      </w:r>
      <w:r>
        <w:rPr>
          <w:b/>
          <w:bCs/>
        </w:rPr>
        <w:t xml:space="preserve">regularly </w:t>
      </w:r>
      <w:r w:rsidRPr="00C3330E">
        <w:rPr>
          <w:b/>
          <w:bCs/>
        </w:rPr>
        <w:t>and that the State party include them in its next periodic report.</w:t>
      </w:r>
    </w:p>
    <w:p w14:paraId="39F58889" w14:textId="77777777" w:rsidR="00CF018D" w:rsidRPr="003E684E" w:rsidRDefault="00CF018D" w:rsidP="00CF018D">
      <w:pPr>
        <w:pStyle w:val="H23G"/>
      </w:pPr>
      <w:r>
        <w:tab/>
      </w:r>
      <w:r>
        <w:tab/>
      </w:r>
      <w:r w:rsidRPr="003E684E">
        <w:t>Anti-discrimination legislation</w:t>
      </w:r>
    </w:p>
    <w:p w14:paraId="1B83C916" w14:textId="77777777" w:rsidR="00CF018D" w:rsidRPr="00C3330E" w:rsidRDefault="00CF018D" w:rsidP="00CF018D">
      <w:pPr>
        <w:pStyle w:val="SingleTxtG"/>
      </w:pPr>
      <w:r w:rsidRPr="00C3330E">
        <w:rPr>
          <w:bCs/>
        </w:rPr>
        <w:t>7.</w:t>
      </w:r>
      <w:r w:rsidRPr="00C3330E">
        <w:rPr>
          <w:bCs/>
        </w:rPr>
        <w:tab/>
      </w:r>
      <w:r w:rsidRPr="00C3330E">
        <w:t xml:space="preserve">While noting that the Constitution and a number of sectoral laws include provisions prohibiting racial discrimination, the Committee remains concerned by the lack of comprehensive anti-discrimination legislation </w:t>
      </w:r>
      <w:r>
        <w:t xml:space="preserve">that </w:t>
      </w:r>
      <w:r w:rsidRPr="00C3330E">
        <w:t>includes a definition of direct and indirect discrimination and establishes liability for acts of racial discrimination in all areas of life. The Committee is also concerned that the Labour Code has not been amended to explicitly prohibit discrimination based on colour (arts. 1</w:t>
      </w:r>
      <w:r>
        <w:t>–</w:t>
      </w:r>
      <w:r w:rsidRPr="00C3330E">
        <w:t>2).</w:t>
      </w:r>
    </w:p>
    <w:p w14:paraId="29C61840" w14:textId="77777777" w:rsidR="00CF018D" w:rsidRPr="00C3330E" w:rsidRDefault="00CF018D" w:rsidP="00CF018D">
      <w:pPr>
        <w:pStyle w:val="SingleTxtG"/>
        <w:rPr>
          <w:b/>
          <w:bCs/>
        </w:rPr>
      </w:pPr>
      <w:r w:rsidRPr="00C3330E">
        <w:rPr>
          <w:bCs/>
        </w:rPr>
        <w:t>8.</w:t>
      </w:r>
      <w:r w:rsidRPr="00C3330E">
        <w:rPr>
          <w:bCs/>
        </w:rPr>
        <w:tab/>
      </w:r>
      <w:r w:rsidRPr="00C3330E">
        <w:rPr>
          <w:b/>
          <w:bCs/>
        </w:rPr>
        <w:t>Recalling its previous recommendation</w:t>
      </w:r>
      <w:r>
        <w:rPr>
          <w:b/>
          <w:bCs/>
        </w:rPr>
        <w:t>,</w:t>
      </w:r>
      <w:r w:rsidRPr="00B21A8B">
        <w:rPr>
          <w:rStyle w:val="FootnoteReference"/>
        </w:rPr>
        <w:footnoteReference w:id="4"/>
      </w:r>
      <w:r w:rsidRPr="00C3330E">
        <w:rPr>
          <w:b/>
          <w:bCs/>
        </w:rPr>
        <w:t xml:space="preserve"> the Committee recommends that the State </w:t>
      </w:r>
      <w:r w:rsidRPr="007F0DAE">
        <w:rPr>
          <w:b/>
          <w:bCs/>
        </w:rPr>
        <w:t xml:space="preserve">party </w:t>
      </w:r>
      <w:r w:rsidRPr="00C3330E">
        <w:rPr>
          <w:b/>
          <w:bCs/>
        </w:rPr>
        <w:t>adopt a comprehensive anti-discrimination law, including a definition of direct and indirect discrimination, in line with article 1</w:t>
      </w:r>
      <w:r>
        <w:rPr>
          <w:b/>
          <w:bCs/>
        </w:rPr>
        <w:t xml:space="preserve"> (1)</w:t>
      </w:r>
      <w:r w:rsidRPr="00C3330E">
        <w:rPr>
          <w:b/>
          <w:bCs/>
        </w:rPr>
        <w:t xml:space="preserve"> of the Convention. The Committee also recommends that the Labour Code in the State party be amended to explicitly prohibit discrimination based on colour.</w:t>
      </w:r>
    </w:p>
    <w:p w14:paraId="2F9D1F20" w14:textId="77777777" w:rsidR="00CF018D" w:rsidRPr="0024500A" w:rsidRDefault="00CF018D" w:rsidP="00CF018D">
      <w:pPr>
        <w:pStyle w:val="H23G"/>
      </w:pPr>
      <w:r>
        <w:tab/>
      </w:r>
      <w:r>
        <w:tab/>
      </w:r>
      <w:r w:rsidRPr="0024500A">
        <w:t>The Convention in domestic law</w:t>
      </w:r>
    </w:p>
    <w:p w14:paraId="39BFDA3A" w14:textId="77777777" w:rsidR="00CF018D" w:rsidRPr="00C3330E" w:rsidRDefault="00CF018D" w:rsidP="00CF018D">
      <w:pPr>
        <w:pStyle w:val="SingleTxtG"/>
      </w:pPr>
      <w:r w:rsidRPr="00C3330E">
        <w:rPr>
          <w:bCs/>
        </w:rPr>
        <w:t>9.</w:t>
      </w:r>
      <w:r w:rsidRPr="00C3330E">
        <w:rPr>
          <w:bCs/>
        </w:rPr>
        <w:tab/>
      </w:r>
      <w:r w:rsidRPr="00C3330E">
        <w:t>While noting the information provided by the State party that the Convention is directly applicable in its domestic legal order, the Committee is concerned by the lack of information on how the State party has ensured the application of provisions of the Convention that require implementing legislation (art. 2).</w:t>
      </w:r>
    </w:p>
    <w:p w14:paraId="5564AC71" w14:textId="77777777" w:rsidR="00B21A8B" w:rsidRDefault="00CF018D" w:rsidP="00CF018D">
      <w:pPr>
        <w:pStyle w:val="SingleTxtG"/>
        <w:rPr>
          <w:b/>
          <w:bCs/>
        </w:rPr>
      </w:pPr>
      <w:r w:rsidRPr="00C3330E">
        <w:rPr>
          <w:bCs/>
        </w:rPr>
        <w:t>10.</w:t>
      </w:r>
      <w:r w:rsidRPr="00C3330E">
        <w:rPr>
          <w:bCs/>
        </w:rPr>
        <w:tab/>
      </w:r>
      <w:r w:rsidRPr="00C3330E">
        <w:rPr>
          <w:b/>
          <w:bCs/>
        </w:rPr>
        <w:t xml:space="preserve">The Committee recommends that the State party review its national legislation to ensure that all provisions of the Convention can be applied by or invoked before domestic courts. The Committee also recommends that the State party ensure that </w:t>
      </w:r>
      <w:r w:rsidRPr="00372646">
        <w:rPr>
          <w:b/>
        </w:rPr>
        <w:t>members</w:t>
      </w:r>
      <w:r w:rsidRPr="00372646">
        <w:rPr>
          <w:b/>
          <w:bCs/>
        </w:rPr>
        <w:t xml:space="preserve"> </w:t>
      </w:r>
      <w:r w:rsidRPr="00C3330E">
        <w:rPr>
          <w:b/>
          <w:bCs/>
        </w:rPr>
        <w:t>of the legislature, judges, magistrates, lawyers and other relevant officials are systematically trained on the provisions of the Convention.</w:t>
      </w:r>
    </w:p>
    <w:p w14:paraId="47A85615" w14:textId="6A3A3087" w:rsidR="00CF018D" w:rsidRPr="00933DEE" w:rsidRDefault="00CF018D" w:rsidP="00CF018D">
      <w:pPr>
        <w:pStyle w:val="H23G"/>
      </w:pPr>
      <w:r>
        <w:tab/>
      </w:r>
      <w:r>
        <w:tab/>
      </w:r>
      <w:r w:rsidRPr="00933DEE">
        <w:t>Intersecting forms of discrimination</w:t>
      </w:r>
    </w:p>
    <w:p w14:paraId="1FFB3767" w14:textId="77777777" w:rsidR="00CF018D" w:rsidRPr="00933DEE" w:rsidRDefault="00CF018D" w:rsidP="00CF018D">
      <w:pPr>
        <w:pStyle w:val="SingleTxtG"/>
      </w:pPr>
      <w:r w:rsidRPr="00933DEE">
        <w:rPr>
          <w:bCs/>
        </w:rPr>
        <w:t>11.</w:t>
      </w:r>
      <w:r w:rsidRPr="00933DEE">
        <w:rPr>
          <w:bCs/>
        </w:rPr>
        <w:tab/>
      </w:r>
      <w:r w:rsidRPr="00A25BF0">
        <w:t xml:space="preserve">The Committee is concerned by reports of intersecting forms of discrimination </w:t>
      </w:r>
      <w:r w:rsidRPr="0070676F">
        <w:t xml:space="preserve">based on </w:t>
      </w:r>
      <w:r w:rsidRPr="00A25BF0">
        <w:t>race, colour, descent or national or ethnic origin</w:t>
      </w:r>
      <w:r w:rsidRPr="0070676F">
        <w:t xml:space="preserve">, and other grounds such as </w:t>
      </w:r>
      <w:r w:rsidRPr="00A25BF0">
        <w:t>religion, gender, age, disability and sexual orientation (arts. 1–2 and 5).</w:t>
      </w:r>
    </w:p>
    <w:p w14:paraId="038920BF" w14:textId="108F8C16" w:rsidR="00CF018D" w:rsidRPr="00C3330E" w:rsidRDefault="00CF018D" w:rsidP="00CF018D">
      <w:pPr>
        <w:pStyle w:val="SingleTxtG"/>
        <w:rPr>
          <w:b/>
          <w:bCs/>
        </w:rPr>
      </w:pPr>
      <w:r w:rsidRPr="00C3330E">
        <w:rPr>
          <w:bCs/>
        </w:rPr>
        <w:t>12.</w:t>
      </w:r>
      <w:r w:rsidRPr="00C3330E">
        <w:rPr>
          <w:bCs/>
        </w:rPr>
        <w:tab/>
      </w:r>
      <w:r w:rsidRPr="00A25BF0">
        <w:rPr>
          <w:b/>
          <w:bCs/>
        </w:rPr>
        <w:t xml:space="preserve">The Committee recommends that the State party take legislative and policy measures to combat </w:t>
      </w:r>
      <w:r w:rsidRPr="0070676F">
        <w:rPr>
          <w:b/>
          <w:bCs/>
        </w:rPr>
        <w:t>all forms of racial discrimination</w:t>
      </w:r>
      <w:r>
        <w:rPr>
          <w:b/>
          <w:bCs/>
        </w:rPr>
        <w:t>,</w:t>
      </w:r>
      <w:r w:rsidRPr="0070676F">
        <w:rPr>
          <w:b/>
          <w:bCs/>
        </w:rPr>
        <w:t xml:space="preserve"> </w:t>
      </w:r>
      <w:r>
        <w:rPr>
          <w:b/>
          <w:bCs/>
        </w:rPr>
        <w:t>as established in</w:t>
      </w:r>
      <w:r w:rsidRPr="0070676F">
        <w:rPr>
          <w:b/>
          <w:bCs/>
        </w:rPr>
        <w:t xml:space="preserve"> article 1 of the Convention</w:t>
      </w:r>
      <w:r>
        <w:rPr>
          <w:b/>
          <w:bCs/>
        </w:rPr>
        <w:t>,</w:t>
      </w:r>
      <w:r w:rsidRPr="0070676F">
        <w:rPr>
          <w:b/>
          <w:bCs/>
        </w:rPr>
        <w:t xml:space="preserve"> </w:t>
      </w:r>
      <w:r w:rsidRPr="00A25BF0">
        <w:rPr>
          <w:b/>
          <w:bCs/>
        </w:rPr>
        <w:t xml:space="preserve">intersecting </w:t>
      </w:r>
      <w:r w:rsidRPr="0070676F">
        <w:rPr>
          <w:b/>
          <w:bCs/>
        </w:rPr>
        <w:t>with discrimination based on other grounds</w:t>
      </w:r>
      <w:r>
        <w:rPr>
          <w:b/>
          <w:bCs/>
        </w:rPr>
        <w:t>,</w:t>
      </w:r>
      <w:r w:rsidRPr="0070676F">
        <w:rPr>
          <w:b/>
          <w:bCs/>
        </w:rPr>
        <w:t xml:space="preserve"> such as </w:t>
      </w:r>
      <w:r w:rsidRPr="00A25BF0">
        <w:rPr>
          <w:b/>
          <w:bCs/>
        </w:rPr>
        <w:t>religion, gender, age, disability and sexual orientation.</w:t>
      </w:r>
    </w:p>
    <w:p w14:paraId="3EB9E6F3" w14:textId="77777777" w:rsidR="00CF018D" w:rsidRPr="001C3CA9" w:rsidRDefault="00CF018D" w:rsidP="00CF018D">
      <w:pPr>
        <w:pStyle w:val="H23G"/>
      </w:pPr>
      <w:r>
        <w:tab/>
      </w:r>
      <w:r>
        <w:tab/>
      </w:r>
      <w:r w:rsidRPr="001C3CA9">
        <w:t>National human rights institutions</w:t>
      </w:r>
    </w:p>
    <w:p w14:paraId="7CDDCE84" w14:textId="77777777" w:rsidR="00CF018D" w:rsidRPr="00C3330E" w:rsidRDefault="00CF018D" w:rsidP="00CF018D">
      <w:pPr>
        <w:pStyle w:val="SingleTxtG"/>
      </w:pPr>
      <w:r w:rsidRPr="00C3330E">
        <w:rPr>
          <w:bCs/>
        </w:rPr>
        <w:t>13.</w:t>
      </w:r>
      <w:r w:rsidRPr="00C3330E">
        <w:rPr>
          <w:bCs/>
        </w:rPr>
        <w:tab/>
      </w:r>
      <w:r w:rsidRPr="00C3330E">
        <w:t>While welcoming that the State party has strengthened the Commissioner for Human Rights (Ombuds</w:t>
      </w:r>
      <w:r>
        <w:t>person</w:t>
      </w:r>
      <w:r w:rsidRPr="00C3330E">
        <w:t xml:space="preserve">), the Committee remains concerned by reports that the institution of </w:t>
      </w:r>
      <w:r w:rsidRPr="00C3330E">
        <w:lastRenderedPageBreak/>
        <w:t>the Commissioner is not in full compliance with the principles relating to the status of national institutions for the promotion and protection of human rights (the Paris Principles), and that the Commissioner is not fully independent. The Committee is also concerned that the activities of the Commissioner to address racial discrimination are insufficient (art. 2).</w:t>
      </w:r>
    </w:p>
    <w:p w14:paraId="6448A0C7" w14:textId="69DCAF0E" w:rsidR="00CF018D" w:rsidRPr="00C3330E" w:rsidRDefault="00CF018D" w:rsidP="00CF018D">
      <w:pPr>
        <w:pStyle w:val="SingleTxtG"/>
        <w:rPr>
          <w:b/>
          <w:bCs/>
        </w:rPr>
      </w:pPr>
      <w:r w:rsidRPr="00C3330E">
        <w:rPr>
          <w:bCs/>
        </w:rPr>
        <w:t>14.</w:t>
      </w:r>
      <w:r w:rsidRPr="00C3330E">
        <w:rPr>
          <w:bCs/>
        </w:rPr>
        <w:tab/>
      </w:r>
      <w:r w:rsidRPr="00C3330E">
        <w:rPr>
          <w:b/>
          <w:bCs/>
        </w:rPr>
        <w:t>The Committee recommends that the State party strengthen the Commissioner for Human Rights</w:t>
      </w:r>
      <w:r w:rsidR="00B21A8B">
        <w:rPr>
          <w:b/>
          <w:bCs/>
        </w:rPr>
        <w:t>’</w:t>
      </w:r>
      <w:r w:rsidRPr="00C3330E">
        <w:rPr>
          <w:b/>
          <w:bCs/>
        </w:rPr>
        <w:t xml:space="preserve"> independence and ensure that it is able to carry out its mandate in full compliance with the Paris Principles. The Committee also recommends that the State party take steps to ensure that the Commissioner is enabled to effectively analyse and address racial discrimination, including systemic racial discrimination. The Committee further recommends that reports on the Commissioner</w:t>
      </w:r>
      <w:r w:rsidR="00B21A8B">
        <w:rPr>
          <w:b/>
          <w:bCs/>
        </w:rPr>
        <w:t>’</w:t>
      </w:r>
      <w:r w:rsidRPr="00C3330E">
        <w:rPr>
          <w:b/>
          <w:bCs/>
        </w:rPr>
        <w:t>s activities against racial discrimination be published on a regular basis.</w:t>
      </w:r>
    </w:p>
    <w:p w14:paraId="514CD1D3" w14:textId="77777777" w:rsidR="00CF018D" w:rsidRPr="004905B1" w:rsidRDefault="00CF018D" w:rsidP="00CF018D">
      <w:pPr>
        <w:pStyle w:val="H23G"/>
      </w:pPr>
      <w:r>
        <w:tab/>
      </w:r>
      <w:r>
        <w:tab/>
      </w:r>
      <w:r w:rsidRPr="004905B1">
        <w:t>Freedom of expression</w:t>
      </w:r>
    </w:p>
    <w:p w14:paraId="0B1A7C33" w14:textId="584119C8" w:rsidR="00CF018D" w:rsidRPr="00C3330E" w:rsidRDefault="00CF018D" w:rsidP="00CF018D">
      <w:pPr>
        <w:pStyle w:val="SingleTxtG"/>
      </w:pPr>
      <w:r w:rsidRPr="00C3330E">
        <w:rPr>
          <w:bCs/>
        </w:rPr>
        <w:t>15.</w:t>
      </w:r>
      <w:r w:rsidRPr="00C3330E">
        <w:rPr>
          <w:bCs/>
        </w:rPr>
        <w:tab/>
      </w:r>
      <w:r w:rsidRPr="00C3330E">
        <w:t>The Committee is concerned that the overly broad provisions of article 174 of the Criminal Code, including on incitement of social, ethnic, tribal, racial, class or religious discord, may lead to unnecessary or disproportionate interference with the right to freedom of expression, including of ethnic minority groups. The Committee is also concerned that article 13 of the Media Act may disproportiona</w:t>
      </w:r>
      <w:r>
        <w:t>tely</w:t>
      </w:r>
      <w:r w:rsidRPr="00C3330E">
        <w:t xml:space="preserve"> interfere with the right to freedom of expression of the media (art</w:t>
      </w:r>
      <w:r w:rsidR="00B21A8B">
        <w:t>s</w:t>
      </w:r>
      <w:r w:rsidRPr="00C3330E">
        <w:t>.</w:t>
      </w:r>
      <w:r w:rsidR="00B21A8B">
        <w:t xml:space="preserve"> </w:t>
      </w:r>
      <w:r w:rsidRPr="00C3330E">
        <w:t>4</w:t>
      </w:r>
      <w:r>
        <w:t>–</w:t>
      </w:r>
      <w:r w:rsidRPr="00C3330E">
        <w:t>5).</w:t>
      </w:r>
    </w:p>
    <w:p w14:paraId="121B5D43" w14:textId="77777777" w:rsidR="00CF018D" w:rsidRPr="00C3330E" w:rsidRDefault="00CF018D" w:rsidP="00CF018D">
      <w:pPr>
        <w:pStyle w:val="SingleTxtG"/>
        <w:rPr>
          <w:b/>
          <w:bCs/>
        </w:rPr>
      </w:pPr>
      <w:r w:rsidRPr="00C3330E">
        <w:rPr>
          <w:bCs/>
        </w:rPr>
        <w:t>16.</w:t>
      </w:r>
      <w:r w:rsidRPr="00C3330E">
        <w:rPr>
          <w:bCs/>
        </w:rPr>
        <w:tab/>
      </w:r>
      <w:r w:rsidRPr="007F0DAE">
        <w:rPr>
          <w:b/>
          <w:bCs/>
        </w:rPr>
        <w:t xml:space="preserve">The </w:t>
      </w:r>
      <w:r w:rsidRPr="00C3330E">
        <w:rPr>
          <w:b/>
          <w:bCs/>
        </w:rPr>
        <w:t>Committee recommends that the State party clearly define and review the criminal offences in article 174 of the Criminal Code, and ensure that penalties foreseen do not result in unnecessary and disproportionate interference with the right to freedom of expression</w:t>
      </w:r>
      <w:r w:rsidRPr="00C3330E" w:rsidDel="00E5758A">
        <w:rPr>
          <w:b/>
          <w:bCs/>
        </w:rPr>
        <w:t xml:space="preserve"> </w:t>
      </w:r>
      <w:r w:rsidRPr="00C3330E">
        <w:rPr>
          <w:b/>
          <w:bCs/>
        </w:rPr>
        <w:t>of human rights defenders, in particular those from ethnic minority groups. The Committee also recommends that the State party amend the Media Act, so that its provisions do not lead to excessive restrictions on the right to freedom of expression of the media.</w:t>
      </w:r>
    </w:p>
    <w:p w14:paraId="17B42298" w14:textId="77777777" w:rsidR="00B21A8B" w:rsidRDefault="00CF018D" w:rsidP="00CF018D">
      <w:pPr>
        <w:pStyle w:val="H23G"/>
      </w:pPr>
      <w:r>
        <w:tab/>
      </w:r>
      <w:r>
        <w:tab/>
      </w:r>
      <w:r w:rsidRPr="00B819C4">
        <w:t>Racist hate speech</w:t>
      </w:r>
    </w:p>
    <w:p w14:paraId="23289480" w14:textId="12385F7E" w:rsidR="00CF018D" w:rsidRPr="00B819C4" w:rsidRDefault="00CF018D" w:rsidP="00CF018D">
      <w:pPr>
        <w:pStyle w:val="SingleTxtG"/>
      </w:pPr>
      <w:r w:rsidRPr="00B819C4">
        <w:rPr>
          <w:bCs/>
        </w:rPr>
        <w:t>17.</w:t>
      </w:r>
      <w:r w:rsidRPr="00B819C4">
        <w:rPr>
          <w:bCs/>
        </w:rPr>
        <w:tab/>
      </w:r>
      <w:r w:rsidRPr="00B819C4">
        <w:t xml:space="preserve">The Committee is concerned that </w:t>
      </w:r>
      <w:r>
        <w:t xml:space="preserve">racist </w:t>
      </w:r>
      <w:r w:rsidRPr="00B819C4">
        <w:t xml:space="preserve">hate speech on the Internet and on social media </w:t>
      </w:r>
      <w:r>
        <w:t xml:space="preserve">against ethnic minority groups </w:t>
      </w:r>
      <w:r w:rsidRPr="00B819C4">
        <w:t>is increasing and contributes to ethnic violence in the State party. The Committee is also concerned by the lack of statist</w:t>
      </w:r>
      <w:r>
        <w:t xml:space="preserve">ics on racist hate speech incidents </w:t>
      </w:r>
      <w:r w:rsidRPr="00B819C4">
        <w:t>(art. 4).</w:t>
      </w:r>
    </w:p>
    <w:p w14:paraId="31D7EC09" w14:textId="77777777" w:rsidR="00B21A8B" w:rsidRDefault="00CF018D" w:rsidP="00CF018D">
      <w:pPr>
        <w:pStyle w:val="SingleTxtG"/>
        <w:rPr>
          <w:b/>
        </w:rPr>
      </w:pPr>
      <w:r w:rsidRPr="00B819C4">
        <w:rPr>
          <w:bCs/>
        </w:rPr>
        <w:t>18.</w:t>
      </w:r>
      <w:r w:rsidRPr="00B819C4">
        <w:rPr>
          <w:bCs/>
        </w:rPr>
        <w:tab/>
      </w:r>
      <w:r w:rsidRPr="00B819C4">
        <w:rPr>
          <w:b/>
        </w:rPr>
        <w:t xml:space="preserve">The Committee recalls its </w:t>
      </w:r>
      <w:r>
        <w:rPr>
          <w:b/>
        </w:rPr>
        <w:t>g</w:t>
      </w:r>
      <w:r w:rsidRPr="00B819C4">
        <w:rPr>
          <w:b/>
        </w:rPr>
        <w:t xml:space="preserve">eneral recommendation </w:t>
      </w:r>
      <w:r>
        <w:rPr>
          <w:b/>
        </w:rPr>
        <w:t>N</w:t>
      </w:r>
      <w:r w:rsidRPr="00B819C4">
        <w:rPr>
          <w:b/>
        </w:rPr>
        <w:t xml:space="preserve">o. 35 </w:t>
      </w:r>
      <w:r>
        <w:rPr>
          <w:b/>
        </w:rPr>
        <w:t xml:space="preserve">(2013) </w:t>
      </w:r>
      <w:r w:rsidRPr="00B819C4">
        <w:rPr>
          <w:b/>
        </w:rPr>
        <w:t>on combating racist hate speech and recommends that the State party:</w:t>
      </w:r>
    </w:p>
    <w:p w14:paraId="3201A34E" w14:textId="749FCF12" w:rsidR="00CF018D" w:rsidRPr="00C3330E" w:rsidRDefault="00CF018D" w:rsidP="00CF018D">
      <w:pPr>
        <w:pStyle w:val="SingleTxtG"/>
        <w:rPr>
          <w:b/>
          <w:bCs/>
        </w:rPr>
      </w:pPr>
      <w:r>
        <w:rPr>
          <w:b/>
          <w:bCs/>
        </w:rPr>
        <w:tab/>
      </w:r>
      <w:r w:rsidRPr="00CF018D">
        <w:t>(a)</w:t>
      </w:r>
      <w:r w:rsidRPr="00C3330E">
        <w:rPr>
          <w:b/>
          <w:bCs/>
        </w:rPr>
        <w:tab/>
        <w:t>Improve and increase measures to monitor, combat and, as appropriate, investigate and prosecute racist hate speech incidents on the Internet and on social media, while ensuring that such measures are balanced with the right to freedom of expression, and that it work with Internet service providers to this end;</w:t>
      </w:r>
    </w:p>
    <w:p w14:paraId="03E2C05B" w14:textId="6D80014D" w:rsidR="00CF018D" w:rsidRPr="00C3330E" w:rsidRDefault="00CF018D" w:rsidP="00CF018D">
      <w:pPr>
        <w:pStyle w:val="SingleTxtG"/>
        <w:rPr>
          <w:b/>
          <w:bCs/>
          <w:lang w:val="en-US"/>
        </w:rPr>
      </w:pPr>
      <w:r>
        <w:rPr>
          <w:b/>
          <w:bCs/>
          <w:lang w:val="en-US"/>
        </w:rPr>
        <w:tab/>
      </w:r>
      <w:r w:rsidRPr="00CF018D">
        <w:rPr>
          <w:lang w:val="en-US"/>
        </w:rPr>
        <w:t>(b)</w:t>
      </w:r>
      <w:r w:rsidRPr="00C3330E">
        <w:rPr>
          <w:b/>
          <w:bCs/>
          <w:lang w:val="en-US"/>
        </w:rPr>
        <w:tab/>
      </w:r>
      <w:r w:rsidRPr="00C3330E">
        <w:rPr>
          <w:b/>
          <w:bCs/>
        </w:rPr>
        <w:t xml:space="preserve">Expedite the planned </w:t>
      </w:r>
      <w:r w:rsidRPr="00C3330E">
        <w:rPr>
          <w:b/>
          <w:bCs/>
          <w:lang w:val="en-US"/>
        </w:rPr>
        <w:t>development of methodological guidelines to address racist hate speech in public discourse;</w:t>
      </w:r>
    </w:p>
    <w:p w14:paraId="2CFA0E72" w14:textId="62BEDFE8" w:rsidR="00CF018D" w:rsidRPr="00C3330E" w:rsidRDefault="00CF018D" w:rsidP="00CF018D">
      <w:pPr>
        <w:pStyle w:val="SingleTxtG"/>
        <w:rPr>
          <w:b/>
          <w:bCs/>
          <w:lang w:val="en-US"/>
        </w:rPr>
      </w:pPr>
      <w:r>
        <w:rPr>
          <w:b/>
          <w:bCs/>
          <w:lang w:val="en-US"/>
        </w:rPr>
        <w:tab/>
      </w:r>
      <w:r w:rsidRPr="00CF018D">
        <w:rPr>
          <w:lang w:val="en-US"/>
        </w:rPr>
        <w:t>(c)</w:t>
      </w:r>
      <w:r w:rsidRPr="00C3330E">
        <w:rPr>
          <w:b/>
          <w:bCs/>
          <w:lang w:val="en-US"/>
        </w:rPr>
        <w:tab/>
      </w:r>
      <w:r w:rsidRPr="00C3330E">
        <w:rPr>
          <w:b/>
          <w:bCs/>
        </w:rPr>
        <w:t>Collect and analyse statistics on racist hate speech and include the</w:t>
      </w:r>
      <w:r>
        <w:rPr>
          <w:b/>
          <w:bCs/>
        </w:rPr>
        <w:t>m</w:t>
      </w:r>
      <w:r w:rsidRPr="00C3330E">
        <w:rPr>
          <w:b/>
          <w:bCs/>
        </w:rPr>
        <w:t xml:space="preserve"> in its next periodic report.</w:t>
      </w:r>
    </w:p>
    <w:p w14:paraId="1008E569" w14:textId="77777777" w:rsidR="00CF018D" w:rsidRPr="00B819C4" w:rsidRDefault="00CF018D" w:rsidP="00CF018D">
      <w:pPr>
        <w:pStyle w:val="H23G"/>
      </w:pPr>
      <w:r>
        <w:tab/>
      </w:r>
      <w:r>
        <w:tab/>
      </w:r>
      <w:r w:rsidRPr="00B819C4">
        <w:t>Legislation against incitement to violence and extremist organizations</w:t>
      </w:r>
    </w:p>
    <w:p w14:paraId="4055B740" w14:textId="4486E0D2" w:rsidR="00CF018D" w:rsidRPr="000142AF" w:rsidRDefault="00CF018D" w:rsidP="00CF018D">
      <w:pPr>
        <w:pStyle w:val="SingleTxtG"/>
        <w:rPr>
          <w:lang w:val="x-none"/>
        </w:rPr>
      </w:pPr>
      <w:r w:rsidRPr="000142AF">
        <w:rPr>
          <w:bCs/>
          <w:lang w:val="x-none"/>
        </w:rPr>
        <w:t>19.</w:t>
      </w:r>
      <w:r w:rsidRPr="000142AF">
        <w:rPr>
          <w:bCs/>
          <w:lang w:val="x-none"/>
        </w:rPr>
        <w:tab/>
      </w:r>
      <w:r>
        <w:t>T</w:t>
      </w:r>
      <w:r w:rsidRPr="00B819C4">
        <w:t xml:space="preserve">he </w:t>
      </w:r>
      <w:r w:rsidRPr="000142AF">
        <w:rPr>
          <w:lang w:val="x-none"/>
        </w:rPr>
        <w:t xml:space="preserve">Committee </w:t>
      </w:r>
      <w:r w:rsidRPr="00B819C4">
        <w:t xml:space="preserve">reiterates its </w:t>
      </w:r>
      <w:r w:rsidRPr="000142AF">
        <w:rPr>
          <w:lang w:val="x-none"/>
        </w:rPr>
        <w:t>concern</w:t>
      </w:r>
      <w:r w:rsidRPr="00B21A8B">
        <w:rPr>
          <w:rStyle w:val="FootnoteReference"/>
        </w:rPr>
        <w:footnoteReference w:id="5"/>
      </w:r>
      <w:r w:rsidRPr="000142AF">
        <w:rPr>
          <w:lang w:val="x-none"/>
        </w:rPr>
        <w:t xml:space="preserve"> th</w:t>
      </w:r>
      <w:r w:rsidRPr="00B819C4">
        <w:t>at the State party</w:t>
      </w:r>
      <w:r w:rsidR="00B21A8B">
        <w:t>’</w:t>
      </w:r>
      <w:r w:rsidRPr="00B819C4">
        <w:t xml:space="preserve">s Criminal Code </w:t>
      </w:r>
      <w:r>
        <w:t>is</w:t>
      </w:r>
      <w:r w:rsidRPr="000142AF">
        <w:rPr>
          <w:lang w:val="x-none"/>
        </w:rPr>
        <w:t xml:space="preserve"> not </w:t>
      </w:r>
      <w:r>
        <w:t xml:space="preserve">in </w:t>
      </w:r>
      <w:r w:rsidRPr="000142AF">
        <w:rPr>
          <w:lang w:val="x-none"/>
        </w:rPr>
        <w:t>fu</w:t>
      </w:r>
      <w:r w:rsidRPr="00851F1C">
        <w:t xml:space="preserve">ll compliance with </w:t>
      </w:r>
      <w:r w:rsidRPr="000142AF">
        <w:rPr>
          <w:lang w:val="x-none"/>
        </w:rPr>
        <w:t xml:space="preserve">the requirements of article 4 </w:t>
      </w:r>
      <w:r w:rsidRPr="00851F1C">
        <w:t xml:space="preserve">(a) and (b) </w:t>
      </w:r>
      <w:r w:rsidRPr="000142AF">
        <w:rPr>
          <w:lang w:val="x-none"/>
        </w:rPr>
        <w:t>of the</w:t>
      </w:r>
      <w:r w:rsidRPr="00851F1C">
        <w:t xml:space="preserve"> </w:t>
      </w:r>
      <w:r w:rsidRPr="000142AF">
        <w:rPr>
          <w:lang w:val="x-none"/>
        </w:rPr>
        <w:t>Convention</w:t>
      </w:r>
      <w:r w:rsidRPr="00851F1C">
        <w:t xml:space="preserve"> (art. 4).</w:t>
      </w:r>
    </w:p>
    <w:p w14:paraId="2AD4D3BE" w14:textId="77777777" w:rsidR="00B21A8B" w:rsidRDefault="00CF018D" w:rsidP="00CF018D">
      <w:pPr>
        <w:pStyle w:val="SingleTxtG"/>
        <w:rPr>
          <w:b/>
          <w:bCs/>
        </w:rPr>
      </w:pPr>
      <w:r w:rsidRPr="000142AF">
        <w:rPr>
          <w:bCs/>
          <w:lang w:val="x-none"/>
        </w:rPr>
        <w:t>20.</w:t>
      </w:r>
      <w:r w:rsidRPr="000142AF">
        <w:rPr>
          <w:bCs/>
          <w:lang w:val="x-none"/>
        </w:rPr>
        <w:tab/>
      </w:r>
      <w:r w:rsidRPr="000142AF">
        <w:rPr>
          <w:b/>
        </w:rPr>
        <w:t>The Committee recommends that, in line with article 4 (a) and (b) of the Convention, the State party review</w:t>
      </w:r>
      <w:r w:rsidRPr="000142AF">
        <w:rPr>
          <w:b/>
          <w:bCs/>
        </w:rPr>
        <w:t xml:space="preserve"> its legislation </w:t>
      </w:r>
      <w:r>
        <w:rPr>
          <w:b/>
          <w:bCs/>
        </w:rPr>
        <w:t>so as</w:t>
      </w:r>
      <w:r w:rsidRPr="000142AF">
        <w:rPr>
          <w:b/>
          <w:bCs/>
        </w:rPr>
        <w:t xml:space="preserve"> to:</w:t>
      </w:r>
    </w:p>
    <w:p w14:paraId="45D94C03" w14:textId="77777777" w:rsidR="00B21A8B" w:rsidRDefault="00CF018D" w:rsidP="00CF018D">
      <w:pPr>
        <w:pStyle w:val="SingleTxtG"/>
        <w:rPr>
          <w:b/>
          <w:bCs/>
        </w:rPr>
      </w:pPr>
      <w:r>
        <w:rPr>
          <w:b/>
          <w:bCs/>
        </w:rPr>
        <w:tab/>
      </w:r>
      <w:r w:rsidRPr="00CF018D">
        <w:t>(a)</w:t>
      </w:r>
      <w:r w:rsidRPr="00C3330E">
        <w:rPr>
          <w:b/>
          <w:bCs/>
        </w:rPr>
        <w:tab/>
        <w:t>Prohibit incitement to violence against any group of persons based on race, colour, descent, or national or ethnic origin;</w:t>
      </w:r>
    </w:p>
    <w:p w14:paraId="386933F1" w14:textId="41CBE33C" w:rsidR="00CF018D" w:rsidRPr="00C3330E" w:rsidRDefault="00CF018D" w:rsidP="00CF018D">
      <w:pPr>
        <w:pStyle w:val="SingleTxtG"/>
        <w:rPr>
          <w:b/>
          <w:bCs/>
        </w:rPr>
      </w:pPr>
      <w:r>
        <w:rPr>
          <w:b/>
          <w:bCs/>
        </w:rPr>
        <w:lastRenderedPageBreak/>
        <w:tab/>
      </w:r>
      <w:r w:rsidRPr="00CF018D">
        <w:t>(b)</w:t>
      </w:r>
      <w:r w:rsidRPr="00C3330E">
        <w:rPr>
          <w:b/>
          <w:bCs/>
        </w:rPr>
        <w:tab/>
        <w:t xml:space="preserve">Declare illegal and prohibit organizations and all propaganda </w:t>
      </w:r>
      <w:r>
        <w:rPr>
          <w:b/>
          <w:bCs/>
        </w:rPr>
        <w:t xml:space="preserve">and other </w:t>
      </w:r>
      <w:r w:rsidRPr="00C3330E">
        <w:rPr>
          <w:b/>
          <w:bCs/>
        </w:rPr>
        <w:t xml:space="preserve">activities </w:t>
      </w:r>
      <w:r>
        <w:rPr>
          <w:b/>
          <w:bCs/>
        </w:rPr>
        <w:t xml:space="preserve">that </w:t>
      </w:r>
      <w:r w:rsidRPr="00C3330E">
        <w:rPr>
          <w:b/>
          <w:bCs/>
        </w:rPr>
        <w:t>promote and incite racial discrimination;</w:t>
      </w:r>
    </w:p>
    <w:p w14:paraId="36FA7AF2" w14:textId="2B3C5798" w:rsidR="00CF018D" w:rsidRPr="00C3330E" w:rsidRDefault="00CF018D" w:rsidP="00CF018D">
      <w:pPr>
        <w:pStyle w:val="SingleTxtG"/>
        <w:rPr>
          <w:b/>
          <w:bCs/>
        </w:rPr>
      </w:pPr>
      <w:r>
        <w:rPr>
          <w:b/>
          <w:bCs/>
        </w:rPr>
        <w:tab/>
      </w:r>
      <w:r w:rsidRPr="00CF018D">
        <w:t>(c)</w:t>
      </w:r>
      <w:r w:rsidRPr="00C3330E">
        <w:rPr>
          <w:b/>
          <w:bCs/>
        </w:rPr>
        <w:tab/>
        <w:t>Prohibit and punish participation in such organizations or activities.</w:t>
      </w:r>
    </w:p>
    <w:p w14:paraId="424B59F3" w14:textId="77777777" w:rsidR="00CF018D" w:rsidRPr="00B819C4" w:rsidRDefault="00CF018D" w:rsidP="00CF018D">
      <w:pPr>
        <w:pStyle w:val="H23G"/>
        <w:rPr>
          <w:lang w:val="en-US"/>
        </w:rPr>
      </w:pPr>
      <w:r>
        <w:rPr>
          <w:lang w:val="en-US"/>
        </w:rPr>
        <w:tab/>
      </w:r>
      <w:r>
        <w:rPr>
          <w:lang w:val="en-US"/>
        </w:rPr>
        <w:tab/>
      </w:r>
      <w:r w:rsidRPr="00B819C4">
        <w:rPr>
          <w:lang w:val="en-US"/>
        </w:rPr>
        <w:t>Tensions among ethnic groups</w:t>
      </w:r>
    </w:p>
    <w:p w14:paraId="5FC6966B" w14:textId="32532CC8" w:rsidR="00CF018D" w:rsidRPr="00C3330E" w:rsidRDefault="00CF018D" w:rsidP="00CF018D">
      <w:pPr>
        <w:pStyle w:val="SingleTxtG"/>
      </w:pPr>
      <w:r w:rsidRPr="00C3330E">
        <w:rPr>
          <w:bCs/>
        </w:rPr>
        <w:t>21.</w:t>
      </w:r>
      <w:r w:rsidRPr="00C3330E">
        <w:rPr>
          <w:bCs/>
        </w:rPr>
        <w:tab/>
      </w:r>
      <w:r w:rsidRPr="00C3330E">
        <w:t>The Committee is concerned by reports of existing tensions between ethnic groups and of repeated incidents of inter-ethnic violence in the State party. The Committee is also concerned by the lack of open discussion in the State party of racial discrimination, racist hate crimes, and inter-ethnic tensions and conflicts. The Committee notes the shift in the focus of the Assembly of the People of Kazakhstan from organizing cultural events to identifying and resolving inter-ethnic tensions and conflicts, but is concerned that the Assembly is not sufficiently effective in performing these tasks (arts.</w:t>
      </w:r>
      <w:r w:rsidR="00A124DF">
        <w:t xml:space="preserve"> </w:t>
      </w:r>
      <w:r w:rsidRPr="00C3330E">
        <w:t>4 and 7).</w:t>
      </w:r>
    </w:p>
    <w:p w14:paraId="60856A39" w14:textId="77777777" w:rsidR="00CF018D" w:rsidRPr="00C3330E" w:rsidRDefault="00CF018D" w:rsidP="00CF018D">
      <w:pPr>
        <w:pStyle w:val="SingleTxtG"/>
        <w:rPr>
          <w:b/>
          <w:bCs/>
        </w:rPr>
      </w:pPr>
      <w:r w:rsidRPr="00C3330E">
        <w:rPr>
          <w:bCs/>
        </w:rPr>
        <w:t>22.</w:t>
      </w:r>
      <w:r w:rsidRPr="00C3330E">
        <w:rPr>
          <w:bCs/>
        </w:rPr>
        <w:tab/>
      </w:r>
      <w:r w:rsidRPr="00C3330E">
        <w:rPr>
          <w:b/>
          <w:bCs/>
        </w:rPr>
        <w:t>The Committee recommends that the State party:</w:t>
      </w:r>
    </w:p>
    <w:p w14:paraId="637E27AE" w14:textId="77777777" w:rsidR="00B21A8B" w:rsidRDefault="00CF018D" w:rsidP="00CF018D">
      <w:pPr>
        <w:pStyle w:val="SingleTxtG"/>
        <w:rPr>
          <w:b/>
          <w:bCs/>
        </w:rPr>
      </w:pPr>
      <w:r>
        <w:rPr>
          <w:b/>
          <w:bCs/>
        </w:rPr>
        <w:tab/>
      </w:r>
      <w:r w:rsidRPr="00CF018D">
        <w:t>(a)</w:t>
      </w:r>
      <w:r w:rsidRPr="00C3330E">
        <w:rPr>
          <w:b/>
          <w:bCs/>
        </w:rPr>
        <w:tab/>
        <w:t>Acknowledge the existence of systemic discrimination against ethnic minority groups and of tensions between ethnic groups on its territory, create opportunities for open dialogue between various ethnic groups and allow for public discussions on ethnic tensions and conflicts;</w:t>
      </w:r>
    </w:p>
    <w:p w14:paraId="1B43A4DC" w14:textId="77777777" w:rsidR="00B21A8B" w:rsidRDefault="00CF018D" w:rsidP="00CF018D">
      <w:pPr>
        <w:pStyle w:val="SingleTxtG"/>
        <w:rPr>
          <w:b/>
          <w:bCs/>
        </w:rPr>
      </w:pPr>
      <w:r>
        <w:rPr>
          <w:b/>
          <w:bCs/>
        </w:rPr>
        <w:tab/>
      </w:r>
      <w:r w:rsidRPr="00CF018D">
        <w:t>(b)</w:t>
      </w:r>
      <w:r w:rsidRPr="00C3330E">
        <w:rPr>
          <w:b/>
          <w:bCs/>
        </w:rPr>
        <w:tab/>
        <w:t>Increase and strengthen measures to promote inter-ethnic harmony and tolerance and overcome prejudices and negative stereotypes, including in schools and universities and through the media;</w:t>
      </w:r>
    </w:p>
    <w:p w14:paraId="4D3418E8" w14:textId="79C525AF" w:rsidR="00CF018D" w:rsidRPr="00C3330E" w:rsidRDefault="00CF018D" w:rsidP="00CF018D">
      <w:pPr>
        <w:pStyle w:val="SingleTxtG"/>
        <w:rPr>
          <w:b/>
          <w:bCs/>
        </w:rPr>
      </w:pPr>
      <w:r>
        <w:rPr>
          <w:b/>
          <w:bCs/>
        </w:rPr>
        <w:tab/>
      </w:r>
      <w:r w:rsidRPr="00CF018D">
        <w:t>(c)</w:t>
      </w:r>
      <w:r w:rsidRPr="00C3330E">
        <w:rPr>
          <w:b/>
          <w:bCs/>
        </w:rPr>
        <w:tab/>
        <w:t>Ensure that local authorities and law enforcement officials are trained in identifying and resolving ethnic tensions that may lead to violent conflicts;</w:t>
      </w:r>
    </w:p>
    <w:p w14:paraId="78C8E0C1" w14:textId="77777777" w:rsidR="00B21A8B" w:rsidRDefault="00CF018D" w:rsidP="00CF018D">
      <w:pPr>
        <w:pStyle w:val="SingleTxtG"/>
        <w:rPr>
          <w:b/>
          <w:bCs/>
        </w:rPr>
      </w:pPr>
      <w:r>
        <w:rPr>
          <w:b/>
          <w:bCs/>
        </w:rPr>
        <w:tab/>
      </w:r>
      <w:r w:rsidRPr="00CF018D">
        <w:t>(d)</w:t>
      </w:r>
      <w:r w:rsidRPr="00C3330E">
        <w:rPr>
          <w:b/>
          <w:bCs/>
        </w:rPr>
        <w:tab/>
        <w:t>Strengthen the legal and political power of the Assembly of People of Kazakhstan and enable it to be more effective in promoting peaceful coexistence of ethnic groups in the State party and in preventing and addressing ethnic tensions and conflicts, including through mediation.</w:t>
      </w:r>
    </w:p>
    <w:p w14:paraId="75065616" w14:textId="77777777" w:rsidR="00B21A8B" w:rsidRDefault="00CF018D" w:rsidP="00CF018D">
      <w:pPr>
        <w:pStyle w:val="H23G"/>
      </w:pPr>
      <w:r>
        <w:tab/>
      </w:r>
      <w:r>
        <w:tab/>
      </w:r>
      <w:r w:rsidRPr="00BA1618">
        <w:t>Dungan minority</w:t>
      </w:r>
    </w:p>
    <w:p w14:paraId="1072835F" w14:textId="77777777" w:rsidR="00B21A8B" w:rsidRDefault="00CF018D" w:rsidP="00CF018D">
      <w:pPr>
        <w:pStyle w:val="SingleTxtG"/>
      </w:pPr>
      <w:r w:rsidRPr="00C3330E">
        <w:rPr>
          <w:bCs/>
        </w:rPr>
        <w:t>23.</w:t>
      </w:r>
      <w:r w:rsidRPr="00C3330E">
        <w:rPr>
          <w:bCs/>
        </w:rPr>
        <w:tab/>
      </w:r>
      <w:r w:rsidRPr="00C3330E">
        <w:t>The Committee takes note of reports that the ethnic-based violence against persons belonging to the Dungan community, which occurred in February 2020 in the Korday district, was the result of long</w:t>
      </w:r>
      <w:r>
        <w:t>-</w:t>
      </w:r>
      <w:r w:rsidRPr="00C3330E">
        <w:t>standing ethnic tensions. The Committee is concerned that such tensions and feelings of fear persist in the Dungan community, despite the State party</w:t>
      </w:r>
      <w:r w:rsidR="00B21A8B">
        <w:t>’</w:t>
      </w:r>
      <w:r w:rsidRPr="00C3330E">
        <w:t>s efforts to address them. The Committee is also concerned by reports that members of the Dungan community did not receive a fair trial and that compensation for damages to Dungan property has been insufficient (arts. 4</w:t>
      </w:r>
      <w:r>
        <w:t>–</w:t>
      </w:r>
      <w:r w:rsidRPr="00C3330E">
        <w:t>5).</w:t>
      </w:r>
    </w:p>
    <w:p w14:paraId="25D600EB" w14:textId="77777777" w:rsidR="00B21A8B" w:rsidRDefault="00CF018D" w:rsidP="00CF018D">
      <w:pPr>
        <w:pStyle w:val="SingleTxtG"/>
        <w:rPr>
          <w:b/>
          <w:bCs/>
        </w:rPr>
      </w:pPr>
      <w:r w:rsidRPr="00C3330E">
        <w:rPr>
          <w:bCs/>
        </w:rPr>
        <w:t>24.</w:t>
      </w:r>
      <w:r w:rsidRPr="00C3330E">
        <w:rPr>
          <w:bCs/>
        </w:rPr>
        <w:tab/>
      </w:r>
      <w:r w:rsidRPr="00C3330E">
        <w:rPr>
          <w:b/>
          <w:bCs/>
        </w:rPr>
        <w:t>The Committee recommends that the State party:</w:t>
      </w:r>
    </w:p>
    <w:p w14:paraId="4FE38420" w14:textId="77777777" w:rsidR="00B21A8B" w:rsidRDefault="00CF018D" w:rsidP="00CF018D">
      <w:pPr>
        <w:pStyle w:val="SingleTxtG"/>
        <w:rPr>
          <w:b/>
          <w:bCs/>
        </w:rPr>
      </w:pPr>
      <w:r>
        <w:rPr>
          <w:b/>
          <w:bCs/>
        </w:rPr>
        <w:tab/>
      </w:r>
      <w:r w:rsidRPr="00CF018D">
        <w:t>(a)</w:t>
      </w:r>
      <w:r w:rsidRPr="00C3330E">
        <w:rPr>
          <w:b/>
          <w:bCs/>
        </w:rPr>
        <w:tab/>
        <w:t>Reinforce the measures taken to prevent the occurrence of ethnic-based violence against persons belonging to the Dungan community, including by intensifying its activities to build trust and harmonious relations between the Dungan community and its neighbouring communities;</w:t>
      </w:r>
    </w:p>
    <w:p w14:paraId="3FE23BF6" w14:textId="77777777" w:rsidR="00B21A8B" w:rsidRDefault="00CF018D" w:rsidP="00CF018D">
      <w:pPr>
        <w:pStyle w:val="SingleTxtG"/>
        <w:rPr>
          <w:b/>
          <w:bCs/>
        </w:rPr>
      </w:pPr>
      <w:r>
        <w:rPr>
          <w:b/>
          <w:bCs/>
        </w:rPr>
        <w:tab/>
      </w:r>
      <w:r w:rsidRPr="00CF018D">
        <w:t>(b)</w:t>
      </w:r>
      <w:r w:rsidRPr="00C3330E">
        <w:rPr>
          <w:b/>
          <w:bCs/>
        </w:rPr>
        <w:tab/>
        <w:t>Investigate claims that persons from the Dungan community, who were subject to criminal investigations and proceedings related to the violent events of February 2020, did not receive a fair trial, and establish responsibilities including with regard to possible instigators;</w:t>
      </w:r>
    </w:p>
    <w:p w14:paraId="59501B8B" w14:textId="6650ABF8" w:rsidR="00CF018D" w:rsidRPr="00C3330E" w:rsidRDefault="00CF018D" w:rsidP="00CF018D">
      <w:pPr>
        <w:pStyle w:val="SingleTxtG"/>
        <w:rPr>
          <w:b/>
          <w:bCs/>
        </w:rPr>
      </w:pPr>
      <w:r>
        <w:rPr>
          <w:b/>
          <w:bCs/>
        </w:rPr>
        <w:tab/>
      </w:r>
      <w:r w:rsidRPr="00CF018D">
        <w:t>(c)</w:t>
      </w:r>
      <w:r w:rsidRPr="00C3330E">
        <w:rPr>
          <w:b/>
          <w:bCs/>
        </w:rPr>
        <w:tab/>
        <w:t>Provide adequate compensation to Dungan victims of the violent events of February 2020, including for vehicles that were lost and cattle that was stolen during th</w:t>
      </w:r>
      <w:r>
        <w:rPr>
          <w:b/>
          <w:bCs/>
        </w:rPr>
        <w:t>os</w:t>
      </w:r>
      <w:r w:rsidRPr="00C3330E">
        <w:rPr>
          <w:b/>
          <w:bCs/>
        </w:rPr>
        <w:t>e events.</w:t>
      </w:r>
    </w:p>
    <w:p w14:paraId="713D7670" w14:textId="77777777" w:rsidR="00CF018D" w:rsidRPr="0059619A" w:rsidRDefault="00CF018D" w:rsidP="00CF018D">
      <w:pPr>
        <w:pStyle w:val="H23G"/>
      </w:pPr>
      <w:r>
        <w:tab/>
      </w:r>
      <w:r>
        <w:tab/>
      </w:r>
      <w:r w:rsidRPr="0059619A">
        <w:t>Roma</w:t>
      </w:r>
    </w:p>
    <w:p w14:paraId="0D5B9503" w14:textId="77777777" w:rsidR="00B21A8B" w:rsidRDefault="00CF018D" w:rsidP="00CF018D">
      <w:pPr>
        <w:pStyle w:val="SingleTxtG"/>
      </w:pPr>
      <w:r w:rsidRPr="00C3330E">
        <w:rPr>
          <w:bCs/>
        </w:rPr>
        <w:t>25.</w:t>
      </w:r>
      <w:r w:rsidRPr="00C3330E">
        <w:rPr>
          <w:bCs/>
        </w:rPr>
        <w:tab/>
      </w:r>
      <w:r w:rsidRPr="00C3330E">
        <w:t>While noting that all citizens in the State party have the same rights by law and that authorities have received no complaints of racial discrimination against Roma, the Committee regrets the lack of information on their social and economic situation that could indicate whether discrimination against Roma takes place in practice (art. 5).</w:t>
      </w:r>
    </w:p>
    <w:p w14:paraId="3480659B" w14:textId="6523114D" w:rsidR="00CF018D" w:rsidRPr="00C3330E" w:rsidRDefault="00CF018D" w:rsidP="00CF018D">
      <w:pPr>
        <w:pStyle w:val="SingleTxtG"/>
        <w:rPr>
          <w:b/>
          <w:bCs/>
        </w:rPr>
      </w:pPr>
      <w:r w:rsidRPr="00C3330E">
        <w:rPr>
          <w:bCs/>
        </w:rPr>
        <w:lastRenderedPageBreak/>
        <w:t>26.</w:t>
      </w:r>
      <w:r w:rsidRPr="00C3330E">
        <w:rPr>
          <w:bCs/>
        </w:rPr>
        <w:tab/>
      </w:r>
      <w:r w:rsidRPr="00C3330E">
        <w:rPr>
          <w:b/>
          <w:bCs/>
        </w:rPr>
        <w:t xml:space="preserve">In light of its general recommendation No. 27 (2000) on discrimination against Roma, the Committee recommends that the State party develop and encourage appropriate modalities of communication and dialogue between Roma communities and central and local authorities, with a view to receiving </w:t>
      </w:r>
      <w:r>
        <w:rPr>
          <w:b/>
          <w:bCs/>
        </w:rPr>
        <w:t xml:space="preserve">reliable </w:t>
      </w:r>
      <w:r w:rsidRPr="00C3330E">
        <w:rPr>
          <w:b/>
          <w:bCs/>
        </w:rPr>
        <w:t>information about any discrimination that Roma face. The Committee also recommends that the State party include, in its next periodic report, statistics about the Roma communities within its jurisdiction, including statistic</w:t>
      </w:r>
      <w:r>
        <w:rPr>
          <w:b/>
          <w:bCs/>
        </w:rPr>
        <w:t>s</w:t>
      </w:r>
      <w:r w:rsidRPr="00C3330E">
        <w:rPr>
          <w:b/>
          <w:bCs/>
        </w:rPr>
        <w:t xml:space="preserve"> about Roma participation in political life and about their economic, social and cultural situation, including from a gender perspective.</w:t>
      </w:r>
    </w:p>
    <w:p w14:paraId="2739FA11" w14:textId="77777777" w:rsidR="00B21A8B" w:rsidRDefault="00CF018D" w:rsidP="00CF018D">
      <w:pPr>
        <w:pStyle w:val="H23G"/>
        <w:rPr>
          <w:lang w:val="en-US"/>
        </w:rPr>
      </w:pPr>
      <w:r>
        <w:rPr>
          <w:lang w:val="en-US"/>
        </w:rPr>
        <w:tab/>
      </w:r>
      <w:r>
        <w:rPr>
          <w:lang w:val="en-US"/>
        </w:rPr>
        <w:tab/>
      </w:r>
      <w:r w:rsidRPr="006B3F2B">
        <w:rPr>
          <w:lang w:val="en-US"/>
        </w:rPr>
        <w:t>Kazakh identity</w:t>
      </w:r>
    </w:p>
    <w:p w14:paraId="3174A9BE" w14:textId="0D7045FF" w:rsidR="00CF018D" w:rsidRPr="00C3330E" w:rsidRDefault="00CF018D" w:rsidP="00CF018D">
      <w:pPr>
        <w:pStyle w:val="SingleTxtG"/>
      </w:pPr>
      <w:r w:rsidRPr="00C3330E">
        <w:rPr>
          <w:bCs/>
        </w:rPr>
        <w:t>27.</w:t>
      </w:r>
      <w:r w:rsidRPr="00C3330E">
        <w:rPr>
          <w:bCs/>
        </w:rPr>
        <w:tab/>
      </w:r>
      <w:r w:rsidRPr="00C3330E">
        <w:t xml:space="preserve">The Committee is concerned by reports of an official discourse, including in school curricula, which makes a distinction between autochthonous ethnic Kazakhs, and other ethnic groups that are referred to as </w:t>
      </w:r>
      <w:r w:rsidR="00B21A8B">
        <w:t>“</w:t>
      </w:r>
      <w:r w:rsidRPr="00C3330E">
        <w:t>guests</w:t>
      </w:r>
      <w:r w:rsidR="00B21A8B">
        <w:t>”</w:t>
      </w:r>
      <w:r w:rsidRPr="00C3330E">
        <w:t xml:space="preserve">, and which leads to feelings of exclusion among ethnic minority groups. The Committee is also concerned by information </w:t>
      </w:r>
      <w:r>
        <w:t>regarding</w:t>
      </w:r>
      <w:r w:rsidRPr="00C3330E">
        <w:t xml:space="preserve"> tensions resulting from a policy of encouraging the repatriation of ethnic Kazakhs to certain regions in the country (arts. 2 </w:t>
      </w:r>
      <w:r>
        <w:t xml:space="preserve">and </w:t>
      </w:r>
      <w:r w:rsidRPr="00C3330E">
        <w:t>4</w:t>
      </w:r>
      <w:r>
        <w:t>–</w:t>
      </w:r>
      <w:r w:rsidRPr="00C3330E">
        <w:t>5).</w:t>
      </w:r>
    </w:p>
    <w:p w14:paraId="5488552C" w14:textId="77777777" w:rsidR="00B21A8B" w:rsidRDefault="00CF018D" w:rsidP="00CF018D">
      <w:pPr>
        <w:pStyle w:val="SingleTxtG"/>
        <w:rPr>
          <w:b/>
          <w:bCs/>
        </w:rPr>
      </w:pPr>
      <w:r w:rsidRPr="00C3330E">
        <w:rPr>
          <w:bCs/>
        </w:rPr>
        <w:t>28.</w:t>
      </w:r>
      <w:r w:rsidRPr="00C3330E">
        <w:rPr>
          <w:bCs/>
        </w:rPr>
        <w:tab/>
      </w:r>
      <w:r w:rsidRPr="000142AF">
        <w:rPr>
          <w:b/>
          <w:bCs/>
        </w:rPr>
        <w:t>The Committee recommends that the State party ensure that it does not promote an</w:t>
      </w:r>
      <w:r w:rsidRPr="00C3330E">
        <w:rPr>
          <w:b/>
          <w:bCs/>
        </w:rPr>
        <w:t xml:space="preserve"> official discourse that divides and leads to feelings of exclusion among ethnic groups. The Committee also recommends that the State party ensure that no discrimination results from its programmes to repatriate ethnic Kazakhs, and that any ethnic tensions anticipated or resulting from such repatriations are addressed effectively.</w:t>
      </w:r>
    </w:p>
    <w:p w14:paraId="2824C62C" w14:textId="763B1B04" w:rsidR="00CF018D" w:rsidRPr="006B3F2B" w:rsidRDefault="00CF018D" w:rsidP="00CF018D">
      <w:pPr>
        <w:pStyle w:val="H23G"/>
      </w:pPr>
      <w:r>
        <w:tab/>
      </w:r>
      <w:r>
        <w:tab/>
      </w:r>
      <w:r w:rsidRPr="006B3F2B">
        <w:t>Minorities in political and public affairs</w:t>
      </w:r>
    </w:p>
    <w:p w14:paraId="25D3605A" w14:textId="77777777" w:rsidR="00CF018D" w:rsidRPr="006B3F2B" w:rsidRDefault="00CF018D" w:rsidP="00CF018D">
      <w:pPr>
        <w:pStyle w:val="SingleTxtG"/>
      </w:pPr>
      <w:r w:rsidRPr="006B3F2B">
        <w:rPr>
          <w:bCs/>
        </w:rPr>
        <w:t>29.</w:t>
      </w:r>
      <w:r w:rsidRPr="006B3F2B">
        <w:rPr>
          <w:bCs/>
        </w:rPr>
        <w:tab/>
      </w:r>
      <w:r w:rsidRPr="006B3F2B">
        <w:t>The Committee is concerned that ethnic minorities are poorly integrated and not represented</w:t>
      </w:r>
      <w:r>
        <w:t xml:space="preserve"> proportionately </w:t>
      </w:r>
      <w:r w:rsidRPr="006B3F2B">
        <w:t>in public decision-making bodies and in the civil service (art. 5).</w:t>
      </w:r>
    </w:p>
    <w:p w14:paraId="3924126B" w14:textId="77777777" w:rsidR="00CF018D" w:rsidRPr="006B3F2B" w:rsidRDefault="00CF018D" w:rsidP="00CF018D">
      <w:pPr>
        <w:pStyle w:val="SingleTxtG"/>
        <w:rPr>
          <w:b/>
        </w:rPr>
      </w:pPr>
      <w:r w:rsidRPr="006B3F2B">
        <w:rPr>
          <w:bCs/>
        </w:rPr>
        <w:t>30.</w:t>
      </w:r>
      <w:r w:rsidRPr="006B3F2B">
        <w:rPr>
          <w:bCs/>
        </w:rPr>
        <w:tab/>
      </w:r>
      <w:r>
        <w:rPr>
          <w:b/>
        </w:rPr>
        <w:t xml:space="preserve">The </w:t>
      </w:r>
      <w:r w:rsidRPr="006B3F2B">
        <w:rPr>
          <w:b/>
        </w:rPr>
        <w:t xml:space="preserve">Committee recommends that the State party ensure fair and equitable representation of ethnic minorities, including women with </w:t>
      </w:r>
      <w:r>
        <w:rPr>
          <w:b/>
        </w:rPr>
        <w:t xml:space="preserve">an </w:t>
      </w:r>
      <w:r w:rsidRPr="006B3F2B">
        <w:rPr>
          <w:b/>
        </w:rPr>
        <w:t>ethnic minority background, in public decision-making bodies and in the civil service</w:t>
      </w:r>
      <w:r w:rsidRPr="006B3F2B">
        <w:rPr>
          <w:b/>
          <w:lang w:val="en-US"/>
        </w:rPr>
        <w:t>, including through special measures</w:t>
      </w:r>
      <w:r>
        <w:rPr>
          <w:b/>
          <w:lang w:val="en-US"/>
        </w:rPr>
        <w:t xml:space="preserve"> and by </w:t>
      </w:r>
      <w:r w:rsidRPr="006B3F2B">
        <w:rPr>
          <w:b/>
          <w:lang w:val="en-US"/>
        </w:rPr>
        <w:t>identify</w:t>
      </w:r>
      <w:r>
        <w:rPr>
          <w:b/>
          <w:lang w:val="en-US"/>
        </w:rPr>
        <w:t>ing</w:t>
      </w:r>
      <w:r w:rsidRPr="006B3F2B">
        <w:rPr>
          <w:b/>
          <w:lang w:val="en-US"/>
        </w:rPr>
        <w:t xml:space="preserve"> and </w:t>
      </w:r>
      <w:r>
        <w:rPr>
          <w:b/>
          <w:lang w:val="en-US"/>
        </w:rPr>
        <w:t>removing</w:t>
      </w:r>
      <w:r w:rsidRPr="006B3F2B">
        <w:rPr>
          <w:b/>
          <w:lang w:val="en-US"/>
        </w:rPr>
        <w:t xml:space="preserve"> barriers that members of ethnic minorities face</w:t>
      </w:r>
      <w:r>
        <w:rPr>
          <w:b/>
          <w:lang w:val="en-US"/>
        </w:rPr>
        <w:t xml:space="preserve"> in this respect.</w:t>
      </w:r>
      <w:r w:rsidRPr="006B3F2B">
        <w:rPr>
          <w:b/>
          <w:lang w:val="en-US"/>
        </w:rPr>
        <w:t xml:space="preserve"> </w:t>
      </w:r>
      <w:r w:rsidRPr="006B3F2B">
        <w:rPr>
          <w:b/>
        </w:rPr>
        <w:t xml:space="preserve">The Committee </w:t>
      </w:r>
      <w:r>
        <w:rPr>
          <w:b/>
        </w:rPr>
        <w:t xml:space="preserve">also </w:t>
      </w:r>
      <w:r w:rsidRPr="006B3F2B">
        <w:rPr>
          <w:b/>
        </w:rPr>
        <w:t xml:space="preserve">recommends that the State party </w:t>
      </w:r>
      <w:r w:rsidRPr="006B3F2B">
        <w:rPr>
          <w:b/>
          <w:lang w:val="en-US"/>
        </w:rPr>
        <w:t xml:space="preserve">create awareness among ethnic minorities of the importance of their participation in </w:t>
      </w:r>
      <w:r>
        <w:rPr>
          <w:b/>
          <w:lang w:val="en-US"/>
        </w:rPr>
        <w:t xml:space="preserve">political life </w:t>
      </w:r>
      <w:r w:rsidRPr="006B3F2B">
        <w:rPr>
          <w:b/>
          <w:lang w:val="en-US"/>
        </w:rPr>
        <w:t>and in the civil service.</w:t>
      </w:r>
    </w:p>
    <w:p w14:paraId="480A1514" w14:textId="77777777" w:rsidR="00B21A8B" w:rsidRDefault="00CF018D" w:rsidP="00CF018D">
      <w:pPr>
        <w:pStyle w:val="H23G"/>
      </w:pPr>
      <w:r>
        <w:tab/>
      </w:r>
      <w:r>
        <w:tab/>
      </w:r>
      <w:r w:rsidRPr="008B5279">
        <w:t>Education</w:t>
      </w:r>
    </w:p>
    <w:p w14:paraId="76BEEC1D" w14:textId="77777777" w:rsidR="00B21A8B" w:rsidRDefault="00CF018D" w:rsidP="00CF018D">
      <w:pPr>
        <w:pStyle w:val="SingleTxtG"/>
      </w:pPr>
      <w:r w:rsidRPr="00C3330E">
        <w:rPr>
          <w:bCs/>
        </w:rPr>
        <w:t>31.</w:t>
      </w:r>
      <w:r w:rsidRPr="00C3330E">
        <w:rPr>
          <w:bCs/>
        </w:rPr>
        <w:tab/>
      </w:r>
      <w:r w:rsidRPr="00C3330E">
        <w:t>The Committee is concerned by reports that children whose parents do not possess valid registration or other documents have difficulty accessing primary and secondary education. The Committee is also concerned by the low number of students with ethnic minority background in post</w:t>
      </w:r>
      <w:r>
        <w:t>-</w:t>
      </w:r>
      <w:r w:rsidRPr="00C3330E">
        <w:t>secondary education (art. 5).</w:t>
      </w:r>
    </w:p>
    <w:p w14:paraId="67B9528A" w14:textId="45D77C0E" w:rsidR="00CF018D" w:rsidRPr="00C3330E" w:rsidRDefault="00CF018D" w:rsidP="00CF018D">
      <w:pPr>
        <w:pStyle w:val="SingleTxtG"/>
        <w:rPr>
          <w:b/>
          <w:bCs/>
        </w:rPr>
      </w:pPr>
      <w:r w:rsidRPr="00C3330E">
        <w:rPr>
          <w:bCs/>
        </w:rPr>
        <w:t>32.</w:t>
      </w:r>
      <w:r w:rsidRPr="00C3330E">
        <w:rPr>
          <w:bCs/>
        </w:rPr>
        <w:tab/>
      </w:r>
      <w:r w:rsidRPr="00C3330E">
        <w:rPr>
          <w:b/>
          <w:bCs/>
        </w:rPr>
        <w:t>The Committee recommends that the State party ensure that all children in its territory enjoy the right to education in practice without discrimination, irrespective of whether their parents have a legal status in the State party. The Committee also recommends that the State party take measures to support students with ethnic minority background to access post</w:t>
      </w:r>
      <w:r>
        <w:rPr>
          <w:b/>
          <w:bCs/>
        </w:rPr>
        <w:t>-</w:t>
      </w:r>
      <w:r w:rsidRPr="00C3330E">
        <w:rPr>
          <w:b/>
          <w:bCs/>
        </w:rPr>
        <w:t>secondary education and that it periodically evaluate the effectiveness of such measures.</w:t>
      </w:r>
    </w:p>
    <w:p w14:paraId="4BA073B0" w14:textId="77777777" w:rsidR="00CF018D" w:rsidRPr="004D79F3" w:rsidRDefault="00CF018D" w:rsidP="00CF018D">
      <w:pPr>
        <w:pStyle w:val="H23G"/>
      </w:pPr>
      <w:r>
        <w:tab/>
      </w:r>
      <w:r>
        <w:tab/>
      </w:r>
      <w:r w:rsidRPr="004D79F3">
        <w:t>Minority languages</w:t>
      </w:r>
    </w:p>
    <w:p w14:paraId="658314EE" w14:textId="1205C26F" w:rsidR="00CF018D" w:rsidRPr="00C3330E" w:rsidRDefault="00CF018D" w:rsidP="00CF018D">
      <w:pPr>
        <w:pStyle w:val="SingleTxtG"/>
      </w:pPr>
      <w:r w:rsidRPr="00C3330E">
        <w:rPr>
          <w:bCs/>
        </w:rPr>
        <w:t>33.</w:t>
      </w:r>
      <w:r w:rsidRPr="00C3330E">
        <w:rPr>
          <w:bCs/>
        </w:rPr>
        <w:tab/>
      </w:r>
      <w:r w:rsidRPr="00C3330E">
        <w:t>While noting the State party</w:t>
      </w:r>
      <w:r w:rsidR="00B21A8B">
        <w:t>’</w:t>
      </w:r>
      <w:r w:rsidRPr="00C3330E">
        <w:t xml:space="preserve">s approach of promoting trilingualism (Kazakh, Russian </w:t>
      </w:r>
      <w:r>
        <w:t xml:space="preserve">and </w:t>
      </w:r>
      <w:r w:rsidRPr="00C3330E">
        <w:t xml:space="preserve">English), the Committee is concerned that this policy </w:t>
      </w:r>
      <w:r>
        <w:t xml:space="preserve">may have </w:t>
      </w:r>
      <w:r w:rsidRPr="00C3330E">
        <w:t>led to the marginalization of ethnic minority languages. The Committee is further concerned by the insufficient availability of preschools and kindergartens with instruction in ethnic minority languages (art.</w:t>
      </w:r>
      <w:r w:rsidR="00A124DF">
        <w:t> </w:t>
      </w:r>
      <w:r w:rsidRPr="00C3330E">
        <w:t>5).</w:t>
      </w:r>
    </w:p>
    <w:p w14:paraId="48C8DB79" w14:textId="77777777" w:rsidR="00B21A8B" w:rsidRDefault="00CF018D" w:rsidP="001825E8">
      <w:pPr>
        <w:pStyle w:val="SingleTxtG"/>
        <w:keepNext/>
        <w:rPr>
          <w:b/>
          <w:bCs/>
        </w:rPr>
      </w:pPr>
      <w:r w:rsidRPr="00C3330E">
        <w:rPr>
          <w:bCs/>
        </w:rPr>
        <w:t>34.</w:t>
      </w:r>
      <w:r w:rsidRPr="00C3330E">
        <w:rPr>
          <w:bCs/>
        </w:rPr>
        <w:tab/>
      </w:r>
      <w:r w:rsidRPr="00C3330E">
        <w:rPr>
          <w:b/>
          <w:bCs/>
        </w:rPr>
        <w:t xml:space="preserve">The Committee recommends that the State party ensure that sufficient opportunities exist for children from ethnic minorities to learn, and be educated in, </w:t>
      </w:r>
      <w:r w:rsidRPr="00C3330E">
        <w:rPr>
          <w:b/>
          <w:bCs/>
        </w:rPr>
        <w:lastRenderedPageBreak/>
        <w:t>their mother tongues, including in preschools and kindergartens, with an adequate amount of schools, professional staff and textbooks provided.</w:t>
      </w:r>
    </w:p>
    <w:p w14:paraId="65870975" w14:textId="77777777" w:rsidR="00B21A8B" w:rsidRDefault="00CF018D" w:rsidP="001825E8">
      <w:pPr>
        <w:pStyle w:val="H23G"/>
      </w:pPr>
      <w:r>
        <w:tab/>
      </w:r>
      <w:r>
        <w:tab/>
      </w:r>
      <w:r w:rsidRPr="004D79F3">
        <w:t>Migrant workers</w:t>
      </w:r>
    </w:p>
    <w:p w14:paraId="1A03EDFE" w14:textId="77777777" w:rsidR="00B21A8B" w:rsidRDefault="00CF018D" w:rsidP="001825E8">
      <w:pPr>
        <w:pStyle w:val="SingleTxtG"/>
        <w:keepNext/>
      </w:pPr>
      <w:r w:rsidRPr="00C3330E">
        <w:rPr>
          <w:bCs/>
        </w:rPr>
        <w:t>35.</w:t>
      </w:r>
      <w:r w:rsidRPr="00C3330E">
        <w:rPr>
          <w:bCs/>
        </w:rPr>
        <w:tab/>
      </w:r>
      <w:r w:rsidRPr="00C3330E">
        <w:t>The Committee is concerned by reports that migrant workers face abuse and are subjected to poor and hazardous working conditions. The Committee is also concerned that irregular and undocumented migrants, including children and pregnant women, do not have access to health</w:t>
      </w:r>
      <w:r>
        <w:t xml:space="preserve"> </w:t>
      </w:r>
      <w:r w:rsidRPr="00C3330E">
        <w:t>care beyond emergency treatment (art. 5).</w:t>
      </w:r>
    </w:p>
    <w:p w14:paraId="5100102A" w14:textId="0882B91B" w:rsidR="00CF018D" w:rsidRPr="00C3330E" w:rsidRDefault="00CF018D" w:rsidP="00CF018D">
      <w:pPr>
        <w:pStyle w:val="SingleTxtG"/>
        <w:rPr>
          <w:b/>
          <w:bCs/>
        </w:rPr>
      </w:pPr>
      <w:r w:rsidRPr="00C3330E">
        <w:rPr>
          <w:bCs/>
        </w:rPr>
        <w:t>36.</w:t>
      </w:r>
      <w:r w:rsidRPr="00C3330E">
        <w:rPr>
          <w:bCs/>
        </w:rPr>
        <w:tab/>
      </w:r>
      <w:r w:rsidRPr="00C3330E">
        <w:rPr>
          <w:b/>
          <w:bCs/>
        </w:rPr>
        <w:t>The Committee recommends that the State party increase measures to prevent and fight abuse and exploitation of migrant workers, including by increasing labour inspections. The Committee also recommends that the State party ensure that all migrant workers, regardless of their status, have access to minimum standards with regards to economic, social and cultural rights, including adequate health care.</w:t>
      </w:r>
    </w:p>
    <w:p w14:paraId="0A78F2DA" w14:textId="77777777" w:rsidR="00CF018D" w:rsidRPr="00937D4D" w:rsidRDefault="00CF018D" w:rsidP="00ED3EAC">
      <w:pPr>
        <w:pStyle w:val="H23G"/>
      </w:pPr>
      <w:r>
        <w:tab/>
      </w:r>
      <w:r>
        <w:tab/>
      </w:r>
      <w:r w:rsidRPr="00937D4D">
        <w:t>Trafficking</w:t>
      </w:r>
      <w:r>
        <w:t xml:space="preserve"> in persons</w:t>
      </w:r>
    </w:p>
    <w:p w14:paraId="2EA58060" w14:textId="77777777" w:rsidR="00B21A8B" w:rsidRDefault="00CF018D" w:rsidP="00CF018D">
      <w:pPr>
        <w:pStyle w:val="SingleTxtG"/>
      </w:pPr>
      <w:r w:rsidRPr="00C3330E">
        <w:rPr>
          <w:bCs/>
        </w:rPr>
        <w:t>37.</w:t>
      </w:r>
      <w:r w:rsidRPr="00C3330E">
        <w:rPr>
          <w:bCs/>
        </w:rPr>
        <w:tab/>
      </w:r>
      <w:r w:rsidRPr="00C3330E">
        <w:t xml:space="preserve">The Committee is concerned that there is no dedicated law against trafficking </w:t>
      </w:r>
      <w:r>
        <w:t xml:space="preserve">in persons </w:t>
      </w:r>
      <w:r w:rsidRPr="00C3330E">
        <w:t>in the State party. The Committee is also concerned that despite the State party</w:t>
      </w:r>
      <w:r w:rsidR="00B21A8B">
        <w:t>’</w:t>
      </w:r>
      <w:r w:rsidRPr="00C3330E">
        <w:t>s efforts to fight trafficking</w:t>
      </w:r>
      <w:r>
        <w:t xml:space="preserve"> in persons</w:t>
      </w:r>
      <w:r w:rsidRPr="00C3330E">
        <w:t xml:space="preserve">, the number of persons subjected to forced labour and sexual exploitation continues to grow. The Committee is further concerned by reports of complicity among some law enforcement officers in trafficking </w:t>
      </w:r>
      <w:r>
        <w:t xml:space="preserve">in persons </w:t>
      </w:r>
      <w:r w:rsidRPr="00C3330E">
        <w:t>(art. 5).</w:t>
      </w:r>
    </w:p>
    <w:p w14:paraId="4A2709C8" w14:textId="23CDF10F" w:rsidR="00CF018D" w:rsidRPr="00C3330E" w:rsidRDefault="00CF018D" w:rsidP="00CF018D">
      <w:pPr>
        <w:pStyle w:val="SingleTxtG"/>
        <w:rPr>
          <w:b/>
          <w:bCs/>
        </w:rPr>
      </w:pPr>
      <w:r w:rsidRPr="00C3330E">
        <w:rPr>
          <w:bCs/>
        </w:rPr>
        <w:t>38.</w:t>
      </w:r>
      <w:r w:rsidRPr="00C3330E">
        <w:rPr>
          <w:bCs/>
        </w:rPr>
        <w:tab/>
      </w:r>
      <w:r w:rsidRPr="00C3330E">
        <w:rPr>
          <w:b/>
          <w:bCs/>
        </w:rPr>
        <w:t>The Committee recommends that the State party develop and adopt a law to prevent and fight trafficking</w:t>
      </w:r>
      <w:r>
        <w:rPr>
          <w:b/>
          <w:bCs/>
        </w:rPr>
        <w:t xml:space="preserve"> in persons</w:t>
      </w:r>
      <w:r w:rsidRPr="00C3330E">
        <w:rPr>
          <w:b/>
          <w:bCs/>
        </w:rPr>
        <w:t>. The Committee also recommends that the State party further strengthen and effectively enforce existing legislation and measures against slavery and slavery-like practices, including by ensuring effective investigation and prosecution of trafficking cases, including against law enforcement officers.</w:t>
      </w:r>
    </w:p>
    <w:p w14:paraId="56AF2701" w14:textId="77777777" w:rsidR="00CF018D" w:rsidRPr="003D4300" w:rsidRDefault="00CF018D" w:rsidP="00ED3EAC">
      <w:pPr>
        <w:pStyle w:val="H23G"/>
      </w:pPr>
      <w:r>
        <w:tab/>
      </w:r>
      <w:r>
        <w:tab/>
      </w:r>
      <w:r w:rsidRPr="003D4300">
        <w:t>Refugees and asylum</w:t>
      </w:r>
      <w:r>
        <w:t>-</w:t>
      </w:r>
      <w:r w:rsidRPr="003D4300">
        <w:t>seekers</w:t>
      </w:r>
    </w:p>
    <w:p w14:paraId="18783A0A" w14:textId="77777777" w:rsidR="00CF018D" w:rsidRPr="00C3330E" w:rsidRDefault="00CF018D" w:rsidP="00CF018D">
      <w:pPr>
        <w:pStyle w:val="SingleTxtG"/>
      </w:pPr>
      <w:r w:rsidRPr="00C3330E">
        <w:rPr>
          <w:bCs/>
        </w:rPr>
        <w:t>39.</w:t>
      </w:r>
      <w:r w:rsidRPr="00C3330E">
        <w:rPr>
          <w:bCs/>
        </w:rPr>
        <w:tab/>
      </w:r>
      <w:r w:rsidRPr="00C3330E">
        <w:t>The Committee is concerned:</w:t>
      </w:r>
    </w:p>
    <w:p w14:paraId="575761F4" w14:textId="097EFB15" w:rsidR="00CF018D" w:rsidRPr="00C3330E" w:rsidRDefault="00ED3EAC" w:rsidP="00CF018D">
      <w:pPr>
        <w:pStyle w:val="SingleTxtG"/>
      </w:pPr>
      <w:r>
        <w:tab/>
      </w:r>
      <w:r w:rsidR="00CF018D" w:rsidRPr="00C3330E">
        <w:t>(a)</w:t>
      </w:r>
      <w:r w:rsidR="00CF018D" w:rsidRPr="00C3330E">
        <w:tab/>
        <w:t xml:space="preserve">By reports that </w:t>
      </w:r>
      <w:r w:rsidR="00CF018D">
        <w:t xml:space="preserve">applications for asylum </w:t>
      </w:r>
      <w:r w:rsidR="00CF018D" w:rsidRPr="00C3330E">
        <w:t>of certain nationalities are sometimes denied based on political and security considerations;</w:t>
      </w:r>
    </w:p>
    <w:p w14:paraId="4E55C30D" w14:textId="6772F7C5" w:rsidR="00CF018D" w:rsidRPr="00C3330E" w:rsidRDefault="00ED3EAC" w:rsidP="00CF018D">
      <w:pPr>
        <w:pStyle w:val="SingleTxtG"/>
      </w:pPr>
      <w:r>
        <w:tab/>
      </w:r>
      <w:r w:rsidR="00CF018D" w:rsidRPr="00C3330E">
        <w:t>(b)</w:t>
      </w:r>
      <w:r w:rsidR="00CF018D" w:rsidRPr="00C3330E">
        <w:tab/>
        <w:t>About the absence of information on a practical mechanism for the referral of refugees from the border authorities to the competent State agency within the territory of the State party;</w:t>
      </w:r>
    </w:p>
    <w:p w14:paraId="4DB1724D" w14:textId="77777777" w:rsidR="00B21A8B" w:rsidRDefault="00ED3EAC" w:rsidP="00CF018D">
      <w:pPr>
        <w:pStyle w:val="SingleTxtG"/>
      </w:pPr>
      <w:r>
        <w:tab/>
      </w:r>
      <w:r w:rsidR="00CF018D" w:rsidRPr="00C3330E">
        <w:t>(c)</w:t>
      </w:r>
      <w:r w:rsidR="00CF018D" w:rsidRPr="00C3330E">
        <w:tab/>
        <w:t xml:space="preserve">That there are no provisions for </w:t>
      </w:r>
      <w:r w:rsidR="00CF018D">
        <w:t xml:space="preserve">subsidiary </w:t>
      </w:r>
      <w:r w:rsidR="00CF018D" w:rsidRPr="00C3330E">
        <w:t xml:space="preserve">protection for persons who are not </w:t>
      </w:r>
      <w:r w:rsidR="00CF018D">
        <w:t>given refugee status</w:t>
      </w:r>
      <w:r w:rsidR="00CF018D" w:rsidRPr="00C3330E">
        <w:t xml:space="preserve">, but </w:t>
      </w:r>
      <w:r w:rsidR="00CF018D">
        <w:t xml:space="preserve">who are </w:t>
      </w:r>
      <w:r w:rsidR="00CF018D" w:rsidRPr="00C3330E">
        <w:t>nonetheless unable to return to their country of origin due to other compelling reasons, leaving them unable to enjoy a number of basic human rights without discrimination;</w:t>
      </w:r>
    </w:p>
    <w:p w14:paraId="74B81336" w14:textId="1E3AB7FF" w:rsidR="00CF018D" w:rsidRPr="00C3330E" w:rsidRDefault="00ED3EAC" w:rsidP="00CF018D">
      <w:pPr>
        <w:pStyle w:val="SingleTxtG"/>
      </w:pPr>
      <w:r>
        <w:tab/>
      </w:r>
      <w:r w:rsidR="00CF018D" w:rsidRPr="00C3330E">
        <w:t>(d)</w:t>
      </w:r>
      <w:r w:rsidR="00CF018D" w:rsidRPr="00C3330E">
        <w:tab/>
        <w:t>That refugees are only granted one-year temporary residency, which results in difficulties in finding employment in the formal sector of the economy and in receiving a number of public allowances (art. 5).</w:t>
      </w:r>
    </w:p>
    <w:p w14:paraId="54C5E39F" w14:textId="77777777" w:rsidR="00CF018D" w:rsidRPr="00C3330E" w:rsidRDefault="00CF018D" w:rsidP="00CF018D">
      <w:pPr>
        <w:pStyle w:val="SingleTxtG"/>
        <w:rPr>
          <w:rFonts w:eastAsia="Times New Roman"/>
          <w:b/>
          <w:bCs/>
        </w:rPr>
      </w:pPr>
      <w:r w:rsidRPr="00C3330E">
        <w:rPr>
          <w:rFonts w:eastAsia="Times New Roman"/>
          <w:bCs/>
        </w:rPr>
        <w:t>40.</w:t>
      </w:r>
      <w:r w:rsidRPr="00C3330E">
        <w:rPr>
          <w:rFonts w:eastAsia="Times New Roman"/>
          <w:bCs/>
        </w:rPr>
        <w:tab/>
      </w:r>
      <w:r w:rsidRPr="00C3330E">
        <w:rPr>
          <w:b/>
          <w:bCs/>
        </w:rPr>
        <w:t>The Committee recommends that the State party:</w:t>
      </w:r>
    </w:p>
    <w:p w14:paraId="46BA1EE8" w14:textId="5D062FEC" w:rsidR="00CF018D" w:rsidRPr="00C3330E" w:rsidRDefault="00ED3EAC" w:rsidP="00CF018D">
      <w:pPr>
        <w:pStyle w:val="SingleTxtG"/>
        <w:rPr>
          <w:b/>
          <w:bCs/>
        </w:rPr>
      </w:pPr>
      <w:r>
        <w:rPr>
          <w:b/>
          <w:bCs/>
        </w:rPr>
        <w:tab/>
      </w:r>
      <w:r w:rsidR="00CF018D" w:rsidRPr="00ED3EAC">
        <w:t>(a)</w:t>
      </w:r>
      <w:r w:rsidR="00CF018D" w:rsidRPr="00C3330E">
        <w:rPr>
          <w:b/>
          <w:bCs/>
        </w:rPr>
        <w:tab/>
        <w:t>Take measures to ensure that all asylum applications, regardless of nationality and background of the applicant, are processed in line with international law, in particular with the principle of non-refoulement;</w:t>
      </w:r>
    </w:p>
    <w:p w14:paraId="1FCF2667" w14:textId="77777777" w:rsidR="00B21A8B" w:rsidRDefault="00ED3EAC" w:rsidP="00CF018D">
      <w:pPr>
        <w:pStyle w:val="SingleTxtG"/>
        <w:rPr>
          <w:b/>
          <w:bCs/>
        </w:rPr>
      </w:pPr>
      <w:r>
        <w:rPr>
          <w:b/>
          <w:bCs/>
        </w:rPr>
        <w:tab/>
      </w:r>
      <w:r w:rsidR="00CF018D" w:rsidRPr="00ED3EAC">
        <w:t>(b)</w:t>
      </w:r>
      <w:r w:rsidR="00CF018D" w:rsidRPr="00C3330E">
        <w:rPr>
          <w:b/>
          <w:bCs/>
        </w:rPr>
        <w:tab/>
        <w:t>Establish a referral procedure for the Migration Police Departments and the Border Guard Service at all border points, in compliance with the Committee</w:t>
      </w:r>
      <w:r w:rsidR="00B21A8B">
        <w:rPr>
          <w:b/>
          <w:bCs/>
        </w:rPr>
        <w:t>’</w:t>
      </w:r>
      <w:r w:rsidR="00CF018D" w:rsidRPr="00C3330E">
        <w:rPr>
          <w:b/>
          <w:bCs/>
        </w:rPr>
        <w:t>s previous recommendation</w:t>
      </w:r>
      <w:r w:rsidR="00CF018D" w:rsidRPr="00B21A8B">
        <w:rPr>
          <w:rStyle w:val="FootnoteReference"/>
        </w:rPr>
        <w:footnoteReference w:id="6"/>
      </w:r>
      <w:r w:rsidR="00CF018D" w:rsidRPr="00C3330E">
        <w:rPr>
          <w:b/>
          <w:bCs/>
        </w:rPr>
        <w:t xml:space="preserve"> and in line with international norms and standards;</w:t>
      </w:r>
    </w:p>
    <w:p w14:paraId="668A9751" w14:textId="77777777" w:rsidR="00B21A8B" w:rsidRDefault="00ED3EAC" w:rsidP="00CF018D">
      <w:pPr>
        <w:pStyle w:val="SingleTxtG"/>
        <w:rPr>
          <w:b/>
          <w:bCs/>
        </w:rPr>
      </w:pPr>
      <w:r>
        <w:rPr>
          <w:b/>
          <w:bCs/>
        </w:rPr>
        <w:tab/>
      </w:r>
      <w:r w:rsidR="00CF018D" w:rsidRPr="00ED3EAC">
        <w:t>(c)</w:t>
      </w:r>
      <w:r w:rsidR="00CF018D" w:rsidRPr="00C3330E">
        <w:rPr>
          <w:b/>
          <w:bCs/>
        </w:rPr>
        <w:tab/>
        <w:t xml:space="preserve">Adopt legislation and take practical measures to ensure that asylum-seekers </w:t>
      </w:r>
      <w:r w:rsidR="00CF018D">
        <w:rPr>
          <w:b/>
          <w:bCs/>
        </w:rPr>
        <w:t xml:space="preserve">whose </w:t>
      </w:r>
      <w:r w:rsidR="00CF018D" w:rsidRPr="0070676F">
        <w:rPr>
          <w:b/>
          <w:bCs/>
        </w:rPr>
        <w:t>requests for asylum have</w:t>
      </w:r>
      <w:r w:rsidR="00CF018D">
        <w:rPr>
          <w:b/>
          <w:bCs/>
        </w:rPr>
        <w:t xml:space="preserve"> not been granted </w:t>
      </w:r>
      <w:r w:rsidR="00CF018D" w:rsidRPr="00C3330E">
        <w:rPr>
          <w:b/>
          <w:bCs/>
        </w:rPr>
        <w:t xml:space="preserve">and all persons who are not formally recognized as refugees, but </w:t>
      </w:r>
      <w:r w:rsidR="00CF018D">
        <w:rPr>
          <w:b/>
          <w:bCs/>
        </w:rPr>
        <w:t xml:space="preserve">who are </w:t>
      </w:r>
      <w:r w:rsidR="00CF018D" w:rsidRPr="00C3330E">
        <w:rPr>
          <w:b/>
          <w:bCs/>
        </w:rPr>
        <w:t xml:space="preserve">nonetheless unable to return to their </w:t>
      </w:r>
      <w:r w:rsidR="00CF018D" w:rsidRPr="00C3330E">
        <w:rPr>
          <w:b/>
          <w:bCs/>
        </w:rPr>
        <w:lastRenderedPageBreak/>
        <w:t>country of origin due to other compelling reasons, are allowed to stay in the State party until it is safe for them to return, and allow them to exercise and enjoy their economic, social and cultural rights without discrimination;</w:t>
      </w:r>
    </w:p>
    <w:p w14:paraId="26A29344" w14:textId="77777777" w:rsidR="00B21A8B" w:rsidRDefault="00ED3EAC" w:rsidP="00CF018D">
      <w:pPr>
        <w:pStyle w:val="SingleTxtG"/>
        <w:rPr>
          <w:b/>
          <w:bCs/>
        </w:rPr>
      </w:pPr>
      <w:r>
        <w:rPr>
          <w:b/>
          <w:bCs/>
        </w:rPr>
        <w:tab/>
      </w:r>
      <w:r w:rsidR="00CF018D" w:rsidRPr="00ED3EAC">
        <w:t>(d)</w:t>
      </w:r>
      <w:r w:rsidR="00CF018D" w:rsidRPr="00C3330E">
        <w:rPr>
          <w:b/>
          <w:bCs/>
        </w:rPr>
        <w:tab/>
        <w:t>Consider granting refugee status for at least a three-year period.</w:t>
      </w:r>
    </w:p>
    <w:p w14:paraId="1B891641" w14:textId="6DDBDC62" w:rsidR="00CF018D" w:rsidRPr="00EC7F88" w:rsidRDefault="00CF018D" w:rsidP="00ED3EAC">
      <w:pPr>
        <w:pStyle w:val="H23G"/>
      </w:pPr>
      <w:r>
        <w:tab/>
      </w:r>
      <w:r>
        <w:tab/>
      </w:r>
      <w:r w:rsidRPr="00EC7F88">
        <w:t>Stateless persons</w:t>
      </w:r>
    </w:p>
    <w:p w14:paraId="75277C93" w14:textId="77777777" w:rsidR="00CF018D" w:rsidRPr="00C3330E" w:rsidRDefault="00CF018D" w:rsidP="00CF018D">
      <w:pPr>
        <w:pStyle w:val="SingleTxtG"/>
      </w:pPr>
      <w:r w:rsidRPr="00C3330E">
        <w:rPr>
          <w:bCs/>
        </w:rPr>
        <w:t>41.</w:t>
      </w:r>
      <w:r w:rsidRPr="00C3330E">
        <w:rPr>
          <w:bCs/>
        </w:rPr>
        <w:tab/>
      </w:r>
      <w:r w:rsidRPr="00C3330E">
        <w:t xml:space="preserve">The Committee is concerned by reports that it is difficult for undocumented stateless persons to </w:t>
      </w:r>
      <w:r>
        <w:t xml:space="preserve">prove </w:t>
      </w:r>
      <w:r w:rsidRPr="00C3330E">
        <w:t xml:space="preserve">a lack of nationality, and that these persons and their children are consequently precluded from the enjoyment of a number of basic rights, including with regards to employment, education and health care. The Committee is also concerned that the Law on Citizenship includes gaps and provisions that may result in statelessness, including the provisions on deprivation of nationality introduced in 2017 (art. 5). The Committee regrets that the State party has not ratified the </w:t>
      </w:r>
      <w:bookmarkStart w:id="0" w:name="_Hlk50021803"/>
      <w:r w:rsidRPr="00C3330E">
        <w:t xml:space="preserve">1954 Convention relating to the Status of Stateless </w:t>
      </w:r>
      <w:r>
        <w:t>P</w:t>
      </w:r>
      <w:r w:rsidRPr="00C3330E">
        <w:t>ersons and the 1961 Convention on the Reduction of Statelessness</w:t>
      </w:r>
      <w:bookmarkEnd w:id="0"/>
      <w:r w:rsidRPr="00C3330E">
        <w:t>.</w:t>
      </w:r>
    </w:p>
    <w:p w14:paraId="06E2FFC1" w14:textId="77777777" w:rsidR="00CF018D" w:rsidRPr="00C3330E" w:rsidRDefault="00CF018D" w:rsidP="00CF018D">
      <w:pPr>
        <w:pStyle w:val="SingleTxtG"/>
        <w:rPr>
          <w:b/>
          <w:bCs/>
        </w:rPr>
      </w:pPr>
      <w:r w:rsidRPr="00C3330E">
        <w:rPr>
          <w:bCs/>
        </w:rPr>
        <w:t>42.</w:t>
      </w:r>
      <w:r w:rsidRPr="00C3330E">
        <w:rPr>
          <w:bCs/>
        </w:rPr>
        <w:tab/>
      </w:r>
      <w:r w:rsidRPr="00C3330E">
        <w:rPr>
          <w:b/>
          <w:bCs/>
        </w:rPr>
        <w:t>The Committee recommends that the State party:</w:t>
      </w:r>
    </w:p>
    <w:p w14:paraId="4D7A3567" w14:textId="4B06EB62" w:rsidR="00CF018D" w:rsidRPr="00C3330E" w:rsidRDefault="00ED3EAC" w:rsidP="00CF018D">
      <w:pPr>
        <w:pStyle w:val="SingleTxtG"/>
        <w:rPr>
          <w:b/>
          <w:bCs/>
        </w:rPr>
      </w:pPr>
      <w:r>
        <w:rPr>
          <w:b/>
          <w:bCs/>
        </w:rPr>
        <w:tab/>
      </w:r>
      <w:r w:rsidR="00CF018D" w:rsidRPr="00ED3EAC">
        <w:t>(a)</w:t>
      </w:r>
      <w:r w:rsidR="00CF018D" w:rsidRPr="00C3330E">
        <w:rPr>
          <w:b/>
          <w:bCs/>
        </w:rPr>
        <w:tab/>
        <w:t xml:space="preserve">Continue its efforts to identify and provide identity documents for </w:t>
      </w:r>
      <w:r w:rsidR="00CF018D" w:rsidRPr="00C3330E">
        <w:rPr>
          <w:b/>
          <w:bCs/>
          <w:lang w:val="en-US"/>
        </w:rPr>
        <w:t>persons of undetermined nationality</w:t>
      </w:r>
      <w:r w:rsidR="00CF018D" w:rsidRPr="00C3330E" w:rsidDel="009B7983">
        <w:rPr>
          <w:b/>
          <w:bCs/>
        </w:rPr>
        <w:t xml:space="preserve"> </w:t>
      </w:r>
      <w:r w:rsidR="00CF018D" w:rsidRPr="00C3330E">
        <w:rPr>
          <w:b/>
          <w:bCs/>
        </w:rPr>
        <w:t>and simplify the statelessness determination procedure;</w:t>
      </w:r>
    </w:p>
    <w:p w14:paraId="645F8349" w14:textId="6380F57A" w:rsidR="00CF018D" w:rsidRDefault="00ED3EAC" w:rsidP="00CF018D">
      <w:pPr>
        <w:pStyle w:val="SingleTxtG"/>
        <w:rPr>
          <w:b/>
          <w:bCs/>
        </w:rPr>
      </w:pPr>
      <w:r>
        <w:rPr>
          <w:b/>
          <w:bCs/>
        </w:rPr>
        <w:tab/>
      </w:r>
      <w:r w:rsidR="00CF018D" w:rsidRPr="00ED3EAC">
        <w:t>(b)</w:t>
      </w:r>
      <w:r w:rsidR="00CF018D">
        <w:rPr>
          <w:b/>
          <w:bCs/>
        </w:rPr>
        <w:tab/>
      </w:r>
      <w:r w:rsidR="00CF018D" w:rsidRPr="00C3330E">
        <w:rPr>
          <w:b/>
          <w:bCs/>
        </w:rPr>
        <w:t xml:space="preserve">Review and amend the Law </w:t>
      </w:r>
      <w:r w:rsidR="00CF018D" w:rsidRPr="00C3330E">
        <w:rPr>
          <w:b/>
          <w:bCs/>
          <w:lang w:bidi="en-GB"/>
        </w:rPr>
        <w:t>on Citizenship,</w:t>
      </w:r>
      <w:r w:rsidR="00CF018D" w:rsidRPr="00C3330E">
        <w:rPr>
          <w:b/>
          <w:bCs/>
        </w:rPr>
        <w:t xml:space="preserve"> </w:t>
      </w:r>
      <w:r w:rsidR="00CF018D" w:rsidRPr="00C3330E">
        <w:rPr>
          <w:b/>
          <w:bCs/>
          <w:lang w:bidi="en-GB"/>
        </w:rPr>
        <w:t>including its provisions on deprivation of nationality,</w:t>
      </w:r>
      <w:r w:rsidR="00CF018D" w:rsidRPr="00C3330E">
        <w:rPr>
          <w:b/>
          <w:bCs/>
        </w:rPr>
        <w:t xml:space="preserve"> to ensure that its application does not result in statelessness;</w:t>
      </w:r>
    </w:p>
    <w:p w14:paraId="3F3C83AD" w14:textId="65563238" w:rsidR="00CF018D" w:rsidRPr="00C3330E" w:rsidRDefault="00ED3EAC" w:rsidP="00CF018D">
      <w:pPr>
        <w:pStyle w:val="SingleTxtG"/>
        <w:rPr>
          <w:b/>
          <w:bCs/>
        </w:rPr>
      </w:pPr>
      <w:r>
        <w:rPr>
          <w:b/>
          <w:bCs/>
        </w:rPr>
        <w:tab/>
      </w:r>
      <w:r w:rsidR="00CF018D" w:rsidRPr="00ED3EAC">
        <w:t>(c)</w:t>
      </w:r>
      <w:r w:rsidR="00CF018D" w:rsidRPr="00C3330E">
        <w:rPr>
          <w:b/>
          <w:bCs/>
        </w:rPr>
        <w:tab/>
      </w:r>
      <w:r w:rsidR="00CF018D">
        <w:rPr>
          <w:b/>
          <w:bCs/>
        </w:rPr>
        <w:t>Fully implement its national action plan under the Global Action Plan to End Statelessness 2014–2024;</w:t>
      </w:r>
    </w:p>
    <w:p w14:paraId="0F945CDE" w14:textId="36D17393" w:rsidR="00CF018D" w:rsidRPr="00C3330E" w:rsidRDefault="00ED3EAC" w:rsidP="00CF018D">
      <w:pPr>
        <w:pStyle w:val="SingleTxtG"/>
        <w:rPr>
          <w:b/>
          <w:bCs/>
        </w:rPr>
      </w:pPr>
      <w:r>
        <w:rPr>
          <w:b/>
          <w:bCs/>
        </w:rPr>
        <w:tab/>
      </w:r>
      <w:r w:rsidR="00CF018D" w:rsidRPr="00ED3EAC">
        <w:t>(d)</w:t>
      </w:r>
      <w:r w:rsidR="00CF018D" w:rsidRPr="00C3330E">
        <w:rPr>
          <w:b/>
          <w:bCs/>
        </w:rPr>
        <w:tab/>
        <w:t xml:space="preserve">Ratify the 1954 Convention relating to the Status of Stateless </w:t>
      </w:r>
      <w:r w:rsidR="00CF018D">
        <w:rPr>
          <w:b/>
          <w:bCs/>
        </w:rPr>
        <w:t>P</w:t>
      </w:r>
      <w:r w:rsidR="00CF018D" w:rsidRPr="00C3330E">
        <w:rPr>
          <w:b/>
          <w:bCs/>
        </w:rPr>
        <w:t>ersons and the 1961 Convention on the Reduction of Statelessness.</w:t>
      </w:r>
    </w:p>
    <w:p w14:paraId="61E1AFF3" w14:textId="77777777" w:rsidR="00B21A8B" w:rsidRDefault="00CF018D" w:rsidP="00ED3EAC">
      <w:pPr>
        <w:pStyle w:val="H23G"/>
      </w:pPr>
      <w:r>
        <w:tab/>
      </w:r>
      <w:r>
        <w:tab/>
      </w:r>
      <w:r w:rsidRPr="00E9174F">
        <w:t xml:space="preserve">Access to </w:t>
      </w:r>
      <w:r>
        <w:t>justice</w:t>
      </w:r>
    </w:p>
    <w:p w14:paraId="33C67F44" w14:textId="45F84E53" w:rsidR="00CF018D" w:rsidRPr="007F0DAE" w:rsidRDefault="00CF018D" w:rsidP="00CF018D">
      <w:pPr>
        <w:pStyle w:val="SingleTxtG"/>
      </w:pPr>
      <w:r w:rsidRPr="007F0DAE">
        <w:rPr>
          <w:bCs/>
        </w:rPr>
        <w:t>43.</w:t>
      </w:r>
      <w:r w:rsidRPr="007F0DAE">
        <w:rPr>
          <w:bCs/>
        </w:rPr>
        <w:tab/>
      </w:r>
      <w:r w:rsidRPr="007F0DAE">
        <w:t xml:space="preserve">The Committee is concerned that the low number of complaints and court decisions in administrative, civil and criminal proceedings on acts of racial discrimination may </w:t>
      </w:r>
      <w:r>
        <w:t>indicate</w:t>
      </w:r>
      <w:r w:rsidRPr="007F0DAE">
        <w:t xml:space="preserve"> that victims have inadequate information concerning their rights, that they fear social censure or reprisals, that victims with limited resources fear the cost and complexity of the judicial process, or that there is a lack of trust in the police and judicial authorities. The Committee is also concerned that translations of the legislation in the State party, which is usually drafted in Russian, sometimes include errors, which can negatively impact the accessibility of these laws for non-Russian speakers (art. 6).</w:t>
      </w:r>
    </w:p>
    <w:p w14:paraId="5831CC03" w14:textId="77777777" w:rsidR="00B21A8B" w:rsidRDefault="00CF018D" w:rsidP="00CF018D">
      <w:pPr>
        <w:pStyle w:val="SingleTxtG"/>
        <w:rPr>
          <w:b/>
          <w:bCs/>
        </w:rPr>
      </w:pPr>
      <w:r w:rsidRPr="007F0DAE">
        <w:rPr>
          <w:bCs/>
        </w:rPr>
        <w:t>44.</w:t>
      </w:r>
      <w:r w:rsidRPr="007F0DAE">
        <w:rPr>
          <w:bCs/>
        </w:rPr>
        <w:tab/>
      </w:r>
      <w:r w:rsidRPr="007F0DAE">
        <w:rPr>
          <w:b/>
          <w:bCs/>
        </w:rPr>
        <w:t xml:space="preserve">The Committee recommends that the State party conduct awareness-raising activities to ensure that the public, in particular members of ethnic minorities, are aware of what constitutes racial discrimination and of available legal remedies, including </w:t>
      </w:r>
      <w:r>
        <w:rPr>
          <w:b/>
          <w:bCs/>
        </w:rPr>
        <w:t xml:space="preserve">free </w:t>
      </w:r>
      <w:r w:rsidRPr="007F0DAE">
        <w:rPr>
          <w:b/>
          <w:bCs/>
        </w:rPr>
        <w:t xml:space="preserve">legal </w:t>
      </w:r>
      <w:r>
        <w:rPr>
          <w:b/>
          <w:bCs/>
        </w:rPr>
        <w:t>aid</w:t>
      </w:r>
      <w:r w:rsidRPr="007F0DAE">
        <w:rPr>
          <w:b/>
          <w:bCs/>
        </w:rPr>
        <w:t xml:space="preserve">. The Committee also recommends that the State party ensure that law enforcement officials are trained to </w:t>
      </w:r>
      <w:r>
        <w:rPr>
          <w:b/>
          <w:bCs/>
        </w:rPr>
        <w:t xml:space="preserve">effectively consider and investigate </w:t>
      </w:r>
      <w:r w:rsidRPr="007F0DAE">
        <w:rPr>
          <w:b/>
          <w:bCs/>
        </w:rPr>
        <w:t>all complaints of racial discrimination and that any reprisals against persons reporting racial discrimination are prevented and punished. The Committee further recommends that the State party provide adequate resources to ensure that accurate translations of its laws are available in the main languages spoken in the State party.</w:t>
      </w:r>
    </w:p>
    <w:p w14:paraId="4F3D5A53" w14:textId="76D15EE1" w:rsidR="00CF018D" w:rsidRPr="008F166C" w:rsidRDefault="00CF018D" w:rsidP="00ED3EAC">
      <w:pPr>
        <w:pStyle w:val="H1G"/>
      </w:pPr>
      <w:r>
        <w:tab/>
      </w:r>
      <w:r w:rsidR="00A124DF">
        <w:t>D</w:t>
      </w:r>
      <w:r w:rsidRPr="00092200">
        <w:t>.</w:t>
      </w:r>
      <w:r w:rsidRPr="008F166C">
        <w:tab/>
      </w:r>
      <w:r w:rsidRPr="008F166C">
        <w:tab/>
        <w:t>Other recommendations</w:t>
      </w:r>
    </w:p>
    <w:p w14:paraId="7FBF10F8" w14:textId="77777777" w:rsidR="00CF018D" w:rsidRPr="008F166C" w:rsidRDefault="00CF018D" w:rsidP="00ED3EAC">
      <w:pPr>
        <w:pStyle w:val="H23G"/>
        <w:rPr>
          <w:lang w:val="en-US"/>
        </w:rPr>
      </w:pPr>
      <w:r w:rsidRPr="008F166C">
        <w:rPr>
          <w:lang w:val="en-US"/>
        </w:rPr>
        <w:tab/>
      </w:r>
      <w:r w:rsidRPr="008F166C">
        <w:rPr>
          <w:lang w:val="en-US"/>
        </w:rPr>
        <w:tab/>
        <w:t>Ratification of other treaties</w:t>
      </w:r>
    </w:p>
    <w:p w14:paraId="237A50AA" w14:textId="77777777" w:rsidR="00B21A8B" w:rsidRDefault="00CF018D" w:rsidP="00CF018D">
      <w:pPr>
        <w:pStyle w:val="SingleTxtG"/>
        <w:rPr>
          <w:b/>
          <w:bCs/>
        </w:rPr>
      </w:pPr>
      <w:r w:rsidRPr="00D069A0">
        <w:rPr>
          <w:bCs/>
        </w:rPr>
        <w:t>45.</w:t>
      </w:r>
      <w:r w:rsidRPr="00D069A0">
        <w:rPr>
          <w:bCs/>
        </w:rPr>
        <w:tab/>
      </w:r>
      <w:r w:rsidRPr="00F84C12">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w:t>
      </w:r>
      <w:r w:rsidRPr="00D069A0">
        <w:rPr>
          <w:b/>
          <w:bCs/>
        </w:rPr>
        <w:t>.</w:t>
      </w:r>
    </w:p>
    <w:p w14:paraId="3858BED7" w14:textId="096C86C1" w:rsidR="00CF018D" w:rsidRPr="008F166C" w:rsidRDefault="00CF018D" w:rsidP="00ED3EAC">
      <w:pPr>
        <w:pStyle w:val="H23G"/>
        <w:rPr>
          <w:lang w:val="en-US"/>
        </w:rPr>
      </w:pPr>
      <w:r w:rsidRPr="00D069A0">
        <w:rPr>
          <w:lang w:val="en-US"/>
        </w:rPr>
        <w:lastRenderedPageBreak/>
        <w:tab/>
      </w:r>
      <w:r w:rsidRPr="00D069A0">
        <w:rPr>
          <w:lang w:val="en-US"/>
        </w:rPr>
        <w:tab/>
        <w:t>Amendment to article 8 of the Convention</w:t>
      </w:r>
    </w:p>
    <w:p w14:paraId="7C13E8F2" w14:textId="77777777" w:rsidR="00B21A8B" w:rsidRDefault="00CF018D" w:rsidP="00CF018D">
      <w:pPr>
        <w:pStyle w:val="SingleTxtG"/>
        <w:rPr>
          <w:b/>
          <w:bCs/>
        </w:rPr>
      </w:pPr>
      <w:r w:rsidRPr="008F166C">
        <w:rPr>
          <w:bCs/>
        </w:rPr>
        <w:t>46.</w:t>
      </w:r>
      <w:r w:rsidRPr="008F166C">
        <w:rPr>
          <w:bCs/>
        </w:rPr>
        <w:tab/>
      </w:r>
      <w:r w:rsidRPr="008F166C">
        <w:rPr>
          <w:b/>
          <w:bCs/>
        </w:rPr>
        <w:t>The Committee recommends that the State party accept the amendment to article 8 (6) of the Convention adopted on 15 January 1992 at the fourteenth meeting of States parties to the Convention and endorsed by the General Assembly in its resolution 47/111.</w:t>
      </w:r>
    </w:p>
    <w:p w14:paraId="2DDB9E2B" w14:textId="2675463A" w:rsidR="00CF018D" w:rsidRPr="00F84C12" w:rsidRDefault="00CF018D" w:rsidP="00B51714">
      <w:pPr>
        <w:pStyle w:val="H23G"/>
        <w:rPr>
          <w:lang w:val="en-US"/>
        </w:rPr>
      </w:pPr>
      <w:r w:rsidRPr="00F84C12">
        <w:rPr>
          <w:lang w:val="en-US"/>
        </w:rPr>
        <w:tab/>
      </w:r>
      <w:r w:rsidRPr="00F84C12">
        <w:rPr>
          <w:lang w:val="en-US"/>
        </w:rPr>
        <w:tab/>
      </w:r>
      <w:r w:rsidRPr="00F84C12">
        <w:rPr>
          <w:lang w:val="en-US"/>
        </w:rPr>
        <w:tab/>
        <w:t>Follow-up to the Durban Declaration and Programme of Action</w:t>
      </w:r>
    </w:p>
    <w:p w14:paraId="0287E62F" w14:textId="41EC403F" w:rsidR="00B21A8B" w:rsidRDefault="00CF018D" w:rsidP="00CF018D">
      <w:pPr>
        <w:pStyle w:val="SingleTxtG"/>
        <w:rPr>
          <w:b/>
          <w:bCs/>
        </w:rPr>
      </w:pPr>
      <w:r w:rsidRPr="00D069A0">
        <w:rPr>
          <w:bCs/>
        </w:rPr>
        <w:t>47.</w:t>
      </w:r>
      <w:r w:rsidRPr="00D069A0">
        <w:rPr>
          <w:bCs/>
        </w:rPr>
        <w:tab/>
      </w:r>
      <w:r w:rsidRPr="00F84C12">
        <w:rPr>
          <w:b/>
          <w:bCs/>
        </w:rPr>
        <w:t>In light of its general recommendation No.</w:t>
      </w:r>
      <w:r w:rsidR="00B30FEC">
        <w:rPr>
          <w:b/>
          <w:bCs/>
        </w:rPr>
        <w:t xml:space="preserve"> </w:t>
      </w:r>
      <w:r w:rsidRPr="00F84C12">
        <w:rPr>
          <w:b/>
          <w:bCs/>
        </w:rPr>
        <w:t xml:space="preserve">33 (2009) on </w:t>
      </w:r>
      <w:r w:rsidRPr="00D069A0">
        <w:rPr>
          <w:b/>
          <w:bCs/>
        </w:rPr>
        <w:t>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p>
    <w:p w14:paraId="49DB7C38" w14:textId="77777777" w:rsidR="00B21A8B" w:rsidRDefault="00CF018D" w:rsidP="00B51714">
      <w:pPr>
        <w:pStyle w:val="H23G"/>
        <w:rPr>
          <w:lang w:val="en-US"/>
        </w:rPr>
      </w:pPr>
      <w:r w:rsidRPr="00D069A0">
        <w:rPr>
          <w:lang w:val="en-US"/>
        </w:rPr>
        <w:tab/>
      </w:r>
      <w:r w:rsidRPr="00D069A0">
        <w:rPr>
          <w:lang w:val="en-US"/>
        </w:rPr>
        <w:tab/>
        <w:t>International Decade for People of African Descent</w:t>
      </w:r>
    </w:p>
    <w:p w14:paraId="22E015C5" w14:textId="77777777" w:rsidR="00B21A8B" w:rsidRDefault="00CF018D" w:rsidP="00CF018D">
      <w:pPr>
        <w:pStyle w:val="SingleTxtG"/>
        <w:rPr>
          <w:b/>
          <w:bCs/>
        </w:rPr>
      </w:pPr>
      <w:r w:rsidRPr="00D069A0">
        <w:rPr>
          <w:bCs/>
        </w:rPr>
        <w:t>48.</w:t>
      </w:r>
      <w:r w:rsidRPr="00D069A0">
        <w:rPr>
          <w:bCs/>
        </w:rPr>
        <w:tab/>
      </w:r>
      <w:r w:rsidRPr="008F166C">
        <w:rPr>
          <w:b/>
          <w:bCs/>
        </w:rPr>
        <w:t>In light of General Assembly resolution 68/237, in which the Assembly proclaimed 2015–2024 the International Decade for People of African Descent, and Assembly resolution 69/16 on the programme of activities for the implementation of the De</w:t>
      </w:r>
      <w:r w:rsidRPr="00F84C12">
        <w:rPr>
          <w:b/>
          <w:bCs/>
        </w:rPr>
        <w:t>cade, the Committee recommends that the State party prepare and implement a suitable programme of measures and policies in collaboration with organizations and peoples of African descent. The Committee requests that the State party include in its next repo</w:t>
      </w:r>
      <w:r w:rsidRPr="00D069A0">
        <w:rPr>
          <w:b/>
          <w:bCs/>
        </w:rPr>
        <w:t>rt precise information on the concrete measures adopted in that framework, taking into account its general recommendation No. 34 (2011) on racial discrimination against people of African descent.</w:t>
      </w:r>
    </w:p>
    <w:p w14:paraId="62D866DE" w14:textId="04393CD9" w:rsidR="00CF018D" w:rsidRPr="00D069A0" w:rsidRDefault="00CF018D" w:rsidP="00B51714">
      <w:pPr>
        <w:pStyle w:val="H23G"/>
      </w:pPr>
      <w:r w:rsidRPr="00D069A0">
        <w:rPr>
          <w:lang w:val="en-US"/>
        </w:rPr>
        <w:tab/>
      </w:r>
      <w:r w:rsidRPr="00D069A0">
        <w:rPr>
          <w:lang w:val="en-US"/>
        </w:rPr>
        <w:tab/>
      </w:r>
      <w:r w:rsidRPr="00D069A0">
        <w:t>Consultations with civil society</w:t>
      </w:r>
    </w:p>
    <w:p w14:paraId="22EF2EAA" w14:textId="77777777" w:rsidR="00CF018D" w:rsidRPr="008F166C" w:rsidRDefault="00CF018D" w:rsidP="00CF018D">
      <w:pPr>
        <w:pStyle w:val="SingleTxtG"/>
        <w:rPr>
          <w:b/>
          <w:bCs/>
        </w:rPr>
      </w:pPr>
      <w:r w:rsidRPr="008F166C">
        <w:rPr>
          <w:bCs/>
        </w:rPr>
        <w:t>49.</w:t>
      </w:r>
      <w:r w:rsidRPr="008F166C">
        <w:rPr>
          <w:bCs/>
        </w:rPr>
        <w:tab/>
      </w:r>
      <w:r w:rsidRPr="00D069A0">
        <w:rPr>
          <w:b/>
        </w:rPr>
        <w:t>The Committee recommends that the State party continue consulting and increasing its</w:t>
      </w:r>
      <w:r w:rsidRPr="00D069A0">
        <w:rPr>
          <w:b/>
          <w:bCs/>
        </w:rPr>
        <w:t xml:space="preserve"> dialogue with civil society organizations working in the area of human rights protection, in particular those working to combat racial discrimination, </w:t>
      </w:r>
      <w:r w:rsidRPr="00092200">
        <w:rPr>
          <w:b/>
          <w:bCs/>
        </w:rPr>
        <w:t>and including organizations representative of the groups most exposed to racial discrimination, in connection with the preparation of the next periodic report and in follow-up to the present concluding observations.</w:t>
      </w:r>
    </w:p>
    <w:p w14:paraId="4CDDE555" w14:textId="77777777" w:rsidR="00CF018D" w:rsidRPr="008F166C" w:rsidRDefault="00CF018D" w:rsidP="00B51714">
      <w:pPr>
        <w:pStyle w:val="H23G"/>
        <w:rPr>
          <w:lang w:val="en-US"/>
        </w:rPr>
      </w:pPr>
      <w:r w:rsidRPr="008F166C">
        <w:rPr>
          <w:lang w:val="en-US"/>
        </w:rPr>
        <w:tab/>
      </w:r>
      <w:r w:rsidRPr="008F166C">
        <w:rPr>
          <w:lang w:val="en-US"/>
        </w:rPr>
        <w:tab/>
        <w:t>Dissemination of information</w:t>
      </w:r>
    </w:p>
    <w:p w14:paraId="77B3C2D8" w14:textId="41D6B29B" w:rsidR="00CF018D" w:rsidRPr="00F84C12" w:rsidRDefault="00CF018D" w:rsidP="00CF018D">
      <w:pPr>
        <w:pStyle w:val="SingleTxtG"/>
        <w:rPr>
          <w:b/>
          <w:bCs/>
        </w:rPr>
      </w:pPr>
      <w:r w:rsidRPr="00F84C12">
        <w:rPr>
          <w:bCs/>
        </w:rPr>
        <w:t>50.</w:t>
      </w:r>
      <w:r w:rsidRPr="00F84C12">
        <w:rPr>
          <w:bCs/>
        </w:rPr>
        <w:tab/>
      </w:r>
      <w:r w:rsidRPr="008F166C">
        <w:rPr>
          <w:b/>
        </w:rPr>
        <w:t>The</w:t>
      </w:r>
      <w:r w:rsidRPr="008F166C">
        <w:rPr>
          <w:b/>
          <w:bCs/>
        </w:rPr>
        <w:t xml:space="preserve"> Committee recommends that the State party</w:t>
      </w:r>
      <w:r w:rsidR="00B21A8B">
        <w:rPr>
          <w:b/>
          <w:bCs/>
        </w:rPr>
        <w:t>’</w:t>
      </w:r>
      <w:r w:rsidRPr="008F166C">
        <w:rPr>
          <w:b/>
          <w:bCs/>
        </w:rPr>
        <w:t xml:space="preserve">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including municipalities, and </w:t>
      </w:r>
      <w:r w:rsidRPr="00F84C12">
        <w:rPr>
          <w:b/>
          <w:bCs/>
        </w:rPr>
        <w:t>publicized on the website of the Ministry of Foreign Affairs in the official and other commonly used languages, as appropriate.</w:t>
      </w:r>
    </w:p>
    <w:p w14:paraId="4646D7EC" w14:textId="77777777" w:rsidR="00CF018D" w:rsidRPr="008F166C" w:rsidRDefault="00CF018D" w:rsidP="00B51714">
      <w:pPr>
        <w:pStyle w:val="H23G"/>
        <w:rPr>
          <w:lang w:val="en-US"/>
        </w:rPr>
      </w:pPr>
      <w:r w:rsidRPr="008F166C">
        <w:rPr>
          <w:lang w:val="en-US"/>
        </w:rPr>
        <w:tab/>
      </w:r>
      <w:r w:rsidRPr="008F166C">
        <w:rPr>
          <w:lang w:val="en-US"/>
        </w:rPr>
        <w:tab/>
        <w:t>Common core document</w:t>
      </w:r>
    </w:p>
    <w:p w14:paraId="26D65187" w14:textId="77777777" w:rsidR="00CF018D" w:rsidRPr="008F166C" w:rsidRDefault="00CF018D" w:rsidP="00CF018D">
      <w:pPr>
        <w:pStyle w:val="SingleTxtG"/>
        <w:rPr>
          <w:b/>
          <w:bCs/>
        </w:rPr>
      </w:pPr>
      <w:r w:rsidRPr="008F166C">
        <w:rPr>
          <w:bCs/>
        </w:rPr>
        <w:t>51.</w:t>
      </w:r>
      <w:r w:rsidRPr="008F166C">
        <w:rPr>
          <w:bCs/>
        </w:rPr>
        <w:tab/>
      </w:r>
      <w:r w:rsidRPr="008F166C">
        <w:rPr>
          <w:b/>
          <w:bCs/>
        </w:rPr>
        <w:t>The Committee encourages the State party to update its common core document, which dates to 4 January 2019, in accordance with the harmonized guidelines on reporting under the international human rights treaties, in particular those on the common core document, as adopted at the fifth inter-committee meeting of the human rights treaty bodies held in June 2006.</w:t>
      </w:r>
      <w:r w:rsidRPr="00B21A8B">
        <w:rPr>
          <w:rStyle w:val="FootnoteReference"/>
        </w:rPr>
        <w:footnoteReference w:id="7"/>
      </w:r>
      <w:r w:rsidRPr="008F166C">
        <w:rPr>
          <w:b/>
          <w:bCs/>
        </w:rPr>
        <w:t xml:space="preserve"> In the light of General Assembly resolution 68/268, the Committee urges the State party to observe the limit of 42,400 words for such documents.</w:t>
      </w:r>
    </w:p>
    <w:p w14:paraId="070264E3" w14:textId="77777777" w:rsidR="00CF018D" w:rsidRPr="008F166C" w:rsidRDefault="00CF018D" w:rsidP="00B51714">
      <w:pPr>
        <w:pStyle w:val="H23G"/>
        <w:rPr>
          <w:lang w:val="en-US"/>
        </w:rPr>
      </w:pPr>
      <w:r w:rsidRPr="008F166C">
        <w:rPr>
          <w:lang w:val="en-US"/>
        </w:rPr>
        <w:lastRenderedPageBreak/>
        <w:tab/>
      </w:r>
      <w:r w:rsidRPr="008F166C">
        <w:rPr>
          <w:lang w:val="en-US"/>
        </w:rPr>
        <w:tab/>
        <w:t>Follow-up to the present concluding observations</w:t>
      </w:r>
    </w:p>
    <w:p w14:paraId="01E51ED4" w14:textId="2BDF9711" w:rsidR="00CF018D" w:rsidRPr="008F166C" w:rsidRDefault="00CF018D" w:rsidP="00CF018D">
      <w:pPr>
        <w:pStyle w:val="SingleTxtG"/>
        <w:rPr>
          <w:b/>
          <w:bCs/>
        </w:rPr>
      </w:pPr>
      <w:r w:rsidRPr="008F166C">
        <w:rPr>
          <w:bCs/>
        </w:rPr>
        <w:t>52.</w:t>
      </w:r>
      <w:r w:rsidRPr="008F166C">
        <w:rPr>
          <w:bCs/>
        </w:rPr>
        <w:tab/>
      </w:r>
      <w:r w:rsidRPr="008F166C">
        <w:rPr>
          <w:b/>
          <w:bCs/>
        </w:rPr>
        <w:t>In accordance with article</w:t>
      </w:r>
      <w:r w:rsidR="00B30FEC">
        <w:rPr>
          <w:b/>
          <w:bCs/>
        </w:rPr>
        <w:t xml:space="preserve"> </w:t>
      </w:r>
      <w:r w:rsidRPr="008F166C">
        <w:rPr>
          <w:b/>
          <w:bCs/>
        </w:rPr>
        <w:t>9 (1) of the Convention and rule 65 of its rules of procedure, the Committee requests the State party to provide, within one year of the adoption of the present concluding observations, information on its implementation of the recommendations contained in paragraphs 18 (b) (racist hate speech) and 32 (education) above.</w:t>
      </w:r>
    </w:p>
    <w:p w14:paraId="4DDC4DA2" w14:textId="77777777" w:rsidR="00CF018D" w:rsidRPr="008F166C" w:rsidRDefault="00CF018D" w:rsidP="00B51714">
      <w:pPr>
        <w:pStyle w:val="H23G"/>
      </w:pPr>
      <w:r w:rsidRPr="008F166C">
        <w:rPr>
          <w:lang w:val="en-US"/>
        </w:rPr>
        <w:tab/>
      </w:r>
      <w:r w:rsidRPr="008F166C">
        <w:rPr>
          <w:lang w:val="en-US"/>
        </w:rPr>
        <w:tab/>
      </w:r>
      <w:r w:rsidRPr="008F166C">
        <w:t>Paragraphs of particular importance</w:t>
      </w:r>
    </w:p>
    <w:p w14:paraId="179B168C" w14:textId="77777777" w:rsidR="00CF018D" w:rsidRPr="008F166C" w:rsidRDefault="00CF018D" w:rsidP="00CF018D">
      <w:pPr>
        <w:pStyle w:val="SingleTxtG"/>
        <w:rPr>
          <w:b/>
          <w:bCs/>
        </w:rPr>
      </w:pPr>
      <w:r w:rsidRPr="008F166C">
        <w:rPr>
          <w:bCs/>
        </w:rPr>
        <w:t>53.</w:t>
      </w:r>
      <w:r w:rsidRPr="008F166C">
        <w:rPr>
          <w:bCs/>
        </w:rPr>
        <w:tab/>
      </w:r>
      <w:r w:rsidRPr="008F166C">
        <w:rPr>
          <w:b/>
          <w:bCs/>
        </w:rPr>
        <w:t>The Committee wishes to draw the attention of the State party to the particular importance of the recommendations contained in paragraphs 16 (freedom of expression), 22 (tensions among ethnic groups), 28 (Kazakh identity) and 42 (stateless persons) above and requests the State party to provide detailed information in its next periodic report on the concrete measures taken to implement those recommendations.</w:t>
      </w:r>
    </w:p>
    <w:p w14:paraId="33BCC969" w14:textId="77777777" w:rsidR="00CF018D" w:rsidRPr="008F166C" w:rsidRDefault="00CF018D" w:rsidP="00B51714">
      <w:pPr>
        <w:pStyle w:val="H23G"/>
        <w:rPr>
          <w:lang w:val="en-US"/>
        </w:rPr>
      </w:pPr>
      <w:r w:rsidRPr="008F166C">
        <w:rPr>
          <w:lang w:val="en-US"/>
        </w:rPr>
        <w:tab/>
      </w:r>
      <w:r w:rsidRPr="008F166C">
        <w:rPr>
          <w:lang w:val="en-US"/>
        </w:rPr>
        <w:tab/>
        <w:t>Preparation of the next periodic report</w:t>
      </w:r>
    </w:p>
    <w:p w14:paraId="6C877EBC" w14:textId="6D9B4B0E" w:rsidR="00CF018D" w:rsidRDefault="00CF018D" w:rsidP="00CF018D">
      <w:pPr>
        <w:pStyle w:val="SingleTxtG"/>
        <w:rPr>
          <w:b/>
          <w:bCs/>
        </w:rPr>
      </w:pPr>
      <w:r w:rsidRPr="008F166C">
        <w:rPr>
          <w:bCs/>
        </w:rPr>
        <w:t>54.</w:t>
      </w:r>
      <w:r w:rsidRPr="008F166C">
        <w:rPr>
          <w:bCs/>
        </w:rPr>
        <w:tab/>
      </w:r>
      <w:r w:rsidRPr="008F166C">
        <w:rPr>
          <w:b/>
          <w:bCs/>
        </w:rPr>
        <w:t>The Committee recommends that the State party submit its combined eleventh to fourteenth periodic reports, as a single document, by 25 September 2025, taking into account the reporting guidelines adopted by the Committee during its seventy-first session</w:t>
      </w:r>
      <w:r w:rsidRPr="00B21A8B">
        <w:rPr>
          <w:rStyle w:val="FootnoteReference"/>
        </w:rPr>
        <w:footnoteReference w:id="8"/>
      </w:r>
      <w:r w:rsidRPr="008F166C">
        <w:rPr>
          <w:b/>
          <w:bCs/>
        </w:rPr>
        <w:t xml:space="preserve"> and addressing all the points raised in the present concluding observations. In the light of General Assembly resolution 68/268, the Committee urges the State party to observe the limit of 21,200 words for periodic reports.</w:t>
      </w:r>
    </w:p>
    <w:p w14:paraId="799B48C6" w14:textId="4BEB4015" w:rsidR="00B51714" w:rsidRPr="002F76D9" w:rsidRDefault="00B51714" w:rsidP="00B51714">
      <w:pPr>
        <w:spacing w:before="240"/>
        <w:jc w:val="center"/>
        <w:rPr>
          <w:u w:val="single"/>
        </w:rPr>
      </w:pPr>
      <w:r w:rsidRPr="002F76D9">
        <w:rPr>
          <w:u w:val="single"/>
        </w:rPr>
        <w:tab/>
      </w:r>
      <w:r w:rsidRPr="002F76D9">
        <w:rPr>
          <w:u w:val="single"/>
        </w:rPr>
        <w:tab/>
      </w:r>
      <w:r w:rsidRPr="002F76D9">
        <w:rPr>
          <w:u w:val="single"/>
        </w:rPr>
        <w:tab/>
      </w:r>
    </w:p>
    <w:sectPr w:rsidR="00B51714" w:rsidRPr="002F76D9"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390A" w14:textId="77777777" w:rsidR="00903E40" w:rsidRPr="00A0297D" w:rsidRDefault="00903E40" w:rsidP="00A0297D">
      <w:pPr>
        <w:pStyle w:val="Footer"/>
      </w:pPr>
    </w:p>
  </w:endnote>
  <w:endnote w:type="continuationSeparator" w:id="0">
    <w:p w14:paraId="3EC46D41" w14:textId="77777777" w:rsidR="00903E40" w:rsidRPr="00A0297D" w:rsidRDefault="00903E40"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1598" w14:textId="00FCB493" w:rsidR="00CF018D" w:rsidRDefault="00CF018D" w:rsidP="00CF018D">
    <w:pPr>
      <w:pStyle w:val="Footer"/>
      <w:tabs>
        <w:tab w:val="right" w:pos="9638"/>
      </w:tabs>
    </w:pPr>
    <w:r w:rsidRPr="00CF018D">
      <w:rPr>
        <w:b/>
        <w:bCs/>
        <w:sz w:val="18"/>
      </w:rPr>
      <w:fldChar w:fldCharType="begin"/>
    </w:r>
    <w:r w:rsidRPr="00CF018D">
      <w:rPr>
        <w:b/>
        <w:bCs/>
        <w:sz w:val="18"/>
      </w:rPr>
      <w:instrText xml:space="preserve"> PAGE  \* MERGEFORMAT </w:instrText>
    </w:r>
    <w:r w:rsidRPr="00CF018D">
      <w:rPr>
        <w:b/>
        <w:bCs/>
        <w:sz w:val="18"/>
      </w:rPr>
      <w:fldChar w:fldCharType="separate"/>
    </w:r>
    <w:r w:rsidRPr="00CF018D">
      <w:rPr>
        <w:b/>
        <w:bCs/>
        <w:noProof/>
        <w:sz w:val="18"/>
      </w:rPr>
      <w:t>2</w:t>
    </w:r>
    <w:r w:rsidRPr="00CF018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EBF9" w14:textId="79A82A1D" w:rsidR="00CF018D" w:rsidRDefault="00CF018D" w:rsidP="00CF018D">
    <w:pPr>
      <w:pStyle w:val="Footer"/>
      <w:tabs>
        <w:tab w:val="right" w:pos="9638"/>
      </w:tabs>
    </w:pPr>
    <w:r>
      <w:tab/>
    </w:r>
    <w:r w:rsidRPr="00CF018D">
      <w:rPr>
        <w:b/>
        <w:bCs/>
        <w:sz w:val="18"/>
      </w:rPr>
      <w:fldChar w:fldCharType="begin"/>
    </w:r>
    <w:r w:rsidRPr="00CF018D">
      <w:rPr>
        <w:b/>
        <w:bCs/>
        <w:sz w:val="18"/>
      </w:rPr>
      <w:instrText xml:space="preserve"> PAGE  \* MERGEFORMAT </w:instrText>
    </w:r>
    <w:r w:rsidRPr="00CF018D">
      <w:rPr>
        <w:b/>
        <w:bCs/>
        <w:sz w:val="18"/>
      </w:rPr>
      <w:fldChar w:fldCharType="separate"/>
    </w:r>
    <w:r w:rsidRPr="00CF018D">
      <w:rPr>
        <w:b/>
        <w:bCs/>
        <w:noProof/>
        <w:sz w:val="18"/>
      </w:rPr>
      <w:t>3</w:t>
    </w:r>
    <w:r w:rsidRPr="00CF018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F26C" w14:textId="407EC941" w:rsidR="00E36FC3" w:rsidRDefault="00E36FC3" w:rsidP="00E36FC3">
    <w:pPr>
      <w:pStyle w:val="Footer"/>
    </w:pPr>
    <w:r w:rsidRPr="0027112F">
      <w:rPr>
        <w:noProof/>
        <w:lang w:val="en-US"/>
      </w:rPr>
      <w:drawing>
        <wp:anchor distT="0" distB="0" distL="114300" distR="114300" simplePos="0" relativeHeight="251659264" behindDoc="0" locked="1" layoutInCell="1" allowOverlap="1" wp14:anchorId="52CE802A" wp14:editId="5717A0C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FBA4D8" w14:textId="5493B0A0" w:rsidR="00E36FC3" w:rsidRPr="00E36FC3" w:rsidRDefault="00E36FC3" w:rsidP="00E36FC3">
    <w:pPr>
      <w:pStyle w:val="Footer"/>
      <w:ind w:right="1134"/>
      <w:rPr>
        <w:sz w:val="20"/>
      </w:rPr>
    </w:pPr>
    <w:r>
      <w:rPr>
        <w:sz w:val="20"/>
      </w:rPr>
      <w:t>GE.22-10547(E)</w:t>
    </w:r>
    <w:r>
      <w:rPr>
        <w:noProof/>
        <w:sz w:val="20"/>
      </w:rPr>
      <w:drawing>
        <wp:anchor distT="0" distB="0" distL="114300" distR="114300" simplePos="0" relativeHeight="251660288" behindDoc="0" locked="0" layoutInCell="1" allowOverlap="1" wp14:anchorId="66A64AD6" wp14:editId="6D8F877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8161" w14:textId="77777777" w:rsidR="00903E40" w:rsidRPr="00A0297D" w:rsidRDefault="00903E40" w:rsidP="00A0297D">
      <w:pPr>
        <w:tabs>
          <w:tab w:val="right" w:pos="2155"/>
        </w:tabs>
        <w:spacing w:after="80" w:line="240" w:lineRule="auto"/>
        <w:ind w:left="680"/>
      </w:pPr>
      <w:r>
        <w:rPr>
          <w:u w:val="single"/>
        </w:rPr>
        <w:tab/>
      </w:r>
    </w:p>
  </w:footnote>
  <w:footnote w:type="continuationSeparator" w:id="0">
    <w:p w14:paraId="2EC2500D" w14:textId="77777777" w:rsidR="00903E40" w:rsidRPr="00A0297D" w:rsidRDefault="00903E40" w:rsidP="00A0297D">
      <w:pPr>
        <w:tabs>
          <w:tab w:val="right" w:pos="2155"/>
        </w:tabs>
        <w:spacing w:after="80" w:line="240" w:lineRule="auto"/>
        <w:ind w:left="680"/>
      </w:pPr>
      <w:r>
        <w:rPr>
          <w:u w:val="single"/>
        </w:rPr>
        <w:tab/>
      </w:r>
    </w:p>
  </w:footnote>
  <w:footnote w:id="1">
    <w:p w14:paraId="56A8CDC1" w14:textId="5A262C15" w:rsidR="00CF018D" w:rsidRPr="002F76D9" w:rsidRDefault="00CF018D">
      <w:pPr>
        <w:pStyle w:val="FootnoteText"/>
      </w:pPr>
      <w:r>
        <w:rPr>
          <w:rStyle w:val="FootnoteReference"/>
        </w:rPr>
        <w:tab/>
      </w:r>
      <w:r w:rsidRPr="00CF018D">
        <w:rPr>
          <w:rStyle w:val="FootnoteReference"/>
          <w:sz w:val="20"/>
          <w:vertAlign w:val="baseline"/>
        </w:rPr>
        <w:t>*</w:t>
      </w:r>
      <w:r>
        <w:rPr>
          <w:rStyle w:val="FootnoteReference"/>
          <w:sz w:val="20"/>
          <w:vertAlign w:val="baseline"/>
        </w:rPr>
        <w:tab/>
      </w:r>
      <w:r w:rsidRPr="008F166C">
        <w:t xml:space="preserve">Adopted by the Committee at its 106th session </w:t>
      </w:r>
      <w:r>
        <w:t>(</w:t>
      </w:r>
      <w:r w:rsidRPr="008F166C">
        <w:t>11</w:t>
      </w:r>
      <w:r>
        <w:t>–</w:t>
      </w:r>
      <w:r w:rsidRPr="008F166C">
        <w:t>29 April 2022</w:t>
      </w:r>
      <w:r>
        <w:t>)</w:t>
      </w:r>
      <w:r w:rsidRPr="008F166C">
        <w:t>.</w:t>
      </w:r>
    </w:p>
  </w:footnote>
  <w:footnote w:id="2">
    <w:p w14:paraId="183CE5F4" w14:textId="0EA5A6CB" w:rsidR="00CF018D" w:rsidRDefault="00CF018D" w:rsidP="00CF018D">
      <w:pPr>
        <w:pStyle w:val="FootnoteText"/>
        <w:rPr>
          <w:lang w:val="en-US"/>
        </w:rPr>
      </w:pPr>
      <w:r>
        <w:tab/>
      </w:r>
      <w:r w:rsidRPr="00B21A8B">
        <w:rPr>
          <w:rStyle w:val="FootnoteReference"/>
        </w:rPr>
        <w:footnoteRef/>
      </w:r>
      <w:r w:rsidRPr="00B21A8B">
        <w:rPr>
          <w:rStyle w:val="FootnoteReference"/>
        </w:rPr>
        <w:tab/>
      </w:r>
      <w:hyperlink r:id="rId1" w:history="1">
        <w:r w:rsidRPr="007E1540">
          <w:rPr>
            <w:rStyle w:val="Hyperlink"/>
          </w:rPr>
          <w:t>CERD/C/KAZ/8-10</w:t>
        </w:r>
        <w:r w:rsidRPr="007E1540">
          <w:rPr>
            <w:rStyle w:val="Hyperlink"/>
            <w:color w:val="auto"/>
          </w:rPr>
          <w:t>.</w:t>
        </w:r>
      </w:hyperlink>
    </w:p>
  </w:footnote>
  <w:footnote w:id="3">
    <w:p w14:paraId="734E7A35" w14:textId="49A0B5C8" w:rsidR="00CF018D" w:rsidRDefault="00CF018D" w:rsidP="00CF018D">
      <w:pPr>
        <w:pStyle w:val="FootnoteText"/>
      </w:pPr>
      <w:r>
        <w:tab/>
      </w:r>
      <w:r w:rsidRPr="00B21A8B">
        <w:rPr>
          <w:rStyle w:val="FootnoteReference"/>
        </w:rPr>
        <w:footnoteRef/>
      </w:r>
      <w:r w:rsidRPr="00B21A8B">
        <w:rPr>
          <w:rStyle w:val="FootnoteReference"/>
        </w:rPr>
        <w:tab/>
      </w:r>
      <w:r w:rsidRPr="003A6017">
        <w:t xml:space="preserve">See </w:t>
      </w:r>
      <w:hyperlink r:id="rId2" w:history="1">
        <w:r w:rsidRPr="007E1540">
          <w:rPr>
            <w:rStyle w:val="Hyperlink"/>
          </w:rPr>
          <w:t>CERD/C/SR.2879</w:t>
        </w:r>
      </w:hyperlink>
      <w:r w:rsidRPr="003A6017">
        <w:t xml:space="preserve"> and </w:t>
      </w:r>
      <w:hyperlink r:id="rId3" w:history="1">
        <w:r w:rsidRPr="007E1540">
          <w:rPr>
            <w:rStyle w:val="Hyperlink"/>
          </w:rPr>
          <w:t>CERD/C/SR.2880</w:t>
        </w:r>
        <w:r w:rsidRPr="007E1540">
          <w:rPr>
            <w:rStyle w:val="Hyperlink"/>
            <w:color w:val="auto"/>
          </w:rPr>
          <w:t>.</w:t>
        </w:r>
      </w:hyperlink>
    </w:p>
  </w:footnote>
  <w:footnote w:id="4">
    <w:p w14:paraId="24B348C7" w14:textId="13E9CF3E" w:rsidR="00CF018D" w:rsidRPr="00C43392" w:rsidRDefault="00CF018D" w:rsidP="00CF018D">
      <w:pPr>
        <w:pStyle w:val="FootnoteText"/>
        <w:rPr>
          <w:lang w:val="es-ES"/>
        </w:rPr>
      </w:pPr>
      <w:r>
        <w:tab/>
      </w:r>
      <w:r w:rsidRPr="00B21A8B">
        <w:rPr>
          <w:rStyle w:val="FootnoteReference"/>
        </w:rPr>
        <w:footnoteRef/>
      </w:r>
      <w:r w:rsidRPr="00C43392">
        <w:rPr>
          <w:rStyle w:val="FootnoteReference"/>
          <w:lang w:val="es-ES"/>
        </w:rPr>
        <w:tab/>
      </w:r>
      <w:hyperlink r:id="rId4" w:history="1">
        <w:r w:rsidRPr="00C43392">
          <w:rPr>
            <w:rStyle w:val="Hyperlink"/>
            <w:rFonts w:eastAsia="Times New Roman"/>
            <w:lang w:val="es-ES"/>
          </w:rPr>
          <w:t>CERD/C/KAZ/CO/6-7</w:t>
        </w:r>
      </w:hyperlink>
      <w:r w:rsidRPr="00C43392">
        <w:rPr>
          <w:rFonts w:eastAsia="Times New Roman"/>
          <w:lang w:val="es-ES"/>
        </w:rPr>
        <w:t>, para.</w:t>
      </w:r>
      <w:r w:rsidR="00B21A8B" w:rsidRPr="00C43392">
        <w:rPr>
          <w:rFonts w:eastAsia="Times New Roman"/>
          <w:lang w:val="es-ES"/>
        </w:rPr>
        <w:t xml:space="preserve"> </w:t>
      </w:r>
      <w:r w:rsidRPr="00C43392">
        <w:rPr>
          <w:rFonts w:eastAsia="Times New Roman"/>
          <w:lang w:val="es-ES"/>
        </w:rPr>
        <w:t>6.</w:t>
      </w:r>
    </w:p>
  </w:footnote>
  <w:footnote w:id="5">
    <w:p w14:paraId="0CFBC826" w14:textId="77777777" w:rsidR="00CF018D" w:rsidRPr="00C43392" w:rsidRDefault="00CF018D" w:rsidP="00CF018D">
      <w:pPr>
        <w:pStyle w:val="FootnoteText"/>
        <w:rPr>
          <w:lang w:val="es-ES"/>
        </w:rPr>
      </w:pPr>
      <w:r w:rsidRPr="00C43392">
        <w:rPr>
          <w:lang w:val="es-ES"/>
        </w:rPr>
        <w:tab/>
      </w:r>
      <w:r w:rsidRPr="00B21A8B">
        <w:rPr>
          <w:rStyle w:val="FootnoteReference"/>
        </w:rPr>
        <w:footnoteRef/>
      </w:r>
      <w:r w:rsidRPr="00C43392">
        <w:rPr>
          <w:rStyle w:val="FootnoteReference"/>
          <w:lang w:val="es-ES"/>
        </w:rPr>
        <w:tab/>
      </w:r>
      <w:r w:rsidRPr="00C43392">
        <w:rPr>
          <w:lang w:val="es-ES"/>
        </w:rPr>
        <w:t>Ibid., para. 12.</w:t>
      </w:r>
    </w:p>
  </w:footnote>
  <w:footnote w:id="6">
    <w:p w14:paraId="323A02B7" w14:textId="77777777" w:rsidR="00CF018D" w:rsidRPr="00C43392" w:rsidRDefault="00CF018D" w:rsidP="00CF018D">
      <w:pPr>
        <w:pStyle w:val="FootnoteText"/>
        <w:rPr>
          <w:lang w:val="es-ES"/>
        </w:rPr>
      </w:pPr>
      <w:r w:rsidRPr="00C43392">
        <w:rPr>
          <w:lang w:val="es-ES"/>
        </w:rPr>
        <w:tab/>
      </w:r>
      <w:r w:rsidRPr="00B21A8B">
        <w:rPr>
          <w:rStyle w:val="FootnoteReference"/>
        </w:rPr>
        <w:footnoteRef/>
      </w:r>
      <w:r w:rsidRPr="00C43392">
        <w:rPr>
          <w:rStyle w:val="FootnoteReference"/>
          <w:lang w:val="es-ES"/>
        </w:rPr>
        <w:tab/>
      </w:r>
      <w:r w:rsidRPr="00C43392">
        <w:rPr>
          <w:lang w:val="es-ES"/>
        </w:rPr>
        <w:t>Ibid., para. 18.</w:t>
      </w:r>
    </w:p>
  </w:footnote>
  <w:footnote w:id="7">
    <w:p w14:paraId="7687070F" w14:textId="27046485" w:rsidR="00CF018D" w:rsidRPr="00C43392" w:rsidRDefault="00CF018D" w:rsidP="00CF018D">
      <w:pPr>
        <w:pStyle w:val="FootnoteText"/>
        <w:rPr>
          <w:lang w:val="es-ES"/>
        </w:rPr>
      </w:pPr>
      <w:r w:rsidRPr="00C43392">
        <w:rPr>
          <w:lang w:val="es-ES"/>
        </w:rPr>
        <w:tab/>
      </w:r>
      <w:r w:rsidRPr="00B21A8B">
        <w:rPr>
          <w:rStyle w:val="FootnoteReference"/>
        </w:rPr>
        <w:footnoteRef/>
      </w:r>
      <w:r w:rsidRPr="00C43392">
        <w:rPr>
          <w:rStyle w:val="FootnoteReference"/>
          <w:lang w:val="es-ES"/>
        </w:rPr>
        <w:tab/>
      </w:r>
      <w:hyperlink r:id="rId5" w:history="1">
        <w:r w:rsidRPr="00C43392">
          <w:rPr>
            <w:rStyle w:val="Hyperlink"/>
            <w:bCs/>
            <w:lang w:val="es-ES"/>
          </w:rPr>
          <w:t>HRI/GEN/2/Rev.6</w:t>
        </w:r>
      </w:hyperlink>
      <w:r w:rsidRPr="00C43392">
        <w:rPr>
          <w:bCs/>
          <w:lang w:val="es-ES"/>
        </w:rPr>
        <w:t>, chap. I.</w:t>
      </w:r>
    </w:p>
  </w:footnote>
  <w:footnote w:id="8">
    <w:p w14:paraId="3526CFD3" w14:textId="21736A52" w:rsidR="00CF018D" w:rsidRPr="00C43392" w:rsidRDefault="00CF018D" w:rsidP="00CF018D">
      <w:pPr>
        <w:pStyle w:val="FootnoteText"/>
        <w:rPr>
          <w:lang w:val="es-ES"/>
        </w:rPr>
      </w:pPr>
      <w:r w:rsidRPr="00C43392">
        <w:rPr>
          <w:lang w:val="es-ES"/>
        </w:rPr>
        <w:tab/>
      </w:r>
      <w:r w:rsidRPr="00B21A8B">
        <w:rPr>
          <w:rStyle w:val="FootnoteReference"/>
        </w:rPr>
        <w:footnoteRef/>
      </w:r>
      <w:r w:rsidRPr="00C43392">
        <w:rPr>
          <w:rStyle w:val="FootnoteReference"/>
          <w:lang w:val="es-ES"/>
        </w:rPr>
        <w:tab/>
      </w:r>
      <w:hyperlink r:id="rId6" w:history="1">
        <w:r w:rsidRPr="00C43392">
          <w:rPr>
            <w:rStyle w:val="Hyperlink"/>
            <w:bCs/>
            <w:lang w:val="es-ES"/>
          </w:rPr>
          <w:t>CERD/C/2007/1</w:t>
        </w:r>
        <w:r w:rsidRPr="00C43392">
          <w:rPr>
            <w:rStyle w:val="Hyperlink"/>
            <w:bCs/>
            <w:color w:val="auto"/>
            <w:lang w:val="es-ES"/>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7977" w14:textId="77777777" w:rsidR="00CF018D" w:rsidRDefault="00CF018D" w:rsidP="00CF018D">
    <w:pPr>
      <w:pStyle w:val="Header"/>
    </w:pPr>
    <w:r>
      <w:t>CERD/C/KAZ/CO/8-10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8A3E" w14:textId="77777777" w:rsidR="00CF018D" w:rsidRDefault="00CF018D" w:rsidP="00CF018D">
    <w:pPr>
      <w:pStyle w:val="Header"/>
      <w:jc w:val="right"/>
    </w:pPr>
    <w:r>
      <w:t>CERD/C/KAZ/CO/8-10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7E4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BAF1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267A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CE0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A2D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44C1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668A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8AE0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CAA5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06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40"/>
    <w:rsid w:val="00021C97"/>
    <w:rsid w:val="00046E92"/>
    <w:rsid w:val="001825E8"/>
    <w:rsid w:val="001C3218"/>
    <w:rsid w:val="00247E2C"/>
    <w:rsid w:val="002D6C53"/>
    <w:rsid w:val="002F5595"/>
    <w:rsid w:val="002F76D9"/>
    <w:rsid w:val="00307688"/>
    <w:rsid w:val="00334F6A"/>
    <w:rsid w:val="00342AC8"/>
    <w:rsid w:val="003844B6"/>
    <w:rsid w:val="003B4550"/>
    <w:rsid w:val="00461253"/>
    <w:rsid w:val="005042C2"/>
    <w:rsid w:val="00557F19"/>
    <w:rsid w:val="00671529"/>
    <w:rsid w:val="007233F9"/>
    <w:rsid w:val="007268F9"/>
    <w:rsid w:val="00735147"/>
    <w:rsid w:val="007505F2"/>
    <w:rsid w:val="007C52B0"/>
    <w:rsid w:val="007E1540"/>
    <w:rsid w:val="00883988"/>
    <w:rsid w:val="008E0F96"/>
    <w:rsid w:val="00903E40"/>
    <w:rsid w:val="009411B4"/>
    <w:rsid w:val="009D0139"/>
    <w:rsid w:val="009F5CDC"/>
    <w:rsid w:val="00A0297D"/>
    <w:rsid w:val="00A124DF"/>
    <w:rsid w:val="00A775CF"/>
    <w:rsid w:val="00A8196B"/>
    <w:rsid w:val="00B06045"/>
    <w:rsid w:val="00B21A8B"/>
    <w:rsid w:val="00B30FEC"/>
    <w:rsid w:val="00B51714"/>
    <w:rsid w:val="00B65189"/>
    <w:rsid w:val="00C01462"/>
    <w:rsid w:val="00C35A27"/>
    <w:rsid w:val="00C43392"/>
    <w:rsid w:val="00CB1FB9"/>
    <w:rsid w:val="00CF018D"/>
    <w:rsid w:val="00D70FE1"/>
    <w:rsid w:val="00DA7116"/>
    <w:rsid w:val="00DE532E"/>
    <w:rsid w:val="00E02C2B"/>
    <w:rsid w:val="00E36FC3"/>
    <w:rsid w:val="00E55496"/>
    <w:rsid w:val="00ED3EAC"/>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65A1432"/>
  <w15:docId w15:val="{4F0D0616-D6B7-4C57-84B0-72B369FF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54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7E1540"/>
    <w:rPr>
      <w:color w:val="0000FF" w:themeColor="hyperlink"/>
      <w:u w:val="none"/>
    </w:rPr>
  </w:style>
  <w:style w:type="character" w:styleId="UnresolvedMention">
    <w:name w:val="Unresolved Mention"/>
    <w:basedOn w:val="DefaultParagraphFont"/>
    <w:uiPriority w:val="99"/>
    <w:semiHidden/>
    <w:unhideWhenUsed/>
    <w:rsid w:val="007E1540"/>
    <w:rPr>
      <w:color w:val="605E5C"/>
      <w:shd w:val="clear" w:color="auto" w:fill="E1DFDD"/>
    </w:rPr>
  </w:style>
  <w:style w:type="character" w:styleId="FollowedHyperlink">
    <w:name w:val="FollowedHyperlink"/>
    <w:basedOn w:val="DefaultParagraphFont"/>
    <w:uiPriority w:val="99"/>
    <w:semiHidden/>
    <w:unhideWhenUsed/>
    <w:rsid w:val="007E154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RD/C/SR.2880" TargetMode="External"/><Relationship Id="rId2" Type="http://schemas.openxmlformats.org/officeDocument/2006/relationships/hyperlink" Target="http://undocs.org/en/CERD/C/SR.2879" TargetMode="External"/><Relationship Id="rId1" Type="http://schemas.openxmlformats.org/officeDocument/2006/relationships/hyperlink" Target="http://undocs.org/en/CERD/C/KAZ/8-10" TargetMode="External"/><Relationship Id="rId6" Type="http://schemas.openxmlformats.org/officeDocument/2006/relationships/hyperlink" Target="http://undocs.org/en/CERD/C/2007/1" TargetMode="External"/><Relationship Id="rId5" Type="http://schemas.openxmlformats.org/officeDocument/2006/relationships/hyperlink" Target="http://undocs.org/en/HRI/GEN/2/Rev.6" TargetMode="External"/><Relationship Id="rId4" Type="http://schemas.openxmlformats.org/officeDocument/2006/relationships/hyperlink" Target="http://undocs.org/en/CERD/C/KAZ/CO/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4192</Words>
  <Characters>23723</Characters>
  <Application>Microsoft Office Word</Application>
  <DocSecurity>0</DocSecurity>
  <Lines>398</Lines>
  <Paragraphs>128</Paragraphs>
  <ScaleCrop>false</ScaleCrop>
  <HeadingPairs>
    <vt:vector size="2" baseType="variant">
      <vt:variant>
        <vt:lpstr>Title</vt:lpstr>
      </vt:variant>
      <vt:variant>
        <vt:i4>1</vt:i4>
      </vt:variant>
    </vt:vector>
  </HeadingPairs>
  <TitlesOfParts>
    <vt:vector size="1" baseType="lpstr">
      <vt:lpstr>CERD/C/KAZ/CO/8-10</vt:lpstr>
    </vt:vector>
  </TitlesOfParts>
  <Company>DCM</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CERD/C/KAZ/CO/8-10</dc:title>
  <dc:subject>2210547</dc:subject>
  <dc:creator>Brigoli</dc:creator>
  <cp:keywords/>
  <dc:description/>
  <cp:lastModifiedBy>Don Canete Martin</cp:lastModifiedBy>
  <cp:revision>2</cp:revision>
  <dcterms:created xsi:type="dcterms:W3CDTF">2022-07-04T14:23:00Z</dcterms:created>
  <dcterms:modified xsi:type="dcterms:W3CDTF">2022-07-04T14:23:00Z</dcterms:modified>
</cp:coreProperties>
</file>