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3A19F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3A19F5" w:rsidRDefault="00060E82" w:rsidP="006A2FF6">
            <w:pPr>
              <w:spacing w:after="80" w:line="300" w:lineRule="exact"/>
              <w:rPr>
                <w:sz w:val="28"/>
              </w:rPr>
            </w:pPr>
            <w:r w:rsidRPr="003A19F5">
              <w:rPr>
                <w:sz w:val="28"/>
              </w:rPr>
              <w:t>Nations Unies</w:t>
            </w:r>
          </w:p>
        </w:tc>
        <w:tc>
          <w:tcPr>
            <w:tcW w:w="6095" w:type="dxa"/>
            <w:gridSpan w:val="2"/>
            <w:tcBorders>
              <w:bottom w:val="single" w:sz="4" w:space="0" w:color="auto"/>
            </w:tcBorders>
            <w:vAlign w:val="bottom"/>
          </w:tcPr>
          <w:p w:rsidR="00060E82" w:rsidRPr="003A19F5" w:rsidRDefault="009B6E60" w:rsidP="009B6E60">
            <w:pPr>
              <w:jc w:val="right"/>
            </w:pPr>
            <w:r w:rsidRPr="003A19F5">
              <w:rPr>
                <w:sz w:val="40"/>
              </w:rPr>
              <w:t>CRC</w:t>
            </w:r>
            <w:r w:rsidRPr="003A19F5">
              <w:t>/C/NZL/CO/3-4</w:t>
            </w:r>
          </w:p>
        </w:tc>
      </w:tr>
      <w:tr w:rsidR="00060E82" w:rsidRPr="003A19F5" w:rsidTr="006A2FF6">
        <w:trPr>
          <w:trHeight w:hRule="exact" w:val="2835"/>
        </w:trPr>
        <w:tc>
          <w:tcPr>
            <w:tcW w:w="1276" w:type="dxa"/>
            <w:tcBorders>
              <w:top w:val="single" w:sz="4" w:space="0" w:color="auto"/>
              <w:bottom w:val="single" w:sz="12" w:space="0" w:color="auto"/>
            </w:tcBorders>
          </w:tcPr>
          <w:p w:rsidR="00060E82" w:rsidRPr="003A19F5" w:rsidRDefault="00060E82" w:rsidP="006A2FF6">
            <w:pPr>
              <w:spacing w:before="120"/>
              <w:jc w:val="center"/>
            </w:pPr>
            <w:r w:rsidRPr="003A19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3A19F5" w:rsidRDefault="00060E82" w:rsidP="006A2FF6">
            <w:pPr>
              <w:spacing w:before="120" w:line="460" w:lineRule="exact"/>
              <w:rPr>
                <w:b/>
                <w:sz w:val="40"/>
                <w:szCs w:val="40"/>
              </w:rPr>
            </w:pPr>
            <w:r w:rsidRPr="003A19F5">
              <w:rPr>
                <w:b/>
                <w:sz w:val="40"/>
                <w:szCs w:val="40"/>
              </w:rPr>
              <w:t>Convention relative</w:t>
            </w:r>
            <w:r w:rsidRPr="003A19F5">
              <w:rPr>
                <w:b/>
                <w:sz w:val="40"/>
                <w:szCs w:val="40"/>
              </w:rPr>
              <w:br/>
              <w:t>aux droits de l</w:t>
            </w:r>
            <w:r w:rsidR="00EE03BD">
              <w:rPr>
                <w:b/>
                <w:sz w:val="40"/>
                <w:szCs w:val="40"/>
              </w:rPr>
              <w:t>’</w:t>
            </w:r>
            <w:r w:rsidRPr="003A19F5">
              <w:rPr>
                <w:b/>
                <w:sz w:val="40"/>
                <w:szCs w:val="40"/>
              </w:rPr>
              <w:t>enfant</w:t>
            </w:r>
          </w:p>
        </w:tc>
        <w:tc>
          <w:tcPr>
            <w:tcW w:w="2835" w:type="dxa"/>
            <w:tcBorders>
              <w:top w:val="single" w:sz="4" w:space="0" w:color="auto"/>
              <w:bottom w:val="single" w:sz="12" w:space="0" w:color="auto"/>
            </w:tcBorders>
          </w:tcPr>
          <w:p w:rsidR="009B6E60" w:rsidRPr="003A19F5" w:rsidRDefault="009B6E60" w:rsidP="006A2FF6">
            <w:pPr>
              <w:spacing w:before="240"/>
            </w:pPr>
            <w:r w:rsidRPr="003A19F5">
              <w:t>Distr. générale</w:t>
            </w:r>
          </w:p>
          <w:p w:rsidR="009B6E60" w:rsidRPr="003A19F5" w:rsidRDefault="009B6E60" w:rsidP="009B6E60">
            <w:pPr>
              <w:spacing w:line="240" w:lineRule="exact"/>
            </w:pPr>
            <w:r w:rsidRPr="003A19F5">
              <w:t>11 avril 2011</w:t>
            </w:r>
          </w:p>
          <w:p w:rsidR="009B6E60" w:rsidRPr="003A19F5" w:rsidRDefault="009B6E60" w:rsidP="009B6E60">
            <w:pPr>
              <w:spacing w:line="240" w:lineRule="exact"/>
            </w:pPr>
            <w:r w:rsidRPr="003A19F5">
              <w:t>Français</w:t>
            </w:r>
          </w:p>
          <w:p w:rsidR="00060E82" w:rsidRPr="003A19F5" w:rsidRDefault="009B6E60" w:rsidP="009B6E60">
            <w:pPr>
              <w:spacing w:line="240" w:lineRule="exact"/>
            </w:pPr>
            <w:r w:rsidRPr="003A19F5">
              <w:t>Original: anglais</w:t>
            </w:r>
          </w:p>
        </w:tc>
      </w:tr>
    </w:tbl>
    <w:p w:rsidR="00FF1DBD" w:rsidRPr="003A19F5" w:rsidRDefault="00DA3BE9" w:rsidP="00DA3BE9">
      <w:pPr>
        <w:spacing w:before="120"/>
        <w:rPr>
          <w:b/>
          <w:sz w:val="24"/>
          <w:szCs w:val="24"/>
        </w:rPr>
      </w:pPr>
      <w:r w:rsidRPr="003A19F5">
        <w:rPr>
          <w:b/>
          <w:sz w:val="24"/>
          <w:szCs w:val="24"/>
        </w:rPr>
        <w:t>Comité des droits de l</w:t>
      </w:r>
      <w:r w:rsidR="00EE03BD">
        <w:rPr>
          <w:b/>
          <w:sz w:val="24"/>
          <w:szCs w:val="24"/>
        </w:rPr>
        <w:t>’</w:t>
      </w:r>
      <w:r w:rsidRPr="003A19F5">
        <w:rPr>
          <w:b/>
          <w:sz w:val="24"/>
          <w:szCs w:val="24"/>
        </w:rPr>
        <w:t>enfant</w:t>
      </w:r>
    </w:p>
    <w:p w:rsidR="003A19F5" w:rsidRPr="003A19F5" w:rsidRDefault="003A19F5" w:rsidP="00D54DC1">
      <w:pPr>
        <w:rPr>
          <w:b/>
          <w:bCs/>
        </w:rPr>
      </w:pPr>
      <w:r w:rsidRPr="003A19F5">
        <w:rPr>
          <w:b/>
          <w:bCs/>
        </w:rPr>
        <w:t>Cinquante-sixième session</w:t>
      </w:r>
    </w:p>
    <w:p w:rsidR="003A19F5" w:rsidRPr="003A19F5" w:rsidRDefault="003A19F5" w:rsidP="00D54DC1">
      <w:r w:rsidRPr="003A19F5">
        <w:t>17 janvier-4 février 2011</w:t>
      </w:r>
    </w:p>
    <w:p w:rsidR="003A19F5" w:rsidRPr="003A19F5" w:rsidRDefault="000B6BC6" w:rsidP="00D54DC1">
      <w:pPr>
        <w:pStyle w:val="HChG"/>
      </w:pPr>
      <w:r>
        <w:tab/>
      </w:r>
      <w:r>
        <w:tab/>
      </w:r>
      <w:r w:rsidR="003A19F5" w:rsidRPr="003A19F5">
        <w:t>Examen des rapports soumis par les États parties</w:t>
      </w:r>
      <w:r w:rsidR="009C7AA5">
        <w:br/>
      </w:r>
      <w:r w:rsidR="003A19F5" w:rsidRPr="003A19F5">
        <w:t>en application de l</w:t>
      </w:r>
      <w:r w:rsidR="00EE03BD">
        <w:t>’</w:t>
      </w:r>
      <w:r w:rsidR="003A19F5" w:rsidRPr="003A19F5">
        <w:t xml:space="preserve">article 44 de la Convention </w:t>
      </w:r>
    </w:p>
    <w:p w:rsidR="003A19F5" w:rsidRPr="003A19F5" w:rsidRDefault="000B6BC6" w:rsidP="00D54DC1">
      <w:pPr>
        <w:pStyle w:val="H1G"/>
      </w:pPr>
      <w:r>
        <w:tab/>
      </w:r>
      <w:r>
        <w:tab/>
      </w:r>
      <w:r w:rsidR="003A19F5" w:rsidRPr="003A19F5">
        <w:t>Observations finales: Nouvelle-Zélande</w:t>
      </w:r>
    </w:p>
    <w:p w:rsidR="003A19F5" w:rsidRPr="003A19F5" w:rsidRDefault="003A19F5" w:rsidP="00EE03BD">
      <w:pPr>
        <w:pStyle w:val="SingleTxtG"/>
      </w:pPr>
      <w:r w:rsidRPr="003A19F5">
        <w:t>1.</w:t>
      </w:r>
      <w:r w:rsidRPr="003A19F5">
        <w:tab/>
        <w:t xml:space="preserve">Le Comité a examiné les troisième et quatrième rapports périodiques de la Nouvelle-Zélande </w:t>
      </w:r>
      <w:r w:rsidR="002613A9">
        <w:t xml:space="preserve">soumis </w:t>
      </w:r>
      <w:r w:rsidRPr="003A19F5">
        <w:t>en un seul document (CRC/C/NZL/3-4) à ses 1588</w:t>
      </w:r>
      <w:r w:rsidRPr="003A19F5">
        <w:rPr>
          <w:vertAlign w:val="superscript"/>
        </w:rPr>
        <w:t>e</w:t>
      </w:r>
      <w:r w:rsidRPr="003A19F5">
        <w:t xml:space="preserve"> et 1589</w:t>
      </w:r>
      <w:r w:rsidRPr="003A19F5">
        <w:rPr>
          <w:vertAlign w:val="superscript"/>
        </w:rPr>
        <w:t>e</w:t>
      </w:r>
      <w:r w:rsidRPr="003A19F5">
        <w:t xml:space="preserve"> séances (voir CRC/C/SR.1588 et 1589), le 19 janvier 2011, et adopté les observations finales ci-après à sa 1612</w:t>
      </w:r>
      <w:r w:rsidRPr="003A19F5">
        <w:rPr>
          <w:vertAlign w:val="superscript"/>
        </w:rPr>
        <w:t>e</w:t>
      </w:r>
      <w:r w:rsidRPr="003A19F5">
        <w:t xml:space="preserve"> séance, le 4 février 2011.</w:t>
      </w:r>
    </w:p>
    <w:p w:rsidR="003A19F5" w:rsidRPr="003A19F5" w:rsidRDefault="00D54DC1" w:rsidP="00D54DC1">
      <w:pPr>
        <w:pStyle w:val="HChG"/>
      </w:pPr>
      <w:r>
        <w:tab/>
      </w:r>
      <w:r w:rsidR="003A19F5" w:rsidRPr="003A19F5">
        <w:t>I.</w:t>
      </w:r>
      <w:r w:rsidR="003A19F5" w:rsidRPr="003A19F5">
        <w:tab/>
        <w:t>Introduction</w:t>
      </w:r>
    </w:p>
    <w:p w:rsidR="003A19F5" w:rsidRPr="003A19F5" w:rsidRDefault="003A19F5" w:rsidP="0064431A">
      <w:pPr>
        <w:pStyle w:val="SingleTxtG"/>
      </w:pPr>
      <w:r w:rsidRPr="003A19F5">
        <w:t>2.</w:t>
      </w:r>
      <w:r w:rsidRPr="003A19F5">
        <w:tab/>
        <w:t>Le Comité accueille avec satisfaction l</w:t>
      </w:r>
      <w:r w:rsidR="002613A9">
        <w:t>es</w:t>
      </w:r>
      <w:r w:rsidRPr="003A19F5">
        <w:t xml:space="preserve"> troisième et quatrième rapports de l</w:t>
      </w:r>
      <w:r w:rsidR="00EE03BD">
        <w:t>’</w:t>
      </w:r>
      <w:r w:rsidRPr="003A19F5">
        <w:t xml:space="preserve">État partie </w:t>
      </w:r>
      <w:r w:rsidR="002613A9">
        <w:t xml:space="preserve">soumis </w:t>
      </w:r>
      <w:r w:rsidRPr="003A19F5">
        <w:t>en un seul document et les réponses écrites à la liste des points à traiter (CRC/C/NZL/Q/3-4/Add.1)</w:t>
      </w:r>
      <w:r w:rsidR="002613A9">
        <w:t xml:space="preserve"> et se félicite d</w:t>
      </w:r>
      <w:r w:rsidR="00EE03BD">
        <w:t>’</w:t>
      </w:r>
      <w:r w:rsidR="002613A9">
        <w:t xml:space="preserve">avoir eu un </w:t>
      </w:r>
      <w:r w:rsidRPr="003A19F5">
        <w:t xml:space="preserve">dialogue </w:t>
      </w:r>
      <w:r w:rsidR="002613A9">
        <w:t xml:space="preserve">constructif </w:t>
      </w:r>
      <w:r w:rsidRPr="003A19F5">
        <w:t>avec une délégation plurisectorielle.</w:t>
      </w:r>
    </w:p>
    <w:p w:rsidR="003A19F5" w:rsidRPr="003A19F5" w:rsidRDefault="00D54DC1" w:rsidP="00D54DC1">
      <w:pPr>
        <w:pStyle w:val="HChG"/>
      </w:pPr>
      <w:r>
        <w:tab/>
      </w:r>
      <w:r w:rsidR="003A19F5" w:rsidRPr="003A19F5">
        <w:t>II.</w:t>
      </w:r>
      <w:r w:rsidR="003A19F5" w:rsidRPr="003A19F5">
        <w:tab/>
        <w:t>Mesures de suivi adoptées et progrès accomplis par l</w:t>
      </w:r>
      <w:r w:rsidR="00EE03BD">
        <w:t>’</w:t>
      </w:r>
      <w:r w:rsidR="003A19F5" w:rsidRPr="003A19F5">
        <w:t xml:space="preserve">État partie </w:t>
      </w:r>
    </w:p>
    <w:p w:rsidR="003A19F5" w:rsidRPr="003A19F5" w:rsidRDefault="003A19F5" w:rsidP="0064431A">
      <w:pPr>
        <w:pStyle w:val="SingleTxtG"/>
      </w:pPr>
      <w:r w:rsidRPr="003A19F5">
        <w:t>3.</w:t>
      </w:r>
      <w:r w:rsidRPr="003A19F5">
        <w:tab/>
        <w:t xml:space="preserve">Le Comité note avec satisfaction </w:t>
      </w:r>
      <w:r w:rsidR="002613A9">
        <w:t xml:space="preserve">que </w:t>
      </w:r>
      <w:r w:rsidRPr="003A19F5">
        <w:t>l</w:t>
      </w:r>
      <w:r w:rsidR="00EE03BD">
        <w:t>’</w:t>
      </w:r>
      <w:r w:rsidRPr="003A19F5">
        <w:t xml:space="preserve">État partie </w:t>
      </w:r>
      <w:r w:rsidR="002613A9">
        <w:t xml:space="preserve">a soumis </w:t>
      </w:r>
      <w:r w:rsidRPr="003A19F5">
        <w:t>un document de base actualisé (HRI/CORE/NZL/2010) le 30 septembre 2010.</w:t>
      </w:r>
    </w:p>
    <w:p w:rsidR="003A19F5" w:rsidRPr="003A19F5" w:rsidRDefault="003A19F5" w:rsidP="0064431A">
      <w:pPr>
        <w:pStyle w:val="SingleTxtG"/>
      </w:pPr>
      <w:r w:rsidRPr="003A19F5">
        <w:t>4.</w:t>
      </w:r>
      <w:r w:rsidRPr="003A19F5">
        <w:tab/>
        <w:t xml:space="preserve">Le Comité </w:t>
      </w:r>
      <w:r w:rsidR="002613A9">
        <w:t xml:space="preserve">prend </w:t>
      </w:r>
      <w:r w:rsidRPr="003A19F5">
        <w:t xml:space="preserve">également </w:t>
      </w:r>
      <w:r w:rsidR="002613A9">
        <w:t xml:space="preserve">note </w:t>
      </w:r>
      <w:r w:rsidRPr="003A19F5">
        <w:t xml:space="preserve">avec satisfaction </w:t>
      </w:r>
      <w:r w:rsidR="002613A9">
        <w:t xml:space="preserve">de </w:t>
      </w:r>
      <w:r w:rsidRPr="003A19F5">
        <w:t>l</w:t>
      </w:r>
      <w:r w:rsidR="00EE03BD">
        <w:t>’</w:t>
      </w:r>
      <w:r w:rsidRPr="003A19F5">
        <w:t>adoption, entre autres:</w:t>
      </w:r>
    </w:p>
    <w:p w:rsidR="003A19F5" w:rsidRPr="003A19F5" w:rsidRDefault="003A19F5" w:rsidP="00D54DC1">
      <w:pPr>
        <w:pStyle w:val="SingleTxtG"/>
        <w:ind w:firstLine="567"/>
      </w:pPr>
      <w:r w:rsidRPr="003A19F5">
        <w:t>a)</w:t>
      </w:r>
      <w:r w:rsidRPr="003A19F5">
        <w:tab/>
        <w:t>De la loi de 2010 portant modification de la loi relative aux enfants, aux jeunes et à leur famille (compétence et décisions des tribunaux pour mineurs);</w:t>
      </w:r>
    </w:p>
    <w:p w:rsidR="003A19F5" w:rsidRPr="003A19F5" w:rsidRDefault="003A19F5" w:rsidP="00D54DC1">
      <w:pPr>
        <w:pStyle w:val="SingleTxtG"/>
        <w:ind w:firstLine="567"/>
        <w:rPr>
          <w:lang w:val="fr-FR"/>
        </w:rPr>
      </w:pPr>
      <w:r w:rsidRPr="003A19F5">
        <w:t>b)</w:t>
      </w:r>
      <w:r w:rsidRPr="003A19F5">
        <w:tab/>
        <w:t xml:space="preserve">De la </w:t>
      </w:r>
      <w:r w:rsidRPr="003A19F5">
        <w:rPr>
          <w:lang w:val="fr-FR"/>
        </w:rPr>
        <w:t>loi de 2008 portant modification de la loi relative à la prise en charge des enfants;</w:t>
      </w:r>
    </w:p>
    <w:p w:rsidR="003A19F5" w:rsidRPr="003A19F5" w:rsidRDefault="003A19F5" w:rsidP="00D54DC1">
      <w:pPr>
        <w:pStyle w:val="SingleTxtG"/>
        <w:ind w:firstLine="567"/>
      </w:pPr>
      <w:r w:rsidRPr="003A19F5">
        <w:rPr>
          <w:lang w:val="fr-FR"/>
        </w:rPr>
        <w:t>c)</w:t>
      </w:r>
      <w:r w:rsidRPr="003A19F5">
        <w:rPr>
          <w:lang w:val="fr-FR"/>
        </w:rPr>
        <w:tab/>
        <w:t>De la loi de 2007 portant modification de la loi relative au statut des enfants</w:t>
      </w:r>
      <w:r w:rsidRPr="003A19F5">
        <w:t>;</w:t>
      </w:r>
    </w:p>
    <w:p w:rsidR="003A19F5" w:rsidRPr="003A19F5" w:rsidRDefault="003A19F5" w:rsidP="00D54DC1">
      <w:pPr>
        <w:pStyle w:val="SingleTxtG"/>
        <w:ind w:firstLine="567"/>
        <w:rPr>
          <w:bCs/>
          <w:spacing w:val="-2"/>
          <w:szCs w:val="24"/>
          <w:lang w:val="fr-FR"/>
        </w:rPr>
      </w:pPr>
      <w:r w:rsidRPr="003A19F5">
        <w:t>d)</w:t>
      </w:r>
      <w:r w:rsidRPr="003A19F5">
        <w:tab/>
        <w:t xml:space="preserve">De la </w:t>
      </w:r>
      <w:r w:rsidRPr="003A19F5">
        <w:rPr>
          <w:bCs/>
          <w:spacing w:val="-2"/>
          <w:szCs w:val="24"/>
          <w:lang w:val="fr-FR"/>
        </w:rPr>
        <w:t>loi de 2006 portant modification de la loi relative au soutien aux enfants;</w:t>
      </w:r>
    </w:p>
    <w:p w:rsidR="003A19F5" w:rsidRPr="003A19F5" w:rsidRDefault="003A19F5" w:rsidP="00D54DC1">
      <w:pPr>
        <w:pStyle w:val="SingleTxtG"/>
        <w:ind w:firstLine="567"/>
        <w:rPr>
          <w:bCs/>
          <w:szCs w:val="24"/>
          <w:lang w:val="fr-FR"/>
        </w:rPr>
      </w:pPr>
      <w:r w:rsidRPr="003A19F5">
        <w:rPr>
          <w:bCs/>
          <w:spacing w:val="-2"/>
          <w:szCs w:val="24"/>
          <w:lang w:val="fr-FR"/>
        </w:rPr>
        <w:t>e)</w:t>
      </w:r>
      <w:r w:rsidRPr="003A19F5">
        <w:rPr>
          <w:bCs/>
          <w:spacing w:val="-2"/>
          <w:szCs w:val="24"/>
          <w:lang w:val="fr-FR"/>
        </w:rPr>
        <w:tab/>
        <w:t xml:space="preserve">De la </w:t>
      </w:r>
      <w:r w:rsidRPr="003A19F5">
        <w:rPr>
          <w:bCs/>
          <w:szCs w:val="24"/>
          <w:lang w:val="fr-FR"/>
        </w:rPr>
        <w:t>loi de 2004 portant modification de la loi relative à la sécurité sociale</w:t>
      </w:r>
      <w:r w:rsidR="002613A9">
        <w:rPr>
          <w:bCs/>
          <w:szCs w:val="24"/>
          <w:lang w:val="fr-FR"/>
        </w:rPr>
        <w:t xml:space="preserve"> (Travailler pour les familles)</w:t>
      </w:r>
      <w:r w:rsidRPr="003A19F5">
        <w:rPr>
          <w:bCs/>
          <w:szCs w:val="24"/>
          <w:lang w:val="fr-FR"/>
        </w:rPr>
        <w:t>;</w:t>
      </w:r>
    </w:p>
    <w:p w:rsidR="003A19F5" w:rsidRPr="003A19F5" w:rsidRDefault="003A19F5" w:rsidP="00D54DC1">
      <w:pPr>
        <w:pStyle w:val="SingleTxtG"/>
        <w:ind w:firstLine="567"/>
        <w:rPr>
          <w:bCs/>
          <w:szCs w:val="24"/>
          <w:lang w:val="fr-FR"/>
        </w:rPr>
      </w:pPr>
      <w:r w:rsidRPr="003A19F5">
        <w:rPr>
          <w:bCs/>
          <w:szCs w:val="24"/>
          <w:lang w:val="fr-FR"/>
        </w:rPr>
        <w:t>f)</w:t>
      </w:r>
      <w:r w:rsidRPr="003A19F5">
        <w:rPr>
          <w:bCs/>
          <w:szCs w:val="24"/>
          <w:lang w:val="fr-FR"/>
        </w:rPr>
        <w:tab/>
        <w:t>De la loi de 2004 sur la garde des enfants</w:t>
      </w:r>
      <w:r>
        <w:rPr>
          <w:bCs/>
          <w:szCs w:val="24"/>
          <w:lang w:val="fr-FR"/>
        </w:rPr>
        <w:t>;</w:t>
      </w:r>
    </w:p>
    <w:p w:rsidR="003A19F5" w:rsidRPr="003A19F5" w:rsidRDefault="003A19F5" w:rsidP="00D54DC1">
      <w:pPr>
        <w:pStyle w:val="SingleTxtG"/>
        <w:ind w:firstLine="567"/>
        <w:rPr>
          <w:bCs/>
          <w:szCs w:val="24"/>
          <w:lang w:val="fr-FR"/>
        </w:rPr>
      </w:pPr>
      <w:r w:rsidRPr="003A19F5">
        <w:rPr>
          <w:bCs/>
          <w:szCs w:val="24"/>
          <w:lang w:val="fr-FR"/>
        </w:rPr>
        <w:t>g)</w:t>
      </w:r>
      <w:r w:rsidRPr="003A19F5">
        <w:rPr>
          <w:bCs/>
          <w:szCs w:val="24"/>
          <w:lang w:val="fr-FR"/>
        </w:rPr>
        <w:tab/>
        <w:t>De l</w:t>
      </w:r>
      <w:r w:rsidR="00EE03BD">
        <w:rPr>
          <w:bCs/>
          <w:szCs w:val="24"/>
          <w:lang w:val="fr-FR"/>
        </w:rPr>
        <w:t>’</w:t>
      </w:r>
      <w:r w:rsidRPr="003A19F5">
        <w:rPr>
          <w:bCs/>
          <w:szCs w:val="24"/>
          <w:lang w:val="fr-FR"/>
        </w:rPr>
        <w:t xml:space="preserve">entrée en vigueur de la loi de 2003 relative au Commissaire </w:t>
      </w:r>
      <w:r w:rsidR="002613A9">
        <w:rPr>
          <w:bCs/>
          <w:szCs w:val="24"/>
          <w:lang w:val="fr-FR"/>
        </w:rPr>
        <w:t>à l</w:t>
      </w:r>
      <w:r w:rsidR="00EE03BD">
        <w:rPr>
          <w:bCs/>
          <w:szCs w:val="24"/>
          <w:lang w:val="fr-FR"/>
        </w:rPr>
        <w:t>’</w:t>
      </w:r>
      <w:r w:rsidR="002613A9">
        <w:rPr>
          <w:bCs/>
          <w:szCs w:val="24"/>
          <w:lang w:val="fr-FR"/>
        </w:rPr>
        <w:t>enfance</w:t>
      </w:r>
      <w:r w:rsidRPr="003A19F5">
        <w:rPr>
          <w:bCs/>
          <w:szCs w:val="24"/>
          <w:lang w:val="fr-FR"/>
        </w:rPr>
        <w:t>.</w:t>
      </w:r>
    </w:p>
    <w:p w:rsidR="003A19F5" w:rsidRPr="003A19F5" w:rsidRDefault="003A19F5" w:rsidP="0064431A">
      <w:pPr>
        <w:pStyle w:val="SingleTxtG"/>
        <w:rPr>
          <w:bCs/>
          <w:szCs w:val="24"/>
          <w:lang w:val="fr-FR"/>
        </w:rPr>
      </w:pPr>
      <w:r w:rsidRPr="003A19F5">
        <w:rPr>
          <w:bCs/>
          <w:szCs w:val="24"/>
          <w:lang w:val="fr-FR"/>
        </w:rPr>
        <w:t>5.</w:t>
      </w:r>
      <w:r w:rsidRPr="003A19F5">
        <w:rPr>
          <w:bCs/>
          <w:szCs w:val="24"/>
          <w:lang w:val="fr-FR"/>
        </w:rPr>
        <w:tab/>
        <w:t xml:space="preserve">Le Comité </w:t>
      </w:r>
      <w:r w:rsidR="002613A9">
        <w:rPr>
          <w:bCs/>
          <w:szCs w:val="24"/>
          <w:lang w:val="fr-FR"/>
        </w:rPr>
        <w:t xml:space="preserve">note avec satisfaction </w:t>
      </w:r>
      <w:r w:rsidRPr="003A19F5">
        <w:rPr>
          <w:bCs/>
          <w:szCs w:val="24"/>
          <w:lang w:val="fr-FR"/>
        </w:rPr>
        <w:t>que, depuis l</w:t>
      </w:r>
      <w:r w:rsidR="00EE03BD">
        <w:rPr>
          <w:bCs/>
          <w:szCs w:val="24"/>
          <w:lang w:val="fr-FR"/>
        </w:rPr>
        <w:t>’</w:t>
      </w:r>
      <w:r w:rsidRPr="003A19F5">
        <w:rPr>
          <w:bCs/>
          <w:szCs w:val="24"/>
          <w:lang w:val="fr-FR"/>
        </w:rPr>
        <w:t>examen du deuxième rapport périodique en 2003, l</w:t>
      </w:r>
      <w:r w:rsidR="00EE03BD">
        <w:rPr>
          <w:bCs/>
          <w:szCs w:val="24"/>
          <w:lang w:val="fr-FR"/>
        </w:rPr>
        <w:t>’</w:t>
      </w:r>
      <w:r w:rsidRPr="003A19F5">
        <w:rPr>
          <w:bCs/>
          <w:szCs w:val="24"/>
          <w:lang w:val="fr-FR"/>
        </w:rPr>
        <w:t>État partie a notamment ratifié les textes suivants ou y a adhéré:</w:t>
      </w:r>
    </w:p>
    <w:p w:rsidR="003A19F5" w:rsidRPr="003A19F5" w:rsidRDefault="003A19F5" w:rsidP="00D54DC1">
      <w:pPr>
        <w:pStyle w:val="SingleTxtG"/>
        <w:ind w:firstLine="567"/>
        <w:rPr>
          <w:bCs/>
          <w:szCs w:val="24"/>
          <w:lang w:val="fr-FR"/>
        </w:rPr>
      </w:pPr>
      <w:r w:rsidRPr="003A19F5">
        <w:rPr>
          <w:bCs/>
          <w:szCs w:val="24"/>
          <w:lang w:val="fr-FR"/>
        </w:rPr>
        <w:t>a)</w:t>
      </w:r>
      <w:r w:rsidRPr="003A19F5">
        <w:rPr>
          <w:bCs/>
          <w:szCs w:val="24"/>
          <w:lang w:val="fr-FR"/>
        </w:rPr>
        <w:tab/>
        <w:t>Protocole facultatif à la Convention contre la torture et autres peines ou traitements cruels, inhumains ou dégradants</w:t>
      </w:r>
      <w:r>
        <w:rPr>
          <w:bCs/>
          <w:szCs w:val="24"/>
          <w:lang w:val="fr-FR"/>
        </w:rPr>
        <w:t>,</w:t>
      </w:r>
      <w:r w:rsidRPr="003A19F5">
        <w:rPr>
          <w:bCs/>
          <w:szCs w:val="24"/>
          <w:lang w:val="fr-FR"/>
        </w:rPr>
        <w:t xml:space="preserve"> en mars 2007;</w:t>
      </w:r>
    </w:p>
    <w:p w:rsidR="003A19F5" w:rsidRPr="003A19F5" w:rsidRDefault="003A19F5" w:rsidP="00D54DC1">
      <w:pPr>
        <w:pStyle w:val="SingleTxtG"/>
        <w:ind w:firstLine="567"/>
        <w:rPr>
          <w:bCs/>
          <w:szCs w:val="24"/>
          <w:lang w:val="fr-FR"/>
        </w:rPr>
      </w:pPr>
      <w:r w:rsidRPr="003A19F5">
        <w:rPr>
          <w:bCs/>
          <w:szCs w:val="24"/>
          <w:lang w:val="fr-FR"/>
        </w:rPr>
        <w:t>b)</w:t>
      </w:r>
      <w:r w:rsidRPr="003A19F5">
        <w:rPr>
          <w:bCs/>
          <w:szCs w:val="24"/>
          <w:lang w:val="fr-FR"/>
        </w:rPr>
        <w:tab/>
        <w:t>Convention relative aux droits des personnes handicapées</w:t>
      </w:r>
      <w:r>
        <w:rPr>
          <w:bCs/>
          <w:szCs w:val="24"/>
          <w:lang w:val="fr-FR"/>
        </w:rPr>
        <w:t>,</w:t>
      </w:r>
      <w:r w:rsidRPr="003A19F5">
        <w:rPr>
          <w:bCs/>
          <w:szCs w:val="24"/>
          <w:lang w:val="fr-FR"/>
        </w:rPr>
        <w:t xml:space="preserve"> en septembre 2008;</w:t>
      </w:r>
    </w:p>
    <w:p w:rsidR="003A19F5" w:rsidRPr="003A19F5" w:rsidRDefault="003A19F5" w:rsidP="00D54DC1">
      <w:pPr>
        <w:pStyle w:val="SingleTxtG"/>
        <w:ind w:firstLine="567"/>
        <w:rPr>
          <w:bCs/>
          <w:szCs w:val="24"/>
          <w:lang w:val="fr-FR"/>
        </w:rPr>
      </w:pPr>
      <w:r w:rsidRPr="003A19F5">
        <w:rPr>
          <w:bCs/>
          <w:szCs w:val="24"/>
          <w:lang w:val="fr-FR"/>
        </w:rPr>
        <w:t>c)</w:t>
      </w:r>
      <w:r w:rsidRPr="003A19F5">
        <w:rPr>
          <w:bCs/>
          <w:szCs w:val="24"/>
          <w:lang w:val="fr-FR"/>
        </w:rPr>
        <w:tab/>
        <w:t>Convention de 1961 sur la réduction des cas d</w:t>
      </w:r>
      <w:r w:rsidR="00EE03BD">
        <w:rPr>
          <w:bCs/>
          <w:szCs w:val="24"/>
          <w:lang w:val="fr-FR"/>
        </w:rPr>
        <w:t>’</w:t>
      </w:r>
      <w:r w:rsidRPr="003A19F5">
        <w:rPr>
          <w:bCs/>
          <w:szCs w:val="24"/>
          <w:lang w:val="fr-FR"/>
        </w:rPr>
        <w:t>apatridie</w:t>
      </w:r>
      <w:r>
        <w:rPr>
          <w:bCs/>
          <w:szCs w:val="24"/>
          <w:lang w:val="fr-FR"/>
        </w:rPr>
        <w:t>,</w:t>
      </w:r>
      <w:r w:rsidRPr="003A19F5">
        <w:rPr>
          <w:bCs/>
          <w:szCs w:val="24"/>
          <w:lang w:val="fr-FR"/>
        </w:rPr>
        <w:t xml:space="preserve"> en septembre 2006;</w:t>
      </w:r>
    </w:p>
    <w:p w:rsidR="003A19F5" w:rsidRPr="003A19F5" w:rsidRDefault="003A19F5" w:rsidP="00D54DC1">
      <w:pPr>
        <w:pStyle w:val="SingleTxtG"/>
        <w:ind w:firstLine="567"/>
        <w:rPr>
          <w:bCs/>
          <w:szCs w:val="24"/>
          <w:lang w:val="fr-FR"/>
        </w:rPr>
      </w:pPr>
      <w:r w:rsidRPr="003A19F5">
        <w:rPr>
          <w:bCs/>
          <w:szCs w:val="24"/>
          <w:lang w:val="fr-FR"/>
        </w:rPr>
        <w:t>d)</w:t>
      </w:r>
      <w:r w:rsidRPr="003A19F5">
        <w:rPr>
          <w:bCs/>
          <w:szCs w:val="24"/>
          <w:lang w:val="fr-FR"/>
        </w:rPr>
        <w:tab/>
        <w:t>Convention-cadre de l</w:t>
      </w:r>
      <w:r w:rsidR="00EE03BD">
        <w:rPr>
          <w:bCs/>
          <w:szCs w:val="24"/>
          <w:lang w:val="fr-FR"/>
        </w:rPr>
        <w:t>’</w:t>
      </w:r>
      <w:r w:rsidRPr="003A19F5">
        <w:rPr>
          <w:bCs/>
          <w:szCs w:val="24"/>
          <w:lang w:val="fr-FR"/>
        </w:rPr>
        <w:t>OMS pour la lutte antitabac</w:t>
      </w:r>
      <w:r>
        <w:rPr>
          <w:bCs/>
          <w:szCs w:val="24"/>
          <w:lang w:val="fr-FR"/>
        </w:rPr>
        <w:t>,</w:t>
      </w:r>
      <w:r w:rsidRPr="003A19F5">
        <w:rPr>
          <w:bCs/>
          <w:szCs w:val="24"/>
          <w:lang w:val="fr-FR"/>
        </w:rPr>
        <w:t xml:space="preserve"> en janvier 2004.</w:t>
      </w:r>
    </w:p>
    <w:p w:rsidR="003A19F5" w:rsidRPr="003A19F5" w:rsidRDefault="00D54DC1" w:rsidP="00D54DC1">
      <w:pPr>
        <w:pStyle w:val="HChG"/>
      </w:pPr>
      <w:r>
        <w:tab/>
      </w:r>
      <w:r w:rsidR="003A19F5" w:rsidRPr="003A19F5">
        <w:t>III.</w:t>
      </w:r>
      <w:r w:rsidR="003A19F5" w:rsidRPr="003A19F5">
        <w:tab/>
        <w:t>Principaux sujets de préoccupation et recommandations</w:t>
      </w:r>
    </w:p>
    <w:p w:rsidR="003A19F5" w:rsidRPr="003A19F5" w:rsidRDefault="00D54DC1" w:rsidP="00D54DC1">
      <w:pPr>
        <w:pStyle w:val="H1G"/>
      </w:pPr>
      <w:r>
        <w:tab/>
      </w:r>
      <w:r w:rsidR="003A19F5" w:rsidRPr="003A19F5">
        <w:t>A.</w:t>
      </w:r>
      <w:r w:rsidR="003A19F5" w:rsidRPr="003A19F5">
        <w:tab/>
        <w:t>Mesures d</w:t>
      </w:r>
      <w:r w:rsidR="00EE03BD">
        <w:t>’</w:t>
      </w:r>
      <w:r w:rsidR="003A19F5" w:rsidRPr="003A19F5">
        <w:t>application générales (art. 4, 42 et 44 (par. 6)</w:t>
      </w:r>
      <w:r w:rsidR="009C7AA5">
        <w:br/>
      </w:r>
      <w:r w:rsidR="003A19F5" w:rsidRPr="003A19F5">
        <w:t>de la Convention)</w:t>
      </w:r>
    </w:p>
    <w:p w:rsidR="003A19F5" w:rsidRPr="003A19F5" w:rsidRDefault="00D54DC1" w:rsidP="00D54DC1">
      <w:pPr>
        <w:pStyle w:val="H23G"/>
      </w:pPr>
      <w:r>
        <w:tab/>
      </w:r>
      <w:r>
        <w:tab/>
      </w:r>
      <w:r w:rsidR="003A19F5" w:rsidRPr="003A19F5">
        <w:t xml:space="preserve">Recommandations antérieures du Comité </w:t>
      </w:r>
    </w:p>
    <w:p w:rsidR="003A19F5" w:rsidRPr="003A19F5" w:rsidRDefault="003A19F5" w:rsidP="0064431A">
      <w:pPr>
        <w:pStyle w:val="SingleTxtG"/>
        <w:rPr>
          <w:bCs/>
        </w:rPr>
      </w:pPr>
      <w:r w:rsidRPr="003A19F5">
        <w:rPr>
          <w:bCs/>
        </w:rPr>
        <w:t>6.</w:t>
      </w:r>
      <w:r w:rsidRPr="003A19F5">
        <w:rPr>
          <w:bCs/>
        </w:rPr>
        <w:tab/>
        <w:t>Le Comité salue les efforts déployés par l</w:t>
      </w:r>
      <w:r w:rsidR="00EE03BD">
        <w:rPr>
          <w:bCs/>
        </w:rPr>
        <w:t>’</w:t>
      </w:r>
      <w:r w:rsidRPr="003A19F5">
        <w:rPr>
          <w:bCs/>
        </w:rPr>
        <w:t xml:space="preserve">État partie pour mettre en œuvre les observations finales adoptées </w:t>
      </w:r>
      <w:r w:rsidR="002613A9">
        <w:rPr>
          <w:bCs/>
        </w:rPr>
        <w:t>à l</w:t>
      </w:r>
      <w:r w:rsidR="00EE03BD">
        <w:rPr>
          <w:bCs/>
        </w:rPr>
        <w:t>’</w:t>
      </w:r>
      <w:r w:rsidR="002613A9">
        <w:rPr>
          <w:bCs/>
        </w:rPr>
        <w:t xml:space="preserve">issue </w:t>
      </w:r>
      <w:r w:rsidRPr="003A19F5">
        <w:rPr>
          <w:bCs/>
        </w:rPr>
        <w:t>de l</w:t>
      </w:r>
      <w:r w:rsidR="00EE03BD">
        <w:rPr>
          <w:bCs/>
        </w:rPr>
        <w:t>’</w:t>
      </w:r>
      <w:r w:rsidRPr="003A19F5">
        <w:rPr>
          <w:bCs/>
        </w:rPr>
        <w:t>examen des précédents rapports (CRC/C/15/Add.216 et CRC/C/OPAC/CO/1)</w:t>
      </w:r>
      <w:r w:rsidR="002613A9">
        <w:rPr>
          <w:bCs/>
        </w:rPr>
        <w:t xml:space="preserve"> mais</w:t>
      </w:r>
      <w:r w:rsidRPr="003A19F5">
        <w:rPr>
          <w:bCs/>
        </w:rPr>
        <w:t xml:space="preserve"> regrette que certaines recommandations n</w:t>
      </w:r>
      <w:r w:rsidR="00EE03BD">
        <w:rPr>
          <w:bCs/>
        </w:rPr>
        <w:t>’</w:t>
      </w:r>
      <w:r w:rsidRPr="003A19F5">
        <w:rPr>
          <w:bCs/>
        </w:rPr>
        <w:t xml:space="preserve">aient </w:t>
      </w:r>
      <w:r w:rsidR="002613A9">
        <w:rPr>
          <w:bCs/>
        </w:rPr>
        <w:t>pas été complètement prises en considération</w:t>
      </w:r>
      <w:r w:rsidRPr="003A19F5">
        <w:rPr>
          <w:bCs/>
        </w:rPr>
        <w:t>.</w:t>
      </w:r>
    </w:p>
    <w:p w:rsidR="003A19F5" w:rsidRPr="003A19F5" w:rsidRDefault="003A19F5" w:rsidP="0064431A">
      <w:pPr>
        <w:pStyle w:val="SingleTxtG"/>
        <w:rPr>
          <w:b/>
        </w:rPr>
      </w:pPr>
      <w:r w:rsidRPr="003A19F5">
        <w:rPr>
          <w:bCs/>
        </w:rPr>
        <w:t>7.</w:t>
      </w:r>
      <w:r w:rsidRPr="003A19F5">
        <w:rPr>
          <w:bCs/>
        </w:rPr>
        <w:tab/>
      </w:r>
      <w:r w:rsidRPr="003A19F5">
        <w:rPr>
          <w:b/>
        </w:rPr>
        <w:t>Le Comité prie instamment l</w:t>
      </w:r>
      <w:r w:rsidR="00EE03BD">
        <w:rPr>
          <w:b/>
        </w:rPr>
        <w:t>’</w:t>
      </w:r>
      <w:r w:rsidRPr="003A19F5">
        <w:rPr>
          <w:b/>
        </w:rPr>
        <w:t>État partie de prendre toutes les mesures requises pour donner suite aux recommandations figurant dans les observations finales sur son deuxième rapport périodique qui n</w:t>
      </w:r>
      <w:r w:rsidR="00EE03BD">
        <w:rPr>
          <w:b/>
        </w:rPr>
        <w:t>’</w:t>
      </w:r>
      <w:r w:rsidRPr="003A19F5">
        <w:rPr>
          <w:b/>
        </w:rPr>
        <w:t>ont pas encore été mises en œuvre ou qui l</w:t>
      </w:r>
      <w:r w:rsidR="00EE03BD">
        <w:rPr>
          <w:b/>
        </w:rPr>
        <w:t>’</w:t>
      </w:r>
      <w:r w:rsidRPr="003A19F5">
        <w:rPr>
          <w:b/>
        </w:rPr>
        <w:t xml:space="preserve">ont été insuffisamment, </w:t>
      </w:r>
      <w:r w:rsidR="002613A9">
        <w:rPr>
          <w:b/>
        </w:rPr>
        <w:t xml:space="preserve">en particulier celles qui concernent </w:t>
      </w:r>
      <w:r w:rsidRPr="003A19F5">
        <w:rPr>
          <w:b/>
        </w:rPr>
        <w:t xml:space="preserve">la coordination, la non-discrimination, la maltraitance et la négligence, le travail des enfants et la justice pour mineurs, </w:t>
      </w:r>
      <w:r w:rsidR="002613A9">
        <w:rPr>
          <w:b/>
        </w:rPr>
        <w:t xml:space="preserve">et </w:t>
      </w:r>
      <w:r w:rsidRPr="003A19F5">
        <w:rPr>
          <w:b/>
        </w:rPr>
        <w:t xml:space="preserve">de donner </w:t>
      </w:r>
      <w:r w:rsidR="002613A9">
        <w:rPr>
          <w:b/>
        </w:rPr>
        <w:t xml:space="preserve">la </w:t>
      </w:r>
      <w:r w:rsidRPr="003A19F5">
        <w:rPr>
          <w:b/>
        </w:rPr>
        <w:t xml:space="preserve">suite </w:t>
      </w:r>
      <w:r w:rsidR="002613A9">
        <w:rPr>
          <w:b/>
        </w:rPr>
        <w:t xml:space="preserve">voulue </w:t>
      </w:r>
      <w:r w:rsidRPr="003A19F5">
        <w:rPr>
          <w:b/>
        </w:rPr>
        <w:t>aux recommandations contenues dans les présentes observations finales. Dans ce contexte, le Comité attire l</w:t>
      </w:r>
      <w:r w:rsidR="00EE03BD">
        <w:rPr>
          <w:b/>
        </w:rPr>
        <w:t>’</w:t>
      </w:r>
      <w:r w:rsidRPr="003A19F5">
        <w:rPr>
          <w:b/>
        </w:rPr>
        <w:t>attention de l</w:t>
      </w:r>
      <w:r w:rsidR="00EE03BD">
        <w:rPr>
          <w:b/>
        </w:rPr>
        <w:t>’</w:t>
      </w:r>
      <w:r w:rsidRPr="003A19F5">
        <w:rPr>
          <w:b/>
        </w:rPr>
        <w:t xml:space="preserve">État partie sur son Observation générale </w:t>
      </w:r>
      <w:r w:rsidR="002613A9" w:rsidRPr="002613A9">
        <w:rPr>
          <w:b/>
        </w:rPr>
        <w:t>n</w:t>
      </w:r>
      <w:r w:rsidR="002613A9" w:rsidRPr="002613A9">
        <w:rPr>
          <w:b/>
          <w:vertAlign w:val="superscript"/>
        </w:rPr>
        <w:t>o</w:t>
      </w:r>
      <w:r w:rsidR="002613A9">
        <w:rPr>
          <w:b/>
        </w:rPr>
        <w:t xml:space="preserve"> </w:t>
      </w:r>
      <w:r w:rsidRPr="003A19F5">
        <w:rPr>
          <w:b/>
        </w:rPr>
        <w:t>5 sur les mesures d</w:t>
      </w:r>
      <w:r w:rsidR="00EE03BD">
        <w:rPr>
          <w:b/>
        </w:rPr>
        <w:t>’</w:t>
      </w:r>
      <w:r w:rsidRPr="003A19F5">
        <w:rPr>
          <w:b/>
        </w:rPr>
        <w:t>application générales de la Convention relative aux droits de l</w:t>
      </w:r>
      <w:r w:rsidR="00EE03BD">
        <w:rPr>
          <w:b/>
        </w:rPr>
        <w:t>’</w:t>
      </w:r>
      <w:r w:rsidRPr="003A19F5">
        <w:rPr>
          <w:b/>
        </w:rPr>
        <w:t>enfant</w:t>
      </w:r>
      <w:r w:rsidR="00810FFC">
        <w:t xml:space="preserve"> </w:t>
      </w:r>
      <w:r w:rsidRPr="003A19F5">
        <w:rPr>
          <w:b/>
        </w:rPr>
        <w:t>(200</w:t>
      </w:r>
      <w:r w:rsidR="002613A9">
        <w:rPr>
          <w:b/>
        </w:rPr>
        <w:t>3</w:t>
      </w:r>
      <w:r w:rsidRPr="003A19F5">
        <w:rPr>
          <w:b/>
        </w:rPr>
        <w:t>).</w:t>
      </w:r>
    </w:p>
    <w:p w:rsidR="003A19F5" w:rsidRPr="003A19F5" w:rsidRDefault="00D54DC1" w:rsidP="00D54DC1">
      <w:pPr>
        <w:pStyle w:val="H23G"/>
      </w:pPr>
      <w:r>
        <w:tab/>
      </w:r>
      <w:r>
        <w:tab/>
      </w:r>
      <w:r w:rsidR="003A19F5" w:rsidRPr="003A19F5">
        <w:t>Réserves</w:t>
      </w:r>
    </w:p>
    <w:p w:rsidR="003A19F5" w:rsidRPr="003A19F5" w:rsidRDefault="003A19F5" w:rsidP="0064431A">
      <w:pPr>
        <w:pStyle w:val="SingleTxtG"/>
        <w:rPr>
          <w:bCs/>
        </w:rPr>
      </w:pPr>
      <w:r w:rsidRPr="003A19F5">
        <w:rPr>
          <w:bCs/>
        </w:rPr>
        <w:t>8.</w:t>
      </w:r>
      <w:r w:rsidRPr="003A19F5">
        <w:rPr>
          <w:bCs/>
        </w:rPr>
        <w:tab/>
        <w:t xml:space="preserve">Le Comité </w:t>
      </w:r>
      <w:r w:rsidR="002613A9">
        <w:rPr>
          <w:bCs/>
        </w:rPr>
        <w:t xml:space="preserve">prend </w:t>
      </w:r>
      <w:r w:rsidRPr="003A19F5">
        <w:rPr>
          <w:bCs/>
        </w:rPr>
        <w:t xml:space="preserve">note </w:t>
      </w:r>
      <w:r w:rsidR="002613A9">
        <w:rPr>
          <w:bCs/>
        </w:rPr>
        <w:t>d</w:t>
      </w:r>
      <w:r w:rsidRPr="003A19F5">
        <w:rPr>
          <w:bCs/>
        </w:rPr>
        <w:t xml:space="preserve">es efforts </w:t>
      </w:r>
      <w:r w:rsidR="002613A9">
        <w:rPr>
          <w:bCs/>
        </w:rPr>
        <w:t xml:space="preserve">entrepris pour supprimer les </w:t>
      </w:r>
      <w:r w:rsidRPr="003A19F5">
        <w:rPr>
          <w:bCs/>
        </w:rPr>
        <w:t>obstacles à la levée de la réserve générale de l</w:t>
      </w:r>
      <w:r w:rsidR="00EE03BD">
        <w:rPr>
          <w:bCs/>
        </w:rPr>
        <w:t>’</w:t>
      </w:r>
      <w:r w:rsidRPr="003A19F5">
        <w:rPr>
          <w:bCs/>
        </w:rPr>
        <w:t>État partie et de ses réserves spécifiques au sujet du paragraphe 2 de l</w:t>
      </w:r>
      <w:r w:rsidR="00EE03BD">
        <w:rPr>
          <w:bCs/>
        </w:rPr>
        <w:t>’</w:t>
      </w:r>
      <w:r w:rsidRPr="003A19F5">
        <w:rPr>
          <w:bCs/>
        </w:rPr>
        <w:t>article 32 et de l</w:t>
      </w:r>
      <w:r w:rsidR="00EE03BD">
        <w:rPr>
          <w:bCs/>
        </w:rPr>
        <w:t>’</w:t>
      </w:r>
      <w:r w:rsidRPr="003A19F5">
        <w:rPr>
          <w:bCs/>
        </w:rPr>
        <w:t xml:space="preserve">alinéa </w:t>
      </w:r>
      <w:r w:rsidRPr="00EC1946">
        <w:rPr>
          <w:bCs/>
          <w:i/>
        </w:rPr>
        <w:t>c</w:t>
      </w:r>
      <w:r w:rsidRPr="003A19F5">
        <w:rPr>
          <w:bCs/>
        </w:rPr>
        <w:t xml:space="preserve"> de l</w:t>
      </w:r>
      <w:r w:rsidR="00EE03BD">
        <w:rPr>
          <w:bCs/>
        </w:rPr>
        <w:t>’</w:t>
      </w:r>
      <w:r w:rsidRPr="003A19F5">
        <w:rPr>
          <w:bCs/>
        </w:rPr>
        <w:t xml:space="preserve">article 37. </w:t>
      </w:r>
      <w:r w:rsidR="002613A9">
        <w:rPr>
          <w:bCs/>
        </w:rPr>
        <w:t xml:space="preserve">Il </w:t>
      </w:r>
      <w:r w:rsidRPr="003A19F5">
        <w:rPr>
          <w:bCs/>
        </w:rPr>
        <w:t>regrette néanmoins profondément que ces travaux n</w:t>
      </w:r>
      <w:r w:rsidR="00EE03BD">
        <w:rPr>
          <w:bCs/>
        </w:rPr>
        <w:t>’</w:t>
      </w:r>
      <w:r w:rsidRPr="003A19F5">
        <w:rPr>
          <w:bCs/>
        </w:rPr>
        <w:t>aient pas encore abouti à la levée de ces réserves. Le Comité regrette également qu</w:t>
      </w:r>
      <w:r w:rsidR="00EE03BD">
        <w:rPr>
          <w:bCs/>
        </w:rPr>
        <w:t>’</w:t>
      </w:r>
      <w:r w:rsidRPr="003A19F5">
        <w:rPr>
          <w:bCs/>
        </w:rPr>
        <w:t>aucun</w:t>
      </w:r>
      <w:r w:rsidR="002613A9">
        <w:rPr>
          <w:bCs/>
        </w:rPr>
        <w:t xml:space="preserve"> progrès</w:t>
      </w:r>
      <w:r w:rsidRPr="003A19F5">
        <w:rPr>
          <w:bCs/>
        </w:rPr>
        <w:t xml:space="preserve"> n</w:t>
      </w:r>
      <w:r w:rsidR="00EE03BD">
        <w:rPr>
          <w:bCs/>
        </w:rPr>
        <w:t>’</w:t>
      </w:r>
      <w:r w:rsidRPr="003A19F5">
        <w:rPr>
          <w:bCs/>
        </w:rPr>
        <w:t xml:space="preserve">ait été </w:t>
      </w:r>
      <w:r w:rsidR="002613A9">
        <w:rPr>
          <w:bCs/>
        </w:rPr>
        <w:t xml:space="preserve">fait </w:t>
      </w:r>
      <w:r w:rsidRPr="003A19F5">
        <w:rPr>
          <w:bCs/>
        </w:rPr>
        <w:t xml:space="preserve">aux Tokélaou </w:t>
      </w:r>
      <w:r w:rsidR="002613A9">
        <w:rPr>
          <w:bCs/>
        </w:rPr>
        <w:t xml:space="preserve">en ce qui concerne la </w:t>
      </w:r>
      <w:r w:rsidRPr="003A19F5">
        <w:rPr>
          <w:bCs/>
        </w:rPr>
        <w:t>mise en œuvre de la Convention.</w:t>
      </w:r>
    </w:p>
    <w:p w:rsidR="003A19F5" w:rsidRPr="003A19F5" w:rsidRDefault="003A19F5" w:rsidP="0064431A">
      <w:pPr>
        <w:pStyle w:val="SingleTxtG"/>
        <w:rPr>
          <w:b/>
        </w:rPr>
      </w:pPr>
      <w:r w:rsidRPr="003A19F5">
        <w:rPr>
          <w:bCs/>
        </w:rPr>
        <w:t>9.</w:t>
      </w:r>
      <w:r w:rsidRPr="003A19F5">
        <w:rPr>
          <w:bCs/>
        </w:rPr>
        <w:tab/>
      </w:r>
      <w:r w:rsidRPr="003A19F5">
        <w:rPr>
          <w:b/>
        </w:rPr>
        <w:t>Le Comité réitère ses recommandations antérieures et prie instamment l</w:t>
      </w:r>
      <w:r w:rsidR="00EE03BD">
        <w:rPr>
          <w:b/>
        </w:rPr>
        <w:t>’</w:t>
      </w:r>
      <w:r w:rsidRPr="003A19F5">
        <w:rPr>
          <w:b/>
        </w:rPr>
        <w:t>État partie:</w:t>
      </w:r>
    </w:p>
    <w:p w:rsidR="003A19F5" w:rsidRPr="003A19F5" w:rsidRDefault="003A19F5" w:rsidP="00D54DC1">
      <w:pPr>
        <w:pStyle w:val="SingleTxtG"/>
        <w:ind w:firstLine="567"/>
        <w:rPr>
          <w:b/>
        </w:rPr>
      </w:pPr>
      <w:r w:rsidRPr="003A19F5">
        <w:rPr>
          <w:b/>
        </w:rPr>
        <w:t>a)</w:t>
      </w:r>
      <w:r w:rsidRPr="003A19F5">
        <w:rPr>
          <w:b/>
        </w:rPr>
        <w:tab/>
        <w:t>De lever sa réserve générale et ses réserves au sujet du paragraphe 2 de l</w:t>
      </w:r>
      <w:r w:rsidR="00EE03BD">
        <w:rPr>
          <w:b/>
        </w:rPr>
        <w:t>’</w:t>
      </w:r>
      <w:r w:rsidRPr="003A19F5">
        <w:rPr>
          <w:b/>
        </w:rPr>
        <w:t>article</w:t>
      </w:r>
      <w:r w:rsidR="00810FFC">
        <w:rPr>
          <w:b/>
        </w:rPr>
        <w:t xml:space="preserve"> </w:t>
      </w:r>
      <w:r w:rsidRPr="003A19F5">
        <w:rPr>
          <w:b/>
        </w:rPr>
        <w:t>32 et de l</w:t>
      </w:r>
      <w:r w:rsidR="00EE03BD">
        <w:rPr>
          <w:b/>
        </w:rPr>
        <w:t>’</w:t>
      </w:r>
      <w:r w:rsidRPr="003A19F5">
        <w:rPr>
          <w:b/>
        </w:rPr>
        <w:t xml:space="preserve">alinéa </w:t>
      </w:r>
      <w:r w:rsidRPr="00EC1946">
        <w:rPr>
          <w:b/>
          <w:i/>
        </w:rPr>
        <w:t>c</w:t>
      </w:r>
      <w:r w:rsidRPr="003A19F5">
        <w:rPr>
          <w:b/>
        </w:rPr>
        <w:t xml:space="preserve"> de l</w:t>
      </w:r>
      <w:r w:rsidR="00EE03BD">
        <w:rPr>
          <w:b/>
        </w:rPr>
        <w:t>’</w:t>
      </w:r>
      <w:r w:rsidRPr="003A19F5">
        <w:rPr>
          <w:b/>
        </w:rPr>
        <w:t>article 37;</w:t>
      </w:r>
    </w:p>
    <w:p w:rsidR="003A19F5" w:rsidRPr="003A19F5" w:rsidRDefault="003A19F5" w:rsidP="00D54DC1">
      <w:pPr>
        <w:pStyle w:val="SingleTxtG"/>
        <w:ind w:firstLine="567"/>
        <w:rPr>
          <w:b/>
        </w:rPr>
      </w:pPr>
      <w:r w:rsidRPr="003A19F5">
        <w:rPr>
          <w:b/>
        </w:rPr>
        <w:t>b)</w:t>
      </w:r>
      <w:r w:rsidRPr="003A19F5">
        <w:rPr>
          <w:b/>
        </w:rPr>
        <w:tab/>
        <w:t>D</w:t>
      </w:r>
      <w:r w:rsidR="00EE03BD">
        <w:rPr>
          <w:b/>
        </w:rPr>
        <w:t>’</w:t>
      </w:r>
      <w:r w:rsidRPr="003A19F5">
        <w:rPr>
          <w:b/>
        </w:rPr>
        <w:t>étendre la mise en œuvre de la Convention au territoire des Tokélaou.</w:t>
      </w:r>
    </w:p>
    <w:p w:rsidR="003A19F5" w:rsidRPr="003A19F5" w:rsidRDefault="00D54DC1" w:rsidP="00D54DC1">
      <w:pPr>
        <w:pStyle w:val="H23G"/>
      </w:pPr>
      <w:r>
        <w:tab/>
      </w:r>
      <w:r>
        <w:tab/>
      </w:r>
      <w:r w:rsidR="003A19F5" w:rsidRPr="003A19F5">
        <w:t>Législation</w:t>
      </w:r>
    </w:p>
    <w:p w:rsidR="003A19F5" w:rsidRPr="003A19F5" w:rsidRDefault="003A19F5" w:rsidP="0064431A">
      <w:pPr>
        <w:pStyle w:val="SingleTxtG"/>
      </w:pPr>
      <w:r w:rsidRPr="003A19F5">
        <w:rPr>
          <w:bCs/>
        </w:rPr>
        <w:t>10.</w:t>
      </w:r>
      <w:r w:rsidRPr="003A19F5">
        <w:rPr>
          <w:bCs/>
        </w:rPr>
        <w:tab/>
        <w:t>Le Comité note avec préoccupation que, malgré les récentes avancées législatives en matière de droits de l</w:t>
      </w:r>
      <w:r w:rsidR="00EE03BD">
        <w:rPr>
          <w:bCs/>
        </w:rPr>
        <w:t>’</w:t>
      </w:r>
      <w:r w:rsidRPr="003A19F5">
        <w:rPr>
          <w:bCs/>
        </w:rPr>
        <w:t>enfant, l</w:t>
      </w:r>
      <w:r w:rsidR="00EE03BD">
        <w:rPr>
          <w:bCs/>
        </w:rPr>
        <w:t>’</w:t>
      </w:r>
      <w:r w:rsidRPr="003A19F5">
        <w:rPr>
          <w:bCs/>
        </w:rPr>
        <w:t>harmonisation du droit national avec la Convention et ses Protocoles facultatifs n</w:t>
      </w:r>
      <w:r w:rsidR="00EE03BD">
        <w:rPr>
          <w:bCs/>
        </w:rPr>
        <w:t>’</w:t>
      </w:r>
      <w:r w:rsidRPr="003A19F5">
        <w:rPr>
          <w:bCs/>
        </w:rPr>
        <w:t xml:space="preserve">est pas terminée (par exemple, </w:t>
      </w:r>
      <w:r w:rsidR="002613A9">
        <w:rPr>
          <w:bCs/>
        </w:rPr>
        <w:t>dans le domaine de l</w:t>
      </w:r>
      <w:r w:rsidR="00EE03BD">
        <w:rPr>
          <w:bCs/>
        </w:rPr>
        <w:t>’</w:t>
      </w:r>
      <w:r w:rsidRPr="003A19F5">
        <w:rPr>
          <w:bCs/>
        </w:rPr>
        <w:t xml:space="preserve">adoption) et </w:t>
      </w:r>
      <w:r w:rsidR="002613A9">
        <w:rPr>
          <w:bCs/>
        </w:rPr>
        <w:t xml:space="preserve">que toutes les </w:t>
      </w:r>
      <w:r w:rsidRPr="003A19F5">
        <w:rPr>
          <w:bCs/>
        </w:rPr>
        <w:t>lois nationales qui concernent les enfants</w:t>
      </w:r>
      <w:r w:rsidR="002613A9">
        <w:rPr>
          <w:bCs/>
        </w:rPr>
        <w:t xml:space="preserve"> ne sont même pas harmonisées</w:t>
      </w:r>
      <w:r w:rsidRPr="003A19F5">
        <w:rPr>
          <w:bCs/>
        </w:rPr>
        <w:t xml:space="preserve">. Le Comité </w:t>
      </w:r>
      <w:r w:rsidR="002613A9">
        <w:rPr>
          <w:bCs/>
        </w:rPr>
        <w:t xml:space="preserve">relève </w:t>
      </w:r>
      <w:r w:rsidRPr="003A19F5">
        <w:rPr>
          <w:bCs/>
        </w:rPr>
        <w:t xml:space="preserve">également </w:t>
      </w:r>
      <w:r w:rsidR="002613A9">
        <w:rPr>
          <w:bCs/>
        </w:rPr>
        <w:t xml:space="preserve">avec préoccupation </w:t>
      </w:r>
      <w:r w:rsidRPr="003A19F5">
        <w:rPr>
          <w:bCs/>
        </w:rPr>
        <w:t xml:space="preserve">que le projet de loi </w:t>
      </w:r>
      <w:r w:rsidR="002613A9" w:rsidRPr="002613A9">
        <w:rPr>
          <w:bCs/>
        </w:rPr>
        <w:t>n</w:t>
      </w:r>
      <w:r w:rsidR="002613A9" w:rsidRPr="002613A9">
        <w:rPr>
          <w:bCs/>
          <w:vertAlign w:val="superscript"/>
        </w:rPr>
        <w:t>o</w:t>
      </w:r>
      <w:r w:rsidR="002613A9">
        <w:rPr>
          <w:bCs/>
        </w:rPr>
        <w:t xml:space="preserve"> </w:t>
      </w:r>
      <w:r w:rsidRPr="003A19F5">
        <w:rPr>
          <w:bCs/>
        </w:rPr>
        <w:t xml:space="preserve">6 </w:t>
      </w:r>
      <w:r w:rsidR="002613A9">
        <w:rPr>
          <w:bCs/>
        </w:rPr>
        <w:t xml:space="preserve">portant modification de </w:t>
      </w:r>
      <w:r w:rsidRPr="003A19F5">
        <w:t xml:space="preserve">la loi sur les enfants, les adolescents et leur famille </w:t>
      </w:r>
      <w:r w:rsidR="002613A9">
        <w:t xml:space="preserve">est </w:t>
      </w:r>
      <w:r w:rsidRPr="003A19F5">
        <w:t>devant le Parlement depuis 2007.</w:t>
      </w:r>
    </w:p>
    <w:p w:rsidR="003A19F5" w:rsidRPr="003A19F5" w:rsidRDefault="003A19F5" w:rsidP="0064431A">
      <w:pPr>
        <w:pStyle w:val="SingleTxtG"/>
        <w:rPr>
          <w:b/>
          <w:bCs/>
        </w:rPr>
      </w:pPr>
      <w:r w:rsidRPr="003A19F5">
        <w:t>11.</w:t>
      </w:r>
      <w:r w:rsidRPr="003A19F5">
        <w:tab/>
      </w:r>
      <w:r w:rsidRPr="003A19F5">
        <w:rPr>
          <w:b/>
          <w:bCs/>
        </w:rPr>
        <w:t>Le Comité prie instamment l</w:t>
      </w:r>
      <w:r w:rsidR="00EE03BD">
        <w:rPr>
          <w:b/>
          <w:bCs/>
        </w:rPr>
        <w:t>’</w:t>
      </w:r>
      <w:r w:rsidRPr="003A19F5">
        <w:rPr>
          <w:b/>
          <w:bCs/>
        </w:rPr>
        <w:t>État partie:</w:t>
      </w:r>
    </w:p>
    <w:p w:rsidR="003A19F5" w:rsidRPr="003A19F5" w:rsidRDefault="003A19F5" w:rsidP="00D54DC1">
      <w:pPr>
        <w:pStyle w:val="SingleTxtG"/>
        <w:ind w:firstLine="567"/>
        <w:rPr>
          <w:b/>
          <w:bCs/>
        </w:rPr>
      </w:pPr>
      <w:r w:rsidRPr="003A19F5">
        <w:rPr>
          <w:b/>
          <w:bCs/>
        </w:rPr>
        <w:t>a)</w:t>
      </w:r>
      <w:r w:rsidRPr="003A19F5">
        <w:rPr>
          <w:b/>
          <w:bCs/>
        </w:rPr>
        <w:tab/>
        <w:t xml:space="preserve">De veiller à la cohérence de la législation nationale </w:t>
      </w:r>
      <w:r w:rsidR="002613A9">
        <w:rPr>
          <w:b/>
          <w:bCs/>
        </w:rPr>
        <w:t xml:space="preserve">relative aux </w:t>
      </w:r>
      <w:r w:rsidRPr="003A19F5">
        <w:rPr>
          <w:b/>
          <w:bCs/>
        </w:rPr>
        <w:t xml:space="preserve">enfants et à sa mise en conformité avec la Convention et de garantir la primauté de la législation nationale sur le droit coutumier, </w:t>
      </w:r>
      <w:r w:rsidR="002613A9">
        <w:rPr>
          <w:b/>
          <w:bCs/>
        </w:rPr>
        <w:t xml:space="preserve">y compris </w:t>
      </w:r>
      <w:r w:rsidRPr="003A19F5">
        <w:rPr>
          <w:b/>
          <w:bCs/>
        </w:rPr>
        <w:t>le droit coutumier maori;</w:t>
      </w:r>
    </w:p>
    <w:p w:rsidR="003A19F5" w:rsidRPr="003A19F5" w:rsidRDefault="003A19F5" w:rsidP="00D54DC1">
      <w:pPr>
        <w:pStyle w:val="SingleTxtG"/>
        <w:ind w:firstLine="567"/>
        <w:rPr>
          <w:b/>
          <w:bCs/>
        </w:rPr>
      </w:pPr>
      <w:r w:rsidRPr="003A19F5">
        <w:rPr>
          <w:b/>
          <w:bCs/>
        </w:rPr>
        <w:t>b)</w:t>
      </w:r>
      <w:r w:rsidRPr="003A19F5">
        <w:rPr>
          <w:b/>
          <w:bCs/>
        </w:rPr>
        <w:tab/>
        <w:t>De veiller à ce que les principes et dispositions de la Convention et de</w:t>
      </w:r>
      <w:r w:rsidR="002613A9">
        <w:rPr>
          <w:b/>
          <w:bCs/>
        </w:rPr>
        <w:t xml:space="preserve"> se</w:t>
      </w:r>
      <w:r w:rsidRPr="003A19F5">
        <w:rPr>
          <w:b/>
          <w:bCs/>
        </w:rPr>
        <w:t>s Protocoles facultatifs s</w:t>
      </w:r>
      <w:r w:rsidR="00EE03BD">
        <w:rPr>
          <w:b/>
          <w:bCs/>
        </w:rPr>
        <w:t>’</w:t>
      </w:r>
      <w:r w:rsidRPr="003A19F5">
        <w:rPr>
          <w:b/>
          <w:bCs/>
        </w:rPr>
        <w:t>appliquent à tous les enfants sur le territoire de l</w:t>
      </w:r>
      <w:r w:rsidR="00EE03BD">
        <w:rPr>
          <w:b/>
          <w:bCs/>
        </w:rPr>
        <w:t>’</w:t>
      </w:r>
      <w:r w:rsidRPr="003A19F5">
        <w:rPr>
          <w:b/>
          <w:bCs/>
        </w:rPr>
        <w:t>État partie;</w:t>
      </w:r>
    </w:p>
    <w:p w:rsidR="003A19F5" w:rsidRPr="003A19F5" w:rsidRDefault="003A19F5" w:rsidP="00D54DC1">
      <w:pPr>
        <w:pStyle w:val="SingleTxtG"/>
        <w:ind w:firstLine="567"/>
        <w:rPr>
          <w:b/>
          <w:bCs/>
        </w:rPr>
      </w:pPr>
      <w:r w:rsidRPr="003A19F5">
        <w:rPr>
          <w:b/>
          <w:bCs/>
        </w:rPr>
        <w:t>c)</w:t>
      </w:r>
      <w:r w:rsidRPr="003A19F5">
        <w:rPr>
          <w:b/>
          <w:bCs/>
        </w:rPr>
        <w:tab/>
        <w:t xml:space="preserve">De considérer toute loi </w:t>
      </w:r>
      <w:r w:rsidR="002613A9">
        <w:rPr>
          <w:b/>
          <w:bCs/>
        </w:rPr>
        <w:t xml:space="preserve">concernant les </w:t>
      </w:r>
      <w:r w:rsidRPr="003A19F5">
        <w:rPr>
          <w:b/>
          <w:bCs/>
        </w:rPr>
        <w:t xml:space="preserve">enfants </w:t>
      </w:r>
      <w:r w:rsidR="002613A9">
        <w:rPr>
          <w:b/>
          <w:bCs/>
        </w:rPr>
        <w:t xml:space="preserve">comme </w:t>
      </w:r>
      <w:r w:rsidRPr="003A19F5">
        <w:rPr>
          <w:b/>
          <w:bCs/>
        </w:rPr>
        <w:t>prioritaire au Parlement.</w:t>
      </w:r>
    </w:p>
    <w:p w:rsidR="003A19F5" w:rsidRPr="003A19F5" w:rsidRDefault="00D54DC1" w:rsidP="00D54DC1">
      <w:pPr>
        <w:pStyle w:val="H23G"/>
      </w:pPr>
      <w:r>
        <w:tab/>
      </w:r>
      <w:r>
        <w:tab/>
        <w:t>Coord</w:t>
      </w:r>
      <w:r w:rsidR="003A19F5" w:rsidRPr="003A19F5">
        <w:t>ination</w:t>
      </w:r>
    </w:p>
    <w:p w:rsidR="003A19F5" w:rsidRPr="003A19F5" w:rsidRDefault="003A19F5" w:rsidP="0064431A">
      <w:pPr>
        <w:pStyle w:val="SingleTxtG"/>
      </w:pPr>
      <w:r w:rsidRPr="003A19F5">
        <w:t>12.</w:t>
      </w:r>
      <w:r w:rsidRPr="003A19F5">
        <w:tab/>
        <w:t>Le Comité note que la mise en œuvre de la Convention dans l</w:t>
      </w:r>
      <w:r w:rsidR="00EE03BD">
        <w:t>’</w:t>
      </w:r>
      <w:r w:rsidRPr="003A19F5">
        <w:t>État partie relève du Ministère du développement social et qu</w:t>
      </w:r>
      <w:r w:rsidR="00EE03BD">
        <w:t>’</w:t>
      </w:r>
      <w:r w:rsidRPr="003A19F5">
        <w:t xml:space="preserve">une instance réunissant les hauts fonctionnaires des ministères chargés des questions sociales, présidée par le Secrétaire général du Ministère du développement social, a été créée pour coordonner les programmes de travail des départements du secteur social. </w:t>
      </w:r>
      <w:r w:rsidR="002613A9">
        <w:t xml:space="preserve">Il </w:t>
      </w:r>
      <w:r w:rsidRPr="003A19F5">
        <w:t>regrette néanmoins l</w:t>
      </w:r>
      <w:r w:rsidR="00EE03BD">
        <w:t>’</w:t>
      </w:r>
      <w:r w:rsidRPr="003A19F5">
        <w:t>absence d</w:t>
      </w:r>
      <w:r w:rsidR="00EE03BD">
        <w:t>’</w:t>
      </w:r>
      <w:r w:rsidRPr="003A19F5">
        <w:t>un mécanisme de coordination propre aux droits de l</w:t>
      </w:r>
      <w:r w:rsidR="00EE03BD">
        <w:t>’</w:t>
      </w:r>
      <w:r w:rsidRPr="003A19F5">
        <w:t>enfant.</w:t>
      </w:r>
    </w:p>
    <w:p w:rsidR="003A19F5" w:rsidRPr="003A19F5" w:rsidRDefault="003A19F5" w:rsidP="0064431A">
      <w:pPr>
        <w:pStyle w:val="SingleTxtG"/>
        <w:rPr>
          <w:b/>
          <w:bCs/>
        </w:rPr>
      </w:pPr>
      <w:r w:rsidRPr="003A19F5">
        <w:t>13.</w:t>
      </w:r>
      <w:r w:rsidRPr="003A19F5">
        <w:tab/>
      </w:r>
      <w:r w:rsidRPr="003A19F5">
        <w:rPr>
          <w:b/>
          <w:bCs/>
        </w:rPr>
        <w:t>Conformément à sa recommandation antérieure (CRC/C/15/Add.216, par. 11), le Comité recommande à l</w:t>
      </w:r>
      <w:r w:rsidR="00EE03BD">
        <w:rPr>
          <w:b/>
          <w:bCs/>
        </w:rPr>
        <w:t>’</w:t>
      </w:r>
      <w:r w:rsidRPr="003A19F5">
        <w:rPr>
          <w:b/>
          <w:bCs/>
        </w:rPr>
        <w:t xml:space="preserve">État partie de mettre en place un mécanisme permanent garantissant une coordination </w:t>
      </w:r>
      <w:r w:rsidR="002613A9" w:rsidRPr="003A19F5">
        <w:rPr>
          <w:b/>
          <w:bCs/>
        </w:rPr>
        <w:t xml:space="preserve">efficace </w:t>
      </w:r>
      <w:r w:rsidRPr="003A19F5">
        <w:rPr>
          <w:b/>
          <w:bCs/>
        </w:rPr>
        <w:t>de haut niveau de la mise en œuvre de la Convention sur l</w:t>
      </w:r>
      <w:r w:rsidR="00EE03BD">
        <w:rPr>
          <w:b/>
          <w:bCs/>
        </w:rPr>
        <w:t>’</w:t>
      </w:r>
      <w:r w:rsidRPr="003A19F5">
        <w:rPr>
          <w:b/>
          <w:bCs/>
        </w:rPr>
        <w:t>ensemble de l</w:t>
      </w:r>
      <w:r w:rsidR="00EE03BD">
        <w:rPr>
          <w:b/>
          <w:bCs/>
        </w:rPr>
        <w:t>’</w:t>
      </w:r>
      <w:r w:rsidRPr="003A19F5">
        <w:rPr>
          <w:b/>
          <w:bCs/>
        </w:rPr>
        <w:t>État partie.</w:t>
      </w:r>
    </w:p>
    <w:p w:rsidR="003A19F5" w:rsidRPr="003A19F5" w:rsidRDefault="00D54DC1" w:rsidP="00D54DC1">
      <w:pPr>
        <w:pStyle w:val="H23G"/>
      </w:pPr>
      <w:r>
        <w:tab/>
      </w:r>
      <w:r>
        <w:tab/>
      </w:r>
      <w:r w:rsidR="003A19F5" w:rsidRPr="003A19F5">
        <w:t>Plan national d</w:t>
      </w:r>
      <w:r w:rsidR="00EE03BD">
        <w:t>’</w:t>
      </w:r>
      <w:r w:rsidR="003A19F5" w:rsidRPr="003A19F5">
        <w:t>action</w:t>
      </w:r>
    </w:p>
    <w:p w:rsidR="003A19F5" w:rsidRPr="003A19F5" w:rsidRDefault="003A19F5" w:rsidP="0064431A">
      <w:pPr>
        <w:pStyle w:val="SingleTxtG"/>
        <w:rPr>
          <w:bCs/>
        </w:rPr>
      </w:pPr>
      <w:r w:rsidRPr="003A19F5">
        <w:t>14.</w:t>
      </w:r>
      <w:r w:rsidRPr="003A19F5">
        <w:tab/>
        <w:t>Le Comité note que</w:t>
      </w:r>
      <w:r w:rsidR="002613A9">
        <w:t xml:space="preserve">, selon </w:t>
      </w:r>
      <w:r w:rsidRPr="003A19F5">
        <w:t>l</w:t>
      </w:r>
      <w:r w:rsidR="00EE03BD">
        <w:t>’</w:t>
      </w:r>
      <w:r w:rsidRPr="003A19F5">
        <w:t>État partie</w:t>
      </w:r>
      <w:r w:rsidR="002613A9">
        <w:t>,</w:t>
      </w:r>
      <w:r w:rsidRPr="003A19F5">
        <w:t xml:space="preserve"> des </w:t>
      </w:r>
      <w:r w:rsidR="002613A9">
        <w:t xml:space="preserve">mesures globales </w:t>
      </w:r>
      <w:r w:rsidRPr="003A19F5">
        <w:t xml:space="preserve">sont </w:t>
      </w:r>
      <w:r w:rsidR="002613A9">
        <w:t xml:space="preserve">prises </w:t>
      </w:r>
      <w:r w:rsidRPr="003A19F5">
        <w:t>dans le cadre d</w:t>
      </w:r>
      <w:r w:rsidR="00EE03BD">
        <w:t>’</w:t>
      </w:r>
      <w:r w:rsidRPr="003A19F5">
        <w:t>un programme de travail commun en lieu et place de l</w:t>
      </w:r>
      <w:r w:rsidR="00EE03BD">
        <w:t>’</w:t>
      </w:r>
      <w:r w:rsidRPr="003A19F5">
        <w:t>élaboration d</w:t>
      </w:r>
      <w:r w:rsidR="00EE03BD">
        <w:t>’</w:t>
      </w:r>
      <w:r w:rsidRPr="003A19F5">
        <w:t>un plan national d</w:t>
      </w:r>
      <w:r w:rsidR="00EE03BD">
        <w:t>’</w:t>
      </w:r>
      <w:r w:rsidRPr="003A19F5">
        <w:t xml:space="preserve">action. Le Comité regrette toutefois que la Convention ne soit pas systématiquement </w:t>
      </w:r>
      <w:r w:rsidRPr="003A19F5">
        <w:rPr>
          <w:bCs/>
        </w:rPr>
        <w:t xml:space="preserve">considérée comme le cadre dans lequel doivent être conçues les </w:t>
      </w:r>
      <w:r w:rsidR="002613A9">
        <w:rPr>
          <w:bCs/>
        </w:rPr>
        <w:t xml:space="preserve">différentes </w:t>
      </w:r>
      <w:r w:rsidRPr="003A19F5">
        <w:rPr>
          <w:bCs/>
        </w:rPr>
        <w:t>politiques et stratégies. Il est particulièrement préoccupé par l</w:t>
      </w:r>
      <w:r w:rsidR="00EE03BD">
        <w:rPr>
          <w:bCs/>
        </w:rPr>
        <w:t>’</w:t>
      </w:r>
      <w:r w:rsidRPr="003A19F5">
        <w:rPr>
          <w:bCs/>
        </w:rPr>
        <w:t>absence de politique d</w:t>
      </w:r>
      <w:r w:rsidR="00EE03BD">
        <w:rPr>
          <w:bCs/>
        </w:rPr>
        <w:t>’</w:t>
      </w:r>
      <w:r w:rsidRPr="003A19F5">
        <w:rPr>
          <w:bCs/>
        </w:rPr>
        <w:t>ensemble visant à assurer la pleine réalisation des principes et des droits contenus dans la Convention.</w:t>
      </w:r>
    </w:p>
    <w:p w:rsidR="003A19F5" w:rsidRPr="003A19F5" w:rsidRDefault="003A19F5" w:rsidP="0064431A">
      <w:pPr>
        <w:pStyle w:val="SingleTxtG"/>
        <w:rPr>
          <w:b/>
          <w:bCs/>
        </w:rPr>
      </w:pPr>
      <w:r w:rsidRPr="003A19F5">
        <w:rPr>
          <w:bCs/>
        </w:rPr>
        <w:t>15.</w:t>
      </w:r>
      <w:r w:rsidRPr="003A19F5">
        <w:rPr>
          <w:bCs/>
        </w:rPr>
        <w:tab/>
      </w:r>
      <w:r w:rsidRPr="003A19F5">
        <w:rPr>
          <w:b/>
          <w:bCs/>
        </w:rPr>
        <w:t>Le Comité encourage l</w:t>
      </w:r>
      <w:r w:rsidR="00EE03BD">
        <w:rPr>
          <w:b/>
          <w:bCs/>
        </w:rPr>
        <w:t>’</w:t>
      </w:r>
      <w:r w:rsidRPr="003A19F5">
        <w:rPr>
          <w:b/>
          <w:bCs/>
        </w:rPr>
        <w:t>État partie à adopter une politique générale et le plan national d</w:t>
      </w:r>
      <w:r w:rsidR="00EE03BD">
        <w:rPr>
          <w:b/>
          <w:bCs/>
        </w:rPr>
        <w:t>’</w:t>
      </w:r>
      <w:r w:rsidRPr="003A19F5">
        <w:rPr>
          <w:b/>
          <w:bCs/>
        </w:rPr>
        <w:t xml:space="preserve">action correspondant pour la mise en œuvre de la Convention et du Protocole facultatif </w:t>
      </w:r>
      <w:r w:rsidRPr="003A19F5">
        <w:rPr>
          <w:b/>
          <w:bCs/>
          <w:szCs w:val="24"/>
        </w:rPr>
        <w:t>concernant l</w:t>
      </w:r>
      <w:r w:rsidR="00EE03BD">
        <w:rPr>
          <w:b/>
          <w:bCs/>
          <w:szCs w:val="24"/>
        </w:rPr>
        <w:t>’</w:t>
      </w:r>
      <w:r w:rsidRPr="003A19F5">
        <w:rPr>
          <w:b/>
          <w:bCs/>
          <w:szCs w:val="24"/>
        </w:rPr>
        <w:t>implication d</w:t>
      </w:r>
      <w:r w:rsidR="00EE03BD">
        <w:rPr>
          <w:b/>
          <w:bCs/>
          <w:szCs w:val="24"/>
        </w:rPr>
        <w:t>’</w:t>
      </w:r>
      <w:r w:rsidRPr="003A19F5">
        <w:rPr>
          <w:b/>
          <w:bCs/>
          <w:szCs w:val="24"/>
        </w:rPr>
        <w:t>enfants dans les conflits armés</w:t>
      </w:r>
      <w:r>
        <w:rPr>
          <w:bCs/>
          <w:szCs w:val="24"/>
        </w:rPr>
        <w:t>,</w:t>
      </w:r>
      <w:r w:rsidRPr="003A19F5">
        <w:rPr>
          <w:b/>
          <w:bCs/>
          <w:szCs w:val="24"/>
        </w:rPr>
        <w:t xml:space="preserve"> </w:t>
      </w:r>
      <w:r w:rsidRPr="003A19F5">
        <w:rPr>
          <w:b/>
          <w:bCs/>
        </w:rPr>
        <w:t xml:space="preserve">en coopération avec les </w:t>
      </w:r>
      <w:r w:rsidR="009A7B83">
        <w:rPr>
          <w:b/>
          <w:bCs/>
        </w:rPr>
        <w:t xml:space="preserve">acteurs du </w:t>
      </w:r>
      <w:r w:rsidRPr="003A19F5">
        <w:rPr>
          <w:b/>
          <w:bCs/>
        </w:rPr>
        <w:t xml:space="preserve">secteur public et </w:t>
      </w:r>
      <w:r w:rsidR="009A7B83">
        <w:rPr>
          <w:b/>
          <w:bCs/>
        </w:rPr>
        <w:t xml:space="preserve">du secteur </w:t>
      </w:r>
      <w:r w:rsidRPr="003A19F5">
        <w:rPr>
          <w:b/>
          <w:bCs/>
        </w:rPr>
        <w:t xml:space="preserve">privé </w:t>
      </w:r>
      <w:r w:rsidR="009A7B83">
        <w:rPr>
          <w:b/>
          <w:bCs/>
        </w:rPr>
        <w:t xml:space="preserve">qui œuvrent à </w:t>
      </w:r>
      <w:r w:rsidRPr="003A19F5">
        <w:rPr>
          <w:b/>
          <w:bCs/>
        </w:rPr>
        <w:t xml:space="preserve">la promotion et </w:t>
      </w:r>
      <w:r w:rsidR="009A7B83">
        <w:rPr>
          <w:b/>
          <w:bCs/>
        </w:rPr>
        <w:t xml:space="preserve">à </w:t>
      </w:r>
      <w:r w:rsidRPr="003A19F5">
        <w:rPr>
          <w:b/>
          <w:bCs/>
        </w:rPr>
        <w:t>la protection des droits de l</w:t>
      </w:r>
      <w:r w:rsidR="00EE03BD">
        <w:rPr>
          <w:b/>
          <w:bCs/>
        </w:rPr>
        <w:t>’</w:t>
      </w:r>
      <w:r w:rsidRPr="003A19F5">
        <w:rPr>
          <w:b/>
          <w:bCs/>
        </w:rPr>
        <w:t>enfant et dans une perspective fondée sur les droits de l</w:t>
      </w:r>
      <w:r w:rsidR="00EE03BD">
        <w:rPr>
          <w:b/>
          <w:bCs/>
        </w:rPr>
        <w:t>’</w:t>
      </w:r>
      <w:r w:rsidRPr="003A19F5">
        <w:rPr>
          <w:b/>
          <w:bCs/>
        </w:rPr>
        <w:t>enfant</w:t>
      </w:r>
      <w:r w:rsidRPr="003A19F5">
        <w:rPr>
          <w:bCs/>
        </w:rPr>
        <w:t xml:space="preserve">. </w:t>
      </w:r>
      <w:r w:rsidRPr="003A19F5">
        <w:rPr>
          <w:b/>
          <w:bCs/>
        </w:rPr>
        <w:t xml:space="preserve">Ce faisant, </w:t>
      </w:r>
      <w:r w:rsidRPr="003A19F5">
        <w:rPr>
          <w:b/>
          <w:lang w:val="fr-FR"/>
        </w:rPr>
        <w:t>l</w:t>
      </w:r>
      <w:r w:rsidR="00EE03BD">
        <w:rPr>
          <w:b/>
          <w:lang w:val="fr-FR"/>
        </w:rPr>
        <w:t>’</w:t>
      </w:r>
      <w:r w:rsidRPr="003A19F5">
        <w:rPr>
          <w:b/>
          <w:lang w:val="fr-FR"/>
        </w:rPr>
        <w:t>État</w:t>
      </w:r>
      <w:r w:rsidRPr="003A19F5">
        <w:rPr>
          <w:lang w:val="fr-FR"/>
        </w:rPr>
        <w:t xml:space="preserve"> </w:t>
      </w:r>
      <w:r w:rsidRPr="003A19F5">
        <w:rPr>
          <w:b/>
          <w:bCs/>
        </w:rPr>
        <w:t>partie devrait tenir compte du document final de la vingt-septième session extraordinaire de l</w:t>
      </w:r>
      <w:r w:rsidR="00EE03BD">
        <w:rPr>
          <w:b/>
          <w:bCs/>
        </w:rPr>
        <w:t>’</w:t>
      </w:r>
      <w:r w:rsidRPr="003A19F5">
        <w:rPr>
          <w:b/>
          <w:bCs/>
        </w:rPr>
        <w:t>Assemblée générale, intitulé «Un monde digne des enfants»</w:t>
      </w:r>
      <w:r w:rsidR="00810FFC">
        <w:rPr>
          <w:bCs/>
        </w:rPr>
        <w:t xml:space="preserve"> </w:t>
      </w:r>
      <w:r w:rsidRPr="003A19F5">
        <w:rPr>
          <w:b/>
          <w:bCs/>
        </w:rPr>
        <w:t>et de son examen à mi</w:t>
      </w:r>
      <w:r w:rsidR="009A7B83">
        <w:rPr>
          <w:b/>
          <w:bCs/>
        </w:rPr>
        <w:t>-</w:t>
      </w:r>
      <w:r w:rsidRPr="003A19F5">
        <w:rPr>
          <w:b/>
          <w:bCs/>
        </w:rPr>
        <w:t>parcours effectué en 2007. Le Comité recommande en outre à l</w:t>
      </w:r>
      <w:r w:rsidR="00EE03BD">
        <w:rPr>
          <w:b/>
          <w:bCs/>
        </w:rPr>
        <w:t>’</w:t>
      </w:r>
      <w:r w:rsidRPr="003A19F5">
        <w:rPr>
          <w:b/>
          <w:bCs/>
        </w:rPr>
        <w:t>État partie de prévoir des mécanismes de suivi et d</w:t>
      </w:r>
      <w:r w:rsidR="00EE03BD">
        <w:rPr>
          <w:b/>
          <w:bCs/>
        </w:rPr>
        <w:t>’</w:t>
      </w:r>
      <w:r w:rsidRPr="003A19F5">
        <w:rPr>
          <w:b/>
          <w:bCs/>
        </w:rPr>
        <w:t>évaluation permettant d</w:t>
      </w:r>
      <w:r w:rsidR="00EE03BD">
        <w:rPr>
          <w:b/>
          <w:bCs/>
        </w:rPr>
        <w:t>’</w:t>
      </w:r>
      <w:r w:rsidRPr="003A19F5">
        <w:rPr>
          <w:b/>
          <w:bCs/>
        </w:rPr>
        <w:t xml:space="preserve">évaluer régulièrement les progrès réalisés et </w:t>
      </w:r>
      <w:r w:rsidR="009A7B83">
        <w:rPr>
          <w:b/>
          <w:bCs/>
        </w:rPr>
        <w:t xml:space="preserve">de mettre en lumière </w:t>
      </w:r>
      <w:r w:rsidRPr="003A19F5">
        <w:rPr>
          <w:b/>
          <w:bCs/>
        </w:rPr>
        <w:t>d</w:t>
      </w:r>
      <w:r w:rsidR="00EE03BD">
        <w:rPr>
          <w:b/>
          <w:bCs/>
        </w:rPr>
        <w:t>’</w:t>
      </w:r>
      <w:r w:rsidRPr="003A19F5">
        <w:rPr>
          <w:b/>
          <w:bCs/>
        </w:rPr>
        <w:t>éventuelles insuffisances afin d</w:t>
      </w:r>
      <w:r w:rsidR="00EE03BD">
        <w:rPr>
          <w:b/>
          <w:bCs/>
        </w:rPr>
        <w:t>’</w:t>
      </w:r>
      <w:r w:rsidRPr="003A19F5">
        <w:rPr>
          <w:b/>
          <w:bCs/>
        </w:rPr>
        <w:t>assurer la pleine application de la politique générale et du plan national d</w:t>
      </w:r>
      <w:r w:rsidR="00EE03BD">
        <w:rPr>
          <w:b/>
          <w:bCs/>
        </w:rPr>
        <w:t>’</w:t>
      </w:r>
      <w:r w:rsidRPr="003A19F5">
        <w:rPr>
          <w:b/>
          <w:bCs/>
        </w:rPr>
        <w:t>action.</w:t>
      </w:r>
    </w:p>
    <w:p w:rsidR="003A19F5" w:rsidRDefault="00D54DC1" w:rsidP="00D54DC1">
      <w:pPr>
        <w:pStyle w:val="H23G"/>
      </w:pPr>
      <w:r>
        <w:tab/>
      </w:r>
      <w:r>
        <w:tab/>
      </w:r>
      <w:r w:rsidR="003A19F5" w:rsidRPr="003A19F5">
        <w:t>Allocation de ressources</w:t>
      </w:r>
    </w:p>
    <w:p w:rsidR="003A19F5" w:rsidRPr="003A19F5" w:rsidRDefault="003A19F5" w:rsidP="0064431A">
      <w:pPr>
        <w:pStyle w:val="SingleTxtG"/>
        <w:rPr>
          <w:bCs/>
        </w:rPr>
      </w:pPr>
      <w:r w:rsidRPr="003A19F5">
        <w:t>16.</w:t>
      </w:r>
      <w:r w:rsidRPr="003A19F5">
        <w:tab/>
      </w:r>
      <w:r w:rsidRPr="003A19F5">
        <w:rPr>
          <w:bCs/>
        </w:rPr>
        <w:t>Le Comité constate avec satisfaction que les dépenses en faveur des enfants ont augmenté ces dernières années et que des crédits d</w:t>
      </w:r>
      <w:r w:rsidR="00EE03BD">
        <w:rPr>
          <w:bCs/>
        </w:rPr>
        <w:t>’</w:t>
      </w:r>
      <w:r w:rsidRPr="003A19F5">
        <w:rPr>
          <w:bCs/>
        </w:rPr>
        <w:t>impôts</w:t>
      </w:r>
      <w:r w:rsidR="00810FFC">
        <w:rPr>
          <w:bCs/>
        </w:rPr>
        <w:t xml:space="preserve"> </w:t>
      </w:r>
      <w:r w:rsidRPr="003A19F5">
        <w:rPr>
          <w:bCs/>
        </w:rPr>
        <w:t xml:space="preserve">ont été mis en place pour réduire la pauvreté. </w:t>
      </w:r>
      <w:r w:rsidR="009A7B83">
        <w:rPr>
          <w:bCs/>
        </w:rPr>
        <w:t xml:space="preserve">Il </w:t>
      </w:r>
      <w:r w:rsidRPr="003A19F5">
        <w:rPr>
          <w:bCs/>
        </w:rPr>
        <w:t xml:space="preserve">est néanmoins préoccupé de voir que ces augmentations ne suffisent pas à éliminer la pauvreté et à remédier aux inégalités. En outre, </w:t>
      </w:r>
      <w:r w:rsidR="009C7AA5">
        <w:rPr>
          <w:bCs/>
        </w:rPr>
        <w:t>i</w:t>
      </w:r>
      <w:r w:rsidR="009A7B83">
        <w:rPr>
          <w:bCs/>
        </w:rPr>
        <w:t xml:space="preserve">l </w:t>
      </w:r>
      <w:r w:rsidRPr="003A19F5">
        <w:rPr>
          <w:bCs/>
        </w:rPr>
        <w:t xml:space="preserve">regrette que </w:t>
      </w:r>
      <w:r w:rsidR="009A7B83">
        <w:rPr>
          <w:bCs/>
        </w:rPr>
        <w:t xml:space="preserve">le processus </w:t>
      </w:r>
      <w:r w:rsidRPr="003A19F5">
        <w:rPr>
          <w:bCs/>
        </w:rPr>
        <w:t xml:space="preserve">budgétaire ne permette </w:t>
      </w:r>
      <w:r w:rsidR="009A7B83">
        <w:rPr>
          <w:bCs/>
        </w:rPr>
        <w:t xml:space="preserve">toujours </w:t>
      </w:r>
      <w:r w:rsidRPr="003A19F5">
        <w:rPr>
          <w:bCs/>
        </w:rPr>
        <w:t xml:space="preserve">pas </w:t>
      </w:r>
      <w:r w:rsidR="009A7B83">
        <w:rPr>
          <w:bCs/>
        </w:rPr>
        <w:t xml:space="preserve">de définir </w:t>
      </w:r>
      <w:r w:rsidRPr="003A19F5">
        <w:rPr>
          <w:bCs/>
        </w:rPr>
        <w:t xml:space="preserve">clairement </w:t>
      </w:r>
      <w:r w:rsidR="009A7B83">
        <w:rPr>
          <w:bCs/>
        </w:rPr>
        <w:t xml:space="preserve">les allocations budgétaires </w:t>
      </w:r>
      <w:r w:rsidRPr="003A19F5">
        <w:rPr>
          <w:bCs/>
        </w:rPr>
        <w:t xml:space="preserve">consacrées aux enfants, ce qui empêche </w:t>
      </w:r>
      <w:r w:rsidR="009A7B83">
        <w:rPr>
          <w:bCs/>
        </w:rPr>
        <w:t>d</w:t>
      </w:r>
      <w:r w:rsidR="00EE03BD">
        <w:rPr>
          <w:bCs/>
        </w:rPr>
        <w:t>’</w:t>
      </w:r>
      <w:r w:rsidR="009A7B83">
        <w:rPr>
          <w:bCs/>
        </w:rPr>
        <w:t xml:space="preserve">en contrôler le montant </w:t>
      </w:r>
      <w:r w:rsidRPr="003A19F5">
        <w:rPr>
          <w:bCs/>
        </w:rPr>
        <w:t>et d</w:t>
      </w:r>
      <w:r w:rsidR="00EE03BD">
        <w:rPr>
          <w:bCs/>
        </w:rPr>
        <w:t>’</w:t>
      </w:r>
      <w:r w:rsidRPr="003A19F5">
        <w:rPr>
          <w:bCs/>
        </w:rPr>
        <w:t>en évaluer l</w:t>
      </w:r>
      <w:r w:rsidR="00EE03BD">
        <w:rPr>
          <w:bCs/>
        </w:rPr>
        <w:t>’</w:t>
      </w:r>
      <w:r w:rsidRPr="003A19F5">
        <w:rPr>
          <w:bCs/>
        </w:rPr>
        <w:t>incidence.</w:t>
      </w:r>
    </w:p>
    <w:p w:rsidR="003A19F5" w:rsidRPr="003A19F5" w:rsidRDefault="003A19F5" w:rsidP="0064431A">
      <w:pPr>
        <w:pStyle w:val="SingleTxtG"/>
        <w:rPr>
          <w:b/>
        </w:rPr>
      </w:pPr>
      <w:r w:rsidRPr="003A19F5">
        <w:rPr>
          <w:bCs/>
        </w:rPr>
        <w:t>17.</w:t>
      </w:r>
      <w:r w:rsidRPr="003A19F5">
        <w:rPr>
          <w:bCs/>
        </w:rPr>
        <w:tab/>
      </w:r>
      <w:r w:rsidRPr="003A19F5">
        <w:rPr>
          <w:b/>
        </w:rPr>
        <w:t>Le Comité recommande à l</w:t>
      </w:r>
      <w:r w:rsidR="00EE03BD">
        <w:rPr>
          <w:b/>
        </w:rPr>
        <w:t>’</w:t>
      </w:r>
      <w:r w:rsidRPr="003A19F5">
        <w:rPr>
          <w:b/>
        </w:rPr>
        <w:t xml:space="preserve">État partie </w:t>
      </w:r>
      <w:r w:rsidR="00377235">
        <w:rPr>
          <w:b/>
        </w:rPr>
        <w:t>d</w:t>
      </w:r>
      <w:r w:rsidR="00EE03BD">
        <w:rPr>
          <w:b/>
        </w:rPr>
        <w:t>’</w:t>
      </w:r>
      <w:r w:rsidR="00377235">
        <w:rPr>
          <w:b/>
        </w:rPr>
        <w:t>élaborer un plan de budgétisation pour l</w:t>
      </w:r>
      <w:r w:rsidR="00EE03BD">
        <w:rPr>
          <w:b/>
        </w:rPr>
        <w:t>’</w:t>
      </w:r>
      <w:r w:rsidR="00377235">
        <w:rPr>
          <w:b/>
        </w:rPr>
        <w:t xml:space="preserve">enfance </w:t>
      </w:r>
      <w:r w:rsidRPr="003A19F5">
        <w:rPr>
          <w:b/>
        </w:rPr>
        <w:t>qui lui permettra de spécifier les allocations consacrées à la mise en œuvre des droits de l</w:t>
      </w:r>
      <w:r w:rsidR="00EE03BD">
        <w:rPr>
          <w:b/>
        </w:rPr>
        <w:t>’</w:t>
      </w:r>
      <w:r w:rsidRPr="003A19F5">
        <w:rPr>
          <w:b/>
        </w:rPr>
        <w:t>enfant, d</w:t>
      </w:r>
      <w:r w:rsidR="00EE03BD">
        <w:rPr>
          <w:b/>
        </w:rPr>
        <w:t>’</w:t>
      </w:r>
      <w:r w:rsidRPr="003A19F5">
        <w:rPr>
          <w:b/>
        </w:rPr>
        <w:t xml:space="preserve">en suivre </w:t>
      </w:r>
      <w:r w:rsidR="00377235">
        <w:rPr>
          <w:b/>
        </w:rPr>
        <w:t>l</w:t>
      </w:r>
      <w:r w:rsidR="00EE03BD">
        <w:rPr>
          <w:b/>
        </w:rPr>
        <w:t>’</w:t>
      </w:r>
      <w:r w:rsidR="00377235">
        <w:rPr>
          <w:b/>
        </w:rPr>
        <w:t>utilisation</w:t>
      </w:r>
      <w:r w:rsidRPr="003A19F5">
        <w:rPr>
          <w:b/>
        </w:rPr>
        <w:t>, d</w:t>
      </w:r>
      <w:r w:rsidR="00EE03BD">
        <w:rPr>
          <w:b/>
        </w:rPr>
        <w:t>’</w:t>
      </w:r>
      <w:r w:rsidRPr="003A19F5">
        <w:rPr>
          <w:b/>
        </w:rPr>
        <w:t>en contrôler les résultats et d</w:t>
      </w:r>
      <w:r w:rsidR="00EE03BD">
        <w:rPr>
          <w:b/>
        </w:rPr>
        <w:t>’</w:t>
      </w:r>
      <w:r w:rsidRPr="003A19F5">
        <w:rPr>
          <w:b/>
        </w:rPr>
        <w:t>en évaluer l</w:t>
      </w:r>
      <w:r w:rsidR="00EE03BD">
        <w:rPr>
          <w:b/>
        </w:rPr>
        <w:t>’</w:t>
      </w:r>
      <w:r w:rsidRPr="003A19F5">
        <w:rPr>
          <w:b/>
        </w:rPr>
        <w:t xml:space="preserve">incidence. </w:t>
      </w:r>
      <w:r w:rsidRPr="003A19F5">
        <w:rPr>
          <w:b/>
          <w:bCs/>
        </w:rPr>
        <w:t>L</w:t>
      </w:r>
      <w:r w:rsidR="00EE03BD">
        <w:rPr>
          <w:b/>
          <w:bCs/>
        </w:rPr>
        <w:t>’</w:t>
      </w:r>
      <w:r w:rsidRPr="003A19F5">
        <w:rPr>
          <w:b/>
          <w:lang w:val="fr-FR"/>
        </w:rPr>
        <w:t>État</w:t>
      </w:r>
      <w:r w:rsidRPr="003A19F5">
        <w:rPr>
          <w:lang w:val="fr-FR"/>
        </w:rPr>
        <w:t xml:space="preserve"> </w:t>
      </w:r>
      <w:r w:rsidRPr="003A19F5">
        <w:rPr>
          <w:b/>
          <w:bCs/>
        </w:rPr>
        <w:t>partie devrait</w:t>
      </w:r>
      <w:r w:rsidR="00377235">
        <w:rPr>
          <w:b/>
          <w:bCs/>
        </w:rPr>
        <w:t>,</w:t>
      </w:r>
      <w:r w:rsidRPr="003A19F5">
        <w:rPr>
          <w:b/>
          <w:bCs/>
        </w:rPr>
        <w:t xml:space="preserve"> ce faisant</w:t>
      </w:r>
      <w:r w:rsidR="00377235">
        <w:rPr>
          <w:b/>
          <w:bCs/>
        </w:rPr>
        <w:t>,</w:t>
      </w:r>
      <w:r w:rsidRPr="003A19F5">
        <w:rPr>
          <w:b/>
          <w:bCs/>
        </w:rPr>
        <w:t xml:space="preserve"> tenir compte des recommandations formulées par le Comité à la suite de la journée de débat général qui s</w:t>
      </w:r>
      <w:r w:rsidR="00EE03BD">
        <w:rPr>
          <w:b/>
          <w:bCs/>
        </w:rPr>
        <w:t>’</w:t>
      </w:r>
      <w:r w:rsidRPr="003A19F5">
        <w:rPr>
          <w:b/>
          <w:bCs/>
        </w:rPr>
        <w:t>est tenue le 21 septembre 2007 sur le thème «Ressources pour les droits de l</w:t>
      </w:r>
      <w:r w:rsidR="00EE03BD">
        <w:rPr>
          <w:b/>
          <w:bCs/>
        </w:rPr>
        <w:t>’</w:t>
      </w:r>
      <w:r w:rsidRPr="003A19F5">
        <w:rPr>
          <w:b/>
          <w:bCs/>
        </w:rPr>
        <w:t xml:space="preserve">enfant </w:t>
      </w:r>
      <w:r w:rsidR="00377235">
        <w:rPr>
          <w:b/>
          <w:bCs/>
        </w:rPr>
        <w:t>−</w:t>
      </w:r>
      <w:r w:rsidRPr="003A19F5">
        <w:rPr>
          <w:b/>
          <w:bCs/>
        </w:rPr>
        <w:t xml:space="preserve"> Responsabilité des </w:t>
      </w:r>
      <w:r w:rsidRPr="003A19F5">
        <w:rPr>
          <w:b/>
          <w:lang w:val="fr-FR"/>
        </w:rPr>
        <w:t>États</w:t>
      </w:r>
      <w:r w:rsidRPr="003A19F5">
        <w:rPr>
          <w:b/>
          <w:bCs/>
        </w:rPr>
        <w:t>»</w:t>
      </w:r>
      <w:r w:rsidRPr="003A19F5">
        <w:rPr>
          <w:bCs/>
        </w:rPr>
        <w:t xml:space="preserve">. </w:t>
      </w:r>
      <w:r w:rsidRPr="003A19F5">
        <w:rPr>
          <w:b/>
        </w:rPr>
        <w:t>L</w:t>
      </w:r>
      <w:r w:rsidR="00EE03BD">
        <w:rPr>
          <w:b/>
        </w:rPr>
        <w:t>’</w:t>
      </w:r>
      <w:r w:rsidRPr="003A19F5">
        <w:rPr>
          <w:b/>
        </w:rPr>
        <w:t xml:space="preserve">État partie </w:t>
      </w:r>
      <w:r w:rsidR="00377235">
        <w:rPr>
          <w:b/>
        </w:rPr>
        <w:t xml:space="preserve">pourrait envisager </w:t>
      </w:r>
      <w:r w:rsidRPr="003A19F5">
        <w:rPr>
          <w:b/>
        </w:rPr>
        <w:t>de demander la coopération technique du Fonds des Nations Unies pour l</w:t>
      </w:r>
      <w:r w:rsidR="00EE03BD">
        <w:rPr>
          <w:b/>
        </w:rPr>
        <w:t>’</w:t>
      </w:r>
      <w:r w:rsidRPr="003A19F5">
        <w:rPr>
          <w:b/>
        </w:rPr>
        <w:t xml:space="preserve">enfance </w:t>
      </w:r>
      <w:r w:rsidR="00377235">
        <w:rPr>
          <w:b/>
        </w:rPr>
        <w:t>(UNICEF), entre autres</w:t>
      </w:r>
      <w:r w:rsidRPr="003A19F5">
        <w:rPr>
          <w:b/>
        </w:rPr>
        <w:t>.</w:t>
      </w:r>
    </w:p>
    <w:p w:rsidR="003A19F5" w:rsidRPr="003A19F5" w:rsidRDefault="00D54DC1" w:rsidP="00D54DC1">
      <w:pPr>
        <w:pStyle w:val="H23G"/>
      </w:pPr>
      <w:r>
        <w:tab/>
      </w:r>
      <w:r>
        <w:tab/>
      </w:r>
      <w:r w:rsidR="003A19F5" w:rsidRPr="003A19F5">
        <w:t>Diffusion et sensibilisation</w:t>
      </w:r>
    </w:p>
    <w:p w:rsidR="003A19F5" w:rsidRPr="003A19F5" w:rsidRDefault="003A19F5" w:rsidP="0064431A">
      <w:pPr>
        <w:pStyle w:val="SingleTxtG"/>
        <w:rPr>
          <w:bCs/>
        </w:rPr>
      </w:pPr>
      <w:r w:rsidRPr="003A19F5">
        <w:rPr>
          <w:bCs/>
        </w:rPr>
        <w:t>18.</w:t>
      </w:r>
      <w:r w:rsidRPr="003A19F5">
        <w:rPr>
          <w:bCs/>
        </w:rPr>
        <w:tab/>
        <w:t xml:space="preserve">Le Comite </w:t>
      </w:r>
      <w:r w:rsidR="00377235">
        <w:rPr>
          <w:bCs/>
        </w:rPr>
        <w:t xml:space="preserve">prend </w:t>
      </w:r>
      <w:r w:rsidRPr="003A19F5">
        <w:rPr>
          <w:bCs/>
        </w:rPr>
        <w:t xml:space="preserve">note avec intérêt </w:t>
      </w:r>
      <w:r w:rsidR="00377235">
        <w:rPr>
          <w:bCs/>
        </w:rPr>
        <w:t xml:space="preserve">des mesures </w:t>
      </w:r>
      <w:r w:rsidRPr="003A19F5">
        <w:rPr>
          <w:bCs/>
        </w:rPr>
        <w:t xml:space="preserve">prises pour diffuser la Convention et la faire connaître. Il regrette néanmoins que la Convention </w:t>
      </w:r>
      <w:r w:rsidR="00377235">
        <w:rPr>
          <w:bCs/>
        </w:rPr>
        <w:t>reste mal connue</w:t>
      </w:r>
      <w:r w:rsidRPr="003A19F5">
        <w:rPr>
          <w:bCs/>
        </w:rPr>
        <w:t xml:space="preserve">, principalement </w:t>
      </w:r>
      <w:r w:rsidR="00377235">
        <w:rPr>
          <w:bCs/>
        </w:rPr>
        <w:t xml:space="preserve">par les </w:t>
      </w:r>
      <w:r w:rsidRPr="003A19F5">
        <w:rPr>
          <w:bCs/>
        </w:rPr>
        <w:t xml:space="preserve">parents, </w:t>
      </w:r>
      <w:r w:rsidR="00377235">
        <w:rPr>
          <w:bCs/>
        </w:rPr>
        <w:t>les prestataires de soins</w:t>
      </w:r>
      <w:r w:rsidRPr="003A19F5">
        <w:rPr>
          <w:bCs/>
        </w:rPr>
        <w:t xml:space="preserve">, </w:t>
      </w:r>
      <w:r w:rsidR="00377235">
        <w:rPr>
          <w:bCs/>
        </w:rPr>
        <w:t>l</w:t>
      </w:r>
      <w:r w:rsidRPr="003A19F5">
        <w:rPr>
          <w:bCs/>
        </w:rPr>
        <w:t xml:space="preserve">es enseignants, </w:t>
      </w:r>
      <w:r w:rsidR="00377235">
        <w:rPr>
          <w:bCs/>
        </w:rPr>
        <w:t>l</w:t>
      </w:r>
      <w:r w:rsidRPr="003A19F5">
        <w:rPr>
          <w:bCs/>
        </w:rPr>
        <w:t xml:space="preserve">es intervenants auprès des jeunes et </w:t>
      </w:r>
      <w:r w:rsidR="00377235">
        <w:rPr>
          <w:bCs/>
        </w:rPr>
        <w:t>l</w:t>
      </w:r>
      <w:r w:rsidRPr="003A19F5">
        <w:rPr>
          <w:bCs/>
        </w:rPr>
        <w:t>es enfants.</w:t>
      </w:r>
    </w:p>
    <w:p w:rsidR="003A19F5" w:rsidRPr="003A19F5" w:rsidRDefault="003A19F5" w:rsidP="0064431A">
      <w:pPr>
        <w:pStyle w:val="SingleTxtG"/>
        <w:rPr>
          <w:b/>
        </w:rPr>
      </w:pPr>
      <w:r w:rsidRPr="003A19F5">
        <w:rPr>
          <w:bCs/>
        </w:rPr>
        <w:t>19.</w:t>
      </w:r>
      <w:r w:rsidRPr="003A19F5">
        <w:rPr>
          <w:bCs/>
        </w:rPr>
        <w:tab/>
      </w:r>
      <w:r w:rsidRPr="003A19F5">
        <w:rPr>
          <w:b/>
        </w:rPr>
        <w:t>Le Comité recommande à l</w:t>
      </w:r>
      <w:r w:rsidR="00EE03BD">
        <w:rPr>
          <w:b/>
        </w:rPr>
        <w:t>’</w:t>
      </w:r>
      <w:r w:rsidRPr="003A19F5">
        <w:rPr>
          <w:b/>
        </w:rPr>
        <w:t>État partie de renforcer et d</w:t>
      </w:r>
      <w:r w:rsidR="00EE03BD">
        <w:rPr>
          <w:b/>
        </w:rPr>
        <w:t>’</w:t>
      </w:r>
      <w:r w:rsidRPr="003A19F5">
        <w:rPr>
          <w:b/>
        </w:rPr>
        <w:t xml:space="preserve">élargir ses activités de diffusion et de sensibilisation pour garantir que la population, notamment les parents, </w:t>
      </w:r>
      <w:r w:rsidR="00377235">
        <w:rPr>
          <w:b/>
        </w:rPr>
        <w:t>les prestataires de soins</w:t>
      </w:r>
      <w:r w:rsidRPr="003A19F5">
        <w:rPr>
          <w:b/>
        </w:rPr>
        <w:t xml:space="preserve">, les enseignants, les intervenants auprès des jeunes et les autres professionnels qui travaillent avec les enfants, ainsi que les enfants </w:t>
      </w:r>
      <w:r w:rsidR="00377235">
        <w:rPr>
          <w:b/>
        </w:rPr>
        <w:t>eux-</w:t>
      </w:r>
      <w:r w:rsidRPr="003A19F5">
        <w:rPr>
          <w:b/>
        </w:rPr>
        <w:t>mêmes, connaissent les dispositions de la Convention. L</w:t>
      </w:r>
      <w:r w:rsidR="00EE03BD">
        <w:rPr>
          <w:b/>
        </w:rPr>
        <w:t>’</w:t>
      </w:r>
      <w:r w:rsidRPr="003A19F5">
        <w:rPr>
          <w:b/>
        </w:rPr>
        <w:t xml:space="preserve">État partie </w:t>
      </w:r>
      <w:r w:rsidR="00377235">
        <w:rPr>
          <w:b/>
        </w:rPr>
        <w:t xml:space="preserve">devrait </w:t>
      </w:r>
      <w:r w:rsidRPr="003A19F5">
        <w:rPr>
          <w:b/>
        </w:rPr>
        <w:t xml:space="preserve">adopter les mesures nécessaires pour que ses initiatives </w:t>
      </w:r>
      <w:r w:rsidR="00377235">
        <w:rPr>
          <w:b/>
        </w:rPr>
        <w:t xml:space="preserve">touchent </w:t>
      </w:r>
      <w:r w:rsidRPr="003A19F5">
        <w:rPr>
          <w:b/>
        </w:rPr>
        <w:t xml:space="preserve">également les </w:t>
      </w:r>
      <w:r w:rsidR="00377235">
        <w:rPr>
          <w:b/>
        </w:rPr>
        <w:t xml:space="preserve">personnes qui sont </w:t>
      </w:r>
      <w:r w:rsidRPr="003A19F5">
        <w:rPr>
          <w:b/>
        </w:rPr>
        <w:t>analphabètes ou n</w:t>
      </w:r>
      <w:r w:rsidR="00EE03BD">
        <w:rPr>
          <w:b/>
        </w:rPr>
        <w:t>’</w:t>
      </w:r>
      <w:r w:rsidRPr="003A19F5">
        <w:rPr>
          <w:b/>
        </w:rPr>
        <w:t>ont pas reçu d</w:t>
      </w:r>
      <w:r w:rsidR="00EE03BD">
        <w:rPr>
          <w:b/>
        </w:rPr>
        <w:t>’</w:t>
      </w:r>
      <w:r w:rsidRPr="003A19F5">
        <w:rPr>
          <w:b/>
        </w:rPr>
        <w:t>enseignement formel.</w:t>
      </w:r>
    </w:p>
    <w:p w:rsidR="003A19F5" w:rsidRPr="003A19F5" w:rsidRDefault="00D54DC1" w:rsidP="00D54DC1">
      <w:pPr>
        <w:pStyle w:val="H23G"/>
      </w:pPr>
      <w:r>
        <w:tab/>
      </w:r>
      <w:r>
        <w:tab/>
      </w:r>
      <w:r w:rsidR="003A19F5" w:rsidRPr="003A19F5">
        <w:t>Formation</w:t>
      </w:r>
    </w:p>
    <w:p w:rsidR="003A19F5" w:rsidRPr="003A19F5" w:rsidRDefault="003A19F5" w:rsidP="0064431A">
      <w:pPr>
        <w:pStyle w:val="SingleTxtG"/>
        <w:rPr>
          <w:bCs/>
        </w:rPr>
      </w:pPr>
      <w:r w:rsidRPr="003A19F5">
        <w:rPr>
          <w:bCs/>
        </w:rPr>
        <w:t>20.</w:t>
      </w:r>
      <w:r w:rsidRPr="003A19F5">
        <w:rPr>
          <w:bCs/>
        </w:rPr>
        <w:tab/>
      </w:r>
      <w:r w:rsidR="00377235">
        <w:rPr>
          <w:bCs/>
        </w:rPr>
        <w:t xml:space="preserve">Le Comité note avec satisfaction que les policiers, les </w:t>
      </w:r>
      <w:r w:rsidRPr="003A19F5">
        <w:rPr>
          <w:bCs/>
        </w:rPr>
        <w:t xml:space="preserve">agents de probation et </w:t>
      </w:r>
      <w:r w:rsidR="00377235">
        <w:rPr>
          <w:bCs/>
        </w:rPr>
        <w:t xml:space="preserve">les </w:t>
      </w:r>
      <w:r w:rsidRPr="003A19F5">
        <w:rPr>
          <w:bCs/>
        </w:rPr>
        <w:t>enseignants qui travaillent avec des enfants</w:t>
      </w:r>
      <w:r w:rsidR="00377235">
        <w:rPr>
          <w:bCs/>
        </w:rPr>
        <w:t xml:space="preserve"> reçoivent une formation aux droits de l</w:t>
      </w:r>
      <w:r w:rsidR="00EE03BD">
        <w:rPr>
          <w:bCs/>
        </w:rPr>
        <w:t>’</w:t>
      </w:r>
      <w:r w:rsidR="00377235">
        <w:rPr>
          <w:bCs/>
        </w:rPr>
        <w:t>enfant mais</w:t>
      </w:r>
      <w:r w:rsidRPr="003A19F5">
        <w:rPr>
          <w:bCs/>
        </w:rPr>
        <w:t xml:space="preserve"> regrette </w:t>
      </w:r>
      <w:r w:rsidR="00377235">
        <w:rPr>
          <w:bCs/>
        </w:rPr>
        <w:t xml:space="preserve">que cette formation </w:t>
      </w:r>
      <w:r w:rsidRPr="003A19F5">
        <w:rPr>
          <w:bCs/>
        </w:rPr>
        <w:t>ne concerne pas l</w:t>
      </w:r>
      <w:r w:rsidR="00EE03BD">
        <w:rPr>
          <w:bCs/>
        </w:rPr>
        <w:t>’</w:t>
      </w:r>
      <w:r w:rsidRPr="003A19F5">
        <w:rPr>
          <w:bCs/>
        </w:rPr>
        <w:t>ensemble des professionnels qui travaillent avec ou pour les enfants.</w:t>
      </w:r>
    </w:p>
    <w:p w:rsidR="003A19F5" w:rsidRPr="003A19F5" w:rsidRDefault="003A19F5" w:rsidP="0064431A">
      <w:pPr>
        <w:pStyle w:val="SingleTxtG"/>
        <w:rPr>
          <w:b/>
        </w:rPr>
      </w:pPr>
      <w:r w:rsidRPr="003A19F5">
        <w:rPr>
          <w:bCs/>
        </w:rPr>
        <w:t>21.</w:t>
      </w:r>
      <w:r w:rsidRPr="003A19F5">
        <w:rPr>
          <w:bCs/>
        </w:rPr>
        <w:tab/>
      </w:r>
      <w:r w:rsidRPr="003A19F5">
        <w:rPr>
          <w:b/>
        </w:rPr>
        <w:t>Le Comité recommande à l</w:t>
      </w:r>
      <w:r w:rsidR="00EE03BD">
        <w:rPr>
          <w:b/>
        </w:rPr>
        <w:t>’</w:t>
      </w:r>
      <w:r w:rsidRPr="003A19F5">
        <w:rPr>
          <w:b/>
        </w:rPr>
        <w:t>État partie de mettre en place une formation systématique de toutes les catégories professionnelles qui travaillent pour et avec les enfants, notamment les responsables de l</w:t>
      </w:r>
      <w:r w:rsidR="00EE03BD">
        <w:rPr>
          <w:b/>
        </w:rPr>
        <w:t>’</w:t>
      </w:r>
      <w:r w:rsidRPr="003A19F5">
        <w:rPr>
          <w:b/>
        </w:rPr>
        <w:t xml:space="preserve">application des lois, les enseignants, le personnel soignant, les travailleurs sociaux, le personnel des établissements accueillant des enfants, le </w:t>
      </w:r>
      <w:r w:rsidR="00377235">
        <w:rPr>
          <w:b/>
        </w:rPr>
        <w:t xml:space="preserve">personnel du secteur public </w:t>
      </w:r>
      <w:r w:rsidRPr="003A19F5">
        <w:rPr>
          <w:b/>
        </w:rPr>
        <w:t>et les responsables locaux, aux responsabilités qui leur incombent en vertu de la Convention</w:t>
      </w:r>
      <w:r w:rsidR="00377235">
        <w:rPr>
          <w:b/>
        </w:rPr>
        <w:t xml:space="preserve"> et de renforcer cette formation</w:t>
      </w:r>
      <w:r w:rsidRPr="003A19F5">
        <w:rPr>
          <w:b/>
        </w:rPr>
        <w:t>. À cet égard, le Comité recommande que l</w:t>
      </w:r>
      <w:r w:rsidR="00EE03BD">
        <w:rPr>
          <w:b/>
        </w:rPr>
        <w:t>’</w:t>
      </w:r>
      <w:r w:rsidRPr="003A19F5">
        <w:rPr>
          <w:b/>
        </w:rPr>
        <w:t>enseignement des droits de l</w:t>
      </w:r>
      <w:r w:rsidR="00EE03BD">
        <w:rPr>
          <w:b/>
        </w:rPr>
        <w:t>’</w:t>
      </w:r>
      <w:r w:rsidRPr="003A19F5">
        <w:rPr>
          <w:b/>
        </w:rPr>
        <w:t>homme soit inclus dans le programme officiel à tous les niveaux d</w:t>
      </w:r>
      <w:r w:rsidR="00EE03BD">
        <w:rPr>
          <w:b/>
        </w:rPr>
        <w:t>’</w:t>
      </w:r>
      <w:r w:rsidRPr="003A19F5">
        <w:rPr>
          <w:b/>
        </w:rPr>
        <w:t>enseignement et dans la formation professionnelle. Il recommande également à l</w:t>
      </w:r>
      <w:r w:rsidR="00EE03BD">
        <w:rPr>
          <w:b/>
        </w:rPr>
        <w:t>’</w:t>
      </w:r>
      <w:r w:rsidRPr="003A19F5">
        <w:rPr>
          <w:b/>
        </w:rPr>
        <w:t>État partie d</w:t>
      </w:r>
      <w:r w:rsidR="00EE03BD">
        <w:rPr>
          <w:b/>
        </w:rPr>
        <w:t>’</w:t>
      </w:r>
      <w:r w:rsidRPr="003A19F5">
        <w:rPr>
          <w:b/>
        </w:rPr>
        <w:t>élaborer des programmes de sensibilisation et de formation systématiques aux dispositions du Protocole facultatif concernant l</w:t>
      </w:r>
      <w:r w:rsidR="00EE03BD">
        <w:rPr>
          <w:b/>
        </w:rPr>
        <w:t>’</w:t>
      </w:r>
      <w:r w:rsidRPr="003A19F5">
        <w:rPr>
          <w:b/>
        </w:rPr>
        <w:t>implication d</w:t>
      </w:r>
      <w:r w:rsidR="00EE03BD">
        <w:rPr>
          <w:b/>
        </w:rPr>
        <w:t>’</w:t>
      </w:r>
      <w:r w:rsidRPr="003A19F5">
        <w:rPr>
          <w:b/>
        </w:rPr>
        <w:t>enfants dans les conflits armés à l</w:t>
      </w:r>
      <w:r w:rsidR="00EE03BD">
        <w:rPr>
          <w:b/>
        </w:rPr>
        <w:t>’</w:t>
      </w:r>
      <w:r w:rsidRPr="003A19F5">
        <w:rPr>
          <w:b/>
        </w:rPr>
        <w:t>intention de toutes les catégories professionnelles concernées qui travaillent avec et pour les enfants, notamment les responsables militaires participant au recrutement, les juges, les procureurs, les agents de l</w:t>
      </w:r>
      <w:r w:rsidR="00EE03BD">
        <w:rPr>
          <w:b/>
        </w:rPr>
        <w:t>’</w:t>
      </w:r>
      <w:r w:rsidRPr="003A19F5">
        <w:rPr>
          <w:b/>
        </w:rPr>
        <w:t>immigration, les travailleurs sociaux et les médias.</w:t>
      </w:r>
    </w:p>
    <w:p w:rsidR="003A19F5" w:rsidRPr="003A19F5" w:rsidRDefault="00D54DC1" w:rsidP="00D54DC1">
      <w:pPr>
        <w:pStyle w:val="H23G"/>
        <w:rPr>
          <w:bCs/>
        </w:rPr>
      </w:pPr>
      <w:r>
        <w:tab/>
      </w:r>
      <w:r>
        <w:tab/>
      </w:r>
      <w:r w:rsidR="003A19F5" w:rsidRPr="003A19F5">
        <w:t>Droits de l</w:t>
      </w:r>
      <w:r w:rsidR="00EE03BD">
        <w:t>’</w:t>
      </w:r>
      <w:r w:rsidR="003A19F5" w:rsidRPr="003A19F5">
        <w:t>enfant et entreprises</w:t>
      </w:r>
    </w:p>
    <w:p w:rsidR="003A19F5" w:rsidRPr="003A19F5" w:rsidRDefault="003A19F5" w:rsidP="0064431A">
      <w:pPr>
        <w:pStyle w:val="SingleTxtG"/>
        <w:rPr>
          <w:bCs/>
        </w:rPr>
      </w:pPr>
      <w:r w:rsidRPr="003A19F5">
        <w:rPr>
          <w:bCs/>
        </w:rPr>
        <w:t>22.</w:t>
      </w:r>
      <w:r w:rsidRPr="003A19F5">
        <w:rPr>
          <w:bCs/>
        </w:rPr>
        <w:tab/>
        <w:t>Le Comité note que l</w:t>
      </w:r>
      <w:r w:rsidR="00EE03BD">
        <w:rPr>
          <w:bCs/>
        </w:rPr>
        <w:t>’</w:t>
      </w:r>
      <w:r w:rsidRPr="003A19F5">
        <w:rPr>
          <w:bCs/>
        </w:rPr>
        <w:t>État partie ne semble pas avoir encore envisagé l</w:t>
      </w:r>
      <w:r w:rsidR="00EE03BD">
        <w:rPr>
          <w:bCs/>
        </w:rPr>
        <w:t>’</w:t>
      </w:r>
      <w:r w:rsidRPr="003A19F5">
        <w:rPr>
          <w:bCs/>
        </w:rPr>
        <w:t>adoptio</w:t>
      </w:r>
      <w:r w:rsidR="00377235">
        <w:rPr>
          <w:bCs/>
        </w:rPr>
        <w:t>n de</w:t>
      </w:r>
      <w:r w:rsidRPr="003A19F5">
        <w:rPr>
          <w:bCs/>
        </w:rPr>
        <w:t xml:space="preserve"> critères de responsabilité sociale des entreprises pour les activités menées sur son territoire et à l</w:t>
      </w:r>
      <w:r w:rsidR="00EE03BD">
        <w:rPr>
          <w:bCs/>
        </w:rPr>
        <w:t>’</w:t>
      </w:r>
      <w:r w:rsidRPr="003A19F5">
        <w:rPr>
          <w:bCs/>
        </w:rPr>
        <w:t>étranger par les entreprises néo-zélandaises et les entreprises sous sa juridiction, au titre notamment du cadre pour les entreprises et les droits de l</w:t>
      </w:r>
      <w:r w:rsidR="00EE03BD">
        <w:rPr>
          <w:bCs/>
        </w:rPr>
        <w:t>’</w:t>
      </w:r>
      <w:r w:rsidRPr="003A19F5">
        <w:rPr>
          <w:bCs/>
        </w:rPr>
        <w:t>homme intitulé «Protéger, respecter et réparer»</w:t>
      </w:r>
      <w:r>
        <w:rPr>
          <w:bCs/>
        </w:rPr>
        <w:t>,</w:t>
      </w:r>
      <w:r w:rsidRPr="003A19F5">
        <w:rPr>
          <w:bCs/>
        </w:rPr>
        <w:t xml:space="preserve"> qui a été adopté à l</w:t>
      </w:r>
      <w:r w:rsidR="00EE03BD">
        <w:rPr>
          <w:bCs/>
        </w:rPr>
        <w:t>’</w:t>
      </w:r>
      <w:r w:rsidRPr="003A19F5">
        <w:rPr>
          <w:bCs/>
        </w:rPr>
        <w:t>unanimité en 2008 par le Conseil des droits de l</w:t>
      </w:r>
      <w:r w:rsidR="00EE03BD">
        <w:rPr>
          <w:bCs/>
        </w:rPr>
        <w:t>’</w:t>
      </w:r>
      <w:r w:rsidRPr="003A19F5">
        <w:rPr>
          <w:bCs/>
        </w:rPr>
        <w:t xml:space="preserve">homme. Il </w:t>
      </w:r>
      <w:r w:rsidR="00377235">
        <w:rPr>
          <w:bCs/>
        </w:rPr>
        <w:t xml:space="preserve">souligne que </w:t>
      </w:r>
      <w:r w:rsidRPr="003A19F5">
        <w:rPr>
          <w:bCs/>
        </w:rPr>
        <w:t>l</w:t>
      </w:r>
      <w:r w:rsidR="00EE03BD">
        <w:rPr>
          <w:bCs/>
        </w:rPr>
        <w:t>’</w:t>
      </w:r>
      <w:r w:rsidRPr="003A19F5">
        <w:rPr>
          <w:bCs/>
        </w:rPr>
        <w:t xml:space="preserve">État </w:t>
      </w:r>
      <w:r w:rsidR="00377235">
        <w:rPr>
          <w:bCs/>
        </w:rPr>
        <w:t xml:space="preserve">a le devoir </w:t>
      </w:r>
      <w:r w:rsidRPr="003A19F5">
        <w:rPr>
          <w:bCs/>
        </w:rPr>
        <w:t>de protéger les populations contre les atteintes aux droits de l</w:t>
      </w:r>
      <w:r w:rsidR="00EE03BD">
        <w:rPr>
          <w:bCs/>
        </w:rPr>
        <w:t>’</w:t>
      </w:r>
      <w:r w:rsidRPr="003A19F5">
        <w:rPr>
          <w:bCs/>
        </w:rPr>
        <w:t>homme commises par des entreprises</w:t>
      </w:r>
      <w:r w:rsidR="00377235">
        <w:rPr>
          <w:bCs/>
        </w:rPr>
        <w:t xml:space="preserve">, que </w:t>
      </w:r>
      <w:r w:rsidR="00DC079E">
        <w:rPr>
          <w:bCs/>
        </w:rPr>
        <w:t>l</w:t>
      </w:r>
      <w:r w:rsidRPr="003A19F5">
        <w:rPr>
          <w:bCs/>
        </w:rPr>
        <w:t xml:space="preserve">es entreprises </w:t>
      </w:r>
      <w:r w:rsidR="00DC079E">
        <w:rPr>
          <w:bCs/>
        </w:rPr>
        <w:t xml:space="preserve">sont tenues de respecter les </w:t>
      </w:r>
      <w:r w:rsidRPr="003A19F5">
        <w:rPr>
          <w:bCs/>
        </w:rPr>
        <w:t>droits de l</w:t>
      </w:r>
      <w:r w:rsidR="00EE03BD">
        <w:rPr>
          <w:bCs/>
        </w:rPr>
        <w:t>’</w:t>
      </w:r>
      <w:r w:rsidRPr="003A19F5">
        <w:rPr>
          <w:bCs/>
        </w:rPr>
        <w:t>homme</w:t>
      </w:r>
      <w:r w:rsidR="00DC079E">
        <w:rPr>
          <w:bCs/>
        </w:rPr>
        <w:t>, qu</w:t>
      </w:r>
      <w:r w:rsidR="00EE03BD">
        <w:rPr>
          <w:bCs/>
        </w:rPr>
        <w:t>’</w:t>
      </w:r>
      <w:r w:rsidR="00DC079E">
        <w:rPr>
          <w:bCs/>
        </w:rPr>
        <w:t xml:space="preserve">il est nécessaire de faciliter </w:t>
      </w:r>
      <w:r w:rsidRPr="003A19F5">
        <w:rPr>
          <w:bCs/>
        </w:rPr>
        <w:t>l</w:t>
      </w:r>
      <w:r w:rsidR="00EE03BD">
        <w:rPr>
          <w:bCs/>
        </w:rPr>
        <w:t>’</w:t>
      </w:r>
      <w:r w:rsidRPr="003A19F5">
        <w:rPr>
          <w:bCs/>
        </w:rPr>
        <w:t xml:space="preserve">accès aux </w:t>
      </w:r>
      <w:r w:rsidR="00DC079E">
        <w:rPr>
          <w:bCs/>
        </w:rPr>
        <w:t>voies de recours en cas d</w:t>
      </w:r>
      <w:r w:rsidR="00EE03BD">
        <w:rPr>
          <w:bCs/>
        </w:rPr>
        <w:t>’</w:t>
      </w:r>
      <w:r w:rsidR="00DC079E">
        <w:rPr>
          <w:bCs/>
        </w:rPr>
        <w:t>atteintes aux droits de l</w:t>
      </w:r>
      <w:r w:rsidR="00EE03BD">
        <w:rPr>
          <w:bCs/>
        </w:rPr>
        <w:t>’</w:t>
      </w:r>
      <w:r w:rsidR="00DC079E">
        <w:rPr>
          <w:bCs/>
        </w:rPr>
        <w:t>homme</w:t>
      </w:r>
      <w:r w:rsidRPr="003A19F5">
        <w:rPr>
          <w:bCs/>
        </w:rPr>
        <w:t>.</w:t>
      </w:r>
    </w:p>
    <w:p w:rsidR="003A19F5" w:rsidRPr="003A19F5" w:rsidRDefault="003A19F5" w:rsidP="0064431A">
      <w:pPr>
        <w:pStyle w:val="SingleTxtG"/>
        <w:rPr>
          <w:b/>
        </w:rPr>
      </w:pPr>
      <w:r w:rsidRPr="003A19F5">
        <w:rPr>
          <w:bCs/>
        </w:rPr>
        <w:t>23.</w:t>
      </w:r>
      <w:r w:rsidRPr="003A19F5">
        <w:rPr>
          <w:bCs/>
        </w:rPr>
        <w:tab/>
      </w:r>
      <w:r w:rsidRPr="003A19F5">
        <w:rPr>
          <w:b/>
        </w:rPr>
        <w:t>Le Comité encourage l</w:t>
      </w:r>
      <w:r w:rsidR="00EE03BD">
        <w:rPr>
          <w:b/>
        </w:rPr>
        <w:t>’</w:t>
      </w:r>
      <w:r w:rsidRPr="003A19F5">
        <w:rPr>
          <w:b/>
        </w:rPr>
        <w:t xml:space="preserve">État partie à prendre dûment en considération </w:t>
      </w:r>
      <w:r w:rsidR="00DC079E">
        <w:rPr>
          <w:b/>
        </w:rPr>
        <w:t>l</w:t>
      </w:r>
      <w:r w:rsidR="00EE03BD">
        <w:rPr>
          <w:b/>
        </w:rPr>
        <w:t>’</w:t>
      </w:r>
      <w:r w:rsidRPr="003A19F5">
        <w:rPr>
          <w:b/>
        </w:rPr>
        <w:t xml:space="preserve">expérience </w:t>
      </w:r>
      <w:r w:rsidR="00DC079E">
        <w:rPr>
          <w:b/>
        </w:rPr>
        <w:t xml:space="preserve">des autres pays </w:t>
      </w:r>
      <w:r w:rsidRPr="003A19F5">
        <w:rPr>
          <w:b/>
        </w:rPr>
        <w:t>au moment d</w:t>
      </w:r>
      <w:r w:rsidR="00EE03BD">
        <w:rPr>
          <w:b/>
        </w:rPr>
        <w:t>’</w:t>
      </w:r>
      <w:r w:rsidRPr="003A19F5">
        <w:rPr>
          <w:b/>
        </w:rPr>
        <w:t>appliquer le cadre pour les entreprises et les droits de l</w:t>
      </w:r>
      <w:r w:rsidR="00EE03BD">
        <w:rPr>
          <w:b/>
        </w:rPr>
        <w:t>’</w:t>
      </w:r>
      <w:r w:rsidRPr="003A19F5">
        <w:rPr>
          <w:b/>
        </w:rPr>
        <w:t xml:space="preserve">homme intitulé «Protéger, respecter et réparer» aux activités des entreprises publiques et privées et à envisager de prendre des mesures efficaces pour définir et appliquer des réglementations </w:t>
      </w:r>
      <w:r w:rsidR="00DC079E">
        <w:rPr>
          <w:b/>
        </w:rPr>
        <w:t xml:space="preserve">visant à ce </w:t>
      </w:r>
      <w:r w:rsidRPr="003A19F5">
        <w:rPr>
          <w:b/>
        </w:rPr>
        <w:t>que les entreprises se conforment aux normes nationales et internationales régissant</w:t>
      </w:r>
      <w:r w:rsidR="00810FFC">
        <w:t xml:space="preserve"> </w:t>
      </w:r>
      <w:r w:rsidRPr="003A19F5">
        <w:rPr>
          <w:b/>
        </w:rPr>
        <w:t>la responsabilité sociale des entreprises, en particulier en matière de respect des droits de l</w:t>
      </w:r>
      <w:r w:rsidR="00EE03BD">
        <w:rPr>
          <w:b/>
        </w:rPr>
        <w:t>’</w:t>
      </w:r>
      <w:r w:rsidRPr="003A19F5">
        <w:rPr>
          <w:b/>
        </w:rPr>
        <w:t>enfant.</w:t>
      </w:r>
    </w:p>
    <w:p w:rsidR="003A19F5" w:rsidRPr="003A19F5" w:rsidRDefault="00D54DC1" w:rsidP="00D54DC1">
      <w:pPr>
        <w:pStyle w:val="H1G"/>
      </w:pPr>
      <w:r>
        <w:tab/>
      </w:r>
      <w:r w:rsidR="003A19F5" w:rsidRPr="003A19F5">
        <w:t>B.</w:t>
      </w:r>
      <w:r w:rsidR="003A19F5" w:rsidRPr="003A19F5">
        <w:tab/>
        <w:t>Principes généraux (art. 2, 3, 6 et 12 de la Convention)</w:t>
      </w:r>
    </w:p>
    <w:p w:rsidR="003A19F5" w:rsidRPr="003A19F5" w:rsidRDefault="00D54DC1" w:rsidP="00D54DC1">
      <w:pPr>
        <w:pStyle w:val="H23G"/>
      </w:pPr>
      <w:r>
        <w:tab/>
      </w:r>
      <w:r>
        <w:tab/>
      </w:r>
      <w:r w:rsidR="003A19F5" w:rsidRPr="003A19F5">
        <w:t>Non</w:t>
      </w:r>
      <w:r>
        <w:t>-</w:t>
      </w:r>
      <w:r w:rsidR="003A19F5" w:rsidRPr="003A19F5">
        <w:t>discrimination</w:t>
      </w:r>
    </w:p>
    <w:p w:rsidR="003A19F5" w:rsidRPr="003A19F5" w:rsidRDefault="003A19F5" w:rsidP="0064431A">
      <w:pPr>
        <w:pStyle w:val="SingleTxtG"/>
        <w:rPr>
          <w:bCs/>
        </w:rPr>
      </w:pPr>
      <w:r w:rsidRPr="003A19F5">
        <w:rPr>
          <w:bCs/>
        </w:rPr>
        <w:t>24.</w:t>
      </w:r>
      <w:r w:rsidRPr="003A19F5">
        <w:rPr>
          <w:bCs/>
        </w:rPr>
        <w:tab/>
      </w:r>
      <w:r w:rsidR="00DC079E">
        <w:rPr>
          <w:bCs/>
        </w:rPr>
        <w:t xml:space="preserve">Le Comité prend note </w:t>
      </w:r>
      <w:r w:rsidRPr="003A19F5">
        <w:rPr>
          <w:bCs/>
        </w:rPr>
        <w:t xml:space="preserve">avec intérêt </w:t>
      </w:r>
      <w:r w:rsidR="00DC079E">
        <w:rPr>
          <w:bCs/>
        </w:rPr>
        <w:t xml:space="preserve">du </w:t>
      </w:r>
      <w:r w:rsidRPr="003A19F5">
        <w:rPr>
          <w:bCs/>
        </w:rPr>
        <w:t xml:space="preserve">projet </w:t>
      </w:r>
      <w:r w:rsidRPr="00DC079E">
        <w:rPr>
          <w:bCs/>
          <w:i/>
          <w:iCs/>
          <w:lang w:val="en-US"/>
        </w:rPr>
        <w:t>Youth Voices: Youth Choices</w:t>
      </w:r>
      <w:r w:rsidRPr="003A19F5">
        <w:rPr>
          <w:bCs/>
          <w:i/>
          <w:iCs/>
        </w:rPr>
        <w:t xml:space="preserve"> </w:t>
      </w:r>
      <w:r w:rsidRPr="003A19F5">
        <w:rPr>
          <w:bCs/>
        </w:rPr>
        <w:t xml:space="preserve">et </w:t>
      </w:r>
      <w:r w:rsidR="00DC079E">
        <w:rPr>
          <w:bCs/>
        </w:rPr>
        <w:t>d</w:t>
      </w:r>
      <w:r w:rsidRPr="003A19F5">
        <w:rPr>
          <w:bCs/>
        </w:rPr>
        <w:t>es divers</w:t>
      </w:r>
      <w:r w:rsidR="00DC079E">
        <w:rPr>
          <w:bCs/>
        </w:rPr>
        <w:t>es mesures prises</w:t>
      </w:r>
      <w:r w:rsidRPr="003A19F5">
        <w:rPr>
          <w:bCs/>
        </w:rPr>
        <w:t xml:space="preserve"> par l</w:t>
      </w:r>
      <w:r w:rsidR="00EE03BD">
        <w:rPr>
          <w:bCs/>
        </w:rPr>
        <w:t>’</w:t>
      </w:r>
      <w:r w:rsidRPr="003A19F5">
        <w:rPr>
          <w:bCs/>
        </w:rPr>
        <w:t>État partie pour améliorer la situation des Maoris, en particulier dans les domaines de l</w:t>
      </w:r>
      <w:r w:rsidR="00EE03BD">
        <w:rPr>
          <w:bCs/>
        </w:rPr>
        <w:t>’</w:t>
      </w:r>
      <w:r w:rsidRPr="003A19F5">
        <w:rPr>
          <w:bCs/>
        </w:rPr>
        <w:t xml:space="preserve">éducation et de la santé, </w:t>
      </w:r>
      <w:r w:rsidR="00DC079E">
        <w:rPr>
          <w:bCs/>
        </w:rPr>
        <w:t xml:space="preserve">mais reste </w:t>
      </w:r>
      <w:r w:rsidRPr="003A19F5">
        <w:rPr>
          <w:bCs/>
        </w:rPr>
        <w:t>préoccupé par la persistance des actes de discrimination à l</w:t>
      </w:r>
      <w:r w:rsidR="00EE03BD">
        <w:rPr>
          <w:bCs/>
        </w:rPr>
        <w:t>’</w:t>
      </w:r>
      <w:r w:rsidRPr="003A19F5">
        <w:rPr>
          <w:bCs/>
        </w:rPr>
        <w:t>égard de la population maorie, en particulier les enfants, comme le montre l</w:t>
      </w:r>
      <w:r w:rsidR="00EE03BD">
        <w:rPr>
          <w:bCs/>
        </w:rPr>
        <w:t>’</w:t>
      </w:r>
      <w:r w:rsidRPr="003A19F5">
        <w:rPr>
          <w:bCs/>
        </w:rPr>
        <w:t>inégalité dans l</w:t>
      </w:r>
      <w:r w:rsidR="00EE03BD">
        <w:rPr>
          <w:bCs/>
        </w:rPr>
        <w:t>’</w:t>
      </w:r>
      <w:r w:rsidRPr="003A19F5">
        <w:rPr>
          <w:bCs/>
        </w:rPr>
        <w:t>accès aux services.</w:t>
      </w:r>
    </w:p>
    <w:p w:rsidR="003A19F5" w:rsidRPr="003A19F5" w:rsidRDefault="003A19F5" w:rsidP="0064431A">
      <w:pPr>
        <w:pStyle w:val="SingleTxtG"/>
      </w:pPr>
      <w:r w:rsidRPr="003A19F5">
        <w:rPr>
          <w:bCs/>
        </w:rPr>
        <w:t>25.</w:t>
      </w:r>
      <w:r w:rsidRPr="003A19F5">
        <w:rPr>
          <w:bCs/>
        </w:rPr>
        <w:tab/>
      </w:r>
      <w:r w:rsidRPr="003A19F5">
        <w:rPr>
          <w:b/>
          <w:lang w:val="fr-FR"/>
        </w:rPr>
        <w:t>Le Comité recommande à l</w:t>
      </w:r>
      <w:r w:rsidR="00EE03BD">
        <w:rPr>
          <w:b/>
          <w:lang w:val="fr-FR"/>
        </w:rPr>
        <w:t>’</w:t>
      </w:r>
      <w:r w:rsidRPr="003A19F5">
        <w:rPr>
          <w:b/>
          <w:lang w:val="fr-FR"/>
        </w:rPr>
        <w:t>État partie d</w:t>
      </w:r>
      <w:r w:rsidR="00EE03BD">
        <w:rPr>
          <w:b/>
          <w:lang w:val="fr-FR"/>
        </w:rPr>
        <w:t>’</w:t>
      </w:r>
      <w:r w:rsidRPr="003A19F5">
        <w:rPr>
          <w:b/>
          <w:lang w:val="fr-FR"/>
        </w:rPr>
        <w:t>assurer une pleine protection contre la discrimination, quel qu</w:t>
      </w:r>
      <w:r w:rsidR="00EE03BD">
        <w:rPr>
          <w:b/>
          <w:lang w:val="fr-FR"/>
        </w:rPr>
        <w:t>’</w:t>
      </w:r>
      <w:r w:rsidRPr="003A19F5">
        <w:rPr>
          <w:b/>
          <w:lang w:val="fr-FR"/>
        </w:rPr>
        <w:t>en soit le motif, notamment</w:t>
      </w:r>
      <w:r w:rsidRPr="009C7AA5">
        <w:rPr>
          <w:b/>
          <w:lang w:val="fr-FR"/>
        </w:rPr>
        <w:t>:</w:t>
      </w:r>
    </w:p>
    <w:p w:rsidR="003A19F5" w:rsidRPr="003A19F5" w:rsidRDefault="003A19F5" w:rsidP="00D54DC1">
      <w:pPr>
        <w:pStyle w:val="SingleTxtG"/>
        <w:ind w:firstLine="567"/>
        <w:rPr>
          <w:b/>
          <w:lang w:val="fr-FR"/>
        </w:rPr>
      </w:pPr>
      <w:r w:rsidRPr="003A19F5">
        <w:rPr>
          <w:b/>
        </w:rPr>
        <w:t>a)</w:t>
      </w:r>
      <w:r w:rsidRPr="003A19F5">
        <w:rPr>
          <w:b/>
        </w:rPr>
        <w:tab/>
      </w:r>
      <w:r w:rsidRPr="003A19F5">
        <w:rPr>
          <w:b/>
          <w:lang w:val="fr-FR"/>
        </w:rPr>
        <w:t>En prenant d</w:t>
      </w:r>
      <w:r w:rsidR="00EE03BD">
        <w:rPr>
          <w:b/>
          <w:lang w:val="fr-FR"/>
        </w:rPr>
        <w:t>’</w:t>
      </w:r>
      <w:r w:rsidRPr="003A19F5">
        <w:rPr>
          <w:b/>
          <w:lang w:val="fr-FR"/>
        </w:rPr>
        <w:t>urgence des mesures pour lutter contre l</w:t>
      </w:r>
      <w:r w:rsidR="00EE03BD">
        <w:rPr>
          <w:b/>
          <w:lang w:val="fr-FR"/>
        </w:rPr>
        <w:t>’</w:t>
      </w:r>
      <w:r w:rsidRPr="003A19F5">
        <w:rPr>
          <w:b/>
          <w:lang w:val="fr-FR"/>
        </w:rPr>
        <w:t>inégalité d</w:t>
      </w:r>
      <w:r w:rsidR="00EE03BD">
        <w:rPr>
          <w:b/>
          <w:lang w:val="fr-FR"/>
        </w:rPr>
        <w:t>’</w:t>
      </w:r>
      <w:r w:rsidRPr="003A19F5">
        <w:rPr>
          <w:b/>
          <w:lang w:val="fr-FR"/>
        </w:rPr>
        <w:t>accès aux services dont sont victimes les enfants maoris et leur famille;</w:t>
      </w:r>
    </w:p>
    <w:p w:rsidR="003A19F5" w:rsidRPr="003A19F5" w:rsidRDefault="003A19F5" w:rsidP="00D54DC1">
      <w:pPr>
        <w:pStyle w:val="SingleTxtG"/>
        <w:ind w:firstLine="567"/>
        <w:rPr>
          <w:b/>
          <w:lang w:val="fr-FR"/>
        </w:rPr>
      </w:pPr>
      <w:r w:rsidRPr="003A19F5">
        <w:rPr>
          <w:b/>
          <w:lang w:val="fr-FR"/>
        </w:rPr>
        <w:t>b)</w:t>
      </w:r>
      <w:r w:rsidRPr="003A19F5">
        <w:rPr>
          <w:b/>
          <w:lang w:val="fr-FR"/>
        </w:rPr>
        <w:tab/>
        <w:t xml:space="preserve">En renforçant ses activités de sensibilisation et autres activités de prévention contre la discrimination et, </w:t>
      </w:r>
      <w:r w:rsidR="00DC079E">
        <w:rPr>
          <w:b/>
          <w:lang w:val="fr-FR"/>
        </w:rPr>
        <w:t>si nécessaire</w:t>
      </w:r>
      <w:r w:rsidRPr="003A19F5">
        <w:rPr>
          <w:b/>
          <w:lang w:val="fr-FR"/>
        </w:rPr>
        <w:t>, en prenant des mesures</w:t>
      </w:r>
      <w:r w:rsidR="00810FFC">
        <w:rPr>
          <w:b/>
          <w:lang w:val="fr-FR"/>
        </w:rPr>
        <w:t xml:space="preserve"> </w:t>
      </w:r>
      <w:r w:rsidRPr="003A19F5">
        <w:rPr>
          <w:b/>
          <w:lang w:val="fr-FR"/>
        </w:rPr>
        <w:t>d</w:t>
      </w:r>
      <w:r w:rsidR="00EE03BD">
        <w:rPr>
          <w:b/>
          <w:lang w:val="fr-FR"/>
        </w:rPr>
        <w:t>’</w:t>
      </w:r>
      <w:r w:rsidRPr="003A19F5">
        <w:rPr>
          <w:b/>
          <w:lang w:val="fr-FR"/>
        </w:rPr>
        <w:t>action positive en faveur des enfants</w:t>
      </w:r>
      <w:r w:rsidR="00DC079E">
        <w:rPr>
          <w:b/>
          <w:lang w:val="fr-FR"/>
        </w:rPr>
        <w:t xml:space="preserve"> vulnérables, tels que les enfants maoris, les enfants</w:t>
      </w:r>
      <w:r w:rsidRPr="003A19F5">
        <w:rPr>
          <w:b/>
          <w:lang w:val="fr-FR"/>
        </w:rPr>
        <w:t xml:space="preserve"> insulaires du Pacifique, les enfants réfugiés</w:t>
      </w:r>
      <w:r w:rsidR="00DC079E">
        <w:rPr>
          <w:b/>
          <w:lang w:val="fr-FR"/>
        </w:rPr>
        <w:t xml:space="preserve">, les enfants </w:t>
      </w:r>
      <w:r w:rsidRPr="003A19F5">
        <w:rPr>
          <w:b/>
          <w:lang w:val="fr-FR"/>
        </w:rPr>
        <w:t xml:space="preserve">migrants, les enfants handicapés, les </w:t>
      </w:r>
      <w:r w:rsidR="00DC079E">
        <w:rPr>
          <w:b/>
          <w:lang w:val="fr-FR"/>
        </w:rPr>
        <w:t xml:space="preserve">enfants homosexuels, </w:t>
      </w:r>
      <w:r w:rsidRPr="003A19F5">
        <w:rPr>
          <w:b/>
          <w:lang w:val="fr-FR"/>
        </w:rPr>
        <w:t>bisexuels</w:t>
      </w:r>
      <w:r w:rsidR="00DC079E">
        <w:rPr>
          <w:b/>
          <w:lang w:val="fr-FR"/>
        </w:rPr>
        <w:t xml:space="preserve"> ou </w:t>
      </w:r>
      <w:r w:rsidRPr="003A19F5">
        <w:rPr>
          <w:b/>
          <w:lang w:val="fr-FR"/>
        </w:rPr>
        <w:t>transgenres, ainsi que les enfants vivant avec des personnes appartenant à ces groupes;</w:t>
      </w:r>
    </w:p>
    <w:p w:rsidR="003A19F5" w:rsidRPr="003A19F5" w:rsidRDefault="003A19F5" w:rsidP="00D54DC1">
      <w:pPr>
        <w:pStyle w:val="SingleTxtG"/>
        <w:ind w:firstLine="567"/>
        <w:rPr>
          <w:lang w:val="fr-FR"/>
        </w:rPr>
      </w:pPr>
      <w:r w:rsidRPr="003A19F5">
        <w:rPr>
          <w:b/>
          <w:lang w:val="fr-FR"/>
        </w:rPr>
        <w:t>c)</w:t>
      </w:r>
      <w:r w:rsidRPr="003A19F5">
        <w:rPr>
          <w:b/>
          <w:lang w:val="fr-FR"/>
        </w:rPr>
        <w:tab/>
        <w:t>En prenant toutes les mesures nécessaires pour faire en sorte que les cas de discrimination à l</w:t>
      </w:r>
      <w:r w:rsidR="00EE03BD">
        <w:rPr>
          <w:b/>
          <w:lang w:val="fr-FR"/>
        </w:rPr>
        <w:t>’</w:t>
      </w:r>
      <w:r w:rsidRPr="003A19F5">
        <w:rPr>
          <w:b/>
          <w:lang w:val="fr-FR"/>
        </w:rPr>
        <w:t xml:space="preserve">égard des enfants dans tous les secteurs de la société soient traités de façon effective, y compris par des sanctions disciplinaires, administratives et </w:t>
      </w:r>
      <w:r w:rsidR="00DC079E">
        <w:rPr>
          <w:b/>
          <w:lang w:val="fr-FR"/>
        </w:rPr>
        <w:t>−</w:t>
      </w:r>
      <w:r w:rsidR="00810FFC">
        <w:rPr>
          <w:b/>
          <w:lang w:val="fr-FR"/>
        </w:rPr>
        <w:t xml:space="preserve"> </w:t>
      </w:r>
      <w:r w:rsidRPr="003A19F5">
        <w:rPr>
          <w:b/>
          <w:lang w:val="fr-FR"/>
        </w:rPr>
        <w:t>au besoin</w:t>
      </w:r>
      <w:r w:rsidR="00810FFC">
        <w:rPr>
          <w:b/>
          <w:lang w:val="fr-FR"/>
        </w:rPr>
        <w:t xml:space="preserve"> </w:t>
      </w:r>
      <w:r w:rsidR="00DC079E">
        <w:rPr>
          <w:b/>
          <w:lang w:val="fr-FR"/>
        </w:rPr>
        <w:t>−</w:t>
      </w:r>
      <w:r w:rsidRPr="003A19F5">
        <w:rPr>
          <w:b/>
          <w:lang w:val="fr-FR"/>
        </w:rPr>
        <w:t xml:space="preserve"> pénales.</w:t>
      </w:r>
      <w:r w:rsidRPr="003A19F5">
        <w:rPr>
          <w:lang w:val="fr-FR"/>
        </w:rPr>
        <w:t xml:space="preserve"> </w:t>
      </w:r>
    </w:p>
    <w:p w:rsidR="003A19F5" w:rsidRPr="003A19F5" w:rsidRDefault="00D54DC1" w:rsidP="00D54DC1">
      <w:pPr>
        <w:pStyle w:val="H23G"/>
      </w:pPr>
      <w:r>
        <w:tab/>
      </w:r>
      <w:r>
        <w:tab/>
      </w:r>
      <w:r w:rsidR="003A19F5" w:rsidRPr="003A19F5">
        <w:t>Respect des opinions de l</w:t>
      </w:r>
      <w:r w:rsidR="00EE03BD">
        <w:t>’</w:t>
      </w:r>
      <w:r w:rsidR="003A19F5" w:rsidRPr="003A19F5">
        <w:t>enfant</w:t>
      </w:r>
    </w:p>
    <w:p w:rsidR="003A19F5" w:rsidRPr="003A19F5" w:rsidRDefault="003A19F5" w:rsidP="0064431A">
      <w:pPr>
        <w:pStyle w:val="SingleTxtG"/>
      </w:pPr>
      <w:r w:rsidRPr="003A19F5">
        <w:t>26.</w:t>
      </w:r>
      <w:r w:rsidRPr="003A19F5">
        <w:tab/>
        <w:t>Le Comité note avec regret que les opinions de l</w:t>
      </w:r>
      <w:r w:rsidR="00EE03BD">
        <w:t>’</w:t>
      </w:r>
      <w:r w:rsidRPr="003A19F5">
        <w:t>enfant ne sont pas correctement respectées au sein de la famille, à l</w:t>
      </w:r>
      <w:r w:rsidR="00EE03BD">
        <w:t>’</w:t>
      </w:r>
      <w:r w:rsidRPr="003A19F5">
        <w:t>école et dans la communauté. Il regrette également que les enfants ne disposent d</w:t>
      </w:r>
      <w:r w:rsidR="00EE03BD">
        <w:t>’</w:t>
      </w:r>
      <w:r w:rsidRPr="003A19F5">
        <w:t>aucun moyen pour exprimer leurs opinions dans l</w:t>
      </w:r>
      <w:r w:rsidR="00EE03BD">
        <w:t>’</w:t>
      </w:r>
      <w:r w:rsidRPr="003A19F5">
        <w:t>espace public, que l</w:t>
      </w:r>
      <w:r w:rsidR="00EE03BD">
        <w:t>’</w:t>
      </w:r>
      <w:r w:rsidRPr="003A19F5">
        <w:t>État partie ne tienne pas systématiquement compte des opinions de</w:t>
      </w:r>
      <w:r w:rsidR="00DC079E">
        <w:t>s</w:t>
      </w:r>
      <w:r w:rsidRPr="003A19F5">
        <w:t xml:space="preserve"> enfant</w:t>
      </w:r>
      <w:r w:rsidR="00DC079E">
        <w:t>s</w:t>
      </w:r>
      <w:r w:rsidRPr="003A19F5">
        <w:t xml:space="preserve"> lors de l</w:t>
      </w:r>
      <w:r w:rsidR="00EE03BD">
        <w:t>’</w:t>
      </w:r>
      <w:r w:rsidRPr="003A19F5">
        <w:t>élaboration de lois et de politiques pouvant les concerner et que leur droit d</w:t>
      </w:r>
      <w:r w:rsidR="00EE03BD">
        <w:t>’</w:t>
      </w:r>
      <w:r w:rsidRPr="003A19F5">
        <w:t>être entendu</w:t>
      </w:r>
      <w:r w:rsidR="004043D5">
        <w:t>s</w:t>
      </w:r>
      <w:r w:rsidRPr="003A19F5">
        <w:t xml:space="preserve"> dans les procédures judiciaires et administratives ne soit pas suffisamment respecté.</w:t>
      </w:r>
    </w:p>
    <w:p w:rsidR="003A19F5" w:rsidRPr="003A19F5" w:rsidRDefault="003A19F5" w:rsidP="0064431A">
      <w:pPr>
        <w:pStyle w:val="SingleTxtG"/>
        <w:rPr>
          <w:b/>
          <w:bCs/>
          <w:lang w:val="fr-FR"/>
        </w:rPr>
      </w:pPr>
      <w:r w:rsidRPr="003A19F5">
        <w:t>27.</w:t>
      </w:r>
      <w:r w:rsidRPr="003A19F5">
        <w:tab/>
      </w:r>
      <w:r w:rsidRPr="003A19F5">
        <w:rPr>
          <w:b/>
          <w:bCs/>
          <w:lang w:val="fr-FR"/>
        </w:rPr>
        <w:t>Le Comité recommande à l</w:t>
      </w:r>
      <w:r w:rsidR="00EE03BD">
        <w:rPr>
          <w:b/>
          <w:bCs/>
          <w:lang w:val="fr-FR"/>
        </w:rPr>
        <w:t>’</w:t>
      </w:r>
      <w:r w:rsidRPr="003A19F5">
        <w:rPr>
          <w:b/>
          <w:bCs/>
          <w:lang w:val="fr-FR"/>
        </w:rPr>
        <w:t>État partie, conformément à l</w:t>
      </w:r>
      <w:r w:rsidR="00EE03BD">
        <w:rPr>
          <w:b/>
          <w:bCs/>
          <w:lang w:val="fr-FR"/>
        </w:rPr>
        <w:t>’</w:t>
      </w:r>
      <w:r w:rsidRPr="003A19F5">
        <w:rPr>
          <w:b/>
          <w:bCs/>
          <w:lang w:val="fr-FR"/>
        </w:rPr>
        <w:t>article 12 de la Convention et compte tenu de l</w:t>
      </w:r>
      <w:r w:rsidR="00EE03BD">
        <w:rPr>
          <w:b/>
          <w:bCs/>
          <w:lang w:val="fr-FR"/>
        </w:rPr>
        <w:t>’</w:t>
      </w:r>
      <w:r w:rsidRPr="003A19F5">
        <w:rPr>
          <w:b/>
          <w:bCs/>
          <w:lang w:val="fr-FR"/>
        </w:rPr>
        <w:t xml:space="preserve">Observation générale </w:t>
      </w:r>
      <w:r w:rsidR="00EC1946" w:rsidRPr="00EC1946">
        <w:rPr>
          <w:b/>
          <w:bCs/>
          <w:lang w:val="fr-FR"/>
        </w:rPr>
        <w:t>n</w:t>
      </w:r>
      <w:r w:rsidR="00EC1946" w:rsidRPr="00EC1946">
        <w:rPr>
          <w:b/>
          <w:bCs/>
          <w:vertAlign w:val="superscript"/>
          <w:lang w:val="fr-FR"/>
        </w:rPr>
        <w:t>o</w:t>
      </w:r>
      <w:r w:rsidR="00EC1946">
        <w:rPr>
          <w:b/>
          <w:bCs/>
          <w:lang w:val="fr-FR"/>
        </w:rPr>
        <w:t xml:space="preserve"> </w:t>
      </w:r>
      <w:r w:rsidRPr="003A19F5">
        <w:rPr>
          <w:b/>
          <w:bCs/>
          <w:lang w:val="fr-FR"/>
        </w:rPr>
        <w:t>12 relative au droit de l</w:t>
      </w:r>
      <w:r w:rsidR="00EE03BD">
        <w:rPr>
          <w:b/>
          <w:bCs/>
          <w:lang w:val="fr-FR"/>
        </w:rPr>
        <w:t>’</w:t>
      </w:r>
      <w:r w:rsidRPr="003A19F5">
        <w:rPr>
          <w:b/>
          <w:bCs/>
          <w:lang w:val="fr-FR"/>
        </w:rPr>
        <w:t>enfant d</w:t>
      </w:r>
      <w:r w:rsidR="00EE03BD">
        <w:rPr>
          <w:b/>
          <w:bCs/>
          <w:lang w:val="fr-FR"/>
        </w:rPr>
        <w:t>’</w:t>
      </w:r>
      <w:r w:rsidRPr="003A19F5">
        <w:rPr>
          <w:b/>
          <w:bCs/>
          <w:lang w:val="fr-FR"/>
        </w:rPr>
        <w:t>être entendu (2009)</w:t>
      </w:r>
      <w:r w:rsidRPr="009C7AA5">
        <w:rPr>
          <w:b/>
          <w:bCs/>
          <w:lang w:val="fr-FR"/>
        </w:rPr>
        <w:t>:</w:t>
      </w:r>
    </w:p>
    <w:p w:rsidR="003A19F5" w:rsidRPr="003A19F5" w:rsidRDefault="003A19F5" w:rsidP="00D54DC1">
      <w:pPr>
        <w:pStyle w:val="SingleTxtG"/>
        <w:ind w:firstLine="567"/>
        <w:rPr>
          <w:b/>
          <w:bCs/>
          <w:lang w:val="fr-FR"/>
        </w:rPr>
      </w:pPr>
      <w:r w:rsidRPr="003A19F5">
        <w:rPr>
          <w:b/>
          <w:bCs/>
          <w:lang w:val="fr-FR"/>
        </w:rPr>
        <w:t>a)</w:t>
      </w:r>
      <w:r w:rsidRPr="003A19F5">
        <w:rPr>
          <w:b/>
          <w:bCs/>
          <w:lang w:val="fr-FR"/>
        </w:rPr>
        <w:tab/>
        <w:t xml:space="preserve">De promouvoir, favoriser et appliquer, sur le plan législatif </w:t>
      </w:r>
      <w:r w:rsidR="00DC079E">
        <w:rPr>
          <w:b/>
          <w:bCs/>
          <w:lang w:val="fr-FR"/>
        </w:rPr>
        <w:t>comme dans la pratique</w:t>
      </w:r>
      <w:r w:rsidRPr="003A19F5">
        <w:rPr>
          <w:b/>
          <w:bCs/>
          <w:lang w:val="fr-FR"/>
        </w:rPr>
        <w:t>, dans la famille, à l</w:t>
      </w:r>
      <w:r w:rsidR="00EE03BD">
        <w:rPr>
          <w:b/>
          <w:bCs/>
          <w:lang w:val="fr-FR"/>
        </w:rPr>
        <w:t>’</w:t>
      </w:r>
      <w:r w:rsidRPr="003A19F5">
        <w:rPr>
          <w:b/>
          <w:bCs/>
          <w:lang w:val="fr-FR"/>
        </w:rPr>
        <w:t>école, au sein de la collectivité en général ainsi que dans les institutions et dans les procédures administratives et judiciaires, le principe du respect des opinions de l</w:t>
      </w:r>
      <w:r w:rsidR="00EE03BD">
        <w:rPr>
          <w:b/>
          <w:bCs/>
          <w:lang w:val="fr-FR"/>
        </w:rPr>
        <w:t>’</w:t>
      </w:r>
      <w:r w:rsidRPr="003A19F5">
        <w:rPr>
          <w:b/>
          <w:bCs/>
          <w:lang w:val="fr-FR"/>
        </w:rPr>
        <w:t>enfant</w:t>
      </w:r>
      <w:r>
        <w:rPr>
          <w:bCs/>
          <w:lang w:val="fr-FR"/>
        </w:rPr>
        <w:t>;</w:t>
      </w:r>
    </w:p>
    <w:p w:rsidR="003A19F5" w:rsidRPr="003A19F5" w:rsidRDefault="003A19F5" w:rsidP="00D54DC1">
      <w:pPr>
        <w:pStyle w:val="SingleTxtG"/>
        <w:ind w:firstLine="567"/>
        <w:rPr>
          <w:b/>
          <w:bCs/>
          <w:lang w:val="fr-FR"/>
        </w:rPr>
      </w:pPr>
      <w:r w:rsidRPr="003A19F5">
        <w:rPr>
          <w:b/>
          <w:bCs/>
          <w:lang w:val="fr-FR"/>
        </w:rPr>
        <w:t>b)</w:t>
      </w:r>
      <w:r w:rsidRPr="003A19F5">
        <w:rPr>
          <w:b/>
          <w:bCs/>
          <w:lang w:val="fr-FR"/>
        </w:rPr>
        <w:tab/>
        <w:t xml:space="preserve">De tenir compte des opinions des enfants </w:t>
      </w:r>
      <w:r w:rsidR="00DC079E">
        <w:rPr>
          <w:b/>
          <w:bCs/>
          <w:lang w:val="fr-FR"/>
        </w:rPr>
        <w:t>lors de l</w:t>
      </w:r>
      <w:r w:rsidR="00EE03BD">
        <w:rPr>
          <w:b/>
          <w:bCs/>
          <w:lang w:val="fr-FR"/>
        </w:rPr>
        <w:t>’</w:t>
      </w:r>
      <w:r w:rsidR="00DC079E">
        <w:rPr>
          <w:b/>
          <w:bCs/>
          <w:lang w:val="fr-FR"/>
        </w:rPr>
        <w:t xml:space="preserve">élaboration </w:t>
      </w:r>
      <w:r w:rsidRPr="003A19F5">
        <w:rPr>
          <w:b/>
          <w:bCs/>
          <w:lang w:val="fr-FR"/>
        </w:rPr>
        <w:t xml:space="preserve">des lois et </w:t>
      </w:r>
      <w:r w:rsidR="00DC079E">
        <w:rPr>
          <w:b/>
          <w:bCs/>
          <w:lang w:val="fr-FR"/>
        </w:rPr>
        <w:t xml:space="preserve">des </w:t>
      </w:r>
      <w:r w:rsidRPr="003A19F5">
        <w:rPr>
          <w:b/>
          <w:bCs/>
          <w:lang w:val="fr-FR"/>
        </w:rPr>
        <w:t>politiques.</w:t>
      </w:r>
    </w:p>
    <w:p w:rsidR="003A19F5" w:rsidRPr="003A19F5" w:rsidRDefault="00D54DC1" w:rsidP="00D54DC1">
      <w:pPr>
        <w:pStyle w:val="H1G"/>
        <w:rPr>
          <w:lang w:val="fr-FR"/>
        </w:rPr>
      </w:pPr>
      <w:r>
        <w:rPr>
          <w:lang w:val="fr-FR"/>
        </w:rPr>
        <w:tab/>
      </w:r>
      <w:r w:rsidR="003A19F5" w:rsidRPr="003A19F5">
        <w:rPr>
          <w:lang w:val="fr-FR"/>
        </w:rPr>
        <w:t>C.</w:t>
      </w:r>
      <w:r w:rsidR="003A19F5" w:rsidRPr="003A19F5">
        <w:rPr>
          <w:lang w:val="fr-FR"/>
        </w:rPr>
        <w:tab/>
        <w:t xml:space="preserve">Droits civils et libertés (art. 7, 8, 13 à 17 et 37 </w:t>
      </w:r>
      <w:r w:rsidR="003A19F5" w:rsidRPr="001A507A">
        <w:rPr>
          <w:iCs/>
          <w:lang w:val="fr-FR"/>
        </w:rPr>
        <w:t>a</w:t>
      </w:r>
      <w:r w:rsidR="003A19F5" w:rsidRPr="003A19F5">
        <w:rPr>
          <w:lang w:val="fr-FR"/>
        </w:rPr>
        <w:t>) de la Convention)</w:t>
      </w:r>
    </w:p>
    <w:p w:rsidR="003A19F5" w:rsidRPr="003A19F5" w:rsidRDefault="00D54DC1" w:rsidP="00D54DC1">
      <w:pPr>
        <w:pStyle w:val="H23G"/>
        <w:rPr>
          <w:lang w:val="fr-FR"/>
        </w:rPr>
      </w:pPr>
      <w:r>
        <w:rPr>
          <w:lang w:val="fr-FR"/>
        </w:rPr>
        <w:tab/>
      </w:r>
      <w:r>
        <w:rPr>
          <w:lang w:val="fr-FR"/>
        </w:rPr>
        <w:tab/>
      </w:r>
      <w:r w:rsidR="003A19F5" w:rsidRPr="003A19F5">
        <w:rPr>
          <w:lang w:val="fr-FR"/>
        </w:rPr>
        <w:t>Châtiments corporels</w:t>
      </w:r>
    </w:p>
    <w:p w:rsidR="003A19F5" w:rsidRPr="003A19F5" w:rsidRDefault="003A19F5" w:rsidP="0064431A">
      <w:pPr>
        <w:pStyle w:val="SingleTxtG"/>
      </w:pPr>
      <w:r w:rsidRPr="003A19F5">
        <w:t>28.</w:t>
      </w:r>
      <w:r w:rsidRPr="003A19F5">
        <w:tab/>
        <w:t xml:space="preserve">Le Comité </w:t>
      </w:r>
      <w:r w:rsidR="001A507A">
        <w:t xml:space="preserve">prend note avec satisfaction du nouvel </w:t>
      </w:r>
      <w:r w:rsidRPr="003A19F5">
        <w:t xml:space="preserve">alinéa </w:t>
      </w:r>
      <w:r w:rsidR="001A507A">
        <w:t>1)</w:t>
      </w:r>
      <w:r w:rsidRPr="003A19F5">
        <w:t xml:space="preserve"> de l</w:t>
      </w:r>
      <w:r w:rsidR="00EE03BD">
        <w:t>’</w:t>
      </w:r>
      <w:r w:rsidRPr="003A19F5">
        <w:t xml:space="preserve">article 59 de la loi de 1961 sur les infractions qui </w:t>
      </w:r>
      <w:r w:rsidR="001A507A">
        <w:t xml:space="preserve">supprime </w:t>
      </w:r>
      <w:r w:rsidRPr="003A19F5">
        <w:t xml:space="preserve">le droit </w:t>
      </w:r>
      <w:r w:rsidR="001A507A">
        <w:t>d</w:t>
      </w:r>
      <w:r w:rsidRPr="003A19F5">
        <w:t>es parents d</w:t>
      </w:r>
      <w:r w:rsidR="00EE03BD">
        <w:t>’</w:t>
      </w:r>
      <w:r w:rsidRPr="003A19F5">
        <w:t>user de la force physique sur leurs enfants pour les corriger.</w:t>
      </w:r>
    </w:p>
    <w:p w:rsidR="003A19F5" w:rsidRPr="003A19F5" w:rsidRDefault="003A19F5" w:rsidP="0064431A">
      <w:pPr>
        <w:pStyle w:val="SingleTxtG"/>
        <w:rPr>
          <w:b/>
          <w:bCs/>
        </w:rPr>
      </w:pPr>
      <w:r w:rsidRPr="003A19F5">
        <w:t>29.</w:t>
      </w:r>
      <w:r w:rsidRPr="003A19F5">
        <w:tab/>
      </w:r>
      <w:r w:rsidRPr="003A19F5">
        <w:rPr>
          <w:b/>
          <w:bCs/>
        </w:rPr>
        <w:t>Le Comité recommande à l</w:t>
      </w:r>
      <w:r w:rsidR="00EE03BD">
        <w:rPr>
          <w:b/>
          <w:bCs/>
        </w:rPr>
        <w:t>’</w:t>
      </w:r>
      <w:r w:rsidRPr="003A19F5">
        <w:rPr>
          <w:b/>
          <w:bCs/>
        </w:rPr>
        <w:t xml:space="preserve">État partie </w:t>
      </w:r>
      <w:r w:rsidR="001A507A">
        <w:rPr>
          <w:b/>
          <w:bCs/>
        </w:rPr>
        <w:t xml:space="preserve">de sensibiliser davantage </w:t>
      </w:r>
      <w:r w:rsidRPr="003A19F5">
        <w:rPr>
          <w:b/>
          <w:bCs/>
        </w:rPr>
        <w:t>la population à l</w:t>
      </w:r>
      <w:r w:rsidR="00EE03BD">
        <w:rPr>
          <w:b/>
          <w:bCs/>
        </w:rPr>
        <w:t>’</w:t>
      </w:r>
      <w:r w:rsidRPr="003A19F5">
        <w:rPr>
          <w:b/>
          <w:bCs/>
        </w:rPr>
        <w:t xml:space="preserve">alinéa </w:t>
      </w:r>
      <w:r w:rsidR="001A507A">
        <w:rPr>
          <w:b/>
          <w:bCs/>
        </w:rPr>
        <w:t xml:space="preserve">1) </w:t>
      </w:r>
      <w:r w:rsidRPr="003A19F5">
        <w:rPr>
          <w:b/>
          <w:bCs/>
        </w:rPr>
        <w:t>de l</w:t>
      </w:r>
      <w:r w:rsidR="00EE03BD">
        <w:rPr>
          <w:b/>
          <w:bCs/>
        </w:rPr>
        <w:t>’</w:t>
      </w:r>
      <w:r w:rsidRPr="003A19F5">
        <w:rPr>
          <w:b/>
          <w:bCs/>
        </w:rPr>
        <w:t>article 59 de la loi sur les infractions et de continuer de promouvoir des formes positives et non</w:t>
      </w:r>
      <w:r w:rsidR="009C7AA5">
        <w:rPr>
          <w:b/>
          <w:bCs/>
        </w:rPr>
        <w:t xml:space="preserve"> </w:t>
      </w:r>
      <w:r w:rsidRPr="003A19F5">
        <w:rPr>
          <w:b/>
          <w:bCs/>
        </w:rPr>
        <w:t>violentes de discipline dans l</w:t>
      </w:r>
      <w:r w:rsidR="00EE03BD">
        <w:rPr>
          <w:b/>
          <w:bCs/>
        </w:rPr>
        <w:t>’</w:t>
      </w:r>
      <w:r w:rsidRPr="003A19F5">
        <w:rPr>
          <w:b/>
          <w:bCs/>
        </w:rPr>
        <w:t>éducation des enfants.</w:t>
      </w:r>
    </w:p>
    <w:p w:rsidR="003A19F5" w:rsidRPr="003A19F5" w:rsidRDefault="00D54DC1" w:rsidP="00D54DC1">
      <w:pPr>
        <w:pStyle w:val="H23G"/>
      </w:pPr>
      <w:r>
        <w:tab/>
      </w:r>
      <w:r>
        <w:tab/>
      </w:r>
      <w:r w:rsidR="003A19F5" w:rsidRPr="003A19F5">
        <w:t>Suite donnée à l</w:t>
      </w:r>
      <w:r w:rsidR="00EE03BD">
        <w:t>’</w:t>
      </w:r>
      <w:r w:rsidR="003A19F5" w:rsidRPr="003A19F5">
        <w:t>étude des Nations Unies sur la violence à l</w:t>
      </w:r>
      <w:r w:rsidR="00EE03BD">
        <w:t>’</w:t>
      </w:r>
      <w:r w:rsidR="003A19F5" w:rsidRPr="003A19F5">
        <w:t>encontre des enfants</w:t>
      </w:r>
    </w:p>
    <w:p w:rsidR="003A19F5" w:rsidRPr="003A19F5" w:rsidRDefault="003A19F5" w:rsidP="0064431A">
      <w:pPr>
        <w:pStyle w:val="SingleTxtG"/>
        <w:rPr>
          <w:b/>
          <w:bCs/>
        </w:rPr>
      </w:pPr>
      <w:r w:rsidRPr="003A19F5">
        <w:t>30.</w:t>
      </w:r>
      <w:r w:rsidRPr="003A19F5">
        <w:tab/>
      </w:r>
      <w:r w:rsidRPr="003A19F5">
        <w:rPr>
          <w:b/>
          <w:bCs/>
        </w:rPr>
        <w:t>Le Comité encourage l</w:t>
      </w:r>
      <w:r w:rsidR="00EE03BD">
        <w:rPr>
          <w:b/>
          <w:bCs/>
        </w:rPr>
        <w:t>’</w:t>
      </w:r>
      <w:r w:rsidRPr="003A19F5">
        <w:rPr>
          <w:b/>
          <w:bCs/>
        </w:rPr>
        <w:t>État partie:</w:t>
      </w:r>
    </w:p>
    <w:p w:rsidR="003A19F5" w:rsidRPr="003A19F5" w:rsidRDefault="003A19F5" w:rsidP="00D54DC1">
      <w:pPr>
        <w:pStyle w:val="SingleTxtG"/>
        <w:ind w:firstLine="567"/>
        <w:rPr>
          <w:b/>
          <w:bCs/>
        </w:rPr>
      </w:pPr>
      <w:r w:rsidRPr="003A19F5">
        <w:rPr>
          <w:b/>
          <w:bCs/>
        </w:rPr>
        <w:t>a)</w:t>
      </w:r>
      <w:r w:rsidRPr="003A19F5">
        <w:rPr>
          <w:b/>
          <w:bCs/>
        </w:rPr>
        <w:tab/>
        <w:t>À faire de l</w:t>
      </w:r>
      <w:r w:rsidR="00EE03BD">
        <w:rPr>
          <w:b/>
          <w:bCs/>
        </w:rPr>
        <w:t>’</w:t>
      </w:r>
      <w:r w:rsidRPr="003A19F5">
        <w:rPr>
          <w:b/>
          <w:bCs/>
        </w:rPr>
        <w:t>élimination de toutes les formes de violence à l</w:t>
      </w:r>
      <w:r w:rsidR="00EE03BD">
        <w:rPr>
          <w:b/>
          <w:bCs/>
        </w:rPr>
        <w:t>’</w:t>
      </w:r>
      <w:r w:rsidRPr="003A19F5">
        <w:rPr>
          <w:b/>
          <w:bCs/>
        </w:rPr>
        <w:t>encontre des enfants une priorité, notamment en veillant à la mise en œuvre des recommandations de l</w:t>
      </w:r>
      <w:r w:rsidR="00EE03BD">
        <w:rPr>
          <w:b/>
          <w:bCs/>
        </w:rPr>
        <w:t>’</w:t>
      </w:r>
      <w:r w:rsidRPr="003A19F5">
        <w:rPr>
          <w:b/>
          <w:bCs/>
        </w:rPr>
        <w:t>étude des Nations Unies sur la violence à l</w:t>
      </w:r>
      <w:r w:rsidR="00EE03BD">
        <w:rPr>
          <w:b/>
          <w:bCs/>
        </w:rPr>
        <w:t>’</w:t>
      </w:r>
      <w:r w:rsidRPr="003A19F5">
        <w:rPr>
          <w:b/>
          <w:bCs/>
        </w:rPr>
        <w:t xml:space="preserve">encontre des enfants (voir A/61/299), en accordant une attention particulière </w:t>
      </w:r>
      <w:r w:rsidR="001A507A">
        <w:rPr>
          <w:b/>
          <w:bCs/>
        </w:rPr>
        <w:t>aux différences entre les sexes</w:t>
      </w:r>
      <w:r w:rsidRPr="003A19F5">
        <w:rPr>
          <w:b/>
          <w:bCs/>
        </w:rPr>
        <w:t>;</w:t>
      </w:r>
    </w:p>
    <w:p w:rsidR="003A19F5" w:rsidRPr="003A19F5" w:rsidRDefault="003A19F5" w:rsidP="00D54DC1">
      <w:pPr>
        <w:pStyle w:val="SingleTxtG"/>
        <w:ind w:firstLine="567"/>
        <w:rPr>
          <w:b/>
        </w:rPr>
      </w:pPr>
      <w:r w:rsidRPr="003A19F5">
        <w:rPr>
          <w:b/>
          <w:bCs/>
        </w:rPr>
        <w:t>b)</w:t>
      </w:r>
      <w:r w:rsidRPr="003A19F5">
        <w:rPr>
          <w:b/>
          <w:bCs/>
        </w:rPr>
        <w:tab/>
        <w:t xml:space="preserve">À </w:t>
      </w:r>
      <w:r w:rsidR="001A507A">
        <w:rPr>
          <w:b/>
          <w:bCs/>
        </w:rPr>
        <w:t xml:space="preserve">faire figurer dans son prochain rapport périodique </w:t>
      </w:r>
      <w:r w:rsidRPr="003A19F5">
        <w:rPr>
          <w:b/>
        </w:rPr>
        <w:t>des renseignements sur l</w:t>
      </w:r>
      <w:r w:rsidR="00EE03BD">
        <w:rPr>
          <w:b/>
        </w:rPr>
        <w:t>’</w:t>
      </w:r>
      <w:r w:rsidRPr="003A19F5">
        <w:rPr>
          <w:b/>
        </w:rPr>
        <w:t>application par l</w:t>
      </w:r>
      <w:r w:rsidR="00EE03BD">
        <w:rPr>
          <w:b/>
        </w:rPr>
        <w:t>’</w:t>
      </w:r>
      <w:r w:rsidRPr="003A19F5">
        <w:rPr>
          <w:b/>
        </w:rPr>
        <w:t>État partie des recommandations figurant</w:t>
      </w:r>
      <w:r w:rsidR="001A507A">
        <w:rPr>
          <w:b/>
        </w:rPr>
        <w:t xml:space="preserve"> dans l</w:t>
      </w:r>
      <w:r w:rsidR="00EE03BD">
        <w:rPr>
          <w:b/>
        </w:rPr>
        <w:t>’</w:t>
      </w:r>
      <w:r w:rsidR="001A507A">
        <w:rPr>
          <w:b/>
        </w:rPr>
        <w:t>étude</w:t>
      </w:r>
      <w:r>
        <w:t>,</w:t>
      </w:r>
      <w:r w:rsidRPr="003A19F5">
        <w:rPr>
          <w:b/>
        </w:rPr>
        <w:t xml:space="preserve"> en particulier </w:t>
      </w:r>
      <w:r w:rsidR="001A507A">
        <w:rPr>
          <w:b/>
        </w:rPr>
        <w:t xml:space="preserve">les recommandations mises en lumière </w:t>
      </w:r>
      <w:r w:rsidRPr="003A19F5">
        <w:rPr>
          <w:b/>
        </w:rPr>
        <w:t>par le Représentant spécial du Secrétaire général sur la violence à l</w:t>
      </w:r>
      <w:r w:rsidR="00EE03BD">
        <w:rPr>
          <w:b/>
        </w:rPr>
        <w:t>’</w:t>
      </w:r>
      <w:r w:rsidRPr="003A19F5">
        <w:rPr>
          <w:b/>
        </w:rPr>
        <w:t>encontre des enfants</w:t>
      </w:r>
      <w:r>
        <w:t>,</w:t>
      </w:r>
      <w:r w:rsidRPr="003A19F5">
        <w:rPr>
          <w:b/>
        </w:rPr>
        <w:t xml:space="preserve"> à savoir:</w:t>
      </w:r>
    </w:p>
    <w:p w:rsidR="003A19F5" w:rsidRPr="003A19F5" w:rsidRDefault="003A19F5" w:rsidP="00D54DC1">
      <w:pPr>
        <w:pStyle w:val="SingleTxtG"/>
        <w:ind w:left="1701"/>
        <w:rPr>
          <w:b/>
          <w:bCs/>
        </w:rPr>
      </w:pPr>
      <w:r w:rsidRPr="003A19F5">
        <w:rPr>
          <w:b/>
        </w:rPr>
        <w:t>i)</w:t>
      </w:r>
      <w:r w:rsidRPr="003A19F5">
        <w:rPr>
          <w:b/>
        </w:rPr>
        <w:tab/>
      </w:r>
      <w:r w:rsidRPr="003A19F5">
        <w:rPr>
          <w:b/>
          <w:bCs/>
        </w:rPr>
        <w:t>L</w:t>
      </w:r>
      <w:r w:rsidR="00EE03BD">
        <w:rPr>
          <w:b/>
          <w:bCs/>
        </w:rPr>
        <w:t>’</w:t>
      </w:r>
      <w:r w:rsidRPr="003A19F5">
        <w:rPr>
          <w:b/>
          <w:bCs/>
        </w:rPr>
        <w:t>établissement par chaque pays d</w:t>
      </w:r>
      <w:r w:rsidR="00EE03BD">
        <w:rPr>
          <w:b/>
          <w:bCs/>
        </w:rPr>
        <w:t>’</w:t>
      </w:r>
      <w:r w:rsidRPr="003A19F5">
        <w:rPr>
          <w:b/>
          <w:bCs/>
        </w:rPr>
        <w:t>une stratégie globale visant à prévenir toutes les formes de violence à l</w:t>
      </w:r>
      <w:r w:rsidR="00EE03BD">
        <w:rPr>
          <w:b/>
          <w:bCs/>
        </w:rPr>
        <w:t>’</w:t>
      </w:r>
      <w:r w:rsidRPr="003A19F5">
        <w:rPr>
          <w:b/>
          <w:bCs/>
        </w:rPr>
        <w:t>encontre des enfants et à y faire face</w:t>
      </w:r>
      <w:r>
        <w:rPr>
          <w:bCs/>
        </w:rPr>
        <w:t>;</w:t>
      </w:r>
    </w:p>
    <w:p w:rsidR="003A19F5" w:rsidRPr="003A19F5" w:rsidRDefault="003A19F5" w:rsidP="00D54DC1">
      <w:pPr>
        <w:pStyle w:val="SingleTxtG"/>
        <w:ind w:left="1701"/>
        <w:rPr>
          <w:bCs/>
        </w:rPr>
      </w:pPr>
      <w:r w:rsidRPr="003A19F5">
        <w:rPr>
          <w:b/>
          <w:bCs/>
        </w:rPr>
        <w:t>ii)</w:t>
      </w:r>
      <w:r w:rsidRPr="003A19F5">
        <w:rPr>
          <w:b/>
          <w:bCs/>
        </w:rPr>
        <w:tab/>
        <w:t>L</w:t>
      </w:r>
      <w:r w:rsidR="00EE03BD">
        <w:rPr>
          <w:b/>
          <w:bCs/>
        </w:rPr>
        <w:t>’</w:t>
      </w:r>
      <w:r w:rsidRPr="003A19F5">
        <w:rPr>
          <w:b/>
          <w:bCs/>
        </w:rPr>
        <w:t>adoption de dispositions législatives interdisant expressément toutes les formes de violence à l</w:t>
      </w:r>
      <w:r w:rsidR="00EE03BD">
        <w:rPr>
          <w:b/>
          <w:bCs/>
        </w:rPr>
        <w:t>’</w:t>
      </w:r>
      <w:r w:rsidRPr="003A19F5">
        <w:rPr>
          <w:b/>
          <w:bCs/>
        </w:rPr>
        <w:t>encontre des enfants, dans tous les milieux;</w:t>
      </w:r>
      <w:r w:rsidRPr="003A19F5">
        <w:rPr>
          <w:bCs/>
        </w:rPr>
        <w:t xml:space="preserve"> </w:t>
      </w:r>
    </w:p>
    <w:p w:rsidR="003A19F5" w:rsidRPr="003A19F5" w:rsidRDefault="003A19F5" w:rsidP="00D54DC1">
      <w:pPr>
        <w:pStyle w:val="SingleTxtG"/>
        <w:ind w:left="1701"/>
        <w:rPr>
          <w:bCs/>
        </w:rPr>
      </w:pPr>
      <w:r w:rsidRPr="003A19F5">
        <w:rPr>
          <w:b/>
        </w:rPr>
        <w:t>iii)</w:t>
      </w:r>
      <w:r w:rsidRPr="003A19F5">
        <w:rPr>
          <w:b/>
        </w:rPr>
        <w:tab/>
      </w:r>
      <w:r w:rsidRPr="003A19F5">
        <w:rPr>
          <w:b/>
          <w:bCs/>
        </w:rPr>
        <w:t>La consolidation d</w:t>
      </w:r>
      <w:r w:rsidR="00EE03BD">
        <w:rPr>
          <w:b/>
          <w:bCs/>
        </w:rPr>
        <w:t>’</w:t>
      </w:r>
      <w:r w:rsidRPr="003A19F5">
        <w:rPr>
          <w:b/>
          <w:bCs/>
        </w:rPr>
        <w:t>un système national de collecte, d</w:t>
      </w:r>
      <w:r w:rsidR="00EE03BD">
        <w:rPr>
          <w:b/>
          <w:bCs/>
        </w:rPr>
        <w:t>’</w:t>
      </w:r>
      <w:r w:rsidRPr="003A19F5">
        <w:rPr>
          <w:b/>
          <w:bCs/>
        </w:rPr>
        <w:t>analyse et de diffusion de données et d</w:t>
      </w:r>
      <w:r w:rsidR="00EE03BD">
        <w:rPr>
          <w:b/>
          <w:bCs/>
        </w:rPr>
        <w:t>’</w:t>
      </w:r>
      <w:r w:rsidRPr="003A19F5">
        <w:rPr>
          <w:b/>
          <w:bCs/>
        </w:rPr>
        <w:t>un programme de recherche sur la violence à l</w:t>
      </w:r>
      <w:r w:rsidR="00EE03BD">
        <w:rPr>
          <w:b/>
          <w:bCs/>
        </w:rPr>
        <w:t>’</w:t>
      </w:r>
      <w:r w:rsidRPr="003A19F5">
        <w:rPr>
          <w:b/>
          <w:bCs/>
        </w:rPr>
        <w:t>encontre des enfants</w:t>
      </w:r>
      <w:r w:rsidR="009C7AA5" w:rsidRPr="009C7AA5">
        <w:rPr>
          <w:b/>
          <w:bCs/>
        </w:rPr>
        <w:t>;</w:t>
      </w:r>
    </w:p>
    <w:p w:rsidR="003A19F5" w:rsidRPr="003A19F5" w:rsidRDefault="003A19F5" w:rsidP="006744C5">
      <w:pPr>
        <w:pStyle w:val="SingleTxtG"/>
        <w:ind w:firstLine="567"/>
        <w:rPr>
          <w:b/>
          <w:bCs/>
          <w:lang w:val="fr-FR"/>
        </w:rPr>
      </w:pPr>
      <w:r w:rsidRPr="003A19F5">
        <w:rPr>
          <w:b/>
        </w:rPr>
        <w:t>c)</w:t>
      </w:r>
      <w:r w:rsidRPr="003A19F5">
        <w:rPr>
          <w:b/>
        </w:rPr>
        <w:tab/>
        <w:t>À collaborer avec le Représentant spécial du Secrétaire général de l</w:t>
      </w:r>
      <w:r w:rsidR="00EE03BD">
        <w:rPr>
          <w:b/>
        </w:rPr>
        <w:t>’</w:t>
      </w:r>
      <w:r w:rsidRPr="003A19F5">
        <w:rPr>
          <w:b/>
        </w:rPr>
        <w:t>ONU sur la violence à l</w:t>
      </w:r>
      <w:r w:rsidR="00EE03BD">
        <w:rPr>
          <w:b/>
        </w:rPr>
        <w:t>’</w:t>
      </w:r>
      <w:r w:rsidRPr="003A19F5">
        <w:rPr>
          <w:b/>
        </w:rPr>
        <w:t>encontre des enfants</w:t>
      </w:r>
      <w:r w:rsidR="00810FFC">
        <w:t xml:space="preserve"> </w:t>
      </w:r>
      <w:r w:rsidRPr="003A19F5">
        <w:rPr>
          <w:b/>
        </w:rPr>
        <w:t xml:space="preserve">et à </w:t>
      </w:r>
      <w:r w:rsidR="001A507A">
        <w:rPr>
          <w:b/>
        </w:rPr>
        <w:t xml:space="preserve">solliciter à cette fin </w:t>
      </w:r>
      <w:r w:rsidRPr="003A19F5">
        <w:rPr>
          <w:b/>
          <w:bCs/>
          <w:lang w:val="fr-FR"/>
        </w:rPr>
        <w:t>l</w:t>
      </w:r>
      <w:r w:rsidR="00EE03BD">
        <w:rPr>
          <w:b/>
          <w:bCs/>
          <w:lang w:val="fr-FR"/>
        </w:rPr>
        <w:t>’</w:t>
      </w:r>
      <w:r w:rsidRPr="003A19F5">
        <w:rPr>
          <w:b/>
          <w:bCs/>
          <w:lang w:val="fr-FR"/>
        </w:rPr>
        <w:t>assistance technique, entre autres institutions, de l</w:t>
      </w:r>
      <w:r w:rsidR="00EE03BD">
        <w:rPr>
          <w:b/>
          <w:bCs/>
          <w:lang w:val="fr-FR"/>
        </w:rPr>
        <w:t>’</w:t>
      </w:r>
      <w:r w:rsidRPr="003A19F5">
        <w:rPr>
          <w:b/>
          <w:bCs/>
          <w:lang w:val="fr-FR"/>
        </w:rPr>
        <w:t>UNICEF, du Haut-Commissariat des Nations Unies aux droits de l</w:t>
      </w:r>
      <w:r w:rsidR="00EE03BD">
        <w:rPr>
          <w:b/>
          <w:bCs/>
          <w:lang w:val="fr-FR"/>
        </w:rPr>
        <w:t>’</w:t>
      </w:r>
      <w:r w:rsidRPr="003A19F5">
        <w:rPr>
          <w:b/>
          <w:bCs/>
          <w:lang w:val="fr-FR"/>
        </w:rPr>
        <w:t>homme (HCDH), de l</w:t>
      </w:r>
      <w:r w:rsidR="00EE03BD">
        <w:rPr>
          <w:b/>
          <w:bCs/>
          <w:lang w:val="fr-FR"/>
        </w:rPr>
        <w:t>’</w:t>
      </w:r>
      <w:r w:rsidRPr="003A19F5">
        <w:rPr>
          <w:b/>
          <w:bCs/>
          <w:lang w:val="fr-FR"/>
        </w:rPr>
        <w:t xml:space="preserve">Organisation mondiale de la </w:t>
      </w:r>
      <w:r w:rsidR="009C7AA5">
        <w:rPr>
          <w:b/>
          <w:bCs/>
          <w:lang w:val="fr-FR"/>
        </w:rPr>
        <w:t>s</w:t>
      </w:r>
      <w:r w:rsidRPr="003A19F5">
        <w:rPr>
          <w:b/>
          <w:bCs/>
          <w:lang w:val="fr-FR"/>
        </w:rPr>
        <w:t>anté (OMS), de l</w:t>
      </w:r>
      <w:r w:rsidR="00EE03BD">
        <w:rPr>
          <w:b/>
          <w:bCs/>
          <w:lang w:val="fr-FR"/>
        </w:rPr>
        <w:t>’</w:t>
      </w:r>
      <w:r w:rsidRPr="003A19F5">
        <w:rPr>
          <w:b/>
          <w:bCs/>
          <w:lang w:val="fr-FR"/>
        </w:rPr>
        <w:t xml:space="preserve">Organisation internationale du </w:t>
      </w:r>
      <w:r w:rsidR="00EC1946" w:rsidRPr="003A19F5">
        <w:rPr>
          <w:b/>
          <w:bCs/>
          <w:lang w:val="fr-FR"/>
        </w:rPr>
        <w:t xml:space="preserve">Travail </w:t>
      </w:r>
      <w:r w:rsidRPr="003A19F5">
        <w:rPr>
          <w:b/>
          <w:bCs/>
          <w:lang w:val="fr-FR"/>
        </w:rPr>
        <w:t>(OIT), de l</w:t>
      </w:r>
      <w:r w:rsidR="00EE03BD">
        <w:rPr>
          <w:b/>
          <w:bCs/>
          <w:lang w:val="fr-FR"/>
        </w:rPr>
        <w:t>’</w:t>
      </w:r>
      <w:r w:rsidRPr="003A19F5">
        <w:rPr>
          <w:b/>
          <w:bCs/>
          <w:lang w:val="fr-FR"/>
        </w:rPr>
        <w:t>Organisation des Nations Unies pour l</w:t>
      </w:r>
      <w:r w:rsidR="00EE03BD">
        <w:rPr>
          <w:b/>
          <w:bCs/>
          <w:lang w:val="fr-FR"/>
        </w:rPr>
        <w:t>’</w:t>
      </w:r>
      <w:r w:rsidRPr="003A19F5">
        <w:rPr>
          <w:b/>
          <w:bCs/>
          <w:lang w:val="fr-FR"/>
        </w:rPr>
        <w:t>éducation, la science et la culture (UNESCO), du Haut-Commissariat des Nations Unies pour les réfugiés (HCR), de l</w:t>
      </w:r>
      <w:r w:rsidR="00EE03BD">
        <w:rPr>
          <w:b/>
          <w:bCs/>
          <w:lang w:val="fr-FR"/>
        </w:rPr>
        <w:t>’</w:t>
      </w:r>
      <w:r w:rsidRPr="003A19F5">
        <w:rPr>
          <w:b/>
          <w:bCs/>
          <w:lang w:val="fr-FR"/>
        </w:rPr>
        <w:t>Office des Nations Unies contre la drogue et le crime (UNODC) et des organisations non gouvernementales (ONG) partenaires.</w:t>
      </w:r>
    </w:p>
    <w:p w:rsidR="00DA3BE9" w:rsidRDefault="00D54DC1" w:rsidP="00D54DC1">
      <w:pPr>
        <w:pStyle w:val="H1G"/>
        <w:rPr>
          <w:lang w:val="fr-FR"/>
        </w:rPr>
      </w:pPr>
      <w:r>
        <w:rPr>
          <w:lang w:val="fr-FR"/>
        </w:rPr>
        <w:tab/>
      </w:r>
      <w:r w:rsidR="003A19F5" w:rsidRPr="003A19F5">
        <w:rPr>
          <w:lang w:val="fr-FR"/>
        </w:rPr>
        <w:t>D.</w:t>
      </w:r>
      <w:r w:rsidR="003A19F5" w:rsidRPr="003A19F5">
        <w:rPr>
          <w:lang w:val="fr-FR"/>
        </w:rPr>
        <w:tab/>
        <w:t>Milieu familial et protection de remplaceme</w:t>
      </w:r>
      <w:r w:rsidR="00E962EF">
        <w:rPr>
          <w:lang w:val="fr-FR"/>
        </w:rPr>
        <w:t>nt (art. 5, 18 (par. 1 et 2), 9 </w:t>
      </w:r>
      <w:r w:rsidR="003A19F5" w:rsidRPr="003A19F5">
        <w:rPr>
          <w:lang w:val="fr-FR"/>
        </w:rPr>
        <w:t>à 11, 19 à 21, 25, 27 (</w:t>
      </w:r>
      <w:r w:rsidR="001A507A">
        <w:rPr>
          <w:lang w:val="fr-FR"/>
        </w:rPr>
        <w:t>par. 4) et 39 de la Convention)</w:t>
      </w:r>
    </w:p>
    <w:p w:rsidR="00EC25BC" w:rsidRPr="003F0258" w:rsidRDefault="00EC25BC" w:rsidP="00EC25BC">
      <w:pPr>
        <w:pStyle w:val="H23G"/>
        <w:rPr>
          <w:lang w:val="fr-FR"/>
        </w:rPr>
      </w:pPr>
      <w:r>
        <w:rPr>
          <w:lang w:val="fr-FR"/>
        </w:rPr>
        <w:tab/>
      </w:r>
      <w:r>
        <w:rPr>
          <w:lang w:val="fr-FR"/>
        </w:rPr>
        <w:tab/>
      </w:r>
      <w:r w:rsidRPr="003F0258">
        <w:rPr>
          <w:lang w:val="fr-FR"/>
        </w:rPr>
        <w:t>Milieu familial</w:t>
      </w:r>
    </w:p>
    <w:p w:rsidR="00EC25BC" w:rsidRPr="003F0258" w:rsidRDefault="00EC25BC" w:rsidP="00EC25BC">
      <w:pPr>
        <w:pStyle w:val="SingleTxtG"/>
      </w:pPr>
      <w:r w:rsidRPr="003F0258">
        <w:t>31.</w:t>
      </w:r>
      <w:r w:rsidRPr="003F0258">
        <w:tab/>
        <w:t xml:space="preserve">Le Comité salue les efforts </w:t>
      </w:r>
      <w:r>
        <w:t>faits</w:t>
      </w:r>
      <w:r w:rsidRPr="003F0258">
        <w:t xml:space="preserve"> par l</w:t>
      </w:r>
      <w:r>
        <w:t>’</w:t>
      </w:r>
      <w:r w:rsidRPr="003F0258">
        <w:t xml:space="preserve">État partie pour mieux soutenir les familles, notamment par des modifications législatives et des changements institutionnels </w:t>
      </w:r>
      <w:r>
        <w:t xml:space="preserve">et par </w:t>
      </w:r>
      <w:r w:rsidRPr="003F0258">
        <w:t>l</w:t>
      </w:r>
      <w:r>
        <w:t>’</w:t>
      </w:r>
      <w:r w:rsidRPr="003F0258">
        <w:t xml:space="preserve">intégration </w:t>
      </w:r>
      <w:r>
        <w:t xml:space="preserve">transversale </w:t>
      </w:r>
      <w:r w:rsidRPr="003F0258">
        <w:t>de</w:t>
      </w:r>
      <w:r>
        <w:t>s</w:t>
      </w:r>
      <w:r w:rsidRPr="003F0258">
        <w:t xml:space="preserve"> politiques et de</w:t>
      </w:r>
      <w:r>
        <w:t>s pratiques</w:t>
      </w:r>
      <w:r w:rsidRPr="003F0258">
        <w:t xml:space="preserve">. Le Comité </w:t>
      </w:r>
      <w:r>
        <w:t>reste</w:t>
      </w:r>
      <w:r w:rsidRPr="003F0258">
        <w:t xml:space="preserve"> toutefois préoccupé par le fait que les familles de certains sous-groupes de population ne bénéficient pas d</w:t>
      </w:r>
      <w:r>
        <w:t>’</w:t>
      </w:r>
      <w:r w:rsidRPr="003F0258">
        <w:t>une aide adaptée leur permettant d</w:t>
      </w:r>
      <w:r>
        <w:t>’</w:t>
      </w:r>
      <w:r w:rsidRPr="003F0258">
        <w:t>assumer leurs responsabilités éducatives, en particulier les familles en crise en raison de la pauvreté, de l</w:t>
      </w:r>
      <w:r>
        <w:t>’</w:t>
      </w:r>
      <w:r w:rsidRPr="003F0258">
        <w:t>alcool, de la drogue ou de l</w:t>
      </w:r>
      <w:r>
        <w:t>’</w:t>
      </w:r>
      <w:r w:rsidRPr="003F0258">
        <w:t>isolement.</w:t>
      </w:r>
    </w:p>
    <w:p w:rsidR="00EC25BC" w:rsidRPr="003F0258" w:rsidRDefault="00EC25BC" w:rsidP="00EC25BC">
      <w:pPr>
        <w:pStyle w:val="SingleTxtG"/>
        <w:rPr>
          <w:b/>
          <w:lang w:val="fr-FR"/>
        </w:rPr>
      </w:pPr>
      <w:r w:rsidRPr="003F0258">
        <w:t>32.</w:t>
      </w:r>
      <w:r w:rsidRPr="003F0258">
        <w:tab/>
      </w:r>
      <w:r w:rsidRPr="003F0258">
        <w:rPr>
          <w:b/>
          <w:bCs/>
        </w:rPr>
        <w:t>Le Comité recommande à l</w:t>
      </w:r>
      <w:r>
        <w:rPr>
          <w:b/>
          <w:bCs/>
        </w:rPr>
        <w:t>’</w:t>
      </w:r>
      <w:r w:rsidRPr="003F0258">
        <w:rPr>
          <w:b/>
          <w:bCs/>
        </w:rPr>
        <w:t>État partie de redoubler d</w:t>
      </w:r>
      <w:r>
        <w:rPr>
          <w:b/>
          <w:bCs/>
        </w:rPr>
        <w:t>’</w:t>
      </w:r>
      <w:r w:rsidRPr="003F0258">
        <w:rPr>
          <w:b/>
          <w:bCs/>
        </w:rPr>
        <w:t xml:space="preserve">efforts pour </w:t>
      </w:r>
      <w:r w:rsidRPr="003F0258">
        <w:rPr>
          <w:b/>
          <w:bCs/>
          <w:lang w:val="fr-FR"/>
        </w:rPr>
        <w:t>offrir aux parents et aux responsables légaux une assistance appropriée afin de les aider à s</w:t>
      </w:r>
      <w:r>
        <w:rPr>
          <w:b/>
          <w:bCs/>
          <w:lang w:val="fr-FR"/>
        </w:rPr>
        <w:t>’</w:t>
      </w:r>
      <w:r w:rsidRPr="003F0258">
        <w:rPr>
          <w:b/>
          <w:bCs/>
          <w:lang w:val="fr-FR"/>
        </w:rPr>
        <w:t>acquitter de leurs responsabilités en matière d</w:t>
      </w:r>
      <w:r>
        <w:rPr>
          <w:b/>
          <w:bCs/>
          <w:lang w:val="fr-FR"/>
        </w:rPr>
        <w:t>’</w:t>
      </w:r>
      <w:r w:rsidRPr="003F0258">
        <w:rPr>
          <w:b/>
          <w:bCs/>
          <w:lang w:val="fr-FR"/>
        </w:rPr>
        <w:t>éducation des enfants</w:t>
      </w:r>
      <w:r w:rsidRPr="003F0258">
        <w:rPr>
          <w:bCs/>
          <w:lang w:val="fr-FR"/>
        </w:rPr>
        <w:t xml:space="preserve"> </w:t>
      </w:r>
      <w:r w:rsidRPr="003F0258">
        <w:rPr>
          <w:b/>
          <w:lang w:val="fr-FR"/>
        </w:rPr>
        <w:t>grâce à des réponses apportées en temps voulu au niveau local, notamment des services aux parents ayant besoin de conseils en matière d</w:t>
      </w:r>
      <w:r>
        <w:rPr>
          <w:b/>
          <w:lang w:val="fr-FR"/>
        </w:rPr>
        <w:t>’</w:t>
      </w:r>
      <w:r w:rsidRPr="003F0258">
        <w:rPr>
          <w:b/>
          <w:lang w:val="fr-FR"/>
        </w:rPr>
        <w:t>éducation, des services de traitement des problèmes liés à l</w:t>
      </w:r>
      <w:r>
        <w:rPr>
          <w:b/>
          <w:lang w:val="fr-FR"/>
        </w:rPr>
        <w:t>’</w:t>
      </w:r>
      <w:r w:rsidRPr="003F0258">
        <w:rPr>
          <w:b/>
          <w:lang w:val="fr-FR"/>
        </w:rPr>
        <w:t xml:space="preserve">alcool ou à la drogue, et, dans le cas des populations maories ou </w:t>
      </w:r>
      <w:r>
        <w:rPr>
          <w:b/>
          <w:lang w:val="fr-FR"/>
        </w:rPr>
        <w:t xml:space="preserve">des </w:t>
      </w:r>
      <w:r w:rsidRPr="00DD7F3D">
        <w:rPr>
          <w:rFonts w:eastAsia="MS Mincho"/>
          <w:b/>
          <w:lang w:val="fr-FR"/>
        </w:rPr>
        <w:t>population</w:t>
      </w:r>
      <w:r>
        <w:rPr>
          <w:b/>
          <w:lang w:val="fr-FR"/>
        </w:rPr>
        <w:t xml:space="preserve">s </w:t>
      </w:r>
      <w:r w:rsidRPr="003F0258">
        <w:rPr>
          <w:b/>
          <w:lang w:val="fr-FR"/>
        </w:rPr>
        <w:t xml:space="preserve">insulaires du Pacifique, des services culturellement adaptés </w:t>
      </w:r>
      <w:r>
        <w:rPr>
          <w:b/>
          <w:lang w:val="fr-FR"/>
        </w:rPr>
        <w:t>d’aide à la parentalité</w:t>
      </w:r>
    </w:p>
    <w:p w:rsidR="00EC25BC" w:rsidRPr="003F0258" w:rsidRDefault="00EC25BC" w:rsidP="00EC25BC">
      <w:pPr>
        <w:pStyle w:val="H23G"/>
        <w:rPr>
          <w:lang w:val="fr-FR"/>
        </w:rPr>
      </w:pPr>
      <w:r>
        <w:rPr>
          <w:lang w:val="fr-FR"/>
        </w:rPr>
        <w:tab/>
      </w:r>
      <w:r>
        <w:rPr>
          <w:lang w:val="fr-FR"/>
        </w:rPr>
        <w:tab/>
      </w:r>
      <w:r w:rsidRPr="003F0258">
        <w:rPr>
          <w:lang w:val="fr-FR"/>
        </w:rPr>
        <w:t>Adoption</w:t>
      </w:r>
    </w:p>
    <w:p w:rsidR="00EC25BC" w:rsidRPr="003F0258" w:rsidRDefault="00EC25BC" w:rsidP="00EC25BC">
      <w:pPr>
        <w:pStyle w:val="SingleTxtG"/>
        <w:rPr>
          <w:bCs/>
          <w:lang w:val="fr-FR"/>
        </w:rPr>
      </w:pPr>
      <w:r w:rsidRPr="003F0258">
        <w:rPr>
          <w:bCs/>
          <w:lang w:val="fr-FR"/>
        </w:rPr>
        <w:t>33.</w:t>
      </w:r>
      <w:r w:rsidRPr="003F0258">
        <w:rPr>
          <w:bCs/>
          <w:lang w:val="fr-FR"/>
        </w:rPr>
        <w:tab/>
        <w:t>Le Comité regrette que le consentement de l</w:t>
      </w:r>
      <w:r>
        <w:rPr>
          <w:bCs/>
          <w:lang w:val="fr-FR"/>
        </w:rPr>
        <w:t>’</w:t>
      </w:r>
      <w:r w:rsidRPr="003F0258">
        <w:rPr>
          <w:bCs/>
          <w:lang w:val="fr-FR"/>
        </w:rPr>
        <w:t>enfant ne soit pas exigé dans le cas d</w:t>
      </w:r>
      <w:r>
        <w:rPr>
          <w:bCs/>
          <w:lang w:val="fr-FR"/>
        </w:rPr>
        <w:t xml:space="preserve">es </w:t>
      </w:r>
      <w:r w:rsidRPr="003F0258">
        <w:rPr>
          <w:bCs/>
          <w:lang w:val="fr-FR"/>
        </w:rPr>
        <w:t>adoption</w:t>
      </w:r>
      <w:r>
        <w:rPr>
          <w:bCs/>
          <w:lang w:val="fr-FR"/>
        </w:rPr>
        <w:t>s</w:t>
      </w:r>
      <w:r w:rsidRPr="003F0258">
        <w:rPr>
          <w:bCs/>
          <w:lang w:val="fr-FR"/>
        </w:rPr>
        <w:t xml:space="preserve"> nationale</w:t>
      </w:r>
      <w:r>
        <w:rPr>
          <w:bCs/>
          <w:lang w:val="fr-FR"/>
        </w:rPr>
        <w:t>s</w:t>
      </w:r>
      <w:r w:rsidRPr="003F0258">
        <w:rPr>
          <w:bCs/>
          <w:lang w:val="fr-FR"/>
        </w:rPr>
        <w:t xml:space="preserve"> et que l</w:t>
      </w:r>
      <w:r>
        <w:rPr>
          <w:bCs/>
          <w:lang w:val="fr-FR"/>
        </w:rPr>
        <w:t>’</w:t>
      </w:r>
      <w:r w:rsidRPr="003F0258">
        <w:rPr>
          <w:bCs/>
          <w:lang w:val="fr-FR"/>
        </w:rPr>
        <w:t>examen de la loi relative à l</w:t>
      </w:r>
      <w:r>
        <w:rPr>
          <w:bCs/>
          <w:lang w:val="fr-FR"/>
        </w:rPr>
        <w:t>’</w:t>
      </w:r>
      <w:r w:rsidRPr="003F0258">
        <w:rPr>
          <w:bCs/>
          <w:lang w:val="fr-FR"/>
        </w:rPr>
        <w:t>adoption soit actuellement en suspens. Le Comité constate avec regret que</w:t>
      </w:r>
      <w:r>
        <w:rPr>
          <w:bCs/>
          <w:lang w:val="fr-FR"/>
        </w:rPr>
        <w:t>,</w:t>
      </w:r>
      <w:r w:rsidRPr="003F0258">
        <w:rPr>
          <w:bCs/>
          <w:lang w:val="fr-FR"/>
        </w:rPr>
        <w:t xml:space="preserve"> dans les cas où l</w:t>
      </w:r>
      <w:r>
        <w:rPr>
          <w:bCs/>
          <w:lang w:val="fr-FR"/>
        </w:rPr>
        <w:t>’</w:t>
      </w:r>
      <w:r w:rsidRPr="003F0258">
        <w:rPr>
          <w:bCs/>
          <w:lang w:val="fr-FR"/>
        </w:rPr>
        <w:t>adoption n</w:t>
      </w:r>
      <w:r>
        <w:rPr>
          <w:bCs/>
          <w:lang w:val="fr-FR"/>
        </w:rPr>
        <w:t>’</w:t>
      </w:r>
      <w:r w:rsidRPr="003F0258">
        <w:rPr>
          <w:bCs/>
          <w:lang w:val="fr-FR"/>
        </w:rPr>
        <w:t>est pas ouverte, l</w:t>
      </w:r>
      <w:r>
        <w:rPr>
          <w:bCs/>
          <w:lang w:val="fr-FR"/>
        </w:rPr>
        <w:t>’</w:t>
      </w:r>
      <w:r w:rsidRPr="003F0258">
        <w:rPr>
          <w:bCs/>
          <w:lang w:val="fr-FR"/>
        </w:rPr>
        <w:t>enfant adopté n</w:t>
      </w:r>
      <w:r>
        <w:rPr>
          <w:bCs/>
          <w:lang w:val="fr-FR"/>
        </w:rPr>
        <w:t>’</w:t>
      </w:r>
      <w:r w:rsidRPr="003F0258">
        <w:rPr>
          <w:bCs/>
          <w:lang w:val="fr-FR"/>
        </w:rPr>
        <w:t>a pas accès à son dossier, dans lequel figure le nom de ses parents biologiques, avant son vingtième anniversaire.</w:t>
      </w:r>
    </w:p>
    <w:p w:rsidR="00EC25BC" w:rsidRPr="003F0258" w:rsidRDefault="00EC25BC" w:rsidP="00EC25BC">
      <w:pPr>
        <w:pStyle w:val="SingleTxtG"/>
        <w:rPr>
          <w:b/>
          <w:lang w:val="fr-FR"/>
        </w:rPr>
      </w:pPr>
      <w:r w:rsidRPr="003F0258">
        <w:rPr>
          <w:bCs/>
          <w:lang w:val="fr-FR"/>
        </w:rPr>
        <w:t>34.</w:t>
      </w:r>
      <w:r w:rsidRPr="003F0258">
        <w:rPr>
          <w:bCs/>
          <w:lang w:val="fr-FR"/>
        </w:rPr>
        <w:tab/>
      </w:r>
      <w:r w:rsidRPr="003F0258">
        <w:rPr>
          <w:b/>
          <w:lang w:val="fr-FR"/>
        </w:rPr>
        <w:t>Le Comité recommande à l</w:t>
      </w:r>
      <w:r>
        <w:rPr>
          <w:b/>
          <w:lang w:val="fr-FR"/>
        </w:rPr>
        <w:t>’</w:t>
      </w:r>
      <w:r w:rsidRPr="003F0258">
        <w:rPr>
          <w:b/>
          <w:lang w:val="fr-FR"/>
        </w:rPr>
        <w:t>État partie d</w:t>
      </w:r>
      <w:r>
        <w:rPr>
          <w:b/>
          <w:lang w:val="fr-FR"/>
        </w:rPr>
        <w:t>’</w:t>
      </w:r>
      <w:r w:rsidRPr="003F0258">
        <w:rPr>
          <w:b/>
          <w:lang w:val="fr-FR"/>
        </w:rPr>
        <w:t>adopter les mesures nécessaires pour garantir l</w:t>
      </w:r>
      <w:r>
        <w:rPr>
          <w:b/>
          <w:lang w:val="fr-FR"/>
        </w:rPr>
        <w:t>’</w:t>
      </w:r>
      <w:r w:rsidRPr="003F0258">
        <w:rPr>
          <w:b/>
          <w:lang w:val="fr-FR"/>
        </w:rPr>
        <w:t>obtention du consentement de l</w:t>
      </w:r>
      <w:r>
        <w:rPr>
          <w:b/>
          <w:lang w:val="fr-FR"/>
        </w:rPr>
        <w:t>’</w:t>
      </w:r>
      <w:r w:rsidRPr="003F0258">
        <w:rPr>
          <w:b/>
          <w:lang w:val="fr-FR"/>
        </w:rPr>
        <w:t>enfant, selon qu</w:t>
      </w:r>
      <w:r>
        <w:rPr>
          <w:b/>
          <w:lang w:val="fr-FR"/>
        </w:rPr>
        <w:t>’</w:t>
      </w:r>
      <w:r w:rsidRPr="003F0258">
        <w:rPr>
          <w:b/>
          <w:lang w:val="fr-FR"/>
        </w:rPr>
        <w:t>il convien</w:t>
      </w:r>
      <w:r>
        <w:rPr>
          <w:b/>
          <w:lang w:val="fr-FR"/>
        </w:rPr>
        <w:t>t</w:t>
      </w:r>
      <w:r w:rsidRPr="003F0258">
        <w:rPr>
          <w:b/>
          <w:lang w:val="fr-FR"/>
        </w:rPr>
        <w:t>, lors d</w:t>
      </w:r>
      <w:r>
        <w:rPr>
          <w:b/>
          <w:lang w:val="fr-FR"/>
        </w:rPr>
        <w:t>’</w:t>
      </w:r>
      <w:r w:rsidRPr="003F0258">
        <w:rPr>
          <w:b/>
          <w:lang w:val="fr-FR"/>
        </w:rPr>
        <w:t>adoptions nationales. Il recommande également à l</w:t>
      </w:r>
      <w:r>
        <w:rPr>
          <w:b/>
          <w:lang w:val="fr-FR"/>
        </w:rPr>
        <w:t>’</w:t>
      </w:r>
      <w:r w:rsidRPr="003F0258">
        <w:rPr>
          <w:b/>
          <w:lang w:val="fr-FR"/>
        </w:rPr>
        <w:t>État partie de reprendre l</w:t>
      </w:r>
      <w:r>
        <w:rPr>
          <w:b/>
          <w:lang w:val="fr-FR"/>
        </w:rPr>
        <w:t>’</w:t>
      </w:r>
      <w:r w:rsidRPr="003F0258">
        <w:rPr>
          <w:b/>
          <w:lang w:val="fr-FR"/>
        </w:rPr>
        <w:t>examen de la loi relativ</w:t>
      </w:r>
      <w:r>
        <w:rPr>
          <w:b/>
          <w:lang w:val="fr-FR"/>
        </w:rPr>
        <w:t xml:space="preserve">e à l’adoption et de la réviser, si nécessaire, </w:t>
      </w:r>
      <w:r w:rsidRPr="003F0258">
        <w:rPr>
          <w:b/>
          <w:lang w:val="fr-FR"/>
        </w:rPr>
        <w:t>pour la mettre en conformité avec la Convention relative aux droits de l</w:t>
      </w:r>
      <w:r>
        <w:rPr>
          <w:b/>
          <w:lang w:val="fr-FR"/>
        </w:rPr>
        <w:t>’</w:t>
      </w:r>
      <w:r w:rsidRPr="003F0258">
        <w:rPr>
          <w:b/>
          <w:lang w:val="fr-FR"/>
        </w:rPr>
        <w:t>enfant et la Convention de La Haye de 1993 sur la protection des enfants et la coopération en matière d</w:t>
      </w:r>
      <w:r>
        <w:rPr>
          <w:b/>
          <w:lang w:val="fr-FR"/>
        </w:rPr>
        <w:t>’</w:t>
      </w:r>
      <w:r w:rsidRPr="003F0258">
        <w:rPr>
          <w:b/>
          <w:lang w:val="fr-FR"/>
        </w:rPr>
        <w:t>adoption</w:t>
      </w:r>
      <w:r w:rsidRPr="003F0258">
        <w:rPr>
          <w:lang w:val="fr-FR"/>
        </w:rPr>
        <w:t xml:space="preserve">. </w:t>
      </w:r>
      <w:r w:rsidRPr="003F0258">
        <w:rPr>
          <w:b/>
          <w:lang w:val="fr-FR"/>
        </w:rPr>
        <w:t>Le Comité recommande également à l</w:t>
      </w:r>
      <w:r>
        <w:rPr>
          <w:b/>
          <w:lang w:val="fr-FR"/>
        </w:rPr>
        <w:t>’</w:t>
      </w:r>
      <w:r w:rsidRPr="003F0258">
        <w:rPr>
          <w:b/>
          <w:lang w:val="fr-FR"/>
        </w:rPr>
        <w:t>État partie d</w:t>
      </w:r>
      <w:r>
        <w:rPr>
          <w:b/>
          <w:lang w:val="fr-FR"/>
        </w:rPr>
        <w:t>’</w:t>
      </w:r>
      <w:r w:rsidRPr="003F0258">
        <w:rPr>
          <w:b/>
          <w:lang w:val="fr-FR"/>
        </w:rPr>
        <w:t>abaisser à 18 ans au moins l</w:t>
      </w:r>
      <w:r>
        <w:rPr>
          <w:b/>
          <w:lang w:val="fr-FR"/>
        </w:rPr>
        <w:t>’</w:t>
      </w:r>
      <w:r w:rsidRPr="003F0258">
        <w:rPr>
          <w:b/>
          <w:lang w:val="fr-FR"/>
        </w:rPr>
        <w:t xml:space="preserve">âge auquel un enfant adopté a le droit </w:t>
      </w:r>
      <w:r>
        <w:rPr>
          <w:b/>
          <w:lang w:val="fr-FR"/>
        </w:rPr>
        <w:t xml:space="preserve">de consulter </w:t>
      </w:r>
      <w:r w:rsidRPr="003F0258">
        <w:rPr>
          <w:b/>
          <w:lang w:val="fr-FR"/>
        </w:rPr>
        <w:t>son dossier.</w:t>
      </w:r>
    </w:p>
    <w:p w:rsidR="00EC25BC" w:rsidRPr="003F0258" w:rsidRDefault="00EC25BC" w:rsidP="00EC25BC">
      <w:pPr>
        <w:pStyle w:val="H23G"/>
        <w:rPr>
          <w:lang w:val="fr-FR"/>
        </w:rPr>
      </w:pPr>
      <w:r>
        <w:rPr>
          <w:lang w:val="fr-FR"/>
        </w:rPr>
        <w:tab/>
      </w:r>
      <w:r>
        <w:rPr>
          <w:lang w:val="fr-FR"/>
        </w:rPr>
        <w:tab/>
      </w:r>
      <w:r w:rsidRPr="003F0258">
        <w:rPr>
          <w:lang w:val="fr-FR"/>
        </w:rPr>
        <w:t>Maltraitance et négligence</w:t>
      </w:r>
    </w:p>
    <w:p w:rsidR="00EC25BC" w:rsidRPr="003F0258" w:rsidRDefault="00EC25BC" w:rsidP="00EC25BC">
      <w:pPr>
        <w:pStyle w:val="SingleTxtG"/>
        <w:rPr>
          <w:lang w:val="fr-FR"/>
        </w:rPr>
      </w:pPr>
      <w:r w:rsidRPr="003F0258">
        <w:rPr>
          <w:bCs/>
          <w:lang w:val="fr-FR"/>
        </w:rPr>
        <w:t>35.</w:t>
      </w:r>
      <w:r w:rsidRPr="003F0258">
        <w:rPr>
          <w:bCs/>
          <w:lang w:val="fr-FR"/>
        </w:rPr>
        <w:tab/>
      </w:r>
      <w:r w:rsidRPr="003F0258">
        <w:rPr>
          <w:lang w:val="fr-FR"/>
        </w:rPr>
        <w:t xml:space="preserve">Le Comité se félicite des </w:t>
      </w:r>
      <w:r>
        <w:rPr>
          <w:lang w:val="fr-FR"/>
        </w:rPr>
        <w:t>mesures prises</w:t>
      </w:r>
      <w:r w:rsidRPr="003F0258">
        <w:rPr>
          <w:lang w:val="fr-FR"/>
        </w:rPr>
        <w:t xml:space="preserve"> par l</w:t>
      </w:r>
      <w:r>
        <w:rPr>
          <w:lang w:val="fr-FR"/>
        </w:rPr>
        <w:t>’</w:t>
      </w:r>
      <w:r w:rsidRPr="003F0258">
        <w:rPr>
          <w:lang w:val="fr-FR"/>
        </w:rPr>
        <w:t xml:space="preserve">État partie pour lutter contre le problème de la maltraitance et de la négligence des enfants, en particulier les </w:t>
      </w:r>
      <w:r>
        <w:rPr>
          <w:lang w:val="fr-FR"/>
        </w:rPr>
        <w:t xml:space="preserve">mesures prises dans le domaine de la prévention, comme </w:t>
      </w:r>
      <w:r w:rsidRPr="003F0258">
        <w:rPr>
          <w:lang w:val="fr-FR"/>
        </w:rPr>
        <w:t>l</w:t>
      </w:r>
      <w:r>
        <w:rPr>
          <w:lang w:val="fr-FR"/>
        </w:rPr>
        <w:t>’</w:t>
      </w:r>
      <w:r w:rsidRPr="003F0258">
        <w:rPr>
          <w:lang w:val="fr-FR"/>
        </w:rPr>
        <w:t>augmentation des financements, la constitution de l</w:t>
      </w:r>
      <w:r>
        <w:rPr>
          <w:lang w:val="fr-FR"/>
        </w:rPr>
        <w:t>’</w:t>
      </w:r>
      <w:r w:rsidRPr="003F0258">
        <w:rPr>
          <w:lang w:val="fr-FR"/>
        </w:rPr>
        <w:t xml:space="preserve">équipe ministérielle sur la violence familiale, </w:t>
      </w:r>
      <w:r>
        <w:rPr>
          <w:lang w:val="fr-FR"/>
        </w:rPr>
        <w:t xml:space="preserve">et </w:t>
      </w:r>
      <w:r w:rsidRPr="003F0258">
        <w:rPr>
          <w:lang w:val="fr-FR"/>
        </w:rPr>
        <w:t xml:space="preserve">du Groupe de travail sur la violence dans la famille et </w:t>
      </w:r>
      <w:r>
        <w:rPr>
          <w:lang w:val="fr-FR"/>
        </w:rPr>
        <w:t xml:space="preserve">la création </w:t>
      </w:r>
      <w:r w:rsidRPr="003F0258">
        <w:rPr>
          <w:lang w:val="fr-FR"/>
        </w:rPr>
        <w:t>du Forum indépendant d</w:t>
      </w:r>
      <w:r>
        <w:rPr>
          <w:lang w:val="fr-FR"/>
        </w:rPr>
        <w:t>’</w:t>
      </w:r>
      <w:r w:rsidRPr="003F0258">
        <w:rPr>
          <w:lang w:val="fr-FR"/>
        </w:rPr>
        <w:t xml:space="preserve">experts sur la maltraitance des enfants. Le Comité demeure toutefois préoccupé </w:t>
      </w:r>
      <w:r>
        <w:rPr>
          <w:lang w:val="fr-FR"/>
        </w:rPr>
        <w:t>par le</w:t>
      </w:r>
      <w:r w:rsidRPr="003F0258">
        <w:rPr>
          <w:lang w:val="fr-FR"/>
        </w:rPr>
        <w:t xml:space="preserve"> taux élevé de maltraitance et de négligence des enfants au sein de la famille et </w:t>
      </w:r>
      <w:r>
        <w:rPr>
          <w:lang w:val="fr-FR"/>
        </w:rPr>
        <w:t>par</w:t>
      </w:r>
      <w:r w:rsidRPr="003F0258">
        <w:rPr>
          <w:lang w:val="fr-FR"/>
        </w:rPr>
        <w:t xml:space="preserve"> l</w:t>
      </w:r>
      <w:r>
        <w:rPr>
          <w:lang w:val="fr-FR"/>
        </w:rPr>
        <w:t>’</w:t>
      </w:r>
      <w:r w:rsidRPr="003F0258">
        <w:rPr>
          <w:lang w:val="fr-FR"/>
        </w:rPr>
        <w:t xml:space="preserve">absence de stratégie nationale globale </w:t>
      </w:r>
      <w:r>
        <w:rPr>
          <w:lang w:val="fr-FR"/>
        </w:rPr>
        <w:t>dans ce domaine</w:t>
      </w:r>
      <w:r w:rsidRPr="003F0258">
        <w:rPr>
          <w:lang w:val="fr-FR"/>
        </w:rPr>
        <w:t xml:space="preserve">. </w:t>
      </w:r>
      <w:r>
        <w:rPr>
          <w:lang w:val="fr-FR"/>
        </w:rPr>
        <w:t>Il</w:t>
      </w:r>
      <w:r w:rsidRPr="003F0258">
        <w:rPr>
          <w:lang w:val="fr-FR"/>
        </w:rPr>
        <w:t xml:space="preserve"> regrette qu</w:t>
      </w:r>
      <w:r>
        <w:rPr>
          <w:lang w:val="fr-FR"/>
        </w:rPr>
        <w:t>’</w:t>
      </w:r>
      <w:r w:rsidRPr="003F0258">
        <w:rPr>
          <w:lang w:val="fr-FR"/>
        </w:rPr>
        <w:t>il n</w:t>
      </w:r>
      <w:r>
        <w:rPr>
          <w:lang w:val="fr-FR"/>
        </w:rPr>
        <w:t>’</w:t>
      </w:r>
      <w:r w:rsidRPr="003F0258">
        <w:rPr>
          <w:lang w:val="fr-FR"/>
        </w:rPr>
        <w:t>existe toujours pas de système général d</w:t>
      </w:r>
      <w:r>
        <w:rPr>
          <w:lang w:val="fr-FR"/>
        </w:rPr>
        <w:t>’</w:t>
      </w:r>
      <w:r w:rsidRPr="003F0258">
        <w:rPr>
          <w:lang w:val="fr-FR"/>
        </w:rPr>
        <w:t>enregistrement et d</w:t>
      </w:r>
      <w:r>
        <w:rPr>
          <w:lang w:val="fr-FR"/>
        </w:rPr>
        <w:t>’</w:t>
      </w:r>
      <w:r w:rsidRPr="003F0258">
        <w:rPr>
          <w:lang w:val="fr-FR"/>
        </w:rPr>
        <w:t xml:space="preserve">analyse des </w:t>
      </w:r>
      <w:r>
        <w:rPr>
          <w:lang w:val="fr-FR"/>
        </w:rPr>
        <w:t>violences</w:t>
      </w:r>
      <w:r w:rsidRPr="003F0258">
        <w:rPr>
          <w:lang w:val="fr-FR"/>
        </w:rPr>
        <w:t xml:space="preserve"> commis</w:t>
      </w:r>
      <w:r>
        <w:rPr>
          <w:lang w:val="fr-FR"/>
        </w:rPr>
        <w:t>es</w:t>
      </w:r>
      <w:r w:rsidRPr="003F0258">
        <w:rPr>
          <w:lang w:val="fr-FR"/>
        </w:rPr>
        <w:t xml:space="preserve"> contre les enfants et qu</w:t>
      </w:r>
      <w:r>
        <w:rPr>
          <w:lang w:val="fr-FR"/>
        </w:rPr>
        <w:t>’</w:t>
      </w:r>
      <w:r w:rsidRPr="003F0258">
        <w:rPr>
          <w:lang w:val="fr-FR"/>
        </w:rPr>
        <w:t>il n</w:t>
      </w:r>
      <w:r>
        <w:rPr>
          <w:lang w:val="fr-FR"/>
        </w:rPr>
        <w:t>’</w:t>
      </w:r>
      <w:r w:rsidRPr="003F0258">
        <w:rPr>
          <w:lang w:val="fr-FR"/>
        </w:rPr>
        <w:t>y ait pas suffisamment de mécanismes propres à assurer le rétablissement physique et psychologique et la réinsertion sociale des victimes sur tout le territoire de l</w:t>
      </w:r>
      <w:r>
        <w:rPr>
          <w:lang w:val="fr-FR"/>
        </w:rPr>
        <w:t>’</w:t>
      </w:r>
      <w:r w:rsidRPr="003F0258">
        <w:rPr>
          <w:lang w:val="fr-FR"/>
        </w:rPr>
        <w:t xml:space="preserve">État partie. </w:t>
      </w:r>
    </w:p>
    <w:p w:rsidR="00EC25BC" w:rsidRPr="003F0258" w:rsidRDefault="00EC25BC" w:rsidP="00CC05F6">
      <w:pPr>
        <w:pStyle w:val="SingleTxtG"/>
        <w:keepNext/>
        <w:rPr>
          <w:b/>
          <w:bCs/>
          <w:lang w:val="fr-FR"/>
        </w:rPr>
      </w:pPr>
      <w:r w:rsidRPr="003F0258">
        <w:rPr>
          <w:lang w:val="fr-FR"/>
        </w:rPr>
        <w:t>36.</w:t>
      </w:r>
      <w:r w:rsidRPr="003F0258">
        <w:rPr>
          <w:lang w:val="fr-FR"/>
        </w:rPr>
        <w:tab/>
      </w:r>
      <w:r w:rsidRPr="003F0258">
        <w:rPr>
          <w:b/>
          <w:bCs/>
          <w:lang w:val="fr-FR"/>
        </w:rPr>
        <w:t>Le Comité recommande à l</w:t>
      </w:r>
      <w:r>
        <w:rPr>
          <w:b/>
          <w:bCs/>
          <w:lang w:val="fr-FR"/>
        </w:rPr>
        <w:t>’</w:t>
      </w:r>
      <w:r w:rsidRPr="003F0258">
        <w:rPr>
          <w:b/>
          <w:bCs/>
          <w:lang w:val="fr-FR"/>
        </w:rPr>
        <w:t>État partie:</w:t>
      </w:r>
    </w:p>
    <w:p w:rsidR="00EC25BC" w:rsidRPr="003F0258" w:rsidRDefault="00EC25BC" w:rsidP="00EC25BC">
      <w:pPr>
        <w:pStyle w:val="SingleTxtG"/>
        <w:ind w:firstLine="567"/>
        <w:rPr>
          <w:b/>
          <w:lang w:val="fr-FR"/>
        </w:rPr>
      </w:pPr>
      <w:r w:rsidRPr="003F0258">
        <w:rPr>
          <w:b/>
          <w:lang w:val="fr-FR"/>
        </w:rPr>
        <w:t>a)</w:t>
      </w:r>
      <w:r w:rsidRPr="003F0258">
        <w:rPr>
          <w:b/>
          <w:lang w:val="fr-FR"/>
        </w:rPr>
        <w:tab/>
        <w:t xml:space="preserve">De mettre en place des mécanismes pour </w:t>
      </w:r>
      <w:r>
        <w:rPr>
          <w:b/>
          <w:lang w:val="fr-FR"/>
        </w:rPr>
        <w:t>évaluer</w:t>
      </w:r>
      <w:r w:rsidRPr="003F0258">
        <w:rPr>
          <w:b/>
          <w:lang w:val="fr-FR"/>
        </w:rPr>
        <w:t xml:space="preserve"> le nombre </w:t>
      </w:r>
      <w:r>
        <w:rPr>
          <w:b/>
          <w:lang w:val="fr-FR"/>
        </w:rPr>
        <w:t xml:space="preserve">de </w:t>
      </w:r>
      <w:r w:rsidRPr="003F0258">
        <w:rPr>
          <w:b/>
          <w:lang w:val="fr-FR"/>
        </w:rPr>
        <w:t>cas de violence, de sévices sexuels, de négligence, de mauvais traitements et d</w:t>
      </w:r>
      <w:r>
        <w:rPr>
          <w:b/>
          <w:lang w:val="fr-FR"/>
        </w:rPr>
        <w:t>’</w:t>
      </w:r>
      <w:r w:rsidRPr="003F0258">
        <w:rPr>
          <w:b/>
          <w:lang w:val="fr-FR"/>
        </w:rPr>
        <w:t>exploitation</w:t>
      </w:r>
      <w:r>
        <w:rPr>
          <w:b/>
          <w:lang w:val="fr-FR"/>
        </w:rPr>
        <w:t xml:space="preserve"> et l’ampleur de ces phénomènes</w:t>
      </w:r>
      <w:r w:rsidRPr="003F0258">
        <w:rPr>
          <w:b/>
          <w:lang w:val="fr-FR"/>
        </w:rPr>
        <w:t xml:space="preserve">, </w:t>
      </w:r>
      <w:r w:rsidRPr="00584AE0">
        <w:rPr>
          <w:rFonts w:eastAsia="MS Mincho"/>
          <w:b/>
          <w:lang w:val="fr-FR"/>
        </w:rPr>
        <w:t>y</w:t>
      </w:r>
      <w:r>
        <w:rPr>
          <w:rFonts w:eastAsia="MS Mincho"/>
          <w:b/>
          <w:lang w:val="fr-FR"/>
        </w:rPr>
        <w:t xml:space="preserve"> </w:t>
      </w:r>
      <w:r w:rsidRPr="00584AE0">
        <w:rPr>
          <w:rFonts w:eastAsia="MS Mincho"/>
          <w:b/>
          <w:lang w:val="fr-FR"/>
        </w:rPr>
        <w:t>compris</w:t>
      </w:r>
      <w:r w:rsidRPr="003F0258">
        <w:rPr>
          <w:b/>
          <w:lang w:val="fr-FR"/>
        </w:rPr>
        <w:t xml:space="preserve"> au sein de la famille, à l</w:t>
      </w:r>
      <w:r>
        <w:rPr>
          <w:b/>
          <w:lang w:val="fr-FR"/>
        </w:rPr>
        <w:t>’</w:t>
      </w:r>
      <w:r w:rsidRPr="003F0258">
        <w:rPr>
          <w:b/>
          <w:lang w:val="fr-FR"/>
        </w:rPr>
        <w:t xml:space="preserve">école et dans </w:t>
      </w:r>
      <w:r>
        <w:rPr>
          <w:b/>
          <w:lang w:val="fr-FR"/>
        </w:rPr>
        <w:t>l</w:t>
      </w:r>
      <w:r w:rsidRPr="003F0258">
        <w:rPr>
          <w:b/>
          <w:lang w:val="fr-FR"/>
        </w:rPr>
        <w:t>es institutions de placement ou autres structures de protection;</w:t>
      </w:r>
    </w:p>
    <w:p w:rsidR="00EC25BC" w:rsidRPr="003F0258" w:rsidRDefault="00EC25BC" w:rsidP="00EC25BC">
      <w:pPr>
        <w:pStyle w:val="SingleTxtG"/>
        <w:ind w:firstLine="567"/>
        <w:rPr>
          <w:b/>
          <w:lang w:val="fr-FR"/>
        </w:rPr>
      </w:pPr>
      <w:r w:rsidRPr="003F0258">
        <w:rPr>
          <w:b/>
          <w:lang w:val="fr-FR"/>
        </w:rPr>
        <w:t>b)</w:t>
      </w:r>
      <w:r w:rsidRPr="003F0258">
        <w:rPr>
          <w:b/>
          <w:lang w:val="fr-FR"/>
        </w:rPr>
        <w:tab/>
        <w:t>De faire en sorte que les catégories professionnelles travaillant avec des enfants (</w:t>
      </w:r>
      <w:r>
        <w:rPr>
          <w:b/>
          <w:lang w:val="fr-FR"/>
        </w:rPr>
        <w:t xml:space="preserve">notamment les </w:t>
      </w:r>
      <w:r w:rsidRPr="003F0258">
        <w:rPr>
          <w:b/>
          <w:lang w:val="fr-FR"/>
        </w:rPr>
        <w:t xml:space="preserve">enseignants, </w:t>
      </w:r>
      <w:r>
        <w:rPr>
          <w:b/>
          <w:lang w:val="fr-FR"/>
        </w:rPr>
        <w:t xml:space="preserve">les </w:t>
      </w:r>
      <w:r w:rsidRPr="003F0258">
        <w:rPr>
          <w:b/>
          <w:lang w:val="fr-FR"/>
        </w:rPr>
        <w:t xml:space="preserve">travailleurs sociaux, </w:t>
      </w:r>
      <w:r>
        <w:rPr>
          <w:b/>
          <w:lang w:val="fr-FR"/>
        </w:rPr>
        <w:t xml:space="preserve">le </w:t>
      </w:r>
      <w:r w:rsidRPr="003F0258">
        <w:rPr>
          <w:b/>
          <w:lang w:val="fr-FR"/>
        </w:rPr>
        <w:t xml:space="preserve">personnel de santé, </w:t>
      </w:r>
      <w:r>
        <w:rPr>
          <w:b/>
          <w:lang w:val="fr-FR"/>
        </w:rPr>
        <w:t xml:space="preserve">les </w:t>
      </w:r>
      <w:r w:rsidRPr="003F0258">
        <w:rPr>
          <w:b/>
          <w:lang w:val="fr-FR"/>
        </w:rPr>
        <w:t>polic</w:t>
      </w:r>
      <w:r>
        <w:rPr>
          <w:b/>
          <w:lang w:val="fr-FR"/>
        </w:rPr>
        <w:t>i</w:t>
      </w:r>
      <w:r w:rsidRPr="003F0258">
        <w:rPr>
          <w:b/>
          <w:lang w:val="fr-FR"/>
        </w:rPr>
        <w:t>e</w:t>
      </w:r>
      <w:r>
        <w:rPr>
          <w:b/>
          <w:lang w:val="fr-FR"/>
        </w:rPr>
        <w:t>rs</w:t>
      </w:r>
      <w:r w:rsidRPr="003F0258">
        <w:rPr>
          <w:b/>
          <w:lang w:val="fr-FR"/>
        </w:rPr>
        <w:t xml:space="preserve"> et </w:t>
      </w:r>
      <w:r>
        <w:rPr>
          <w:b/>
          <w:lang w:val="fr-FR"/>
        </w:rPr>
        <w:t>le personnel judiciaire</w:t>
      </w:r>
      <w:r w:rsidRPr="003F0258">
        <w:rPr>
          <w:b/>
          <w:lang w:val="fr-FR"/>
        </w:rPr>
        <w:t xml:space="preserve">) </w:t>
      </w:r>
      <w:r>
        <w:rPr>
          <w:b/>
          <w:lang w:val="fr-FR"/>
        </w:rPr>
        <w:t xml:space="preserve">bénéficient d’une formation quant à </w:t>
      </w:r>
      <w:r w:rsidRPr="003F0258">
        <w:rPr>
          <w:b/>
          <w:lang w:val="fr-FR"/>
        </w:rPr>
        <w:t>l</w:t>
      </w:r>
      <w:r>
        <w:rPr>
          <w:b/>
          <w:lang w:val="fr-FR"/>
        </w:rPr>
        <w:t>’</w:t>
      </w:r>
      <w:r w:rsidRPr="003F0258">
        <w:rPr>
          <w:b/>
          <w:lang w:val="fr-FR"/>
        </w:rPr>
        <w:t>obligation qui leur incombe de signaler le</w:t>
      </w:r>
      <w:r>
        <w:rPr>
          <w:b/>
          <w:lang w:val="fr-FR"/>
        </w:rPr>
        <w:t xml:space="preserve">s cas présumés de violence familiale touchant des </w:t>
      </w:r>
      <w:r w:rsidRPr="003F0258">
        <w:rPr>
          <w:b/>
          <w:lang w:val="fr-FR"/>
        </w:rPr>
        <w:t xml:space="preserve">enfants et de prendre </w:t>
      </w:r>
      <w:r>
        <w:rPr>
          <w:b/>
          <w:lang w:val="fr-FR"/>
        </w:rPr>
        <w:t>les mesures voulues</w:t>
      </w:r>
      <w:r w:rsidRPr="003F0258">
        <w:rPr>
          <w:b/>
          <w:lang w:val="fr-FR"/>
        </w:rPr>
        <w:t>;</w:t>
      </w:r>
    </w:p>
    <w:p w:rsidR="00EC25BC" w:rsidRPr="003F0258" w:rsidRDefault="00EC25BC" w:rsidP="00EC25BC">
      <w:pPr>
        <w:pStyle w:val="SingleTxtG"/>
        <w:ind w:firstLine="567"/>
        <w:rPr>
          <w:b/>
          <w:lang w:val="fr-FR"/>
        </w:rPr>
      </w:pPr>
      <w:r w:rsidRPr="004A7AB9">
        <w:rPr>
          <w:b/>
          <w:bCs/>
          <w:lang w:val="fr-FR"/>
        </w:rPr>
        <w:t>c)</w:t>
      </w:r>
      <w:r w:rsidRPr="004A7AB9">
        <w:rPr>
          <w:b/>
          <w:bCs/>
          <w:lang w:val="fr-FR"/>
        </w:rPr>
        <w:tab/>
        <w:t>De renforcer l</w:t>
      </w:r>
      <w:r>
        <w:rPr>
          <w:b/>
          <w:bCs/>
          <w:lang w:val="fr-FR"/>
        </w:rPr>
        <w:t>’</w:t>
      </w:r>
      <w:r w:rsidRPr="004A7AB9">
        <w:rPr>
          <w:b/>
          <w:bCs/>
          <w:lang w:val="fr-FR"/>
        </w:rPr>
        <w:t>assistance prêtée aux victimes de violence, de sévices, de</w:t>
      </w:r>
      <w:r w:rsidRPr="003F0258">
        <w:rPr>
          <w:b/>
          <w:lang w:val="fr-FR"/>
        </w:rPr>
        <w:t xml:space="preserve"> négligence ou de mauvais traitements afin d</w:t>
      </w:r>
      <w:r>
        <w:rPr>
          <w:b/>
          <w:lang w:val="fr-FR"/>
        </w:rPr>
        <w:t>’</w:t>
      </w:r>
      <w:r w:rsidRPr="003F0258">
        <w:rPr>
          <w:b/>
          <w:lang w:val="fr-FR"/>
        </w:rPr>
        <w:t>assurer qu</w:t>
      </w:r>
      <w:r>
        <w:rPr>
          <w:b/>
          <w:lang w:val="fr-FR"/>
        </w:rPr>
        <w:t>’</w:t>
      </w:r>
      <w:r w:rsidRPr="003F0258">
        <w:rPr>
          <w:b/>
          <w:lang w:val="fr-FR"/>
        </w:rPr>
        <w:t>elles ne soient pas de nouveau traitées injustement lors de la procédure judiciaire;</w:t>
      </w:r>
    </w:p>
    <w:p w:rsidR="00EC25BC" w:rsidRPr="003F0258" w:rsidRDefault="00EC25BC" w:rsidP="00EC25BC">
      <w:pPr>
        <w:pStyle w:val="SingleTxtG"/>
        <w:ind w:firstLine="567"/>
        <w:rPr>
          <w:lang w:val="fr-FR"/>
        </w:rPr>
      </w:pPr>
      <w:r w:rsidRPr="003F0258">
        <w:rPr>
          <w:b/>
          <w:lang w:val="fr-FR"/>
        </w:rPr>
        <w:t>d)</w:t>
      </w:r>
      <w:r w:rsidRPr="003F0258">
        <w:rPr>
          <w:b/>
          <w:lang w:val="fr-FR"/>
        </w:rPr>
        <w:tab/>
        <w:t>D</w:t>
      </w:r>
      <w:r>
        <w:rPr>
          <w:b/>
          <w:lang w:val="fr-FR"/>
        </w:rPr>
        <w:t>’</w:t>
      </w:r>
      <w:r w:rsidRPr="003F0258">
        <w:rPr>
          <w:b/>
          <w:lang w:val="fr-FR"/>
        </w:rPr>
        <w:t>assurer l</w:t>
      </w:r>
      <w:r>
        <w:rPr>
          <w:b/>
          <w:lang w:val="fr-FR"/>
        </w:rPr>
        <w:t>’</w:t>
      </w:r>
      <w:r w:rsidRPr="003F0258">
        <w:rPr>
          <w:b/>
          <w:lang w:val="fr-FR"/>
        </w:rPr>
        <w:t xml:space="preserve">accès </w:t>
      </w:r>
      <w:r>
        <w:rPr>
          <w:b/>
          <w:lang w:val="fr-FR"/>
        </w:rPr>
        <w:t xml:space="preserve">des victimes </w:t>
      </w:r>
      <w:r w:rsidRPr="003F0258">
        <w:rPr>
          <w:b/>
          <w:lang w:val="fr-FR"/>
        </w:rPr>
        <w:t>à des services adéquats de rétablissement, de conseil et d</w:t>
      </w:r>
      <w:r>
        <w:rPr>
          <w:b/>
          <w:lang w:val="fr-FR"/>
        </w:rPr>
        <w:t>’</w:t>
      </w:r>
      <w:r w:rsidRPr="003F0258">
        <w:rPr>
          <w:b/>
          <w:lang w:val="fr-FR"/>
        </w:rPr>
        <w:t>autres formes de réinsertion dans toutes les régions du pays.</w:t>
      </w:r>
      <w:r w:rsidRPr="003F0258">
        <w:rPr>
          <w:lang w:val="fr-FR"/>
        </w:rPr>
        <w:t xml:space="preserve"> </w:t>
      </w:r>
    </w:p>
    <w:p w:rsidR="00EC25BC" w:rsidRPr="003F0258" w:rsidRDefault="00EC25BC" w:rsidP="00EC25BC">
      <w:pPr>
        <w:pStyle w:val="H1G"/>
        <w:rPr>
          <w:lang w:val="fr-FR"/>
        </w:rPr>
      </w:pPr>
      <w:r>
        <w:rPr>
          <w:bCs/>
          <w:lang w:val="fr-FR"/>
        </w:rPr>
        <w:tab/>
      </w:r>
      <w:r w:rsidRPr="003F0258">
        <w:rPr>
          <w:bCs/>
          <w:lang w:val="fr-FR"/>
        </w:rPr>
        <w:t>E.</w:t>
      </w:r>
      <w:r w:rsidRPr="003F0258">
        <w:rPr>
          <w:bCs/>
          <w:lang w:val="fr-FR"/>
        </w:rPr>
        <w:tab/>
        <w:t xml:space="preserve">Soins de santé de base et bien-être </w:t>
      </w:r>
      <w:r w:rsidRPr="003F0258">
        <w:rPr>
          <w:lang w:val="fr-FR"/>
        </w:rPr>
        <w:t>(art.</w:t>
      </w:r>
      <w:r>
        <w:rPr>
          <w:lang w:val="fr-FR"/>
        </w:rPr>
        <w:t xml:space="preserve"> </w:t>
      </w:r>
      <w:r w:rsidRPr="003F0258">
        <w:rPr>
          <w:lang w:val="fr-FR"/>
        </w:rPr>
        <w:t>6, 18 (par.</w:t>
      </w:r>
      <w:r>
        <w:rPr>
          <w:lang w:val="fr-FR"/>
        </w:rPr>
        <w:t xml:space="preserve"> </w:t>
      </w:r>
      <w:r w:rsidRPr="003F0258">
        <w:rPr>
          <w:lang w:val="fr-FR"/>
        </w:rPr>
        <w:t>3), 23, 24, 26 et 27 (par.</w:t>
      </w:r>
      <w:r>
        <w:rPr>
          <w:lang w:val="fr-FR"/>
        </w:rPr>
        <w:t xml:space="preserve"> </w:t>
      </w:r>
      <w:r w:rsidRPr="003F0258">
        <w:rPr>
          <w:lang w:val="fr-FR"/>
        </w:rPr>
        <w:t>1 à 3) de la Convention)</w:t>
      </w:r>
    </w:p>
    <w:p w:rsidR="00EC25BC" w:rsidRPr="003F0258" w:rsidRDefault="00EC25BC" w:rsidP="00EC25BC">
      <w:pPr>
        <w:pStyle w:val="H23G"/>
      </w:pPr>
      <w:r>
        <w:tab/>
      </w:r>
      <w:r>
        <w:tab/>
      </w:r>
      <w:r w:rsidRPr="003F0258">
        <w:t>Santé et services de santé</w:t>
      </w:r>
    </w:p>
    <w:p w:rsidR="00EC25BC" w:rsidRPr="003F0258" w:rsidRDefault="00EC25BC" w:rsidP="00EC25BC">
      <w:pPr>
        <w:pStyle w:val="SingleTxtG"/>
      </w:pPr>
      <w:r w:rsidRPr="003F0258">
        <w:t>37.</w:t>
      </w:r>
      <w:r w:rsidRPr="003F0258">
        <w:tab/>
        <w:t xml:space="preserve">Le Comité note avec intérêt que le programme </w:t>
      </w:r>
      <w:r w:rsidRPr="00CC05F6">
        <w:t>Well Child</w:t>
      </w:r>
      <w:r w:rsidRPr="008E13C9">
        <w:t xml:space="preserve"> </w:t>
      </w:r>
      <w:r w:rsidRPr="003F0258">
        <w:t xml:space="preserve">couvre la quasi-totalité des enfants et que les enfants de moins de six ans ont accès à des soins de santé de base gratuits pendant les heures </w:t>
      </w:r>
      <w:r>
        <w:t>normales de consultation</w:t>
      </w:r>
      <w:r w:rsidRPr="003F0258">
        <w:t xml:space="preserve">. </w:t>
      </w:r>
      <w:r>
        <w:t>Il salue la volonté</w:t>
      </w:r>
      <w:r w:rsidRPr="003F0258">
        <w:t xml:space="preserve"> de l</w:t>
      </w:r>
      <w:r>
        <w:t>’</w:t>
      </w:r>
      <w:r w:rsidRPr="003F0258">
        <w:t xml:space="preserve">État partie </w:t>
      </w:r>
      <w:r>
        <w:t>de</w:t>
      </w:r>
      <w:r w:rsidRPr="003F0258">
        <w:t xml:space="preserve"> mettre en œuvre des politiques et </w:t>
      </w:r>
      <w:r>
        <w:t xml:space="preserve">des </w:t>
      </w:r>
      <w:r w:rsidRPr="003F0258">
        <w:t xml:space="preserve">initiatives </w:t>
      </w:r>
      <w:r>
        <w:t>destinées à réduire</w:t>
      </w:r>
      <w:r w:rsidRPr="003F0258">
        <w:t xml:space="preserve"> les disparités en matière de santé des enfants</w:t>
      </w:r>
      <w:r>
        <w:t xml:space="preserve">, mais note avec préoccupation que </w:t>
      </w:r>
      <w:r w:rsidRPr="003F0258">
        <w:t xml:space="preserve">les inégalités </w:t>
      </w:r>
      <w:r>
        <w:t>persistent</w:t>
      </w:r>
      <w:r w:rsidRPr="003F0258">
        <w:t xml:space="preserve"> et se traduisent notamment </w:t>
      </w:r>
      <w:r>
        <w:t>par des disparités entre les Maoris et le</w:t>
      </w:r>
      <w:r w:rsidRPr="003F0258">
        <w:t xml:space="preserve"> reste de la population de l</w:t>
      </w:r>
      <w:r>
        <w:t>’</w:t>
      </w:r>
      <w:r w:rsidRPr="003F0258">
        <w:t>État partie</w:t>
      </w:r>
      <w:r>
        <w:t xml:space="preserve">, </w:t>
      </w:r>
      <w:r>
        <w:rPr>
          <w:rFonts w:eastAsia="MS Mincho"/>
        </w:rPr>
        <w:t>en ce qui concerne</w:t>
      </w:r>
      <w:r>
        <w:t xml:space="preserve"> le taux de mortalité infantile et</w:t>
      </w:r>
      <w:r w:rsidRPr="003F0258">
        <w:t xml:space="preserve"> les taux de vaccination</w:t>
      </w:r>
      <w:r>
        <w:t>, qui sont</w:t>
      </w:r>
      <w:r w:rsidRPr="003F0258">
        <w:t xml:space="preserve"> généralement inférieurs chez les enfants maoris.</w:t>
      </w:r>
    </w:p>
    <w:p w:rsidR="00EC25BC" w:rsidRPr="003F0258" w:rsidRDefault="00EC25BC" w:rsidP="00EC25BC">
      <w:pPr>
        <w:pStyle w:val="SingleTxtG"/>
      </w:pPr>
      <w:r w:rsidRPr="003F0258">
        <w:t>38.</w:t>
      </w:r>
      <w:r w:rsidRPr="003F0258">
        <w:tab/>
      </w:r>
      <w:r w:rsidRPr="003F0258">
        <w:rPr>
          <w:b/>
          <w:bCs/>
          <w:lang w:val="fr-FR"/>
        </w:rPr>
        <w:t xml:space="preserve">Le Comité recommande de remédier aux inégalités </w:t>
      </w:r>
      <w:r>
        <w:rPr>
          <w:b/>
          <w:bCs/>
          <w:lang w:val="fr-FR"/>
        </w:rPr>
        <w:t>dans</w:t>
      </w:r>
      <w:r w:rsidRPr="003F0258">
        <w:rPr>
          <w:b/>
          <w:bCs/>
          <w:lang w:val="fr-FR"/>
        </w:rPr>
        <w:t xml:space="preserve"> l</w:t>
      </w:r>
      <w:r>
        <w:rPr>
          <w:b/>
          <w:bCs/>
          <w:lang w:val="fr-FR"/>
        </w:rPr>
        <w:t>’</w:t>
      </w:r>
      <w:r w:rsidRPr="003F0258">
        <w:rPr>
          <w:b/>
          <w:bCs/>
          <w:lang w:val="fr-FR"/>
        </w:rPr>
        <w:t>accès aux services de santé grâce à une démarche concertée de la part de tous les ministères et à une plus grande coordination entre les politiques de santé et les politiques visant à réduire les inégalités de revenus et</w:t>
      </w:r>
      <w:r>
        <w:rPr>
          <w:b/>
          <w:bCs/>
          <w:lang w:val="fr-FR"/>
        </w:rPr>
        <w:t xml:space="preserve"> à lutter contre</w:t>
      </w:r>
      <w:r w:rsidRPr="003F0258">
        <w:rPr>
          <w:b/>
          <w:bCs/>
          <w:lang w:val="fr-FR"/>
        </w:rPr>
        <w:t xml:space="preserve"> la pauvreté.</w:t>
      </w:r>
      <w:r w:rsidRPr="003F0258">
        <w:rPr>
          <w:bCs/>
          <w:lang w:val="fr-FR"/>
        </w:rPr>
        <w:t xml:space="preserve"> </w:t>
      </w:r>
    </w:p>
    <w:p w:rsidR="00EC25BC" w:rsidRPr="003F0258" w:rsidRDefault="00EC25BC" w:rsidP="00EC25BC">
      <w:pPr>
        <w:pStyle w:val="H23G"/>
      </w:pPr>
      <w:r>
        <w:tab/>
      </w:r>
      <w:r>
        <w:tab/>
      </w:r>
      <w:r w:rsidRPr="003F0258">
        <w:t>Allaitement</w:t>
      </w:r>
    </w:p>
    <w:p w:rsidR="00EC25BC" w:rsidRPr="003F0258" w:rsidRDefault="00EC25BC" w:rsidP="00EC25BC">
      <w:pPr>
        <w:pStyle w:val="SingleTxtG"/>
      </w:pPr>
      <w:r w:rsidRPr="003F0258">
        <w:t>39.</w:t>
      </w:r>
      <w:r w:rsidRPr="003F0258">
        <w:tab/>
        <w:t>Le Comité, tout en saluant les efforts déployés par l</w:t>
      </w:r>
      <w:r>
        <w:t>’</w:t>
      </w:r>
      <w:r w:rsidRPr="003F0258">
        <w:t>État partie pour encourager l</w:t>
      </w:r>
      <w:r>
        <w:t>’</w:t>
      </w:r>
      <w:r w:rsidRPr="003F0258">
        <w:t>allaitement exclusif pendant les six premiers mois, demeure préoccupé par le fait que seule la moitié des bébés néo-zélandais soi</w:t>
      </w:r>
      <w:r>
        <w:t>en</w:t>
      </w:r>
      <w:r w:rsidRPr="003F0258">
        <w:t>t exclusivement allaités à trois mois et que moins de 8</w:t>
      </w:r>
      <w:r>
        <w:t xml:space="preserve"> </w:t>
      </w:r>
      <w:r w:rsidRPr="003F0258">
        <w:t>% d</w:t>
      </w:r>
      <w:r>
        <w:t>’</w:t>
      </w:r>
      <w:r w:rsidRPr="003F0258">
        <w:t>entre eux le soient à six mois. Le Comité est également préoccupé par le fait que les enfants maoris sont plus susceptibles que les autres de manger des aliments solides avant l</w:t>
      </w:r>
      <w:r>
        <w:t>’</w:t>
      </w:r>
      <w:r w:rsidRPr="003F0258">
        <w:t>âge de quatre mois.</w:t>
      </w:r>
    </w:p>
    <w:p w:rsidR="00EC25BC" w:rsidRPr="003F0258" w:rsidRDefault="00EC25BC" w:rsidP="00EC25BC">
      <w:pPr>
        <w:pStyle w:val="SingleTxtG"/>
        <w:rPr>
          <w:bCs/>
        </w:rPr>
      </w:pPr>
      <w:r w:rsidRPr="003F0258">
        <w:t>40.</w:t>
      </w:r>
      <w:r w:rsidRPr="003F0258">
        <w:tab/>
      </w:r>
      <w:r w:rsidRPr="003F0258">
        <w:rPr>
          <w:b/>
          <w:bCs/>
        </w:rPr>
        <w:t>Le Comité recommande à l</w:t>
      </w:r>
      <w:r>
        <w:rPr>
          <w:b/>
          <w:bCs/>
        </w:rPr>
        <w:t>’</w:t>
      </w:r>
      <w:r w:rsidRPr="003F0258">
        <w:rPr>
          <w:b/>
          <w:bCs/>
        </w:rPr>
        <w:t xml:space="preserve">État partie de poursuivre ses efforts </w:t>
      </w:r>
      <w:r>
        <w:rPr>
          <w:b/>
          <w:bCs/>
        </w:rPr>
        <w:t>pour accroître</w:t>
      </w:r>
      <w:r w:rsidRPr="003F0258">
        <w:rPr>
          <w:b/>
          <w:bCs/>
        </w:rPr>
        <w:t xml:space="preserve"> le nombre d</w:t>
      </w:r>
      <w:r>
        <w:rPr>
          <w:b/>
          <w:bCs/>
        </w:rPr>
        <w:t>’</w:t>
      </w:r>
      <w:r w:rsidRPr="003F0258">
        <w:rPr>
          <w:b/>
          <w:bCs/>
        </w:rPr>
        <w:t>enfants exclusivement allaités jusqu</w:t>
      </w:r>
      <w:r>
        <w:rPr>
          <w:b/>
          <w:bCs/>
        </w:rPr>
        <w:t>’</w:t>
      </w:r>
      <w:r w:rsidRPr="003F0258">
        <w:rPr>
          <w:b/>
          <w:bCs/>
        </w:rPr>
        <w:t xml:space="preserve">à six mois, en </w:t>
      </w:r>
      <w:r>
        <w:rPr>
          <w:b/>
          <w:bCs/>
        </w:rPr>
        <w:t>veillant en particulier à</w:t>
      </w:r>
      <w:r w:rsidRPr="003F0258">
        <w:rPr>
          <w:b/>
          <w:bCs/>
        </w:rPr>
        <w:t xml:space="preserve"> sensibilis</w:t>
      </w:r>
      <w:r>
        <w:rPr>
          <w:b/>
          <w:bCs/>
        </w:rPr>
        <w:t>er</w:t>
      </w:r>
      <w:r w:rsidRPr="003F0258">
        <w:rPr>
          <w:b/>
          <w:bCs/>
        </w:rPr>
        <w:t xml:space="preserve"> la population maorie aux avantages de l</w:t>
      </w:r>
      <w:r>
        <w:rPr>
          <w:b/>
          <w:bCs/>
        </w:rPr>
        <w:t>’</w:t>
      </w:r>
      <w:r w:rsidRPr="003F0258">
        <w:rPr>
          <w:b/>
          <w:bCs/>
        </w:rPr>
        <w:t xml:space="preserve">allaitement exclusif. </w:t>
      </w:r>
      <w:r>
        <w:rPr>
          <w:b/>
          <w:bCs/>
        </w:rPr>
        <w:t>Il</w:t>
      </w:r>
      <w:r w:rsidRPr="003F0258">
        <w:rPr>
          <w:b/>
          <w:bCs/>
          <w:lang w:val="fr-FR"/>
        </w:rPr>
        <w:t xml:space="preserve"> recommande également à </w:t>
      </w:r>
      <w:r w:rsidRPr="003F0258">
        <w:rPr>
          <w:b/>
          <w:lang w:val="fr-FR"/>
        </w:rPr>
        <w:t>l</w:t>
      </w:r>
      <w:r>
        <w:rPr>
          <w:b/>
          <w:lang w:val="fr-FR"/>
        </w:rPr>
        <w:t>’</w:t>
      </w:r>
      <w:r w:rsidRPr="003F0258">
        <w:rPr>
          <w:b/>
          <w:lang w:val="fr-FR"/>
        </w:rPr>
        <w:t>État</w:t>
      </w:r>
      <w:r w:rsidRPr="003F0258">
        <w:rPr>
          <w:lang w:val="fr-FR"/>
        </w:rPr>
        <w:t xml:space="preserve"> </w:t>
      </w:r>
      <w:r w:rsidRPr="003F0258">
        <w:rPr>
          <w:b/>
          <w:bCs/>
          <w:lang w:val="fr-FR"/>
        </w:rPr>
        <w:t>partie d</w:t>
      </w:r>
      <w:r>
        <w:rPr>
          <w:b/>
          <w:bCs/>
          <w:lang w:val="fr-FR"/>
        </w:rPr>
        <w:t>’</w:t>
      </w:r>
      <w:r w:rsidRPr="003F0258">
        <w:rPr>
          <w:b/>
          <w:bCs/>
          <w:lang w:val="fr-FR"/>
        </w:rPr>
        <w:t>appliquer pleinement le Code international de commercialisation des substituts du lait maternel</w:t>
      </w:r>
      <w:r w:rsidRPr="003F0258">
        <w:rPr>
          <w:bCs/>
          <w:lang w:val="fr-FR"/>
        </w:rPr>
        <w:t xml:space="preserve">. </w:t>
      </w:r>
      <w:r w:rsidRPr="003F0258">
        <w:rPr>
          <w:b/>
          <w:bCs/>
          <w:lang w:val="fr-FR"/>
        </w:rPr>
        <w:t>L</w:t>
      </w:r>
      <w:r>
        <w:rPr>
          <w:b/>
          <w:lang w:val="fr-FR"/>
        </w:rPr>
        <w:t>’</w:t>
      </w:r>
      <w:r w:rsidRPr="003F0258">
        <w:rPr>
          <w:b/>
          <w:lang w:val="fr-FR"/>
        </w:rPr>
        <w:t>État</w:t>
      </w:r>
      <w:r w:rsidRPr="003F0258">
        <w:rPr>
          <w:b/>
          <w:bCs/>
          <w:lang w:val="fr-FR"/>
        </w:rPr>
        <w:t xml:space="preserve"> partie devrait en outre promouvoir davantage les hôpitaux amis des bébés et favoriser l</w:t>
      </w:r>
      <w:r>
        <w:rPr>
          <w:b/>
          <w:bCs/>
          <w:lang w:val="fr-FR"/>
        </w:rPr>
        <w:t>’</w:t>
      </w:r>
      <w:r w:rsidRPr="003F0258">
        <w:rPr>
          <w:b/>
          <w:bCs/>
          <w:lang w:val="fr-FR"/>
        </w:rPr>
        <w:t>intégration de l</w:t>
      </w:r>
      <w:r>
        <w:rPr>
          <w:b/>
          <w:bCs/>
          <w:lang w:val="fr-FR"/>
        </w:rPr>
        <w:t>’</w:t>
      </w:r>
      <w:r w:rsidRPr="003F0258">
        <w:rPr>
          <w:b/>
          <w:bCs/>
          <w:lang w:val="fr-FR"/>
        </w:rPr>
        <w:t xml:space="preserve">allaitement maternel dans la formation </w:t>
      </w:r>
      <w:r>
        <w:rPr>
          <w:b/>
          <w:bCs/>
          <w:lang w:val="fr-FR"/>
        </w:rPr>
        <w:t>des infirmières</w:t>
      </w:r>
      <w:r w:rsidRPr="003F0258">
        <w:rPr>
          <w:bCs/>
          <w:lang w:val="fr-FR"/>
        </w:rPr>
        <w:t>.</w:t>
      </w:r>
    </w:p>
    <w:p w:rsidR="00EC25BC" w:rsidRPr="003F0258" w:rsidRDefault="00EC25BC" w:rsidP="00EC25BC">
      <w:pPr>
        <w:pStyle w:val="H23G"/>
      </w:pPr>
      <w:r>
        <w:tab/>
      </w:r>
      <w:r>
        <w:tab/>
      </w:r>
      <w:r w:rsidRPr="003F0258">
        <w:t>Santé des adolescents</w:t>
      </w:r>
    </w:p>
    <w:p w:rsidR="00EC25BC" w:rsidRPr="003F0258" w:rsidRDefault="00EC25BC" w:rsidP="00EC25BC">
      <w:pPr>
        <w:pStyle w:val="SingleTxtG"/>
      </w:pPr>
      <w:r w:rsidRPr="003F0258">
        <w:t>41.</w:t>
      </w:r>
      <w:r w:rsidRPr="003F0258">
        <w:tab/>
      </w:r>
      <w:r>
        <w:rPr>
          <w:lang w:val="fr-FR"/>
        </w:rPr>
        <w:t>Le Comité prend</w:t>
      </w:r>
      <w:r w:rsidRPr="003F0258">
        <w:rPr>
          <w:lang w:val="fr-FR"/>
        </w:rPr>
        <w:t xml:space="preserve"> acte des efforts </w:t>
      </w:r>
      <w:r>
        <w:rPr>
          <w:lang w:val="fr-FR"/>
        </w:rPr>
        <w:t>faits</w:t>
      </w:r>
      <w:r w:rsidRPr="003F0258">
        <w:rPr>
          <w:lang w:val="fr-FR"/>
        </w:rPr>
        <w:t xml:space="preserve"> par l</w:t>
      </w:r>
      <w:r>
        <w:rPr>
          <w:lang w:val="fr-FR"/>
        </w:rPr>
        <w:t>’</w:t>
      </w:r>
      <w:r w:rsidRPr="003F0258">
        <w:rPr>
          <w:lang w:val="fr-FR"/>
        </w:rPr>
        <w:t xml:space="preserve">État partie dans les domaines qui concernent la santé des adolescents, </w:t>
      </w:r>
      <w:r>
        <w:rPr>
          <w:lang w:val="fr-FR"/>
        </w:rPr>
        <w:t xml:space="preserve">mais il </w:t>
      </w:r>
      <w:r w:rsidRPr="003F0258">
        <w:rPr>
          <w:lang w:val="fr-FR"/>
        </w:rPr>
        <w:t>est préoccupé par l</w:t>
      </w:r>
      <w:r>
        <w:rPr>
          <w:lang w:val="fr-FR"/>
        </w:rPr>
        <w:t>’</w:t>
      </w:r>
      <w:r w:rsidRPr="003F0258">
        <w:rPr>
          <w:lang w:val="fr-FR"/>
        </w:rPr>
        <w:t xml:space="preserve">augmentation du taux de grossesses précoces, notamment chez les adolescentes </w:t>
      </w:r>
      <w:r>
        <w:rPr>
          <w:lang w:val="fr-FR"/>
        </w:rPr>
        <w:t>des</w:t>
      </w:r>
      <w:r w:rsidRPr="003F0258">
        <w:rPr>
          <w:lang w:val="fr-FR"/>
        </w:rPr>
        <w:t xml:space="preserve"> milieu</w:t>
      </w:r>
      <w:r>
        <w:rPr>
          <w:lang w:val="fr-FR"/>
        </w:rPr>
        <w:t>x</w:t>
      </w:r>
      <w:r w:rsidRPr="003F0258">
        <w:rPr>
          <w:lang w:val="fr-FR"/>
        </w:rPr>
        <w:t xml:space="preserve"> socioéconomique</w:t>
      </w:r>
      <w:r>
        <w:rPr>
          <w:lang w:val="fr-FR"/>
        </w:rPr>
        <w:t>s</w:t>
      </w:r>
      <w:r w:rsidRPr="003F0258">
        <w:rPr>
          <w:lang w:val="fr-FR"/>
        </w:rPr>
        <w:t xml:space="preserve"> défavorisé</w:t>
      </w:r>
      <w:r>
        <w:rPr>
          <w:lang w:val="fr-FR"/>
        </w:rPr>
        <w:t>s</w:t>
      </w:r>
      <w:r w:rsidRPr="003F0258">
        <w:rPr>
          <w:lang w:val="fr-FR"/>
        </w:rPr>
        <w:t xml:space="preserve"> et </w:t>
      </w:r>
      <w:r>
        <w:rPr>
          <w:lang w:val="fr-FR"/>
        </w:rPr>
        <w:t>des adolescentes d’origine maorie</w:t>
      </w:r>
      <w:r w:rsidRPr="003F0258">
        <w:rPr>
          <w:lang w:val="fr-FR"/>
        </w:rPr>
        <w:t>, ainsi que par le taux élevé de suicide chez les adolescents, en particulier l</w:t>
      </w:r>
      <w:r>
        <w:rPr>
          <w:lang w:val="fr-FR"/>
        </w:rPr>
        <w:t>es adolescent</w:t>
      </w:r>
      <w:r w:rsidRPr="003F0258">
        <w:rPr>
          <w:lang w:val="fr-FR"/>
        </w:rPr>
        <w:t>s maoris.</w:t>
      </w:r>
    </w:p>
    <w:p w:rsidR="00EC25BC" w:rsidRPr="003F0258" w:rsidRDefault="00EC25BC" w:rsidP="00EC25BC">
      <w:pPr>
        <w:pStyle w:val="SingleTxtG"/>
      </w:pPr>
      <w:r w:rsidRPr="003F0258">
        <w:t>42.</w:t>
      </w:r>
      <w:r w:rsidRPr="003F0258">
        <w:tab/>
      </w:r>
      <w:r w:rsidRPr="003F0258">
        <w:rPr>
          <w:b/>
          <w:bCs/>
          <w:lang w:val="fr-FR"/>
        </w:rPr>
        <w:t>Le Comité recommande à l</w:t>
      </w:r>
      <w:r>
        <w:rPr>
          <w:b/>
          <w:bCs/>
          <w:lang w:val="fr-FR"/>
        </w:rPr>
        <w:t>’</w:t>
      </w:r>
      <w:r w:rsidRPr="003F0258">
        <w:rPr>
          <w:b/>
          <w:bCs/>
          <w:lang w:val="fr-FR"/>
        </w:rPr>
        <w:t>État partie:</w:t>
      </w:r>
    </w:p>
    <w:p w:rsidR="00EC25BC" w:rsidRPr="003F0258" w:rsidRDefault="00EC25BC" w:rsidP="00EC25BC">
      <w:pPr>
        <w:pStyle w:val="SingleTxtG"/>
        <w:ind w:firstLine="567"/>
        <w:rPr>
          <w:b/>
          <w:bCs/>
        </w:rPr>
      </w:pPr>
      <w:r w:rsidRPr="003F0258">
        <w:rPr>
          <w:b/>
          <w:bCs/>
        </w:rPr>
        <w:t>a)</w:t>
      </w:r>
      <w:r w:rsidRPr="003F0258">
        <w:rPr>
          <w:b/>
          <w:bCs/>
        </w:rPr>
        <w:tab/>
        <w:t>D</w:t>
      </w:r>
      <w:r>
        <w:rPr>
          <w:b/>
          <w:bCs/>
          <w:lang w:val="fr-FR"/>
        </w:rPr>
        <w:t>’</w:t>
      </w:r>
      <w:r w:rsidRPr="003F0258">
        <w:rPr>
          <w:b/>
          <w:bCs/>
          <w:lang w:val="fr-FR"/>
        </w:rPr>
        <w:t>intensifier ses efforts afin d</w:t>
      </w:r>
      <w:r>
        <w:rPr>
          <w:b/>
          <w:bCs/>
          <w:lang w:val="fr-FR"/>
        </w:rPr>
        <w:t>’</w:t>
      </w:r>
      <w:r w:rsidRPr="003F0258">
        <w:rPr>
          <w:b/>
          <w:bCs/>
          <w:lang w:val="fr-FR"/>
        </w:rPr>
        <w:t xml:space="preserve">offrir aux adolescents des services de santé </w:t>
      </w:r>
      <w:r>
        <w:rPr>
          <w:b/>
          <w:bCs/>
          <w:lang w:val="fr-FR"/>
        </w:rPr>
        <w:t>procréative</w:t>
      </w:r>
      <w:r w:rsidRPr="003F0258">
        <w:rPr>
          <w:b/>
          <w:bCs/>
          <w:lang w:val="fr-FR"/>
        </w:rPr>
        <w:t xml:space="preserve"> appropriés, notamment des cours de santé </w:t>
      </w:r>
      <w:r>
        <w:rPr>
          <w:b/>
          <w:bCs/>
          <w:lang w:val="fr-FR"/>
        </w:rPr>
        <w:t>procréative</w:t>
      </w:r>
      <w:r w:rsidRPr="003F0258">
        <w:rPr>
          <w:b/>
          <w:bCs/>
          <w:lang w:val="fr-FR"/>
        </w:rPr>
        <w:t xml:space="preserve"> en milieu scolaire, et de promouvoir un mode de vie sain auprès des adolescents;</w:t>
      </w:r>
    </w:p>
    <w:p w:rsidR="00EC25BC" w:rsidRPr="003F0258" w:rsidRDefault="00EC25BC" w:rsidP="00EC25BC">
      <w:pPr>
        <w:pStyle w:val="SingleTxtG"/>
        <w:ind w:firstLine="567"/>
        <w:rPr>
          <w:b/>
          <w:bCs/>
        </w:rPr>
      </w:pPr>
      <w:r w:rsidRPr="003F0258">
        <w:rPr>
          <w:b/>
          <w:bCs/>
        </w:rPr>
        <w:t>b)</w:t>
      </w:r>
      <w:r w:rsidRPr="003F0258">
        <w:rPr>
          <w:b/>
          <w:bCs/>
        </w:rPr>
        <w:tab/>
        <w:t xml:space="preserve">De continuer </w:t>
      </w:r>
      <w:r>
        <w:rPr>
          <w:b/>
          <w:bCs/>
          <w:lang w:val="fr-FR"/>
        </w:rPr>
        <w:t xml:space="preserve">de lutter contre les </w:t>
      </w:r>
      <w:r w:rsidRPr="003F0258">
        <w:rPr>
          <w:b/>
          <w:bCs/>
          <w:lang w:val="fr-FR"/>
        </w:rPr>
        <w:t>comportements suicidaires chez les adolescents sur tout le territoire, notamment en étudiant les causes profondes du problème en vue de mettre en place des mesures de prévention ciblées</w:t>
      </w:r>
      <w:r w:rsidRPr="003F0258">
        <w:rPr>
          <w:bCs/>
          <w:lang w:val="fr-FR"/>
        </w:rPr>
        <w:t>.</w:t>
      </w:r>
    </w:p>
    <w:p w:rsidR="00EC25BC" w:rsidRPr="003F0258" w:rsidRDefault="00EC25BC" w:rsidP="00EC25BC">
      <w:pPr>
        <w:pStyle w:val="H23G"/>
      </w:pPr>
      <w:r>
        <w:tab/>
      </w:r>
      <w:r>
        <w:tab/>
      </w:r>
      <w:r w:rsidRPr="003F0258">
        <w:t>Niveau de vie</w:t>
      </w:r>
    </w:p>
    <w:p w:rsidR="00EC25BC" w:rsidRPr="003F0258" w:rsidRDefault="00EC25BC" w:rsidP="00EC25BC">
      <w:pPr>
        <w:pStyle w:val="SingleTxtG"/>
      </w:pPr>
      <w:r w:rsidRPr="003F0258">
        <w:t>43.</w:t>
      </w:r>
      <w:r w:rsidRPr="003F0258">
        <w:tab/>
        <w:t xml:space="preserve">Le Comité </w:t>
      </w:r>
      <w:r>
        <w:t xml:space="preserve">prend </w:t>
      </w:r>
      <w:r w:rsidRPr="003F0258">
        <w:t xml:space="preserve">note avec satisfaction </w:t>
      </w:r>
      <w:r>
        <w:t>d</w:t>
      </w:r>
      <w:r w:rsidRPr="003F0258">
        <w:t>es efforts entrepris par l</w:t>
      </w:r>
      <w:r>
        <w:t>’</w:t>
      </w:r>
      <w:r w:rsidRPr="003F0258">
        <w:t xml:space="preserve">État partie pour améliorer le niveau de vie. </w:t>
      </w:r>
      <w:r>
        <w:t>Toutefois, s’il prend</w:t>
      </w:r>
      <w:r w:rsidRPr="003F0258">
        <w:t xml:space="preserve"> acte d</w:t>
      </w:r>
      <w:r>
        <w:t xml:space="preserve">u recul de la pauvreté chez les enfants </w:t>
      </w:r>
      <w:r w:rsidRPr="003F0258">
        <w:t xml:space="preserve">ces dernières années, </w:t>
      </w:r>
      <w:r>
        <w:t xml:space="preserve">il </w:t>
      </w:r>
      <w:r w:rsidRPr="003F0258">
        <w:t>est néanmoins préoccupé par le fait que près de 20</w:t>
      </w:r>
      <w:r>
        <w:t xml:space="preserve"> </w:t>
      </w:r>
      <w:r w:rsidRPr="003F0258">
        <w:t>% des enfants de l</w:t>
      </w:r>
      <w:r>
        <w:t>’</w:t>
      </w:r>
      <w:r w:rsidRPr="003F0258">
        <w:t>État partie vivent toujours en dessous du seuil de pauvreté.</w:t>
      </w:r>
    </w:p>
    <w:p w:rsidR="00EC25BC" w:rsidRPr="003F0258" w:rsidRDefault="00EC25BC" w:rsidP="00EC25BC">
      <w:pPr>
        <w:pStyle w:val="SingleTxtG"/>
        <w:rPr>
          <w:b/>
          <w:bCs/>
        </w:rPr>
      </w:pPr>
      <w:r w:rsidRPr="003F0258">
        <w:t>44.</w:t>
      </w:r>
      <w:r w:rsidRPr="003F0258">
        <w:tab/>
      </w:r>
      <w:r w:rsidRPr="003F0258">
        <w:rPr>
          <w:b/>
          <w:bCs/>
        </w:rPr>
        <w:t>Le Comité recommande à l</w:t>
      </w:r>
      <w:r>
        <w:rPr>
          <w:b/>
          <w:bCs/>
        </w:rPr>
        <w:t>’</w:t>
      </w:r>
      <w:r w:rsidRPr="003F0258">
        <w:rPr>
          <w:b/>
          <w:bCs/>
        </w:rPr>
        <w:t>État partie de prendre toutes les mesures nécessaires pour aider les familles défavorisées et leurs enfants à sortir de la pauvreté de manière durable tout en continuant, dans le même temps, de prêter assistance aux personnes vivant en deçà du seuil de pauvreté.</w:t>
      </w:r>
    </w:p>
    <w:p w:rsidR="00EC25BC" w:rsidRPr="003F0258" w:rsidRDefault="00EC25BC" w:rsidP="00EC25BC">
      <w:pPr>
        <w:pStyle w:val="H1G"/>
        <w:rPr>
          <w:lang w:val="fr-FR"/>
        </w:rPr>
      </w:pPr>
      <w:r>
        <w:rPr>
          <w:bCs/>
        </w:rPr>
        <w:tab/>
        <w:t>F</w:t>
      </w:r>
      <w:r w:rsidRPr="003F0258">
        <w:rPr>
          <w:bCs/>
        </w:rPr>
        <w:t>.</w:t>
      </w:r>
      <w:r w:rsidRPr="003F0258">
        <w:rPr>
          <w:bCs/>
        </w:rPr>
        <w:tab/>
      </w:r>
      <w:r w:rsidRPr="003F0258">
        <w:rPr>
          <w:lang w:val="fr-FR"/>
        </w:rPr>
        <w:t>Éducation, loisirs et activités culturelles (art. 28, 29 et 31 de la Convention)</w:t>
      </w:r>
    </w:p>
    <w:p w:rsidR="00EC25BC" w:rsidRPr="003F0258" w:rsidRDefault="00EC25BC" w:rsidP="00EC25BC">
      <w:pPr>
        <w:pStyle w:val="H23G"/>
        <w:rPr>
          <w:lang w:val="fr-FR"/>
        </w:rPr>
      </w:pPr>
      <w:r>
        <w:rPr>
          <w:lang w:val="fr-FR"/>
        </w:rPr>
        <w:tab/>
      </w:r>
      <w:r>
        <w:rPr>
          <w:lang w:val="fr-FR"/>
        </w:rPr>
        <w:tab/>
      </w:r>
      <w:r w:rsidRPr="003F0258">
        <w:rPr>
          <w:lang w:val="fr-FR"/>
        </w:rPr>
        <w:t>L</w:t>
      </w:r>
      <w:r>
        <w:rPr>
          <w:lang w:val="fr-FR"/>
        </w:rPr>
        <w:t>’</w:t>
      </w:r>
      <w:r w:rsidRPr="003F0258">
        <w:rPr>
          <w:lang w:val="fr-FR"/>
        </w:rPr>
        <w:t>éducation, y compris la formation et l</w:t>
      </w:r>
      <w:r>
        <w:rPr>
          <w:lang w:val="fr-FR"/>
        </w:rPr>
        <w:t>’</w:t>
      </w:r>
      <w:r w:rsidRPr="003F0258">
        <w:rPr>
          <w:lang w:val="fr-FR"/>
        </w:rPr>
        <w:t xml:space="preserve">orientation professionnelles </w:t>
      </w:r>
    </w:p>
    <w:p w:rsidR="00EC25BC" w:rsidRPr="003F0258" w:rsidRDefault="00EC25BC" w:rsidP="00EC25BC">
      <w:pPr>
        <w:pStyle w:val="SingleTxtG"/>
        <w:rPr>
          <w:lang w:val="fr-FR"/>
        </w:rPr>
      </w:pPr>
      <w:r w:rsidRPr="003F0258">
        <w:rPr>
          <w:lang w:val="fr-FR"/>
        </w:rPr>
        <w:t>45.</w:t>
      </w:r>
      <w:r w:rsidRPr="003F0258">
        <w:rPr>
          <w:lang w:val="fr-FR"/>
        </w:rPr>
        <w:tab/>
        <w:t xml:space="preserve">Le Comité </w:t>
      </w:r>
      <w:r>
        <w:rPr>
          <w:lang w:val="fr-FR"/>
        </w:rPr>
        <w:t>prend note</w:t>
      </w:r>
      <w:r w:rsidRPr="003F0258">
        <w:rPr>
          <w:lang w:val="fr-FR"/>
        </w:rPr>
        <w:t xml:space="preserve"> avec satisfaction </w:t>
      </w:r>
      <w:r>
        <w:rPr>
          <w:lang w:val="fr-FR"/>
        </w:rPr>
        <w:t>d</w:t>
      </w:r>
      <w:r w:rsidRPr="003F0258">
        <w:rPr>
          <w:lang w:val="fr-FR"/>
        </w:rPr>
        <w:t>es nombreux efforts faits par l</w:t>
      </w:r>
      <w:r>
        <w:rPr>
          <w:lang w:val="fr-FR"/>
        </w:rPr>
        <w:t>’</w:t>
      </w:r>
      <w:r w:rsidRPr="003F0258">
        <w:rPr>
          <w:lang w:val="fr-FR"/>
        </w:rPr>
        <w:t>État partie dans le domaine de l</w:t>
      </w:r>
      <w:r>
        <w:rPr>
          <w:lang w:val="fr-FR"/>
        </w:rPr>
        <w:t>’</w:t>
      </w:r>
      <w:r w:rsidRPr="003F0258">
        <w:rPr>
          <w:lang w:val="fr-FR"/>
        </w:rPr>
        <w:t xml:space="preserve">éducation, notamment </w:t>
      </w:r>
      <w:r>
        <w:rPr>
          <w:lang w:val="fr-FR"/>
        </w:rPr>
        <w:t xml:space="preserve">l’adoption de </w:t>
      </w:r>
      <w:r w:rsidRPr="003F0258">
        <w:rPr>
          <w:lang w:val="fr-FR"/>
        </w:rPr>
        <w:t>la loi portant modification de la loi sur l</w:t>
      </w:r>
      <w:r>
        <w:rPr>
          <w:lang w:val="fr-FR"/>
        </w:rPr>
        <w:t>’</w:t>
      </w:r>
      <w:r w:rsidRPr="003F0258">
        <w:rPr>
          <w:lang w:val="fr-FR"/>
        </w:rPr>
        <w:t xml:space="preserve">éducation et </w:t>
      </w:r>
      <w:r>
        <w:rPr>
          <w:lang w:val="fr-FR"/>
        </w:rPr>
        <w:t xml:space="preserve">de </w:t>
      </w:r>
      <w:r w:rsidRPr="003F0258">
        <w:rPr>
          <w:lang w:val="fr-FR"/>
        </w:rPr>
        <w:t>la stratégie pour l</w:t>
      </w:r>
      <w:r>
        <w:rPr>
          <w:lang w:val="fr-FR"/>
        </w:rPr>
        <w:t>’</w:t>
      </w:r>
      <w:r w:rsidRPr="003F0258">
        <w:rPr>
          <w:lang w:val="fr-FR"/>
        </w:rPr>
        <w:t>éducation des Maoris 2008</w:t>
      </w:r>
      <w:r>
        <w:rPr>
          <w:lang w:val="fr-FR"/>
        </w:rPr>
        <w:t>-</w:t>
      </w:r>
      <w:r w:rsidRPr="003F0258">
        <w:rPr>
          <w:lang w:val="fr-FR"/>
        </w:rPr>
        <w:t xml:space="preserve">2012. </w:t>
      </w:r>
      <w:r>
        <w:rPr>
          <w:lang w:val="fr-FR"/>
        </w:rPr>
        <w:t>Il se félicite</w:t>
      </w:r>
      <w:r w:rsidRPr="003F0258">
        <w:rPr>
          <w:lang w:val="fr-FR"/>
        </w:rPr>
        <w:t xml:space="preserve"> également </w:t>
      </w:r>
      <w:r>
        <w:rPr>
          <w:lang w:val="fr-FR"/>
        </w:rPr>
        <w:t>que la loi garantisse aux</w:t>
      </w:r>
      <w:r w:rsidRPr="003F0258">
        <w:rPr>
          <w:lang w:val="fr-FR"/>
        </w:rPr>
        <w:t xml:space="preserve"> enfants sans-papiers </w:t>
      </w:r>
      <w:r>
        <w:rPr>
          <w:lang w:val="fr-FR"/>
        </w:rPr>
        <w:t>l’accès gratuit à l’enseignement</w:t>
      </w:r>
      <w:r w:rsidRPr="003F0258">
        <w:rPr>
          <w:lang w:val="fr-FR"/>
        </w:rPr>
        <w:t xml:space="preserve">. </w:t>
      </w:r>
      <w:r>
        <w:rPr>
          <w:lang w:val="fr-FR"/>
        </w:rPr>
        <w:t xml:space="preserve">Il </w:t>
      </w:r>
      <w:r w:rsidRPr="003F0258">
        <w:rPr>
          <w:lang w:val="fr-FR"/>
        </w:rPr>
        <w:t>s</w:t>
      </w:r>
      <w:r>
        <w:rPr>
          <w:lang w:val="fr-FR"/>
        </w:rPr>
        <w:t>’</w:t>
      </w:r>
      <w:r w:rsidRPr="003F0258">
        <w:rPr>
          <w:lang w:val="fr-FR"/>
        </w:rPr>
        <w:t>inquiète cependant de voir que plusieurs groupes d</w:t>
      </w:r>
      <w:r>
        <w:rPr>
          <w:lang w:val="fr-FR"/>
        </w:rPr>
        <w:t>’enfants,</w:t>
      </w:r>
      <w:r w:rsidRPr="003F0258">
        <w:rPr>
          <w:lang w:val="fr-FR"/>
        </w:rPr>
        <w:t xml:space="preserve"> notamment les enfants handicapés (enfants ayant des besoins éducatifs spéciaux), les enfants vivant en zone rurale, les enfants maoris, </w:t>
      </w:r>
      <w:r>
        <w:rPr>
          <w:lang w:val="fr-FR"/>
        </w:rPr>
        <w:t xml:space="preserve">les enfants </w:t>
      </w:r>
      <w:r w:rsidRPr="003F0258">
        <w:rPr>
          <w:lang w:val="fr-FR"/>
        </w:rPr>
        <w:t>insulaires du Pacifique</w:t>
      </w:r>
      <w:r>
        <w:rPr>
          <w:lang w:val="fr-FR"/>
        </w:rPr>
        <w:t>,</w:t>
      </w:r>
      <w:r w:rsidRPr="003F0258">
        <w:rPr>
          <w:lang w:val="fr-FR"/>
        </w:rPr>
        <w:t xml:space="preserve"> et </w:t>
      </w:r>
      <w:r>
        <w:rPr>
          <w:lang w:val="fr-FR"/>
        </w:rPr>
        <w:t xml:space="preserve">les enfants </w:t>
      </w:r>
      <w:r w:rsidRPr="003F0258">
        <w:rPr>
          <w:lang w:val="fr-FR"/>
        </w:rPr>
        <w:t>appartenant à des minorités, les enfants demandeurs d</w:t>
      </w:r>
      <w:r>
        <w:rPr>
          <w:lang w:val="fr-FR"/>
        </w:rPr>
        <w:t>’</w:t>
      </w:r>
      <w:r w:rsidRPr="003F0258">
        <w:rPr>
          <w:lang w:val="fr-FR"/>
        </w:rPr>
        <w:t>asile, les mères</w:t>
      </w:r>
      <w:r>
        <w:rPr>
          <w:lang w:val="fr-FR"/>
        </w:rPr>
        <w:t xml:space="preserve"> </w:t>
      </w:r>
      <w:r w:rsidRPr="003F0258">
        <w:rPr>
          <w:lang w:val="fr-FR"/>
        </w:rPr>
        <w:t>adolescentes, les enfants ayant abandonné l</w:t>
      </w:r>
      <w:r>
        <w:rPr>
          <w:lang w:val="fr-FR"/>
        </w:rPr>
        <w:t>’</w:t>
      </w:r>
      <w:r w:rsidRPr="003F0258">
        <w:rPr>
          <w:lang w:val="fr-FR"/>
        </w:rPr>
        <w:t>école et les enfants absents pour de multiples raisons</w:t>
      </w:r>
      <w:r>
        <w:rPr>
          <w:lang w:val="fr-FR"/>
        </w:rPr>
        <w:t xml:space="preserve"> </w:t>
      </w:r>
      <w:r w:rsidRPr="003F0258">
        <w:rPr>
          <w:lang w:val="fr-FR"/>
        </w:rPr>
        <w:t>rencontrent</w:t>
      </w:r>
      <w:r>
        <w:rPr>
          <w:lang w:val="fr-FR"/>
        </w:rPr>
        <w:t xml:space="preserve"> </w:t>
      </w:r>
      <w:r w:rsidRPr="003F0258">
        <w:rPr>
          <w:lang w:val="fr-FR"/>
        </w:rPr>
        <w:t>des problèmes pour s</w:t>
      </w:r>
      <w:r>
        <w:rPr>
          <w:lang w:val="fr-FR"/>
        </w:rPr>
        <w:t>’</w:t>
      </w:r>
      <w:r w:rsidRPr="003F0258">
        <w:rPr>
          <w:lang w:val="fr-FR"/>
        </w:rPr>
        <w:t>inscrire à l</w:t>
      </w:r>
      <w:r>
        <w:rPr>
          <w:lang w:val="fr-FR"/>
        </w:rPr>
        <w:t>’</w:t>
      </w:r>
      <w:r w:rsidRPr="003F0258">
        <w:rPr>
          <w:lang w:val="fr-FR"/>
        </w:rPr>
        <w:t>école, poursuivre leurs études ou réintégrer le système scolaire, soit dans des écoles normales soit dans des établissements d</w:t>
      </w:r>
      <w:r>
        <w:rPr>
          <w:lang w:val="fr-FR"/>
        </w:rPr>
        <w:t>’</w:t>
      </w:r>
      <w:r w:rsidRPr="003F0258">
        <w:rPr>
          <w:lang w:val="fr-FR"/>
        </w:rPr>
        <w:t>enseignement parallèles, et ne peuvent pas jouir pleinement de leur droit à l</w:t>
      </w:r>
      <w:r>
        <w:rPr>
          <w:lang w:val="fr-FR"/>
        </w:rPr>
        <w:t>’</w:t>
      </w:r>
      <w:r w:rsidRPr="003F0258">
        <w:rPr>
          <w:lang w:val="fr-FR"/>
        </w:rPr>
        <w:t>éducation</w:t>
      </w:r>
      <w:r>
        <w:rPr>
          <w:lang w:val="fr-FR"/>
        </w:rPr>
        <w:t xml:space="preserve">. Il </w:t>
      </w:r>
      <w:r w:rsidRPr="003F0258">
        <w:rPr>
          <w:lang w:val="fr-FR"/>
        </w:rPr>
        <w:t>est également préoccupé par les points suivants:</w:t>
      </w:r>
    </w:p>
    <w:p w:rsidR="00EC25BC" w:rsidRPr="003F0258" w:rsidRDefault="00EC25BC" w:rsidP="00EC25BC">
      <w:pPr>
        <w:pStyle w:val="SingleTxtG"/>
        <w:ind w:firstLine="567"/>
        <w:rPr>
          <w:lang w:val="fr-FR"/>
        </w:rPr>
      </w:pPr>
      <w:r w:rsidRPr="003F0258">
        <w:rPr>
          <w:lang w:val="fr-FR"/>
        </w:rPr>
        <w:t>a)</w:t>
      </w:r>
      <w:r w:rsidRPr="003F0258">
        <w:rPr>
          <w:lang w:val="fr-FR"/>
        </w:rPr>
        <w:tab/>
      </w:r>
      <w:r>
        <w:rPr>
          <w:lang w:val="fr-FR"/>
        </w:rPr>
        <w:t>S</w:t>
      </w:r>
      <w:r w:rsidRPr="003F0258">
        <w:rPr>
          <w:lang w:val="fr-FR"/>
        </w:rPr>
        <w:t>eule</w:t>
      </w:r>
      <w:r>
        <w:rPr>
          <w:lang w:val="fr-FR"/>
        </w:rPr>
        <w:t>ment</w:t>
      </w:r>
      <w:r w:rsidRPr="003F0258">
        <w:rPr>
          <w:lang w:val="fr-FR"/>
        </w:rPr>
        <w:t xml:space="preserve"> </w:t>
      </w:r>
      <w:r>
        <w:rPr>
          <w:lang w:val="fr-FR"/>
        </w:rPr>
        <w:t>vingt</w:t>
      </w:r>
      <w:r w:rsidRPr="003F0258">
        <w:rPr>
          <w:lang w:val="fr-FR"/>
        </w:rPr>
        <w:t xml:space="preserve"> heures </w:t>
      </w:r>
      <w:r>
        <w:rPr>
          <w:lang w:val="fr-FR"/>
        </w:rPr>
        <w:t xml:space="preserve">gratuites de service de garde et d’éducation de la petite enfance sont prévues </w:t>
      </w:r>
      <w:r w:rsidRPr="003F0258">
        <w:rPr>
          <w:lang w:val="fr-FR"/>
        </w:rPr>
        <w:t>et de nombreux enfants, notamment les enfants dans le besoin, n</w:t>
      </w:r>
      <w:r>
        <w:rPr>
          <w:lang w:val="fr-FR"/>
        </w:rPr>
        <w:t>’</w:t>
      </w:r>
      <w:r w:rsidRPr="003F0258">
        <w:rPr>
          <w:lang w:val="fr-FR"/>
        </w:rPr>
        <w:t>y ont qu</w:t>
      </w:r>
      <w:r>
        <w:rPr>
          <w:lang w:val="fr-FR"/>
        </w:rPr>
        <w:t>’</w:t>
      </w:r>
      <w:r w:rsidRPr="003F0258">
        <w:rPr>
          <w:lang w:val="fr-FR"/>
        </w:rPr>
        <w:t>un accès limité;</w:t>
      </w:r>
    </w:p>
    <w:p w:rsidR="00EC25BC" w:rsidRPr="003F0258" w:rsidRDefault="00EC25BC" w:rsidP="00EC25BC">
      <w:pPr>
        <w:pStyle w:val="SingleTxtG"/>
        <w:ind w:firstLine="567"/>
        <w:rPr>
          <w:lang w:val="fr-FR"/>
        </w:rPr>
      </w:pPr>
      <w:r w:rsidRPr="003F0258">
        <w:rPr>
          <w:lang w:val="fr-FR"/>
        </w:rPr>
        <w:t>b)</w:t>
      </w:r>
      <w:r w:rsidRPr="003F0258">
        <w:rPr>
          <w:lang w:val="fr-FR"/>
        </w:rPr>
        <w:tab/>
        <w:t>De nombreuses écoles publiques font pression sur les parents pour qu</w:t>
      </w:r>
      <w:r>
        <w:rPr>
          <w:lang w:val="fr-FR"/>
        </w:rPr>
        <w:t>’</w:t>
      </w:r>
      <w:r w:rsidRPr="003F0258">
        <w:rPr>
          <w:lang w:val="fr-FR"/>
        </w:rPr>
        <w:t>ils leur fassent des «dons»;</w:t>
      </w:r>
    </w:p>
    <w:p w:rsidR="00EC25BC" w:rsidRPr="003F0258" w:rsidRDefault="00EC25BC" w:rsidP="00EC25BC">
      <w:pPr>
        <w:pStyle w:val="SingleTxtG"/>
        <w:ind w:firstLine="567"/>
        <w:rPr>
          <w:lang w:val="fr-FR"/>
        </w:rPr>
      </w:pPr>
      <w:r w:rsidRPr="003F0258">
        <w:rPr>
          <w:lang w:val="fr-FR"/>
        </w:rPr>
        <w:t>c)</w:t>
      </w:r>
      <w:r w:rsidRPr="003F0258">
        <w:rPr>
          <w:lang w:val="fr-FR"/>
        </w:rPr>
        <w:tab/>
        <w:t>Les brimades sont un problème grave et répandu, qui peut compromettre la fréquentation scolaire et l</w:t>
      </w:r>
      <w:r>
        <w:rPr>
          <w:lang w:val="fr-FR"/>
        </w:rPr>
        <w:t>’</w:t>
      </w:r>
      <w:r w:rsidRPr="003F0258">
        <w:rPr>
          <w:lang w:val="fr-FR"/>
        </w:rPr>
        <w:t xml:space="preserve">apprentissage des enfants; </w:t>
      </w:r>
    </w:p>
    <w:p w:rsidR="00EC25BC" w:rsidRPr="003F0258" w:rsidRDefault="00EC25BC" w:rsidP="00EC25BC">
      <w:pPr>
        <w:pStyle w:val="SingleTxtG"/>
        <w:ind w:firstLine="567"/>
        <w:rPr>
          <w:lang w:val="fr-FR"/>
        </w:rPr>
      </w:pPr>
      <w:r w:rsidRPr="003F0258">
        <w:rPr>
          <w:lang w:val="fr-FR"/>
        </w:rPr>
        <w:t>d)</w:t>
      </w:r>
      <w:r w:rsidRPr="003F0258">
        <w:rPr>
          <w:lang w:val="fr-FR"/>
        </w:rPr>
        <w:tab/>
        <w:t>Les exclusions permanentes et temporaires sont nombreuses et touchent surtout les enfants issus de groupes obtenant en général de faibles résultats scolaires.</w:t>
      </w:r>
    </w:p>
    <w:p w:rsidR="00EC25BC" w:rsidRPr="003F0258" w:rsidRDefault="00EC25BC" w:rsidP="00EC25BC">
      <w:pPr>
        <w:pStyle w:val="SingleTxtG"/>
        <w:rPr>
          <w:b/>
          <w:bCs/>
          <w:lang w:val="fr-FR"/>
        </w:rPr>
      </w:pPr>
      <w:r w:rsidRPr="003F0258">
        <w:rPr>
          <w:lang w:val="fr-FR"/>
        </w:rPr>
        <w:t>46.</w:t>
      </w:r>
      <w:r w:rsidRPr="003F0258">
        <w:rPr>
          <w:lang w:val="fr-FR"/>
        </w:rPr>
        <w:tab/>
      </w:r>
      <w:r w:rsidRPr="003F0258">
        <w:rPr>
          <w:b/>
          <w:bCs/>
          <w:lang w:val="fr-FR"/>
        </w:rPr>
        <w:t>Le Comité recommande à l</w:t>
      </w:r>
      <w:r>
        <w:rPr>
          <w:b/>
          <w:bCs/>
          <w:lang w:val="fr-FR"/>
        </w:rPr>
        <w:t>’</w:t>
      </w:r>
      <w:r w:rsidRPr="003F0258">
        <w:rPr>
          <w:b/>
          <w:bCs/>
          <w:lang w:val="fr-FR"/>
        </w:rPr>
        <w:t>État partie:</w:t>
      </w:r>
    </w:p>
    <w:p w:rsidR="00EC25BC" w:rsidRPr="003F0258" w:rsidRDefault="00EC25BC" w:rsidP="00EC25BC">
      <w:pPr>
        <w:pStyle w:val="SingleTxtG"/>
        <w:ind w:firstLine="567"/>
        <w:rPr>
          <w:b/>
          <w:bCs/>
          <w:lang w:val="fr-FR"/>
        </w:rPr>
      </w:pPr>
      <w:r w:rsidRPr="003F0258">
        <w:rPr>
          <w:b/>
          <w:bCs/>
          <w:lang w:val="fr-FR"/>
        </w:rPr>
        <w:t>a)</w:t>
      </w:r>
      <w:r w:rsidRPr="003F0258">
        <w:rPr>
          <w:b/>
          <w:bCs/>
          <w:lang w:val="fr-FR"/>
        </w:rPr>
        <w:tab/>
        <w:t xml:space="preserve">De veiller à ce que tous les enfants, ou au moins les enfants défavorisés, aient accès à des </w:t>
      </w:r>
      <w:r>
        <w:rPr>
          <w:b/>
          <w:bCs/>
          <w:lang w:val="fr-FR"/>
        </w:rPr>
        <w:t>services gratuits de garde et d’éducation de la petite enfance qui soient de première qualité</w:t>
      </w:r>
      <w:r w:rsidRPr="003F0258">
        <w:rPr>
          <w:b/>
          <w:bCs/>
          <w:lang w:val="fr-FR"/>
        </w:rPr>
        <w:t>;</w:t>
      </w:r>
    </w:p>
    <w:p w:rsidR="00EC25BC" w:rsidRPr="003F0258" w:rsidRDefault="00EC25BC" w:rsidP="00EC25BC">
      <w:pPr>
        <w:pStyle w:val="SingleTxtG"/>
        <w:ind w:firstLine="567"/>
        <w:rPr>
          <w:b/>
          <w:bCs/>
          <w:lang w:val="fr-FR"/>
        </w:rPr>
      </w:pPr>
      <w:r w:rsidRPr="003F0258">
        <w:rPr>
          <w:b/>
          <w:bCs/>
          <w:lang w:val="fr-FR"/>
        </w:rPr>
        <w:t>b)</w:t>
      </w:r>
      <w:r w:rsidRPr="003F0258">
        <w:rPr>
          <w:b/>
          <w:bCs/>
          <w:lang w:val="fr-FR"/>
        </w:rPr>
        <w:tab/>
        <w:t>De poursuivre et d</w:t>
      </w:r>
      <w:r>
        <w:rPr>
          <w:b/>
          <w:bCs/>
          <w:lang w:val="fr-FR"/>
        </w:rPr>
        <w:t>’</w:t>
      </w:r>
      <w:r w:rsidRPr="003F0258">
        <w:rPr>
          <w:b/>
          <w:bCs/>
          <w:lang w:val="fr-FR"/>
        </w:rPr>
        <w:t xml:space="preserve">accroître ses efforts pour réduire les effets </w:t>
      </w:r>
      <w:r>
        <w:rPr>
          <w:b/>
          <w:bCs/>
          <w:lang w:val="fr-FR"/>
        </w:rPr>
        <w:t xml:space="preserve">négatifs </w:t>
      </w:r>
      <w:r w:rsidRPr="003F0258">
        <w:rPr>
          <w:b/>
          <w:bCs/>
          <w:lang w:val="fr-FR"/>
        </w:rPr>
        <w:t>de l</w:t>
      </w:r>
      <w:r>
        <w:rPr>
          <w:b/>
          <w:bCs/>
          <w:lang w:val="fr-FR"/>
        </w:rPr>
        <w:t>’</w:t>
      </w:r>
      <w:r w:rsidRPr="003F0258">
        <w:rPr>
          <w:b/>
          <w:bCs/>
          <w:lang w:val="fr-FR"/>
        </w:rPr>
        <w:t>origine ethnique (culturelle, régionale) et sociale des enfants sur leur inscription à l</w:t>
      </w:r>
      <w:r>
        <w:rPr>
          <w:b/>
          <w:bCs/>
          <w:lang w:val="fr-FR"/>
        </w:rPr>
        <w:t>’</w:t>
      </w:r>
      <w:r w:rsidRPr="003F0258">
        <w:rPr>
          <w:b/>
          <w:bCs/>
          <w:lang w:val="fr-FR"/>
        </w:rPr>
        <w:t>école et leur assiduité;</w:t>
      </w:r>
    </w:p>
    <w:p w:rsidR="00EC25BC" w:rsidRPr="003F0258" w:rsidRDefault="00EC25BC" w:rsidP="00EC25BC">
      <w:pPr>
        <w:pStyle w:val="SingleTxtG"/>
        <w:ind w:firstLine="567"/>
        <w:rPr>
          <w:b/>
          <w:bCs/>
          <w:lang w:val="fr-FR"/>
        </w:rPr>
      </w:pPr>
      <w:r w:rsidRPr="003F0258">
        <w:rPr>
          <w:b/>
          <w:bCs/>
          <w:lang w:val="fr-FR"/>
        </w:rPr>
        <w:t>c)</w:t>
      </w:r>
      <w:r w:rsidRPr="003F0258">
        <w:rPr>
          <w:b/>
          <w:bCs/>
          <w:lang w:val="fr-FR"/>
        </w:rPr>
        <w:tab/>
        <w:t>De consentir des investissements supplémentaires considérables pour assurer le droit de tous les enfants, en particulier les enfants issus de tous les groupes défavorisés, marginalisés et éloignés des écoles, à une éducation véritablement intégratrice</w:t>
      </w:r>
      <w:r>
        <w:rPr>
          <w:bCs/>
          <w:lang w:val="fr-FR"/>
        </w:rPr>
        <w:t>;</w:t>
      </w:r>
    </w:p>
    <w:p w:rsidR="00EC25BC" w:rsidRPr="003F0258" w:rsidRDefault="00EC25BC" w:rsidP="00EC25BC">
      <w:pPr>
        <w:pStyle w:val="SingleTxtG"/>
        <w:ind w:firstLine="567"/>
        <w:rPr>
          <w:b/>
          <w:bCs/>
          <w:lang w:val="fr-FR"/>
        </w:rPr>
      </w:pPr>
      <w:r w:rsidRPr="003F0258">
        <w:rPr>
          <w:b/>
          <w:bCs/>
          <w:lang w:val="fr-FR"/>
        </w:rPr>
        <w:t>d)</w:t>
      </w:r>
      <w:r w:rsidRPr="003F0258">
        <w:rPr>
          <w:b/>
          <w:bCs/>
          <w:lang w:val="fr-FR"/>
        </w:rPr>
        <w:tab/>
        <w:t>De ne recourir à la mesure disciplinaire que constitue l</w:t>
      </w:r>
      <w:r>
        <w:rPr>
          <w:b/>
          <w:bCs/>
          <w:lang w:val="fr-FR"/>
        </w:rPr>
        <w:t>’</w:t>
      </w:r>
      <w:r w:rsidRPr="003F0258">
        <w:rPr>
          <w:b/>
          <w:bCs/>
          <w:lang w:val="fr-FR"/>
        </w:rPr>
        <w:t>exclusion permanente ou temporaire qu</w:t>
      </w:r>
      <w:r>
        <w:rPr>
          <w:b/>
          <w:bCs/>
          <w:lang w:val="fr-FR"/>
        </w:rPr>
        <w:t>’</w:t>
      </w:r>
      <w:r w:rsidRPr="003F0258">
        <w:rPr>
          <w:b/>
          <w:bCs/>
          <w:lang w:val="fr-FR"/>
        </w:rPr>
        <w:t>en dernier ressort, de réduire le nombre des exclusions et de faire appel à des travailleurs sociaux et à des psychologues de l</w:t>
      </w:r>
      <w:r>
        <w:rPr>
          <w:b/>
          <w:bCs/>
          <w:lang w:val="fr-FR"/>
        </w:rPr>
        <w:t>’</w:t>
      </w:r>
      <w:r w:rsidRPr="003F0258">
        <w:rPr>
          <w:b/>
          <w:bCs/>
          <w:lang w:val="fr-FR"/>
        </w:rPr>
        <w:t>éducation à l</w:t>
      </w:r>
      <w:r>
        <w:rPr>
          <w:b/>
          <w:bCs/>
          <w:lang w:val="fr-FR"/>
        </w:rPr>
        <w:t>’</w:t>
      </w:r>
      <w:r w:rsidRPr="003F0258">
        <w:rPr>
          <w:b/>
          <w:bCs/>
          <w:lang w:val="fr-FR"/>
        </w:rPr>
        <w:t>école pour aider les enfants en conflit avec l</w:t>
      </w:r>
      <w:r>
        <w:rPr>
          <w:b/>
          <w:bCs/>
          <w:lang w:val="fr-FR"/>
        </w:rPr>
        <w:t>’</w:t>
      </w:r>
      <w:r w:rsidRPr="003F0258">
        <w:rPr>
          <w:b/>
          <w:bCs/>
          <w:lang w:val="fr-FR"/>
        </w:rPr>
        <w:t>école</w:t>
      </w:r>
      <w:r>
        <w:rPr>
          <w:bCs/>
          <w:lang w:val="fr-FR"/>
        </w:rPr>
        <w:t>;</w:t>
      </w:r>
    </w:p>
    <w:p w:rsidR="00EC25BC" w:rsidRPr="003F0258" w:rsidRDefault="00EC25BC" w:rsidP="00EC25BC">
      <w:pPr>
        <w:pStyle w:val="SingleTxtG"/>
        <w:ind w:firstLine="567"/>
        <w:rPr>
          <w:lang w:val="fr-FR"/>
        </w:rPr>
      </w:pPr>
      <w:r w:rsidRPr="003F0258">
        <w:rPr>
          <w:b/>
          <w:bCs/>
          <w:lang w:val="fr-FR"/>
        </w:rPr>
        <w:t>e)</w:t>
      </w:r>
      <w:r w:rsidRPr="003F0258">
        <w:rPr>
          <w:b/>
          <w:bCs/>
          <w:lang w:val="fr-FR"/>
        </w:rPr>
        <w:tab/>
        <w:t xml:space="preserve">De prendre les mesures nécessaires pour que les parents ne subissent aucune pression </w:t>
      </w:r>
      <w:r>
        <w:rPr>
          <w:b/>
          <w:bCs/>
          <w:lang w:val="fr-FR"/>
        </w:rPr>
        <w:t>visant à les inciter</w:t>
      </w:r>
      <w:r w:rsidRPr="003F0258">
        <w:rPr>
          <w:b/>
          <w:bCs/>
          <w:lang w:val="fr-FR"/>
        </w:rPr>
        <w:t xml:space="preserve"> à faire un don à l</w:t>
      </w:r>
      <w:r>
        <w:rPr>
          <w:b/>
          <w:bCs/>
          <w:lang w:val="fr-FR"/>
        </w:rPr>
        <w:t>’</w:t>
      </w:r>
      <w:r w:rsidRPr="003F0258">
        <w:rPr>
          <w:b/>
          <w:bCs/>
          <w:lang w:val="fr-FR"/>
        </w:rPr>
        <w:t xml:space="preserve">école et </w:t>
      </w:r>
      <w:r>
        <w:rPr>
          <w:b/>
          <w:bCs/>
          <w:lang w:val="fr-FR"/>
        </w:rPr>
        <w:t>pour</w:t>
      </w:r>
      <w:r w:rsidRPr="003F0258">
        <w:rPr>
          <w:b/>
          <w:bCs/>
          <w:lang w:val="fr-FR"/>
        </w:rPr>
        <w:t xml:space="preserve"> que les enfants ne soient pas victimes de stigmatisation si leurs parents ne font pas de don</w:t>
      </w:r>
      <w:r>
        <w:rPr>
          <w:b/>
          <w:bCs/>
          <w:lang w:val="fr-FR"/>
        </w:rPr>
        <w:t xml:space="preserve"> ou </w:t>
      </w:r>
      <w:r w:rsidRPr="003F0258">
        <w:rPr>
          <w:b/>
          <w:bCs/>
          <w:lang w:val="fr-FR"/>
        </w:rPr>
        <w:t>n</w:t>
      </w:r>
      <w:r>
        <w:rPr>
          <w:b/>
          <w:bCs/>
          <w:lang w:val="fr-FR"/>
        </w:rPr>
        <w:t>’</w:t>
      </w:r>
      <w:r w:rsidRPr="003F0258">
        <w:rPr>
          <w:b/>
          <w:bCs/>
          <w:lang w:val="fr-FR"/>
        </w:rPr>
        <w:t>en ont pas les moyens</w:t>
      </w:r>
      <w:r>
        <w:rPr>
          <w:b/>
          <w:bCs/>
          <w:lang w:val="fr-FR"/>
        </w:rPr>
        <w:t>;</w:t>
      </w:r>
    </w:p>
    <w:p w:rsidR="00EC25BC" w:rsidRPr="003F0258" w:rsidRDefault="00EC25BC" w:rsidP="00EC25BC">
      <w:pPr>
        <w:pStyle w:val="SingleTxtG"/>
        <w:ind w:firstLine="567"/>
        <w:rPr>
          <w:bCs/>
          <w:lang w:val="fr-FR"/>
        </w:rPr>
      </w:pPr>
      <w:r w:rsidRPr="003F0258">
        <w:rPr>
          <w:b/>
          <w:bCs/>
        </w:rPr>
        <w:t>f)</w:t>
      </w:r>
      <w:r w:rsidRPr="003F0258">
        <w:rPr>
          <w:b/>
          <w:bCs/>
        </w:rPr>
        <w:tab/>
      </w:r>
      <w:r w:rsidRPr="003F0258">
        <w:rPr>
          <w:b/>
          <w:bCs/>
          <w:lang w:val="fr-FR"/>
        </w:rPr>
        <w:t>D</w:t>
      </w:r>
      <w:r>
        <w:rPr>
          <w:b/>
          <w:bCs/>
          <w:lang w:val="fr-FR"/>
        </w:rPr>
        <w:t>’</w:t>
      </w:r>
      <w:r w:rsidRPr="003F0258">
        <w:rPr>
          <w:b/>
          <w:bCs/>
          <w:lang w:val="fr-FR"/>
        </w:rPr>
        <w:t>intensifier ses efforts pour lutter contre les brimades et la violence à l</w:t>
      </w:r>
      <w:r>
        <w:rPr>
          <w:b/>
          <w:bCs/>
          <w:lang w:val="fr-FR"/>
        </w:rPr>
        <w:t>’</w:t>
      </w:r>
      <w:r w:rsidRPr="003F0258">
        <w:rPr>
          <w:b/>
          <w:bCs/>
          <w:lang w:val="fr-FR"/>
        </w:rPr>
        <w:t>école, notamment par l</w:t>
      </w:r>
      <w:r>
        <w:rPr>
          <w:b/>
          <w:bCs/>
          <w:lang w:val="fr-FR"/>
        </w:rPr>
        <w:t>’</w:t>
      </w:r>
      <w:r w:rsidRPr="003F0258">
        <w:rPr>
          <w:b/>
          <w:bCs/>
          <w:lang w:val="fr-FR"/>
        </w:rPr>
        <w:t>enseignement des droits de l</w:t>
      </w:r>
      <w:r>
        <w:rPr>
          <w:b/>
          <w:bCs/>
          <w:lang w:val="fr-FR"/>
        </w:rPr>
        <w:t>’</w:t>
      </w:r>
      <w:r w:rsidRPr="003F0258">
        <w:rPr>
          <w:b/>
          <w:bCs/>
          <w:lang w:val="fr-FR"/>
        </w:rPr>
        <w:t>homme, de la paix et de la tolérance.</w:t>
      </w:r>
      <w:r w:rsidRPr="003F0258">
        <w:rPr>
          <w:bCs/>
          <w:lang w:val="fr-FR"/>
        </w:rPr>
        <w:t xml:space="preserve"> </w:t>
      </w:r>
    </w:p>
    <w:p w:rsidR="00EC25BC" w:rsidRPr="003F0258" w:rsidRDefault="00EC25BC" w:rsidP="00EC25BC">
      <w:pPr>
        <w:pStyle w:val="H23G"/>
      </w:pPr>
      <w:r>
        <w:tab/>
      </w:r>
      <w:r>
        <w:tab/>
      </w:r>
      <w:r w:rsidRPr="003F0258">
        <w:t>Repos, loisirs</w:t>
      </w:r>
      <w:r>
        <w:t xml:space="preserve"> et</w:t>
      </w:r>
      <w:r w:rsidRPr="003F0258">
        <w:t xml:space="preserve"> activités récréatives et culturelles</w:t>
      </w:r>
    </w:p>
    <w:p w:rsidR="00EC25BC" w:rsidRPr="003F0258" w:rsidRDefault="00EC25BC" w:rsidP="00EC25BC">
      <w:pPr>
        <w:pStyle w:val="SingleTxtG"/>
        <w:rPr>
          <w:bCs/>
        </w:rPr>
      </w:pPr>
      <w:r w:rsidRPr="003F0258">
        <w:rPr>
          <w:bCs/>
        </w:rPr>
        <w:t>47.</w:t>
      </w:r>
      <w:r w:rsidRPr="003F0258">
        <w:rPr>
          <w:bCs/>
        </w:rPr>
        <w:tab/>
        <w:t xml:space="preserve">Le Comité note avec regret </w:t>
      </w:r>
      <w:r>
        <w:rPr>
          <w:bCs/>
        </w:rPr>
        <w:t xml:space="preserve">qu’il n’y a pas assez </w:t>
      </w:r>
      <w:r w:rsidRPr="003F0258">
        <w:rPr>
          <w:bCs/>
        </w:rPr>
        <w:t>de services de garde d</w:t>
      </w:r>
      <w:r>
        <w:rPr>
          <w:bCs/>
        </w:rPr>
        <w:t>’</w:t>
      </w:r>
      <w:r w:rsidRPr="003F0258">
        <w:rPr>
          <w:bCs/>
        </w:rPr>
        <w:t>enfants après l</w:t>
      </w:r>
      <w:r>
        <w:rPr>
          <w:bCs/>
        </w:rPr>
        <w:t>’</w:t>
      </w:r>
      <w:r w:rsidRPr="003F0258">
        <w:rPr>
          <w:bCs/>
        </w:rPr>
        <w:t>école et de programmes d</w:t>
      </w:r>
      <w:r>
        <w:rPr>
          <w:bCs/>
        </w:rPr>
        <w:t>’</w:t>
      </w:r>
      <w:r w:rsidRPr="003F0258">
        <w:rPr>
          <w:bCs/>
        </w:rPr>
        <w:t xml:space="preserve">activité pour les parents et les familles. </w:t>
      </w:r>
      <w:r>
        <w:rPr>
          <w:bCs/>
        </w:rPr>
        <w:t xml:space="preserve">Il relève </w:t>
      </w:r>
      <w:r w:rsidRPr="003F0258">
        <w:rPr>
          <w:bCs/>
        </w:rPr>
        <w:t xml:space="preserve">également </w:t>
      </w:r>
      <w:r>
        <w:rPr>
          <w:bCs/>
        </w:rPr>
        <w:t xml:space="preserve">avec </w:t>
      </w:r>
      <w:r w:rsidRPr="003F0258">
        <w:rPr>
          <w:bCs/>
        </w:rPr>
        <w:t>préoccup</w:t>
      </w:r>
      <w:r>
        <w:rPr>
          <w:bCs/>
        </w:rPr>
        <w:t xml:space="preserve">ation </w:t>
      </w:r>
      <w:r w:rsidRPr="003F0258">
        <w:rPr>
          <w:bCs/>
        </w:rPr>
        <w:t>que les programmes existants ne reçoivent pas suffisamment de financements et qu</w:t>
      </w:r>
      <w:r>
        <w:rPr>
          <w:bCs/>
        </w:rPr>
        <w:t>’</w:t>
      </w:r>
      <w:r w:rsidRPr="003F0258">
        <w:rPr>
          <w:bCs/>
        </w:rPr>
        <w:t>ils ne sont pas répartis de manière équitable sur le territoire.</w:t>
      </w:r>
    </w:p>
    <w:p w:rsidR="00EC25BC" w:rsidRPr="003F0258" w:rsidRDefault="00EC25BC" w:rsidP="00EC25BC">
      <w:pPr>
        <w:pStyle w:val="SingleTxtG"/>
        <w:rPr>
          <w:b/>
        </w:rPr>
      </w:pPr>
      <w:r w:rsidRPr="003F0258">
        <w:rPr>
          <w:bCs/>
        </w:rPr>
        <w:t>48.</w:t>
      </w:r>
      <w:r w:rsidRPr="003F0258">
        <w:rPr>
          <w:bCs/>
        </w:rPr>
        <w:tab/>
      </w:r>
      <w:r w:rsidRPr="003F0258">
        <w:rPr>
          <w:b/>
        </w:rPr>
        <w:t>Le Comité recommande à l</w:t>
      </w:r>
      <w:r>
        <w:rPr>
          <w:b/>
        </w:rPr>
        <w:t>’</w:t>
      </w:r>
      <w:r w:rsidRPr="003F0258">
        <w:rPr>
          <w:b/>
        </w:rPr>
        <w:t>État partie d</w:t>
      </w:r>
      <w:r>
        <w:rPr>
          <w:b/>
        </w:rPr>
        <w:t>’</w:t>
      </w:r>
      <w:r w:rsidRPr="003F0258">
        <w:rPr>
          <w:b/>
        </w:rPr>
        <w:t xml:space="preserve">allouer des financements suffisants aux services et programmes </w:t>
      </w:r>
      <w:r>
        <w:rPr>
          <w:b/>
        </w:rPr>
        <w:t>destinés aux</w:t>
      </w:r>
      <w:r w:rsidRPr="003F0258">
        <w:rPr>
          <w:b/>
        </w:rPr>
        <w:t xml:space="preserve"> enfants d</w:t>
      </w:r>
      <w:r>
        <w:rPr>
          <w:b/>
        </w:rPr>
        <w:t>’</w:t>
      </w:r>
      <w:r w:rsidRPr="003F0258">
        <w:rPr>
          <w:b/>
        </w:rPr>
        <w:t xml:space="preserve">âge scolaire, </w:t>
      </w:r>
      <w:r>
        <w:rPr>
          <w:b/>
        </w:rPr>
        <w:t>après l’école</w:t>
      </w:r>
      <w:r w:rsidRPr="003F0258">
        <w:rPr>
          <w:b/>
        </w:rPr>
        <w:t xml:space="preserve"> et </w:t>
      </w:r>
      <w:r>
        <w:rPr>
          <w:b/>
        </w:rPr>
        <w:t xml:space="preserve">pendant </w:t>
      </w:r>
      <w:r w:rsidRPr="003F0258">
        <w:rPr>
          <w:b/>
        </w:rPr>
        <w:t>les vacances scolaires. Ces programmes peuvent remplir plusieurs fonctions, notamment fournir un encadrement structuré aux enfants à l</w:t>
      </w:r>
      <w:r>
        <w:rPr>
          <w:b/>
        </w:rPr>
        <w:t>’</w:t>
      </w:r>
      <w:r w:rsidRPr="003F0258">
        <w:rPr>
          <w:b/>
        </w:rPr>
        <w:t xml:space="preserve">extérieur de la maison, </w:t>
      </w:r>
      <w:r>
        <w:rPr>
          <w:b/>
        </w:rPr>
        <w:t>offrir</w:t>
      </w:r>
      <w:r w:rsidRPr="003F0258">
        <w:rPr>
          <w:b/>
        </w:rPr>
        <w:t xml:space="preserve"> des services de tutorat </w:t>
      </w:r>
      <w:r>
        <w:rPr>
          <w:b/>
        </w:rPr>
        <w:t>si nécessaire</w:t>
      </w:r>
      <w:r w:rsidRPr="003F0258">
        <w:rPr>
          <w:b/>
        </w:rPr>
        <w:t xml:space="preserve"> et </w:t>
      </w:r>
      <w:r>
        <w:rPr>
          <w:b/>
        </w:rPr>
        <w:t>donner</w:t>
      </w:r>
      <w:r w:rsidRPr="003F0258">
        <w:rPr>
          <w:b/>
        </w:rPr>
        <w:t xml:space="preserve"> aux enfants accès à des services que leurs parents ne pourraient autrement pas payer. L</w:t>
      </w:r>
      <w:r>
        <w:rPr>
          <w:b/>
        </w:rPr>
        <w:t>’</w:t>
      </w:r>
      <w:r w:rsidRPr="003F0258">
        <w:rPr>
          <w:b/>
        </w:rPr>
        <w:t xml:space="preserve">État partie doit veiller à ce que ces programmes soient, dans la mesure du possible, financièrement et géographiquement accessibles à tous les parents et à leurs enfants </w:t>
      </w:r>
      <w:r>
        <w:rPr>
          <w:b/>
        </w:rPr>
        <w:t>sur un pied d’égalité</w:t>
      </w:r>
      <w:r w:rsidRPr="003F0258">
        <w:rPr>
          <w:b/>
        </w:rPr>
        <w:t>.</w:t>
      </w:r>
    </w:p>
    <w:p w:rsidR="00EC25BC" w:rsidRPr="003F0258" w:rsidRDefault="00EC25BC" w:rsidP="00EC25BC">
      <w:pPr>
        <w:pStyle w:val="H1G"/>
      </w:pPr>
      <w:r>
        <w:tab/>
      </w:r>
      <w:r w:rsidRPr="003F0258">
        <w:t>G.</w:t>
      </w:r>
      <w:r w:rsidRPr="003F0258">
        <w:tab/>
        <w:t xml:space="preserve">Mesures de protection spéciales (art. 22, 30, 32-36, 38-40 et 37 </w:t>
      </w:r>
      <w:r w:rsidRPr="00066D74">
        <w:rPr>
          <w:iCs/>
        </w:rPr>
        <w:t>b</w:t>
      </w:r>
      <w:r>
        <w:rPr>
          <w:iCs/>
        </w:rPr>
        <w:t>)</w:t>
      </w:r>
      <w:r w:rsidRPr="00066D74">
        <w:rPr>
          <w:iCs/>
        </w:rPr>
        <w:t xml:space="preserve"> </w:t>
      </w:r>
      <w:r w:rsidRPr="00066D74">
        <w:t xml:space="preserve">à </w:t>
      </w:r>
      <w:r w:rsidRPr="00066D74">
        <w:rPr>
          <w:iCs/>
        </w:rPr>
        <w:t>d</w:t>
      </w:r>
      <w:r w:rsidRPr="003F0258">
        <w:t>) de la Convention)</w:t>
      </w:r>
    </w:p>
    <w:p w:rsidR="00EC25BC" w:rsidRPr="003F0258" w:rsidRDefault="00EC25BC" w:rsidP="00EC25BC">
      <w:pPr>
        <w:pStyle w:val="H23G"/>
        <w:rPr>
          <w:bCs/>
        </w:rPr>
      </w:pPr>
      <w:r>
        <w:tab/>
      </w:r>
      <w:r>
        <w:tab/>
      </w:r>
      <w:r w:rsidRPr="003F0258">
        <w:t>Exploitation économique, notamment le travail des enfants</w:t>
      </w:r>
    </w:p>
    <w:p w:rsidR="00EC25BC" w:rsidRPr="003F0258" w:rsidRDefault="00EC25BC" w:rsidP="00EC25BC">
      <w:pPr>
        <w:pStyle w:val="SingleTxtG"/>
        <w:rPr>
          <w:lang w:val="fr-FR"/>
        </w:rPr>
      </w:pPr>
      <w:r w:rsidRPr="003F0258">
        <w:rPr>
          <w:bCs/>
        </w:rPr>
        <w:t>49.</w:t>
      </w:r>
      <w:r w:rsidRPr="003F0258">
        <w:rPr>
          <w:bCs/>
        </w:rPr>
        <w:tab/>
        <w:t xml:space="preserve">Tout en </w:t>
      </w:r>
      <w:r>
        <w:rPr>
          <w:bCs/>
        </w:rPr>
        <w:t xml:space="preserve">prenant </w:t>
      </w:r>
      <w:r w:rsidRPr="003F0258">
        <w:rPr>
          <w:bCs/>
        </w:rPr>
        <w:t>not</w:t>
      </w:r>
      <w:r>
        <w:rPr>
          <w:bCs/>
        </w:rPr>
        <w:t>e</w:t>
      </w:r>
      <w:r w:rsidRPr="003F0258">
        <w:rPr>
          <w:bCs/>
        </w:rPr>
        <w:t xml:space="preserve"> avec intérêt </w:t>
      </w:r>
      <w:r>
        <w:rPr>
          <w:bCs/>
        </w:rPr>
        <w:t xml:space="preserve">de </w:t>
      </w:r>
      <w:r w:rsidRPr="003F0258">
        <w:rPr>
          <w:bCs/>
        </w:rPr>
        <w:t xml:space="preserve">la mise en place du </w:t>
      </w:r>
      <w:r w:rsidRPr="003F0258">
        <w:rPr>
          <w:lang w:val="fr-FR"/>
        </w:rPr>
        <w:t>Programme de travail sur l</w:t>
      </w:r>
      <w:r>
        <w:rPr>
          <w:lang w:val="fr-FR"/>
        </w:rPr>
        <w:t>’</w:t>
      </w:r>
      <w:r w:rsidRPr="003F0258">
        <w:rPr>
          <w:lang w:val="fr-FR"/>
        </w:rPr>
        <w:t>emploi des enfants en 2004, le Comité regrette profondément qu</w:t>
      </w:r>
      <w:r>
        <w:rPr>
          <w:lang w:val="fr-FR"/>
        </w:rPr>
        <w:t>’</w:t>
      </w:r>
      <w:r w:rsidRPr="003F0258">
        <w:rPr>
          <w:lang w:val="fr-FR"/>
        </w:rPr>
        <w:t>aucun effort n</w:t>
      </w:r>
      <w:r>
        <w:rPr>
          <w:lang w:val="fr-FR"/>
        </w:rPr>
        <w:t>’</w:t>
      </w:r>
      <w:r w:rsidRPr="003F0258">
        <w:rPr>
          <w:lang w:val="fr-FR"/>
        </w:rPr>
        <w:t xml:space="preserve">ait été </w:t>
      </w:r>
      <w:r>
        <w:rPr>
          <w:lang w:val="fr-FR"/>
        </w:rPr>
        <w:t>fait</w:t>
      </w:r>
      <w:r w:rsidRPr="003F0258">
        <w:rPr>
          <w:lang w:val="fr-FR"/>
        </w:rPr>
        <w:t xml:space="preserve"> pour </w:t>
      </w:r>
      <w:r>
        <w:rPr>
          <w:lang w:val="fr-FR"/>
        </w:rPr>
        <w:t>donner suite</w:t>
      </w:r>
      <w:r w:rsidRPr="003F0258">
        <w:rPr>
          <w:lang w:val="fr-FR"/>
        </w:rPr>
        <w:t xml:space="preserve"> aux recommandations </w:t>
      </w:r>
      <w:r>
        <w:rPr>
          <w:lang w:val="fr-FR"/>
        </w:rPr>
        <w:t>précédentes</w:t>
      </w:r>
      <w:r w:rsidRPr="003F0258">
        <w:rPr>
          <w:lang w:val="fr-FR"/>
        </w:rPr>
        <w:t xml:space="preserve"> du Comité sur l</w:t>
      </w:r>
      <w:r>
        <w:rPr>
          <w:lang w:val="fr-FR"/>
        </w:rPr>
        <w:t>’</w:t>
      </w:r>
      <w:r w:rsidRPr="003F0258">
        <w:rPr>
          <w:lang w:val="fr-FR"/>
        </w:rPr>
        <w:t xml:space="preserve">exploitation économique, notamment le travail des enfants. En outre, </w:t>
      </w:r>
      <w:r>
        <w:rPr>
          <w:lang w:val="fr-FR"/>
        </w:rPr>
        <w:t xml:space="preserve">il </w:t>
      </w:r>
      <w:r w:rsidRPr="003F0258">
        <w:rPr>
          <w:lang w:val="fr-FR"/>
        </w:rPr>
        <w:t xml:space="preserve">est particulièrement préoccupé par le fait que les enfants âgés de 15 à 18 ans aient le droit de travailler </w:t>
      </w:r>
      <w:r>
        <w:rPr>
          <w:lang w:val="fr-FR"/>
        </w:rPr>
        <w:t>dans</w:t>
      </w:r>
      <w:r w:rsidRPr="003F0258">
        <w:rPr>
          <w:lang w:val="fr-FR"/>
        </w:rPr>
        <w:t xml:space="preserve"> des lieux dangereux.</w:t>
      </w:r>
    </w:p>
    <w:p w:rsidR="00EC25BC" w:rsidRPr="003F0258" w:rsidRDefault="00EC25BC" w:rsidP="00EC25BC">
      <w:pPr>
        <w:pStyle w:val="SingleTxtG"/>
        <w:rPr>
          <w:b/>
          <w:bCs/>
          <w:lang w:val="fr-FR"/>
        </w:rPr>
      </w:pPr>
      <w:r w:rsidRPr="003F0258">
        <w:rPr>
          <w:lang w:val="fr-FR"/>
        </w:rPr>
        <w:t>50.</w:t>
      </w:r>
      <w:r w:rsidRPr="003F0258">
        <w:rPr>
          <w:lang w:val="fr-FR"/>
        </w:rPr>
        <w:tab/>
      </w:r>
      <w:r w:rsidRPr="003F0258">
        <w:rPr>
          <w:b/>
          <w:bCs/>
          <w:lang w:val="fr-FR"/>
        </w:rPr>
        <w:t>Le Comité recommande à l</w:t>
      </w:r>
      <w:r>
        <w:rPr>
          <w:b/>
          <w:bCs/>
          <w:lang w:val="fr-FR"/>
        </w:rPr>
        <w:t>’</w:t>
      </w:r>
      <w:r w:rsidRPr="003F0258">
        <w:rPr>
          <w:b/>
          <w:bCs/>
          <w:lang w:val="fr-FR"/>
        </w:rPr>
        <w:t>État partie de prendre les mesures adéquates, législatives et autres, pour qu</w:t>
      </w:r>
      <w:r>
        <w:rPr>
          <w:b/>
          <w:bCs/>
          <w:lang w:val="fr-FR"/>
        </w:rPr>
        <w:t>’</w:t>
      </w:r>
      <w:r w:rsidRPr="003F0258">
        <w:rPr>
          <w:b/>
          <w:bCs/>
          <w:lang w:val="fr-FR"/>
        </w:rPr>
        <w:t>aucune personne de moins de 18 ans n</w:t>
      </w:r>
      <w:r>
        <w:rPr>
          <w:b/>
          <w:bCs/>
          <w:lang w:val="fr-FR"/>
        </w:rPr>
        <w:t>’</w:t>
      </w:r>
      <w:r w:rsidRPr="003F0258">
        <w:rPr>
          <w:b/>
          <w:bCs/>
          <w:lang w:val="fr-FR"/>
        </w:rPr>
        <w:t xml:space="preserve">ait le droit de travailler </w:t>
      </w:r>
      <w:r>
        <w:rPr>
          <w:b/>
          <w:bCs/>
          <w:lang w:val="fr-FR"/>
        </w:rPr>
        <w:t>dans</w:t>
      </w:r>
      <w:r w:rsidRPr="003F0258">
        <w:rPr>
          <w:b/>
          <w:bCs/>
          <w:lang w:val="fr-FR"/>
        </w:rPr>
        <w:t xml:space="preserve"> un lieu dangereux. Le Comité réitère sa recommandation antérieure (CRC/C/15/Add.216, par.</w:t>
      </w:r>
      <w:r>
        <w:rPr>
          <w:b/>
          <w:bCs/>
          <w:lang w:val="fr-FR"/>
        </w:rPr>
        <w:t xml:space="preserve"> </w:t>
      </w:r>
      <w:r w:rsidRPr="003F0258">
        <w:rPr>
          <w:b/>
          <w:bCs/>
          <w:lang w:val="fr-FR"/>
        </w:rPr>
        <w:t>48) relative à la</w:t>
      </w:r>
      <w:r>
        <w:rPr>
          <w:b/>
          <w:bCs/>
          <w:lang w:val="fr-FR"/>
        </w:rPr>
        <w:t xml:space="preserve"> ratification de la Convention </w:t>
      </w:r>
      <w:r w:rsidRPr="00802E46">
        <w:rPr>
          <w:rFonts w:eastAsia="MS Mincho"/>
          <w:b/>
          <w:bCs/>
          <w:lang w:val="fr-FR"/>
        </w:rPr>
        <w:t>n</w:t>
      </w:r>
      <w:r w:rsidRPr="00802E46">
        <w:rPr>
          <w:rFonts w:eastAsia="MS Mincho"/>
          <w:b/>
          <w:bCs/>
          <w:vertAlign w:val="superscript"/>
          <w:lang w:val="fr-FR"/>
        </w:rPr>
        <w:t>o</w:t>
      </w:r>
      <w:r>
        <w:rPr>
          <w:b/>
          <w:bCs/>
          <w:lang w:val="fr-FR"/>
        </w:rPr>
        <w:t> </w:t>
      </w:r>
      <w:r w:rsidRPr="003F0258">
        <w:rPr>
          <w:b/>
          <w:bCs/>
          <w:lang w:val="fr-FR"/>
        </w:rPr>
        <w:t>138 de l</w:t>
      </w:r>
      <w:r>
        <w:rPr>
          <w:b/>
          <w:bCs/>
          <w:lang w:val="fr-FR"/>
        </w:rPr>
        <w:t>’</w:t>
      </w:r>
      <w:r w:rsidRPr="003F0258">
        <w:rPr>
          <w:b/>
          <w:bCs/>
          <w:lang w:val="fr-FR"/>
        </w:rPr>
        <w:t>OIT concernant l</w:t>
      </w:r>
      <w:r>
        <w:rPr>
          <w:b/>
          <w:bCs/>
          <w:lang w:val="fr-FR"/>
        </w:rPr>
        <w:t>’</w:t>
      </w:r>
      <w:r w:rsidRPr="003F0258">
        <w:rPr>
          <w:b/>
          <w:bCs/>
          <w:lang w:val="fr-FR"/>
        </w:rPr>
        <w:t>âge minimum d</w:t>
      </w:r>
      <w:r>
        <w:rPr>
          <w:b/>
          <w:bCs/>
          <w:lang w:val="fr-FR"/>
        </w:rPr>
        <w:t>’</w:t>
      </w:r>
      <w:r w:rsidRPr="003F0258">
        <w:rPr>
          <w:b/>
          <w:bCs/>
          <w:lang w:val="fr-FR"/>
        </w:rPr>
        <w:t>admission à l</w:t>
      </w:r>
      <w:r>
        <w:rPr>
          <w:b/>
          <w:bCs/>
          <w:lang w:val="fr-FR"/>
        </w:rPr>
        <w:t>’</w:t>
      </w:r>
      <w:r w:rsidRPr="003F0258">
        <w:rPr>
          <w:b/>
          <w:bCs/>
          <w:lang w:val="fr-FR"/>
        </w:rPr>
        <w:t>emploi</w:t>
      </w:r>
      <w:r>
        <w:rPr>
          <w:b/>
          <w:bCs/>
          <w:lang w:val="fr-FR"/>
        </w:rPr>
        <w:t xml:space="preserve"> (</w:t>
      </w:r>
      <w:r w:rsidRPr="003F0258">
        <w:rPr>
          <w:b/>
          <w:bCs/>
          <w:lang w:val="fr-FR"/>
        </w:rPr>
        <w:t>1973</w:t>
      </w:r>
      <w:r>
        <w:rPr>
          <w:b/>
          <w:bCs/>
          <w:lang w:val="fr-FR"/>
        </w:rPr>
        <w:t>)</w:t>
      </w:r>
      <w:r w:rsidRPr="003F0258">
        <w:rPr>
          <w:b/>
          <w:bCs/>
          <w:lang w:val="fr-FR"/>
        </w:rPr>
        <w:t>.</w:t>
      </w:r>
    </w:p>
    <w:p w:rsidR="00EC25BC" w:rsidRPr="003F0258" w:rsidRDefault="00EC25BC" w:rsidP="00EC25BC">
      <w:pPr>
        <w:pStyle w:val="H23G"/>
        <w:rPr>
          <w:lang w:val="fr-FR"/>
        </w:rPr>
      </w:pPr>
      <w:r>
        <w:rPr>
          <w:lang w:val="fr-FR"/>
        </w:rPr>
        <w:tab/>
      </w:r>
      <w:r>
        <w:rPr>
          <w:lang w:val="fr-FR"/>
        </w:rPr>
        <w:tab/>
      </w:r>
      <w:r w:rsidRPr="003F0258">
        <w:rPr>
          <w:lang w:val="fr-FR"/>
        </w:rPr>
        <w:t>Exploitation sexuelle et violence sexuelle</w:t>
      </w:r>
    </w:p>
    <w:p w:rsidR="00EC25BC" w:rsidRPr="003F0258" w:rsidRDefault="00EC25BC" w:rsidP="00EC25BC">
      <w:pPr>
        <w:pStyle w:val="SingleTxtG"/>
        <w:rPr>
          <w:lang w:val="fr-FR"/>
        </w:rPr>
      </w:pPr>
      <w:r w:rsidRPr="003F0258">
        <w:rPr>
          <w:bCs/>
          <w:lang w:val="fr-FR"/>
        </w:rPr>
        <w:t>51.</w:t>
      </w:r>
      <w:r w:rsidRPr="003F0258">
        <w:rPr>
          <w:bCs/>
          <w:lang w:val="fr-FR"/>
        </w:rPr>
        <w:tab/>
        <w:t xml:space="preserve">Le Comité </w:t>
      </w:r>
      <w:r>
        <w:rPr>
          <w:bCs/>
          <w:lang w:val="fr-FR"/>
        </w:rPr>
        <w:t>note que, selon l’État partie, les</w:t>
      </w:r>
      <w:r w:rsidRPr="003F0258">
        <w:rPr>
          <w:bCs/>
          <w:lang w:val="fr-FR"/>
        </w:rPr>
        <w:t xml:space="preserve"> travaux relatifs à la ratification du Protocole facultatif concernant la vente d</w:t>
      </w:r>
      <w:r>
        <w:rPr>
          <w:bCs/>
          <w:lang w:val="fr-FR"/>
        </w:rPr>
        <w:t>’</w:t>
      </w:r>
      <w:r w:rsidRPr="003F0258">
        <w:rPr>
          <w:bCs/>
          <w:lang w:val="fr-FR"/>
        </w:rPr>
        <w:t xml:space="preserve">enfants, la prostitution des enfants et la pornographie mettant en scène des enfants </w:t>
      </w:r>
      <w:r>
        <w:rPr>
          <w:bCs/>
          <w:lang w:val="fr-FR"/>
        </w:rPr>
        <w:t xml:space="preserve">progressent </w:t>
      </w:r>
      <w:r w:rsidRPr="003F0258">
        <w:rPr>
          <w:bCs/>
          <w:lang w:val="fr-FR"/>
        </w:rPr>
        <w:t xml:space="preserve">et les </w:t>
      </w:r>
      <w:r>
        <w:rPr>
          <w:bCs/>
          <w:lang w:val="fr-FR"/>
        </w:rPr>
        <w:t>questions</w:t>
      </w:r>
      <w:r w:rsidRPr="003F0258">
        <w:rPr>
          <w:bCs/>
          <w:lang w:val="fr-FR"/>
        </w:rPr>
        <w:t xml:space="preserve"> qui restent en suspens seront </w:t>
      </w:r>
      <w:r>
        <w:rPr>
          <w:bCs/>
          <w:lang w:val="fr-FR"/>
        </w:rPr>
        <w:t>réglées au moyen du</w:t>
      </w:r>
      <w:r w:rsidRPr="003F0258">
        <w:rPr>
          <w:bCs/>
          <w:lang w:val="fr-FR"/>
        </w:rPr>
        <w:t xml:space="preserve"> projet de loi relative à la protection de l</w:t>
      </w:r>
      <w:r>
        <w:rPr>
          <w:bCs/>
          <w:lang w:val="fr-FR"/>
        </w:rPr>
        <w:t>’</w:t>
      </w:r>
      <w:r w:rsidRPr="003F0258">
        <w:rPr>
          <w:bCs/>
          <w:lang w:val="fr-FR"/>
        </w:rPr>
        <w:t>enfant et de la famille, actuellement devant la Chambre des Représentants. Le Comité prend également note des activités menées par l</w:t>
      </w:r>
      <w:r>
        <w:rPr>
          <w:bCs/>
          <w:lang w:val="fr-FR"/>
        </w:rPr>
        <w:t>’</w:t>
      </w:r>
      <w:r w:rsidRPr="003F0258">
        <w:rPr>
          <w:bCs/>
          <w:lang w:val="fr-FR"/>
        </w:rPr>
        <w:t>État partie pour lutter contre l</w:t>
      </w:r>
      <w:r>
        <w:rPr>
          <w:bCs/>
          <w:lang w:val="fr-FR"/>
        </w:rPr>
        <w:t>’</w:t>
      </w:r>
      <w:r w:rsidRPr="003F0258">
        <w:rPr>
          <w:bCs/>
          <w:lang w:val="fr-FR"/>
        </w:rPr>
        <w:t xml:space="preserve">exploitation sexuelle à des fins commerciales et les sévices sexuels. </w:t>
      </w:r>
      <w:r>
        <w:rPr>
          <w:bCs/>
          <w:lang w:val="fr-FR"/>
        </w:rPr>
        <w:t>Il</w:t>
      </w:r>
      <w:r w:rsidRPr="003F0258">
        <w:rPr>
          <w:bCs/>
          <w:lang w:val="fr-FR"/>
        </w:rPr>
        <w:t xml:space="preserve"> demeure toutefois préoccupé par la question </w:t>
      </w:r>
      <w:r>
        <w:rPr>
          <w:bCs/>
          <w:lang w:val="fr-FR"/>
        </w:rPr>
        <w:t xml:space="preserve">de l’exploitation </w:t>
      </w:r>
      <w:r w:rsidRPr="003F0258">
        <w:rPr>
          <w:bCs/>
          <w:lang w:val="fr-FR"/>
        </w:rPr>
        <w:t xml:space="preserve">des filles migrantes </w:t>
      </w:r>
      <w:r>
        <w:rPr>
          <w:bCs/>
          <w:lang w:val="fr-FR"/>
        </w:rPr>
        <w:t>par la</w:t>
      </w:r>
      <w:r w:rsidRPr="003F0258">
        <w:rPr>
          <w:bCs/>
          <w:lang w:val="fr-FR"/>
        </w:rPr>
        <w:t xml:space="preserve"> prostitution et </w:t>
      </w:r>
      <w:r>
        <w:rPr>
          <w:bCs/>
          <w:lang w:val="fr-FR"/>
        </w:rPr>
        <w:t xml:space="preserve">par </w:t>
      </w:r>
      <w:r w:rsidRPr="003F0258">
        <w:rPr>
          <w:lang w:val="fr-FR"/>
        </w:rPr>
        <w:t>l</w:t>
      </w:r>
      <w:r>
        <w:rPr>
          <w:lang w:val="fr-FR"/>
        </w:rPr>
        <w:t>’</w:t>
      </w:r>
      <w:r w:rsidRPr="003F0258">
        <w:rPr>
          <w:lang w:val="fr-FR"/>
        </w:rPr>
        <w:t>absence de données concernant les enfants victimes d</w:t>
      </w:r>
      <w:r>
        <w:rPr>
          <w:lang w:val="fr-FR"/>
        </w:rPr>
        <w:t>’</w:t>
      </w:r>
      <w:r w:rsidRPr="003F0258">
        <w:rPr>
          <w:lang w:val="fr-FR"/>
        </w:rPr>
        <w:t>exploitation sexuelle.</w:t>
      </w:r>
    </w:p>
    <w:p w:rsidR="00EC25BC" w:rsidRPr="003F0258" w:rsidRDefault="00EC25BC" w:rsidP="00EC25BC">
      <w:pPr>
        <w:pStyle w:val="SingleTxtG"/>
        <w:rPr>
          <w:bCs/>
          <w:lang w:val="fr-FR"/>
        </w:rPr>
      </w:pPr>
      <w:r w:rsidRPr="003F0258">
        <w:rPr>
          <w:lang w:val="fr-FR"/>
        </w:rPr>
        <w:t>52.</w:t>
      </w:r>
      <w:r w:rsidRPr="003F0258">
        <w:rPr>
          <w:lang w:val="fr-FR"/>
        </w:rPr>
        <w:tab/>
      </w:r>
      <w:r w:rsidRPr="003F0258">
        <w:rPr>
          <w:b/>
          <w:bCs/>
          <w:lang w:val="fr-FR"/>
        </w:rPr>
        <w:t>Le Comité encourage l</w:t>
      </w:r>
      <w:r>
        <w:rPr>
          <w:b/>
          <w:bCs/>
          <w:lang w:val="fr-FR"/>
        </w:rPr>
        <w:t>’</w:t>
      </w:r>
      <w:r w:rsidRPr="003F0258">
        <w:rPr>
          <w:b/>
          <w:bCs/>
          <w:lang w:val="fr-FR"/>
        </w:rPr>
        <w:t xml:space="preserve">État partie à adopter </w:t>
      </w:r>
      <w:r>
        <w:rPr>
          <w:b/>
          <w:bCs/>
          <w:lang w:val="fr-FR"/>
        </w:rPr>
        <w:t>sans retard</w:t>
      </w:r>
      <w:r w:rsidRPr="003F0258">
        <w:rPr>
          <w:b/>
          <w:bCs/>
          <w:lang w:val="fr-FR"/>
        </w:rPr>
        <w:t xml:space="preserve"> le projet de loi relative à la protection de l</w:t>
      </w:r>
      <w:r>
        <w:rPr>
          <w:b/>
          <w:bCs/>
          <w:lang w:val="fr-FR"/>
        </w:rPr>
        <w:t>’</w:t>
      </w:r>
      <w:r w:rsidRPr="003F0258">
        <w:rPr>
          <w:b/>
          <w:bCs/>
          <w:lang w:val="fr-FR"/>
        </w:rPr>
        <w:t>enfant et de la famille afin d</w:t>
      </w:r>
      <w:r>
        <w:rPr>
          <w:b/>
          <w:bCs/>
          <w:lang w:val="fr-FR"/>
        </w:rPr>
        <w:t>’</w:t>
      </w:r>
      <w:r w:rsidRPr="003F0258">
        <w:rPr>
          <w:b/>
          <w:bCs/>
          <w:lang w:val="fr-FR"/>
        </w:rPr>
        <w:t>éliminer tout obstacle à la ratification du</w:t>
      </w:r>
      <w:r w:rsidRPr="003F0258">
        <w:rPr>
          <w:b/>
          <w:lang w:val="fr-FR"/>
        </w:rPr>
        <w:t xml:space="preserve"> Protocole facultatif concernant la vente d</w:t>
      </w:r>
      <w:r>
        <w:rPr>
          <w:b/>
          <w:lang w:val="fr-FR"/>
        </w:rPr>
        <w:t>’</w:t>
      </w:r>
      <w:r w:rsidRPr="003F0258">
        <w:rPr>
          <w:b/>
          <w:lang w:val="fr-FR"/>
        </w:rPr>
        <w:t xml:space="preserve">enfants, la prostitution des enfants et la pornographie mettant en scène des enfants. Il </w:t>
      </w:r>
      <w:r>
        <w:rPr>
          <w:b/>
          <w:lang w:val="fr-FR"/>
        </w:rPr>
        <w:t xml:space="preserve">lui </w:t>
      </w:r>
      <w:r w:rsidRPr="003F0258">
        <w:rPr>
          <w:b/>
          <w:lang w:val="fr-FR"/>
        </w:rPr>
        <w:t xml:space="preserve">recommande de prendre les mesures nécessaires </w:t>
      </w:r>
      <w:r>
        <w:rPr>
          <w:b/>
          <w:lang w:val="fr-FR"/>
        </w:rPr>
        <w:t>pour</w:t>
      </w:r>
      <w:r w:rsidRPr="003F0258">
        <w:rPr>
          <w:b/>
          <w:lang w:val="fr-FR"/>
        </w:rPr>
        <w:t xml:space="preserve"> lutte</w:t>
      </w:r>
      <w:r>
        <w:rPr>
          <w:b/>
          <w:lang w:val="fr-FR"/>
        </w:rPr>
        <w:t>r</w:t>
      </w:r>
      <w:r w:rsidRPr="003F0258">
        <w:rPr>
          <w:b/>
          <w:lang w:val="fr-FR"/>
        </w:rPr>
        <w:t xml:space="preserve"> contre </w:t>
      </w:r>
      <w:r>
        <w:rPr>
          <w:b/>
          <w:lang w:val="fr-FR"/>
        </w:rPr>
        <w:t>l’exploitation</w:t>
      </w:r>
      <w:r w:rsidRPr="003F0258">
        <w:rPr>
          <w:b/>
          <w:lang w:val="fr-FR"/>
        </w:rPr>
        <w:t xml:space="preserve"> des filles migrantes</w:t>
      </w:r>
      <w:r>
        <w:rPr>
          <w:b/>
          <w:lang w:val="fr-FR"/>
        </w:rPr>
        <w:t xml:space="preserve"> par la prostitution</w:t>
      </w:r>
      <w:r w:rsidRPr="003F0258">
        <w:rPr>
          <w:b/>
          <w:lang w:val="fr-FR"/>
        </w:rPr>
        <w:t xml:space="preserve"> et </w:t>
      </w:r>
      <w:r w:rsidRPr="003F0258">
        <w:rPr>
          <w:b/>
          <w:bCs/>
          <w:lang w:val="fr-FR"/>
        </w:rPr>
        <w:t>d</w:t>
      </w:r>
      <w:r>
        <w:rPr>
          <w:b/>
          <w:bCs/>
          <w:lang w:val="fr-FR"/>
        </w:rPr>
        <w:t>’</w:t>
      </w:r>
      <w:r w:rsidRPr="003F0258">
        <w:rPr>
          <w:b/>
          <w:bCs/>
          <w:lang w:val="fr-FR"/>
        </w:rPr>
        <w:t>intensifier ses efforts pour collecter des données sur l</w:t>
      </w:r>
      <w:r>
        <w:rPr>
          <w:b/>
          <w:bCs/>
          <w:lang w:val="fr-FR"/>
        </w:rPr>
        <w:t>’</w:t>
      </w:r>
      <w:r w:rsidRPr="003F0258">
        <w:rPr>
          <w:b/>
          <w:bCs/>
          <w:lang w:val="fr-FR"/>
        </w:rPr>
        <w:t>ampleur de l</w:t>
      </w:r>
      <w:r>
        <w:rPr>
          <w:b/>
          <w:bCs/>
          <w:lang w:val="fr-FR"/>
        </w:rPr>
        <w:t>’</w:t>
      </w:r>
      <w:r w:rsidRPr="003F0258">
        <w:rPr>
          <w:b/>
          <w:bCs/>
          <w:lang w:val="fr-FR"/>
        </w:rPr>
        <w:t xml:space="preserve">exploitation </w:t>
      </w:r>
      <w:r>
        <w:rPr>
          <w:b/>
          <w:bCs/>
          <w:lang w:val="fr-FR"/>
        </w:rPr>
        <w:t xml:space="preserve">sexuelle </w:t>
      </w:r>
      <w:r w:rsidRPr="003F0258">
        <w:rPr>
          <w:b/>
          <w:bCs/>
          <w:lang w:val="fr-FR"/>
        </w:rPr>
        <w:t xml:space="preserve">et des </w:t>
      </w:r>
      <w:r>
        <w:rPr>
          <w:b/>
          <w:bCs/>
          <w:lang w:val="fr-FR"/>
        </w:rPr>
        <w:t>violences</w:t>
      </w:r>
      <w:r w:rsidRPr="003F0258">
        <w:rPr>
          <w:b/>
          <w:bCs/>
          <w:lang w:val="fr-FR"/>
        </w:rPr>
        <w:t xml:space="preserve"> sexuel</w:t>
      </w:r>
      <w:r>
        <w:rPr>
          <w:b/>
          <w:bCs/>
          <w:lang w:val="fr-FR"/>
        </w:rPr>
        <w:t>le</w:t>
      </w:r>
      <w:r w:rsidRPr="003F0258">
        <w:rPr>
          <w:b/>
          <w:bCs/>
          <w:lang w:val="fr-FR"/>
        </w:rPr>
        <w:t xml:space="preserve">s </w:t>
      </w:r>
      <w:r>
        <w:rPr>
          <w:b/>
          <w:bCs/>
          <w:lang w:val="fr-FR"/>
        </w:rPr>
        <w:t>dont l</w:t>
      </w:r>
      <w:r w:rsidRPr="003F0258">
        <w:rPr>
          <w:b/>
          <w:bCs/>
          <w:lang w:val="fr-FR"/>
        </w:rPr>
        <w:t>es enfants</w:t>
      </w:r>
      <w:r>
        <w:rPr>
          <w:b/>
          <w:bCs/>
          <w:lang w:val="fr-FR"/>
        </w:rPr>
        <w:t xml:space="preserve"> sont victimes</w:t>
      </w:r>
      <w:r w:rsidRPr="003F0258">
        <w:rPr>
          <w:b/>
          <w:bCs/>
          <w:lang w:val="fr-FR"/>
        </w:rPr>
        <w:t>, données qui sont indispensables à l</w:t>
      </w:r>
      <w:r>
        <w:rPr>
          <w:b/>
          <w:bCs/>
          <w:lang w:val="fr-FR"/>
        </w:rPr>
        <w:t>’</w:t>
      </w:r>
      <w:r w:rsidRPr="003F0258">
        <w:rPr>
          <w:b/>
          <w:bCs/>
          <w:lang w:val="fr-FR"/>
        </w:rPr>
        <w:t>élaboration de mesures adéquates pour intervenir et lutter contre ces phénomènes</w:t>
      </w:r>
      <w:r w:rsidRPr="003F0258">
        <w:rPr>
          <w:bCs/>
          <w:lang w:val="fr-FR"/>
        </w:rPr>
        <w:t>.</w:t>
      </w:r>
    </w:p>
    <w:p w:rsidR="00EC25BC" w:rsidRPr="003F0258" w:rsidRDefault="00EC25BC" w:rsidP="00EC25BC">
      <w:pPr>
        <w:pStyle w:val="H23G"/>
        <w:rPr>
          <w:lang w:val="fr-FR"/>
        </w:rPr>
      </w:pPr>
      <w:r>
        <w:rPr>
          <w:lang w:val="fr-FR"/>
        </w:rPr>
        <w:tab/>
      </w:r>
      <w:r>
        <w:rPr>
          <w:lang w:val="fr-FR"/>
        </w:rPr>
        <w:tab/>
      </w:r>
      <w:r w:rsidRPr="003F0258">
        <w:rPr>
          <w:lang w:val="fr-FR"/>
        </w:rPr>
        <w:t>Services d</w:t>
      </w:r>
      <w:r>
        <w:rPr>
          <w:lang w:val="fr-FR"/>
        </w:rPr>
        <w:t>’</w:t>
      </w:r>
      <w:r w:rsidRPr="003F0258">
        <w:rPr>
          <w:lang w:val="fr-FR"/>
        </w:rPr>
        <w:t>assistance téléphonique</w:t>
      </w:r>
    </w:p>
    <w:p w:rsidR="00EC25BC" w:rsidRPr="003F0258" w:rsidRDefault="00EC25BC" w:rsidP="00EC25BC">
      <w:pPr>
        <w:pStyle w:val="SingleTxtG"/>
        <w:rPr>
          <w:bCs/>
          <w:lang w:val="fr-FR"/>
        </w:rPr>
      </w:pPr>
      <w:r w:rsidRPr="003F0258">
        <w:rPr>
          <w:bCs/>
          <w:lang w:val="fr-FR"/>
        </w:rPr>
        <w:t>53.</w:t>
      </w:r>
      <w:r w:rsidRPr="003F0258">
        <w:rPr>
          <w:bCs/>
          <w:lang w:val="fr-FR"/>
        </w:rPr>
        <w:tab/>
        <w:t xml:space="preserve">Le Comité note avec intérêt </w:t>
      </w:r>
      <w:r>
        <w:rPr>
          <w:bCs/>
          <w:lang w:val="fr-FR"/>
        </w:rPr>
        <w:t xml:space="preserve">qu’il </w:t>
      </w:r>
      <w:r w:rsidRPr="003F0258">
        <w:rPr>
          <w:bCs/>
          <w:lang w:val="fr-FR"/>
        </w:rPr>
        <w:t>existe trois lignes d</w:t>
      </w:r>
      <w:r>
        <w:rPr>
          <w:bCs/>
          <w:lang w:val="fr-FR"/>
        </w:rPr>
        <w:t>’</w:t>
      </w:r>
      <w:r w:rsidRPr="003F0258">
        <w:rPr>
          <w:bCs/>
          <w:lang w:val="fr-FR"/>
        </w:rPr>
        <w:t>assistance dans l</w:t>
      </w:r>
      <w:r>
        <w:rPr>
          <w:bCs/>
          <w:lang w:val="fr-FR"/>
        </w:rPr>
        <w:t>’</w:t>
      </w:r>
      <w:r w:rsidRPr="003F0258">
        <w:rPr>
          <w:bCs/>
          <w:lang w:val="fr-FR"/>
        </w:rPr>
        <w:t>État partie</w:t>
      </w:r>
      <w:r>
        <w:rPr>
          <w:bCs/>
          <w:lang w:val="fr-FR"/>
        </w:rPr>
        <w:t xml:space="preserve"> mais</w:t>
      </w:r>
      <w:r w:rsidRPr="003F0258">
        <w:rPr>
          <w:bCs/>
          <w:lang w:val="fr-FR"/>
        </w:rPr>
        <w:t xml:space="preserve"> regrette qu</w:t>
      </w:r>
      <w:r>
        <w:rPr>
          <w:bCs/>
          <w:lang w:val="fr-FR"/>
        </w:rPr>
        <w:t>’</w:t>
      </w:r>
      <w:r w:rsidRPr="003F0258">
        <w:rPr>
          <w:bCs/>
          <w:lang w:val="fr-FR"/>
        </w:rPr>
        <w:t>elles ne fonctionnent pas vingt-quatre heures sur vingt-quatre et qu</w:t>
      </w:r>
      <w:r>
        <w:rPr>
          <w:bCs/>
          <w:lang w:val="fr-FR"/>
        </w:rPr>
        <w:t>’</w:t>
      </w:r>
      <w:r w:rsidRPr="003F0258">
        <w:rPr>
          <w:bCs/>
          <w:lang w:val="fr-FR"/>
        </w:rPr>
        <w:t>on n</w:t>
      </w:r>
      <w:r>
        <w:rPr>
          <w:bCs/>
          <w:lang w:val="fr-FR"/>
        </w:rPr>
        <w:t>’</w:t>
      </w:r>
      <w:r w:rsidRPr="003F0258">
        <w:rPr>
          <w:bCs/>
          <w:lang w:val="fr-FR"/>
        </w:rPr>
        <w:t>y ait pas accès par un numéro de téléphone abrégé gratuit.</w:t>
      </w:r>
    </w:p>
    <w:p w:rsidR="00EC25BC" w:rsidRPr="003F0258" w:rsidRDefault="00EC25BC" w:rsidP="00EC25BC">
      <w:pPr>
        <w:pStyle w:val="SingleTxtG"/>
        <w:rPr>
          <w:b/>
        </w:rPr>
      </w:pPr>
      <w:r w:rsidRPr="003F0258">
        <w:rPr>
          <w:bCs/>
          <w:lang w:val="fr-FR"/>
        </w:rPr>
        <w:t>54.</w:t>
      </w:r>
      <w:r w:rsidRPr="003F0258">
        <w:rPr>
          <w:bCs/>
          <w:lang w:val="fr-FR"/>
        </w:rPr>
        <w:tab/>
      </w:r>
      <w:r w:rsidRPr="003F0258">
        <w:rPr>
          <w:b/>
          <w:lang w:val="fr-FR"/>
        </w:rPr>
        <w:t>Le Comité recommande à l</w:t>
      </w:r>
      <w:r>
        <w:rPr>
          <w:b/>
          <w:lang w:val="fr-FR"/>
        </w:rPr>
        <w:t>’</w:t>
      </w:r>
      <w:r w:rsidRPr="003F0258">
        <w:rPr>
          <w:b/>
          <w:lang w:val="fr-FR"/>
        </w:rPr>
        <w:t>État partie d</w:t>
      </w:r>
      <w:r>
        <w:rPr>
          <w:b/>
          <w:lang w:val="fr-FR"/>
        </w:rPr>
        <w:t>’</w:t>
      </w:r>
      <w:r w:rsidRPr="003F0258">
        <w:rPr>
          <w:b/>
          <w:lang w:val="fr-FR"/>
        </w:rPr>
        <w:t xml:space="preserve">allouer suffisamment de </w:t>
      </w:r>
      <w:r>
        <w:rPr>
          <w:b/>
          <w:lang w:val="fr-FR"/>
        </w:rPr>
        <w:t>fonds</w:t>
      </w:r>
      <w:r w:rsidRPr="003F0258">
        <w:rPr>
          <w:b/>
          <w:lang w:val="fr-FR"/>
        </w:rPr>
        <w:t xml:space="preserve"> pour permettre un accès gratuit, </w:t>
      </w:r>
      <w:r w:rsidRPr="003F0258">
        <w:rPr>
          <w:b/>
        </w:rPr>
        <w:t>vingt-quatre heures sur vingt-quatre, à des services d</w:t>
      </w:r>
      <w:r>
        <w:rPr>
          <w:b/>
        </w:rPr>
        <w:t>’</w:t>
      </w:r>
      <w:r w:rsidRPr="003F0258">
        <w:rPr>
          <w:b/>
        </w:rPr>
        <w:t>assistance téléphonique à l</w:t>
      </w:r>
      <w:r>
        <w:rPr>
          <w:b/>
        </w:rPr>
        <w:t>’</w:t>
      </w:r>
      <w:r w:rsidRPr="003F0258">
        <w:rPr>
          <w:b/>
        </w:rPr>
        <w:t xml:space="preserve">enfance. </w:t>
      </w:r>
      <w:r>
        <w:rPr>
          <w:b/>
        </w:rPr>
        <w:t>Il</w:t>
      </w:r>
      <w:r w:rsidRPr="003F0258">
        <w:rPr>
          <w:b/>
        </w:rPr>
        <w:t xml:space="preserve"> recommande également que ces lignes soient accessibles par un numéro à trois ou quatre chiffres, depuis toutes les régions du pays.</w:t>
      </w:r>
    </w:p>
    <w:p w:rsidR="00EC25BC" w:rsidRPr="003F0258" w:rsidRDefault="00EC25BC" w:rsidP="00EC25BC">
      <w:pPr>
        <w:pStyle w:val="H23G"/>
      </w:pPr>
      <w:r>
        <w:tab/>
      </w:r>
      <w:r>
        <w:tab/>
      </w:r>
      <w:r w:rsidRPr="003F0258">
        <w:t>Administration de la justice pour mineurs</w:t>
      </w:r>
    </w:p>
    <w:p w:rsidR="00EC25BC" w:rsidRPr="003F0258" w:rsidRDefault="00EC25BC" w:rsidP="00EC25BC">
      <w:pPr>
        <w:pStyle w:val="SingleTxtG"/>
        <w:rPr>
          <w:bCs/>
        </w:rPr>
      </w:pPr>
      <w:r w:rsidRPr="003F0258">
        <w:rPr>
          <w:bCs/>
        </w:rPr>
        <w:t>55.</w:t>
      </w:r>
      <w:r w:rsidRPr="003F0258">
        <w:rPr>
          <w:bCs/>
        </w:rPr>
        <w:tab/>
        <w:t xml:space="preserve">Le Comité </w:t>
      </w:r>
      <w:r>
        <w:rPr>
          <w:bCs/>
        </w:rPr>
        <w:t>note une nouvelle fois avec</w:t>
      </w:r>
      <w:r w:rsidRPr="003F0258">
        <w:rPr>
          <w:bCs/>
        </w:rPr>
        <w:t xml:space="preserve"> préoccupation que l</w:t>
      </w:r>
      <w:r>
        <w:rPr>
          <w:bCs/>
        </w:rPr>
        <w:t>’</w:t>
      </w:r>
      <w:r w:rsidRPr="003F0258">
        <w:rPr>
          <w:bCs/>
        </w:rPr>
        <w:t xml:space="preserve">âge de la responsabilité </w:t>
      </w:r>
      <w:r>
        <w:rPr>
          <w:bCs/>
        </w:rPr>
        <w:t>est bas</w:t>
      </w:r>
      <w:r w:rsidRPr="003F0258">
        <w:rPr>
          <w:bCs/>
        </w:rPr>
        <w:t>. Il regrette que l</w:t>
      </w:r>
      <w:r>
        <w:rPr>
          <w:bCs/>
        </w:rPr>
        <w:t>’</w:t>
      </w:r>
      <w:r w:rsidRPr="003F0258">
        <w:rPr>
          <w:bCs/>
        </w:rPr>
        <w:t>État partie l</w:t>
      </w:r>
      <w:r>
        <w:rPr>
          <w:bCs/>
        </w:rPr>
        <w:t>’</w:t>
      </w:r>
      <w:r w:rsidRPr="003F0258">
        <w:rPr>
          <w:bCs/>
        </w:rPr>
        <w:t xml:space="preserve">ait abaissé de 14 à 12 ans pour les infractions graves et </w:t>
      </w:r>
      <w:r>
        <w:rPr>
          <w:bCs/>
        </w:rPr>
        <w:t>répétées</w:t>
      </w:r>
      <w:r w:rsidRPr="003F0258">
        <w:rPr>
          <w:bCs/>
        </w:rPr>
        <w:t xml:space="preserve">, sans </w:t>
      </w:r>
      <w:r>
        <w:rPr>
          <w:bCs/>
        </w:rPr>
        <w:t>donner une définition claire de ces infractions</w:t>
      </w:r>
      <w:r w:rsidRPr="003F0258">
        <w:rPr>
          <w:bCs/>
        </w:rPr>
        <w:t>, et qu</w:t>
      </w:r>
      <w:r>
        <w:rPr>
          <w:bCs/>
        </w:rPr>
        <w:t>’</w:t>
      </w:r>
      <w:r w:rsidRPr="003F0258">
        <w:rPr>
          <w:bCs/>
        </w:rPr>
        <w:t>il maint</w:t>
      </w:r>
      <w:r>
        <w:rPr>
          <w:bCs/>
        </w:rPr>
        <w:t>ienne</w:t>
      </w:r>
      <w:r w:rsidRPr="003F0258">
        <w:rPr>
          <w:bCs/>
        </w:rPr>
        <w:t xml:space="preserve"> l</w:t>
      </w:r>
      <w:r>
        <w:rPr>
          <w:bCs/>
        </w:rPr>
        <w:t>’</w:t>
      </w:r>
      <w:r w:rsidRPr="003F0258">
        <w:rPr>
          <w:bCs/>
        </w:rPr>
        <w:t xml:space="preserve">âge de la majorité pénale à 17 ans. </w:t>
      </w:r>
      <w:r>
        <w:rPr>
          <w:bCs/>
        </w:rPr>
        <w:t>E</w:t>
      </w:r>
      <w:r w:rsidRPr="003F0258">
        <w:rPr>
          <w:bCs/>
        </w:rPr>
        <w:t>n lien avec les paragraphes</w:t>
      </w:r>
      <w:r>
        <w:rPr>
          <w:bCs/>
        </w:rPr>
        <w:t xml:space="preserve"> </w:t>
      </w:r>
      <w:r w:rsidRPr="003F0258">
        <w:rPr>
          <w:bCs/>
        </w:rPr>
        <w:t>8 et 9 des présentes observations finales</w:t>
      </w:r>
      <w:r>
        <w:rPr>
          <w:bCs/>
        </w:rPr>
        <w:t>,</w:t>
      </w:r>
      <w:r w:rsidRPr="003F0258">
        <w:rPr>
          <w:bCs/>
        </w:rPr>
        <w:t xml:space="preserve"> </w:t>
      </w:r>
      <w:r>
        <w:rPr>
          <w:bCs/>
        </w:rPr>
        <w:t>le Comité note</w:t>
      </w:r>
      <w:r w:rsidRPr="003F0258">
        <w:rPr>
          <w:bCs/>
        </w:rPr>
        <w:t xml:space="preserve"> que l</w:t>
      </w:r>
      <w:r>
        <w:rPr>
          <w:bCs/>
        </w:rPr>
        <w:t>’</w:t>
      </w:r>
      <w:r w:rsidRPr="003F0258">
        <w:rPr>
          <w:bCs/>
        </w:rPr>
        <w:t xml:space="preserve">État partie indique </w:t>
      </w:r>
      <w:r>
        <w:rPr>
          <w:bCs/>
        </w:rPr>
        <w:t>avoir</w:t>
      </w:r>
      <w:r w:rsidRPr="003F0258">
        <w:rPr>
          <w:bCs/>
        </w:rPr>
        <w:t xml:space="preserve"> réalisé des avancées importantes </w:t>
      </w:r>
      <w:r>
        <w:rPr>
          <w:bCs/>
        </w:rPr>
        <w:t xml:space="preserve">vers </w:t>
      </w:r>
      <w:r w:rsidRPr="003F0258">
        <w:rPr>
          <w:bCs/>
        </w:rPr>
        <w:t>la levée de la réserve à l</w:t>
      </w:r>
      <w:r>
        <w:rPr>
          <w:bCs/>
        </w:rPr>
        <w:t>’</w:t>
      </w:r>
      <w:r w:rsidRPr="003F0258">
        <w:rPr>
          <w:bCs/>
        </w:rPr>
        <w:t>article 37 c) de la Convention concernant la séparation entre m</w:t>
      </w:r>
      <w:r>
        <w:rPr>
          <w:bCs/>
        </w:rPr>
        <w:t>ineurs et adultes en détention,</w:t>
      </w:r>
      <w:r w:rsidRPr="003F0258">
        <w:rPr>
          <w:bCs/>
        </w:rPr>
        <w:t xml:space="preserve"> </w:t>
      </w:r>
      <w:r>
        <w:rPr>
          <w:bCs/>
        </w:rPr>
        <w:t>mais il est</w:t>
      </w:r>
      <w:r w:rsidRPr="003F0258">
        <w:rPr>
          <w:bCs/>
        </w:rPr>
        <w:t xml:space="preserve"> préoccupé par le fait que les filles de moins de 18 ans en conflit avec la loi sont placées avec des détenues plus âgées. </w:t>
      </w:r>
      <w:r>
        <w:rPr>
          <w:bCs/>
        </w:rPr>
        <w:t>Il</w:t>
      </w:r>
      <w:r w:rsidRPr="003F0258">
        <w:rPr>
          <w:bCs/>
        </w:rPr>
        <w:t xml:space="preserve"> regrette également que, malgré l</w:t>
      </w:r>
      <w:r>
        <w:rPr>
          <w:bCs/>
        </w:rPr>
        <w:t>’</w:t>
      </w:r>
      <w:r w:rsidRPr="003F0258">
        <w:rPr>
          <w:bCs/>
        </w:rPr>
        <w:t>existence des concertations familiales, le judiciaire adopte une démarche plus punitive que réparatrice.</w:t>
      </w:r>
    </w:p>
    <w:p w:rsidR="00EC25BC" w:rsidRPr="003F0258" w:rsidRDefault="00EC25BC" w:rsidP="00EC25BC">
      <w:pPr>
        <w:pStyle w:val="SingleTxtG"/>
        <w:rPr>
          <w:b/>
          <w:bCs/>
        </w:rPr>
      </w:pPr>
      <w:r w:rsidRPr="003F0258">
        <w:rPr>
          <w:bCs/>
        </w:rPr>
        <w:t>56.</w:t>
      </w:r>
      <w:r w:rsidRPr="003F0258">
        <w:rPr>
          <w:bCs/>
        </w:rPr>
        <w:tab/>
      </w:r>
      <w:r w:rsidRPr="003F0258">
        <w:rPr>
          <w:b/>
        </w:rPr>
        <w:t>Le Comité réitère ses recommandations antérieures (CRC/C/15/Add.216, par.</w:t>
      </w:r>
      <w:r>
        <w:rPr>
          <w:b/>
        </w:rPr>
        <w:t> </w:t>
      </w:r>
      <w:r w:rsidRPr="003F0258">
        <w:rPr>
          <w:b/>
        </w:rPr>
        <w:t>50) et recommande à l</w:t>
      </w:r>
      <w:r>
        <w:rPr>
          <w:b/>
        </w:rPr>
        <w:t>’</w:t>
      </w:r>
      <w:r w:rsidRPr="003F0258">
        <w:rPr>
          <w:b/>
        </w:rPr>
        <w:t>État partie de veiller à l</w:t>
      </w:r>
      <w:r>
        <w:rPr>
          <w:b/>
        </w:rPr>
        <w:t>’</w:t>
      </w:r>
      <w:r w:rsidRPr="003F0258">
        <w:rPr>
          <w:b/>
        </w:rPr>
        <w:t>application intégrale des normes relatives à la justice pour mineurs, notamment des articles 37, 39 et 40 de la Convention</w:t>
      </w:r>
      <w:r w:rsidRPr="003F0258">
        <w:rPr>
          <w:b/>
          <w:bCs/>
        </w:rPr>
        <w:t>, ainsi que de l</w:t>
      </w:r>
      <w:r>
        <w:rPr>
          <w:b/>
          <w:bCs/>
        </w:rPr>
        <w:t>’</w:t>
      </w:r>
      <w:r w:rsidRPr="003F0258">
        <w:rPr>
          <w:b/>
          <w:bCs/>
        </w:rPr>
        <w:t>Observation générale n°</w:t>
      </w:r>
      <w:r>
        <w:rPr>
          <w:b/>
          <w:bCs/>
        </w:rPr>
        <w:t xml:space="preserve"> </w:t>
      </w:r>
      <w:r w:rsidRPr="003F0258">
        <w:rPr>
          <w:b/>
          <w:bCs/>
        </w:rPr>
        <w:t>10 sur les droits de l</w:t>
      </w:r>
      <w:r>
        <w:rPr>
          <w:b/>
          <w:bCs/>
        </w:rPr>
        <w:t>’</w:t>
      </w:r>
      <w:r w:rsidRPr="003F0258">
        <w:rPr>
          <w:b/>
          <w:bCs/>
        </w:rPr>
        <w:t>enfant dans le système de justice pour mineurs</w:t>
      </w:r>
      <w:r w:rsidRPr="003F0258">
        <w:rPr>
          <w:b/>
        </w:rPr>
        <w:t xml:space="preserve"> (2007),</w:t>
      </w:r>
      <w:r w:rsidRPr="003F0258">
        <w:rPr>
          <w:bCs/>
        </w:rPr>
        <w:t xml:space="preserve"> </w:t>
      </w:r>
      <w:r w:rsidRPr="003F0258">
        <w:rPr>
          <w:b/>
        </w:rPr>
        <w:t>de l</w:t>
      </w:r>
      <w:r>
        <w:rPr>
          <w:b/>
        </w:rPr>
        <w:t>’</w:t>
      </w:r>
      <w:r w:rsidRPr="003F0258">
        <w:rPr>
          <w:b/>
        </w:rPr>
        <w:t>Ensemble des règles minima des Nations</w:t>
      </w:r>
      <w:r>
        <w:rPr>
          <w:b/>
        </w:rPr>
        <w:t xml:space="preserve"> </w:t>
      </w:r>
      <w:r w:rsidRPr="003F0258">
        <w:rPr>
          <w:b/>
        </w:rPr>
        <w:t>Unies concernant l</w:t>
      </w:r>
      <w:r>
        <w:rPr>
          <w:b/>
        </w:rPr>
        <w:t>’</w:t>
      </w:r>
      <w:r w:rsidRPr="003F0258">
        <w:rPr>
          <w:b/>
        </w:rPr>
        <w:t>administration de la justice pour mineurs (Règles de Beijing)</w:t>
      </w:r>
      <w:r>
        <w:rPr>
          <w:bCs/>
        </w:rPr>
        <w:t>,</w:t>
      </w:r>
      <w:r w:rsidRPr="003F0258">
        <w:rPr>
          <w:b/>
        </w:rPr>
        <w:t xml:space="preserve"> des Principes directeurs des Nations Unies pour la prévention de la délinquance juvénile (Principes directeurs de Riyad)</w:t>
      </w:r>
      <w:r>
        <w:t xml:space="preserve"> </w:t>
      </w:r>
      <w:r w:rsidRPr="003F0258">
        <w:rPr>
          <w:b/>
          <w:bCs/>
        </w:rPr>
        <w:t>et des Règles des Nations</w:t>
      </w:r>
      <w:r>
        <w:rPr>
          <w:b/>
          <w:bCs/>
        </w:rPr>
        <w:t xml:space="preserve"> </w:t>
      </w:r>
      <w:r w:rsidRPr="003F0258">
        <w:rPr>
          <w:b/>
          <w:bCs/>
        </w:rPr>
        <w:t>Unies pour la protection des mineurs privés de liberté</w:t>
      </w:r>
      <w:r>
        <w:rPr>
          <w:bCs/>
        </w:rPr>
        <w:t xml:space="preserve"> </w:t>
      </w:r>
      <w:r w:rsidRPr="003F0258">
        <w:rPr>
          <w:b/>
          <w:bCs/>
        </w:rPr>
        <w:t>(Règles de La Havane). Le Comité recommande également à l</w:t>
      </w:r>
      <w:r>
        <w:rPr>
          <w:b/>
          <w:bCs/>
        </w:rPr>
        <w:t>’</w:t>
      </w:r>
      <w:r w:rsidRPr="003F0258">
        <w:rPr>
          <w:b/>
          <w:bCs/>
        </w:rPr>
        <w:t>État partie:</w:t>
      </w:r>
    </w:p>
    <w:p w:rsidR="00EC25BC" w:rsidRPr="003F0258" w:rsidRDefault="00EC25BC" w:rsidP="00EC25BC">
      <w:pPr>
        <w:pStyle w:val="SingleTxtG"/>
        <w:ind w:firstLine="567"/>
        <w:rPr>
          <w:lang w:val="fr-FR"/>
        </w:rPr>
      </w:pPr>
      <w:r w:rsidRPr="003F0258">
        <w:rPr>
          <w:b/>
          <w:bCs/>
        </w:rPr>
        <w:t>a)</w:t>
      </w:r>
      <w:r w:rsidRPr="003F0258">
        <w:rPr>
          <w:b/>
          <w:bCs/>
        </w:rPr>
        <w:tab/>
      </w:r>
      <w:r w:rsidRPr="003F0258">
        <w:rPr>
          <w:b/>
          <w:bCs/>
          <w:lang w:val="fr-FR"/>
        </w:rPr>
        <w:t>De relever l</w:t>
      </w:r>
      <w:r>
        <w:rPr>
          <w:b/>
          <w:bCs/>
          <w:lang w:val="fr-FR"/>
        </w:rPr>
        <w:t>’</w:t>
      </w:r>
      <w:r w:rsidRPr="003F0258">
        <w:rPr>
          <w:b/>
          <w:bCs/>
          <w:lang w:val="fr-FR"/>
        </w:rPr>
        <w:t>âge minimal de la responsabilité pénale conformément à l</w:t>
      </w:r>
      <w:r>
        <w:rPr>
          <w:b/>
          <w:bCs/>
          <w:lang w:val="fr-FR"/>
        </w:rPr>
        <w:t>’</w:t>
      </w:r>
      <w:r w:rsidRPr="003F0258">
        <w:rPr>
          <w:b/>
          <w:lang w:val="fr-FR"/>
        </w:rPr>
        <w:t>Observation générale n</w:t>
      </w:r>
      <w:r w:rsidRPr="003F0258">
        <w:rPr>
          <w:b/>
          <w:vertAlign w:val="superscript"/>
          <w:lang w:val="fr-FR"/>
        </w:rPr>
        <w:t>o</w:t>
      </w:r>
      <w:r>
        <w:rPr>
          <w:b/>
          <w:lang w:val="fr-FR"/>
        </w:rPr>
        <w:t> 10 du Comité, notamment</w:t>
      </w:r>
      <w:r w:rsidRPr="003F0258">
        <w:rPr>
          <w:b/>
          <w:lang w:val="fr-FR"/>
        </w:rPr>
        <w:t xml:space="preserve"> ses paragraphes</w:t>
      </w:r>
      <w:r>
        <w:rPr>
          <w:b/>
          <w:lang w:val="fr-FR"/>
        </w:rPr>
        <w:t xml:space="preserve"> </w:t>
      </w:r>
      <w:r w:rsidRPr="003F0258">
        <w:rPr>
          <w:b/>
          <w:lang w:val="fr-FR"/>
        </w:rPr>
        <w:t>32 et 33;</w:t>
      </w:r>
    </w:p>
    <w:p w:rsidR="00EC25BC" w:rsidRPr="003F0258" w:rsidRDefault="00EC25BC" w:rsidP="00EC25BC">
      <w:pPr>
        <w:pStyle w:val="SingleTxtG"/>
        <w:ind w:firstLine="567"/>
        <w:rPr>
          <w:b/>
          <w:bCs/>
          <w:lang w:val="fr-FR"/>
        </w:rPr>
      </w:pPr>
      <w:r w:rsidRPr="003F0258">
        <w:rPr>
          <w:b/>
          <w:bCs/>
          <w:lang w:val="fr-FR"/>
        </w:rPr>
        <w:t>b)</w:t>
      </w:r>
      <w:r w:rsidRPr="003F0258">
        <w:rPr>
          <w:b/>
          <w:bCs/>
          <w:lang w:val="fr-FR"/>
        </w:rPr>
        <w:tab/>
        <w:t>D</w:t>
      </w:r>
      <w:r>
        <w:rPr>
          <w:b/>
          <w:bCs/>
          <w:lang w:val="fr-FR"/>
        </w:rPr>
        <w:t>’</w:t>
      </w:r>
      <w:r w:rsidRPr="003F0258">
        <w:rPr>
          <w:b/>
          <w:bCs/>
          <w:lang w:val="fr-FR"/>
        </w:rPr>
        <w:t>envisager de fixer à 18 ans l</w:t>
      </w:r>
      <w:r>
        <w:rPr>
          <w:b/>
          <w:bCs/>
          <w:lang w:val="fr-FR"/>
        </w:rPr>
        <w:t>’</w:t>
      </w:r>
      <w:r w:rsidRPr="003F0258">
        <w:rPr>
          <w:b/>
          <w:bCs/>
          <w:lang w:val="fr-FR"/>
        </w:rPr>
        <w:t>âge de la majorité pénale;</w:t>
      </w:r>
    </w:p>
    <w:p w:rsidR="00EC25BC" w:rsidRPr="003F0258" w:rsidRDefault="00EC25BC" w:rsidP="00EC25BC">
      <w:pPr>
        <w:pStyle w:val="SingleTxtG"/>
        <w:ind w:firstLine="567"/>
        <w:rPr>
          <w:lang w:val="fr-FR"/>
        </w:rPr>
      </w:pPr>
      <w:r w:rsidRPr="003F0258">
        <w:rPr>
          <w:b/>
          <w:bCs/>
          <w:lang w:val="fr-FR"/>
        </w:rPr>
        <w:t>c)</w:t>
      </w:r>
      <w:r w:rsidRPr="003F0258">
        <w:rPr>
          <w:b/>
          <w:bCs/>
          <w:lang w:val="fr-FR"/>
        </w:rPr>
        <w:tab/>
      </w:r>
      <w:r w:rsidRPr="003F0258">
        <w:rPr>
          <w:b/>
          <w:lang w:val="fr-FR"/>
        </w:rPr>
        <w:t>De concevoir un ensemble de mesures de substitution à la détention pour les</w:t>
      </w:r>
      <w:r>
        <w:rPr>
          <w:b/>
          <w:lang w:val="fr-FR"/>
        </w:rPr>
        <w:t xml:space="preserve"> enfants en conflit avec la loi</w:t>
      </w:r>
      <w:r w:rsidRPr="003F0258">
        <w:rPr>
          <w:b/>
          <w:lang w:val="fr-FR"/>
        </w:rPr>
        <w:t xml:space="preserve"> et d</w:t>
      </w:r>
      <w:r>
        <w:rPr>
          <w:b/>
          <w:lang w:val="fr-FR"/>
        </w:rPr>
        <w:t>’</w:t>
      </w:r>
      <w:r w:rsidRPr="003F0258">
        <w:rPr>
          <w:b/>
          <w:lang w:val="fr-FR"/>
        </w:rPr>
        <w:t>établir de façon statutaire le principe selon lequel la détention doit être une mesure de dernier ressort et d</w:t>
      </w:r>
      <w:r>
        <w:rPr>
          <w:b/>
          <w:lang w:val="fr-FR"/>
        </w:rPr>
        <w:t>’</w:t>
      </w:r>
      <w:r w:rsidRPr="003F0258">
        <w:rPr>
          <w:b/>
          <w:lang w:val="fr-FR"/>
        </w:rPr>
        <w:t>une durée aussi brève que possible;</w:t>
      </w:r>
      <w:r w:rsidRPr="003F0258">
        <w:rPr>
          <w:lang w:val="fr-FR"/>
        </w:rPr>
        <w:t xml:space="preserve"> </w:t>
      </w:r>
    </w:p>
    <w:p w:rsidR="00EC25BC" w:rsidRPr="003F0258" w:rsidRDefault="00EC25BC" w:rsidP="00EC25BC">
      <w:pPr>
        <w:pStyle w:val="SingleTxtG"/>
        <w:ind w:firstLine="567"/>
        <w:rPr>
          <w:b/>
          <w:lang w:val="fr-FR"/>
        </w:rPr>
      </w:pPr>
      <w:r w:rsidRPr="003F0258">
        <w:rPr>
          <w:b/>
          <w:bCs/>
          <w:lang w:val="fr-FR"/>
        </w:rPr>
        <w:t>d)</w:t>
      </w:r>
      <w:r w:rsidRPr="003F0258">
        <w:rPr>
          <w:b/>
          <w:bCs/>
          <w:lang w:val="fr-FR"/>
        </w:rPr>
        <w:tab/>
      </w:r>
      <w:r>
        <w:rPr>
          <w:b/>
          <w:bCs/>
          <w:lang w:val="fr-FR"/>
        </w:rPr>
        <w:t>E</w:t>
      </w:r>
      <w:r w:rsidRPr="003F0258">
        <w:rPr>
          <w:b/>
          <w:bCs/>
          <w:lang w:val="fr-FR"/>
        </w:rPr>
        <w:t xml:space="preserve">n attendant le </w:t>
      </w:r>
      <w:r>
        <w:rPr>
          <w:b/>
          <w:bCs/>
          <w:lang w:val="fr-FR"/>
        </w:rPr>
        <w:t>rapide</w:t>
      </w:r>
      <w:r w:rsidRPr="003F0258">
        <w:rPr>
          <w:b/>
          <w:bCs/>
          <w:lang w:val="fr-FR"/>
        </w:rPr>
        <w:t xml:space="preserve"> bienvenu de sa </w:t>
      </w:r>
      <w:r w:rsidRPr="003F0258">
        <w:rPr>
          <w:b/>
          <w:lang w:val="fr-FR"/>
        </w:rPr>
        <w:t>réserve concernant l</w:t>
      </w:r>
      <w:r>
        <w:rPr>
          <w:b/>
          <w:lang w:val="fr-FR"/>
        </w:rPr>
        <w:t>’</w:t>
      </w:r>
      <w:r w:rsidRPr="003F0258">
        <w:rPr>
          <w:b/>
          <w:lang w:val="fr-FR"/>
        </w:rPr>
        <w:t>article</w:t>
      </w:r>
      <w:r>
        <w:rPr>
          <w:b/>
          <w:lang w:val="fr-FR"/>
        </w:rPr>
        <w:t xml:space="preserve"> </w:t>
      </w:r>
      <w:r w:rsidRPr="003F0258">
        <w:rPr>
          <w:b/>
          <w:lang w:val="fr-FR"/>
        </w:rPr>
        <w:t>37</w:t>
      </w:r>
      <w:r>
        <w:rPr>
          <w:b/>
          <w:lang w:val="fr-FR"/>
        </w:rPr>
        <w:t xml:space="preserve"> </w:t>
      </w:r>
      <w:r w:rsidRPr="003F0258">
        <w:rPr>
          <w:b/>
          <w:lang w:val="fr-FR"/>
        </w:rPr>
        <w:t>c) de la Convention, de veiller à ce que</w:t>
      </w:r>
      <w:r>
        <w:rPr>
          <w:b/>
          <w:lang w:val="fr-FR"/>
        </w:rPr>
        <w:t xml:space="preserve"> </w:t>
      </w:r>
      <w:r w:rsidRPr="003F0258">
        <w:rPr>
          <w:b/>
          <w:lang w:val="fr-FR"/>
        </w:rPr>
        <w:t xml:space="preserve">chaque enfant privé de liberté, fille </w:t>
      </w:r>
      <w:r>
        <w:rPr>
          <w:b/>
          <w:lang w:val="fr-FR"/>
        </w:rPr>
        <w:t>ou</w:t>
      </w:r>
      <w:r w:rsidRPr="003F0258">
        <w:rPr>
          <w:b/>
          <w:lang w:val="fr-FR"/>
        </w:rPr>
        <w:t xml:space="preserve"> garçon, soit séparé des adultes dans tous les lieux de privation de liberté</w:t>
      </w:r>
      <w:r>
        <w:rPr>
          <w:b/>
          <w:lang w:val="fr-FR"/>
        </w:rPr>
        <w:t xml:space="preserve"> sauf s’il est dans sont intérêt supérieur qu’il en soit autrement</w:t>
      </w:r>
      <w:r w:rsidRPr="003F0258">
        <w:rPr>
          <w:b/>
          <w:lang w:val="fr-FR"/>
        </w:rPr>
        <w:t>;</w:t>
      </w:r>
    </w:p>
    <w:p w:rsidR="00EC25BC" w:rsidRPr="003F0258" w:rsidRDefault="00EC25BC" w:rsidP="00EC25BC">
      <w:pPr>
        <w:pStyle w:val="SingleTxtG"/>
        <w:ind w:firstLine="567"/>
        <w:rPr>
          <w:b/>
        </w:rPr>
      </w:pPr>
      <w:r w:rsidRPr="003F0258">
        <w:rPr>
          <w:b/>
          <w:lang w:val="fr-FR"/>
        </w:rPr>
        <w:t>e)</w:t>
      </w:r>
      <w:r w:rsidRPr="003F0258">
        <w:rPr>
          <w:b/>
          <w:lang w:val="fr-FR"/>
        </w:rPr>
        <w:tab/>
      </w:r>
      <w:r w:rsidRPr="003F0258">
        <w:rPr>
          <w:b/>
        </w:rPr>
        <w:t>D</w:t>
      </w:r>
      <w:r>
        <w:rPr>
          <w:b/>
        </w:rPr>
        <w:t>’</w:t>
      </w:r>
      <w:r w:rsidRPr="003F0258">
        <w:rPr>
          <w:b/>
        </w:rPr>
        <w:t>utiliser les outils d</w:t>
      </w:r>
      <w:r>
        <w:rPr>
          <w:b/>
        </w:rPr>
        <w:t>’</w:t>
      </w:r>
      <w:r w:rsidRPr="003F0258">
        <w:rPr>
          <w:b/>
        </w:rPr>
        <w:t>assistance technique élaborés par le Groupe de coordination interinstitutions dans le domaine de la justice pour mineurs et ses membres, à savoir l</w:t>
      </w:r>
      <w:r>
        <w:rPr>
          <w:b/>
        </w:rPr>
        <w:t>’</w:t>
      </w:r>
      <w:r w:rsidRPr="003F0258">
        <w:rPr>
          <w:b/>
        </w:rPr>
        <w:t>ONUDC, l</w:t>
      </w:r>
      <w:r>
        <w:rPr>
          <w:b/>
        </w:rPr>
        <w:t>’</w:t>
      </w:r>
      <w:r w:rsidRPr="003F0258">
        <w:rPr>
          <w:b/>
        </w:rPr>
        <w:t xml:space="preserve">UNICEF, le HCDH et des ONG, et de solliciter </w:t>
      </w:r>
      <w:r>
        <w:t>l</w:t>
      </w:r>
      <w:r>
        <w:rPr>
          <w:b/>
        </w:rPr>
        <w:t>’</w:t>
      </w:r>
      <w:r w:rsidRPr="003F0258">
        <w:rPr>
          <w:b/>
        </w:rPr>
        <w:t xml:space="preserve">assistance et </w:t>
      </w:r>
      <w:r>
        <w:rPr>
          <w:b/>
        </w:rPr>
        <w:t>l</w:t>
      </w:r>
      <w:r w:rsidRPr="003F0258">
        <w:rPr>
          <w:b/>
        </w:rPr>
        <w:t xml:space="preserve">es conseils techniques </w:t>
      </w:r>
      <w:r>
        <w:rPr>
          <w:b/>
        </w:rPr>
        <w:t>d</w:t>
      </w:r>
      <w:r w:rsidRPr="003F0258">
        <w:rPr>
          <w:b/>
        </w:rPr>
        <w:t>es membres du Groupe</w:t>
      </w:r>
      <w:r>
        <w:rPr>
          <w:b/>
        </w:rPr>
        <w:t xml:space="preserve"> </w:t>
      </w:r>
      <w:r w:rsidRPr="003F0258">
        <w:rPr>
          <w:b/>
        </w:rPr>
        <w:t>dans le domaine de la justice pour mineurs et de la formation de la po</w:t>
      </w:r>
      <w:r>
        <w:rPr>
          <w:b/>
        </w:rPr>
        <w:t>lice.</w:t>
      </w:r>
    </w:p>
    <w:p w:rsidR="00EC25BC" w:rsidRPr="003F0258" w:rsidRDefault="00EC25BC" w:rsidP="00EC25BC">
      <w:pPr>
        <w:pStyle w:val="H23G"/>
      </w:pPr>
      <w:r>
        <w:tab/>
      </w:r>
      <w:r>
        <w:tab/>
      </w:r>
      <w:r w:rsidRPr="003F0258">
        <w:t>Protection des victimes et des témoins d</w:t>
      </w:r>
      <w:r>
        <w:t>’</w:t>
      </w:r>
      <w:r w:rsidRPr="003F0258">
        <w:t>infractions</w:t>
      </w:r>
    </w:p>
    <w:p w:rsidR="00EC25BC" w:rsidRPr="003F0258" w:rsidRDefault="00EC25BC" w:rsidP="00EC25BC">
      <w:pPr>
        <w:pStyle w:val="SingleTxtG"/>
        <w:rPr>
          <w:b/>
        </w:rPr>
      </w:pPr>
      <w:r w:rsidRPr="003F0258">
        <w:t>57.</w:t>
      </w:r>
      <w:r w:rsidRPr="003F0258">
        <w:tab/>
      </w:r>
      <w:r w:rsidRPr="003F0258">
        <w:rPr>
          <w:b/>
        </w:rPr>
        <w:t>Le Comité recommande aussi à l</w:t>
      </w:r>
      <w:r>
        <w:rPr>
          <w:b/>
        </w:rPr>
        <w:t>’</w:t>
      </w:r>
      <w:r w:rsidRPr="003F0258">
        <w:rPr>
          <w:b/>
        </w:rPr>
        <w:t>État partie de faire en sorte, en adoptant les dispositions légales et les règlements voulus, que tous les enfants victimes et/ou témoins d</w:t>
      </w:r>
      <w:r>
        <w:rPr>
          <w:b/>
        </w:rPr>
        <w:t>’</w:t>
      </w:r>
      <w:r w:rsidRPr="003F0258">
        <w:rPr>
          <w:b/>
        </w:rPr>
        <w:t>infractions</w:t>
      </w:r>
      <w:r w:rsidRPr="003F0258">
        <w:t xml:space="preserve"> </w:t>
      </w:r>
      <w:r w:rsidRPr="003F0258">
        <w:rPr>
          <w:b/>
        </w:rPr>
        <w:t>bénéficient de la protection requise par la Convention et de prendre pleinement en considération les Lignes directrices des Nations Unies en matière de justice dans les affaires impliquant les enfants victimes et témoins d</w:t>
      </w:r>
      <w:r>
        <w:rPr>
          <w:b/>
        </w:rPr>
        <w:t>’</w:t>
      </w:r>
      <w:r w:rsidRPr="003F0258">
        <w:rPr>
          <w:b/>
        </w:rPr>
        <w:t>actes criminels (annexe à la résolution 2005/20 du Conseil économique et social</w:t>
      </w:r>
      <w:r>
        <w:t xml:space="preserve"> </w:t>
      </w:r>
      <w:r w:rsidRPr="003F0258">
        <w:rPr>
          <w:b/>
          <w:bCs/>
        </w:rPr>
        <w:t>du 22 juillet</w:t>
      </w:r>
      <w:r>
        <w:rPr>
          <w:b/>
          <w:bCs/>
        </w:rPr>
        <w:t xml:space="preserve"> </w:t>
      </w:r>
      <w:r w:rsidRPr="003F0258">
        <w:rPr>
          <w:b/>
          <w:bCs/>
        </w:rPr>
        <w:t>2005</w:t>
      </w:r>
      <w:r w:rsidRPr="003F0258">
        <w:rPr>
          <w:b/>
        </w:rPr>
        <w:t>).</w:t>
      </w:r>
    </w:p>
    <w:p w:rsidR="00EC25BC" w:rsidRPr="003F0258" w:rsidRDefault="00EC25BC" w:rsidP="00EC25BC">
      <w:pPr>
        <w:pStyle w:val="H23G"/>
      </w:pPr>
      <w:r>
        <w:tab/>
      </w:r>
      <w:r>
        <w:tab/>
      </w:r>
      <w:r w:rsidRPr="003F0258">
        <w:t>Enfants appartenant à des groupes minoritaires</w:t>
      </w:r>
    </w:p>
    <w:p w:rsidR="00EC25BC" w:rsidRPr="003F0258" w:rsidRDefault="00EC25BC" w:rsidP="00EC25BC">
      <w:pPr>
        <w:pStyle w:val="SingleTxtG"/>
        <w:rPr>
          <w:b/>
        </w:rPr>
      </w:pPr>
      <w:r w:rsidRPr="003F0258">
        <w:rPr>
          <w:bCs/>
        </w:rPr>
        <w:t>58.</w:t>
      </w:r>
      <w:r w:rsidRPr="003F0258">
        <w:rPr>
          <w:bCs/>
        </w:rPr>
        <w:tab/>
      </w:r>
      <w:r w:rsidRPr="003F0258">
        <w:rPr>
          <w:b/>
        </w:rPr>
        <w:t>Le Comité encourage l</w:t>
      </w:r>
      <w:r>
        <w:rPr>
          <w:b/>
        </w:rPr>
        <w:t>’</w:t>
      </w:r>
      <w:r w:rsidRPr="003F0258">
        <w:rPr>
          <w:b/>
        </w:rPr>
        <w:t xml:space="preserve">État partie, dans </w:t>
      </w:r>
      <w:r>
        <w:rPr>
          <w:b/>
        </w:rPr>
        <w:t>l</w:t>
      </w:r>
      <w:r w:rsidRPr="003F0258">
        <w:rPr>
          <w:b/>
        </w:rPr>
        <w:t xml:space="preserve">es efforts </w:t>
      </w:r>
      <w:r>
        <w:rPr>
          <w:b/>
        </w:rPr>
        <w:t>qu’il fait</w:t>
      </w:r>
      <w:r w:rsidRPr="003F0258">
        <w:rPr>
          <w:b/>
        </w:rPr>
        <w:t xml:space="preserve"> pour améliorer la situation des enfants appartenant aux groupes autochtones, de tenir compte des observations et</w:t>
      </w:r>
      <w:r>
        <w:rPr>
          <w:b/>
        </w:rPr>
        <w:t xml:space="preserve"> des </w:t>
      </w:r>
      <w:r w:rsidRPr="003F0258">
        <w:rPr>
          <w:b/>
        </w:rPr>
        <w:t xml:space="preserve">recommandations </w:t>
      </w:r>
      <w:r>
        <w:rPr>
          <w:b/>
        </w:rPr>
        <w:t xml:space="preserve">formulées par le </w:t>
      </w:r>
      <w:r w:rsidRPr="003F0258">
        <w:rPr>
          <w:b/>
        </w:rPr>
        <w:t>Rapporteur spécial sur les droits des peuples autochtones</w:t>
      </w:r>
      <w:r w:rsidRPr="003F0258">
        <w:t xml:space="preserve"> </w:t>
      </w:r>
      <w:r>
        <w:rPr>
          <w:b/>
        </w:rPr>
        <w:t xml:space="preserve">à la </w:t>
      </w:r>
      <w:r w:rsidRPr="003F0258">
        <w:rPr>
          <w:b/>
        </w:rPr>
        <w:t xml:space="preserve">suite </w:t>
      </w:r>
      <w:r>
        <w:rPr>
          <w:b/>
        </w:rPr>
        <w:t>de</w:t>
      </w:r>
      <w:r w:rsidRPr="003F0258">
        <w:rPr>
          <w:b/>
        </w:rPr>
        <w:t xml:space="preserve"> sa visite en Nouvelle-Zélande en juillet 2010 (A/HRC/15/37/Add.9), notamment en ce qui concerne les principes consacrés par le Traité de Waitangi. Le Comité attire également l</w:t>
      </w:r>
      <w:r>
        <w:rPr>
          <w:b/>
        </w:rPr>
        <w:t>’</w:t>
      </w:r>
      <w:r w:rsidRPr="003F0258">
        <w:rPr>
          <w:b/>
        </w:rPr>
        <w:t>attention de l</w:t>
      </w:r>
      <w:r>
        <w:rPr>
          <w:b/>
        </w:rPr>
        <w:t>’</w:t>
      </w:r>
      <w:r w:rsidRPr="003F0258">
        <w:rPr>
          <w:b/>
        </w:rPr>
        <w:t>État partie sur son Observation générale n° 11</w:t>
      </w:r>
      <w:r>
        <w:rPr>
          <w:b/>
        </w:rPr>
        <w:t xml:space="preserve"> </w:t>
      </w:r>
      <w:r w:rsidRPr="003F0258">
        <w:rPr>
          <w:b/>
        </w:rPr>
        <w:t>sur les enfants autochtones et leurs droits en vertu de la Convention</w:t>
      </w:r>
      <w:r w:rsidRPr="003F0258">
        <w:t xml:space="preserve"> </w:t>
      </w:r>
      <w:r w:rsidRPr="003F0258">
        <w:rPr>
          <w:b/>
        </w:rPr>
        <w:t>(2009).</w:t>
      </w:r>
    </w:p>
    <w:p w:rsidR="00EC25BC" w:rsidRPr="003F0258" w:rsidRDefault="00EC25BC" w:rsidP="00EC25BC">
      <w:pPr>
        <w:pStyle w:val="H1G"/>
      </w:pPr>
      <w:r>
        <w:tab/>
      </w:r>
      <w:r w:rsidRPr="003F0258">
        <w:t>H.</w:t>
      </w:r>
      <w:r w:rsidRPr="003F0258">
        <w:tab/>
        <w:t>Ratification des instruments int</w:t>
      </w:r>
      <w:r w:rsidR="00CC05F6">
        <w:t>ernationaux relatifs aux droits</w:t>
      </w:r>
      <w:r w:rsidR="00CC05F6">
        <w:br/>
      </w:r>
      <w:r w:rsidRPr="003F0258">
        <w:t>de l</w:t>
      </w:r>
      <w:r>
        <w:t>’</w:t>
      </w:r>
      <w:r w:rsidRPr="003F0258">
        <w:t>homme</w:t>
      </w:r>
    </w:p>
    <w:p w:rsidR="00EC25BC" w:rsidRPr="003F0258" w:rsidRDefault="00EC25BC" w:rsidP="00EC25BC">
      <w:pPr>
        <w:pStyle w:val="SingleTxtG"/>
        <w:rPr>
          <w:b/>
          <w:lang w:val="fr-FR"/>
        </w:rPr>
      </w:pPr>
      <w:r w:rsidRPr="003F0258">
        <w:rPr>
          <w:bCs/>
        </w:rPr>
        <w:t>59.</w:t>
      </w:r>
      <w:r w:rsidRPr="003F0258">
        <w:rPr>
          <w:bCs/>
        </w:rPr>
        <w:tab/>
      </w:r>
      <w:r w:rsidRPr="003F0258">
        <w:rPr>
          <w:b/>
        </w:rPr>
        <w:t>Le Comité recommande à l</w:t>
      </w:r>
      <w:r>
        <w:rPr>
          <w:b/>
        </w:rPr>
        <w:t>’</w:t>
      </w:r>
      <w:r w:rsidRPr="003F0258">
        <w:rPr>
          <w:b/>
        </w:rPr>
        <w:t xml:space="preserve">État partie de ratifier rapidement le </w:t>
      </w:r>
      <w:r w:rsidRPr="003F0258">
        <w:rPr>
          <w:b/>
          <w:lang w:val="fr-FR"/>
        </w:rPr>
        <w:t>Protocole facultatif concernant la vente d</w:t>
      </w:r>
      <w:r>
        <w:rPr>
          <w:b/>
          <w:lang w:val="fr-FR"/>
        </w:rPr>
        <w:t>’</w:t>
      </w:r>
      <w:r w:rsidRPr="003F0258">
        <w:rPr>
          <w:b/>
          <w:lang w:val="fr-FR"/>
        </w:rPr>
        <w:t>enfants, la prostitution des enfants et la pornographie mettant en scène des enfants.</w:t>
      </w:r>
    </w:p>
    <w:p w:rsidR="00EC25BC" w:rsidRPr="003F0258" w:rsidRDefault="00EC25BC" w:rsidP="00EC25BC">
      <w:pPr>
        <w:pStyle w:val="SingleTxtG"/>
        <w:rPr>
          <w:b/>
          <w:bCs/>
          <w:lang w:val="fr-FR"/>
        </w:rPr>
      </w:pPr>
      <w:r w:rsidRPr="003F0258">
        <w:rPr>
          <w:bCs/>
        </w:rPr>
        <w:t>60.</w:t>
      </w:r>
      <w:r w:rsidRPr="003F0258">
        <w:rPr>
          <w:bCs/>
        </w:rPr>
        <w:tab/>
      </w:r>
      <w:r w:rsidRPr="003F0258">
        <w:rPr>
          <w:b/>
          <w:bCs/>
          <w:lang w:val="fr-FR"/>
        </w:rPr>
        <w:t>Le Comité encourage l</w:t>
      </w:r>
      <w:r>
        <w:rPr>
          <w:b/>
          <w:bCs/>
          <w:lang w:val="fr-FR"/>
        </w:rPr>
        <w:t>’</w:t>
      </w:r>
      <w:r w:rsidRPr="003F0258">
        <w:rPr>
          <w:b/>
          <w:bCs/>
          <w:lang w:val="fr-FR"/>
        </w:rPr>
        <w:t>État partie à envisager de ratifier les instruments internationaux relatifs aux droits de l</w:t>
      </w:r>
      <w:r>
        <w:rPr>
          <w:b/>
          <w:bCs/>
          <w:lang w:val="fr-FR"/>
        </w:rPr>
        <w:t>’</w:t>
      </w:r>
      <w:r w:rsidRPr="003F0258">
        <w:rPr>
          <w:b/>
          <w:bCs/>
          <w:lang w:val="fr-FR"/>
        </w:rPr>
        <w:t>homme auxquels il n</w:t>
      </w:r>
      <w:r>
        <w:rPr>
          <w:b/>
          <w:bCs/>
          <w:lang w:val="fr-FR"/>
        </w:rPr>
        <w:t>’</w:t>
      </w:r>
      <w:r w:rsidRPr="003F0258">
        <w:rPr>
          <w:b/>
          <w:bCs/>
          <w:lang w:val="fr-FR"/>
        </w:rPr>
        <w:t>est pas encore partie, à savoir la Convention internationale sur la protection des droits de tous les travailleurs migrants et des membres de leur famille, la Convention internationale pour la protection de toutes les personnes contre les disparitions forcées</w:t>
      </w:r>
      <w:r>
        <w:rPr>
          <w:bCs/>
          <w:lang w:val="fr-FR"/>
        </w:rPr>
        <w:t>,</w:t>
      </w:r>
      <w:r w:rsidRPr="003F0258">
        <w:rPr>
          <w:b/>
          <w:bCs/>
          <w:lang w:val="fr-FR"/>
        </w:rPr>
        <w:t xml:space="preserve"> le Protocole facultatif se rapportant à la Convention relative aux droits des personnes handicapées</w:t>
      </w:r>
      <w:r>
        <w:rPr>
          <w:bCs/>
          <w:lang w:val="fr-FR"/>
        </w:rPr>
        <w:t xml:space="preserve"> </w:t>
      </w:r>
      <w:r w:rsidRPr="003F0258">
        <w:rPr>
          <w:b/>
          <w:bCs/>
          <w:lang w:val="fr-FR"/>
        </w:rPr>
        <w:t>et le Protocole facultatif se rapportant au Pacte international relatif aux droits économiques, sociaux et culturels.</w:t>
      </w:r>
    </w:p>
    <w:p w:rsidR="00EC25BC" w:rsidRPr="003F0258" w:rsidRDefault="00EC25BC" w:rsidP="00EC25BC">
      <w:pPr>
        <w:pStyle w:val="H1G"/>
        <w:rPr>
          <w:lang w:val="fr-FR"/>
        </w:rPr>
      </w:pPr>
      <w:r>
        <w:rPr>
          <w:lang w:val="fr-FR"/>
        </w:rPr>
        <w:tab/>
      </w:r>
      <w:r w:rsidRPr="003F0258">
        <w:rPr>
          <w:lang w:val="fr-FR"/>
        </w:rPr>
        <w:t>I.</w:t>
      </w:r>
      <w:r w:rsidRPr="003F0258">
        <w:rPr>
          <w:lang w:val="fr-FR"/>
        </w:rPr>
        <w:tab/>
        <w:t>Suivi et diffusion</w:t>
      </w:r>
    </w:p>
    <w:p w:rsidR="00EC25BC" w:rsidRPr="003F0258" w:rsidRDefault="00EC25BC" w:rsidP="00EC25BC">
      <w:pPr>
        <w:pStyle w:val="SingleTxtG"/>
        <w:rPr>
          <w:bCs/>
        </w:rPr>
      </w:pPr>
      <w:r w:rsidRPr="003F0258">
        <w:rPr>
          <w:lang w:val="fr-FR"/>
        </w:rPr>
        <w:t>61.</w:t>
      </w:r>
      <w:r w:rsidRPr="003F0258">
        <w:rPr>
          <w:lang w:val="fr-FR"/>
        </w:rPr>
        <w:tab/>
      </w:r>
      <w:r w:rsidRPr="003F0258">
        <w:rPr>
          <w:b/>
          <w:bCs/>
        </w:rPr>
        <w:t>Le Comité recommande à l</w:t>
      </w:r>
      <w:r>
        <w:rPr>
          <w:b/>
          <w:bCs/>
        </w:rPr>
        <w:t>’</w:t>
      </w:r>
      <w:r w:rsidRPr="003F0258">
        <w:rPr>
          <w:b/>
          <w:bCs/>
        </w:rPr>
        <w:t>État partie de prendre toutes les mesures nécessaires pour donner pleinement effet aux présentes recommandations, notamment en les communiquant</w:t>
      </w:r>
      <w:r w:rsidRPr="003F0258">
        <w:rPr>
          <w:bCs/>
        </w:rPr>
        <w:t xml:space="preserve"> </w:t>
      </w:r>
      <w:r w:rsidRPr="003F0258">
        <w:rPr>
          <w:b/>
        </w:rPr>
        <w:t>au Chef de l</w:t>
      </w:r>
      <w:r>
        <w:rPr>
          <w:b/>
        </w:rPr>
        <w:t>’</w:t>
      </w:r>
      <w:r w:rsidRPr="003F0258">
        <w:rPr>
          <w:b/>
        </w:rPr>
        <w:t xml:space="preserve">État, à la Cour Suprême, au Parlement, aux ministères concernés et </w:t>
      </w:r>
      <w:r w:rsidRPr="003F0258">
        <w:rPr>
          <w:b/>
          <w:bCs/>
        </w:rPr>
        <w:t xml:space="preserve">aux autorités </w:t>
      </w:r>
      <w:r>
        <w:rPr>
          <w:b/>
          <w:bCs/>
        </w:rPr>
        <w:t>locales</w:t>
      </w:r>
      <w:r w:rsidRPr="003F0258">
        <w:rPr>
          <w:b/>
          <w:bCs/>
        </w:rPr>
        <w:t>, pour examen attentif et suite à donner.</w:t>
      </w:r>
      <w:r w:rsidRPr="003F0258">
        <w:rPr>
          <w:bCs/>
        </w:rPr>
        <w:t xml:space="preserve"> </w:t>
      </w:r>
    </w:p>
    <w:p w:rsidR="00EC25BC" w:rsidRPr="003F0258" w:rsidRDefault="00EC25BC" w:rsidP="00EC25BC">
      <w:pPr>
        <w:pStyle w:val="SingleTxtG"/>
        <w:rPr>
          <w:b/>
        </w:rPr>
      </w:pPr>
      <w:r w:rsidRPr="003F0258">
        <w:rPr>
          <w:bCs/>
        </w:rPr>
        <w:t>62.</w:t>
      </w:r>
      <w:r w:rsidRPr="003F0258">
        <w:rPr>
          <w:bCs/>
        </w:rPr>
        <w:tab/>
      </w:r>
      <w:r w:rsidRPr="003F0258">
        <w:rPr>
          <w:b/>
        </w:rPr>
        <w:t>Le Comité recommande en outre que les troisième et quatrième rapports périodiques et les réponses écrites de l</w:t>
      </w:r>
      <w:r>
        <w:rPr>
          <w:b/>
        </w:rPr>
        <w:t>’</w:t>
      </w:r>
      <w:r w:rsidRPr="003F0258">
        <w:rPr>
          <w:b/>
        </w:rPr>
        <w:t>État partie, ainsi que les recommandations y relatives du Comité (observations finales), soient diffusés largement dans les langues du pays, en recourant à l</w:t>
      </w:r>
      <w:r>
        <w:rPr>
          <w:b/>
        </w:rPr>
        <w:t>’</w:t>
      </w:r>
      <w:r w:rsidRPr="003F0258">
        <w:rPr>
          <w:b/>
        </w:rPr>
        <w:t>Internet (mais pas exclusivement), auprès de la population</w:t>
      </w:r>
      <w:r>
        <w:rPr>
          <w:b/>
        </w:rPr>
        <w:t>,</w:t>
      </w:r>
      <w:r w:rsidRPr="003F0258">
        <w:rPr>
          <w:b/>
        </w:rPr>
        <w:t xml:space="preserve"> des organisations de la société civile, des groupes de jeunes,</w:t>
      </w:r>
      <w:r>
        <w:rPr>
          <w:b/>
        </w:rPr>
        <w:t xml:space="preserve"> </w:t>
      </w:r>
      <w:r w:rsidRPr="003F0258">
        <w:rPr>
          <w:b/>
          <w:bCs/>
        </w:rPr>
        <w:t xml:space="preserve">des médias, </w:t>
      </w:r>
      <w:r w:rsidRPr="003F0258">
        <w:rPr>
          <w:b/>
        </w:rPr>
        <w:t xml:space="preserve">des groupes professionnels et des enfants afin de susciter </w:t>
      </w:r>
      <w:r>
        <w:rPr>
          <w:b/>
        </w:rPr>
        <w:t xml:space="preserve">un </w:t>
      </w:r>
      <w:r w:rsidRPr="003F0258">
        <w:rPr>
          <w:b/>
        </w:rPr>
        <w:t xml:space="preserve">débat </w:t>
      </w:r>
      <w:r>
        <w:rPr>
          <w:b/>
        </w:rPr>
        <w:t>et une prise de conscience au sujet de</w:t>
      </w:r>
      <w:r w:rsidRPr="003F0258">
        <w:rPr>
          <w:b/>
        </w:rPr>
        <w:t xml:space="preserve"> la Convention</w:t>
      </w:r>
      <w:r>
        <w:rPr>
          <w:b/>
        </w:rPr>
        <w:t xml:space="preserve">, de sa mise en œuvre et de </w:t>
      </w:r>
      <w:r w:rsidRPr="003F0258">
        <w:rPr>
          <w:b/>
        </w:rPr>
        <w:t>son suivi</w:t>
      </w:r>
      <w:r w:rsidRPr="003F0258">
        <w:t>.</w:t>
      </w:r>
    </w:p>
    <w:p w:rsidR="00EC25BC" w:rsidRPr="003F0258" w:rsidRDefault="00EC25BC" w:rsidP="00EC25BC">
      <w:pPr>
        <w:pStyle w:val="H1G"/>
      </w:pPr>
      <w:r>
        <w:tab/>
      </w:r>
      <w:r w:rsidRPr="003F0258">
        <w:t>J.</w:t>
      </w:r>
      <w:r w:rsidRPr="003F0258">
        <w:tab/>
        <w:t>Prochain rapport</w:t>
      </w:r>
    </w:p>
    <w:p w:rsidR="00EC25BC" w:rsidRDefault="00EC25BC" w:rsidP="00EC25BC">
      <w:pPr>
        <w:pStyle w:val="SingleTxtG"/>
        <w:rPr>
          <w:b/>
        </w:rPr>
      </w:pPr>
      <w:r w:rsidRPr="003F0258">
        <w:rPr>
          <w:bCs/>
        </w:rPr>
        <w:t>63.</w:t>
      </w:r>
      <w:r w:rsidRPr="003F0258">
        <w:rPr>
          <w:bCs/>
        </w:rPr>
        <w:tab/>
      </w:r>
      <w:r w:rsidRPr="003F0258">
        <w:rPr>
          <w:b/>
        </w:rPr>
        <w:t>Le Comité invite l</w:t>
      </w:r>
      <w:r>
        <w:rPr>
          <w:b/>
        </w:rPr>
        <w:t>’</w:t>
      </w:r>
      <w:r w:rsidRPr="003F0258">
        <w:rPr>
          <w:b/>
        </w:rPr>
        <w:t xml:space="preserve">État partie à lui soumettre son cinquième rapport périodique </w:t>
      </w:r>
      <w:r>
        <w:rPr>
          <w:b/>
        </w:rPr>
        <w:t>le</w:t>
      </w:r>
      <w:r w:rsidRPr="003F0258">
        <w:rPr>
          <w:b/>
        </w:rPr>
        <w:t xml:space="preserve"> 5 mai</w:t>
      </w:r>
      <w:r>
        <w:rPr>
          <w:b/>
        </w:rPr>
        <w:t xml:space="preserve"> </w:t>
      </w:r>
      <w:r w:rsidRPr="003F0258">
        <w:rPr>
          <w:b/>
        </w:rPr>
        <w:t xml:space="preserve">2015 </w:t>
      </w:r>
      <w:r>
        <w:rPr>
          <w:b/>
        </w:rPr>
        <w:t xml:space="preserve">au plus tard </w:t>
      </w:r>
      <w:r w:rsidRPr="003F0258">
        <w:rPr>
          <w:b/>
        </w:rPr>
        <w:t>et d</w:t>
      </w:r>
      <w:r>
        <w:rPr>
          <w:b/>
        </w:rPr>
        <w:t>’</w:t>
      </w:r>
      <w:r w:rsidRPr="003F0258">
        <w:rPr>
          <w:b/>
        </w:rPr>
        <w:t>y inclure les informations relatives à la suite donnée aux présentes observations finales. Il appelle l</w:t>
      </w:r>
      <w:r>
        <w:rPr>
          <w:b/>
        </w:rPr>
        <w:t>’</w:t>
      </w:r>
      <w:r w:rsidRPr="003F0258">
        <w:rPr>
          <w:b/>
        </w:rPr>
        <w:t>attention sur ses directives harmonisées concernant l</w:t>
      </w:r>
      <w:r>
        <w:rPr>
          <w:b/>
        </w:rPr>
        <w:t>’</w:t>
      </w:r>
      <w:r w:rsidRPr="003F0258">
        <w:rPr>
          <w:b/>
        </w:rPr>
        <w:t>établissement des rapports adoptés le 1</w:t>
      </w:r>
      <w:r w:rsidRPr="003F0258">
        <w:rPr>
          <w:b/>
          <w:vertAlign w:val="superscript"/>
        </w:rPr>
        <w:t>er</w:t>
      </w:r>
      <w:r w:rsidRPr="003F0258">
        <w:rPr>
          <w:b/>
        </w:rPr>
        <w:t> octobre 2010 (CRC/C/58/Rev.2 et Corr.1) et rappelle à l</w:t>
      </w:r>
      <w:r>
        <w:rPr>
          <w:b/>
        </w:rPr>
        <w:t>’</w:t>
      </w:r>
      <w:r w:rsidRPr="003F0258">
        <w:rPr>
          <w:b/>
        </w:rPr>
        <w:t xml:space="preserve">État partie que ses prochains rapports devront être établis suivant ces directives et ne pas comporter plus de 60 pages. Le </w:t>
      </w:r>
      <w:r w:rsidRPr="003F0258">
        <w:rPr>
          <w:b/>
          <w:bCs/>
          <w:lang w:val="fr-FR"/>
        </w:rPr>
        <w:t xml:space="preserve">Comité </w:t>
      </w:r>
      <w:r>
        <w:rPr>
          <w:b/>
          <w:bCs/>
          <w:lang w:val="fr-FR"/>
        </w:rPr>
        <w:t xml:space="preserve">demande instamment à </w:t>
      </w:r>
      <w:r w:rsidRPr="003F0258">
        <w:rPr>
          <w:b/>
          <w:bCs/>
          <w:lang w:val="fr-FR"/>
        </w:rPr>
        <w:t>l</w:t>
      </w:r>
      <w:r>
        <w:rPr>
          <w:b/>
          <w:bCs/>
          <w:lang w:val="fr-FR"/>
        </w:rPr>
        <w:t>’</w:t>
      </w:r>
      <w:r w:rsidRPr="003F0258">
        <w:rPr>
          <w:b/>
          <w:bCs/>
          <w:lang w:val="fr-FR"/>
        </w:rPr>
        <w:t xml:space="preserve">État partie </w:t>
      </w:r>
      <w:r>
        <w:rPr>
          <w:b/>
          <w:bCs/>
          <w:lang w:val="fr-FR"/>
        </w:rPr>
        <w:t>de faire en sorte que son prochain</w:t>
      </w:r>
      <w:r w:rsidRPr="003F0258">
        <w:rPr>
          <w:b/>
          <w:bCs/>
          <w:lang w:val="fr-FR"/>
        </w:rPr>
        <w:t xml:space="preserve"> rapport </w:t>
      </w:r>
      <w:r>
        <w:rPr>
          <w:b/>
          <w:bCs/>
          <w:lang w:val="fr-FR"/>
        </w:rPr>
        <w:t>soit</w:t>
      </w:r>
      <w:r w:rsidRPr="003F0258">
        <w:rPr>
          <w:b/>
          <w:bCs/>
          <w:lang w:val="fr-FR"/>
        </w:rPr>
        <w:t xml:space="preserve"> conform</w:t>
      </w:r>
      <w:r>
        <w:rPr>
          <w:b/>
          <w:bCs/>
          <w:lang w:val="fr-FR"/>
        </w:rPr>
        <w:t>e à ces directives</w:t>
      </w:r>
      <w:r w:rsidRPr="003F0258">
        <w:rPr>
          <w:b/>
          <w:bCs/>
          <w:lang w:val="fr-FR"/>
        </w:rPr>
        <w:t xml:space="preserve">. </w:t>
      </w:r>
      <w:r w:rsidRPr="003F0258">
        <w:rPr>
          <w:b/>
        </w:rPr>
        <w:t>Si le rapport soumis compte un nombre de pages supérieur à la limite, l</w:t>
      </w:r>
      <w:r>
        <w:rPr>
          <w:b/>
        </w:rPr>
        <w:t>’</w:t>
      </w:r>
      <w:r w:rsidRPr="003F0258">
        <w:rPr>
          <w:b/>
        </w:rPr>
        <w:t xml:space="preserve">État partie sera invité à le </w:t>
      </w:r>
      <w:r>
        <w:rPr>
          <w:b/>
        </w:rPr>
        <w:t>remanier</w:t>
      </w:r>
      <w:r w:rsidRPr="003F0258">
        <w:rPr>
          <w:b/>
        </w:rPr>
        <w:t xml:space="preserve"> et à le soumettre conformément aux directives susmentionnées. Le Comité rappelle à l</w:t>
      </w:r>
      <w:r>
        <w:rPr>
          <w:b/>
        </w:rPr>
        <w:t>’</w:t>
      </w:r>
      <w:r w:rsidRPr="003F0258">
        <w:rPr>
          <w:b/>
        </w:rPr>
        <w:t>État partie que</w:t>
      </w:r>
      <w:r>
        <w:rPr>
          <w:b/>
        </w:rPr>
        <w:t>,</w:t>
      </w:r>
      <w:r w:rsidRPr="003F0258">
        <w:rPr>
          <w:b/>
        </w:rPr>
        <w:t xml:space="preserve"> s</w:t>
      </w:r>
      <w:r>
        <w:rPr>
          <w:b/>
        </w:rPr>
        <w:t>’</w:t>
      </w:r>
      <w:r w:rsidRPr="003F0258">
        <w:rPr>
          <w:b/>
        </w:rPr>
        <w:t>il n</w:t>
      </w:r>
      <w:r>
        <w:rPr>
          <w:b/>
        </w:rPr>
        <w:t>’</w:t>
      </w:r>
      <w:r w:rsidRPr="003F0258">
        <w:rPr>
          <w:b/>
        </w:rPr>
        <w:t xml:space="preserve">est pas en position de </w:t>
      </w:r>
      <w:r>
        <w:rPr>
          <w:b/>
        </w:rPr>
        <w:t>remanier</w:t>
      </w:r>
      <w:r w:rsidRPr="003F0258">
        <w:rPr>
          <w:b/>
        </w:rPr>
        <w:t xml:space="preserve"> le rapport et de le soumette à nouveau, sa traduction aux fins de l</w:t>
      </w:r>
      <w:r>
        <w:rPr>
          <w:b/>
        </w:rPr>
        <w:t>’</w:t>
      </w:r>
      <w:r w:rsidRPr="003F0258">
        <w:rPr>
          <w:b/>
        </w:rPr>
        <w:t>examen par le Comité ne pourra être garantie.</w:t>
      </w:r>
    </w:p>
    <w:p w:rsidR="004043D5" w:rsidRPr="00EC25BC" w:rsidRDefault="00EC25BC" w:rsidP="00EC25BC">
      <w:pPr>
        <w:pStyle w:val="SingleTxtG"/>
        <w:spacing w:before="240" w:after="0"/>
        <w:jc w:val="center"/>
        <w:rPr>
          <w:u w:val="single"/>
          <w:lang w:val="fr-FR"/>
        </w:rPr>
      </w:pPr>
      <w:r>
        <w:rPr>
          <w:u w:val="single"/>
        </w:rPr>
        <w:tab/>
      </w:r>
      <w:r>
        <w:rPr>
          <w:u w:val="single"/>
        </w:rPr>
        <w:tab/>
      </w:r>
      <w:r>
        <w:rPr>
          <w:u w:val="single"/>
        </w:rPr>
        <w:tab/>
      </w:r>
    </w:p>
    <w:sectPr w:rsidR="004043D5" w:rsidRPr="00EC25BC" w:rsidSect="009B6E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5A" w:rsidRDefault="004A4F5A"/>
  </w:endnote>
  <w:endnote w:type="continuationSeparator" w:id="0">
    <w:p w:rsidR="004A4F5A" w:rsidRDefault="004A4F5A"/>
  </w:endnote>
  <w:endnote w:type="continuationNotice" w:id="1">
    <w:p w:rsidR="004A4F5A" w:rsidRDefault="004A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60" w:rsidRPr="009B6E60" w:rsidRDefault="009B6E60" w:rsidP="009B6E60">
    <w:pPr>
      <w:pStyle w:val="Footer"/>
      <w:tabs>
        <w:tab w:val="right" w:pos="9638"/>
      </w:tabs>
    </w:pPr>
    <w:r w:rsidRPr="009B6E60">
      <w:rPr>
        <w:b/>
        <w:sz w:val="18"/>
      </w:rPr>
      <w:fldChar w:fldCharType="begin"/>
    </w:r>
    <w:r w:rsidRPr="009B6E60">
      <w:rPr>
        <w:b/>
        <w:sz w:val="18"/>
      </w:rPr>
      <w:instrText xml:space="preserve"> PAGE  \* MERGEFORMAT </w:instrText>
    </w:r>
    <w:r w:rsidRPr="009B6E60">
      <w:rPr>
        <w:b/>
        <w:sz w:val="18"/>
      </w:rPr>
      <w:fldChar w:fldCharType="separate"/>
    </w:r>
    <w:r w:rsidR="00EF0D2E">
      <w:rPr>
        <w:b/>
        <w:noProof/>
        <w:sz w:val="18"/>
      </w:rPr>
      <w:t>12</w:t>
    </w:r>
    <w:r w:rsidRPr="009B6E60">
      <w:rPr>
        <w:b/>
        <w:sz w:val="18"/>
      </w:rPr>
      <w:fldChar w:fldCharType="end"/>
    </w:r>
    <w:r>
      <w:rPr>
        <w:b/>
        <w:sz w:val="18"/>
      </w:rPr>
      <w:tab/>
    </w:r>
    <w:r>
      <w:t>GE.11-42067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60" w:rsidRPr="009B6E60" w:rsidRDefault="009B6E60" w:rsidP="009B6E60">
    <w:pPr>
      <w:pStyle w:val="Footer"/>
      <w:tabs>
        <w:tab w:val="right" w:pos="9638"/>
      </w:tabs>
      <w:rPr>
        <w:b/>
        <w:sz w:val="18"/>
      </w:rPr>
    </w:pPr>
    <w:r>
      <w:t>GE.11-42067</w:t>
    </w:r>
    <w:r>
      <w:tab/>
    </w:r>
    <w:r w:rsidRPr="009B6E60">
      <w:rPr>
        <w:b/>
        <w:sz w:val="18"/>
      </w:rPr>
      <w:fldChar w:fldCharType="begin"/>
    </w:r>
    <w:r w:rsidRPr="009B6E60">
      <w:rPr>
        <w:b/>
        <w:sz w:val="18"/>
      </w:rPr>
      <w:instrText xml:space="preserve"> PAGE  \* MERGEFORMAT </w:instrText>
    </w:r>
    <w:r w:rsidRPr="009B6E60">
      <w:rPr>
        <w:b/>
        <w:sz w:val="18"/>
      </w:rPr>
      <w:fldChar w:fldCharType="separate"/>
    </w:r>
    <w:r w:rsidR="00EF0D2E">
      <w:rPr>
        <w:b/>
        <w:noProof/>
        <w:sz w:val="18"/>
      </w:rPr>
      <w:t>13</w:t>
    </w:r>
    <w:r w:rsidRPr="009B6E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E6" w:rsidRDefault="009B6E60">
    <w:pPr>
      <w:pStyle w:val="Footer"/>
    </w:pPr>
    <w:r>
      <w:rPr>
        <w:sz w:val="20"/>
      </w:rPr>
      <w:t>GE.11-42067</w:t>
    </w:r>
    <w:r w:rsidR="008A4EE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810FFC">
      <w:rPr>
        <w:sz w:val="20"/>
      </w:rPr>
      <w:t xml:space="preserve">  </w:t>
    </w:r>
    <w:r>
      <w:rPr>
        <w:sz w:val="20"/>
      </w:rPr>
      <w:t>(F)</w:t>
    </w:r>
    <w:r w:rsidR="00810FFC">
      <w:rPr>
        <w:sz w:val="20"/>
      </w:rPr>
      <w:t xml:space="preserve">    190511    </w:t>
    </w:r>
    <w:r w:rsidR="004043D5">
      <w:rPr>
        <w:sz w:val="20"/>
      </w:rPr>
      <w:t>100611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5A" w:rsidRPr="00D27D5E" w:rsidRDefault="004A4F5A" w:rsidP="00D27D5E">
      <w:pPr>
        <w:tabs>
          <w:tab w:val="right" w:pos="2155"/>
        </w:tabs>
        <w:spacing w:after="80"/>
        <w:ind w:left="680"/>
        <w:rPr>
          <w:u w:val="single"/>
        </w:rPr>
      </w:pPr>
      <w:r>
        <w:rPr>
          <w:u w:val="single"/>
        </w:rPr>
        <w:tab/>
      </w:r>
    </w:p>
  </w:footnote>
  <w:footnote w:type="continuationSeparator" w:id="0">
    <w:p w:rsidR="004A4F5A" w:rsidRPr="00EA0E33" w:rsidRDefault="004A4F5A" w:rsidP="00EA0E33">
      <w:pPr>
        <w:tabs>
          <w:tab w:val="right" w:pos="2155"/>
        </w:tabs>
        <w:spacing w:after="80"/>
        <w:ind w:left="680"/>
        <w:rPr>
          <w:u w:val="single"/>
        </w:rPr>
      </w:pPr>
      <w:r w:rsidRPr="00EA0E33">
        <w:rPr>
          <w:u w:val="single"/>
        </w:rPr>
        <w:tab/>
      </w:r>
    </w:p>
  </w:footnote>
  <w:footnote w:type="continuationNotice" w:id="1">
    <w:p w:rsidR="004A4F5A" w:rsidRDefault="004A4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60" w:rsidRPr="009B6E60" w:rsidRDefault="009B6E60">
    <w:pPr>
      <w:pStyle w:val="Header"/>
    </w:pPr>
    <w:r>
      <w:t>CRC/C/NZL/CO/3-4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60" w:rsidRPr="009B6E60" w:rsidRDefault="009B6E60" w:rsidP="009B6E60">
    <w:pPr>
      <w:pStyle w:val="Header"/>
      <w:jc w:val="right"/>
    </w:pPr>
    <w:r>
      <w:t>CRC/C/NZL/CO/3-4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EE6"/>
    <w:rsid w:val="0000767A"/>
    <w:rsid w:val="00016AC5"/>
    <w:rsid w:val="00060E82"/>
    <w:rsid w:val="000B696A"/>
    <w:rsid w:val="000B6BC6"/>
    <w:rsid w:val="000F41F2"/>
    <w:rsid w:val="00160540"/>
    <w:rsid w:val="00192EEB"/>
    <w:rsid w:val="001A20FB"/>
    <w:rsid w:val="001A507A"/>
    <w:rsid w:val="001D5CBF"/>
    <w:rsid w:val="001D7F8A"/>
    <w:rsid w:val="001E3DE1"/>
    <w:rsid w:val="001E3FEB"/>
    <w:rsid w:val="001E4A02"/>
    <w:rsid w:val="001E5727"/>
    <w:rsid w:val="00225A8C"/>
    <w:rsid w:val="002613A9"/>
    <w:rsid w:val="002659F1"/>
    <w:rsid w:val="00287E79"/>
    <w:rsid w:val="002928F9"/>
    <w:rsid w:val="002A5D07"/>
    <w:rsid w:val="002C6A52"/>
    <w:rsid w:val="003016B7"/>
    <w:rsid w:val="0031567F"/>
    <w:rsid w:val="00331C04"/>
    <w:rsid w:val="003515AA"/>
    <w:rsid w:val="00374106"/>
    <w:rsid w:val="00377235"/>
    <w:rsid w:val="003976D5"/>
    <w:rsid w:val="003A19F5"/>
    <w:rsid w:val="003D2F6C"/>
    <w:rsid w:val="003D6C68"/>
    <w:rsid w:val="003E7F2E"/>
    <w:rsid w:val="003F4CA4"/>
    <w:rsid w:val="004043D5"/>
    <w:rsid w:val="004159D0"/>
    <w:rsid w:val="004377D2"/>
    <w:rsid w:val="00476666"/>
    <w:rsid w:val="004A4F5A"/>
    <w:rsid w:val="004C1D73"/>
    <w:rsid w:val="00543D5E"/>
    <w:rsid w:val="00547BC0"/>
    <w:rsid w:val="00564901"/>
    <w:rsid w:val="00571F41"/>
    <w:rsid w:val="005E5D1F"/>
    <w:rsid w:val="0060753B"/>
    <w:rsid w:val="00611D43"/>
    <w:rsid w:val="00612D48"/>
    <w:rsid w:val="00616B45"/>
    <w:rsid w:val="00630D9B"/>
    <w:rsid w:val="00631953"/>
    <w:rsid w:val="006439EC"/>
    <w:rsid w:val="0064431A"/>
    <w:rsid w:val="006744C5"/>
    <w:rsid w:val="006A2FF6"/>
    <w:rsid w:val="006B4590"/>
    <w:rsid w:val="006C340C"/>
    <w:rsid w:val="006E637C"/>
    <w:rsid w:val="0070347C"/>
    <w:rsid w:val="00716BD0"/>
    <w:rsid w:val="007176C1"/>
    <w:rsid w:val="007C3C0D"/>
    <w:rsid w:val="007F55CB"/>
    <w:rsid w:val="00810FFC"/>
    <w:rsid w:val="00844750"/>
    <w:rsid w:val="008A4EE6"/>
    <w:rsid w:val="008B44C4"/>
    <w:rsid w:val="008E7FAE"/>
    <w:rsid w:val="00901884"/>
    <w:rsid w:val="00911BF7"/>
    <w:rsid w:val="00977EC8"/>
    <w:rsid w:val="00993C56"/>
    <w:rsid w:val="009A7B83"/>
    <w:rsid w:val="009B6E60"/>
    <w:rsid w:val="009C2D18"/>
    <w:rsid w:val="009C7AA5"/>
    <w:rsid w:val="009D3A8C"/>
    <w:rsid w:val="009E7956"/>
    <w:rsid w:val="00A133AF"/>
    <w:rsid w:val="00A2492E"/>
    <w:rsid w:val="00A63C60"/>
    <w:rsid w:val="00AB67E1"/>
    <w:rsid w:val="00AC67A1"/>
    <w:rsid w:val="00AC7977"/>
    <w:rsid w:val="00AD1127"/>
    <w:rsid w:val="00AE352C"/>
    <w:rsid w:val="00B32E2D"/>
    <w:rsid w:val="00B61990"/>
    <w:rsid w:val="00B766B4"/>
    <w:rsid w:val="00B93DB1"/>
    <w:rsid w:val="00BE6AE4"/>
    <w:rsid w:val="00BF0556"/>
    <w:rsid w:val="00C261F8"/>
    <w:rsid w:val="00C33100"/>
    <w:rsid w:val="00C36B9B"/>
    <w:rsid w:val="00CC05F6"/>
    <w:rsid w:val="00CD1A71"/>
    <w:rsid w:val="00CD1FBB"/>
    <w:rsid w:val="00D016B5"/>
    <w:rsid w:val="00D034F1"/>
    <w:rsid w:val="00D10597"/>
    <w:rsid w:val="00D10727"/>
    <w:rsid w:val="00D21AD3"/>
    <w:rsid w:val="00D27D5E"/>
    <w:rsid w:val="00D54DC1"/>
    <w:rsid w:val="00D77231"/>
    <w:rsid w:val="00D838EB"/>
    <w:rsid w:val="00DA3BE9"/>
    <w:rsid w:val="00DC079E"/>
    <w:rsid w:val="00DE6D90"/>
    <w:rsid w:val="00DF002F"/>
    <w:rsid w:val="00E0244D"/>
    <w:rsid w:val="00E36FE5"/>
    <w:rsid w:val="00E81E94"/>
    <w:rsid w:val="00E82607"/>
    <w:rsid w:val="00E962EF"/>
    <w:rsid w:val="00EA0E33"/>
    <w:rsid w:val="00EC1946"/>
    <w:rsid w:val="00EC25BC"/>
    <w:rsid w:val="00EE03BD"/>
    <w:rsid w:val="00EE1723"/>
    <w:rsid w:val="00EF0D2E"/>
    <w:rsid w:val="00EF1671"/>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6262</Words>
  <Characters>34014</Characters>
  <Application>Microsoft Office Word</Application>
  <DocSecurity>4</DocSecurity>
  <Lines>564</Lines>
  <Paragraphs>164</Paragraphs>
  <ScaleCrop>false</ScaleCrop>
  <HeadingPairs>
    <vt:vector size="2" baseType="variant">
      <vt:variant>
        <vt:lpstr>Titre</vt:lpstr>
      </vt:variant>
      <vt:variant>
        <vt:i4>1</vt:i4>
      </vt:variant>
    </vt:vector>
  </HeadingPairs>
  <TitlesOfParts>
    <vt:vector size="1" baseType="lpstr">
      <vt:lpstr>CRC/C/NZL/CO/3-4</vt:lpstr>
    </vt:vector>
  </TitlesOfParts>
  <Company>Corine</Company>
  <LinksUpToDate>false</LinksUpToDate>
  <CharactersWithSpaces>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CRC/C/NZL/CO/3-4</dc:title>
  <dc:subject>SEMIFINAL1-22</dc:subject>
  <dc:creator>Morin</dc:creator>
  <cp:keywords/>
  <dc:description/>
  <cp:lastModifiedBy>e.bourion</cp:lastModifiedBy>
  <cp:revision>2</cp:revision>
  <cp:lastPrinted>2009-10-07T16:39:00Z</cp:lastPrinted>
  <dcterms:created xsi:type="dcterms:W3CDTF">2011-06-10T12:55:00Z</dcterms:created>
  <dcterms:modified xsi:type="dcterms:W3CDTF">2011-06-10T12:55:00Z</dcterms:modified>
</cp:coreProperties>
</file>