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A30730" w:rsidP="00A30730">
            <w:pPr>
              <w:jc w:val="right"/>
            </w:pPr>
            <w:r w:rsidRPr="00A30730">
              <w:rPr>
                <w:sz w:val="40"/>
              </w:rPr>
              <w:t>CCPR</w:t>
            </w:r>
            <w:r>
              <w:t>/C/JAM/CO/3/Add.1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A30730" w:rsidRDefault="00A30730" w:rsidP="00464EEE">
            <w:pPr>
              <w:spacing w:before="240"/>
            </w:pPr>
            <w:r>
              <w:t>Distr. générale</w:t>
            </w:r>
          </w:p>
          <w:p w:rsidR="00A30730" w:rsidRDefault="00A30730" w:rsidP="00A30730">
            <w:pPr>
              <w:spacing w:line="240" w:lineRule="exact"/>
            </w:pPr>
            <w:r>
              <w:t>14 janvier 2013</w:t>
            </w:r>
          </w:p>
          <w:p w:rsidR="00A30730" w:rsidRDefault="00A30730" w:rsidP="00A30730">
            <w:pPr>
              <w:spacing w:line="240" w:lineRule="exact"/>
            </w:pPr>
            <w:r>
              <w:t>Français</w:t>
            </w:r>
          </w:p>
          <w:p w:rsidR="00AF1CE8" w:rsidRPr="00DB58B5" w:rsidRDefault="00A30730" w:rsidP="00A30730">
            <w:pPr>
              <w:spacing w:line="240" w:lineRule="exact"/>
            </w:pPr>
            <w:r>
              <w:t>Original: anglais</w:t>
            </w:r>
          </w:p>
        </w:tc>
      </w:tr>
    </w:tbl>
    <w:p w:rsidR="00DF3BF1" w:rsidRDefault="00DF3BF1" w:rsidP="00A30730">
      <w:pPr>
        <w:spacing w:before="120"/>
        <w:rPr>
          <w:b/>
          <w:sz w:val="24"/>
          <w:szCs w:val="24"/>
        </w:rPr>
      </w:pPr>
      <w:r w:rsidRPr="00DF3BF1">
        <w:rPr>
          <w:b/>
          <w:sz w:val="24"/>
          <w:szCs w:val="24"/>
        </w:rPr>
        <w:t>Comité des droits de l</w:t>
      </w:r>
      <w:r w:rsidR="00A30730">
        <w:rPr>
          <w:b/>
          <w:sz w:val="24"/>
          <w:szCs w:val="24"/>
        </w:rPr>
        <w:t>’</w:t>
      </w:r>
      <w:r w:rsidRPr="00DF3BF1">
        <w:rPr>
          <w:b/>
          <w:sz w:val="24"/>
          <w:szCs w:val="24"/>
        </w:rPr>
        <w:t>homme</w:t>
      </w:r>
    </w:p>
    <w:p w:rsidR="00A30730" w:rsidRPr="00C769CC" w:rsidRDefault="00A30730" w:rsidP="00A30730">
      <w:pPr>
        <w:pStyle w:val="HChG"/>
        <w:rPr>
          <w:lang w:val="fr-FR"/>
        </w:rPr>
      </w:pPr>
      <w:r w:rsidRPr="00C769CC">
        <w:rPr>
          <w:lang w:val="fr-FR"/>
        </w:rPr>
        <w:tab/>
      </w:r>
      <w:r w:rsidRPr="00C769CC">
        <w:rPr>
          <w:lang w:val="fr-FR"/>
        </w:rPr>
        <w:tab/>
        <w:t>Observations finales du Comité des droits de l</w:t>
      </w:r>
      <w:r>
        <w:rPr>
          <w:lang w:val="fr-FR"/>
        </w:rPr>
        <w:t>’</w:t>
      </w:r>
      <w:r w:rsidRPr="00C769CC">
        <w:rPr>
          <w:lang w:val="fr-FR"/>
        </w:rPr>
        <w:t>homme</w:t>
      </w:r>
      <w:r>
        <w:rPr>
          <w:lang w:val="fr-FR"/>
        </w:rPr>
        <w:t xml:space="preserve"> relatives au troisième rapport périodique de la Jamaïque et adoptées à sa 103</w:t>
      </w:r>
      <w:r w:rsidRPr="00A30730">
        <w:rPr>
          <w:vertAlign w:val="superscript"/>
          <w:lang w:val="fr-FR"/>
        </w:rPr>
        <w:t>e</w:t>
      </w:r>
      <w:r w:rsidRPr="00A30730">
        <w:rPr>
          <w:lang w:val="fr-FR"/>
        </w:rPr>
        <w:t> </w:t>
      </w:r>
      <w:r w:rsidR="00680198">
        <w:rPr>
          <w:lang w:val="fr-FR"/>
        </w:rPr>
        <w:t>session (17</w:t>
      </w:r>
      <w:r>
        <w:rPr>
          <w:lang w:val="fr-FR"/>
        </w:rPr>
        <w:t xml:space="preserve"> octobre</w:t>
      </w:r>
      <w:r>
        <w:rPr>
          <w:lang w:val="fr-FR"/>
        </w:rPr>
        <w:noBreakHyphen/>
        <w:t>4 novembre 2011)</w:t>
      </w:r>
    </w:p>
    <w:p w:rsidR="00A30730" w:rsidRPr="00C769CC" w:rsidRDefault="00A30730" w:rsidP="00680198">
      <w:pPr>
        <w:pStyle w:val="H23G"/>
        <w:rPr>
          <w:lang w:val="fr-FR"/>
        </w:rPr>
      </w:pPr>
      <w:r w:rsidRPr="00C769CC">
        <w:rPr>
          <w:lang w:val="fr-FR"/>
        </w:rPr>
        <w:tab/>
      </w:r>
      <w:r w:rsidRPr="00C769CC">
        <w:rPr>
          <w:lang w:val="fr-FR"/>
        </w:rPr>
        <w:tab/>
        <w:t>Additif</w:t>
      </w:r>
    </w:p>
    <w:p w:rsidR="00A30730" w:rsidRPr="00C769CC" w:rsidRDefault="00A30730" w:rsidP="00C519C1">
      <w:pPr>
        <w:pStyle w:val="H1G"/>
        <w:rPr>
          <w:lang w:val="fr-FR"/>
        </w:rPr>
      </w:pPr>
      <w:r w:rsidRPr="00C769CC">
        <w:rPr>
          <w:lang w:val="fr-FR"/>
        </w:rPr>
        <w:tab/>
      </w:r>
      <w:r w:rsidRPr="00C769CC">
        <w:rPr>
          <w:lang w:val="fr-FR"/>
        </w:rPr>
        <w:tab/>
        <w:t xml:space="preserve">Informations reçues de la </w:t>
      </w:r>
      <w:r>
        <w:rPr>
          <w:lang w:val="fr-FR"/>
        </w:rPr>
        <w:t>Jamaïque</w:t>
      </w:r>
      <w:r w:rsidRPr="00C769CC">
        <w:rPr>
          <w:lang w:val="fr-FR"/>
        </w:rPr>
        <w:t xml:space="preserve"> concernant la suite donnée</w:t>
      </w:r>
      <w:r w:rsidR="00A44860">
        <w:rPr>
          <w:lang w:val="fr-FR"/>
        </w:rPr>
        <w:br/>
      </w:r>
      <w:r w:rsidRPr="00C769CC">
        <w:rPr>
          <w:lang w:val="fr-FR"/>
        </w:rPr>
        <w:t>aux observations finales du Comité</w:t>
      </w:r>
      <w:r w:rsidR="00680198" w:rsidRPr="00680198">
        <w:rPr>
          <w:rStyle w:val="FootnoteReference"/>
          <w:b w:val="0"/>
          <w:sz w:val="20"/>
          <w:vertAlign w:val="baseline"/>
        </w:rPr>
        <w:footnoteReference w:customMarkFollows="1" w:id="2"/>
        <w:t>*</w:t>
      </w:r>
    </w:p>
    <w:p w:rsidR="00A30730" w:rsidRPr="00C769CC" w:rsidRDefault="00A30730" w:rsidP="00A30730">
      <w:pPr>
        <w:pStyle w:val="SingleTxtG"/>
        <w:spacing w:line="720" w:lineRule="auto"/>
        <w:jc w:val="right"/>
        <w:rPr>
          <w:lang w:val="fr-FR"/>
        </w:rPr>
      </w:pPr>
      <w:r w:rsidRPr="00C769CC">
        <w:rPr>
          <w:lang w:val="fr-FR"/>
        </w:rPr>
        <w:t>[</w:t>
      </w:r>
      <w:r>
        <w:rPr>
          <w:lang w:val="fr-FR"/>
        </w:rPr>
        <w:t>16</w:t>
      </w:r>
      <w:r w:rsidR="00C519C1">
        <w:rPr>
          <w:lang w:val="fr-FR"/>
        </w:rPr>
        <w:t> </w:t>
      </w:r>
      <w:r w:rsidRPr="00C769CC">
        <w:rPr>
          <w:lang w:val="fr-FR"/>
        </w:rPr>
        <w:t>novembre 2012]</w:t>
      </w:r>
    </w:p>
    <w:p w:rsidR="00A30730" w:rsidRPr="00C769CC" w:rsidRDefault="00A30730" w:rsidP="00C519C1">
      <w:pPr>
        <w:pStyle w:val="HChG"/>
        <w:rPr>
          <w:lang w:val="fr-FR"/>
        </w:rPr>
      </w:pPr>
      <w:r w:rsidRPr="00C769CC">
        <w:rPr>
          <w:lang w:val="fr-FR"/>
        </w:rPr>
        <w:br w:type="page"/>
      </w:r>
      <w:r w:rsidRPr="00C769CC">
        <w:rPr>
          <w:lang w:val="fr-FR"/>
        </w:rPr>
        <w:tab/>
      </w:r>
      <w:r w:rsidRPr="00C769CC">
        <w:rPr>
          <w:lang w:val="fr-FR"/>
        </w:rPr>
        <w:tab/>
        <w:t>Introduction</w:t>
      </w:r>
    </w:p>
    <w:p w:rsidR="00A30730" w:rsidRDefault="00A30730" w:rsidP="00A30730">
      <w:pPr>
        <w:pStyle w:val="SingleTxtG"/>
        <w:rPr>
          <w:lang w:val="fr-FR"/>
        </w:rPr>
      </w:pPr>
      <w:r>
        <w:rPr>
          <w:lang w:val="fr-FR"/>
        </w:rPr>
        <w:t>1.</w:t>
      </w:r>
      <w:r>
        <w:rPr>
          <w:lang w:val="fr-FR"/>
        </w:rPr>
        <w:tab/>
        <w:t xml:space="preserve">Au paragraphe </w:t>
      </w:r>
      <w:r w:rsidRPr="00422432">
        <w:rPr>
          <w:lang w:val="fr-FR"/>
        </w:rPr>
        <w:t>27</w:t>
      </w:r>
      <w:r>
        <w:rPr>
          <w:lang w:val="fr-FR"/>
        </w:rPr>
        <w:t xml:space="preserve"> des observations finales du Comité des droits de l’homme, il est dit que </w:t>
      </w:r>
      <w:r w:rsidRPr="00422432">
        <w:rPr>
          <w:lang w:val="fr-FR"/>
        </w:rPr>
        <w:t>l</w:t>
      </w:r>
      <w:r>
        <w:rPr>
          <w:lang w:val="fr-FR"/>
        </w:rPr>
        <w:t>’</w:t>
      </w:r>
      <w:r w:rsidRPr="00422432">
        <w:rPr>
          <w:lang w:val="fr-FR"/>
        </w:rPr>
        <w:t>État partie devrait faire parvenir, dans un délai d</w:t>
      </w:r>
      <w:r>
        <w:rPr>
          <w:lang w:val="fr-FR"/>
        </w:rPr>
        <w:t>’</w:t>
      </w:r>
      <w:r w:rsidRPr="00422432">
        <w:rPr>
          <w:lang w:val="fr-FR"/>
        </w:rPr>
        <w:t xml:space="preserve">un an, des renseignements sur la suite donnée aux recommandations figurant dans les paragraphes 8, 16 et 23. </w:t>
      </w:r>
    </w:p>
    <w:p w:rsidR="00A30730" w:rsidRPr="00481662" w:rsidRDefault="00C519C1" w:rsidP="00C519C1">
      <w:pPr>
        <w:pStyle w:val="H1G"/>
        <w:rPr>
          <w:lang w:val="fr-FR"/>
        </w:rPr>
      </w:pPr>
      <w:r>
        <w:rPr>
          <w:lang w:val="fr-FR"/>
        </w:rPr>
        <w:tab/>
      </w:r>
      <w:r>
        <w:rPr>
          <w:lang w:val="fr-FR"/>
        </w:rPr>
        <w:tab/>
      </w:r>
      <w:r w:rsidR="00A30730" w:rsidRPr="00481662">
        <w:rPr>
          <w:lang w:val="fr-FR"/>
        </w:rPr>
        <w:t xml:space="preserve">Réponse aux questions posées au paragraphe </w:t>
      </w:r>
      <w:r w:rsidR="00A30730">
        <w:rPr>
          <w:lang w:val="fr-FR"/>
        </w:rPr>
        <w:t>8</w:t>
      </w:r>
      <w:r w:rsidR="00A30730" w:rsidRPr="00481662">
        <w:rPr>
          <w:lang w:val="fr-FR"/>
        </w:rPr>
        <w:t xml:space="preserve"> des observations </w:t>
      </w:r>
      <w:r w:rsidR="0028685B">
        <w:rPr>
          <w:lang w:val="fr-FR"/>
        </w:rPr>
        <w:t>finales</w:t>
      </w:r>
      <w:r>
        <w:rPr>
          <w:lang w:val="fr-FR"/>
        </w:rPr>
        <w:br/>
      </w:r>
      <w:r w:rsidR="00A30730" w:rsidRPr="00481662">
        <w:rPr>
          <w:lang w:val="fr-FR"/>
        </w:rPr>
        <w:t>(CCPR/C/</w:t>
      </w:r>
      <w:r w:rsidR="00A30730">
        <w:rPr>
          <w:lang w:val="fr-FR"/>
        </w:rPr>
        <w:t>JAM/CO/3</w:t>
      </w:r>
      <w:r w:rsidR="00A30730" w:rsidRPr="00481662">
        <w:rPr>
          <w:lang w:val="fr-FR"/>
        </w:rPr>
        <w:t>)</w:t>
      </w:r>
    </w:p>
    <w:p w:rsidR="00A30730" w:rsidRDefault="00A30730" w:rsidP="00A30730">
      <w:pPr>
        <w:pStyle w:val="SingleTxtG"/>
        <w:rPr>
          <w:lang w:val="fr-FR"/>
        </w:rPr>
      </w:pPr>
      <w:r>
        <w:rPr>
          <w:lang w:val="fr-FR"/>
        </w:rPr>
        <w:t>2.</w:t>
      </w:r>
      <w:r>
        <w:rPr>
          <w:lang w:val="fr-FR"/>
        </w:rPr>
        <w:tab/>
        <w:t xml:space="preserve">Le Gouvernement jamaïcain est opposé à la discrimination et à la violence à l’égard de toutes les personnes, qu’elles soient motivées par le genre ou l’orientation sexuelle, ou par d’autres raisons. De plus, tous les citoyens ont accès </w:t>
      </w:r>
      <w:r w:rsidR="0028685B">
        <w:rPr>
          <w:lang w:val="fr-FR"/>
        </w:rPr>
        <w:t xml:space="preserve">au droit et à la justice </w:t>
      </w:r>
      <w:r>
        <w:rPr>
          <w:lang w:val="fr-FR"/>
        </w:rPr>
        <w:t xml:space="preserve">sur un pied d’égalité. Ces droits ont été renforcés par la modification apportée au </w:t>
      </w:r>
      <w:r w:rsidR="006221F0">
        <w:rPr>
          <w:lang w:val="fr-FR"/>
        </w:rPr>
        <w:t>c</w:t>
      </w:r>
      <w:r>
        <w:rPr>
          <w:lang w:val="fr-FR"/>
        </w:rPr>
        <w:t>hapitre</w:t>
      </w:r>
      <w:r w:rsidR="006221F0">
        <w:rPr>
          <w:lang w:val="fr-FR"/>
        </w:rPr>
        <w:t> </w:t>
      </w:r>
      <w:r>
        <w:rPr>
          <w:lang w:val="fr-FR"/>
        </w:rPr>
        <w:t xml:space="preserve">III de la Constitution et </w:t>
      </w:r>
      <w:r w:rsidRPr="00481662">
        <w:rPr>
          <w:lang w:val="fr-FR"/>
        </w:rPr>
        <w:t>l</w:t>
      </w:r>
      <w:r>
        <w:rPr>
          <w:lang w:val="fr-FR"/>
        </w:rPr>
        <w:t>’</w:t>
      </w:r>
      <w:r w:rsidRPr="00481662">
        <w:rPr>
          <w:lang w:val="fr-FR"/>
        </w:rPr>
        <w:t>adoption</w:t>
      </w:r>
      <w:r>
        <w:rPr>
          <w:lang w:val="fr-FR"/>
        </w:rPr>
        <w:t>,</w:t>
      </w:r>
      <w:r w:rsidRPr="00481662">
        <w:rPr>
          <w:lang w:val="fr-FR"/>
        </w:rPr>
        <w:t xml:space="preserve"> en avril 2011</w:t>
      </w:r>
      <w:r>
        <w:rPr>
          <w:lang w:val="fr-FR"/>
        </w:rPr>
        <w:t xml:space="preserve">, </w:t>
      </w:r>
      <w:r w:rsidRPr="00481662">
        <w:rPr>
          <w:lang w:val="fr-FR"/>
        </w:rPr>
        <w:t>de la Charte des libertés et des droits fondamentaux</w:t>
      </w:r>
      <w:r>
        <w:rPr>
          <w:lang w:val="fr-FR"/>
        </w:rPr>
        <w:t>, plus complète. Il convient de noter que tous les citoyens jouissent du droit à l’égalité devant la loi et du droit de ne pas être l’objet de discrimination fondée sur le fait d’être un homme ou une femme, sa race, son lieu d’origine, sa classe sociale, sa couleur, sa religion ou ses opinions politiques.</w:t>
      </w:r>
    </w:p>
    <w:p w:rsidR="00A30730" w:rsidRDefault="00A30730" w:rsidP="00A30730">
      <w:pPr>
        <w:pStyle w:val="SingleTxtG"/>
        <w:rPr>
          <w:lang w:val="fr-FR"/>
        </w:rPr>
      </w:pPr>
      <w:r>
        <w:rPr>
          <w:lang w:val="fr-FR"/>
        </w:rPr>
        <w:t>3.</w:t>
      </w:r>
      <w:r>
        <w:rPr>
          <w:lang w:val="fr-FR"/>
        </w:rPr>
        <w:tab/>
        <w:t xml:space="preserve">Les </w:t>
      </w:r>
      <w:r w:rsidRPr="00422432">
        <w:rPr>
          <w:lang w:val="fr-FR"/>
        </w:rPr>
        <w:t>forces de police jamaïcaines</w:t>
      </w:r>
      <w:r>
        <w:rPr>
          <w:lang w:val="fr-FR"/>
        </w:rPr>
        <w:t xml:space="preserve"> ont élaboré une politique de la diversité qui est</w:t>
      </w:r>
      <w:r w:rsidR="00B7334B">
        <w:rPr>
          <w:lang w:val="fr-FR"/>
        </w:rPr>
        <w:t> </w:t>
      </w:r>
      <w:r>
        <w:rPr>
          <w:lang w:val="fr-FR"/>
        </w:rPr>
        <w:t>entrée en vigueur le 25</w:t>
      </w:r>
      <w:r w:rsidR="006221F0">
        <w:rPr>
          <w:lang w:val="fr-FR"/>
        </w:rPr>
        <w:t> </w:t>
      </w:r>
      <w:r>
        <w:rPr>
          <w:lang w:val="fr-FR"/>
        </w:rPr>
        <w:t>août</w:t>
      </w:r>
      <w:r w:rsidR="00B7334B">
        <w:rPr>
          <w:lang w:val="fr-FR"/>
        </w:rPr>
        <w:t> </w:t>
      </w:r>
      <w:r>
        <w:rPr>
          <w:lang w:val="fr-FR"/>
        </w:rPr>
        <w:t>2011, et sur laquelle se fondent les comportements professionnels des policiers avec des membres de groupes minoritaires, y</w:t>
      </w:r>
      <w:r w:rsidR="006221F0">
        <w:rPr>
          <w:lang w:val="fr-FR"/>
        </w:rPr>
        <w:t> </w:t>
      </w:r>
      <w:r>
        <w:rPr>
          <w:lang w:val="fr-FR"/>
        </w:rPr>
        <w:t>compris les lesbiennes, les gays et les personnes transgenre</w:t>
      </w:r>
      <w:r w:rsidR="00B7334B">
        <w:rPr>
          <w:lang w:val="fr-FR"/>
        </w:rPr>
        <w:t>s</w:t>
      </w:r>
      <w:r>
        <w:rPr>
          <w:lang w:val="fr-FR"/>
        </w:rPr>
        <w:t>. De plus, la police et des membres de la communauté LGBT (</w:t>
      </w:r>
      <w:r w:rsidRPr="00FD0C8D">
        <w:rPr>
          <w:lang w:val="fr-FR"/>
        </w:rPr>
        <w:t>lesbiennes,</w:t>
      </w:r>
      <w:r>
        <w:rPr>
          <w:lang w:val="fr-FR"/>
        </w:rPr>
        <w:t xml:space="preserve"> gays, bisexuels et transgenres) travaillent de concert à former et à sensibiliser les policiers.</w:t>
      </w:r>
    </w:p>
    <w:p w:rsidR="00A30730" w:rsidRDefault="00A30730" w:rsidP="00A30730">
      <w:pPr>
        <w:pStyle w:val="SingleTxtG"/>
        <w:rPr>
          <w:lang w:val="fr-FR"/>
        </w:rPr>
      </w:pPr>
      <w:r>
        <w:rPr>
          <w:lang w:val="fr-FR"/>
        </w:rPr>
        <w:t>4.</w:t>
      </w:r>
      <w:r>
        <w:rPr>
          <w:lang w:val="fr-FR"/>
        </w:rPr>
        <w:tab/>
        <w:t xml:space="preserve">Les actions visant à favoriser la tolérance et le respect dus à chaque citoyen et à promouvoir une culture de non-violence en général se poursuivent. Dans ce cadre, le Gouvernement jamaïcain, en collaboration avec le </w:t>
      </w:r>
      <w:r w:rsidRPr="00FD0C8D">
        <w:rPr>
          <w:lang w:val="fr-FR"/>
        </w:rPr>
        <w:t>Fonds des Nations</w:t>
      </w:r>
      <w:r>
        <w:rPr>
          <w:lang w:val="fr-FR"/>
        </w:rPr>
        <w:t xml:space="preserve"> Unies pour l’enfance (UNICEF), est sur le point de lancer une initiative contre les brimades à l’école et dans les communautés </w:t>
      </w:r>
      <w:r w:rsidR="006221F0">
        <w:rPr>
          <w:lang w:val="fr-FR"/>
        </w:rPr>
        <w:t xml:space="preserve">afin de </w:t>
      </w:r>
      <w:r>
        <w:rPr>
          <w:lang w:val="fr-FR"/>
        </w:rPr>
        <w:t>recenser les facteurs contribuant à ce phénomène et en déterminer la prévalence dans les espaces scolaires et communautaires. L’objectif final de cette initiative est de mettre en place un programme de prévention des brutalités (brimades) entre pairs. La</w:t>
      </w:r>
      <w:r w:rsidR="00AA7F2F">
        <w:rPr>
          <w:lang w:val="fr-FR"/>
        </w:rPr>
        <w:t> </w:t>
      </w:r>
      <w:r>
        <w:rPr>
          <w:lang w:val="fr-FR"/>
        </w:rPr>
        <w:t>version finale de la proposition de financement du projet est en cours d’élaboration; elle sera ensuite soumise à l’</w:t>
      </w:r>
      <w:r>
        <w:rPr>
          <w:rFonts w:eastAsia="MS Mincho"/>
          <w:lang w:val="fr-FR"/>
        </w:rPr>
        <w:t>UNICEF pour examen et approbation.</w:t>
      </w:r>
    </w:p>
    <w:p w:rsidR="00A30730" w:rsidRPr="00FC1785" w:rsidRDefault="00FC1785" w:rsidP="00FC1785">
      <w:pPr>
        <w:pStyle w:val="H1G"/>
        <w:rPr>
          <w:spacing w:val="-2"/>
          <w:lang w:val="fr-FR"/>
        </w:rPr>
      </w:pPr>
      <w:r>
        <w:rPr>
          <w:lang w:val="fr-FR"/>
        </w:rPr>
        <w:tab/>
      </w:r>
      <w:r>
        <w:rPr>
          <w:lang w:val="fr-FR"/>
        </w:rPr>
        <w:tab/>
      </w:r>
      <w:r w:rsidR="00A30730" w:rsidRPr="00FC1785">
        <w:rPr>
          <w:spacing w:val="-2"/>
          <w:lang w:val="fr-FR"/>
        </w:rPr>
        <w:t>Réponse aux questions posées au paragraphe 16</w:t>
      </w:r>
      <w:r>
        <w:rPr>
          <w:spacing w:val="-2"/>
          <w:lang w:val="fr-FR"/>
        </w:rPr>
        <w:t xml:space="preserve"> des observations finales</w:t>
      </w:r>
    </w:p>
    <w:p w:rsidR="00A30730" w:rsidRDefault="00A30730" w:rsidP="00A30730">
      <w:pPr>
        <w:pStyle w:val="SingleTxtG"/>
        <w:rPr>
          <w:lang w:val="fr-FR"/>
        </w:rPr>
      </w:pPr>
      <w:r>
        <w:rPr>
          <w:lang w:val="fr-FR"/>
        </w:rPr>
        <w:t>5.</w:t>
      </w:r>
      <w:r>
        <w:rPr>
          <w:lang w:val="fr-FR"/>
        </w:rPr>
        <w:tab/>
        <w:t>Dans le cadre des mesures prises pour garantir que</w:t>
      </w:r>
      <w:r w:rsidRPr="00F75544">
        <w:rPr>
          <w:lang w:val="fr-FR"/>
        </w:rPr>
        <w:t xml:space="preserve"> les allégations faisant état d</w:t>
      </w:r>
      <w:r>
        <w:rPr>
          <w:lang w:val="fr-FR"/>
        </w:rPr>
        <w:t>’</w:t>
      </w:r>
      <w:r w:rsidRPr="00F75544">
        <w:rPr>
          <w:lang w:val="fr-FR"/>
        </w:rPr>
        <w:t xml:space="preserve">exécutions extrajudiciaires </w:t>
      </w:r>
      <w:r>
        <w:rPr>
          <w:lang w:val="fr-FR"/>
        </w:rPr>
        <w:t>fassent sans délai</w:t>
      </w:r>
      <w:r w:rsidR="00093468">
        <w:rPr>
          <w:lang w:val="fr-FR"/>
        </w:rPr>
        <w:t xml:space="preserve"> l’objet d’enquêtes effectives</w:t>
      </w:r>
      <w:r>
        <w:rPr>
          <w:lang w:val="fr-FR"/>
        </w:rPr>
        <w:t xml:space="preserve">, les autorités ont mis sur pied </w:t>
      </w:r>
      <w:r w:rsidRPr="00F75544">
        <w:rPr>
          <w:lang w:val="fr-FR"/>
        </w:rPr>
        <w:t xml:space="preserve">la </w:t>
      </w:r>
      <w:r w:rsidRPr="00422432">
        <w:rPr>
          <w:lang w:val="fr-FR"/>
        </w:rPr>
        <w:t>Commission indépendante d</w:t>
      </w:r>
      <w:r>
        <w:rPr>
          <w:lang w:val="fr-FR"/>
        </w:rPr>
        <w:t>’</w:t>
      </w:r>
      <w:r w:rsidRPr="00422432">
        <w:rPr>
          <w:lang w:val="fr-FR"/>
        </w:rPr>
        <w:t>enquête (INDECOM)</w:t>
      </w:r>
      <w:r>
        <w:rPr>
          <w:lang w:val="fr-FR"/>
        </w:rPr>
        <w:t xml:space="preserve"> en 2010. Depuis </w:t>
      </w:r>
      <w:r w:rsidR="00AA206B">
        <w:rPr>
          <w:lang w:val="fr-FR"/>
        </w:rPr>
        <w:t>l</w:t>
      </w:r>
      <w:r>
        <w:rPr>
          <w:lang w:val="fr-FR"/>
        </w:rPr>
        <w:t>a création</w:t>
      </w:r>
      <w:r w:rsidR="00AA206B">
        <w:rPr>
          <w:lang w:val="fr-FR"/>
        </w:rPr>
        <w:t xml:space="preserve"> </w:t>
      </w:r>
      <w:r>
        <w:rPr>
          <w:lang w:val="fr-FR"/>
        </w:rPr>
        <w:t>de la Commission</w:t>
      </w:r>
      <w:r w:rsidR="00AA206B">
        <w:rPr>
          <w:lang w:val="fr-FR"/>
        </w:rPr>
        <w:t xml:space="preserve">, son budget </w:t>
      </w:r>
      <w:r>
        <w:rPr>
          <w:lang w:val="fr-FR"/>
        </w:rPr>
        <w:t xml:space="preserve">est </w:t>
      </w:r>
      <w:r w:rsidR="00AA206B">
        <w:rPr>
          <w:lang w:val="fr-FR"/>
        </w:rPr>
        <w:t>passé de 86,4 </w:t>
      </w:r>
      <w:r>
        <w:rPr>
          <w:lang w:val="fr-FR"/>
        </w:rPr>
        <w:t>millions de dollars jamaïcains pour l’exercice budgétaire 2010-2011 à 288 millions de dollars jamaïcains pour l’exercice budgétaire 2011</w:t>
      </w:r>
      <w:r w:rsidR="00AA206B">
        <w:rPr>
          <w:lang w:val="fr-FR"/>
        </w:rPr>
        <w:noBreakHyphen/>
      </w:r>
      <w:r>
        <w:rPr>
          <w:lang w:val="fr-FR"/>
        </w:rPr>
        <w:t>2012. Ses effectifs ont également augmenté, passant de 28 personnes en</w:t>
      </w:r>
      <w:r w:rsidR="00AA206B">
        <w:rPr>
          <w:lang w:val="fr-FR"/>
        </w:rPr>
        <w:t xml:space="preserve"> août 2010 à 80 personnes au 30 </w:t>
      </w:r>
      <w:r>
        <w:rPr>
          <w:lang w:val="fr-FR"/>
        </w:rPr>
        <w:t>octobre 2012. Il convient aussi de noter que la Commission, qui a commencé à fonctionner avec un bureau à K</w:t>
      </w:r>
      <w:r w:rsidR="000C5202">
        <w:rPr>
          <w:lang w:val="fr-FR"/>
        </w:rPr>
        <w:t>ingston (la capitale), dispose</w:t>
      </w:r>
      <w:r>
        <w:rPr>
          <w:lang w:val="fr-FR"/>
        </w:rPr>
        <w:t xml:space="preserve"> aujourd’hui de deux autres bureaux dans les </w:t>
      </w:r>
      <w:r w:rsidR="000C5202">
        <w:rPr>
          <w:lang w:val="fr-FR"/>
        </w:rPr>
        <w:t>paroisses de Saint </w:t>
      </w:r>
      <w:r>
        <w:rPr>
          <w:lang w:val="fr-FR"/>
        </w:rPr>
        <w:t>James (</w:t>
      </w:r>
      <w:r w:rsidRPr="00BC62E7">
        <w:rPr>
          <w:lang w:val="fr-FR"/>
        </w:rPr>
        <w:t xml:space="preserve">Bureau régional de </w:t>
      </w:r>
      <w:r w:rsidR="001F0F83">
        <w:rPr>
          <w:lang w:val="fr-FR"/>
        </w:rPr>
        <w:t>l’o</w:t>
      </w:r>
      <w:r w:rsidRPr="00BC62E7">
        <w:rPr>
          <w:lang w:val="fr-FR"/>
        </w:rPr>
        <w:t>uest</w:t>
      </w:r>
      <w:r>
        <w:rPr>
          <w:lang w:val="fr-FR"/>
        </w:rPr>
        <w:t xml:space="preserve">) et de Manchester </w:t>
      </w:r>
      <w:r w:rsidR="00AA206B">
        <w:rPr>
          <w:lang w:val="fr-FR"/>
        </w:rPr>
        <w:t>(Bureau régional du centre). Si </w:t>
      </w:r>
      <w:r>
        <w:rPr>
          <w:lang w:val="fr-FR"/>
        </w:rPr>
        <w:t xml:space="preserve">le Gouvernement reste déterminé à doter la Commission des ressources adéquates, il se heurte toutefois à de fortes contraintes budgétaires dans cette entreprise. Il est donc reconnaissant </w:t>
      </w:r>
      <w:r w:rsidR="00FE78A2">
        <w:rPr>
          <w:lang w:val="fr-FR"/>
        </w:rPr>
        <w:t>a</w:t>
      </w:r>
      <w:r>
        <w:rPr>
          <w:lang w:val="fr-FR"/>
        </w:rPr>
        <w:t>u Ministère britannique du développement international (</w:t>
      </w:r>
      <w:r w:rsidR="00FE78A2">
        <w:rPr>
          <w:lang w:val="fr-FR"/>
        </w:rPr>
        <w:t xml:space="preserve">Department for International Development − DFID) de son aide </w:t>
      </w:r>
      <w:r>
        <w:rPr>
          <w:lang w:val="fr-FR"/>
        </w:rPr>
        <w:t>d’</w:t>
      </w:r>
      <w:r w:rsidR="00AA206B">
        <w:rPr>
          <w:lang w:val="fr-FR"/>
        </w:rPr>
        <w:t>un montant de 1,5 </w:t>
      </w:r>
      <w:r w:rsidR="00FE78A2">
        <w:rPr>
          <w:lang w:val="fr-FR"/>
        </w:rPr>
        <w:t>million de livres </w:t>
      </w:r>
      <w:r>
        <w:rPr>
          <w:lang w:val="fr-FR"/>
        </w:rPr>
        <w:t>sterling destinée à renforcer les capacités d’enquête de la Commission. Le versement de cette somme sera étalé sur trois a</w:t>
      </w:r>
      <w:r w:rsidR="00AA206B">
        <w:rPr>
          <w:lang w:val="fr-FR"/>
        </w:rPr>
        <w:t xml:space="preserve">ns, le premier </w:t>
      </w:r>
      <w:r w:rsidR="00FE78A2">
        <w:rPr>
          <w:lang w:val="fr-FR"/>
        </w:rPr>
        <w:t xml:space="preserve">paiement </w:t>
      </w:r>
      <w:r w:rsidR="00AA206B">
        <w:rPr>
          <w:lang w:val="fr-FR"/>
        </w:rPr>
        <w:t>ayant eu lieu en </w:t>
      </w:r>
      <w:r>
        <w:rPr>
          <w:lang w:val="fr-FR"/>
        </w:rPr>
        <w:t xml:space="preserve">juin 2012. Grâce à cet argent, la Commission s’est dotée d’un </w:t>
      </w:r>
      <w:r w:rsidRPr="00422432">
        <w:rPr>
          <w:lang w:val="fr-FR"/>
        </w:rPr>
        <w:t>microscope de comparaison</w:t>
      </w:r>
      <w:r>
        <w:rPr>
          <w:lang w:val="fr-FR"/>
        </w:rPr>
        <w:t xml:space="preserve">, a engagé un expert en balistique et a </w:t>
      </w:r>
      <w:r w:rsidR="003F7E9C">
        <w:rPr>
          <w:lang w:val="fr-FR"/>
        </w:rPr>
        <w:t xml:space="preserve">modernisé </w:t>
      </w:r>
      <w:r>
        <w:rPr>
          <w:lang w:val="fr-FR"/>
        </w:rPr>
        <w:t xml:space="preserve">un laboratoire interne. Les fonds serviront également à former le personnel pour qu’il </w:t>
      </w:r>
      <w:r w:rsidR="00291872">
        <w:rPr>
          <w:lang w:val="fr-FR"/>
        </w:rPr>
        <w:t xml:space="preserve">acquière </w:t>
      </w:r>
      <w:r>
        <w:rPr>
          <w:lang w:val="fr-FR"/>
        </w:rPr>
        <w:t xml:space="preserve">des compétences dans les domaines des techniques et de la gestion d’enquêtes. </w:t>
      </w:r>
      <w:r w:rsidRPr="000C4A61">
        <w:t>Cette</w:t>
      </w:r>
      <w:r w:rsidR="000C4A61">
        <w:t> </w:t>
      </w:r>
      <w:r w:rsidRPr="000C4A61">
        <w:t>formation</w:t>
      </w:r>
      <w:r>
        <w:rPr>
          <w:lang w:val="fr-FR"/>
        </w:rPr>
        <w:t xml:space="preserve"> devrait commencer prochainement </w:t>
      </w:r>
      <w:r w:rsidR="000C4A61">
        <w:rPr>
          <w:lang w:val="fr-FR"/>
        </w:rPr>
        <w:t xml:space="preserve">dispensée </w:t>
      </w:r>
      <w:r>
        <w:rPr>
          <w:lang w:val="fr-FR"/>
        </w:rPr>
        <w:t xml:space="preserve">en collaboration avec </w:t>
      </w:r>
      <w:r w:rsidRPr="00422432">
        <w:rPr>
          <w:lang w:val="fr-FR"/>
        </w:rPr>
        <w:t>l</w:t>
      </w:r>
      <w:r>
        <w:rPr>
          <w:lang w:val="fr-FR"/>
        </w:rPr>
        <w:t>’</w:t>
      </w:r>
      <w:r w:rsidRPr="00422432">
        <w:rPr>
          <w:lang w:val="fr-FR"/>
        </w:rPr>
        <w:t>Institut de gestion du développement national</w:t>
      </w:r>
      <w:r>
        <w:rPr>
          <w:lang w:val="fr-FR"/>
        </w:rPr>
        <w:t xml:space="preserve"> (Jamaïque) et l’Un</w:t>
      </w:r>
      <w:r w:rsidR="000C4A61">
        <w:rPr>
          <w:lang w:val="fr-FR"/>
        </w:rPr>
        <w:t>iversité de Portsmouth (Royaume</w:t>
      </w:r>
      <w:r w:rsidR="000C4A61">
        <w:rPr>
          <w:lang w:val="fr-FR"/>
        </w:rPr>
        <w:noBreakHyphen/>
      </w:r>
      <w:r>
        <w:rPr>
          <w:lang w:val="fr-FR"/>
        </w:rPr>
        <w:t>Uni).</w:t>
      </w:r>
    </w:p>
    <w:p w:rsidR="00A30730" w:rsidRDefault="00A30730" w:rsidP="00A30730">
      <w:pPr>
        <w:pStyle w:val="SingleTxtG"/>
        <w:rPr>
          <w:lang w:val="fr-FR"/>
        </w:rPr>
      </w:pPr>
      <w:r>
        <w:rPr>
          <w:lang w:val="fr-FR"/>
        </w:rPr>
        <w:t>6.</w:t>
      </w:r>
      <w:r>
        <w:rPr>
          <w:lang w:val="fr-FR"/>
        </w:rPr>
        <w:tab/>
        <w:t xml:space="preserve">Outre les actions en matière d’enquête, les autorités continuent </w:t>
      </w:r>
      <w:r w:rsidR="003C6CAF">
        <w:rPr>
          <w:lang w:val="fr-FR"/>
        </w:rPr>
        <w:t>de</w:t>
      </w:r>
      <w:r>
        <w:rPr>
          <w:lang w:val="fr-FR"/>
        </w:rPr>
        <w:t xml:space="preserve"> renforcer les capacités de poursuites du système de justice afin de </w:t>
      </w:r>
      <w:r w:rsidR="003C6CAF">
        <w:rPr>
          <w:lang w:val="fr-FR"/>
        </w:rPr>
        <w:t xml:space="preserve">faire en sorte </w:t>
      </w:r>
      <w:r>
        <w:rPr>
          <w:lang w:val="fr-FR"/>
        </w:rPr>
        <w:t xml:space="preserve">que ce dernier </w:t>
      </w:r>
      <w:r w:rsidR="003C6CAF">
        <w:rPr>
          <w:lang w:val="fr-FR"/>
        </w:rPr>
        <w:t xml:space="preserve">soit </w:t>
      </w:r>
      <w:r>
        <w:rPr>
          <w:lang w:val="fr-FR"/>
        </w:rPr>
        <w:t>à</w:t>
      </w:r>
      <w:r w:rsidR="00623A1C">
        <w:rPr>
          <w:lang w:val="fr-FR"/>
        </w:rPr>
        <w:t> </w:t>
      </w:r>
      <w:r>
        <w:rPr>
          <w:lang w:val="fr-FR"/>
        </w:rPr>
        <w:t xml:space="preserve">même </w:t>
      </w:r>
      <w:r w:rsidR="00623A1C">
        <w:rPr>
          <w:lang w:val="fr-FR"/>
        </w:rPr>
        <w:t xml:space="preserve">de s’acquitter effectivement de </w:t>
      </w:r>
      <w:r>
        <w:rPr>
          <w:lang w:val="fr-FR"/>
        </w:rPr>
        <w:t>ses f</w:t>
      </w:r>
      <w:r w:rsidR="00126915">
        <w:rPr>
          <w:lang w:val="fr-FR"/>
        </w:rPr>
        <w:t>onctions de façon plus efficace. En </w:t>
      </w:r>
      <w:r>
        <w:rPr>
          <w:lang w:val="fr-FR"/>
        </w:rPr>
        <w:t xml:space="preserve">vue de mettre un terme à l’impunité, le Gouvernement continue </w:t>
      </w:r>
      <w:r w:rsidR="00B512C8">
        <w:rPr>
          <w:lang w:val="fr-FR"/>
        </w:rPr>
        <w:t xml:space="preserve">de prendre des mesures pour que les policiers </w:t>
      </w:r>
      <w:r>
        <w:rPr>
          <w:lang w:val="fr-FR"/>
        </w:rPr>
        <w:t>impliqués dans des exécutions extrajudiciaires et qui ont fui le pays soient extradés afin qu’ils répondent de leurs actes. Ainsi, un agent de police a été extradé le 15</w:t>
      </w:r>
      <w:r w:rsidR="004A79C6">
        <w:rPr>
          <w:lang w:val="fr-FR"/>
        </w:rPr>
        <w:t> </w:t>
      </w:r>
      <w:r>
        <w:rPr>
          <w:lang w:val="fr-FR"/>
        </w:rPr>
        <w:t>juin</w:t>
      </w:r>
      <w:r w:rsidR="001172CF">
        <w:rPr>
          <w:lang w:val="fr-FR"/>
        </w:rPr>
        <w:t> </w:t>
      </w:r>
      <w:r>
        <w:rPr>
          <w:lang w:val="fr-FR"/>
        </w:rPr>
        <w:t xml:space="preserve">2012 pour </w:t>
      </w:r>
      <w:r w:rsidR="003E5C22">
        <w:rPr>
          <w:lang w:val="fr-FR"/>
        </w:rPr>
        <w:t>répondre d’</w:t>
      </w:r>
      <w:r>
        <w:rPr>
          <w:lang w:val="fr-FR"/>
        </w:rPr>
        <w:t>accusations de meurtre. En</w:t>
      </w:r>
      <w:r w:rsidR="001172CF">
        <w:rPr>
          <w:lang w:val="fr-FR"/>
        </w:rPr>
        <w:t> </w:t>
      </w:r>
      <w:r>
        <w:rPr>
          <w:lang w:val="fr-FR"/>
        </w:rPr>
        <w:t xml:space="preserve">ce qui concerne </w:t>
      </w:r>
      <w:r w:rsidR="001172CF">
        <w:rPr>
          <w:lang w:val="fr-FR"/>
        </w:rPr>
        <w:t>l</w:t>
      </w:r>
      <w:r>
        <w:rPr>
          <w:lang w:val="fr-FR"/>
        </w:rPr>
        <w:t>es condamnations, il convient de noter que l’ancien policier Rushon</w:t>
      </w:r>
      <w:r w:rsidR="001172CF">
        <w:rPr>
          <w:lang w:val="fr-FR"/>
        </w:rPr>
        <w:t> </w:t>
      </w:r>
      <w:r>
        <w:rPr>
          <w:lang w:val="fr-FR"/>
        </w:rPr>
        <w:t>Hamilton a été condamné pour le meurtre d’</w:t>
      </w:r>
      <w:r w:rsidR="001172CF">
        <w:rPr>
          <w:lang w:val="fr-FR"/>
        </w:rPr>
        <w:t>une jeune fille de 14 </w:t>
      </w:r>
      <w:r>
        <w:rPr>
          <w:lang w:val="fr-FR"/>
        </w:rPr>
        <w:t>ans en octobre 2008. Ce</w:t>
      </w:r>
      <w:r w:rsidR="001172CF">
        <w:rPr>
          <w:lang w:val="fr-FR"/>
        </w:rPr>
        <w:t> </w:t>
      </w:r>
      <w:r w:rsidR="003407FC">
        <w:rPr>
          <w:lang w:val="fr-FR"/>
        </w:rPr>
        <w:t xml:space="preserve">verdict </w:t>
      </w:r>
      <w:r>
        <w:rPr>
          <w:lang w:val="fr-FR"/>
        </w:rPr>
        <w:t xml:space="preserve">a été rendu par un jury </w:t>
      </w:r>
      <w:r w:rsidR="003407FC">
        <w:rPr>
          <w:lang w:val="fr-FR"/>
        </w:rPr>
        <w:t xml:space="preserve">de 12 membres </w:t>
      </w:r>
      <w:r>
        <w:rPr>
          <w:lang w:val="fr-FR"/>
        </w:rPr>
        <w:t>le 25</w:t>
      </w:r>
      <w:r w:rsidR="003407FC">
        <w:rPr>
          <w:lang w:val="fr-FR"/>
        </w:rPr>
        <w:t> </w:t>
      </w:r>
      <w:r>
        <w:rPr>
          <w:lang w:val="fr-FR"/>
        </w:rPr>
        <w:t>oc</w:t>
      </w:r>
      <w:r w:rsidR="00E509B7">
        <w:rPr>
          <w:lang w:val="fr-FR"/>
        </w:rPr>
        <w:t>tobre </w:t>
      </w:r>
      <w:r>
        <w:rPr>
          <w:lang w:val="fr-FR"/>
        </w:rPr>
        <w:t>2011.</w:t>
      </w:r>
    </w:p>
    <w:p w:rsidR="00A30730" w:rsidRDefault="00A30730" w:rsidP="00A30730">
      <w:pPr>
        <w:pStyle w:val="SingleTxtG"/>
        <w:rPr>
          <w:lang w:val="fr-FR"/>
        </w:rPr>
      </w:pPr>
      <w:r>
        <w:rPr>
          <w:lang w:val="fr-FR"/>
        </w:rPr>
        <w:t>7.</w:t>
      </w:r>
      <w:r>
        <w:rPr>
          <w:lang w:val="fr-FR"/>
        </w:rPr>
        <w:tab/>
        <w:t xml:space="preserve">Dans leurs </w:t>
      </w:r>
      <w:r w:rsidR="00DF694A">
        <w:rPr>
          <w:lang w:val="fr-FR"/>
        </w:rPr>
        <w:t xml:space="preserve">contacts </w:t>
      </w:r>
      <w:r>
        <w:rPr>
          <w:lang w:val="fr-FR"/>
        </w:rPr>
        <w:t xml:space="preserve">avec le public, les </w:t>
      </w:r>
      <w:r w:rsidRPr="00D0672E">
        <w:rPr>
          <w:lang w:val="fr-FR"/>
        </w:rPr>
        <w:t xml:space="preserve">forces de police jamaïcaines </w:t>
      </w:r>
      <w:r>
        <w:rPr>
          <w:lang w:val="fr-FR"/>
        </w:rPr>
        <w:t>continuent de suivre la politique relative à l’usage de la force.</w:t>
      </w:r>
    </w:p>
    <w:p w:rsidR="00A30730" w:rsidRPr="00DF694A" w:rsidRDefault="00DF694A" w:rsidP="00DF694A">
      <w:pPr>
        <w:pStyle w:val="H1G"/>
        <w:rPr>
          <w:spacing w:val="-2"/>
          <w:lang w:val="fr-FR"/>
        </w:rPr>
      </w:pPr>
      <w:r>
        <w:rPr>
          <w:lang w:val="fr-FR"/>
        </w:rPr>
        <w:tab/>
      </w:r>
      <w:r>
        <w:rPr>
          <w:lang w:val="fr-FR"/>
        </w:rPr>
        <w:tab/>
      </w:r>
      <w:r w:rsidR="00A30730" w:rsidRPr="00DF694A">
        <w:rPr>
          <w:spacing w:val="-2"/>
          <w:lang w:val="fr-FR"/>
        </w:rPr>
        <w:t>Réponse aux questions posées au paragraphe 23</w:t>
      </w:r>
      <w:r>
        <w:rPr>
          <w:spacing w:val="-2"/>
          <w:lang w:val="fr-FR"/>
        </w:rPr>
        <w:t xml:space="preserve"> des observations finales</w:t>
      </w:r>
    </w:p>
    <w:p w:rsidR="00A30730" w:rsidRDefault="00A30730" w:rsidP="00A30730">
      <w:pPr>
        <w:pStyle w:val="SingleTxtG"/>
        <w:rPr>
          <w:lang w:val="fr-FR"/>
        </w:rPr>
      </w:pPr>
      <w:r>
        <w:rPr>
          <w:lang w:val="fr-FR"/>
        </w:rPr>
        <w:t>8.</w:t>
      </w:r>
      <w:r>
        <w:rPr>
          <w:lang w:val="fr-FR"/>
        </w:rPr>
        <w:tab/>
        <w:t xml:space="preserve">Tout est mis en œuvre pour lutter contre le surpeuplement des prisons et des lieux de détention. On peut ainsi citer l’ouverture, en face du </w:t>
      </w:r>
      <w:r w:rsidRPr="00422432">
        <w:rPr>
          <w:lang w:val="fr-FR"/>
        </w:rPr>
        <w:t>centre pénitentiaire pour adultes de Tower Street</w:t>
      </w:r>
      <w:r>
        <w:rPr>
          <w:lang w:val="fr-FR"/>
        </w:rPr>
        <w:t xml:space="preserve">, d’un centre d’hébergement </w:t>
      </w:r>
      <w:r w:rsidR="00353268">
        <w:rPr>
          <w:lang w:val="fr-FR"/>
        </w:rPr>
        <w:t xml:space="preserve">pour hommes </w:t>
      </w:r>
      <w:r>
        <w:rPr>
          <w:lang w:val="fr-FR"/>
        </w:rPr>
        <w:t>à faible risque pouvant accueillir 40</w:t>
      </w:r>
      <w:r w:rsidR="00353268">
        <w:rPr>
          <w:lang w:val="fr-FR"/>
        </w:rPr>
        <w:t xml:space="preserve"> personnes, </w:t>
      </w:r>
      <w:r>
        <w:rPr>
          <w:lang w:val="fr-FR"/>
        </w:rPr>
        <w:t>ainsi que le transfèrement de prisonniers à faible risque d’établissements de haute sécurité à des établissements de moindre sécurité sous-peuplés, comme les prisons de Tamarind</w:t>
      </w:r>
      <w:r w:rsidR="003D72C0">
        <w:rPr>
          <w:lang w:val="fr-FR"/>
        </w:rPr>
        <w:t> </w:t>
      </w:r>
      <w:r>
        <w:rPr>
          <w:lang w:val="fr-FR"/>
        </w:rPr>
        <w:t>Farm et Richmond</w:t>
      </w:r>
      <w:r w:rsidR="003D72C0">
        <w:rPr>
          <w:lang w:val="fr-FR"/>
        </w:rPr>
        <w:t> </w:t>
      </w:r>
      <w:r>
        <w:rPr>
          <w:lang w:val="fr-FR"/>
        </w:rPr>
        <w:t>Farm, ou encore de New</w:t>
      </w:r>
      <w:r w:rsidR="003D72C0">
        <w:rPr>
          <w:lang w:val="fr-FR"/>
        </w:rPr>
        <w:t> </w:t>
      </w:r>
      <w:r>
        <w:rPr>
          <w:lang w:val="fr-FR"/>
        </w:rPr>
        <w:t xml:space="preserve">Broughton pour les détenus plus âgés. Une des grandes difficultés reste toutefois qu’un grand nombre de prisonniers sont considérés comme présentant un risque élevé et qu’ils ne peuvent donc pas être transférés vers </w:t>
      </w:r>
      <w:r w:rsidR="00417FE2">
        <w:rPr>
          <w:lang w:val="fr-FR"/>
        </w:rPr>
        <w:t xml:space="preserve">certains </w:t>
      </w:r>
      <w:r>
        <w:rPr>
          <w:lang w:val="fr-FR"/>
        </w:rPr>
        <w:t>des établi</w:t>
      </w:r>
      <w:r w:rsidR="003C58BC">
        <w:rPr>
          <w:lang w:val="fr-FR"/>
        </w:rPr>
        <w:t>ssements de moindre sécurité. À </w:t>
      </w:r>
      <w:r>
        <w:rPr>
          <w:lang w:val="fr-FR"/>
        </w:rPr>
        <w:t>cet égard, le Gouvernement continue de réfléchir à la possibilité de construire de nouvelles prisons. Il convient toutefois de souligner que les capacités du Gouvernement en la matière pourraient être limitées à</w:t>
      </w:r>
      <w:r w:rsidR="00A870FA">
        <w:rPr>
          <w:lang w:val="fr-FR"/>
        </w:rPr>
        <w:t> </w:t>
      </w:r>
      <w:r>
        <w:rPr>
          <w:lang w:val="fr-FR"/>
        </w:rPr>
        <w:t>court terme</w:t>
      </w:r>
      <w:r w:rsidR="0091720D">
        <w:rPr>
          <w:lang w:val="fr-FR"/>
        </w:rPr>
        <w:t xml:space="preserve">, vu </w:t>
      </w:r>
      <w:r>
        <w:rPr>
          <w:lang w:val="fr-FR"/>
        </w:rPr>
        <w:t>par la gravité de la situation économiq</w:t>
      </w:r>
      <w:r w:rsidR="00025034">
        <w:rPr>
          <w:lang w:val="fr-FR"/>
        </w:rPr>
        <w:t>ue et financière que connaît le </w:t>
      </w:r>
      <w:r>
        <w:rPr>
          <w:lang w:val="fr-FR"/>
        </w:rPr>
        <w:t>pays.</w:t>
      </w:r>
    </w:p>
    <w:p w:rsidR="00A30730" w:rsidRDefault="00A30730" w:rsidP="00A30730">
      <w:pPr>
        <w:pStyle w:val="SingleTxtG"/>
        <w:rPr>
          <w:lang w:val="fr-FR"/>
        </w:rPr>
      </w:pPr>
      <w:r>
        <w:rPr>
          <w:lang w:val="fr-FR"/>
        </w:rPr>
        <w:t>9.</w:t>
      </w:r>
      <w:r>
        <w:rPr>
          <w:lang w:val="fr-FR"/>
        </w:rPr>
        <w:tab/>
        <w:t xml:space="preserve">Il existe déjà un système </w:t>
      </w:r>
      <w:r w:rsidRPr="0090447F">
        <w:rPr>
          <w:lang w:val="fr-FR"/>
        </w:rPr>
        <w:t>permettant de sép</w:t>
      </w:r>
      <w:r>
        <w:rPr>
          <w:lang w:val="fr-FR"/>
        </w:rPr>
        <w:t>arer les prévenus des condamnés. On</w:t>
      </w:r>
      <w:r w:rsidR="000A4187">
        <w:rPr>
          <w:lang w:val="fr-FR"/>
        </w:rPr>
        <w:t> </w:t>
      </w:r>
      <w:r>
        <w:rPr>
          <w:lang w:val="fr-FR"/>
        </w:rPr>
        <w:t xml:space="preserve">notera que les prévenus sont détenus </w:t>
      </w:r>
      <w:r w:rsidR="000A4187">
        <w:rPr>
          <w:lang w:val="fr-FR"/>
        </w:rPr>
        <w:t xml:space="preserve">à la maison d’arrêt </w:t>
      </w:r>
      <w:r>
        <w:rPr>
          <w:lang w:val="fr-FR"/>
        </w:rPr>
        <w:t xml:space="preserve">Horizon ou dans </w:t>
      </w:r>
      <w:r w:rsidR="004B5C17">
        <w:rPr>
          <w:lang w:val="fr-FR"/>
        </w:rPr>
        <w:t>l</w:t>
      </w:r>
      <w:r>
        <w:rPr>
          <w:lang w:val="fr-FR"/>
        </w:rPr>
        <w:t>es locaux de garde à vue de la police jusqu’à ce qu’ils soient libérés sous caution ou condamnés. Les</w:t>
      </w:r>
      <w:r w:rsidR="004B5C17">
        <w:rPr>
          <w:lang w:val="fr-FR"/>
        </w:rPr>
        <w:t xml:space="preserve"> hommes </w:t>
      </w:r>
      <w:r>
        <w:rPr>
          <w:lang w:val="fr-FR"/>
        </w:rPr>
        <w:t xml:space="preserve">condamnés sont détenus dans les établissements </w:t>
      </w:r>
      <w:r w:rsidR="00CB0CBC">
        <w:rPr>
          <w:lang w:val="fr-FR"/>
        </w:rPr>
        <w:t xml:space="preserve">pénitentiaires </w:t>
      </w:r>
      <w:r>
        <w:rPr>
          <w:lang w:val="fr-FR"/>
        </w:rPr>
        <w:t xml:space="preserve">suivants: </w:t>
      </w:r>
      <w:r w:rsidR="00AD74F9">
        <w:rPr>
          <w:lang w:val="fr-FR"/>
        </w:rPr>
        <w:t>Tower </w:t>
      </w:r>
      <w:r w:rsidRPr="00C947B6">
        <w:rPr>
          <w:lang w:val="fr-FR"/>
        </w:rPr>
        <w:t>Street, St</w:t>
      </w:r>
      <w:r w:rsidR="00AD74F9">
        <w:rPr>
          <w:lang w:val="fr-FR"/>
        </w:rPr>
        <w:t>. Catherine, Richmond Farm, Tamarind </w:t>
      </w:r>
      <w:r w:rsidRPr="00C947B6">
        <w:rPr>
          <w:lang w:val="fr-FR"/>
        </w:rPr>
        <w:t xml:space="preserve">Farm </w:t>
      </w:r>
      <w:r>
        <w:rPr>
          <w:lang w:val="fr-FR"/>
        </w:rPr>
        <w:t>et</w:t>
      </w:r>
      <w:r w:rsidR="00AD74F9">
        <w:rPr>
          <w:lang w:val="fr-FR"/>
        </w:rPr>
        <w:t xml:space="preserve"> New </w:t>
      </w:r>
      <w:r w:rsidRPr="00C947B6">
        <w:rPr>
          <w:lang w:val="fr-FR"/>
        </w:rPr>
        <w:t>Broughton</w:t>
      </w:r>
      <w:r>
        <w:rPr>
          <w:lang w:val="fr-FR"/>
        </w:rPr>
        <w:t xml:space="preserve">. </w:t>
      </w:r>
      <w:r w:rsidR="00253308">
        <w:rPr>
          <w:lang w:val="fr-FR"/>
        </w:rPr>
        <w:t>Fort Augusta accueille l</w:t>
      </w:r>
      <w:r>
        <w:rPr>
          <w:lang w:val="fr-FR"/>
        </w:rPr>
        <w:t>es</w:t>
      </w:r>
      <w:r w:rsidR="00253308">
        <w:rPr>
          <w:lang w:val="fr-FR"/>
        </w:rPr>
        <w:t xml:space="preserve"> </w:t>
      </w:r>
      <w:r w:rsidR="00CE56F7">
        <w:rPr>
          <w:lang w:val="fr-FR"/>
        </w:rPr>
        <w:t>condamnées adultes</w:t>
      </w:r>
      <w:r>
        <w:rPr>
          <w:lang w:val="fr-FR"/>
        </w:rPr>
        <w:t xml:space="preserve">, </w:t>
      </w:r>
      <w:r w:rsidR="00CE56F7">
        <w:rPr>
          <w:lang w:val="fr-FR"/>
        </w:rPr>
        <w:t xml:space="preserve">ainsi que </w:t>
      </w:r>
      <w:r>
        <w:rPr>
          <w:lang w:val="fr-FR"/>
        </w:rPr>
        <w:t xml:space="preserve">les filles en détention provisoire </w:t>
      </w:r>
      <w:r w:rsidR="00CE56F7">
        <w:rPr>
          <w:lang w:val="fr-FR"/>
        </w:rPr>
        <w:t xml:space="preserve">ou placées </w:t>
      </w:r>
      <w:r>
        <w:rPr>
          <w:lang w:val="fr-FR"/>
        </w:rPr>
        <w:t xml:space="preserve">sur décision de justice, dans des dortoirs séparés toutefois. </w:t>
      </w:r>
      <w:r w:rsidR="009C2775">
        <w:rPr>
          <w:lang w:val="fr-FR"/>
        </w:rPr>
        <w:t>Il est envisagé</w:t>
      </w:r>
      <w:r>
        <w:rPr>
          <w:lang w:val="fr-FR"/>
        </w:rPr>
        <w:t xml:space="preserve"> de reloger ces deux types de populations dans l’établissement de South Camp Road, une fois l’établissement de Fort</w:t>
      </w:r>
      <w:r w:rsidR="00C57C52">
        <w:rPr>
          <w:lang w:val="fr-FR"/>
        </w:rPr>
        <w:t> </w:t>
      </w:r>
      <w:r>
        <w:rPr>
          <w:lang w:val="fr-FR"/>
        </w:rPr>
        <w:t xml:space="preserve">Augusta vendu. Malgré </w:t>
      </w:r>
      <w:r w:rsidR="00D02015">
        <w:rPr>
          <w:lang w:val="fr-FR"/>
        </w:rPr>
        <w:t>d</w:t>
      </w:r>
      <w:r>
        <w:rPr>
          <w:lang w:val="fr-FR"/>
        </w:rPr>
        <w:t xml:space="preserve">es ressources financières limitées, le Gouvernement est sur le point de rénover </w:t>
      </w:r>
      <w:r w:rsidR="00D02015">
        <w:rPr>
          <w:lang w:val="fr-FR"/>
        </w:rPr>
        <w:t>l’</w:t>
      </w:r>
      <w:r>
        <w:rPr>
          <w:lang w:val="fr-FR"/>
        </w:rPr>
        <w:t xml:space="preserve">établissement </w:t>
      </w:r>
      <w:r w:rsidR="00D02015">
        <w:rPr>
          <w:lang w:val="fr-FR"/>
        </w:rPr>
        <w:t xml:space="preserve">de South Camp Road </w:t>
      </w:r>
      <w:r>
        <w:rPr>
          <w:lang w:val="fr-FR"/>
        </w:rPr>
        <w:t xml:space="preserve">afin que les filles et les femmes n’y partagent pas </w:t>
      </w:r>
      <w:r w:rsidR="00C70009">
        <w:rPr>
          <w:lang w:val="fr-FR"/>
        </w:rPr>
        <w:t xml:space="preserve">les mêmes </w:t>
      </w:r>
      <w:r>
        <w:rPr>
          <w:lang w:val="fr-FR"/>
        </w:rPr>
        <w:t>locaux. Il poursuit ses efforts pour mettre sur pied des centres pénitentiaires et des centres de détention provisoire pour les filles. Les</w:t>
      </w:r>
      <w:r w:rsidR="00EA4001">
        <w:rPr>
          <w:lang w:val="fr-FR"/>
        </w:rPr>
        <w:t> </w:t>
      </w:r>
      <w:r>
        <w:rPr>
          <w:lang w:val="fr-FR"/>
        </w:rPr>
        <w:t>garçons sont toujours détenus au centre de détention provisoire de Metcalf</w:t>
      </w:r>
      <w:r w:rsidR="000B53AA">
        <w:rPr>
          <w:lang w:val="fr-FR"/>
        </w:rPr>
        <w:t> </w:t>
      </w:r>
      <w:r>
        <w:rPr>
          <w:lang w:val="fr-FR"/>
        </w:rPr>
        <w:t xml:space="preserve">Street. Afin de réduire la durée de </w:t>
      </w:r>
      <w:r w:rsidR="000B53AA">
        <w:rPr>
          <w:lang w:val="fr-FR"/>
        </w:rPr>
        <w:t xml:space="preserve">garde à vue </w:t>
      </w:r>
      <w:r>
        <w:rPr>
          <w:lang w:val="fr-FR"/>
        </w:rPr>
        <w:t xml:space="preserve">des enfants dans des locaux de la police, on </w:t>
      </w:r>
      <w:r w:rsidR="00693C22">
        <w:rPr>
          <w:lang w:val="fr-FR"/>
        </w:rPr>
        <w:t xml:space="preserve">s’efforce de faire examiner </w:t>
      </w:r>
      <w:r>
        <w:rPr>
          <w:lang w:val="fr-FR"/>
        </w:rPr>
        <w:t xml:space="preserve">les affaires concernant des enfants </w:t>
      </w:r>
      <w:r w:rsidR="00BD638D">
        <w:rPr>
          <w:lang w:val="fr-FR"/>
        </w:rPr>
        <w:t xml:space="preserve">par </w:t>
      </w:r>
      <w:r>
        <w:rPr>
          <w:lang w:val="fr-FR"/>
        </w:rPr>
        <w:t>le tribu</w:t>
      </w:r>
      <w:r w:rsidR="00BD638D">
        <w:rPr>
          <w:lang w:val="fr-FR"/>
        </w:rPr>
        <w:t>nal</w:t>
      </w:r>
      <w:r>
        <w:rPr>
          <w:lang w:val="fr-FR"/>
        </w:rPr>
        <w:t xml:space="preserve"> d’instance </w:t>
      </w:r>
      <w:r w:rsidR="00BD638D">
        <w:rPr>
          <w:lang w:val="fr-FR"/>
        </w:rPr>
        <w:t>(</w:t>
      </w:r>
      <w:r w:rsidR="00BD638D" w:rsidRPr="00842D04">
        <w:rPr>
          <w:i/>
          <w:lang w:val="fr-FR"/>
        </w:rPr>
        <w:t>Resident</w:t>
      </w:r>
      <w:r w:rsidR="00BD638D">
        <w:rPr>
          <w:lang w:val="fr-FR"/>
        </w:rPr>
        <w:t xml:space="preserve"> </w:t>
      </w:r>
      <w:r w:rsidR="00BD638D" w:rsidRPr="00842D04">
        <w:rPr>
          <w:i/>
          <w:lang w:val="fr-FR"/>
        </w:rPr>
        <w:t>Magistrate</w:t>
      </w:r>
      <w:r w:rsidR="00BD638D">
        <w:rPr>
          <w:lang w:val="fr-FR"/>
        </w:rPr>
        <w:t xml:space="preserve"> </w:t>
      </w:r>
      <w:r w:rsidR="00BD638D" w:rsidRPr="00842D04">
        <w:rPr>
          <w:i/>
          <w:lang w:val="fr-FR"/>
        </w:rPr>
        <w:t>Court</w:t>
      </w:r>
      <w:r w:rsidR="00BD638D">
        <w:rPr>
          <w:lang w:val="fr-FR"/>
        </w:rPr>
        <w:t>) à huis </w:t>
      </w:r>
      <w:r>
        <w:rPr>
          <w:lang w:val="fr-FR"/>
        </w:rPr>
        <w:t>clos lorsque le tribunal pour enfants ne siège pas</w:t>
      </w:r>
      <w:r w:rsidR="00BD638D">
        <w:rPr>
          <w:lang w:val="fr-FR"/>
        </w:rPr>
        <w:t>, l</w:t>
      </w:r>
      <w:r>
        <w:rPr>
          <w:lang w:val="fr-FR"/>
        </w:rPr>
        <w:t xml:space="preserve">’objectif </w:t>
      </w:r>
      <w:r w:rsidR="00BD638D">
        <w:rPr>
          <w:lang w:val="fr-FR"/>
        </w:rPr>
        <w:t xml:space="preserve">étant d’obtenir une </w:t>
      </w:r>
      <w:r>
        <w:rPr>
          <w:lang w:val="fr-FR"/>
        </w:rPr>
        <w:t xml:space="preserve">ordonnance de </w:t>
      </w:r>
      <w:r w:rsidR="00BD638D">
        <w:rPr>
          <w:lang w:val="fr-FR"/>
        </w:rPr>
        <w:t xml:space="preserve">mise </w:t>
      </w:r>
      <w:r>
        <w:rPr>
          <w:lang w:val="fr-FR"/>
        </w:rPr>
        <w:t xml:space="preserve">en détention provisoire </w:t>
      </w:r>
      <w:r w:rsidR="00EB2665">
        <w:rPr>
          <w:lang w:val="fr-FR"/>
        </w:rPr>
        <w:t xml:space="preserve">dès que </w:t>
      </w:r>
      <w:r>
        <w:rPr>
          <w:lang w:val="fr-FR"/>
        </w:rPr>
        <w:t xml:space="preserve">possible après l’arrestation. Les autorités s’efforcent également de mettre en œuvre le </w:t>
      </w:r>
      <w:r w:rsidRPr="00422432">
        <w:rPr>
          <w:lang w:val="fr-FR"/>
        </w:rPr>
        <w:t>Plan national d</w:t>
      </w:r>
      <w:r>
        <w:rPr>
          <w:lang w:val="fr-FR"/>
        </w:rPr>
        <w:t>’</w:t>
      </w:r>
      <w:r w:rsidRPr="00422432">
        <w:rPr>
          <w:lang w:val="fr-FR"/>
        </w:rPr>
        <w:t xml:space="preserve">action en faveur de la justice pour </w:t>
      </w:r>
      <w:r w:rsidR="00842D04">
        <w:rPr>
          <w:lang w:val="fr-FR"/>
        </w:rPr>
        <w:t xml:space="preserve">mineurs </w:t>
      </w:r>
      <w:r>
        <w:rPr>
          <w:lang w:val="fr-FR"/>
        </w:rPr>
        <w:t>(2010</w:t>
      </w:r>
      <w:r w:rsidR="004A3C0E">
        <w:rPr>
          <w:lang w:val="fr-FR"/>
        </w:rPr>
        <w:noBreakHyphen/>
      </w:r>
      <w:r>
        <w:rPr>
          <w:lang w:val="fr-FR"/>
        </w:rPr>
        <w:t xml:space="preserve">2014), </w:t>
      </w:r>
      <w:r w:rsidR="004A3C0E">
        <w:rPr>
          <w:lang w:val="fr-FR"/>
        </w:rPr>
        <w:t xml:space="preserve">qui vise à apporter une </w:t>
      </w:r>
      <w:r>
        <w:rPr>
          <w:lang w:val="fr-FR"/>
        </w:rPr>
        <w:t xml:space="preserve">réponse multisectorielle aux besoins des enfants en conflit avec la loi </w:t>
      </w:r>
      <w:r w:rsidR="002C5C17">
        <w:rPr>
          <w:lang w:val="fr-FR"/>
        </w:rPr>
        <w:t xml:space="preserve">et </w:t>
      </w:r>
      <w:r>
        <w:rPr>
          <w:lang w:val="fr-FR"/>
        </w:rPr>
        <w:t xml:space="preserve">de ceux </w:t>
      </w:r>
      <w:r w:rsidR="002C5C17">
        <w:rPr>
          <w:lang w:val="fr-FR"/>
        </w:rPr>
        <w:t>relev</w:t>
      </w:r>
      <w:r>
        <w:rPr>
          <w:lang w:val="fr-FR"/>
        </w:rPr>
        <w:t xml:space="preserve">ant </w:t>
      </w:r>
      <w:r w:rsidR="002C5C17">
        <w:rPr>
          <w:lang w:val="fr-FR"/>
        </w:rPr>
        <w:t xml:space="preserve">d’une </w:t>
      </w:r>
      <w:r w:rsidR="009A0494">
        <w:rPr>
          <w:lang w:val="fr-FR"/>
        </w:rPr>
        <w:t xml:space="preserve">prise en charge et d’une </w:t>
      </w:r>
      <w:r w:rsidR="002C5C17">
        <w:rPr>
          <w:lang w:val="fr-FR"/>
        </w:rPr>
        <w:t>protection</w:t>
      </w:r>
      <w:r w:rsidR="007B6E9B">
        <w:rPr>
          <w:lang w:val="fr-FR"/>
        </w:rPr>
        <w:t>. Le </w:t>
      </w:r>
      <w:r>
        <w:rPr>
          <w:lang w:val="fr-FR"/>
        </w:rPr>
        <w:t xml:space="preserve">Plan prévoit </w:t>
      </w:r>
      <w:r w:rsidR="009C4558">
        <w:rPr>
          <w:lang w:val="fr-FR"/>
        </w:rPr>
        <w:t xml:space="preserve">aussi </w:t>
      </w:r>
      <w:r>
        <w:rPr>
          <w:lang w:val="fr-FR"/>
        </w:rPr>
        <w:t>un examen des autres possibilités de sanct</w:t>
      </w:r>
      <w:r w:rsidR="007B6E9B">
        <w:rPr>
          <w:lang w:val="fr-FR"/>
        </w:rPr>
        <w:t>ion applicables aux enfants. Le </w:t>
      </w:r>
      <w:r>
        <w:rPr>
          <w:lang w:val="fr-FR"/>
        </w:rPr>
        <w:t xml:space="preserve">manque de ressources rend </w:t>
      </w:r>
      <w:r w:rsidR="009D41E6">
        <w:rPr>
          <w:lang w:val="fr-FR"/>
        </w:rPr>
        <w:t>toutefois sa mise en œuvre très </w:t>
      </w:r>
      <w:r>
        <w:rPr>
          <w:lang w:val="fr-FR"/>
        </w:rPr>
        <w:t>difficile.</w:t>
      </w:r>
    </w:p>
    <w:p w:rsidR="00A30730" w:rsidRPr="00EA1459" w:rsidRDefault="00A30730" w:rsidP="00A30730">
      <w:pPr>
        <w:pStyle w:val="SingleTxtG"/>
        <w:rPr>
          <w:lang w:val="fr-FR"/>
        </w:rPr>
      </w:pPr>
      <w:r>
        <w:rPr>
          <w:lang w:val="fr-FR"/>
        </w:rPr>
        <w:t>10.</w:t>
      </w:r>
      <w:r>
        <w:rPr>
          <w:lang w:val="fr-FR"/>
        </w:rPr>
        <w:tab/>
        <w:t>Le Gouvernement poursuit ses actions de sensibilisation des magistrats aux</w:t>
      </w:r>
      <w:r w:rsidRPr="00EA1459">
        <w:rPr>
          <w:lang w:val="fr-FR"/>
        </w:rPr>
        <w:t xml:space="preserve"> peines de substitution </w:t>
      </w:r>
      <w:r w:rsidR="00032173">
        <w:rPr>
          <w:lang w:val="fr-FR"/>
        </w:rPr>
        <w:t xml:space="preserve">et aux peines </w:t>
      </w:r>
      <w:r w:rsidR="00AE7AFD">
        <w:rPr>
          <w:lang w:val="fr-FR"/>
        </w:rPr>
        <w:t>non </w:t>
      </w:r>
      <w:r w:rsidRPr="00EA1459">
        <w:rPr>
          <w:lang w:val="fr-FR"/>
        </w:rPr>
        <w:t>privatives de liberté afin d</w:t>
      </w:r>
      <w:r>
        <w:rPr>
          <w:lang w:val="fr-FR"/>
        </w:rPr>
        <w:t>’</w:t>
      </w:r>
      <w:r w:rsidRPr="00EA1459">
        <w:rPr>
          <w:lang w:val="fr-FR"/>
        </w:rPr>
        <w:t>atténuer le problème de la surpopulation carcérale</w:t>
      </w:r>
      <w:r>
        <w:rPr>
          <w:lang w:val="fr-FR"/>
        </w:rPr>
        <w:t xml:space="preserve">, comme le </w:t>
      </w:r>
      <w:r w:rsidRPr="00422432">
        <w:rPr>
          <w:lang w:val="fr-FR"/>
        </w:rPr>
        <w:t>sursis probatoire</w:t>
      </w:r>
      <w:r>
        <w:rPr>
          <w:lang w:val="fr-FR"/>
        </w:rPr>
        <w:t xml:space="preserve">, la </w:t>
      </w:r>
      <w:r w:rsidRPr="00422432">
        <w:rPr>
          <w:lang w:val="fr-FR"/>
        </w:rPr>
        <w:t>peine avec sursis</w:t>
      </w:r>
      <w:r>
        <w:rPr>
          <w:lang w:val="fr-FR"/>
        </w:rPr>
        <w:t xml:space="preserve"> </w:t>
      </w:r>
      <w:r w:rsidRPr="00EA1459">
        <w:rPr>
          <w:lang w:val="fr-FR"/>
        </w:rPr>
        <w:t xml:space="preserve">ou </w:t>
      </w:r>
      <w:r>
        <w:rPr>
          <w:lang w:val="fr-FR"/>
        </w:rPr>
        <w:t>le</w:t>
      </w:r>
      <w:r w:rsidRPr="00EA1459">
        <w:rPr>
          <w:lang w:val="fr-FR"/>
        </w:rPr>
        <w:t xml:space="preserve"> </w:t>
      </w:r>
      <w:r w:rsidRPr="00422432">
        <w:rPr>
          <w:lang w:val="fr-FR"/>
        </w:rPr>
        <w:t>travail d</w:t>
      </w:r>
      <w:r>
        <w:rPr>
          <w:lang w:val="fr-FR"/>
        </w:rPr>
        <w:t>’</w:t>
      </w:r>
      <w:r w:rsidRPr="00422432">
        <w:rPr>
          <w:lang w:val="fr-FR"/>
        </w:rPr>
        <w:t>intérêt général</w:t>
      </w:r>
      <w:r w:rsidRPr="00EA1459">
        <w:rPr>
          <w:lang w:val="fr-FR"/>
        </w:rPr>
        <w:t>.</w:t>
      </w:r>
      <w:r>
        <w:rPr>
          <w:lang w:val="fr-FR"/>
        </w:rPr>
        <w:t xml:space="preserve"> En outre, </w:t>
      </w:r>
      <w:r w:rsidR="00AE7AFD">
        <w:rPr>
          <w:lang w:val="fr-FR"/>
        </w:rPr>
        <w:t xml:space="preserve">le Gouvernement </w:t>
      </w:r>
      <w:r w:rsidR="00981C8E">
        <w:rPr>
          <w:lang w:val="fr-FR"/>
        </w:rPr>
        <w:t xml:space="preserve">jamaicain </w:t>
      </w:r>
      <w:r>
        <w:rPr>
          <w:lang w:val="fr-FR"/>
        </w:rPr>
        <w:t xml:space="preserve">étudie actuellement les recommandations formulées </w:t>
      </w:r>
      <w:r w:rsidR="00AE7AFD">
        <w:rPr>
          <w:lang w:val="fr-FR"/>
        </w:rPr>
        <w:t xml:space="preserve">au terme de </w:t>
      </w:r>
      <w:r>
        <w:rPr>
          <w:lang w:val="fr-FR"/>
        </w:rPr>
        <w:t xml:space="preserve">l’examen du système de libération </w:t>
      </w:r>
      <w:r w:rsidR="001C0E6F">
        <w:rPr>
          <w:lang w:val="fr-FR"/>
        </w:rPr>
        <w:t>conditionnelle mené en </w:t>
      </w:r>
      <w:r>
        <w:rPr>
          <w:lang w:val="fr-FR"/>
        </w:rPr>
        <w:t>2011.</w:t>
      </w:r>
    </w:p>
    <w:p w:rsidR="00A30730" w:rsidRPr="001C0E6F" w:rsidRDefault="001C0E6F" w:rsidP="001C0E6F">
      <w:pPr>
        <w:pStyle w:val="SingleTxtG"/>
        <w:spacing w:before="240" w:after="0"/>
        <w:jc w:val="center"/>
        <w:rPr>
          <w:u w:val="single"/>
        </w:rPr>
      </w:pPr>
      <w:r>
        <w:rPr>
          <w:u w:val="single"/>
        </w:rPr>
        <w:tab/>
      </w:r>
      <w:r>
        <w:rPr>
          <w:u w:val="single"/>
        </w:rPr>
        <w:tab/>
      </w:r>
      <w:r>
        <w:rPr>
          <w:u w:val="single"/>
        </w:rPr>
        <w:tab/>
      </w:r>
    </w:p>
    <w:sectPr w:rsidR="00A30730" w:rsidRPr="001C0E6F" w:rsidSect="00A3073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5E" w:rsidRDefault="0061195E"/>
  </w:endnote>
  <w:endnote w:type="continuationSeparator" w:id="0">
    <w:p w:rsidR="0061195E" w:rsidRDefault="0061195E"/>
  </w:endnote>
  <w:endnote w:type="continuationNotice" w:id="1">
    <w:p w:rsidR="0061195E" w:rsidRPr="00903B66" w:rsidRDefault="0061195E"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30" w:rsidRPr="00A30730" w:rsidRDefault="00A30730" w:rsidP="00A30730">
    <w:pPr>
      <w:pStyle w:val="Footer"/>
      <w:tabs>
        <w:tab w:val="right" w:pos="9638"/>
      </w:tabs>
    </w:pPr>
    <w:r w:rsidRPr="00A30730">
      <w:rPr>
        <w:b/>
        <w:sz w:val="18"/>
      </w:rPr>
      <w:fldChar w:fldCharType="begin"/>
    </w:r>
    <w:r w:rsidRPr="00A30730">
      <w:rPr>
        <w:b/>
        <w:sz w:val="18"/>
      </w:rPr>
      <w:instrText xml:space="preserve"> PAGE  \* MERGEFORMAT </w:instrText>
    </w:r>
    <w:r w:rsidRPr="00A30730">
      <w:rPr>
        <w:b/>
        <w:sz w:val="18"/>
      </w:rPr>
      <w:fldChar w:fldCharType="separate"/>
    </w:r>
    <w:r w:rsidR="009D41E6">
      <w:rPr>
        <w:b/>
        <w:noProof/>
        <w:sz w:val="18"/>
      </w:rPr>
      <w:t>4</w:t>
    </w:r>
    <w:r w:rsidRPr="00A30730">
      <w:rPr>
        <w:b/>
        <w:sz w:val="18"/>
      </w:rPr>
      <w:fldChar w:fldCharType="end"/>
    </w:r>
    <w:r>
      <w:rPr>
        <w:b/>
        <w:sz w:val="18"/>
      </w:rPr>
      <w:tab/>
    </w:r>
    <w:r>
      <w:t>GE.13-40255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30" w:rsidRPr="00A30730" w:rsidRDefault="00A30730" w:rsidP="00A30730">
    <w:pPr>
      <w:pStyle w:val="Footer"/>
      <w:tabs>
        <w:tab w:val="right" w:pos="9638"/>
      </w:tabs>
      <w:rPr>
        <w:b/>
        <w:sz w:val="18"/>
      </w:rPr>
    </w:pPr>
    <w:r>
      <w:t>GE.13-40255</w:t>
    </w:r>
    <w:r>
      <w:tab/>
    </w:r>
    <w:r w:rsidRPr="00A30730">
      <w:rPr>
        <w:b/>
        <w:sz w:val="18"/>
      </w:rPr>
      <w:fldChar w:fldCharType="begin"/>
    </w:r>
    <w:r w:rsidRPr="00A30730">
      <w:rPr>
        <w:b/>
        <w:sz w:val="18"/>
      </w:rPr>
      <w:instrText xml:space="preserve"> PAGE  \* MERGEFORMAT </w:instrText>
    </w:r>
    <w:r w:rsidRPr="00A30730">
      <w:rPr>
        <w:b/>
        <w:sz w:val="18"/>
      </w:rPr>
      <w:fldChar w:fldCharType="separate"/>
    </w:r>
    <w:r w:rsidR="009D41E6">
      <w:rPr>
        <w:b/>
        <w:noProof/>
        <w:sz w:val="18"/>
      </w:rPr>
      <w:t>3</w:t>
    </w:r>
    <w:r w:rsidRPr="00A307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31" w:rsidRDefault="00A30730">
    <w:pPr>
      <w:pStyle w:val="Footer"/>
    </w:pPr>
    <w:r>
      <w:rPr>
        <w:sz w:val="20"/>
      </w:rPr>
      <w:t>GE.13-40255</w:t>
    </w:r>
    <w:r w:rsidR="00F46131">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080213    080213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5E" w:rsidRPr="00D27D5E" w:rsidRDefault="0061195E" w:rsidP="00D27D5E">
      <w:pPr>
        <w:tabs>
          <w:tab w:val="right" w:pos="2155"/>
        </w:tabs>
        <w:spacing w:after="80"/>
        <w:ind w:left="680"/>
        <w:rPr>
          <w:u w:val="single"/>
        </w:rPr>
      </w:pPr>
      <w:r>
        <w:rPr>
          <w:u w:val="single"/>
        </w:rPr>
        <w:tab/>
      </w:r>
    </w:p>
  </w:footnote>
  <w:footnote w:type="continuationSeparator" w:id="0">
    <w:p w:rsidR="0061195E" w:rsidRPr="00091505" w:rsidRDefault="0061195E" w:rsidP="00091505">
      <w:pPr>
        <w:tabs>
          <w:tab w:val="right" w:pos="2155"/>
        </w:tabs>
        <w:spacing w:after="80"/>
        <w:ind w:left="680"/>
        <w:rPr>
          <w:u w:val="single"/>
        </w:rPr>
      </w:pPr>
      <w:r w:rsidRPr="00091505">
        <w:rPr>
          <w:u w:val="single"/>
        </w:rPr>
        <w:tab/>
      </w:r>
    </w:p>
  </w:footnote>
  <w:footnote w:type="continuationNotice" w:id="1">
    <w:p w:rsidR="0061195E" w:rsidRPr="00903B66" w:rsidRDefault="0061195E" w:rsidP="00903B66">
      <w:pPr>
        <w:spacing w:line="240" w:lineRule="auto"/>
        <w:rPr>
          <w:sz w:val="2"/>
          <w:szCs w:val="2"/>
        </w:rPr>
      </w:pPr>
    </w:p>
  </w:footnote>
  <w:footnote w:id="2">
    <w:p w:rsidR="00680198" w:rsidRPr="00680198" w:rsidRDefault="00680198" w:rsidP="00680198">
      <w:pPr>
        <w:pStyle w:val="FootnoteText"/>
      </w:pPr>
      <w:r>
        <w:tab/>
      </w:r>
      <w:r w:rsidRPr="00680198">
        <w:rPr>
          <w:rStyle w:val="FootnoteReference"/>
          <w:sz w:val="20"/>
          <w:vertAlign w:val="baseline"/>
        </w:rPr>
        <w:t>*</w:t>
      </w:r>
      <w:r>
        <w:rPr>
          <w:sz w:val="20"/>
        </w:rPr>
        <w:tab/>
      </w:r>
      <w:r w:rsidRPr="00322C18">
        <w:rPr>
          <w:szCs w:val="18"/>
        </w:rPr>
        <w:t>Conformément aux informations communiquées aux États parties co</w:t>
      </w:r>
      <w:r>
        <w:rPr>
          <w:szCs w:val="18"/>
        </w:rPr>
        <w:t>ncernant le traitement de leurs </w:t>
      </w:r>
      <w:r w:rsidRPr="00322C18">
        <w:rPr>
          <w:szCs w:val="18"/>
        </w:rPr>
        <w:t>rapports, le présent document n</w:t>
      </w:r>
      <w:r>
        <w:rPr>
          <w:szCs w:val="18"/>
        </w:rPr>
        <w:t>’</w:t>
      </w:r>
      <w:r w:rsidRPr="00322C18">
        <w:rPr>
          <w:szCs w:val="18"/>
        </w:rPr>
        <w:t>a pas été revu par les services d</w:t>
      </w:r>
      <w:r>
        <w:rPr>
          <w:szCs w:val="18"/>
        </w:rPr>
        <w:t>’</w:t>
      </w:r>
      <w:r w:rsidRPr="00322C18">
        <w:rPr>
          <w:szCs w:val="18"/>
        </w:rPr>
        <w:t>édition.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30" w:rsidRPr="00A30730" w:rsidRDefault="00A30730">
    <w:pPr>
      <w:pStyle w:val="Header"/>
    </w:pPr>
    <w:r>
      <w:t>CCPR/C/JAM/CO/3/Add.1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30" w:rsidRPr="00A30730" w:rsidRDefault="00A30730" w:rsidP="00A30730">
    <w:pPr>
      <w:pStyle w:val="Header"/>
      <w:jc w:val="right"/>
    </w:pPr>
    <w:r>
      <w:t>CCPR/C/JAM/CO/3/Add.1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9037A6"/>
    <w:lvl w:ilvl="0">
      <w:start w:val="1"/>
      <w:numFmt w:val="decimal"/>
      <w:lvlText w:val="%1."/>
      <w:lvlJc w:val="left"/>
      <w:pPr>
        <w:tabs>
          <w:tab w:val="num" w:pos="1492"/>
        </w:tabs>
        <w:ind w:left="1492" w:hanging="360"/>
      </w:pPr>
    </w:lvl>
  </w:abstractNum>
  <w:abstractNum w:abstractNumId="1">
    <w:nsid w:val="FFFFFF7D"/>
    <w:multiLevelType w:val="singleLevel"/>
    <w:tmpl w:val="01323B60"/>
    <w:lvl w:ilvl="0">
      <w:start w:val="1"/>
      <w:numFmt w:val="decimal"/>
      <w:lvlText w:val="%1."/>
      <w:lvlJc w:val="left"/>
      <w:pPr>
        <w:tabs>
          <w:tab w:val="num" w:pos="1209"/>
        </w:tabs>
        <w:ind w:left="1209" w:hanging="360"/>
      </w:pPr>
    </w:lvl>
  </w:abstractNum>
  <w:abstractNum w:abstractNumId="2">
    <w:nsid w:val="FFFFFF7E"/>
    <w:multiLevelType w:val="singleLevel"/>
    <w:tmpl w:val="AE9C25BC"/>
    <w:lvl w:ilvl="0">
      <w:start w:val="1"/>
      <w:numFmt w:val="decimal"/>
      <w:lvlText w:val="%1."/>
      <w:lvlJc w:val="left"/>
      <w:pPr>
        <w:tabs>
          <w:tab w:val="num" w:pos="926"/>
        </w:tabs>
        <w:ind w:left="926" w:hanging="360"/>
      </w:pPr>
    </w:lvl>
  </w:abstractNum>
  <w:abstractNum w:abstractNumId="3">
    <w:nsid w:val="FFFFFF7F"/>
    <w:multiLevelType w:val="singleLevel"/>
    <w:tmpl w:val="D282841C"/>
    <w:lvl w:ilvl="0">
      <w:start w:val="1"/>
      <w:numFmt w:val="decimal"/>
      <w:lvlText w:val="%1."/>
      <w:lvlJc w:val="left"/>
      <w:pPr>
        <w:tabs>
          <w:tab w:val="num" w:pos="643"/>
        </w:tabs>
        <w:ind w:left="643" w:hanging="360"/>
      </w:pPr>
    </w:lvl>
  </w:abstractNum>
  <w:abstractNum w:abstractNumId="4">
    <w:nsid w:val="FFFFFF80"/>
    <w:multiLevelType w:val="singleLevel"/>
    <w:tmpl w:val="1BA858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4EE0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1899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16FA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94486C"/>
    <w:lvl w:ilvl="0">
      <w:start w:val="1"/>
      <w:numFmt w:val="decimal"/>
      <w:lvlText w:val="%1."/>
      <w:lvlJc w:val="left"/>
      <w:pPr>
        <w:tabs>
          <w:tab w:val="num" w:pos="360"/>
        </w:tabs>
        <w:ind w:left="360" w:hanging="360"/>
      </w:pPr>
    </w:lvl>
  </w:abstractNum>
  <w:abstractNum w:abstractNumId="9">
    <w:nsid w:val="FFFFFF89"/>
    <w:multiLevelType w:val="singleLevel"/>
    <w:tmpl w:val="4D6A38BE"/>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131"/>
    <w:rsid w:val="00016AC5"/>
    <w:rsid w:val="00025034"/>
    <w:rsid w:val="00032173"/>
    <w:rsid w:val="00091505"/>
    <w:rsid w:val="00093468"/>
    <w:rsid w:val="000A147A"/>
    <w:rsid w:val="000A4187"/>
    <w:rsid w:val="000B53AA"/>
    <w:rsid w:val="000C4A61"/>
    <w:rsid w:val="000C5202"/>
    <w:rsid w:val="000E61F8"/>
    <w:rsid w:val="000F41F2"/>
    <w:rsid w:val="001172CF"/>
    <w:rsid w:val="00126915"/>
    <w:rsid w:val="00160540"/>
    <w:rsid w:val="00192EEB"/>
    <w:rsid w:val="001A20FB"/>
    <w:rsid w:val="001B102E"/>
    <w:rsid w:val="001C0E6F"/>
    <w:rsid w:val="001C3080"/>
    <w:rsid w:val="001D7F8A"/>
    <w:rsid w:val="001E3FEB"/>
    <w:rsid w:val="001E4A02"/>
    <w:rsid w:val="001F0F83"/>
    <w:rsid w:val="001F25C4"/>
    <w:rsid w:val="00225A8C"/>
    <w:rsid w:val="00253308"/>
    <w:rsid w:val="002659F1"/>
    <w:rsid w:val="0027751F"/>
    <w:rsid w:val="0028685B"/>
    <w:rsid w:val="00287E79"/>
    <w:rsid w:val="00291872"/>
    <w:rsid w:val="002928F9"/>
    <w:rsid w:val="002A5D07"/>
    <w:rsid w:val="002C5C17"/>
    <w:rsid w:val="002E0222"/>
    <w:rsid w:val="002E1A7F"/>
    <w:rsid w:val="003016B7"/>
    <w:rsid w:val="003407FC"/>
    <w:rsid w:val="003515AA"/>
    <w:rsid w:val="00353268"/>
    <w:rsid w:val="00366F5B"/>
    <w:rsid w:val="00374106"/>
    <w:rsid w:val="003976D5"/>
    <w:rsid w:val="003C58BC"/>
    <w:rsid w:val="003C6CAF"/>
    <w:rsid w:val="003D6C68"/>
    <w:rsid w:val="003D72C0"/>
    <w:rsid w:val="003E5C22"/>
    <w:rsid w:val="003F7E9C"/>
    <w:rsid w:val="00413931"/>
    <w:rsid w:val="004159D0"/>
    <w:rsid w:val="00417FE2"/>
    <w:rsid w:val="00464EEE"/>
    <w:rsid w:val="004A1200"/>
    <w:rsid w:val="004A3C0E"/>
    <w:rsid w:val="004A79C6"/>
    <w:rsid w:val="004B5C17"/>
    <w:rsid w:val="005372C2"/>
    <w:rsid w:val="00543D5E"/>
    <w:rsid w:val="00571F41"/>
    <w:rsid w:val="005E5D1F"/>
    <w:rsid w:val="0061195E"/>
    <w:rsid w:val="00611D43"/>
    <w:rsid w:val="00612D48"/>
    <w:rsid w:val="00616B45"/>
    <w:rsid w:val="006221F0"/>
    <w:rsid w:val="00623A1C"/>
    <w:rsid w:val="00630D9B"/>
    <w:rsid w:val="00631953"/>
    <w:rsid w:val="006439EC"/>
    <w:rsid w:val="00680198"/>
    <w:rsid w:val="00693C22"/>
    <w:rsid w:val="006B4590"/>
    <w:rsid w:val="006C340C"/>
    <w:rsid w:val="0070347C"/>
    <w:rsid w:val="0071451B"/>
    <w:rsid w:val="007176C1"/>
    <w:rsid w:val="00725DC9"/>
    <w:rsid w:val="00737DEE"/>
    <w:rsid w:val="00775D99"/>
    <w:rsid w:val="00796940"/>
    <w:rsid w:val="007B6E9B"/>
    <w:rsid w:val="007C7846"/>
    <w:rsid w:val="007F55CB"/>
    <w:rsid w:val="00842D04"/>
    <w:rsid w:val="00844750"/>
    <w:rsid w:val="00873B3C"/>
    <w:rsid w:val="00892241"/>
    <w:rsid w:val="008A39ED"/>
    <w:rsid w:val="008B44C4"/>
    <w:rsid w:val="008E7FAE"/>
    <w:rsid w:val="008F53ED"/>
    <w:rsid w:val="00903B66"/>
    <w:rsid w:val="00911BF7"/>
    <w:rsid w:val="0091720D"/>
    <w:rsid w:val="00943FFD"/>
    <w:rsid w:val="00977EC8"/>
    <w:rsid w:val="00981C8E"/>
    <w:rsid w:val="00993DE6"/>
    <w:rsid w:val="009A0494"/>
    <w:rsid w:val="009C2775"/>
    <w:rsid w:val="009C4558"/>
    <w:rsid w:val="009D3A8C"/>
    <w:rsid w:val="009D41E6"/>
    <w:rsid w:val="009E7956"/>
    <w:rsid w:val="00A228B4"/>
    <w:rsid w:val="00A2492E"/>
    <w:rsid w:val="00A30730"/>
    <w:rsid w:val="00A44860"/>
    <w:rsid w:val="00A720C2"/>
    <w:rsid w:val="00A870FA"/>
    <w:rsid w:val="00A9469F"/>
    <w:rsid w:val="00AA206B"/>
    <w:rsid w:val="00AA3390"/>
    <w:rsid w:val="00AA7F2F"/>
    <w:rsid w:val="00AB51C8"/>
    <w:rsid w:val="00AC67A1"/>
    <w:rsid w:val="00AC7977"/>
    <w:rsid w:val="00AD74F9"/>
    <w:rsid w:val="00AE352C"/>
    <w:rsid w:val="00AE7AFD"/>
    <w:rsid w:val="00AF1CE8"/>
    <w:rsid w:val="00B32E2D"/>
    <w:rsid w:val="00B512C8"/>
    <w:rsid w:val="00B61990"/>
    <w:rsid w:val="00B7334B"/>
    <w:rsid w:val="00B93051"/>
    <w:rsid w:val="00BD638D"/>
    <w:rsid w:val="00BF0556"/>
    <w:rsid w:val="00C261F8"/>
    <w:rsid w:val="00C33100"/>
    <w:rsid w:val="00C4083C"/>
    <w:rsid w:val="00C519C1"/>
    <w:rsid w:val="00C57C52"/>
    <w:rsid w:val="00C70009"/>
    <w:rsid w:val="00CA6A02"/>
    <w:rsid w:val="00CB0CBC"/>
    <w:rsid w:val="00CB259F"/>
    <w:rsid w:val="00CB5A09"/>
    <w:rsid w:val="00CD1A71"/>
    <w:rsid w:val="00CD1FBB"/>
    <w:rsid w:val="00CE56F7"/>
    <w:rsid w:val="00CF5128"/>
    <w:rsid w:val="00D016B5"/>
    <w:rsid w:val="00D02015"/>
    <w:rsid w:val="00D034F1"/>
    <w:rsid w:val="00D27D5E"/>
    <w:rsid w:val="00D35B2D"/>
    <w:rsid w:val="00DE6D90"/>
    <w:rsid w:val="00DF002F"/>
    <w:rsid w:val="00DF3BF1"/>
    <w:rsid w:val="00DF694A"/>
    <w:rsid w:val="00E0244D"/>
    <w:rsid w:val="00E144C5"/>
    <w:rsid w:val="00E368FF"/>
    <w:rsid w:val="00E509B7"/>
    <w:rsid w:val="00E81E94"/>
    <w:rsid w:val="00E82607"/>
    <w:rsid w:val="00EA4001"/>
    <w:rsid w:val="00EB2665"/>
    <w:rsid w:val="00EF318A"/>
    <w:rsid w:val="00F33865"/>
    <w:rsid w:val="00F46131"/>
    <w:rsid w:val="00FA5A79"/>
    <w:rsid w:val="00FB0BFE"/>
    <w:rsid w:val="00FB4C51"/>
    <w:rsid w:val="00FC1785"/>
    <w:rsid w:val="00FE78A2"/>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1455</Words>
  <Characters>7845</Characters>
  <Application>Microsoft Office Word</Application>
  <DocSecurity>4</DocSecurity>
  <Lines>126</Lines>
  <Paragraphs>30</Paragraphs>
  <ScaleCrop>false</ScaleCrop>
  <HeadingPairs>
    <vt:vector size="2" baseType="variant">
      <vt:variant>
        <vt:lpstr>Titre</vt:lpstr>
      </vt:variant>
      <vt:variant>
        <vt:i4>1</vt:i4>
      </vt:variant>
    </vt:vector>
  </HeadingPairs>
  <TitlesOfParts>
    <vt:vector size="1" baseType="lpstr">
      <vt:lpstr>CCPR/C/JAM/CO/3/Add.1</vt:lpstr>
    </vt:vector>
  </TitlesOfParts>
  <Company>CSD</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CCPR/C/JAM/CO/3/Add.1</dc:title>
  <dc:subject>final CCPR</dc:subject>
  <dc:creator>N-Rossi</dc:creator>
  <cp:keywords/>
  <dc:description/>
  <cp:lastModifiedBy>N-Rossi</cp:lastModifiedBy>
  <cp:revision>2</cp:revision>
  <cp:lastPrinted>2009-10-07T17:31:00Z</cp:lastPrinted>
  <dcterms:created xsi:type="dcterms:W3CDTF">2013-02-08T13:31:00Z</dcterms:created>
  <dcterms:modified xsi:type="dcterms:W3CDTF">2013-02-08T13:31:00Z</dcterms:modified>
</cp:coreProperties>
</file>