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B22209">
                <w:rPr>
                  <w:sz w:val="20"/>
                  <w:lang w:val="en-US"/>
                </w:rPr>
                <w:t>C/JPN/CO/2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B22209">
                <w:rPr>
                  <w:sz w:val="20"/>
                  <w:lang w:val="en-US"/>
                </w:rPr>
                <w:t>28 June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B22209" w:rsidRPr="000C6589" w:rsidRDefault="00B22209" w:rsidP="00B22209">
      <w:pPr>
        <w:spacing w:before="120"/>
        <w:rPr>
          <w:b/>
          <w:sz w:val="24"/>
          <w:szCs w:val="24"/>
        </w:rPr>
      </w:pPr>
      <w:r>
        <w:rPr>
          <w:b/>
          <w:sz w:val="24"/>
        </w:rPr>
        <w:t xml:space="preserve">Комитет против пыток </w:t>
      </w:r>
    </w:p>
    <w:p w:rsidR="00B22209" w:rsidRPr="000C6589" w:rsidRDefault="00B22209" w:rsidP="005633A0">
      <w:pPr>
        <w:pStyle w:val="HChGR"/>
      </w:pPr>
      <w:r>
        <w:tab/>
      </w:r>
      <w:r>
        <w:tab/>
        <w:t xml:space="preserve">Заключительные замечания по второму периодическому докладу Японии, принятые Комитетом на его пятидесятой сессии </w:t>
      </w:r>
      <w:r w:rsidR="005633A0">
        <w:br/>
      </w:r>
      <w:r>
        <w:t>(6</w:t>
      </w:r>
      <w:r w:rsidR="005438CE">
        <w:t>−</w:t>
      </w:r>
      <w:r>
        <w:t>31 мая 2013 года)</w:t>
      </w:r>
    </w:p>
    <w:p w:rsidR="00B22209" w:rsidRPr="000C6589" w:rsidRDefault="00B22209" w:rsidP="005633A0">
      <w:pPr>
        <w:pStyle w:val="SingleTxtGR"/>
      </w:pPr>
      <w:r>
        <w:t>1.</w:t>
      </w:r>
      <w:r>
        <w:tab/>
        <w:t>Комитет против пыток рассмотрел второй периодический доклад Японии  (CAT/C/JPN/2) на своих 1152-м и 1155-м заседаниях, состоявшихся 21 и 22 мая 2013 года (CAT/C/SR.1152 и 1155), и на своем 1164-м заседании (CAT/C/SR.1164), состоявшемся 29 мая 2013 года, принял следующие заключ</w:t>
      </w:r>
      <w:r>
        <w:t>и</w:t>
      </w:r>
      <w:r>
        <w:t>тельные замечания.</w:t>
      </w:r>
    </w:p>
    <w:p w:rsidR="00B22209" w:rsidRPr="000C6589" w:rsidRDefault="00B22209" w:rsidP="005633A0">
      <w:pPr>
        <w:pStyle w:val="H1GR"/>
      </w:pPr>
      <w:r>
        <w:tab/>
        <w:t>A.</w:t>
      </w:r>
      <w:r>
        <w:tab/>
        <w:t>Введение</w:t>
      </w:r>
    </w:p>
    <w:p w:rsidR="00B22209" w:rsidRPr="00587CAF" w:rsidRDefault="00B22209" w:rsidP="005633A0">
      <w:pPr>
        <w:pStyle w:val="SingleTxtGR"/>
      </w:pPr>
      <w:r>
        <w:t>2.</w:t>
      </w:r>
      <w:r>
        <w:tab/>
        <w:t>Комитет выражает признательность государству-участнику за согласие следовать факультативной процедуре</w:t>
      </w:r>
      <w:r w:rsidRPr="003169AB">
        <w:t xml:space="preserve"> </w:t>
      </w:r>
      <w:r>
        <w:t xml:space="preserve">представления докладов и за </w:t>
      </w:r>
      <w:r>
        <w:rPr>
          <w:rStyle w:val="SingleTxtGChar1"/>
        </w:rPr>
        <w:t>представл</w:t>
      </w:r>
      <w:r>
        <w:rPr>
          <w:rStyle w:val="SingleTxtGChar1"/>
        </w:rPr>
        <w:t>е</w:t>
      </w:r>
      <w:r>
        <w:rPr>
          <w:rStyle w:val="SingleTxtGChar1"/>
        </w:rPr>
        <w:t>ние</w:t>
      </w:r>
      <w:r>
        <w:t xml:space="preserve"> доклада в соответствии с ее требованиями, поскольку это улучшает сотру</w:t>
      </w:r>
      <w:r>
        <w:t>д</w:t>
      </w:r>
      <w:r>
        <w:t>ничество между государством-участником и Комитетом и задает четкую н</w:t>
      </w:r>
      <w:r>
        <w:t>а</w:t>
      </w:r>
      <w:r>
        <w:t>правленность рассмотрению доклада, а также диалогу с делегацией.</w:t>
      </w:r>
    </w:p>
    <w:p w:rsidR="00B22209" w:rsidRPr="000C6589" w:rsidRDefault="00B22209" w:rsidP="005633A0">
      <w:pPr>
        <w:pStyle w:val="SingleTxtGR"/>
      </w:pPr>
      <w:r>
        <w:t>3.</w:t>
      </w:r>
      <w:r>
        <w:tab/>
        <w:t>Комитет приветствует конструктивный диалог, состоявшийся с высокоп</w:t>
      </w:r>
      <w:r>
        <w:t>о</w:t>
      </w:r>
      <w:r>
        <w:t>ставленной делегацией государства-участника, а также дополнительную и</w:t>
      </w:r>
      <w:r>
        <w:t>н</w:t>
      </w:r>
      <w:r>
        <w:t>формацию и разъяснения, предоставленные делегацией.</w:t>
      </w:r>
    </w:p>
    <w:p w:rsidR="00B22209" w:rsidRPr="000C6589" w:rsidRDefault="00B22209" w:rsidP="005633A0">
      <w:pPr>
        <w:pStyle w:val="H1GR"/>
      </w:pPr>
      <w:r>
        <w:tab/>
        <w:t>B.</w:t>
      </w:r>
      <w:r>
        <w:tab/>
        <w:t>Позитивные аспекты</w:t>
      </w:r>
    </w:p>
    <w:p w:rsidR="00B22209" w:rsidRDefault="00B22209" w:rsidP="005633A0">
      <w:pPr>
        <w:pStyle w:val="SingleTxtGR"/>
      </w:pPr>
      <w:r>
        <w:t>4.</w:t>
      </w:r>
      <w:r>
        <w:tab/>
        <w:t>Комитет приветствует ратификацию государством-участником следу</w:t>
      </w:r>
      <w:r>
        <w:t>ю</w:t>
      </w:r>
      <w:r>
        <w:t>щих международных договоров:</w:t>
      </w:r>
    </w:p>
    <w:p w:rsidR="00B22209" w:rsidRPr="00206B24" w:rsidRDefault="00B22209" w:rsidP="005633A0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Международной конвенции для защиты всех лиц от насильстве</w:t>
      </w:r>
      <w:r>
        <w:t>н</w:t>
      </w:r>
      <w:r>
        <w:t xml:space="preserve">ных </w:t>
      </w:r>
      <w:r w:rsidR="00206B24">
        <w:t>исчезновений, 23 июля 2009 года;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Римского статута Международного уголовного суда, 1 октября 2007</w:t>
      </w:r>
      <w:r w:rsidR="005438CE">
        <w:t> </w:t>
      </w:r>
      <w:r>
        <w:t>года.</w:t>
      </w:r>
    </w:p>
    <w:p w:rsidR="00B22209" w:rsidRPr="000C6589" w:rsidRDefault="00B22209" w:rsidP="005633A0">
      <w:pPr>
        <w:pStyle w:val="SingleTxtGR"/>
      </w:pPr>
      <w:r>
        <w:t>5.</w:t>
      </w:r>
      <w:r>
        <w:tab/>
        <w:t>Комитет приветствует следующие законодательные меры, принятые гос</w:t>
      </w:r>
      <w:r>
        <w:t>у</w:t>
      </w:r>
      <w:r>
        <w:t xml:space="preserve">дарством-участником: 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поправки к</w:t>
      </w:r>
      <w:r w:rsidRPr="00EF600D">
        <w:t xml:space="preserve"> </w:t>
      </w:r>
      <w:r>
        <w:t>Закону об иммиграционном контроле и признании ст</w:t>
      </w:r>
      <w:r>
        <w:t>а</w:t>
      </w:r>
      <w:r>
        <w:t>туса беженца, которые вс</w:t>
      </w:r>
      <w:r w:rsidR="00206B24">
        <w:t>тупили в силу в июле 2009 года;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поправки к </w:t>
      </w:r>
      <w:r w:rsidRPr="00405A79">
        <w:t>Закон</w:t>
      </w:r>
      <w:r>
        <w:t>у</w:t>
      </w:r>
      <w:r w:rsidRPr="00405A79">
        <w:t xml:space="preserve"> о предупреждении супружеского насилия и з</w:t>
      </w:r>
      <w:r w:rsidRPr="00405A79">
        <w:t>а</w:t>
      </w:r>
      <w:r w:rsidRPr="00405A79">
        <w:t>щите жертв</w:t>
      </w:r>
      <w:r>
        <w:t>, которые вступили в силу в январе 2008 года.</w:t>
      </w:r>
    </w:p>
    <w:p w:rsidR="00B22209" w:rsidRPr="000C6589" w:rsidRDefault="00B22209" w:rsidP="005633A0">
      <w:pPr>
        <w:pStyle w:val="SingleTxtGR"/>
      </w:pPr>
      <w:r>
        <w:t>6.</w:t>
      </w:r>
      <w:r>
        <w:tab/>
        <w:t xml:space="preserve">Комитет приветствует следующие административные и прочие меры, принятые государством-участником: 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учреждение Управления по проведению инспекций при Генерал</w:t>
      </w:r>
      <w:r>
        <w:t>ь</w:t>
      </w:r>
      <w:r w:rsidR="00206B24">
        <w:t>ной прокуратуре, июль 2011 года;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утверждение третьего Базового плана по обеспечению гендерно</w:t>
      </w:r>
      <w:r w:rsidR="00206B24">
        <w:t>го равенства, декабрь 2010 года;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создание Комитета по инспектированию мест содержания мигра</w:t>
      </w:r>
      <w:r>
        <w:t>н</w:t>
      </w:r>
      <w:r w:rsidR="00206B24">
        <w:t>тов, июль 2010 года;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принятие Плана действий по борьбе с торговлей людьми</w:t>
      </w:r>
      <w:r w:rsidRPr="00187E6A">
        <w:t>, декабрь 2009 года</w:t>
      </w:r>
      <w:r w:rsidR="00206B24">
        <w:t>;</w:t>
      </w:r>
    </w:p>
    <w:p w:rsidR="00B22209" w:rsidRPr="000C6589" w:rsidRDefault="00B22209" w:rsidP="005633A0">
      <w:pPr>
        <w:pStyle w:val="SingleTxtGR"/>
      </w:pPr>
      <w:r>
        <w:tab/>
      </w:r>
      <w:r>
        <w:rPr>
          <w:lang w:val="en-US"/>
        </w:rPr>
        <w:t>e</w:t>
      </w:r>
      <w:r>
        <w:t>)</w:t>
      </w:r>
      <w:r>
        <w:tab/>
        <w:t xml:space="preserve">разработку </w:t>
      </w:r>
      <w:r w:rsidRPr="00187E6A">
        <w:t xml:space="preserve">Политики </w:t>
      </w:r>
      <w:r>
        <w:t xml:space="preserve">по обеспечению должного </w:t>
      </w:r>
      <w:r w:rsidRPr="00187E6A">
        <w:t>п</w:t>
      </w:r>
      <w:r>
        <w:t xml:space="preserve">орядка </w:t>
      </w:r>
      <w:r w:rsidRPr="00187E6A">
        <w:t>ведения полицейских расследований</w:t>
      </w:r>
      <w:r>
        <w:t>, январь 2008 года.</w:t>
      </w:r>
    </w:p>
    <w:p w:rsidR="00B22209" w:rsidRPr="000C6589" w:rsidRDefault="00B22209" w:rsidP="005633A0">
      <w:pPr>
        <w:pStyle w:val="H1GR"/>
      </w:pPr>
      <w:r>
        <w:tab/>
      </w:r>
      <w:r w:rsidR="005633A0">
        <w:t>С.</w:t>
      </w:r>
      <w:r w:rsidR="005633A0">
        <w:tab/>
      </w:r>
      <w:r>
        <w:t xml:space="preserve">Основные вопросы, вызывающие обеспокоенность, </w:t>
      </w:r>
      <w:r w:rsidR="005633A0">
        <w:br/>
      </w:r>
      <w:r>
        <w:t>и рекомендации</w:t>
      </w:r>
    </w:p>
    <w:p w:rsidR="00B22209" w:rsidRPr="000C6589" w:rsidRDefault="00B22209" w:rsidP="00162396">
      <w:pPr>
        <w:pStyle w:val="H23GR"/>
      </w:pPr>
      <w:r>
        <w:tab/>
      </w:r>
      <w:r>
        <w:tab/>
        <w:t xml:space="preserve">Определение пытки </w:t>
      </w:r>
    </w:p>
    <w:p w:rsidR="00B22209" w:rsidRPr="000C6589" w:rsidRDefault="00B22209" w:rsidP="00162396">
      <w:pPr>
        <w:pStyle w:val="SingleTxtGR"/>
      </w:pPr>
      <w:r>
        <w:t>7.</w:t>
      </w:r>
      <w:r>
        <w:tab/>
        <w:t xml:space="preserve">Комитет обеспокоен тем, что государство-участник не приняло мер по </w:t>
      </w:r>
      <w:r w:rsidRPr="00187E6A">
        <w:rPr>
          <w:rStyle w:val="highlight1"/>
        </w:rPr>
        <w:t>принятию</w:t>
      </w:r>
      <w:r>
        <w:t xml:space="preserve"> </w:t>
      </w:r>
      <w:r>
        <w:rPr>
          <w:rStyle w:val="highlight1"/>
        </w:rPr>
        <w:t>определения</w:t>
      </w:r>
      <w:r>
        <w:t xml:space="preserve"> </w:t>
      </w:r>
      <w:r>
        <w:rPr>
          <w:rStyle w:val="highlight1"/>
        </w:rPr>
        <w:t>пытки</w:t>
      </w:r>
      <w:r>
        <w:t>, которое охватывало бы все элементы, содерж</w:t>
      </w:r>
      <w:r>
        <w:t>а</w:t>
      </w:r>
      <w:r>
        <w:t>щиеся в статье 1 Конвенции (статья 1).</w:t>
      </w:r>
    </w:p>
    <w:p w:rsidR="00B22209" w:rsidRPr="000C6589" w:rsidRDefault="00B22209" w:rsidP="00162396">
      <w:pPr>
        <w:pStyle w:val="SingleTxtGR"/>
        <w:rPr>
          <w:b/>
        </w:rPr>
      </w:pPr>
      <w:r w:rsidRPr="00686644">
        <w:rPr>
          <w:b/>
        </w:rPr>
        <w:t xml:space="preserve">Комитет </w:t>
      </w:r>
      <w:r w:rsidRPr="00187E6A">
        <w:rPr>
          <w:b/>
        </w:rPr>
        <w:t>подтверждает</w:t>
      </w:r>
      <w:r w:rsidRPr="00686644">
        <w:rPr>
          <w:b/>
        </w:rPr>
        <w:t xml:space="preserve"> рекомендацию, включенную в его предыдущие з</w:t>
      </w:r>
      <w:r w:rsidRPr="00686644">
        <w:rPr>
          <w:b/>
        </w:rPr>
        <w:t>а</w:t>
      </w:r>
      <w:r w:rsidRPr="00686644">
        <w:rPr>
          <w:b/>
        </w:rPr>
        <w:t xml:space="preserve">ключительные замечания </w:t>
      </w:r>
      <w:r>
        <w:rPr>
          <w:b/>
        </w:rPr>
        <w:t>(CAT/C/JPN/CO/1, пункт 10), согласно которой государству-участнику следует включить определение пытки, содержаще</w:t>
      </w:r>
      <w:r>
        <w:rPr>
          <w:b/>
        </w:rPr>
        <w:t>е</w:t>
      </w:r>
      <w:r>
        <w:rPr>
          <w:b/>
        </w:rPr>
        <w:t>ся в статье 1 Конвенции, в свое внутреннее законодательство, отразив все ее составляющие элементы квалификации пытки в качестве отдельного преступления, за которое установлены адекватные меры наказания. Сс</w:t>
      </w:r>
      <w:r>
        <w:rPr>
          <w:b/>
        </w:rPr>
        <w:t>ы</w:t>
      </w:r>
      <w:r>
        <w:rPr>
          <w:b/>
        </w:rPr>
        <w:t>лаясь на свое замечание общего порядка №</w:t>
      </w:r>
      <w:r w:rsidR="00206B24">
        <w:rPr>
          <w:b/>
        </w:rPr>
        <w:t> </w:t>
      </w:r>
      <w:r>
        <w:rPr>
          <w:b/>
        </w:rPr>
        <w:t>2 (2007 год) об осуществлении статьи 2 государствами-участниками, Комитет считает, что, закрепив н</w:t>
      </w:r>
      <w:r>
        <w:rPr>
          <w:b/>
        </w:rPr>
        <w:t>а</w:t>
      </w:r>
      <w:r>
        <w:rPr>
          <w:b/>
        </w:rPr>
        <w:t xml:space="preserve">звание и определение преступления пытки в соответствии с Конвенцией и отделив его от других преступлений, государства-участники </w:t>
      </w:r>
      <w:r w:rsidRPr="0076440E">
        <w:rPr>
          <w:b/>
        </w:rPr>
        <w:t>внес</w:t>
      </w:r>
      <w:r>
        <w:rPr>
          <w:b/>
        </w:rPr>
        <w:t>у</w:t>
      </w:r>
      <w:r w:rsidRPr="0076440E">
        <w:rPr>
          <w:b/>
        </w:rPr>
        <w:t xml:space="preserve">т </w:t>
      </w:r>
      <w:r>
        <w:rPr>
          <w:b/>
        </w:rPr>
        <w:t>прямой</w:t>
      </w:r>
      <w:r w:rsidRPr="0076440E">
        <w:rPr>
          <w:b/>
        </w:rPr>
        <w:t xml:space="preserve"> вклад в достижение главной цели Конвенц</w:t>
      </w:r>
      <w:r w:rsidRPr="00DC020D">
        <w:rPr>
          <w:b/>
        </w:rPr>
        <w:t>ии</w:t>
      </w:r>
      <w:r>
        <w:rPr>
          <w:b/>
        </w:rPr>
        <w:t>,</w:t>
      </w:r>
      <w:r w:rsidRPr="00DC020D">
        <w:rPr>
          <w:b/>
        </w:rPr>
        <w:t xml:space="preserve"> </w:t>
      </w:r>
      <w:r>
        <w:rPr>
          <w:b/>
        </w:rPr>
        <w:t xml:space="preserve">а именно </w:t>
      </w:r>
      <w:r w:rsidRPr="00DC020D">
        <w:rPr>
          <w:b/>
        </w:rPr>
        <w:t>предотвра</w:t>
      </w:r>
      <w:r>
        <w:rPr>
          <w:b/>
        </w:rPr>
        <w:t>щение</w:t>
      </w:r>
      <w:r w:rsidRPr="0076440E">
        <w:rPr>
          <w:b/>
        </w:rPr>
        <w:t xml:space="preserve"> пыток</w:t>
      </w:r>
      <w:r>
        <w:rPr>
          <w:b/>
        </w:rPr>
        <w:t>.</w:t>
      </w:r>
    </w:p>
    <w:p w:rsidR="00B22209" w:rsidRPr="000C6589" w:rsidRDefault="00B22209" w:rsidP="00162396">
      <w:pPr>
        <w:pStyle w:val="H23GR"/>
      </w:pPr>
      <w:r>
        <w:tab/>
      </w:r>
      <w:r>
        <w:tab/>
        <w:t>Сроки давности</w:t>
      </w:r>
    </w:p>
    <w:p w:rsidR="00B22209" w:rsidRPr="000C6589" w:rsidRDefault="00B22209" w:rsidP="00162396">
      <w:pPr>
        <w:pStyle w:val="SingleTxtGR"/>
        <w:rPr>
          <w:i/>
          <w:iCs/>
        </w:rPr>
      </w:pPr>
      <w:r>
        <w:t>8.</w:t>
      </w:r>
      <w:r>
        <w:tab/>
        <w:t>Принимая к сведению Закон №</w:t>
      </w:r>
      <w:r w:rsidR="00206B24">
        <w:t> </w:t>
      </w:r>
      <w:r>
        <w:t>26</w:t>
      </w:r>
      <w:r w:rsidRPr="00405A79">
        <w:t xml:space="preserve"> </w:t>
      </w:r>
      <w:r>
        <w:t xml:space="preserve">(апрель 2010 года) об </w:t>
      </w:r>
      <w:r w:rsidRPr="00405A79">
        <w:t>отмене или пр</w:t>
      </w:r>
      <w:r w:rsidRPr="00405A79">
        <w:t>о</w:t>
      </w:r>
      <w:r w:rsidRPr="00405A79">
        <w:t>длении срок</w:t>
      </w:r>
      <w:r>
        <w:t>ов</w:t>
      </w:r>
      <w:r w:rsidRPr="00405A79">
        <w:t xml:space="preserve"> давности для отдельных преступлений</w:t>
      </w:r>
      <w:r>
        <w:t>, Комитет обеспокоен по поводу сохранения срока давности</w:t>
      </w:r>
      <w:r w:rsidRPr="00405CE2">
        <w:t xml:space="preserve"> в отношении актов</w:t>
      </w:r>
      <w:r>
        <w:t xml:space="preserve"> пыток и жестокого о</w:t>
      </w:r>
      <w:r>
        <w:t>б</w:t>
      </w:r>
      <w:r>
        <w:t>ращения, включая покушение на применение пыток и актов насилия, предста</w:t>
      </w:r>
      <w:r>
        <w:t>в</w:t>
      </w:r>
      <w:r>
        <w:t>ляющих собой сговор с целью совершения пыток или соучастие в них (статьи 4 и 12).</w:t>
      </w:r>
    </w:p>
    <w:p w:rsidR="00B22209" w:rsidRPr="000C6589" w:rsidRDefault="00B22209" w:rsidP="00162396">
      <w:pPr>
        <w:pStyle w:val="SingleTxtGR"/>
        <w:rPr>
          <w:rStyle w:val="PararcmdaChar"/>
        </w:rPr>
      </w:pPr>
      <w:r>
        <w:rPr>
          <w:rStyle w:val="PararcmdaChar"/>
        </w:rPr>
        <w:t xml:space="preserve">Комитет </w:t>
      </w:r>
      <w:r w:rsidRPr="00405CE2">
        <w:rPr>
          <w:b/>
        </w:rPr>
        <w:t>вновь подтверждает</w:t>
      </w:r>
      <w:r>
        <w:rPr>
          <w:rStyle w:val="PararcmdaChar"/>
        </w:rPr>
        <w:t xml:space="preserve"> свою предыдущую рекомендацию (пункт 12), согласно которой государству-участнику следует привести свое законод</w:t>
      </w:r>
      <w:r>
        <w:rPr>
          <w:rStyle w:val="PararcmdaChar"/>
        </w:rPr>
        <w:t>а</w:t>
      </w:r>
      <w:r>
        <w:rPr>
          <w:rStyle w:val="PararcmdaChar"/>
        </w:rPr>
        <w:t>тельство в отношении сроков давности в полное соответствие с его обяз</w:t>
      </w:r>
      <w:r>
        <w:rPr>
          <w:rStyle w:val="PararcmdaChar"/>
        </w:rPr>
        <w:t>а</w:t>
      </w:r>
      <w:r>
        <w:rPr>
          <w:rStyle w:val="PararcmdaChar"/>
        </w:rPr>
        <w:t>тельствами по Конвенции, чтобы виновные в совершении актов пытки привлекались к ответственности и получали наказание, соразмерное тяж</w:t>
      </w:r>
      <w:r>
        <w:rPr>
          <w:rStyle w:val="PararcmdaChar"/>
        </w:rPr>
        <w:t>е</w:t>
      </w:r>
      <w:r>
        <w:rPr>
          <w:rStyle w:val="PararcmdaChar"/>
        </w:rPr>
        <w:t>сти совершенных ими деяний, согласно требованиям статьи 4 Конвенции, без ограничения по сроку давности.</w:t>
      </w:r>
    </w:p>
    <w:p w:rsidR="00B22209" w:rsidRPr="000C6589" w:rsidRDefault="00B22209" w:rsidP="005438CE">
      <w:pPr>
        <w:pStyle w:val="H23GR"/>
        <w:rPr>
          <w:rStyle w:val="Strong"/>
          <w:bCs w:val="0"/>
        </w:rPr>
      </w:pPr>
      <w:r>
        <w:rPr>
          <w:rStyle w:val="Strong"/>
          <w:bCs w:val="0"/>
        </w:rPr>
        <w:tab/>
      </w:r>
      <w:r>
        <w:rPr>
          <w:rStyle w:val="Strong"/>
          <w:bCs w:val="0"/>
        </w:rPr>
        <w:tab/>
      </w:r>
      <w:r w:rsidRPr="00405CE2">
        <w:rPr>
          <w:rStyle w:val="Strong"/>
          <w:bCs w:val="0"/>
        </w:rPr>
        <w:t>Невыдворение и содержание под стражей в ожидании депортации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>9.</w:t>
      </w:r>
      <w:r>
        <w:rPr>
          <w:rStyle w:val="SingleTxtGChar1"/>
        </w:rPr>
        <w:tab/>
        <w:t>Комитет выражает обеспокоенность в связи со следующим: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a</w:t>
      </w:r>
      <w:r>
        <w:rPr>
          <w:rStyle w:val="SingleTxtGChar1"/>
        </w:rPr>
        <w:t>)</w:t>
      </w:r>
      <w:r>
        <w:rPr>
          <w:rStyle w:val="SingleTxtGChar1"/>
        </w:rPr>
        <w:tab/>
        <w:t>применением длительного, а в некоторых случаях бессрочного с</w:t>
      </w:r>
      <w:r>
        <w:rPr>
          <w:rStyle w:val="SingleTxtGChar1"/>
        </w:rPr>
        <w:t>о</w:t>
      </w:r>
      <w:r>
        <w:rPr>
          <w:rStyle w:val="SingleTxtGChar1"/>
        </w:rPr>
        <w:t>держания под стражей для просителей убежища, в отношении которых принято решение о депо</w:t>
      </w:r>
      <w:r w:rsidRPr="00405CE2">
        <w:rPr>
          <w:rStyle w:val="SingleTxtGChar1"/>
        </w:rPr>
        <w:t xml:space="preserve">ртации в соответствии с Законом </w:t>
      </w:r>
      <w:r>
        <w:rPr>
          <w:rStyle w:val="SingleTxtGChar1"/>
        </w:rPr>
        <w:t>о</w:t>
      </w:r>
      <w:r>
        <w:t>б иммиграционном контроле и признании статуса беженца</w:t>
      </w:r>
      <w:r w:rsidRPr="00405CE2">
        <w:rPr>
          <w:rStyle w:val="SingleTxtGChar1"/>
        </w:rPr>
        <w:t xml:space="preserve"> (ICRRA)</w:t>
      </w:r>
      <w:r>
        <w:rPr>
          <w:rStyle w:val="SingleTxtGChar1"/>
        </w:rPr>
        <w:t xml:space="preserve">, а также отсутствием независимого </w:t>
      </w:r>
      <w:r w:rsidRPr="00405CE2">
        <w:rPr>
          <w:rStyle w:val="SingleTxtGChar1"/>
        </w:rPr>
        <w:t>п</w:t>
      </w:r>
      <w:r w:rsidRPr="00405CE2">
        <w:rPr>
          <w:rStyle w:val="SingleTxtGChar1"/>
        </w:rPr>
        <w:t>е</w:t>
      </w:r>
      <w:r w:rsidRPr="00405CE2">
        <w:rPr>
          <w:rStyle w:val="SingleTxtGChar1"/>
        </w:rPr>
        <w:t>ресмотр</w:t>
      </w:r>
      <w:r>
        <w:rPr>
          <w:rStyle w:val="SingleTxtGChar1"/>
        </w:rPr>
        <w:t>а таких решений о содержании под стражей;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b</w:t>
      </w:r>
      <w:r>
        <w:rPr>
          <w:rStyle w:val="SingleTxtGChar1"/>
        </w:rPr>
        <w:t>)</w:t>
      </w:r>
      <w:r>
        <w:rPr>
          <w:rStyle w:val="SingleTxtGChar1"/>
        </w:rPr>
        <w:tab/>
        <w:t>ограниченным применением не связанных с содержанием под стражей мер для просителей убежища;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c</w:t>
      </w:r>
      <w:r>
        <w:rPr>
          <w:rStyle w:val="SingleTxtGChar1"/>
        </w:rPr>
        <w:t>)</w:t>
      </w:r>
      <w:r>
        <w:rPr>
          <w:rStyle w:val="SingleTxtGChar1"/>
        </w:rPr>
        <w:tab/>
        <w:t xml:space="preserve">нехваткой ресурсов и отсутствием у Комитета по инспектированию мест содержания мигрантов полномочий для эффективного выполнения своих полномочий, а также </w:t>
      </w:r>
      <w:r w:rsidRPr="00405CE2">
        <w:rPr>
          <w:rStyle w:val="SingleTxtGChar1"/>
        </w:rPr>
        <w:t>назначением</w:t>
      </w:r>
      <w:r>
        <w:rPr>
          <w:rStyle w:val="SingleTxtGChar1"/>
        </w:rPr>
        <w:t xml:space="preserve"> его членов Министерством юстиции и Имм</w:t>
      </w:r>
      <w:r>
        <w:rPr>
          <w:rStyle w:val="SingleTxtGChar1"/>
        </w:rPr>
        <w:t>и</w:t>
      </w:r>
      <w:r>
        <w:rPr>
          <w:rStyle w:val="SingleTxtGChar1"/>
        </w:rPr>
        <w:t>грационным бюро;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d</w:t>
      </w:r>
      <w:r>
        <w:rPr>
          <w:rStyle w:val="SingleTxtGChar1"/>
        </w:rPr>
        <w:t>)</w:t>
      </w:r>
      <w:r>
        <w:rPr>
          <w:rStyle w:val="SingleTxtGChar1"/>
        </w:rPr>
        <w:tab/>
        <w:t xml:space="preserve">содержанием несопровождаемых детей в </w:t>
      </w:r>
      <w:r w:rsidRPr="008577F2">
        <w:rPr>
          <w:rStyle w:val="SingleTxtGChar1"/>
        </w:rPr>
        <w:t>детских консультацио</w:t>
      </w:r>
      <w:r w:rsidRPr="008577F2">
        <w:rPr>
          <w:rStyle w:val="SingleTxtGChar1"/>
        </w:rPr>
        <w:t>н</w:t>
      </w:r>
      <w:r w:rsidRPr="008577F2">
        <w:rPr>
          <w:rStyle w:val="SingleTxtGChar1"/>
        </w:rPr>
        <w:t>ных центрах</w:t>
      </w:r>
      <w:r>
        <w:rPr>
          <w:rStyle w:val="SingleTxtGChar1"/>
        </w:rPr>
        <w:t>, которые зачастую переполнены, и нехваткой ресурсов для найма устных переводчиков;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e</w:t>
      </w:r>
      <w:r>
        <w:rPr>
          <w:rStyle w:val="SingleTxtGChar1"/>
        </w:rPr>
        <w:t>)</w:t>
      </w:r>
      <w:r>
        <w:rPr>
          <w:rStyle w:val="SingleTxtGChar1"/>
        </w:rPr>
        <w:tab/>
        <w:t>неэффективным применением статьи 53</w:t>
      </w:r>
      <w:r w:rsidR="00206B24">
        <w:rPr>
          <w:rStyle w:val="SingleTxtGChar1"/>
        </w:rPr>
        <w:t> </w:t>
      </w:r>
      <w:r>
        <w:rPr>
          <w:rStyle w:val="SingleTxtGChar1"/>
        </w:rPr>
        <w:t>(3) ICRRA, которая запр</w:t>
      </w:r>
      <w:r>
        <w:rPr>
          <w:rStyle w:val="SingleTxtGChar1"/>
        </w:rPr>
        <w:t>е</w:t>
      </w:r>
      <w:r>
        <w:rPr>
          <w:rStyle w:val="SingleTxtGChar1"/>
        </w:rPr>
        <w:t>щает высылку любого лица в какую-либо страну, где оно может быть подвер</w:t>
      </w:r>
      <w:r>
        <w:rPr>
          <w:rStyle w:val="SingleTxtGChar1"/>
        </w:rPr>
        <w:t>г</w:t>
      </w:r>
      <w:r>
        <w:rPr>
          <w:rStyle w:val="SingleTxtGChar1"/>
        </w:rPr>
        <w:t xml:space="preserve">нуто пыткам, согласно статье </w:t>
      </w:r>
      <w:r w:rsidRPr="008577F2">
        <w:rPr>
          <w:rStyle w:val="SingleTxtGChar1"/>
        </w:rPr>
        <w:t>3 Конвенции (статьи 3, 11 и 16)</w:t>
      </w:r>
      <w:r>
        <w:rPr>
          <w:rStyle w:val="SingleTxtGChar1"/>
        </w:rPr>
        <w:t>.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 xml:space="preserve">В свете предыдущих рекомендаций, сделанных Комитетом (пункт 14), а также </w:t>
      </w:r>
      <w:r w:rsidRPr="00476894">
        <w:rPr>
          <w:rStyle w:val="SingleTxtGChar1"/>
          <w:b/>
        </w:rPr>
        <w:t>рекомендаций</w:t>
      </w:r>
      <w:r>
        <w:rPr>
          <w:rStyle w:val="SingleTxtGChar1"/>
          <w:b/>
        </w:rPr>
        <w:t xml:space="preserve"> Специального докладчика по вопросу о правах чел</w:t>
      </w:r>
      <w:r>
        <w:rPr>
          <w:rStyle w:val="SingleTxtGChar1"/>
          <w:b/>
        </w:rPr>
        <w:t>о</w:t>
      </w:r>
      <w:r>
        <w:rPr>
          <w:rStyle w:val="SingleTxtGChar1"/>
          <w:b/>
        </w:rPr>
        <w:t xml:space="preserve">века мигрантов по итогам его </w:t>
      </w:r>
      <w:r w:rsidRPr="00476894">
        <w:rPr>
          <w:rStyle w:val="SingleTxtGChar1"/>
          <w:b/>
        </w:rPr>
        <w:t>поездки</w:t>
      </w:r>
      <w:r>
        <w:rPr>
          <w:rStyle w:val="SingleTxtGChar1"/>
          <w:b/>
        </w:rPr>
        <w:t xml:space="preserve"> в Японию в 2011 году (A/HRC/17/</w:t>
      </w:r>
      <w:r w:rsidR="005438CE">
        <w:rPr>
          <w:rStyle w:val="SingleTxtGChar1"/>
          <w:b/>
        </w:rPr>
        <w:t xml:space="preserve"> </w:t>
      </w:r>
      <w:r>
        <w:rPr>
          <w:rStyle w:val="SingleTxtGChar1"/>
          <w:b/>
        </w:rPr>
        <w:t>33/Add.3, пункт 82) государству-участнику следует: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a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продолжать свои усилия в области приведения всей законод</w:t>
      </w:r>
      <w:r>
        <w:rPr>
          <w:rStyle w:val="SingleTxtGChar1"/>
          <w:b/>
        </w:rPr>
        <w:t>а</w:t>
      </w:r>
      <w:r>
        <w:rPr>
          <w:rStyle w:val="SingleTxtGChar1"/>
          <w:b/>
        </w:rPr>
        <w:t xml:space="preserve">тельной и прочей практики в отношении </w:t>
      </w:r>
      <w:r w:rsidRPr="00476894">
        <w:rPr>
          <w:rStyle w:val="SingleTxtGChar1"/>
          <w:b/>
        </w:rPr>
        <w:t>содержания под стражей и депо</w:t>
      </w:r>
      <w:r w:rsidRPr="00476894">
        <w:rPr>
          <w:rStyle w:val="SingleTxtGChar1"/>
          <w:b/>
        </w:rPr>
        <w:t>р</w:t>
      </w:r>
      <w:r w:rsidRPr="00476894">
        <w:rPr>
          <w:rStyle w:val="SingleTxtGChar1"/>
          <w:b/>
        </w:rPr>
        <w:t>тации иммигрантов и просителей убежища в соответствие с абсолютным принципом невозвращения</w:t>
      </w:r>
      <w:r>
        <w:rPr>
          <w:rStyle w:val="SingleTxtGChar1"/>
          <w:b/>
        </w:rPr>
        <w:t xml:space="preserve"> согласно статье 3 Конвенции;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b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обес</w:t>
      </w:r>
      <w:r w:rsidRPr="00476894">
        <w:rPr>
          <w:rStyle w:val="SingleTxtGChar1"/>
          <w:b/>
        </w:rPr>
        <w:t xml:space="preserve">печить применение содержания под стражей просителей убежища только в качестве крайней меры и, если возникает необходимость применения такой меры, использовать максимально короткий срок, а также установить максимальный </w:t>
      </w:r>
      <w:r>
        <w:rPr>
          <w:rStyle w:val="SingleTxtGChar1"/>
          <w:b/>
        </w:rPr>
        <w:t xml:space="preserve">допустимый </w:t>
      </w:r>
      <w:r w:rsidRPr="00476894">
        <w:rPr>
          <w:rStyle w:val="SingleTxtGChar1"/>
          <w:b/>
        </w:rPr>
        <w:t>срок содержания под стр</w:t>
      </w:r>
      <w:r w:rsidRPr="00476894">
        <w:rPr>
          <w:rStyle w:val="SingleTxtGChar1"/>
          <w:b/>
        </w:rPr>
        <w:t>а</w:t>
      </w:r>
      <w:r w:rsidRPr="00476894">
        <w:rPr>
          <w:rStyle w:val="SingleTxtGChar1"/>
          <w:b/>
        </w:rPr>
        <w:t>жей в ожидании депортации</w:t>
      </w:r>
      <w:r>
        <w:rPr>
          <w:rStyle w:val="SingleTxtGChar1"/>
          <w:b/>
        </w:rPr>
        <w:t>;</w:t>
      </w:r>
    </w:p>
    <w:p w:rsidR="00B22209" w:rsidRPr="00A92C95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c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 xml:space="preserve">продолжать использовать меры, альтернативные </w:t>
      </w:r>
      <w:r w:rsidRPr="00476894">
        <w:rPr>
          <w:rStyle w:val="SingleTxtGChar1"/>
          <w:b/>
        </w:rPr>
        <w:t xml:space="preserve">содержанию под стражей, согласно Закону об иммиграционном контроле и признании </w:t>
      </w:r>
      <w:r>
        <w:rPr>
          <w:rStyle w:val="SingleTxtGChar1"/>
          <w:b/>
        </w:rPr>
        <w:t xml:space="preserve">статуса </w:t>
      </w:r>
      <w:r w:rsidRPr="00476894">
        <w:rPr>
          <w:rStyle w:val="SingleTxtGChar1"/>
          <w:b/>
        </w:rPr>
        <w:t>беженц</w:t>
      </w:r>
      <w:r>
        <w:rPr>
          <w:rStyle w:val="SingleTxtGChar1"/>
          <w:b/>
        </w:rPr>
        <w:t>а;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d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повышать</w:t>
      </w:r>
      <w:r w:rsidRPr="00434729">
        <w:rPr>
          <w:rStyle w:val="SingleTxtGChar1"/>
          <w:b/>
        </w:rPr>
        <w:t xml:space="preserve"> независимост</w:t>
      </w:r>
      <w:r>
        <w:rPr>
          <w:rStyle w:val="SingleTxtGChar1"/>
          <w:b/>
        </w:rPr>
        <w:t>ь</w:t>
      </w:r>
      <w:r w:rsidRPr="00434729">
        <w:rPr>
          <w:rStyle w:val="SingleTxtGChar1"/>
          <w:b/>
        </w:rPr>
        <w:t>, полномочи</w:t>
      </w:r>
      <w:r>
        <w:rPr>
          <w:rStyle w:val="SingleTxtGChar1"/>
          <w:b/>
        </w:rPr>
        <w:t>я</w:t>
      </w:r>
      <w:r w:rsidRPr="00434729">
        <w:rPr>
          <w:rStyle w:val="SingleTxtGChar1"/>
          <w:b/>
        </w:rPr>
        <w:t xml:space="preserve"> и эффективност</w:t>
      </w:r>
      <w:r>
        <w:rPr>
          <w:rStyle w:val="SingleTxtGChar1"/>
          <w:b/>
        </w:rPr>
        <w:t>ь</w:t>
      </w:r>
      <w:r w:rsidRPr="00434729">
        <w:rPr>
          <w:rStyle w:val="SingleTxtGChar1"/>
          <w:b/>
        </w:rPr>
        <w:t xml:space="preserve"> Ком</w:t>
      </w:r>
      <w:r w:rsidRPr="00434729">
        <w:rPr>
          <w:rStyle w:val="SingleTxtGChar1"/>
          <w:b/>
        </w:rPr>
        <w:t>и</w:t>
      </w:r>
      <w:r w:rsidRPr="00434729">
        <w:rPr>
          <w:rStyle w:val="SingleTxtGChar1"/>
          <w:b/>
        </w:rPr>
        <w:t xml:space="preserve">тета по </w:t>
      </w:r>
      <w:r>
        <w:rPr>
          <w:rStyle w:val="SingleTxtGChar1"/>
          <w:b/>
        </w:rPr>
        <w:t>инспектированию</w:t>
      </w:r>
      <w:r w:rsidRPr="00434729">
        <w:rPr>
          <w:rStyle w:val="SingleTxtGChar1"/>
          <w:b/>
        </w:rPr>
        <w:t xml:space="preserve"> мест содержания мигрантов, в частности, пр</w:t>
      </w:r>
      <w:r w:rsidRPr="00434729">
        <w:rPr>
          <w:rStyle w:val="SingleTxtGChar1"/>
          <w:b/>
        </w:rPr>
        <w:t>е</w:t>
      </w:r>
      <w:r w:rsidRPr="00434729">
        <w:rPr>
          <w:rStyle w:val="SingleTxtGChar1"/>
          <w:b/>
        </w:rPr>
        <w:t>достав</w:t>
      </w:r>
      <w:r>
        <w:rPr>
          <w:rStyle w:val="SingleTxtGChar1"/>
          <w:b/>
        </w:rPr>
        <w:t>ив</w:t>
      </w:r>
      <w:r w:rsidRPr="00434729">
        <w:rPr>
          <w:rStyle w:val="SingleTxtGChar1"/>
          <w:b/>
        </w:rPr>
        <w:t xml:space="preserve"> соответствующие ресурсы и полномочия для эффективной пр</w:t>
      </w:r>
      <w:r w:rsidRPr="00434729">
        <w:rPr>
          <w:rStyle w:val="SingleTxtGChar1"/>
          <w:b/>
        </w:rPr>
        <w:t>о</w:t>
      </w:r>
      <w:r w:rsidRPr="00434729">
        <w:rPr>
          <w:rStyle w:val="SingleTxtGChar1"/>
          <w:b/>
        </w:rPr>
        <w:t xml:space="preserve">верки центров содержания и </w:t>
      </w:r>
      <w:r>
        <w:rPr>
          <w:rStyle w:val="SingleTxtGChar1"/>
          <w:b/>
        </w:rPr>
        <w:t>разрешив ему</w:t>
      </w:r>
      <w:r w:rsidRPr="00434729">
        <w:rPr>
          <w:rStyle w:val="SingleTxtGChar1"/>
          <w:b/>
        </w:rPr>
        <w:t xml:space="preserve"> получать и проверять</w:t>
      </w:r>
      <w:r>
        <w:rPr>
          <w:rStyle w:val="SingleTxtGChar1"/>
          <w:b/>
        </w:rPr>
        <w:t xml:space="preserve"> жалобы мигрантов или просителей уб</w:t>
      </w:r>
      <w:r w:rsidR="00206B24">
        <w:rPr>
          <w:rStyle w:val="SingleTxtGChar1"/>
          <w:b/>
        </w:rPr>
        <w:t>ежища, находящихся в заключении;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e</w:t>
      </w:r>
      <w:r w:rsidR="000C4164">
        <w:rPr>
          <w:rStyle w:val="SingleTxtGChar1"/>
          <w:b/>
        </w:rPr>
        <w:t>)</w:t>
      </w:r>
      <w:r w:rsidR="000C4164">
        <w:rPr>
          <w:rStyle w:val="SingleTxtGChar1"/>
          <w:b/>
        </w:rPr>
        <w:tab/>
      </w:r>
      <w:r>
        <w:rPr>
          <w:rStyle w:val="SingleTxtGChar1"/>
          <w:b/>
        </w:rPr>
        <w:t>рассмотреть возможность присоединения к Конвенции 1954 г</w:t>
      </w:r>
      <w:r>
        <w:rPr>
          <w:rStyle w:val="SingleTxtGChar1"/>
          <w:b/>
        </w:rPr>
        <w:t>о</w:t>
      </w:r>
      <w:r>
        <w:rPr>
          <w:rStyle w:val="SingleTxtGChar1"/>
          <w:b/>
        </w:rPr>
        <w:t>да о статусе апатридов и к Конвенции 1961 года о сокращении безгражда</w:t>
      </w:r>
      <w:r>
        <w:rPr>
          <w:rStyle w:val="SingleTxtGChar1"/>
          <w:b/>
        </w:rPr>
        <w:t>н</w:t>
      </w:r>
      <w:r>
        <w:rPr>
          <w:rStyle w:val="SingleTxtGChar1"/>
          <w:b/>
        </w:rPr>
        <w:t>ства.</w:t>
      </w:r>
    </w:p>
    <w:p w:rsidR="00B22209" w:rsidRPr="000C6589" w:rsidRDefault="00B22209" w:rsidP="00162396">
      <w:pPr>
        <w:pStyle w:val="H23GR"/>
      </w:pPr>
      <w:r>
        <w:tab/>
      </w:r>
      <w:r>
        <w:tab/>
        <w:t xml:space="preserve">Дайо Кангоку </w:t>
      </w:r>
      <w:r>
        <w:rPr>
          <w:rStyle w:val="SingleTxtGChar"/>
        </w:rPr>
        <w:t>(альтернативная система мест содержания под стражей)</w:t>
      </w:r>
    </w:p>
    <w:p w:rsidR="00B22209" w:rsidRPr="00FF42D1" w:rsidRDefault="00B22209" w:rsidP="00162396">
      <w:pPr>
        <w:pStyle w:val="SingleTxtGR"/>
        <w:rPr>
          <w:rStyle w:val="IntenseEmphasis1"/>
          <w:i w:val="0"/>
          <w:color w:val="000000"/>
        </w:rPr>
      </w:pPr>
      <w:r w:rsidRPr="00FF42D1">
        <w:rPr>
          <w:rStyle w:val="IntenseEmphasis1"/>
          <w:i w:val="0"/>
          <w:color w:val="000000"/>
        </w:rPr>
        <w:t>10.</w:t>
      </w:r>
      <w:r w:rsidRPr="00FF42D1">
        <w:rPr>
          <w:rStyle w:val="IntenseEmphasis1"/>
          <w:i w:val="0"/>
          <w:color w:val="000000"/>
        </w:rPr>
        <w:tab/>
        <w:t xml:space="preserve">Отмечая </w:t>
      </w:r>
      <w:r>
        <w:rPr>
          <w:rStyle w:val="IntenseEmphasis1"/>
          <w:i w:val="0"/>
          <w:color w:val="000000"/>
        </w:rPr>
        <w:t>официальное</w:t>
      </w:r>
      <w:r w:rsidRPr="00FF42D1">
        <w:rPr>
          <w:rStyle w:val="IntenseEmphasis1"/>
          <w:i w:val="0"/>
          <w:color w:val="000000"/>
        </w:rPr>
        <w:t xml:space="preserve"> раз</w:t>
      </w:r>
      <w:r>
        <w:rPr>
          <w:rStyle w:val="IntenseEmphasis1"/>
          <w:i w:val="0"/>
          <w:color w:val="000000"/>
        </w:rPr>
        <w:t>граничение</w:t>
      </w:r>
      <w:r w:rsidRPr="00FF42D1">
        <w:rPr>
          <w:rStyle w:val="IntenseEmphasis1"/>
          <w:i w:val="0"/>
          <w:color w:val="000000"/>
        </w:rPr>
        <w:t xml:space="preserve"> функций полиции, связанных с проведением расследований и содержанием под стражей</w:t>
      </w:r>
      <w:r>
        <w:rPr>
          <w:rStyle w:val="IntenseEmphasis1"/>
          <w:i w:val="0"/>
          <w:color w:val="000000"/>
        </w:rPr>
        <w:t>, согласно</w:t>
      </w:r>
      <w:r w:rsidRPr="00FF42D1">
        <w:rPr>
          <w:rStyle w:val="IntenseEmphasis1"/>
          <w:i w:val="0"/>
          <w:color w:val="000000"/>
        </w:rPr>
        <w:t xml:space="preserve"> Закон</w:t>
      </w:r>
      <w:r>
        <w:rPr>
          <w:rStyle w:val="IntenseEmphasis1"/>
          <w:i w:val="0"/>
          <w:color w:val="000000"/>
        </w:rPr>
        <w:t>у</w:t>
      </w:r>
      <w:r w:rsidRPr="00FF42D1">
        <w:rPr>
          <w:rStyle w:val="IntenseEmphasis1"/>
          <w:i w:val="0"/>
          <w:color w:val="000000"/>
        </w:rPr>
        <w:t xml:space="preserve"> о п</w:t>
      </w:r>
      <w:r w:rsidRPr="00FF42D1">
        <w:rPr>
          <w:rStyle w:val="IntenseEmphasis1"/>
          <w:i w:val="0"/>
          <w:color w:val="000000"/>
        </w:rPr>
        <w:t>е</w:t>
      </w:r>
      <w:r w:rsidRPr="00FF42D1">
        <w:rPr>
          <w:rStyle w:val="IntenseEmphasis1"/>
          <w:i w:val="0"/>
          <w:color w:val="000000"/>
        </w:rPr>
        <w:t>нитенциарных учреждениях и местах лишения свободы и об обращении с з</w:t>
      </w:r>
      <w:r w:rsidRPr="00FF42D1">
        <w:rPr>
          <w:rStyle w:val="IntenseEmphasis1"/>
          <w:i w:val="0"/>
          <w:color w:val="000000"/>
        </w:rPr>
        <w:t>а</w:t>
      </w:r>
      <w:r w:rsidRPr="00FF42D1">
        <w:rPr>
          <w:rStyle w:val="IntenseEmphasis1"/>
          <w:i w:val="0"/>
          <w:color w:val="000000"/>
        </w:rPr>
        <w:t>ключенными и лицами, лишенными своб</w:t>
      </w:r>
      <w:r w:rsidRPr="00434729">
        <w:rPr>
          <w:rStyle w:val="IntenseEmphasis1"/>
          <w:i w:val="0"/>
          <w:color w:val="000000"/>
        </w:rPr>
        <w:t>оды, Комитет выражает серьезную обеспокоенность в связи с отсутствием гарантий в системе учреждений Дайо Кангоку, что негативно влияет на соблюдение государством-участником обяз</w:t>
      </w:r>
      <w:r w:rsidRPr="00434729">
        <w:rPr>
          <w:rStyle w:val="IntenseEmphasis1"/>
          <w:i w:val="0"/>
          <w:color w:val="000000"/>
        </w:rPr>
        <w:t>а</w:t>
      </w:r>
      <w:r w:rsidRPr="00434729">
        <w:rPr>
          <w:rStyle w:val="IntenseEmphasis1"/>
          <w:i w:val="0"/>
          <w:color w:val="000000"/>
        </w:rPr>
        <w:t>тельств</w:t>
      </w:r>
      <w:r>
        <w:rPr>
          <w:rStyle w:val="IntenseEmphasis1"/>
          <w:i w:val="0"/>
          <w:color w:val="000000"/>
        </w:rPr>
        <w:t xml:space="preserve"> по</w:t>
      </w:r>
      <w:r w:rsidRPr="00FF42D1">
        <w:rPr>
          <w:rStyle w:val="IntenseEmphasis1"/>
          <w:i w:val="0"/>
          <w:color w:val="000000"/>
        </w:rPr>
        <w:t xml:space="preserve"> Конвенции. В частности</w:t>
      </w:r>
      <w:r w:rsidR="00206B24">
        <w:rPr>
          <w:rStyle w:val="IntenseEmphasis1"/>
          <w:i w:val="0"/>
          <w:color w:val="000000"/>
        </w:rPr>
        <w:t>,</w:t>
      </w:r>
      <w:r w:rsidRPr="00FF42D1">
        <w:rPr>
          <w:rStyle w:val="IntenseEmphasis1"/>
          <w:i w:val="0"/>
          <w:color w:val="000000"/>
        </w:rPr>
        <w:t xml:space="preserve"> Комитет глубоко сожалеет о том, что в этих учреждени</w:t>
      </w:r>
      <w:r>
        <w:rPr>
          <w:rStyle w:val="IntenseEmphasis1"/>
          <w:i w:val="0"/>
          <w:color w:val="000000"/>
        </w:rPr>
        <w:t>ях</w:t>
      </w:r>
      <w:r w:rsidRPr="00FF42D1">
        <w:rPr>
          <w:rStyle w:val="IntenseEmphasis1"/>
          <w:i w:val="0"/>
          <w:color w:val="000000"/>
        </w:rPr>
        <w:t xml:space="preserve"> подозреваемые могут находиться под стражей в </w:t>
      </w:r>
      <w:r>
        <w:rPr>
          <w:rStyle w:val="IntenseEmphasis1"/>
          <w:i w:val="0"/>
          <w:color w:val="000000"/>
        </w:rPr>
        <w:t>полицейских из</w:t>
      </w:r>
      <w:r>
        <w:rPr>
          <w:rStyle w:val="IntenseEmphasis1"/>
          <w:i w:val="0"/>
          <w:color w:val="000000"/>
        </w:rPr>
        <w:t>о</w:t>
      </w:r>
      <w:r>
        <w:rPr>
          <w:rStyle w:val="IntenseEmphasis1"/>
          <w:i w:val="0"/>
          <w:color w:val="000000"/>
        </w:rPr>
        <w:t>ляторах</w:t>
      </w:r>
      <w:r w:rsidRPr="00FF42D1">
        <w:rPr>
          <w:rStyle w:val="IntenseEmphasis1"/>
          <w:i w:val="0"/>
          <w:color w:val="000000"/>
        </w:rPr>
        <w:t xml:space="preserve"> до 23 дней, имея ограниченный доступ к адвокату, особенно в теч</w:t>
      </w:r>
      <w:r w:rsidRPr="00FF42D1">
        <w:rPr>
          <w:rStyle w:val="IntenseEmphasis1"/>
          <w:i w:val="0"/>
          <w:color w:val="000000"/>
        </w:rPr>
        <w:t>е</w:t>
      </w:r>
      <w:r w:rsidRPr="00FF42D1">
        <w:rPr>
          <w:rStyle w:val="IntenseEmphasis1"/>
          <w:i w:val="0"/>
          <w:color w:val="000000"/>
        </w:rPr>
        <w:t>ние первых 72 часов после ареста, и без возможности освобождения под залог. О</w:t>
      </w:r>
      <w:r w:rsidRPr="00FF42D1">
        <w:rPr>
          <w:rStyle w:val="IntenseEmphasis1"/>
          <w:i w:val="0"/>
          <w:color w:val="000000"/>
        </w:rPr>
        <w:t>т</w:t>
      </w:r>
      <w:r w:rsidRPr="00FF42D1">
        <w:rPr>
          <w:rStyle w:val="IntenseEmphasis1"/>
          <w:i w:val="0"/>
          <w:color w:val="000000"/>
        </w:rPr>
        <w:t xml:space="preserve">сутствие </w:t>
      </w:r>
      <w:r>
        <w:rPr>
          <w:rStyle w:val="IntenseEmphasis1"/>
          <w:i w:val="0"/>
          <w:color w:val="000000"/>
        </w:rPr>
        <w:t xml:space="preserve">эффективного судебного </w:t>
      </w:r>
      <w:r w:rsidRPr="00FF42D1">
        <w:rPr>
          <w:rStyle w:val="IntenseEmphasis1"/>
          <w:i w:val="0"/>
          <w:color w:val="000000"/>
        </w:rPr>
        <w:t xml:space="preserve">контроля </w:t>
      </w:r>
      <w:r>
        <w:rPr>
          <w:rStyle w:val="IntenseEmphasis1"/>
          <w:i w:val="0"/>
          <w:color w:val="000000"/>
        </w:rPr>
        <w:t>над</w:t>
      </w:r>
      <w:r w:rsidRPr="00FF42D1">
        <w:rPr>
          <w:rStyle w:val="IntenseEmphasis1"/>
          <w:i w:val="0"/>
          <w:color w:val="000000"/>
        </w:rPr>
        <w:t xml:space="preserve"> </w:t>
      </w:r>
      <w:r>
        <w:rPr>
          <w:rStyle w:val="IntenseEmphasis1"/>
          <w:i w:val="0"/>
          <w:color w:val="000000"/>
        </w:rPr>
        <w:t xml:space="preserve">досудебным </w:t>
      </w:r>
      <w:r w:rsidRPr="00FF42D1">
        <w:rPr>
          <w:rStyle w:val="IntenseEmphasis1"/>
          <w:i w:val="0"/>
          <w:color w:val="000000"/>
        </w:rPr>
        <w:t xml:space="preserve">содержанием в </w:t>
      </w:r>
      <w:r>
        <w:rPr>
          <w:rStyle w:val="IntenseEmphasis1"/>
          <w:i w:val="0"/>
          <w:color w:val="000000"/>
        </w:rPr>
        <w:t>изоляторах</w:t>
      </w:r>
      <w:r w:rsidRPr="00FF42D1">
        <w:rPr>
          <w:rStyle w:val="IntenseEmphasis1"/>
          <w:i w:val="0"/>
          <w:color w:val="000000"/>
        </w:rPr>
        <w:t xml:space="preserve"> и отсутствие </w:t>
      </w:r>
      <w:r>
        <w:rPr>
          <w:rStyle w:val="IntenseEmphasis1"/>
          <w:i w:val="0"/>
          <w:color w:val="000000"/>
        </w:rPr>
        <w:t xml:space="preserve">независимых и </w:t>
      </w:r>
      <w:r w:rsidRPr="00FF42D1">
        <w:rPr>
          <w:rStyle w:val="IntenseEmphasis1"/>
          <w:i w:val="0"/>
          <w:color w:val="000000"/>
        </w:rPr>
        <w:t xml:space="preserve">эффективных механизмов проверки и подачи жалоб также вызывают серьезную обеспокоенность. </w:t>
      </w:r>
      <w:r w:rsidRPr="00FF42D1">
        <w:t>Более того</w:t>
      </w:r>
      <w:r>
        <w:t>, Ком</w:t>
      </w:r>
      <w:r>
        <w:t>и</w:t>
      </w:r>
      <w:r>
        <w:t>тет с сожалением отмечает</w:t>
      </w:r>
      <w:r w:rsidRPr="00FF42D1">
        <w:t xml:space="preserve"> </w:t>
      </w:r>
      <w:r>
        <w:t>мнение</w:t>
      </w:r>
      <w:r w:rsidRPr="00FF42D1">
        <w:t xml:space="preserve"> государства-участника о</w:t>
      </w:r>
      <w:r>
        <w:t>б</w:t>
      </w:r>
      <w:r w:rsidRPr="00FF42D1">
        <w:t xml:space="preserve"> </w:t>
      </w:r>
      <w:r>
        <w:t>отсутствии нео</w:t>
      </w:r>
      <w:r>
        <w:t>б</w:t>
      </w:r>
      <w:r>
        <w:t>ходимости в</w:t>
      </w:r>
      <w:r w:rsidRPr="00FF42D1">
        <w:t xml:space="preserve"> упразднени</w:t>
      </w:r>
      <w:r>
        <w:t>и</w:t>
      </w:r>
      <w:r w:rsidRPr="00FF42D1">
        <w:t xml:space="preserve"> или реформ</w:t>
      </w:r>
      <w:r>
        <w:t>ировании</w:t>
      </w:r>
      <w:r w:rsidRPr="00FF42D1">
        <w:t xml:space="preserve"> системы </w:t>
      </w:r>
      <w:r>
        <w:t>досудебного</w:t>
      </w:r>
      <w:r w:rsidRPr="00FF42D1">
        <w:t xml:space="preserve"> содерж</w:t>
      </w:r>
      <w:r w:rsidRPr="00FF42D1">
        <w:t>а</w:t>
      </w:r>
      <w:r w:rsidRPr="00FF42D1">
        <w:t>ния под стражей</w:t>
      </w:r>
      <w:r>
        <w:t xml:space="preserve"> в полиции</w:t>
      </w:r>
      <w:r w:rsidRPr="00FF42D1">
        <w:t xml:space="preserve"> (A/HRC/22/14/Add.1, пункт 147.1</w:t>
      </w:r>
      <w:r w:rsidRPr="00B654D7">
        <w:t>16</w:t>
      </w:r>
      <w:r w:rsidRPr="007B451E">
        <w:rPr>
          <w:rStyle w:val="IntenseEmphasis1"/>
          <w:i w:val="0"/>
          <w:color w:val="000000"/>
        </w:rPr>
        <w:t>)</w:t>
      </w:r>
      <w:r w:rsidRPr="00B654D7">
        <w:rPr>
          <w:rStyle w:val="IntenseEmphasis1"/>
          <w:color w:val="000000"/>
        </w:rPr>
        <w:t xml:space="preserve"> </w:t>
      </w:r>
      <w:r w:rsidRPr="00FF42D1">
        <w:rPr>
          <w:rStyle w:val="IntenseEmphasis1"/>
          <w:i w:val="0"/>
          <w:color w:val="000000"/>
        </w:rPr>
        <w:t>(статьи 2 и 16).</w:t>
      </w:r>
    </w:p>
    <w:p w:rsidR="00B22209" w:rsidRPr="00434729" w:rsidRDefault="00B22209" w:rsidP="00162396">
      <w:pPr>
        <w:pStyle w:val="SingleTxtGR"/>
        <w:rPr>
          <w:rStyle w:val="IntenseEmphasis1"/>
          <w:b/>
          <w:i w:val="0"/>
          <w:color w:val="000000"/>
        </w:rPr>
      </w:pPr>
      <w:r>
        <w:rPr>
          <w:b/>
        </w:rPr>
        <w:t>Комит</w:t>
      </w:r>
      <w:r w:rsidRPr="00434729">
        <w:rPr>
          <w:b/>
        </w:rPr>
        <w:t xml:space="preserve">ет вновь подтверждает </w:t>
      </w:r>
      <w:r>
        <w:rPr>
          <w:b/>
        </w:rPr>
        <w:t xml:space="preserve">свою </w:t>
      </w:r>
      <w:r w:rsidRPr="00434729">
        <w:rPr>
          <w:b/>
        </w:rPr>
        <w:t>предыдущую рекомендацию</w:t>
      </w:r>
      <w:r>
        <w:rPr>
          <w:b/>
        </w:rPr>
        <w:t xml:space="preserve"> (пункт 15)</w:t>
      </w:r>
      <w:r w:rsidRPr="00434729">
        <w:rPr>
          <w:b/>
        </w:rPr>
        <w:t>, согласно которой государству-участнику следует</w:t>
      </w:r>
      <w:r w:rsidRPr="00434729">
        <w:rPr>
          <w:rStyle w:val="IntenseEmphasis1"/>
          <w:b/>
          <w:color w:val="000000"/>
        </w:rPr>
        <w:t>:</w:t>
      </w:r>
    </w:p>
    <w:p w:rsidR="00B22209" w:rsidRPr="005A0649" w:rsidRDefault="00B22209" w:rsidP="00162396">
      <w:pPr>
        <w:pStyle w:val="SingleTxtGR"/>
        <w:rPr>
          <w:rStyle w:val="IntenseEmphasis1"/>
          <w:b/>
          <w:i w:val="0"/>
          <w:color w:val="000000"/>
        </w:rPr>
      </w:pPr>
      <w:r w:rsidRPr="00434729">
        <w:rPr>
          <w:rStyle w:val="IntenseEmphasis1"/>
          <w:b/>
          <w:color w:val="000000"/>
        </w:rPr>
        <w:tab/>
      </w:r>
      <w:r>
        <w:rPr>
          <w:rStyle w:val="IntenseEmphasis1"/>
          <w:b/>
          <w:i w:val="0"/>
          <w:color w:val="000000"/>
          <w:lang w:val="en-US"/>
        </w:rPr>
        <w:t>a</w:t>
      </w:r>
      <w:r w:rsidRPr="00434729">
        <w:rPr>
          <w:rStyle w:val="IntenseEmphasis1"/>
          <w:b/>
          <w:i w:val="0"/>
          <w:color w:val="000000"/>
        </w:rPr>
        <w:t>)</w:t>
      </w:r>
      <w:r w:rsidRPr="00434729">
        <w:rPr>
          <w:rStyle w:val="IntenseEmphasis1"/>
          <w:b/>
          <w:i w:val="0"/>
          <w:color w:val="000000"/>
        </w:rPr>
        <w:tab/>
        <w:t>принять меры на законодательном и прочих уровнях для обе</w:t>
      </w:r>
      <w:r w:rsidRPr="00434729">
        <w:rPr>
          <w:rStyle w:val="IntenseEmphasis1"/>
          <w:b/>
          <w:i w:val="0"/>
          <w:color w:val="000000"/>
        </w:rPr>
        <w:t>с</w:t>
      </w:r>
      <w:r w:rsidRPr="00434729">
        <w:rPr>
          <w:rStyle w:val="IntenseEmphasis1"/>
          <w:b/>
          <w:i w:val="0"/>
          <w:color w:val="000000"/>
        </w:rPr>
        <w:t xml:space="preserve">печения на практике разграничения функций </w:t>
      </w:r>
      <w:r>
        <w:rPr>
          <w:rStyle w:val="IntenseEmphasis1"/>
          <w:b/>
          <w:i w:val="0"/>
          <w:color w:val="000000"/>
        </w:rPr>
        <w:t>по проведению расследов</w:t>
      </w:r>
      <w:r>
        <w:rPr>
          <w:rStyle w:val="IntenseEmphasis1"/>
          <w:b/>
          <w:i w:val="0"/>
          <w:color w:val="000000"/>
        </w:rPr>
        <w:t>а</w:t>
      </w:r>
      <w:r>
        <w:rPr>
          <w:rStyle w:val="IntenseEmphasis1"/>
          <w:b/>
          <w:i w:val="0"/>
          <w:color w:val="000000"/>
        </w:rPr>
        <w:t>ния</w:t>
      </w:r>
      <w:r w:rsidRPr="00434729">
        <w:rPr>
          <w:rStyle w:val="IntenseEmphasis1"/>
          <w:b/>
          <w:i w:val="0"/>
          <w:color w:val="000000"/>
        </w:rPr>
        <w:t xml:space="preserve"> и содержани</w:t>
      </w:r>
      <w:r>
        <w:rPr>
          <w:rStyle w:val="IntenseEmphasis1"/>
          <w:b/>
          <w:i w:val="0"/>
          <w:color w:val="000000"/>
        </w:rPr>
        <w:t>ю</w:t>
      </w:r>
      <w:r w:rsidR="007B451E">
        <w:rPr>
          <w:rStyle w:val="IntenseEmphasis1"/>
          <w:b/>
          <w:i w:val="0"/>
          <w:color w:val="000000"/>
        </w:rPr>
        <w:t xml:space="preserve"> под стражей;</w:t>
      </w:r>
    </w:p>
    <w:p w:rsidR="00B22209" w:rsidRPr="005A0649" w:rsidRDefault="00B22209" w:rsidP="00162396">
      <w:pPr>
        <w:pStyle w:val="SingleTxtGR"/>
        <w:rPr>
          <w:rStyle w:val="IntenseEmphasis1"/>
          <w:b/>
          <w:i w:val="0"/>
          <w:color w:val="000000"/>
        </w:rPr>
      </w:pPr>
      <w:r w:rsidRPr="005A0649">
        <w:rPr>
          <w:rStyle w:val="IntenseEmphasis1"/>
          <w:b/>
          <w:i w:val="0"/>
          <w:color w:val="000000"/>
        </w:rPr>
        <w:tab/>
      </w:r>
      <w:r>
        <w:rPr>
          <w:rStyle w:val="IntenseEmphasis1"/>
          <w:b/>
          <w:i w:val="0"/>
          <w:color w:val="000000"/>
          <w:lang w:val="en-US"/>
        </w:rPr>
        <w:t>b</w:t>
      </w:r>
      <w:r w:rsidRPr="005A0649">
        <w:rPr>
          <w:rStyle w:val="IntenseEmphasis1"/>
          <w:b/>
          <w:i w:val="0"/>
          <w:color w:val="000000"/>
        </w:rPr>
        <w:t>)</w:t>
      </w:r>
      <w:r w:rsidRPr="005A0649">
        <w:rPr>
          <w:rStyle w:val="IntenseEmphasis1"/>
          <w:b/>
          <w:i w:val="0"/>
          <w:color w:val="000000"/>
        </w:rPr>
        <w:tab/>
        <w:t>ограничить максимальный срок, который заключенные пров</w:t>
      </w:r>
      <w:r w:rsidRPr="005A0649">
        <w:rPr>
          <w:rStyle w:val="IntenseEmphasis1"/>
          <w:b/>
          <w:i w:val="0"/>
          <w:color w:val="000000"/>
        </w:rPr>
        <w:t>о</w:t>
      </w:r>
      <w:r w:rsidR="007B451E">
        <w:rPr>
          <w:rStyle w:val="IntenseEmphasis1"/>
          <w:b/>
          <w:i w:val="0"/>
          <w:color w:val="000000"/>
        </w:rPr>
        <w:t>дят под стражей в полиции;</w:t>
      </w:r>
    </w:p>
    <w:p w:rsidR="007B451E" w:rsidRPr="0043472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обеспечить все основные правовые гарантии для всех подозр</w:t>
      </w:r>
      <w:r>
        <w:rPr>
          <w:b/>
        </w:rPr>
        <w:t>е</w:t>
      </w:r>
      <w:r>
        <w:rPr>
          <w:b/>
        </w:rPr>
        <w:t xml:space="preserve">ваемых, содержащихся под стражей до суда, включая право на </w:t>
      </w:r>
      <w:r w:rsidRPr="00434729">
        <w:rPr>
          <w:b/>
        </w:rPr>
        <w:t>конфиде</w:t>
      </w:r>
      <w:r w:rsidRPr="00434729">
        <w:rPr>
          <w:b/>
        </w:rPr>
        <w:t>н</w:t>
      </w:r>
      <w:r w:rsidRPr="00434729">
        <w:rPr>
          <w:b/>
        </w:rPr>
        <w:t>циальное общение с адвокатом в ходе допросов, на доступ к правовой п</w:t>
      </w:r>
      <w:r w:rsidRPr="00434729">
        <w:rPr>
          <w:b/>
        </w:rPr>
        <w:t>о</w:t>
      </w:r>
      <w:r w:rsidRPr="00434729">
        <w:rPr>
          <w:b/>
        </w:rPr>
        <w:t>мощи с момента ареста, на доступ ко всем полицейским записям, связа</w:t>
      </w:r>
      <w:r w:rsidRPr="00434729">
        <w:rPr>
          <w:b/>
        </w:rPr>
        <w:t>н</w:t>
      </w:r>
      <w:r w:rsidRPr="00434729">
        <w:rPr>
          <w:b/>
        </w:rPr>
        <w:t xml:space="preserve">ным с их делами, а также право на получение независимой медицинской помощи и на </w:t>
      </w:r>
      <w:r>
        <w:rPr>
          <w:b/>
        </w:rPr>
        <w:t>общение</w:t>
      </w:r>
      <w:r w:rsidR="007B451E">
        <w:rPr>
          <w:b/>
        </w:rPr>
        <w:t xml:space="preserve"> с родственниками;</w:t>
      </w:r>
    </w:p>
    <w:p w:rsidR="00B22209" w:rsidRPr="005A0649" w:rsidRDefault="00B22209" w:rsidP="00162396">
      <w:pPr>
        <w:pStyle w:val="SingleTxtGR"/>
        <w:rPr>
          <w:rStyle w:val="IntenseEmphasis1"/>
          <w:b/>
          <w:i w:val="0"/>
          <w:color w:val="000000"/>
        </w:rPr>
      </w:pPr>
      <w:r w:rsidRPr="00434729">
        <w:rPr>
          <w:rStyle w:val="IntenseEmphasis1"/>
          <w:b/>
          <w:color w:val="000000"/>
        </w:rPr>
        <w:tab/>
      </w:r>
      <w:r>
        <w:rPr>
          <w:rStyle w:val="IntenseEmphasis1"/>
          <w:b/>
          <w:i w:val="0"/>
          <w:color w:val="000000"/>
          <w:lang w:val="en-US"/>
        </w:rPr>
        <w:t>d</w:t>
      </w:r>
      <w:r w:rsidRPr="00434729">
        <w:rPr>
          <w:rStyle w:val="IntenseEmphasis1"/>
          <w:b/>
          <w:i w:val="0"/>
          <w:color w:val="000000"/>
        </w:rPr>
        <w:t>)</w:t>
      </w:r>
      <w:r w:rsidRPr="00434729">
        <w:rPr>
          <w:rStyle w:val="IntenseEmphasis1"/>
          <w:b/>
          <w:i w:val="0"/>
          <w:color w:val="000000"/>
        </w:rPr>
        <w:tab/>
        <w:t>рассмотреть возможность упразднения учреждений Дайо Ка</w:t>
      </w:r>
      <w:r w:rsidRPr="00434729">
        <w:rPr>
          <w:rStyle w:val="IntenseEmphasis1"/>
          <w:b/>
          <w:i w:val="0"/>
          <w:color w:val="000000"/>
        </w:rPr>
        <w:t>н</w:t>
      </w:r>
      <w:r w:rsidRPr="00434729">
        <w:rPr>
          <w:rStyle w:val="IntenseEmphasis1"/>
          <w:b/>
          <w:i w:val="0"/>
          <w:color w:val="000000"/>
        </w:rPr>
        <w:t>гоку для того, чтобы привести законодательство и проч</w:t>
      </w:r>
      <w:r>
        <w:rPr>
          <w:rStyle w:val="IntenseEmphasis1"/>
          <w:b/>
          <w:i w:val="0"/>
          <w:color w:val="000000"/>
        </w:rPr>
        <w:t>ую практику</w:t>
      </w:r>
      <w:r w:rsidRPr="005A0649">
        <w:rPr>
          <w:rStyle w:val="IntenseEmphasis1"/>
          <w:b/>
          <w:i w:val="0"/>
          <w:color w:val="000000"/>
        </w:rPr>
        <w:t xml:space="preserve"> гос</w:t>
      </w:r>
      <w:r w:rsidRPr="005A0649">
        <w:rPr>
          <w:rStyle w:val="IntenseEmphasis1"/>
          <w:b/>
          <w:i w:val="0"/>
          <w:color w:val="000000"/>
        </w:rPr>
        <w:t>у</w:t>
      </w:r>
      <w:r w:rsidRPr="005A0649">
        <w:rPr>
          <w:rStyle w:val="IntenseEmphasis1"/>
          <w:b/>
          <w:i w:val="0"/>
          <w:color w:val="000000"/>
        </w:rPr>
        <w:t>дарства-участника в полное соответстви</w:t>
      </w:r>
      <w:r w:rsidR="007B451E">
        <w:rPr>
          <w:rStyle w:val="IntenseEmphasis1"/>
          <w:b/>
          <w:i w:val="0"/>
          <w:color w:val="000000"/>
        </w:rPr>
        <w:t>е</w:t>
      </w:r>
      <w:r w:rsidRPr="005A0649">
        <w:rPr>
          <w:rStyle w:val="IntenseEmphasis1"/>
          <w:b/>
          <w:i w:val="0"/>
          <w:color w:val="000000"/>
        </w:rPr>
        <w:t xml:space="preserve"> с международными стандартами. </w:t>
      </w:r>
    </w:p>
    <w:p w:rsidR="00B22209" w:rsidRPr="000C6589" w:rsidRDefault="00B22209" w:rsidP="00162396">
      <w:pPr>
        <w:pStyle w:val="H23GR"/>
      </w:pPr>
      <w:r>
        <w:tab/>
      </w:r>
      <w:r>
        <w:tab/>
        <w:t>Допросы и признательные показания</w:t>
      </w:r>
    </w:p>
    <w:p w:rsidR="00B22209" w:rsidRPr="000C6589" w:rsidRDefault="00B22209" w:rsidP="00162396">
      <w:pPr>
        <w:pStyle w:val="SingleTxtGR"/>
      </w:pPr>
      <w:r>
        <w:t>11.</w:t>
      </w:r>
      <w:r>
        <w:tab/>
        <w:t>Комитет принимает к сведению статьи 38</w:t>
      </w:r>
      <w:r w:rsidR="007B451E">
        <w:t> </w:t>
      </w:r>
      <w:r>
        <w:t>(2) Конституции и 319</w:t>
      </w:r>
      <w:r w:rsidR="007B451E">
        <w:t> </w:t>
      </w:r>
      <w:r>
        <w:t>(1) Уг</w:t>
      </w:r>
      <w:r>
        <w:t>о</w:t>
      </w:r>
      <w:r>
        <w:t>ловно-процессуального кодекса о недопустимости использования в суде пр</w:t>
      </w:r>
      <w:r>
        <w:t>и</w:t>
      </w:r>
      <w:r>
        <w:t>знательных показаний, полученных с применением пыток или жестокого обр</w:t>
      </w:r>
      <w:r>
        <w:t>а</w:t>
      </w:r>
      <w:r>
        <w:t>щения, а также заявление государства-участника о том, что обвинительные пр</w:t>
      </w:r>
      <w:r>
        <w:t>и</w:t>
      </w:r>
      <w:r>
        <w:t xml:space="preserve">говоры не могут быть основаны исключительно на признательных показаниях и что руководящие принципы проведения допросов обеспечивают невозможность принуждения подозреваемых к даче признательных показаний. </w:t>
      </w:r>
      <w:r>
        <w:rPr>
          <w:rStyle w:val="Para1Char"/>
        </w:rPr>
        <w:t xml:space="preserve">Тем не менее Комитет по-прежнему серьезно обеспокоен в связи с тем, что: 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судебная система государства-участника на практике в значител</w:t>
      </w:r>
      <w:r>
        <w:t>ь</w:t>
      </w:r>
      <w:r>
        <w:t>ной мере опирается на признания, зачастую полученные во время пребывания в Дайо Кангоку без присутствия адвоката. Комитет получил сообщения о жест</w:t>
      </w:r>
      <w:r>
        <w:t>о</w:t>
      </w:r>
      <w:r>
        <w:t>ком обращении в ходе допросов, например об избиениях, запугивании, лиш</w:t>
      </w:r>
      <w:r>
        <w:t>е</w:t>
      </w:r>
      <w:r>
        <w:t xml:space="preserve">нии сна и </w:t>
      </w:r>
      <w:r w:rsidR="007B451E">
        <w:t>долгих допросах без перерывов;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присутствие </w:t>
      </w:r>
      <w:r w:rsidRPr="003601C7">
        <w:t>защитника</w:t>
      </w:r>
      <w:r>
        <w:t xml:space="preserve"> на протяжении всего д</w:t>
      </w:r>
      <w:r w:rsidR="007B451E">
        <w:t>опроса не является обязательным;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отсутствуют средства для проверки надлежащего проведения д</w:t>
      </w:r>
      <w:r>
        <w:t>о</w:t>
      </w:r>
      <w:r>
        <w:t>просов задержанных во время их содержания под стражей в полицейских уч</w:t>
      </w:r>
      <w:r>
        <w:t>а</w:t>
      </w:r>
      <w:r>
        <w:t>стках, в частности отсутствуют строгие временные ограничения при провед</w:t>
      </w:r>
      <w:r>
        <w:t>е</w:t>
      </w:r>
      <w:r w:rsidR="007B451E">
        <w:t>нии последовательных допросов;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ни одна из 141 жалобы касательно ведения допросов, поданных п</w:t>
      </w:r>
      <w:r>
        <w:t>о</w:t>
      </w:r>
      <w:r>
        <w:t>дозреваемыми и их защитниками государственным прокурорам, не повлекли за собой рассмотрение дела в суде</w:t>
      </w:r>
      <w:r>
        <w:rPr>
          <w:rStyle w:val="Para1Char"/>
        </w:rPr>
        <w:t xml:space="preserve"> (</w:t>
      </w:r>
      <w:r>
        <w:t>статьи 2 и 15).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 xml:space="preserve">Комитет </w:t>
      </w:r>
      <w:r w:rsidRPr="003601C7">
        <w:rPr>
          <w:b/>
        </w:rPr>
        <w:t>вновь подтверждает</w:t>
      </w:r>
      <w:r>
        <w:rPr>
          <w:b/>
        </w:rPr>
        <w:t xml:space="preserve"> свои предыдущие рекомендации (пункт 16), согласно которым государству-участнику следует предпринять все необх</w:t>
      </w:r>
      <w:r>
        <w:rPr>
          <w:b/>
        </w:rPr>
        <w:t>о</w:t>
      </w:r>
      <w:r>
        <w:rPr>
          <w:b/>
        </w:rPr>
        <w:t>димые шаги к тому, чтобы на практике обеспечить недопустимость в суде признательных показаний, полученных с применением пыток и жестокого обращения, во всех случаях, как того требуют положения статей 38</w:t>
      </w:r>
      <w:r w:rsidR="007B451E">
        <w:rPr>
          <w:b/>
        </w:rPr>
        <w:t> </w:t>
      </w:r>
      <w:r>
        <w:rPr>
          <w:b/>
        </w:rPr>
        <w:t>(2) Ко</w:t>
      </w:r>
      <w:r>
        <w:rPr>
          <w:b/>
        </w:rPr>
        <w:t>н</w:t>
      </w:r>
      <w:r>
        <w:rPr>
          <w:b/>
        </w:rPr>
        <w:t>ституции и 319</w:t>
      </w:r>
      <w:r w:rsidR="007B451E">
        <w:rPr>
          <w:b/>
        </w:rPr>
        <w:t> </w:t>
      </w:r>
      <w:r>
        <w:rPr>
          <w:b/>
        </w:rPr>
        <w:t xml:space="preserve">(1) Уголовно-процессуального кодекса, а также статья 15 Конвенции, в частности, посредством: 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принятия правил, регламентирующих продолжительность д</w:t>
      </w:r>
      <w:r>
        <w:rPr>
          <w:b/>
        </w:rPr>
        <w:t>о</w:t>
      </w:r>
      <w:r>
        <w:rPr>
          <w:b/>
        </w:rPr>
        <w:t>просов и предусматривающих с</w:t>
      </w:r>
      <w:r w:rsidR="007B451E">
        <w:rPr>
          <w:b/>
        </w:rPr>
        <w:t>анкции за нарушение этих правил;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усовершенствования методов ведения следствия по уголовным делам для прекращения практики, когда признательные показания ра</w:t>
      </w:r>
      <w:r>
        <w:rPr>
          <w:b/>
        </w:rPr>
        <w:t>с</w:t>
      </w:r>
      <w:r>
        <w:rPr>
          <w:b/>
        </w:rPr>
        <w:t xml:space="preserve">сматриваются как основной и ключевой элемент доказательства </w:t>
      </w:r>
      <w:r w:rsidR="007B451E">
        <w:rPr>
          <w:b/>
        </w:rPr>
        <w:t>в ходе уголовного преследования;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введения таких гарантий, как запись на электронные носители всего процесса допроса и обеспечение того, чтобы эти записи были досту</w:t>
      </w:r>
      <w:r>
        <w:rPr>
          <w:b/>
        </w:rPr>
        <w:t>п</w:t>
      </w:r>
      <w:r>
        <w:rPr>
          <w:b/>
        </w:rPr>
        <w:t xml:space="preserve">ны для использования </w:t>
      </w:r>
      <w:r w:rsidR="007B451E">
        <w:rPr>
          <w:b/>
        </w:rPr>
        <w:t>в ходе судебных разбирательств;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представления Комитету данных о количестве случаев, когда признательные показания, данные под принуждением, пытками или с применением угроз, либо после продолжительного ареста или содержания под стражей, не были допущены к рассмотрению в качестве доказательств, в соответствии со статьей 319</w:t>
      </w:r>
      <w:r w:rsidR="007B451E">
        <w:rPr>
          <w:b/>
        </w:rPr>
        <w:t> </w:t>
      </w:r>
      <w:r>
        <w:rPr>
          <w:b/>
        </w:rPr>
        <w:t xml:space="preserve">(1) Уголовно-процессуального кодекса. </w:t>
      </w:r>
    </w:p>
    <w:p w:rsidR="00B22209" w:rsidRPr="000C6589" w:rsidRDefault="00B22209" w:rsidP="00162396">
      <w:pPr>
        <w:pStyle w:val="H23GR"/>
      </w:pPr>
      <w:r>
        <w:tab/>
      </w:r>
      <w:r>
        <w:tab/>
        <w:t>Механизм подачи и рассмотрения жалоб</w:t>
      </w:r>
    </w:p>
    <w:p w:rsidR="00B22209" w:rsidRPr="000C6589" w:rsidRDefault="00B22209" w:rsidP="00162396">
      <w:pPr>
        <w:pStyle w:val="SingleTxtGR"/>
      </w:pPr>
      <w:r>
        <w:t>12.</w:t>
      </w:r>
      <w:r>
        <w:tab/>
        <w:t xml:space="preserve">Несмотря на информацию по </w:t>
      </w:r>
      <w:r w:rsidRPr="008577F2">
        <w:t>системам обжалования</w:t>
      </w:r>
      <w:r>
        <w:t>, созданным в соо</w:t>
      </w:r>
      <w:r>
        <w:t>т</w:t>
      </w:r>
      <w:r>
        <w:t>ветствии с Законом о пенитенциарных учреждениях и местах лишения свободы и об обращении с заключенными и лицами, лишенными свободы (2007 год), Комитет по-прежнему обеспокоен отсутствием независимого и эффективного механизма подачи и рассмотрения жалоб для получения и проведения незав</w:t>
      </w:r>
      <w:r>
        <w:t>и</w:t>
      </w:r>
      <w:r>
        <w:t xml:space="preserve">симых расследований по </w:t>
      </w:r>
      <w:r w:rsidRPr="003601C7">
        <w:t>утверждениям</w:t>
      </w:r>
      <w:r>
        <w:t xml:space="preserve"> о совершении актов пытки и жестокого обращения в отношении лиц, лишенных свободы, включая тех, кто содержится содержанием под стражей в полицейских участках, и для обеспечения надл</w:t>
      </w:r>
      <w:r>
        <w:t>е</w:t>
      </w:r>
      <w:r>
        <w:t>жащего наказания официальных лиц, признанных виновными. Комитет также сожалеет об отсутствии информации относительно заявлений об истребовании государственной компенсации или о дисциплинарных санкциях (статьи 2, 4, 12, 13 и 16).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 xml:space="preserve">Комитет </w:t>
      </w:r>
      <w:r w:rsidRPr="003601C7">
        <w:rPr>
          <w:b/>
        </w:rPr>
        <w:t>вновь подтверждает</w:t>
      </w:r>
      <w:r>
        <w:rPr>
          <w:b/>
        </w:rPr>
        <w:t xml:space="preserve"> свою предыдущую рекомендацию (пункт 21), согласно которой государству-участнику следует: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рассмотреть вопрос об учреждении независимого и эффекти</w:t>
      </w:r>
      <w:r>
        <w:rPr>
          <w:b/>
        </w:rPr>
        <w:t>в</w:t>
      </w:r>
      <w:r>
        <w:rPr>
          <w:b/>
        </w:rPr>
        <w:t>ного специального органа по рассмотрению жалоб и обеспечить незаме</w:t>
      </w:r>
      <w:r>
        <w:rPr>
          <w:b/>
        </w:rPr>
        <w:t>д</w:t>
      </w:r>
      <w:r>
        <w:rPr>
          <w:b/>
        </w:rPr>
        <w:t xml:space="preserve">лительные, беспристрастные и полные расследования по всем </w:t>
      </w:r>
      <w:r w:rsidRPr="003601C7">
        <w:rPr>
          <w:b/>
        </w:rPr>
        <w:t>утвержд</w:t>
      </w:r>
      <w:r w:rsidRPr="003601C7">
        <w:rPr>
          <w:b/>
        </w:rPr>
        <w:t>е</w:t>
      </w:r>
      <w:r w:rsidRPr="003601C7">
        <w:rPr>
          <w:b/>
        </w:rPr>
        <w:t>ниям о совершении актов пытки и жестокого обращения государственн</w:t>
      </w:r>
      <w:r w:rsidRPr="003601C7">
        <w:rPr>
          <w:b/>
        </w:rPr>
        <w:t>ы</w:t>
      </w:r>
      <w:r w:rsidRPr="003601C7">
        <w:rPr>
          <w:b/>
        </w:rPr>
        <w:t>ми служащими,</w:t>
      </w:r>
      <w:r>
        <w:rPr>
          <w:b/>
        </w:rPr>
        <w:t xml:space="preserve"> а также привлечь к ответственности и наказать всех в</w:t>
      </w:r>
      <w:r>
        <w:rPr>
          <w:b/>
        </w:rPr>
        <w:t>и</w:t>
      </w:r>
      <w:r>
        <w:rPr>
          <w:b/>
        </w:rPr>
        <w:t>новных с учетом степени тяжести их проступка;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 на практике защиту всех заявителей от любого вида преследований за обращение с жалобами или предоставление любых док</w:t>
      </w:r>
      <w:r>
        <w:rPr>
          <w:b/>
        </w:rPr>
        <w:t>а</w:t>
      </w:r>
      <w:r>
        <w:rPr>
          <w:b/>
        </w:rPr>
        <w:t>зательств;</w:t>
      </w:r>
    </w:p>
    <w:p w:rsidR="00B22209" w:rsidRPr="003601C7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собирать информацию, включая разукрупненные статистич</w:t>
      </w:r>
      <w:r>
        <w:rPr>
          <w:b/>
        </w:rPr>
        <w:t>е</w:t>
      </w:r>
      <w:r>
        <w:rPr>
          <w:b/>
        </w:rPr>
        <w:t xml:space="preserve">ские данные, о количестве жалоб, поданных на </w:t>
      </w:r>
      <w:r w:rsidRPr="003601C7">
        <w:rPr>
          <w:b/>
        </w:rPr>
        <w:t>государственных служащих в связи с пытками и жестоким обращением, а также информаци</w:t>
      </w:r>
      <w:r>
        <w:rPr>
          <w:b/>
        </w:rPr>
        <w:t>ю</w:t>
      </w:r>
      <w:r w:rsidRPr="003601C7">
        <w:rPr>
          <w:b/>
        </w:rPr>
        <w:t xml:space="preserve"> о резул</w:t>
      </w:r>
      <w:r w:rsidRPr="003601C7">
        <w:rPr>
          <w:b/>
        </w:rPr>
        <w:t>ь</w:t>
      </w:r>
      <w:r w:rsidRPr="003601C7">
        <w:rPr>
          <w:b/>
        </w:rPr>
        <w:t xml:space="preserve">татах разбирательств </w:t>
      </w:r>
      <w:r>
        <w:rPr>
          <w:b/>
        </w:rPr>
        <w:t xml:space="preserve">по линии </w:t>
      </w:r>
      <w:r w:rsidRPr="003601C7">
        <w:rPr>
          <w:b/>
        </w:rPr>
        <w:t>как уголовно</w:t>
      </w:r>
      <w:r>
        <w:rPr>
          <w:b/>
        </w:rPr>
        <w:t>го</w:t>
      </w:r>
      <w:r w:rsidRPr="003601C7">
        <w:rPr>
          <w:b/>
        </w:rPr>
        <w:t>, так и дисциплинарно</w:t>
      </w:r>
      <w:r>
        <w:rPr>
          <w:b/>
        </w:rPr>
        <w:t>го</w:t>
      </w:r>
      <w:r w:rsidRPr="003601C7">
        <w:rPr>
          <w:b/>
        </w:rPr>
        <w:t xml:space="preserve"> </w:t>
      </w:r>
      <w:r>
        <w:rPr>
          <w:b/>
        </w:rPr>
        <w:t>производства</w:t>
      </w:r>
      <w:r w:rsidRPr="003601C7">
        <w:rPr>
          <w:b/>
        </w:rPr>
        <w:t xml:space="preserve">. </w:t>
      </w:r>
    </w:p>
    <w:p w:rsidR="00B22209" w:rsidRPr="003601C7" w:rsidRDefault="00B22209" w:rsidP="00162396">
      <w:pPr>
        <w:pStyle w:val="H23GR"/>
      </w:pPr>
      <w:r w:rsidRPr="003601C7">
        <w:tab/>
      </w:r>
      <w:r w:rsidRPr="003601C7">
        <w:tab/>
        <w:t xml:space="preserve">Условия содержания под стражей 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 w:rsidRPr="003601C7">
        <w:rPr>
          <w:rStyle w:val="SingleTxtGChar1"/>
        </w:rPr>
        <w:t>13.</w:t>
      </w:r>
      <w:r w:rsidRPr="003601C7">
        <w:rPr>
          <w:rStyle w:val="SingleTxtGChar1"/>
        </w:rPr>
        <w:tab/>
        <w:t>Несмотря на усилия государства-участника по улучшению условий с</w:t>
      </w:r>
      <w:r w:rsidRPr="003601C7">
        <w:rPr>
          <w:rStyle w:val="SingleTxtGChar1"/>
        </w:rPr>
        <w:t>о</w:t>
      </w:r>
      <w:r w:rsidRPr="003601C7">
        <w:rPr>
          <w:rStyle w:val="SingleTxtGChar1"/>
        </w:rPr>
        <w:t xml:space="preserve">держания под стражей и по увеличению </w:t>
      </w:r>
      <w:r>
        <w:rPr>
          <w:rStyle w:val="SingleTxtGChar1"/>
        </w:rPr>
        <w:t>количества мест в</w:t>
      </w:r>
      <w:r w:rsidRPr="003601C7">
        <w:rPr>
          <w:rStyle w:val="SingleTxtGChar1"/>
        </w:rPr>
        <w:t xml:space="preserve"> пенитенциарных у</w:t>
      </w:r>
      <w:r w:rsidRPr="003601C7">
        <w:rPr>
          <w:rStyle w:val="SingleTxtGChar1"/>
        </w:rPr>
        <w:t>ч</w:t>
      </w:r>
      <w:r w:rsidRPr="003601C7">
        <w:rPr>
          <w:rStyle w:val="SingleTxtGChar1"/>
        </w:rPr>
        <w:t>реждени</w:t>
      </w:r>
      <w:r w:rsidR="000C4164">
        <w:rPr>
          <w:rStyle w:val="SingleTxtGChar1"/>
        </w:rPr>
        <w:t>ях</w:t>
      </w:r>
      <w:r w:rsidRPr="003601C7">
        <w:rPr>
          <w:rStyle w:val="SingleTxtGChar1"/>
        </w:rPr>
        <w:t>,</w:t>
      </w:r>
      <w:r>
        <w:rPr>
          <w:rStyle w:val="SingleTxtGChar1"/>
        </w:rPr>
        <w:t xml:space="preserve"> Комитет по-прежнему обеспокоен по поводу: 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a</w:t>
      </w:r>
      <w:r>
        <w:rPr>
          <w:rStyle w:val="SingleTxtGChar1"/>
        </w:rPr>
        <w:t>)</w:t>
      </w:r>
      <w:r>
        <w:rPr>
          <w:rStyle w:val="SingleTxtGChar1"/>
        </w:rPr>
        <w:tab/>
        <w:t>переполненности некоторых учреждений, включая женские тюр</w:t>
      </w:r>
      <w:r>
        <w:rPr>
          <w:rStyle w:val="SingleTxtGChar1"/>
        </w:rPr>
        <w:t>ь</w:t>
      </w:r>
      <w:r>
        <w:rPr>
          <w:rStyle w:val="SingleTxtGChar1"/>
        </w:rPr>
        <w:t>мы;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b</w:t>
      </w:r>
      <w:r>
        <w:rPr>
          <w:rStyle w:val="SingleTxtGChar1"/>
        </w:rPr>
        <w:t>)</w:t>
      </w:r>
      <w:r>
        <w:rPr>
          <w:rStyle w:val="SingleTxtGChar1"/>
        </w:rPr>
        <w:tab/>
        <w:t xml:space="preserve">отсутствия в местах содержания под стражей достаточного доступа к медицинским услугам и острой нехватки медицинского персонала; 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c</w:t>
      </w:r>
      <w:r>
        <w:rPr>
          <w:rStyle w:val="SingleTxtGChar1"/>
        </w:rPr>
        <w:t>)</w:t>
      </w:r>
      <w:r>
        <w:rPr>
          <w:rStyle w:val="SingleTxtGChar1"/>
        </w:rPr>
        <w:tab/>
        <w:t>неоказания в достаточном объеме психиатрической помощи, также сообщений, согласно которым</w:t>
      </w:r>
      <w:r w:rsidRPr="00367FDD">
        <w:rPr>
          <w:rStyle w:val="SingleTxtGChar1"/>
        </w:rPr>
        <w:t xml:space="preserve"> </w:t>
      </w:r>
      <w:r>
        <w:rPr>
          <w:rStyle w:val="SingleTxtGChar1"/>
        </w:rPr>
        <w:t>душевнобольные заключенные часто подверг</w:t>
      </w:r>
      <w:r>
        <w:rPr>
          <w:rStyle w:val="SingleTxtGChar1"/>
        </w:rPr>
        <w:t>а</w:t>
      </w:r>
      <w:r>
        <w:rPr>
          <w:rStyle w:val="SingleTxtGChar1"/>
        </w:rPr>
        <w:t xml:space="preserve">ются содержанию в одиночных камерах, </w:t>
      </w:r>
      <w:r w:rsidRPr="00367FDD">
        <w:rPr>
          <w:rStyle w:val="SingleTxtGChar1"/>
        </w:rPr>
        <w:t xml:space="preserve">что </w:t>
      </w:r>
      <w:r>
        <w:rPr>
          <w:rStyle w:val="SingleTxtGChar1"/>
        </w:rPr>
        <w:t>впоследствии ведет к повышению степени риск</w:t>
      </w:r>
      <w:r w:rsidRPr="003601C7">
        <w:rPr>
          <w:rStyle w:val="SingleTxtGChar1"/>
        </w:rPr>
        <w:t>а покушения на самоубийство</w:t>
      </w:r>
      <w:r>
        <w:rPr>
          <w:rStyle w:val="SingleTxtGChar1"/>
        </w:rPr>
        <w:t xml:space="preserve">; </w:t>
      </w:r>
    </w:p>
    <w:p w:rsidR="00B22209" w:rsidRPr="000C6589" w:rsidRDefault="00B22209" w:rsidP="00162396">
      <w:pPr>
        <w:pStyle w:val="SingleTxtGR"/>
        <w:rPr>
          <w:rStyle w:val="SingleTxtGChar1"/>
        </w:rPr>
      </w:pPr>
      <w:r>
        <w:rPr>
          <w:rStyle w:val="SingleTxtGChar1"/>
        </w:rPr>
        <w:tab/>
      </w:r>
      <w:r>
        <w:rPr>
          <w:rStyle w:val="SingleTxtGChar1"/>
          <w:lang w:val="en-US"/>
        </w:rPr>
        <w:t>d</w:t>
      </w:r>
      <w:r>
        <w:rPr>
          <w:rStyle w:val="SingleTxtGChar1"/>
        </w:rPr>
        <w:t>)</w:t>
      </w:r>
      <w:r>
        <w:rPr>
          <w:rStyle w:val="SingleTxtGChar1"/>
        </w:rPr>
        <w:tab/>
        <w:t xml:space="preserve">отсутствия адекватных гарантий и механизмов проверки в области использования средств ограничения свободы движения, таких как </w:t>
      </w:r>
      <w:r w:rsidRPr="00C57D57">
        <w:rPr>
          <w:rStyle w:val="SingleTxtGChar1"/>
        </w:rPr>
        <w:t>наручники</w:t>
      </w:r>
      <w:r>
        <w:rPr>
          <w:rStyle w:val="SingleTxtGChar1"/>
        </w:rPr>
        <w:t xml:space="preserve"> (тип </w:t>
      </w:r>
      <w:r>
        <w:rPr>
          <w:rStyle w:val="SingleTxtGChar1"/>
          <w:lang w:val="en-US"/>
        </w:rPr>
        <w:t>II</w:t>
      </w:r>
      <w:r>
        <w:rPr>
          <w:rStyle w:val="SingleTxtGChar1"/>
        </w:rPr>
        <w:t>) и смирительные рубашки (статьи 11 и 16).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>Государству-участнику необходимо активизировать свои усилия в области улучшения условий тюремного содержания в соответствии с Минимал</w:t>
      </w:r>
      <w:r>
        <w:rPr>
          <w:b/>
        </w:rPr>
        <w:t>ь</w:t>
      </w:r>
      <w:r>
        <w:rPr>
          <w:b/>
        </w:rPr>
        <w:t>ными стандартными правилами обращения с заключенными путем:</w:t>
      </w:r>
    </w:p>
    <w:p w:rsidR="00B22209" w:rsidRDefault="00B22209" w:rsidP="00162396">
      <w:pPr>
        <w:pStyle w:val="SingleTxtGR"/>
      </w:pPr>
      <w: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уменьшения переполненности тюрем, в частности за счет более широкого применения мер, не связанных с заключением под стражу,</w:t>
      </w:r>
      <w:r w:rsidDel="00CB0886">
        <w:rPr>
          <w:b/>
        </w:rPr>
        <w:t xml:space="preserve"> </w:t>
      </w:r>
      <w:r>
        <w:rPr>
          <w:b/>
        </w:rPr>
        <w:t>уч</w:t>
      </w:r>
      <w:r>
        <w:rPr>
          <w:b/>
        </w:rPr>
        <w:t>и</w:t>
      </w:r>
      <w:r>
        <w:rPr>
          <w:b/>
        </w:rPr>
        <w:t>тывая при этом положения Минимальных стандартных правил Организ</w:t>
      </w:r>
      <w:r>
        <w:rPr>
          <w:b/>
        </w:rPr>
        <w:t>а</w:t>
      </w:r>
      <w:r>
        <w:rPr>
          <w:b/>
        </w:rPr>
        <w:t>ции Объединенных Нации в отношении мер, не связанных с тюремным з</w:t>
      </w:r>
      <w:r>
        <w:rPr>
          <w:b/>
        </w:rPr>
        <w:t>а</w:t>
      </w:r>
      <w:r>
        <w:rPr>
          <w:b/>
        </w:rPr>
        <w:t>ключением (Токийские правила), и Правил Организации Объединенных Наций, касающихся обращения с женщинами-заключенными и мер нак</w:t>
      </w:r>
      <w:r>
        <w:rPr>
          <w:b/>
        </w:rPr>
        <w:t>а</w:t>
      </w:r>
      <w:r>
        <w:rPr>
          <w:b/>
        </w:rPr>
        <w:t>зания для женщин-правонарушителей, не связанных с лишением свободы (Бангкокские правила);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 xml:space="preserve">предоставления адекватной </w:t>
      </w:r>
      <w:r w:rsidRPr="001E4F31">
        <w:rPr>
          <w:b/>
        </w:rPr>
        <w:t>соматическ</w:t>
      </w:r>
      <w:r>
        <w:rPr>
          <w:b/>
        </w:rPr>
        <w:t xml:space="preserve">ой и психологической помощи </w:t>
      </w:r>
      <w:r w:rsidR="007B451E">
        <w:rPr>
          <w:b/>
        </w:rPr>
        <w:t>для всех лиц, лишенных свободы;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осуществления строгого контроля над использованием</w:t>
      </w:r>
      <w:r w:rsidRPr="00C57D57">
        <w:rPr>
          <w:b/>
        </w:rPr>
        <w:t xml:space="preserve"> </w:t>
      </w:r>
      <w:r>
        <w:rPr>
          <w:rStyle w:val="SingleTxtGChar1"/>
          <w:b/>
        </w:rPr>
        <w:t>нару</w:t>
      </w:r>
      <w:r>
        <w:rPr>
          <w:rStyle w:val="SingleTxtGChar1"/>
          <w:b/>
        </w:rPr>
        <w:t>ч</w:t>
      </w:r>
      <w:r>
        <w:rPr>
          <w:rStyle w:val="SingleTxtGChar1"/>
          <w:b/>
        </w:rPr>
        <w:t>ников</w:t>
      </w:r>
      <w:r w:rsidRPr="00C57D57">
        <w:rPr>
          <w:rStyle w:val="SingleTxtGChar1"/>
          <w:b/>
        </w:rPr>
        <w:t xml:space="preserve"> (тип </w:t>
      </w:r>
      <w:r w:rsidRPr="00C57D57">
        <w:rPr>
          <w:rStyle w:val="SingleTxtGChar1"/>
          <w:b/>
          <w:lang w:val="en-US"/>
        </w:rPr>
        <w:t>II</w:t>
      </w:r>
      <w:r w:rsidRPr="00C57D57">
        <w:rPr>
          <w:rStyle w:val="SingleTxtGChar1"/>
          <w:b/>
        </w:rPr>
        <w:t>)</w:t>
      </w:r>
      <w:r w:rsidRPr="00C57D57">
        <w:rPr>
          <w:b/>
        </w:rPr>
        <w:t xml:space="preserve"> и</w:t>
      </w:r>
      <w:r>
        <w:rPr>
          <w:b/>
        </w:rPr>
        <w:t xml:space="preserve"> длительностью их применения с целью соблюдения обяз</w:t>
      </w:r>
      <w:r>
        <w:rPr>
          <w:b/>
        </w:rPr>
        <w:t>а</w:t>
      </w:r>
      <w:r>
        <w:rPr>
          <w:b/>
        </w:rPr>
        <w:t>тельств государства-участника по Конвенции и рассмотрения возможн</w:t>
      </w:r>
      <w:r>
        <w:rPr>
          <w:b/>
        </w:rPr>
        <w:t>о</w:t>
      </w:r>
      <w:r>
        <w:rPr>
          <w:b/>
        </w:rPr>
        <w:t xml:space="preserve">сти полного запрета на использование </w:t>
      </w:r>
      <w:r w:rsidRPr="009C2FA6">
        <w:rPr>
          <w:b/>
        </w:rPr>
        <w:t xml:space="preserve">средств физического </w:t>
      </w:r>
      <w:r>
        <w:rPr>
          <w:b/>
        </w:rPr>
        <w:t>ограничения св</w:t>
      </w:r>
      <w:r>
        <w:rPr>
          <w:b/>
        </w:rPr>
        <w:t>о</w:t>
      </w:r>
      <w:r>
        <w:rPr>
          <w:b/>
        </w:rPr>
        <w:t>боды движения в отношении лиц, содержащихся под стражей.</w:t>
      </w:r>
    </w:p>
    <w:p w:rsidR="00B22209" w:rsidRPr="000C6589" w:rsidRDefault="00B22209" w:rsidP="00162396">
      <w:pPr>
        <w:pStyle w:val="H23GR"/>
      </w:pPr>
      <w:r>
        <w:tab/>
      </w:r>
      <w:r>
        <w:tab/>
        <w:t>Одиночное заключение</w:t>
      </w:r>
    </w:p>
    <w:p w:rsidR="00B22209" w:rsidRPr="000C6589" w:rsidRDefault="00B22209" w:rsidP="00162396">
      <w:pPr>
        <w:pStyle w:val="SingleTxtGR"/>
      </w:pPr>
      <w:r>
        <w:t>14.</w:t>
      </w:r>
      <w:r>
        <w:tab/>
        <w:t>Комитет по-прежнему глубоко обеспокоен тем, что продолжается практ</w:t>
      </w:r>
      <w:r>
        <w:t>и</w:t>
      </w:r>
      <w:r>
        <w:t xml:space="preserve">ка использования одиночного заключения, </w:t>
      </w:r>
      <w:r w:rsidRPr="008F1275">
        <w:t>зачастую в течение длительных ср</w:t>
      </w:r>
      <w:r w:rsidRPr="008F1275">
        <w:t>о</w:t>
      </w:r>
      <w:r w:rsidRPr="008F1275">
        <w:t>ков или без их ограничения</w:t>
      </w:r>
      <w:r>
        <w:t>, а принятие решения об изоляции заключенного о</w:t>
      </w:r>
      <w:r>
        <w:t>с</w:t>
      </w:r>
      <w:r>
        <w:t>тавлено на усмотрение надзирателя тюрьмы. Комитет сожалеет о том, что т</w:t>
      </w:r>
      <w:r>
        <w:t>ю</w:t>
      </w:r>
      <w:r>
        <w:t>ремные врачи напрямую вовлечены в проведение периодического медицинского осмотра заключенных, содержащихся в одиночном заключении, согласно Зак</w:t>
      </w:r>
      <w:r>
        <w:t>о</w:t>
      </w:r>
      <w:r>
        <w:t>ну о пенитенциарных учреждениях и местах лишения свободы и об обращении с заключенными и лицами, лишенными свободы, и о том, что такая практика может способствовать ухудшению отношений между врачом и пациентом, к</w:t>
      </w:r>
      <w:r>
        <w:t>о</w:t>
      </w:r>
      <w:r>
        <w:t xml:space="preserve">торые являются важным фактором сохранения здоровья заключенных (статьи 2, 11 и 16). 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>Принимая во внимание положения Конвенции и Минимальные стандар</w:t>
      </w:r>
      <w:r>
        <w:rPr>
          <w:b/>
        </w:rPr>
        <w:t>т</w:t>
      </w:r>
      <w:r>
        <w:rPr>
          <w:b/>
        </w:rPr>
        <w:t>ные правила обращения с заключенными Организации Объединенных Н</w:t>
      </w:r>
      <w:r>
        <w:rPr>
          <w:b/>
        </w:rPr>
        <w:t>а</w:t>
      </w:r>
      <w:r>
        <w:rPr>
          <w:b/>
        </w:rPr>
        <w:t>ций, Комитет призывает государство-участник: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</w:r>
      <w:r w:rsidRPr="00204C92">
        <w:rPr>
          <w:b/>
        </w:rPr>
        <w:t>пересмотреть</w:t>
      </w:r>
      <w:r>
        <w:rPr>
          <w:b/>
        </w:rPr>
        <w:t xml:space="preserve"> свое законодательство с целью обеспечения того, чтобы одиночное заключение использовалось в качестве крайней меры, в течение как можно более короткого периода времени под строгим контр</w:t>
      </w:r>
      <w:r>
        <w:rPr>
          <w:b/>
        </w:rPr>
        <w:t>о</w:t>
      </w:r>
      <w:r>
        <w:rPr>
          <w:b/>
        </w:rPr>
        <w:t>лем и с возможностью судебного пересмотра. Государству-участнику нео</w:t>
      </w:r>
      <w:r>
        <w:rPr>
          <w:b/>
        </w:rPr>
        <w:t>б</w:t>
      </w:r>
      <w:r>
        <w:rPr>
          <w:b/>
        </w:rPr>
        <w:t>ходимо создать четкие и конкретные критерии для принятия решения об изоляции;</w:t>
      </w:r>
    </w:p>
    <w:p w:rsidR="00B22209" w:rsidRPr="000C6589" w:rsidRDefault="00B22209" w:rsidP="00162396">
      <w:pPr>
        <w:pStyle w:val="SingleTxtGR"/>
        <w:rPr>
          <w:b/>
        </w:rPr>
      </w:pPr>
      <w: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создать систему регулярной проверки и контроля физического и психологического состояния заключенных квалифицированными мед</w:t>
      </w:r>
      <w:r>
        <w:rPr>
          <w:b/>
        </w:rPr>
        <w:t>и</w:t>
      </w:r>
      <w:r>
        <w:rPr>
          <w:b/>
        </w:rPr>
        <w:t>цинскими работниками на протяжении всего периода одиночного заключ</w:t>
      </w:r>
      <w:r>
        <w:rPr>
          <w:b/>
        </w:rPr>
        <w:t>е</w:t>
      </w:r>
      <w:r>
        <w:rPr>
          <w:b/>
        </w:rPr>
        <w:t>ния и выдавать такие медицинские зап</w:t>
      </w:r>
      <w:r w:rsidR="007B451E">
        <w:rPr>
          <w:b/>
        </w:rPr>
        <w:t>иси заключенным и их адвокатам;</w:t>
      </w:r>
    </w:p>
    <w:p w:rsidR="00B22209" w:rsidRPr="000C6589" w:rsidRDefault="00B22209" w:rsidP="00162396">
      <w:pPr>
        <w:pStyle w:val="SingleTxtGR"/>
        <w:rPr>
          <w:rStyle w:val="highlight1"/>
          <w:b/>
        </w:rPr>
      </w:pPr>
      <w:r>
        <w:rPr>
          <w:rStyle w:val="highlight1"/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поднять уровень психологически значимых социальных ко</w:t>
      </w:r>
      <w:r>
        <w:rPr>
          <w:b/>
        </w:rPr>
        <w:t>н</w:t>
      </w:r>
      <w:r>
        <w:rPr>
          <w:b/>
        </w:rPr>
        <w:t>тактов для заключенных во время их одиночного заключения</w:t>
      </w:r>
      <w:r w:rsidR="007B451E">
        <w:rPr>
          <w:b/>
        </w:rPr>
        <w:t>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проанализировать и оценить существующую практику прим</w:t>
      </w:r>
      <w:r>
        <w:rPr>
          <w:b/>
        </w:rPr>
        <w:t>е</w:t>
      </w:r>
      <w:r>
        <w:rPr>
          <w:b/>
        </w:rPr>
        <w:t>нения одиночного заключения, а также предоставить отдельные и дезагр</w:t>
      </w:r>
      <w:r>
        <w:rPr>
          <w:b/>
        </w:rPr>
        <w:t>е</w:t>
      </w:r>
      <w:r>
        <w:rPr>
          <w:b/>
        </w:rPr>
        <w:t xml:space="preserve">гированные данные о применении и условиях одиночного заключения. </w:t>
      </w:r>
    </w:p>
    <w:p w:rsidR="00B22209" w:rsidRPr="000C6589" w:rsidRDefault="00B22209" w:rsidP="00162396">
      <w:pPr>
        <w:pStyle w:val="H23GR"/>
      </w:pPr>
      <w:r>
        <w:tab/>
      </w:r>
      <w:r>
        <w:tab/>
        <w:t xml:space="preserve">Смертная казнь </w:t>
      </w:r>
    </w:p>
    <w:p w:rsidR="00B22209" w:rsidRPr="000C6589" w:rsidRDefault="00B22209" w:rsidP="00162396">
      <w:pPr>
        <w:pStyle w:val="SingleTxtGR"/>
      </w:pPr>
      <w:r>
        <w:t>15.</w:t>
      </w:r>
      <w:r>
        <w:tab/>
        <w:t>Комитет глубоко обеспокоен условиями содержания заключенных, ож</w:t>
      </w:r>
      <w:r>
        <w:t>и</w:t>
      </w:r>
      <w:r>
        <w:t>дающих исполнения смертного приговора, в частности в отношении следующ</w:t>
      </w:r>
      <w:r>
        <w:t>е</w:t>
      </w:r>
      <w:r>
        <w:t xml:space="preserve">го: 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неоправданной секретности и неопределенности по поводу казни заключенных, приговоренных к смерти. Как считает Специальный докладчик по вопросу о внесудебных казнях, казнях без надлежащего судебного разбир</w:t>
      </w:r>
      <w:r>
        <w:t>а</w:t>
      </w:r>
      <w:r>
        <w:t>тельства или произвольных казнях, отказ в предоставлении осужденным и чл</w:t>
      </w:r>
      <w:r>
        <w:t>е</w:t>
      </w:r>
      <w:r>
        <w:t>нам их семей заблаговременного уведомления о дате и времени казни является прямым нарушением прав человека (E/CN.4/2006/53/Add.3, пункт 32);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содержания в одиночном заключении лиц, приговоренных к сме</w:t>
      </w:r>
      <w:r>
        <w:t>р</w:t>
      </w:r>
      <w:r>
        <w:t>ти, зачастую в течение долгих сроков, порой превышающих 30 лет, и огран</w:t>
      </w:r>
      <w:r>
        <w:t>и</w:t>
      </w:r>
      <w:r>
        <w:t>ченных контактов с внешним миром;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 xml:space="preserve">ущемления в праве на получение </w:t>
      </w:r>
      <w:r w:rsidRPr="00204C92">
        <w:t>юридической</w:t>
      </w:r>
      <w:r>
        <w:t xml:space="preserve"> помощи, включая ограниченный конфиденциальный доступ к адвокату;</w:t>
      </w:r>
      <w:r>
        <w:rPr>
          <w:vertAlign w:val="superscript"/>
        </w:rPr>
        <w:t xml:space="preserve"> 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отсутствия гарантированной возможности обжалования смертных приговоров, поскольку все большее число заключенных приговариваются к смертной казни, не имея возможности воспользоваться своим правом на обж</w:t>
      </w:r>
      <w:r>
        <w:t>а</w:t>
      </w:r>
      <w:r w:rsidR="007B451E">
        <w:t>лование;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e</w:t>
      </w:r>
      <w:r>
        <w:t>)</w:t>
      </w:r>
      <w:r>
        <w:tab/>
        <w:t xml:space="preserve">неиспользования с 2007 года права помилования и отсутствия </w:t>
      </w:r>
      <w:r w:rsidRPr="00204C92">
        <w:t>пр</w:t>
      </w:r>
      <w:r w:rsidRPr="00204C92">
        <w:t>о</w:t>
      </w:r>
      <w:r w:rsidRPr="00204C92">
        <w:t>зрачности</w:t>
      </w:r>
      <w:r>
        <w:t xml:space="preserve"> в отношении процедур обращения с прошениями о помиловании, смягчении наказания ил</w:t>
      </w:r>
      <w:r w:rsidR="007B451E">
        <w:t>и отсрочки исполнения приговора;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 xml:space="preserve">сообщений о случаях исполнения смертного приговора, несмотря на признание заключенного по суду психически больным, как в случае с </w:t>
      </w:r>
      <w:r w:rsidRPr="00BD0998">
        <w:t>Сейха Фуджимой</w:t>
      </w:r>
      <w:r>
        <w:t>, что противоречит статье 479</w:t>
      </w:r>
      <w:r w:rsidR="00667481">
        <w:t> </w:t>
      </w:r>
      <w:r>
        <w:t>(1) Уголовно-процессуального кодекса, которая запрещает казнь психически больных заключенных (статьи 2, 11 и 16).</w:t>
      </w:r>
    </w:p>
    <w:p w:rsidR="00B22209" w:rsidRPr="000C6589" w:rsidRDefault="00B22209" w:rsidP="00162396">
      <w:pPr>
        <w:pStyle w:val="SingleTxtGR"/>
        <w:rPr>
          <w:rStyle w:val="Strong"/>
          <w:b w:val="0"/>
        </w:rPr>
      </w:pPr>
      <w:r>
        <w:rPr>
          <w:b/>
        </w:rPr>
        <w:t>В свете предыдущих рекомендаций, высказанных Комитетом (пункт 17), Комитетом по правам человека (CCPR/C/GC/32, пункт 38), а также в свете сообщения, направленного Специальным докладчиком по вопросу о внес</w:t>
      </w:r>
      <w:r>
        <w:rPr>
          <w:b/>
        </w:rPr>
        <w:t>у</w:t>
      </w:r>
      <w:r>
        <w:rPr>
          <w:b/>
        </w:rPr>
        <w:t>дебных казнях, казнях без надлежащего судебного разбирательства или произвольных ка</w:t>
      </w:r>
      <w:r w:rsidRPr="00282EF7">
        <w:rPr>
          <w:b/>
        </w:rPr>
        <w:t>знях (</w:t>
      </w:r>
      <w:r w:rsidRPr="00282EF7">
        <w:rPr>
          <w:rStyle w:val="IntenseEmphasis1"/>
          <w:b/>
          <w:i w:val="0"/>
          <w:color w:val="000000"/>
        </w:rPr>
        <w:t xml:space="preserve">A/HRC/14/24/Add.1, </w:t>
      </w:r>
      <w:r w:rsidRPr="00091732">
        <w:rPr>
          <w:rStyle w:val="IntenseEmphasis1"/>
          <w:b/>
          <w:i w:val="0"/>
          <w:color w:val="000000"/>
        </w:rPr>
        <w:t>пункты</w:t>
      </w:r>
      <w:r w:rsidRPr="00282EF7">
        <w:rPr>
          <w:rStyle w:val="IntenseEmphasis1"/>
          <w:b/>
          <w:i w:val="0"/>
          <w:color w:val="000000"/>
        </w:rPr>
        <w:t xml:space="preserve"> 515 </w:t>
      </w:r>
      <w:r>
        <w:rPr>
          <w:rStyle w:val="IntenseEmphasis1"/>
          <w:b/>
          <w:i w:val="0"/>
          <w:color w:val="000000"/>
        </w:rPr>
        <w:t>и далее</w:t>
      </w:r>
      <w:r w:rsidRPr="00282EF7">
        <w:rPr>
          <w:b/>
        </w:rPr>
        <w:t>)</w:t>
      </w:r>
      <w:r>
        <w:rPr>
          <w:b/>
        </w:rPr>
        <w:t>,</w:t>
      </w:r>
      <w:r w:rsidRPr="00282EF7">
        <w:rPr>
          <w:b/>
        </w:rPr>
        <w:t xml:space="preserve"> К</w:t>
      </w:r>
      <w:r>
        <w:rPr>
          <w:b/>
        </w:rPr>
        <w:t>омитет призывает государство-участник обеспечить, чтобы лицам, приговоре</w:t>
      </w:r>
      <w:r>
        <w:rPr>
          <w:b/>
        </w:rPr>
        <w:t>н</w:t>
      </w:r>
      <w:r>
        <w:rPr>
          <w:b/>
        </w:rPr>
        <w:t>ным к смертной казни, были обеспечены все гарантии и меры защиты, предоставляемые Конвенцией, в частности, путем:</w:t>
      </w:r>
      <w:r>
        <w:rPr>
          <w:rStyle w:val="IntenseEmphasis1"/>
          <w:b/>
          <w:color w:val="000000"/>
        </w:rPr>
        <w:t xml:space="preserve"> 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предоставления лицам, приговоренным к смертной казни, и членам их семей заблаговременных уведомлений о дне и времени привед</w:t>
      </w:r>
      <w:r>
        <w:rPr>
          <w:b/>
        </w:rPr>
        <w:t>е</w:t>
      </w:r>
      <w:r>
        <w:rPr>
          <w:b/>
        </w:rPr>
        <w:t>ния смертного</w:t>
      </w:r>
      <w:r w:rsidR="005C69D1">
        <w:rPr>
          <w:b/>
        </w:rPr>
        <w:t xml:space="preserve"> приговора в исполнение;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пересмотра нормы о содержании в одиночном заключении лиц,</w:t>
      </w:r>
      <w:r w:rsidR="005C69D1">
        <w:rPr>
          <w:b/>
        </w:rPr>
        <w:t xml:space="preserve"> приговоренных к смертной казни;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 xml:space="preserve">гарантированного предоставления эффективной </w:t>
      </w:r>
      <w:r w:rsidRPr="00204C92">
        <w:rPr>
          <w:b/>
        </w:rPr>
        <w:t>юридическ</w:t>
      </w:r>
      <w:r>
        <w:rPr>
          <w:b/>
        </w:rPr>
        <w:t>ой помощи лицам, приговоренным к смертной казни, на всех стадиях судебн</w:t>
      </w:r>
      <w:r>
        <w:rPr>
          <w:b/>
        </w:rPr>
        <w:t>о</w:t>
      </w:r>
      <w:r>
        <w:rPr>
          <w:b/>
        </w:rPr>
        <w:t xml:space="preserve">го разбирательства, а также полная конфиденциальность всех их встреч с их </w:t>
      </w:r>
      <w:r w:rsidRPr="00204C92">
        <w:rPr>
          <w:b/>
        </w:rPr>
        <w:t>адвокатами</w:t>
      </w:r>
      <w:r w:rsidR="005C69D1">
        <w:rPr>
          <w:b/>
        </w:rPr>
        <w:t>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предоставления на практике права на помилование, смягчение наказания и отсрочку исполнения приговора лицам,</w:t>
      </w:r>
      <w:r w:rsidR="005C69D1">
        <w:rPr>
          <w:b/>
        </w:rPr>
        <w:t xml:space="preserve"> приговоренным к смертной казни;</w:t>
      </w:r>
    </w:p>
    <w:p w:rsidR="00B22209" w:rsidRPr="004A1E15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 w:rsidRPr="004A1E15">
        <w:rPr>
          <w:b/>
        </w:rPr>
        <w:t>)</w:t>
      </w:r>
      <w:r w:rsidRPr="004A1E15">
        <w:rPr>
          <w:b/>
        </w:rPr>
        <w:tab/>
      </w:r>
      <w:r>
        <w:rPr>
          <w:b/>
        </w:rPr>
        <w:t>введения</w:t>
      </w:r>
      <w:r w:rsidRPr="004A1E15">
        <w:rPr>
          <w:b/>
        </w:rPr>
        <w:t xml:space="preserve"> </w:t>
      </w:r>
      <w:r>
        <w:rPr>
          <w:b/>
        </w:rPr>
        <w:t>обязательной</w:t>
      </w:r>
      <w:r w:rsidRPr="004A1E15">
        <w:rPr>
          <w:b/>
        </w:rPr>
        <w:t xml:space="preserve"> </w:t>
      </w:r>
      <w:r>
        <w:rPr>
          <w:b/>
        </w:rPr>
        <w:t>системы</w:t>
      </w:r>
      <w:r w:rsidRPr="004A1E15">
        <w:rPr>
          <w:b/>
        </w:rPr>
        <w:t xml:space="preserve"> </w:t>
      </w:r>
      <w:r>
        <w:rPr>
          <w:b/>
        </w:rPr>
        <w:t>пересмотра</w:t>
      </w:r>
      <w:r w:rsidRPr="004A1E15">
        <w:rPr>
          <w:b/>
        </w:rPr>
        <w:t xml:space="preserve"> </w:t>
      </w:r>
      <w:r>
        <w:rPr>
          <w:b/>
        </w:rPr>
        <w:t>дел</w:t>
      </w:r>
      <w:r w:rsidRPr="004A1E15">
        <w:rPr>
          <w:b/>
        </w:rPr>
        <w:t xml:space="preserve">, </w:t>
      </w:r>
      <w:r>
        <w:rPr>
          <w:b/>
        </w:rPr>
        <w:t>по</w:t>
      </w:r>
      <w:r w:rsidRPr="004A1E15">
        <w:rPr>
          <w:b/>
        </w:rPr>
        <w:t xml:space="preserve"> </w:t>
      </w:r>
      <w:r>
        <w:rPr>
          <w:b/>
        </w:rPr>
        <w:t>которым</w:t>
      </w:r>
      <w:r w:rsidRPr="004A1E15">
        <w:rPr>
          <w:b/>
        </w:rPr>
        <w:t xml:space="preserve"> </w:t>
      </w:r>
      <w:r>
        <w:rPr>
          <w:b/>
        </w:rPr>
        <w:t>вынесен</w:t>
      </w:r>
      <w:r w:rsidRPr="004A1E15">
        <w:rPr>
          <w:b/>
        </w:rPr>
        <w:t xml:space="preserve"> </w:t>
      </w:r>
      <w:r>
        <w:rPr>
          <w:b/>
        </w:rPr>
        <w:t>смертный</w:t>
      </w:r>
      <w:r w:rsidRPr="004A1E15">
        <w:rPr>
          <w:b/>
        </w:rPr>
        <w:t xml:space="preserve"> </w:t>
      </w:r>
      <w:r>
        <w:rPr>
          <w:b/>
        </w:rPr>
        <w:t>приговор</w:t>
      </w:r>
      <w:r w:rsidRPr="004A1E15">
        <w:rPr>
          <w:b/>
        </w:rPr>
        <w:t xml:space="preserve">, </w:t>
      </w:r>
      <w:r w:rsidRPr="00091732">
        <w:rPr>
          <w:b/>
        </w:rPr>
        <w:t>с приостан</w:t>
      </w:r>
      <w:r>
        <w:rPr>
          <w:b/>
        </w:rPr>
        <w:t>овкой исполнения</w:t>
      </w:r>
      <w:r w:rsidRPr="00091732">
        <w:rPr>
          <w:b/>
        </w:rPr>
        <w:t xml:space="preserve"> смертного пр</w:t>
      </w:r>
      <w:r w:rsidRPr="00091732">
        <w:rPr>
          <w:b/>
        </w:rPr>
        <w:t>и</w:t>
      </w:r>
      <w:r w:rsidRPr="00091732">
        <w:rPr>
          <w:b/>
        </w:rPr>
        <w:t>говора</w:t>
      </w:r>
      <w:r>
        <w:rPr>
          <w:b/>
        </w:rPr>
        <w:t>,</w:t>
      </w:r>
      <w:r w:rsidRPr="00091732">
        <w:rPr>
          <w:b/>
        </w:rPr>
        <w:t xml:space="preserve"> </w:t>
      </w:r>
      <w:r>
        <w:rPr>
          <w:b/>
        </w:rPr>
        <w:t>вынесенного судом</w:t>
      </w:r>
      <w:r w:rsidRPr="00091732">
        <w:rPr>
          <w:b/>
        </w:rPr>
        <w:t xml:space="preserve"> первой инстанции</w:t>
      </w:r>
      <w:r w:rsidR="005C69D1">
        <w:rPr>
          <w:b/>
        </w:rPr>
        <w:t>;</w:t>
      </w:r>
    </w:p>
    <w:p w:rsidR="00B22209" w:rsidRPr="000C6589" w:rsidRDefault="00B22209" w:rsidP="00162396">
      <w:pPr>
        <w:pStyle w:val="SingleTxtGR"/>
        <w:rPr>
          <w:b/>
        </w:rPr>
      </w:pPr>
      <w:r w:rsidRPr="004A1E15"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обеспечения независимого пересмотра всех дел при наличии з</w:t>
      </w:r>
      <w:r>
        <w:rPr>
          <w:b/>
        </w:rPr>
        <w:t>а</w:t>
      </w:r>
      <w:r>
        <w:rPr>
          <w:b/>
        </w:rPr>
        <w:t>служивающих доверия доказательств психического заболевания лица, пр</w:t>
      </w:r>
      <w:r>
        <w:rPr>
          <w:b/>
        </w:rPr>
        <w:t>и</w:t>
      </w:r>
      <w:r>
        <w:rPr>
          <w:b/>
        </w:rPr>
        <w:t>говоренного к смерти. Более того, государству участнику следует обесп</w:t>
      </w:r>
      <w:r>
        <w:rPr>
          <w:b/>
        </w:rPr>
        <w:t>е</w:t>
      </w:r>
      <w:r>
        <w:rPr>
          <w:b/>
        </w:rPr>
        <w:t>чить невозможность казни заключенных с психическими заболеваниями в соответствии со статьей 479</w:t>
      </w:r>
      <w:r w:rsidR="005C69D1">
        <w:rPr>
          <w:b/>
        </w:rPr>
        <w:t xml:space="preserve"> </w:t>
      </w:r>
      <w:r>
        <w:rPr>
          <w:b/>
        </w:rPr>
        <w:t>(1) У</w:t>
      </w:r>
      <w:r w:rsidR="005C69D1">
        <w:rPr>
          <w:b/>
        </w:rPr>
        <w:t>головно-процессуального кодекса;</w:t>
      </w:r>
    </w:p>
    <w:p w:rsidR="005C69D1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предоставления данных обо всех лицах, приговоренных к сме</w:t>
      </w:r>
      <w:r>
        <w:rPr>
          <w:b/>
        </w:rPr>
        <w:t>р</w:t>
      </w:r>
      <w:r>
        <w:rPr>
          <w:b/>
        </w:rPr>
        <w:t>ти, с разбивкой по полу, возрасту, этнической принадлежности</w:t>
      </w:r>
      <w:r w:rsidR="005C69D1">
        <w:rPr>
          <w:b/>
        </w:rPr>
        <w:t xml:space="preserve"> и степени тяжести преступления;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h</w:t>
      </w:r>
      <w:r>
        <w:rPr>
          <w:b/>
        </w:rPr>
        <w:t>)</w:t>
      </w:r>
      <w:r>
        <w:rPr>
          <w:b/>
        </w:rPr>
        <w:tab/>
        <w:t xml:space="preserve">рассмотрения возможности отмены смертной казни. </w:t>
      </w:r>
    </w:p>
    <w:p w:rsidR="00B22209" w:rsidRPr="000C6589" w:rsidRDefault="00B22209" w:rsidP="00162396">
      <w:pPr>
        <w:pStyle w:val="H23GR"/>
      </w:pPr>
      <w:r>
        <w:tab/>
      </w:r>
      <w:r>
        <w:tab/>
        <w:t>Национальное правозащитное учреждение</w:t>
      </w:r>
    </w:p>
    <w:p w:rsidR="00B22209" w:rsidRPr="000C6589" w:rsidRDefault="00B22209" w:rsidP="00162396">
      <w:pPr>
        <w:pStyle w:val="SingleTxtGR"/>
        <w:rPr>
          <w:b/>
        </w:rPr>
      </w:pPr>
      <w:r>
        <w:t>16.</w:t>
      </w:r>
      <w:r>
        <w:rPr>
          <w:b/>
        </w:rPr>
        <w:tab/>
      </w:r>
      <w:r>
        <w:t>Комитет с беспокойством отмечает тот факт, что государство-участник все еще не создало национального правозащитного учреждения в соответствии с Принципами, касающимися статуса национальных учреждений, занимающи</w:t>
      </w:r>
      <w:r>
        <w:t>х</w:t>
      </w:r>
      <w:r>
        <w:t xml:space="preserve">ся поощрением и защитой прав человека (Парижские принципы) (статья 2). 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>Отмечая обязательство, взятое государством-участником в контексте ун</w:t>
      </w:r>
      <w:r>
        <w:rPr>
          <w:b/>
        </w:rPr>
        <w:t>и</w:t>
      </w:r>
      <w:r>
        <w:rPr>
          <w:b/>
        </w:rPr>
        <w:t>версального периодического обзора (A/HRC/22/14/Add.1, пункты 147.47 и далее), Комитет призывает государство-участник ускорить процесс созд</w:t>
      </w:r>
      <w:r>
        <w:rPr>
          <w:b/>
        </w:rPr>
        <w:t>а</w:t>
      </w:r>
      <w:r>
        <w:rPr>
          <w:b/>
        </w:rPr>
        <w:t>ния независимого национального правозащитного учреждения в соотве</w:t>
      </w:r>
      <w:r>
        <w:rPr>
          <w:b/>
        </w:rPr>
        <w:t>т</w:t>
      </w:r>
      <w:r>
        <w:rPr>
          <w:b/>
        </w:rPr>
        <w:t>ствии с Парижскими принципами.</w:t>
      </w:r>
    </w:p>
    <w:p w:rsidR="00B22209" w:rsidRPr="000C6589" w:rsidRDefault="00B22209" w:rsidP="00162396">
      <w:pPr>
        <w:pStyle w:val="H23GR"/>
      </w:pPr>
      <w:r>
        <w:tab/>
      </w:r>
      <w:r>
        <w:tab/>
      </w:r>
      <w:r w:rsidRPr="00204C92">
        <w:t>Подготовка кадров</w:t>
      </w:r>
    </w:p>
    <w:p w:rsidR="00B22209" w:rsidRPr="000C6589" w:rsidRDefault="00B22209" w:rsidP="00162396">
      <w:pPr>
        <w:pStyle w:val="SingleTxtGR"/>
      </w:pPr>
      <w:r>
        <w:t>17.</w:t>
      </w:r>
      <w:r>
        <w:tab/>
        <w:t>Принимая к сведению информацию о различных программах подготовки в области прав человека, проводимых государством-участником, Комитет с бе</w:t>
      </w:r>
      <w:r>
        <w:t>с</w:t>
      </w:r>
      <w:r>
        <w:t xml:space="preserve">покойством отмечает, что государство-участник не предоставляет обучения по вопросам Конвенции для всех сотрудников иммиграционной службы и что </w:t>
      </w:r>
      <w:r w:rsidR="005C69D1">
        <w:t>"</w:t>
      </w:r>
      <w:r>
        <w:t>Р</w:t>
      </w:r>
      <w:r>
        <w:t>у</w:t>
      </w:r>
      <w:r>
        <w:t>ководство по эффективному расследованию и документированию пыток и др</w:t>
      </w:r>
      <w:r>
        <w:t>у</w:t>
      </w:r>
      <w:r>
        <w:t>гих жестоких, бесчеловечных или унижающих достоинс</w:t>
      </w:r>
      <w:r w:rsidR="005C69D1">
        <w:t>тво видов обращения и наказания"</w:t>
      </w:r>
      <w:r>
        <w:t xml:space="preserve"> (Стамбульский протокол) не включено в программу обучения. О</w:t>
      </w:r>
      <w:r>
        <w:t>т</w:t>
      </w:r>
      <w:r>
        <w:t>сутствие информации об эффективности и воздействии этих программ с точки зрения сокращения случаев пыток, включая гендерное насилие и жестокое о</w:t>
      </w:r>
      <w:r>
        <w:t>б</w:t>
      </w:r>
      <w:r>
        <w:t>ращение, также вызывает обеспокоенность (статья 11).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 xml:space="preserve">Государству-участнику следует: 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 xml:space="preserve">развивать и укреплять программы подготовки кадров, с тем чтобы ознакомить с положениями Конвенции всех </w:t>
      </w:r>
      <w:r w:rsidRPr="00204C92">
        <w:rPr>
          <w:b/>
        </w:rPr>
        <w:t>государственны</w:t>
      </w:r>
      <w:r>
        <w:rPr>
          <w:b/>
        </w:rPr>
        <w:t>х</w:t>
      </w:r>
      <w:r w:rsidRPr="00204C92">
        <w:rPr>
          <w:b/>
        </w:rPr>
        <w:t xml:space="preserve"> сл</w:t>
      </w:r>
      <w:r w:rsidRPr="00204C92">
        <w:rPr>
          <w:b/>
        </w:rPr>
        <w:t>у</w:t>
      </w:r>
      <w:r w:rsidRPr="00204C92">
        <w:rPr>
          <w:b/>
        </w:rPr>
        <w:t>жащи</w:t>
      </w:r>
      <w:r>
        <w:rPr>
          <w:b/>
        </w:rPr>
        <w:t>х, в частности судей, сотрудников правоохранительных органов, пе</w:t>
      </w:r>
      <w:r>
        <w:rPr>
          <w:b/>
        </w:rPr>
        <w:t>р</w:t>
      </w:r>
      <w:r>
        <w:rPr>
          <w:b/>
        </w:rPr>
        <w:t xml:space="preserve">сонал пенитенциарных учреждений и иммиграционных служб; 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</w:t>
      </w:r>
      <w:r w:rsidRPr="00927289">
        <w:rPr>
          <w:b/>
        </w:rPr>
        <w:t xml:space="preserve"> регулярн</w:t>
      </w:r>
      <w:r>
        <w:rPr>
          <w:b/>
        </w:rPr>
        <w:t>ую</w:t>
      </w:r>
      <w:r w:rsidRPr="00927289">
        <w:rPr>
          <w:b/>
        </w:rPr>
        <w:t xml:space="preserve"> </w:t>
      </w:r>
      <w:r>
        <w:rPr>
          <w:b/>
        </w:rPr>
        <w:t>подготовку по Стамбульскому проток</w:t>
      </w:r>
      <w:r>
        <w:rPr>
          <w:b/>
        </w:rPr>
        <w:t>о</w:t>
      </w:r>
      <w:r>
        <w:rPr>
          <w:b/>
        </w:rPr>
        <w:t xml:space="preserve">лу для медицинского персонала и </w:t>
      </w:r>
      <w:r w:rsidRPr="00204C92">
        <w:rPr>
          <w:b/>
        </w:rPr>
        <w:t>других государственных служащих</w:t>
      </w:r>
      <w:r>
        <w:rPr>
          <w:b/>
        </w:rPr>
        <w:t>, в</w:t>
      </w:r>
      <w:r>
        <w:rPr>
          <w:b/>
        </w:rPr>
        <w:t>о</w:t>
      </w:r>
      <w:r>
        <w:rPr>
          <w:b/>
        </w:rPr>
        <w:t>влеченных в процесс расследования и составления документации по сл</w:t>
      </w:r>
      <w:r>
        <w:rPr>
          <w:b/>
        </w:rPr>
        <w:t>у</w:t>
      </w:r>
      <w:r w:rsidR="005C69D1">
        <w:rPr>
          <w:b/>
        </w:rPr>
        <w:t>чаям пыток;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содействовать участию неправительственных организаций в программах подготовки сотрудн</w:t>
      </w:r>
      <w:r w:rsidR="005C69D1">
        <w:rPr>
          <w:b/>
        </w:rPr>
        <w:t>иков правоохранительных органов;</w:t>
      </w:r>
    </w:p>
    <w:p w:rsidR="00B22209" w:rsidRPr="000C6589" w:rsidRDefault="00B22209" w:rsidP="00162396">
      <w:pPr>
        <w:pStyle w:val="SingleTxtGR"/>
        <w:rPr>
          <w:b/>
        </w:rPr>
      </w:pPr>
      <w: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оценить эффективность и влияние программ подготовки ка</w:t>
      </w:r>
      <w:r>
        <w:rPr>
          <w:b/>
        </w:rPr>
        <w:t>д</w:t>
      </w:r>
      <w:r>
        <w:rPr>
          <w:b/>
        </w:rPr>
        <w:t>ров с точки зрения предотвращения и абсолютного запрета пыток, вкл</w:t>
      </w:r>
      <w:r>
        <w:rPr>
          <w:b/>
        </w:rPr>
        <w:t>ю</w:t>
      </w:r>
      <w:r>
        <w:rPr>
          <w:b/>
        </w:rPr>
        <w:t>чая гендерное насилие и жестокое обращение.</w:t>
      </w:r>
    </w:p>
    <w:p w:rsidR="00B22209" w:rsidRPr="00993EE4" w:rsidRDefault="00B22209" w:rsidP="00162396">
      <w:pPr>
        <w:pStyle w:val="H23GR"/>
      </w:pPr>
      <w:r>
        <w:tab/>
      </w:r>
      <w:r>
        <w:tab/>
        <w:t>Возмещение</w:t>
      </w:r>
      <w:r w:rsidRPr="00993EE4">
        <w:t xml:space="preserve">, </w:t>
      </w:r>
      <w:r>
        <w:t>включая</w:t>
      </w:r>
      <w:r w:rsidRPr="00993EE4">
        <w:t xml:space="preserve"> компенсаци</w:t>
      </w:r>
      <w:r>
        <w:t>ю</w:t>
      </w:r>
      <w:r w:rsidRPr="00993EE4">
        <w:t xml:space="preserve"> и реабилитаци</w:t>
      </w:r>
      <w:r>
        <w:t>ю</w:t>
      </w:r>
      <w:r w:rsidRPr="00993EE4">
        <w:t xml:space="preserve"> </w:t>
      </w:r>
    </w:p>
    <w:p w:rsidR="00B22209" w:rsidRPr="000C6589" w:rsidRDefault="00B22209" w:rsidP="00162396">
      <w:pPr>
        <w:pStyle w:val="SingleTxtGR"/>
      </w:pPr>
      <w:r w:rsidRPr="00993EE4">
        <w:t>18.</w:t>
      </w:r>
      <w:r w:rsidRPr="00993EE4">
        <w:tab/>
        <w:t>Несмотря на статью 1 Государственного закона о во</w:t>
      </w:r>
      <w:r>
        <w:t>змещении</w:t>
      </w:r>
      <w:r w:rsidRPr="00993EE4">
        <w:t xml:space="preserve">, согласно которому </w:t>
      </w:r>
      <w:r>
        <w:t>потерпевший вправе взыскать убытки с государства или государс</w:t>
      </w:r>
      <w:r>
        <w:t>т</w:t>
      </w:r>
      <w:r>
        <w:t>венных организаций, Комитет по-прежнему обеспокоен по поводу: а) сообщ</w:t>
      </w:r>
      <w:r>
        <w:t>е</w:t>
      </w:r>
      <w:r>
        <w:t>ний о сложностях, с которыми сталкиваются жертвы пыток и жестокого обр</w:t>
      </w:r>
      <w:r>
        <w:t>а</w:t>
      </w:r>
      <w:r>
        <w:t>щения в процессе восстановления в правах и получения адекватной компенс</w:t>
      </w:r>
      <w:r>
        <w:t>а</w:t>
      </w:r>
      <w:r>
        <w:t xml:space="preserve">ции, </w:t>
      </w:r>
      <w:r>
        <w:rPr>
          <w:lang w:val="en-US"/>
        </w:rPr>
        <w:t>b</w:t>
      </w:r>
      <w:r>
        <w:t>) таких ограничений в отношении права на компенсацию, как сроки да</w:t>
      </w:r>
      <w:r>
        <w:t>в</w:t>
      </w:r>
      <w:r>
        <w:t>ности и нормы взаимности для иммигрантов, и с) отсутствия информации о случаях, когда жертвы пыток или жестокого обращения ходатайствовали о ко</w:t>
      </w:r>
      <w:r>
        <w:t>м</w:t>
      </w:r>
      <w:r>
        <w:t xml:space="preserve">пенсации и получили ее (статья 14). 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>Ссылаясь на свое замечание общего порядка №</w:t>
      </w:r>
      <w:r w:rsidR="005C69D1">
        <w:rPr>
          <w:b/>
        </w:rPr>
        <w:t> </w:t>
      </w:r>
      <w:r>
        <w:rPr>
          <w:b/>
        </w:rPr>
        <w:t>3 (2012 год) по статье 14 Конвенции, которая проясняет содержание и сферу охвата обязательств г</w:t>
      </w:r>
      <w:r>
        <w:rPr>
          <w:b/>
        </w:rPr>
        <w:t>о</w:t>
      </w:r>
      <w:r>
        <w:rPr>
          <w:b/>
        </w:rPr>
        <w:t>сударств-участников по полному возмещению ущерба жертвам пыток, К</w:t>
      </w:r>
      <w:r>
        <w:rPr>
          <w:b/>
        </w:rPr>
        <w:t>о</w:t>
      </w:r>
      <w:r>
        <w:rPr>
          <w:b/>
        </w:rPr>
        <w:t>митет рекомендует государству-участнику активизировать свои усилия для обеспечения того, чтобы жертвы пыток и жестокого обращения могли в полной мере воспользоваться своим правом на возмещение, включая спр</w:t>
      </w:r>
      <w:r>
        <w:rPr>
          <w:b/>
        </w:rPr>
        <w:t>а</w:t>
      </w:r>
      <w:r>
        <w:rPr>
          <w:b/>
        </w:rPr>
        <w:t>ведливую и адекватную компенсацию, максимально полную реабилит</w:t>
      </w:r>
      <w:r>
        <w:rPr>
          <w:b/>
        </w:rPr>
        <w:t>а</w:t>
      </w:r>
      <w:r>
        <w:rPr>
          <w:b/>
        </w:rPr>
        <w:t>цию, а также их право на установлении истины. Государству участнику следует предоставить Комитету информацию по: а) мерам возмещения и компенсации, предписанным судом и предоставленным жертвам пыток и жестокого обращения или их семьям (такая информация должна включать сведения о числе поданных и удовлетворенных ходатайств, а также о пр</w:t>
      </w:r>
      <w:r>
        <w:rPr>
          <w:b/>
        </w:rPr>
        <w:t>и</w:t>
      </w:r>
      <w:r>
        <w:rPr>
          <w:b/>
        </w:rPr>
        <w:t>сужденных и фактически выплаченных в каждом конкретном случае су</w:t>
      </w:r>
      <w:r>
        <w:rPr>
          <w:b/>
        </w:rPr>
        <w:t>м</w:t>
      </w:r>
      <w:r>
        <w:rPr>
          <w:b/>
        </w:rPr>
        <w:t xml:space="preserve">мах), и </w:t>
      </w:r>
      <w:r>
        <w:rPr>
          <w:b/>
          <w:lang w:val="en-US"/>
        </w:rPr>
        <w:t>b</w:t>
      </w:r>
      <w:r>
        <w:rPr>
          <w:b/>
        </w:rPr>
        <w:t>) любым проводимым программам реабилитации для жертв пыток и жестокого обращения. Государству-участнику также следует выделить необходимые ресурсы в целях эффективного осуществления таких пр</w:t>
      </w:r>
      <w:r>
        <w:rPr>
          <w:b/>
        </w:rPr>
        <w:t>о</w:t>
      </w:r>
      <w:r>
        <w:rPr>
          <w:b/>
        </w:rPr>
        <w:t xml:space="preserve">грамм и проинформировать об этом Комитет. </w:t>
      </w:r>
    </w:p>
    <w:p w:rsidR="00B22209" w:rsidRPr="000C6589" w:rsidRDefault="00B22209" w:rsidP="00162396">
      <w:pPr>
        <w:pStyle w:val="H23GR"/>
      </w:pPr>
      <w:r>
        <w:tab/>
      </w:r>
      <w:r>
        <w:tab/>
        <w:t xml:space="preserve">Жертвы сексуального рабства в армии </w:t>
      </w:r>
    </w:p>
    <w:p w:rsidR="00B22209" w:rsidRPr="000C6589" w:rsidRDefault="00B22209" w:rsidP="00162396">
      <w:pPr>
        <w:pStyle w:val="SingleTxtGR"/>
        <w:rPr>
          <w:rStyle w:val="IntenseEmphasis1"/>
          <w:i w:val="0"/>
          <w:color w:val="000000"/>
        </w:rPr>
      </w:pPr>
      <w:r w:rsidRPr="0028070C">
        <w:rPr>
          <w:rStyle w:val="IntenseEmphasis1"/>
          <w:i w:val="0"/>
          <w:color w:val="000000"/>
        </w:rPr>
        <w:t>19.</w:t>
      </w:r>
      <w:r>
        <w:rPr>
          <w:rStyle w:val="IntenseEmphasis1"/>
          <w:color w:val="000000"/>
        </w:rPr>
        <w:tab/>
      </w:r>
      <w:r>
        <w:t xml:space="preserve">Несмотря на предоставленную государством-участником информацию о некоторых шагах по признанию насилия в отношении так называемых </w:t>
      </w:r>
      <w:r w:rsidR="005C69D1">
        <w:t>"</w:t>
      </w:r>
      <w:r>
        <w:t>женщин для утех</w:t>
      </w:r>
      <w:r w:rsidR="005C69D1">
        <w:t>"</w:t>
      </w:r>
      <w:r>
        <w:t>, жертв сексуального рабства в Японии во время Второй мировой во</w:t>
      </w:r>
      <w:r>
        <w:t>й</w:t>
      </w:r>
      <w:r>
        <w:t>ны, Комитет по-прежнему глубоко обеспокоен тем, что государство-участник не смогло выполнить свои обязательства</w:t>
      </w:r>
      <w:r w:rsidRPr="00CB4B9C">
        <w:t xml:space="preserve"> </w:t>
      </w:r>
      <w:r>
        <w:t>по Конвенции для решения этого вопр</w:t>
      </w:r>
      <w:r>
        <w:t>о</w:t>
      </w:r>
      <w:r>
        <w:t>са, а именно по поводу:</w:t>
      </w:r>
      <w:r>
        <w:rPr>
          <w:rStyle w:val="IntenseEmphasis1"/>
          <w:color w:val="000000"/>
        </w:rPr>
        <w:t xml:space="preserve"> </w:t>
      </w:r>
    </w:p>
    <w:p w:rsidR="00B22209" w:rsidRPr="000C6589" w:rsidRDefault="00B22209" w:rsidP="00162396">
      <w:pPr>
        <w:pStyle w:val="SingleTxtGR"/>
        <w:rPr>
          <w:rStyle w:val="IntenseEmphasis1"/>
          <w:i w:val="0"/>
          <w:color w:val="000000"/>
        </w:rPr>
      </w:pPr>
      <w:r>
        <w:rPr>
          <w:rStyle w:val="IntenseEmphasis1"/>
          <w:color w:val="000000"/>
        </w:rPr>
        <w:tab/>
      </w:r>
      <w:r>
        <w:rPr>
          <w:lang w:val="en-US"/>
        </w:rPr>
        <w:t>a</w:t>
      </w:r>
      <w:r>
        <w:t>)</w:t>
      </w:r>
      <w:r>
        <w:tab/>
        <w:t>непредоставления адекватного возмещения и реабилитации для жертв. Комитет сожалеет, что выплата компенсаций финансируется за счет ч</w:t>
      </w:r>
      <w:r>
        <w:t>а</w:t>
      </w:r>
      <w:r>
        <w:t>стных пожертвований, а не из государственных фондов и является недостато</w:t>
      </w:r>
      <w:r>
        <w:t>ч</w:t>
      </w:r>
      <w:r>
        <w:t>ной и неадекватной</w:t>
      </w:r>
      <w:r w:rsidR="005C69D1">
        <w:t>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отсутствия преследования виновных в совершении таких пыток и привлечения их к ответственности.</w:t>
      </w:r>
      <w:r>
        <w:rPr>
          <w:rStyle w:val="highlight1"/>
        </w:rPr>
        <w:t xml:space="preserve"> </w:t>
      </w:r>
      <w:r w:rsidRPr="00927289">
        <w:t>К</w:t>
      </w:r>
      <w:r>
        <w:t>омитет напоминает, что</w:t>
      </w:r>
      <w:r w:rsidR="005C69D1">
        <w:t>,</w:t>
      </w:r>
      <w:r>
        <w:t xml:space="preserve"> поскольку п</w:t>
      </w:r>
      <w:r>
        <w:t>о</w:t>
      </w:r>
      <w:r>
        <w:t>следствия применения пыток носят долговременный характер, к таким актам не должны применяться сроки давности, так как они лишают жертв возможности получения возмещения, компенсации и реабилитации</w:t>
      </w:r>
      <w:r w:rsidR="005C69D1">
        <w:t>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сокрытия или отказа от разглашения соотве</w:t>
      </w:r>
      <w:r w:rsidR="005C69D1">
        <w:t>тствующих фактов или материалов;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продолжающегося отрицания фактов </w:t>
      </w:r>
      <w:r w:rsidRPr="00844B8B">
        <w:t xml:space="preserve">на официальном уровне и </w:t>
      </w:r>
      <w:r>
        <w:t>р</w:t>
      </w:r>
      <w:r>
        <w:t>е</w:t>
      </w:r>
      <w:r>
        <w:t>травматизации</w:t>
      </w:r>
      <w:r w:rsidRPr="00844B8B">
        <w:t xml:space="preserve"> жертв </w:t>
      </w:r>
      <w:r>
        <w:t>в результате заявлений с</w:t>
      </w:r>
      <w:r w:rsidRPr="00844B8B">
        <w:t xml:space="preserve">о стороны высокопоставленных представителей власти на местном и государственном уровне, а также </w:t>
      </w:r>
      <w:r>
        <w:t>со ст</w:t>
      </w:r>
      <w:r>
        <w:t>о</w:t>
      </w:r>
      <w:r>
        <w:t xml:space="preserve">роны </w:t>
      </w:r>
      <w:r w:rsidRPr="00844B8B">
        <w:t>политиков, включая нескольких членов Парламента</w:t>
      </w:r>
      <w:r w:rsidR="005C69D1">
        <w:t>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e</w:t>
      </w:r>
      <w:r>
        <w:t>)</w:t>
      </w:r>
      <w:r>
        <w:tab/>
        <w:t>непроведения эффективных образовательных программ для пр</w:t>
      </w:r>
      <w:r>
        <w:t>е</w:t>
      </w:r>
      <w:r>
        <w:t>дотвращения гендерно мотивирова</w:t>
      </w:r>
      <w:r w:rsidRPr="00E1378D">
        <w:t>нных нарушений Конвенции,</w:t>
      </w:r>
      <w:r>
        <w:t xml:space="preserve"> о чем, в час</w:t>
      </w:r>
      <w:r>
        <w:t>т</w:t>
      </w:r>
      <w:r>
        <w:t>ности, свидетельствует все более редкое упоминание данной темы в школьных учебника</w:t>
      </w:r>
      <w:r w:rsidR="005C69D1">
        <w:t>х по истории;</w:t>
      </w:r>
    </w:p>
    <w:p w:rsidR="00B22209" w:rsidRPr="000C6589" w:rsidRDefault="00B22209" w:rsidP="00162396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отказа государства-участника принять ряд рекомендаций по этому вопросу, сделанных в контексте универсального периодического обзора (A/HRC/22/14/Add.1, пункты 147.145 и далее), которые аналогичны тем, что были вынесены Комитетом (пункт 24) и многими другими механизмами в о</w:t>
      </w:r>
      <w:r>
        <w:t>б</w:t>
      </w:r>
      <w:r>
        <w:t>ласти прав человека Организации Объединенных Наций, в частности Комит</w:t>
      </w:r>
      <w:r>
        <w:t>е</w:t>
      </w:r>
      <w:r>
        <w:t xml:space="preserve">том по правам человека (CCPR/C/JPN/CO/5, пункт 22), </w:t>
      </w:r>
      <w:hyperlink r:id="rId8" w:history="1"/>
      <w:r>
        <w:t>Комитетом по ликвид</w:t>
      </w:r>
      <w:r>
        <w:t>а</w:t>
      </w:r>
      <w:r>
        <w:t xml:space="preserve">ции дискриминации в отношении женщин (CEDAW/C/JPN/CO/6, пункт 38), </w:t>
      </w:r>
      <w:hyperlink r:id="rId9" w:history="1"/>
      <w:r>
        <w:t>Комитетом по экономическим, социал</w:t>
      </w:r>
      <w:r w:rsidRPr="00175437">
        <w:t>ьным и культурным правам (E/C.12/JPN/CO/3, пункт 26)</w:t>
      </w:r>
      <w:r>
        <w:t xml:space="preserve"> и</w:t>
      </w:r>
      <w:r w:rsidRPr="00175437">
        <w:t xml:space="preserve"> некоторыми мандатариями специальных проц</w:t>
      </w:r>
      <w:r w:rsidRPr="00175437">
        <w:t>е</w:t>
      </w:r>
      <w:r w:rsidRPr="00175437">
        <w:t>дур</w:t>
      </w:r>
      <w:r>
        <w:t xml:space="preserve"> Совета по правам человека (статьи</w:t>
      </w:r>
      <w:r>
        <w:rPr>
          <w:rStyle w:val="IntenseEmphasis1"/>
          <w:color w:val="000000"/>
        </w:rPr>
        <w:t xml:space="preserve"> </w:t>
      </w:r>
      <w:r>
        <w:t>1, 2, 4, 10, 14 и 16).</w:t>
      </w:r>
    </w:p>
    <w:p w:rsidR="00B22209" w:rsidRPr="00F348C9" w:rsidRDefault="00B22209" w:rsidP="00162396">
      <w:pPr>
        <w:pStyle w:val="SingleTxtGR"/>
        <w:rPr>
          <w:rStyle w:val="Strong"/>
          <w:b w:val="0"/>
        </w:rPr>
      </w:pPr>
      <w:r w:rsidRPr="00F348C9">
        <w:rPr>
          <w:b/>
        </w:rPr>
        <w:t>Ссылаясь на свое замечание общего порядка №</w:t>
      </w:r>
      <w:r w:rsidR="005C69D1">
        <w:rPr>
          <w:b/>
        </w:rPr>
        <w:t> </w:t>
      </w:r>
      <w:r w:rsidRPr="00F348C9">
        <w:rPr>
          <w:b/>
        </w:rPr>
        <w:t>3 (2012 год), Комитет пр</w:t>
      </w:r>
      <w:r w:rsidRPr="00F348C9">
        <w:rPr>
          <w:b/>
        </w:rPr>
        <w:t>и</w:t>
      </w:r>
      <w:r w:rsidRPr="00F348C9">
        <w:rPr>
          <w:b/>
        </w:rPr>
        <w:t>зывает государство-участник принять незамедлительные и эффективные меры на законодательн</w:t>
      </w:r>
      <w:r w:rsidRPr="00944618">
        <w:rPr>
          <w:b/>
        </w:rPr>
        <w:t xml:space="preserve">ом и административном уровнях </w:t>
      </w:r>
      <w:r>
        <w:rPr>
          <w:b/>
        </w:rPr>
        <w:t>для отыскания ориентированного на интересы жертв решения проблемы</w:t>
      </w:r>
      <w:r w:rsidRPr="00944618">
        <w:rPr>
          <w:b/>
        </w:rPr>
        <w:t xml:space="preserve"> "женщин для утех", в частности, </w:t>
      </w:r>
      <w:r>
        <w:rPr>
          <w:b/>
        </w:rPr>
        <w:t>путем</w:t>
      </w:r>
      <w:r w:rsidRPr="00944618">
        <w:rPr>
          <w:b/>
        </w:rPr>
        <w:t>: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a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 xml:space="preserve">официального признания </w:t>
      </w:r>
      <w:r w:rsidRPr="009743A7">
        <w:rPr>
          <w:rStyle w:val="SingleTxtGChar1"/>
          <w:b/>
        </w:rPr>
        <w:t>юридическ</w:t>
      </w:r>
      <w:r>
        <w:rPr>
          <w:rStyle w:val="SingleTxtGChar1"/>
          <w:b/>
        </w:rPr>
        <w:t>ой</w:t>
      </w:r>
      <w:r w:rsidRPr="009743A7">
        <w:rPr>
          <w:rStyle w:val="SingleTxtGChar1"/>
          <w:b/>
        </w:rPr>
        <w:t xml:space="preserve"> ответственност</w:t>
      </w:r>
      <w:r>
        <w:rPr>
          <w:rStyle w:val="SingleTxtGChar1"/>
          <w:b/>
        </w:rPr>
        <w:t>и за преступления, связанные с сексуальным рабством, преследования и нак</w:t>
      </w:r>
      <w:r>
        <w:rPr>
          <w:rStyle w:val="SingleTxtGChar1"/>
          <w:b/>
        </w:rPr>
        <w:t>а</w:t>
      </w:r>
      <w:r>
        <w:rPr>
          <w:rStyle w:val="SingleTxtGChar1"/>
          <w:b/>
        </w:rPr>
        <w:t>зания виновных соразмерно тяжести</w:t>
      </w:r>
      <w:r w:rsidR="005C69D1">
        <w:rPr>
          <w:rStyle w:val="SingleTxtGChar1"/>
          <w:b/>
        </w:rPr>
        <w:t xml:space="preserve"> содеянного;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b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пресечения попыток отрицания государственными властями</w:t>
      </w:r>
      <w:r w:rsidRPr="00D077C3">
        <w:rPr>
          <w:rStyle w:val="SingleTxtGChar1"/>
          <w:b/>
        </w:rPr>
        <w:t xml:space="preserve"> </w:t>
      </w:r>
      <w:r>
        <w:rPr>
          <w:rStyle w:val="SingleTxtGChar1"/>
          <w:b/>
        </w:rPr>
        <w:t xml:space="preserve">и </w:t>
      </w:r>
      <w:r w:rsidRPr="006E0413">
        <w:rPr>
          <w:rStyle w:val="SingleTxtGChar1"/>
          <w:b/>
        </w:rPr>
        <w:t>государственными служащими</w:t>
      </w:r>
      <w:r w:rsidRPr="00D077C3">
        <w:rPr>
          <w:rStyle w:val="SingleTxtGChar1"/>
          <w:b/>
        </w:rPr>
        <w:t xml:space="preserve"> </w:t>
      </w:r>
      <w:r>
        <w:rPr>
          <w:rStyle w:val="SingleTxtGChar1"/>
          <w:b/>
        </w:rPr>
        <w:t>фактов и прекращения ретравматизации жертв посредством та</w:t>
      </w:r>
      <w:r w:rsidR="005C69D1">
        <w:rPr>
          <w:rStyle w:val="SingleTxtGChar1"/>
          <w:b/>
        </w:rPr>
        <w:t>кого продолжающегося отрицания;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c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раскрытия соответствующих материалов и проведения полного рас</w:t>
      </w:r>
      <w:r w:rsidR="005C69D1">
        <w:rPr>
          <w:rStyle w:val="SingleTxtGChar1"/>
          <w:b/>
        </w:rPr>
        <w:t>следования фактов;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d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признания права жертв на возмещение причиненного вреда и в соответствии с этим предоставления им полного и эффективного возмещ</w:t>
      </w:r>
      <w:r>
        <w:rPr>
          <w:rStyle w:val="SingleTxtGChar1"/>
          <w:b/>
        </w:rPr>
        <w:t>е</w:t>
      </w:r>
      <w:r>
        <w:rPr>
          <w:rStyle w:val="SingleTxtGChar1"/>
          <w:b/>
        </w:rPr>
        <w:t xml:space="preserve">ния и </w:t>
      </w:r>
      <w:r w:rsidRPr="006E0413">
        <w:rPr>
          <w:rStyle w:val="SingleTxtGChar1"/>
          <w:b/>
        </w:rPr>
        <w:t>репараци</w:t>
      </w:r>
      <w:r>
        <w:rPr>
          <w:rStyle w:val="SingleTxtGChar1"/>
          <w:b/>
        </w:rPr>
        <w:t xml:space="preserve">и, включая компенсацию, сатисфакцию и средства для </w:t>
      </w:r>
      <w:r w:rsidR="005C69D1">
        <w:rPr>
          <w:rStyle w:val="SingleTxtGChar1"/>
          <w:b/>
        </w:rPr>
        <w:t>максимально полной реабилитации;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e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просвещения общественности по данному вопросу и освещения этих событий во всех школьных учебниках по истории, в качестве средства предотвращения дальнейших нарушений государством-участником обяз</w:t>
      </w:r>
      <w:r>
        <w:rPr>
          <w:rStyle w:val="SingleTxtGChar1"/>
          <w:b/>
        </w:rPr>
        <w:t>а</w:t>
      </w:r>
      <w:r>
        <w:rPr>
          <w:rStyle w:val="SingleTxtGChar1"/>
          <w:b/>
        </w:rPr>
        <w:t>тельств по Конвенции.</w:t>
      </w:r>
    </w:p>
    <w:p w:rsidR="00B22209" w:rsidRPr="000C6589" w:rsidRDefault="00B22209" w:rsidP="00162396">
      <w:pPr>
        <w:pStyle w:val="H23GR"/>
      </w:pPr>
      <w:r>
        <w:tab/>
      </w:r>
      <w:r>
        <w:tab/>
        <w:t xml:space="preserve">Насилие в отношении женщин и гендерное насилие </w:t>
      </w:r>
    </w:p>
    <w:p w:rsidR="00B22209" w:rsidRPr="000C6589" w:rsidRDefault="00B22209" w:rsidP="00162396">
      <w:pPr>
        <w:pStyle w:val="SingleTxtGR"/>
      </w:pPr>
      <w:r>
        <w:t>20.</w:t>
      </w:r>
      <w:r>
        <w:tab/>
        <w:t>Принимая во внимание усилия государства-участника по борьбе с ге</w:t>
      </w:r>
      <w:r>
        <w:t>н</w:t>
      </w:r>
      <w:r>
        <w:t>дерным насилием, Комитет обеспокоен сообщениями о продолжающихся сл</w:t>
      </w:r>
      <w:r>
        <w:t>у</w:t>
      </w:r>
      <w:r>
        <w:t>чаях гендерного насилия, в частности домашнего насилия, инцестов и изнас</w:t>
      </w:r>
      <w:r>
        <w:t>и</w:t>
      </w:r>
      <w:r>
        <w:t>лования, включая изнасилования в браке, а также низким числом поданных з</w:t>
      </w:r>
      <w:r>
        <w:t>а</w:t>
      </w:r>
      <w:r>
        <w:t>явлений, расследований, судебных дел и приговоров по таким делам и недост</w:t>
      </w:r>
      <w:r>
        <w:t>а</w:t>
      </w:r>
      <w:r>
        <w:t>точной правовой защитой потерпевших.</w:t>
      </w:r>
      <w:r>
        <w:rPr>
          <w:vertAlign w:val="superscript"/>
        </w:rPr>
        <w:t xml:space="preserve"> </w:t>
      </w:r>
      <w:r>
        <w:t>Кроме того, Комитет выражает свою обеспокоенность в связи с тем, что для судебного преследования виновных в сексуальном насилии</w:t>
      </w:r>
      <w:r w:rsidRPr="000A7F93">
        <w:t xml:space="preserve"> </w:t>
      </w:r>
      <w:r>
        <w:t xml:space="preserve">согласно </w:t>
      </w:r>
      <w:r w:rsidRPr="000A7F93">
        <w:t>Уголовн</w:t>
      </w:r>
      <w:r>
        <w:t>ому</w:t>
      </w:r>
      <w:r w:rsidRPr="000A7F93">
        <w:t xml:space="preserve"> кодекс</w:t>
      </w:r>
      <w:r>
        <w:t xml:space="preserve">у требуется </w:t>
      </w:r>
      <w:r w:rsidRPr="006E0413">
        <w:t>заявление</w:t>
      </w:r>
      <w:r>
        <w:t xml:space="preserve"> от жертвы (статьи 2, 12, 13, 14 и 16).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 xml:space="preserve">В свете предыдущих рекомендаций, высказанных Комитетом (пункт 25) и </w:t>
      </w:r>
      <w:hyperlink r:id="rId10" w:history="1"/>
      <w:r>
        <w:rPr>
          <w:b/>
        </w:rPr>
        <w:t>Комитетом по ликвидации дискриминации в отношении женщин (CEDAW/C/JPN/CO/6, пункты 31</w:t>
      </w:r>
      <w:r w:rsidR="000070A4">
        <w:rPr>
          <w:b/>
        </w:rPr>
        <w:t>−</w:t>
      </w:r>
      <w:r>
        <w:rPr>
          <w:b/>
        </w:rPr>
        <w:t>34), государству-участнику следует акт</w:t>
      </w:r>
      <w:r>
        <w:rPr>
          <w:b/>
        </w:rPr>
        <w:t>и</w:t>
      </w:r>
      <w:r>
        <w:rPr>
          <w:b/>
        </w:rPr>
        <w:t>визировать свои усилия для предотвращения и пресечения всех форм ге</w:t>
      </w:r>
      <w:r>
        <w:rPr>
          <w:b/>
        </w:rPr>
        <w:t>н</w:t>
      </w:r>
      <w:r>
        <w:rPr>
          <w:b/>
        </w:rPr>
        <w:t>дерных посягательств, включая домашнее насилие, инцест и изнасилов</w:t>
      </w:r>
      <w:r>
        <w:rPr>
          <w:b/>
        </w:rPr>
        <w:t>а</w:t>
      </w:r>
      <w:r>
        <w:rPr>
          <w:b/>
        </w:rPr>
        <w:t>ние, а также изнасилование в браке, в частности, путем:</w:t>
      </w:r>
    </w:p>
    <w:p w:rsidR="00B22209" w:rsidRPr="000C6589" w:rsidRDefault="00B22209" w:rsidP="00162396">
      <w:pPr>
        <w:pStyle w:val="SingleTxtGR"/>
        <w:rPr>
          <w:b/>
        </w:rPr>
      </w:pPr>
      <w: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принятия и осуществления взаимосвязанной комплексной н</w:t>
      </w:r>
      <w:r>
        <w:rPr>
          <w:b/>
        </w:rPr>
        <w:t>а</w:t>
      </w:r>
      <w:r>
        <w:rPr>
          <w:b/>
        </w:rPr>
        <w:t>циональной стратегии ликвидации насилия в отношении женщин и дев</w:t>
      </w:r>
      <w:r>
        <w:rPr>
          <w:b/>
        </w:rPr>
        <w:t>о</w:t>
      </w:r>
      <w:r>
        <w:rPr>
          <w:b/>
        </w:rPr>
        <w:t xml:space="preserve">чек, которая включала бы юридические, воспитательные, </w:t>
      </w:r>
      <w:r w:rsidR="000070A4">
        <w:rPr>
          <w:b/>
        </w:rPr>
        <w:t>финансовые и социальные аспекты;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гарантии доступа для жертв такого насилия к механизмам п</w:t>
      </w:r>
      <w:r>
        <w:rPr>
          <w:b/>
        </w:rPr>
        <w:t>о</w:t>
      </w:r>
      <w:r>
        <w:rPr>
          <w:b/>
        </w:rPr>
        <w:t>дачи и рассмотрения жалоб и оказание содействия при физической и пс</w:t>
      </w:r>
      <w:r>
        <w:rPr>
          <w:b/>
        </w:rPr>
        <w:t>и</w:t>
      </w:r>
      <w:r>
        <w:rPr>
          <w:b/>
        </w:rPr>
        <w:t xml:space="preserve">хологической реабилитации жертв. </w:t>
      </w:r>
      <w:r w:rsidRPr="00F65198">
        <w:rPr>
          <w:b/>
        </w:rPr>
        <w:t xml:space="preserve">Такую поддержку </w:t>
      </w:r>
      <w:r w:rsidRPr="00F65198">
        <w:rPr>
          <w:rStyle w:val="highlight1"/>
          <w:b/>
        </w:rPr>
        <w:t xml:space="preserve">необходимо также предоставить и для жертв </w:t>
      </w:r>
      <w:r>
        <w:rPr>
          <w:rStyle w:val="highlight1"/>
          <w:b/>
        </w:rPr>
        <w:t xml:space="preserve">насилия со стороны </w:t>
      </w:r>
      <w:r w:rsidRPr="00F65198">
        <w:rPr>
          <w:rStyle w:val="highlight1"/>
          <w:b/>
        </w:rPr>
        <w:t xml:space="preserve">всех военнослужащих, включая </w:t>
      </w:r>
      <w:r w:rsidRPr="00F65198">
        <w:rPr>
          <w:b/>
        </w:rPr>
        <w:t xml:space="preserve">представителей иностранных военных сил, </w:t>
      </w:r>
      <w:r>
        <w:rPr>
          <w:b/>
        </w:rPr>
        <w:t xml:space="preserve">базирующихся </w:t>
      </w:r>
      <w:r w:rsidRPr="00F65198">
        <w:rPr>
          <w:b/>
        </w:rPr>
        <w:t>на т</w:t>
      </w:r>
      <w:r w:rsidR="000070A4">
        <w:rPr>
          <w:b/>
        </w:rPr>
        <w:t>ерритории государства-участника;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безотлагательно, эффективно и беспристрастно расследовать все случаи насилия в отношении женщин и привлекать виновных к отве</w:t>
      </w:r>
      <w:r>
        <w:rPr>
          <w:b/>
        </w:rPr>
        <w:t>т</w:t>
      </w:r>
      <w:r>
        <w:rPr>
          <w:b/>
        </w:rPr>
        <w:t xml:space="preserve">ственности. Комитет призывает государство-участник </w:t>
      </w:r>
      <w:r w:rsidRPr="006E0413">
        <w:rPr>
          <w:b/>
        </w:rPr>
        <w:t>пересмотреть</w:t>
      </w:r>
      <w:r>
        <w:rPr>
          <w:b/>
        </w:rPr>
        <w:t xml:space="preserve"> свое законодательство для обеспечения того, чтобы за преступления сексуал</w:t>
      </w:r>
      <w:r>
        <w:rPr>
          <w:b/>
        </w:rPr>
        <w:t>ь</w:t>
      </w:r>
      <w:r>
        <w:rPr>
          <w:b/>
        </w:rPr>
        <w:t xml:space="preserve">ного насилия можно было привлекать к ответственности без наличия </w:t>
      </w:r>
      <w:r w:rsidRPr="006E0413">
        <w:rPr>
          <w:b/>
        </w:rPr>
        <w:t>з</w:t>
      </w:r>
      <w:r w:rsidRPr="006E0413">
        <w:rPr>
          <w:b/>
        </w:rPr>
        <w:t>а</w:t>
      </w:r>
      <w:r w:rsidRPr="006E0413">
        <w:rPr>
          <w:b/>
        </w:rPr>
        <w:t>явления</w:t>
      </w:r>
      <w:r w:rsidR="000070A4">
        <w:rPr>
          <w:b/>
        </w:rPr>
        <w:t xml:space="preserve"> со стороны жертвы;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 xml:space="preserve">расширить информационно-просветительскую работу среди общественности по всем видам насилия в отношении женщин, а также в отношении гендерного насилия. </w:t>
      </w:r>
    </w:p>
    <w:p w:rsidR="00B22209" w:rsidRPr="000C6589" w:rsidRDefault="00B22209" w:rsidP="00162396">
      <w:pPr>
        <w:pStyle w:val="H23GR"/>
      </w:pPr>
      <w:r>
        <w:tab/>
      </w:r>
      <w:r>
        <w:tab/>
        <w:t>Торговля людьми</w:t>
      </w:r>
    </w:p>
    <w:p w:rsidR="00B22209" w:rsidRPr="000C6589" w:rsidRDefault="00B22209" w:rsidP="00162396">
      <w:pPr>
        <w:pStyle w:val="SingleTxtGR"/>
      </w:pPr>
      <w:r>
        <w:t>21.</w:t>
      </w:r>
      <w:r>
        <w:tab/>
        <w:t>Принимая во внимание усилия государства-участника по борьбе с то</w:t>
      </w:r>
      <w:r>
        <w:t>р</w:t>
      </w:r>
      <w:r>
        <w:t>говлей людьми, включая План действий по борьбе с торговлей людьми 2009 г</w:t>
      </w:r>
      <w:r>
        <w:t>о</w:t>
      </w:r>
      <w:r>
        <w:t>да, Комитет обеспокоен отсутствием информации о ресурсах, которые выдел</w:t>
      </w:r>
      <w:r>
        <w:t>я</w:t>
      </w:r>
      <w:r>
        <w:t>ются на его реализацию, и большим разрывом между количеством лиц, арест</w:t>
      </w:r>
      <w:r>
        <w:t>о</w:t>
      </w:r>
      <w:r>
        <w:t xml:space="preserve">ванных за торговлю людьми, и лиц, привлеченных к </w:t>
      </w:r>
      <w:r w:rsidRPr="00F65198">
        <w:t>суд</w:t>
      </w:r>
      <w:r>
        <w:t>у</w:t>
      </w:r>
      <w:r w:rsidRPr="00F65198">
        <w:t xml:space="preserve"> и </w:t>
      </w:r>
      <w:r>
        <w:t>осужденных им. Комитет с сожалением отмечает отсутствие информации о наблюдательном и координационном органе и о влиянии мер по борьбе с торговлей людьми, в ос</w:t>
      </w:r>
      <w:r>
        <w:t>о</w:t>
      </w:r>
      <w:r>
        <w:t>бенности на положение детей (статьи 2, 12, 13, 14 и 16).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>Комитет призывает государство-участник полностью выполнить рекоме</w:t>
      </w:r>
      <w:r>
        <w:rPr>
          <w:b/>
        </w:rPr>
        <w:t>н</w:t>
      </w:r>
      <w:r>
        <w:rPr>
          <w:b/>
        </w:rPr>
        <w:t xml:space="preserve">дации, вынесенные Специальным докладчиком по вопросу о торговле людьми (A/HRC/14/32/Add.4) после посещения ею </w:t>
      </w:r>
      <w:r w:rsidR="000070A4">
        <w:rPr>
          <w:b/>
        </w:rPr>
        <w:t>Японии</w:t>
      </w:r>
      <w:r>
        <w:rPr>
          <w:b/>
        </w:rPr>
        <w:t xml:space="preserve"> в 2009 году. В ч</w:t>
      </w:r>
      <w:r>
        <w:rPr>
          <w:b/>
        </w:rPr>
        <w:t>а</w:t>
      </w:r>
      <w:r>
        <w:rPr>
          <w:b/>
        </w:rPr>
        <w:t>стности, государству-участнику необходимо обеспечить следующее: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 xml:space="preserve">предоставление жертвам </w:t>
      </w:r>
      <w:r>
        <w:rPr>
          <w:rStyle w:val="highlight1"/>
          <w:b/>
        </w:rPr>
        <w:t>торговли людьми</w:t>
      </w:r>
      <w:r>
        <w:rPr>
          <w:b/>
        </w:rPr>
        <w:t xml:space="preserve"> адекватной помощи для их физического и </w:t>
      </w:r>
      <w:r w:rsidR="000070A4">
        <w:rPr>
          <w:b/>
        </w:rPr>
        <w:t>психологического восстановления;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наличие четких процедур для правильной идентификации жертв торговли людьми, не допускающих их классификации в качестве мигрантов без документов и их депортации без возмещения причиненного вреда и оказания право</w:t>
      </w:r>
      <w:r w:rsidR="000070A4">
        <w:rPr>
          <w:b/>
        </w:rPr>
        <w:t>вой помощи;</w:t>
      </w:r>
    </w:p>
    <w:p w:rsidR="00B2220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привлечение виновных к ответственности и назначение им с</w:t>
      </w:r>
      <w:r>
        <w:rPr>
          <w:b/>
        </w:rPr>
        <w:t>о</w:t>
      </w:r>
      <w:r w:rsidR="000070A4">
        <w:rPr>
          <w:b/>
        </w:rPr>
        <w:t>ответствующего наказания;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организация специальных программ подготовки государстве</w:t>
      </w:r>
      <w:r>
        <w:rPr>
          <w:b/>
        </w:rPr>
        <w:t>н</w:t>
      </w:r>
      <w:r>
        <w:rPr>
          <w:b/>
        </w:rPr>
        <w:t>ных служащих по данному вопросу.</w:t>
      </w:r>
    </w:p>
    <w:p w:rsidR="00B22209" w:rsidRPr="00DD6AAB" w:rsidRDefault="00B22209" w:rsidP="00162396">
      <w:pPr>
        <w:pStyle w:val="SingleTxtGR"/>
        <w:rPr>
          <w:b/>
          <w:bCs/>
        </w:rPr>
      </w:pPr>
      <w:r>
        <w:rPr>
          <w:b/>
        </w:rPr>
        <w:t>Дополнительно государству-участнику следует рассмотреть возможность ратификации Протокола о предупреждении и пресечении торговли люд</w:t>
      </w:r>
      <w:r>
        <w:rPr>
          <w:b/>
        </w:rPr>
        <w:t>ь</w:t>
      </w:r>
      <w:r>
        <w:rPr>
          <w:b/>
        </w:rPr>
        <w:t>ми, особенно женщинами и детьми, и наказании за нее (Палермский пр</w:t>
      </w:r>
      <w:r>
        <w:rPr>
          <w:b/>
        </w:rPr>
        <w:t>о</w:t>
      </w:r>
      <w:r>
        <w:rPr>
          <w:b/>
        </w:rPr>
        <w:t>токол).</w:t>
      </w:r>
    </w:p>
    <w:p w:rsidR="00B22209" w:rsidRPr="000C6589" w:rsidRDefault="00B22209" w:rsidP="00EB7A4A">
      <w:pPr>
        <w:pStyle w:val="H23GR"/>
      </w:pPr>
      <w:r>
        <w:tab/>
      </w:r>
      <w:r>
        <w:tab/>
        <w:t>Психиатрическая медицинская помощь</w:t>
      </w:r>
    </w:p>
    <w:p w:rsidR="00B22209" w:rsidRPr="000C6589" w:rsidRDefault="00B22209" w:rsidP="00162396">
      <w:pPr>
        <w:pStyle w:val="SingleTxtGR"/>
      </w:pPr>
      <w:r>
        <w:t>22.</w:t>
      </w:r>
      <w:r>
        <w:tab/>
        <w:t>Несмотря на Закон о психическом здоровье и благополучии психически больных людей, определяющий порядок работы психиатрических учреждений, и на дополнительную информацию, предоставленную государством-участником, Комитет по-прежнему обеспокоен высоким количеством лиц с психическими расстройствами, как психосоциальными, так и интеллектуал</w:t>
      </w:r>
      <w:r>
        <w:t>ь</w:t>
      </w:r>
      <w:r>
        <w:t>ными, которые находятся на принудительном лечении в  психиатрических у</w:t>
      </w:r>
      <w:r>
        <w:t>ч</w:t>
      </w:r>
      <w:r>
        <w:t>реждениях в течение длительного периода времени. Комитет все также обесп</w:t>
      </w:r>
      <w:r>
        <w:t>о</w:t>
      </w:r>
      <w:r>
        <w:t>коен частым применением одиночного заключения, средств ограничения своб</w:t>
      </w:r>
      <w:r>
        <w:t>о</w:t>
      </w:r>
      <w:r>
        <w:t xml:space="preserve">ды движения и принудительного ввода лекарственных препаратов, </w:t>
      </w:r>
      <w:r w:rsidR="000070A4">
        <w:t>т.е.</w:t>
      </w:r>
      <w:r>
        <w:t xml:space="preserve"> дейс</w:t>
      </w:r>
      <w:r>
        <w:t>т</w:t>
      </w:r>
      <w:r>
        <w:t>виями, которые могут быть приравнены к бесчеловечному или унижающему достоинство обращению. Принимая во внимание информацию, полученную в ходе диалога по планам относительно охраны психического здоровья, Комитет по-прежнему обеспокоен недостатком внимания к альтернативам госпитализ</w:t>
      </w:r>
      <w:r>
        <w:t>а</w:t>
      </w:r>
      <w:r>
        <w:t>ции лиц с</w:t>
      </w:r>
      <w:r w:rsidR="000070A4">
        <w:t xml:space="preserve"> психическими расстройствами. И</w:t>
      </w:r>
      <w:r>
        <w:t xml:space="preserve"> наконец, Комитет обеспокоен по поводу частого отсутствия эффективных и беспристрастных расследований ж</w:t>
      </w:r>
      <w:r>
        <w:t>а</w:t>
      </w:r>
      <w:r>
        <w:t>лоб на чрезмерное использование ограничительных мер, а также отсутствия с</w:t>
      </w:r>
      <w:r>
        <w:t>о</w:t>
      </w:r>
      <w:r>
        <w:t xml:space="preserve">ответствующих статистических данных (статьи 2, 11, 13 и 16). 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>Комитет настоятельно призывает государство-участник обеспечить сл</w:t>
      </w:r>
      <w:r>
        <w:rPr>
          <w:rStyle w:val="SingleTxtGChar1"/>
          <w:b/>
        </w:rPr>
        <w:t>е</w:t>
      </w:r>
      <w:r>
        <w:rPr>
          <w:rStyle w:val="SingleTxtGChar1"/>
          <w:b/>
        </w:rPr>
        <w:t>дующее: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a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эффективный контроль со стороны судов за помещением пац</w:t>
      </w:r>
      <w:r>
        <w:rPr>
          <w:rStyle w:val="SingleTxtGChar1"/>
          <w:b/>
        </w:rPr>
        <w:t>и</w:t>
      </w:r>
      <w:r>
        <w:rPr>
          <w:rStyle w:val="SingleTxtGChar1"/>
          <w:b/>
        </w:rPr>
        <w:t>ента в учреждение и лечением без его согласия, а также за создание</w:t>
      </w:r>
      <w:r w:rsidR="000070A4">
        <w:rPr>
          <w:rStyle w:val="SingleTxtGChar1"/>
          <w:b/>
        </w:rPr>
        <w:t>м</w:t>
      </w:r>
      <w:r>
        <w:rPr>
          <w:rStyle w:val="SingleTxtGChar1"/>
          <w:b/>
        </w:rPr>
        <w:t xml:space="preserve"> э</w:t>
      </w:r>
      <w:r>
        <w:rPr>
          <w:rStyle w:val="SingleTxtGChar1"/>
          <w:b/>
        </w:rPr>
        <w:t>ф</w:t>
      </w:r>
      <w:r>
        <w:rPr>
          <w:rStyle w:val="SingleTxtGChar1"/>
          <w:b/>
        </w:rPr>
        <w:t>фек</w:t>
      </w:r>
      <w:r w:rsidR="000070A4">
        <w:rPr>
          <w:rStyle w:val="SingleTxtGChar1"/>
          <w:b/>
        </w:rPr>
        <w:t>тивных механизмов обжалования;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b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развитие амбулаторных и общественных услуг, а также сокр</w:t>
      </w:r>
      <w:r>
        <w:rPr>
          <w:rStyle w:val="SingleTxtGChar1"/>
          <w:b/>
        </w:rPr>
        <w:t>а</w:t>
      </w:r>
      <w:r>
        <w:rPr>
          <w:rStyle w:val="SingleTxtGChar1"/>
          <w:b/>
        </w:rPr>
        <w:t>щение численности пациент</w:t>
      </w:r>
      <w:r w:rsidR="000070A4">
        <w:rPr>
          <w:rStyle w:val="SingleTxtGChar1"/>
          <w:b/>
        </w:rPr>
        <w:t>ов, помещенных в спецучреждения;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c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соблюдение эффективных правовых гарантий во всех местах принудительного содержания, включая психиатриче</w:t>
      </w:r>
      <w:r w:rsidR="000070A4">
        <w:rPr>
          <w:rStyle w:val="SingleTxtGChar1"/>
          <w:b/>
        </w:rPr>
        <w:t>ские учреждения и спецприемники;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d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укрепление доступа к эф</w:t>
      </w:r>
      <w:r w:rsidR="000070A4">
        <w:rPr>
          <w:rStyle w:val="SingleTxtGChar1"/>
          <w:b/>
        </w:rPr>
        <w:t>фективны механизмам обжалования;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e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недопущение использования средств ограничения свободы движения и содержания в одиночной камере или их применение в качестве крайней меры, когда любые другие альтернативы контроля были исче</w:t>
      </w:r>
      <w:r>
        <w:rPr>
          <w:rStyle w:val="SingleTxtGChar1"/>
          <w:b/>
        </w:rPr>
        <w:t>р</w:t>
      </w:r>
      <w:r>
        <w:rPr>
          <w:rStyle w:val="SingleTxtGChar1"/>
          <w:b/>
        </w:rPr>
        <w:t>паны, на максимально короткий период времени под строгим медици</w:t>
      </w:r>
      <w:r>
        <w:rPr>
          <w:rStyle w:val="SingleTxtGChar1"/>
          <w:b/>
        </w:rPr>
        <w:t>н</w:t>
      </w:r>
      <w:r>
        <w:rPr>
          <w:rStyle w:val="SingleTxtGChar1"/>
          <w:b/>
        </w:rPr>
        <w:t>ским наблюдением и при условии должного документирования любой п</w:t>
      </w:r>
      <w:r>
        <w:rPr>
          <w:rStyle w:val="SingleTxtGChar1"/>
          <w:b/>
        </w:rPr>
        <w:t>о</w:t>
      </w:r>
      <w:r w:rsidR="000070A4">
        <w:rPr>
          <w:rStyle w:val="SingleTxtGChar1"/>
          <w:b/>
        </w:rPr>
        <w:t>добной ситуации;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f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проведение эффективных и беспристрастных расследований в случае, если чрезмерное использование таких ограничительных мер пр</w:t>
      </w:r>
      <w:r>
        <w:rPr>
          <w:rStyle w:val="SingleTxtGChar1"/>
          <w:b/>
        </w:rPr>
        <w:t>и</w:t>
      </w:r>
      <w:r w:rsidR="000070A4">
        <w:rPr>
          <w:rStyle w:val="SingleTxtGChar1"/>
          <w:b/>
        </w:rPr>
        <w:t>водит к травме пациента;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g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предоставление жертвам правовой защиты и возмещени</w:t>
      </w:r>
      <w:r w:rsidR="000070A4">
        <w:rPr>
          <w:rStyle w:val="SingleTxtGChar1"/>
          <w:b/>
        </w:rPr>
        <w:t>е</w:t>
      </w:r>
      <w:r>
        <w:rPr>
          <w:rStyle w:val="SingleTxtGChar1"/>
          <w:b/>
        </w:rPr>
        <w:t xml:space="preserve"> пр</w:t>
      </w:r>
      <w:r>
        <w:rPr>
          <w:rStyle w:val="SingleTxtGChar1"/>
          <w:b/>
        </w:rPr>
        <w:t>и</w:t>
      </w:r>
      <w:r w:rsidR="000070A4">
        <w:rPr>
          <w:rStyle w:val="SingleTxtGChar1"/>
          <w:b/>
        </w:rPr>
        <w:t>чиненного вреда;</w:t>
      </w:r>
    </w:p>
    <w:p w:rsidR="00B22209" w:rsidRPr="000C6589" w:rsidRDefault="00B22209" w:rsidP="00162396">
      <w:pPr>
        <w:pStyle w:val="SingleTxtGR"/>
        <w:rPr>
          <w:rStyle w:val="SingleTxtGChar1"/>
          <w:b/>
        </w:rPr>
      </w:pPr>
      <w:r>
        <w:rPr>
          <w:rStyle w:val="SingleTxtGChar1"/>
          <w:b/>
        </w:rPr>
        <w:tab/>
      </w:r>
      <w:r>
        <w:rPr>
          <w:rStyle w:val="SingleTxtGChar1"/>
          <w:b/>
          <w:lang w:val="en-US"/>
        </w:rPr>
        <w:t>h</w:t>
      </w:r>
      <w:r>
        <w:rPr>
          <w:rStyle w:val="SingleTxtGChar1"/>
          <w:b/>
        </w:rPr>
        <w:t>)</w:t>
      </w:r>
      <w:r>
        <w:rPr>
          <w:rStyle w:val="SingleTxtGChar1"/>
          <w:b/>
        </w:rPr>
        <w:tab/>
        <w:t>регулярное инспектирование независимыми наблюдательными органами всех психиатрических учреждений.</w:t>
      </w:r>
    </w:p>
    <w:p w:rsidR="00B22209" w:rsidRPr="000C6589" w:rsidRDefault="00B22209" w:rsidP="00162396">
      <w:pPr>
        <w:pStyle w:val="H23GR"/>
      </w:pPr>
      <w:r>
        <w:tab/>
      </w:r>
      <w:r>
        <w:tab/>
        <w:t xml:space="preserve">Телесные наказания </w:t>
      </w:r>
    </w:p>
    <w:p w:rsidR="00B22209" w:rsidRPr="000C6589" w:rsidRDefault="00B22209" w:rsidP="00162396">
      <w:pPr>
        <w:pStyle w:val="SingleTxtGR"/>
      </w:pPr>
      <w:r>
        <w:t>23.</w:t>
      </w:r>
      <w:r>
        <w:tab/>
        <w:t>Отмечая, что жестокое обращение с ребенком запрещено в силу статьи 3 Закона о предупреждении жестокого обращения с детьми, Комитет разделяет беспокойство Комитета по правам ребенка (CRC/C/JPN/CO/3, пункт 47) о том, что закон конкретно не запрещает применение телесных наказаний в семьях и в учреждениях альтернативного ухода и что Гражданский кодекс и Закон о пр</w:t>
      </w:r>
      <w:r>
        <w:t>е</w:t>
      </w:r>
      <w:r>
        <w:t>дупреждении жестокого обращения с детьми допускают применение адеква</w:t>
      </w:r>
      <w:r>
        <w:t>т</w:t>
      </w:r>
      <w:r>
        <w:t>ных дисциплинарных мер, не уточняя при этом, запрещены ли телесные нак</w:t>
      </w:r>
      <w:r>
        <w:t>а</w:t>
      </w:r>
      <w:r>
        <w:t>зания или нет (статья 16).</w:t>
      </w:r>
    </w:p>
    <w:p w:rsidR="00B22209" w:rsidRPr="000C6589" w:rsidRDefault="00B22209" w:rsidP="00162396">
      <w:pPr>
        <w:pStyle w:val="SingleTxtGR"/>
        <w:rPr>
          <w:b/>
        </w:rPr>
      </w:pPr>
      <w:r>
        <w:rPr>
          <w:b/>
        </w:rPr>
        <w:t>Государству-участнику следует ввести конкретный законодательный з</w:t>
      </w:r>
      <w:r>
        <w:rPr>
          <w:b/>
        </w:rPr>
        <w:t>а</w:t>
      </w:r>
      <w:r>
        <w:rPr>
          <w:b/>
        </w:rPr>
        <w:t>прет на применение телесных наказаний в отношении детей и наказаний, унижающих их достоинство, повсеместно.</w:t>
      </w:r>
    </w:p>
    <w:p w:rsidR="00B22209" w:rsidRPr="000C6589" w:rsidRDefault="00B22209" w:rsidP="00162396">
      <w:pPr>
        <w:pStyle w:val="H23GR"/>
      </w:pPr>
      <w:r>
        <w:tab/>
      </w:r>
      <w:r>
        <w:tab/>
        <w:t>Другие вопросы</w:t>
      </w:r>
    </w:p>
    <w:p w:rsidR="00B22209" w:rsidRPr="00501432" w:rsidRDefault="00B22209" w:rsidP="005438CE">
      <w:pPr>
        <w:pStyle w:val="SingleTxtGR"/>
        <w:rPr>
          <w:rStyle w:val="Strong"/>
          <w:b w:val="0"/>
        </w:rPr>
      </w:pPr>
      <w:r w:rsidRPr="00501432">
        <w:rPr>
          <w:rStyle w:val="Strong"/>
          <w:b w:val="0"/>
        </w:rPr>
        <w:t>24.</w:t>
      </w:r>
      <w:r w:rsidRPr="00501432">
        <w:rPr>
          <w:rStyle w:val="Strong"/>
          <w:b w:val="0"/>
        </w:rPr>
        <w:tab/>
        <w:t>Государству-участнику следует создать эффективную систему сбора всех статистических данных с разбивкой по пол</w:t>
      </w:r>
      <w:r>
        <w:rPr>
          <w:rStyle w:val="Strong"/>
          <w:b w:val="0"/>
        </w:rPr>
        <w:t>у</w:t>
      </w:r>
      <w:r w:rsidRPr="00501432">
        <w:rPr>
          <w:rStyle w:val="Strong"/>
          <w:b w:val="0"/>
        </w:rPr>
        <w:t xml:space="preserve">, возрасту и </w:t>
      </w:r>
      <w:r>
        <w:rPr>
          <w:rStyle w:val="Strong"/>
          <w:b w:val="0"/>
        </w:rPr>
        <w:t>степени достоверности</w:t>
      </w:r>
      <w:r w:rsidRPr="00501432">
        <w:rPr>
          <w:rStyle w:val="Strong"/>
          <w:b w:val="0"/>
        </w:rPr>
        <w:t xml:space="preserve">, </w:t>
      </w:r>
      <w:r>
        <w:rPr>
          <w:rStyle w:val="Strong"/>
          <w:b w:val="0"/>
        </w:rPr>
        <w:t>что</w:t>
      </w:r>
      <w:r w:rsidRPr="00501432">
        <w:rPr>
          <w:rStyle w:val="Strong"/>
          <w:b w:val="0"/>
        </w:rPr>
        <w:t xml:space="preserve"> буд</w:t>
      </w:r>
      <w:r>
        <w:rPr>
          <w:rStyle w:val="Strong"/>
          <w:b w:val="0"/>
        </w:rPr>
        <w:t>е</w:t>
      </w:r>
      <w:r w:rsidRPr="00501432">
        <w:rPr>
          <w:rStyle w:val="Strong"/>
          <w:b w:val="0"/>
        </w:rPr>
        <w:t>т важн</w:t>
      </w:r>
      <w:r>
        <w:rPr>
          <w:rStyle w:val="Strong"/>
          <w:b w:val="0"/>
        </w:rPr>
        <w:t>о</w:t>
      </w:r>
      <w:r w:rsidRPr="00501432">
        <w:rPr>
          <w:rStyle w:val="Strong"/>
          <w:b w:val="0"/>
        </w:rPr>
        <w:t xml:space="preserve"> для </w:t>
      </w:r>
      <w:r>
        <w:rPr>
          <w:rStyle w:val="Strong"/>
          <w:b w:val="0"/>
        </w:rPr>
        <w:t>контроля за осуществлением</w:t>
      </w:r>
      <w:r w:rsidRPr="00501432">
        <w:rPr>
          <w:rStyle w:val="Strong"/>
          <w:b w:val="0"/>
        </w:rPr>
        <w:t xml:space="preserve"> Конвенции на национальном уровне, включая данные о </w:t>
      </w:r>
      <w:r>
        <w:rPr>
          <w:rStyle w:val="Strong"/>
          <w:b w:val="0"/>
        </w:rPr>
        <w:t>жалобах</w:t>
      </w:r>
      <w:r w:rsidRPr="00501432">
        <w:rPr>
          <w:rStyle w:val="Strong"/>
          <w:b w:val="0"/>
        </w:rPr>
        <w:t>, расследованиях, возбужденных делах и о</w:t>
      </w:r>
      <w:r w:rsidRPr="00501432">
        <w:rPr>
          <w:rStyle w:val="Strong"/>
          <w:b w:val="0"/>
        </w:rPr>
        <w:t>б</w:t>
      </w:r>
      <w:r w:rsidRPr="00501432">
        <w:rPr>
          <w:rStyle w:val="Strong"/>
          <w:b w:val="0"/>
        </w:rPr>
        <w:t>винительных приговорах</w:t>
      </w:r>
      <w:r>
        <w:rPr>
          <w:rStyle w:val="Strong"/>
          <w:b w:val="0"/>
        </w:rPr>
        <w:t xml:space="preserve"> по делам, связанным с применением пыток и жесток</w:t>
      </w:r>
      <w:r>
        <w:rPr>
          <w:rStyle w:val="Strong"/>
          <w:b w:val="0"/>
        </w:rPr>
        <w:t>о</w:t>
      </w:r>
      <w:r>
        <w:rPr>
          <w:rStyle w:val="Strong"/>
          <w:b w:val="0"/>
        </w:rPr>
        <w:t xml:space="preserve">го обращения </w:t>
      </w:r>
      <w:r w:rsidRPr="00501432">
        <w:rPr>
          <w:rStyle w:val="Strong"/>
          <w:b w:val="0"/>
        </w:rPr>
        <w:t xml:space="preserve">со стороны </w:t>
      </w:r>
      <w:r w:rsidRPr="006E0413">
        <w:rPr>
          <w:rStyle w:val="Strong"/>
          <w:b w:val="0"/>
        </w:rPr>
        <w:t>государственных лиц, торговлей людьми и бытовым и сексуальным насилием, а также о средствах</w:t>
      </w:r>
      <w:r w:rsidRPr="00501432">
        <w:rPr>
          <w:rStyle w:val="Strong"/>
          <w:b w:val="0"/>
        </w:rPr>
        <w:t xml:space="preserve"> возмещения причиненного вреда, включая данные о предоставленной жертвам компенсации и реабилитации.</w:t>
      </w:r>
    </w:p>
    <w:p w:rsidR="00B22209" w:rsidRPr="000C6589" w:rsidRDefault="00B22209" w:rsidP="005438CE">
      <w:pPr>
        <w:pStyle w:val="SingleTxtGR"/>
      </w:pPr>
      <w:r>
        <w:t>25.</w:t>
      </w:r>
      <w:r>
        <w:tab/>
        <w:t>Комитет рекомендует государству-участнику укрепить сотрудничество с правозащитными механизмами Организации Объединенных Наций, в частности разрешив посещение страны Рабочей группе по произвольным задержаниям, а также активизировать усилия по осуществлению их рекомендаций. Государс</w:t>
      </w:r>
      <w:r>
        <w:t>т</w:t>
      </w:r>
      <w:r>
        <w:t xml:space="preserve">ву-участнику следует предпринять дальнейшие шаги по разработке слаженного, </w:t>
      </w:r>
      <w:r w:rsidRPr="006E0413">
        <w:t>прозрачного</w:t>
      </w:r>
      <w:r>
        <w:t xml:space="preserve"> и доступного для общественности подхода к осуществлению на</w:t>
      </w:r>
      <w:r>
        <w:t>д</w:t>
      </w:r>
      <w:r>
        <w:t xml:space="preserve">зора за исполнением своих обязательств перед правозащитными механизмами Организации Объединенных Наций, включая Конвенцию. </w:t>
      </w:r>
    </w:p>
    <w:p w:rsidR="00B22209" w:rsidRPr="000C6589" w:rsidRDefault="00B22209" w:rsidP="005438CE">
      <w:pPr>
        <w:pStyle w:val="SingleTxtGR"/>
      </w:pPr>
      <w:r>
        <w:t>26.</w:t>
      </w:r>
      <w:r>
        <w:tab/>
        <w:t>Отмечая взятое государством-участником обязательство в контексте ун</w:t>
      </w:r>
      <w:r>
        <w:t>и</w:t>
      </w:r>
      <w:r>
        <w:t>версального периодического обзора (A/HRC/22/14/Add.1, пункт 147.9), Комитет настоятельно призывает государство-участник активизировать текущий наци</w:t>
      </w:r>
      <w:r>
        <w:t>о</w:t>
      </w:r>
      <w:r>
        <w:t>нальный процесс обсуждения и как можно скорее ратифицировать Факульт</w:t>
      </w:r>
      <w:r>
        <w:t>а</w:t>
      </w:r>
      <w:r>
        <w:t>тивный протокол к Конвенции против пыток и других жестоких, бесчеловечных или унижающих достоинство видов обращения и наказания. Комитет также р</w:t>
      </w:r>
      <w:r>
        <w:t>е</w:t>
      </w:r>
      <w:r>
        <w:t>комендует государству-участнику рассмотреть возможность выступить с зая</w:t>
      </w:r>
      <w:r>
        <w:t>в</w:t>
      </w:r>
      <w:r>
        <w:t>лением, предусмотренным статьей 22 Конвенции.</w:t>
      </w:r>
    </w:p>
    <w:p w:rsidR="00B22209" w:rsidRPr="000C6589" w:rsidRDefault="00B22209" w:rsidP="005438CE">
      <w:pPr>
        <w:pStyle w:val="SingleTxtGR"/>
      </w:pPr>
      <w:r>
        <w:t>27.</w:t>
      </w:r>
      <w:r>
        <w:tab/>
        <w:t>Комитет предлагает государству-участнику ратифицировать основные д</w:t>
      </w:r>
      <w:r>
        <w:t>о</w:t>
      </w:r>
      <w:r>
        <w:t>говоры Организации Объединенных Наций по правам человека, к которым оно еще не присоединилось, а именно второй Факультативный протокол к Межд</w:t>
      </w:r>
      <w:r>
        <w:t>у</w:t>
      </w:r>
      <w:r>
        <w:t>народному пакту о гражданских и политических правах, Международную ко</w:t>
      </w:r>
      <w:r>
        <w:t>н</w:t>
      </w:r>
      <w:r>
        <w:t>венцию о защите прав всех трудящихся-мигрантов и членов их семей и Конве</w:t>
      </w:r>
      <w:r>
        <w:t>н</w:t>
      </w:r>
      <w:r>
        <w:t>цию о правах инвалидов.</w:t>
      </w:r>
    </w:p>
    <w:p w:rsidR="00B22209" w:rsidRPr="000C6589" w:rsidRDefault="00B22209" w:rsidP="005438CE">
      <w:pPr>
        <w:pStyle w:val="SingleTxtGR"/>
      </w:pPr>
      <w:r>
        <w:t>28.</w:t>
      </w:r>
      <w:r>
        <w:tab/>
        <w:t>Государству-участнику предлагается широко распространить предста</w:t>
      </w:r>
      <w:r>
        <w:t>в</w:t>
      </w:r>
      <w:r>
        <w:t>ленный Комитету доклад и заключительные замечания Комитета на соответс</w:t>
      </w:r>
      <w:r>
        <w:t>т</w:t>
      </w:r>
      <w:r>
        <w:t>вующих языках через официальные веб</w:t>
      </w:r>
      <w:r w:rsidR="000070A4">
        <w:t>-</w:t>
      </w:r>
      <w:r>
        <w:t>сайты, средства массовой информации и неправительственные организации.</w:t>
      </w:r>
    </w:p>
    <w:p w:rsidR="00B22209" w:rsidRPr="000C6589" w:rsidRDefault="00B22209" w:rsidP="005438CE">
      <w:pPr>
        <w:pStyle w:val="SingleTxtGR"/>
      </w:pPr>
      <w:r>
        <w:t>29.</w:t>
      </w:r>
      <w:r>
        <w:tab/>
        <w:t>Комитет просит государство-участник представить к 31 мая 2014 года д</w:t>
      </w:r>
      <w:r>
        <w:t>о</w:t>
      </w:r>
      <w:r>
        <w:t xml:space="preserve">полнительную информацию в ответ на рекомендации Комитета, касающиеся: </w:t>
      </w:r>
      <w:r>
        <w:rPr>
          <w:lang w:val="en-US"/>
        </w:rPr>
        <w:t>a</w:t>
      </w:r>
      <w:r>
        <w:t>)</w:t>
      </w:r>
      <w:r w:rsidR="005438CE">
        <w:t> </w:t>
      </w:r>
      <w:r>
        <w:t xml:space="preserve">обеспечения или усиления правовых гарантий для лиц, содержащихся под стражей, </w:t>
      </w:r>
      <w:r>
        <w:rPr>
          <w:lang w:val="en-US"/>
        </w:rPr>
        <w:t>b</w:t>
      </w:r>
      <w:r>
        <w:t>) проведения быстрых, беспристрастных и эффективных расследов</w:t>
      </w:r>
      <w:r>
        <w:t>а</w:t>
      </w:r>
      <w:r>
        <w:t xml:space="preserve">ний, </w:t>
      </w:r>
      <w:r>
        <w:rPr>
          <w:lang w:val="en-US"/>
        </w:rPr>
        <w:t>c</w:t>
      </w:r>
      <w:r>
        <w:t>) привлечения к ответственности и наказания виновных в применении пыток и жестоком обращении, как изложено в пунктах 10, 11 и 15 настоящих заключительных замечаний. Помимо этого</w:t>
      </w:r>
      <w:r w:rsidR="000070A4">
        <w:t>,</w:t>
      </w:r>
      <w:r>
        <w:t xml:space="preserve"> Комитет просит предоставить д</w:t>
      </w:r>
      <w:r>
        <w:t>о</w:t>
      </w:r>
      <w:r>
        <w:t>полнительную информацию о средствах правовой защиты и возмещения вреда жертвам, как изложено в пункте 19 настоящих заключительных замечаний.</w:t>
      </w:r>
    </w:p>
    <w:p w:rsidR="00F90607" w:rsidRDefault="00B22209" w:rsidP="005438CE">
      <w:pPr>
        <w:pStyle w:val="SingleTxtGR"/>
      </w:pPr>
      <w:r>
        <w:t>30.</w:t>
      </w:r>
      <w:r>
        <w:tab/>
        <w:t>Государству-участнику предлагается представить свой следующий, тр</w:t>
      </w:r>
      <w:r>
        <w:t>е</w:t>
      </w:r>
      <w:r>
        <w:t>тий периодический доклад к 31 мая 2017 года. С этой целью Комитет своевр</w:t>
      </w:r>
      <w:r>
        <w:t>е</w:t>
      </w:r>
      <w:r>
        <w:t>менно представит государству-участнику перечень вопросов, предваряющих представление доклада, исходя из того понимания, что государство-участник согласилось представлять Комитету доклады в соответствии с факультативной процедурой.</w:t>
      </w:r>
    </w:p>
    <w:p w:rsidR="00EB7A4A" w:rsidRPr="00EB7A4A" w:rsidRDefault="00EB7A4A" w:rsidP="00EB7A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7A4A" w:rsidRPr="00EB7A4A" w:rsidSect="00F9060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E5" w:rsidRDefault="007B10E5">
      <w:r>
        <w:rPr>
          <w:lang w:val="en-US"/>
        </w:rPr>
        <w:tab/>
      </w:r>
      <w:r>
        <w:separator/>
      </w:r>
    </w:p>
  </w:endnote>
  <w:endnote w:type="continuationSeparator" w:id="0">
    <w:p w:rsidR="007B10E5" w:rsidRDefault="007B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1" w:rsidRPr="00B74BE2" w:rsidRDefault="00667481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5BFC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GE.13-44842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1" w:rsidRPr="00B74BE2" w:rsidRDefault="00667481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GE.13-44842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5BFC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1" w:rsidRPr="00B74BE2" w:rsidRDefault="00667481">
    <w:pPr>
      <w:pStyle w:val="Footer"/>
      <w:rPr>
        <w:sz w:val="20"/>
        <w:lang w:val="en-US"/>
      </w:rPr>
    </w:pPr>
    <w:r>
      <w:rPr>
        <w:sz w:val="20"/>
        <w:lang w:val="en-US"/>
      </w:rPr>
      <w:t>GE.13-44842</w:t>
    </w:r>
    <w:r>
      <w:rPr>
        <w:sz w:val="20"/>
        <w:lang w:val="ru-RU"/>
      </w:rPr>
      <w:t xml:space="preserve"> </w:t>
    </w:r>
    <w:r w:rsidRPr="00206B24">
      <w:rPr>
        <w:sz w:val="20"/>
        <w:lang w:val="en-US"/>
      </w:rPr>
      <w:t xml:space="preserve"> (R)  </w:t>
    </w:r>
    <w:r w:rsidRPr="00206B24">
      <w:rPr>
        <w:sz w:val="20"/>
      </w:rPr>
      <w:t>1</w:t>
    </w:r>
    <w:r>
      <w:rPr>
        <w:sz w:val="20"/>
        <w:lang w:val="ru-RU"/>
      </w:rPr>
      <w:t>2</w:t>
    </w:r>
    <w:r>
      <w:rPr>
        <w:sz w:val="20"/>
      </w:rPr>
      <w:t>0</w:t>
    </w:r>
    <w:r>
      <w:rPr>
        <w:sz w:val="20"/>
        <w:lang w:val="ru-RU"/>
      </w:rPr>
      <w:t>8</w:t>
    </w:r>
    <w:r w:rsidRPr="00206B24">
      <w:rPr>
        <w:sz w:val="20"/>
      </w:rPr>
      <w:t>13  100913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E5" w:rsidRPr="00F71F63" w:rsidRDefault="007B10E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B10E5" w:rsidRPr="00F71F63" w:rsidRDefault="007B10E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B10E5" w:rsidRPr="00635E86" w:rsidRDefault="007B10E5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1" w:rsidRPr="008C469F" w:rsidRDefault="00667481">
    <w:pPr>
      <w:pStyle w:val="Header"/>
      <w:rPr>
        <w:lang w:val="en-US"/>
      </w:rPr>
    </w:pPr>
    <w:r>
      <w:rPr>
        <w:lang w:val="en-US"/>
      </w:rPr>
      <w:t>CAT/C/JPN/CO/2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1" w:rsidRPr="00B74BE2" w:rsidRDefault="00667481">
    <w:pPr>
      <w:pStyle w:val="Header"/>
      <w:rPr>
        <w:lang w:val="en-US"/>
      </w:rPr>
    </w:pPr>
    <w:r>
      <w:rPr>
        <w:lang w:val="en-US"/>
      </w:rPr>
      <w:tab/>
      <w:t>CAT/C/JPN/CO/2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434972"/>
    <w:multiLevelType w:val="hybridMultilevel"/>
    <w:tmpl w:val="4D32CB5C"/>
    <w:lvl w:ilvl="0" w:tplc="FFFFFFFF">
      <w:start w:val="1"/>
      <w:numFmt w:val="decimal"/>
      <w:pStyle w:val="Para1"/>
      <w:lvlText w:val="%1."/>
      <w:lvlJc w:val="left"/>
      <w:pPr>
        <w:ind w:left="1854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1A75E20"/>
    <w:multiLevelType w:val="hybridMultilevel"/>
    <w:tmpl w:val="8D3C99D2"/>
    <w:lvl w:ilvl="0" w:tplc="FFFFFFFF">
      <w:start w:val="1"/>
      <w:numFmt w:val="lowerLetter"/>
      <w:pStyle w:val="Paraa"/>
      <w:lvlText w:val="(%1)"/>
      <w:lvlJc w:val="left"/>
      <w:pPr>
        <w:ind w:left="967" w:hanging="400"/>
      </w:pPr>
      <w:rPr>
        <w:rFonts w:hint="default"/>
        <w:i w:val="0"/>
        <w:sz w:val="20"/>
      </w:rPr>
    </w:lvl>
    <w:lvl w:ilvl="1" w:tplc="FFFFFFFF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8944EF9"/>
    <w:multiLevelType w:val="hybridMultilevel"/>
    <w:tmpl w:val="8B56DAF2"/>
    <w:lvl w:ilvl="0" w:tplc="FFFFFFFF">
      <w:start w:val="1"/>
      <w:numFmt w:val="bullet"/>
      <w:pStyle w:val="referen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D5916"/>
    <w:multiLevelType w:val="hybridMultilevel"/>
    <w:tmpl w:val="BBC6262A"/>
    <w:lvl w:ilvl="0" w:tplc="FFFFFFFF">
      <w:start w:val="1"/>
      <w:numFmt w:val="lowerLetter"/>
      <w:pStyle w:val="Pararcmda"/>
      <w:lvlText w:val="(%1)"/>
      <w:lvlJc w:val="left"/>
      <w:pPr>
        <w:ind w:left="800" w:hanging="40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A4219"/>
    <w:multiLevelType w:val="hybridMultilevel"/>
    <w:tmpl w:val="3DEE2BCA"/>
    <w:lvl w:ilvl="0" w:tplc="FFFFFFFF">
      <w:start w:val="1"/>
      <w:numFmt w:val="bullet"/>
      <w:pStyle w:val="Referencetitle"/>
      <w:lvlText w:val=""/>
      <w:lvlJc w:val="left"/>
      <w:pPr>
        <w:ind w:left="927" w:hanging="360"/>
      </w:pPr>
      <w:rPr>
        <w:rFonts w:ascii="Wingdings" w:hAnsi="Wingdings" w:hint="default"/>
        <w:color w:val="auto"/>
        <w:sz w:val="21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10"/>
  </w:num>
  <w:num w:numId="18">
    <w:abstractNumId w:val="21"/>
  </w:num>
  <w:num w:numId="19">
    <w:abstractNumId w:val="12"/>
  </w:num>
  <w:num w:numId="20">
    <w:abstractNumId w:val="22"/>
  </w:num>
  <w:num w:numId="21">
    <w:abstractNumId w:val="14"/>
  </w:num>
  <w:num w:numId="22">
    <w:abstractNumId w:val="16"/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209"/>
    <w:rsid w:val="000033D8"/>
    <w:rsid w:val="00005C1C"/>
    <w:rsid w:val="000070A4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C4164"/>
    <w:rsid w:val="000D6863"/>
    <w:rsid w:val="00117AEE"/>
    <w:rsid w:val="001463F7"/>
    <w:rsid w:val="0015769C"/>
    <w:rsid w:val="00162396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06B24"/>
    <w:rsid w:val="00232D42"/>
    <w:rsid w:val="00237334"/>
    <w:rsid w:val="002444F4"/>
    <w:rsid w:val="002530B6"/>
    <w:rsid w:val="002629A0"/>
    <w:rsid w:val="00265BFC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38CE"/>
    <w:rsid w:val="00545680"/>
    <w:rsid w:val="005633A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C69D1"/>
    <w:rsid w:val="005D346D"/>
    <w:rsid w:val="005E74AB"/>
    <w:rsid w:val="00606A3E"/>
    <w:rsid w:val="006115AA"/>
    <w:rsid w:val="006120AE"/>
    <w:rsid w:val="00635E86"/>
    <w:rsid w:val="00636A37"/>
    <w:rsid w:val="006501A5"/>
    <w:rsid w:val="00654968"/>
    <w:rsid w:val="006567B2"/>
    <w:rsid w:val="00662ADE"/>
    <w:rsid w:val="00664106"/>
    <w:rsid w:val="00667481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10E5"/>
    <w:rsid w:val="007B451E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4CCD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220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3C6B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7A4A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rsid w:val="00D84ECF"/>
  </w:style>
  <w:style w:type="paragraph" w:styleId="FootnoteText">
    <w:name w:val="footnote text"/>
    <w:aliases w:val="5_GR,5_G,Footnote Text Char Char,Char,Char Char Char,Char Char Char Char,single space,Footnote Text Char Char Char Char Char Char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callout,Fago Fußnotenzeichen,Footnotes refss,Appel note de bas de p.,Footnote text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B22209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link w:val="NormalWebChar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B2220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B2220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B2220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LG">
    <w:name w:val="__S_L_G"/>
    <w:basedOn w:val="Normal"/>
    <w:next w:val="Normal"/>
    <w:rsid w:val="00B2220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SG">
    <w:name w:val="__S_S_G"/>
    <w:basedOn w:val="Normal"/>
    <w:next w:val="Normal"/>
    <w:rsid w:val="00B2220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B2220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B22209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B22209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H1G">
    <w:name w:val="_ H_1_G"/>
    <w:basedOn w:val="Normal"/>
    <w:next w:val="Normal"/>
    <w:link w:val="H1GChar"/>
    <w:rsid w:val="00B2220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paragraph" w:customStyle="1" w:styleId="H23G">
    <w:name w:val="_ H_2/3_G"/>
    <w:basedOn w:val="Normal"/>
    <w:next w:val="Normal"/>
    <w:link w:val="H23GChar"/>
    <w:rsid w:val="00B2220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B2220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B2220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rsid w:val="00B22209"/>
    <w:rPr>
      <w:lang w:val="ru-RU" w:eastAsia="en-US" w:bidi="ar-SA"/>
    </w:rPr>
  </w:style>
  <w:style w:type="character" w:customStyle="1" w:styleId="Heading1Char">
    <w:name w:val="Heading 1 Char"/>
    <w:aliases w:val="Table_GR Char,Table_G Char"/>
    <w:link w:val="Heading1"/>
    <w:rsid w:val="00B22209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customStyle="1" w:styleId="Heading2Char">
    <w:name w:val="Heading 2 Char"/>
    <w:link w:val="Heading2"/>
    <w:rsid w:val="00B22209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rsid w:val="00B22209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rsid w:val="00B22209"/>
    <w:rPr>
      <w:b/>
      <w:b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rsid w:val="00B22209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rsid w:val="00B22209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rsid w:val="00B22209"/>
    <w:rPr>
      <w:spacing w:val="4"/>
      <w:w w:val="103"/>
      <w:kern w:val="14"/>
      <w:sz w:val="24"/>
      <w:lang w:val="ru-RU" w:eastAsia="en-US" w:bidi="ar-SA"/>
    </w:rPr>
  </w:style>
  <w:style w:type="character" w:customStyle="1" w:styleId="Heading8Char">
    <w:name w:val="Heading 8 Char"/>
    <w:link w:val="Heading8"/>
    <w:rsid w:val="00B22209"/>
    <w:rPr>
      <w:i/>
      <w:iCs/>
      <w:spacing w:val="4"/>
      <w:w w:val="103"/>
      <w:kern w:val="14"/>
      <w:sz w:val="24"/>
      <w:lang w:val="ru-RU" w:eastAsia="en-US" w:bidi="ar-SA"/>
    </w:rPr>
  </w:style>
  <w:style w:type="character" w:customStyle="1" w:styleId="Heading9Char">
    <w:name w:val="Heading 9 Char"/>
    <w:link w:val="Heading9"/>
    <w:rsid w:val="00B22209"/>
    <w:rPr>
      <w:rFonts w:ascii="Arial" w:hAnsi="Arial" w:cs="Arial"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eaderChar">
    <w:name w:val="Header Char"/>
    <w:aliases w:val="6_GR Char,6_G Char"/>
    <w:link w:val="Header"/>
    <w:rsid w:val="00B22209"/>
    <w:rPr>
      <w:b/>
      <w:sz w:val="18"/>
      <w:lang w:val="en-GB" w:eastAsia="ru-RU" w:bidi="ar-SA"/>
    </w:rPr>
  </w:style>
  <w:style w:type="character" w:customStyle="1" w:styleId="FootnoteTextChar">
    <w:name w:val="Footnote Text Char"/>
    <w:aliases w:val="5_G Char,Footnote Text Char Char Char,Char Char,Char Char Char Char1,Char Char Char Char Char,single space Char,Footnote Text Char Char Char Char Char Char Char Char,Footnote Text Char1 Char"/>
    <w:rsid w:val="00B22209"/>
    <w:rPr>
      <w:lang w:val="ru-RU" w:eastAsia="en-US"/>
    </w:rPr>
  </w:style>
  <w:style w:type="character" w:customStyle="1" w:styleId="EndnoteTextChar">
    <w:name w:val="Endnote Text Char"/>
    <w:aliases w:val="2_GR Char,2_G Char"/>
    <w:link w:val="EndnoteText"/>
    <w:rsid w:val="00B22209"/>
    <w:rPr>
      <w:spacing w:val="5"/>
      <w:w w:val="104"/>
      <w:kern w:val="14"/>
      <w:sz w:val="18"/>
      <w:lang w:val="en-GB" w:eastAsia="ru-RU" w:bidi="ar-SA"/>
    </w:rPr>
  </w:style>
  <w:style w:type="character" w:customStyle="1" w:styleId="FooterChar">
    <w:name w:val="Footer Char"/>
    <w:aliases w:val="3_GR Char,3_G Char"/>
    <w:link w:val="Footer"/>
    <w:rsid w:val="00B22209"/>
    <w:rPr>
      <w:sz w:val="16"/>
      <w:lang w:val="en-GB" w:eastAsia="ru-RU" w:bidi="ar-SA"/>
    </w:rPr>
  </w:style>
  <w:style w:type="character" w:customStyle="1" w:styleId="PlainTextChar">
    <w:name w:val="Plain Text Char"/>
    <w:link w:val="PlainText"/>
    <w:rsid w:val="00B22209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paragraph" w:styleId="BalloonText">
    <w:name w:val="Balloon Text"/>
    <w:basedOn w:val="Normal"/>
    <w:link w:val="BalloonTextChar"/>
    <w:rsid w:val="00B22209"/>
    <w:pPr>
      <w:suppressAutoHyphens/>
    </w:pPr>
    <w:rPr>
      <w:rFonts w:ascii="Tahoma" w:eastAsia="Malgun Gothic" w:hAnsi="Tahoma" w:cs="Tahoma"/>
      <w:spacing w:val="0"/>
      <w:w w:val="100"/>
      <w:kern w:val="0"/>
      <w:sz w:val="16"/>
      <w:szCs w:val="16"/>
    </w:rPr>
  </w:style>
  <w:style w:type="character" w:customStyle="1" w:styleId="BalloonTextChar">
    <w:name w:val="Balloon Text Char"/>
    <w:link w:val="BalloonText"/>
    <w:rsid w:val="00B22209"/>
    <w:rPr>
      <w:rFonts w:ascii="Tahoma" w:eastAsia="Malgun Gothic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B2220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ru-RU" w:eastAsia="zh-CN"/>
    </w:rPr>
  </w:style>
  <w:style w:type="character" w:customStyle="1" w:styleId="FootnoteTextChar1">
    <w:name w:val="Footnote Text Char1"/>
    <w:aliases w:val="5_GR Char,5_G Char1,Footnote Text Char Char Char1,Char Char1,Char Char Char Char2,Char Char Char Char Char1,single space Char1,Footnote Text Char Char Char Char Char Char Char Char1"/>
    <w:link w:val="FootnoteText"/>
    <w:locked/>
    <w:rsid w:val="00B22209"/>
    <w:rPr>
      <w:spacing w:val="5"/>
      <w:w w:val="104"/>
      <w:kern w:val="14"/>
      <w:sz w:val="18"/>
      <w:lang w:val="en-GB" w:eastAsia="ru-RU" w:bidi="ar-SA"/>
    </w:rPr>
  </w:style>
  <w:style w:type="character" w:customStyle="1" w:styleId="apple-style-span">
    <w:name w:val="apple-style-span"/>
    <w:rsid w:val="00B22209"/>
  </w:style>
  <w:style w:type="character" w:customStyle="1" w:styleId="H23GChar">
    <w:name w:val="_ H_2/3_G Char"/>
    <w:link w:val="H23G"/>
    <w:locked/>
    <w:rsid w:val="00B22209"/>
    <w:rPr>
      <w:b/>
      <w:lang w:val="ru-RU" w:eastAsia="en-US" w:bidi="ar-SA"/>
    </w:rPr>
  </w:style>
  <w:style w:type="character" w:customStyle="1" w:styleId="SingleTxtGChar1">
    <w:name w:val="_ Single Txt_G Char1"/>
    <w:locked/>
    <w:rsid w:val="00B22209"/>
    <w:rPr>
      <w:lang w:val="ru-RU" w:eastAsia="en-US"/>
    </w:rPr>
  </w:style>
  <w:style w:type="character" w:customStyle="1" w:styleId="fsn1">
    <w:name w:val="fsn1"/>
    <w:rsid w:val="00B22209"/>
    <w:rPr>
      <w:sz w:val="24"/>
      <w:lang w:val="ru-RU"/>
    </w:rPr>
  </w:style>
  <w:style w:type="paragraph" w:customStyle="1" w:styleId="Para1">
    <w:name w:val="Para 1."/>
    <w:basedOn w:val="SingleTxtG"/>
    <w:link w:val="Para1Char"/>
    <w:qFormat/>
    <w:rsid w:val="00B22209"/>
    <w:pPr>
      <w:numPr>
        <w:numId w:val="19"/>
      </w:numPr>
      <w:adjustRightInd w:val="0"/>
      <w:snapToGrid w:val="0"/>
      <w:ind w:leftChars="100" w:left="200" w:right="0" w:firstLine="0"/>
      <w:jc w:val="left"/>
    </w:pPr>
    <w:rPr>
      <w:rFonts w:eastAsia="Malgun Gothic"/>
    </w:rPr>
  </w:style>
  <w:style w:type="character" w:customStyle="1" w:styleId="Para1Char">
    <w:name w:val="Para 1. Char"/>
    <w:link w:val="Para1"/>
    <w:locked/>
    <w:rsid w:val="00B22209"/>
    <w:rPr>
      <w:rFonts w:eastAsia="Malgun Gothic"/>
      <w:lang w:val="ru-RU" w:eastAsia="en-US" w:bidi="ar-SA"/>
    </w:rPr>
  </w:style>
  <w:style w:type="paragraph" w:customStyle="1" w:styleId="Titletheme">
    <w:name w:val="Title_theme"/>
    <w:basedOn w:val="H1G"/>
    <w:link w:val="TitlethemeChar"/>
    <w:rsid w:val="00B22209"/>
    <w:pPr>
      <w:adjustRightInd w:val="0"/>
      <w:snapToGrid w:val="0"/>
      <w:spacing w:line="240" w:lineRule="exact"/>
      <w:ind w:firstLine="0"/>
    </w:pPr>
    <w:rPr>
      <w:rFonts w:eastAsia="Malgun Gothic"/>
      <w:color w:val="FF0000"/>
    </w:rPr>
  </w:style>
  <w:style w:type="paragraph" w:customStyle="1" w:styleId="Pararcmd">
    <w:name w:val="Para_rcmd"/>
    <w:basedOn w:val="Normal"/>
    <w:link w:val="PararcmdChar"/>
    <w:qFormat/>
    <w:rsid w:val="00B22209"/>
    <w:pPr>
      <w:suppressAutoHyphens/>
      <w:spacing w:after="120" w:line="240" w:lineRule="exact"/>
      <w:ind w:leftChars="100" w:left="200"/>
      <w:jc w:val="both"/>
    </w:pPr>
    <w:rPr>
      <w:rFonts w:eastAsia="Malgun Gothic"/>
      <w:b/>
      <w:bCs/>
      <w:spacing w:val="0"/>
      <w:w w:val="100"/>
      <w:kern w:val="0"/>
    </w:rPr>
  </w:style>
  <w:style w:type="character" w:customStyle="1" w:styleId="H1GChar">
    <w:name w:val="_ H_1_G Char"/>
    <w:link w:val="H1G"/>
    <w:locked/>
    <w:rsid w:val="00B22209"/>
    <w:rPr>
      <w:b/>
      <w:sz w:val="24"/>
      <w:lang w:val="ru-RU" w:eastAsia="en-US" w:bidi="ar-SA"/>
    </w:rPr>
  </w:style>
  <w:style w:type="character" w:customStyle="1" w:styleId="TitlethemeChar">
    <w:name w:val="Title_theme Char"/>
    <w:link w:val="Titletheme"/>
    <w:locked/>
    <w:rsid w:val="00B22209"/>
    <w:rPr>
      <w:rFonts w:eastAsia="Malgun Gothic"/>
      <w:b/>
      <w:color w:val="FF0000"/>
      <w:sz w:val="24"/>
      <w:lang w:val="ru-RU" w:eastAsia="en-US" w:bidi="ar-SA"/>
    </w:rPr>
  </w:style>
  <w:style w:type="paragraph" w:customStyle="1" w:styleId="Paraa">
    <w:name w:val="Para a)"/>
    <w:basedOn w:val="SingleTxtG"/>
    <w:link w:val="ParaaChar"/>
    <w:qFormat/>
    <w:rsid w:val="00B22209"/>
    <w:pPr>
      <w:numPr>
        <w:numId w:val="23"/>
      </w:numPr>
      <w:snapToGrid w:val="0"/>
      <w:ind w:right="0"/>
    </w:pPr>
    <w:rPr>
      <w:rFonts w:eastAsia="Malgun Gothic"/>
      <w:lang w:eastAsia="zh-CN"/>
    </w:rPr>
  </w:style>
  <w:style w:type="character" w:customStyle="1" w:styleId="PararcmdChar">
    <w:name w:val="Para_rcmd Char"/>
    <w:link w:val="Pararcmd"/>
    <w:locked/>
    <w:rsid w:val="00B22209"/>
    <w:rPr>
      <w:rFonts w:eastAsia="Malgun Gothic"/>
      <w:b/>
      <w:bCs/>
      <w:lang w:val="ru-RU" w:eastAsia="en-US" w:bidi="ar-SA"/>
    </w:rPr>
  </w:style>
  <w:style w:type="character" w:customStyle="1" w:styleId="IntenseEmphasis1">
    <w:name w:val="Intense Emphasis1"/>
    <w:aliases w:val="References"/>
    <w:qFormat/>
    <w:rsid w:val="00B22209"/>
    <w:rPr>
      <w:i/>
      <w:color w:val="365F91"/>
      <w:lang w:val="ru-RU"/>
    </w:rPr>
  </w:style>
  <w:style w:type="character" w:customStyle="1" w:styleId="ParaaChar">
    <w:name w:val="Para a) Char"/>
    <w:link w:val="Paraa"/>
    <w:locked/>
    <w:rsid w:val="00B22209"/>
    <w:rPr>
      <w:rFonts w:eastAsia="Malgun Gothic"/>
      <w:lang w:val="ru-RU" w:eastAsia="zh-CN" w:bidi="ar-SA"/>
    </w:rPr>
  </w:style>
  <w:style w:type="paragraph" w:customStyle="1" w:styleId="Referencebulletheading">
    <w:name w:val="Reference_bullet heading"/>
    <w:basedOn w:val="ListBullet"/>
    <w:link w:val="ReferencebulletheadingChar"/>
    <w:rsid w:val="00B22209"/>
    <w:pPr>
      <w:numPr>
        <w:numId w:val="0"/>
      </w:numPr>
      <w:adjustRightInd w:val="0"/>
      <w:snapToGrid w:val="0"/>
      <w:spacing w:before="120" w:after="40" w:line="240" w:lineRule="auto"/>
    </w:pPr>
    <w:rPr>
      <w:rFonts w:eastAsia="SimSun"/>
      <w:color w:val="000080"/>
      <w:spacing w:val="0"/>
      <w:w w:val="100"/>
      <w:kern w:val="0"/>
      <w:szCs w:val="24"/>
      <w:lang w:eastAsia="zh-CN"/>
    </w:rPr>
  </w:style>
  <w:style w:type="character" w:customStyle="1" w:styleId="ReferencebulletheadingChar">
    <w:name w:val="Reference_bullet heading Char"/>
    <w:link w:val="Referencebulletheading"/>
    <w:locked/>
    <w:rsid w:val="00B22209"/>
    <w:rPr>
      <w:rFonts w:eastAsia="SimSun"/>
      <w:color w:val="000080"/>
      <w:szCs w:val="24"/>
      <w:lang w:val="ru-RU" w:eastAsia="zh-CN" w:bidi="ar-SA"/>
    </w:rPr>
  </w:style>
  <w:style w:type="paragraph" w:customStyle="1" w:styleId="Referencetext">
    <w:name w:val="Reference_text"/>
    <w:basedOn w:val="Normal"/>
    <w:rsid w:val="00B22209"/>
    <w:pPr>
      <w:autoSpaceDE w:val="0"/>
      <w:autoSpaceDN w:val="0"/>
      <w:adjustRightInd w:val="0"/>
      <w:snapToGrid w:val="0"/>
      <w:spacing w:line="240" w:lineRule="auto"/>
      <w:ind w:left="567"/>
    </w:pPr>
    <w:rPr>
      <w:rFonts w:ascii="Arial" w:eastAsia="SimSun" w:hAnsi="Arial"/>
      <w:color w:val="000080"/>
      <w:spacing w:val="0"/>
      <w:w w:val="100"/>
      <w:kern w:val="0"/>
      <w:sz w:val="18"/>
      <w:szCs w:val="22"/>
      <w:lang w:eastAsia="zh-CN"/>
    </w:rPr>
  </w:style>
  <w:style w:type="paragraph" w:customStyle="1" w:styleId="Referencetitle">
    <w:name w:val="Reference_title"/>
    <w:basedOn w:val="Normal"/>
    <w:link w:val="ReferencetitleChar"/>
    <w:rsid w:val="00B22209"/>
    <w:pPr>
      <w:numPr>
        <w:numId w:val="20"/>
      </w:numPr>
      <w:suppressAutoHyphens/>
      <w:adjustRightInd w:val="0"/>
      <w:spacing w:before="120" w:after="120"/>
    </w:pPr>
    <w:rPr>
      <w:rFonts w:eastAsia="Malgun Gothic"/>
      <w:color w:val="0070C0"/>
      <w:spacing w:val="0"/>
      <w:w w:val="100"/>
      <w:kern w:val="0"/>
    </w:rPr>
  </w:style>
  <w:style w:type="character" w:customStyle="1" w:styleId="ReferencetitleChar">
    <w:name w:val="Reference_title Char"/>
    <w:link w:val="Referencetitle"/>
    <w:locked/>
    <w:rsid w:val="00B22209"/>
    <w:rPr>
      <w:rFonts w:eastAsia="Malgun Gothic"/>
      <w:color w:val="0070C0"/>
      <w:lang w:val="ru-RU" w:eastAsia="en-US" w:bidi="ar-SA"/>
    </w:rPr>
  </w:style>
  <w:style w:type="paragraph" w:customStyle="1" w:styleId="Pararcmda">
    <w:name w:val="Para_rcmd a)"/>
    <w:basedOn w:val="NormalWeb"/>
    <w:link w:val="PararcmdaChar"/>
    <w:qFormat/>
    <w:rsid w:val="00B22209"/>
    <w:pPr>
      <w:numPr>
        <w:numId w:val="22"/>
      </w:numPr>
      <w:tabs>
        <w:tab w:val="num" w:pos="360"/>
      </w:tabs>
      <w:spacing w:after="120" w:line="240" w:lineRule="auto"/>
      <w:ind w:left="0" w:firstLine="0"/>
      <w:jc w:val="both"/>
    </w:pPr>
    <w:rPr>
      <w:rFonts w:eastAsia="Malgun Gothic"/>
      <w:b/>
      <w:spacing w:val="0"/>
      <w:w w:val="100"/>
      <w:kern w:val="0"/>
      <w:sz w:val="20"/>
      <w:szCs w:val="24"/>
      <w:lang w:eastAsia="ko-KR"/>
    </w:rPr>
  </w:style>
  <w:style w:type="character" w:customStyle="1" w:styleId="PararcmdaChar">
    <w:name w:val="Para_rcmd a) Char"/>
    <w:link w:val="Pararcmda"/>
    <w:locked/>
    <w:rsid w:val="00B22209"/>
    <w:rPr>
      <w:rFonts w:eastAsia="Malgun Gothic"/>
      <w:b/>
      <w:szCs w:val="24"/>
      <w:lang w:val="ru-RU" w:eastAsia="ko-KR" w:bidi="ar-SA"/>
    </w:rPr>
  </w:style>
  <w:style w:type="character" w:customStyle="1" w:styleId="u1">
    <w:name w:val="u1"/>
    <w:rsid w:val="00B22209"/>
    <w:rPr>
      <w:u w:val="single"/>
      <w:lang w:val="ru-RU"/>
    </w:rPr>
  </w:style>
  <w:style w:type="character" w:customStyle="1" w:styleId="st">
    <w:name w:val="st"/>
    <w:rsid w:val="00B22209"/>
  </w:style>
  <w:style w:type="paragraph" w:customStyle="1" w:styleId="ColorfulList-Accent11">
    <w:name w:val="Colorful List - Accent 11"/>
    <w:basedOn w:val="Normal"/>
    <w:link w:val="-1Char"/>
    <w:qFormat/>
    <w:rsid w:val="00B22209"/>
    <w:pPr>
      <w:widowControl w:val="0"/>
      <w:wordWrap w:val="0"/>
      <w:autoSpaceDE w:val="0"/>
      <w:autoSpaceDN w:val="0"/>
      <w:spacing w:line="276" w:lineRule="auto"/>
      <w:ind w:leftChars="400" w:left="800"/>
      <w:jc w:val="both"/>
    </w:pPr>
    <w:rPr>
      <w:rFonts w:eastAsia="Malgun Gothic"/>
      <w:bCs/>
      <w:spacing w:val="0"/>
      <w:w w:val="100"/>
      <w:kern w:val="2"/>
      <w:lang w:eastAsia="ko-KR"/>
    </w:rPr>
  </w:style>
  <w:style w:type="paragraph" w:customStyle="1" w:styleId="Subtitle1">
    <w:name w:val="Subtitle1"/>
    <w:basedOn w:val="H23G"/>
    <w:link w:val="Subtitle1Char"/>
    <w:rsid w:val="00B22209"/>
    <w:rPr>
      <w:rFonts w:eastAsia="Malgun Gothic"/>
    </w:rPr>
  </w:style>
  <w:style w:type="character" w:customStyle="1" w:styleId="Subtitle1Char">
    <w:name w:val="Subtitle1 Char"/>
    <w:link w:val="Subtitle1"/>
    <w:rsid w:val="00B22209"/>
    <w:rPr>
      <w:rFonts w:eastAsia="Malgun Gothic"/>
      <w:b/>
      <w:lang w:val="ru-RU" w:eastAsia="en-US" w:bidi="ar-SA"/>
    </w:rPr>
  </w:style>
  <w:style w:type="paragraph" w:customStyle="1" w:styleId="ColorfulGrid-Accent11">
    <w:name w:val="Colorful Grid - Accent 11"/>
    <w:basedOn w:val="Normal"/>
    <w:next w:val="Normal"/>
    <w:link w:val="-1Char0"/>
    <w:rsid w:val="00B22209"/>
    <w:pPr>
      <w:suppressAutoHyphens/>
    </w:pPr>
    <w:rPr>
      <w:rFonts w:eastAsia="Malgun Gothic"/>
      <w:i/>
      <w:iCs/>
      <w:color w:val="000000"/>
      <w:spacing w:val="0"/>
      <w:w w:val="100"/>
      <w:kern w:val="0"/>
    </w:rPr>
  </w:style>
  <w:style w:type="character" w:customStyle="1" w:styleId="-1Char0">
    <w:name w:val="색상형 눈금 - 강조색 1 Char"/>
    <w:link w:val="ColorfulGrid-Accent11"/>
    <w:rsid w:val="00B22209"/>
    <w:rPr>
      <w:rFonts w:eastAsia="Malgun Gothic"/>
      <w:i/>
      <w:iCs/>
      <w:color w:val="000000"/>
      <w:lang w:val="ru-RU" w:eastAsia="en-US" w:bidi="ar-SA"/>
    </w:rPr>
  </w:style>
  <w:style w:type="paragraph" w:customStyle="1" w:styleId="referencestext">
    <w:name w:val="references_text"/>
    <w:basedOn w:val="Normal"/>
    <w:link w:val="referencestextChar"/>
    <w:rsid w:val="00B22209"/>
    <w:pPr>
      <w:autoSpaceDE w:val="0"/>
      <w:autoSpaceDN w:val="0"/>
      <w:adjustRightInd w:val="0"/>
      <w:spacing w:line="240" w:lineRule="auto"/>
    </w:pPr>
    <w:rPr>
      <w:rFonts w:eastAsia="Malgun Gothic"/>
      <w:color w:val="984806"/>
      <w:spacing w:val="0"/>
      <w:w w:val="100"/>
      <w:kern w:val="0"/>
      <w:lang w:eastAsia="ko-KR"/>
    </w:rPr>
  </w:style>
  <w:style w:type="character" w:customStyle="1" w:styleId="referencestextChar">
    <w:name w:val="references_text Char"/>
    <w:link w:val="referencestext"/>
    <w:rsid w:val="00B22209"/>
    <w:rPr>
      <w:rFonts w:eastAsia="Malgun Gothic"/>
      <w:color w:val="984806"/>
      <w:lang w:val="ru-RU" w:eastAsia="ko-KR" w:bidi="ar-SA"/>
    </w:rPr>
  </w:style>
  <w:style w:type="paragraph" w:customStyle="1" w:styleId="NoSpacing1">
    <w:name w:val="No Spacing1"/>
    <w:aliases w:val="references"/>
    <w:qFormat/>
    <w:rsid w:val="00B22209"/>
    <w:pPr>
      <w:suppressAutoHyphens/>
      <w:spacing w:before="60" w:after="60"/>
    </w:pPr>
    <w:rPr>
      <w:rFonts w:eastAsia="Malgun Gothic"/>
      <w:color w:val="00B0F0"/>
      <w:sz w:val="18"/>
      <w:lang w:val="ru-RU" w:eastAsia="ko-KR"/>
    </w:rPr>
  </w:style>
  <w:style w:type="character" w:customStyle="1" w:styleId="highlight1">
    <w:name w:val="highlight1"/>
    <w:rsid w:val="00B22209"/>
    <w:rPr>
      <w:lang w:val="ru-RU"/>
    </w:rPr>
  </w:style>
  <w:style w:type="paragraph" w:customStyle="1" w:styleId="LightShading-Accent21">
    <w:name w:val="Light Shading - Accent 21"/>
    <w:basedOn w:val="Normal"/>
    <w:next w:val="Normal"/>
    <w:link w:val="-2Char"/>
    <w:rsid w:val="00B22209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eastAsia="Malgun Gothic" w:hAnsi="Calibri"/>
      <w:b/>
      <w:bCs/>
      <w:iCs/>
      <w:color w:val="4F6228"/>
      <w:spacing w:val="0"/>
      <w:w w:val="100"/>
      <w:kern w:val="0"/>
      <w:sz w:val="22"/>
    </w:rPr>
  </w:style>
  <w:style w:type="character" w:customStyle="1" w:styleId="-2Char">
    <w:name w:val="옅은 음영 - 강조색 2 Char"/>
    <w:link w:val="LightShading-Accent21"/>
    <w:rsid w:val="00B22209"/>
    <w:rPr>
      <w:rFonts w:ascii="Calibri" w:eastAsia="Malgun Gothic" w:hAnsi="Calibri"/>
      <w:b/>
      <w:bCs/>
      <w:iCs/>
      <w:color w:val="4F6228"/>
      <w:sz w:val="22"/>
      <w:lang w:val="ru-RU" w:eastAsia="en-US" w:bidi="ar-SA"/>
    </w:rPr>
  </w:style>
  <w:style w:type="paragraph" w:customStyle="1" w:styleId="StyleStyleSingleTxtG12ptBoldBefore0cmAfter0cm">
    <w:name w:val="Style Style _ Single Txt_G + 12 pt Bold Before:  0 cm After:  0 cm ..."/>
    <w:basedOn w:val="Normal"/>
    <w:rsid w:val="00B22209"/>
    <w:pPr>
      <w:suppressAutoHyphens/>
      <w:adjustRightInd w:val="0"/>
      <w:snapToGrid w:val="0"/>
      <w:spacing w:before="360" w:after="240"/>
      <w:jc w:val="both"/>
    </w:pPr>
    <w:rPr>
      <w:b/>
      <w:bCs/>
      <w:color w:val="0000FF"/>
      <w:spacing w:val="0"/>
      <w:w w:val="100"/>
      <w:kern w:val="0"/>
      <w:sz w:val="22"/>
      <w:szCs w:val="22"/>
      <w:lang w:eastAsia="ar-SA"/>
    </w:rPr>
  </w:style>
  <w:style w:type="character" w:customStyle="1" w:styleId="NormalWebChar">
    <w:name w:val="Normal (Web) Char"/>
    <w:link w:val="NormalWeb"/>
    <w:rsid w:val="00B22209"/>
    <w:rPr>
      <w:spacing w:val="4"/>
      <w:w w:val="103"/>
      <w:kern w:val="14"/>
      <w:sz w:val="24"/>
      <w:lang w:val="ru-RU" w:eastAsia="en-US" w:bidi="ar-SA"/>
    </w:rPr>
  </w:style>
  <w:style w:type="character" w:customStyle="1" w:styleId="s2">
    <w:name w:val="s2"/>
    <w:rsid w:val="00B22209"/>
  </w:style>
  <w:style w:type="paragraph" w:styleId="CommentText">
    <w:name w:val="annotation text"/>
    <w:basedOn w:val="Normal"/>
    <w:link w:val="CommentTextChar"/>
    <w:rsid w:val="00B22209"/>
    <w:pPr>
      <w:suppressAutoHyphens/>
    </w:pPr>
    <w:rPr>
      <w:rFonts w:eastAsia="Malgun Gothic"/>
      <w:spacing w:val="0"/>
      <w:w w:val="100"/>
      <w:kern w:val="0"/>
    </w:rPr>
  </w:style>
  <w:style w:type="character" w:customStyle="1" w:styleId="CommentTextChar">
    <w:name w:val="Comment Text Char"/>
    <w:link w:val="CommentText"/>
    <w:rsid w:val="00B22209"/>
    <w:rPr>
      <w:rFonts w:eastAsia="Malgun Gothic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B22209"/>
    <w:rPr>
      <w:b/>
      <w:bCs/>
    </w:rPr>
  </w:style>
  <w:style w:type="character" w:customStyle="1" w:styleId="CommentSubjectChar">
    <w:name w:val="Comment Subject Char"/>
    <w:link w:val="CommentSubject"/>
    <w:rsid w:val="00B22209"/>
    <w:rPr>
      <w:rFonts w:eastAsia="Malgun Gothic"/>
      <w:b/>
      <w:bCs/>
      <w:lang w:val="ru-RU" w:eastAsia="en-US" w:bidi="ar-SA"/>
    </w:rPr>
  </w:style>
  <w:style w:type="paragraph" w:customStyle="1" w:styleId="ColorfulShading-Accent11">
    <w:name w:val="Colorful Shading - Accent 11"/>
    <w:hidden/>
    <w:semiHidden/>
    <w:rsid w:val="00B22209"/>
    <w:rPr>
      <w:rFonts w:eastAsia="Malgun Gothic"/>
      <w:lang w:val="ru-RU"/>
    </w:rPr>
  </w:style>
  <w:style w:type="paragraph" w:customStyle="1" w:styleId="COBTitle">
    <w:name w:val="COB_Title"/>
    <w:basedOn w:val="ColorfulList-Accent11"/>
    <w:link w:val="COBTitleChar"/>
    <w:qFormat/>
    <w:rsid w:val="00B22209"/>
    <w:pPr>
      <w:wordWrap/>
      <w:spacing w:before="240" w:after="120" w:line="240" w:lineRule="auto"/>
      <w:ind w:leftChars="0" w:left="0"/>
    </w:pPr>
    <w:rPr>
      <w:b/>
      <w:color w:val="FF0000"/>
      <w:sz w:val="22"/>
      <w:szCs w:val="22"/>
    </w:rPr>
  </w:style>
  <w:style w:type="paragraph" w:customStyle="1" w:styleId="reference">
    <w:name w:val="reference"/>
    <w:basedOn w:val="Normal"/>
    <w:rsid w:val="00B22209"/>
    <w:pPr>
      <w:numPr>
        <w:numId w:val="21"/>
      </w:numPr>
      <w:spacing w:line="240" w:lineRule="auto"/>
    </w:pPr>
    <w:rPr>
      <w:spacing w:val="0"/>
      <w:w w:val="100"/>
      <w:kern w:val="0"/>
      <w:sz w:val="24"/>
      <w:szCs w:val="24"/>
    </w:rPr>
  </w:style>
  <w:style w:type="character" w:customStyle="1" w:styleId="-1Char">
    <w:name w:val="색상형 목록 - 강조색 1 Char"/>
    <w:link w:val="ColorfulList-Accent11"/>
    <w:rsid w:val="00B22209"/>
    <w:rPr>
      <w:rFonts w:eastAsia="Malgun Gothic"/>
      <w:bCs/>
      <w:kern w:val="2"/>
      <w:lang w:val="ru-RU" w:eastAsia="ko-KR" w:bidi="ar-SA"/>
    </w:rPr>
  </w:style>
  <w:style w:type="character" w:customStyle="1" w:styleId="COBTitleChar">
    <w:name w:val="COB_Title Char"/>
    <w:link w:val="COBTitle"/>
    <w:rsid w:val="00B22209"/>
    <w:rPr>
      <w:rFonts w:eastAsia="Malgun Gothic"/>
      <w:b/>
      <w:bCs/>
      <w:color w:val="FF0000"/>
      <w:kern w:val="2"/>
      <w:sz w:val="22"/>
      <w:szCs w:val="22"/>
      <w:lang w:val="ru-RU" w:eastAsia="ko-KR" w:bidi="ar-SA"/>
    </w:rPr>
  </w:style>
  <w:style w:type="character" w:customStyle="1" w:styleId="style51">
    <w:name w:val="style51"/>
    <w:rsid w:val="00B22209"/>
    <w:rPr>
      <w:rFonts w:ascii="Georgia" w:hAnsi="Georgia" w:hint="default"/>
      <w:b/>
      <w:bCs/>
      <w:sz w:val="27"/>
      <w:szCs w:val="27"/>
      <w:lang w:val="ru-RU"/>
    </w:rPr>
  </w:style>
  <w:style w:type="character" w:customStyle="1" w:styleId="msonormal0">
    <w:name w:val="msonormal"/>
    <w:rsid w:val="00B22209"/>
  </w:style>
  <w:style w:type="paragraph" w:styleId="Revision">
    <w:name w:val="Revision"/>
    <w:hidden/>
    <w:semiHidden/>
    <w:rsid w:val="00B22209"/>
    <w:rPr>
      <w:rFonts w:eastAsia="Malgun Gothic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hchr.org/english/bodies/cedaw/index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2.ohchr.org/english/bodies/cedaw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ohchr.org/english/bodies/cescr/index.ht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14</Pages>
  <Words>5759</Words>
  <Characters>32832</Characters>
  <Application>Microsoft Office Outlook</Application>
  <DocSecurity>4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1344842</vt:lpstr>
    </vt:vector>
  </TitlesOfParts>
  <Company>CSD</Company>
  <LinksUpToDate>false</LinksUpToDate>
  <CharactersWithSpaces>38514</CharactersWithSpaces>
  <SharedDoc>false</SharedDoc>
  <HLinks>
    <vt:vector size="18" baseType="variant">
      <vt:variant>
        <vt:i4>6094863</vt:i4>
      </vt:variant>
      <vt:variant>
        <vt:i4>16</vt:i4>
      </vt:variant>
      <vt:variant>
        <vt:i4>0</vt:i4>
      </vt:variant>
      <vt:variant>
        <vt:i4>5</vt:i4>
      </vt:variant>
      <vt:variant>
        <vt:lpwstr>http://www2.ohchr.org/english/bodies/cedaw/index.htm</vt:lpwstr>
      </vt:variant>
      <vt:variant>
        <vt:lpwstr/>
      </vt:variant>
      <vt:variant>
        <vt:i4>5177357</vt:i4>
      </vt:variant>
      <vt:variant>
        <vt:i4>13</vt:i4>
      </vt:variant>
      <vt:variant>
        <vt:i4>0</vt:i4>
      </vt:variant>
      <vt:variant>
        <vt:i4>5</vt:i4>
      </vt:variant>
      <vt:variant>
        <vt:lpwstr>http://www2.ohchr.org/english/bodies/cescr/index.htm</vt:lpwstr>
      </vt:variant>
      <vt:variant>
        <vt:lpwstr/>
      </vt:variant>
      <vt:variant>
        <vt:i4>6094863</vt:i4>
      </vt:variant>
      <vt:variant>
        <vt:i4>10</vt:i4>
      </vt:variant>
      <vt:variant>
        <vt:i4>0</vt:i4>
      </vt:variant>
      <vt:variant>
        <vt:i4>5</vt:i4>
      </vt:variant>
      <vt:variant>
        <vt:lpwstr>http://www2.ohchr.org/english/bodies/cedaw/index.htm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1344842</dc:title>
  <dc:subject/>
  <dc:creator>Svetlana Prokoudina</dc:creator>
  <cp:keywords/>
  <dc:description/>
  <cp:lastModifiedBy>Anna Petelina</cp:lastModifiedBy>
  <cp:revision>2</cp:revision>
  <cp:lastPrinted>1601-01-01T00:00:00Z</cp:lastPrinted>
  <dcterms:created xsi:type="dcterms:W3CDTF">2013-09-11T08:20:00Z</dcterms:created>
  <dcterms:modified xsi:type="dcterms:W3CDTF">2013-09-11T08:20:00Z</dcterms:modified>
</cp:coreProperties>
</file>