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717016" w:rsidP="00717016">
            <w:pPr>
              <w:bidi w:val="0"/>
              <w:spacing w:after="20"/>
              <w:jc w:val="left"/>
              <w:rPr>
                <w:szCs w:val="20"/>
              </w:rPr>
            </w:pPr>
            <w:r w:rsidRPr="00717016">
              <w:rPr>
                <w:sz w:val="40"/>
                <w:szCs w:val="20"/>
              </w:rPr>
              <w:t>CAT</w:t>
            </w:r>
            <w:r>
              <w:rPr>
                <w:szCs w:val="20"/>
              </w:rPr>
              <w:t>/C/JPN/CO/2</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717016" w:rsidRDefault="00717016" w:rsidP="00717016">
            <w:pPr>
              <w:bidi w:val="0"/>
              <w:spacing w:before="240"/>
              <w:jc w:val="left"/>
            </w:pPr>
            <w:r>
              <w:t>Distr.: General</w:t>
            </w:r>
          </w:p>
          <w:p w:rsidR="00717016" w:rsidRDefault="00717016" w:rsidP="00717016">
            <w:pPr>
              <w:bidi w:val="0"/>
              <w:jc w:val="left"/>
            </w:pPr>
            <w:r>
              <w:t>28 June 2013</w:t>
            </w:r>
          </w:p>
          <w:p w:rsidR="00717016" w:rsidRDefault="00717016" w:rsidP="00717016">
            <w:pPr>
              <w:bidi w:val="0"/>
              <w:jc w:val="left"/>
            </w:pPr>
            <w:r>
              <w:t>Arabic</w:t>
            </w:r>
          </w:p>
          <w:p w:rsidR="00257225" w:rsidRPr="008B4BC6" w:rsidRDefault="00717016" w:rsidP="00717016">
            <w:pPr>
              <w:bidi w:val="0"/>
              <w:jc w:val="left"/>
            </w:pPr>
            <w:r>
              <w:t>Original: English</w:t>
            </w:r>
          </w:p>
        </w:tc>
      </w:tr>
    </w:tbl>
    <w:p w:rsidR="0086359D" w:rsidRPr="00C163E8" w:rsidRDefault="0086359D" w:rsidP="00C163E8">
      <w:pPr>
        <w:spacing w:before="120" w:line="380" w:lineRule="exact"/>
        <w:rPr>
          <w:rFonts w:hint="cs"/>
          <w:b/>
          <w:bCs/>
          <w:spacing w:val="6"/>
          <w:kern w:val="16"/>
          <w:sz w:val="32"/>
          <w:szCs w:val="36"/>
          <w:rtl/>
        </w:rPr>
      </w:pPr>
      <w:r w:rsidRPr="00C163E8">
        <w:rPr>
          <w:rFonts w:hint="cs"/>
          <w:b/>
          <w:bCs/>
          <w:spacing w:val="6"/>
          <w:kern w:val="16"/>
          <w:sz w:val="32"/>
          <w:szCs w:val="36"/>
          <w:rtl/>
        </w:rPr>
        <w:t>لجنة مناهضة التعذيب</w:t>
      </w:r>
    </w:p>
    <w:p w:rsidR="0086359D" w:rsidRPr="00FE4CB5" w:rsidRDefault="00C163E8" w:rsidP="005E0E09">
      <w:pPr>
        <w:pStyle w:val="HChGA"/>
        <w:rPr>
          <w:rFonts w:hint="cs"/>
          <w:rtl/>
          <w:lang w:val="fr-CH"/>
        </w:rPr>
      </w:pPr>
      <w:r>
        <w:rPr>
          <w:rFonts w:hint="cs"/>
          <w:rtl/>
          <w:lang w:val="fr-CH"/>
        </w:rPr>
        <w:tab/>
      </w:r>
      <w:r>
        <w:rPr>
          <w:rFonts w:hint="cs"/>
          <w:rtl/>
          <w:lang w:val="fr-CH"/>
        </w:rPr>
        <w:tab/>
      </w:r>
      <w:r w:rsidR="0086359D" w:rsidRPr="00FE4CB5">
        <w:rPr>
          <w:rFonts w:hint="cs"/>
          <w:rtl/>
          <w:lang w:val="fr-CH"/>
        </w:rPr>
        <w:t>الملاحظات الختامية بشأ</w:t>
      </w:r>
      <w:r w:rsidR="0086359D">
        <w:rPr>
          <w:rFonts w:hint="cs"/>
          <w:rtl/>
          <w:lang w:val="fr-CH"/>
        </w:rPr>
        <w:t>ن التقرير الدوري الثاني لليابان</w:t>
      </w:r>
      <w:r w:rsidR="0086359D" w:rsidRPr="00FE4CB5">
        <w:rPr>
          <w:rFonts w:hint="cs"/>
          <w:rtl/>
          <w:lang w:val="fr-CH"/>
        </w:rPr>
        <w:t xml:space="preserve"> التي اعتمدتها لجنة مناهضة التعذيب في دورتها الخمسين (من 6 إلى 31 أيار/</w:t>
      </w:r>
      <w:r w:rsidR="005E0E09">
        <w:rPr>
          <w:rFonts w:hint="cs"/>
          <w:rtl/>
          <w:lang w:val="fr-CH"/>
        </w:rPr>
        <w:t xml:space="preserve"> </w:t>
      </w:r>
      <w:r w:rsidR="0086359D" w:rsidRPr="00FE4CB5">
        <w:rPr>
          <w:rFonts w:hint="cs"/>
          <w:rtl/>
          <w:lang w:val="fr-CH"/>
        </w:rPr>
        <w:t>مايو</w:t>
      </w:r>
      <w:r w:rsidR="005E0E09">
        <w:rPr>
          <w:rFonts w:hint="eastAsia"/>
          <w:rtl/>
          <w:lang w:val="fr-CH"/>
        </w:rPr>
        <w:t> </w:t>
      </w:r>
      <w:r w:rsidR="00CF5CAB">
        <w:rPr>
          <w:rFonts w:hint="cs"/>
          <w:rtl/>
          <w:lang w:val="fr-CH"/>
        </w:rPr>
        <w:t>2013)</w:t>
      </w:r>
    </w:p>
    <w:p w:rsidR="0086359D" w:rsidRPr="00FE4CB5" w:rsidRDefault="00C163E8" w:rsidP="005B4839">
      <w:pPr>
        <w:pStyle w:val="SingleTxtGA"/>
        <w:rPr>
          <w:rFonts w:hint="cs"/>
          <w:rtl/>
        </w:rPr>
      </w:pPr>
      <w:r>
        <w:rPr>
          <w:rFonts w:hint="cs"/>
          <w:rtl/>
        </w:rPr>
        <w:t>1-</w:t>
      </w:r>
      <w:r>
        <w:rPr>
          <w:rFonts w:hint="cs"/>
          <w:rtl/>
        </w:rPr>
        <w:tab/>
      </w:r>
      <w:r w:rsidR="0086359D" w:rsidRPr="00FE4CB5">
        <w:rPr>
          <w:rFonts w:hint="cs"/>
          <w:rtl/>
          <w:lang w:val="fr-CH"/>
        </w:rPr>
        <w:t>نظرت لجنة مناهضة التعذيب في التقرير الدوري الثاني لليابان (</w:t>
      </w:r>
      <w:r w:rsidR="0086359D" w:rsidRPr="00FE4CB5">
        <w:t>CAT/C/JPN/2</w:t>
      </w:r>
      <w:r w:rsidR="000A371C">
        <w:rPr>
          <w:rFonts w:hint="cs"/>
          <w:rtl/>
        </w:rPr>
        <w:t>) في جلستيها 1152 و1155</w:t>
      </w:r>
      <w:r w:rsidR="0086359D" w:rsidRPr="00FE4CB5">
        <w:rPr>
          <w:rFonts w:hint="cs"/>
          <w:rtl/>
        </w:rPr>
        <w:t>، المعقودتين في 2</w:t>
      </w:r>
      <w:r w:rsidR="0086359D">
        <w:rPr>
          <w:rFonts w:hint="cs"/>
          <w:rtl/>
        </w:rPr>
        <w:t>1</w:t>
      </w:r>
      <w:r w:rsidR="003101B0">
        <w:rPr>
          <w:rFonts w:hint="cs"/>
          <w:rtl/>
        </w:rPr>
        <w:t xml:space="preserve"> و22 أيار/م</w:t>
      </w:r>
      <w:r w:rsidR="0086359D" w:rsidRPr="00FE4CB5">
        <w:rPr>
          <w:rFonts w:hint="cs"/>
          <w:rtl/>
        </w:rPr>
        <w:t>ايو 2013</w:t>
      </w:r>
      <w:r w:rsidR="0086359D">
        <w:rPr>
          <w:rFonts w:hint="cs"/>
          <w:rtl/>
        </w:rPr>
        <w:t xml:space="preserve"> (</w:t>
      </w:r>
      <w:r w:rsidR="0086359D" w:rsidRPr="000C6589">
        <w:t>CAT/C/SR.1152</w:t>
      </w:r>
      <w:r w:rsidR="0086359D">
        <w:rPr>
          <w:rFonts w:hint="cs"/>
          <w:rtl/>
        </w:rPr>
        <w:t xml:space="preserve"> و</w:t>
      </w:r>
      <w:r w:rsidR="0086359D" w:rsidRPr="000C6589">
        <w:t>1155</w:t>
      </w:r>
      <w:r w:rsidR="0086359D">
        <w:rPr>
          <w:rFonts w:hint="cs"/>
          <w:rtl/>
        </w:rPr>
        <w:t>)</w:t>
      </w:r>
      <w:r w:rsidR="0086359D" w:rsidRPr="00FE4CB5">
        <w:rPr>
          <w:rFonts w:hint="cs"/>
          <w:rtl/>
        </w:rPr>
        <w:t>. واعتمدت في جلستها 1164</w:t>
      </w:r>
      <w:r w:rsidR="00826260">
        <w:rPr>
          <w:rFonts w:hint="cs"/>
          <w:rtl/>
        </w:rPr>
        <w:t xml:space="preserve"> </w:t>
      </w:r>
      <w:r w:rsidR="0086359D" w:rsidRPr="00FE4CB5">
        <w:rPr>
          <w:rFonts w:hint="cs"/>
          <w:rtl/>
        </w:rPr>
        <w:t>المعقودة في 29 أيار/مايو 2013، الملاحظات الختامية التالية</w:t>
      </w:r>
      <w:r w:rsidR="0086359D">
        <w:rPr>
          <w:rFonts w:hint="cs"/>
          <w:rtl/>
        </w:rPr>
        <w:t xml:space="preserve"> (</w:t>
      </w:r>
      <w:r w:rsidR="0086359D" w:rsidRPr="000C6589">
        <w:t>CAT/C/SR.1164</w:t>
      </w:r>
      <w:r w:rsidR="0086359D">
        <w:rPr>
          <w:rFonts w:hint="cs"/>
          <w:rtl/>
        </w:rPr>
        <w:t>)</w:t>
      </w:r>
      <w:r w:rsidR="0086359D" w:rsidRPr="00FE4CB5">
        <w:rPr>
          <w:rFonts w:hint="cs"/>
          <w:rtl/>
        </w:rPr>
        <w:t>.</w:t>
      </w:r>
    </w:p>
    <w:p w:rsidR="0086359D" w:rsidRDefault="0086359D" w:rsidP="003101B0">
      <w:pPr>
        <w:pStyle w:val="HChGA"/>
        <w:rPr>
          <w:rFonts w:hint="cs"/>
          <w:rtl/>
        </w:rPr>
      </w:pPr>
      <w:r w:rsidRPr="00FE4CB5">
        <w:rPr>
          <w:rFonts w:hint="cs"/>
          <w:rtl/>
        </w:rPr>
        <w:tab/>
        <w:t>ألف-</w:t>
      </w:r>
      <w:r w:rsidRPr="00FE4CB5">
        <w:rPr>
          <w:rFonts w:hint="cs"/>
          <w:rtl/>
        </w:rPr>
        <w:tab/>
        <w:t>مقدمة</w:t>
      </w:r>
    </w:p>
    <w:p w:rsidR="0086359D" w:rsidRPr="00242496" w:rsidRDefault="003101B0" w:rsidP="003101B0">
      <w:pPr>
        <w:pStyle w:val="SingleTxtGA"/>
        <w:rPr>
          <w:rFonts w:hint="cs"/>
          <w:sz w:val="32"/>
          <w:szCs w:val="32"/>
          <w:rtl/>
        </w:rPr>
      </w:pPr>
      <w:r>
        <w:rPr>
          <w:rFonts w:hint="cs"/>
          <w:rtl/>
        </w:rPr>
        <w:t>2-</w:t>
      </w:r>
      <w:r>
        <w:rPr>
          <w:rFonts w:hint="cs"/>
          <w:rtl/>
        </w:rPr>
        <w:tab/>
      </w:r>
      <w:r w:rsidR="0086359D" w:rsidRPr="00242496">
        <w:rPr>
          <w:rFonts w:hint="cs"/>
          <w:rtl/>
        </w:rPr>
        <w:t>تعرب اللجنة عن تقديرها للدولة الطرف لموافقتها على الإجراء الاختياري المتعلق بتقديم التقارير ولتقديمها تقريرها الدوري بموجبه، نظراً إلى أن هذا الإجراء يُسهم في تحسين التعاون بين الدولة الطرف واللجنة ويركز على دراسة التقرير وكذلك على الحوار مع الوفد.</w:t>
      </w:r>
    </w:p>
    <w:p w:rsidR="0086359D" w:rsidRPr="00FE4CB5" w:rsidRDefault="003101B0" w:rsidP="003101B0">
      <w:pPr>
        <w:pStyle w:val="SingleTxtGA"/>
        <w:rPr>
          <w:rFonts w:hint="cs"/>
          <w:rtl/>
        </w:rPr>
      </w:pPr>
      <w:r>
        <w:rPr>
          <w:rFonts w:hint="cs"/>
          <w:rtl/>
        </w:rPr>
        <w:t>3-</w:t>
      </w:r>
      <w:r>
        <w:rPr>
          <w:rFonts w:hint="cs"/>
          <w:rtl/>
        </w:rPr>
        <w:tab/>
      </w:r>
      <w:r w:rsidR="0086359D" w:rsidRPr="00FE4CB5">
        <w:rPr>
          <w:rFonts w:hint="cs"/>
          <w:rtl/>
        </w:rPr>
        <w:t>وترحب اللجنة بالحوار البناء الذي أجرته مع وفد</w:t>
      </w:r>
      <w:r w:rsidR="0086359D">
        <w:rPr>
          <w:rFonts w:hint="cs"/>
          <w:rtl/>
        </w:rPr>
        <w:t xml:space="preserve"> الدولة الطرف</w:t>
      </w:r>
      <w:r w:rsidR="0086359D" w:rsidRPr="00FE4CB5">
        <w:rPr>
          <w:rFonts w:hint="cs"/>
          <w:rtl/>
        </w:rPr>
        <w:t xml:space="preserve"> </w:t>
      </w:r>
      <w:r w:rsidR="0086359D">
        <w:rPr>
          <w:rFonts w:hint="cs"/>
          <w:rtl/>
        </w:rPr>
        <w:t>ال</w:t>
      </w:r>
      <w:r w:rsidR="0086359D" w:rsidRPr="00FE4CB5">
        <w:rPr>
          <w:rFonts w:hint="cs"/>
          <w:rtl/>
        </w:rPr>
        <w:t xml:space="preserve">رفيع المستوى وبالمعلومات </w:t>
      </w:r>
      <w:r w:rsidR="0086359D">
        <w:rPr>
          <w:rFonts w:hint="cs"/>
          <w:rtl/>
        </w:rPr>
        <w:t>والشروحات</w:t>
      </w:r>
      <w:r w:rsidR="0086359D" w:rsidRPr="00FE4CB5">
        <w:rPr>
          <w:rFonts w:hint="cs"/>
          <w:rtl/>
        </w:rPr>
        <w:t xml:space="preserve"> الإضافية التي قدمها الوفد. </w:t>
      </w:r>
    </w:p>
    <w:p w:rsidR="0086359D" w:rsidRPr="00242496" w:rsidRDefault="00D505FE" w:rsidP="00D505FE">
      <w:pPr>
        <w:pStyle w:val="H1GA"/>
        <w:rPr>
          <w:rFonts w:hint="cs"/>
          <w:rtl/>
        </w:rPr>
      </w:pPr>
      <w:r>
        <w:rPr>
          <w:rFonts w:hint="cs"/>
          <w:rtl/>
        </w:rPr>
        <w:tab/>
        <w:t>باء-</w:t>
      </w:r>
      <w:r>
        <w:rPr>
          <w:rFonts w:hint="cs"/>
          <w:rtl/>
        </w:rPr>
        <w:tab/>
      </w:r>
      <w:r w:rsidR="0086359D" w:rsidRPr="00242496">
        <w:rPr>
          <w:rFonts w:hint="cs"/>
          <w:rtl/>
        </w:rPr>
        <w:t>الجوانب الإيجابية</w:t>
      </w:r>
    </w:p>
    <w:p w:rsidR="0086359D" w:rsidRPr="00FE4CB5" w:rsidRDefault="00D505FE" w:rsidP="00582B40">
      <w:pPr>
        <w:pStyle w:val="SingleTxtGA"/>
        <w:rPr>
          <w:rFonts w:hint="cs"/>
          <w:rtl/>
        </w:rPr>
      </w:pPr>
      <w:r>
        <w:rPr>
          <w:rFonts w:hint="cs"/>
          <w:rtl/>
        </w:rPr>
        <w:t>4-</w:t>
      </w:r>
      <w:r>
        <w:rPr>
          <w:rFonts w:hint="cs"/>
          <w:rtl/>
        </w:rPr>
        <w:tab/>
      </w:r>
      <w:r w:rsidR="0086359D" w:rsidRPr="00FE4CB5">
        <w:rPr>
          <w:rFonts w:hint="cs"/>
          <w:rtl/>
        </w:rPr>
        <w:t xml:space="preserve">ترحب اللجنة بتصديق الدولة الطرف على الصكوك الدولية التالية: </w:t>
      </w:r>
    </w:p>
    <w:p w:rsidR="0086359D" w:rsidRPr="00FE4CB5" w:rsidRDefault="00565FB7" w:rsidP="00582B40">
      <w:pPr>
        <w:pStyle w:val="SingleTxtGA"/>
        <w:rPr>
          <w:rFonts w:hint="cs"/>
          <w:rtl/>
          <w:lang/>
        </w:rPr>
      </w:pPr>
      <w:r>
        <w:rPr>
          <w:rFonts w:hint="cs"/>
          <w:rtl/>
          <w:lang/>
        </w:rPr>
        <w:tab/>
        <w:t>(أ)</w:t>
      </w:r>
      <w:r>
        <w:rPr>
          <w:rFonts w:hint="cs"/>
          <w:rtl/>
          <w:lang/>
        </w:rPr>
        <w:tab/>
      </w:r>
      <w:r w:rsidR="0086359D" w:rsidRPr="00FE4CB5">
        <w:rPr>
          <w:rFonts w:hint="cs"/>
          <w:rtl/>
          <w:lang/>
        </w:rPr>
        <w:t>الاتفاقية الدولية لحم</w:t>
      </w:r>
      <w:r w:rsidR="0086359D">
        <w:rPr>
          <w:rFonts w:hint="cs"/>
          <w:rtl/>
          <w:lang/>
        </w:rPr>
        <w:t>اية جميع الأشخاص من الاختفاء الق</w:t>
      </w:r>
      <w:r w:rsidR="0086359D" w:rsidRPr="00FE4CB5">
        <w:rPr>
          <w:rFonts w:hint="cs"/>
          <w:rtl/>
          <w:lang/>
        </w:rPr>
        <w:t>سري،</w:t>
      </w:r>
      <w:r w:rsidR="0086359D">
        <w:rPr>
          <w:rFonts w:hint="cs"/>
          <w:rtl/>
          <w:lang/>
        </w:rPr>
        <w:t xml:space="preserve"> بتاريخ</w:t>
      </w:r>
      <w:r w:rsidR="0086359D" w:rsidRPr="00FE4CB5">
        <w:rPr>
          <w:rFonts w:hint="cs"/>
          <w:rtl/>
          <w:lang/>
        </w:rPr>
        <w:t xml:space="preserve"> 23 تموز/</w:t>
      </w:r>
      <w:r w:rsidR="0086359D">
        <w:rPr>
          <w:rFonts w:hint="cs"/>
          <w:rtl/>
          <w:lang/>
        </w:rPr>
        <w:t>يوليه</w:t>
      </w:r>
      <w:r w:rsidR="0086359D" w:rsidRPr="00FE4CB5">
        <w:rPr>
          <w:rFonts w:hint="cs"/>
          <w:rtl/>
          <w:lang/>
        </w:rPr>
        <w:t xml:space="preserve"> 2009؛</w:t>
      </w:r>
    </w:p>
    <w:p w:rsidR="0086359D" w:rsidRPr="00FE4CB5" w:rsidRDefault="00565FB7" w:rsidP="005B4839">
      <w:pPr>
        <w:pStyle w:val="SingleTxtGA"/>
        <w:rPr>
          <w:rFonts w:hint="cs"/>
          <w:lang/>
        </w:rPr>
      </w:pPr>
      <w:r>
        <w:rPr>
          <w:rFonts w:hint="cs"/>
          <w:rtl/>
          <w:lang/>
        </w:rPr>
        <w:tab/>
        <w:t>(ب)</w:t>
      </w:r>
      <w:r>
        <w:rPr>
          <w:rFonts w:hint="cs"/>
          <w:rtl/>
          <w:lang/>
        </w:rPr>
        <w:tab/>
      </w:r>
      <w:r w:rsidR="0086359D" w:rsidRPr="00FE4CB5">
        <w:rPr>
          <w:rFonts w:hint="cs"/>
          <w:rtl/>
          <w:lang/>
        </w:rPr>
        <w:t xml:space="preserve">نظام روما الأساسي للمحكمة الجنائية الدولية، </w:t>
      </w:r>
      <w:r w:rsidR="0086359D">
        <w:rPr>
          <w:rFonts w:hint="cs"/>
          <w:rtl/>
          <w:lang/>
        </w:rPr>
        <w:t xml:space="preserve">بتاريخ 1 </w:t>
      </w:r>
      <w:r w:rsidR="0086359D" w:rsidRPr="00FE4CB5">
        <w:rPr>
          <w:rFonts w:hint="cs"/>
          <w:rtl/>
          <w:lang/>
        </w:rPr>
        <w:t>تشرين الأول/</w:t>
      </w:r>
      <w:r>
        <w:rPr>
          <w:rFonts w:hint="cs"/>
          <w:rtl/>
          <w:lang/>
        </w:rPr>
        <w:t xml:space="preserve"> </w:t>
      </w:r>
      <w:r w:rsidR="0086359D" w:rsidRPr="00FE4CB5">
        <w:rPr>
          <w:rFonts w:hint="cs"/>
          <w:rtl/>
          <w:lang/>
        </w:rPr>
        <w:t>أكتوبر 2007</w:t>
      </w:r>
      <w:r w:rsidR="005B4839">
        <w:rPr>
          <w:rFonts w:hint="cs"/>
          <w:rtl/>
          <w:lang/>
        </w:rPr>
        <w:t>.</w:t>
      </w:r>
    </w:p>
    <w:p w:rsidR="0086359D" w:rsidRPr="00FE4CB5" w:rsidRDefault="00565FB7" w:rsidP="00565FB7">
      <w:pPr>
        <w:pStyle w:val="SingleTxtGA"/>
        <w:rPr>
          <w:rFonts w:hint="cs"/>
          <w:rtl/>
          <w:lang/>
        </w:rPr>
      </w:pPr>
      <w:r>
        <w:rPr>
          <w:rFonts w:hint="cs"/>
          <w:rtl/>
          <w:lang/>
        </w:rPr>
        <w:t>5-</w:t>
      </w:r>
      <w:r>
        <w:rPr>
          <w:rFonts w:hint="cs"/>
          <w:rtl/>
          <w:lang/>
        </w:rPr>
        <w:tab/>
      </w:r>
      <w:r w:rsidR="0086359D">
        <w:rPr>
          <w:rFonts w:hint="cs"/>
          <w:rtl/>
          <w:lang/>
        </w:rPr>
        <w:t>و</w:t>
      </w:r>
      <w:r w:rsidR="0086359D" w:rsidRPr="00FE4CB5">
        <w:rPr>
          <w:rFonts w:hint="cs"/>
          <w:rtl/>
          <w:lang/>
        </w:rPr>
        <w:t>ترحب اللجنة بالتدابير التشريعية التالية التي اتخذتها الدولة الطرف:</w:t>
      </w:r>
    </w:p>
    <w:p w:rsidR="0086359D" w:rsidRPr="00FE4CB5" w:rsidRDefault="00565FB7" w:rsidP="00565FB7">
      <w:pPr>
        <w:pStyle w:val="SingleTxtGA"/>
        <w:rPr>
          <w:rFonts w:hint="cs"/>
          <w:rtl/>
        </w:rPr>
      </w:pPr>
      <w:r>
        <w:rPr>
          <w:rFonts w:hint="cs"/>
          <w:rtl/>
          <w:lang/>
        </w:rPr>
        <w:tab/>
        <w:t>(أ)</w:t>
      </w:r>
      <w:r>
        <w:rPr>
          <w:rFonts w:hint="cs"/>
          <w:rtl/>
          <w:lang/>
        </w:rPr>
        <w:tab/>
      </w:r>
      <w:r w:rsidR="0086359D" w:rsidRPr="00FE4CB5">
        <w:rPr>
          <w:rFonts w:hint="cs"/>
          <w:rtl/>
          <w:lang/>
        </w:rPr>
        <w:t xml:space="preserve">تنقيح </w:t>
      </w:r>
      <w:r w:rsidR="0086359D" w:rsidRPr="00FE4CB5">
        <w:rPr>
          <w:rtl/>
        </w:rPr>
        <w:t>قانون مراقبة الهجرة والاعتراف باللاجئين</w:t>
      </w:r>
      <w:r w:rsidR="0086359D" w:rsidRPr="00FE4CB5">
        <w:rPr>
          <w:rFonts w:hint="cs"/>
          <w:rtl/>
        </w:rPr>
        <w:t xml:space="preserve"> الذي دخل حيز التنفيذ في تموز/يوليه 2009؛</w:t>
      </w:r>
    </w:p>
    <w:p w:rsidR="0086359D" w:rsidRPr="00FE4CB5" w:rsidRDefault="00565FB7" w:rsidP="00565FB7">
      <w:pPr>
        <w:pStyle w:val="SingleTxtGA"/>
        <w:rPr>
          <w:rFonts w:hint="cs"/>
          <w:rtl/>
        </w:rPr>
      </w:pPr>
      <w:r>
        <w:rPr>
          <w:rFonts w:hint="cs"/>
          <w:rtl/>
        </w:rPr>
        <w:tab/>
      </w:r>
      <w:r w:rsidR="0086359D" w:rsidRPr="00FE4CB5">
        <w:rPr>
          <w:rFonts w:hint="cs"/>
          <w:rtl/>
        </w:rPr>
        <w:t>(</w:t>
      </w:r>
      <w:r>
        <w:rPr>
          <w:rFonts w:hint="cs"/>
          <w:rtl/>
        </w:rPr>
        <w:t>ب)</w:t>
      </w:r>
      <w:r>
        <w:rPr>
          <w:rFonts w:hint="cs"/>
          <w:rtl/>
        </w:rPr>
        <w:tab/>
      </w:r>
      <w:r w:rsidR="0086359D" w:rsidRPr="00FE4CB5">
        <w:rPr>
          <w:rFonts w:hint="cs"/>
          <w:rtl/>
        </w:rPr>
        <w:t>تنقيح قانون منع العنف الزوجي وحماية الضحايا الذي دخل حيز التنفيذ في كانون الثاني/يناير 2008.</w:t>
      </w:r>
    </w:p>
    <w:p w:rsidR="0086359D" w:rsidRPr="00FE4CB5" w:rsidRDefault="00565FB7" w:rsidP="00565FB7">
      <w:pPr>
        <w:pStyle w:val="SingleTxtGA"/>
        <w:rPr>
          <w:rFonts w:hint="cs"/>
          <w:rtl/>
        </w:rPr>
      </w:pPr>
      <w:r>
        <w:rPr>
          <w:rFonts w:hint="cs"/>
          <w:rtl/>
        </w:rPr>
        <w:t>6-</w:t>
      </w:r>
      <w:r>
        <w:rPr>
          <w:rFonts w:hint="cs"/>
          <w:rtl/>
        </w:rPr>
        <w:tab/>
      </w:r>
      <w:r w:rsidR="0086359D">
        <w:rPr>
          <w:rFonts w:hint="cs"/>
          <w:rtl/>
        </w:rPr>
        <w:t>و</w:t>
      </w:r>
      <w:r w:rsidR="0086359D" w:rsidRPr="00FE4CB5">
        <w:rPr>
          <w:rFonts w:hint="cs"/>
          <w:rtl/>
        </w:rPr>
        <w:t xml:space="preserve">ترحب اللجنة بالتدابير الإدارية التالية </w:t>
      </w:r>
      <w:r w:rsidR="0086359D">
        <w:rPr>
          <w:rFonts w:hint="cs"/>
          <w:rtl/>
        </w:rPr>
        <w:t>وبالتدابير الأخرى</w:t>
      </w:r>
      <w:r w:rsidR="0086359D" w:rsidRPr="00FE4CB5">
        <w:rPr>
          <w:rFonts w:hint="cs"/>
          <w:rtl/>
        </w:rPr>
        <w:t xml:space="preserve"> التي اتخذتها الدولة الطرف:</w:t>
      </w:r>
    </w:p>
    <w:p w:rsidR="0086359D" w:rsidRPr="00FE4CB5" w:rsidRDefault="00565FB7" w:rsidP="00582B40">
      <w:pPr>
        <w:pStyle w:val="SingleTxtGA"/>
        <w:rPr>
          <w:rFonts w:hint="cs"/>
          <w:rtl/>
        </w:rPr>
      </w:pPr>
      <w:r>
        <w:rPr>
          <w:rFonts w:hint="cs"/>
          <w:rtl/>
        </w:rPr>
        <w:tab/>
        <w:t>(أ)</w:t>
      </w:r>
      <w:r>
        <w:rPr>
          <w:rFonts w:hint="cs"/>
          <w:rtl/>
        </w:rPr>
        <w:tab/>
      </w:r>
      <w:r w:rsidR="0086359D" w:rsidRPr="00FE4CB5">
        <w:rPr>
          <w:rFonts w:hint="cs"/>
          <w:rtl/>
        </w:rPr>
        <w:t>إنشاء شعبة التفتيش و</w:t>
      </w:r>
      <w:r w:rsidR="0086359D">
        <w:rPr>
          <w:rFonts w:hint="cs"/>
          <w:rtl/>
        </w:rPr>
        <w:t xml:space="preserve">التوجيه </w:t>
      </w:r>
      <w:r w:rsidR="0086359D" w:rsidRPr="00FE4CB5">
        <w:rPr>
          <w:rFonts w:hint="cs"/>
          <w:rtl/>
        </w:rPr>
        <w:t>التابعة للنيابة العامة العليا، في تموز/</w:t>
      </w:r>
      <w:r w:rsidR="00582B40">
        <w:rPr>
          <w:rFonts w:hint="cs"/>
          <w:rtl/>
        </w:rPr>
        <w:t xml:space="preserve"> </w:t>
      </w:r>
      <w:r w:rsidR="0086359D" w:rsidRPr="00FE4CB5">
        <w:rPr>
          <w:rFonts w:hint="cs"/>
          <w:rtl/>
        </w:rPr>
        <w:t>يوليه</w:t>
      </w:r>
      <w:r w:rsidR="00582B40">
        <w:rPr>
          <w:rFonts w:hint="eastAsia"/>
          <w:rtl/>
        </w:rPr>
        <w:t> </w:t>
      </w:r>
      <w:r w:rsidR="0086359D" w:rsidRPr="00FE4CB5">
        <w:rPr>
          <w:rFonts w:hint="cs"/>
          <w:rtl/>
        </w:rPr>
        <w:t>2011؛</w:t>
      </w:r>
    </w:p>
    <w:p w:rsidR="0086359D" w:rsidRPr="00FE4CB5" w:rsidRDefault="00565FB7" w:rsidP="00565FB7">
      <w:pPr>
        <w:pStyle w:val="SingleTxtGA"/>
        <w:rPr>
          <w:rFonts w:hint="cs"/>
          <w:rtl/>
        </w:rPr>
      </w:pPr>
      <w:r>
        <w:rPr>
          <w:rFonts w:hint="cs"/>
          <w:rtl/>
        </w:rPr>
        <w:tab/>
        <w:t>(ب)</w:t>
      </w:r>
      <w:r>
        <w:rPr>
          <w:rFonts w:hint="cs"/>
          <w:rtl/>
        </w:rPr>
        <w:tab/>
      </w:r>
      <w:r w:rsidR="0086359D" w:rsidRPr="00FE4CB5">
        <w:rPr>
          <w:rFonts w:hint="cs"/>
          <w:rtl/>
        </w:rPr>
        <w:t>الموافقة على الخطة الأساسية الثالثة للمساواة بين الجنسين، في كانون الأول/</w:t>
      </w:r>
      <w:r>
        <w:rPr>
          <w:rFonts w:hint="cs"/>
          <w:rtl/>
        </w:rPr>
        <w:t xml:space="preserve"> </w:t>
      </w:r>
      <w:r w:rsidR="0086359D" w:rsidRPr="00FE4CB5">
        <w:rPr>
          <w:rFonts w:hint="cs"/>
          <w:rtl/>
        </w:rPr>
        <w:t>ديسمبر 2010؛</w:t>
      </w:r>
    </w:p>
    <w:p w:rsidR="0086359D" w:rsidRPr="00FE4CB5" w:rsidRDefault="00565FB7" w:rsidP="00565FB7">
      <w:pPr>
        <w:pStyle w:val="SingleTxtGA"/>
        <w:rPr>
          <w:rFonts w:hint="cs"/>
          <w:rtl/>
          <w:lang/>
        </w:rPr>
      </w:pPr>
      <w:r>
        <w:rPr>
          <w:rFonts w:hint="cs"/>
          <w:rtl/>
        </w:rPr>
        <w:tab/>
        <w:t>(ج)</w:t>
      </w:r>
      <w:r>
        <w:rPr>
          <w:rFonts w:hint="cs"/>
          <w:rtl/>
        </w:rPr>
        <w:tab/>
      </w:r>
      <w:r w:rsidR="0086359D" w:rsidRPr="00FE4CB5">
        <w:rPr>
          <w:rFonts w:hint="cs"/>
          <w:rtl/>
        </w:rPr>
        <w:t xml:space="preserve">إنشاء </w:t>
      </w:r>
      <w:r w:rsidR="0086359D" w:rsidRPr="00FE4CB5">
        <w:rPr>
          <w:rFonts w:hint="cs"/>
          <w:rtl/>
          <w:lang/>
        </w:rPr>
        <w:t>لجنة زيارة مرافق احتجاز المهاجرين، في تموز/يوليه 2010؛</w:t>
      </w:r>
    </w:p>
    <w:p w:rsidR="0086359D" w:rsidRPr="00FE4CB5" w:rsidRDefault="00565FB7" w:rsidP="00565FB7">
      <w:pPr>
        <w:pStyle w:val="SingleTxtGA"/>
        <w:rPr>
          <w:rFonts w:hint="cs"/>
          <w:rtl/>
          <w:lang/>
        </w:rPr>
      </w:pPr>
      <w:r>
        <w:rPr>
          <w:rFonts w:hint="cs"/>
          <w:rtl/>
          <w:lang/>
        </w:rPr>
        <w:tab/>
        <w:t>(د)</w:t>
      </w:r>
      <w:r>
        <w:rPr>
          <w:rFonts w:hint="cs"/>
          <w:rtl/>
          <w:lang/>
        </w:rPr>
        <w:tab/>
      </w:r>
      <w:r w:rsidR="0086359D" w:rsidRPr="00FE4CB5">
        <w:rPr>
          <w:rFonts w:hint="cs"/>
          <w:rtl/>
          <w:lang/>
        </w:rPr>
        <w:t>اعت</w:t>
      </w:r>
      <w:r w:rsidR="0086359D">
        <w:rPr>
          <w:rFonts w:hint="cs"/>
          <w:rtl/>
          <w:lang/>
        </w:rPr>
        <w:t>ماد خطة العمل الوطنية لمكافحة الات</w:t>
      </w:r>
      <w:r w:rsidR="0086359D" w:rsidRPr="00FE4CB5">
        <w:rPr>
          <w:rFonts w:hint="cs"/>
          <w:rtl/>
          <w:lang/>
        </w:rPr>
        <w:t>جار بالأشخاص</w:t>
      </w:r>
      <w:r w:rsidR="0086359D">
        <w:rPr>
          <w:rFonts w:hint="cs"/>
          <w:rtl/>
          <w:lang/>
        </w:rPr>
        <w:t xml:space="preserve"> لعام 2009</w:t>
      </w:r>
      <w:r w:rsidR="0086359D" w:rsidRPr="00FE4CB5">
        <w:rPr>
          <w:rFonts w:hint="cs"/>
          <w:rtl/>
          <w:lang/>
        </w:rPr>
        <w:t xml:space="preserve"> في </w:t>
      </w:r>
      <w:r w:rsidR="0086359D">
        <w:rPr>
          <w:rFonts w:hint="cs"/>
          <w:rtl/>
          <w:lang/>
        </w:rPr>
        <w:t>كانون الأول/ديسمبر</w:t>
      </w:r>
      <w:r w:rsidR="0086359D" w:rsidRPr="00FE4CB5">
        <w:rPr>
          <w:rFonts w:hint="cs"/>
          <w:rtl/>
          <w:lang/>
        </w:rPr>
        <w:t xml:space="preserve"> 2009؛</w:t>
      </w:r>
    </w:p>
    <w:p w:rsidR="0086359D" w:rsidRPr="00FE4CB5" w:rsidRDefault="00565FB7" w:rsidP="005B4839">
      <w:pPr>
        <w:pStyle w:val="SingleTxtGA"/>
        <w:rPr>
          <w:rFonts w:hint="cs"/>
          <w:rtl/>
          <w:lang/>
        </w:rPr>
      </w:pPr>
      <w:r>
        <w:rPr>
          <w:rFonts w:hint="cs"/>
          <w:rtl/>
          <w:lang/>
        </w:rPr>
        <w:tab/>
      </w:r>
      <w:r w:rsidR="0086359D" w:rsidRPr="00FE4CB5">
        <w:rPr>
          <w:rFonts w:hint="cs"/>
          <w:rtl/>
          <w:lang/>
        </w:rPr>
        <w:t>(ه</w:t>
      </w:r>
      <w:r>
        <w:rPr>
          <w:rFonts w:hint="cs"/>
          <w:rtl/>
          <w:lang/>
        </w:rPr>
        <w:t>‍(</w:t>
      </w:r>
      <w:r>
        <w:rPr>
          <w:rFonts w:hint="cs"/>
          <w:rtl/>
          <w:lang/>
        </w:rPr>
        <w:tab/>
      </w:r>
      <w:r w:rsidR="0086359D">
        <w:rPr>
          <w:rFonts w:hint="cs"/>
          <w:rtl/>
          <w:lang/>
        </w:rPr>
        <w:t>تجميع عناصر</w:t>
      </w:r>
      <w:r w:rsidR="00826260">
        <w:rPr>
          <w:rFonts w:hint="cs"/>
          <w:rtl/>
          <w:lang/>
        </w:rPr>
        <w:t xml:space="preserve"> </w:t>
      </w:r>
      <w:r w:rsidR="0086359D">
        <w:rPr>
          <w:rFonts w:hint="cs"/>
          <w:rtl/>
        </w:rPr>
        <w:t>السياسة بشأن ضمان سلامة تحقيقات الشرطة، في كانون الثاني/</w:t>
      </w:r>
      <w:r w:rsidR="005B4839">
        <w:rPr>
          <w:rFonts w:hint="cs"/>
          <w:rtl/>
        </w:rPr>
        <w:t>يناير</w:t>
      </w:r>
      <w:r w:rsidR="0086359D">
        <w:rPr>
          <w:rFonts w:hint="cs"/>
          <w:rtl/>
        </w:rPr>
        <w:t xml:space="preserve"> 2008. </w:t>
      </w:r>
    </w:p>
    <w:p w:rsidR="0086359D" w:rsidRPr="00242496" w:rsidRDefault="00565FB7" w:rsidP="00565FB7">
      <w:pPr>
        <w:pStyle w:val="H1GA"/>
        <w:rPr>
          <w:rFonts w:hint="cs"/>
          <w:rtl/>
          <w:lang/>
        </w:rPr>
      </w:pPr>
      <w:r>
        <w:rPr>
          <w:rFonts w:hint="cs"/>
          <w:rtl/>
          <w:lang/>
        </w:rPr>
        <w:tab/>
      </w:r>
      <w:r w:rsidR="0086359D" w:rsidRPr="00242496">
        <w:rPr>
          <w:rFonts w:hint="cs"/>
          <w:rtl/>
          <w:lang/>
        </w:rPr>
        <w:t>جيم</w:t>
      </w:r>
      <w:r>
        <w:rPr>
          <w:rFonts w:hint="cs"/>
          <w:rtl/>
          <w:lang/>
        </w:rPr>
        <w:t>-</w:t>
      </w:r>
      <w:r>
        <w:rPr>
          <w:rFonts w:hint="cs"/>
          <w:rtl/>
          <w:lang/>
        </w:rPr>
        <w:tab/>
      </w:r>
      <w:r w:rsidR="0086359D" w:rsidRPr="00242496">
        <w:rPr>
          <w:rFonts w:hint="cs"/>
          <w:rtl/>
          <w:lang/>
        </w:rPr>
        <w:t>دواعي القلق الرئيسية والتوصيات</w:t>
      </w:r>
    </w:p>
    <w:p w:rsidR="0086359D" w:rsidRPr="00242496" w:rsidRDefault="00565FB7" w:rsidP="00565FB7">
      <w:pPr>
        <w:pStyle w:val="H23GA"/>
        <w:rPr>
          <w:rFonts w:hint="cs"/>
          <w:rtl/>
          <w:lang/>
        </w:rPr>
      </w:pPr>
      <w:r>
        <w:rPr>
          <w:rFonts w:hint="cs"/>
          <w:rtl/>
          <w:lang/>
        </w:rPr>
        <w:tab/>
      </w:r>
      <w:r>
        <w:rPr>
          <w:rFonts w:hint="cs"/>
          <w:rtl/>
          <w:lang/>
        </w:rPr>
        <w:tab/>
      </w:r>
      <w:r w:rsidR="0086359D" w:rsidRPr="00242496">
        <w:rPr>
          <w:rFonts w:hint="cs"/>
          <w:rtl/>
          <w:lang/>
        </w:rPr>
        <w:t>تعريف التعذيب</w:t>
      </w:r>
    </w:p>
    <w:p w:rsidR="0086359D" w:rsidRPr="00FE4CB5" w:rsidRDefault="00565FB7" w:rsidP="00565FB7">
      <w:pPr>
        <w:pStyle w:val="SingleTxtGA"/>
        <w:rPr>
          <w:rFonts w:hint="cs"/>
          <w:rtl/>
        </w:rPr>
      </w:pPr>
      <w:r>
        <w:rPr>
          <w:rFonts w:hint="cs"/>
          <w:rtl/>
        </w:rPr>
        <w:t>7-</w:t>
      </w:r>
      <w:r>
        <w:rPr>
          <w:rFonts w:hint="cs"/>
          <w:rtl/>
        </w:rPr>
        <w:tab/>
      </w:r>
      <w:r w:rsidR="0086359D" w:rsidRPr="00FE4CB5">
        <w:rPr>
          <w:rFonts w:hint="cs"/>
          <w:rtl/>
        </w:rPr>
        <w:t>يساور اللجنة قلق من عدم اتخاذ الدولة الطرف أي تدابير لاعتماد تعريف للتعذيب يشمل</w:t>
      </w:r>
      <w:r w:rsidR="0086359D">
        <w:rPr>
          <w:rFonts w:hint="cs"/>
          <w:rtl/>
        </w:rPr>
        <w:t xml:space="preserve"> كافة</w:t>
      </w:r>
      <w:r w:rsidR="0086359D" w:rsidRPr="00FE4CB5">
        <w:rPr>
          <w:rFonts w:hint="cs"/>
          <w:rtl/>
        </w:rPr>
        <w:t xml:space="preserve"> العناصر التي تنص عليها المادة 1 من الاتفاقية (المادة 1). </w:t>
      </w:r>
    </w:p>
    <w:p w:rsidR="0086359D" w:rsidRPr="00565FB7" w:rsidRDefault="00565FB7" w:rsidP="00565FB7">
      <w:pPr>
        <w:pStyle w:val="SingleTxtGA"/>
        <w:rPr>
          <w:rFonts w:hint="cs"/>
          <w:b/>
          <w:bCs/>
          <w:rtl/>
        </w:rPr>
      </w:pPr>
      <w:r>
        <w:rPr>
          <w:rFonts w:hint="cs"/>
          <w:rtl/>
        </w:rPr>
        <w:tab/>
      </w:r>
      <w:r w:rsidR="0086359D" w:rsidRPr="00565FB7">
        <w:rPr>
          <w:rFonts w:hint="cs"/>
          <w:b/>
          <w:bCs/>
          <w:rtl/>
        </w:rPr>
        <w:t>تكرر اللجنة التوصية التي قدمتها في ملاحظاتها الختامية السابقة (</w:t>
      </w:r>
      <w:r w:rsidR="0086359D" w:rsidRPr="00565FB7">
        <w:rPr>
          <w:b/>
          <w:bCs/>
        </w:rPr>
        <w:t>CAT/C/JPN/CO/1</w:t>
      </w:r>
      <w:r w:rsidR="0086359D" w:rsidRPr="00565FB7">
        <w:rPr>
          <w:rFonts w:hint="cs"/>
          <w:b/>
          <w:bCs/>
          <w:rtl/>
        </w:rPr>
        <w:t xml:space="preserve">، الفقرة 10) بأن تدمج الدولة الطرف في القانون المحلي تعريفاً للتعذيب مطابقاً لما تنص عليه المادة 1 من الاتفاقية ويشمل كل العناصر المكوّنة للتعذيب والتي تميّزه بوصفه جريمة </w:t>
      </w:r>
      <w:r>
        <w:rPr>
          <w:rFonts w:hint="cs"/>
          <w:b/>
          <w:bCs/>
          <w:rtl/>
        </w:rPr>
        <w:t xml:space="preserve">تخضع </w:t>
      </w:r>
      <w:r w:rsidR="0086359D" w:rsidRPr="00565FB7">
        <w:rPr>
          <w:rFonts w:hint="cs"/>
          <w:b/>
          <w:bCs/>
          <w:rtl/>
        </w:rPr>
        <w:t>لعقوبات مناسبة. وتعتبر اللجنة، ب</w:t>
      </w:r>
      <w:r w:rsidR="0081714D">
        <w:rPr>
          <w:rFonts w:hint="cs"/>
          <w:b/>
          <w:bCs/>
          <w:rtl/>
        </w:rPr>
        <w:t>الإشارة إلى تعليقها العام رقم 2</w:t>
      </w:r>
      <w:r w:rsidR="0086359D" w:rsidRPr="00565FB7">
        <w:rPr>
          <w:rFonts w:hint="cs"/>
          <w:b/>
          <w:bCs/>
          <w:rtl/>
        </w:rPr>
        <w:t>(2007) بشأن تنفيذ الدول الأطراف المادة 2، أنّ الدول الأطراف ستعمل على إنجاح هدف الاتفاقية الشامل المتمثل في الوقاية من التعذيب من خلال تحديد جريمة التعذيب وتعريفها وفقاً لأحكام الاتفاقية وباعتبارها جريمة مستقلة</w:t>
      </w:r>
      <w:r w:rsidR="00826260">
        <w:rPr>
          <w:rFonts w:hint="cs"/>
          <w:b/>
          <w:bCs/>
          <w:rtl/>
        </w:rPr>
        <w:t xml:space="preserve"> </w:t>
      </w:r>
      <w:r w:rsidR="0086359D" w:rsidRPr="00565FB7">
        <w:rPr>
          <w:rFonts w:hint="cs"/>
          <w:b/>
          <w:bCs/>
          <w:rtl/>
        </w:rPr>
        <w:t xml:space="preserve">عن الجرائم الأخرى. </w:t>
      </w:r>
    </w:p>
    <w:p w:rsidR="0086359D" w:rsidRPr="00953914" w:rsidRDefault="0084215A" w:rsidP="00582B40">
      <w:pPr>
        <w:pStyle w:val="H23GA"/>
        <w:keepNext/>
        <w:keepLines/>
        <w:rPr>
          <w:rFonts w:hint="cs"/>
          <w:rtl/>
        </w:rPr>
      </w:pPr>
      <w:r>
        <w:rPr>
          <w:rFonts w:hint="cs"/>
          <w:rtl/>
        </w:rPr>
        <w:tab/>
      </w:r>
      <w:r>
        <w:rPr>
          <w:rFonts w:hint="cs"/>
          <w:rtl/>
        </w:rPr>
        <w:tab/>
      </w:r>
      <w:r w:rsidR="0086359D" w:rsidRPr="00953914">
        <w:rPr>
          <w:rFonts w:hint="cs"/>
          <w:rtl/>
        </w:rPr>
        <w:t xml:space="preserve">التقادم </w:t>
      </w:r>
    </w:p>
    <w:p w:rsidR="0086359D" w:rsidRPr="00FE4CB5" w:rsidRDefault="0084215A" w:rsidP="00CE17FE">
      <w:pPr>
        <w:pStyle w:val="SingleTxtGA"/>
        <w:rPr>
          <w:rFonts w:hint="cs"/>
          <w:rtl/>
        </w:rPr>
      </w:pPr>
      <w:r>
        <w:rPr>
          <w:rFonts w:hint="cs"/>
          <w:rtl/>
        </w:rPr>
        <w:t>8-</w:t>
      </w:r>
      <w:r>
        <w:rPr>
          <w:rFonts w:hint="cs"/>
          <w:rtl/>
        </w:rPr>
        <w:tab/>
      </w:r>
      <w:r w:rsidR="0086359D" w:rsidRPr="00FE4CB5">
        <w:rPr>
          <w:rFonts w:hint="cs"/>
          <w:rtl/>
        </w:rPr>
        <w:t xml:space="preserve">فيما تلاحظ اللجنة القانون رقم 26 المؤرّخ نيسان/أبريل 2010 الذي يلغي أو يمدد مهلة التقادم لبعض الجرائم، تعرب اللجنة عن قلقها </w:t>
      </w:r>
      <w:r w:rsidR="0086359D">
        <w:rPr>
          <w:rFonts w:hint="cs"/>
          <w:rtl/>
        </w:rPr>
        <w:t>لأ</w:t>
      </w:r>
      <w:r w:rsidR="00CE17FE">
        <w:rPr>
          <w:rFonts w:hint="cs"/>
          <w:rtl/>
        </w:rPr>
        <w:t>ن مهلة التقادم ما زالت قائمة في</w:t>
      </w:r>
      <w:r w:rsidR="0086359D" w:rsidRPr="00FE4CB5">
        <w:rPr>
          <w:rFonts w:hint="cs"/>
          <w:rtl/>
        </w:rPr>
        <w:t>ما</w:t>
      </w:r>
      <w:r w:rsidR="00CE17FE">
        <w:rPr>
          <w:rFonts w:hint="eastAsia"/>
          <w:rtl/>
        </w:rPr>
        <w:t> </w:t>
      </w:r>
      <w:r w:rsidR="0086359D" w:rsidRPr="00FE4CB5">
        <w:rPr>
          <w:rFonts w:hint="cs"/>
          <w:rtl/>
        </w:rPr>
        <w:t>يتعلق ب</w:t>
      </w:r>
      <w:r w:rsidR="0086359D">
        <w:rPr>
          <w:rFonts w:hint="cs"/>
          <w:rtl/>
        </w:rPr>
        <w:t xml:space="preserve">ضروب </w:t>
      </w:r>
      <w:r w:rsidR="0086359D" w:rsidRPr="00FE4CB5">
        <w:rPr>
          <w:rFonts w:hint="cs"/>
          <w:rtl/>
        </w:rPr>
        <w:t xml:space="preserve">التعذيب وسوء المعاملة، بما يشمل محاولات ارتكاب التعذيب والأفعال التي يقوم بها أي شخص وتشكل تواطؤاً أو مشاركة في التعذيب (المادتان 4 و12). </w:t>
      </w:r>
    </w:p>
    <w:p w:rsidR="0086359D" w:rsidRPr="0084215A" w:rsidRDefault="0084215A" w:rsidP="0084215A">
      <w:pPr>
        <w:pStyle w:val="SingleTxtGA"/>
        <w:rPr>
          <w:rFonts w:hint="cs"/>
          <w:b/>
          <w:bCs/>
          <w:rtl/>
        </w:rPr>
      </w:pPr>
      <w:r>
        <w:rPr>
          <w:rFonts w:hint="cs"/>
          <w:rtl/>
        </w:rPr>
        <w:tab/>
      </w:r>
      <w:r w:rsidR="0086359D" w:rsidRPr="0084215A">
        <w:rPr>
          <w:rFonts w:hint="cs"/>
          <w:b/>
          <w:bCs/>
          <w:rtl/>
        </w:rPr>
        <w:t>تكرر اللجنة توصيتها السابقة (الفقرة 12) بأن توائم الدولة الطرف بصورة كاملة تشريعها بشأن التقادم مع التزاماتها بموجب الاتفاقية، وذلك بغية ملاحقة مرتكبي أعمال التعذيب قضائياً وإدانتهم بما يتناسب وخطورة الجرائم بدون قيود زمنية، وفقاً للمادة 4 من الاتفاقية.</w:t>
      </w:r>
    </w:p>
    <w:p w:rsidR="0086359D" w:rsidRPr="00953914" w:rsidRDefault="0084215A" w:rsidP="0084215A">
      <w:pPr>
        <w:pStyle w:val="H23GA"/>
        <w:rPr>
          <w:rFonts w:hint="cs"/>
          <w:rtl/>
        </w:rPr>
      </w:pPr>
      <w:r>
        <w:rPr>
          <w:rFonts w:hint="cs"/>
          <w:rtl/>
        </w:rPr>
        <w:tab/>
      </w:r>
      <w:r>
        <w:rPr>
          <w:rFonts w:hint="cs"/>
          <w:rtl/>
        </w:rPr>
        <w:tab/>
      </w:r>
      <w:r w:rsidR="0086359D" w:rsidRPr="00953914">
        <w:rPr>
          <w:rFonts w:hint="cs"/>
          <w:rtl/>
        </w:rPr>
        <w:t>عدم الإعادة القسرية والاحتجاز رهن الترحيل</w:t>
      </w:r>
    </w:p>
    <w:p w:rsidR="0086359D" w:rsidRPr="00FE4CB5" w:rsidRDefault="0084215A" w:rsidP="0084215A">
      <w:pPr>
        <w:pStyle w:val="SingleTxtGA"/>
        <w:rPr>
          <w:rFonts w:hint="cs"/>
          <w:rtl/>
        </w:rPr>
      </w:pPr>
      <w:r>
        <w:rPr>
          <w:rFonts w:hint="cs"/>
          <w:rtl/>
        </w:rPr>
        <w:t>9-</w:t>
      </w:r>
      <w:r>
        <w:rPr>
          <w:rFonts w:hint="cs"/>
          <w:rtl/>
        </w:rPr>
        <w:tab/>
      </w:r>
      <w:r w:rsidR="0086359D" w:rsidRPr="00FE4CB5">
        <w:rPr>
          <w:rFonts w:hint="cs"/>
          <w:rtl/>
        </w:rPr>
        <w:t xml:space="preserve">تعبّر اللجنة عن قلقها إزاء ما يلي: </w:t>
      </w:r>
    </w:p>
    <w:p w:rsidR="0086359D" w:rsidRPr="00FE4CB5" w:rsidRDefault="0084215A" w:rsidP="0084215A">
      <w:pPr>
        <w:pStyle w:val="SingleTxtGA"/>
        <w:rPr>
          <w:rFonts w:hint="cs"/>
          <w:rtl/>
        </w:rPr>
      </w:pPr>
      <w:r>
        <w:rPr>
          <w:rFonts w:hint="cs"/>
          <w:rtl/>
        </w:rPr>
        <w:tab/>
        <w:t>(أ)</w:t>
      </w:r>
      <w:r>
        <w:rPr>
          <w:rFonts w:hint="cs"/>
          <w:rtl/>
        </w:rPr>
        <w:tab/>
      </w:r>
      <w:r w:rsidR="0086359D" w:rsidRPr="00FE4CB5">
        <w:rPr>
          <w:rFonts w:hint="cs"/>
          <w:rtl/>
        </w:rPr>
        <w:t>إبقاء ملتمسي اللجوء الذين حكم عليهم بالترحيل محتجزين لفترات طويلة وفي بعض الحالات إلى أج</w:t>
      </w:r>
      <w:r w:rsidR="0086359D">
        <w:rPr>
          <w:rFonts w:hint="cs"/>
          <w:rtl/>
        </w:rPr>
        <w:t>ل غير محدد</w:t>
      </w:r>
      <w:r w:rsidR="0086359D" w:rsidRPr="00FE4CB5">
        <w:rPr>
          <w:rFonts w:hint="cs"/>
          <w:rtl/>
        </w:rPr>
        <w:t xml:space="preserve"> </w:t>
      </w:r>
      <w:r w:rsidR="0086359D">
        <w:rPr>
          <w:rFonts w:hint="cs"/>
          <w:rtl/>
        </w:rPr>
        <w:t>بموجب</w:t>
      </w:r>
      <w:r w:rsidR="0086359D" w:rsidRPr="00FE4CB5">
        <w:rPr>
          <w:rFonts w:hint="cs"/>
          <w:rtl/>
        </w:rPr>
        <w:t xml:space="preserve"> </w:t>
      </w:r>
      <w:r w:rsidR="0086359D" w:rsidRPr="00FE4CB5">
        <w:rPr>
          <w:rtl/>
        </w:rPr>
        <w:t>قانون مراقبة الهجرة والاعتراف باللاجئين</w:t>
      </w:r>
      <w:r w:rsidR="0086359D">
        <w:rPr>
          <w:rFonts w:hint="cs"/>
          <w:rtl/>
        </w:rPr>
        <w:t xml:space="preserve">، </w:t>
      </w:r>
      <w:r w:rsidR="0086359D" w:rsidRPr="00FE4CB5">
        <w:rPr>
          <w:rFonts w:hint="cs"/>
          <w:rtl/>
        </w:rPr>
        <w:t>فضلاً عن غياب استعراض مستقل لقرار ا</w:t>
      </w:r>
      <w:r w:rsidR="0086359D">
        <w:rPr>
          <w:rFonts w:hint="cs"/>
          <w:rtl/>
        </w:rPr>
        <w:t>لا</w:t>
      </w:r>
      <w:r>
        <w:rPr>
          <w:rFonts w:hint="cs"/>
          <w:rtl/>
        </w:rPr>
        <w:t>حتجاز</w:t>
      </w:r>
      <w:r w:rsidR="0086359D" w:rsidRPr="00FE4CB5">
        <w:rPr>
          <w:rFonts w:hint="cs"/>
          <w:rtl/>
        </w:rPr>
        <w:t>؛</w:t>
      </w:r>
    </w:p>
    <w:p w:rsidR="0086359D" w:rsidRPr="00FE4CB5" w:rsidRDefault="0084215A" w:rsidP="0084215A">
      <w:pPr>
        <w:pStyle w:val="SingleTxtGA"/>
        <w:rPr>
          <w:rFonts w:hint="cs"/>
          <w:rtl/>
        </w:rPr>
      </w:pPr>
      <w:r>
        <w:rPr>
          <w:rFonts w:hint="cs"/>
          <w:rtl/>
        </w:rPr>
        <w:tab/>
        <w:t>(ب)</w:t>
      </w:r>
      <w:r>
        <w:rPr>
          <w:rFonts w:hint="cs"/>
          <w:rtl/>
        </w:rPr>
        <w:tab/>
      </w:r>
      <w:r w:rsidR="0086359D">
        <w:rPr>
          <w:rFonts w:hint="cs"/>
          <w:rtl/>
        </w:rPr>
        <w:t>الاستخدام المحدود</w:t>
      </w:r>
      <w:r w:rsidR="0086359D" w:rsidRPr="00FE4CB5">
        <w:rPr>
          <w:rFonts w:hint="cs"/>
          <w:rtl/>
        </w:rPr>
        <w:t xml:space="preserve"> </w:t>
      </w:r>
      <w:r w:rsidR="0086359D">
        <w:rPr>
          <w:rFonts w:hint="cs"/>
          <w:rtl/>
        </w:rPr>
        <w:t>ل</w:t>
      </w:r>
      <w:r w:rsidR="0086359D" w:rsidRPr="00FE4CB5">
        <w:rPr>
          <w:rFonts w:hint="cs"/>
          <w:rtl/>
        </w:rPr>
        <w:t>بدائل الاحتجاز لملتمسي اللجوء؛</w:t>
      </w:r>
    </w:p>
    <w:p w:rsidR="0086359D" w:rsidRPr="00FE4CB5" w:rsidRDefault="0084215A" w:rsidP="0084215A">
      <w:pPr>
        <w:pStyle w:val="SingleTxtGA"/>
        <w:rPr>
          <w:rFonts w:hint="cs"/>
          <w:rtl/>
          <w:lang/>
        </w:rPr>
      </w:pPr>
      <w:r>
        <w:rPr>
          <w:rFonts w:hint="cs"/>
          <w:rtl/>
        </w:rPr>
        <w:tab/>
        <w:t>(ج)</w:t>
      </w:r>
      <w:r>
        <w:rPr>
          <w:rFonts w:hint="cs"/>
          <w:rtl/>
        </w:rPr>
        <w:tab/>
      </w:r>
      <w:r w:rsidR="0086359D">
        <w:rPr>
          <w:rFonts w:hint="cs"/>
          <w:rtl/>
        </w:rPr>
        <w:t>افتقار</w:t>
      </w:r>
      <w:r w:rsidR="0086359D" w:rsidRPr="00953914">
        <w:rPr>
          <w:rFonts w:hint="cs"/>
          <w:rtl/>
        </w:rPr>
        <w:t xml:space="preserve"> </w:t>
      </w:r>
      <w:r w:rsidR="0086359D" w:rsidRPr="00FE4CB5">
        <w:rPr>
          <w:rFonts w:hint="cs"/>
          <w:rtl/>
        </w:rPr>
        <w:t xml:space="preserve">لجنة </w:t>
      </w:r>
      <w:r w:rsidR="0086359D" w:rsidRPr="00FE4CB5">
        <w:rPr>
          <w:rFonts w:hint="cs"/>
          <w:rtl/>
          <w:lang/>
        </w:rPr>
        <w:t>زيارة مرافق احتجاز المهاجرين</w:t>
      </w:r>
      <w:r w:rsidR="0086359D" w:rsidRPr="00FE4CB5">
        <w:rPr>
          <w:rFonts w:hint="cs"/>
          <w:rtl/>
        </w:rPr>
        <w:t xml:space="preserve"> </w:t>
      </w:r>
      <w:r w:rsidR="0086359D">
        <w:rPr>
          <w:rFonts w:hint="cs"/>
          <w:rtl/>
        </w:rPr>
        <w:t xml:space="preserve">إلى الموارد والسلطة </w:t>
      </w:r>
      <w:r w:rsidR="0086359D" w:rsidRPr="00FE4CB5">
        <w:rPr>
          <w:rFonts w:hint="cs"/>
          <w:rtl/>
          <w:lang/>
        </w:rPr>
        <w:t xml:space="preserve">للاضطلاع فعلياً بولايتها، فضلاً عن </w:t>
      </w:r>
      <w:r w:rsidR="0086359D">
        <w:rPr>
          <w:rFonts w:hint="cs"/>
          <w:rtl/>
          <w:lang/>
        </w:rPr>
        <w:t xml:space="preserve">تولي </w:t>
      </w:r>
      <w:r w:rsidR="0086359D" w:rsidRPr="00FE4CB5">
        <w:rPr>
          <w:rFonts w:hint="cs"/>
          <w:rtl/>
          <w:lang/>
        </w:rPr>
        <w:t>وزارة العدل ومكتب الهجرة</w:t>
      </w:r>
      <w:r w:rsidR="0086359D">
        <w:rPr>
          <w:rFonts w:hint="cs"/>
          <w:rtl/>
          <w:lang/>
        </w:rPr>
        <w:t xml:space="preserve"> تعيين أعضائها</w:t>
      </w:r>
      <w:r w:rsidR="0086359D" w:rsidRPr="00FE4CB5">
        <w:rPr>
          <w:rFonts w:hint="cs"/>
          <w:rtl/>
          <w:lang/>
        </w:rPr>
        <w:t>؛</w:t>
      </w:r>
    </w:p>
    <w:p w:rsidR="0086359D" w:rsidRPr="00FE4CB5" w:rsidRDefault="0084215A" w:rsidP="0084215A">
      <w:pPr>
        <w:pStyle w:val="SingleTxtGA"/>
        <w:rPr>
          <w:rFonts w:hint="cs"/>
          <w:rtl/>
          <w:lang/>
        </w:rPr>
      </w:pPr>
      <w:r>
        <w:rPr>
          <w:rFonts w:hint="cs"/>
          <w:rtl/>
          <w:lang/>
        </w:rPr>
        <w:tab/>
        <w:t>(د)</w:t>
      </w:r>
      <w:r>
        <w:rPr>
          <w:rFonts w:hint="cs"/>
          <w:rtl/>
          <w:lang/>
        </w:rPr>
        <w:tab/>
      </w:r>
      <w:r w:rsidR="0086359D" w:rsidRPr="00FE4CB5">
        <w:rPr>
          <w:rFonts w:hint="cs"/>
          <w:rtl/>
          <w:lang/>
        </w:rPr>
        <w:t>احتجاز أطفال بدون مرافق في مراكز تقديم المشورة للأطفال التي تكون غالباً مكتظّة وتفتقر إلى الموارد اللازمة</w:t>
      </w:r>
      <w:r w:rsidR="0086359D">
        <w:rPr>
          <w:rFonts w:hint="cs"/>
          <w:rtl/>
          <w:lang/>
        </w:rPr>
        <w:t xml:space="preserve"> للاستعانة</w:t>
      </w:r>
      <w:r w:rsidR="0086359D" w:rsidRPr="00FE4CB5">
        <w:rPr>
          <w:rFonts w:hint="cs"/>
          <w:rtl/>
          <w:lang/>
        </w:rPr>
        <w:t xml:space="preserve"> </w:t>
      </w:r>
      <w:r w:rsidR="0086359D">
        <w:rPr>
          <w:rFonts w:hint="cs"/>
          <w:rtl/>
          <w:lang/>
        </w:rPr>
        <w:t>ب</w:t>
      </w:r>
      <w:r w:rsidR="0086359D" w:rsidRPr="00FE4CB5">
        <w:rPr>
          <w:rFonts w:hint="cs"/>
          <w:rtl/>
          <w:lang/>
        </w:rPr>
        <w:t xml:space="preserve">مترجمين </w:t>
      </w:r>
      <w:r w:rsidR="0086359D">
        <w:rPr>
          <w:rFonts w:hint="cs"/>
          <w:rtl/>
          <w:lang/>
        </w:rPr>
        <w:t>شفويين</w:t>
      </w:r>
      <w:r w:rsidR="0086359D" w:rsidRPr="00FE4CB5">
        <w:rPr>
          <w:rFonts w:hint="cs"/>
          <w:rtl/>
          <w:lang/>
        </w:rPr>
        <w:t>؛</w:t>
      </w:r>
    </w:p>
    <w:p w:rsidR="0086359D" w:rsidRPr="00FE4CB5" w:rsidRDefault="0084215A" w:rsidP="0084215A">
      <w:pPr>
        <w:pStyle w:val="SingleTxtGA"/>
        <w:rPr>
          <w:rFonts w:hint="cs"/>
          <w:rtl/>
          <w:lang/>
        </w:rPr>
      </w:pPr>
      <w:r>
        <w:rPr>
          <w:rFonts w:hint="cs"/>
          <w:rtl/>
          <w:lang/>
        </w:rPr>
        <w:tab/>
      </w:r>
      <w:r w:rsidR="0086359D" w:rsidRPr="00FE4CB5">
        <w:rPr>
          <w:rFonts w:hint="cs"/>
          <w:rtl/>
          <w:lang/>
        </w:rPr>
        <w:t>(ه</w:t>
      </w:r>
      <w:r>
        <w:rPr>
          <w:rFonts w:hint="cs"/>
          <w:rtl/>
          <w:lang/>
        </w:rPr>
        <w:t>‍(</w:t>
      </w:r>
      <w:r>
        <w:rPr>
          <w:rFonts w:hint="cs"/>
          <w:rtl/>
          <w:lang/>
        </w:rPr>
        <w:tab/>
      </w:r>
      <w:r w:rsidR="0086359D" w:rsidRPr="00FE4CB5">
        <w:rPr>
          <w:rFonts w:hint="cs"/>
          <w:rtl/>
          <w:lang/>
        </w:rPr>
        <w:t>عدم تنفيذ المادة 53(3) من قانون مراقبة ال</w:t>
      </w:r>
      <w:r w:rsidR="00AE5EDE">
        <w:rPr>
          <w:rFonts w:hint="cs"/>
          <w:rtl/>
          <w:lang/>
        </w:rPr>
        <w:t>هجرة والاعتراف باللاجئين تنفيذاً</w:t>
      </w:r>
      <w:r w:rsidR="0086359D" w:rsidRPr="00FE4CB5">
        <w:rPr>
          <w:rFonts w:hint="cs"/>
          <w:rtl/>
          <w:lang/>
        </w:rPr>
        <w:t xml:space="preserve"> فعلياً</w:t>
      </w:r>
      <w:r w:rsidR="0086359D">
        <w:rPr>
          <w:rFonts w:hint="cs"/>
          <w:rtl/>
          <w:lang/>
        </w:rPr>
        <w:t>، والتي تحظر</w:t>
      </w:r>
      <w:r w:rsidR="0086359D" w:rsidRPr="00FE4CB5">
        <w:rPr>
          <w:rFonts w:hint="cs"/>
          <w:rtl/>
          <w:lang/>
        </w:rPr>
        <w:t xml:space="preserve"> نقل شخص إلى أي بلد قد يتعرض فيه إلى التعذيب،</w:t>
      </w:r>
      <w:r w:rsidR="0086359D">
        <w:rPr>
          <w:rFonts w:hint="cs"/>
          <w:rtl/>
          <w:lang/>
        </w:rPr>
        <w:t xml:space="preserve"> على نحو ما تنص عليه </w:t>
      </w:r>
      <w:r w:rsidR="0086359D" w:rsidRPr="00FE4CB5">
        <w:rPr>
          <w:rFonts w:hint="cs"/>
          <w:rtl/>
          <w:lang/>
        </w:rPr>
        <w:t>المادة 3 من الاتفاقية (المواد 3 و11 و16).</w:t>
      </w:r>
    </w:p>
    <w:p w:rsidR="0086359D" w:rsidRPr="0084215A" w:rsidRDefault="0084215A" w:rsidP="0084215A">
      <w:pPr>
        <w:pStyle w:val="SingleTxtGA"/>
        <w:rPr>
          <w:rFonts w:hint="cs"/>
          <w:b/>
          <w:bCs/>
          <w:rtl/>
        </w:rPr>
      </w:pPr>
      <w:r w:rsidRPr="0084215A">
        <w:rPr>
          <w:rFonts w:hint="cs"/>
          <w:b/>
          <w:bCs/>
          <w:rtl/>
          <w:lang/>
        </w:rPr>
        <w:tab/>
      </w:r>
      <w:r w:rsidR="0086359D" w:rsidRPr="0084215A">
        <w:rPr>
          <w:rFonts w:hint="cs"/>
          <w:b/>
          <w:bCs/>
          <w:rtl/>
          <w:lang/>
        </w:rPr>
        <w:t>في ضوء التوصيات التي قدمتها اللجنة سابقاً (الفقرة 14) وتوصيات المقرر الخاص المعني بحقوق الإنسان للمهاجرين عقب بعثته إلى اليابان في عام 2011 (</w:t>
      </w:r>
      <w:r w:rsidR="0086359D" w:rsidRPr="0084215A">
        <w:rPr>
          <w:b/>
          <w:bCs/>
          <w:lang/>
        </w:rPr>
        <w:t>A/HRC/17/33/Add.3</w:t>
      </w:r>
      <w:r w:rsidR="0086359D" w:rsidRPr="0084215A">
        <w:rPr>
          <w:rFonts w:hint="cs"/>
          <w:b/>
          <w:bCs/>
          <w:rtl/>
        </w:rPr>
        <w:t xml:space="preserve">، الفقرة 82)، يتعين على الدولة الطرف القيام بما يلي: </w:t>
      </w:r>
    </w:p>
    <w:p w:rsidR="0086359D" w:rsidRPr="0084215A" w:rsidRDefault="0084215A" w:rsidP="0084215A">
      <w:pPr>
        <w:pStyle w:val="SingleTxtGA"/>
        <w:rPr>
          <w:rFonts w:hint="cs"/>
          <w:b/>
          <w:bCs/>
          <w:lang/>
        </w:rPr>
      </w:pPr>
      <w:r w:rsidRPr="0084215A">
        <w:rPr>
          <w:rFonts w:hint="cs"/>
          <w:b/>
          <w:bCs/>
          <w:rtl/>
        </w:rPr>
        <w:tab/>
        <w:t>(أ)</w:t>
      </w:r>
      <w:r w:rsidRPr="0084215A">
        <w:rPr>
          <w:rFonts w:hint="cs"/>
          <w:b/>
          <w:bCs/>
          <w:rtl/>
        </w:rPr>
        <w:tab/>
      </w:r>
      <w:r w:rsidR="0086359D" w:rsidRPr="0084215A">
        <w:rPr>
          <w:rFonts w:hint="cs"/>
          <w:b/>
          <w:bCs/>
          <w:rtl/>
        </w:rPr>
        <w:t>مواصلة جهودها لمواءمة</w:t>
      </w:r>
      <w:r w:rsidR="00826260">
        <w:rPr>
          <w:rFonts w:hint="cs"/>
          <w:b/>
          <w:bCs/>
          <w:rtl/>
        </w:rPr>
        <w:t xml:space="preserve"> </w:t>
      </w:r>
      <w:r w:rsidR="0086359D" w:rsidRPr="0084215A">
        <w:rPr>
          <w:rFonts w:hint="cs"/>
          <w:b/>
          <w:bCs/>
          <w:rtl/>
        </w:rPr>
        <w:t>كل التشريعات والممارسات المتعلقة باحتجاز المهاجرين أو ملتمسي اللجوء وترحيلهم مع ال</w:t>
      </w:r>
      <w:r w:rsidR="0086359D" w:rsidRPr="0084215A">
        <w:rPr>
          <w:rFonts w:hint="cs"/>
          <w:b/>
          <w:bCs/>
          <w:rtl/>
          <w:lang/>
        </w:rPr>
        <w:t xml:space="preserve">مبدأ المطلق لعدم الإعادة القسرية بموجب المادة 3 من الاتفاقية؛ </w:t>
      </w:r>
    </w:p>
    <w:p w:rsidR="0086359D" w:rsidRPr="0084215A" w:rsidRDefault="0084215A" w:rsidP="0084215A">
      <w:pPr>
        <w:pStyle w:val="SingleTxtGA"/>
        <w:rPr>
          <w:rFonts w:hint="cs"/>
          <w:b/>
          <w:bCs/>
          <w:lang/>
        </w:rPr>
      </w:pPr>
      <w:r w:rsidRPr="0084215A">
        <w:rPr>
          <w:rFonts w:hint="cs"/>
          <w:b/>
          <w:bCs/>
          <w:rtl/>
          <w:lang/>
        </w:rPr>
        <w:tab/>
        <w:t>(ب)</w:t>
      </w:r>
      <w:r w:rsidRPr="0084215A">
        <w:rPr>
          <w:rFonts w:hint="cs"/>
          <w:b/>
          <w:bCs/>
          <w:rtl/>
          <w:lang/>
        </w:rPr>
        <w:tab/>
      </w:r>
      <w:r w:rsidR="0086359D" w:rsidRPr="0084215A">
        <w:rPr>
          <w:rFonts w:hint="cs"/>
          <w:b/>
          <w:bCs/>
          <w:rtl/>
          <w:lang/>
        </w:rPr>
        <w:t>ضمان عدم اللجوء إلى حجز ملتمسي اللجوء إلا كملاذ أخير، وعند الضرورة، على أن يكون ذلك لأقصر فترة ممكنة، وتحديد الحد الأقصى لفترة احتجاز المهاجرين رهن الترحيل؛</w:t>
      </w:r>
    </w:p>
    <w:p w:rsidR="0086359D" w:rsidRPr="0084215A" w:rsidRDefault="0084215A" w:rsidP="0084215A">
      <w:pPr>
        <w:pStyle w:val="SingleTxtGA"/>
        <w:rPr>
          <w:rFonts w:hint="cs"/>
          <w:b/>
          <w:bCs/>
          <w:rtl/>
          <w:lang/>
        </w:rPr>
      </w:pPr>
      <w:r w:rsidRPr="0084215A">
        <w:rPr>
          <w:rFonts w:hint="cs"/>
          <w:b/>
          <w:bCs/>
          <w:rtl/>
          <w:lang/>
        </w:rPr>
        <w:tab/>
        <w:t>(ج)</w:t>
      </w:r>
      <w:r w:rsidRPr="0084215A">
        <w:rPr>
          <w:rFonts w:hint="cs"/>
          <w:b/>
          <w:bCs/>
          <w:rtl/>
          <w:lang/>
        </w:rPr>
        <w:tab/>
      </w:r>
      <w:r w:rsidR="0086359D" w:rsidRPr="0084215A">
        <w:rPr>
          <w:rFonts w:hint="cs"/>
          <w:b/>
          <w:bCs/>
          <w:rtl/>
          <w:lang/>
        </w:rPr>
        <w:t>اللجوء إلى المزيد من بدائل الاحتجاز وفق ما ينص عليه قانون مراقبة الهجرة والاعتراف باللاجئين؛</w:t>
      </w:r>
    </w:p>
    <w:p w:rsidR="0086359D" w:rsidRPr="0084215A" w:rsidRDefault="0084215A" w:rsidP="0084215A">
      <w:pPr>
        <w:pStyle w:val="SingleTxtGA"/>
        <w:rPr>
          <w:rFonts w:hint="cs"/>
          <w:b/>
          <w:bCs/>
          <w:rtl/>
          <w:lang/>
        </w:rPr>
      </w:pPr>
      <w:r w:rsidRPr="0084215A">
        <w:rPr>
          <w:rFonts w:hint="cs"/>
          <w:b/>
          <w:bCs/>
          <w:rtl/>
          <w:lang/>
        </w:rPr>
        <w:tab/>
        <w:t>(د)</w:t>
      </w:r>
      <w:r w:rsidRPr="0084215A">
        <w:rPr>
          <w:rFonts w:hint="cs"/>
          <w:b/>
          <w:bCs/>
          <w:rtl/>
          <w:lang/>
        </w:rPr>
        <w:tab/>
      </w:r>
      <w:r w:rsidR="0086359D" w:rsidRPr="0084215A">
        <w:rPr>
          <w:rFonts w:hint="cs"/>
          <w:b/>
          <w:bCs/>
          <w:rtl/>
          <w:lang/>
        </w:rPr>
        <w:t xml:space="preserve">تعزيز استقلالية وسلطة وفعالية لجنة زيارة مرافق احتجاز المهاجرين عبر جملة وسائل منها توفير الموارد والسلطة المناسبة لضمان رصد مراكز الاحتجاز بفعالية والسماح لها بتلقي واستعراض الشكاوى من المهاجرين أو ملتمسي اللجوء المحتجزين؛ </w:t>
      </w:r>
    </w:p>
    <w:p w:rsidR="0086359D" w:rsidRPr="0084215A" w:rsidRDefault="0084215A" w:rsidP="0084215A">
      <w:pPr>
        <w:pStyle w:val="SingleTxtGA"/>
        <w:rPr>
          <w:rFonts w:hint="cs"/>
          <w:b/>
          <w:bCs/>
          <w:rtl/>
        </w:rPr>
      </w:pPr>
      <w:r w:rsidRPr="0084215A">
        <w:rPr>
          <w:rFonts w:hint="cs"/>
          <w:b/>
          <w:bCs/>
          <w:rtl/>
          <w:lang/>
        </w:rPr>
        <w:tab/>
      </w:r>
      <w:r w:rsidR="0086359D" w:rsidRPr="0084215A">
        <w:rPr>
          <w:rFonts w:hint="cs"/>
          <w:b/>
          <w:bCs/>
          <w:rtl/>
          <w:lang/>
        </w:rPr>
        <w:t>(ه</w:t>
      </w:r>
      <w:r w:rsidRPr="0084215A">
        <w:rPr>
          <w:rFonts w:hint="cs"/>
          <w:b/>
          <w:bCs/>
          <w:rtl/>
          <w:lang/>
        </w:rPr>
        <w:t>‍(</w:t>
      </w:r>
      <w:r w:rsidRPr="0084215A">
        <w:rPr>
          <w:rFonts w:hint="cs"/>
          <w:b/>
          <w:bCs/>
          <w:rtl/>
          <w:lang/>
        </w:rPr>
        <w:tab/>
      </w:r>
      <w:r w:rsidR="0086359D" w:rsidRPr="0084215A">
        <w:rPr>
          <w:rFonts w:hint="cs"/>
          <w:b/>
          <w:bCs/>
          <w:rtl/>
          <w:lang/>
        </w:rPr>
        <w:t xml:space="preserve">النظر في </w:t>
      </w:r>
      <w:r w:rsidR="0086359D" w:rsidRPr="0084215A">
        <w:rPr>
          <w:rFonts w:hint="cs"/>
          <w:b/>
          <w:bCs/>
          <w:rtl/>
        </w:rPr>
        <w:t xml:space="preserve">الانضمام إلى اتفاقية عام 1954 المتعلقة بوضع الأشخاص عديمي الجنسية واتفاقية عام 1961 بشأن خفض عدد الأشخاص عديمي الجنسية. </w:t>
      </w:r>
    </w:p>
    <w:p w:rsidR="0086359D" w:rsidRPr="00205CDE" w:rsidRDefault="0084215A" w:rsidP="0067717C">
      <w:pPr>
        <w:pStyle w:val="H23GA"/>
        <w:rPr>
          <w:rFonts w:hint="cs"/>
          <w:rtl/>
        </w:rPr>
      </w:pPr>
      <w:r>
        <w:rPr>
          <w:rFonts w:hint="cs"/>
          <w:rtl/>
        </w:rPr>
        <w:tab/>
      </w:r>
      <w:r>
        <w:rPr>
          <w:rFonts w:hint="cs"/>
          <w:rtl/>
        </w:rPr>
        <w:tab/>
      </w:r>
      <w:r w:rsidR="0086359D" w:rsidRPr="00205CDE">
        <w:rPr>
          <w:rFonts w:hint="cs"/>
          <w:rtl/>
        </w:rPr>
        <w:t>نظام الاحتجاز البديل (</w:t>
      </w:r>
      <w:r w:rsidR="0086359D" w:rsidRPr="00205CDE">
        <w:t>Daiyo</w:t>
      </w:r>
      <w:r w:rsidR="000A7D0E">
        <w:t> </w:t>
      </w:r>
      <w:r w:rsidR="0086359D" w:rsidRPr="00205CDE">
        <w:t>Kangoku</w:t>
      </w:r>
      <w:r w:rsidR="0086359D" w:rsidRPr="00205CDE">
        <w:rPr>
          <w:rFonts w:hint="cs"/>
          <w:rtl/>
        </w:rPr>
        <w:t>)</w:t>
      </w:r>
    </w:p>
    <w:p w:rsidR="0086359D" w:rsidRPr="00582B40" w:rsidRDefault="00716B3B" w:rsidP="00664EEC">
      <w:pPr>
        <w:pStyle w:val="SingleTxtGA"/>
        <w:rPr>
          <w:rFonts w:hint="cs"/>
          <w:spacing w:val="-3"/>
          <w:rtl/>
        </w:rPr>
      </w:pPr>
      <w:r w:rsidRPr="00582B40">
        <w:rPr>
          <w:rFonts w:hint="cs"/>
          <w:spacing w:val="-3"/>
          <w:rtl/>
        </w:rPr>
        <w:t>10-</w:t>
      </w:r>
      <w:r w:rsidRPr="00582B40">
        <w:rPr>
          <w:rFonts w:hint="cs"/>
          <w:spacing w:val="-3"/>
          <w:rtl/>
        </w:rPr>
        <w:tab/>
      </w:r>
      <w:r w:rsidR="0086359D" w:rsidRPr="00582B40">
        <w:rPr>
          <w:rFonts w:hint="cs"/>
          <w:spacing w:val="-3"/>
          <w:rtl/>
        </w:rPr>
        <w:t xml:space="preserve">بينما تلاحظ اللجنة الفصل رسمياً بين وظائف الشرطة </w:t>
      </w:r>
      <w:r w:rsidR="005B4839">
        <w:rPr>
          <w:rFonts w:hint="cs"/>
          <w:spacing w:val="-3"/>
          <w:rtl/>
        </w:rPr>
        <w:t>فيما</w:t>
      </w:r>
      <w:r w:rsidR="0086359D" w:rsidRPr="00582B40">
        <w:rPr>
          <w:rFonts w:hint="cs"/>
          <w:spacing w:val="-3"/>
          <w:rtl/>
        </w:rPr>
        <w:t xml:space="preserve"> يتعلق بالتحقيق والاحتجاز بموجب القانون الخاص بمرافق الاعتقال ومعاملة السجناء والموقوفين، تعرب اللجنة عن قلقها الشديد إزاء نقص الضمانات في نظام الاحتجاز البديل</w:t>
      </w:r>
      <w:r w:rsidR="00826260" w:rsidRPr="00582B40">
        <w:rPr>
          <w:rFonts w:hint="cs"/>
          <w:spacing w:val="-3"/>
          <w:rtl/>
        </w:rPr>
        <w:t xml:space="preserve"> </w:t>
      </w:r>
      <w:r w:rsidR="0086359D" w:rsidRPr="00582B40">
        <w:rPr>
          <w:spacing w:val="-3"/>
        </w:rPr>
        <w:t>Daiyo</w:t>
      </w:r>
      <w:r w:rsidR="00664EEC">
        <w:rPr>
          <w:spacing w:val="-3"/>
        </w:rPr>
        <w:t> </w:t>
      </w:r>
      <w:r w:rsidR="0086359D" w:rsidRPr="00582B40">
        <w:rPr>
          <w:spacing w:val="-3"/>
        </w:rPr>
        <w:t>Kangoku</w:t>
      </w:r>
      <w:r w:rsidR="0086359D" w:rsidRPr="00582B40">
        <w:rPr>
          <w:rFonts w:hint="cs"/>
          <w:spacing w:val="-3"/>
          <w:rtl/>
        </w:rPr>
        <w:t xml:space="preserve"> الذي يحدّ من وفاء الدولة الطرف بالتزاماتها بموجب الاتفاقية. وعلى وجه الخصوص، تأسف اللجنة أسفاً شديداً لإمكانية احتجاز المشتبه بهم في زنزانات الشرطة لفترة تصل 23 يوماً بموجب هذا النظام، ومحدودية فرص حصولهم على محامٍ لا</w:t>
      </w:r>
      <w:r w:rsidR="00AE5EDE">
        <w:rPr>
          <w:rFonts w:hint="eastAsia"/>
          <w:spacing w:val="-3"/>
          <w:rtl/>
        </w:rPr>
        <w:t> </w:t>
      </w:r>
      <w:r w:rsidR="0086359D" w:rsidRPr="00582B40">
        <w:rPr>
          <w:rFonts w:hint="cs"/>
          <w:spacing w:val="-3"/>
          <w:rtl/>
        </w:rPr>
        <w:t>سيما خلال أول 72 ساعة من الاعتقال في زنزانات الشرطة وعدم توافر فرص الإفراج بكفالة. فنقص المراقبة القضائية الفعالة على</w:t>
      </w:r>
      <w:r w:rsidR="00664EEC">
        <w:rPr>
          <w:rFonts w:hint="cs"/>
          <w:spacing w:val="-3"/>
          <w:rtl/>
        </w:rPr>
        <w:t xml:space="preserve"> </w:t>
      </w:r>
      <w:r w:rsidR="0086359D" w:rsidRPr="00582B40">
        <w:rPr>
          <w:rFonts w:hint="cs"/>
          <w:spacing w:val="-3"/>
          <w:rtl/>
        </w:rPr>
        <w:t>الحبس الاحتياطي في زنزانات الشرطة وغياب آلية تفتيش وتقديم شكاوى مستقلة، يشكلان مصدر قلق بالغ للجنة. وفضلاً عن ذلك، تأسف اللجنة لموقف الدولة الطرف التي ترى أنه من غير الضروري إلغاء نظام</w:t>
      </w:r>
      <w:r w:rsidR="00D34852">
        <w:rPr>
          <w:rFonts w:hint="cs"/>
          <w:spacing w:val="-3"/>
          <w:rtl/>
        </w:rPr>
        <w:t xml:space="preserve"> </w:t>
      </w:r>
      <w:r w:rsidR="0086359D" w:rsidRPr="00582B40">
        <w:rPr>
          <w:rFonts w:hint="cs"/>
          <w:spacing w:val="-3"/>
          <w:rtl/>
        </w:rPr>
        <w:t>الحبس الاحتياطي أو إصلاحه (</w:t>
      </w:r>
      <w:r w:rsidR="0086359D" w:rsidRPr="00582B40">
        <w:rPr>
          <w:spacing w:val="-3"/>
        </w:rPr>
        <w:t>A/HRC/22/14/Add.1</w:t>
      </w:r>
      <w:r w:rsidR="0086359D" w:rsidRPr="00582B40">
        <w:rPr>
          <w:rFonts w:hint="cs"/>
          <w:spacing w:val="-3"/>
          <w:rtl/>
        </w:rPr>
        <w:t>، الفقرة 147</w:t>
      </w:r>
      <w:r w:rsidR="00582B40" w:rsidRPr="00582B40">
        <w:rPr>
          <w:rFonts w:hint="cs"/>
          <w:spacing w:val="-3"/>
          <w:rtl/>
        </w:rPr>
        <w:t>-</w:t>
      </w:r>
      <w:r w:rsidR="0086359D" w:rsidRPr="00582B40">
        <w:rPr>
          <w:rFonts w:hint="cs"/>
          <w:spacing w:val="-3"/>
          <w:rtl/>
        </w:rPr>
        <w:t>116) (المادتان</w:t>
      </w:r>
      <w:r w:rsidR="00D34852">
        <w:rPr>
          <w:rFonts w:hint="eastAsia"/>
          <w:spacing w:val="-3"/>
          <w:rtl/>
        </w:rPr>
        <w:t> </w:t>
      </w:r>
      <w:r w:rsidR="0086359D" w:rsidRPr="00582B40">
        <w:rPr>
          <w:rFonts w:hint="cs"/>
          <w:spacing w:val="-3"/>
          <w:rtl/>
        </w:rPr>
        <w:t xml:space="preserve">2 و6). </w:t>
      </w:r>
    </w:p>
    <w:p w:rsidR="0086359D" w:rsidRPr="00716B3B" w:rsidRDefault="00716B3B" w:rsidP="00716B3B">
      <w:pPr>
        <w:pStyle w:val="SingleTxtGA"/>
        <w:rPr>
          <w:rFonts w:hint="cs"/>
          <w:b/>
          <w:bCs/>
          <w:rtl/>
        </w:rPr>
      </w:pPr>
      <w:r w:rsidRPr="00716B3B">
        <w:rPr>
          <w:rFonts w:hint="cs"/>
          <w:b/>
          <w:bCs/>
          <w:rtl/>
        </w:rPr>
        <w:tab/>
      </w:r>
      <w:r w:rsidR="0086359D" w:rsidRPr="00716B3B">
        <w:rPr>
          <w:rFonts w:hint="cs"/>
          <w:b/>
          <w:bCs/>
          <w:rtl/>
        </w:rPr>
        <w:t>تكرر اللجنة توصياتها السابقة (الفقرة 15) بأنّه يتعين على الدولة الطرف القيام بما يلي:</w:t>
      </w:r>
    </w:p>
    <w:p w:rsidR="0086359D" w:rsidRPr="00716B3B" w:rsidRDefault="00716B3B" w:rsidP="00716B3B">
      <w:pPr>
        <w:pStyle w:val="SingleTxtGA"/>
        <w:rPr>
          <w:rFonts w:hint="cs"/>
          <w:b/>
          <w:bCs/>
          <w:rtl/>
        </w:rPr>
      </w:pPr>
      <w:r w:rsidRPr="00716B3B">
        <w:rPr>
          <w:rFonts w:hint="cs"/>
          <w:b/>
          <w:bCs/>
          <w:rtl/>
        </w:rPr>
        <w:tab/>
        <w:t>(أ)</w:t>
      </w:r>
      <w:r w:rsidRPr="00716B3B">
        <w:rPr>
          <w:rFonts w:hint="cs"/>
          <w:b/>
          <w:bCs/>
          <w:rtl/>
        </w:rPr>
        <w:tab/>
      </w:r>
      <w:r w:rsidR="0086359D" w:rsidRPr="00716B3B">
        <w:rPr>
          <w:rFonts w:hint="cs"/>
          <w:b/>
          <w:bCs/>
          <w:rtl/>
        </w:rPr>
        <w:t>اتخاذ التدابير التشريعية وسواها من التدابير لضمان الفصل</w:t>
      </w:r>
      <w:r w:rsidR="00826260">
        <w:rPr>
          <w:rFonts w:hint="cs"/>
          <w:b/>
          <w:bCs/>
          <w:rtl/>
        </w:rPr>
        <w:t xml:space="preserve"> </w:t>
      </w:r>
      <w:r w:rsidR="0086359D" w:rsidRPr="00716B3B">
        <w:rPr>
          <w:rFonts w:hint="cs"/>
          <w:b/>
          <w:bCs/>
          <w:rtl/>
        </w:rPr>
        <w:t>في الممارسة بين وظائف التحقيق والاحتجاز؛</w:t>
      </w:r>
    </w:p>
    <w:p w:rsidR="0086359D" w:rsidRPr="00716B3B" w:rsidRDefault="00716B3B" w:rsidP="00716B3B">
      <w:pPr>
        <w:pStyle w:val="SingleTxtGA"/>
        <w:rPr>
          <w:rFonts w:hint="cs"/>
          <w:b/>
          <w:bCs/>
        </w:rPr>
      </w:pPr>
      <w:r w:rsidRPr="00716B3B">
        <w:rPr>
          <w:rFonts w:hint="cs"/>
          <w:b/>
          <w:bCs/>
          <w:rtl/>
        </w:rPr>
        <w:tab/>
        <w:t>(ب)</w:t>
      </w:r>
      <w:r w:rsidRPr="00716B3B">
        <w:rPr>
          <w:rFonts w:hint="cs"/>
          <w:b/>
          <w:bCs/>
          <w:rtl/>
        </w:rPr>
        <w:tab/>
      </w:r>
      <w:r w:rsidR="0086359D" w:rsidRPr="00716B3B">
        <w:rPr>
          <w:rFonts w:hint="cs"/>
          <w:b/>
          <w:bCs/>
          <w:rtl/>
        </w:rPr>
        <w:t>تحديد الفترة القصوى لإبقاء المحتجزين في مراكز احتجاز الشرطة؛</w:t>
      </w:r>
    </w:p>
    <w:p w:rsidR="0086359D" w:rsidRPr="00716B3B" w:rsidRDefault="00716B3B" w:rsidP="00716B3B">
      <w:pPr>
        <w:pStyle w:val="SingleTxtGA"/>
        <w:rPr>
          <w:rFonts w:hint="cs"/>
          <w:b/>
          <w:bCs/>
          <w:rtl/>
        </w:rPr>
      </w:pPr>
      <w:r w:rsidRPr="00716B3B">
        <w:rPr>
          <w:rFonts w:hint="cs"/>
          <w:b/>
          <w:bCs/>
          <w:rtl/>
        </w:rPr>
        <w:tab/>
        <w:t>(ج)</w:t>
      </w:r>
      <w:r w:rsidRPr="00716B3B">
        <w:rPr>
          <w:rFonts w:hint="cs"/>
          <w:b/>
          <w:bCs/>
          <w:rtl/>
        </w:rPr>
        <w:tab/>
      </w:r>
      <w:r w:rsidR="0086359D" w:rsidRPr="00716B3B">
        <w:rPr>
          <w:rFonts w:hint="cs"/>
          <w:b/>
          <w:bCs/>
          <w:rtl/>
        </w:rPr>
        <w:t>ضمان كافة الضمانات القانونية الأساسية لجميع المشتبه بهم رهن الحبس الاحتياطي، بما في ذلك الحق بالاتصال بمحام بسرية تامة طيلة عملية الاستجواب، والحق في المساعدة القانونية بدءاً من لحظة الاعتقال والاطلاع على كافة سجلات الشرطة المتعلقة بقضيتهم، فضلاً عن الحق</w:t>
      </w:r>
      <w:r w:rsidR="00826260">
        <w:rPr>
          <w:rFonts w:hint="cs"/>
          <w:b/>
          <w:bCs/>
          <w:rtl/>
        </w:rPr>
        <w:t xml:space="preserve"> </w:t>
      </w:r>
      <w:r w:rsidR="0086359D" w:rsidRPr="00716B3B">
        <w:rPr>
          <w:rFonts w:hint="cs"/>
          <w:b/>
          <w:bCs/>
          <w:rtl/>
        </w:rPr>
        <w:t>في الحصول على المساعدة الطبية المستقلة والاتصال بالأقارب؛</w:t>
      </w:r>
    </w:p>
    <w:p w:rsidR="0086359D" w:rsidRPr="00716B3B" w:rsidRDefault="00716B3B" w:rsidP="00B32ACC">
      <w:pPr>
        <w:pStyle w:val="SingleTxtGA"/>
        <w:rPr>
          <w:rFonts w:hint="cs"/>
          <w:b/>
          <w:bCs/>
          <w:rtl/>
        </w:rPr>
      </w:pPr>
      <w:r w:rsidRPr="00716B3B">
        <w:rPr>
          <w:rFonts w:hint="cs"/>
          <w:b/>
          <w:bCs/>
          <w:rtl/>
        </w:rPr>
        <w:tab/>
        <w:t>(د)</w:t>
      </w:r>
      <w:r w:rsidRPr="00716B3B">
        <w:rPr>
          <w:rFonts w:hint="cs"/>
          <w:b/>
          <w:bCs/>
          <w:rtl/>
        </w:rPr>
        <w:tab/>
      </w:r>
      <w:r w:rsidR="0086359D" w:rsidRPr="00716B3B">
        <w:rPr>
          <w:rFonts w:hint="cs"/>
          <w:b/>
          <w:bCs/>
          <w:rtl/>
        </w:rPr>
        <w:t xml:space="preserve">النظر في إلغاء نظام الاحتجاز البديل </w:t>
      </w:r>
      <w:r w:rsidR="0086359D" w:rsidRPr="00716B3B">
        <w:rPr>
          <w:b/>
          <w:bCs/>
        </w:rPr>
        <w:t>Daiyo</w:t>
      </w:r>
      <w:r w:rsidR="00B32ACC">
        <w:rPr>
          <w:b/>
          <w:bCs/>
        </w:rPr>
        <w:t> </w:t>
      </w:r>
      <w:r w:rsidR="0086359D" w:rsidRPr="00716B3B">
        <w:rPr>
          <w:b/>
          <w:bCs/>
        </w:rPr>
        <w:t>Kangoku</w:t>
      </w:r>
      <w:r w:rsidR="0086359D" w:rsidRPr="00716B3B">
        <w:rPr>
          <w:rFonts w:hint="cs"/>
          <w:b/>
          <w:bCs/>
          <w:rtl/>
        </w:rPr>
        <w:t xml:space="preserve"> بغية مواءمة تشريع الدولة الطرف وممارساتها بصورة كاملة مع المعايير الدولية. </w:t>
      </w:r>
    </w:p>
    <w:p w:rsidR="0086359D" w:rsidRPr="00B65E49" w:rsidRDefault="00716B3B" w:rsidP="00716B3B">
      <w:pPr>
        <w:pStyle w:val="H23GA"/>
        <w:rPr>
          <w:rFonts w:hint="cs"/>
          <w:rtl/>
        </w:rPr>
      </w:pPr>
      <w:r>
        <w:rPr>
          <w:rFonts w:hint="cs"/>
          <w:rtl/>
        </w:rPr>
        <w:tab/>
      </w:r>
      <w:r>
        <w:rPr>
          <w:rFonts w:hint="cs"/>
          <w:rtl/>
        </w:rPr>
        <w:tab/>
      </w:r>
      <w:r w:rsidR="0086359D" w:rsidRPr="00B65E49">
        <w:rPr>
          <w:rFonts w:hint="cs"/>
          <w:rtl/>
        </w:rPr>
        <w:t>الاستجواب والاعتراف</w:t>
      </w:r>
    </w:p>
    <w:p w:rsidR="0086359D" w:rsidRPr="00FE4CB5" w:rsidRDefault="0086359D" w:rsidP="00716B3B">
      <w:pPr>
        <w:pStyle w:val="SingleTxtGA"/>
        <w:rPr>
          <w:rFonts w:hint="cs"/>
          <w:rtl/>
        </w:rPr>
      </w:pPr>
      <w:r w:rsidRPr="00FE4CB5">
        <w:rPr>
          <w:rFonts w:hint="cs"/>
          <w:rtl/>
        </w:rPr>
        <w:t>1</w:t>
      </w:r>
      <w:r w:rsidR="00716B3B">
        <w:rPr>
          <w:rFonts w:hint="cs"/>
          <w:rtl/>
        </w:rPr>
        <w:t>1-</w:t>
      </w:r>
      <w:r w:rsidR="00716B3B">
        <w:rPr>
          <w:rFonts w:hint="cs"/>
          <w:rtl/>
        </w:rPr>
        <w:tab/>
      </w:r>
      <w:r w:rsidR="0067717C">
        <w:rPr>
          <w:rFonts w:hint="cs"/>
          <w:rtl/>
        </w:rPr>
        <w:t>تحيط اللجنة علماً بالمادة 38(2) من الدستور والمادة 319</w:t>
      </w:r>
      <w:r w:rsidRPr="00FE4CB5">
        <w:rPr>
          <w:rFonts w:hint="cs"/>
          <w:rtl/>
        </w:rPr>
        <w:t>(1) من قانون الإجراءات الجنائية ال</w:t>
      </w:r>
      <w:r>
        <w:rPr>
          <w:rFonts w:hint="cs"/>
          <w:rtl/>
        </w:rPr>
        <w:t xml:space="preserve">لتان تنصان </w:t>
      </w:r>
      <w:r w:rsidRPr="00FE4CB5">
        <w:rPr>
          <w:rFonts w:hint="cs"/>
          <w:rtl/>
        </w:rPr>
        <w:t xml:space="preserve">على عدم قبول المحكمة للاعترافات </w:t>
      </w:r>
      <w:r>
        <w:rPr>
          <w:rFonts w:hint="cs"/>
          <w:rtl/>
        </w:rPr>
        <w:t>المنتزعة</w:t>
      </w:r>
      <w:r w:rsidRPr="00FE4CB5">
        <w:rPr>
          <w:rFonts w:hint="cs"/>
          <w:rtl/>
        </w:rPr>
        <w:t xml:space="preserve"> تحت التعذيب وسوء المعاملة</w:t>
      </w:r>
      <w:r>
        <w:rPr>
          <w:rFonts w:hint="cs"/>
          <w:rtl/>
        </w:rPr>
        <w:t>،</w:t>
      </w:r>
      <w:r w:rsidRPr="00FE4CB5">
        <w:rPr>
          <w:rFonts w:hint="cs"/>
          <w:rtl/>
        </w:rPr>
        <w:t xml:space="preserve"> فضلاً عن تصريح الدولة الطرف</w:t>
      </w:r>
      <w:r w:rsidR="00826260">
        <w:rPr>
          <w:rFonts w:hint="cs"/>
          <w:rtl/>
        </w:rPr>
        <w:t xml:space="preserve"> </w:t>
      </w:r>
      <w:r>
        <w:rPr>
          <w:rFonts w:hint="cs"/>
          <w:rtl/>
        </w:rPr>
        <w:t xml:space="preserve">بأن </w:t>
      </w:r>
      <w:r w:rsidRPr="00FE4CB5">
        <w:rPr>
          <w:rFonts w:hint="cs"/>
          <w:rtl/>
        </w:rPr>
        <w:t>الإدانات</w:t>
      </w:r>
      <w:r>
        <w:rPr>
          <w:rFonts w:hint="cs"/>
          <w:rtl/>
        </w:rPr>
        <w:t xml:space="preserve"> لا تستند</w:t>
      </w:r>
      <w:r w:rsidRPr="00FE4CB5">
        <w:rPr>
          <w:rFonts w:hint="cs"/>
          <w:rtl/>
        </w:rPr>
        <w:t xml:space="preserve"> حصراً على الاعترافات وبأن المبادئ التوجيهية للتحقيق </w:t>
      </w:r>
      <w:r>
        <w:rPr>
          <w:rFonts w:hint="cs"/>
          <w:rtl/>
        </w:rPr>
        <w:t xml:space="preserve">تكفل </w:t>
      </w:r>
      <w:r w:rsidRPr="00FE4CB5">
        <w:rPr>
          <w:rFonts w:hint="cs"/>
          <w:rtl/>
        </w:rPr>
        <w:t>عدم إجبار المشتبه بهم على الاعتراف بأي جريمة.</w:t>
      </w:r>
      <w:r>
        <w:rPr>
          <w:rFonts w:hint="cs"/>
          <w:rtl/>
        </w:rPr>
        <w:t xml:space="preserve"> بيد أن</w:t>
      </w:r>
      <w:r w:rsidRPr="00FE4CB5">
        <w:rPr>
          <w:rFonts w:hint="cs"/>
          <w:rtl/>
        </w:rPr>
        <w:t xml:space="preserve"> القلق لا يزال يساور اللجنة إزاء ما يلي: </w:t>
      </w:r>
    </w:p>
    <w:p w:rsidR="0086359D" w:rsidRPr="00FE4CB5" w:rsidRDefault="00716B3B" w:rsidP="00B37B7E">
      <w:pPr>
        <w:pStyle w:val="SingleTxtGA"/>
        <w:rPr>
          <w:rFonts w:hint="cs"/>
          <w:rtl/>
        </w:rPr>
      </w:pPr>
      <w:r>
        <w:rPr>
          <w:rFonts w:hint="cs"/>
          <w:rtl/>
        </w:rPr>
        <w:tab/>
      </w:r>
      <w:r w:rsidR="0086359D" w:rsidRPr="00FE4CB5">
        <w:rPr>
          <w:rFonts w:hint="cs"/>
          <w:rtl/>
        </w:rPr>
        <w:t>(أ)</w:t>
      </w:r>
      <w:r>
        <w:rPr>
          <w:rFonts w:hint="cs"/>
          <w:rtl/>
        </w:rPr>
        <w:tab/>
      </w:r>
      <w:r w:rsidR="0086359D">
        <w:rPr>
          <w:rFonts w:hint="cs"/>
          <w:rtl/>
        </w:rPr>
        <w:t>اعتماد</w:t>
      </w:r>
      <w:r w:rsidR="0086359D" w:rsidRPr="00FE4CB5">
        <w:rPr>
          <w:rFonts w:hint="cs"/>
          <w:rtl/>
        </w:rPr>
        <w:t xml:space="preserve"> نظام العدالة في الدولة الطرف </w:t>
      </w:r>
      <w:r w:rsidR="0086359D">
        <w:rPr>
          <w:rFonts w:hint="cs"/>
          <w:rtl/>
        </w:rPr>
        <w:t>اعتمادا</w:t>
      </w:r>
      <w:r w:rsidR="00582B40">
        <w:rPr>
          <w:rFonts w:hint="cs"/>
          <w:rtl/>
        </w:rPr>
        <w:t>ً</w:t>
      </w:r>
      <w:r w:rsidR="0086359D">
        <w:rPr>
          <w:rFonts w:hint="cs"/>
          <w:rtl/>
        </w:rPr>
        <w:t xml:space="preserve"> كبيرا</w:t>
      </w:r>
      <w:r w:rsidR="00582B40">
        <w:rPr>
          <w:rFonts w:hint="cs"/>
          <w:rtl/>
        </w:rPr>
        <w:t>ً</w:t>
      </w:r>
      <w:r w:rsidR="0086359D">
        <w:rPr>
          <w:rFonts w:hint="cs"/>
          <w:rtl/>
        </w:rPr>
        <w:t xml:space="preserve">، في الممارسة، </w:t>
      </w:r>
      <w:r w:rsidR="0086359D" w:rsidRPr="00FE4CB5">
        <w:rPr>
          <w:rFonts w:hint="cs"/>
          <w:rtl/>
        </w:rPr>
        <w:t xml:space="preserve">على الاعترافات، التي </w:t>
      </w:r>
      <w:r w:rsidR="0086359D">
        <w:rPr>
          <w:rFonts w:hint="cs"/>
          <w:rtl/>
        </w:rPr>
        <w:t xml:space="preserve">تحصل </w:t>
      </w:r>
      <w:r w:rsidR="0086359D" w:rsidRPr="00FE4CB5">
        <w:rPr>
          <w:rFonts w:hint="cs"/>
          <w:rtl/>
        </w:rPr>
        <w:t xml:space="preserve">غالباً خلال الاحتجاز بموجب نظام </w:t>
      </w:r>
      <w:r w:rsidR="0086359D" w:rsidRPr="00FE4CB5">
        <w:rPr>
          <w:rFonts w:hint="eastAsia"/>
          <w:lang w:eastAsia="ko-KR"/>
        </w:rPr>
        <w:t>D</w:t>
      </w:r>
      <w:r w:rsidR="0086359D" w:rsidRPr="00FE4CB5">
        <w:t>aiyo</w:t>
      </w:r>
      <w:r w:rsidR="00B37B7E">
        <w:t> </w:t>
      </w:r>
      <w:r w:rsidR="0086359D" w:rsidRPr="00FE4CB5">
        <w:rPr>
          <w:rFonts w:hint="eastAsia"/>
          <w:lang w:eastAsia="ko-KR"/>
        </w:rPr>
        <w:t>K</w:t>
      </w:r>
      <w:r w:rsidR="0086359D" w:rsidRPr="00FE4CB5">
        <w:t>angoku</w:t>
      </w:r>
      <w:r w:rsidR="0086359D" w:rsidRPr="00FE4CB5">
        <w:rPr>
          <w:rFonts w:hint="cs"/>
          <w:rtl/>
        </w:rPr>
        <w:t xml:space="preserve"> </w:t>
      </w:r>
      <w:r w:rsidR="0086359D">
        <w:rPr>
          <w:rFonts w:hint="cs"/>
          <w:rtl/>
        </w:rPr>
        <w:t>و</w:t>
      </w:r>
      <w:r w:rsidR="0086359D" w:rsidRPr="00FE4CB5">
        <w:rPr>
          <w:rFonts w:hint="cs"/>
          <w:rtl/>
        </w:rPr>
        <w:t xml:space="preserve">بدون حضور محامٍ. </w:t>
      </w:r>
      <w:r w:rsidR="0086359D">
        <w:rPr>
          <w:rFonts w:hint="cs"/>
          <w:rtl/>
        </w:rPr>
        <w:t>و</w:t>
      </w:r>
      <w:r w:rsidR="0086359D" w:rsidRPr="00FE4CB5">
        <w:rPr>
          <w:rFonts w:hint="cs"/>
          <w:rtl/>
        </w:rPr>
        <w:t xml:space="preserve">تلقت اللجنة تقارير بشأن سوء المعاملة خلال الاستجواب من قبيل الضرب والتهديد والحرمان من النوم والاستجواب </w:t>
      </w:r>
      <w:r w:rsidR="0086359D">
        <w:rPr>
          <w:rFonts w:hint="cs"/>
          <w:rtl/>
        </w:rPr>
        <w:t>لفترات</w:t>
      </w:r>
      <w:r w:rsidR="00826260">
        <w:rPr>
          <w:rFonts w:hint="cs"/>
          <w:rtl/>
        </w:rPr>
        <w:t xml:space="preserve"> </w:t>
      </w:r>
      <w:r w:rsidR="0086359D" w:rsidRPr="00FE4CB5">
        <w:rPr>
          <w:rFonts w:hint="cs"/>
          <w:rtl/>
        </w:rPr>
        <w:t>طويلة بدون انقطاع؛</w:t>
      </w:r>
    </w:p>
    <w:p w:rsidR="0086359D" w:rsidRPr="00FE4CB5" w:rsidRDefault="00716B3B" w:rsidP="00716B3B">
      <w:pPr>
        <w:pStyle w:val="SingleTxtGA"/>
        <w:rPr>
          <w:rFonts w:hint="cs"/>
          <w:rtl/>
        </w:rPr>
      </w:pPr>
      <w:r>
        <w:rPr>
          <w:rFonts w:hint="cs"/>
          <w:rtl/>
        </w:rPr>
        <w:tab/>
      </w:r>
      <w:r w:rsidR="0086359D" w:rsidRPr="00FE4CB5">
        <w:rPr>
          <w:rFonts w:hint="cs"/>
          <w:rtl/>
        </w:rPr>
        <w:t>(ب)</w:t>
      </w:r>
      <w:r>
        <w:rPr>
          <w:rFonts w:hint="cs"/>
          <w:rtl/>
        </w:rPr>
        <w:tab/>
      </w:r>
      <w:r w:rsidR="0086359D">
        <w:rPr>
          <w:rFonts w:hint="cs"/>
          <w:rtl/>
        </w:rPr>
        <w:t>عدم إلزامية حضور</w:t>
      </w:r>
      <w:r w:rsidR="0086359D" w:rsidRPr="00FE4CB5">
        <w:rPr>
          <w:rFonts w:hint="cs"/>
          <w:rtl/>
        </w:rPr>
        <w:t xml:space="preserve"> محامي دفاع خلال الاستجواب؛</w:t>
      </w:r>
    </w:p>
    <w:p w:rsidR="0086359D" w:rsidRPr="00FE4CB5" w:rsidRDefault="00716B3B" w:rsidP="00716B3B">
      <w:pPr>
        <w:pStyle w:val="SingleTxtGA"/>
        <w:rPr>
          <w:rFonts w:hint="cs"/>
          <w:rtl/>
        </w:rPr>
      </w:pPr>
      <w:r>
        <w:rPr>
          <w:rFonts w:hint="cs"/>
          <w:rtl/>
        </w:rPr>
        <w:tab/>
      </w:r>
      <w:r w:rsidR="0086359D" w:rsidRPr="00FE4CB5">
        <w:rPr>
          <w:rFonts w:hint="cs"/>
          <w:rtl/>
        </w:rPr>
        <w:t>(ج)</w:t>
      </w:r>
      <w:r>
        <w:rPr>
          <w:rFonts w:hint="cs"/>
          <w:rtl/>
        </w:rPr>
        <w:tab/>
      </w:r>
      <w:r w:rsidR="0086359D">
        <w:rPr>
          <w:rFonts w:hint="cs"/>
          <w:rtl/>
        </w:rPr>
        <w:t xml:space="preserve">الافتقار إلى </w:t>
      </w:r>
      <w:r w:rsidR="0086359D" w:rsidRPr="00FE4CB5">
        <w:rPr>
          <w:rFonts w:hint="cs"/>
          <w:rtl/>
        </w:rPr>
        <w:t>سبل الإشراف على حسن سير عمليات استجواب المحتجزين وهم في مراكز احتجاز الشرطة، ولا</w:t>
      </w:r>
      <w:r w:rsidR="00AE5EDE">
        <w:rPr>
          <w:rFonts w:hint="eastAsia"/>
          <w:rtl/>
        </w:rPr>
        <w:t> </w:t>
      </w:r>
      <w:r w:rsidR="0086359D" w:rsidRPr="00FE4CB5">
        <w:rPr>
          <w:rFonts w:hint="cs"/>
          <w:rtl/>
        </w:rPr>
        <w:t>سيما عدم تحديد</w:t>
      </w:r>
      <w:r w:rsidR="0086359D">
        <w:rPr>
          <w:rFonts w:hint="cs"/>
          <w:rtl/>
        </w:rPr>
        <w:t xml:space="preserve"> مُدد زمنية صارمة لحصص الاستجواب</w:t>
      </w:r>
      <w:r w:rsidR="0086359D" w:rsidRPr="00FE4CB5">
        <w:rPr>
          <w:rFonts w:hint="cs"/>
          <w:rtl/>
        </w:rPr>
        <w:t xml:space="preserve"> المتتالية؛ </w:t>
      </w:r>
    </w:p>
    <w:p w:rsidR="0086359D" w:rsidRPr="00306915" w:rsidRDefault="00716B3B" w:rsidP="00716B3B">
      <w:pPr>
        <w:pStyle w:val="SingleTxtGA"/>
        <w:rPr>
          <w:rFonts w:hint="cs"/>
          <w:spacing w:val="-2"/>
          <w:rtl/>
        </w:rPr>
      </w:pPr>
      <w:r w:rsidRPr="00306915">
        <w:rPr>
          <w:rFonts w:hint="cs"/>
          <w:spacing w:val="-2"/>
          <w:rtl/>
        </w:rPr>
        <w:tab/>
        <w:t>(د)</w:t>
      </w:r>
      <w:r w:rsidRPr="00306915">
        <w:rPr>
          <w:rFonts w:hint="cs"/>
          <w:spacing w:val="-2"/>
          <w:rtl/>
        </w:rPr>
        <w:tab/>
      </w:r>
      <w:r w:rsidR="0086359D" w:rsidRPr="00306915">
        <w:rPr>
          <w:rFonts w:hint="cs"/>
          <w:spacing w:val="-2"/>
          <w:rtl/>
        </w:rPr>
        <w:t>عدم إقامة أية دعوى قضائية بناء على أي من الشكاوى وعددها 141 شكوى بشأن الاستجوابات</w:t>
      </w:r>
      <w:r w:rsidR="00B37B7E" w:rsidRPr="00306915">
        <w:rPr>
          <w:rFonts w:hint="cs"/>
          <w:spacing w:val="-2"/>
          <w:rtl/>
        </w:rPr>
        <w:t xml:space="preserve"> </w:t>
      </w:r>
      <w:r w:rsidR="0086359D" w:rsidRPr="00306915">
        <w:rPr>
          <w:rFonts w:hint="cs"/>
          <w:spacing w:val="-2"/>
          <w:rtl/>
        </w:rPr>
        <w:t xml:space="preserve">قدمها المشتبه بهم ومحاموهم إلى المدعين العامين (المادتان 2 و15). </w:t>
      </w:r>
    </w:p>
    <w:p w:rsidR="0086359D" w:rsidRPr="00DA0098" w:rsidRDefault="00716B3B" w:rsidP="00716B3B">
      <w:pPr>
        <w:pStyle w:val="SingleTxtGA"/>
        <w:rPr>
          <w:rFonts w:hint="cs"/>
          <w:b/>
          <w:bCs/>
          <w:rtl/>
        </w:rPr>
      </w:pPr>
      <w:r w:rsidRPr="00DA0098">
        <w:rPr>
          <w:rFonts w:hint="cs"/>
          <w:b/>
          <w:bCs/>
          <w:rtl/>
        </w:rPr>
        <w:tab/>
      </w:r>
      <w:r w:rsidR="0086359D" w:rsidRPr="00DA0098">
        <w:rPr>
          <w:rFonts w:hint="cs"/>
          <w:b/>
          <w:bCs/>
          <w:rtl/>
        </w:rPr>
        <w:t>تكرر اللجنة توصياتها السابقة (الفقرة 16) بأن تتخذ الدولة الطرف كل التدابير اللازمة لكي تضمن في الممارسة عدم قبول المحكمة للاعترافات المنتزعة تحت التعذيب أو سوء المعاملة في كافة القضايا بما يتماشى مع المادة 38</w:t>
      </w:r>
      <w:r w:rsidR="002C530A">
        <w:rPr>
          <w:rFonts w:hint="cs"/>
          <w:b/>
          <w:bCs/>
          <w:rtl/>
        </w:rPr>
        <w:t>(2) من الدستور والمادة 319</w:t>
      </w:r>
      <w:r w:rsidR="0086359D" w:rsidRPr="00DA0098">
        <w:rPr>
          <w:rFonts w:hint="cs"/>
          <w:b/>
          <w:bCs/>
          <w:rtl/>
        </w:rPr>
        <w:t xml:space="preserve">(1) من قانون الإجراءات الجنائية والمادة 15 من الاتفاقية وذلك من خلال جملة أمور منها: </w:t>
      </w:r>
    </w:p>
    <w:p w:rsidR="0086359D" w:rsidRPr="00DA0098" w:rsidRDefault="00716B3B" w:rsidP="00716B3B">
      <w:pPr>
        <w:pStyle w:val="SingleTxtGA"/>
        <w:rPr>
          <w:rFonts w:hint="cs"/>
          <w:b/>
          <w:bCs/>
          <w:rtl/>
        </w:rPr>
      </w:pPr>
      <w:r w:rsidRPr="00DA0098">
        <w:rPr>
          <w:rFonts w:hint="cs"/>
          <w:b/>
          <w:bCs/>
          <w:rtl/>
        </w:rPr>
        <w:tab/>
        <w:t>(أ)</w:t>
      </w:r>
      <w:r w:rsidRPr="00DA0098">
        <w:rPr>
          <w:rFonts w:hint="cs"/>
          <w:b/>
          <w:bCs/>
          <w:rtl/>
        </w:rPr>
        <w:tab/>
      </w:r>
      <w:r w:rsidR="0086359D" w:rsidRPr="00DA0098">
        <w:rPr>
          <w:rFonts w:hint="cs"/>
          <w:b/>
          <w:bCs/>
          <w:rtl/>
        </w:rPr>
        <w:t>إرساء قواعد بشأن طول الاستجوابات وإخضاعها للعقوبات المناسبة في حال عدم الامتثال؛</w:t>
      </w:r>
    </w:p>
    <w:p w:rsidR="0086359D" w:rsidRPr="00DA0098" w:rsidRDefault="00716B3B" w:rsidP="00716B3B">
      <w:pPr>
        <w:pStyle w:val="SingleTxtGA"/>
        <w:rPr>
          <w:rFonts w:hint="cs"/>
          <w:b/>
          <w:bCs/>
        </w:rPr>
      </w:pPr>
      <w:r w:rsidRPr="00DA0098">
        <w:rPr>
          <w:rFonts w:hint="cs"/>
          <w:b/>
          <w:bCs/>
          <w:rtl/>
        </w:rPr>
        <w:tab/>
        <w:t>(ب)</w:t>
      </w:r>
      <w:r w:rsidRPr="00DA0098">
        <w:rPr>
          <w:rFonts w:hint="cs"/>
          <w:b/>
          <w:bCs/>
          <w:rtl/>
        </w:rPr>
        <w:tab/>
      </w:r>
      <w:r w:rsidR="0086359D" w:rsidRPr="00DA0098">
        <w:rPr>
          <w:rFonts w:hint="cs"/>
          <w:b/>
          <w:bCs/>
          <w:rtl/>
        </w:rPr>
        <w:t xml:space="preserve">تحسين أساليب التحقيق الجنائي ووضع حد نهائي للممارسات التي تعتبر بموجبها الاعترافات عنصر الإثبات الأساسي والمحوري في المحاكمة الجنائية؛ </w:t>
      </w:r>
    </w:p>
    <w:p w:rsidR="0086359D" w:rsidRPr="00DA0098" w:rsidRDefault="00387C83" w:rsidP="00387C83">
      <w:pPr>
        <w:pStyle w:val="SingleTxtGA"/>
        <w:rPr>
          <w:rFonts w:hint="cs"/>
          <w:b/>
          <w:bCs/>
          <w:rtl/>
        </w:rPr>
      </w:pPr>
      <w:r w:rsidRPr="00DA0098">
        <w:rPr>
          <w:rFonts w:hint="cs"/>
          <w:b/>
          <w:bCs/>
          <w:rtl/>
        </w:rPr>
        <w:tab/>
        <w:t>(ج)</w:t>
      </w:r>
      <w:r w:rsidRPr="00DA0098">
        <w:rPr>
          <w:rFonts w:hint="cs"/>
          <w:b/>
          <w:bCs/>
          <w:rtl/>
        </w:rPr>
        <w:tab/>
      </w:r>
      <w:r w:rsidR="0086359D" w:rsidRPr="00DA0098">
        <w:rPr>
          <w:rFonts w:hint="cs"/>
          <w:b/>
          <w:bCs/>
          <w:rtl/>
        </w:rPr>
        <w:t>العمل بضمانات مثل التسجيلات الإلكترونية لعملية التحقيق كاملة وضمان توافر التسجيلات لاستخدامها خلال المحاكمات؛</w:t>
      </w:r>
    </w:p>
    <w:p w:rsidR="0086359D" w:rsidRPr="00DA0098" w:rsidRDefault="00387C83" w:rsidP="00387C83">
      <w:pPr>
        <w:pStyle w:val="SingleTxtGA"/>
        <w:rPr>
          <w:rFonts w:hint="cs"/>
          <w:b/>
          <w:bCs/>
          <w:rtl/>
        </w:rPr>
      </w:pPr>
      <w:r w:rsidRPr="00DA0098">
        <w:rPr>
          <w:rFonts w:hint="cs"/>
          <w:b/>
          <w:bCs/>
          <w:rtl/>
        </w:rPr>
        <w:tab/>
      </w:r>
      <w:r w:rsidR="0086359D" w:rsidRPr="00DA0098">
        <w:rPr>
          <w:rFonts w:hint="cs"/>
          <w:b/>
          <w:bCs/>
          <w:rtl/>
        </w:rPr>
        <w:t>(د</w:t>
      </w:r>
      <w:r w:rsidRPr="00DA0098">
        <w:rPr>
          <w:rFonts w:hint="cs"/>
          <w:b/>
          <w:bCs/>
          <w:rtl/>
        </w:rPr>
        <w:t>)</w:t>
      </w:r>
      <w:r w:rsidRPr="00DA0098">
        <w:rPr>
          <w:rFonts w:hint="cs"/>
          <w:b/>
          <w:bCs/>
          <w:rtl/>
        </w:rPr>
        <w:tab/>
      </w:r>
      <w:r w:rsidR="0086359D" w:rsidRPr="00DA0098">
        <w:rPr>
          <w:rFonts w:hint="cs"/>
          <w:b/>
          <w:bCs/>
          <w:rtl/>
        </w:rPr>
        <w:t xml:space="preserve">إطلاع اللجنة على عدد الاعترافات التي انتزعت بالإكراه أو تحت التعذيب أو التهديد أو بعد فترة طويلة من الاعتقال أو الاحتجاز والتي لم يؤخذ بها كأدلّة بموجب المادة 319(1) من قانون الإجراءات الجنائية. </w:t>
      </w:r>
    </w:p>
    <w:p w:rsidR="0086359D" w:rsidRPr="00B65E49" w:rsidRDefault="00DA0098" w:rsidP="00DA0098">
      <w:pPr>
        <w:pStyle w:val="H23GA"/>
        <w:rPr>
          <w:rFonts w:hint="cs"/>
          <w:rtl/>
        </w:rPr>
      </w:pPr>
      <w:r>
        <w:rPr>
          <w:rFonts w:hint="cs"/>
          <w:rtl/>
        </w:rPr>
        <w:tab/>
      </w:r>
      <w:r>
        <w:rPr>
          <w:rFonts w:hint="cs"/>
          <w:rtl/>
        </w:rPr>
        <w:tab/>
      </w:r>
      <w:r w:rsidR="0086359D" w:rsidRPr="00B65E49">
        <w:rPr>
          <w:rFonts w:hint="cs"/>
          <w:rtl/>
        </w:rPr>
        <w:t xml:space="preserve">آلية </w:t>
      </w:r>
      <w:r w:rsidR="0086359D">
        <w:rPr>
          <w:rFonts w:hint="cs"/>
          <w:rtl/>
        </w:rPr>
        <w:t xml:space="preserve">التظلم </w:t>
      </w:r>
    </w:p>
    <w:p w:rsidR="0086359D" w:rsidRPr="00FE4CB5" w:rsidRDefault="00DA0098" w:rsidP="00DA0098">
      <w:pPr>
        <w:pStyle w:val="SingleTxtGA"/>
        <w:rPr>
          <w:rFonts w:hint="cs"/>
          <w:rtl/>
          <w:lang/>
        </w:rPr>
      </w:pPr>
      <w:r>
        <w:rPr>
          <w:rFonts w:hint="cs"/>
          <w:rtl/>
        </w:rPr>
        <w:t>12-</w:t>
      </w:r>
      <w:r>
        <w:rPr>
          <w:rFonts w:hint="cs"/>
          <w:rtl/>
        </w:rPr>
        <w:tab/>
      </w:r>
      <w:r w:rsidR="0086359D" w:rsidRPr="00FE4CB5">
        <w:rPr>
          <w:rFonts w:hint="cs"/>
          <w:rtl/>
        </w:rPr>
        <w:t>على الرغم من المعلومات بشأن أنظمة الاستئناف التي وضعت بموجب القانون</w:t>
      </w:r>
      <w:r w:rsidR="0086359D" w:rsidRPr="00FE4CB5">
        <w:rPr>
          <w:rFonts w:hint="cs"/>
          <w:rtl/>
          <w:lang/>
        </w:rPr>
        <w:t xml:space="preserve"> الخاص بمرافق الاعتقال ومعاملة </w:t>
      </w:r>
      <w:r w:rsidR="0086359D">
        <w:rPr>
          <w:rFonts w:hint="cs"/>
          <w:rtl/>
          <w:lang/>
        </w:rPr>
        <w:t>السجناء</w:t>
      </w:r>
      <w:r w:rsidR="0086359D" w:rsidRPr="00FE4CB5">
        <w:rPr>
          <w:rFonts w:hint="cs"/>
          <w:rtl/>
          <w:lang/>
        </w:rPr>
        <w:t xml:space="preserve"> والموقوفين (2007)، لا يزال القلق يساور اللجنة بشأن غياب آلية مستقلة وفعالة </w:t>
      </w:r>
      <w:r w:rsidR="0086359D">
        <w:rPr>
          <w:rFonts w:hint="cs"/>
          <w:rtl/>
          <w:lang/>
        </w:rPr>
        <w:t xml:space="preserve">للتظلم </w:t>
      </w:r>
      <w:r w:rsidR="0086359D" w:rsidRPr="00FE4CB5">
        <w:rPr>
          <w:rFonts w:hint="cs"/>
          <w:rtl/>
          <w:lang/>
        </w:rPr>
        <w:t>وإجراء التحقيقات النزيهة في ادعاءات التعذيب وسوء المعاملة لأشخاص حرموا من حريتهم، من بينهم الموجودون في مراكز احتجاز الشرطة، ولضمان إنزال العقوبات اللازمة بالمسؤولين المدانين. وتأسف اللجنة أيضاً لغياب المعلومات بشأن مطالبة الدولة بالتعويض أو بشأن العقوبات التأديبية (المواد 2 و4 و12 و13 و16).</w:t>
      </w:r>
    </w:p>
    <w:p w:rsidR="0086359D" w:rsidRPr="00DA0098" w:rsidRDefault="00DA0098" w:rsidP="00DA0098">
      <w:pPr>
        <w:pStyle w:val="SingleTxtGA"/>
        <w:rPr>
          <w:rFonts w:hint="cs"/>
          <w:b/>
          <w:bCs/>
          <w:rtl/>
          <w:lang/>
        </w:rPr>
      </w:pPr>
      <w:r w:rsidRPr="00DA0098">
        <w:rPr>
          <w:rFonts w:hint="cs"/>
          <w:b/>
          <w:bCs/>
          <w:rtl/>
          <w:lang/>
        </w:rPr>
        <w:tab/>
      </w:r>
      <w:r w:rsidR="0086359D" w:rsidRPr="00DA0098">
        <w:rPr>
          <w:rFonts w:hint="cs"/>
          <w:b/>
          <w:bCs/>
          <w:rtl/>
          <w:lang/>
        </w:rPr>
        <w:t xml:space="preserve">تكرر اللجنة توصيتها السابقة (الفقرة 21) بأن تقوم الدولة الطرف بما يلي: </w:t>
      </w:r>
    </w:p>
    <w:p w:rsidR="0086359D" w:rsidRPr="00DA0098" w:rsidRDefault="00DA0098" w:rsidP="00DA0098">
      <w:pPr>
        <w:pStyle w:val="SingleTxtGA"/>
        <w:rPr>
          <w:rFonts w:hint="cs"/>
          <w:b/>
          <w:bCs/>
          <w:rtl/>
          <w:lang/>
        </w:rPr>
      </w:pPr>
      <w:r w:rsidRPr="00DA0098">
        <w:rPr>
          <w:rFonts w:hint="cs"/>
          <w:b/>
          <w:bCs/>
          <w:rtl/>
          <w:lang/>
        </w:rPr>
        <w:tab/>
        <w:t>(أ)</w:t>
      </w:r>
      <w:r w:rsidRPr="00DA0098">
        <w:rPr>
          <w:rFonts w:hint="cs"/>
          <w:b/>
          <w:bCs/>
          <w:rtl/>
          <w:lang/>
        </w:rPr>
        <w:tab/>
      </w:r>
      <w:r w:rsidR="0086359D" w:rsidRPr="00DA0098">
        <w:rPr>
          <w:rFonts w:hint="cs"/>
          <w:b/>
          <w:bCs/>
          <w:rtl/>
          <w:lang/>
        </w:rPr>
        <w:t>النظر في إنشاء هيئة خاصة ومستقلة وفعالة لتلقي الشكاوى وضمان إجراء التحقيقات السريعة والنزيهة والكاملة في كل الادعاءات بالتعذيب وسوء المعاملة التي ارتكبها مسؤولون حكوميون ومحاكمة الجناة وإنزال العقوبات بهم مع الأخذ في الاعتبار جسامة الجرائم؛</w:t>
      </w:r>
    </w:p>
    <w:p w:rsidR="0086359D" w:rsidRPr="00DA0098" w:rsidRDefault="00DA0098" w:rsidP="00DA0098">
      <w:pPr>
        <w:pStyle w:val="SingleTxtGA"/>
        <w:rPr>
          <w:rFonts w:hint="cs"/>
          <w:b/>
          <w:bCs/>
          <w:lang/>
        </w:rPr>
      </w:pPr>
      <w:r w:rsidRPr="00DA0098">
        <w:rPr>
          <w:rFonts w:hint="cs"/>
          <w:b/>
          <w:bCs/>
          <w:rtl/>
          <w:lang/>
        </w:rPr>
        <w:tab/>
        <w:t>(ب)</w:t>
      </w:r>
      <w:r w:rsidRPr="00DA0098">
        <w:rPr>
          <w:rFonts w:hint="cs"/>
          <w:b/>
          <w:bCs/>
          <w:rtl/>
          <w:lang/>
        </w:rPr>
        <w:tab/>
      </w:r>
      <w:r w:rsidR="0086359D" w:rsidRPr="00DA0098">
        <w:rPr>
          <w:rFonts w:hint="cs"/>
          <w:b/>
          <w:bCs/>
          <w:rtl/>
          <w:lang/>
        </w:rPr>
        <w:t>ضمان حماية المتقدمين بالشكاوى في الممارسة من أي عمل انتقامي نتيجة شكواهم أو أي أدلة مقدّمة؛</w:t>
      </w:r>
    </w:p>
    <w:p w:rsidR="0086359D" w:rsidRPr="00DA0098" w:rsidRDefault="00DA0098" w:rsidP="00DA0098">
      <w:pPr>
        <w:pStyle w:val="SingleTxtGA"/>
        <w:rPr>
          <w:rFonts w:hint="cs"/>
          <w:b/>
          <w:bCs/>
          <w:rtl/>
          <w:lang/>
        </w:rPr>
      </w:pPr>
      <w:r w:rsidRPr="00DA0098">
        <w:rPr>
          <w:rFonts w:hint="cs"/>
          <w:b/>
          <w:bCs/>
          <w:rtl/>
          <w:lang/>
        </w:rPr>
        <w:tab/>
        <w:t>(ج)</w:t>
      </w:r>
      <w:r w:rsidRPr="00DA0098">
        <w:rPr>
          <w:rFonts w:hint="cs"/>
          <w:b/>
          <w:bCs/>
          <w:rtl/>
          <w:lang/>
        </w:rPr>
        <w:tab/>
      </w:r>
      <w:r w:rsidR="0086359D" w:rsidRPr="00DA0098">
        <w:rPr>
          <w:rFonts w:hint="cs"/>
          <w:b/>
          <w:bCs/>
          <w:rtl/>
          <w:lang/>
        </w:rPr>
        <w:t xml:space="preserve">جمع المعلومات بما فيها الإحصاءات المصنّفة، عن عدد الشكاوى المقدمة ضد المسؤولين الحكوميين المتعلقة بالتعذيب أو سوء المعاملة، فضلاً عن المعلومات بشأن نتائج الإجراءات المتخذة، الجنائية منها أو التأديبية. </w:t>
      </w:r>
    </w:p>
    <w:p w:rsidR="0086359D" w:rsidRPr="00BE6EA1" w:rsidRDefault="00DA0098" w:rsidP="00DA0098">
      <w:pPr>
        <w:pStyle w:val="H23GA"/>
        <w:rPr>
          <w:rFonts w:hint="cs"/>
          <w:rtl/>
        </w:rPr>
      </w:pPr>
      <w:r>
        <w:rPr>
          <w:rFonts w:hint="cs"/>
          <w:rtl/>
        </w:rPr>
        <w:tab/>
      </w:r>
      <w:r>
        <w:rPr>
          <w:rFonts w:hint="cs"/>
          <w:rtl/>
        </w:rPr>
        <w:tab/>
      </w:r>
      <w:r w:rsidR="0086359D" w:rsidRPr="00BE6EA1">
        <w:rPr>
          <w:rFonts w:hint="cs"/>
          <w:rtl/>
        </w:rPr>
        <w:t>ظروف الاحتجاز</w:t>
      </w:r>
    </w:p>
    <w:p w:rsidR="0086359D" w:rsidRPr="00FE4CB5" w:rsidRDefault="00DA0098" w:rsidP="00DA0098">
      <w:pPr>
        <w:pStyle w:val="SingleTxtGA"/>
        <w:rPr>
          <w:rFonts w:hint="cs"/>
          <w:rtl/>
        </w:rPr>
      </w:pPr>
      <w:r>
        <w:rPr>
          <w:rFonts w:hint="cs"/>
          <w:rtl/>
        </w:rPr>
        <w:t>13-</w:t>
      </w:r>
      <w:r>
        <w:rPr>
          <w:rFonts w:hint="cs"/>
          <w:rtl/>
        </w:rPr>
        <w:tab/>
      </w:r>
      <w:r w:rsidR="0086359D" w:rsidRPr="00FE4CB5">
        <w:rPr>
          <w:rFonts w:hint="cs"/>
          <w:rtl/>
        </w:rPr>
        <w:t xml:space="preserve">على الرغم من جهود الدولة الطرف لتحسين ظروف الاحتجاز وتعزيز قدرات المؤسسات الجنائية، لا يزال القلق يساور اللجنة إزاء ما يلي: </w:t>
      </w:r>
    </w:p>
    <w:p w:rsidR="0086359D" w:rsidRPr="00FE4CB5" w:rsidRDefault="00DA0098" w:rsidP="00DA0098">
      <w:pPr>
        <w:pStyle w:val="SingleTxtGA"/>
        <w:rPr>
          <w:rFonts w:hint="cs"/>
          <w:rtl/>
        </w:rPr>
      </w:pPr>
      <w:r>
        <w:rPr>
          <w:rFonts w:hint="cs"/>
          <w:rtl/>
        </w:rPr>
        <w:tab/>
        <w:t>(أ)</w:t>
      </w:r>
      <w:r>
        <w:rPr>
          <w:rFonts w:hint="cs"/>
          <w:rtl/>
        </w:rPr>
        <w:tab/>
      </w:r>
      <w:r w:rsidR="0086359D" w:rsidRPr="00FE4CB5">
        <w:rPr>
          <w:rFonts w:hint="cs"/>
          <w:rtl/>
        </w:rPr>
        <w:t>اكتظاظ بعض المرافق، بما فيها سجون النساء؛</w:t>
      </w:r>
    </w:p>
    <w:p w:rsidR="0086359D" w:rsidRPr="00FE4CB5" w:rsidRDefault="00DA0098" w:rsidP="00DA0098">
      <w:pPr>
        <w:pStyle w:val="SingleTxtGA"/>
        <w:rPr>
          <w:rFonts w:hint="cs"/>
          <w:rtl/>
        </w:rPr>
      </w:pPr>
      <w:r>
        <w:rPr>
          <w:rFonts w:hint="cs"/>
          <w:rtl/>
        </w:rPr>
        <w:tab/>
        <w:t>(ب)</w:t>
      </w:r>
      <w:r>
        <w:rPr>
          <w:rFonts w:hint="cs"/>
          <w:rtl/>
        </w:rPr>
        <w:tab/>
      </w:r>
      <w:r w:rsidR="0086359D" w:rsidRPr="00FE4CB5">
        <w:rPr>
          <w:rFonts w:hint="cs"/>
          <w:rtl/>
        </w:rPr>
        <w:t xml:space="preserve">عدم </w:t>
      </w:r>
      <w:r w:rsidR="0086359D">
        <w:rPr>
          <w:rFonts w:hint="cs"/>
          <w:rtl/>
        </w:rPr>
        <w:t xml:space="preserve">كفاية فرص </w:t>
      </w:r>
      <w:r w:rsidR="0086359D" w:rsidRPr="00FE4CB5">
        <w:rPr>
          <w:rFonts w:hint="cs"/>
          <w:rtl/>
        </w:rPr>
        <w:t xml:space="preserve">الحصول على </w:t>
      </w:r>
      <w:r w:rsidR="0086359D">
        <w:rPr>
          <w:rFonts w:hint="cs"/>
          <w:rtl/>
        </w:rPr>
        <w:t xml:space="preserve">الرعاية الصحية والافتقار الحاد إلى موظفين </w:t>
      </w:r>
      <w:r w:rsidR="0086359D" w:rsidRPr="00FE4CB5">
        <w:rPr>
          <w:rFonts w:hint="cs"/>
          <w:rtl/>
        </w:rPr>
        <w:t>طبيين في مرافق الاحتجاز؛</w:t>
      </w:r>
      <w:r w:rsidR="00826260">
        <w:rPr>
          <w:rFonts w:hint="cs"/>
          <w:rtl/>
        </w:rPr>
        <w:t xml:space="preserve"> </w:t>
      </w:r>
    </w:p>
    <w:p w:rsidR="0086359D" w:rsidRPr="00FE4CB5" w:rsidRDefault="00DA0098" w:rsidP="00DA0098">
      <w:pPr>
        <w:pStyle w:val="SingleTxtGA"/>
        <w:rPr>
          <w:rFonts w:hint="cs"/>
          <w:rtl/>
        </w:rPr>
      </w:pPr>
      <w:r>
        <w:rPr>
          <w:rFonts w:hint="cs"/>
          <w:rtl/>
        </w:rPr>
        <w:tab/>
        <w:t>(ج)</w:t>
      </w:r>
      <w:r>
        <w:rPr>
          <w:rFonts w:hint="cs"/>
          <w:rtl/>
        </w:rPr>
        <w:tab/>
      </w:r>
      <w:r w:rsidR="0086359D" w:rsidRPr="00FE4CB5">
        <w:rPr>
          <w:rFonts w:hint="cs"/>
          <w:rtl/>
        </w:rPr>
        <w:t>عدم توفير الرعاية ال</w:t>
      </w:r>
      <w:r w:rsidR="0086359D">
        <w:rPr>
          <w:rFonts w:hint="cs"/>
          <w:rtl/>
        </w:rPr>
        <w:t>صحية العقلية</w:t>
      </w:r>
      <w:r w:rsidR="0086359D" w:rsidRPr="00FE4CB5">
        <w:rPr>
          <w:rFonts w:hint="cs"/>
          <w:rtl/>
        </w:rPr>
        <w:t xml:space="preserve"> الكافية في السجون</w:t>
      </w:r>
      <w:r w:rsidR="0086359D">
        <w:rPr>
          <w:rFonts w:hint="cs"/>
          <w:rtl/>
        </w:rPr>
        <w:t>،</w:t>
      </w:r>
      <w:r w:rsidR="0086359D" w:rsidRPr="00FE4CB5">
        <w:rPr>
          <w:rFonts w:hint="cs"/>
          <w:rtl/>
        </w:rPr>
        <w:t xml:space="preserve"> و</w:t>
      </w:r>
      <w:r w:rsidR="0086359D">
        <w:rPr>
          <w:rFonts w:hint="cs"/>
          <w:rtl/>
        </w:rPr>
        <w:t xml:space="preserve">كذا </w:t>
      </w:r>
      <w:r w:rsidR="0086359D" w:rsidRPr="00FE4CB5">
        <w:rPr>
          <w:rFonts w:hint="cs"/>
          <w:rtl/>
        </w:rPr>
        <w:t>التقارير ال</w:t>
      </w:r>
      <w:r w:rsidR="0086359D">
        <w:rPr>
          <w:rFonts w:hint="cs"/>
          <w:rtl/>
        </w:rPr>
        <w:t>تي تشير إلى الإفراط في استخدام الحبس الانفرادي بحق السجناء الذين يعانون مرضاً عقلي</w:t>
      </w:r>
      <w:r w:rsidR="00AE5EDE">
        <w:rPr>
          <w:rFonts w:hint="cs"/>
          <w:rtl/>
        </w:rPr>
        <w:t xml:space="preserve">اً </w:t>
      </w:r>
      <w:r w:rsidR="0086359D">
        <w:rPr>
          <w:rFonts w:hint="cs"/>
          <w:rtl/>
        </w:rPr>
        <w:t>م</w:t>
      </w:r>
      <w:r w:rsidR="0086359D" w:rsidRPr="00FE4CB5">
        <w:rPr>
          <w:rFonts w:hint="cs"/>
          <w:rtl/>
        </w:rPr>
        <w:t xml:space="preserve">ما يؤدي بالتالي إلى ارتفاع خطر </w:t>
      </w:r>
      <w:r w:rsidR="0086359D">
        <w:rPr>
          <w:rFonts w:hint="cs"/>
          <w:rtl/>
        </w:rPr>
        <w:t>وقوع</w:t>
      </w:r>
      <w:r w:rsidR="0086359D" w:rsidRPr="00FE4CB5">
        <w:rPr>
          <w:rFonts w:hint="cs"/>
          <w:rtl/>
        </w:rPr>
        <w:t xml:space="preserve"> محاولات انتحار؛</w:t>
      </w:r>
    </w:p>
    <w:p w:rsidR="0086359D" w:rsidRPr="00FE4CB5" w:rsidRDefault="00DA0098" w:rsidP="000120B4">
      <w:pPr>
        <w:pStyle w:val="SingleTxtGA"/>
        <w:rPr>
          <w:rFonts w:hint="cs"/>
          <w:rtl/>
        </w:rPr>
      </w:pPr>
      <w:r>
        <w:rPr>
          <w:rFonts w:hint="cs"/>
          <w:rtl/>
        </w:rPr>
        <w:tab/>
        <w:t>(د)</w:t>
      </w:r>
      <w:r>
        <w:rPr>
          <w:rFonts w:hint="cs"/>
          <w:rtl/>
        </w:rPr>
        <w:tab/>
      </w:r>
      <w:r w:rsidR="0086359D" w:rsidRPr="00FE4CB5">
        <w:rPr>
          <w:rFonts w:hint="cs"/>
          <w:rtl/>
        </w:rPr>
        <w:t xml:space="preserve">نقص الضمانات الملائمة وآلية الرصد بشأن استخدام أدوات التكبيل كالأصفاد من نوع </w:t>
      </w:r>
      <w:r w:rsidR="0086359D" w:rsidRPr="00FE4CB5">
        <w:t>Type</w:t>
      </w:r>
      <w:r w:rsidR="000120B4">
        <w:t> </w:t>
      </w:r>
      <w:r w:rsidR="0086359D" w:rsidRPr="00FE4CB5">
        <w:t>II</w:t>
      </w:r>
      <w:r w:rsidR="0086359D" w:rsidRPr="00FE4CB5">
        <w:rPr>
          <w:rFonts w:hint="cs"/>
          <w:rtl/>
        </w:rPr>
        <w:t xml:space="preserve"> وس</w:t>
      </w:r>
      <w:r w:rsidR="0086359D">
        <w:rPr>
          <w:rFonts w:hint="cs"/>
          <w:rtl/>
        </w:rPr>
        <w:t>ُ</w:t>
      </w:r>
      <w:r w:rsidR="0086359D" w:rsidRPr="00FE4CB5">
        <w:rPr>
          <w:rFonts w:hint="cs"/>
          <w:rtl/>
        </w:rPr>
        <w:t xml:space="preserve">ترات التكبيل (المادتان 11 و16). </w:t>
      </w:r>
    </w:p>
    <w:p w:rsidR="0086359D" w:rsidRPr="006F251D" w:rsidRDefault="00DA0098" w:rsidP="00DA0098">
      <w:pPr>
        <w:pStyle w:val="SingleTxtGA"/>
        <w:rPr>
          <w:rFonts w:hint="cs"/>
          <w:b/>
          <w:bCs/>
          <w:rtl/>
          <w:lang/>
        </w:rPr>
      </w:pPr>
      <w:r w:rsidRPr="006F251D">
        <w:rPr>
          <w:rFonts w:hint="cs"/>
          <w:b/>
          <w:bCs/>
          <w:rtl/>
        </w:rPr>
        <w:tab/>
      </w:r>
      <w:r w:rsidR="0086359D" w:rsidRPr="006F251D">
        <w:rPr>
          <w:rFonts w:hint="cs"/>
          <w:b/>
          <w:bCs/>
          <w:rtl/>
        </w:rPr>
        <w:t xml:space="preserve">يتعين على الدولة الطرف أن تحسّن ظروف الاحتجاز في السجون تماشياً مع </w:t>
      </w:r>
      <w:r w:rsidR="0086359D" w:rsidRPr="006F251D">
        <w:rPr>
          <w:rFonts w:hint="cs"/>
          <w:b/>
          <w:bCs/>
          <w:rtl/>
          <w:lang/>
        </w:rPr>
        <w:t>قواعد الأمم المتحدة الدنيا النموذجية لمعاملة السجناء وذلك من خلال:</w:t>
      </w:r>
    </w:p>
    <w:p w:rsidR="0086359D" w:rsidRPr="006F251D" w:rsidRDefault="006F251D" w:rsidP="006F251D">
      <w:pPr>
        <w:pStyle w:val="SingleTxtGA"/>
        <w:rPr>
          <w:rFonts w:hint="cs"/>
          <w:b/>
          <w:bCs/>
          <w:rtl/>
          <w:lang/>
        </w:rPr>
      </w:pPr>
      <w:r w:rsidRPr="006F251D">
        <w:rPr>
          <w:rFonts w:hint="cs"/>
          <w:b/>
          <w:bCs/>
          <w:rtl/>
          <w:lang/>
        </w:rPr>
        <w:tab/>
        <w:t>(أ)</w:t>
      </w:r>
      <w:r w:rsidRPr="006F251D">
        <w:rPr>
          <w:rFonts w:hint="cs"/>
          <w:b/>
          <w:bCs/>
          <w:rtl/>
          <w:lang/>
        </w:rPr>
        <w:tab/>
      </w:r>
      <w:r w:rsidR="0086359D" w:rsidRPr="006F251D">
        <w:rPr>
          <w:rFonts w:hint="cs"/>
          <w:b/>
          <w:bCs/>
          <w:rtl/>
          <w:lang/>
        </w:rPr>
        <w:t>تخفيض نسبة الاكتظاظ المرتفعة لا</w:t>
      </w:r>
      <w:r w:rsidR="00AE5EDE">
        <w:rPr>
          <w:rFonts w:hint="eastAsia"/>
          <w:b/>
          <w:bCs/>
          <w:rtl/>
          <w:lang/>
        </w:rPr>
        <w:t> </w:t>
      </w:r>
      <w:r w:rsidR="0086359D" w:rsidRPr="006F251D">
        <w:rPr>
          <w:rFonts w:hint="cs"/>
          <w:b/>
          <w:bCs/>
          <w:rtl/>
          <w:lang/>
        </w:rPr>
        <w:t>سيما من خلال تطبيق التدابير غير الاحتجازية على نطاق أوسع كبديل للسجن، وفي ضوء قواعد الأمم المتحدة النموذجية الدنيا للتدابير غير الاحتجازية (قواعد طوكيو) وقواعد الأمم المتحدة لمعاملة السجينات والتدابير غير الاحتجازية للمجرمات (قواعد بانكوك)؛</w:t>
      </w:r>
    </w:p>
    <w:p w:rsidR="0086359D" w:rsidRPr="006F251D" w:rsidRDefault="006F251D" w:rsidP="006F251D">
      <w:pPr>
        <w:pStyle w:val="SingleTxtGA"/>
        <w:rPr>
          <w:rFonts w:hint="cs"/>
          <w:b/>
          <w:bCs/>
          <w:lang/>
        </w:rPr>
      </w:pPr>
      <w:r w:rsidRPr="006F251D">
        <w:rPr>
          <w:rFonts w:hint="cs"/>
          <w:b/>
          <w:bCs/>
          <w:rtl/>
          <w:lang/>
        </w:rPr>
        <w:tab/>
        <w:t>(ب)</w:t>
      </w:r>
      <w:r w:rsidRPr="006F251D">
        <w:rPr>
          <w:rFonts w:hint="cs"/>
          <w:b/>
          <w:bCs/>
          <w:rtl/>
          <w:lang/>
        </w:rPr>
        <w:tab/>
      </w:r>
      <w:r w:rsidR="0086359D" w:rsidRPr="006F251D">
        <w:rPr>
          <w:rFonts w:hint="cs"/>
          <w:b/>
          <w:bCs/>
          <w:rtl/>
          <w:lang/>
        </w:rPr>
        <w:t>توفير الرعاية الصحية البدنية والعقلية لجميع الأشخاص المحرومين من حريتهم؛</w:t>
      </w:r>
    </w:p>
    <w:p w:rsidR="0086359D" w:rsidRPr="006F251D" w:rsidRDefault="006F251D" w:rsidP="00B23FAE">
      <w:pPr>
        <w:pStyle w:val="SingleTxtGA"/>
        <w:rPr>
          <w:rFonts w:hint="cs"/>
          <w:b/>
          <w:bCs/>
          <w:rtl/>
        </w:rPr>
      </w:pPr>
      <w:r w:rsidRPr="006F251D">
        <w:rPr>
          <w:rFonts w:hint="cs"/>
          <w:b/>
          <w:bCs/>
          <w:rtl/>
          <w:lang/>
        </w:rPr>
        <w:tab/>
        <w:t>(ج)</w:t>
      </w:r>
      <w:r w:rsidRPr="006F251D">
        <w:rPr>
          <w:rFonts w:hint="cs"/>
          <w:b/>
          <w:bCs/>
          <w:rtl/>
          <w:lang/>
        </w:rPr>
        <w:tab/>
      </w:r>
      <w:r w:rsidR="0086359D" w:rsidRPr="006F251D">
        <w:rPr>
          <w:rFonts w:hint="cs"/>
          <w:b/>
          <w:bCs/>
          <w:rtl/>
          <w:lang/>
        </w:rPr>
        <w:t xml:space="preserve">رصد استخدام الأصفاد من نوع </w:t>
      </w:r>
      <w:r w:rsidR="0086359D" w:rsidRPr="006F251D">
        <w:rPr>
          <w:b/>
          <w:bCs/>
          <w:lang w:val="fr-CH"/>
        </w:rPr>
        <w:t>T</w:t>
      </w:r>
      <w:r w:rsidR="0086359D" w:rsidRPr="006F251D">
        <w:rPr>
          <w:b/>
          <w:bCs/>
          <w:lang/>
        </w:rPr>
        <w:t>ype</w:t>
      </w:r>
      <w:r w:rsidR="00B23FAE">
        <w:rPr>
          <w:b/>
          <w:bCs/>
          <w:lang/>
        </w:rPr>
        <w:t> </w:t>
      </w:r>
      <w:r w:rsidR="0086359D" w:rsidRPr="006F251D">
        <w:rPr>
          <w:b/>
          <w:bCs/>
          <w:lang/>
        </w:rPr>
        <w:t>II</w:t>
      </w:r>
      <w:r w:rsidR="0086359D" w:rsidRPr="006F251D">
        <w:rPr>
          <w:rFonts w:hint="cs"/>
          <w:b/>
          <w:bCs/>
          <w:rtl/>
        </w:rPr>
        <w:t xml:space="preserve"> رصداً صارماً وكذا طول فترة استخدامها بما يتماشى مع التزامات الدولة الطرف بموجب الاتفاقية والنظر في الإلغاء التام لاستخدام أجهزة لتقييد الأشخاص المحتجزين.</w:t>
      </w:r>
    </w:p>
    <w:p w:rsidR="0086359D" w:rsidRPr="00BE6EA1" w:rsidRDefault="006F251D" w:rsidP="006F251D">
      <w:pPr>
        <w:pStyle w:val="H23GA"/>
        <w:rPr>
          <w:rFonts w:hint="cs"/>
          <w:rtl/>
        </w:rPr>
      </w:pPr>
      <w:r>
        <w:rPr>
          <w:rFonts w:hint="cs"/>
          <w:rtl/>
        </w:rPr>
        <w:tab/>
      </w:r>
      <w:r>
        <w:rPr>
          <w:rFonts w:hint="cs"/>
          <w:rtl/>
        </w:rPr>
        <w:tab/>
      </w:r>
      <w:r w:rsidR="0086359D" w:rsidRPr="00BE6EA1">
        <w:rPr>
          <w:rFonts w:hint="cs"/>
          <w:rtl/>
        </w:rPr>
        <w:t>الحبس الانفرادي</w:t>
      </w:r>
    </w:p>
    <w:p w:rsidR="0086359D" w:rsidRPr="00FE4CB5" w:rsidRDefault="006F251D" w:rsidP="00B23FAE">
      <w:pPr>
        <w:pStyle w:val="SingleTxtGA"/>
        <w:rPr>
          <w:rFonts w:hint="cs"/>
          <w:rtl/>
        </w:rPr>
      </w:pPr>
      <w:r>
        <w:rPr>
          <w:rFonts w:hint="cs"/>
          <w:rtl/>
        </w:rPr>
        <w:t>14-</w:t>
      </w:r>
      <w:r>
        <w:rPr>
          <w:rFonts w:hint="cs"/>
          <w:rtl/>
        </w:rPr>
        <w:tab/>
      </w:r>
      <w:r w:rsidR="0086359D" w:rsidRPr="00FE4CB5">
        <w:rPr>
          <w:rFonts w:hint="cs"/>
          <w:rtl/>
        </w:rPr>
        <w:t xml:space="preserve">يساور اللجنة قلق بالغ </w:t>
      </w:r>
      <w:r w:rsidR="0086359D">
        <w:rPr>
          <w:rFonts w:hint="cs"/>
          <w:rtl/>
        </w:rPr>
        <w:t xml:space="preserve">إزاء استمرار </w:t>
      </w:r>
      <w:r w:rsidR="0086359D" w:rsidRPr="00FE4CB5">
        <w:rPr>
          <w:rFonts w:hint="cs"/>
          <w:rtl/>
        </w:rPr>
        <w:t xml:space="preserve">اللجوء إلى الحبس الانفرادي لفترات طويلة بدون حدود زمنية، وترك قرار عزل المحتجزين هذا لتقدير آمر السجن. وتأسف اللجنة لأن طبيب السجن </w:t>
      </w:r>
      <w:r w:rsidR="0086359D">
        <w:rPr>
          <w:rFonts w:hint="cs"/>
          <w:rtl/>
        </w:rPr>
        <w:t xml:space="preserve">يشترك </w:t>
      </w:r>
      <w:r w:rsidR="0086359D" w:rsidRPr="00FE4CB5">
        <w:rPr>
          <w:rFonts w:hint="cs"/>
          <w:rtl/>
        </w:rPr>
        <w:t>مباشرة في المراجعة الطبية الدورية ل</w:t>
      </w:r>
      <w:r w:rsidR="0086359D">
        <w:rPr>
          <w:rFonts w:hint="cs"/>
          <w:rtl/>
        </w:rPr>
        <w:t>حالة ا</w:t>
      </w:r>
      <w:r w:rsidR="0086359D" w:rsidRPr="00FE4CB5">
        <w:rPr>
          <w:rFonts w:hint="cs"/>
          <w:rtl/>
        </w:rPr>
        <w:t xml:space="preserve">لسجناء في الحبس الانفرادي بموجب القانون الخاص بمرافق الاعتقال ومعاملة </w:t>
      </w:r>
      <w:r w:rsidR="0086359D">
        <w:rPr>
          <w:rFonts w:hint="cs"/>
          <w:rtl/>
        </w:rPr>
        <w:t>السجناء</w:t>
      </w:r>
      <w:r w:rsidR="0086359D" w:rsidRPr="00FE4CB5">
        <w:rPr>
          <w:rFonts w:hint="cs"/>
          <w:rtl/>
        </w:rPr>
        <w:t xml:space="preserve"> والموقوفين وقد تفسد هذه الممارسة العلاقة بين الطبيب والمريض، وهو عامل بالغ الأهمية في حماية </w:t>
      </w:r>
      <w:r w:rsidR="0086359D">
        <w:rPr>
          <w:rFonts w:hint="cs"/>
          <w:rtl/>
        </w:rPr>
        <w:t>حالة</w:t>
      </w:r>
      <w:r w:rsidR="0086359D" w:rsidRPr="00FE4CB5">
        <w:rPr>
          <w:rFonts w:hint="cs"/>
          <w:rtl/>
        </w:rPr>
        <w:t xml:space="preserve"> السجناء الصحية (المواد</w:t>
      </w:r>
      <w:r w:rsidR="00B23FAE">
        <w:rPr>
          <w:rFonts w:hint="eastAsia"/>
          <w:rtl/>
        </w:rPr>
        <w:t> </w:t>
      </w:r>
      <w:r w:rsidR="00296580">
        <w:rPr>
          <w:rFonts w:hint="cs"/>
          <w:rtl/>
        </w:rPr>
        <w:t>2 و11 و16).</w:t>
      </w:r>
    </w:p>
    <w:p w:rsidR="0086359D" w:rsidRPr="006F251D" w:rsidRDefault="006F251D" w:rsidP="006F251D">
      <w:pPr>
        <w:pStyle w:val="SingleTxtGA"/>
        <w:rPr>
          <w:rFonts w:hint="cs"/>
          <w:b/>
          <w:bCs/>
          <w:rtl/>
          <w:lang/>
        </w:rPr>
      </w:pPr>
      <w:r w:rsidRPr="006F251D">
        <w:rPr>
          <w:rFonts w:hint="cs"/>
          <w:b/>
          <w:bCs/>
          <w:rtl/>
        </w:rPr>
        <w:tab/>
      </w:r>
      <w:r w:rsidR="0086359D" w:rsidRPr="006F251D">
        <w:rPr>
          <w:rFonts w:hint="cs"/>
          <w:b/>
          <w:bCs/>
          <w:rtl/>
        </w:rPr>
        <w:t>تضع اللجنة في اعتبارها أحكام الاتفاقية و</w:t>
      </w:r>
      <w:r w:rsidR="0086359D" w:rsidRPr="006F251D">
        <w:rPr>
          <w:rFonts w:hint="cs"/>
          <w:b/>
          <w:bCs/>
          <w:rtl/>
          <w:lang/>
        </w:rPr>
        <w:t xml:space="preserve">قواعد الأمم المتحدة الدنيا النموذجية لمعاملة السجناء، وتحثّ الدولة الطرف على القيام بما يلي: </w:t>
      </w:r>
    </w:p>
    <w:p w:rsidR="0086359D" w:rsidRPr="006F251D" w:rsidRDefault="006F251D" w:rsidP="00086B43">
      <w:pPr>
        <w:pStyle w:val="SingleTxtGA"/>
        <w:rPr>
          <w:rFonts w:hint="cs"/>
          <w:b/>
          <w:bCs/>
          <w:rtl/>
          <w:lang/>
        </w:rPr>
      </w:pPr>
      <w:r w:rsidRPr="006F251D">
        <w:rPr>
          <w:rFonts w:hint="cs"/>
          <w:b/>
          <w:bCs/>
          <w:rtl/>
          <w:lang/>
        </w:rPr>
        <w:tab/>
        <w:t>(أ)</w:t>
      </w:r>
      <w:r w:rsidRPr="006F251D">
        <w:rPr>
          <w:rFonts w:hint="cs"/>
          <w:b/>
          <w:bCs/>
          <w:rtl/>
          <w:lang/>
        </w:rPr>
        <w:tab/>
      </w:r>
      <w:r w:rsidR="0086359D" w:rsidRPr="006F251D">
        <w:rPr>
          <w:rFonts w:hint="cs"/>
          <w:b/>
          <w:bCs/>
          <w:rtl/>
          <w:lang/>
        </w:rPr>
        <w:t>تنقيح تشريعها بغية ضمان أن يكون اللجوء إلى الحبس الانفرادي ملاذ</w:t>
      </w:r>
      <w:r w:rsidR="00AE5EDE">
        <w:rPr>
          <w:rFonts w:hint="cs"/>
          <w:b/>
          <w:bCs/>
          <w:rtl/>
          <w:lang/>
        </w:rPr>
        <w:t xml:space="preserve">اً </w:t>
      </w:r>
      <w:r w:rsidR="0086359D" w:rsidRPr="006F251D">
        <w:rPr>
          <w:rFonts w:hint="cs"/>
          <w:b/>
          <w:bCs/>
          <w:rtl/>
          <w:lang/>
        </w:rPr>
        <w:t>أخيرا</w:t>
      </w:r>
      <w:r w:rsidR="00086B43">
        <w:rPr>
          <w:rFonts w:hint="cs"/>
          <w:b/>
          <w:bCs/>
          <w:rtl/>
          <w:lang/>
        </w:rPr>
        <w:t>ً</w:t>
      </w:r>
      <w:r w:rsidR="0086359D" w:rsidRPr="006F251D">
        <w:rPr>
          <w:rFonts w:hint="cs"/>
          <w:b/>
          <w:bCs/>
          <w:rtl/>
          <w:lang/>
        </w:rPr>
        <w:t xml:space="preserve"> ولأقصر فترة ممكنة، على أن يكون خاضعا</w:t>
      </w:r>
      <w:r w:rsidR="00086B43">
        <w:rPr>
          <w:rFonts w:hint="cs"/>
          <w:b/>
          <w:bCs/>
          <w:rtl/>
          <w:lang/>
        </w:rPr>
        <w:t>ً</w:t>
      </w:r>
      <w:r w:rsidR="0086359D" w:rsidRPr="006F251D">
        <w:rPr>
          <w:rFonts w:hint="cs"/>
          <w:b/>
          <w:bCs/>
          <w:rtl/>
          <w:lang/>
        </w:rPr>
        <w:t xml:space="preserve"> </w:t>
      </w:r>
      <w:r w:rsidR="00086B43">
        <w:rPr>
          <w:rFonts w:hint="cs"/>
          <w:b/>
          <w:bCs/>
          <w:rtl/>
          <w:lang/>
        </w:rPr>
        <w:t>ل</w:t>
      </w:r>
      <w:r w:rsidR="0086359D" w:rsidRPr="006F251D">
        <w:rPr>
          <w:rFonts w:hint="cs"/>
          <w:b/>
          <w:bCs/>
          <w:rtl/>
          <w:lang/>
        </w:rPr>
        <w:t>لإشراف الصارم وقابلا</w:t>
      </w:r>
      <w:r w:rsidR="00086B43">
        <w:rPr>
          <w:rFonts w:hint="cs"/>
          <w:b/>
          <w:bCs/>
          <w:rtl/>
          <w:lang/>
        </w:rPr>
        <w:t>ً</w:t>
      </w:r>
      <w:r w:rsidR="0086359D" w:rsidRPr="006F251D">
        <w:rPr>
          <w:rFonts w:hint="cs"/>
          <w:b/>
          <w:bCs/>
          <w:rtl/>
          <w:lang/>
        </w:rPr>
        <w:t xml:space="preserve"> للمراجعة القضائية. ويتعين على الدولة الطرف أن تضع معايير واضحة ومحددة يتخذ على أساسها قرار العزل؛</w:t>
      </w:r>
    </w:p>
    <w:p w:rsidR="0086359D" w:rsidRPr="006F251D" w:rsidRDefault="006F251D" w:rsidP="006F251D">
      <w:pPr>
        <w:pStyle w:val="SingleTxtGA"/>
        <w:rPr>
          <w:rFonts w:hint="cs"/>
          <w:b/>
          <w:bCs/>
          <w:lang/>
        </w:rPr>
      </w:pPr>
      <w:r w:rsidRPr="006F251D">
        <w:rPr>
          <w:rFonts w:hint="cs"/>
          <w:b/>
          <w:bCs/>
          <w:rtl/>
          <w:lang/>
        </w:rPr>
        <w:tab/>
        <w:t>(ب)</w:t>
      </w:r>
      <w:r w:rsidRPr="006F251D">
        <w:rPr>
          <w:rFonts w:hint="cs"/>
          <w:b/>
          <w:bCs/>
          <w:rtl/>
          <w:lang/>
        </w:rPr>
        <w:tab/>
      </w:r>
      <w:r w:rsidR="0086359D" w:rsidRPr="006F251D">
        <w:rPr>
          <w:rFonts w:hint="cs"/>
          <w:b/>
          <w:bCs/>
          <w:rtl/>
          <w:lang/>
        </w:rPr>
        <w:t>وضع نظام منتظم لرصد ومراجعة ظروف المحتجزين البدنية والنفسية من جانب فريق طبي كفؤ طيلة مدة الحبس الانفرادي ووضع هذه السجلات الطبية في متناول المحتجزين ومستشاريهم القانونيين؛</w:t>
      </w:r>
    </w:p>
    <w:p w:rsidR="0086359D" w:rsidRPr="006F251D" w:rsidRDefault="006F251D" w:rsidP="006F251D">
      <w:pPr>
        <w:pStyle w:val="SingleTxtGA"/>
        <w:rPr>
          <w:rFonts w:hint="cs"/>
          <w:b/>
          <w:bCs/>
          <w:rtl/>
          <w:lang/>
        </w:rPr>
      </w:pPr>
      <w:r w:rsidRPr="006F251D">
        <w:rPr>
          <w:rFonts w:hint="cs"/>
          <w:b/>
          <w:bCs/>
          <w:rtl/>
          <w:lang/>
        </w:rPr>
        <w:tab/>
      </w:r>
      <w:r w:rsidR="0086359D" w:rsidRPr="006F251D">
        <w:rPr>
          <w:rFonts w:hint="cs"/>
          <w:b/>
          <w:bCs/>
          <w:rtl/>
          <w:lang/>
        </w:rPr>
        <w:t>(ج</w:t>
      </w:r>
      <w:r w:rsidRPr="006F251D">
        <w:rPr>
          <w:rFonts w:hint="cs"/>
          <w:b/>
          <w:bCs/>
          <w:rtl/>
          <w:lang/>
        </w:rPr>
        <w:t>)</w:t>
      </w:r>
      <w:r w:rsidRPr="006F251D">
        <w:rPr>
          <w:rFonts w:hint="cs"/>
          <w:b/>
          <w:bCs/>
          <w:rtl/>
          <w:lang/>
        </w:rPr>
        <w:tab/>
      </w:r>
      <w:r w:rsidR="0086359D" w:rsidRPr="006F251D">
        <w:rPr>
          <w:rFonts w:hint="cs"/>
          <w:b/>
          <w:bCs/>
          <w:rtl/>
          <w:lang/>
        </w:rPr>
        <w:t>رفع مستوى التواصل الاجتماعي النفسي مع المحتجزين في الحبس الانفرادي ليكون ذا معنى؛</w:t>
      </w:r>
    </w:p>
    <w:p w:rsidR="0086359D" w:rsidRPr="006F251D" w:rsidRDefault="006F251D" w:rsidP="006F251D">
      <w:pPr>
        <w:pStyle w:val="SingleTxtGA"/>
        <w:rPr>
          <w:rFonts w:hint="cs"/>
          <w:b/>
          <w:bCs/>
          <w:rtl/>
          <w:lang/>
        </w:rPr>
      </w:pPr>
      <w:r w:rsidRPr="006F251D">
        <w:rPr>
          <w:rFonts w:hint="cs"/>
          <w:b/>
          <w:bCs/>
          <w:rtl/>
          <w:lang/>
        </w:rPr>
        <w:tab/>
        <w:t>(د)</w:t>
      </w:r>
      <w:r w:rsidRPr="006F251D">
        <w:rPr>
          <w:rFonts w:hint="cs"/>
          <w:b/>
          <w:bCs/>
          <w:rtl/>
          <w:lang/>
        </w:rPr>
        <w:tab/>
      </w:r>
      <w:r w:rsidR="0086359D" w:rsidRPr="006F251D">
        <w:rPr>
          <w:rFonts w:hint="cs"/>
          <w:b/>
          <w:bCs/>
          <w:rtl/>
          <w:lang/>
        </w:rPr>
        <w:t>تقييم وتقدير الممارسة المتبعة لاستخدام الحبس الانفرادي وتوفير المعلومات المحددة والمصنّفة بشأن استخدام الحبس الانفرادي وظروفه.</w:t>
      </w:r>
    </w:p>
    <w:p w:rsidR="0086359D" w:rsidRPr="00261DFD" w:rsidRDefault="006F251D" w:rsidP="006F251D">
      <w:pPr>
        <w:pStyle w:val="H23GA"/>
        <w:rPr>
          <w:rFonts w:hint="cs"/>
          <w:rtl/>
          <w:lang/>
        </w:rPr>
      </w:pPr>
      <w:r>
        <w:rPr>
          <w:rFonts w:hint="cs"/>
          <w:rtl/>
          <w:lang/>
        </w:rPr>
        <w:tab/>
      </w:r>
      <w:r>
        <w:rPr>
          <w:rFonts w:hint="cs"/>
          <w:rtl/>
          <w:lang/>
        </w:rPr>
        <w:tab/>
      </w:r>
      <w:r w:rsidR="00086B43">
        <w:rPr>
          <w:rFonts w:hint="cs"/>
          <w:rtl/>
          <w:lang/>
        </w:rPr>
        <w:t>عقوبة الإعدام</w:t>
      </w:r>
    </w:p>
    <w:p w:rsidR="0086359D" w:rsidRPr="00FE4CB5" w:rsidRDefault="006F251D" w:rsidP="006F251D">
      <w:pPr>
        <w:pStyle w:val="SingleTxtGA"/>
        <w:rPr>
          <w:rFonts w:hint="cs"/>
          <w:rtl/>
          <w:lang/>
        </w:rPr>
      </w:pPr>
      <w:r>
        <w:rPr>
          <w:rFonts w:hint="cs"/>
          <w:rtl/>
          <w:lang/>
        </w:rPr>
        <w:t>15-</w:t>
      </w:r>
      <w:r>
        <w:rPr>
          <w:rFonts w:hint="cs"/>
          <w:rtl/>
          <w:lang/>
        </w:rPr>
        <w:tab/>
      </w:r>
      <w:r w:rsidR="0086359D" w:rsidRPr="00FE4CB5">
        <w:rPr>
          <w:rFonts w:hint="cs"/>
          <w:rtl/>
          <w:lang/>
        </w:rPr>
        <w:t>تشعر اللجن</w:t>
      </w:r>
      <w:r w:rsidR="0086359D">
        <w:rPr>
          <w:rFonts w:hint="cs"/>
          <w:rtl/>
          <w:lang/>
        </w:rPr>
        <w:t>ة بقلق بالغ إزاء ظروف الاحتجاز التي يعيشها السجناء</w:t>
      </w:r>
      <w:r w:rsidR="0086359D" w:rsidRPr="00FE4CB5">
        <w:rPr>
          <w:rFonts w:hint="cs"/>
          <w:rtl/>
          <w:lang/>
        </w:rPr>
        <w:t xml:space="preserve"> المحكوم عليهم بالإعدام في الدولة الطرف، لا</w:t>
      </w:r>
      <w:r w:rsidR="00AE5EDE">
        <w:rPr>
          <w:rFonts w:hint="eastAsia"/>
          <w:rtl/>
          <w:lang/>
        </w:rPr>
        <w:t> </w:t>
      </w:r>
      <w:r w:rsidR="00AE5EDE">
        <w:rPr>
          <w:rFonts w:hint="cs"/>
          <w:rtl/>
          <w:lang/>
        </w:rPr>
        <w:t>سيما في</w:t>
      </w:r>
      <w:r w:rsidR="0086359D" w:rsidRPr="00FE4CB5">
        <w:rPr>
          <w:rFonts w:hint="cs"/>
          <w:rtl/>
          <w:lang/>
        </w:rPr>
        <w:t xml:space="preserve">ما يتعلق بما يلي: </w:t>
      </w:r>
    </w:p>
    <w:p w:rsidR="0086359D" w:rsidRPr="00FE4CB5" w:rsidRDefault="006F251D" w:rsidP="005B4839">
      <w:pPr>
        <w:pStyle w:val="SingleTxtGA"/>
        <w:rPr>
          <w:rFonts w:hint="cs"/>
          <w:rtl/>
          <w:lang/>
        </w:rPr>
      </w:pPr>
      <w:r>
        <w:rPr>
          <w:rFonts w:hint="cs"/>
          <w:rtl/>
          <w:lang/>
        </w:rPr>
        <w:tab/>
        <w:t>(أ)</w:t>
      </w:r>
      <w:r>
        <w:rPr>
          <w:rFonts w:hint="cs"/>
          <w:rtl/>
          <w:lang/>
        </w:rPr>
        <w:tab/>
      </w:r>
      <w:r w:rsidR="0086359D" w:rsidRPr="00FE4CB5">
        <w:rPr>
          <w:rFonts w:hint="cs"/>
          <w:rtl/>
          <w:lang/>
        </w:rPr>
        <w:t xml:space="preserve">السرية والشك </w:t>
      </w:r>
      <w:r w:rsidR="0086359D">
        <w:rPr>
          <w:rFonts w:hint="cs"/>
          <w:rtl/>
          <w:lang/>
        </w:rPr>
        <w:t>غير الضروريين</w:t>
      </w:r>
      <w:r w:rsidR="0086359D" w:rsidRPr="00FE4CB5">
        <w:rPr>
          <w:rFonts w:hint="cs"/>
          <w:rtl/>
          <w:lang/>
        </w:rPr>
        <w:t xml:space="preserve"> اللذان يحيطان</w:t>
      </w:r>
      <w:r w:rsidR="0086359D">
        <w:rPr>
          <w:rFonts w:hint="cs"/>
          <w:rtl/>
          <w:lang/>
        </w:rPr>
        <w:t xml:space="preserve"> إعدام</w:t>
      </w:r>
      <w:r w:rsidR="0086359D" w:rsidRPr="00FE4CB5">
        <w:rPr>
          <w:rFonts w:hint="cs"/>
          <w:rtl/>
          <w:lang/>
        </w:rPr>
        <w:t xml:space="preserve"> السجناء المحكوم عليهم</w:t>
      </w:r>
      <w:r w:rsidR="0086359D">
        <w:rPr>
          <w:rFonts w:hint="cs"/>
          <w:rtl/>
          <w:lang/>
        </w:rPr>
        <w:t xml:space="preserve"> بالإعدام</w:t>
      </w:r>
      <w:r w:rsidR="0086359D" w:rsidRPr="00FE4CB5">
        <w:rPr>
          <w:rFonts w:hint="cs"/>
          <w:rtl/>
          <w:lang/>
        </w:rPr>
        <w:t xml:space="preserve">. ووفق ما أشار إليه المقرر الخاص بشأن الإعدام خارج القضاء أو بإجراءات موجزة أو تعسفاً، فإن رفض إعطاء الأشخاص الذين تمت إدانتهم وأفراد </w:t>
      </w:r>
      <w:r w:rsidR="0086359D">
        <w:rPr>
          <w:rFonts w:hint="cs"/>
          <w:rtl/>
          <w:lang/>
        </w:rPr>
        <w:t>أسرتهم</w:t>
      </w:r>
      <w:r w:rsidR="0086359D" w:rsidRPr="00FE4CB5">
        <w:rPr>
          <w:rFonts w:hint="cs"/>
          <w:rtl/>
          <w:lang/>
        </w:rPr>
        <w:t xml:space="preserve"> إشعاراً مسبقاً بتاريخ تنفيذ الإعدام ووقته، هو انتهاك جليّ لحقوق الإنسان (</w:t>
      </w:r>
      <w:r w:rsidR="0086359D" w:rsidRPr="00FE4CB5">
        <w:rPr>
          <w:lang/>
        </w:rPr>
        <w:t>E/CN.4/2006/53/Add.3</w:t>
      </w:r>
      <w:r w:rsidR="0086359D" w:rsidRPr="00FE4CB5">
        <w:rPr>
          <w:rFonts w:hint="cs"/>
          <w:rtl/>
        </w:rPr>
        <w:t>، الفقرة</w:t>
      </w:r>
      <w:r w:rsidR="00D47561">
        <w:rPr>
          <w:rFonts w:hint="eastAsia"/>
          <w:rtl/>
        </w:rPr>
        <w:t> </w:t>
      </w:r>
      <w:r w:rsidR="005B4839">
        <w:rPr>
          <w:rFonts w:hint="cs"/>
          <w:rtl/>
        </w:rPr>
        <w:t>32</w:t>
      </w:r>
      <w:r w:rsidR="0086359D" w:rsidRPr="00FE4CB5">
        <w:rPr>
          <w:rFonts w:hint="cs"/>
          <w:rtl/>
        </w:rPr>
        <w:t>)</w:t>
      </w:r>
      <w:r w:rsidR="0086359D" w:rsidRPr="00FE4CB5">
        <w:rPr>
          <w:rFonts w:hint="cs"/>
          <w:rtl/>
          <w:lang/>
        </w:rPr>
        <w:t>؛</w:t>
      </w:r>
    </w:p>
    <w:p w:rsidR="0086359D" w:rsidRPr="00FE4CB5" w:rsidRDefault="006F251D" w:rsidP="006F251D">
      <w:pPr>
        <w:pStyle w:val="SingleTxtGA"/>
        <w:rPr>
          <w:rFonts w:hint="cs"/>
          <w:rtl/>
          <w:lang/>
        </w:rPr>
      </w:pPr>
      <w:r>
        <w:rPr>
          <w:rFonts w:hint="cs"/>
          <w:rtl/>
          <w:lang/>
        </w:rPr>
        <w:tab/>
        <w:t>(ب)</w:t>
      </w:r>
      <w:r>
        <w:rPr>
          <w:rFonts w:hint="cs"/>
          <w:rtl/>
          <w:lang/>
        </w:rPr>
        <w:tab/>
      </w:r>
      <w:r w:rsidR="0086359D" w:rsidRPr="00FE4CB5">
        <w:rPr>
          <w:rFonts w:hint="cs"/>
          <w:rtl/>
          <w:lang/>
        </w:rPr>
        <w:t>استخدام الحبس الانفرادي للأشخاص المحكوم عليهم بالإعدام وغالباً لفترات زمنية مطولة قد تتعدى الثلاثين عاماً في بعض الحالات والتواصل المحدود مع الخارج؛</w:t>
      </w:r>
    </w:p>
    <w:p w:rsidR="0086359D" w:rsidRPr="00FE4CB5" w:rsidRDefault="006F251D" w:rsidP="005B4839">
      <w:pPr>
        <w:pStyle w:val="SingleTxtGA"/>
        <w:rPr>
          <w:rFonts w:hint="cs"/>
          <w:rtl/>
          <w:lang/>
        </w:rPr>
      </w:pPr>
      <w:r>
        <w:rPr>
          <w:rFonts w:hint="cs"/>
          <w:rtl/>
          <w:lang/>
        </w:rPr>
        <w:tab/>
      </w:r>
      <w:r w:rsidR="0086359D" w:rsidRPr="00FE4CB5">
        <w:rPr>
          <w:rFonts w:hint="cs"/>
          <w:rtl/>
          <w:lang/>
        </w:rPr>
        <w:t>(ج)</w:t>
      </w:r>
      <w:r>
        <w:rPr>
          <w:rFonts w:hint="cs"/>
          <w:rtl/>
          <w:lang/>
        </w:rPr>
        <w:tab/>
      </w:r>
      <w:r w:rsidR="0086359D">
        <w:rPr>
          <w:rFonts w:hint="cs"/>
          <w:rtl/>
          <w:lang/>
        </w:rPr>
        <w:t>الإخلال بالحق في</w:t>
      </w:r>
      <w:r w:rsidR="0086359D" w:rsidRPr="00FE4CB5">
        <w:rPr>
          <w:rFonts w:hint="cs"/>
          <w:rtl/>
          <w:lang/>
        </w:rPr>
        <w:t xml:space="preserve"> الحصول على مساعدة مستشار قانوني، </w:t>
      </w:r>
      <w:r w:rsidR="0086359D">
        <w:rPr>
          <w:rFonts w:hint="cs"/>
          <w:rtl/>
          <w:lang/>
        </w:rPr>
        <w:t>وما ينطوي عليه ذلك من محدودية</w:t>
      </w:r>
      <w:r w:rsidR="00826260">
        <w:rPr>
          <w:rFonts w:hint="cs"/>
          <w:rtl/>
          <w:lang/>
        </w:rPr>
        <w:t xml:space="preserve"> </w:t>
      </w:r>
      <w:r w:rsidR="0086359D" w:rsidRPr="00FE4CB5">
        <w:rPr>
          <w:rFonts w:hint="cs"/>
          <w:rtl/>
          <w:lang/>
        </w:rPr>
        <w:t>ال</w:t>
      </w:r>
      <w:r w:rsidR="0086359D">
        <w:rPr>
          <w:rFonts w:hint="cs"/>
          <w:rtl/>
          <w:lang/>
        </w:rPr>
        <w:t>اتصال</w:t>
      </w:r>
      <w:r w:rsidR="0086359D" w:rsidRPr="00FE4CB5">
        <w:rPr>
          <w:rFonts w:hint="cs"/>
          <w:rtl/>
          <w:lang/>
        </w:rPr>
        <w:t xml:space="preserve"> </w:t>
      </w:r>
      <w:r w:rsidR="007C7DB2">
        <w:rPr>
          <w:rFonts w:hint="cs"/>
          <w:rtl/>
          <w:lang/>
        </w:rPr>
        <w:t>بمحام في كنف من السرية</w:t>
      </w:r>
      <w:r w:rsidR="0086359D" w:rsidRPr="00FE4CB5">
        <w:rPr>
          <w:rFonts w:hint="cs"/>
          <w:rtl/>
          <w:lang/>
        </w:rPr>
        <w:t>؛</w:t>
      </w:r>
      <w:r w:rsidR="00826260">
        <w:rPr>
          <w:rFonts w:hint="cs"/>
          <w:rtl/>
          <w:lang/>
        </w:rPr>
        <w:t xml:space="preserve"> </w:t>
      </w:r>
    </w:p>
    <w:p w:rsidR="0086359D" w:rsidRPr="00FE4CB5" w:rsidRDefault="006F251D" w:rsidP="006F251D">
      <w:pPr>
        <w:pStyle w:val="SingleTxtGA"/>
        <w:rPr>
          <w:rFonts w:hint="cs"/>
          <w:rtl/>
          <w:lang/>
        </w:rPr>
      </w:pPr>
      <w:r>
        <w:rPr>
          <w:rFonts w:hint="cs"/>
          <w:rtl/>
          <w:lang/>
        </w:rPr>
        <w:tab/>
        <w:t>(د)</w:t>
      </w:r>
      <w:r>
        <w:rPr>
          <w:rFonts w:hint="cs"/>
          <w:rtl/>
          <w:lang/>
        </w:rPr>
        <w:tab/>
      </w:r>
      <w:r w:rsidR="0086359D" w:rsidRPr="00FE4CB5">
        <w:rPr>
          <w:rFonts w:hint="cs"/>
          <w:rtl/>
          <w:lang/>
        </w:rPr>
        <w:t xml:space="preserve">غياب نظام الاستئناف الإلزامي بشأن قضايا الإعدام نظراً إلى العدد المتزايد </w:t>
      </w:r>
      <w:r w:rsidR="0086359D">
        <w:rPr>
          <w:rFonts w:hint="cs"/>
          <w:rtl/>
          <w:lang/>
        </w:rPr>
        <w:t>من ال</w:t>
      </w:r>
      <w:r w:rsidR="0086359D" w:rsidRPr="00FE4CB5">
        <w:rPr>
          <w:rFonts w:hint="cs"/>
          <w:rtl/>
          <w:lang/>
        </w:rPr>
        <w:t>متهمين ا</w:t>
      </w:r>
      <w:r w:rsidR="0086359D">
        <w:rPr>
          <w:rFonts w:hint="cs"/>
          <w:rtl/>
          <w:lang/>
        </w:rPr>
        <w:t>لمدانين والخاضعين لعقوبة الإعدام</w:t>
      </w:r>
      <w:r w:rsidR="0086359D" w:rsidRPr="00FE4CB5">
        <w:rPr>
          <w:rFonts w:hint="cs"/>
          <w:rtl/>
          <w:lang/>
        </w:rPr>
        <w:t xml:space="preserve"> دون ممارسة حقهم</w:t>
      </w:r>
      <w:r w:rsidR="00826260">
        <w:rPr>
          <w:rFonts w:hint="cs"/>
          <w:rtl/>
          <w:lang/>
        </w:rPr>
        <w:t xml:space="preserve"> </w:t>
      </w:r>
      <w:r w:rsidR="0086359D">
        <w:rPr>
          <w:rFonts w:hint="cs"/>
          <w:rtl/>
          <w:lang/>
        </w:rPr>
        <w:t xml:space="preserve">في </w:t>
      </w:r>
      <w:r w:rsidR="0086359D" w:rsidRPr="00FE4CB5">
        <w:rPr>
          <w:rFonts w:hint="cs"/>
          <w:rtl/>
          <w:lang/>
        </w:rPr>
        <w:t>الاستئناف؛</w:t>
      </w:r>
    </w:p>
    <w:p w:rsidR="0086359D" w:rsidRPr="00FE4CB5" w:rsidRDefault="006F251D" w:rsidP="00AE5EDE">
      <w:pPr>
        <w:pStyle w:val="SingleTxtGA"/>
        <w:rPr>
          <w:rFonts w:hint="cs"/>
          <w:rtl/>
          <w:lang/>
        </w:rPr>
      </w:pPr>
      <w:r>
        <w:rPr>
          <w:rFonts w:hint="cs"/>
          <w:rtl/>
          <w:lang/>
        </w:rPr>
        <w:tab/>
      </w:r>
      <w:r w:rsidR="0086359D" w:rsidRPr="00FE4CB5">
        <w:rPr>
          <w:rFonts w:hint="cs"/>
          <w:rtl/>
          <w:lang/>
        </w:rPr>
        <w:t>(</w:t>
      </w:r>
      <w:r>
        <w:rPr>
          <w:rFonts w:hint="cs"/>
          <w:rtl/>
          <w:lang/>
        </w:rPr>
        <w:t>ه‍(</w:t>
      </w:r>
      <w:r>
        <w:rPr>
          <w:rFonts w:hint="cs"/>
          <w:rtl/>
          <w:lang/>
        </w:rPr>
        <w:tab/>
      </w:r>
      <w:r w:rsidR="0086359D" w:rsidRPr="00FE4CB5">
        <w:rPr>
          <w:rFonts w:hint="cs"/>
          <w:rtl/>
          <w:lang/>
        </w:rPr>
        <w:t>عدم استخدام سلطة منح العفو م</w:t>
      </w:r>
      <w:r w:rsidR="00AE5EDE">
        <w:rPr>
          <w:rFonts w:hint="cs"/>
          <w:rtl/>
          <w:lang/>
        </w:rPr>
        <w:t>نذ العام 2007 وغياب الشفافية في</w:t>
      </w:r>
      <w:r w:rsidR="0086359D" w:rsidRPr="00FE4CB5">
        <w:rPr>
          <w:rFonts w:hint="cs"/>
          <w:rtl/>
          <w:lang/>
        </w:rPr>
        <w:t>ما</w:t>
      </w:r>
      <w:r w:rsidR="00AE5EDE">
        <w:rPr>
          <w:rFonts w:hint="eastAsia"/>
          <w:rtl/>
          <w:lang/>
        </w:rPr>
        <w:t> </w:t>
      </w:r>
      <w:r w:rsidR="0086359D" w:rsidRPr="00FE4CB5">
        <w:rPr>
          <w:rFonts w:hint="cs"/>
          <w:rtl/>
          <w:lang/>
        </w:rPr>
        <w:t>يتعلق بإجراءات السعي لل</w:t>
      </w:r>
      <w:r w:rsidR="0086359D">
        <w:rPr>
          <w:rFonts w:hint="cs"/>
          <w:rtl/>
          <w:lang/>
        </w:rPr>
        <w:t xml:space="preserve">استفادة </w:t>
      </w:r>
      <w:r w:rsidR="0086359D" w:rsidRPr="00FE4CB5">
        <w:rPr>
          <w:rFonts w:hint="cs"/>
          <w:rtl/>
          <w:lang/>
        </w:rPr>
        <w:t>من العفو أو تخفيف العقوبة أو إرجائها؛</w:t>
      </w:r>
    </w:p>
    <w:p w:rsidR="0086359D" w:rsidRPr="00FE4CB5" w:rsidRDefault="006F251D" w:rsidP="006F251D">
      <w:pPr>
        <w:pStyle w:val="SingleTxtGA"/>
        <w:rPr>
          <w:rFonts w:hint="cs"/>
          <w:rtl/>
          <w:lang/>
        </w:rPr>
      </w:pPr>
      <w:r>
        <w:rPr>
          <w:rFonts w:hint="cs"/>
          <w:rtl/>
          <w:lang/>
        </w:rPr>
        <w:tab/>
        <w:t>(و)</w:t>
      </w:r>
      <w:r>
        <w:rPr>
          <w:rFonts w:hint="cs"/>
          <w:rtl/>
          <w:lang/>
        </w:rPr>
        <w:tab/>
      </w:r>
      <w:r w:rsidR="0086359D" w:rsidRPr="00FE4CB5">
        <w:rPr>
          <w:rFonts w:hint="cs"/>
          <w:rtl/>
          <w:lang/>
        </w:rPr>
        <w:t>تقارير بشأن عقوبات إعدام منفّذة حتى</w:t>
      </w:r>
      <w:r w:rsidR="0086359D">
        <w:rPr>
          <w:rFonts w:hint="cs"/>
          <w:rtl/>
          <w:lang/>
        </w:rPr>
        <w:t xml:space="preserve"> بعد أن </w:t>
      </w:r>
      <w:r w:rsidR="0086359D" w:rsidRPr="00FE4CB5">
        <w:rPr>
          <w:rFonts w:hint="cs"/>
          <w:rtl/>
          <w:lang/>
        </w:rPr>
        <w:t>حكمت المحكمة</w:t>
      </w:r>
      <w:r w:rsidR="0086359D">
        <w:rPr>
          <w:rFonts w:hint="cs"/>
          <w:rtl/>
          <w:lang/>
        </w:rPr>
        <w:t xml:space="preserve"> بأن</w:t>
      </w:r>
      <w:r w:rsidR="0086359D" w:rsidRPr="00FE4CB5">
        <w:rPr>
          <w:rFonts w:hint="cs"/>
          <w:rtl/>
          <w:lang/>
        </w:rPr>
        <w:t xml:space="preserve"> الشخص مريض عقلياً كما في حالة</w:t>
      </w:r>
      <w:r w:rsidR="00415D35">
        <w:rPr>
          <w:rFonts w:hint="cs"/>
          <w:rtl/>
          <w:lang/>
        </w:rPr>
        <w:t xml:space="preserve"> سيها فوجيما، خلافاً للمادة 479</w:t>
      </w:r>
      <w:r w:rsidR="0086359D" w:rsidRPr="00FE4CB5">
        <w:rPr>
          <w:rFonts w:hint="cs"/>
          <w:rtl/>
          <w:lang/>
        </w:rPr>
        <w:t xml:space="preserve">(1) من قانون الإجراءات الجنائية الذي يحظر إعدام سجين في حالة اختلال عقلي (المواد 2 و11 و16). </w:t>
      </w:r>
    </w:p>
    <w:p w:rsidR="0086359D" w:rsidRPr="006F251D" w:rsidRDefault="006F251D" w:rsidP="0002791C">
      <w:pPr>
        <w:pStyle w:val="SingleTxtGA"/>
        <w:rPr>
          <w:rFonts w:hint="cs"/>
          <w:b/>
          <w:bCs/>
          <w:rtl/>
        </w:rPr>
      </w:pPr>
      <w:r w:rsidRPr="006F251D">
        <w:rPr>
          <w:rFonts w:hint="cs"/>
          <w:b/>
          <w:bCs/>
          <w:rtl/>
          <w:lang/>
        </w:rPr>
        <w:tab/>
      </w:r>
      <w:r w:rsidR="0086359D" w:rsidRPr="006F251D">
        <w:rPr>
          <w:rFonts w:hint="cs"/>
          <w:b/>
          <w:bCs/>
          <w:rtl/>
          <w:lang/>
        </w:rPr>
        <w:t>في ضوء التوصيات السابقة التي قدمتها اللجنة (الفقرة 17) واللجنة المعنية بحقوق الإنسان (</w:t>
      </w:r>
      <w:r w:rsidR="0086359D" w:rsidRPr="006F251D">
        <w:rPr>
          <w:b/>
          <w:bCs/>
        </w:rPr>
        <w:t>CCPR/C/GC/32</w:t>
      </w:r>
      <w:r w:rsidR="0086359D" w:rsidRPr="006F251D">
        <w:rPr>
          <w:rFonts w:hint="cs"/>
          <w:b/>
          <w:bCs/>
          <w:rtl/>
        </w:rPr>
        <w:t xml:space="preserve">، الفقرة 38) والبلاغ الذي أرسله المقرر الخاص بشأن الإعدام </w:t>
      </w:r>
      <w:r w:rsidR="0086359D" w:rsidRPr="006F251D">
        <w:rPr>
          <w:b/>
          <w:bCs/>
          <w:rtl/>
        </w:rPr>
        <w:t>خارج القضاء أو بإجراءات موجزة أو تعسفاً</w:t>
      </w:r>
      <w:r w:rsidR="0086359D" w:rsidRPr="006F251D">
        <w:rPr>
          <w:rFonts w:hint="cs"/>
          <w:b/>
          <w:bCs/>
          <w:rtl/>
        </w:rPr>
        <w:t xml:space="preserve"> (</w:t>
      </w:r>
      <w:r w:rsidR="0086359D" w:rsidRPr="006F251D">
        <w:rPr>
          <w:b/>
          <w:bCs/>
        </w:rPr>
        <w:t>A/HRC/14/24/Add.1</w:t>
      </w:r>
      <w:r w:rsidR="0086359D" w:rsidRPr="006F251D">
        <w:rPr>
          <w:rFonts w:hint="cs"/>
          <w:b/>
          <w:bCs/>
          <w:rtl/>
        </w:rPr>
        <w:t>، الفقرة</w:t>
      </w:r>
      <w:r>
        <w:rPr>
          <w:rFonts w:hint="eastAsia"/>
          <w:b/>
          <w:bCs/>
          <w:rtl/>
        </w:rPr>
        <w:t> </w:t>
      </w:r>
      <w:r w:rsidR="0002791C">
        <w:rPr>
          <w:rFonts w:hint="cs"/>
          <w:b/>
          <w:bCs/>
          <w:rtl/>
        </w:rPr>
        <w:t>515</w:t>
      </w:r>
      <w:r w:rsidR="0002791C">
        <w:rPr>
          <w:rFonts w:hint="eastAsia"/>
          <w:b/>
          <w:bCs/>
          <w:rtl/>
        </w:rPr>
        <w:t> </w:t>
      </w:r>
      <w:r w:rsidR="0086359D" w:rsidRPr="006F251D">
        <w:rPr>
          <w:rFonts w:hint="cs"/>
          <w:b/>
          <w:bCs/>
          <w:rtl/>
        </w:rPr>
        <w:t xml:space="preserve">وو)، تحث اللجنة الدولة الطرف على كفالة توفير الضمانات القانونية والحماية، بموجب الاتفاقية، للسجناء المحكوم عليهم بالإعدام، وذلك من خلال: </w:t>
      </w:r>
    </w:p>
    <w:p w:rsidR="0086359D" w:rsidRPr="006F251D" w:rsidRDefault="006F251D" w:rsidP="006F251D">
      <w:pPr>
        <w:pStyle w:val="SingleTxtGA"/>
        <w:rPr>
          <w:rFonts w:hint="cs"/>
          <w:b/>
          <w:bCs/>
          <w:rtl/>
        </w:rPr>
      </w:pPr>
      <w:r w:rsidRPr="006F251D">
        <w:rPr>
          <w:rFonts w:hint="cs"/>
          <w:b/>
          <w:bCs/>
          <w:rtl/>
        </w:rPr>
        <w:tab/>
        <w:t>(أ)</w:t>
      </w:r>
      <w:r w:rsidRPr="006F251D">
        <w:rPr>
          <w:rFonts w:hint="cs"/>
          <w:b/>
          <w:bCs/>
          <w:rtl/>
        </w:rPr>
        <w:tab/>
      </w:r>
      <w:r w:rsidR="0086359D" w:rsidRPr="006F251D">
        <w:rPr>
          <w:rFonts w:hint="cs"/>
          <w:b/>
          <w:bCs/>
          <w:rtl/>
        </w:rPr>
        <w:t>إعطاء السجناء المحكوم عليهم بالإعدام وأسرتهم إشعاراً مسبقاً معقولاً بشأن تاريخ تنفيذ الحكم ووقته؛</w:t>
      </w:r>
    </w:p>
    <w:p w:rsidR="0086359D" w:rsidRPr="006F251D" w:rsidRDefault="006F251D" w:rsidP="006F251D">
      <w:pPr>
        <w:pStyle w:val="SingleTxtGA"/>
        <w:rPr>
          <w:rFonts w:hint="cs"/>
          <w:b/>
          <w:bCs/>
        </w:rPr>
      </w:pPr>
      <w:r w:rsidRPr="006F251D">
        <w:rPr>
          <w:rFonts w:hint="cs"/>
          <w:b/>
          <w:bCs/>
          <w:rtl/>
        </w:rPr>
        <w:tab/>
        <w:t>(ب)</w:t>
      </w:r>
      <w:r w:rsidRPr="006F251D">
        <w:rPr>
          <w:rFonts w:hint="cs"/>
          <w:b/>
          <w:bCs/>
          <w:rtl/>
        </w:rPr>
        <w:tab/>
      </w:r>
      <w:r w:rsidR="0086359D" w:rsidRPr="006F251D">
        <w:rPr>
          <w:rFonts w:hint="cs"/>
          <w:b/>
          <w:bCs/>
          <w:rtl/>
        </w:rPr>
        <w:t>تنقيح القواعد التي تحكم</w:t>
      </w:r>
      <w:r w:rsidR="00FD5EDB">
        <w:rPr>
          <w:rFonts w:hint="cs"/>
          <w:b/>
          <w:bCs/>
          <w:rtl/>
        </w:rPr>
        <w:t xml:space="preserve"> </w:t>
      </w:r>
      <w:r w:rsidR="0086359D" w:rsidRPr="006F251D">
        <w:rPr>
          <w:rFonts w:hint="cs"/>
          <w:b/>
          <w:bCs/>
          <w:rtl/>
        </w:rPr>
        <w:t>الحبس الانفرادي للسجناء المحكوم عليهم بالإعدام؛</w:t>
      </w:r>
    </w:p>
    <w:p w:rsidR="0086359D" w:rsidRPr="006F251D" w:rsidRDefault="006F251D" w:rsidP="006F251D">
      <w:pPr>
        <w:pStyle w:val="SingleTxtGA"/>
        <w:rPr>
          <w:rFonts w:hint="cs"/>
          <w:b/>
          <w:bCs/>
          <w:rtl/>
        </w:rPr>
      </w:pPr>
      <w:r w:rsidRPr="006F251D">
        <w:rPr>
          <w:rFonts w:hint="cs"/>
          <w:b/>
          <w:bCs/>
          <w:rtl/>
        </w:rPr>
        <w:tab/>
        <w:t>(ج)</w:t>
      </w:r>
      <w:r w:rsidRPr="006F251D">
        <w:rPr>
          <w:rFonts w:hint="cs"/>
          <w:b/>
          <w:bCs/>
          <w:rtl/>
        </w:rPr>
        <w:tab/>
      </w:r>
      <w:r w:rsidR="0086359D" w:rsidRPr="006F251D">
        <w:rPr>
          <w:rFonts w:hint="cs"/>
          <w:b/>
          <w:bCs/>
          <w:rtl/>
        </w:rPr>
        <w:t>ضمان توفير مساعدة مستشار قانوني فعالة للسجناء المحكوم عليهم بالإعدام في كافة مراحل الإجراءات، وكفالة السرية المطلقة للقاءات مع محاميهم؛</w:t>
      </w:r>
    </w:p>
    <w:p w:rsidR="0086359D" w:rsidRPr="006F251D" w:rsidRDefault="006F251D" w:rsidP="006F251D">
      <w:pPr>
        <w:pStyle w:val="SingleTxtGA"/>
        <w:rPr>
          <w:rFonts w:hint="cs"/>
          <w:b/>
          <w:bCs/>
          <w:rtl/>
        </w:rPr>
      </w:pPr>
      <w:r w:rsidRPr="006F251D">
        <w:rPr>
          <w:rFonts w:hint="cs"/>
          <w:b/>
          <w:bCs/>
          <w:rtl/>
        </w:rPr>
        <w:tab/>
        <w:t>(د)</w:t>
      </w:r>
      <w:r w:rsidRPr="006F251D">
        <w:rPr>
          <w:rFonts w:hint="cs"/>
          <w:b/>
          <w:bCs/>
          <w:rtl/>
        </w:rPr>
        <w:tab/>
      </w:r>
      <w:r w:rsidR="0086359D" w:rsidRPr="006F251D">
        <w:rPr>
          <w:rFonts w:hint="cs"/>
          <w:b/>
          <w:bCs/>
          <w:rtl/>
        </w:rPr>
        <w:t>إتاحة سلطة منح العفو وتخفيف الحكم وإرجائه، في الممارسة الواقعية، لصالح</w:t>
      </w:r>
      <w:r w:rsidR="00826260">
        <w:rPr>
          <w:rFonts w:hint="cs"/>
          <w:b/>
          <w:bCs/>
          <w:rtl/>
        </w:rPr>
        <w:t xml:space="preserve"> </w:t>
      </w:r>
      <w:r w:rsidR="0086359D" w:rsidRPr="006F251D">
        <w:rPr>
          <w:rFonts w:hint="cs"/>
          <w:b/>
          <w:bCs/>
          <w:rtl/>
        </w:rPr>
        <w:t>السجناء المحكوم عليهم بالإعدام؛</w:t>
      </w:r>
    </w:p>
    <w:p w:rsidR="0086359D" w:rsidRPr="006F251D" w:rsidRDefault="006F251D" w:rsidP="006F251D">
      <w:pPr>
        <w:pStyle w:val="SingleTxtGA"/>
        <w:rPr>
          <w:rFonts w:hint="cs"/>
          <w:b/>
          <w:bCs/>
          <w:rtl/>
        </w:rPr>
      </w:pPr>
      <w:r w:rsidRPr="006F251D">
        <w:rPr>
          <w:rFonts w:hint="cs"/>
          <w:b/>
          <w:bCs/>
          <w:rtl/>
        </w:rPr>
        <w:tab/>
      </w:r>
      <w:r w:rsidR="0086359D" w:rsidRPr="006F251D">
        <w:rPr>
          <w:rFonts w:hint="cs"/>
          <w:b/>
          <w:bCs/>
          <w:rtl/>
        </w:rPr>
        <w:t>(ه</w:t>
      </w:r>
      <w:r w:rsidRPr="006F251D">
        <w:rPr>
          <w:rFonts w:hint="cs"/>
          <w:b/>
          <w:bCs/>
          <w:rtl/>
        </w:rPr>
        <w:t>‍(</w:t>
      </w:r>
      <w:r w:rsidRPr="006F251D">
        <w:rPr>
          <w:rFonts w:hint="cs"/>
          <w:b/>
          <w:bCs/>
          <w:rtl/>
        </w:rPr>
        <w:tab/>
      </w:r>
      <w:r w:rsidR="0086359D" w:rsidRPr="006F251D">
        <w:rPr>
          <w:rFonts w:hint="cs"/>
          <w:b/>
          <w:bCs/>
          <w:rtl/>
        </w:rPr>
        <w:t>إنشاء نظام استعراض إلزامي لقضايا الإعدام، مع أثر إيقافي عقب إصدار المحكمة الابتدائية حكماً بالإعدام؛</w:t>
      </w:r>
    </w:p>
    <w:p w:rsidR="0086359D" w:rsidRPr="006F251D" w:rsidRDefault="006F251D" w:rsidP="006F251D">
      <w:pPr>
        <w:pStyle w:val="SingleTxtGA"/>
        <w:rPr>
          <w:rFonts w:hint="cs"/>
          <w:b/>
          <w:bCs/>
          <w:rtl/>
        </w:rPr>
      </w:pPr>
      <w:r w:rsidRPr="006F251D">
        <w:rPr>
          <w:rFonts w:hint="cs"/>
          <w:b/>
          <w:bCs/>
          <w:rtl/>
        </w:rPr>
        <w:tab/>
        <w:t>(و)</w:t>
      </w:r>
      <w:r w:rsidRPr="006F251D">
        <w:rPr>
          <w:rFonts w:hint="cs"/>
          <w:b/>
          <w:bCs/>
          <w:rtl/>
        </w:rPr>
        <w:tab/>
      </w:r>
      <w:r w:rsidR="0086359D" w:rsidRPr="006F251D">
        <w:rPr>
          <w:rFonts w:hint="cs"/>
          <w:b/>
          <w:bCs/>
          <w:rtl/>
        </w:rPr>
        <w:t>ضمان الاستعراض المستقل لكافة القضايا لدى توافر أدلة موثوقة بأنّ المسجون المحكوم عليه بالإعدام مريض عقلياً.</w:t>
      </w:r>
      <w:r w:rsidR="00826260">
        <w:rPr>
          <w:rFonts w:hint="cs"/>
          <w:b/>
          <w:bCs/>
          <w:rtl/>
        </w:rPr>
        <w:t xml:space="preserve"> </w:t>
      </w:r>
      <w:r w:rsidR="0086359D" w:rsidRPr="006F251D">
        <w:rPr>
          <w:rFonts w:hint="cs"/>
          <w:b/>
          <w:bCs/>
          <w:rtl/>
        </w:rPr>
        <w:t>ويتعين على الدولة الطرف كذلك أن تضمن عدم إعدام مسجون يعاني</w:t>
      </w:r>
      <w:r w:rsidR="001A1327">
        <w:rPr>
          <w:rFonts w:hint="cs"/>
          <w:b/>
          <w:bCs/>
          <w:rtl/>
        </w:rPr>
        <w:t xml:space="preserve"> مرضاً عقلياً وفقاً للمادة 479</w:t>
      </w:r>
      <w:r w:rsidR="0086359D" w:rsidRPr="006F251D">
        <w:rPr>
          <w:rFonts w:hint="cs"/>
          <w:b/>
          <w:bCs/>
          <w:rtl/>
        </w:rPr>
        <w:t xml:space="preserve">(1) من قانون الإجراءات الجنائية؛ </w:t>
      </w:r>
    </w:p>
    <w:p w:rsidR="0086359D" w:rsidRPr="006F251D" w:rsidRDefault="006F251D" w:rsidP="006F251D">
      <w:pPr>
        <w:pStyle w:val="SingleTxtGA"/>
        <w:rPr>
          <w:rFonts w:hint="cs"/>
          <w:b/>
          <w:bCs/>
          <w:rtl/>
        </w:rPr>
      </w:pPr>
      <w:r w:rsidRPr="006F251D">
        <w:rPr>
          <w:rFonts w:hint="cs"/>
          <w:b/>
          <w:bCs/>
          <w:rtl/>
        </w:rPr>
        <w:tab/>
        <w:t>(ز)</w:t>
      </w:r>
      <w:r w:rsidRPr="006F251D">
        <w:rPr>
          <w:rFonts w:hint="cs"/>
          <w:b/>
          <w:bCs/>
          <w:rtl/>
        </w:rPr>
        <w:tab/>
      </w:r>
      <w:r w:rsidR="0086359D" w:rsidRPr="006F251D">
        <w:rPr>
          <w:rFonts w:hint="cs"/>
          <w:b/>
          <w:bCs/>
          <w:rtl/>
        </w:rPr>
        <w:t>تقديم بيانات عن السجناء المحكوم عليهم بالإعدام مصنّفة بحسب الجنس والسنّ والأصل العرقي والجريمة المرتكبة؛</w:t>
      </w:r>
    </w:p>
    <w:p w:rsidR="0086359D" w:rsidRPr="006F251D" w:rsidRDefault="006F251D" w:rsidP="006F251D">
      <w:pPr>
        <w:pStyle w:val="SingleTxtGA"/>
        <w:rPr>
          <w:rFonts w:hint="cs"/>
          <w:b/>
          <w:bCs/>
          <w:rtl/>
        </w:rPr>
      </w:pPr>
      <w:r w:rsidRPr="006F251D">
        <w:rPr>
          <w:rFonts w:hint="cs"/>
          <w:b/>
          <w:bCs/>
          <w:rtl/>
        </w:rPr>
        <w:tab/>
        <w:t>(ح)</w:t>
      </w:r>
      <w:r w:rsidRPr="006F251D">
        <w:rPr>
          <w:rFonts w:hint="cs"/>
          <w:b/>
          <w:bCs/>
          <w:rtl/>
        </w:rPr>
        <w:tab/>
      </w:r>
      <w:r w:rsidR="0086359D" w:rsidRPr="006F251D">
        <w:rPr>
          <w:rFonts w:hint="cs"/>
          <w:b/>
          <w:bCs/>
          <w:rtl/>
        </w:rPr>
        <w:t>النظر في إمكانية إلغاء عقوبة الإعدام.</w:t>
      </w:r>
    </w:p>
    <w:p w:rsidR="0086359D" w:rsidRPr="00261DFD" w:rsidRDefault="002914CF" w:rsidP="002914CF">
      <w:pPr>
        <w:pStyle w:val="H23GA"/>
        <w:rPr>
          <w:rFonts w:hint="cs"/>
          <w:rtl/>
        </w:rPr>
      </w:pPr>
      <w:r>
        <w:rPr>
          <w:rFonts w:hint="cs"/>
          <w:rtl/>
        </w:rPr>
        <w:tab/>
      </w:r>
      <w:r>
        <w:rPr>
          <w:rFonts w:hint="cs"/>
          <w:rtl/>
        </w:rPr>
        <w:tab/>
      </w:r>
      <w:r w:rsidR="0086359D" w:rsidRPr="00261DFD">
        <w:rPr>
          <w:rFonts w:hint="cs"/>
          <w:rtl/>
        </w:rPr>
        <w:t>المؤسسة الوطنية لحقوق الإنسان</w:t>
      </w:r>
    </w:p>
    <w:p w:rsidR="0086359D" w:rsidRPr="00FE4CB5" w:rsidRDefault="002914CF" w:rsidP="00E16940">
      <w:pPr>
        <w:pStyle w:val="SingleTxtGA"/>
        <w:rPr>
          <w:rFonts w:hint="cs"/>
          <w:rtl/>
        </w:rPr>
      </w:pPr>
      <w:r>
        <w:rPr>
          <w:rFonts w:hint="cs"/>
          <w:rtl/>
        </w:rPr>
        <w:t>16-</w:t>
      </w:r>
      <w:r>
        <w:rPr>
          <w:rFonts w:hint="cs"/>
          <w:rtl/>
        </w:rPr>
        <w:tab/>
      </w:r>
      <w:r w:rsidR="0086359D" w:rsidRPr="00FE4CB5">
        <w:rPr>
          <w:rFonts w:hint="cs"/>
          <w:rtl/>
        </w:rPr>
        <w:t>تلاحظ اللجنة بقلق أنّ الدولة الطرف لم تنشئ بعد مؤسسة وطنية لحقوق الإنسان وفقاً للمبادئ المتعلقة بمركز المؤسسات الوطنية المعنية بتعزيز وحماية حقوق الإنسان (مبادئ</w:t>
      </w:r>
      <w:r w:rsidR="00E16940">
        <w:rPr>
          <w:rFonts w:hint="eastAsia"/>
          <w:rtl/>
        </w:rPr>
        <w:t> </w:t>
      </w:r>
      <w:r w:rsidR="0086359D" w:rsidRPr="00FE4CB5">
        <w:rPr>
          <w:rFonts w:hint="cs"/>
          <w:rtl/>
        </w:rPr>
        <w:t xml:space="preserve">باريس) (المادة 2). </w:t>
      </w:r>
    </w:p>
    <w:p w:rsidR="0086359D" w:rsidRPr="00B5798B" w:rsidRDefault="002914CF" w:rsidP="005B4839">
      <w:pPr>
        <w:pStyle w:val="SingleTxtGA"/>
        <w:rPr>
          <w:rFonts w:hint="cs"/>
          <w:b/>
          <w:bCs/>
          <w:rtl/>
        </w:rPr>
      </w:pPr>
      <w:r w:rsidRPr="00B5798B">
        <w:rPr>
          <w:rFonts w:hint="cs"/>
          <w:b/>
          <w:bCs/>
          <w:rtl/>
        </w:rPr>
        <w:tab/>
      </w:r>
      <w:r w:rsidR="0086359D" w:rsidRPr="00B5798B">
        <w:rPr>
          <w:rFonts w:hint="cs"/>
          <w:b/>
          <w:bCs/>
          <w:rtl/>
        </w:rPr>
        <w:t>وإذ تلاحظ اللجنة الالتزام الذي قطعته الدولة الطرف في سياق الاستعراض الدوري الشامل (</w:t>
      </w:r>
      <w:r w:rsidR="0086359D" w:rsidRPr="00B5798B">
        <w:rPr>
          <w:b/>
          <w:bCs/>
        </w:rPr>
        <w:t>A/HRC/22/14/Add.1</w:t>
      </w:r>
      <w:r w:rsidR="0086359D" w:rsidRPr="00B5798B">
        <w:rPr>
          <w:rFonts w:hint="cs"/>
          <w:b/>
          <w:bCs/>
          <w:rtl/>
        </w:rPr>
        <w:t>، الفقرة 147</w:t>
      </w:r>
      <w:r w:rsidR="005B4839">
        <w:rPr>
          <w:rFonts w:hint="cs"/>
          <w:b/>
          <w:bCs/>
          <w:rtl/>
        </w:rPr>
        <w:t>-</w:t>
      </w:r>
      <w:r w:rsidR="0086359D" w:rsidRPr="00B5798B">
        <w:rPr>
          <w:rFonts w:hint="cs"/>
          <w:b/>
          <w:bCs/>
          <w:rtl/>
        </w:rPr>
        <w:t xml:space="preserve">47 وو)، تحثّ الدولة الطرف على التعجيل بإنشاء مؤسسة وطنية لحقوق الإنسان تماشياً مع مبادئ باريس. </w:t>
      </w:r>
    </w:p>
    <w:p w:rsidR="0086359D" w:rsidRPr="00261DFD" w:rsidRDefault="002914CF" w:rsidP="002914CF">
      <w:pPr>
        <w:pStyle w:val="H23GA"/>
        <w:rPr>
          <w:rFonts w:hint="cs"/>
          <w:rtl/>
        </w:rPr>
      </w:pPr>
      <w:r>
        <w:rPr>
          <w:rFonts w:hint="cs"/>
          <w:rtl/>
        </w:rPr>
        <w:tab/>
      </w:r>
      <w:r>
        <w:rPr>
          <w:rFonts w:hint="cs"/>
          <w:rtl/>
        </w:rPr>
        <w:tab/>
      </w:r>
      <w:r w:rsidR="0086359D" w:rsidRPr="00261DFD">
        <w:rPr>
          <w:rFonts w:hint="cs"/>
          <w:rtl/>
        </w:rPr>
        <w:t>التدريب</w:t>
      </w:r>
    </w:p>
    <w:p w:rsidR="0086359D" w:rsidRPr="00FE4CB5" w:rsidRDefault="0086359D" w:rsidP="002914CF">
      <w:pPr>
        <w:pStyle w:val="SingleTxtGA"/>
        <w:rPr>
          <w:rFonts w:hint="cs"/>
          <w:rtl/>
          <w:lang/>
        </w:rPr>
      </w:pPr>
      <w:r w:rsidRPr="00FE4CB5">
        <w:rPr>
          <w:rFonts w:hint="cs"/>
          <w:rtl/>
        </w:rPr>
        <w:t>17-</w:t>
      </w:r>
      <w:r w:rsidR="002914CF">
        <w:rPr>
          <w:rFonts w:hint="cs"/>
          <w:rtl/>
        </w:rPr>
        <w:tab/>
      </w:r>
      <w:r>
        <w:rPr>
          <w:rFonts w:hint="cs"/>
          <w:rtl/>
        </w:rPr>
        <w:t>بينما</w:t>
      </w:r>
      <w:r w:rsidRPr="00FE4CB5">
        <w:rPr>
          <w:rFonts w:hint="cs"/>
          <w:rtl/>
        </w:rPr>
        <w:t xml:space="preserve"> تحيط اللجنة علماً ببرامج التدريب المتعددة المتعلقة بحقوق الإنسان والتي </w:t>
      </w:r>
      <w:r>
        <w:rPr>
          <w:rFonts w:hint="cs"/>
          <w:rtl/>
        </w:rPr>
        <w:t xml:space="preserve">بادرت إليها </w:t>
      </w:r>
      <w:r w:rsidRPr="00FE4CB5">
        <w:rPr>
          <w:rFonts w:hint="cs"/>
          <w:rtl/>
        </w:rPr>
        <w:t xml:space="preserve">الدولة الطرف، تلاحظ بقلق أنّ الدولة الطرف لا توفر التدريب بشأن الاتفاقية لجميع الموظفين المسؤولين عن الهجرة وأنّ </w:t>
      </w:r>
      <w:r w:rsidRPr="00FE4CB5">
        <w:rPr>
          <w:rFonts w:hint="cs"/>
          <w:rtl/>
          <w:lang/>
        </w:rPr>
        <w:t xml:space="preserve">دليل التقصي والتوثيق الفعالين بشأن التعذيب وغيره من ضروب المعاملة أو العقوبة القاسية أو اللاإنسانية أو المهينة (بروتوكول اسطنبول) ليس مدمجاً في برنامج التدريب. أما نقص المعلومات بشأن فعالية برامج التدريب هذه وأثرها في تخفيض عدد حالات التعذيب، بما فيها العنف القائم على أساس نوع الجنس وسوء المعاملة فيشكل أيضاً مصدر قلق (المادة 11). </w:t>
      </w:r>
    </w:p>
    <w:p w:rsidR="0086359D" w:rsidRPr="002914CF" w:rsidRDefault="002914CF" w:rsidP="002914CF">
      <w:pPr>
        <w:pStyle w:val="SingleTxtGA"/>
        <w:rPr>
          <w:rFonts w:hint="cs"/>
          <w:b/>
          <w:bCs/>
          <w:rtl/>
          <w:lang/>
        </w:rPr>
      </w:pPr>
      <w:r w:rsidRPr="002914CF">
        <w:rPr>
          <w:rFonts w:hint="cs"/>
          <w:b/>
          <w:bCs/>
          <w:rtl/>
          <w:lang/>
        </w:rPr>
        <w:tab/>
      </w:r>
      <w:r w:rsidR="0086359D" w:rsidRPr="002914CF">
        <w:rPr>
          <w:rFonts w:hint="cs"/>
          <w:b/>
          <w:bCs/>
          <w:rtl/>
          <w:lang/>
        </w:rPr>
        <w:t xml:space="preserve">يتعين على الدولة الطرف أن تقوم بما يلي: </w:t>
      </w:r>
    </w:p>
    <w:p w:rsidR="0086359D" w:rsidRPr="002914CF" w:rsidRDefault="002914CF" w:rsidP="002914CF">
      <w:pPr>
        <w:pStyle w:val="SingleTxtGA"/>
        <w:rPr>
          <w:rFonts w:hint="cs"/>
          <w:b/>
          <w:bCs/>
          <w:rtl/>
          <w:lang/>
        </w:rPr>
      </w:pPr>
      <w:r w:rsidRPr="002914CF">
        <w:rPr>
          <w:rFonts w:hint="cs"/>
          <w:b/>
          <w:bCs/>
          <w:rtl/>
          <w:lang/>
        </w:rPr>
        <w:tab/>
        <w:t>(أ)</w:t>
      </w:r>
      <w:r w:rsidRPr="002914CF">
        <w:rPr>
          <w:rFonts w:hint="cs"/>
          <w:b/>
          <w:bCs/>
          <w:rtl/>
          <w:lang/>
        </w:rPr>
        <w:tab/>
      </w:r>
      <w:r w:rsidR="0086359D" w:rsidRPr="002914CF">
        <w:rPr>
          <w:rFonts w:hint="cs"/>
          <w:b/>
          <w:bCs/>
          <w:rtl/>
          <w:lang/>
        </w:rPr>
        <w:t>إعداد المزيد من برامج التدريب وتعزيزها بغية ضمان إعلام جميع المسؤولين لا</w:t>
      </w:r>
      <w:r w:rsidR="00AE5EDE">
        <w:rPr>
          <w:rFonts w:hint="eastAsia"/>
          <w:b/>
          <w:bCs/>
          <w:rtl/>
          <w:lang/>
        </w:rPr>
        <w:t> </w:t>
      </w:r>
      <w:r w:rsidR="0086359D" w:rsidRPr="002914CF">
        <w:rPr>
          <w:rFonts w:hint="cs"/>
          <w:b/>
          <w:bCs/>
          <w:rtl/>
          <w:lang/>
        </w:rPr>
        <w:t>سيما القضاة والموظفين المكلفين إنفاذ القوانين والموظفين في السجون وفي مكاتب الهجرة بأحكام الاتفاقية؛</w:t>
      </w:r>
    </w:p>
    <w:p w:rsidR="0086359D" w:rsidRPr="002914CF" w:rsidRDefault="002914CF" w:rsidP="002914CF">
      <w:pPr>
        <w:pStyle w:val="SingleTxtGA"/>
        <w:rPr>
          <w:rFonts w:hint="cs"/>
          <w:b/>
          <w:bCs/>
          <w:lang/>
        </w:rPr>
      </w:pPr>
      <w:r w:rsidRPr="002914CF">
        <w:rPr>
          <w:rFonts w:hint="cs"/>
          <w:b/>
          <w:bCs/>
          <w:rtl/>
          <w:lang/>
        </w:rPr>
        <w:tab/>
        <w:t>(ب)</w:t>
      </w:r>
      <w:r w:rsidRPr="002914CF">
        <w:rPr>
          <w:rFonts w:hint="cs"/>
          <w:b/>
          <w:bCs/>
          <w:rtl/>
          <w:lang/>
        </w:rPr>
        <w:tab/>
      </w:r>
      <w:r w:rsidR="0086359D" w:rsidRPr="002914CF">
        <w:rPr>
          <w:rFonts w:hint="cs"/>
          <w:b/>
          <w:bCs/>
          <w:rtl/>
          <w:lang/>
        </w:rPr>
        <w:t>توفير التدريب المنتظم بشأن بروتوكول اسطنبول للموظفين الطبيين وسواهم من الموظّفين المعنيين بالتحقيق في قضايا التعذيب وتوثيقها؛</w:t>
      </w:r>
    </w:p>
    <w:p w:rsidR="0086359D" w:rsidRPr="002914CF" w:rsidRDefault="002914CF" w:rsidP="002914CF">
      <w:pPr>
        <w:pStyle w:val="SingleTxtGA"/>
        <w:rPr>
          <w:rFonts w:hint="cs"/>
          <w:b/>
          <w:bCs/>
          <w:rtl/>
          <w:lang/>
        </w:rPr>
      </w:pPr>
      <w:r w:rsidRPr="002914CF">
        <w:rPr>
          <w:rFonts w:hint="cs"/>
          <w:b/>
          <w:bCs/>
          <w:rtl/>
          <w:lang/>
        </w:rPr>
        <w:tab/>
        <w:t>(ج)</w:t>
      </w:r>
      <w:r w:rsidRPr="002914CF">
        <w:rPr>
          <w:rFonts w:hint="cs"/>
          <w:b/>
          <w:bCs/>
          <w:rtl/>
          <w:lang/>
        </w:rPr>
        <w:tab/>
      </w:r>
      <w:r w:rsidR="0086359D" w:rsidRPr="002914CF">
        <w:rPr>
          <w:rFonts w:hint="cs"/>
          <w:b/>
          <w:bCs/>
          <w:rtl/>
          <w:lang/>
        </w:rPr>
        <w:t>التشجيع على انضمام المنظمات غير الحكومية إلى تدريب الموظفين المكلفين إنفاذ القوانين؛</w:t>
      </w:r>
    </w:p>
    <w:p w:rsidR="0086359D" w:rsidRPr="002914CF" w:rsidRDefault="002914CF" w:rsidP="00272D67">
      <w:pPr>
        <w:pStyle w:val="SingleTxtGA"/>
        <w:rPr>
          <w:rFonts w:hint="cs"/>
          <w:b/>
          <w:bCs/>
          <w:rtl/>
          <w:lang/>
        </w:rPr>
      </w:pPr>
      <w:r w:rsidRPr="002914CF">
        <w:rPr>
          <w:rFonts w:hint="cs"/>
          <w:b/>
          <w:bCs/>
          <w:rtl/>
          <w:lang/>
        </w:rPr>
        <w:tab/>
      </w:r>
      <w:r w:rsidR="0086359D" w:rsidRPr="002914CF">
        <w:rPr>
          <w:rFonts w:hint="cs"/>
          <w:b/>
          <w:bCs/>
          <w:rtl/>
          <w:lang/>
        </w:rPr>
        <w:t>(د</w:t>
      </w:r>
      <w:r w:rsidRPr="002914CF">
        <w:rPr>
          <w:rFonts w:hint="cs"/>
          <w:b/>
          <w:bCs/>
          <w:rtl/>
          <w:lang/>
        </w:rPr>
        <w:t>)</w:t>
      </w:r>
      <w:r w:rsidRPr="002914CF">
        <w:rPr>
          <w:rFonts w:hint="cs"/>
          <w:b/>
          <w:bCs/>
          <w:rtl/>
          <w:lang/>
        </w:rPr>
        <w:tab/>
      </w:r>
      <w:r w:rsidR="0086359D" w:rsidRPr="002914CF">
        <w:rPr>
          <w:rFonts w:hint="cs"/>
          <w:b/>
          <w:bCs/>
          <w:rtl/>
          <w:lang/>
        </w:rPr>
        <w:t>تقييم فعالية وأثر برامج التدريب بشأن الوقاية والحظر المطلق للتعذيب، بما</w:t>
      </w:r>
      <w:r w:rsidR="00272D67">
        <w:rPr>
          <w:rFonts w:hint="eastAsia"/>
          <w:b/>
          <w:bCs/>
          <w:rtl/>
          <w:lang/>
        </w:rPr>
        <w:t> </w:t>
      </w:r>
      <w:r w:rsidR="0086359D" w:rsidRPr="002914CF">
        <w:rPr>
          <w:rFonts w:hint="cs"/>
          <w:b/>
          <w:bCs/>
          <w:rtl/>
          <w:lang/>
        </w:rPr>
        <w:t>يشمل العنف القائم على أساس نوع الجنس، وسوء المعاملة.</w:t>
      </w:r>
      <w:r w:rsidR="00826260">
        <w:rPr>
          <w:rFonts w:hint="cs"/>
          <w:b/>
          <w:bCs/>
          <w:rtl/>
          <w:lang/>
        </w:rPr>
        <w:t xml:space="preserve"> </w:t>
      </w:r>
    </w:p>
    <w:p w:rsidR="0086359D" w:rsidRPr="0092223A" w:rsidRDefault="0052662E" w:rsidP="0052662E">
      <w:pPr>
        <w:pStyle w:val="H23GA"/>
        <w:rPr>
          <w:rFonts w:hint="cs"/>
          <w:rtl/>
          <w:lang/>
        </w:rPr>
      </w:pPr>
      <w:r>
        <w:rPr>
          <w:rFonts w:hint="cs"/>
          <w:rtl/>
          <w:lang/>
        </w:rPr>
        <w:tab/>
      </w:r>
      <w:r>
        <w:rPr>
          <w:rFonts w:hint="cs"/>
          <w:rtl/>
          <w:lang/>
        </w:rPr>
        <w:tab/>
      </w:r>
      <w:r w:rsidR="0086359D" w:rsidRPr="0092223A">
        <w:rPr>
          <w:rFonts w:hint="cs"/>
          <w:rtl/>
          <w:lang/>
        </w:rPr>
        <w:t>الجبر،</w:t>
      </w:r>
      <w:r w:rsidR="0086359D">
        <w:rPr>
          <w:rFonts w:hint="cs"/>
          <w:rtl/>
          <w:lang/>
        </w:rPr>
        <w:t xml:space="preserve"> بما في ذلك </w:t>
      </w:r>
      <w:r w:rsidR="0086359D" w:rsidRPr="0092223A">
        <w:rPr>
          <w:rFonts w:hint="cs"/>
          <w:rtl/>
          <w:lang/>
        </w:rPr>
        <w:t xml:space="preserve">التعويض وإعادة التأهيل </w:t>
      </w:r>
    </w:p>
    <w:p w:rsidR="0086359D" w:rsidRDefault="0052662E" w:rsidP="00272D67">
      <w:pPr>
        <w:pStyle w:val="SingleTxtGA"/>
        <w:rPr>
          <w:rFonts w:hint="cs"/>
          <w:rtl/>
        </w:rPr>
      </w:pPr>
      <w:r>
        <w:rPr>
          <w:rFonts w:hint="cs"/>
          <w:rtl/>
          <w:lang/>
        </w:rPr>
        <w:t>18-</w:t>
      </w:r>
      <w:r>
        <w:rPr>
          <w:rFonts w:hint="cs"/>
          <w:rtl/>
          <w:lang/>
        </w:rPr>
        <w:tab/>
      </w:r>
      <w:r w:rsidR="0086359D" w:rsidRPr="00FE4CB5">
        <w:rPr>
          <w:rFonts w:hint="cs"/>
          <w:rtl/>
        </w:rPr>
        <w:t xml:space="preserve">بالرغم من </w:t>
      </w:r>
      <w:r w:rsidR="0086359D">
        <w:rPr>
          <w:rFonts w:hint="cs"/>
          <w:rtl/>
        </w:rPr>
        <w:t xml:space="preserve">أنه يحق بموجب </w:t>
      </w:r>
      <w:r w:rsidR="0086359D" w:rsidRPr="00FE4CB5">
        <w:rPr>
          <w:rFonts w:hint="cs"/>
          <w:rtl/>
        </w:rPr>
        <w:t xml:space="preserve">المادة 1 من </w:t>
      </w:r>
      <w:r w:rsidR="0086359D" w:rsidRPr="0092223A">
        <w:rPr>
          <w:rFonts w:hint="cs"/>
          <w:rtl/>
        </w:rPr>
        <w:t>قانون الجبر الحكومي</w:t>
      </w:r>
      <w:r w:rsidR="0086359D">
        <w:rPr>
          <w:rFonts w:hint="cs"/>
          <w:rtl/>
        </w:rPr>
        <w:t xml:space="preserve"> أن تطالب الضحية بالتعويض عن الأضرار من الحكومة أو الهيئة العامة، فلا يزال القلق يساور اللجنة إزاء (أ)</w:t>
      </w:r>
      <w:r w:rsidR="00272D67">
        <w:rPr>
          <w:rFonts w:hint="eastAsia"/>
          <w:rtl/>
        </w:rPr>
        <w:t> </w:t>
      </w:r>
      <w:r w:rsidR="0086359D">
        <w:rPr>
          <w:rFonts w:hint="cs"/>
          <w:rtl/>
        </w:rPr>
        <w:t>التقارير المتعلقة بالصعوبات التي يواجهها ضحايا أعمال التعذيب أو سوء المعاملة في الحصول على الجبر والتعويض المناسب</w:t>
      </w:r>
      <w:r w:rsidR="00272D67">
        <w:rPr>
          <w:rFonts w:hint="cs"/>
          <w:rtl/>
        </w:rPr>
        <w:t>؛</w:t>
      </w:r>
      <w:r w:rsidR="0086359D">
        <w:rPr>
          <w:rFonts w:hint="cs"/>
          <w:rtl/>
        </w:rPr>
        <w:t xml:space="preserve"> و(ب) القيود المفروضة على الحق في التعويض مثل قانون التقادم وقواعد المعاملة بالمثل المتعلقة بالمهاجرين</w:t>
      </w:r>
      <w:r w:rsidR="00272D67">
        <w:rPr>
          <w:rFonts w:hint="cs"/>
          <w:rtl/>
        </w:rPr>
        <w:t>؛</w:t>
      </w:r>
      <w:r w:rsidR="0086359D">
        <w:rPr>
          <w:rFonts w:hint="cs"/>
          <w:rtl/>
        </w:rPr>
        <w:t xml:space="preserve"> و(ج) نقص المعلومات عن التعويضات المطلوبة والممنوحة لضحايا التعذيب وسوء المعاملة. </w:t>
      </w:r>
    </w:p>
    <w:p w:rsidR="0086359D" w:rsidRPr="0052662E" w:rsidRDefault="0052662E" w:rsidP="0052662E">
      <w:pPr>
        <w:pStyle w:val="SingleTxtGA"/>
        <w:rPr>
          <w:rFonts w:hint="cs"/>
          <w:b/>
          <w:bCs/>
          <w:rtl/>
        </w:rPr>
      </w:pPr>
      <w:r>
        <w:rPr>
          <w:rFonts w:hint="cs"/>
          <w:rtl/>
        </w:rPr>
        <w:tab/>
      </w:r>
      <w:r w:rsidR="0086359D" w:rsidRPr="0052662E">
        <w:rPr>
          <w:rFonts w:hint="cs"/>
          <w:b/>
          <w:bCs/>
          <w:rtl/>
        </w:rPr>
        <w:t>وبينما تشير</w:t>
      </w:r>
      <w:r w:rsidR="005C4847">
        <w:rPr>
          <w:rFonts w:hint="cs"/>
          <w:b/>
          <w:bCs/>
          <w:rtl/>
        </w:rPr>
        <w:t xml:space="preserve"> اللجنة إلى تعليقها العام رقم 3</w:t>
      </w:r>
      <w:r w:rsidR="0086359D" w:rsidRPr="0052662E">
        <w:rPr>
          <w:rFonts w:hint="cs"/>
          <w:b/>
          <w:bCs/>
          <w:rtl/>
        </w:rPr>
        <w:t>(2012) بشأن المادة 14 من الاتفاقية الذي يوضح مضمون ونطاق التزامات الدول الأطراف التي تقضي بتوفير الجبر الكامل لضحايا التعذيب، توصي اللجنة بأن تضاعف الدولة الطرف جهودها لضمان تمكين جميع ضحايا أعمال التعذيب وسوء المعاملة من ممارسة حقهم بالكامل في الحصول على الجبر، بما يشمل التعويض المنصف والمناسب، والحصول أيضاً على إعادة التأهيل الكاملة وكذلك حقهم</w:t>
      </w:r>
      <w:r w:rsidR="00826260">
        <w:rPr>
          <w:rFonts w:hint="cs"/>
          <w:b/>
          <w:bCs/>
          <w:rtl/>
        </w:rPr>
        <w:t xml:space="preserve"> </w:t>
      </w:r>
      <w:r w:rsidR="0086359D" w:rsidRPr="0052662E">
        <w:rPr>
          <w:rFonts w:hint="cs"/>
          <w:b/>
          <w:bCs/>
          <w:rtl/>
        </w:rPr>
        <w:t xml:space="preserve">في معرفة الحقيقة. ويتعين على الدولة الطرف أن تمد اللجنة بالمعلومات عن (أ) تدابير الجبر والتعويض بموجب قرارات المحاكم والتي تمنح لضحايا التعذيب وسوء المعاملة أو أسرهم. ويجب أن تتضمن هذه المعلومات عدد الطلبات المقدمة والتي تمت تلبيتها والمبالغ التي أمر بدفعها والتي دفعت في كل قضية؛ (ب) أي برامج إعادة تأهيل جارية لضحايا التعذيب وسوء المعاملة. ويتعين على الدولة الطرف أن تخصص أيضاً موارد لتنفيذ هذه البرامج فعلياً وإطلاع اللجنة على ذلك. </w:t>
      </w:r>
    </w:p>
    <w:p w:rsidR="0086359D" w:rsidRPr="00FA1472" w:rsidRDefault="0052662E" w:rsidP="0052662E">
      <w:pPr>
        <w:pStyle w:val="H23GA"/>
        <w:rPr>
          <w:rFonts w:hint="cs"/>
          <w:rtl/>
        </w:rPr>
      </w:pPr>
      <w:r>
        <w:rPr>
          <w:rFonts w:hint="cs"/>
          <w:rtl/>
        </w:rPr>
        <w:tab/>
      </w:r>
      <w:r>
        <w:rPr>
          <w:rFonts w:hint="cs"/>
          <w:rtl/>
        </w:rPr>
        <w:tab/>
      </w:r>
      <w:r w:rsidR="0086359D" w:rsidRPr="00FA1472">
        <w:rPr>
          <w:rFonts w:hint="cs"/>
          <w:rtl/>
        </w:rPr>
        <w:t>ضحايا الاستعباد الجنسي العسكري</w:t>
      </w:r>
    </w:p>
    <w:p w:rsidR="0086359D" w:rsidRDefault="0052662E" w:rsidP="0052662E">
      <w:pPr>
        <w:pStyle w:val="SingleTxtGA"/>
        <w:rPr>
          <w:rFonts w:hint="cs"/>
          <w:rtl/>
        </w:rPr>
      </w:pPr>
      <w:r>
        <w:rPr>
          <w:rFonts w:hint="cs"/>
          <w:rtl/>
        </w:rPr>
        <w:t>19-</w:t>
      </w:r>
      <w:r>
        <w:rPr>
          <w:rFonts w:hint="cs"/>
          <w:rtl/>
        </w:rPr>
        <w:tab/>
      </w:r>
      <w:r w:rsidR="0086359D">
        <w:rPr>
          <w:rFonts w:hint="cs"/>
          <w:rtl/>
        </w:rPr>
        <w:t>بالرغم من المعلومات التي قدمتها الدولة الطرف بشأن بعض التدابير المتخذة للاعتراف باستغلال ضحايا ممارسات الاستعباد الجنسي العسكري في اليابان خلال الحرب العالمية الثانية، والمسميات "نساء المتعة"، يساور اللجنة قلق بالغ من عجز الدولة الطرف عن الوفاء بالتزاماتها بموجب الاتفاقية في معالجة هذه المسألة ولا</w:t>
      </w:r>
      <w:r w:rsidR="00AE5EDE">
        <w:rPr>
          <w:rFonts w:hint="eastAsia"/>
          <w:rtl/>
        </w:rPr>
        <w:t> </w:t>
      </w:r>
      <w:r w:rsidR="0086359D">
        <w:rPr>
          <w:rFonts w:hint="cs"/>
          <w:rtl/>
        </w:rPr>
        <w:t xml:space="preserve">سيما </w:t>
      </w:r>
      <w:r w:rsidR="005B4839">
        <w:rPr>
          <w:rFonts w:hint="cs"/>
          <w:rtl/>
        </w:rPr>
        <w:t>فيما</w:t>
      </w:r>
      <w:r w:rsidR="0086359D">
        <w:rPr>
          <w:rFonts w:hint="cs"/>
          <w:rtl/>
        </w:rPr>
        <w:t xml:space="preserve"> يتعلق بما يلي: </w:t>
      </w:r>
    </w:p>
    <w:p w:rsidR="0086359D" w:rsidRDefault="0052662E" w:rsidP="0052662E">
      <w:pPr>
        <w:pStyle w:val="SingleTxtGA"/>
        <w:rPr>
          <w:rFonts w:hint="cs"/>
          <w:rtl/>
        </w:rPr>
      </w:pPr>
      <w:r>
        <w:rPr>
          <w:rFonts w:hint="cs"/>
          <w:rtl/>
        </w:rPr>
        <w:tab/>
        <w:t>(أ)</w:t>
      </w:r>
      <w:r>
        <w:rPr>
          <w:rFonts w:hint="cs"/>
          <w:rtl/>
        </w:rPr>
        <w:tab/>
      </w:r>
      <w:r w:rsidR="0086359D">
        <w:rPr>
          <w:rFonts w:hint="cs"/>
          <w:rtl/>
        </w:rPr>
        <w:t xml:space="preserve">العجز عن توفير الجبر وإعادة التأهيل المناسبين للضحايا. وتأسف اللجنة لأن التعويض الذي تموّله الهبات الخاصة عوضاً عن الأموال العامة لم يكن كافياً ولا ملائماً؛ </w:t>
      </w:r>
    </w:p>
    <w:p w:rsidR="0086359D" w:rsidRDefault="0052662E" w:rsidP="0052662E">
      <w:pPr>
        <w:pStyle w:val="SingleTxtGA"/>
        <w:rPr>
          <w:rFonts w:hint="cs"/>
          <w:rtl/>
        </w:rPr>
      </w:pPr>
      <w:r>
        <w:rPr>
          <w:rFonts w:hint="cs"/>
          <w:rtl/>
        </w:rPr>
        <w:tab/>
        <w:t>(ب)</w:t>
      </w:r>
      <w:r>
        <w:rPr>
          <w:rFonts w:hint="cs"/>
          <w:rtl/>
        </w:rPr>
        <w:tab/>
      </w:r>
      <w:r w:rsidR="0086359D">
        <w:rPr>
          <w:rFonts w:hint="cs"/>
          <w:rtl/>
        </w:rPr>
        <w:t>العجز عن محاكمة مرتكبي أعمال التعذيب هذه وإحالتهم أمام القضاء. وتذكر اللجنة أنّه بالنظر إلى الطابع المستمر لآثار التعذيب، ينبغي ألا يسري قانون التقادم لأنه</w:t>
      </w:r>
      <w:r w:rsidR="00826260">
        <w:rPr>
          <w:rFonts w:hint="cs"/>
          <w:rtl/>
        </w:rPr>
        <w:t xml:space="preserve"> </w:t>
      </w:r>
      <w:r w:rsidR="0086359D">
        <w:rPr>
          <w:rFonts w:hint="cs"/>
          <w:rtl/>
        </w:rPr>
        <w:t>يحرم الضحايا من الجبر والتعويض وإعادة التأهيل؛</w:t>
      </w:r>
    </w:p>
    <w:p w:rsidR="0086359D" w:rsidRDefault="0052662E" w:rsidP="0052662E">
      <w:pPr>
        <w:pStyle w:val="SingleTxtGA"/>
        <w:rPr>
          <w:rFonts w:hint="cs"/>
          <w:rtl/>
        </w:rPr>
      </w:pPr>
      <w:r>
        <w:rPr>
          <w:rFonts w:hint="cs"/>
          <w:rtl/>
        </w:rPr>
        <w:tab/>
        <w:t>(ج)</w:t>
      </w:r>
      <w:r>
        <w:rPr>
          <w:rFonts w:hint="cs"/>
          <w:rtl/>
        </w:rPr>
        <w:tab/>
      </w:r>
      <w:r w:rsidR="0086359D">
        <w:rPr>
          <w:rFonts w:hint="cs"/>
          <w:rtl/>
        </w:rPr>
        <w:t>إخفاء الوقائع والمواد ذات الصلة أو العجز عن الإفصاح عنها؛</w:t>
      </w:r>
    </w:p>
    <w:p w:rsidR="0086359D" w:rsidRDefault="0052662E" w:rsidP="0052662E">
      <w:pPr>
        <w:pStyle w:val="SingleTxtGA"/>
        <w:rPr>
          <w:rFonts w:hint="cs"/>
          <w:rtl/>
        </w:rPr>
      </w:pPr>
      <w:r>
        <w:rPr>
          <w:rFonts w:hint="cs"/>
          <w:rtl/>
        </w:rPr>
        <w:tab/>
        <w:t>(د)</w:t>
      </w:r>
      <w:r>
        <w:rPr>
          <w:rFonts w:hint="cs"/>
          <w:rtl/>
        </w:rPr>
        <w:tab/>
      </w:r>
      <w:r w:rsidR="0086359D">
        <w:rPr>
          <w:rFonts w:hint="cs"/>
          <w:rtl/>
        </w:rPr>
        <w:t>مواصلة الإنكار الرسمي للوقائع وتعريض الضحايا لصدمات جديدة على يد مسؤولين وسياسيين وطنيين ومحليين رفيعي المستوى، بمن فيهم عدد كبير من أعضاء البرلمان؛</w:t>
      </w:r>
    </w:p>
    <w:p w:rsidR="0086359D" w:rsidRDefault="0052662E" w:rsidP="0052662E">
      <w:pPr>
        <w:pStyle w:val="SingleTxtGA"/>
        <w:rPr>
          <w:rFonts w:hint="cs"/>
          <w:rtl/>
        </w:rPr>
      </w:pPr>
      <w:r>
        <w:rPr>
          <w:rFonts w:hint="cs"/>
          <w:rtl/>
        </w:rPr>
        <w:tab/>
        <w:t>(ه‍(</w:t>
      </w:r>
      <w:r>
        <w:rPr>
          <w:rFonts w:hint="cs"/>
          <w:rtl/>
        </w:rPr>
        <w:tab/>
      </w:r>
      <w:r w:rsidR="0086359D">
        <w:rPr>
          <w:rFonts w:hint="cs"/>
          <w:rtl/>
        </w:rPr>
        <w:t>العجز عن تنفيذ تدابير تثقيفية فعالة للوقاية من انتهاكات</w:t>
      </w:r>
      <w:r w:rsidR="00826260">
        <w:rPr>
          <w:rFonts w:hint="cs"/>
          <w:rtl/>
        </w:rPr>
        <w:t xml:space="preserve"> </w:t>
      </w:r>
      <w:r w:rsidR="0086359D">
        <w:rPr>
          <w:rFonts w:hint="cs"/>
          <w:rtl/>
        </w:rPr>
        <w:t>الاتفاقية القائمة على أساس نوع الجنس، وهو ما</w:t>
      </w:r>
      <w:r w:rsidR="00826260">
        <w:rPr>
          <w:rFonts w:hint="cs"/>
          <w:rtl/>
        </w:rPr>
        <w:t xml:space="preserve"> </w:t>
      </w:r>
      <w:r w:rsidR="0086359D">
        <w:rPr>
          <w:rFonts w:hint="cs"/>
          <w:rtl/>
        </w:rPr>
        <w:t>يتجلّى في جملة أمور منها تراجع الإشارات إلى هذه القضية في كتب التاريخ المدرسية؛</w:t>
      </w:r>
    </w:p>
    <w:p w:rsidR="0086359D" w:rsidRDefault="0052662E" w:rsidP="005B4839">
      <w:pPr>
        <w:pStyle w:val="SingleTxtGA"/>
        <w:rPr>
          <w:rFonts w:hint="cs"/>
          <w:rtl/>
          <w:lang/>
        </w:rPr>
      </w:pPr>
      <w:r>
        <w:rPr>
          <w:rFonts w:hint="cs"/>
          <w:rtl/>
        </w:rPr>
        <w:tab/>
        <w:t>(و)</w:t>
      </w:r>
      <w:r>
        <w:rPr>
          <w:rFonts w:hint="cs"/>
          <w:rtl/>
        </w:rPr>
        <w:tab/>
      </w:r>
      <w:r w:rsidR="0086359D">
        <w:rPr>
          <w:rFonts w:hint="cs"/>
          <w:rtl/>
        </w:rPr>
        <w:t>رفض الدولة الطرف للعديد من التوصيات المتعلقة بهذه القضية</w:t>
      </w:r>
      <w:r w:rsidR="00826260">
        <w:rPr>
          <w:rFonts w:hint="cs"/>
          <w:rtl/>
        </w:rPr>
        <w:t xml:space="preserve"> </w:t>
      </w:r>
      <w:r w:rsidR="0086359D">
        <w:rPr>
          <w:rFonts w:hint="cs"/>
          <w:rtl/>
        </w:rPr>
        <w:t>المقدمة في سياق الاستعراض الدوري الشامل (</w:t>
      </w:r>
      <w:r w:rsidR="0086359D">
        <w:t>A/HRC/22/14/Add.1</w:t>
      </w:r>
      <w:r w:rsidR="0086359D">
        <w:rPr>
          <w:rFonts w:hint="cs"/>
          <w:rtl/>
        </w:rPr>
        <w:t>، الفقرتان 147</w:t>
      </w:r>
      <w:r w:rsidR="005B4839">
        <w:rPr>
          <w:rFonts w:hint="cs"/>
          <w:rtl/>
        </w:rPr>
        <w:t>-</w:t>
      </w:r>
      <w:r w:rsidR="0086359D">
        <w:rPr>
          <w:rFonts w:hint="cs"/>
          <w:rtl/>
        </w:rPr>
        <w:t>145 وو)، المماثلة للتوصيات التي قدمتها اللجنة (الفقرة 24) وآليات عديدة لحقوق الإنسان تابعة للأمم المتحدة بما فيها اللجنة المعنية بحقوق الإنسان (</w:t>
      </w:r>
      <w:r w:rsidR="0086359D">
        <w:t>CCPR/C/JPN/CO/5</w:t>
      </w:r>
      <w:r w:rsidR="0086359D">
        <w:rPr>
          <w:rFonts w:hint="cs"/>
          <w:rtl/>
        </w:rPr>
        <w:t>، الفقرة 22) واللجنة المعنية بالقضاء على التمييز ضد المرأة (</w:t>
      </w:r>
      <w:r w:rsidR="0086359D">
        <w:t>CEDAW/C/JPN/CO/6</w:t>
      </w:r>
      <w:r w:rsidR="0086359D">
        <w:rPr>
          <w:rFonts w:hint="cs"/>
          <w:rtl/>
        </w:rPr>
        <w:t>، الفقرة 38) واللجنة المعنية بالحقوق الاقتصادية والاجتماعية والثقافية (</w:t>
      </w:r>
      <w:r w:rsidR="0086359D">
        <w:t>E/C.12/JPN/CO/3</w:t>
      </w:r>
      <w:r w:rsidR="0086359D">
        <w:rPr>
          <w:rFonts w:hint="cs"/>
          <w:rtl/>
        </w:rPr>
        <w:t>، الفقرة 26) وعدد من المكلفين</w:t>
      </w:r>
      <w:r w:rsidR="00826260">
        <w:rPr>
          <w:rFonts w:hint="cs"/>
          <w:rtl/>
        </w:rPr>
        <w:t xml:space="preserve"> </w:t>
      </w:r>
      <w:r w:rsidR="0086359D">
        <w:rPr>
          <w:rFonts w:hint="cs"/>
          <w:rtl/>
        </w:rPr>
        <w:t xml:space="preserve">بولايات </w:t>
      </w:r>
      <w:r w:rsidR="0086359D">
        <w:rPr>
          <w:rFonts w:hint="cs"/>
          <w:rtl/>
          <w:lang/>
        </w:rPr>
        <w:t>في إطار الإجراءات الخاصة بمجلس حقوق الإنسان (المواد 1 و2 و4 و10 و14 و16).</w:t>
      </w:r>
    </w:p>
    <w:p w:rsidR="0086359D" w:rsidRPr="0052662E" w:rsidRDefault="0052662E" w:rsidP="0052662E">
      <w:pPr>
        <w:pStyle w:val="SingleTxtGA"/>
        <w:rPr>
          <w:rFonts w:hint="cs"/>
          <w:b/>
          <w:bCs/>
          <w:rtl/>
        </w:rPr>
      </w:pPr>
      <w:r w:rsidRPr="0052662E">
        <w:rPr>
          <w:rFonts w:hint="cs"/>
          <w:b/>
          <w:bCs/>
          <w:rtl/>
          <w:lang/>
        </w:rPr>
        <w:tab/>
      </w:r>
      <w:r w:rsidR="0086359D" w:rsidRPr="0052662E">
        <w:rPr>
          <w:rFonts w:hint="cs"/>
          <w:b/>
          <w:bCs/>
          <w:rtl/>
        </w:rPr>
        <w:t>وإذ</w:t>
      </w:r>
      <w:r w:rsidRPr="0052662E">
        <w:rPr>
          <w:rFonts w:hint="cs"/>
          <w:b/>
          <w:bCs/>
          <w:rtl/>
        </w:rPr>
        <w:t xml:space="preserve"> </w:t>
      </w:r>
      <w:r w:rsidR="0086359D" w:rsidRPr="0052662E">
        <w:rPr>
          <w:rFonts w:hint="cs"/>
          <w:b/>
          <w:bCs/>
          <w:rtl/>
        </w:rPr>
        <w:t>ت</w:t>
      </w:r>
      <w:r w:rsidR="00965D7F">
        <w:rPr>
          <w:rFonts w:hint="cs"/>
          <w:b/>
          <w:bCs/>
          <w:rtl/>
        </w:rPr>
        <w:t>ذكر اللجنة بتعليقها العام رقم 3</w:t>
      </w:r>
      <w:r w:rsidR="0086359D" w:rsidRPr="0052662E">
        <w:rPr>
          <w:rFonts w:hint="cs"/>
          <w:b/>
          <w:bCs/>
          <w:rtl/>
        </w:rPr>
        <w:t>(2012)، تحثّ الدولة الطرف على اتخاذ التدابير التشريعية والإدارية الفورية والفعالة للتوصل إلى حلول لقضايا "نساء المتعة"، يكون الضحايا هم محورها ومرتكزها، لا</w:t>
      </w:r>
      <w:r w:rsidR="00AE5EDE">
        <w:rPr>
          <w:rFonts w:hint="eastAsia"/>
          <w:b/>
          <w:bCs/>
          <w:rtl/>
        </w:rPr>
        <w:t> </w:t>
      </w:r>
      <w:r w:rsidR="0086359D" w:rsidRPr="0052662E">
        <w:rPr>
          <w:rFonts w:hint="cs"/>
          <w:b/>
          <w:bCs/>
          <w:rtl/>
        </w:rPr>
        <w:t xml:space="preserve">سيما من خلال: </w:t>
      </w:r>
    </w:p>
    <w:p w:rsidR="0086359D" w:rsidRPr="0052662E" w:rsidRDefault="0052662E" w:rsidP="0052662E">
      <w:pPr>
        <w:pStyle w:val="SingleTxtGA"/>
        <w:rPr>
          <w:rFonts w:hint="cs"/>
          <w:b/>
          <w:bCs/>
          <w:rtl/>
        </w:rPr>
      </w:pPr>
      <w:r w:rsidRPr="0052662E">
        <w:rPr>
          <w:rFonts w:hint="cs"/>
          <w:b/>
          <w:bCs/>
          <w:rtl/>
        </w:rPr>
        <w:tab/>
        <w:t>(أ)</w:t>
      </w:r>
      <w:r w:rsidRPr="0052662E">
        <w:rPr>
          <w:rFonts w:hint="cs"/>
          <w:b/>
          <w:bCs/>
          <w:rtl/>
        </w:rPr>
        <w:tab/>
      </w:r>
      <w:r w:rsidR="0086359D" w:rsidRPr="0052662E">
        <w:rPr>
          <w:rFonts w:hint="cs"/>
          <w:b/>
          <w:bCs/>
          <w:rtl/>
        </w:rPr>
        <w:t>الاعتراف علناً بالمسؤولية القانونية</w:t>
      </w:r>
      <w:r w:rsidR="00826260">
        <w:rPr>
          <w:rFonts w:hint="cs"/>
          <w:b/>
          <w:bCs/>
          <w:rtl/>
        </w:rPr>
        <w:t xml:space="preserve"> </w:t>
      </w:r>
      <w:r w:rsidR="0086359D" w:rsidRPr="0052662E">
        <w:rPr>
          <w:rFonts w:hint="cs"/>
          <w:b/>
          <w:bCs/>
          <w:rtl/>
        </w:rPr>
        <w:t xml:space="preserve">عن جرائم الاستعباد الجنسي وملاحقة مرتكبيها وإنزال العقوبات اللازمة بهم؛ </w:t>
      </w:r>
    </w:p>
    <w:p w:rsidR="0086359D" w:rsidRPr="0052662E" w:rsidRDefault="0052662E" w:rsidP="0052662E">
      <w:pPr>
        <w:pStyle w:val="SingleTxtGA"/>
        <w:rPr>
          <w:rFonts w:hint="cs"/>
          <w:b/>
          <w:bCs/>
        </w:rPr>
      </w:pPr>
      <w:r w:rsidRPr="0052662E">
        <w:rPr>
          <w:rFonts w:hint="cs"/>
          <w:b/>
          <w:bCs/>
          <w:rtl/>
        </w:rPr>
        <w:tab/>
        <w:t>(ب)</w:t>
      </w:r>
      <w:r w:rsidRPr="0052662E">
        <w:rPr>
          <w:rFonts w:hint="cs"/>
          <w:b/>
          <w:bCs/>
          <w:rtl/>
        </w:rPr>
        <w:tab/>
      </w:r>
      <w:r w:rsidR="0086359D" w:rsidRPr="0052662E">
        <w:rPr>
          <w:rFonts w:hint="cs"/>
          <w:b/>
          <w:bCs/>
          <w:rtl/>
        </w:rPr>
        <w:t xml:space="preserve">دحض محاولات إنكار الوقائع التي تقوم بها السلطات الحكومية والشخصيات العامة وإعادة تعريض الضحايا للصدمات من خلال هذا الإنكار المتكرر؛ </w:t>
      </w:r>
    </w:p>
    <w:p w:rsidR="0086359D" w:rsidRPr="0052662E" w:rsidRDefault="0052662E" w:rsidP="0052662E">
      <w:pPr>
        <w:pStyle w:val="SingleTxtGA"/>
        <w:rPr>
          <w:rFonts w:hint="cs"/>
          <w:b/>
          <w:bCs/>
          <w:rtl/>
        </w:rPr>
      </w:pPr>
      <w:r w:rsidRPr="0052662E">
        <w:rPr>
          <w:rFonts w:hint="cs"/>
          <w:b/>
          <w:bCs/>
          <w:rtl/>
        </w:rPr>
        <w:tab/>
        <w:t>(ج)</w:t>
      </w:r>
      <w:r w:rsidRPr="0052662E">
        <w:rPr>
          <w:rFonts w:hint="cs"/>
          <w:b/>
          <w:bCs/>
          <w:rtl/>
        </w:rPr>
        <w:tab/>
      </w:r>
      <w:r w:rsidR="0086359D" w:rsidRPr="0052662E">
        <w:rPr>
          <w:rFonts w:hint="cs"/>
          <w:b/>
          <w:bCs/>
          <w:rtl/>
        </w:rPr>
        <w:t xml:space="preserve">الإفصاح عن المواد ذات الصلة والتحقيق في الوقائع كاملةً؛ </w:t>
      </w:r>
    </w:p>
    <w:p w:rsidR="0086359D" w:rsidRPr="0052662E" w:rsidRDefault="0052662E" w:rsidP="0052662E">
      <w:pPr>
        <w:pStyle w:val="SingleTxtGA"/>
        <w:rPr>
          <w:rFonts w:hint="cs"/>
          <w:b/>
          <w:bCs/>
          <w:rtl/>
        </w:rPr>
      </w:pPr>
      <w:r w:rsidRPr="0052662E">
        <w:rPr>
          <w:rFonts w:hint="cs"/>
          <w:b/>
          <w:bCs/>
          <w:rtl/>
        </w:rPr>
        <w:tab/>
        <w:t>(د)</w:t>
      </w:r>
      <w:r w:rsidRPr="0052662E">
        <w:rPr>
          <w:rFonts w:hint="cs"/>
          <w:b/>
          <w:bCs/>
          <w:rtl/>
        </w:rPr>
        <w:tab/>
      </w:r>
      <w:r w:rsidR="0086359D" w:rsidRPr="0052662E">
        <w:rPr>
          <w:rFonts w:hint="cs"/>
          <w:b/>
          <w:bCs/>
          <w:rtl/>
        </w:rPr>
        <w:t xml:space="preserve">الاعتراف بحق الضحية في الجبر وإعطائها على هذا الأساس الجبر والانتصاف الكاملين والفعالين، بما يشمل التعويض والإرضاء وسبل إعادة التأهيل إلى أقصى حد ممكن؛ </w:t>
      </w:r>
    </w:p>
    <w:p w:rsidR="0086359D" w:rsidRPr="0052662E" w:rsidRDefault="0052662E" w:rsidP="0052662E">
      <w:pPr>
        <w:pStyle w:val="SingleTxtGA"/>
        <w:rPr>
          <w:rFonts w:hint="cs"/>
          <w:b/>
          <w:bCs/>
          <w:rtl/>
        </w:rPr>
      </w:pPr>
      <w:r w:rsidRPr="0052662E">
        <w:rPr>
          <w:rFonts w:hint="cs"/>
          <w:b/>
          <w:bCs/>
          <w:rtl/>
        </w:rPr>
        <w:tab/>
        <w:t>(ه‍(</w:t>
      </w:r>
      <w:r w:rsidRPr="0052662E">
        <w:rPr>
          <w:rFonts w:hint="cs"/>
          <w:b/>
          <w:bCs/>
          <w:rtl/>
        </w:rPr>
        <w:tab/>
      </w:r>
      <w:r w:rsidR="0086359D" w:rsidRPr="0052662E">
        <w:rPr>
          <w:rFonts w:hint="cs"/>
          <w:b/>
          <w:bCs/>
          <w:rtl/>
        </w:rPr>
        <w:t xml:space="preserve">تثقيف الجمهور عامة بشأن القضية وتضمين كتب التاريخ المدرسية هذه الأحداث كوسيلة للوقاية من المزيد من الانتهاكات لالتزامات الدولة الطرف بموجب الاتفاقية. </w:t>
      </w:r>
    </w:p>
    <w:p w:rsidR="0086359D" w:rsidRPr="00A9602C" w:rsidRDefault="0052662E" w:rsidP="0052662E">
      <w:pPr>
        <w:pStyle w:val="H23GA"/>
        <w:rPr>
          <w:rFonts w:hint="cs"/>
          <w:rtl/>
        </w:rPr>
      </w:pPr>
      <w:r>
        <w:rPr>
          <w:rFonts w:hint="cs"/>
          <w:rtl/>
        </w:rPr>
        <w:tab/>
      </w:r>
      <w:r>
        <w:rPr>
          <w:rFonts w:hint="cs"/>
          <w:rtl/>
        </w:rPr>
        <w:tab/>
      </w:r>
      <w:r w:rsidR="0086359D" w:rsidRPr="00A9602C">
        <w:rPr>
          <w:rFonts w:hint="cs"/>
          <w:rtl/>
        </w:rPr>
        <w:t>العنف ضد المرأة والعنف القائم على أساس نوع الجنس</w:t>
      </w:r>
    </w:p>
    <w:p w:rsidR="0086359D" w:rsidRDefault="0086359D" w:rsidP="0052662E">
      <w:pPr>
        <w:pStyle w:val="SingleTxtGA"/>
        <w:rPr>
          <w:rFonts w:hint="cs"/>
          <w:rtl/>
        </w:rPr>
      </w:pPr>
      <w:r>
        <w:rPr>
          <w:rFonts w:hint="cs"/>
          <w:rtl/>
        </w:rPr>
        <w:t>20-</w:t>
      </w:r>
      <w:r w:rsidR="0052662E">
        <w:rPr>
          <w:rFonts w:hint="cs"/>
          <w:rtl/>
        </w:rPr>
        <w:tab/>
      </w:r>
      <w:r>
        <w:rPr>
          <w:rFonts w:hint="cs"/>
          <w:rtl/>
        </w:rPr>
        <w:t>بينما تحيط اللجنة علماً بجهود الدولة الطرف لمكافحة العنف القائم على أساس نوع الجنس، تعرب عن قلقها إزاء التقارير بشأن استمرار وقوع حوادث العنف القائم على أساس نوع الجنس، لا</w:t>
      </w:r>
      <w:r w:rsidR="00AE5EDE">
        <w:rPr>
          <w:rFonts w:hint="eastAsia"/>
          <w:rtl/>
        </w:rPr>
        <w:t> </w:t>
      </w:r>
      <w:r>
        <w:rPr>
          <w:rFonts w:hint="cs"/>
          <w:rtl/>
        </w:rPr>
        <w:t>سيما العنف المنزلي وسفاح المحارم والاغتصاب الذي يشمل الاغتصاب في إطار الزواج، وإزاء العدد الضئيل للشكاوى والتحقيقات والملاحقات القضائية والإدانات في هذه القضايا، والحماية القانونية غير الكافية للضحايا. وفضلاً عن ذلك، تعرب اللجنة عن قلقها إزاء اشتراط إيداع الضحية شكواها بموجب قانون العقوبات بغية م</w:t>
      </w:r>
      <w:r w:rsidR="005B4839">
        <w:rPr>
          <w:rFonts w:hint="cs"/>
          <w:rtl/>
        </w:rPr>
        <w:t>لاحقة مرتكبي جرائم العنف الجنسي</w:t>
      </w:r>
      <w:r>
        <w:rPr>
          <w:rFonts w:hint="cs"/>
          <w:rtl/>
        </w:rPr>
        <w:t xml:space="preserve"> (المواد 2 و12 و13 و14 و16). </w:t>
      </w:r>
    </w:p>
    <w:p w:rsidR="0086359D" w:rsidRPr="0052662E" w:rsidRDefault="0052662E" w:rsidP="0052662E">
      <w:pPr>
        <w:pStyle w:val="SingleTxtGA"/>
        <w:rPr>
          <w:rFonts w:hint="cs"/>
          <w:b/>
          <w:bCs/>
          <w:rtl/>
        </w:rPr>
      </w:pPr>
      <w:r w:rsidRPr="0052662E">
        <w:rPr>
          <w:rFonts w:hint="cs"/>
          <w:b/>
          <w:bCs/>
          <w:rtl/>
        </w:rPr>
        <w:tab/>
      </w:r>
      <w:r w:rsidR="0086359D" w:rsidRPr="0052662E">
        <w:rPr>
          <w:rFonts w:hint="cs"/>
          <w:b/>
          <w:bCs/>
          <w:rtl/>
        </w:rPr>
        <w:t>في ضوء التوصيات التي قدمتها اللجنة سابقاً (الفقرة 25) وتوصيات اللجنة المعنية بالقضاء على التمييز ضد المرأة (</w:t>
      </w:r>
      <w:r w:rsidR="0086359D" w:rsidRPr="0052662E">
        <w:rPr>
          <w:b/>
          <w:bCs/>
          <w:lang w:val="fr-CH"/>
        </w:rPr>
        <w:t>CEDAW</w:t>
      </w:r>
      <w:r w:rsidR="005B4839">
        <w:rPr>
          <w:b/>
          <w:bCs/>
          <w:lang w:val="fr-CH"/>
        </w:rPr>
        <w:t>/C</w:t>
      </w:r>
      <w:r w:rsidR="0086359D" w:rsidRPr="0052662E">
        <w:rPr>
          <w:b/>
          <w:bCs/>
        </w:rPr>
        <w:t>/JPN/CO/6</w:t>
      </w:r>
      <w:r w:rsidR="0086359D" w:rsidRPr="0052662E">
        <w:rPr>
          <w:rFonts w:hint="cs"/>
          <w:b/>
          <w:bCs/>
          <w:rtl/>
        </w:rPr>
        <w:t>، الفقرتان 31-34)، يتعين على الدولة الطرف أن تضاعف جهودها للوقاية من كافة أشكال الاستغلال القائم على أساس نوع الجنس وملاحقة مرتكبيه قضائياً، بما في ذلك العنف المنزلي وسفاح المحارم والاغتصاب الذي يشمل الاغتصاب في إطار الزواج، لا</w:t>
      </w:r>
      <w:r w:rsidR="00AE5EDE">
        <w:rPr>
          <w:rFonts w:hint="eastAsia"/>
          <w:b/>
          <w:bCs/>
          <w:rtl/>
        </w:rPr>
        <w:t> </w:t>
      </w:r>
      <w:r w:rsidR="0086359D" w:rsidRPr="0052662E">
        <w:rPr>
          <w:rFonts w:hint="cs"/>
          <w:b/>
          <w:bCs/>
          <w:rtl/>
        </w:rPr>
        <w:t xml:space="preserve">سيما من خلال: </w:t>
      </w:r>
    </w:p>
    <w:p w:rsidR="0086359D" w:rsidRPr="0052662E" w:rsidRDefault="0052662E" w:rsidP="0052662E">
      <w:pPr>
        <w:pStyle w:val="SingleTxtGA"/>
        <w:rPr>
          <w:rFonts w:hint="cs"/>
          <w:b/>
          <w:bCs/>
          <w:rtl/>
        </w:rPr>
      </w:pPr>
      <w:r w:rsidRPr="0052662E">
        <w:rPr>
          <w:rFonts w:hint="cs"/>
          <w:b/>
          <w:bCs/>
          <w:rtl/>
        </w:rPr>
        <w:tab/>
        <w:t>(أ)</w:t>
      </w:r>
      <w:r w:rsidRPr="0052662E">
        <w:rPr>
          <w:rFonts w:hint="cs"/>
          <w:b/>
          <w:bCs/>
          <w:rtl/>
        </w:rPr>
        <w:tab/>
      </w:r>
      <w:r w:rsidR="0086359D" w:rsidRPr="0052662E">
        <w:rPr>
          <w:rFonts w:hint="cs"/>
          <w:b/>
          <w:bCs/>
          <w:rtl/>
        </w:rPr>
        <w:t xml:space="preserve">اعتماد وتنفيذ استراتيجية وطنية متسقة وشاملة للقضاء على العنف ضد المرأة، تشمل مكونات قانونية وتثقيفية ومالية واجتماعية؛ </w:t>
      </w:r>
    </w:p>
    <w:p w:rsidR="0086359D" w:rsidRPr="0052662E" w:rsidRDefault="0052662E" w:rsidP="0052662E">
      <w:pPr>
        <w:pStyle w:val="SingleTxtGA"/>
        <w:rPr>
          <w:rFonts w:hint="cs"/>
          <w:b/>
          <w:bCs/>
        </w:rPr>
      </w:pPr>
      <w:r w:rsidRPr="0052662E">
        <w:rPr>
          <w:rFonts w:hint="cs"/>
          <w:b/>
          <w:bCs/>
          <w:rtl/>
        </w:rPr>
        <w:tab/>
        <w:t>(ب)</w:t>
      </w:r>
      <w:r w:rsidRPr="0052662E">
        <w:rPr>
          <w:rFonts w:hint="cs"/>
          <w:b/>
          <w:bCs/>
          <w:rtl/>
        </w:rPr>
        <w:tab/>
      </w:r>
      <w:r w:rsidR="0086359D" w:rsidRPr="0052662E">
        <w:rPr>
          <w:rFonts w:hint="cs"/>
          <w:b/>
          <w:bCs/>
          <w:rtl/>
        </w:rPr>
        <w:t>ضمان لجوء ضحايا هذا النوع من العنف إلى آلية تظلم</w:t>
      </w:r>
      <w:r w:rsidR="00582B40">
        <w:rPr>
          <w:rFonts w:hint="cs"/>
          <w:b/>
          <w:bCs/>
          <w:rtl/>
        </w:rPr>
        <w:t>،</w:t>
      </w:r>
      <w:r w:rsidR="0086359D" w:rsidRPr="0052662E">
        <w:rPr>
          <w:rFonts w:hint="cs"/>
          <w:b/>
          <w:bCs/>
          <w:rtl/>
        </w:rPr>
        <w:t xml:space="preserve"> وتيسير إعادة تأهيل الضحايا الجسدية والنفسية. وينبغي أن يمتد هذا الدعم ليشمل الضحايا في صفوف العسكريين بمن فيهم العاملون ضمن قوات أجنبية في الدولة الطرف؛ </w:t>
      </w:r>
    </w:p>
    <w:p w:rsidR="0086359D" w:rsidRPr="0052662E" w:rsidRDefault="0052662E" w:rsidP="0052662E">
      <w:pPr>
        <w:pStyle w:val="SingleTxtGA"/>
        <w:rPr>
          <w:rFonts w:hint="cs"/>
          <w:b/>
          <w:bCs/>
          <w:rtl/>
        </w:rPr>
      </w:pPr>
      <w:r w:rsidRPr="0052662E">
        <w:rPr>
          <w:rFonts w:hint="cs"/>
          <w:b/>
          <w:bCs/>
          <w:rtl/>
        </w:rPr>
        <w:tab/>
        <w:t>(ج)</w:t>
      </w:r>
      <w:r w:rsidRPr="0052662E">
        <w:rPr>
          <w:rFonts w:hint="cs"/>
          <w:b/>
          <w:bCs/>
          <w:rtl/>
        </w:rPr>
        <w:tab/>
      </w:r>
      <w:r w:rsidR="0086359D" w:rsidRPr="0052662E">
        <w:rPr>
          <w:rFonts w:hint="cs"/>
          <w:b/>
          <w:bCs/>
          <w:rtl/>
        </w:rPr>
        <w:t xml:space="preserve">التحقيق الفوري والفعال والنزيه في جميع حوادث العنف ضد المرأة وملاحقة المسؤولين قضائياً. وتحث اللجنة الدولة الطرف على تنقيح تشريعها بغية ضمان محاكمة جريمة العنف الجنسي بدون تقديم الضحية شكواها؛ </w:t>
      </w:r>
    </w:p>
    <w:p w:rsidR="0086359D" w:rsidRPr="0052662E" w:rsidRDefault="0052662E" w:rsidP="0052662E">
      <w:pPr>
        <w:pStyle w:val="SingleTxtGA"/>
        <w:rPr>
          <w:rFonts w:hint="cs"/>
          <w:b/>
          <w:bCs/>
          <w:rtl/>
        </w:rPr>
      </w:pPr>
      <w:r w:rsidRPr="0052662E">
        <w:rPr>
          <w:rFonts w:hint="cs"/>
          <w:b/>
          <w:bCs/>
          <w:rtl/>
        </w:rPr>
        <w:tab/>
        <w:t>(د)</w:t>
      </w:r>
      <w:r w:rsidRPr="0052662E">
        <w:rPr>
          <w:rFonts w:hint="cs"/>
          <w:b/>
          <w:bCs/>
          <w:rtl/>
        </w:rPr>
        <w:tab/>
      </w:r>
      <w:r w:rsidR="0086359D" w:rsidRPr="0052662E">
        <w:rPr>
          <w:rFonts w:hint="cs"/>
          <w:b/>
          <w:bCs/>
          <w:rtl/>
        </w:rPr>
        <w:t>توسيع نطاق حملات التوعية العامّة لتشمل كافة أشكال العنف ضد المرأة والعنف القائم على أساس نوع الجنس.</w:t>
      </w:r>
    </w:p>
    <w:p w:rsidR="0086359D" w:rsidRPr="00A9602C" w:rsidRDefault="0052662E" w:rsidP="0052662E">
      <w:pPr>
        <w:pStyle w:val="H23GA"/>
        <w:rPr>
          <w:rFonts w:hint="cs"/>
          <w:rtl/>
        </w:rPr>
      </w:pPr>
      <w:r>
        <w:rPr>
          <w:rFonts w:hint="cs"/>
          <w:rtl/>
        </w:rPr>
        <w:tab/>
      </w:r>
      <w:r>
        <w:rPr>
          <w:rFonts w:hint="cs"/>
          <w:rtl/>
        </w:rPr>
        <w:tab/>
      </w:r>
      <w:r w:rsidR="0086359D" w:rsidRPr="00A9602C">
        <w:rPr>
          <w:rFonts w:hint="cs"/>
          <w:rtl/>
        </w:rPr>
        <w:t>الاتجار بالبشر</w:t>
      </w:r>
    </w:p>
    <w:p w:rsidR="0086359D" w:rsidRDefault="0052662E" w:rsidP="00826260">
      <w:pPr>
        <w:pStyle w:val="SingleTxtGA"/>
        <w:rPr>
          <w:rFonts w:hint="cs"/>
          <w:sz w:val="32"/>
          <w:szCs w:val="32"/>
          <w:rtl/>
        </w:rPr>
      </w:pPr>
      <w:r>
        <w:rPr>
          <w:rFonts w:hint="cs"/>
          <w:sz w:val="32"/>
          <w:szCs w:val="32"/>
          <w:rtl/>
        </w:rPr>
        <w:t>21-</w:t>
      </w:r>
      <w:r>
        <w:rPr>
          <w:rFonts w:hint="cs"/>
          <w:sz w:val="32"/>
          <w:szCs w:val="32"/>
          <w:rtl/>
        </w:rPr>
        <w:tab/>
      </w:r>
      <w:r w:rsidR="0086359D">
        <w:rPr>
          <w:rFonts w:hint="cs"/>
          <w:sz w:val="32"/>
          <w:szCs w:val="32"/>
          <w:rtl/>
        </w:rPr>
        <w:t xml:space="preserve">بينما تلاحظ اللجنة جهود الدولة الطرف لمكافحة الاتجار بالبشر، بما يشمل </w:t>
      </w:r>
      <w:r w:rsidR="0086359D">
        <w:rPr>
          <w:rFonts w:hint="cs"/>
          <w:rtl/>
          <w:lang/>
        </w:rPr>
        <w:t>خطة عمل عام 2009 بشأن تدابير مكافحة الاتجار بالأشخاص، يساورها قلق إزاء نقص المعلومات عن الموارد المخصصة لخطة العمل هذه والتفاوت الكبير بين عدد الأشخاص الموقوفين بتهمة الاتجار وعدد الأشخاص المحاكمين والمدانين. وتأسف اللجنة لنقص المعلومات عن هيئة التنسيق والرصد وأثر التدابير المتخذة للتصدي</w:t>
      </w:r>
      <w:r w:rsidR="00826260">
        <w:rPr>
          <w:rFonts w:hint="cs"/>
          <w:rtl/>
          <w:lang/>
        </w:rPr>
        <w:t xml:space="preserve"> </w:t>
      </w:r>
      <w:r w:rsidR="0086359D">
        <w:rPr>
          <w:rFonts w:hint="cs"/>
          <w:rtl/>
          <w:lang/>
        </w:rPr>
        <w:t>للاتجار لا</w:t>
      </w:r>
      <w:r w:rsidR="00AE5EDE">
        <w:rPr>
          <w:rFonts w:hint="eastAsia"/>
          <w:rtl/>
          <w:lang/>
        </w:rPr>
        <w:t> </w:t>
      </w:r>
      <w:r w:rsidR="0086359D">
        <w:rPr>
          <w:rFonts w:hint="cs"/>
          <w:rtl/>
          <w:lang/>
        </w:rPr>
        <w:t>سيما بالأطفال (المواد 2 و12 و13 و14 و16).</w:t>
      </w:r>
      <w:r w:rsidR="00826260">
        <w:rPr>
          <w:rFonts w:hint="cs"/>
          <w:rtl/>
          <w:lang/>
        </w:rPr>
        <w:t xml:space="preserve"> </w:t>
      </w:r>
    </w:p>
    <w:p w:rsidR="0086359D" w:rsidRPr="004C31DF" w:rsidRDefault="0052662E" w:rsidP="0052662E">
      <w:pPr>
        <w:pStyle w:val="SingleTxtGA"/>
        <w:rPr>
          <w:rFonts w:hint="cs"/>
          <w:b/>
          <w:bCs/>
          <w:rtl/>
        </w:rPr>
      </w:pPr>
      <w:r w:rsidRPr="004C31DF">
        <w:rPr>
          <w:rFonts w:hint="cs"/>
          <w:b/>
          <w:bCs/>
          <w:rtl/>
        </w:rPr>
        <w:tab/>
      </w:r>
      <w:r w:rsidR="0086359D" w:rsidRPr="004C31DF">
        <w:rPr>
          <w:rFonts w:hint="cs"/>
          <w:b/>
          <w:bCs/>
          <w:rtl/>
        </w:rPr>
        <w:t>تدعو اللجنة الدولة الطرف إلى تنفيذ التوصيات التي قدمتها المقررة الخاصة المعنية بالاتجار بالأشخاص (</w:t>
      </w:r>
      <w:r w:rsidR="0086359D" w:rsidRPr="004C31DF">
        <w:rPr>
          <w:b/>
          <w:bCs/>
        </w:rPr>
        <w:t>A/HRC/14/32/Add.4</w:t>
      </w:r>
      <w:r w:rsidR="0086359D" w:rsidRPr="004C31DF">
        <w:rPr>
          <w:rFonts w:hint="cs"/>
          <w:b/>
          <w:bCs/>
          <w:rtl/>
        </w:rPr>
        <w:t>) عقب زيارتها لليابان في عام 2009 تنفيذاً كاملاً.</w:t>
      </w:r>
      <w:r w:rsidR="00826260" w:rsidRPr="004C31DF">
        <w:rPr>
          <w:rFonts w:hint="cs"/>
          <w:b/>
          <w:bCs/>
          <w:rtl/>
        </w:rPr>
        <w:t xml:space="preserve"> </w:t>
      </w:r>
      <w:r w:rsidR="0086359D" w:rsidRPr="004C31DF">
        <w:rPr>
          <w:rFonts w:hint="cs"/>
          <w:b/>
          <w:bCs/>
          <w:rtl/>
        </w:rPr>
        <w:t xml:space="preserve">ويتعين على الدولة الطرف أن تضمن على وجه الخصوص ما يلي: </w:t>
      </w:r>
    </w:p>
    <w:p w:rsidR="0086359D" w:rsidRPr="004C31DF" w:rsidRDefault="0052662E" w:rsidP="0052662E">
      <w:pPr>
        <w:pStyle w:val="SingleTxtGA"/>
        <w:rPr>
          <w:rFonts w:hint="cs"/>
          <w:b/>
          <w:bCs/>
          <w:rtl/>
        </w:rPr>
      </w:pPr>
      <w:r w:rsidRPr="004C31DF">
        <w:rPr>
          <w:rFonts w:hint="cs"/>
          <w:b/>
          <w:bCs/>
          <w:rtl/>
        </w:rPr>
        <w:tab/>
        <w:t>(أ)</w:t>
      </w:r>
      <w:r w:rsidRPr="004C31DF">
        <w:rPr>
          <w:rFonts w:hint="cs"/>
          <w:b/>
          <w:bCs/>
          <w:rtl/>
        </w:rPr>
        <w:tab/>
      </w:r>
      <w:r w:rsidR="0086359D" w:rsidRPr="004C31DF">
        <w:rPr>
          <w:rFonts w:hint="cs"/>
          <w:b/>
          <w:bCs/>
          <w:rtl/>
        </w:rPr>
        <w:t xml:space="preserve">توفير المساعدة المناسبة لضحايا الاتجار لكفالة تعافيهم الجسدي والنفسي؛ </w:t>
      </w:r>
    </w:p>
    <w:p w:rsidR="0086359D" w:rsidRPr="004C31DF" w:rsidRDefault="0052662E" w:rsidP="00F43082">
      <w:pPr>
        <w:pStyle w:val="SingleTxtGA"/>
        <w:rPr>
          <w:rFonts w:hint="cs"/>
          <w:b/>
          <w:bCs/>
        </w:rPr>
      </w:pPr>
      <w:r w:rsidRPr="004C31DF">
        <w:rPr>
          <w:rFonts w:hint="cs"/>
          <w:b/>
          <w:bCs/>
          <w:rtl/>
        </w:rPr>
        <w:tab/>
        <w:t>(ب)</w:t>
      </w:r>
      <w:r w:rsidRPr="004C31DF">
        <w:rPr>
          <w:rFonts w:hint="cs"/>
          <w:b/>
          <w:bCs/>
          <w:rtl/>
        </w:rPr>
        <w:tab/>
      </w:r>
      <w:r w:rsidR="0086359D" w:rsidRPr="004C31DF">
        <w:rPr>
          <w:rFonts w:hint="cs"/>
          <w:b/>
          <w:bCs/>
          <w:rtl/>
        </w:rPr>
        <w:t>إعمال إجراءات واضحة لتحديد الهوية لتحاشي الغلط في تحديد هوية ضحايا الاتجار ومعاملتهم بالتالي على أساس أنهم مهاجرون بدون أوراق ثبوتية وترحيلهم بلا</w:t>
      </w:r>
      <w:r w:rsidR="00F43082" w:rsidRPr="004C31DF">
        <w:rPr>
          <w:rFonts w:hint="eastAsia"/>
          <w:b/>
          <w:bCs/>
          <w:rtl/>
        </w:rPr>
        <w:t> </w:t>
      </w:r>
      <w:r w:rsidR="0086359D" w:rsidRPr="004C31DF">
        <w:rPr>
          <w:rFonts w:hint="cs"/>
          <w:b/>
          <w:bCs/>
          <w:rtl/>
        </w:rPr>
        <w:t>جبر أو تظلّم؛</w:t>
      </w:r>
    </w:p>
    <w:p w:rsidR="0086359D" w:rsidRPr="004C31DF" w:rsidRDefault="0052662E" w:rsidP="0052662E">
      <w:pPr>
        <w:pStyle w:val="SingleTxtGA"/>
        <w:rPr>
          <w:rFonts w:hint="cs"/>
          <w:b/>
          <w:bCs/>
          <w:rtl/>
        </w:rPr>
      </w:pPr>
      <w:r w:rsidRPr="004C31DF">
        <w:rPr>
          <w:rFonts w:hint="cs"/>
          <w:b/>
          <w:bCs/>
          <w:rtl/>
        </w:rPr>
        <w:tab/>
        <w:t>(ج)</w:t>
      </w:r>
      <w:r w:rsidRPr="004C31DF">
        <w:rPr>
          <w:rFonts w:hint="cs"/>
          <w:b/>
          <w:bCs/>
          <w:rtl/>
        </w:rPr>
        <w:tab/>
      </w:r>
      <w:r w:rsidR="0086359D" w:rsidRPr="004C31DF">
        <w:rPr>
          <w:rFonts w:hint="cs"/>
          <w:b/>
          <w:bCs/>
          <w:rtl/>
        </w:rPr>
        <w:t>ملاحقة الجناة قضائياً وإنزال العقوبات المناسبة بهم؛</w:t>
      </w:r>
    </w:p>
    <w:p w:rsidR="0086359D" w:rsidRPr="004C31DF" w:rsidRDefault="0052662E" w:rsidP="0052662E">
      <w:pPr>
        <w:pStyle w:val="SingleTxtGA"/>
        <w:rPr>
          <w:rFonts w:hint="cs"/>
          <w:b/>
          <w:bCs/>
          <w:rtl/>
        </w:rPr>
      </w:pPr>
      <w:r w:rsidRPr="004C31DF">
        <w:rPr>
          <w:rFonts w:hint="cs"/>
          <w:b/>
          <w:bCs/>
          <w:rtl/>
        </w:rPr>
        <w:tab/>
        <w:t>(د)</w:t>
      </w:r>
      <w:r w:rsidRPr="004C31DF">
        <w:rPr>
          <w:rFonts w:hint="cs"/>
          <w:b/>
          <w:bCs/>
          <w:rtl/>
        </w:rPr>
        <w:tab/>
      </w:r>
      <w:r w:rsidR="0086359D" w:rsidRPr="004C31DF">
        <w:rPr>
          <w:rFonts w:hint="cs"/>
          <w:b/>
          <w:bCs/>
          <w:rtl/>
        </w:rPr>
        <w:t xml:space="preserve">توفير التدريب المتخصص للموظفين العموميين ذوي الصلة في هذا الصدد. </w:t>
      </w:r>
    </w:p>
    <w:p w:rsidR="0086359D" w:rsidRPr="0052662E" w:rsidRDefault="0052662E" w:rsidP="0052662E">
      <w:pPr>
        <w:pStyle w:val="SingleTxtGA"/>
        <w:rPr>
          <w:rFonts w:hint="cs"/>
          <w:b/>
          <w:bCs/>
          <w:rtl/>
          <w:lang/>
        </w:rPr>
      </w:pPr>
      <w:r>
        <w:rPr>
          <w:rFonts w:hint="cs"/>
          <w:rtl/>
        </w:rPr>
        <w:tab/>
      </w:r>
      <w:r w:rsidR="0086359D" w:rsidRPr="0052662E">
        <w:rPr>
          <w:rFonts w:hint="cs"/>
          <w:b/>
          <w:bCs/>
          <w:rtl/>
        </w:rPr>
        <w:t xml:space="preserve">وفضلاً عن ذلك، يتعين على الدولة الطرف أن تنظر في التصديق على بروتوكول </w:t>
      </w:r>
      <w:r w:rsidR="0086359D" w:rsidRPr="0052662E">
        <w:rPr>
          <w:rFonts w:hint="cs"/>
          <w:b/>
          <w:bCs/>
          <w:rtl/>
          <w:lang/>
        </w:rPr>
        <w:t>منع وقمع الاتجار بالأشخاص، وبخاصة النساء والأطفال (بروتوكول باليرمو).</w:t>
      </w:r>
    </w:p>
    <w:p w:rsidR="0086359D" w:rsidRPr="00A9602C" w:rsidRDefault="0052662E" w:rsidP="0052662E">
      <w:pPr>
        <w:pStyle w:val="H23GA"/>
        <w:rPr>
          <w:rFonts w:hint="cs"/>
          <w:rtl/>
          <w:lang/>
        </w:rPr>
      </w:pPr>
      <w:r>
        <w:rPr>
          <w:rFonts w:hint="cs"/>
          <w:rtl/>
          <w:lang/>
        </w:rPr>
        <w:tab/>
      </w:r>
      <w:r>
        <w:rPr>
          <w:rFonts w:hint="cs"/>
          <w:rtl/>
          <w:lang/>
        </w:rPr>
        <w:tab/>
      </w:r>
      <w:r w:rsidR="0086359D" w:rsidRPr="00A9602C">
        <w:rPr>
          <w:rFonts w:hint="cs"/>
          <w:rtl/>
          <w:lang/>
        </w:rPr>
        <w:t>الرعاية الصحية النفسية</w:t>
      </w:r>
    </w:p>
    <w:p w:rsidR="0086359D" w:rsidRDefault="0052662E" w:rsidP="005B4839">
      <w:pPr>
        <w:pStyle w:val="SingleTxtGA"/>
        <w:rPr>
          <w:rFonts w:hint="cs"/>
          <w:rtl/>
          <w:lang/>
        </w:rPr>
      </w:pPr>
      <w:r>
        <w:rPr>
          <w:rFonts w:hint="cs"/>
          <w:rtl/>
          <w:lang/>
        </w:rPr>
        <w:t>22-</w:t>
      </w:r>
      <w:r>
        <w:rPr>
          <w:rFonts w:hint="cs"/>
          <w:rtl/>
          <w:lang/>
        </w:rPr>
        <w:tab/>
      </w:r>
      <w:r w:rsidR="0086359D">
        <w:rPr>
          <w:rFonts w:hint="cs"/>
          <w:rtl/>
          <w:lang/>
        </w:rPr>
        <w:t>بالرغم من القانون المتعلق بالصحة العقلية ورعاية المصابين بمرض عقلي، الذي أرسى</w:t>
      </w:r>
      <w:r w:rsidR="00826260">
        <w:rPr>
          <w:rFonts w:hint="cs"/>
          <w:rtl/>
          <w:lang/>
        </w:rPr>
        <w:t xml:space="preserve"> </w:t>
      </w:r>
      <w:r w:rsidR="0086359D">
        <w:rPr>
          <w:rFonts w:hint="cs"/>
          <w:rtl/>
          <w:lang/>
        </w:rPr>
        <w:t>معايير تشغيل مؤسسات الرعاية بالصحة العقلية، والمعلومات الإضافية التي قدمها وفد الدولة الطرف، يساور اللجنة قلق إزاء العدد المرتفع</w:t>
      </w:r>
      <w:r w:rsidR="00826260">
        <w:rPr>
          <w:rFonts w:hint="cs"/>
          <w:rtl/>
          <w:lang/>
        </w:rPr>
        <w:t xml:space="preserve"> </w:t>
      </w:r>
      <w:r w:rsidR="0086359D">
        <w:rPr>
          <w:rFonts w:hint="cs"/>
          <w:rtl/>
          <w:lang/>
        </w:rPr>
        <w:t>من</w:t>
      </w:r>
      <w:r w:rsidR="00826260">
        <w:rPr>
          <w:rFonts w:hint="cs"/>
          <w:rtl/>
          <w:lang/>
        </w:rPr>
        <w:t xml:space="preserve"> </w:t>
      </w:r>
      <w:r w:rsidR="0086359D">
        <w:rPr>
          <w:rFonts w:hint="cs"/>
          <w:rtl/>
          <w:lang/>
        </w:rPr>
        <w:t>الأشخاص الذين يعانون خللاً عقلياً، بما</w:t>
      </w:r>
      <w:r w:rsidR="005B4839">
        <w:rPr>
          <w:rFonts w:hint="eastAsia"/>
          <w:rtl/>
          <w:lang/>
        </w:rPr>
        <w:t> </w:t>
      </w:r>
      <w:r w:rsidR="0086359D">
        <w:rPr>
          <w:rFonts w:hint="cs"/>
          <w:rtl/>
          <w:lang/>
        </w:rPr>
        <w:t>فيها الإعاقات النفسية والذهنية، والمحتجزين قسراً في مؤسسات الرعاية الصحية للأمراض العقلية لفترات طويلة في غالب الأحيان. وتعرب اللجنة عن مزيد من القلق إزاء شيوع استخدام الحبس الانفرادي والإكراه والإرغام على تناول الأدوية، وهذا ما قد يبلغ حدّ المعاملة اللاإنسانية والمهينة. ومع مراعاة المعلومات التي حصلت عليها اللجنة خلال الحوار بشأن الخطط المتعلقة بالرعاية الصحية العقلية، يبقى القلق يساورها إزاء غياب التركيز على بدائل الاستشفاء للأشخاص الذين يعانون خللاً عقلياً. وأخيراً، تعرب اللجنة عن قلقها إزاء تواتر حالات عدم</w:t>
      </w:r>
      <w:r w:rsidR="00826260">
        <w:rPr>
          <w:rFonts w:hint="cs"/>
          <w:rtl/>
          <w:lang/>
        </w:rPr>
        <w:t xml:space="preserve"> </w:t>
      </w:r>
      <w:r w:rsidR="0086359D">
        <w:rPr>
          <w:rFonts w:hint="cs"/>
          <w:rtl/>
          <w:lang/>
        </w:rPr>
        <w:t>التحقيق الفعال والنزيه في اللجوء المفرط للتدابير التقييدية فضلاً عن نقص البيانات الإحصائية ذات الصلة (المواد 2 و11 و13 و16).</w:t>
      </w:r>
      <w:r w:rsidR="00826260">
        <w:rPr>
          <w:rFonts w:hint="cs"/>
          <w:rtl/>
          <w:lang/>
        </w:rPr>
        <w:t xml:space="preserve"> </w:t>
      </w:r>
    </w:p>
    <w:p w:rsidR="0086359D" w:rsidRPr="0052662E" w:rsidRDefault="0052662E" w:rsidP="0052662E">
      <w:pPr>
        <w:pStyle w:val="SingleTxtGA"/>
        <w:rPr>
          <w:rFonts w:hint="cs"/>
          <w:b/>
          <w:bCs/>
          <w:rtl/>
          <w:lang/>
        </w:rPr>
      </w:pPr>
      <w:r w:rsidRPr="0052662E">
        <w:rPr>
          <w:rFonts w:hint="cs"/>
          <w:b/>
          <w:bCs/>
          <w:rtl/>
          <w:lang/>
        </w:rPr>
        <w:tab/>
      </w:r>
      <w:r w:rsidR="0086359D" w:rsidRPr="0052662E">
        <w:rPr>
          <w:rFonts w:hint="cs"/>
          <w:b/>
          <w:bCs/>
          <w:rtl/>
          <w:lang/>
        </w:rPr>
        <w:t xml:space="preserve">تحث اللجنة الدولة الطرف على ضمان ما يلي: </w:t>
      </w:r>
    </w:p>
    <w:p w:rsidR="0086359D" w:rsidRPr="0052662E" w:rsidRDefault="0052662E" w:rsidP="0052662E">
      <w:pPr>
        <w:pStyle w:val="SingleTxtGA"/>
        <w:rPr>
          <w:rFonts w:hint="cs"/>
          <w:b/>
          <w:bCs/>
          <w:rtl/>
          <w:lang/>
        </w:rPr>
      </w:pPr>
      <w:r w:rsidRPr="0052662E">
        <w:rPr>
          <w:rFonts w:hint="cs"/>
          <w:b/>
          <w:bCs/>
          <w:rtl/>
          <w:lang/>
        </w:rPr>
        <w:tab/>
        <w:t>(أ)</w:t>
      </w:r>
      <w:r w:rsidRPr="0052662E">
        <w:rPr>
          <w:rFonts w:hint="cs"/>
          <w:b/>
          <w:bCs/>
          <w:rtl/>
          <w:lang/>
        </w:rPr>
        <w:tab/>
      </w:r>
      <w:r w:rsidR="0086359D" w:rsidRPr="0052662E">
        <w:rPr>
          <w:rFonts w:hint="cs"/>
          <w:b/>
          <w:bCs/>
          <w:rtl/>
          <w:lang/>
        </w:rPr>
        <w:t>المراقبة القضائية الفعالة على العلاج والإيواء بالإكراه، ووضع آليات استئناف فعالة؛</w:t>
      </w:r>
    </w:p>
    <w:p w:rsidR="0086359D" w:rsidRPr="0052662E" w:rsidRDefault="0052662E" w:rsidP="0052662E">
      <w:pPr>
        <w:pStyle w:val="SingleTxtGA"/>
        <w:rPr>
          <w:rFonts w:hint="cs"/>
          <w:b/>
          <w:bCs/>
          <w:lang/>
        </w:rPr>
      </w:pPr>
      <w:r w:rsidRPr="0052662E">
        <w:rPr>
          <w:rFonts w:hint="cs"/>
          <w:b/>
          <w:bCs/>
          <w:rtl/>
          <w:lang/>
        </w:rPr>
        <w:tab/>
        <w:t>(ب)</w:t>
      </w:r>
      <w:r w:rsidRPr="0052662E">
        <w:rPr>
          <w:rFonts w:hint="cs"/>
          <w:b/>
          <w:bCs/>
          <w:rtl/>
          <w:lang/>
        </w:rPr>
        <w:tab/>
      </w:r>
      <w:r w:rsidR="0086359D" w:rsidRPr="0052662E">
        <w:rPr>
          <w:rFonts w:hint="cs"/>
          <w:b/>
          <w:bCs/>
          <w:rtl/>
          <w:lang/>
        </w:rPr>
        <w:t>تطوير خدمات رعاية خارجية للمرضى وخدمات مجتمعية وخفض عدد المرضى الذين يتم إيواؤهم في المؤسسات؛</w:t>
      </w:r>
    </w:p>
    <w:p w:rsidR="0086359D" w:rsidRPr="0052662E" w:rsidRDefault="0052662E" w:rsidP="005B4839">
      <w:pPr>
        <w:pStyle w:val="SingleTxtGA"/>
        <w:rPr>
          <w:rFonts w:hint="cs"/>
          <w:b/>
          <w:bCs/>
          <w:rtl/>
          <w:lang/>
        </w:rPr>
      </w:pPr>
      <w:r w:rsidRPr="0052662E">
        <w:rPr>
          <w:rFonts w:hint="cs"/>
          <w:b/>
          <w:bCs/>
          <w:rtl/>
          <w:lang/>
        </w:rPr>
        <w:tab/>
      </w:r>
      <w:r w:rsidR="0086359D" w:rsidRPr="0052662E">
        <w:rPr>
          <w:rFonts w:hint="cs"/>
          <w:b/>
          <w:bCs/>
          <w:rtl/>
          <w:lang/>
        </w:rPr>
        <w:t>(ج)</w:t>
      </w:r>
      <w:r w:rsidRPr="0052662E">
        <w:rPr>
          <w:rFonts w:hint="cs"/>
          <w:b/>
          <w:bCs/>
          <w:rtl/>
          <w:lang/>
        </w:rPr>
        <w:tab/>
      </w:r>
      <w:r w:rsidR="0086359D" w:rsidRPr="0052662E">
        <w:rPr>
          <w:rFonts w:hint="cs"/>
          <w:b/>
          <w:bCs/>
          <w:rtl/>
          <w:lang/>
        </w:rPr>
        <w:t>احترام الضمانات القانونية الفعالة في كل أماكن الحرمان من الحرية، بما</w:t>
      </w:r>
      <w:r w:rsidR="005B4839">
        <w:rPr>
          <w:rFonts w:hint="eastAsia"/>
          <w:b/>
          <w:bCs/>
          <w:rtl/>
          <w:lang/>
        </w:rPr>
        <w:t> </w:t>
      </w:r>
      <w:r w:rsidR="0086359D" w:rsidRPr="0052662E">
        <w:rPr>
          <w:rFonts w:hint="cs"/>
          <w:b/>
          <w:bCs/>
          <w:rtl/>
          <w:lang/>
        </w:rPr>
        <w:t>فيها مؤسسات الرعاية النفسية والاجتماعية؛</w:t>
      </w:r>
    </w:p>
    <w:p w:rsidR="0086359D" w:rsidRPr="0052662E" w:rsidRDefault="0052662E" w:rsidP="0052662E">
      <w:pPr>
        <w:pStyle w:val="SingleTxtGA"/>
        <w:rPr>
          <w:rFonts w:hint="cs"/>
          <w:b/>
          <w:bCs/>
          <w:rtl/>
          <w:lang/>
        </w:rPr>
      </w:pPr>
      <w:r w:rsidRPr="0052662E">
        <w:rPr>
          <w:rFonts w:hint="cs"/>
          <w:b/>
          <w:bCs/>
          <w:rtl/>
          <w:lang/>
        </w:rPr>
        <w:tab/>
        <w:t>(د)</w:t>
      </w:r>
      <w:r w:rsidRPr="0052662E">
        <w:rPr>
          <w:rFonts w:hint="cs"/>
          <w:b/>
          <w:bCs/>
          <w:rtl/>
          <w:lang/>
        </w:rPr>
        <w:tab/>
      </w:r>
      <w:r w:rsidR="0086359D" w:rsidRPr="0052662E">
        <w:rPr>
          <w:rFonts w:hint="cs"/>
          <w:b/>
          <w:bCs/>
          <w:rtl/>
          <w:lang/>
        </w:rPr>
        <w:t>تعزيز فرص اللجوء إلى آليات التظلم الفعالة؛</w:t>
      </w:r>
    </w:p>
    <w:p w:rsidR="0086359D" w:rsidRPr="0052662E" w:rsidRDefault="0052662E" w:rsidP="0052662E">
      <w:pPr>
        <w:pStyle w:val="SingleTxtGA"/>
        <w:rPr>
          <w:rFonts w:hint="cs"/>
          <w:b/>
          <w:bCs/>
          <w:rtl/>
          <w:lang/>
        </w:rPr>
      </w:pPr>
      <w:r w:rsidRPr="0052662E">
        <w:rPr>
          <w:rFonts w:hint="cs"/>
          <w:b/>
          <w:bCs/>
          <w:rtl/>
          <w:lang/>
        </w:rPr>
        <w:tab/>
      </w:r>
      <w:r w:rsidR="0086359D" w:rsidRPr="0052662E">
        <w:rPr>
          <w:rFonts w:hint="cs"/>
          <w:b/>
          <w:bCs/>
          <w:rtl/>
          <w:lang/>
        </w:rPr>
        <w:t>(</w:t>
      </w:r>
      <w:r w:rsidRPr="0052662E">
        <w:rPr>
          <w:rFonts w:hint="cs"/>
          <w:b/>
          <w:bCs/>
          <w:rtl/>
          <w:lang/>
        </w:rPr>
        <w:t>ه‍(</w:t>
      </w:r>
      <w:r w:rsidRPr="0052662E">
        <w:rPr>
          <w:rFonts w:hint="cs"/>
          <w:b/>
          <w:bCs/>
          <w:rtl/>
          <w:lang/>
        </w:rPr>
        <w:tab/>
      </w:r>
      <w:r w:rsidR="0086359D" w:rsidRPr="0052662E">
        <w:rPr>
          <w:rFonts w:hint="cs"/>
          <w:b/>
          <w:bCs/>
          <w:rtl/>
          <w:lang/>
        </w:rPr>
        <w:t>تفادي استخدام التقييد والحبس الانفرادي أو تطبيق هذا التدبير كملاذ أخير بعد فشل كل بدائل السيطرة الأخرى، لأقصر فترة ممكنة وتحت مراقبة طبية شديدة وتسجيل أي تدبير مماثل حسب الأصول؛</w:t>
      </w:r>
    </w:p>
    <w:p w:rsidR="0086359D" w:rsidRPr="0052662E" w:rsidRDefault="0052662E" w:rsidP="0052662E">
      <w:pPr>
        <w:pStyle w:val="SingleTxtGA"/>
        <w:rPr>
          <w:rFonts w:hint="cs"/>
          <w:b/>
          <w:bCs/>
          <w:rtl/>
          <w:lang/>
        </w:rPr>
      </w:pPr>
      <w:r w:rsidRPr="0052662E">
        <w:rPr>
          <w:rFonts w:hint="cs"/>
          <w:b/>
          <w:bCs/>
          <w:rtl/>
          <w:lang/>
        </w:rPr>
        <w:tab/>
        <w:t>(و)</w:t>
      </w:r>
      <w:r w:rsidRPr="0052662E">
        <w:rPr>
          <w:rFonts w:hint="cs"/>
          <w:b/>
          <w:bCs/>
          <w:rtl/>
          <w:lang/>
        </w:rPr>
        <w:tab/>
      </w:r>
      <w:r w:rsidR="0086359D" w:rsidRPr="0052662E">
        <w:rPr>
          <w:rFonts w:hint="cs"/>
          <w:b/>
          <w:bCs/>
          <w:rtl/>
          <w:lang/>
        </w:rPr>
        <w:t xml:space="preserve">المباشرة بالتحقيقات الفعالة والنزيهة في الأحداث التي أدّى فيها استخدام هذه التدابير التقييدية إلى تضرر المريض؛ </w:t>
      </w:r>
    </w:p>
    <w:p w:rsidR="0086359D" w:rsidRPr="0052662E" w:rsidRDefault="0052662E" w:rsidP="0052662E">
      <w:pPr>
        <w:pStyle w:val="SingleTxtGA"/>
        <w:rPr>
          <w:rFonts w:hint="cs"/>
          <w:b/>
          <w:bCs/>
          <w:rtl/>
          <w:lang/>
        </w:rPr>
      </w:pPr>
      <w:r w:rsidRPr="0052662E">
        <w:rPr>
          <w:rFonts w:hint="cs"/>
          <w:b/>
          <w:bCs/>
          <w:rtl/>
          <w:lang/>
        </w:rPr>
        <w:tab/>
        <w:t>(ز)</w:t>
      </w:r>
      <w:r w:rsidRPr="0052662E">
        <w:rPr>
          <w:rFonts w:hint="cs"/>
          <w:b/>
          <w:bCs/>
          <w:rtl/>
          <w:lang/>
        </w:rPr>
        <w:tab/>
      </w:r>
      <w:r w:rsidR="0086359D" w:rsidRPr="0052662E">
        <w:rPr>
          <w:rFonts w:hint="cs"/>
          <w:b/>
          <w:bCs/>
          <w:rtl/>
          <w:lang/>
        </w:rPr>
        <w:t>توفير سبل الانتصاف والجبر للضحايا؛</w:t>
      </w:r>
    </w:p>
    <w:p w:rsidR="0086359D" w:rsidRPr="0052662E" w:rsidRDefault="0052662E" w:rsidP="0052662E">
      <w:pPr>
        <w:pStyle w:val="SingleTxtGA"/>
        <w:rPr>
          <w:rFonts w:hint="cs"/>
          <w:b/>
          <w:bCs/>
          <w:rtl/>
          <w:lang/>
        </w:rPr>
      </w:pPr>
      <w:r w:rsidRPr="0052662E">
        <w:rPr>
          <w:rFonts w:hint="cs"/>
          <w:b/>
          <w:bCs/>
          <w:rtl/>
          <w:lang/>
        </w:rPr>
        <w:tab/>
        <w:t>(ح)</w:t>
      </w:r>
      <w:r w:rsidRPr="0052662E">
        <w:rPr>
          <w:rFonts w:hint="cs"/>
          <w:b/>
          <w:bCs/>
          <w:rtl/>
          <w:lang/>
        </w:rPr>
        <w:tab/>
      </w:r>
      <w:r w:rsidR="0086359D" w:rsidRPr="0052662E">
        <w:rPr>
          <w:rFonts w:hint="cs"/>
          <w:b/>
          <w:bCs/>
          <w:rtl/>
          <w:lang/>
        </w:rPr>
        <w:t xml:space="preserve">قيام هيئات الرصد المستقلة بزيارات منتظمة للمصحات العقلية كافة. </w:t>
      </w:r>
    </w:p>
    <w:p w:rsidR="0086359D" w:rsidRPr="00A9602C" w:rsidRDefault="0052662E" w:rsidP="0052662E">
      <w:pPr>
        <w:pStyle w:val="H23GA"/>
        <w:rPr>
          <w:rFonts w:hint="cs"/>
          <w:rtl/>
          <w:lang/>
        </w:rPr>
      </w:pPr>
      <w:r>
        <w:rPr>
          <w:rFonts w:hint="cs"/>
          <w:rtl/>
          <w:lang/>
        </w:rPr>
        <w:tab/>
      </w:r>
      <w:r>
        <w:rPr>
          <w:rFonts w:hint="cs"/>
          <w:rtl/>
          <w:lang/>
        </w:rPr>
        <w:tab/>
      </w:r>
      <w:r w:rsidR="0086359D" w:rsidRPr="00A9602C">
        <w:rPr>
          <w:rFonts w:hint="cs"/>
          <w:rtl/>
          <w:lang/>
        </w:rPr>
        <w:t>العقاب الجسدي</w:t>
      </w:r>
    </w:p>
    <w:p w:rsidR="0086359D" w:rsidRDefault="0052662E" w:rsidP="0052662E">
      <w:pPr>
        <w:pStyle w:val="SingleTxtGA"/>
        <w:rPr>
          <w:rFonts w:hint="cs"/>
          <w:rtl/>
        </w:rPr>
      </w:pPr>
      <w:r>
        <w:rPr>
          <w:rFonts w:hint="cs"/>
          <w:rtl/>
          <w:lang/>
        </w:rPr>
        <w:t>23-</w:t>
      </w:r>
      <w:r>
        <w:rPr>
          <w:rFonts w:hint="cs"/>
          <w:rtl/>
          <w:lang/>
        </w:rPr>
        <w:tab/>
      </w:r>
      <w:r w:rsidR="0086359D">
        <w:rPr>
          <w:rFonts w:hint="cs"/>
          <w:rtl/>
          <w:lang/>
        </w:rPr>
        <w:t>بينما تلاحظ اللجنة أنّ استغلال الأطفال محظور بموجب المادة 3 من قانون منع إساءة معاملة الأطفال، تشاطر اللجنة القلق الذي يساور لجنة حقوق الطفل (</w:t>
      </w:r>
      <w:r w:rsidR="0086359D">
        <w:rPr>
          <w:lang/>
        </w:rPr>
        <w:t>CRC/C/JPN/CO/3</w:t>
      </w:r>
      <w:r w:rsidR="0086359D">
        <w:rPr>
          <w:rFonts w:hint="cs"/>
          <w:rtl/>
        </w:rPr>
        <w:t xml:space="preserve">، الفقرة 47) إزاء عدم حظر العقاب الجسدي في المنزل أو في أي مكان رعاية بديل صراحةً في القانون وأنّ القانون المدني وقانون منع إساءة معاملة الأطفال يتيحان استخدام وسائل التأديب المناسبة بيد أنهما يفتقران إلى الوضوح بشأن قبول العقاب الجسدي في بعض الحالات (المادة 16). </w:t>
      </w:r>
    </w:p>
    <w:p w:rsidR="0086359D" w:rsidRPr="0052662E" w:rsidRDefault="005B4839" w:rsidP="0052662E">
      <w:pPr>
        <w:pStyle w:val="SingleTxtGA"/>
        <w:rPr>
          <w:rFonts w:hint="cs"/>
          <w:b/>
          <w:bCs/>
          <w:rtl/>
        </w:rPr>
      </w:pPr>
      <w:r>
        <w:rPr>
          <w:rFonts w:hint="cs"/>
          <w:b/>
          <w:bCs/>
          <w:rtl/>
        </w:rPr>
        <w:tab/>
      </w:r>
      <w:r w:rsidR="0086359D" w:rsidRPr="0052662E">
        <w:rPr>
          <w:rFonts w:hint="cs"/>
          <w:b/>
          <w:bCs/>
          <w:rtl/>
        </w:rPr>
        <w:t xml:space="preserve">يتعين على الدولة الطرف حظر العقاب صراحةً وكافة أشكال المعاملة المهينة للأطفال في كل الأماكن بموجب القانون. </w:t>
      </w:r>
    </w:p>
    <w:p w:rsidR="0086359D" w:rsidRPr="00853E95" w:rsidRDefault="0052662E" w:rsidP="00670BF9">
      <w:pPr>
        <w:pStyle w:val="H23GA"/>
        <w:keepNext/>
        <w:keepLines/>
        <w:rPr>
          <w:rFonts w:hint="cs"/>
          <w:rtl/>
        </w:rPr>
      </w:pPr>
      <w:r w:rsidRPr="00853E95">
        <w:rPr>
          <w:rFonts w:hint="cs"/>
          <w:rtl/>
        </w:rPr>
        <w:tab/>
      </w:r>
      <w:r w:rsidRPr="00853E95">
        <w:rPr>
          <w:rFonts w:hint="cs"/>
          <w:rtl/>
        </w:rPr>
        <w:tab/>
      </w:r>
      <w:r w:rsidR="0086359D" w:rsidRPr="00853E95">
        <w:rPr>
          <w:rFonts w:hint="cs"/>
          <w:rtl/>
        </w:rPr>
        <w:t>قضايا أخرى</w:t>
      </w:r>
    </w:p>
    <w:p w:rsidR="0086359D" w:rsidRPr="00853E95" w:rsidRDefault="0052662E" w:rsidP="00853E95">
      <w:pPr>
        <w:pStyle w:val="SingleTxtGA"/>
        <w:rPr>
          <w:rFonts w:hint="cs"/>
          <w:rtl/>
        </w:rPr>
      </w:pPr>
      <w:r w:rsidRPr="00853E95">
        <w:rPr>
          <w:rFonts w:hint="cs"/>
          <w:rtl/>
        </w:rPr>
        <w:t>24-</w:t>
      </w:r>
      <w:r w:rsidRPr="00853E95">
        <w:rPr>
          <w:rFonts w:hint="cs"/>
          <w:rtl/>
        </w:rPr>
        <w:tab/>
      </w:r>
      <w:r w:rsidR="0086359D" w:rsidRPr="00853E95">
        <w:rPr>
          <w:rFonts w:hint="cs"/>
          <w:rtl/>
        </w:rPr>
        <w:t>يتعين على الدولة الطرف أن تضع نظاماً فعالاً لجمع كل البيانات الإحصائية المصنّفة بحسب الجنس والسن والمصداقية، والمتعلقة برصد تنفيذ الاتفاقية على الصعيد الوطني، وما</w:t>
      </w:r>
      <w:r w:rsidR="00AE5EDE" w:rsidRPr="00853E95">
        <w:rPr>
          <w:rFonts w:hint="eastAsia"/>
          <w:rtl/>
        </w:rPr>
        <w:t> </w:t>
      </w:r>
      <w:r w:rsidR="0086359D" w:rsidRPr="00853E95">
        <w:rPr>
          <w:rFonts w:hint="cs"/>
          <w:rtl/>
        </w:rPr>
        <w:t>يشمل ذلك من شكاوى وتحقيقات وملاحقات قضائية وإدانات في قضايا التعذيب وسوء المعاملة على يد المسؤولين الحكوميين، والاتجار والعنف الجنسي، فضلاً عن سبل الجبر التي تشمل تعويض الضحايا وإعادة تأهيلهم.</w:t>
      </w:r>
    </w:p>
    <w:p w:rsidR="0086359D" w:rsidRPr="00853E95" w:rsidRDefault="0052662E" w:rsidP="00853E95">
      <w:pPr>
        <w:pStyle w:val="SingleTxtGA"/>
        <w:rPr>
          <w:rFonts w:hint="cs"/>
          <w:spacing w:val="-2"/>
          <w:rtl/>
        </w:rPr>
      </w:pPr>
      <w:r w:rsidRPr="00853E95">
        <w:rPr>
          <w:rFonts w:hint="cs"/>
          <w:spacing w:val="-2"/>
          <w:rtl/>
        </w:rPr>
        <w:t>25-</w:t>
      </w:r>
      <w:r w:rsidRPr="00853E95">
        <w:rPr>
          <w:rFonts w:hint="cs"/>
          <w:spacing w:val="-2"/>
          <w:rtl/>
        </w:rPr>
        <w:tab/>
      </w:r>
      <w:r w:rsidR="0086359D" w:rsidRPr="00853E95">
        <w:rPr>
          <w:rFonts w:hint="cs"/>
          <w:spacing w:val="-2"/>
          <w:rtl/>
        </w:rPr>
        <w:t>توصي اللجنة بأن تعزز الدولة الطرف تعاونها مع آليات حقوق الإنسان التابعة للأمم المتحدة، بما يشمل السماح للفريق العامل المعني بالاحتجاز التعسفي من بين سواه بالزيارة، وأن تعزز على حد سواء جهودها في تنفيذ توصيات اللجنة. يتعين على الدولة الطرف أن تتخذ المزيد من التدابير لضمان نهج منسّق تنسيقاً جيداً وشفاف ومتاح للجمهور عامة للإشراف على تنفيذ التزاماتها بموجب آليات حقوق الإنسان التابعة للأ</w:t>
      </w:r>
      <w:r w:rsidR="00853E95" w:rsidRPr="00853E95">
        <w:rPr>
          <w:rFonts w:hint="cs"/>
          <w:spacing w:val="-2"/>
          <w:rtl/>
        </w:rPr>
        <w:t>مم المتحدة، بما فيها الاتفاقية.</w:t>
      </w:r>
    </w:p>
    <w:p w:rsidR="0086359D" w:rsidRPr="00853E95" w:rsidRDefault="0052662E" w:rsidP="006A51DA">
      <w:pPr>
        <w:pStyle w:val="SingleTxtGA"/>
        <w:rPr>
          <w:rFonts w:hint="cs"/>
          <w:rtl/>
          <w:lang/>
        </w:rPr>
      </w:pPr>
      <w:r w:rsidRPr="00853E95">
        <w:rPr>
          <w:rFonts w:hint="cs"/>
          <w:rtl/>
        </w:rPr>
        <w:t>26-</w:t>
      </w:r>
      <w:r w:rsidRPr="00853E95">
        <w:rPr>
          <w:rFonts w:hint="cs"/>
          <w:rtl/>
        </w:rPr>
        <w:tab/>
      </w:r>
      <w:r w:rsidR="0086359D" w:rsidRPr="00853E95">
        <w:rPr>
          <w:rFonts w:hint="cs"/>
          <w:rtl/>
        </w:rPr>
        <w:t>بينما تلاحظ اللجنة التزام الدولة الطرف في سياق الاستعراض الدوري الشامل (</w:t>
      </w:r>
      <w:r w:rsidR="0086359D" w:rsidRPr="00853E95">
        <w:t>A/HRC/22/14/Add.1</w:t>
      </w:r>
      <w:r w:rsidR="0086359D" w:rsidRPr="00853E95">
        <w:rPr>
          <w:rFonts w:hint="cs"/>
          <w:rtl/>
        </w:rPr>
        <w:t>، الفقرة 147</w:t>
      </w:r>
      <w:r w:rsidR="006A51DA">
        <w:rPr>
          <w:rFonts w:hint="cs"/>
          <w:rtl/>
        </w:rPr>
        <w:t>-</w:t>
      </w:r>
      <w:r w:rsidR="0086359D" w:rsidRPr="00853E95">
        <w:rPr>
          <w:rFonts w:hint="cs"/>
          <w:rtl/>
        </w:rPr>
        <w:t xml:space="preserve">9)، تحث اللجنة الدولة الطرف على التسريع في المشاورات المحلية الجارية والتصديق على البروتوكول </w:t>
      </w:r>
      <w:r w:rsidR="0086359D" w:rsidRPr="00853E95">
        <w:rPr>
          <w:rFonts w:hint="cs"/>
          <w:rtl/>
          <w:lang/>
        </w:rPr>
        <w:t xml:space="preserve">الاختياري لاتفاقية مناهضة التعذيب وغيره من ضروب المعاملة أو العقوبة القاسية أو اللاإنسانية أو المهينة بأسرع وقت ممكن. كما توصي اللجنة بأن تنظر الدولة الطرف في إصدار الإعلان المتوخى بموجب المادة 22 من الاتفاقية. </w:t>
      </w:r>
    </w:p>
    <w:p w:rsidR="0086359D" w:rsidRPr="00853E95" w:rsidRDefault="0052662E" w:rsidP="00853E95">
      <w:pPr>
        <w:pStyle w:val="SingleTxtGA"/>
        <w:rPr>
          <w:rFonts w:hint="cs"/>
          <w:rtl/>
        </w:rPr>
      </w:pPr>
      <w:r w:rsidRPr="00853E95">
        <w:rPr>
          <w:rFonts w:hint="cs"/>
          <w:rtl/>
          <w:lang/>
        </w:rPr>
        <w:t>27-</w:t>
      </w:r>
      <w:r w:rsidRPr="00853E95">
        <w:rPr>
          <w:rFonts w:hint="cs"/>
          <w:rtl/>
          <w:lang/>
        </w:rPr>
        <w:tab/>
      </w:r>
      <w:r w:rsidR="0086359D" w:rsidRPr="00853E95">
        <w:rPr>
          <w:rFonts w:hint="cs"/>
          <w:rtl/>
          <w:lang/>
        </w:rPr>
        <w:t xml:space="preserve">تدعو اللجنة الدولة الطرف إلى التصديق على معاهدات الأمم المتحدة الرئيسية لحقوق الإنسان والتي ليست طرفاً فيها بعد، وتحديداً البروتوكول الاختياري الثاني </w:t>
      </w:r>
      <w:r w:rsidR="0086359D" w:rsidRPr="00853E95">
        <w:rPr>
          <w:rFonts w:hint="cs"/>
          <w:rtl/>
        </w:rPr>
        <w:t xml:space="preserve">للعهد الدولي الخاص بالحقوق المدنية والسياسية والاتفاقية الدولية لحماية حقوق جميع العمال المهاجرين وأفراد أسرهم واتفاقية حقوق الأشخاص ذوي الإعاقات. </w:t>
      </w:r>
    </w:p>
    <w:p w:rsidR="0086359D" w:rsidRPr="00853E95" w:rsidRDefault="0052662E" w:rsidP="00853E95">
      <w:pPr>
        <w:pStyle w:val="SingleTxtGA"/>
        <w:rPr>
          <w:rFonts w:hint="cs"/>
          <w:rtl/>
        </w:rPr>
      </w:pPr>
      <w:r w:rsidRPr="00853E95">
        <w:rPr>
          <w:rFonts w:hint="cs"/>
          <w:rtl/>
        </w:rPr>
        <w:t>28-</w:t>
      </w:r>
      <w:r w:rsidRPr="00853E95">
        <w:rPr>
          <w:rFonts w:hint="cs"/>
          <w:rtl/>
        </w:rPr>
        <w:tab/>
      </w:r>
      <w:r w:rsidR="0086359D" w:rsidRPr="00853E95">
        <w:rPr>
          <w:rFonts w:hint="cs"/>
          <w:rtl/>
        </w:rPr>
        <w:t xml:space="preserve">يُطلب إلى الدولة الطرف نشر التقرير المقدّم إلى اللجنة والملاحظات الختامية على نطاق واسع وباللغات المناسبة عبر المواقع الإلكترونية الرسمية ووسائل </w:t>
      </w:r>
      <w:r w:rsidR="007E5865" w:rsidRPr="00853E95">
        <w:rPr>
          <w:rFonts w:hint="cs"/>
          <w:rtl/>
        </w:rPr>
        <w:t>الإعلام والمنظمات غير الحكومية.</w:t>
      </w:r>
    </w:p>
    <w:p w:rsidR="0086359D" w:rsidRPr="00853E95" w:rsidRDefault="0052662E" w:rsidP="00853E95">
      <w:pPr>
        <w:pStyle w:val="SingleTxtGA"/>
        <w:rPr>
          <w:rFonts w:hint="cs"/>
          <w:rtl/>
        </w:rPr>
      </w:pPr>
      <w:r w:rsidRPr="00853E95">
        <w:rPr>
          <w:rFonts w:hint="cs"/>
          <w:rtl/>
        </w:rPr>
        <w:t>29-</w:t>
      </w:r>
      <w:r w:rsidRPr="00853E95">
        <w:rPr>
          <w:rFonts w:hint="cs"/>
          <w:rtl/>
        </w:rPr>
        <w:tab/>
      </w:r>
      <w:r w:rsidR="0086359D" w:rsidRPr="00853E95">
        <w:rPr>
          <w:rFonts w:hint="cs"/>
          <w:rtl/>
        </w:rPr>
        <w:t>تطلب اللجنة إلى الدولة الطرف أن تقدم معلومات متابعة بحلول 31 أيار/</w:t>
      </w:r>
      <w:r w:rsidRPr="00853E95">
        <w:rPr>
          <w:rFonts w:hint="cs"/>
          <w:rtl/>
        </w:rPr>
        <w:t xml:space="preserve"> </w:t>
      </w:r>
      <w:r w:rsidR="0086359D" w:rsidRPr="00853E95">
        <w:rPr>
          <w:rFonts w:hint="cs"/>
          <w:rtl/>
        </w:rPr>
        <w:t>مايو</w:t>
      </w:r>
      <w:r w:rsidRPr="00853E95">
        <w:rPr>
          <w:rFonts w:hint="eastAsia"/>
          <w:rtl/>
        </w:rPr>
        <w:t> </w:t>
      </w:r>
      <w:r w:rsidR="0086359D" w:rsidRPr="00853E95">
        <w:rPr>
          <w:rFonts w:hint="cs"/>
          <w:rtl/>
        </w:rPr>
        <w:t>2014 است</w:t>
      </w:r>
      <w:r w:rsidR="0040739F" w:rsidRPr="00853E95">
        <w:rPr>
          <w:rFonts w:hint="cs"/>
          <w:rtl/>
        </w:rPr>
        <w:t>جابةً لتوصيات اللجنة المتعلقة ب‍ </w:t>
      </w:r>
      <w:r w:rsidR="0086359D" w:rsidRPr="00853E95">
        <w:rPr>
          <w:rFonts w:hint="cs"/>
          <w:rtl/>
        </w:rPr>
        <w:t>(أ) ضمان تعزيز الضمانات القانونية للأشخاص المحتجزين</w:t>
      </w:r>
      <w:r w:rsidR="0040739F" w:rsidRPr="00853E95">
        <w:rPr>
          <w:rFonts w:hint="cs"/>
          <w:rtl/>
        </w:rPr>
        <w:t>؛</w:t>
      </w:r>
      <w:r w:rsidR="0086359D" w:rsidRPr="00853E95">
        <w:rPr>
          <w:rFonts w:hint="cs"/>
          <w:rtl/>
        </w:rPr>
        <w:t xml:space="preserve"> و(ب) إجراء التحقيقات الفورية والنزيهة والفعالة</w:t>
      </w:r>
      <w:r w:rsidR="0040739F" w:rsidRPr="00853E95">
        <w:rPr>
          <w:rFonts w:hint="cs"/>
          <w:rtl/>
        </w:rPr>
        <w:t>؛</w:t>
      </w:r>
      <w:r w:rsidR="0086359D" w:rsidRPr="00853E95">
        <w:rPr>
          <w:rFonts w:hint="cs"/>
          <w:rtl/>
        </w:rPr>
        <w:t xml:space="preserve"> و(ج) ملاحقة المشتبه بهم قضائياً ومعاقبة مرتكبي التعذيب أو سوء المعاملة، وفق ما تنص عليه الفقرات 10 و11 و15 من هذه الملاحظات الختامية. وفضلاً عن ذلك، تطلب اللجنة معلومات متابعة بشأن سبل الانتصاف والجبر للضحايا، وفق ما تنص عليه الفقرة 19 من هذه الملاحظات الختامية. </w:t>
      </w:r>
    </w:p>
    <w:p w:rsidR="0086359D" w:rsidRPr="00853E95" w:rsidRDefault="0086359D" w:rsidP="00853E95">
      <w:pPr>
        <w:pStyle w:val="SingleTxtGA"/>
        <w:rPr>
          <w:rFonts w:hint="cs"/>
          <w:rtl/>
        </w:rPr>
      </w:pPr>
      <w:r w:rsidRPr="00853E95">
        <w:rPr>
          <w:rFonts w:hint="cs"/>
          <w:rtl/>
        </w:rPr>
        <w:t>30-</w:t>
      </w:r>
      <w:r w:rsidRPr="00853E95">
        <w:rPr>
          <w:rFonts w:hint="cs"/>
          <w:rtl/>
        </w:rPr>
        <w:tab/>
        <w:t>والدولة الطرف مدعوة إلى تقديم تقريرها المقبل، وهو التقرير الدوري الثالث، بحلول</w:t>
      </w:r>
      <w:r w:rsidR="0052662E" w:rsidRPr="00853E95">
        <w:rPr>
          <w:rFonts w:hint="eastAsia"/>
          <w:rtl/>
        </w:rPr>
        <w:t> </w:t>
      </w:r>
      <w:r w:rsidRPr="00853E95">
        <w:rPr>
          <w:rFonts w:hint="cs"/>
          <w:rtl/>
        </w:rPr>
        <w:t xml:space="preserve">31 أيار/مايو 2017. وستقدم اللجنة لهذه الغاية وفي الوقت المناسب للدولة الطرف قائمة بالقضايا قبل إعداد التقرير، معتبرة أن الدولة الطرف وافقت على تقديم تقريرها إلى اللجنة بموجب الإجراء الاختياري المتعلق بتقديم التقارير. </w:t>
      </w:r>
    </w:p>
    <w:p w:rsidR="0052662E" w:rsidRPr="00853E95" w:rsidRDefault="0052662E" w:rsidP="00853E95">
      <w:pPr>
        <w:spacing w:before="120" w:after="120" w:line="380" w:lineRule="exact"/>
        <w:jc w:val="center"/>
        <w:rPr>
          <w:rFonts w:hint="cs"/>
          <w:u w:val="single"/>
          <w:rtl/>
        </w:rPr>
      </w:pPr>
      <w:r w:rsidRPr="00853E95">
        <w:rPr>
          <w:u w:val="single"/>
          <w:rtl/>
        </w:rPr>
        <w:tab/>
      </w:r>
      <w:r w:rsidRPr="00853E95">
        <w:rPr>
          <w:u w:val="single"/>
          <w:rtl/>
        </w:rPr>
        <w:tab/>
      </w:r>
      <w:r w:rsidRPr="00853E95">
        <w:rPr>
          <w:u w:val="single"/>
          <w:rtl/>
        </w:rPr>
        <w:tab/>
      </w:r>
    </w:p>
    <w:sectPr w:rsidR="0052662E" w:rsidRPr="00853E95"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692" w:rsidRPr="00FE6865" w:rsidRDefault="00A30692" w:rsidP="00FE6865">
      <w:pPr>
        <w:pStyle w:val="Footer"/>
      </w:pPr>
    </w:p>
  </w:endnote>
  <w:endnote w:type="continuationSeparator" w:id="0">
    <w:p w:rsidR="00A30692" w:rsidRDefault="00A30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1D" w:rsidRPr="00717016" w:rsidRDefault="006F251D" w:rsidP="00717016">
    <w:pPr>
      <w:pStyle w:val="Footer"/>
      <w:tabs>
        <w:tab w:val="right" w:pos="9598"/>
      </w:tabs>
    </w:pPr>
    <w:r>
      <w:t>GE.13-44838</w:t>
    </w:r>
    <w:r>
      <w:tab/>
    </w:r>
    <w:r w:rsidRPr="00717016">
      <w:rPr>
        <w:b/>
        <w:sz w:val="18"/>
      </w:rPr>
      <w:fldChar w:fldCharType="begin"/>
    </w:r>
    <w:r w:rsidRPr="00717016">
      <w:rPr>
        <w:b/>
        <w:sz w:val="18"/>
      </w:rPr>
      <w:instrText xml:space="preserve"> PAGE  \* MERGEFORMAT </w:instrText>
    </w:r>
    <w:r w:rsidRPr="00717016">
      <w:rPr>
        <w:b/>
        <w:sz w:val="18"/>
      </w:rPr>
      <w:fldChar w:fldCharType="separate"/>
    </w:r>
    <w:r w:rsidR="00B66188">
      <w:rPr>
        <w:b/>
        <w:noProof/>
        <w:sz w:val="18"/>
      </w:rPr>
      <w:t>14</w:t>
    </w:r>
    <w:r w:rsidRPr="00717016">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1D" w:rsidRPr="00717016" w:rsidRDefault="006F251D" w:rsidP="00717016">
    <w:pPr>
      <w:pStyle w:val="Footer"/>
      <w:tabs>
        <w:tab w:val="right" w:pos="9598"/>
      </w:tabs>
      <w:rPr>
        <w:b/>
        <w:sz w:val="18"/>
      </w:rPr>
    </w:pPr>
    <w:r w:rsidRPr="00717016">
      <w:rPr>
        <w:b/>
        <w:sz w:val="18"/>
      </w:rPr>
      <w:fldChar w:fldCharType="begin"/>
    </w:r>
    <w:r w:rsidRPr="00717016">
      <w:rPr>
        <w:b/>
        <w:sz w:val="18"/>
      </w:rPr>
      <w:instrText xml:space="preserve"> PAGE  \* MERGEFORMAT </w:instrText>
    </w:r>
    <w:r w:rsidRPr="00717016">
      <w:rPr>
        <w:b/>
        <w:sz w:val="18"/>
      </w:rPr>
      <w:fldChar w:fldCharType="separate"/>
    </w:r>
    <w:r w:rsidR="00B66188">
      <w:rPr>
        <w:b/>
        <w:noProof/>
        <w:sz w:val="18"/>
      </w:rPr>
      <w:t>15</w:t>
    </w:r>
    <w:r w:rsidRPr="00717016">
      <w:rPr>
        <w:b/>
        <w:sz w:val="18"/>
      </w:rPr>
      <w:fldChar w:fldCharType="end"/>
    </w:r>
    <w:r>
      <w:rPr>
        <w:b/>
        <w:sz w:val="18"/>
      </w:rPr>
      <w:tab/>
    </w:r>
    <w:r>
      <w:t>GE.13-44838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1D" w:rsidRDefault="006F251D" w:rsidP="00717016">
    <w:pPr>
      <w:pStyle w:val="Footer"/>
      <w:jc w:val="right"/>
    </w:pPr>
    <w:r>
      <w:rPr>
        <w:sz w:val="20"/>
      </w:rPr>
      <w:t>(A)   GE.13-44838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826260">
      <w:rPr>
        <w:sz w:val="20"/>
      </w:rPr>
      <w:t xml:space="preserve">    060913    190913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692" w:rsidRDefault="00A30692" w:rsidP="00834FF4">
      <w:pPr>
        <w:pStyle w:val="Footer"/>
        <w:bidi/>
        <w:spacing w:after="80" w:line="200" w:lineRule="exact"/>
        <w:ind w:left="680"/>
      </w:pPr>
      <w:r>
        <w:rPr>
          <w:rFonts w:hint="cs"/>
          <w:rtl/>
        </w:rPr>
        <w:t>__________</w:t>
      </w:r>
    </w:p>
  </w:footnote>
  <w:footnote w:type="continuationSeparator" w:id="0">
    <w:p w:rsidR="00A30692" w:rsidRDefault="00A30692" w:rsidP="00834FF4">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1D" w:rsidRPr="00717016" w:rsidRDefault="006F251D" w:rsidP="00717016">
    <w:pPr>
      <w:pStyle w:val="Header"/>
      <w:jc w:val="right"/>
    </w:pPr>
    <w:r w:rsidRPr="00717016">
      <w:t>CAT/C/JPN/CO/2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1D" w:rsidRPr="00717016" w:rsidRDefault="006F251D" w:rsidP="00717016">
    <w:pPr>
      <w:pStyle w:val="Header"/>
      <w:jc w:val="left"/>
    </w:pPr>
    <w:r w:rsidRPr="00717016">
      <w:t>CAT/C/JPN/CO/2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1D" w:rsidRDefault="006F251D"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6F251D" w:rsidRPr="002B399E" w:rsidRDefault="006F251D"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6F251D" w:rsidRPr="002B399E" w:rsidRDefault="006F251D"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6F251D" w:rsidRDefault="006F251D"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8BA"/>
    <w:multiLevelType w:val="hybridMultilevel"/>
    <w:tmpl w:val="2D824028"/>
    <w:lvl w:ilvl="0" w:tplc="6B4A6CCC">
      <w:start w:val="1"/>
      <w:numFmt w:val="arabicAlpha"/>
      <w:lvlText w:val="(%1)"/>
      <w:lvlJc w:val="left"/>
      <w:pPr>
        <w:tabs>
          <w:tab w:val="num" w:pos="1967"/>
        </w:tabs>
        <w:ind w:left="1967" w:hanging="72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298347E6"/>
    <w:multiLevelType w:val="hybridMultilevel"/>
    <w:tmpl w:val="68C6F41C"/>
    <w:lvl w:ilvl="0" w:tplc="9BC8F45E">
      <w:start w:val="1"/>
      <w:numFmt w:val="arabicAlpha"/>
      <w:lvlText w:val="(%1)"/>
      <w:lvlJc w:val="left"/>
      <w:pPr>
        <w:tabs>
          <w:tab w:val="num" w:pos="1967"/>
        </w:tabs>
        <w:ind w:left="1967" w:hanging="72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4">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E37D6A"/>
    <w:multiLevelType w:val="hybridMultilevel"/>
    <w:tmpl w:val="18642F0C"/>
    <w:lvl w:ilvl="0" w:tplc="F25E8112">
      <w:start w:val="1"/>
      <w:numFmt w:val="arabicAlpha"/>
      <w:lvlText w:val="(%1)"/>
      <w:lvlJc w:val="left"/>
      <w:pPr>
        <w:tabs>
          <w:tab w:val="num" w:pos="1967"/>
        </w:tabs>
        <w:ind w:left="1967" w:hanging="72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7">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nsid w:val="64554D64"/>
    <w:multiLevelType w:val="hybridMultilevel"/>
    <w:tmpl w:val="76E80F4E"/>
    <w:lvl w:ilvl="0" w:tplc="56A8D5B0">
      <w:start w:val="1"/>
      <w:numFmt w:val="arabicAlpha"/>
      <w:lvlText w:val="(%1)"/>
      <w:lvlJc w:val="left"/>
      <w:pPr>
        <w:tabs>
          <w:tab w:val="num" w:pos="1967"/>
        </w:tabs>
        <w:ind w:left="1967" w:hanging="72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9">
    <w:nsid w:val="65412817"/>
    <w:multiLevelType w:val="hybridMultilevel"/>
    <w:tmpl w:val="24621FC2"/>
    <w:lvl w:ilvl="0" w:tplc="BB344660">
      <w:start w:val="1"/>
      <w:numFmt w:val="arabicAlpha"/>
      <w:lvlText w:val="(%1)"/>
      <w:lvlJc w:val="left"/>
      <w:pPr>
        <w:tabs>
          <w:tab w:val="num" w:pos="1967"/>
        </w:tabs>
        <w:ind w:left="1967" w:hanging="72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1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4"/>
  </w:num>
  <w:num w:numId="2">
    <w:abstractNumId w:val="10"/>
  </w:num>
  <w:num w:numId="3">
    <w:abstractNumId w:val="5"/>
  </w:num>
  <w:num w:numId="4">
    <w:abstractNumId w:val="2"/>
  </w:num>
  <w:num w:numId="5">
    <w:abstractNumId w:val="11"/>
  </w:num>
  <w:num w:numId="6">
    <w:abstractNumId w:val="7"/>
  </w:num>
  <w:num w:numId="7">
    <w:abstractNumId w:val="1"/>
  </w:num>
  <w:num w:numId="8">
    <w:abstractNumId w:val="8"/>
  </w:num>
  <w:num w:numId="9">
    <w:abstractNumId w:val="3"/>
  </w:num>
  <w:num w:numId="10">
    <w:abstractNumId w:val="0"/>
  </w:num>
  <w:num w:numId="11">
    <w:abstractNumId w:val="9"/>
  </w:num>
  <w:num w:numId="12">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4F25"/>
    <w:rsid w:val="000120B4"/>
    <w:rsid w:val="0002791C"/>
    <w:rsid w:val="00040E25"/>
    <w:rsid w:val="00042149"/>
    <w:rsid w:val="000648EA"/>
    <w:rsid w:val="00086B43"/>
    <w:rsid w:val="000957C8"/>
    <w:rsid w:val="00097049"/>
    <w:rsid w:val="000A04D5"/>
    <w:rsid w:val="000A371C"/>
    <w:rsid w:val="000A7D0E"/>
    <w:rsid w:val="000B52F2"/>
    <w:rsid w:val="000D0EAE"/>
    <w:rsid w:val="000D5380"/>
    <w:rsid w:val="000D6654"/>
    <w:rsid w:val="000E103D"/>
    <w:rsid w:val="000F0264"/>
    <w:rsid w:val="000F2EBF"/>
    <w:rsid w:val="000F3A9F"/>
    <w:rsid w:val="000F5FF6"/>
    <w:rsid w:val="001022B5"/>
    <w:rsid w:val="00113FA5"/>
    <w:rsid w:val="001455A0"/>
    <w:rsid w:val="001602A3"/>
    <w:rsid w:val="00171C70"/>
    <w:rsid w:val="001A1327"/>
    <w:rsid w:val="001A5161"/>
    <w:rsid w:val="001A60BD"/>
    <w:rsid w:val="002244FB"/>
    <w:rsid w:val="00232277"/>
    <w:rsid w:val="0023736D"/>
    <w:rsid w:val="00257225"/>
    <w:rsid w:val="00272D67"/>
    <w:rsid w:val="002914CF"/>
    <w:rsid w:val="00296580"/>
    <w:rsid w:val="00297027"/>
    <w:rsid w:val="002C530A"/>
    <w:rsid w:val="00306915"/>
    <w:rsid w:val="00310160"/>
    <w:rsid w:val="003101B0"/>
    <w:rsid w:val="00341A8C"/>
    <w:rsid w:val="003519E6"/>
    <w:rsid w:val="00387C83"/>
    <w:rsid w:val="003B4356"/>
    <w:rsid w:val="003C30B0"/>
    <w:rsid w:val="003F08A8"/>
    <w:rsid w:val="0040739F"/>
    <w:rsid w:val="00415D35"/>
    <w:rsid w:val="004250E3"/>
    <w:rsid w:val="00472A81"/>
    <w:rsid w:val="004A20A6"/>
    <w:rsid w:val="004B2C92"/>
    <w:rsid w:val="004C31DF"/>
    <w:rsid w:val="004D6A3A"/>
    <w:rsid w:val="004F4AD7"/>
    <w:rsid w:val="0052662E"/>
    <w:rsid w:val="00557CD3"/>
    <w:rsid w:val="00565FB7"/>
    <w:rsid w:val="00571432"/>
    <w:rsid w:val="005732A2"/>
    <w:rsid w:val="005762A5"/>
    <w:rsid w:val="00582B40"/>
    <w:rsid w:val="00590BA3"/>
    <w:rsid w:val="00593B4F"/>
    <w:rsid w:val="005B46D9"/>
    <w:rsid w:val="005B4839"/>
    <w:rsid w:val="005B7AE0"/>
    <w:rsid w:val="005C4847"/>
    <w:rsid w:val="005E0E09"/>
    <w:rsid w:val="005F146F"/>
    <w:rsid w:val="005F71B6"/>
    <w:rsid w:val="0060409C"/>
    <w:rsid w:val="00654786"/>
    <w:rsid w:val="00660FD4"/>
    <w:rsid w:val="00664EEC"/>
    <w:rsid w:val="00670BF9"/>
    <w:rsid w:val="0067717C"/>
    <w:rsid w:val="006A4425"/>
    <w:rsid w:val="006A51DA"/>
    <w:rsid w:val="006B00A4"/>
    <w:rsid w:val="006B4669"/>
    <w:rsid w:val="006F251D"/>
    <w:rsid w:val="006F6BF8"/>
    <w:rsid w:val="00702568"/>
    <w:rsid w:val="00707BDF"/>
    <w:rsid w:val="00710727"/>
    <w:rsid w:val="00715F45"/>
    <w:rsid w:val="00716B3B"/>
    <w:rsid w:val="00717016"/>
    <w:rsid w:val="00721056"/>
    <w:rsid w:val="00731815"/>
    <w:rsid w:val="00731B84"/>
    <w:rsid w:val="00734AE7"/>
    <w:rsid w:val="0079344E"/>
    <w:rsid w:val="007C7DB2"/>
    <w:rsid w:val="007E197F"/>
    <w:rsid w:val="007E5865"/>
    <w:rsid w:val="007F68C4"/>
    <w:rsid w:val="008153DE"/>
    <w:rsid w:val="0081714D"/>
    <w:rsid w:val="00826260"/>
    <w:rsid w:val="00834FF4"/>
    <w:rsid w:val="0084215A"/>
    <w:rsid w:val="00852A10"/>
    <w:rsid w:val="00853E95"/>
    <w:rsid w:val="00862634"/>
    <w:rsid w:val="0086359D"/>
    <w:rsid w:val="00863FF1"/>
    <w:rsid w:val="00866C59"/>
    <w:rsid w:val="00877306"/>
    <w:rsid w:val="00883810"/>
    <w:rsid w:val="008A6242"/>
    <w:rsid w:val="008B4BC6"/>
    <w:rsid w:val="00901E57"/>
    <w:rsid w:val="009070DF"/>
    <w:rsid w:val="00935F0E"/>
    <w:rsid w:val="0095208F"/>
    <w:rsid w:val="00965D7F"/>
    <w:rsid w:val="00977B3F"/>
    <w:rsid w:val="009814AE"/>
    <w:rsid w:val="009901D3"/>
    <w:rsid w:val="00996BBE"/>
    <w:rsid w:val="009B2C03"/>
    <w:rsid w:val="009D1DD5"/>
    <w:rsid w:val="009D31F4"/>
    <w:rsid w:val="009F722C"/>
    <w:rsid w:val="00A26157"/>
    <w:rsid w:val="00A265C3"/>
    <w:rsid w:val="00A30692"/>
    <w:rsid w:val="00A43F9A"/>
    <w:rsid w:val="00A53F38"/>
    <w:rsid w:val="00A543D4"/>
    <w:rsid w:val="00A9771D"/>
    <w:rsid w:val="00AD0014"/>
    <w:rsid w:val="00AD4CF2"/>
    <w:rsid w:val="00AE5EDE"/>
    <w:rsid w:val="00AF0BBA"/>
    <w:rsid w:val="00B23FAE"/>
    <w:rsid w:val="00B25BBD"/>
    <w:rsid w:val="00B30468"/>
    <w:rsid w:val="00B32ACC"/>
    <w:rsid w:val="00B37B7E"/>
    <w:rsid w:val="00B44E31"/>
    <w:rsid w:val="00B5798B"/>
    <w:rsid w:val="00B66188"/>
    <w:rsid w:val="00BA4F7E"/>
    <w:rsid w:val="00BB2C41"/>
    <w:rsid w:val="00BB7DAB"/>
    <w:rsid w:val="00BC55C8"/>
    <w:rsid w:val="00BC5C10"/>
    <w:rsid w:val="00BE2964"/>
    <w:rsid w:val="00C163E8"/>
    <w:rsid w:val="00C21623"/>
    <w:rsid w:val="00C24970"/>
    <w:rsid w:val="00C24FBD"/>
    <w:rsid w:val="00C473BA"/>
    <w:rsid w:val="00C611ED"/>
    <w:rsid w:val="00C6490A"/>
    <w:rsid w:val="00C64FE1"/>
    <w:rsid w:val="00C74296"/>
    <w:rsid w:val="00C8345E"/>
    <w:rsid w:val="00C873B3"/>
    <w:rsid w:val="00CA5F7C"/>
    <w:rsid w:val="00CE17FE"/>
    <w:rsid w:val="00CF5CAB"/>
    <w:rsid w:val="00D34852"/>
    <w:rsid w:val="00D47561"/>
    <w:rsid w:val="00D505FE"/>
    <w:rsid w:val="00D51067"/>
    <w:rsid w:val="00D75657"/>
    <w:rsid w:val="00D960AD"/>
    <w:rsid w:val="00DA0098"/>
    <w:rsid w:val="00DA0E0E"/>
    <w:rsid w:val="00DB0C39"/>
    <w:rsid w:val="00DB7679"/>
    <w:rsid w:val="00DF1702"/>
    <w:rsid w:val="00DF4DD8"/>
    <w:rsid w:val="00DF668E"/>
    <w:rsid w:val="00E04826"/>
    <w:rsid w:val="00E14D2B"/>
    <w:rsid w:val="00E16940"/>
    <w:rsid w:val="00E20DBA"/>
    <w:rsid w:val="00E6524A"/>
    <w:rsid w:val="00E660D6"/>
    <w:rsid w:val="00E771AB"/>
    <w:rsid w:val="00EA796F"/>
    <w:rsid w:val="00EB077B"/>
    <w:rsid w:val="00EC50B9"/>
    <w:rsid w:val="00ED26A0"/>
    <w:rsid w:val="00F1727A"/>
    <w:rsid w:val="00F34764"/>
    <w:rsid w:val="00F43082"/>
    <w:rsid w:val="00F54E3C"/>
    <w:rsid w:val="00F7225E"/>
    <w:rsid w:val="00F874BD"/>
    <w:rsid w:val="00FB1D0B"/>
    <w:rsid w:val="00FD4F25"/>
    <w:rsid w:val="00FD5ED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16</Pages>
  <Words>4134</Words>
  <Characters>23568</Characters>
  <Application>Microsoft Office Outlook</Application>
  <DocSecurity>4</DocSecurity>
  <Lines>196</Lines>
  <Paragraphs>55</Paragraphs>
  <ScaleCrop>false</ScaleCrop>
  <HeadingPairs>
    <vt:vector size="2" baseType="variant">
      <vt:variant>
        <vt:lpstr>العنوان</vt:lpstr>
      </vt:variant>
      <vt:variant>
        <vt:i4>1</vt:i4>
      </vt:variant>
    </vt:vector>
  </HeadingPairs>
  <TitlesOfParts>
    <vt:vector size="1" baseType="lpstr">
      <vt:lpstr>CAT/C/JPN/CO/2</vt:lpstr>
    </vt:vector>
  </TitlesOfParts>
  <Company>CSD</Company>
  <LinksUpToDate>false</LinksUpToDate>
  <CharactersWithSpaces>27647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CAT/C/JPN/CO/2</dc:title>
  <dc:subject>MAMOUNE</dc:subject>
  <dc:creator>SAYED</dc:creator>
  <cp:keywords/>
  <dc:description/>
  <cp:lastModifiedBy>Jamela</cp:lastModifiedBy>
  <cp:revision>2</cp:revision>
  <cp:lastPrinted>2013-09-18T13:10:00Z</cp:lastPrinted>
  <dcterms:created xsi:type="dcterms:W3CDTF">2013-09-19T08:54:00Z</dcterms:created>
  <dcterms:modified xsi:type="dcterms:W3CDTF">2013-09-19T08:54:00Z</dcterms:modified>
</cp:coreProperties>
</file>