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5656E" w:rsidP="005D48ED">
            <w:pPr>
              <w:jc w:val="right"/>
            </w:pPr>
            <w:r w:rsidRPr="0035656E">
              <w:rPr>
                <w:sz w:val="40"/>
              </w:rPr>
              <w:t>CCPR</w:t>
            </w:r>
            <w:r>
              <w:t>/C/SLE/</w:t>
            </w:r>
            <w:r w:rsidR="003F510C">
              <w:t>CO</w:t>
            </w:r>
            <w:r>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EA69D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5656E" w:rsidP="0035656E">
            <w:pPr>
              <w:spacing w:before="240" w:line="240" w:lineRule="exact"/>
            </w:pPr>
            <w:r>
              <w:t xml:space="preserve">Distr.: </w:t>
            </w:r>
            <w:r w:rsidR="005D48ED">
              <w:t>General</w:t>
            </w:r>
          </w:p>
          <w:p w:rsidR="0035656E" w:rsidRDefault="00174AC2" w:rsidP="0035656E">
            <w:pPr>
              <w:spacing w:line="240" w:lineRule="exact"/>
            </w:pPr>
            <w:r>
              <w:t>1</w:t>
            </w:r>
            <w:r w:rsidR="00233196">
              <w:t>7</w:t>
            </w:r>
            <w:r>
              <w:t xml:space="preserve"> April</w:t>
            </w:r>
            <w:r w:rsidR="0035656E">
              <w:t xml:space="preserve"> 2014</w:t>
            </w:r>
          </w:p>
          <w:p w:rsidR="0035656E" w:rsidRDefault="0035656E" w:rsidP="0035656E">
            <w:pPr>
              <w:spacing w:line="240" w:lineRule="exact"/>
            </w:pPr>
          </w:p>
          <w:p w:rsidR="0035656E" w:rsidRDefault="0035656E" w:rsidP="0035656E">
            <w:pPr>
              <w:spacing w:line="240" w:lineRule="exact"/>
            </w:pPr>
            <w:r>
              <w:t>Original: English</w:t>
            </w:r>
          </w:p>
        </w:tc>
      </w:tr>
    </w:tbl>
    <w:p w:rsidR="0035656E" w:rsidRPr="007E7E99" w:rsidRDefault="0035656E" w:rsidP="0035656E">
      <w:pPr>
        <w:autoSpaceDE w:val="0"/>
        <w:autoSpaceDN w:val="0"/>
        <w:adjustRightInd w:val="0"/>
        <w:spacing w:before="120"/>
        <w:rPr>
          <w:b/>
          <w:bCs/>
          <w:sz w:val="24"/>
          <w:szCs w:val="24"/>
        </w:rPr>
      </w:pPr>
      <w:r w:rsidRPr="007E7E99">
        <w:rPr>
          <w:b/>
          <w:bCs/>
          <w:sz w:val="24"/>
          <w:szCs w:val="24"/>
        </w:rPr>
        <w:t>Human Rights Committee</w:t>
      </w:r>
    </w:p>
    <w:p w:rsidR="0035656E" w:rsidRPr="005451D1" w:rsidRDefault="0035656E" w:rsidP="00250CEB">
      <w:pPr>
        <w:pStyle w:val="HChG"/>
      </w:pPr>
      <w:r w:rsidRPr="005451D1">
        <w:tab/>
      </w:r>
      <w:r w:rsidRPr="005451D1">
        <w:tab/>
        <w:t xml:space="preserve">Concluding observations </w:t>
      </w:r>
      <w:r>
        <w:t xml:space="preserve">on the initial report </w:t>
      </w:r>
      <w:r w:rsidRPr="005451D1">
        <w:t xml:space="preserve">of </w:t>
      </w:r>
      <w:r>
        <w:t>Sierra</w:t>
      </w:r>
      <w:r w:rsidR="00250CEB">
        <w:t> </w:t>
      </w:r>
      <w:r>
        <w:t>Leone</w:t>
      </w:r>
      <w:r w:rsidR="00250CEB" w:rsidRPr="00250CEB">
        <w:rPr>
          <w:rStyle w:val="FootnoteReference"/>
          <w:b w:val="0"/>
          <w:bCs/>
          <w:sz w:val="20"/>
          <w:vertAlign w:val="baseline"/>
        </w:rPr>
        <w:footnoteReference w:customMarkFollows="1" w:id="2"/>
        <w:t>*</w:t>
      </w:r>
    </w:p>
    <w:p w:rsidR="0035656E" w:rsidRPr="0035656E" w:rsidRDefault="0035656E" w:rsidP="00250CEB">
      <w:pPr>
        <w:pStyle w:val="SingleTxtG"/>
        <w:numPr>
          <w:ilvl w:val="0"/>
          <w:numId w:val="4"/>
          <w:numberingChange w:id="0" w:author="KAY-ATTIPOE" w:date="2014-04-23T11:32:00Z" w:original="%1:1:0:."/>
        </w:numPr>
        <w:tabs>
          <w:tab w:val="clear" w:pos="2835"/>
        </w:tabs>
        <w:ind w:left="1134"/>
      </w:pPr>
      <w:r w:rsidRPr="0035656E">
        <w:t xml:space="preserve">The Committee considered the initial report submitted by </w:t>
      </w:r>
      <w:smartTag w:uri="urn:schemas-microsoft-com:office:smarttags" w:element="place">
        <w:smartTag w:uri="urn:schemas-microsoft-com:office:smarttags" w:element="country-region">
          <w:r w:rsidRPr="0035656E">
            <w:t>Sierra Leone</w:t>
          </w:r>
        </w:smartTag>
      </w:smartTag>
      <w:r w:rsidRPr="0035656E">
        <w:t xml:space="preserve"> (CCPR/C/SLE/1) at its 3040th and 3041</w:t>
      </w:r>
      <w:r w:rsidR="00593161">
        <w:t>s</w:t>
      </w:r>
      <w:r w:rsidRPr="0035656E">
        <w:t>t meetings (CCPR/C/SR.3040 and 3041), held on 11 and 12 March 2014. At its 3060th meeting (CCPR/C/SR.3060)</w:t>
      </w:r>
      <w:r w:rsidR="008E56DB">
        <w:t>,</w:t>
      </w:r>
      <w:r w:rsidRPr="0035656E">
        <w:t xml:space="preserve"> held on 25 March 2014, it adopted the following concluding observations.</w:t>
      </w:r>
    </w:p>
    <w:p w:rsidR="0035656E" w:rsidRDefault="0035656E" w:rsidP="0035656E">
      <w:pPr>
        <w:pStyle w:val="H1G"/>
      </w:pPr>
      <w:r>
        <w:tab/>
        <w:t>A.</w:t>
      </w:r>
      <w:r>
        <w:tab/>
        <w:t>Introduction</w:t>
      </w:r>
    </w:p>
    <w:p w:rsidR="0035656E" w:rsidRPr="0035656E" w:rsidRDefault="0035656E" w:rsidP="00250CEB">
      <w:pPr>
        <w:pStyle w:val="SingleTxtG"/>
        <w:numPr>
          <w:ilvl w:val="0"/>
          <w:numId w:val="4"/>
          <w:numberingChange w:id="1" w:author="KAY-ATTIPOE" w:date="2014-04-23T11:32:00Z" w:original="%1:2:0:."/>
        </w:numPr>
        <w:tabs>
          <w:tab w:val="clear" w:pos="2835"/>
        </w:tabs>
        <w:ind w:left="1134"/>
      </w:pPr>
      <w:r w:rsidRPr="0035656E">
        <w:t xml:space="preserve">The Committee welcomes the submission of the initial report of </w:t>
      </w:r>
      <w:smartTag w:uri="urn:schemas-microsoft-com:office:smarttags" w:element="country-region">
        <w:smartTag w:uri="urn:schemas-microsoft-com:office:smarttags" w:element="place">
          <w:r w:rsidRPr="0035656E">
            <w:t>Sierra Leone</w:t>
          </w:r>
        </w:smartTag>
      </w:smartTag>
      <w:r w:rsidRPr="0035656E">
        <w:t xml:space="preserve">, which was long overdue, and the information presented therein. It expresses appreciation for the opportunity to engage in dialogue with the State party’s delegation on the measures </w:t>
      </w:r>
      <w:r w:rsidR="00233196">
        <w:t>taken by</w:t>
      </w:r>
      <w:r w:rsidRPr="0035656E">
        <w:t xml:space="preserve"> the State party </w:t>
      </w:r>
      <w:r w:rsidR="00233196">
        <w:t xml:space="preserve">to implement the provisions of the Covenant </w:t>
      </w:r>
      <w:r w:rsidRPr="0035656E">
        <w:t xml:space="preserve">since </w:t>
      </w:r>
      <w:r w:rsidR="00233196">
        <w:t>its</w:t>
      </w:r>
      <w:r w:rsidRPr="0035656E">
        <w:t xml:space="preserve"> entry into force </w:t>
      </w:r>
      <w:r w:rsidR="00233196">
        <w:t>in the State party</w:t>
      </w:r>
      <w:r w:rsidRPr="0035656E">
        <w:t xml:space="preserve">. </w:t>
      </w:r>
    </w:p>
    <w:p w:rsidR="0035656E" w:rsidRPr="0035656E" w:rsidRDefault="0035656E" w:rsidP="00250CEB">
      <w:pPr>
        <w:pStyle w:val="SingleTxtG"/>
        <w:numPr>
          <w:ilvl w:val="0"/>
          <w:numId w:val="4"/>
          <w:numberingChange w:id="2" w:author="KAY-ATTIPOE" w:date="2014-04-23T11:32:00Z" w:original="%1:3:0:."/>
        </w:numPr>
        <w:tabs>
          <w:tab w:val="clear" w:pos="2835"/>
        </w:tabs>
        <w:ind w:left="1134"/>
      </w:pPr>
      <w:r w:rsidRPr="0035656E">
        <w:t xml:space="preserve">The Committee regrets the late submission of the State party’s written replies (CCPR/SLE/Q/1/Add.1) to the list of issues, which was received </w:t>
      </w:r>
      <w:r w:rsidR="008E56DB">
        <w:t>on</w:t>
      </w:r>
      <w:r w:rsidRPr="0035656E">
        <w:t xml:space="preserve"> the first day of the dialogue. While it appreciates the efforts made by the delegation to provide answers to </w:t>
      </w:r>
      <w:r w:rsidR="008E56DB">
        <w:t>its</w:t>
      </w:r>
      <w:r w:rsidRPr="0035656E">
        <w:t xml:space="preserve"> questions, the Committee regrets that the</w:t>
      </w:r>
      <w:r w:rsidR="00297171">
        <w:t>re was no representation from the capital and that the</w:t>
      </w:r>
      <w:r w:rsidRPr="0035656E">
        <w:t xml:space="preserve"> delegation was not in a position to provide full information on the current situation of civil and political rights in </w:t>
      </w:r>
      <w:smartTag w:uri="urn:schemas-microsoft-com:office:smarttags" w:element="place">
        <w:smartTag w:uri="urn:schemas-microsoft-com:office:smarttags" w:element="country-region">
          <w:r w:rsidRPr="0035656E">
            <w:t>Sierra Leone</w:t>
          </w:r>
        </w:smartTag>
      </w:smartTag>
      <w:r w:rsidRPr="0035656E">
        <w:t xml:space="preserve">. </w:t>
      </w:r>
    </w:p>
    <w:p w:rsidR="0035656E" w:rsidRDefault="0035656E" w:rsidP="0035656E">
      <w:pPr>
        <w:pStyle w:val="H1G"/>
      </w:pPr>
      <w:r>
        <w:tab/>
        <w:t>B.</w:t>
      </w:r>
      <w:r>
        <w:tab/>
      </w:r>
      <w:r w:rsidRPr="007A52E0">
        <w:t>Positive aspects</w:t>
      </w:r>
    </w:p>
    <w:p w:rsidR="0035656E" w:rsidRPr="0035656E" w:rsidRDefault="0035656E" w:rsidP="00250CEB">
      <w:pPr>
        <w:pStyle w:val="SingleTxtG"/>
        <w:numPr>
          <w:ilvl w:val="0"/>
          <w:numId w:val="4"/>
          <w:numberingChange w:id="3" w:author="KAY-ATTIPOE" w:date="2014-04-23T11:32:00Z" w:original="%1:4:0:."/>
        </w:numPr>
        <w:tabs>
          <w:tab w:val="clear" w:pos="2835"/>
        </w:tabs>
        <w:ind w:left="1134"/>
      </w:pPr>
      <w:r w:rsidRPr="0035656E">
        <w:t>The Committee welcomes the following legislative and institutional steps taken by the State party since the entry into force of the Covenant in 1996:</w:t>
      </w:r>
    </w:p>
    <w:p w:rsidR="0035656E" w:rsidRPr="0035656E" w:rsidRDefault="0035656E" w:rsidP="0035656E">
      <w:pPr>
        <w:pStyle w:val="SingleTxtG"/>
      </w:pPr>
      <w:r>
        <w:tab/>
      </w:r>
      <w:r w:rsidRPr="0035656E">
        <w:t>(</w:t>
      </w:r>
      <w:r w:rsidR="008E56DB">
        <w:t>a</w:t>
      </w:r>
      <w:r w:rsidRPr="0035656E">
        <w:t>)</w:t>
      </w:r>
      <w:r w:rsidRPr="0035656E">
        <w:tab/>
      </w:r>
      <w:r w:rsidR="008E56DB">
        <w:t>A</w:t>
      </w:r>
      <w:r w:rsidRPr="0035656E">
        <w:t>doption of the Anti-Human Trafficking Act</w:t>
      </w:r>
      <w:r w:rsidR="00BC23A5">
        <w:t>,</w:t>
      </w:r>
      <w:r w:rsidRPr="0035656E">
        <w:t xml:space="preserve"> in 2005; </w:t>
      </w:r>
    </w:p>
    <w:p w:rsidR="0035656E" w:rsidRPr="0035656E" w:rsidRDefault="0035656E" w:rsidP="0035656E">
      <w:pPr>
        <w:pStyle w:val="SingleTxtG"/>
      </w:pPr>
      <w:r>
        <w:tab/>
      </w:r>
      <w:r w:rsidRPr="0035656E">
        <w:t>(</w:t>
      </w:r>
      <w:r w:rsidR="008E56DB">
        <w:t>b</w:t>
      </w:r>
      <w:r w:rsidRPr="0035656E">
        <w:t>)</w:t>
      </w:r>
      <w:r w:rsidRPr="0035656E">
        <w:tab/>
      </w:r>
      <w:r w:rsidR="008E56DB">
        <w:t>A</w:t>
      </w:r>
      <w:r w:rsidRPr="0035656E">
        <w:t>doption of the Child Rights Act</w:t>
      </w:r>
      <w:r w:rsidR="00BC23A5">
        <w:t>,</w:t>
      </w:r>
      <w:r w:rsidRPr="0035656E">
        <w:t xml:space="preserve"> in 2007;</w:t>
      </w:r>
    </w:p>
    <w:p w:rsidR="0035656E" w:rsidRPr="0035656E" w:rsidRDefault="0035656E" w:rsidP="0035656E">
      <w:pPr>
        <w:pStyle w:val="SingleTxtG"/>
      </w:pPr>
      <w:r>
        <w:tab/>
      </w:r>
      <w:r w:rsidRPr="0035656E">
        <w:t>(</w:t>
      </w:r>
      <w:r w:rsidR="008E56DB">
        <w:t>c</w:t>
      </w:r>
      <w:r w:rsidRPr="0035656E">
        <w:t>)</w:t>
      </w:r>
      <w:r w:rsidRPr="0035656E">
        <w:tab/>
      </w:r>
      <w:r w:rsidR="008E56DB">
        <w:t>A</w:t>
      </w:r>
      <w:r w:rsidRPr="0035656E">
        <w:t>doption of the Domestic Violence Act</w:t>
      </w:r>
      <w:r w:rsidR="00BC23A5">
        <w:t>,</w:t>
      </w:r>
      <w:r w:rsidRPr="0035656E">
        <w:t xml:space="preserve"> in 2007;</w:t>
      </w:r>
    </w:p>
    <w:p w:rsidR="0035656E" w:rsidRPr="0035656E" w:rsidRDefault="009B7776" w:rsidP="0035656E">
      <w:pPr>
        <w:pStyle w:val="SingleTxtG"/>
      </w:pPr>
      <w:r>
        <w:rPr>
          <w:b/>
          <w:bCs/>
          <w:noProof/>
          <w:sz w:val="24"/>
          <w:szCs w:val="24"/>
          <w:lang w:val="en-US"/>
        </w:rPr>
        <w:pict>
          <v:shape id="_x0000_s1026" type="#_x0000_t75" style="position:absolute;left:0;text-align:left;margin-left:433.35pt;margin-top:635.15pt;width:50.25pt;height:50.25pt;z-index:1;mso-position-horizontal-relative:margin;mso-position-vertical-relative:margin" o:allowoverlap="f">
            <v:imagedata r:id="rId8" o:title="1&amp;Size=2 &amp;Lang=E"/>
            <w10:wrap anchorx="margin" anchory="margin"/>
          </v:shape>
        </w:pict>
      </w:r>
      <w:r w:rsidR="0035656E">
        <w:tab/>
      </w:r>
      <w:r w:rsidR="0035656E" w:rsidRPr="0035656E">
        <w:t>(</w:t>
      </w:r>
      <w:r w:rsidR="008E56DB">
        <w:t>d</w:t>
      </w:r>
      <w:r w:rsidR="0035656E" w:rsidRPr="0035656E">
        <w:t>)</w:t>
      </w:r>
      <w:r w:rsidR="0035656E" w:rsidRPr="0035656E">
        <w:tab/>
      </w:r>
      <w:r w:rsidR="008E56DB">
        <w:t>A</w:t>
      </w:r>
      <w:r w:rsidR="0035656E" w:rsidRPr="0035656E">
        <w:t>doption of the Sexual Offences Act</w:t>
      </w:r>
      <w:r w:rsidR="00BC23A5">
        <w:t>,</w:t>
      </w:r>
      <w:r w:rsidR="0035656E" w:rsidRPr="0035656E">
        <w:t xml:space="preserve"> in 2012; </w:t>
      </w:r>
    </w:p>
    <w:p w:rsidR="00297171" w:rsidRDefault="0035656E" w:rsidP="00297171">
      <w:pPr>
        <w:pStyle w:val="SingleTxtG"/>
      </w:pPr>
      <w:r>
        <w:tab/>
      </w:r>
      <w:r w:rsidRPr="0035656E">
        <w:t>(</w:t>
      </w:r>
      <w:r w:rsidR="008E56DB">
        <w:t>e</w:t>
      </w:r>
      <w:r w:rsidRPr="0035656E">
        <w:t>)</w:t>
      </w:r>
      <w:r w:rsidRPr="0035656E">
        <w:tab/>
      </w:r>
      <w:r w:rsidR="008E56DB">
        <w:t>E</w:t>
      </w:r>
      <w:r w:rsidRPr="0035656E">
        <w:t>nactment of the Legal Aid Act</w:t>
      </w:r>
      <w:r w:rsidR="00BC23A5">
        <w:t>,</w:t>
      </w:r>
      <w:r w:rsidRPr="0035656E">
        <w:t xml:space="preserve"> in 2012</w:t>
      </w:r>
      <w:r w:rsidR="00297171">
        <w:t xml:space="preserve">; </w:t>
      </w:r>
    </w:p>
    <w:p w:rsidR="00297171" w:rsidRPr="0035656E" w:rsidRDefault="00297171" w:rsidP="00BC23A5">
      <w:pPr>
        <w:pStyle w:val="SingleTxtG"/>
        <w:ind w:firstLine="567"/>
      </w:pPr>
      <w:r>
        <w:t>(</w:t>
      </w:r>
      <w:r w:rsidR="008E56DB">
        <w:t>f</w:t>
      </w:r>
      <w:r>
        <w:t>)</w:t>
      </w:r>
      <w:r w:rsidR="00250CEB">
        <w:tab/>
      </w:r>
      <w:r w:rsidR="008E56DB">
        <w:t>I</w:t>
      </w:r>
      <w:r>
        <w:t>ntroduction of free health care for lactating mothers and young children</w:t>
      </w:r>
      <w:r w:rsidR="00BC23A5">
        <w:t>,</w:t>
      </w:r>
      <w:r w:rsidR="008E56DB">
        <w:t xml:space="preserve"> in 2010</w:t>
      </w:r>
      <w:r>
        <w:t xml:space="preserve">. </w:t>
      </w:r>
    </w:p>
    <w:p w:rsidR="0035656E" w:rsidRPr="0035656E" w:rsidRDefault="0035656E" w:rsidP="00250CEB">
      <w:pPr>
        <w:pStyle w:val="SingleTxtG"/>
        <w:numPr>
          <w:ilvl w:val="0"/>
          <w:numId w:val="4"/>
          <w:numberingChange w:id="4" w:author="KAY-ATTIPOE" w:date="2014-04-23T11:32:00Z" w:original="%1:5:0:."/>
        </w:numPr>
        <w:tabs>
          <w:tab w:val="clear" w:pos="2835"/>
        </w:tabs>
        <w:ind w:left="1134"/>
      </w:pPr>
      <w:r w:rsidRPr="0035656E">
        <w:t>The Committee welcomes the ratification by the State party of the following international instruments:</w:t>
      </w:r>
    </w:p>
    <w:p w:rsidR="0035656E" w:rsidRPr="0035656E" w:rsidRDefault="0035656E" w:rsidP="0035656E">
      <w:pPr>
        <w:pStyle w:val="SingleTxtG"/>
      </w:pPr>
      <w:r>
        <w:tab/>
      </w:r>
      <w:r w:rsidRPr="0035656E">
        <w:t>(a)</w:t>
      </w:r>
      <w:r w:rsidRPr="0035656E">
        <w:tab/>
        <w:t>The Convention against Torture and Other Cruel</w:t>
      </w:r>
      <w:r w:rsidR="008E56DB">
        <w:t>,</w:t>
      </w:r>
      <w:r w:rsidRPr="0035656E">
        <w:t xml:space="preserve"> Inhuman or Degrading Treatment or Punishment in 2001;</w:t>
      </w:r>
    </w:p>
    <w:p w:rsidR="0035656E" w:rsidRPr="0035656E" w:rsidRDefault="0035656E" w:rsidP="0035656E">
      <w:pPr>
        <w:pStyle w:val="SingleTxtG"/>
      </w:pPr>
      <w:r>
        <w:tab/>
      </w:r>
      <w:r w:rsidRPr="0035656E">
        <w:t>(b)</w:t>
      </w:r>
      <w:r w:rsidRPr="0035656E">
        <w:tab/>
        <w:t>The Optional Protocols to the Convention on the Rights of the Child on the involvement of children in armed conflict</w:t>
      </w:r>
      <w:r w:rsidR="008E56DB">
        <w:t>,</w:t>
      </w:r>
      <w:r w:rsidRPr="0035656E">
        <w:t xml:space="preserve"> and on the sale of children, child prostitution and child pornography in 2011; </w:t>
      </w:r>
    </w:p>
    <w:p w:rsidR="0035656E" w:rsidRPr="0035656E" w:rsidRDefault="0035656E" w:rsidP="0035656E">
      <w:pPr>
        <w:pStyle w:val="SingleTxtG"/>
      </w:pPr>
      <w:r>
        <w:tab/>
      </w:r>
      <w:r w:rsidRPr="0035656E">
        <w:t>(c)</w:t>
      </w:r>
      <w:r w:rsidRPr="0035656E">
        <w:tab/>
        <w:t xml:space="preserve">The Convention on the Rights of Persons with Disabilities in 2010. </w:t>
      </w:r>
    </w:p>
    <w:p w:rsidR="0035656E" w:rsidRDefault="0035656E" w:rsidP="0035656E">
      <w:pPr>
        <w:pStyle w:val="H1G"/>
      </w:pPr>
      <w:r>
        <w:tab/>
        <w:t>C.</w:t>
      </w:r>
      <w:r>
        <w:tab/>
      </w:r>
      <w:r w:rsidRPr="007A52E0">
        <w:t>Principal matters of concern and recommendations</w:t>
      </w:r>
    </w:p>
    <w:p w:rsidR="0035656E" w:rsidRDefault="0035656E" w:rsidP="0035656E">
      <w:pPr>
        <w:pStyle w:val="H23G"/>
      </w:pPr>
      <w:r>
        <w:tab/>
      </w:r>
      <w:r>
        <w:tab/>
      </w:r>
      <w:r w:rsidRPr="005A1BCA">
        <w:t xml:space="preserve">National Human Rights Commission </w:t>
      </w:r>
    </w:p>
    <w:p w:rsidR="0035656E" w:rsidRDefault="0035656E" w:rsidP="00250CEB">
      <w:pPr>
        <w:pStyle w:val="SingleTxtG"/>
        <w:numPr>
          <w:ilvl w:val="0"/>
          <w:numId w:val="4"/>
          <w:numberingChange w:id="5" w:author="KAY-ATTIPOE" w:date="2014-04-23T11:32:00Z" w:original="%1:6:0:."/>
        </w:numPr>
        <w:tabs>
          <w:tab w:val="clear" w:pos="2835"/>
        </w:tabs>
        <w:ind w:left="1134"/>
      </w:pPr>
      <w:r>
        <w:t xml:space="preserve">While noting </w:t>
      </w:r>
      <w:r w:rsidR="00662674">
        <w:t xml:space="preserve">the </w:t>
      </w:r>
      <w:r>
        <w:t>steps taken by the State party to ensure that the Human Rights Commission of Sierra Leone (HRCSL) complies with the principles relating to the status of national institutions for the promotion and protection of human rights (</w:t>
      </w:r>
      <w:r w:rsidR="00662674">
        <w:t xml:space="preserve">the </w:t>
      </w:r>
      <w:r>
        <w:t xml:space="preserve">Paris Principles), the Committee is concerned that the HRCSL has insufficient resources to fully execute its mandate. The Committee regrets the reported lack of independence of the HRCSL and that its recommendations are not adequately taken into account by State authorities </w:t>
      </w:r>
      <w:r w:rsidRPr="007E634A">
        <w:t>(art. 2)</w:t>
      </w:r>
      <w:r>
        <w:t>.</w:t>
      </w:r>
    </w:p>
    <w:p w:rsidR="0035656E" w:rsidRDefault="0035656E" w:rsidP="0035656E">
      <w:pPr>
        <w:pStyle w:val="SingleTxtG"/>
        <w:rPr>
          <w:b/>
        </w:rPr>
      </w:pPr>
      <w:r>
        <w:rPr>
          <w:b/>
        </w:rPr>
        <w:t xml:space="preserve">The State party should take steps to strengthen the de facto independence of the HRCSL and ensure that its recommendations are </w:t>
      </w:r>
      <w:r w:rsidRPr="00F72422">
        <w:rPr>
          <w:b/>
        </w:rPr>
        <w:t>adequately taken into account</w:t>
      </w:r>
      <w:r>
        <w:t xml:space="preserve"> </w:t>
      </w:r>
      <w:r>
        <w:rPr>
          <w:b/>
        </w:rPr>
        <w:t xml:space="preserve">by State authorities, </w:t>
      </w:r>
      <w:r w:rsidRPr="007E634A">
        <w:rPr>
          <w:b/>
        </w:rPr>
        <w:t xml:space="preserve">in line with the </w:t>
      </w:r>
      <w:smartTag w:uri="urn:schemas-microsoft-com:office:smarttags" w:element="place">
        <w:smartTag w:uri="urn:schemas-microsoft-com:office:smarttags" w:element="City">
          <w:r w:rsidRPr="007E634A">
            <w:rPr>
              <w:b/>
            </w:rPr>
            <w:t>Paris</w:t>
          </w:r>
        </w:smartTag>
      </w:smartTag>
      <w:r w:rsidRPr="007E634A">
        <w:rPr>
          <w:b/>
        </w:rPr>
        <w:t xml:space="preserve"> Principles (General Assembly resolution</w:t>
      </w:r>
      <w:r>
        <w:rPr>
          <w:b/>
        </w:rPr>
        <w:t xml:space="preserve"> </w:t>
      </w:r>
      <w:r w:rsidRPr="007E634A">
        <w:rPr>
          <w:b/>
        </w:rPr>
        <w:t>48/134, annex)</w:t>
      </w:r>
      <w:r>
        <w:rPr>
          <w:b/>
        </w:rPr>
        <w:t>. At the same time, the HRCSL should be provided with the necessary financial and human resources to be able to carry out its mandate effectively</w:t>
      </w:r>
      <w:r w:rsidRPr="007E634A">
        <w:rPr>
          <w:b/>
        </w:rPr>
        <w:t>.</w:t>
      </w:r>
    </w:p>
    <w:p w:rsidR="0035656E" w:rsidRDefault="0035656E" w:rsidP="0035656E">
      <w:pPr>
        <w:pStyle w:val="H23G"/>
      </w:pPr>
      <w:r>
        <w:tab/>
      </w:r>
      <w:r>
        <w:tab/>
      </w:r>
      <w:r w:rsidRPr="00992BFE">
        <w:t>Applicability of the Covenant in domestic courts</w:t>
      </w:r>
    </w:p>
    <w:p w:rsidR="0035656E" w:rsidRPr="009B683F" w:rsidRDefault="0035656E" w:rsidP="00250CEB">
      <w:pPr>
        <w:pStyle w:val="SingleTxtG"/>
        <w:numPr>
          <w:ilvl w:val="0"/>
          <w:numId w:val="4"/>
          <w:numberingChange w:id="6" w:author="KAY-ATTIPOE" w:date="2014-04-23T11:32:00Z" w:original="%1:7:0:."/>
        </w:numPr>
        <w:tabs>
          <w:tab w:val="clear" w:pos="2835"/>
        </w:tabs>
        <w:ind w:left="1134"/>
      </w:pPr>
      <w:r w:rsidRPr="009B683F">
        <w:t>The Committee notes with concern that the rights protected by the Covenant have not been fully integrated into domestic law and that the Covenant has not been publicized widely enough to be readily invoked before the courts and authorities of the State party (art.</w:t>
      </w:r>
      <w:r w:rsidR="00250CEB">
        <w:t> </w:t>
      </w:r>
      <w:r w:rsidRPr="009B683F">
        <w:t xml:space="preserve">2). </w:t>
      </w:r>
    </w:p>
    <w:p w:rsidR="0035656E" w:rsidRDefault="0035656E" w:rsidP="0035656E">
      <w:pPr>
        <w:pStyle w:val="SingleTxtG"/>
        <w:rPr>
          <w:b/>
          <w:bCs/>
        </w:rPr>
      </w:pPr>
      <w:r>
        <w:rPr>
          <w:b/>
        </w:rPr>
        <w:t>The State party should enact legislation implementing all rights under the Covenant that are not already protected under domestic law. In the meantime, t</w:t>
      </w:r>
      <w:r w:rsidRPr="005A1BCA">
        <w:rPr>
          <w:b/>
        </w:rPr>
        <w:t xml:space="preserve">he State party should </w:t>
      </w:r>
      <w:r w:rsidRPr="005A1BCA">
        <w:rPr>
          <w:b/>
          <w:bCs/>
        </w:rPr>
        <w:t xml:space="preserve">increase its efforts to raise awareness of the Covenant among judges, lawyers and prosecutors to ensure that its provisions are taken into account </w:t>
      </w:r>
      <w:r>
        <w:rPr>
          <w:b/>
          <w:bCs/>
        </w:rPr>
        <w:t xml:space="preserve">by </w:t>
      </w:r>
      <w:r w:rsidR="00662674">
        <w:rPr>
          <w:b/>
          <w:bCs/>
        </w:rPr>
        <w:t xml:space="preserve">both </w:t>
      </w:r>
      <w:r w:rsidRPr="005A1BCA">
        <w:rPr>
          <w:b/>
          <w:bCs/>
        </w:rPr>
        <w:t xml:space="preserve">national </w:t>
      </w:r>
      <w:r w:rsidR="00297171">
        <w:rPr>
          <w:b/>
          <w:bCs/>
        </w:rPr>
        <w:t>and traditional courts</w:t>
      </w:r>
      <w:r w:rsidRPr="005A1BCA">
        <w:rPr>
          <w:b/>
          <w:bCs/>
        </w:rPr>
        <w:t>. In this regard, the</w:t>
      </w:r>
      <w:r w:rsidRPr="009B683F">
        <w:rPr>
          <w:b/>
          <w:bCs/>
        </w:rPr>
        <w:t xml:space="preserve"> State party should take effective measures to widely disseminate the Covenant</w:t>
      </w:r>
      <w:r>
        <w:rPr>
          <w:b/>
          <w:bCs/>
        </w:rPr>
        <w:t xml:space="preserve"> to the public</w:t>
      </w:r>
      <w:r w:rsidRPr="009B683F">
        <w:rPr>
          <w:b/>
          <w:bCs/>
        </w:rPr>
        <w:t>.</w:t>
      </w:r>
      <w:r w:rsidRPr="00650EE1">
        <w:rPr>
          <w:b/>
        </w:rPr>
        <w:t xml:space="preserve"> </w:t>
      </w:r>
      <w:r>
        <w:rPr>
          <w:b/>
        </w:rPr>
        <w:t xml:space="preserve">It should also consider acceding to the Optional Protocol to the </w:t>
      </w:r>
      <w:r w:rsidR="00297171">
        <w:rPr>
          <w:b/>
        </w:rPr>
        <w:t xml:space="preserve">International </w:t>
      </w:r>
      <w:r>
        <w:rPr>
          <w:b/>
        </w:rPr>
        <w:t>Covenant</w:t>
      </w:r>
      <w:r w:rsidR="00297171">
        <w:rPr>
          <w:b/>
        </w:rPr>
        <w:t xml:space="preserve"> on Civil and Political Rights on communications</w:t>
      </w:r>
      <w:r w:rsidR="00D937A1">
        <w:rPr>
          <w:b/>
        </w:rPr>
        <w:t xml:space="preserve"> under the complaints procedure</w:t>
      </w:r>
      <w:r>
        <w:rPr>
          <w:b/>
        </w:rPr>
        <w:t>.</w:t>
      </w:r>
      <w:r w:rsidR="00297171" w:rsidRPr="009B683F" w:rsidDel="00297171">
        <w:rPr>
          <w:b/>
          <w:bCs/>
        </w:rPr>
        <w:t xml:space="preserve"> </w:t>
      </w:r>
    </w:p>
    <w:p w:rsidR="0035656E" w:rsidRPr="00902E5C" w:rsidRDefault="0035656E" w:rsidP="0035656E">
      <w:pPr>
        <w:pStyle w:val="H23G"/>
      </w:pPr>
      <w:r>
        <w:tab/>
      </w:r>
      <w:r>
        <w:tab/>
        <w:t>Reparations for human rights violations</w:t>
      </w:r>
    </w:p>
    <w:p w:rsidR="0035656E" w:rsidRDefault="0035656E" w:rsidP="00250CEB">
      <w:pPr>
        <w:pStyle w:val="SingleTxtG"/>
        <w:numPr>
          <w:ilvl w:val="0"/>
          <w:numId w:val="4"/>
          <w:numberingChange w:id="7" w:author="KAY-ATTIPOE" w:date="2014-04-23T11:32:00Z" w:original="%1:8:0:."/>
        </w:numPr>
        <w:tabs>
          <w:tab w:val="clear" w:pos="2835"/>
        </w:tabs>
        <w:ind w:left="1134"/>
      </w:pPr>
      <w:r>
        <w:t>In view of the gravity and scale of the human rights violations that occurred during the civil war and the recommendations of the T</w:t>
      </w:r>
      <w:r w:rsidRPr="00A17E21">
        <w:t>ruth and Reconciliation Commission (TRC)</w:t>
      </w:r>
      <w:r>
        <w:t xml:space="preserve">, the Committee regrets that the </w:t>
      </w:r>
      <w:r w:rsidRPr="00883334">
        <w:t xml:space="preserve">Sierra Leone </w:t>
      </w:r>
      <w:r>
        <w:t>R</w:t>
      </w:r>
      <w:r w:rsidRPr="00883334">
        <w:t>eparations Programme</w:t>
      </w:r>
      <w:r w:rsidR="002D4D5E">
        <w:t>,</w:t>
      </w:r>
      <w:r w:rsidRPr="00883334">
        <w:t xml:space="preserve"> </w:t>
      </w:r>
      <w:r>
        <w:t xml:space="preserve">established </w:t>
      </w:r>
      <w:r w:rsidRPr="00883334">
        <w:t>in 2008</w:t>
      </w:r>
      <w:r w:rsidR="002D4D5E">
        <w:t>,</w:t>
      </w:r>
      <w:r w:rsidRPr="00883334">
        <w:t xml:space="preserve"> does not </w:t>
      </w:r>
      <w:r w:rsidRPr="005A1BCA">
        <w:t>fully guarantee all aspects of the right to adequate reparation</w:t>
      </w:r>
      <w:r>
        <w:t xml:space="preserve">, including full reintegration of child soldiers and psychological treatment for victims of sexual violence, and that, thus far, a significant number </w:t>
      </w:r>
      <w:r w:rsidR="006657FE">
        <w:t xml:space="preserve">of victims has not received any reparations. </w:t>
      </w:r>
      <w:r>
        <w:t xml:space="preserve">The Committee notes with concern that the War Victims’ Trust Fund </w:t>
      </w:r>
      <w:r w:rsidRPr="005A1BCA">
        <w:t>faces serious funding constraints.</w:t>
      </w:r>
      <w:r>
        <w:t xml:space="preserve"> It</w:t>
      </w:r>
      <w:r w:rsidRPr="005A1BCA">
        <w:t xml:space="preserve"> is also concerned by reports that the National Commission on Social Action had difficulties registering victims living in remote and rural areas and a great number of victims were not registered and therefore do not qualify as beneficiaries (art</w:t>
      </w:r>
      <w:r>
        <w:t>s.</w:t>
      </w:r>
      <w:r w:rsidRPr="005A1BCA">
        <w:t xml:space="preserve"> 2</w:t>
      </w:r>
      <w:r>
        <w:t>,</w:t>
      </w:r>
      <w:r w:rsidRPr="005A1BCA">
        <w:t xml:space="preserve"> 6 and 7).</w:t>
      </w:r>
    </w:p>
    <w:p w:rsidR="0035656E" w:rsidRDefault="0035656E" w:rsidP="0035656E">
      <w:pPr>
        <w:pStyle w:val="SingleTxtG"/>
        <w:rPr>
          <w:b/>
        </w:rPr>
      </w:pPr>
      <w:r w:rsidRPr="00041BFC">
        <w:rPr>
          <w:b/>
        </w:rPr>
        <w:t xml:space="preserve">The State party should include in the </w:t>
      </w:r>
      <w:smartTag w:uri="urn:schemas-microsoft-com:office:smarttags" w:element="place">
        <w:smartTag w:uri="urn:schemas-microsoft-com:office:smarttags" w:element="country-region">
          <w:r>
            <w:rPr>
              <w:b/>
            </w:rPr>
            <w:t>Sierra Leone</w:t>
          </w:r>
        </w:smartTag>
      </w:smartTag>
      <w:r w:rsidRPr="00041BFC">
        <w:rPr>
          <w:b/>
        </w:rPr>
        <w:t xml:space="preserve"> Reparations Programme all measures that are consistent with the right to reparation, such as rehabilitation measures, fair and adequate compensation </w:t>
      </w:r>
      <w:r>
        <w:rPr>
          <w:b/>
        </w:rPr>
        <w:t>and access to social program</w:t>
      </w:r>
      <w:r w:rsidR="00D42A35">
        <w:rPr>
          <w:b/>
        </w:rPr>
        <w:t>me</w:t>
      </w:r>
      <w:r>
        <w:rPr>
          <w:b/>
        </w:rPr>
        <w:t>s</w:t>
      </w:r>
      <w:r w:rsidRPr="00041BFC">
        <w:rPr>
          <w:b/>
        </w:rPr>
        <w:t>.</w:t>
      </w:r>
      <w:r>
        <w:rPr>
          <w:b/>
        </w:rPr>
        <w:t xml:space="preserve"> It </w:t>
      </w:r>
      <w:r w:rsidRPr="00041BFC">
        <w:rPr>
          <w:b/>
        </w:rPr>
        <w:t>shou</w:t>
      </w:r>
      <w:r>
        <w:rPr>
          <w:b/>
        </w:rPr>
        <w:t>ld also ensure that the Programme is provided with the necessary resources to carry out its functions throughout the country. T</w:t>
      </w:r>
      <w:r w:rsidRPr="00041BFC">
        <w:rPr>
          <w:b/>
        </w:rPr>
        <w:t xml:space="preserve">he State party should </w:t>
      </w:r>
      <w:r>
        <w:rPr>
          <w:b/>
        </w:rPr>
        <w:t xml:space="preserve">continue its efforts to ensure that all victims in its territory are registered and receive appropriate reparation. </w:t>
      </w:r>
    </w:p>
    <w:p w:rsidR="0035656E" w:rsidRPr="0024088C" w:rsidRDefault="0035656E" w:rsidP="0035656E">
      <w:pPr>
        <w:pStyle w:val="H23G"/>
      </w:pPr>
      <w:r>
        <w:tab/>
      </w:r>
      <w:r>
        <w:tab/>
        <w:t xml:space="preserve">Legislative framework </w:t>
      </w:r>
    </w:p>
    <w:p w:rsidR="0035656E" w:rsidRPr="00A21659" w:rsidRDefault="0035656E" w:rsidP="00250CEB">
      <w:pPr>
        <w:pStyle w:val="SingleTxtG"/>
        <w:numPr>
          <w:ilvl w:val="0"/>
          <w:numId w:val="4"/>
          <w:numberingChange w:id="8" w:author="KAY-ATTIPOE" w:date="2014-04-23T11:32:00Z" w:original="%1:9:0:."/>
        </w:numPr>
        <w:tabs>
          <w:tab w:val="clear" w:pos="2835"/>
        </w:tabs>
        <w:ind w:left="1134"/>
      </w:pPr>
      <w:r w:rsidRPr="000E434B">
        <w:t xml:space="preserve">The Committee welcomes the current Constitutional review process, which will provide the State party with opportunities to incorporate </w:t>
      </w:r>
      <w:r w:rsidR="00D42A35">
        <w:t xml:space="preserve">the </w:t>
      </w:r>
      <w:r>
        <w:t xml:space="preserve">rights enshrined in </w:t>
      </w:r>
      <w:r w:rsidRPr="000E434B">
        <w:t xml:space="preserve">the Covenant into the new </w:t>
      </w:r>
      <w:r w:rsidRPr="00C24DFF">
        <w:t xml:space="preserve">Constitution, but it is concerned by the reported lack of funds devoted to the review process, </w:t>
      </w:r>
      <w:r>
        <w:t>the lack of civil society</w:t>
      </w:r>
      <w:r w:rsidR="00D42A35">
        <w:t xml:space="preserve"> participation</w:t>
      </w:r>
      <w:r>
        <w:t xml:space="preserve"> </w:t>
      </w:r>
      <w:r w:rsidRPr="00C24DFF">
        <w:t xml:space="preserve">and the slow pace of </w:t>
      </w:r>
      <w:r w:rsidRPr="00A21659">
        <w:t xml:space="preserve">the review. The Committee is particularly concerned at discriminatory provisions against women in </w:t>
      </w:r>
      <w:r>
        <w:t>the existing Constitution</w:t>
      </w:r>
      <w:r w:rsidRPr="00A21659">
        <w:t>, in particular article 27 (4) (d) (art</w:t>
      </w:r>
      <w:r>
        <w:t>s</w:t>
      </w:r>
      <w:r w:rsidRPr="00A21659">
        <w:t>. 2, 3 and</w:t>
      </w:r>
      <w:r w:rsidR="00250CEB">
        <w:t> </w:t>
      </w:r>
      <w:r w:rsidRPr="00A21659">
        <w:t xml:space="preserve">26). </w:t>
      </w:r>
    </w:p>
    <w:p w:rsidR="0035656E" w:rsidRDefault="0035656E" w:rsidP="0035656E">
      <w:pPr>
        <w:pStyle w:val="SingleTxtG"/>
        <w:rPr>
          <w:b/>
          <w:color w:val="000000"/>
        </w:rPr>
      </w:pPr>
      <w:r w:rsidRPr="00526BE9">
        <w:rPr>
          <w:b/>
          <w:color w:val="000000"/>
        </w:rPr>
        <w:t>The State party should</w:t>
      </w:r>
      <w:r>
        <w:rPr>
          <w:b/>
          <w:color w:val="000000"/>
        </w:rPr>
        <w:t xml:space="preserve"> provide the Constitutional review process with adequate funding and strengthen its efforts to expedite the revision of the Constitution in </w:t>
      </w:r>
      <w:r w:rsidRPr="00526BE9">
        <w:rPr>
          <w:b/>
          <w:color w:val="000000"/>
        </w:rPr>
        <w:t xml:space="preserve">order to repeal or amend </w:t>
      </w:r>
      <w:r>
        <w:rPr>
          <w:b/>
          <w:color w:val="000000"/>
        </w:rPr>
        <w:t xml:space="preserve">discriminatory </w:t>
      </w:r>
      <w:r w:rsidRPr="00526BE9">
        <w:rPr>
          <w:b/>
          <w:color w:val="000000"/>
        </w:rPr>
        <w:t xml:space="preserve">provisions </w:t>
      </w:r>
      <w:r>
        <w:rPr>
          <w:b/>
          <w:color w:val="000000"/>
        </w:rPr>
        <w:t xml:space="preserve">against women </w:t>
      </w:r>
      <w:r w:rsidRPr="00526BE9">
        <w:rPr>
          <w:b/>
          <w:color w:val="000000"/>
        </w:rPr>
        <w:t>that are inconsistent with the Covenant</w:t>
      </w:r>
      <w:r>
        <w:rPr>
          <w:b/>
          <w:color w:val="000000"/>
        </w:rPr>
        <w:t xml:space="preserve"> and to incorporate all </w:t>
      </w:r>
      <w:r w:rsidR="000B31E5">
        <w:rPr>
          <w:b/>
          <w:color w:val="000000"/>
        </w:rPr>
        <w:t xml:space="preserve">the </w:t>
      </w:r>
      <w:r>
        <w:rPr>
          <w:b/>
          <w:color w:val="000000"/>
        </w:rPr>
        <w:t>rights enshrined in the Covenant</w:t>
      </w:r>
      <w:r w:rsidRPr="00526BE9">
        <w:rPr>
          <w:b/>
          <w:color w:val="000000"/>
        </w:rPr>
        <w:t xml:space="preserve">. </w:t>
      </w:r>
      <w:r>
        <w:rPr>
          <w:b/>
          <w:color w:val="000000"/>
        </w:rPr>
        <w:t>The State party should pay particular attention to ensuring the full participation of civil society in the ongoing review process.</w:t>
      </w:r>
    </w:p>
    <w:p w:rsidR="0035656E" w:rsidRPr="002D298B" w:rsidRDefault="0035656E" w:rsidP="0035656E">
      <w:pPr>
        <w:pStyle w:val="H23G"/>
      </w:pPr>
      <w:r>
        <w:tab/>
      </w:r>
      <w:r>
        <w:tab/>
      </w:r>
      <w:r w:rsidRPr="0024088C">
        <w:t>Non-discrimination and equality between men and women</w:t>
      </w:r>
    </w:p>
    <w:p w:rsidR="0035656E" w:rsidRDefault="0035656E" w:rsidP="00250CEB">
      <w:pPr>
        <w:pStyle w:val="SingleTxtG"/>
        <w:numPr>
          <w:ilvl w:val="0"/>
          <w:numId w:val="4"/>
          <w:numberingChange w:id="9" w:author="KAY-ATTIPOE" w:date="2014-04-23T11:32:00Z" w:original="%1:10:0:."/>
        </w:numPr>
        <w:tabs>
          <w:tab w:val="clear" w:pos="2835"/>
        </w:tabs>
        <w:ind w:left="1134"/>
      </w:pPr>
      <w:r w:rsidRPr="00825517">
        <w:t xml:space="preserve">While welcoming the adoption of the </w:t>
      </w:r>
      <w:r>
        <w:t xml:space="preserve">National Action Plan for the full </w:t>
      </w:r>
      <w:r w:rsidRPr="000418F7">
        <w:t xml:space="preserve">implementation of Security Council </w:t>
      </w:r>
      <w:r w:rsidR="000B31E5">
        <w:t>r</w:t>
      </w:r>
      <w:r w:rsidRPr="000418F7">
        <w:t>esolution</w:t>
      </w:r>
      <w:r>
        <w:t>s</w:t>
      </w:r>
      <w:r w:rsidRPr="000418F7">
        <w:t xml:space="preserve"> 1325 </w:t>
      </w:r>
      <w:r>
        <w:t xml:space="preserve">(2000) </w:t>
      </w:r>
      <w:r w:rsidRPr="000418F7">
        <w:t>and 1820</w:t>
      </w:r>
      <w:r>
        <w:t xml:space="preserve"> (2008)</w:t>
      </w:r>
      <w:r w:rsidRPr="00CF536B">
        <w:t xml:space="preserve">, the Committee notes with concern that women remain underrepresented in both the public and private sectors, particularly in decision-making positions. </w:t>
      </w:r>
      <w:r>
        <w:t>The Committee further expresses its concern at the persistence of deep-rooted and negative patriarchal stereotypes regarding</w:t>
      </w:r>
      <w:r w:rsidR="000B31E5">
        <w:t xml:space="preserve"> the</w:t>
      </w:r>
      <w:r>
        <w:t xml:space="preserve"> roles of women and men in the family and in society at large. </w:t>
      </w:r>
      <w:r w:rsidRPr="00DC1326">
        <w:t>The Committee is</w:t>
      </w:r>
      <w:r>
        <w:t xml:space="preserve"> also</w:t>
      </w:r>
      <w:r w:rsidRPr="00DC1326">
        <w:t xml:space="preserve"> concerned at </w:t>
      </w:r>
      <w:r w:rsidR="000B31E5">
        <w:t xml:space="preserve">the </w:t>
      </w:r>
      <w:r w:rsidRPr="00DC1326">
        <w:t xml:space="preserve">discriminatory </w:t>
      </w:r>
      <w:r>
        <w:t xml:space="preserve">statutory </w:t>
      </w:r>
      <w:r w:rsidRPr="00DC1326">
        <w:t xml:space="preserve">provisions against women </w:t>
      </w:r>
      <w:r w:rsidR="00C27AC7">
        <w:t>regarding</w:t>
      </w:r>
      <w:r w:rsidRPr="00DC1326">
        <w:t xml:space="preserve"> the acquisition and transmission of nationality</w:t>
      </w:r>
      <w:r>
        <w:t xml:space="preserve"> </w:t>
      </w:r>
      <w:r w:rsidR="00C27AC7">
        <w:t>with</w:t>
      </w:r>
      <w:r w:rsidRPr="00755AB9">
        <w:t xml:space="preserve"> respect to children </w:t>
      </w:r>
      <w:r w:rsidR="00C27AC7">
        <w:t>who</w:t>
      </w:r>
      <w:r w:rsidRPr="00755AB9">
        <w:t xml:space="preserve"> are born outside of the State party (</w:t>
      </w:r>
      <w:r w:rsidRPr="00DC1326">
        <w:t>arts. 2, 3 and 26).</w:t>
      </w:r>
    </w:p>
    <w:p w:rsidR="0035656E" w:rsidRDefault="0035656E" w:rsidP="0035656E">
      <w:pPr>
        <w:pStyle w:val="SingleTxtG"/>
        <w:rPr>
          <w:b/>
        </w:rPr>
      </w:pPr>
      <w:r w:rsidRPr="00CF536B">
        <w:rPr>
          <w:b/>
        </w:rPr>
        <w:t xml:space="preserve">The </w:t>
      </w:r>
      <w:r>
        <w:rPr>
          <w:b/>
        </w:rPr>
        <w:t>State party should enhance its efforts to eliminate existing patriarchal and gender stereotypes on the roles and responsibilities of women and men in the family and in society by, inter alia, adopting programmes that seek to raise awareness in society of gender equality.</w:t>
      </w:r>
      <w:r w:rsidRPr="00CF536B">
        <w:rPr>
          <w:b/>
        </w:rPr>
        <w:t xml:space="preserve"> The State party should strengthen its efforts to increase the participation of women in the public and private</w:t>
      </w:r>
      <w:r w:rsidRPr="00825517">
        <w:rPr>
          <w:b/>
        </w:rPr>
        <w:t xml:space="preserve"> sectors.</w:t>
      </w:r>
      <w:r>
        <w:rPr>
          <w:b/>
        </w:rPr>
        <w:t xml:space="preserve"> The State party should take immediate measures to ensure equal rights </w:t>
      </w:r>
      <w:r w:rsidR="00C27AC7">
        <w:rPr>
          <w:b/>
        </w:rPr>
        <w:t>for</w:t>
      </w:r>
      <w:r>
        <w:rPr>
          <w:b/>
        </w:rPr>
        <w:t xml:space="preserve"> women and men to acquire</w:t>
      </w:r>
      <w:r w:rsidR="00297171">
        <w:rPr>
          <w:b/>
        </w:rPr>
        <w:t xml:space="preserve"> and</w:t>
      </w:r>
      <w:r>
        <w:rPr>
          <w:b/>
        </w:rPr>
        <w:t xml:space="preserve"> transfer nationality. </w:t>
      </w:r>
    </w:p>
    <w:p w:rsidR="0035656E" w:rsidRPr="00B26A5A" w:rsidRDefault="0035656E" w:rsidP="0035656E">
      <w:pPr>
        <w:pStyle w:val="H23G"/>
      </w:pPr>
      <w:r>
        <w:tab/>
      </w:r>
      <w:r>
        <w:tab/>
      </w:r>
      <w:r w:rsidRPr="00B26A5A">
        <w:t>Discrimination against lesbian, gay, bisexual and transgender</w:t>
      </w:r>
      <w:r>
        <w:t xml:space="preserve"> (LGBT)</w:t>
      </w:r>
      <w:r w:rsidR="00C27AC7">
        <w:t xml:space="preserve"> persons</w:t>
      </w:r>
    </w:p>
    <w:p w:rsidR="0035656E" w:rsidRPr="00DE03D0" w:rsidRDefault="0035656E" w:rsidP="00250CEB">
      <w:pPr>
        <w:pStyle w:val="SingleTxtG"/>
        <w:numPr>
          <w:ilvl w:val="0"/>
          <w:numId w:val="4"/>
          <w:numberingChange w:id="10" w:author="KAY-ATTIPOE" w:date="2014-04-23T11:32:00Z" w:original="%1:11:0:."/>
        </w:numPr>
        <w:tabs>
          <w:tab w:val="clear" w:pos="2835"/>
        </w:tabs>
        <w:ind w:left="1134"/>
      </w:pPr>
      <w:r w:rsidRPr="007872A2">
        <w:t xml:space="preserve">The Committee is concerned that the State party lacks any constitutional or statutory provision expressly prohibiting discrimination on </w:t>
      </w:r>
      <w:r w:rsidR="00C27AC7">
        <w:t xml:space="preserve">the </w:t>
      </w:r>
      <w:r w:rsidRPr="007872A2">
        <w:t>grounds of sexual orientation or gender identity</w:t>
      </w:r>
      <w:r w:rsidR="00C27AC7">
        <w:t>,</w:t>
      </w:r>
      <w:r>
        <w:t xml:space="preserve"> and that same </w:t>
      </w:r>
      <w:r w:rsidRPr="00C16813">
        <w:t>sex relationships between consenting adults</w:t>
      </w:r>
      <w:r>
        <w:t xml:space="preserve"> </w:t>
      </w:r>
      <w:r w:rsidRPr="00C16813">
        <w:t>are</w:t>
      </w:r>
      <w:r>
        <w:t xml:space="preserve"> criminalized by law. T</w:t>
      </w:r>
      <w:r w:rsidRPr="009A7906">
        <w:t xml:space="preserve">he Committee </w:t>
      </w:r>
      <w:r>
        <w:t xml:space="preserve">notes with concern </w:t>
      </w:r>
      <w:r w:rsidRPr="009A7906">
        <w:t>the prevalence of stereotypes and prejudices against </w:t>
      </w:r>
      <w:r w:rsidRPr="007872A2">
        <w:t xml:space="preserve">lesbian, </w:t>
      </w:r>
      <w:r>
        <w:t>gay, bisexual and transgender (</w:t>
      </w:r>
      <w:r w:rsidRPr="009A7906">
        <w:t>LGBT</w:t>
      </w:r>
      <w:r>
        <w:t xml:space="preserve">) </w:t>
      </w:r>
      <w:r w:rsidR="00C27AC7">
        <w:t xml:space="preserve">persons </w:t>
      </w:r>
      <w:r>
        <w:t xml:space="preserve">and is particularly concerned about </w:t>
      </w:r>
      <w:r w:rsidRPr="007872A2">
        <w:t xml:space="preserve">reported acts of violence against </w:t>
      </w:r>
      <w:r>
        <w:t>LGBT persons</w:t>
      </w:r>
      <w:r w:rsidRPr="007872A2">
        <w:t xml:space="preserve"> (arts. 2 and 26)</w:t>
      </w:r>
      <w:r>
        <w:t>.</w:t>
      </w:r>
      <w:r w:rsidRPr="007872A2">
        <w:rPr>
          <w:highlight w:val="lightGray"/>
        </w:rPr>
        <w:t xml:space="preserve"> </w:t>
      </w:r>
    </w:p>
    <w:p w:rsidR="0035656E" w:rsidRPr="00EB6129" w:rsidRDefault="0035656E" w:rsidP="0035656E">
      <w:pPr>
        <w:pStyle w:val="SingleTxtG"/>
        <w:rPr>
          <w:b/>
        </w:rPr>
      </w:pPr>
      <w:r w:rsidRPr="00DE03D0">
        <w:rPr>
          <w:b/>
        </w:rPr>
        <w:t xml:space="preserve">The State party should review its Constitution and legislation to ensure that discrimination on </w:t>
      </w:r>
      <w:r w:rsidR="00876E9E">
        <w:rPr>
          <w:b/>
        </w:rPr>
        <w:t xml:space="preserve">the </w:t>
      </w:r>
      <w:r w:rsidRPr="00DE03D0">
        <w:rPr>
          <w:b/>
        </w:rPr>
        <w:t xml:space="preserve">grounds of sexual orientation and gender identity </w:t>
      </w:r>
      <w:r>
        <w:rPr>
          <w:b/>
        </w:rPr>
        <w:t>is</w:t>
      </w:r>
      <w:r w:rsidRPr="00DE03D0">
        <w:rPr>
          <w:b/>
        </w:rPr>
        <w:t xml:space="preserve"> prohibited, including by decriminalizing sexual relations between consenting adults of the same sex, in order to bring its legislation in</w:t>
      </w:r>
      <w:r w:rsidR="00876E9E">
        <w:rPr>
          <w:b/>
        </w:rPr>
        <w:t>to</w:t>
      </w:r>
      <w:r w:rsidRPr="00DE03D0">
        <w:rPr>
          <w:b/>
        </w:rPr>
        <w:t xml:space="preserve"> line with the Covenant. The State party should also take the necessary steps to put an end to the social stigmatization of homosexuality and send a clear message that it does not tolerate any form of harassment, discrimination or violence against persons based on their sexual orientation or gender identity.</w:t>
      </w:r>
    </w:p>
    <w:p w:rsidR="0035656E" w:rsidRPr="00A341A6" w:rsidRDefault="0035656E" w:rsidP="0035656E">
      <w:pPr>
        <w:pStyle w:val="H23G"/>
      </w:pPr>
      <w:r>
        <w:tab/>
      </w:r>
      <w:r>
        <w:tab/>
      </w:r>
      <w:r w:rsidRPr="00A341A6">
        <w:t xml:space="preserve">Harmful traditional practices </w:t>
      </w:r>
    </w:p>
    <w:p w:rsidR="0035656E" w:rsidRPr="004B2650" w:rsidRDefault="0035656E" w:rsidP="00250CEB">
      <w:pPr>
        <w:pStyle w:val="SingleTxtG"/>
        <w:numPr>
          <w:ilvl w:val="0"/>
          <w:numId w:val="4"/>
          <w:numberingChange w:id="11" w:author="KAY-ATTIPOE" w:date="2014-04-23T11:32:00Z" w:original="%1:12:0:."/>
        </w:numPr>
        <w:tabs>
          <w:tab w:val="clear" w:pos="2835"/>
        </w:tabs>
        <w:ind w:left="1134"/>
      </w:pPr>
      <w:r>
        <w:t xml:space="preserve">The Committee is concerned by the continuing reports of harmful traditional practices, especially female genital mutilation. </w:t>
      </w:r>
      <w:r w:rsidRPr="00F72967">
        <w:rPr>
          <w:lang w:eastAsia="en-GB"/>
        </w:rPr>
        <w:t>The Committee welcomes the Child Rights Act</w:t>
      </w:r>
      <w:r>
        <w:rPr>
          <w:lang w:eastAsia="en-GB"/>
        </w:rPr>
        <w:t xml:space="preserve"> (2007)</w:t>
      </w:r>
      <w:r w:rsidRPr="00F72967">
        <w:rPr>
          <w:lang w:eastAsia="en-GB"/>
        </w:rPr>
        <w:t xml:space="preserve">, which criminalizes the commission of </w:t>
      </w:r>
      <w:r w:rsidRPr="00EF5B82">
        <w:rPr>
          <w:lang w:eastAsia="en-GB"/>
        </w:rPr>
        <w:t xml:space="preserve">some </w:t>
      </w:r>
      <w:r w:rsidRPr="00F72967">
        <w:rPr>
          <w:lang w:eastAsia="en-GB"/>
        </w:rPr>
        <w:t xml:space="preserve">harmful traditional practices, </w:t>
      </w:r>
      <w:r>
        <w:rPr>
          <w:lang w:eastAsia="en-GB"/>
        </w:rPr>
        <w:t>but notes with serious</w:t>
      </w:r>
      <w:r w:rsidRPr="00F72967">
        <w:rPr>
          <w:lang w:eastAsia="en-GB"/>
        </w:rPr>
        <w:t xml:space="preserve"> concern </w:t>
      </w:r>
      <w:r>
        <w:rPr>
          <w:lang w:eastAsia="en-GB"/>
        </w:rPr>
        <w:t xml:space="preserve">the rejection of a proposed </w:t>
      </w:r>
      <w:r w:rsidRPr="004B2650">
        <w:rPr>
          <w:bCs/>
        </w:rPr>
        <w:t xml:space="preserve">provision to </w:t>
      </w:r>
      <w:r w:rsidRPr="00C2773C">
        <w:rPr>
          <w:bCs/>
        </w:rPr>
        <w:t>criminalize female genital mutilation during the adoption of the Child Rights Act</w:t>
      </w:r>
      <w:r w:rsidRPr="00C2773C">
        <w:t>.</w:t>
      </w:r>
      <w:r>
        <w:t xml:space="preserve"> T</w:t>
      </w:r>
      <w:r w:rsidRPr="004B2650">
        <w:rPr>
          <w:bCs/>
        </w:rPr>
        <w:t>he Committee regrets that impunity for perpetrators of this unlawful and harmful practice still prevails (arts. 2, 3, 7 and 26).</w:t>
      </w:r>
    </w:p>
    <w:p w:rsidR="0035656E" w:rsidRPr="00EF5B82" w:rsidRDefault="0035656E" w:rsidP="0035656E">
      <w:pPr>
        <w:pStyle w:val="SingleTxtG"/>
        <w:rPr>
          <w:b/>
          <w:bCs/>
        </w:rPr>
      </w:pPr>
      <w:r w:rsidRPr="00EF5B82">
        <w:rPr>
          <w:b/>
        </w:rPr>
        <w:t xml:space="preserve">The State party should </w:t>
      </w:r>
      <w:r>
        <w:rPr>
          <w:b/>
        </w:rPr>
        <w:t xml:space="preserve">explicitly </w:t>
      </w:r>
      <w:r w:rsidRPr="00EF5B82">
        <w:rPr>
          <w:b/>
        </w:rPr>
        <w:t>prohibit female genital mutilation. Furthermore, the State party should make efforts to prevent and eradicate harmful traditional practices, including female genital mutilation, by strengthening its awareness-raising and education programmes</w:t>
      </w:r>
      <w:r>
        <w:rPr>
          <w:b/>
        </w:rPr>
        <w:t xml:space="preserve"> in consultation with women’s organization</w:t>
      </w:r>
      <w:r w:rsidR="00B92794">
        <w:rPr>
          <w:b/>
        </w:rPr>
        <w:t>s</w:t>
      </w:r>
      <w:r>
        <w:rPr>
          <w:b/>
        </w:rPr>
        <w:t xml:space="preserve"> and traditional leaders</w:t>
      </w:r>
      <w:r w:rsidRPr="00EF5B82">
        <w:rPr>
          <w:b/>
        </w:rPr>
        <w:t xml:space="preserve">. In this regard, the national-level team established to develop a common perception on the issue of female genital mutilation should ensure that communities where the practice is widespread are targeted in order to bring </w:t>
      </w:r>
      <w:r w:rsidR="00B92794">
        <w:rPr>
          <w:b/>
        </w:rPr>
        <w:t xml:space="preserve">about </w:t>
      </w:r>
      <w:r w:rsidRPr="00EF5B82">
        <w:rPr>
          <w:b/>
        </w:rPr>
        <w:t>a change in mindset.</w:t>
      </w:r>
    </w:p>
    <w:p w:rsidR="0035656E" w:rsidRDefault="0035656E" w:rsidP="0035656E">
      <w:pPr>
        <w:pStyle w:val="H23G"/>
      </w:pPr>
      <w:r>
        <w:tab/>
      </w:r>
      <w:r>
        <w:tab/>
        <w:t>Early marriage</w:t>
      </w:r>
    </w:p>
    <w:p w:rsidR="0035656E" w:rsidRPr="004C5EC5" w:rsidRDefault="0035656E" w:rsidP="00250CEB">
      <w:pPr>
        <w:pStyle w:val="SingleTxtG"/>
        <w:numPr>
          <w:ilvl w:val="0"/>
          <w:numId w:val="4"/>
          <w:numberingChange w:id="12" w:author="KAY-ATTIPOE" w:date="2014-04-23T11:32:00Z" w:original="%1:13:0:."/>
        </w:numPr>
        <w:tabs>
          <w:tab w:val="clear" w:pos="2835"/>
        </w:tabs>
        <w:ind w:left="1134"/>
      </w:pPr>
      <w:r w:rsidRPr="004C5EC5">
        <w:t>While noting that the Child Rights Act of 2007 establishes the age of marriage at 18 years, the Committee notes with concern that the Registration of Customary Marriages and Divorce Act allows child marriage with parental consent. The Committee is concerned at the persistence of early marriages, especially in rural areas, and the lack of sanctions on those responsible (arts. 3, 23 and 24).</w:t>
      </w:r>
    </w:p>
    <w:p w:rsidR="0035656E" w:rsidRPr="001A4C0A" w:rsidRDefault="0035656E" w:rsidP="0035656E">
      <w:pPr>
        <w:pStyle w:val="SingleTxtG"/>
        <w:rPr>
          <w:b/>
        </w:rPr>
      </w:pPr>
      <w:r w:rsidRPr="004C5EC5">
        <w:rPr>
          <w:b/>
        </w:rPr>
        <w:t>The State party should review the Registration of Customary Marriages and Divorce Act in order to</w:t>
      </w:r>
      <w:r w:rsidR="00297171">
        <w:rPr>
          <w:b/>
        </w:rPr>
        <w:t xml:space="preserve"> bring it in</w:t>
      </w:r>
      <w:r w:rsidR="00B92794">
        <w:rPr>
          <w:b/>
        </w:rPr>
        <w:t>to</w:t>
      </w:r>
      <w:r w:rsidR="00297171">
        <w:rPr>
          <w:b/>
        </w:rPr>
        <w:t xml:space="preserve"> line with the Child Rights Act of 2007</w:t>
      </w:r>
      <w:r w:rsidRPr="004C5EC5">
        <w:rPr>
          <w:b/>
        </w:rPr>
        <w:t xml:space="preserve"> and ensure the strict application of its legislation banning early marriages. It should carry out campaigns to publicize the legislation and inform girls, their parents and community leaders of the harmful effects of early marriage.</w:t>
      </w:r>
    </w:p>
    <w:p w:rsidR="0035656E" w:rsidRDefault="0035656E" w:rsidP="0035656E">
      <w:pPr>
        <w:pStyle w:val="H23G"/>
      </w:pPr>
      <w:r>
        <w:tab/>
      </w:r>
      <w:r>
        <w:tab/>
        <w:t>Abortion, adolescent pregnancy and maternal mortality</w:t>
      </w:r>
    </w:p>
    <w:p w:rsidR="0035656E" w:rsidRPr="001D39DF" w:rsidRDefault="0035656E" w:rsidP="00250CEB">
      <w:pPr>
        <w:pStyle w:val="SingleTxtG"/>
        <w:numPr>
          <w:ilvl w:val="0"/>
          <w:numId w:val="4"/>
          <w:numberingChange w:id="13" w:author="KAY-ATTIPOE" w:date="2014-04-23T11:32:00Z" w:original="%1:14:0:."/>
        </w:numPr>
        <w:tabs>
          <w:tab w:val="clear" w:pos="2835"/>
        </w:tabs>
        <w:ind w:left="1134"/>
      </w:pPr>
      <w:r>
        <w:t xml:space="preserve">The Committee notes with interest the Abortion Bill of 2012, but </w:t>
      </w:r>
      <w:r w:rsidRPr="001D39DF">
        <w:t xml:space="preserve">expresses its </w:t>
      </w:r>
      <w:r w:rsidRPr="00755AB9">
        <w:t>concern at the current general criminalization of abortion,</w:t>
      </w:r>
      <w:r w:rsidRPr="001D39DF">
        <w:t xml:space="preserve"> which </w:t>
      </w:r>
      <w:r>
        <w:t>may oblige</w:t>
      </w:r>
      <w:r w:rsidRPr="001D39DF">
        <w:t xml:space="preserve"> pregnant women to seek clandestine abortion</w:t>
      </w:r>
      <w:r w:rsidR="00B92794">
        <w:t>s</w:t>
      </w:r>
      <w:r w:rsidRPr="001D39DF">
        <w:t xml:space="preserve"> that endanger their lives and health. The Committee is also concerned at the persistently high in</w:t>
      </w:r>
      <w:r>
        <w:t xml:space="preserve">cidence </w:t>
      </w:r>
      <w:r w:rsidRPr="001D39DF">
        <w:t>of adolescent pregnancy and maternal mortality, despite the State party</w:t>
      </w:r>
      <w:r>
        <w:t>’</w:t>
      </w:r>
      <w:r w:rsidRPr="001D39DF">
        <w:t>s prevention efforts (arts. 6 and 17).</w:t>
      </w:r>
    </w:p>
    <w:p w:rsidR="0035656E" w:rsidRPr="00777021" w:rsidRDefault="0035656E" w:rsidP="0035656E">
      <w:pPr>
        <w:pStyle w:val="SingleTxtG"/>
        <w:rPr>
          <w:b/>
        </w:rPr>
      </w:pPr>
      <w:r>
        <w:rPr>
          <w:b/>
        </w:rPr>
        <w:t>T</w:t>
      </w:r>
      <w:r w:rsidRPr="00C2773C">
        <w:rPr>
          <w:b/>
        </w:rPr>
        <w:t xml:space="preserve">he State party </w:t>
      </w:r>
      <w:r>
        <w:rPr>
          <w:b/>
        </w:rPr>
        <w:t xml:space="preserve">should </w:t>
      </w:r>
      <w:r w:rsidRPr="00C2773C">
        <w:rPr>
          <w:b/>
        </w:rPr>
        <w:t xml:space="preserve">accelerate the adoption of </w:t>
      </w:r>
      <w:r w:rsidR="00A25CEB">
        <w:rPr>
          <w:b/>
        </w:rPr>
        <w:t xml:space="preserve">a bill that </w:t>
      </w:r>
      <w:r w:rsidRPr="00C2773C">
        <w:rPr>
          <w:b/>
        </w:rPr>
        <w:t>includes provision for exceptions to the general prohibition of abortion for therapeutic</w:t>
      </w:r>
      <w:r w:rsidRPr="00777021">
        <w:rPr>
          <w:b/>
        </w:rPr>
        <w:t xml:space="preserve"> reasons and in cases of pregnancy resulting from rape or incest.</w:t>
      </w:r>
      <w:r>
        <w:rPr>
          <w:b/>
        </w:rPr>
        <w:t xml:space="preserve"> </w:t>
      </w:r>
      <w:r w:rsidRPr="00777021">
        <w:rPr>
          <w:b/>
        </w:rPr>
        <w:t>The State party should ensure that reproductive health services are accessible for all women and adolescents. Furthermore, the State party should increase education and awareness-raising programmes, both formal (at schools and colleges) and informal (in the mass media), on the importance of using contraceptives and the right to reproductive health.</w:t>
      </w:r>
    </w:p>
    <w:p w:rsidR="0035656E" w:rsidRDefault="0035656E" w:rsidP="0035656E">
      <w:pPr>
        <w:pStyle w:val="H23G"/>
      </w:pPr>
      <w:r>
        <w:tab/>
      </w:r>
      <w:r>
        <w:tab/>
      </w:r>
      <w:r w:rsidRPr="00251115">
        <w:t>Violence against women</w:t>
      </w:r>
      <w:r>
        <w:t xml:space="preserve"> </w:t>
      </w:r>
    </w:p>
    <w:p w:rsidR="0035656E" w:rsidRPr="004B6704" w:rsidRDefault="0035656E" w:rsidP="00250CEB">
      <w:pPr>
        <w:pStyle w:val="SingleTxtG"/>
        <w:numPr>
          <w:ilvl w:val="0"/>
          <w:numId w:val="4"/>
          <w:numberingChange w:id="14" w:author="KAY-ATTIPOE" w:date="2014-04-23T11:32:00Z" w:original="%1:15:0:."/>
        </w:numPr>
        <w:tabs>
          <w:tab w:val="clear" w:pos="2835"/>
        </w:tabs>
        <w:ind w:left="1134"/>
        <w:rPr>
          <w:bCs/>
        </w:rPr>
      </w:pPr>
      <w:r w:rsidRPr="007D03EE">
        <w:t>While welcoming the measures taken by the State party to combat</w:t>
      </w:r>
      <w:r>
        <w:t xml:space="preserve"> gender-based violence, the Committee notes with concern the continuing reports of violence against women and the lenient treatment of such crimes by the </w:t>
      </w:r>
      <w:r w:rsidR="00B92794">
        <w:t>p</w:t>
      </w:r>
      <w:r>
        <w:t>olice. The Committee notes with interest the establishment of the extraordinary court sittings known as “Saturday courts”</w:t>
      </w:r>
      <w:r w:rsidR="00A25CEB">
        <w:t xml:space="preserve"> and the work of the Family Support Units</w:t>
      </w:r>
      <w:r>
        <w:t xml:space="preserve">, but </w:t>
      </w:r>
      <w:r w:rsidRPr="00C16813">
        <w:t>regrets the</w:t>
      </w:r>
      <w:r>
        <w:t xml:space="preserve"> </w:t>
      </w:r>
      <w:r w:rsidRPr="00456671">
        <w:rPr>
          <w:bCs/>
        </w:rPr>
        <w:t>failure</w:t>
      </w:r>
      <w:r>
        <w:rPr>
          <w:bCs/>
        </w:rPr>
        <w:t xml:space="preserve"> </w:t>
      </w:r>
      <w:r w:rsidR="00611938">
        <w:rPr>
          <w:bCs/>
        </w:rPr>
        <w:t>on the part of the</w:t>
      </w:r>
      <w:r>
        <w:t xml:space="preserve"> authorities to ensure prompt and systematic prosecution of perpetrators. The Committee i</w:t>
      </w:r>
      <w:r w:rsidR="006657FE">
        <w:t xml:space="preserve">s particularly concerned about </w:t>
      </w:r>
      <w:r>
        <w:t xml:space="preserve">the lack of free medical examination after rape, the automatic closing of cases following the withdrawal of complaints by victims of domestic violence, and the limited access to legal aid and shelter and rehabilitation services for victims of sexual and domestic violence </w:t>
      </w:r>
      <w:r w:rsidRPr="004B6704">
        <w:rPr>
          <w:bCs/>
        </w:rPr>
        <w:t>(arts. 3 and 7).</w:t>
      </w:r>
      <w:r w:rsidRPr="00862BD8">
        <w:t xml:space="preserve"> </w:t>
      </w:r>
    </w:p>
    <w:p w:rsidR="0035656E" w:rsidRDefault="0035656E" w:rsidP="0035656E">
      <w:pPr>
        <w:pStyle w:val="SingleTxtG"/>
        <w:rPr>
          <w:b/>
          <w:color w:val="FF0000"/>
        </w:rPr>
      </w:pPr>
      <w:r w:rsidRPr="0078743F">
        <w:rPr>
          <w:b/>
          <w:bCs/>
        </w:rPr>
        <w:t xml:space="preserve">The State party should adopt a comprehensive approach to preventing and addressing gender-based violence in all its forms and manifestations. </w:t>
      </w:r>
      <w:r>
        <w:rPr>
          <w:b/>
          <w:bCs/>
        </w:rPr>
        <w:t xml:space="preserve">It should strengthen </w:t>
      </w:r>
      <w:r w:rsidR="00D937A1">
        <w:rPr>
          <w:b/>
          <w:bCs/>
        </w:rPr>
        <w:t>the</w:t>
      </w:r>
      <w:r>
        <w:rPr>
          <w:b/>
          <w:bCs/>
        </w:rPr>
        <w:t xml:space="preserve"> Family Support Units, legal aid facilities and prosecutorial staff</w:t>
      </w:r>
      <w:r w:rsidR="00F8250D">
        <w:rPr>
          <w:b/>
          <w:bCs/>
        </w:rPr>
        <w:t>,</w:t>
      </w:r>
      <w:r>
        <w:rPr>
          <w:b/>
          <w:bCs/>
        </w:rPr>
        <w:t xml:space="preserve"> and conduct awareness-raising campaigns on the negative effects of domestic violence</w:t>
      </w:r>
      <w:r w:rsidR="00F8250D">
        <w:rPr>
          <w:b/>
          <w:bCs/>
        </w:rPr>
        <w:t xml:space="preserve"> and</w:t>
      </w:r>
      <w:r>
        <w:rPr>
          <w:b/>
          <w:bCs/>
        </w:rPr>
        <w:t xml:space="preserve"> inform women of their rights and </w:t>
      </w:r>
      <w:r w:rsidR="00F8250D">
        <w:rPr>
          <w:b/>
          <w:bCs/>
        </w:rPr>
        <w:t xml:space="preserve">of </w:t>
      </w:r>
      <w:r>
        <w:rPr>
          <w:b/>
          <w:bCs/>
        </w:rPr>
        <w:t xml:space="preserve">existing mechanisms </w:t>
      </w:r>
      <w:r w:rsidR="00F8250D">
        <w:rPr>
          <w:b/>
          <w:bCs/>
        </w:rPr>
        <w:t>for</w:t>
      </w:r>
      <w:r>
        <w:rPr>
          <w:b/>
          <w:bCs/>
        </w:rPr>
        <w:t xml:space="preserve"> protection. </w:t>
      </w:r>
      <w:r w:rsidRPr="004B6704">
        <w:rPr>
          <w:b/>
        </w:rPr>
        <w:t>It should also strengthen and institutionalize a training course with a gender perspective, which should be mandatory for all legal and law enforcement officials and health service personnel, in order to ensure that they are able to respond effectively to all forms of violence against women. The State party should further ensure that cases of domestic violence</w:t>
      </w:r>
      <w:r>
        <w:rPr>
          <w:b/>
        </w:rPr>
        <w:t xml:space="preserve"> and spousal rape</w:t>
      </w:r>
      <w:r w:rsidRPr="004B6704">
        <w:rPr>
          <w:b/>
        </w:rPr>
        <w:t xml:space="preserve"> are thoroughly investigated</w:t>
      </w:r>
      <w:r w:rsidR="00D937A1">
        <w:rPr>
          <w:b/>
        </w:rPr>
        <w:t>;</w:t>
      </w:r>
      <w:r>
        <w:rPr>
          <w:b/>
        </w:rPr>
        <w:t xml:space="preserve"> victims are entitled to free medical examination after sexual abuse</w:t>
      </w:r>
      <w:r w:rsidR="00D937A1">
        <w:rPr>
          <w:b/>
        </w:rPr>
        <w:t>;</w:t>
      </w:r>
      <w:r w:rsidRPr="004B6704">
        <w:rPr>
          <w:b/>
        </w:rPr>
        <w:t xml:space="preserve"> perpetrators are prosecuted and, if convicted, punished with appropriate sanctions</w:t>
      </w:r>
      <w:r w:rsidR="00D937A1">
        <w:rPr>
          <w:b/>
        </w:rPr>
        <w:t>;</w:t>
      </w:r>
      <w:r w:rsidRPr="004B6704">
        <w:rPr>
          <w:b/>
        </w:rPr>
        <w:t xml:space="preserve"> and victims have access to effective remedies and means of protection, including an adequate number of shelters in all parts of the country. </w:t>
      </w:r>
    </w:p>
    <w:p w:rsidR="0035656E" w:rsidRPr="00500074" w:rsidRDefault="0035656E" w:rsidP="0035656E">
      <w:pPr>
        <w:pStyle w:val="H23G"/>
      </w:pPr>
      <w:r>
        <w:tab/>
      </w:r>
      <w:r>
        <w:tab/>
      </w:r>
      <w:r w:rsidRPr="00B91D47">
        <w:t>Prohibition of torture and ill-treatment</w:t>
      </w:r>
      <w:r w:rsidRPr="00500074">
        <w:t xml:space="preserve"> </w:t>
      </w:r>
    </w:p>
    <w:p w:rsidR="0035656E" w:rsidRPr="0019231C" w:rsidRDefault="0035656E" w:rsidP="00250CEB">
      <w:pPr>
        <w:pStyle w:val="SingleTxtG"/>
        <w:numPr>
          <w:ilvl w:val="0"/>
          <w:numId w:val="4"/>
          <w:numberingChange w:id="15" w:author="KAY-ATTIPOE" w:date="2014-04-23T11:32:00Z" w:original="%1:16:0:."/>
        </w:numPr>
        <w:tabs>
          <w:tab w:val="clear" w:pos="2835"/>
        </w:tabs>
        <w:ind w:left="1134"/>
      </w:pPr>
      <w:r w:rsidRPr="00500074">
        <w:t>The Committee is concerned that, although</w:t>
      </w:r>
      <w:r>
        <w:t xml:space="preserve"> torture is</w:t>
      </w:r>
      <w:r w:rsidRPr="00500074">
        <w:t xml:space="preserve"> prohibited in the Constitution, the State party has not adopted criminal legislation that defines and criminalizes torture explicitly. </w:t>
      </w:r>
      <w:r w:rsidRPr="00AA2126">
        <w:t xml:space="preserve">The Committee </w:t>
      </w:r>
      <w:r>
        <w:t xml:space="preserve">regrets the continued </w:t>
      </w:r>
      <w:r w:rsidRPr="00AA2126">
        <w:t xml:space="preserve">reports of </w:t>
      </w:r>
      <w:r>
        <w:t xml:space="preserve">torture and </w:t>
      </w:r>
      <w:r w:rsidRPr="00AA2126">
        <w:t>ill-treatment of detainees by law enforcement personnel</w:t>
      </w:r>
      <w:r w:rsidR="00F8250D">
        <w:t>,</w:t>
      </w:r>
      <w:r>
        <w:t xml:space="preserve"> and</w:t>
      </w:r>
      <w:r w:rsidRPr="00500074">
        <w:t xml:space="preserve"> notes with concern the information provided by the State party in its initial report that “at the present, there are no official complaints of torture</w:t>
      </w:r>
      <w:r>
        <w:t>.</w:t>
      </w:r>
      <w:r w:rsidRPr="00500074">
        <w:t>”</w:t>
      </w:r>
      <w:r>
        <w:t xml:space="preserve"> It regrets the lack of concrete measures by the State party to thoroughly investigate and prosecute alleged cases of torture and cruel, inhuman or degrading treatment and ill-treatment by law enforcement officials and the delays in establishing the Independent Police Complaints Board </w:t>
      </w:r>
      <w:r w:rsidRPr="0019231C">
        <w:t>(arts. 7 and 10).</w:t>
      </w:r>
    </w:p>
    <w:p w:rsidR="0035656E" w:rsidRDefault="0035656E" w:rsidP="0035656E">
      <w:pPr>
        <w:pStyle w:val="SingleTxtG"/>
        <w:rPr>
          <w:b/>
        </w:rPr>
      </w:pPr>
      <w:r w:rsidRPr="00EB6129">
        <w:rPr>
          <w:b/>
        </w:rPr>
        <w:t>The State party should adopt in its legislation a definition of torture that fully complies with articles 1 and 4 of the Convention against Torture</w:t>
      </w:r>
      <w:r w:rsidR="00F8250D">
        <w:rPr>
          <w:b/>
        </w:rPr>
        <w:t xml:space="preserve"> and Other Cruel</w:t>
      </w:r>
      <w:r w:rsidRPr="00EB6129">
        <w:rPr>
          <w:b/>
        </w:rPr>
        <w:t>,</w:t>
      </w:r>
      <w:r w:rsidR="00F8250D">
        <w:rPr>
          <w:b/>
        </w:rPr>
        <w:t xml:space="preserve"> Inhuman or Degrading Treatment or Punishment</w:t>
      </w:r>
      <w:r w:rsidRPr="00EB6129">
        <w:rPr>
          <w:b/>
        </w:rPr>
        <w:t xml:space="preserve"> and with article 7 of the </w:t>
      </w:r>
      <w:r w:rsidR="00F8250D">
        <w:rPr>
          <w:b/>
        </w:rPr>
        <w:t xml:space="preserve">International </w:t>
      </w:r>
      <w:r w:rsidRPr="00EB6129">
        <w:rPr>
          <w:b/>
        </w:rPr>
        <w:t>Covenant</w:t>
      </w:r>
      <w:r w:rsidR="00F8250D">
        <w:rPr>
          <w:b/>
        </w:rPr>
        <w:t xml:space="preserve"> on Civil and Political Rights</w:t>
      </w:r>
      <w:r w:rsidRPr="00EB6129">
        <w:rPr>
          <w:b/>
        </w:rPr>
        <w:t>.</w:t>
      </w:r>
      <w:r w:rsidRPr="009E2B8D">
        <w:rPr>
          <w:b/>
        </w:rPr>
        <w:t xml:space="preserve"> </w:t>
      </w:r>
      <w:r>
        <w:rPr>
          <w:b/>
        </w:rPr>
        <w:t>It</w:t>
      </w:r>
      <w:r w:rsidRPr="00AA2126">
        <w:rPr>
          <w:b/>
          <w:bCs/>
        </w:rPr>
        <w:t xml:space="preserve"> should ensure that law enforcement personnel receive training </w:t>
      </w:r>
      <w:r w:rsidRPr="002E4205">
        <w:rPr>
          <w:b/>
          <w:bCs/>
        </w:rPr>
        <w:t>on</w:t>
      </w:r>
      <w:r>
        <w:rPr>
          <w:b/>
          <w:bCs/>
        </w:rPr>
        <w:t xml:space="preserve"> the investigation of </w:t>
      </w:r>
      <w:r w:rsidRPr="002E4205">
        <w:rPr>
          <w:b/>
          <w:bCs/>
        </w:rPr>
        <w:t>torture and</w:t>
      </w:r>
      <w:r w:rsidRPr="00AA2126">
        <w:rPr>
          <w:b/>
          <w:bCs/>
        </w:rPr>
        <w:t xml:space="preserve"> ill-treatment by integrating the Manual on the Effective Investigation and Documentation of Torture and Other Cruel, Inhuman or Degrading Treatment or Punishment</w:t>
      </w:r>
      <w:r w:rsidR="00C83D55">
        <w:rPr>
          <w:b/>
          <w:bCs/>
        </w:rPr>
        <w:t xml:space="preserve"> of 1999 (the </w:t>
      </w:r>
      <w:r w:rsidR="00C83D55" w:rsidRPr="00AA2126">
        <w:rPr>
          <w:b/>
          <w:bCs/>
        </w:rPr>
        <w:t>Istanbul Protocol</w:t>
      </w:r>
      <w:r w:rsidRPr="00AA2126">
        <w:rPr>
          <w:b/>
          <w:bCs/>
        </w:rPr>
        <w:t>) in all training programmes for law enforcement officials.</w:t>
      </w:r>
      <w:r>
        <w:rPr>
          <w:b/>
          <w:bCs/>
        </w:rPr>
        <w:t xml:space="preserve"> The State party</w:t>
      </w:r>
      <w:r w:rsidRPr="00AA2126">
        <w:rPr>
          <w:b/>
          <w:bCs/>
        </w:rPr>
        <w:t xml:space="preserve"> should</w:t>
      </w:r>
      <w:r>
        <w:rPr>
          <w:b/>
          <w:bCs/>
        </w:rPr>
        <w:t xml:space="preserve"> </w:t>
      </w:r>
      <w:r w:rsidRPr="00AA2126">
        <w:rPr>
          <w:b/>
          <w:bCs/>
        </w:rPr>
        <w:t>ensure that allegations of torture and ill-treatment are effectively investigated</w:t>
      </w:r>
      <w:r w:rsidR="000A09E0">
        <w:rPr>
          <w:b/>
          <w:bCs/>
        </w:rPr>
        <w:t>,</w:t>
      </w:r>
      <w:r w:rsidRPr="00AA2126">
        <w:rPr>
          <w:b/>
          <w:bCs/>
        </w:rPr>
        <w:t xml:space="preserve"> alleged perpetrators are prosecuted and, if convicted, punished with appropriate sanctions, and victims are adequately compensated.</w:t>
      </w:r>
      <w:r w:rsidRPr="00FF3CE8">
        <w:rPr>
          <w:b/>
          <w:bCs/>
        </w:rPr>
        <w:t xml:space="preserve"> </w:t>
      </w:r>
    </w:p>
    <w:p w:rsidR="0035656E" w:rsidRDefault="0035656E" w:rsidP="0035656E">
      <w:pPr>
        <w:pStyle w:val="H23G"/>
      </w:pPr>
      <w:r>
        <w:tab/>
      </w:r>
      <w:r>
        <w:tab/>
        <w:t>Amnesty laws</w:t>
      </w:r>
    </w:p>
    <w:p w:rsidR="0035656E" w:rsidRPr="0036225D" w:rsidRDefault="0035656E" w:rsidP="00250CEB">
      <w:pPr>
        <w:pStyle w:val="SingleTxtG"/>
        <w:numPr>
          <w:ilvl w:val="0"/>
          <w:numId w:val="4"/>
          <w:numberingChange w:id="16" w:author="KAY-ATTIPOE" w:date="2014-04-23T11:32:00Z" w:original="%1:17:0:."/>
        </w:numPr>
        <w:tabs>
          <w:tab w:val="clear" w:pos="2835"/>
        </w:tabs>
        <w:ind w:left="1134"/>
      </w:pPr>
      <w:r w:rsidRPr="008F18E3">
        <w:t xml:space="preserve">The Committee regrets that the blanket amnesty provision contained in the 1999 </w:t>
      </w:r>
      <w:proofErr w:type="spellStart"/>
      <w:r w:rsidRPr="008F18E3">
        <w:t>Lomé</w:t>
      </w:r>
      <w:proofErr w:type="spellEnd"/>
      <w:r w:rsidRPr="008F18E3">
        <w:t xml:space="preserve"> Peace Accord continue to impede the investigation of grave human rights violations that occurred in the past. The Committee also notes with concern</w:t>
      </w:r>
      <w:r w:rsidRPr="00C16813">
        <w:t xml:space="preserve"> the recent case of Ibrahim </w:t>
      </w:r>
      <w:proofErr w:type="spellStart"/>
      <w:r w:rsidRPr="00C16813">
        <w:t>Baldeh</w:t>
      </w:r>
      <w:proofErr w:type="spellEnd"/>
      <w:r w:rsidRPr="00C16813">
        <w:t xml:space="preserve"> Bah, a Senegalese national, who was facing private criminal prosecution in </w:t>
      </w:r>
      <w:smartTag w:uri="urn:schemas-microsoft-com:office:smarttags" w:element="place">
        <w:smartTag w:uri="urn:schemas-microsoft-com:office:smarttags" w:element="country-region">
          <w:r w:rsidRPr="00C16813">
            <w:t>Sierra Leone</w:t>
          </w:r>
        </w:smartTag>
      </w:smartTag>
      <w:r w:rsidRPr="0036225D">
        <w:t xml:space="preserve">, including for charges of torture, and </w:t>
      </w:r>
      <w:r w:rsidR="000A09E0">
        <w:t xml:space="preserve">who </w:t>
      </w:r>
      <w:r w:rsidRPr="0036225D">
        <w:t>was controversially expelled from the country by a presidential order before he could be brought before the court (arts. 2</w:t>
      </w:r>
      <w:r>
        <w:t xml:space="preserve">, </w:t>
      </w:r>
      <w:r w:rsidRPr="0036225D">
        <w:t>6 and</w:t>
      </w:r>
      <w:r w:rsidR="00250CEB">
        <w:t> </w:t>
      </w:r>
      <w:r w:rsidRPr="0036225D">
        <w:t>7).</w:t>
      </w:r>
    </w:p>
    <w:p w:rsidR="0035656E" w:rsidRDefault="0035656E" w:rsidP="0035656E">
      <w:pPr>
        <w:pStyle w:val="SingleTxtG"/>
        <w:rPr>
          <w:b/>
        </w:rPr>
      </w:pPr>
      <w:r>
        <w:rPr>
          <w:b/>
        </w:rPr>
        <w:t>The State party should ensure that the amnesty provision is not applied to the most serious human rights violations that amount to crimes against humanity or war crimes. It should ensure that such human rights violations are thoroughly investigated, their perpetrators held accountable and that adequate reparation is made to the victims and their families.</w:t>
      </w:r>
    </w:p>
    <w:p w:rsidR="0035656E" w:rsidRDefault="0035656E" w:rsidP="0035656E">
      <w:pPr>
        <w:pStyle w:val="H23G"/>
      </w:pPr>
      <w:r>
        <w:tab/>
      </w:r>
      <w:r>
        <w:tab/>
        <w:t>Abolition of death penalty</w:t>
      </w:r>
    </w:p>
    <w:p w:rsidR="0035656E" w:rsidRPr="00907706" w:rsidRDefault="0035656E" w:rsidP="00250CEB">
      <w:pPr>
        <w:pStyle w:val="SingleTxtG"/>
        <w:numPr>
          <w:ilvl w:val="0"/>
          <w:numId w:val="4"/>
          <w:numberingChange w:id="17" w:author="KAY-ATTIPOE" w:date="2014-04-23T11:32:00Z" w:original="%1:18:0:."/>
        </w:numPr>
        <w:tabs>
          <w:tab w:val="clear" w:pos="2835"/>
        </w:tabs>
        <w:ind w:left="1134"/>
      </w:pPr>
      <w:r w:rsidRPr="00907706">
        <w:t>While welcoming the continued moratorium on the death penalty</w:t>
      </w:r>
      <w:r w:rsidR="00FC5EBE">
        <w:t xml:space="preserve"> and the commitment expressed by the State party’s delegation to abolish it in law</w:t>
      </w:r>
      <w:r w:rsidRPr="00907706">
        <w:t xml:space="preserve">, the Committee regrets the slow progress of the process to abolish the death penalty and remove </w:t>
      </w:r>
      <w:r w:rsidR="000A09E0">
        <w:t>the provision</w:t>
      </w:r>
      <w:r w:rsidRPr="00907706">
        <w:t xml:space="preserve"> from the State party’s Constitution (art. 6).</w:t>
      </w:r>
    </w:p>
    <w:p w:rsidR="0035656E" w:rsidRPr="00621D22" w:rsidRDefault="0035656E" w:rsidP="0035656E">
      <w:pPr>
        <w:pStyle w:val="SingleTxtG"/>
        <w:rPr>
          <w:b/>
        </w:rPr>
      </w:pPr>
      <w:r w:rsidRPr="00621D22">
        <w:rPr>
          <w:b/>
        </w:rPr>
        <w:t xml:space="preserve">The State party should expedite its efforts to abolish the death penalty and ratify the Second Optional Protocol to the </w:t>
      </w:r>
      <w:r w:rsidR="000A09E0">
        <w:rPr>
          <w:b/>
        </w:rPr>
        <w:t xml:space="preserve">International </w:t>
      </w:r>
      <w:r w:rsidRPr="00621D22">
        <w:rPr>
          <w:b/>
        </w:rPr>
        <w:t>Covenant</w:t>
      </w:r>
      <w:r w:rsidR="000A09E0">
        <w:rPr>
          <w:b/>
        </w:rPr>
        <w:t xml:space="preserve"> on Civil and Political Rights</w:t>
      </w:r>
      <w:r w:rsidRPr="00621D22">
        <w:rPr>
          <w:b/>
        </w:rPr>
        <w:t xml:space="preserve">, aiming at </w:t>
      </w:r>
      <w:r w:rsidR="000A09E0">
        <w:rPr>
          <w:b/>
        </w:rPr>
        <w:t xml:space="preserve">the </w:t>
      </w:r>
      <w:r>
        <w:rPr>
          <w:b/>
        </w:rPr>
        <w:t>aboli</w:t>
      </w:r>
      <w:r w:rsidR="000A09E0">
        <w:rPr>
          <w:b/>
        </w:rPr>
        <w:t>tion of</w:t>
      </w:r>
      <w:r w:rsidRPr="00621D22">
        <w:rPr>
          <w:b/>
        </w:rPr>
        <w:t xml:space="preserve"> the death penalty, in line with the information provided </w:t>
      </w:r>
      <w:r w:rsidR="000A09E0">
        <w:rPr>
          <w:b/>
        </w:rPr>
        <w:t>about</w:t>
      </w:r>
      <w:r w:rsidRPr="00621D22">
        <w:rPr>
          <w:b/>
        </w:rPr>
        <w:t xml:space="preserve"> the </w:t>
      </w:r>
      <w:r>
        <w:rPr>
          <w:b/>
        </w:rPr>
        <w:t>State party</w:t>
      </w:r>
      <w:r w:rsidRPr="00621D22">
        <w:rPr>
          <w:b/>
        </w:rPr>
        <w:t>’s commitment to do so</w:t>
      </w:r>
      <w:r w:rsidR="000A09E0">
        <w:rPr>
          <w:b/>
        </w:rPr>
        <w:t>,</w:t>
      </w:r>
      <w:r w:rsidR="0005164D">
        <w:rPr>
          <w:b/>
        </w:rPr>
        <w:t xml:space="preserve"> and </w:t>
      </w:r>
      <w:r w:rsidR="000A09E0">
        <w:rPr>
          <w:b/>
        </w:rPr>
        <w:t xml:space="preserve">the occasion of </w:t>
      </w:r>
      <w:r w:rsidR="0005164D">
        <w:rPr>
          <w:b/>
        </w:rPr>
        <w:t>the 25</w:t>
      </w:r>
      <w:r w:rsidR="0005164D" w:rsidRPr="000A09E0">
        <w:rPr>
          <w:rFonts w:ascii="Times New Roman Bold" w:hAnsi="Times New Roman Bold"/>
          <w:b/>
        </w:rPr>
        <w:t>th</w:t>
      </w:r>
      <w:r w:rsidR="0005164D">
        <w:rPr>
          <w:b/>
        </w:rPr>
        <w:t xml:space="preserve"> anniversary of th</w:t>
      </w:r>
      <w:r w:rsidR="000A09E0">
        <w:rPr>
          <w:b/>
        </w:rPr>
        <w:t>e</w:t>
      </w:r>
      <w:r w:rsidR="0005164D">
        <w:rPr>
          <w:b/>
        </w:rPr>
        <w:t xml:space="preserve"> Protocol. </w:t>
      </w:r>
    </w:p>
    <w:p w:rsidR="0035656E" w:rsidRPr="0036225D" w:rsidRDefault="0035656E" w:rsidP="0035656E">
      <w:pPr>
        <w:pStyle w:val="H23G"/>
      </w:pPr>
      <w:r>
        <w:tab/>
      </w:r>
      <w:r>
        <w:tab/>
      </w:r>
      <w:r w:rsidRPr="0036225D">
        <w:t xml:space="preserve">Corporal punishment </w:t>
      </w:r>
    </w:p>
    <w:p w:rsidR="0035656E" w:rsidRDefault="0035656E" w:rsidP="00250CEB">
      <w:pPr>
        <w:pStyle w:val="SingleTxtG"/>
        <w:numPr>
          <w:ilvl w:val="0"/>
          <w:numId w:val="4"/>
          <w:numberingChange w:id="18" w:author="KAY-ATTIPOE" w:date="2014-04-23T11:32:00Z" w:original="%1:19:0:."/>
        </w:numPr>
        <w:tabs>
          <w:tab w:val="clear" w:pos="2835"/>
        </w:tabs>
        <w:ind w:left="1134"/>
      </w:pPr>
      <w:r w:rsidRPr="00FE2EA2">
        <w:t xml:space="preserve">While taking note of the fact that the </w:t>
      </w:r>
      <w:r w:rsidRPr="00FE2EA2">
        <w:rPr>
          <w:lang w:eastAsia="en-GB"/>
        </w:rPr>
        <w:t>Child Rights Act (2007)</w:t>
      </w:r>
      <w:r w:rsidRPr="00FE2EA2">
        <w:t xml:space="preserve"> criminalizes and punishes torture and ill-treatment of children, the Committee expresses concern about the continu</w:t>
      </w:r>
      <w:r>
        <w:t>ing</w:t>
      </w:r>
      <w:r w:rsidRPr="00FE2EA2">
        <w:t xml:space="preserve"> practice of corporal punishment in all settings</w:t>
      </w:r>
      <w:r w:rsidR="000A09E0">
        <w:t>,</w:t>
      </w:r>
      <w:r w:rsidRPr="00FE2EA2">
        <w:t xml:space="preserve"> and that it is not </w:t>
      </w:r>
      <w:r>
        <w:t xml:space="preserve">explicitly </w:t>
      </w:r>
      <w:r w:rsidRPr="00FE2EA2">
        <w:t>prohibited by law (arts. 7 and 24).</w:t>
      </w:r>
    </w:p>
    <w:p w:rsidR="0035656E" w:rsidRDefault="0035656E" w:rsidP="0035656E">
      <w:pPr>
        <w:pStyle w:val="SingleTxtG"/>
        <w:rPr>
          <w:b/>
        </w:rPr>
      </w:pPr>
      <w:r w:rsidRPr="008E463D">
        <w:rPr>
          <w:b/>
        </w:rPr>
        <w:t>The State party should take practical steps</w:t>
      </w:r>
      <w:r w:rsidR="001C79BD">
        <w:rPr>
          <w:b/>
        </w:rPr>
        <w:t xml:space="preserve">, including through legislative measures </w:t>
      </w:r>
      <w:r w:rsidR="003A233A">
        <w:rPr>
          <w:b/>
        </w:rPr>
        <w:t>where</w:t>
      </w:r>
      <w:r w:rsidR="001C79BD">
        <w:rPr>
          <w:b/>
        </w:rPr>
        <w:t xml:space="preserve"> appropriate, </w:t>
      </w:r>
      <w:r w:rsidRPr="008E463D">
        <w:rPr>
          <w:b/>
        </w:rPr>
        <w:t>to</w:t>
      </w:r>
      <w:r>
        <w:rPr>
          <w:b/>
        </w:rPr>
        <w:t xml:space="preserve"> </w:t>
      </w:r>
      <w:r w:rsidRPr="008E463D">
        <w:rPr>
          <w:b/>
        </w:rPr>
        <w:t>put an end to corporal punishment in all settings. It should encourage non-violent forms of discipline as alternatives to corporal punishment</w:t>
      </w:r>
      <w:r>
        <w:rPr>
          <w:b/>
        </w:rPr>
        <w:t>,</w:t>
      </w:r>
      <w:r w:rsidRPr="008E463D">
        <w:rPr>
          <w:b/>
        </w:rPr>
        <w:t xml:space="preserve"> and should conduct public information campaigns to raise awareness about its harmful effects.</w:t>
      </w:r>
      <w:r>
        <w:rPr>
          <w:b/>
        </w:rPr>
        <w:t xml:space="preserve"> </w:t>
      </w:r>
    </w:p>
    <w:p w:rsidR="0035656E" w:rsidRDefault="0035656E" w:rsidP="0035656E">
      <w:pPr>
        <w:pStyle w:val="H23G"/>
      </w:pPr>
      <w:r>
        <w:tab/>
      </w:r>
      <w:r>
        <w:tab/>
      </w:r>
      <w:r w:rsidRPr="007B291E">
        <w:t xml:space="preserve">Pretrial and arbitrary detention </w:t>
      </w:r>
    </w:p>
    <w:p w:rsidR="0035656E" w:rsidRDefault="0035656E" w:rsidP="00250CEB">
      <w:pPr>
        <w:pStyle w:val="SingleTxtG"/>
        <w:numPr>
          <w:ilvl w:val="0"/>
          <w:numId w:val="4"/>
          <w:numberingChange w:id="19" w:author="KAY-ATTIPOE" w:date="2014-04-23T11:32:00Z" w:original="%1:20:0:."/>
        </w:numPr>
        <w:tabs>
          <w:tab w:val="clear" w:pos="2835"/>
        </w:tabs>
        <w:ind w:left="1134"/>
      </w:pPr>
      <w:r>
        <w:t>While acknowledging progress made, the Committee expresses concern at reports of arbitrary detention, lengthy pretrial detention</w:t>
      </w:r>
      <w:r w:rsidR="0052588B">
        <w:t xml:space="preserve"> (including detention during trial)</w:t>
      </w:r>
      <w:r w:rsidRPr="008225B0">
        <w:t xml:space="preserve"> and the </w:t>
      </w:r>
      <w:r w:rsidR="0052588B">
        <w:t>unpredictable and</w:t>
      </w:r>
      <w:r w:rsidR="000A09E0">
        <w:t>,</w:t>
      </w:r>
      <w:r w:rsidR="0052588B">
        <w:t xml:space="preserve"> at times, overly restrictive </w:t>
      </w:r>
      <w:r w:rsidR="0052588B" w:rsidRPr="000A09E0">
        <w:t>exercise</w:t>
      </w:r>
      <w:r w:rsidR="000A09E0">
        <w:t xml:space="preserve"> of </w:t>
      </w:r>
      <w:r w:rsidRPr="008225B0">
        <w:t>power over the granting of bail.</w:t>
      </w:r>
      <w:r>
        <w:t xml:space="preserve"> The Committee is concerned about the high number of persons held in pretrial detention, including juveniles, and the fact that pretrial detainees are not separated from convicted prisoners (arts. 9, 10 and 14). </w:t>
      </w:r>
    </w:p>
    <w:p w:rsidR="0035656E" w:rsidRPr="00ED681A" w:rsidRDefault="0035656E" w:rsidP="0035656E">
      <w:pPr>
        <w:pStyle w:val="SingleTxtG"/>
        <w:rPr>
          <w:b/>
        </w:rPr>
      </w:pPr>
      <w:r>
        <w:rPr>
          <w:b/>
        </w:rPr>
        <w:t xml:space="preserve">The State party should take appropriate measures to ensure that no one under its jurisdiction is subject to arbitrary arrest or detention and that detained persons enjoy all legal guarantees, in compliance with articles 9 and 14 </w:t>
      </w:r>
      <w:r w:rsidRPr="00ED681A">
        <w:rPr>
          <w:b/>
        </w:rPr>
        <w:t>of the Covenant. The State party should also encourage the implementation of alternatives to detention by courts</w:t>
      </w:r>
      <w:r w:rsidR="000A09E0">
        <w:rPr>
          <w:b/>
        </w:rPr>
        <w:t>,</w:t>
      </w:r>
      <w:r w:rsidRPr="00ED681A">
        <w:rPr>
          <w:b/>
        </w:rPr>
        <w:t xml:space="preserve"> taking into account the United Nations Standard Minimum Rules for Non-</w:t>
      </w:r>
      <w:r w:rsidR="000A09E0">
        <w:rPr>
          <w:b/>
        </w:rPr>
        <w:t>c</w:t>
      </w:r>
      <w:r w:rsidRPr="00ED681A">
        <w:rPr>
          <w:b/>
        </w:rPr>
        <w:t xml:space="preserve">ustodial </w:t>
      </w:r>
      <w:r w:rsidR="000A09E0" w:rsidRPr="00ED681A">
        <w:rPr>
          <w:b/>
        </w:rPr>
        <w:t>Measures</w:t>
      </w:r>
      <w:r w:rsidR="000A09E0">
        <w:rPr>
          <w:b/>
        </w:rPr>
        <w:t xml:space="preserve"> (the Tokyo Rules), </w:t>
      </w:r>
      <w:r w:rsidRPr="00ED681A">
        <w:rPr>
          <w:b/>
        </w:rPr>
        <w:t xml:space="preserve">and take urgent measures regarding the situation of inmates who have </w:t>
      </w:r>
      <w:r w:rsidRPr="00E443C9">
        <w:rPr>
          <w:b/>
        </w:rPr>
        <w:t>been in pretrial detention for many years. It should further take appropriate action to ensure that convicted persons are not detained</w:t>
      </w:r>
      <w:r w:rsidRPr="00ED681A">
        <w:rPr>
          <w:b/>
        </w:rPr>
        <w:t xml:space="preserve"> together with pre</w:t>
      </w:r>
      <w:r w:rsidR="006657FE">
        <w:rPr>
          <w:b/>
        </w:rPr>
        <w:t>trial detainees.</w:t>
      </w:r>
    </w:p>
    <w:p w:rsidR="0035656E" w:rsidRDefault="0035656E" w:rsidP="0035656E">
      <w:pPr>
        <w:pStyle w:val="H23G"/>
      </w:pPr>
      <w:r>
        <w:tab/>
      </w:r>
      <w:r>
        <w:tab/>
        <w:t>Conditions of detention</w:t>
      </w:r>
    </w:p>
    <w:p w:rsidR="0035656E" w:rsidRDefault="0035656E" w:rsidP="00250CEB">
      <w:pPr>
        <w:pStyle w:val="SingleTxtG"/>
        <w:numPr>
          <w:ilvl w:val="0"/>
          <w:numId w:val="4"/>
          <w:numberingChange w:id="20" w:author="KAY-ATTIPOE" w:date="2014-04-23T11:32:00Z" w:original="%1:21:0:."/>
        </w:numPr>
        <w:tabs>
          <w:tab w:val="clear" w:pos="2835"/>
        </w:tabs>
        <w:ind w:left="1134"/>
      </w:pPr>
      <w:r w:rsidRPr="00012B9A">
        <w:t xml:space="preserve">While welcoming the steps taken by the State party to improve conditions in prisons, including juvenile detention centres, </w:t>
      </w:r>
      <w:r>
        <w:t>t</w:t>
      </w:r>
      <w:r w:rsidRPr="00012B9A">
        <w:t xml:space="preserve">he Committee is concerned </w:t>
      </w:r>
      <w:r>
        <w:t xml:space="preserve">about overcrowding </w:t>
      </w:r>
      <w:r w:rsidR="00934C9B">
        <w:t>in</w:t>
      </w:r>
      <w:r>
        <w:t xml:space="preserve"> detention centres, the poor conditions </w:t>
      </w:r>
      <w:r w:rsidR="00934C9B">
        <w:t>in</w:t>
      </w:r>
      <w:r>
        <w:t xml:space="preserve"> detention centres, harsh disciplinary measures and the absence of oversight mechanisms to monitor places of detention. The Committee is also concerned at reports that women incarcerated in detention facilities have been attacked by male guards, </w:t>
      </w:r>
      <w:r w:rsidRPr="00506769">
        <w:rPr>
          <w:color w:val="000000"/>
          <w:lang w:eastAsia="en-GB"/>
        </w:rPr>
        <w:t>the lack of separation between juvenile and adult offenders</w:t>
      </w:r>
      <w:r>
        <w:rPr>
          <w:color w:val="000000"/>
          <w:lang w:eastAsia="en-GB"/>
        </w:rPr>
        <w:t xml:space="preserve"> and</w:t>
      </w:r>
      <w:r w:rsidRPr="00506769">
        <w:rPr>
          <w:color w:val="000000"/>
          <w:lang w:eastAsia="en-GB"/>
        </w:rPr>
        <w:t xml:space="preserve"> the</w:t>
      </w:r>
      <w:r>
        <w:rPr>
          <w:color w:val="000000"/>
          <w:lang w:eastAsia="en-GB"/>
        </w:rPr>
        <w:t xml:space="preserve"> possibility of life imprisonme</w:t>
      </w:r>
      <w:r w:rsidRPr="00506769">
        <w:rPr>
          <w:color w:val="000000"/>
          <w:lang w:eastAsia="en-GB"/>
        </w:rPr>
        <w:t>nt</w:t>
      </w:r>
      <w:r>
        <w:rPr>
          <w:color w:val="000000"/>
          <w:lang w:eastAsia="en-GB"/>
        </w:rPr>
        <w:t xml:space="preserve"> for juveniles (arts. 9, 10 and 14). </w:t>
      </w:r>
    </w:p>
    <w:p w:rsidR="0052588B" w:rsidRDefault="0035656E" w:rsidP="0035656E">
      <w:pPr>
        <w:pStyle w:val="SingleTxtG"/>
        <w:rPr>
          <w:b/>
          <w:bCs/>
          <w:lang w:val="en-US"/>
        </w:rPr>
      </w:pPr>
      <w:r w:rsidRPr="00E62A3A">
        <w:rPr>
          <w:b/>
        </w:rPr>
        <w:t xml:space="preserve">The State party should strengthen its efforts to improve the living conditions and treatment of detainees and address overcrowding </w:t>
      </w:r>
      <w:r w:rsidR="00934C9B">
        <w:rPr>
          <w:b/>
        </w:rPr>
        <w:t xml:space="preserve">in detention centres </w:t>
      </w:r>
      <w:r w:rsidRPr="00E62A3A">
        <w:rPr>
          <w:b/>
        </w:rPr>
        <w:t xml:space="preserve">in line with the Standard Minimum Rules for the Treatment of Prisoners. </w:t>
      </w:r>
      <w:r>
        <w:rPr>
          <w:b/>
        </w:rPr>
        <w:t>It should develop alternative</w:t>
      </w:r>
      <w:r w:rsidR="00934C9B">
        <w:rPr>
          <w:b/>
        </w:rPr>
        <w:t>s</w:t>
      </w:r>
      <w:r>
        <w:rPr>
          <w:b/>
        </w:rPr>
        <w:t xml:space="preserve"> to incarceration for those charged and convicted for light offences and encourage the release of suspects on bail. </w:t>
      </w:r>
      <w:r w:rsidRPr="00E62A3A">
        <w:rPr>
          <w:b/>
        </w:rPr>
        <w:t>The State party should</w:t>
      </w:r>
      <w:r>
        <w:rPr>
          <w:b/>
        </w:rPr>
        <w:t xml:space="preserve"> also pass a new Correctional Bill, prohibiting harsh disciplinary measures such as lashes, food manipulation and prolonged solitary confinement, and </w:t>
      </w:r>
      <w:r w:rsidRPr="00E62A3A">
        <w:rPr>
          <w:b/>
        </w:rPr>
        <w:t>establish a confidential mechanism for receiving and processing complaints lodged by detainees.</w:t>
      </w:r>
      <w:r w:rsidRPr="002B1970">
        <w:rPr>
          <w:b/>
          <w:color w:val="000000"/>
          <w:lang w:eastAsia="en-GB"/>
        </w:rPr>
        <w:t xml:space="preserve"> </w:t>
      </w:r>
      <w:r>
        <w:rPr>
          <w:b/>
          <w:color w:val="000000"/>
          <w:lang w:eastAsia="en-GB"/>
        </w:rPr>
        <w:t>The State party should e</w:t>
      </w:r>
      <w:r w:rsidRPr="001D5182">
        <w:rPr>
          <w:b/>
          <w:color w:val="000000"/>
          <w:lang w:eastAsia="en-GB"/>
        </w:rPr>
        <w:t xml:space="preserve">nsure </w:t>
      </w:r>
      <w:r>
        <w:rPr>
          <w:b/>
          <w:color w:val="000000"/>
          <w:lang w:eastAsia="en-GB"/>
        </w:rPr>
        <w:t xml:space="preserve">that women prisoners are protected from male guards and that </w:t>
      </w:r>
      <w:r w:rsidRPr="001D5182">
        <w:rPr>
          <w:b/>
          <w:color w:val="000000"/>
          <w:lang w:eastAsia="en-GB"/>
        </w:rPr>
        <w:t>the principle of separation of juvenile</w:t>
      </w:r>
      <w:r>
        <w:rPr>
          <w:b/>
          <w:color w:val="000000"/>
          <w:lang w:eastAsia="en-GB"/>
        </w:rPr>
        <w:t xml:space="preserve"> </w:t>
      </w:r>
      <w:r w:rsidRPr="001D5182">
        <w:rPr>
          <w:b/>
          <w:color w:val="000000"/>
          <w:lang w:eastAsia="en-GB"/>
        </w:rPr>
        <w:t>detainees from adults in detention facilities</w:t>
      </w:r>
      <w:r w:rsidRPr="002B1970">
        <w:rPr>
          <w:b/>
          <w:color w:val="000000"/>
          <w:lang w:eastAsia="en-GB"/>
        </w:rPr>
        <w:t xml:space="preserve"> </w:t>
      </w:r>
      <w:r w:rsidRPr="001D5182">
        <w:rPr>
          <w:b/>
          <w:color w:val="000000"/>
          <w:lang w:eastAsia="en-GB"/>
        </w:rPr>
        <w:t>is respected</w:t>
      </w:r>
      <w:r>
        <w:rPr>
          <w:b/>
          <w:color w:val="000000"/>
          <w:lang w:eastAsia="en-GB"/>
        </w:rPr>
        <w:t xml:space="preserve">. It should also ensure that no juvenile </w:t>
      </w:r>
      <w:r>
        <w:rPr>
          <w:b/>
          <w:bCs/>
          <w:lang w:val="en-US"/>
        </w:rPr>
        <w:t>is sentenced to life imprisonment without parole, and adopt all appropriate measures to review the situation of persons already serving such sentences.</w:t>
      </w:r>
    </w:p>
    <w:p w:rsidR="0052588B" w:rsidRPr="0052588B" w:rsidRDefault="00250CEB" w:rsidP="00250CEB">
      <w:pPr>
        <w:pStyle w:val="H23G"/>
        <w:rPr>
          <w:lang w:eastAsia="en-GB"/>
        </w:rPr>
      </w:pPr>
      <w:r>
        <w:rPr>
          <w:lang w:eastAsia="en-GB"/>
        </w:rPr>
        <w:tab/>
      </w:r>
      <w:r>
        <w:rPr>
          <w:lang w:eastAsia="en-GB"/>
        </w:rPr>
        <w:tab/>
      </w:r>
      <w:r w:rsidR="00934C9B">
        <w:rPr>
          <w:lang w:eastAsia="en-GB"/>
        </w:rPr>
        <w:t>Reform of the j</w:t>
      </w:r>
      <w:r w:rsidR="0052588B" w:rsidRPr="0052588B">
        <w:rPr>
          <w:lang w:eastAsia="en-GB"/>
        </w:rPr>
        <w:t xml:space="preserve">ustice </w:t>
      </w:r>
      <w:r w:rsidR="00934C9B">
        <w:rPr>
          <w:lang w:eastAsia="en-GB"/>
        </w:rPr>
        <w:t>s</w:t>
      </w:r>
      <w:r w:rsidR="0052588B" w:rsidRPr="0052588B">
        <w:rPr>
          <w:lang w:eastAsia="en-GB"/>
        </w:rPr>
        <w:t>ector</w:t>
      </w:r>
    </w:p>
    <w:p w:rsidR="0052588B" w:rsidRPr="0052588B" w:rsidRDefault="0052588B" w:rsidP="00250CEB">
      <w:pPr>
        <w:pStyle w:val="SingleTxtG"/>
        <w:numPr>
          <w:ilvl w:val="0"/>
          <w:numId w:val="4"/>
          <w:numberingChange w:id="21" w:author="KAY-ATTIPOE" w:date="2014-04-23T11:32:00Z" w:original="%1:22:0:."/>
        </w:numPr>
        <w:tabs>
          <w:tab w:val="clear" w:pos="2835"/>
        </w:tabs>
        <w:ind w:left="1134"/>
        <w:rPr>
          <w:color w:val="000000"/>
          <w:lang w:eastAsia="en-GB"/>
        </w:rPr>
      </w:pPr>
      <w:r>
        <w:rPr>
          <w:color w:val="000000"/>
          <w:lang w:eastAsia="en-GB"/>
        </w:rPr>
        <w:t xml:space="preserve">While welcoming the State party’s </w:t>
      </w:r>
      <w:r w:rsidRPr="0052588B">
        <w:rPr>
          <w:color w:val="000000"/>
          <w:lang w:eastAsia="en-GB"/>
        </w:rPr>
        <w:t xml:space="preserve">efforts to ensure access to justice within the State party, the Committee is concerned that limitations still exist. The Committee is particularly concerned </w:t>
      </w:r>
      <w:r w:rsidR="00934C9B">
        <w:rPr>
          <w:color w:val="000000"/>
          <w:lang w:eastAsia="en-GB"/>
        </w:rPr>
        <w:t>about</w:t>
      </w:r>
      <w:r w:rsidRPr="0052588B">
        <w:rPr>
          <w:color w:val="000000"/>
          <w:lang w:eastAsia="en-GB"/>
        </w:rPr>
        <w:t xml:space="preserve"> the lack of judicial independence, allegations of corruption, lengthy delays in court hearings and lack of due process guarantees (arts. 2 and 14)</w:t>
      </w:r>
      <w:r>
        <w:rPr>
          <w:color w:val="000000"/>
          <w:lang w:eastAsia="en-GB"/>
        </w:rPr>
        <w:t>.</w:t>
      </w:r>
      <w:r w:rsidRPr="0052588B">
        <w:rPr>
          <w:color w:val="000000"/>
          <w:lang w:eastAsia="en-GB"/>
        </w:rPr>
        <w:t xml:space="preserve"> </w:t>
      </w:r>
    </w:p>
    <w:p w:rsidR="0052588B" w:rsidRDefault="0052588B" w:rsidP="00250CEB">
      <w:pPr>
        <w:pStyle w:val="SingleTxtG"/>
        <w:rPr>
          <w:b/>
          <w:bCs/>
          <w:color w:val="000000"/>
          <w:lang w:eastAsia="en-GB"/>
        </w:rPr>
      </w:pPr>
      <w:r w:rsidRPr="0052588B">
        <w:rPr>
          <w:b/>
          <w:bCs/>
          <w:color w:val="000000"/>
          <w:lang w:eastAsia="en-GB"/>
        </w:rPr>
        <w:t>The State party should strengthen its efforts to enhance judicial capacity, including removal of all unnecessary obstacles, in order to guarantee equal access to justice. It should also take all necessary measures to improve access to legal representation and strengthen the independence of the judiciary.</w:t>
      </w:r>
    </w:p>
    <w:p w:rsidR="0035656E" w:rsidRDefault="00250CEB" w:rsidP="00250CEB">
      <w:pPr>
        <w:pStyle w:val="H23G"/>
        <w:rPr>
          <w:lang w:eastAsia="en-GB"/>
        </w:rPr>
      </w:pPr>
      <w:r>
        <w:rPr>
          <w:lang w:eastAsia="en-GB"/>
        </w:rPr>
        <w:tab/>
      </w:r>
      <w:r>
        <w:rPr>
          <w:lang w:eastAsia="en-GB"/>
        </w:rPr>
        <w:tab/>
      </w:r>
      <w:r w:rsidR="0035656E" w:rsidRPr="0014137F">
        <w:rPr>
          <w:lang w:eastAsia="en-GB"/>
        </w:rPr>
        <w:t>Refugees</w:t>
      </w:r>
    </w:p>
    <w:p w:rsidR="0035656E" w:rsidRPr="00160216" w:rsidRDefault="0035656E" w:rsidP="00250CEB">
      <w:pPr>
        <w:pStyle w:val="SingleTxtG"/>
        <w:numPr>
          <w:ilvl w:val="0"/>
          <w:numId w:val="4"/>
          <w:numberingChange w:id="22" w:author="KAY-ATTIPOE" w:date="2014-04-23T11:32:00Z" w:original="%1:23:0:."/>
        </w:numPr>
        <w:tabs>
          <w:tab w:val="clear" w:pos="2835"/>
        </w:tabs>
        <w:ind w:left="1134"/>
        <w:rPr>
          <w:lang w:val="en-US"/>
        </w:rPr>
      </w:pPr>
      <w:r w:rsidRPr="00160216">
        <w:rPr>
          <w:color w:val="000000"/>
          <w:lang w:eastAsia="en-GB"/>
        </w:rPr>
        <w:t xml:space="preserve">The Committee welcomes the establishment of the Refugees Protection Act 2007 that </w:t>
      </w:r>
      <w:r w:rsidR="00934C9B">
        <w:rPr>
          <w:color w:val="000000"/>
          <w:lang w:eastAsia="en-GB"/>
        </w:rPr>
        <w:t xml:space="preserve">has </w:t>
      </w:r>
      <w:r w:rsidRPr="00160216">
        <w:rPr>
          <w:color w:val="000000"/>
          <w:lang w:eastAsia="en-GB"/>
        </w:rPr>
        <w:t>designated three administrative bodies to address refugee issues; however, the Committee is concerned that the lack of funding to these bodies will result in</w:t>
      </w:r>
      <w:r w:rsidR="00934C9B">
        <w:rPr>
          <w:color w:val="000000"/>
          <w:lang w:eastAsia="en-GB"/>
        </w:rPr>
        <w:t xml:space="preserve"> it being</w:t>
      </w:r>
      <w:r w:rsidRPr="00160216">
        <w:rPr>
          <w:color w:val="000000"/>
          <w:lang w:eastAsia="en-GB"/>
        </w:rPr>
        <w:t xml:space="preserve"> an un</w:t>
      </w:r>
      <w:r w:rsidR="00934C9B">
        <w:rPr>
          <w:color w:val="000000"/>
          <w:lang w:eastAsia="en-GB"/>
        </w:rPr>
        <w:t>sustainable</w:t>
      </w:r>
      <w:r w:rsidRPr="00160216">
        <w:rPr>
          <w:color w:val="000000"/>
          <w:lang w:eastAsia="en-GB"/>
        </w:rPr>
        <w:t xml:space="preserve"> solution</w:t>
      </w:r>
      <w:r w:rsidR="0052588B">
        <w:rPr>
          <w:color w:val="000000"/>
          <w:lang w:eastAsia="en-GB"/>
        </w:rPr>
        <w:t xml:space="preserve"> (arts. 7 and 15)</w:t>
      </w:r>
      <w:r w:rsidRPr="00160216">
        <w:rPr>
          <w:color w:val="000000"/>
          <w:lang w:eastAsia="en-GB"/>
        </w:rPr>
        <w:t xml:space="preserve">. </w:t>
      </w:r>
    </w:p>
    <w:p w:rsidR="0035656E" w:rsidRPr="0014137F" w:rsidRDefault="0035656E" w:rsidP="0035656E">
      <w:pPr>
        <w:pStyle w:val="SingleTxtG"/>
        <w:rPr>
          <w:b/>
          <w:color w:val="000000"/>
          <w:lang w:eastAsia="en-GB"/>
        </w:rPr>
      </w:pPr>
      <w:r w:rsidRPr="0014137F">
        <w:rPr>
          <w:b/>
          <w:color w:val="000000"/>
          <w:lang w:eastAsia="en-GB"/>
        </w:rPr>
        <w:t xml:space="preserve">The State party should ensure </w:t>
      </w:r>
      <w:r w:rsidR="00934C9B">
        <w:rPr>
          <w:b/>
          <w:color w:val="000000"/>
          <w:lang w:eastAsia="en-GB"/>
        </w:rPr>
        <w:t xml:space="preserve">that </w:t>
      </w:r>
      <w:r w:rsidRPr="0014137F">
        <w:rPr>
          <w:b/>
          <w:color w:val="000000"/>
          <w:lang w:eastAsia="en-GB"/>
        </w:rPr>
        <w:t>the three administrative bodies</w:t>
      </w:r>
      <w:r w:rsidR="00934C9B">
        <w:rPr>
          <w:b/>
          <w:color w:val="000000"/>
          <w:lang w:eastAsia="en-GB"/>
        </w:rPr>
        <w:t>, namely,</w:t>
      </w:r>
      <w:r w:rsidRPr="0014137F">
        <w:rPr>
          <w:b/>
          <w:color w:val="000000"/>
          <w:lang w:eastAsia="en-GB"/>
        </w:rPr>
        <w:t xml:space="preserve"> the National Refugee Authority and its Secretariat, the National Commission for Social Action and the Refugee Status Appeal Board, receive adequate funding to support their sustainability.</w:t>
      </w:r>
    </w:p>
    <w:p w:rsidR="0035656E" w:rsidRDefault="0035656E" w:rsidP="0035656E">
      <w:pPr>
        <w:pStyle w:val="H23G"/>
      </w:pPr>
      <w:r>
        <w:tab/>
      </w:r>
      <w:r>
        <w:tab/>
        <w:t xml:space="preserve">Trafficking </w:t>
      </w:r>
    </w:p>
    <w:p w:rsidR="0035656E" w:rsidRDefault="0035656E" w:rsidP="00250CEB">
      <w:pPr>
        <w:pStyle w:val="SingleTxtG"/>
        <w:numPr>
          <w:ilvl w:val="0"/>
          <w:numId w:val="4"/>
          <w:numberingChange w:id="23" w:author="KAY-ATTIPOE" w:date="2014-04-23T11:32:00Z" w:original="%1:24:0:."/>
        </w:numPr>
        <w:tabs>
          <w:tab w:val="clear" w:pos="2835"/>
        </w:tabs>
        <w:ind w:left="1134"/>
      </w:pPr>
      <w:r w:rsidRPr="00F44DF6">
        <w:t xml:space="preserve">While </w:t>
      </w:r>
      <w:r>
        <w:t xml:space="preserve">appreciating the State party’s efforts to enforce the Anti-Human Trafficking Act (2005) and the establishment of the Office of National Security to coordinate the monitoring of human trafficking, the Committee is concerned about the persistence of the phenomenon of trafficking in persons in </w:t>
      </w:r>
      <w:smartTag w:uri="urn:schemas-microsoft-com:office:smarttags" w:element="country-region">
        <w:smartTag w:uri="urn:schemas-microsoft-com:office:smarttags" w:element="place">
          <w:r>
            <w:t>Sierra Leone</w:t>
          </w:r>
        </w:smartTag>
      </w:smartTag>
      <w:r>
        <w:t xml:space="preserve">. The Committee regrets the lack of specific information on prosecutions and convictions of traffickers (art. 8) </w:t>
      </w:r>
    </w:p>
    <w:p w:rsidR="0035656E" w:rsidRPr="00A21659" w:rsidRDefault="0035656E" w:rsidP="0035656E">
      <w:pPr>
        <w:pStyle w:val="SingleTxtG"/>
        <w:rPr>
          <w:b/>
        </w:rPr>
      </w:pPr>
      <w:r w:rsidRPr="00A21659">
        <w:rPr>
          <w:b/>
        </w:rPr>
        <w:t xml:space="preserve">The State party should continue its efforts to provide training to law enforcement officials and border patrol, including personnel of the Office of National Security, </w:t>
      </w:r>
      <w:r w:rsidR="00533576">
        <w:rPr>
          <w:b/>
        </w:rPr>
        <w:t xml:space="preserve">on </w:t>
      </w:r>
      <w:r w:rsidRPr="00A21659">
        <w:rPr>
          <w:b/>
        </w:rPr>
        <w:t xml:space="preserve"> apply</w:t>
      </w:r>
      <w:r w:rsidR="00533576">
        <w:rPr>
          <w:b/>
        </w:rPr>
        <w:t>ing</w:t>
      </w:r>
      <w:r w:rsidRPr="00A21659">
        <w:rPr>
          <w:b/>
        </w:rPr>
        <w:t xml:space="preserve"> the Anti-Human Trafficking Act. It should increase efforts aimed at ensuring that all perpetrators of human trafficking are brought to justice and </w:t>
      </w:r>
      <w:r w:rsidR="00533576">
        <w:rPr>
          <w:b/>
        </w:rPr>
        <w:t xml:space="preserve">that </w:t>
      </w:r>
      <w:r w:rsidRPr="00A21659">
        <w:rPr>
          <w:b/>
        </w:rPr>
        <w:t xml:space="preserve">victims </w:t>
      </w:r>
      <w:r w:rsidR="00533576">
        <w:rPr>
          <w:b/>
        </w:rPr>
        <w:t xml:space="preserve">are </w:t>
      </w:r>
      <w:r w:rsidRPr="00A21659">
        <w:rPr>
          <w:b/>
        </w:rPr>
        <w:t xml:space="preserve">adequately compensated. </w:t>
      </w:r>
    </w:p>
    <w:p w:rsidR="0035656E" w:rsidRPr="00A21659" w:rsidRDefault="0035656E" w:rsidP="00250CEB">
      <w:pPr>
        <w:pStyle w:val="SingleTxtG"/>
        <w:numPr>
          <w:ilvl w:val="0"/>
          <w:numId w:val="4"/>
          <w:numberingChange w:id="24" w:author="KAY-ATTIPOE" w:date="2014-04-23T11:32:00Z" w:original="%1:25:0:."/>
        </w:numPr>
        <w:tabs>
          <w:tab w:val="clear" w:pos="2835"/>
        </w:tabs>
        <w:ind w:left="1134"/>
      </w:pPr>
      <w:r w:rsidRPr="00A21659">
        <w:rPr>
          <w:rFonts w:eastAsia="SimSun"/>
          <w:lang w:val="en-US" w:eastAsia="zh-CN"/>
        </w:rPr>
        <w:t xml:space="preserve">The State party should widely disseminate the Covenant, the text of </w:t>
      </w:r>
      <w:r w:rsidR="00B512F9">
        <w:rPr>
          <w:rFonts w:eastAsia="SimSun"/>
          <w:lang w:val="en-US" w:eastAsia="zh-CN"/>
        </w:rPr>
        <w:t>its</w:t>
      </w:r>
      <w:r w:rsidR="00B512F9" w:rsidRPr="00A21659">
        <w:rPr>
          <w:rFonts w:eastAsia="SimSun"/>
          <w:lang w:val="en-US" w:eastAsia="zh-CN"/>
        </w:rPr>
        <w:t xml:space="preserve"> </w:t>
      </w:r>
      <w:r w:rsidRPr="00A21659">
        <w:rPr>
          <w:rFonts w:eastAsia="SimSun"/>
          <w:lang w:val="en-US" w:eastAsia="zh-CN"/>
        </w:rPr>
        <w:t>initial report, the written re</w:t>
      </w:r>
      <w:r w:rsidR="00B512F9">
        <w:rPr>
          <w:rFonts w:eastAsia="SimSun"/>
          <w:lang w:val="en-US" w:eastAsia="zh-CN"/>
        </w:rPr>
        <w:t>plies</w:t>
      </w:r>
      <w:r w:rsidRPr="00A21659">
        <w:rPr>
          <w:rFonts w:eastAsia="SimSun"/>
          <w:lang w:val="en-US" w:eastAsia="zh-CN"/>
        </w:rPr>
        <w:t xml:space="preserve"> to the list of issues drawn up by the Committee, and the present concluding</w:t>
      </w:r>
      <w:r w:rsidRPr="00A21659">
        <w:rPr>
          <w:bCs/>
          <w:lang w:val="en-US"/>
        </w:rPr>
        <w:t xml:space="preserve"> </w:t>
      </w:r>
      <w:r w:rsidRPr="00A21659">
        <w:rPr>
          <w:rFonts w:eastAsia="SimSun"/>
          <w:lang w:val="en-US" w:eastAsia="zh-CN"/>
        </w:rPr>
        <w:t>observations among the judicial, legislative and administrative</w:t>
      </w:r>
      <w:r w:rsidRPr="00A21659">
        <w:rPr>
          <w:bCs/>
          <w:lang w:val="en-US"/>
        </w:rPr>
        <w:t xml:space="preserve"> </w:t>
      </w:r>
      <w:r w:rsidRPr="00A21659">
        <w:rPr>
          <w:rFonts w:eastAsia="SimSun"/>
          <w:lang w:val="en-US" w:eastAsia="zh-CN"/>
        </w:rPr>
        <w:t>authorities, civil society and non-governmental organizations operating in the country, as</w:t>
      </w:r>
      <w:r w:rsidRPr="00A21659">
        <w:rPr>
          <w:bCs/>
        </w:rPr>
        <w:t xml:space="preserve"> </w:t>
      </w:r>
      <w:r w:rsidRPr="00A21659">
        <w:rPr>
          <w:rFonts w:eastAsia="SimSun"/>
          <w:lang w:val="en-US" w:eastAsia="zh-CN"/>
        </w:rPr>
        <w:t xml:space="preserve">well as the general public. </w:t>
      </w:r>
    </w:p>
    <w:p w:rsidR="0035656E" w:rsidRPr="00A21659" w:rsidRDefault="0035656E" w:rsidP="00250CEB">
      <w:pPr>
        <w:pStyle w:val="SingleTxtG"/>
        <w:numPr>
          <w:ilvl w:val="0"/>
          <w:numId w:val="4"/>
          <w:numberingChange w:id="25" w:author="KAY-ATTIPOE" w:date="2014-04-23T11:32:00Z" w:original="%1:26:0:."/>
        </w:numPr>
        <w:tabs>
          <w:tab w:val="clear" w:pos="2835"/>
        </w:tabs>
        <w:ind w:left="1134"/>
      </w:pPr>
      <w:r w:rsidRPr="00A21659">
        <w:t>In accordance with rule 71, paragraph 5, of the Committee’</w:t>
      </w:r>
      <w:r w:rsidR="00250CEB">
        <w:t xml:space="preserve">s rules of procedure, the State </w:t>
      </w:r>
      <w:r w:rsidRPr="00A21659">
        <w:t>party should provide, within one year,</w:t>
      </w:r>
      <w:r w:rsidRPr="00A21659">
        <w:rPr>
          <w:bCs/>
        </w:rPr>
        <w:t xml:space="preserve"> relevant information on its implementation of the Committee’s recommendations</w:t>
      </w:r>
      <w:r w:rsidRPr="00A21659">
        <w:t xml:space="preserve"> made in paragraphs </w:t>
      </w:r>
      <w:r w:rsidR="00E37D32">
        <w:t>14</w:t>
      </w:r>
      <w:r w:rsidRPr="00A21659">
        <w:t xml:space="preserve">, </w:t>
      </w:r>
      <w:r w:rsidR="00E37D32">
        <w:t xml:space="preserve">16 </w:t>
      </w:r>
      <w:r>
        <w:t xml:space="preserve">and </w:t>
      </w:r>
      <w:r w:rsidR="00E37D32">
        <w:t>20</w:t>
      </w:r>
      <w:r w:rsidR="00E37D32" w:rsidRPr="00A21659">
        <w:t xml:space="preserve"> </w:t>
      </w:r>
      <w:r w:rsidRPr="00A21659">
        <w:t>above.</w:t>
      </w:r>
    </w:p>
    <w:p w:rsidR="0035656E" w:rsidRPr="00250CEB" w:rsidRDefault="0035656E" w:rsidP="00250CEB">
      <w:pPr>
        <w:pStyle w:val="SingleTxtG"/>
        <w:numPr>
          <w:ilvl w:val="0"/>
          <w:numId w:val="4"/>
          <w:numberingChange w:id="26" w:author="KAY-ATTIPOE" w:date="2014-04-23T11:32:00Z" w:original="%1:27:0:."/>
        </w:numPr>
        <w:tabs>
          <w:tab w:val="clear" w:pos="2835"/>
        </w:tabs>
        <w:ind w:left="1134"/>
      </w:pPr>
      <w:r w:rsidRPr="00A21659">
        <w:t>The Committee requests the State party</w:t>
      </w:r>
      <w:r w:rsidR="00533576">
        <w:t xml:space="preserve"> to provide</w:t>
      </w:r>
      <w:r w:rsidRPr="00A21659">
        <w:t xml:space="preserve"> in its next periodic report</w:t>
      </w:r>
      <w:r w:rsidR="00D937A1">
        <w:t>,</w:t>
      </w:r>
      <w:r w:rsidRPr="00A21659">
        <w:t xml:space="preserve"> due to be submitted on 2</w:t>
      </w:r>
      <w:r w:rsidR="0005164D">
        <w:t>8</w:t>
      </w:r>
      <w:r w:rsidRPr="00A21659">
        <w:t xml:space="preserve"> March </w:t>
      </w:r>
      <w:r w:rsidR="00E37D32" w:rsidRPr="00A21659">
        <w:t>201</w:t>
      </w:r>
      <w:r w:rsidR="00E37D32">
        <w:t>7</w:t>
      </w:r>
      <w:r w:rsidR="00D937A1">
        <w:t>,</w:t>
      </w:r>
      <w:r w:rsidRPr="00A21659">
        <w:t xml:space="preserve"> specific, up-to-date information on </w:t>
      </w:r>
      <w:r w:rsidR="00533576">
        <w:t xml:space="preserve">the implementation of </w:t>
      </w:r>
      <w:r w:rsidRPr="00A21659">
        <w:t>all its recommendations and on the Covenant as a whole</w:t>
      </w:r>
      <w:r w:rsidRPr="00A30CE1">
        <w:t>.</w:t>
      </w:r>
      <w:r w:rsidR="00533576" w:rsidRPr="00533576">
        <w:t xml:space="preserve"> </w:t>
      </w:r>
      <w:r w:rsidR="00533576" w:rsidRPr="00A21659">
        <w:t xml:space="preserve">The Committee also requests the State party, when preparing its </w:t>
      </w:r>
      <w:r w:rsidR="00533576">
        <w:t>next</w:t>
      </w:r>
      <w:r w:rsidR="00533576" w:rsidRPr="00A21659">
        <w:t xml:space="preserve"> periodic report, to broadly consult with civil society and non-governmental organizations</w:t>
      </w:r>
      <w:r w:rsidR="00533576">
        <w:t xml:space="preserve"> operating in the country</w:t>
      </w:r>
      <w:r w:rsidR="00533576" w:rsidRPr="00A21659">
        <w:t>.</w:t>
      </w:r>
    </w:p>
    <w:p w:rsidR="0035656E" w:rsidRPr="0035656E" w:rsidRDefault="0035656E" w:rsidP="0035656E">
      <w:pPr>
        <w:spacing w:before="240"/>
        <w:ind w:left="1134" w:right="1134"/>
        <w:jc w:val="center"/>
        <w:rPr>
          <w:u w:val="single"/>
        </w:rPr>
      </w:pPr>
      <w:r>
        <w:rPr>
          <w:u w:val="single"/>
        </w:rPr>
        <w:tab/>
      </w:r>
      <w:r>
        <w:rPr>
          <w:u w:val="single"/>
        </w:rPr>
        <w:tab/>
      </w:r>
      <w:r>
        <w:rPr>
          <w:u w:val="single"/>
        </w:rPr>
        <w:tab/>
      </w:r>
    </w:p>
    <w:sectPr w:rsidR="0035656E" w:rsidRPr="0035656E" w:rsidSect="0035656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33" w:rsidRDefault="00D17C33"/>
  </w:endnote>
  <w:endnote w:type="continuationSeparator" w:id="0">
    <w:p w:rsidR="00D17C33" w:rsidRDefault="00D17C33"/>
  </w:endnote>
  <w:endnote w:type="continuationNotice" w:id="1">
    <w:p w:rsidR="00D17C33" w:rsidRDefault="00D17C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33" w:rsidRPr="0035656E" w:rsidRDefault="00D17C33" w:rsidP="0035656E">
    <w:pPr>
      <w:pStyle w:val="Footer"/>
      <w:tabs>
        <w:tab w:val="right" w:pos="9638"/>
      </w:tabs>
    </w:pPr>
    <w:r w:rsidRPr="0035656E">
      <w:rPr>
        <w:b/>
        <w:sz w:val="18"/>
      </w:rPr>
      <w:fldChar w:fldCharType="begin"/>
    </w:r>
    <w:r w:rsidRPr="0035656E">
      <w:rPr>
        <w:b/>
        <w:sz w:val="18"/>
      </w:rPr>
      <w:instrText xml:space="preserve"> PAGE  \* MERGEFORMAT </w:instrText>
    </w:r>
    <w:r w:rsidRPr="0035656E">
      <w:rPr>
        <w:b/>
        <w:sz w:val="18"/>
      </w:rPr>
      <w:fldChar w:fldCharType="separate"/>
    </w:r>
    <w:r>
      <w:rPr>
        <w:b/>
        <w:noProof/>
        <w:sz w:val="18"/>
      </w:rPr>
      <w:t>2</w:t>
    </w:r>
    <w:r w:rsidRPr="0035656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33" w:rsidRPr="0035656E" w:rsidRDefault="00D17C33" w:rsidP="0035656E">
    <w:pPr>
      <w:pStyle w:val="Footer"/>
      <w:tabs>
        <w:tab w:val="right" w:pos="9638"/>
      </w:tabs>
      <w:rPr>
        <w:b/>
        <w:sz w:val="18"/>
      </w:rPr>
    </w:pPr>
    <w:r>
      <w:tab/>
    </w:r>
    <w:r w:rsidRPr="0035656E">
      <w:rPr>
        <w:b/>
        <w:sz w:val="18"/>
      </w:rPr>
      <w:fldChar w:fldCharType="begin"/>
    </w:r>
    <w:r w:rsidRPr="0035656E">
      <w:rPr>
        <w:b/>
        <w:sz w:val="18"/>
      </w:rPr>
      <w:instrText xml:space="preserve"> PAGE  \* MERGEFORMAT </w:instrText>
    </w:r>
    <w:r w:rsidRPr="0035656E">
      <w:rPr>
        <w:b/>
        <w:sz w:val="18"/>
      </w:rPr>
      <w:fldChar w:fldCharType="separate"/>
    </w:r>
    <w:r>
      <w:rPr>
        <w:b/>
        <w:noProof/>
        <w:sz w:val="18"/>
      </w:rPr>
      <w:t>3</w:t>
    </w:r>
    <w:r w:rsidRPr="0035656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33" w:rsidRPr="0035656E" w:rsidRDefault="00D17C3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4.1pt;margin-top:12.1pt;width:73.25pt;height:18.15pt;z-index:1">
          <v:imagedata r:id="rId1" o:title="recycle_English"/>
          <w10:anchorlock/>
        </v:shape>
      </w:pict>
    </w:r>
    <w:r>
      <w:t>GE.14-42613</w:t>
    </w:r>
    <w:r>
      <w:br/>
    </w:r>
    <w:r w:rsidRPr="00A14B5C">
      <w:rPr>
        <w:rFonts w:ascii="C39T30Lfz" w:hAnsi="C39T30Lfz"/>
        <w:sz w:val="56"/>
      </w:rPr>
      <w:t></w:t>
    </w:r>
    <w:r w:rsidRPr="00A14B5C">
      <w:rPr>
        <w:rFonts w:ascii="C39T30Lfz" w:hAnsi="C39T30Lfz"/>
        <w:sz w:val="56"/>
      </w:rPr>
      <w:t></w:t>
    </w:r>
    <w:r w:rsidRPr="00A14B5C">
      <w:rPr>
        <w:rFonts w:ascii="C39T30Lfz" w:hAnsi="C39T30Lfz"/>
        <w:sz w:val="56"/>
      </w:rPr>
      <w:t></w:t>
    </w:r>
    <w:r w:rsidRPr="00A14B5C">
      <w:rPr>
        <w:rFonts w:ascii="C39T30Lfz" w:hAnsi="C39T30Lfz"/>
        <w:sz w:val="56"/>
      </w:rPr>
      <w:t></w:t>
    </w:r>
    <w:r w:rsidRPr="00A14B5C">
      <w:rPr>
        <w:rFonts w:ascii="C39T30Lfz" w:hAnsi="C39T30Lfz"/>
        <w:sz w:val="56"/>
      </w:rPr>
      <w:t></w:t>
    </w:r>
    <w:r w:rsidRPr="00A14B5C">
      <w:rPr>
        <w:rFonts w:ascii="C39T30Lfz" w:hAnsi="C39T30Lfz"/>
        <w:sz w:val="56"/>
      </w:rPr>
      <w:t></w:t>
    </w:r>
    <w:r w:rsidRPr="00A14B5C">
      <w:rPr>
        <w:rFonts w:ascii="C39T30Lfz" w:hAnsi="C39T30Lfz"/>
        <w:sz w:val="56"/>
      </w:rPr>
      <w:t></w:t>
    </w:r>
    <w:r w:rsidRPr="00A14B5C">
      <w:rPr>
        <w:rFonts w:ascii="C39T30Lfz" w:hAnsi="C39T30Lfz"/>
        <w:sz w:val="56"/>
      </w:rPr>
      <w:t></w:t>
    </w:r>
    <w:r w:rsidRPr="00A14B5C">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33" w:rsidRPr="000B175B" w:rsidRDefault="00D17C33" w:rsidP="000B175B">
      <w:pPr>
        <w:tabs>
          <w:tab w:val="right" w:pos="2155"/>
        </w:tabs>
        <w:spacing w:after="80"/>
        <w:ind w:left="680"/>
        <w:rPr>
          <w:u w:val="single"/>
        </w:rPr>
      </w:pPr>
      <w:r>
        <w:rPr>
          <w:u w:val="single"/>
        </w:rPr>
        <w:tab/>
      </w:r>
    </w:p>
  </w:footnote>
  <w:footnote w:type="continuationSeparator" w:id="0">
    <w:p w:rsidR="00D17C33" w:rsidRPr="00FC68B7" w:rsidRDefault="00D17C33" w:rsidP="00FC68B7">
      <w:pPr>
        <w:tabs>
          <w:tab w:val="left" w:pos="2155"/>
        </w:tabs>
        <w:spacing w:after="80"/>
        <w:ind w:left="680"/>
        <w:rPr>
          <w:u w:val="single"/>
        </w:rPr>
      </w:pPr>
      <w:r>
        <w:rPr>
          <w:u w:val="single"/>
        </w:rPr>
        <w:tab/>
      </w:r>
    </w:p>
  </w:footnote>
  <w:footnote w:type="continuationNotice" w:id="1">
    <w:p w:rsidR="00D17C33" w:rsidRDefault="00D17C33"/>
  </w:footnote>
  <w:footnote w:id="2">
    <w:p w:rsidR="00D17C33" w:rsidRPr="00B55960" w:rsidRDefault="00D17C33">
      <w:pPr>
        <w:pStyle w:val="FootnoteText"/>
        <w:rPr>
          <w:lang w:val="en-US"/>
        </w:rPr>
      </w:pPr>
      <w:r>
        <w:tab/>
      </w:r>
      <w:r w:rsidRPr="00250CEB">
        <w:rPr>
          <w:rStyle w:val="FootnoteReference"/>
          <w:sz w:val="20"/>
          <w:vertAlign w:val="baseline"/>
        </w:rPr>
        <w:t>*</w:t>
      </w:r>
      <w:r>
        <w:rPr>
          <w:sz w:val="20"/>
        </w:rPr>
        <w:tab/>
      </w:r>
      <w:r>
        <w:t>Adopted by the Committee at its 110</w:t>
      </w:r>
      <w:r w:rsidRPr="00174AC2">
        <w:t>th</w:t>
      </w:r>
      <w:r>
        <w:t xml:space="preserve"> session (</w:t>
      </w:r>
      <w:r w:rsidRPr="007E7E99">
        <w:t>10–28 March 2014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33" w:rsidRPr="0035656E" w:rsidRDefault="00D17C33">
    <w:pPr>
      <w:pStyle w:val="Header"/>
    </w:pPr>
    <w:r>
      <w:t>CCPR/C/SLE/CO/1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33" w:rsidRPr="0035656E" w:rsidRDefault="00D17C33" w:rsidP="0035656E">
    <w:pPr>
      <w:pStyle w:val="Header"/>
      <w:jc w:val="right"/>
    </w:pPr>
    <w:r>
      <w:t>CCPR/C/SLE/CO/1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3ED76AB"/>
    <w:multiLevelType w:val="hybridMultilevel"/>
    <w:tmpl w:val="A024327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5C96347C"/>
    <w:multiLevelType w:val="hybridMultilevel"/>
    <w:tmpl w:val="5478F436"/>
    <w:lvl w:ilvl="0" w:tplc="4844F09C">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5E2C0957"/>
    <w:multiLevelType w:val="hybridMultilevel"/>
    <w:tmpl w:val="E964640C"/>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56E"/>
    <w:rsid w:val="00015E25"/>
    <w:rsid w:val="000272B3"/>
    <w:rsid w:val="000345C3"/>
    <w:rsid w:val="00050F6B"/>
    <w:rsid w:val="0005164D"/>
    <w:rsid w:val="00057E97"/>
    <w:rsid w:val="00060C3A"/>
    <w:rsid w:val="00072C8C"/>
    <w:rsid w:val="000733B5"/>
    <w:rsid w:val="00081815"/>
    <w:rsid w:val="000931C0"/>
    <w:rsid w:val="000A09E0"/>
    <w:rsid w:val="000B175B"/>
    <w:rsid w:val="000B31E5"/>
    <w:rsid w:val="000B3A0F"/>
    <w:rsid w:val="000B4EF7"/>
    <w:rsid w:val="000C2C03"/>
    <w:rsid w:val="000C2D2E"/>
    <w:rsid w:val="000E0415"/>
    <w:rsid w:val="001103AA"/>
    <w:rsid w:val="00153AB2"/>
    <w:rsid w:val="00165F3A"/>
    <w:rsid w:val="00174AC2"/>
    <w:rsid w:val="00183968"/>
    <w:rsid w:val="00186BFB"/>
    <w:rsid w:val="00187474"/>
    <w:rsid w:val="001A6686"/>
    <w:rsid w:val="001B4B04"/>
    <w:rsid w:val="001C6663"/>
    <w:rsid w:val="001C7895"/>
    <w:rsid w:val="001C79BD"/>
    <w:rsid w:val="001D0C8C"/>
    <w:rsid w:val="001D26DF"/>
    <w:rsid w:val="001D3A03"/>
    <w:rsid w:val="001E5342"/>
    <w:rsid w:val="00202DA8"/>
    <w:rsid w:val="00211E0B"/>
    <w:rsid w:val="0023210C"/>
    <w:rsid w:val="00233196"/>
    <w:rsid w:val="00250CEB"/>
    <w:rsid w:val="00267F5F"/>
    <w:rsid w:val="00286B4D"/>
    <w:rsid w:val="00297171"/>
    <w:rsid w:val="002D4D5E"/>
    <w:rsid w:val="002F175C"/>
    <w:rsid w:val="003229D8"/>
    <w:rsid w:val="00326656"/>
    <w:rsid w:val="00352709"/>
    <w:rsid w:val="0035656E"/>
    <w:rsid w:val="00367567"/>
    <w:rsid w:val="00371178"/>
    <w:rsid w:val="00375011"/>
    <w:rsid w:val="00376E7F"/>
    <w:rsid w:val="0038336C"/>
    <w:rsid w:val="003A233A"/>
    <w:rsid w:val="003A6810"/>
    <w:rsid w:val="003C2CC4"/>
    <w:rsid w:val="003D4B23"/>
    <w:rsid w:val="003F510C"/>
    <w:rsid w:val="00410C89"/>
    <w:rsid w:val="00426B9B"/>
    <w:rsid w:val="004325CB"/>
    <w:rsid w:val="00436B33"/>
    <w:rsid w:val="00442A83"/>
    <w:rsid w:val="0045495B"/>
    <w:rsid w:val="004605B4"/>
    <w:rsid w:val="00467367"/>
    <w:rsid w:val="00487488"/>
    <w:rsid w:val="00497A3C"/>
    <w:rsid w:val="004B0707"/>
    <w:rsid w:val="004F2F2C"/>
    <w:rsid w:val="0052136D"/>
    <w:rsid w:val="0052588B"/>
    <w:rsid w:val="0052775E"/>
    <w:rsid w:val="00533576"/>
    <w:rsid w:val="005420F2"/>
    <w:rsid w:val="005628B6"/>
    <w:rsid w:val="005848B3"/>
    <w:rsid w:val="00590F87"/>
    <w:rsid w:val="00592C4A"/>
    <w:rsid w:val="00593161"/>
    <w:rsid w:val="005B3DB3"/>
    <w:rsid w:val="005D48ED"/>
    <w:rsid w:val="005E6F8A"/>
    <w:rsid w:val="005F7717"/>
    <w:rsid w:val="005F7B75"/>
    <w:rsid w:val="006001EE"/>
    <w:rsid w:val="00605042"/>
    <w:rsid w:val="00611938"/>
    <w:rsid w:val="00611FC4"/>
    <w:rsid w:val="006176FB"/>
    <w:rsid w:val="00640B26"/>
    <w:rsid w:val="00652D0A"/>
    <w:rsid w:val="00662674"/>
    <w:rsid w:val="00662BB6"/>
    <w:rsid w:val="006657FE"/>
    <w:rsid w:val="00684C21"/>
    <w:rsid w:val="006C09D6"/>
    <w:rsid w:val="006D37AF"/>
    <w:rsid w:val="006D51D0"/>
    <w:rsid w:val="006E564B"/>
    <w:rsid w:val="006E7191"/>
    <w:rsid w:val="00703577"/>
    <w:rsid w:val="00716C73"/>
    <w:rsid w:val="0072632A"/>
    <w:rsid w:val="007327D5"/>
    <w:rsid w:val="007629C8"/>
    <w:rsid w:val="007B6BA5"/>
    <w:rsid w:val="007C3390"/>
    <w:rsid w:val="007C4F4B"/>
    <w:rsid w:val="007C784F"/>
    <w:rsid w:val="007E0B2D"/>
    <w:rsid w:val="007F250A"/>
    <w:rsid w:val="007F6611"/>
    <w:rsid w:val="008105B8"/>
    <w:rsid w:val="008242D7"/>
    <w:rsid w:val="008257B1"/>
    <w:rsid w:val="00827533"/>
    <w:rsid w:val="008311B8"/>
    <w:rsid w:val="00843767"/>
    <w:rsid w:val="008679D9"/>
    <w:rsid w:val="00876E9E"/>
    <w:rsid w:val="008979B1"/>
    <w:rsid w:val="008A15A7"/>
    <w:rsid w:val="008A1DB2"/>
    <w:rsid w:val="008A6B25"/>
    <w:rsid w:val="008A6C4F"/>
    <w:rsid w:val="008B2335"/>
    <w:rsid w:val="008C4C48"/>
    <w:rsid w:val="008E0678"/>
    <w:rsid w:val="008E56DB"/>
    <w:rsid w:val="008E6C92"/>
    <w:rsid w:val="00910F40"/>
    <w:rsid w:val="00912C08"/>
    <w:rsid w:val="009223CA"/>
    <w:rsid w:val="00934C9B"/>
    <w:rsid w:val="00940F93"/>
    <w:rsid w:val="00952100"/>
    <w:rsid w:val="0095347F"/>
    <w:rsid w:val="009760F3"/>
    <w:rsid w:val="0098184D"/>
    <w:rsid w:val="009909F5"/>
    <w:rsid w:val="009A0E8D"/>
    <w:rsid w:val="009B26E7"/>
    <w:rsid w:val="009B7776"/>
    <w:rsid w:val="009D01BF"/>
    <w:rsid w:val="00A00A3F"/>
    <w:rsid w:val="00A01489"/>
    <w:rsid w:val="00A14B5C"/>
    <w:rsid w:val="00A25243"/>
    <w:rsid w:val="00A25CEB"/>
    <w:rsid w:val="00A338F1"/>
    <w:rsid w:val="00A44615"/>
    <w:rsid w:val="00A4668B"/>
    <w:rsid w:val="00A72F22"/>
    <w:rsid w:val="00A7360F"/>
    <w:rsid w:val="00A74675"/>
    <w:rsid w:val="00A748A6"/>
    <w:rsid w:val="00A769F4"/>
    <w:rsid w:val="00A776B4"/>
    <w:rsid w:val="00A94361"/>
    <w:rsid w:val="00AA293C"/>
    <w:rsid w:val="00B13E9B"/>
    <w:rsid w:val="00B24290"/>
    <w:rsid w:val="00B30179"/>
    <w:rsid w:val="00B339A7"/>
    <w:rsid w:val="00B512F9"/>
    <w:rsid w:val="00B55960"/>
    <w:rsid w:val="00B56E4A"/>
    <w:rsid w:val="00B56E9C"/>
    <w:rsid w:val="00B64B1F"/>
    <w:rsid w:val="00B6553F"/>
    <w:rsid w:val="00B66E5E"/>
    <w:rsid w:val="00B77D05"/>
    <w:rsid w:val="00B80E46"/>
    <w:rsid w:val="00B81206"/>
    <w:rsid w:val="00B81E12"/>
    <w:rsid w:val="00B9067B"/>
    <w:rsid w:val="00B92794"/>
    <w:rsid w:val="00BB7FD6"/>
    <w:rsid w:val="00BC23A5"/>
    <w:rsid w:val="00BC2C23"/>
    <w:rsid w:val="00BC74E9"/>
    <w:rsid w:val="00BF68A8"/>
    <w:rsid w:val="00C11A03"/>
    <w:rsid w:val="00C27AC7"/>
    <w:rsid w:val="00C463DD"/>
    <w:rsid w:val="00C4724C"/>
    <w:rsid w:val="00C629A0"/>
    <w:rsid w:val="00C745C3"/>
    <w:rsid w:val="00C83D55"/>
    <w:rsid w:val="00CD46B6"/>
    <w:rsid w:val="00CE4A8F"/>
    <w:rsid w:val="00D17C33"/>
    <w:rsid w:val="00D2031B"/>
    <w:rsid w:val="00D25FE2"/>
    <w:rsid w:val="00D42A35"/>
    <w:rsid w:val="00D43252"/>
    <w:rsid w:val="00D47EEA"/>
    <w:rsid w:val="00D937A1"/>
    <w:rsid w:val="00D95303"/>
    <w:rsid w:val="00D978C6"/>
    <w:rsid w:val="00DA3111"/>
    <w:rsid w:val="00DA3C1C"/>
    <w:rsid w:val="00DB0C79"/>
    <w:rsid w:val="00E23376"/>
    <w:rsid w:val="00E27346"/>
    <w:rsid w:val="00E37D32"/>
    <w:rsid w:val="00E71BC8"/>
    <w:rsid w:val="00E7260F"/>
    <w:rsid w:val="00E779FC"/>
    <w:rsid w:val="00E96630"/>
    <w:rsid w:val="00EA69DF"/>
    <w:rsid w:val="00EB2581"/>
    <w:rsid w:val="00ED7A2A"/>
    <w:rsid w:val="00EF1D7F"/>
    <w:rsid w:val="00F043B9"/>
    <w:rsid w:val="00F20C3D"/>
    <w:rsid w:val="00F43E9E"/>
    <w:rsid w:val="00F8250D"/>
    <w:rsid w:val="00F9057C"/>
    <w:rsid w:val="00F906D7"/>
    <w:rsid w:val="00F93781"/>
    <w:rsid w:val="00FB613B"/>
    <w:rsid w:val="00FC5EBE"/>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5656E"/>
    <w:rPr>
      <w:lang w:eastAsia="en-US"/>
    </w:rPr>
  </w:style>
  <w:style w:type="paragraph" w:styleId="BalloonText">
    <w:name w:val="Balloon Text"/>
    <w:basedOn w:val="Normal"/>
    <w:link w:val="BalloonTextChar"/>
    <w:rsid w:val="005D48ED"/>
    <w:pPr>
      <w:spacing w:line="240" w:lineRule="auto"/>
    </w:pPr>
    <w:rPr>
      <w:rFonts w:ascii="Tahoma" w:hAnsi="Tahoma"/>
      <w:sz w:val="16"/>
      <w:szCs w:val="16"/>
      <w:lang/>
    </w:rPr>
  </w:style>
  <w:style w:type="character" w:customStyle="1" w:styleId="BalloonTextChar">
    <w:name w:val="Balloon Text Char"/>
    <w:link w:val="BalloonText"/>
    <w:rsid w:val="005D48E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8</Pages>
  <Words>3608</Words>
  <Characters>20570</Characters>
  <Application>Microsoft Office Outlook</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KAY-ATTIPOE</cp:lastModifiedBy>
  <cp:revision>2</cp:revision>
  <cp:lastPrinted>2014-03-25T11:38:00Z</cp:lastPrinted>
  <dcterms:created xsi:type="dcterms:W3CDTF">2014-04-23T09:34:00Z</dcterms:created>
  <dcterms:modified xsi:type="dcterms:W3CDTF">2014-04-23T09:34:00Z</dcterms:modified>
</cp:coreProperties>
</file>