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110F00D" w14:textId="77777777" w:rsidTr="00E56EE3">
        <w:trPr>
          <w:trHeight w:hRule="exact" w:val="851"/>
        </w:trPr>
        <w:tc>
          <w:tcPr>
            <w:tcW w:w="1280" w:type="dxa"/>
            <w:tcBorders>
              <w:bottom w:val="single" w:sz="4" w:space="0" w:color="auto"/>
            </w:tcBorders>
            <w:shd w:val="clear" w:color="auto" w:fill="auto"/>
          </w:tcPr>
          <w:p w14:paraId="7A319E78" w14:textId="77777777" w:rsidR="002D5AAC" w:rsidRDefault="002D5AAC" w:rsidP="00E56EE3">
            <w:bookmarkStart w:id="0" w:name="_GoBack"/>
            <w:bookmarkEnd w:id="0"/>
          </w:p>
        </w:tc>
        <w:tc>
          <w:tcPr>
            <w:tcW w:w="2273" w:type="dxa"/>
            <w:tcBorders>
              <w:bottom w:val="single" w:sz="4" w:space="0" w:color="auto"/>
            </w:tcBorders>
            <w:shd w:val="clear" w:color="auto" w:fill="auto"/>
            <w:vAlign w:val="bottom"/>
          </w:tcPr>
          <w:p w14:paraId="5C995892" w14:textId="77777777"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01E7B4D5" w14:textId="4518C4B1" w:rsidR="002D5AAC" w:rsidRDefault="00935A0B" w:rsidP="00007BCB">
            <w:pPr>
              <w:jc w:val="right"/>
            </w:pPr>
            <w:proofErr w:type="spellStart"/>
            <w:r w:rsidRPr="00F43810">
              <w:rPr>
                <w:sz w:val="40"/>
              </w:rPr>
              <w:t>C</w:t>
            </w:r>
            <w:r w:rsidR="00007BCB">
              <w:rPr>
                <w:sz w:val="40"/>
              </w:rPr>
              <w:t>CPR</w:t>
            </w:r>
            <w:proofErr w:type="spellEnd"/>
            <w:r w:rsidR="009A643A" w:rsidRPr="001645D4">
              <w:t>/C/NIC/Q/4</w:t>
            </w:r>
          </w:p>
        </w:tc>
      </w:tr>
      <w:tr w:rsidR="002D5AAC" w14:paraId="747A53F9" w14:textId="77777777" w:rsidTr="00E56EE3">
        <w:trPr>
          <w:trHeight w:hRule="exact" w:val="2835"/>
        </w:trPr>
        <w:tc>
          <w:tcPr>
            <w:tcW w:w="1280" w:type="dxa"/>
            <w:tcBorders>
              <w:top w:val="single" w:sz="4" w:space="0" w:color="auto"/>
              <w:bottom w:val="single" w:sz="12" w:space="0" w:color="auto"/>
            </w:tcBorders>
            <w:shd w:val="clear" w:color="auto" w:fill="auto"/>
          </w:tcPr>
          <w:p w14:paraId="71D5DDB1" w14:textId="448BE712" w:rsidR="002D5AAC" w:rsidRDefault="00000185" w:rsidP="00E56EE3">
            <w:pPr>
              <w:spacing w:before="120"/>
              <w:jc w:val="center"/>
            </w:pPr>
            <w:r>
              <w:rPr>
                <w:noProof/>
                <w:lang w:val="en-GB" w:eastAsia="en-GB"/>
              </w:rPr>
              <w:drawing>
                <wp:inline distT="0" distB="0" distL="0" distR="0" wp14:anchorId="4DE70C02" wp14:editId="10451038">
                  <wp:extent cx="716280" cy="5816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16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34A6BE45" w14:textId="77777777" w:rsidR="002D5AAC" w:rsidRPr="00D4778E" w:rsidRDefault="00007BCB" w:rsidP="00E56EE3">
            <w:pPr>
              <w:spacing w:before="120" w:line="360" w:lineRule="exact"/>
              <w:rPr>
                <w:b/>
                <w:sz w:val="34"/>
                <w:szCs w:val="34"/>
              </w:rPr>
            </w:pPr>
            <w:r w:rsidRPr="00BF5E1E">
              <w:rPr>
                <w:b/>
                <w:sz w:val="34"/>
                <w:szCs w:val="34"/>
              </w:rPr>
              <w:t>Pacto Internacional de Derechos</w:t>
            </w:r>
            <w:r w:rsidRPr="00BF5E1E">
              <w:rPr>
                <w:b/>
                <w:sz w:val="34"/>
                <w:szCs w:val="34"/>
              </w:rPr>
              <w:br/>
              <w:t>Civiles y Políticos</w:t>
            </w:r>
          </w:p>
        </w:tc>
        <w:tc>
          <w:tcPr>
            <w:tcW w:w="2819" w:type="dxa"/>
            <w:tcBorders>
              <w:top w:val="single" w:sz="4" w:space="0" w:color="auto"/>
              <w:bottom w:val="single" w:sz="12" w:space="0" w:color="auto"/>
            </w:tcBorders>
            <w:shd w:val="clear" w:color="auto" w:fill="auto"/>
          </w:tcPr>
          <w:p w14:paraId="3E840388" w14:textId="02232248" w:rsidR="00722EEB" w:rsidRPr="00F43810" w:rsidRDefault="00722EEB" w:rsidP="001645D4">
            <w:pPr>
              <w:spacing w:before="240"/>
            </w:pPr>
            <w:proofErr w:type="spellStart"/>
            <w:r>
              <w:t>Distr</w:t>
            </w:r>
            <w:proofErr w:type="spellEnd"/>
            <w:r>
              <w:t>. general</w:t>
            </w:r>
          </w:p>
          <w:p w14:paraId="16FE732E" w14:textId="18E6C354" w:rsidR="00E26FE4" w:rsidRDefault="00722EEB" w:rsidP="009A643A">
            <w:r>
              <w:t>29 de noviembre de 2019</w:t>
            </w:r>
          </w:p>
          <w:p w14:paraId="062297AA" w14:textId="78211A37" w:rsidR="00722EEB" w:rsidRDefault="00722EEB" w:rsidP="009A643A"/>
          <w:p w14:paraId="267CBB3A" w14:textId="7FAA0409" w:rsidR="00FB5646" w:rsidRDefault="00722EEB" w:rsidP="001645D4">
            <w:r>
              <w:t>Original: español</w:t>
            </w:r>
          </w:p>
          <w:p w14:paraId="1A2765D5" w14:textId="77777777" w:rsidR="002D5AAC" w:rsidRDefault="003469AB" w:rsidP="001645D4">
            <w:fldSimple w:instr=" DOCPROPERTY  virs  \* MERGEFORMAT ">
              <w:r w:rsidR="00935A0B" w:rsidRPr="00F43810">
                <w:t>Español, francés e inglés únicamente</w:t>
              </w:r>
            </w:fldSimple>
          </w:p>
        </w:tc>
      </w:tr>
    </w:tbl>
    <w:p w14:paraId="13F46F1F" w14:textId="77777777" w:rsidR="00007BCB" w:rsidRDefault="00007BCB" w:rsidP="00007BCB">
      <w:pPr>
        <w:spacing w:before="120"/>
        <w:rPr>
          <w:rFonts w:ascii="Times New Roman Bold" w:hAnsi="Times New Roman Bold"/>
          <w:b/>
          <w:color w:val="000000"/>
          <w:sz w:val="24"/>
        </w:rPr>
      </w:pPr>
      <w:r>
        <w:rPr>
          <w:rFonts w:ascii="Times New Roman Bold" w:hAnsi="Times New Roman Bold"/>
          <w:b/>
          <w:color w:val="000000"/>
          <w:sz w:val="24"/>
        </w:rPr>
        <w:t>Comité de Derechos Humanos</w:t>
      </w:r>
    </w:p>
    <w:p w14:paraId="7E282316" w14:textId="054354D9" w:rsidR="00E204E4" w:rsidRPr="00FA7E8E" w:rsidRDefault="00E204E4">
      <w:pPr>
        <w:pStyle w:val="HChG"/>
      </w:pPr>
      <w:r w:rsidRPr="001645D4">
        <w:tab/>
      </w:r>
      <w:r w:rsidRPr="001645D4">
        <w:tab/>
      </w:r>
      <w:r w:rsidRPr="000F79E5">
        <w:t xml:space="preserve">Lista de cuestiones relativa </w:t>
      </w:r>
      <w:r w:rsidR="00570A3F" w:rsidRPr="009A643A">
        <w:fldChar w:fldCharType="begin"/>
      </w:r>
      <w:r w:rsidR="00570A3F" w:rsidRPr="000F79E5">
        <w:instrText xml:space="preserve"> DOCPROPERTY  prep  \* MERGEFORMAT </w:instrText>
      </w:r>
      <w:r w:rsidR="00570A3F" w:rsidRPr="009A643A">
        <w:fldChar w:fldCharType="separate"/>
      </w:r>
      <w:r w:rsidRPr="000F79E5">
        <w:t xml:space="preserve">al cuarto informe periódico </w:t>
      </w:r>
      <w:r w:rsidR="000F79E5" w:rsidRPr="000F79E5">
        <w:t>de</w:t>
      </w:r>
      <w:r w:rsidR="000F79E5">
        <w:t> </w:t>
      </w:r>
      <w:r w:rsidRPr="000F79E5">
        <w:t>Nicaragua</w:t>
      </w:r>
      <w:r w:rsidR="00570A3F" w:rsidRPr="009A643A">
        <w:fldChar w:fldCharType="end"/>
      </w:r>
      <w:r w:rsidR="000F79E5" w:rsidRPr="001645D4">
        <w:rPr>
          <w:rStyle w:val="Refdenotaalpie"/>
          <w:sz w:val="20"/>
          <w:vertAlign w:val="baseline"/>
        </w:rPr>
        <w:footnoteReference w:customMarkFollows="1" w:id="2"/>
        <w:t>*</w:t>
      </w:r>
    </w:p>
    <w:p w14:paraId="64D6F422" w14:textId="7FA99488" w:rsidR="00571235" w:rsidRPr="005E4F0F" w:rsidRDefault="00571235">
      <w:pPr>
        <w:pStyle w:val="H23G"/>
      </w:pPr>
      <w:r>
        <w:tab/>
      </w:r>
      <w:r>
        <w:tab/>
      </w:r>
      <w:r w:rsidRPr="005E4F0F">
        <w:t xml:space="preserve">Marco constitucional y </w:t>
      </w:r>
      <w:r w:rsidR="00CB104D" w:rsidRPr="00AA03D0">
        <w:rPr>
          <w:lang w:eastAsia="en-US"/>
        </w:rPr>
        <w:t xml:space="preserve">jurídico de la aplicación del Pacto </w:t>
      </w:r>
      <w:r w:rsidRPr="005E4F0F">
        <w:t>(art</w:t>
      </w:r>
      <w:r w:rsidR="000F5AD2">
        <w:t>s.</w:t>
      </w:r>
      <w:r w:rsidR="00535776">
        <w:t> </w:t>
      </w:r>
      <w:r w:rsidRPr="005E4F0F">
        <w:t>1 y 2)</w:t>
      </w:r>
    </w:p>
    <w:p w14:paraId="2560A0FB" w14:textId="3F5D9F93" w:rsidR="00E07197" w:rsidRPr="000F79E5" w:rsidRDefault="00BE142C">
      <w:pPr>
        <w:pStyle w:val="SingleTxtG"/>
      </w:pPr>
      <w:r w:rsidRPr="000F79E5">
        <w:t>1.</w:t>
      </w:r>
      <w:r w:rsidRPr="000F79E5">
        <w:tab/>
      </w:r>
      <w:r w:rsidR="00E07197" w:rsidRPr="000F79E5">
        <w:t xml:space="preserve">En referencia al </w:t>
      </w:r>
      <w:r w:rsidR="00535776" w:rsidRPr="000F79E5">
        <w:t>artículo</w:t>
      </w:r>
      <w:r w:rsidR="00535776">
        <w:t> </w:t>
      </w:r>
      <w:r w:rsidR="00E00F03" w:rsidRPr="000F79E5">
        <w:t xml:space="preserve">46 de la Constitución Política que determina la plena vigencia de las disposiciones del Pacto en </w:t>
      </w:r>
      <w:r w:rsidR="00E07197" w:rsidRPr="000F79E5">
        <w:t>el</w:t>
      </w:r>
      <w:r w:rsidR="00E00F03" w:rsidRPr="000F79E5">
        <w:t xml:space="preserve"> ordenamiento jurídico</w:t>
      </w:r>
      <w:r w:rsidR="00B634F2" w:rsidRPr="000F79E5">
        <w:t>,</w:t>
      </w:r>
      <w:r w:rsidR="00E00F03" w:rsidRPr="000F79E5">
        <w:t xml:space="preserve"> </w:t>
      </w:r>
      <w:r w:rsidR="00E07197" w:rsidRPr="000F79E5">
        <w:t xml:space="preserve">sírvanse proporcionar </w:t>
      </w:r>
      <w:r w:rsidR="00E00F03" w:rsidRPr="000F79E5">
        <w:t xml:space="preserve">información sobre la invocación y la aplicación de </w:t>
      </w:r>
      <w:r w:rsidR="0089309C" w:rsidRPr="000F79E5">
        <w:t xml:space="preserve">estas </w:t>
      </w:r>
      <w:r w:rsidR="00E00F03" w:rsidRPr="000F79E5">
        <w:t xml:space="preserve">disposiciones ante los tribunales nacionales. </w:t>
      </w:r>
      <w:r w:rsidR="00571235" w:rsidRPr="000F79E5">
        <w:t>Sírvanse aclarar</w:t>
      </w:r>
      <w:r w:rsidR="00E00F03" w:rsidRPr="000F79E5">
        <w:t>, asimismo,</w:t>
      </w:r>
      <w:r w:rsidR="00571235" w:rsidRPr="000F79E5">
        <w:t xml:space="preserve"> la decisión tomada por el Estado parte de cancelar la invitación anteriormente ofrecida a la Oficina del Alto Comisionado de las Naciones Unidas para los Derechos Humanos y a mecanismos regionales de derechos humanos para acceder y monitorear la situación de los derechos humano</w:t>
      </w:r>
      <w:r w:rsidR="00906DE9" w:rsidRPr="000F79E5">
        <w:t>s</w:t>
      </w:r>
      <w:r w:rsidR="00571235" w:rsidRPr="000F79E5">
        <w:t xml:space="preserve"> en el país. </w:t>
      </w:r>
      <w:r w:rsidR="00E07197" w:rsidRPr="000F79E5">
        <w:t>Sírvanse explicar las medidas tomadas para ratificar el Protocolo Facultativo del Pacto.</w:t>
      </w:r>
    </w:p>
    <w:p w14:paraId="070C94DA" w14:textId="2A630158" w:rsidR="00682A12" w:rsidRPr="000F79E5" w:rsidRDefault="00BE142C">
      <w:pPr>
        <w:pStyle w:val="SingleTxtG"/>
      </w:pPr>
      <w:r w:rsidRPr="000F79E5">
        <w:t>2.</w:t>
      </w:r>
      <w:r w:rsidRPr="000F79E5">
        <w:tab/>
      </w:r>
      <w:r w:rsidR="00571235" w:rsidRPr="000F79E5">
        <w:t xml:space="preserve">Sírvanse proporcionar información sobre </w:t>
      </w:r>
      <w:r w:rsidR="00E07197" w:rsidRPr="000F79E5">
        <w:t xml:space="preserve">la Procuraduría para la Defensa de los Derechos Humanos e indiquen las medidas </w:t>
      </w:r>
      <w:r w:rsidR="00571235" w:rsidRPr="000F79E5">
        <w:t xml:space="preserve">adoptadas por el Estado parte en respuesta </w:t>
      </w:r>
      <w:r w:rsidR="00E07197" w:rsidRPr="000F79E5">
        <w:t xml:space="preserve">a la reciente degradación de la </w:t>
      </w:r>
      <w:r w:rsidR="008D5D37" w:rsidRPr="000F79E5">
        <w:t xml:space="preserve">Procuraduría </w:t>
      </w:r>
      <w:r w:rsidR="00E07197" w:rsidRPr="000F79E5">
        <w:t xml:space="preserve">a la clase B por parte de la Alianza Global de las Instituciones Nacionales de Derechos Humanos. </w:t>
      </w:r>
      <w:r w:rsidR="00571235" w:rsidRPr="000F79E5">
        <w:t xml:space="preserve">En particular, sírvanse aclarar las medidas tomadas para garantizar la independencia y </w:t>
      </w:r>
      <w:r w:rsidR="009A1FFC" w:rsidRPr="000F79E5">
        <w:t xml:space="preserve">el </w:t>
      </w:r>
      <w:r w:rsidR="00571235" w:rsidRPr="000F79E5">
        <w:t>funcionamiento adecuado</w:t>
      </w:r>
      <w:r w:rsidR="009A1FFC" w:rsidRPr="000F79E5">
        <w:t>s</w:t>
      </w:r>
      <w:r w:rsidR="00571235" w:rsidRPr="000F79E5">
        <w:t xml:space="preserve"> de la </w:t>
      </w:r>
      <w:r w:rsidR="008D5D37" w:rsidRPr="000F79E5">
        <w:t>Pro</w:t>
      </w:r>
      <w:r w:rsidR="001F7F35" w:rsidRPr="000F79E5">
        <w:t>c</w:t>
      </w:r>
      <w:r w:rsidR="008D5D37" w:rsidRPr="000F79E5">
        <w:t>urad</w:t>
      </w:r>
      <w:r w:rsidR="001F7F35" w:rsidRPr="000F79E5">
        <w:t>u</w:t>
      </w:r>
      <w:r w:rsidR="008D5D37" w:rsidRPr="000F79E5">
        <w:t xml:space="preserve">ría </w:t>
      </w:r>
      <w:r w:rsidR="00571235" w:rsidRPr="000F79E5">
        <w:t xml:space="preserve">y comentar la afirmación de la </w:t>
      </w:r>
      <w:r w:rsidR="008D5D37" w:rsidRPr="000F79E5">
        <w:t xml:space="preserve">Alianza </w:t>
      </w:r>
      <w:r w:rsidR="00571235" w:rsidRPr="000F79E5">
        <w:t xml:space="preserve">de que la </w:t>
      </w:r>
      <w:r w:rsidR="008D5D37" w:rsidRPr="000F79E5">
        <w:t>Procurad</w:t>
      </w:r>
      <w:r w:rsidR="001F7F35" w:rsidRPr="000F79E5">
        <w:t>u</w:t>
      </w:r>
      <w:r w:rsidR="008D5D37" w:rsidRPr="000F79E5">
        <w:t xml:space="preserve">ría </w:t>
      </w:r>
      <w:r w:rsidR="00571235" w:rsidRPr="000F79E5">
        <w:t xml:space="preserve">está actuando de manera que ha comprometido gravemente el cumplimiento de los </w:t>
      </w:r>
      <w:r w:rsidR="008D5D37" w:rsidRPr="000F79E5">
        <w:t>p</w:t>
      </w:r>
      <w:r w:rsidR="00571235" w:rsidRPr="000F79E5">
        <w:t>rincipios relativos al estatuto de las instituciones nacionales (Principios de París)</w:t>
      </w:r>
      <w:r w:rsidR="00C320E2" w:rsidRPr="000F79E5">
        <w:t>.</w:t>
      </w:r>
      <w:r w:rsidR="00571235" w:rsidRPr="000F79E5">
        <w:t xml:space="preserve"> </w:t>
      </w:r>
    </w:p>
    <w:p w14:paraId="08B7369B" w14:textId="565D7ED5" w:rsidR="00682A12" w:rsidRPr="000F79E5" w:rsidRDefault="000758FB">
      <w:pPr>
        <w:pStyle w:val="H23G"/>
      </w:pPr>
      <w:r w:rsidRPr="000F79E5">
        <w:tab/>
      </w:r>
      <w:r w:rsidRPr="000F79E5">
        <w:tab/>
      </w:r>
      <w:r w:rsidR="00571235" w:rsidRPr="000F79E5">
        <w:t xml:space="preserve">No discriminación, igualdad de derechos entre hombres y mujeres y violencia </w:t>
      </w:r>
      <w:r w:rsidR="000F79E5" w:rsidRPr="000F79E5">
        <w:t>contra</w:t>
      </w:r>
      <w:r w:rsidR="000F79E5">
        <w:t> </w:t>
      </w:r>
      <w:r w:rsidR="00571235" w:rsidRPr="000F79E5">
        <w:t>las mujeres (art</w:t>
      </w:r>
      <w:r w:rsidR="00AE3592" w:rsidRPr="000F79E5">
        <w:t>s.</w:t>
      </w:r>
      <w:r w:rsidR="00535776">
        <w:t> </w:t>
      </w:r>
      <w:r w:rsidR="00571235" w:rsidRPr="000F79E5">
        <w:t>2, 3, 6, 7 y 26)</w:t>
      </w:r>
    </w:p>
    <w:p w14:paraId="77B68FC1" w14:textId="796059DB" w:rsidR="007716EE" w:rsidRPr="001645D4" w:rsidRDefault="006F2B2A" w:rsidP="001645D4">
      <w:pPr>
        <w:pStyle w:val="SingleTxtG"/>
      </w:pPr>
      <w:r w:rsidRPr="000F79E5">
        <w:t>3.</w:t>
      </w:r>
      <w:r w:rsidR="00FD6C6E" w:rsidRPr="000F79E5">
        <w:tab/>
      </w:r>
      <w:r w:rsidR="004E07E7" w:rsidRPr="000F79E5">
        <w:t xml:space="preserve">Sírvanse indicar las medidas adoptadas y su impacto, para prevenir y proporcionar una protección eficaz contra la violencia y la discriminación por motivos de orientación sexual o identidad de género, </w:t>
      </w:r>
      <w:r w:rsidR="00F65D68" w:rsidRPr="000F79E5">
        <w:t xml:space="preserve">particularmente respecto a personas </w:t>
      </w:r>
      <w:r w:rsidR="007716EE" w:rsidRPr="000F79E5">
        <w:t xml:space="preserve">transgénero en detención. Al respecto, sírvanse, asimismo, acompañar información acerca de: a) el número de denuncias por actos de violencia contra personas lesbianas, gais, bisexuales y transgénero recibidas; b) las investigaciones llevadas a cabo y sus resultados, incluidas las condenas impuestas a los responsables; </w:t>
      </w:r>
      <w:r w:rsidR="00F8066A" w:rsidRPr="000F79E5">
        <w:t xml:space="preserve">y </w:t>
      </w:r>
      <w:r w:rsidR="007716EE" w:rsidRPr="000F79E5">
        <w:t xml:space="preserve">c) las medidas de reparación otorgadas a las víctimas. Sírvanse asimismo proporcionar información sobre las medidas adoptadas para promover la igualdad de oportunidades y de acceso a los servicios para las personas afrodescendientes. Por favor, informen </w:t>
      </w:r>
      <w:r w:rsidR="00C535D2" w:rsidRPr="000F79E5">
        <w:t xml:space="preserve">sobre las medidas adoptadas para aumentar la participación de la población indígena en la política. </w:t>
      </w:r>
    </w:p>
    <w:p w14:paraId="31B5C8D7" w14:textId="07440AC8" w:rsidR="00682A12" w:rsidRPr="000F79E5" w:rsidRDefault="004E07E7">
      <w:pPr>
        <w:pStyle w:val="SingleTxtG"/>
      </w:pPr>
      <w:r w:rsidRPr="000F79E5">
        <w:t>4.</w:t>
      </w:r>
      <w:r w:rsidR="00FD6C6E" w:rsidRPr="000F79E5">
        <w:tab/>
      </w:r>
      <w:r w:rsidR="00571235" w:rsidRPr="000F79E5">
        <w:t>En vista de las anteriores observaciones finales del Comité (</w:t>
      </w:r>
      <w:proofErr w:type="spellStart"/>
      <w:r w:rsidR="00571235" w:rsidRPr="000F79E5">
        <w:t>CCPR</w:t>
      </w:r>
      <w:proofErr w:type="spellEnd"/>
      <w:r w:rsidR="00571235" w:rsidRPr="000F79E5">
        <w:t>/C/NIC/CO/3, párr</w:t>
      </w:r>
      <w:r w:rsidR="00535776" w:rsidRPr="000F79E5">
        <w:t>.</w:t>
      </w:r>
      <w:r w:rsidR="00535776">
        <w:t> </w:t>
      </w:r>
      <w:r w:rsidR="00571235" w:rsidRPr="000F79E5">
        <w:t>12)</w:t>
      </w:r>
      <w:r w:rsidR="00231D92" w:rsidRPr="000F79E5">
        <w:t>,</w:t>
      </w:r>
      <w:r w:rsidR="00571235" w:rsidRPr="000F79E5">
        <w:t xml:space="preserve"> del informe </w:t>
      </w:r>
      <w:r w:rsidR="00EB6D1C" w:rsidRPr="000F79E5">
        <w:t xml:space="preserve">para </w:t>
      </w:r>
      <w:r w:rsidR="00571235" w:rsidRPr="000F79E5">
        <w:t>el seguimiento de las observaciones finales del Comité (</w:t>
      </w:r>
      <w:proofErr w:type="spellStart"/>
      <w:r w:rsidR="00571235" w:rsidRPr="001645D4">
        <w:rPr>
          <w:rStyle w:val="sessionsubtitle"/>
        </w:rPr>
        <w:t>CCPR</w:t>
      </w:r>
      <w:proofErr w:type="spellEnd"/>
      <w:r w:rsidR="00571235" w:rsidRPr="001645D4">
        <w:rPr>
          <w:rStyle w:val="sessionsubtitle"/>
        </w:rPr>
        <w:t>/C/104/2</w:t>
      </w:r>
      <w:r w:rsidR="00571235" w:rsidRPr="000F79E5">
        <w:t>)</w:t>
      </w:r>
      <w:r w:rsidR="002559E1" w:rsidRPr="000F79E5">
        <w:t xml:space="preserve"> y del </w:t>
      </w:r>
      <w:r w:rsidR="005977AD" w:rsidRPr="000F79E5">
        <w:t xml:space="preserve">cuarto </w:t>
      </w:r>
      <w:r w:rsidR="002559E1" w:rsidRPr="000F79E5">
        <w:t>informe periódico del Estado parte (</w:t>
      </w:r>
      <w:proofErr w:type="spellStart"/>
      <w:r w:rsidR="002559E1" w:rsidRPr="000F79E5">
        <w:t>CCPR</w:t>
      </w:r>
      <w:proofErr w:type="spellEnd"/>
      <w:r w:rsidR="002559E1" w:rsidRPr="000F79E5">
        <w:t>/C/NIC/4),</w:t>
      </w:r>
      <w:r w:rsidR="00571235" w:rsidRPr="000F79E5">
        <w:t xml:space="preserve"> sírvanse proporcionar información sobre las medidas adoptadas para combatir la violencia contra las mujeres, en particular el feminicidio</w:t>
      </w:r>
      <w:r w:rsidR="00D05FDE" w:rsidRPr="000F79E5">
        <w:t xml:space="preserve"> y sobre la aprobación de una enmienda a la Ley </w:t>
      </w:r>
      <w:r w:rsidR="00D05FDE" w:rsidRPr="000F79E5">
        <w:lastRenderedPageBreak/>
        <w:t xml:space="preserve">Integral contra la Violencia hacia las Mujeres en 2017 que reduce a la esfera privada el alcance de la </w:t>
      </w:r>
      <w:r w:rsidR="00A76C0D" w:rsidRPr="000F79E5">
        <w:t>definición de feminicidio.</w:t>
      </w:r>
      <w:r w:rsidR="00570000" w:rsidRPr="000F79E5">
        <w:t xml:space="preserve"> </w:t>
      </w:r>
      <w:r w:rsidR="00571235" w:rsidRPr="000F79E5">
        <w:t xml:space="preserve">Rogamos proporcionen información sobre las medidas adoptadas para: </w:t>
      </w:r>
    </w:p>
    <w:p w14:paraId="25E69EF9" w14:textId="358E408E" w:rsidR="00682A12" w:rsidRPr="000F79E5" w:rsidRDefault="000F79E5" w:rsidP="001645D4">
      <w:pPr>
        <w:pStyle w:val="SingleTxtG"/>
      </w:pPr>
      <w:r>
        <w:tab/>
      </w:r>
      <w:r w:rsidR="00571235" w:rsidRPr="000F79E5">
        <w:t>a)</w:t>
      </w:r>
      <w:r w:rsidR="000758FB" w:rsidRPr="000F79E5">
        <w:tab/>
      </w:r>
      <w:r w:rsidR="005B7895" w:rsidRPr="000F79E5">
        <w:t>G</w:t>
      </w:r>
      <w:r w:rsidR="00571235" w:rsidRPr="000F79E5">
        <w:t>arantizar que las víctimas</w:t>
      </w:r>
      <w:r w:rsidR="00D05FDE" w:rsidRPr="000F79E5">
        <w:t xml:space="preserve"> y sus familias </w:t>
      </w:r>
      <w:r w:rsidR="00571235" w:rsidRPr="000F79E5">
        <w:t xml:space="preserve">puedan recurrir a medidas de protección, en particular albergues públicos y centros de asesoramiento y asistencia; </w:t>
      </w:r>
    </w:p>
    <w:p w14:paraId="1B6D7925" w14:textId="598D21F1" w:rsidR="00682A12" w:rsidRPr="000F79E5" w:rsidRDefault="000F79E5" w:rsidP="001645D4">
      <w:pPr>
        <w:pStyle w:val="SingleTxtG"/>
      </w:pPr>
      <w:r>
        <w:tab/>
      </w:r>
      <w:r w:rsidR="00571235" w:rsidRPr="000F79E5">
        <w:t>b)</w:t>
      </w:r>
      <w:r w:rsidR="000758FB" w:rsidRPr="000F79E5">
        <w:tab/>
      </w:r>
      <w:r w:rsidR="005B7895" w:rsidRPr="000F79E5">
        <w:t>D</w:t>
      </w:r>
      <w:r w:rsidR="00571235" w:rsidRPr="000F79E5">
        <w:t xml:space="preserve">esarrollar e implementar capacitaciones para oficiales de policía, fiscales y jueces sobre los derechos de las mujeres y la violencia de género; </w:t>
      </w:r>
    </w:p>
    <w:p w14:paraId="51CD4D3E" w14:textId="21C4D855" w:rsidR="00682A12" w:rsidRPr="000F79E5" w:rsidRDefault="000F79E5" w:rsidP="001645D4">
      <w:pPr>
        <w:pStyle w:val="SingleTxtG"/>
      </w:pPr>
      <w:r>
        <w:tab/>
      </w:r>
      <w:r w:rsidR="00571235" w:rsidRPr="000F79E5">
        <w:t>c)</w:t>
      </w:r>
      <w:r w:rsidR="000758FB" w:rsidRPr="000F79E5">
        <w:tab/>
      </w:r>
      <w:r w:rsidR="005B7895" w:rsidRPr="000F79E5">
        <w:t>P</w:t>
      </w:r>
      <w:r w:rsidR="00571235" w:rsidRPr="000F79E5">
        <w:t>rohibir toda forma de mediación obligatoria en casos de violencia domestica;</w:t>
      </w:r>
    </w:p>
    <w:p w14:paraId="4C192455" w14:textId="38D29EAC" w:rsidR="00682A12" w:rsidRPr="001645D4" w:rsidRDefault="000F79E5" w:rsidP="001645D4">
      <w:pPr>
        <w:pStyle w:val="SingleTxtG"/>
      </w:pPr>
      <w:r>
        <w:tab/>
      </w:r>
      <w:r w:rsidR="00571235" w:rsidRPr="000F79E5">
        <w:t>d)</w:t>
      </w:r>
      <w:r w:rsidR="000758FB" w:rsidRPr="000F79E5">
        <w:tab/>
      </w:r>
      <w:r w:rsidR="005B7895" w:rsidRPr="000F79E5">
        <w:t>G</w:t>
      </w:r>
      <w:r w:rsidR="00571235" w:rsidRPr="000F79E5">
        <w:t>arantizar que todos los casos de violencia contra las mujeres sean investigados, que los responsables sean enjuicia</w:t>
      </w:r>
      <w:r w:rsidR="00436805" w:rsidRPr="000F79E5">
        <w:t>dos y castigados, y que las ví</w:t>
      </w:r>
      <w:r w:rsidR="00571235" w:rsidRPr="000F79E5">
        <w:t>ctimas o sus familiares obtengan una indemnización.</w:t>
      </w:r>
    </w:p>
    <w:p w14:paraId="7B939E6D" w14:textId="0D7738B9" w:rsidR="00571235" w:rsidRPr="001645D4" w:rsidRDefault="0023160C">
      <w:pPr>
        <w:pStyle w:val="SingleTxtG"/>
      </w:pPr>
      <w:r w:rsidRPr="001645D4">
        <w:t>5</w:t>
      </w:r>
      <w:r w:rsidR="00BE142C" w:rsidRPr="001645D4">
        <w:t>.</w:t>
      </w:r>
      <w:r w:rsidR="00BE142C" w:rsidRPr="001645D4">
        <w:tab/>
      </w:r>
      <w:r w:rsidR="00571235" w:rsidRPr="001645D4">
        <w:t xml:space="preserve">Sírvanse indicar las medidas adoptadas </w:t>
      </w:r>
      <w:r w:rsidR="002559E1" w:rsidRPr="001645D4">
        <w:t xml:space="preserve">por el Estado parte </w:t>
      </w:r>
      <w:r w:rsidR="00571235" w:rsidRPr="001645D4">
        <w:t>para responder a las recomendaciones anteriores del Comité (</w:t>
      </w:r>
      <w:proofErr w:type="spellStart"/>
      <w:r w:rsidR="00571235" w:rsidRPr="001645D4">
        <w:t>CCPR</w:t>
      </w:r>
      <w:proofErr w:type="spellEnd"/>
      <w:r w:rsidR="00571235" w:rsidRPr="001645D4">
        <w:t>/C/NIC/CO/3, párr</w:t>
      </w:r>
      <w:r w:rsidR="00535776" w:rsidRPr="001645D4">
        <w:t>.</w:t>
      </w:r>
      <w:r w:rsidR="00535776">
        <w:t> </w:t>
      </w:r>
      <w:r w:rsidR="00571235" w:rsidRPr="001645D4">
        <w:t>13) respecto a la persistencia de la prohibición total del aborto en Nicaragua. Sírvanse proporcionar información sobre el número de mujeres investigadas y sentenciadas por haber cometido aborto en los últimos cinco años</w:t>
      </w:r>
      <w:r w:rsidR="00A76C0D" w:rsidRPr="001645D4">
        <w:t xml:space="preserve"> y sobre el estado actual de las propuestas legislativas, incluyendo reformas constitucionales, que pretenden revisar la prohibición del aborto. </w:t>
      </w:r>
      <w:r w:rsidR="00A76C0D" w:rsidRPr="000F79E5">
        <w:t>C</w:t>
      </w:r>
      <w:r w:rsidR="00571235" w:rsidRPr="000F79E5">
        <w:t>omenten</w:t>
      </w:r>
      <w:r w:rsidR="00571235" w:rsidRPr="001645D4">
        <w:t xml:space="preserve"> información sobre casos de mujeres </w:t>
      </w:r>
      <w:r w:rsidR="00984713" w:rsidRPr="001645D4">
        <w:t xml:space="preserve">a las </w:t>
      </w:r>
      <w:r w:rsidR="00571235" w:rsidRPr="001645D4">
        <w:t>que le han negado asistencia médica por estar embarazada</w:t>
      </w:r>
      <w:r w:rsidR="00183D89" w:rsidRPr="001645D4">
        <w:t>s</w:t>
      </w:r>
      <w:r w:rsidR="00571235" w:rsidRPr="001645D4">
        <w:t>, a</w:t>
      </w:r>
      <w:r w:rsidR="00183D89" w:rsidRPr="001645D4">
        <w:t>u</w:t>
      </w:r>
      <w:r w:rsidR="00571235" w:rsidRPr="001645D4">
        <w:t xml:space="preserve">n ante </w:t>
      </w:r>
      <w:r w:rsidR="002559E1" w:rsidRPr="001645D4">
        <w:t xml:space="preserve">un </w:t>
      </w:r>
      <w:r w:rsidR="00571235" w:rsidRPr="001645D4">
        <w:t xml:space="preserve">riesgo </w:t>
      </w:r>
      <w:r w:rsidR="004C31C7" w:rsidRPr="001645D4">
        <w:t xml:space="preserve">para la </w:t>
      </w:r>
      <w:r w:rsidR="006F5191" w:rsidRPr="001645D4">
        <w:t>vida</w:t>
      </w:r>
      <w:r w:rsidR="00571235" w:rsidRPr="001645D4">
        <w:t xml:space="preserve">. </w:t>
      </w:r>
    </w:p>
    <w:p w14:paraId="6931BBB9" w14:textId="684C54DD" w:rsidR="00377615" w:rsidRPr="000F79E5" w:rsidRDefault="00571235">
      <w:pPr>
        <w:pStyle w:val="H23G"/>
      </w:pPr>
      <w:r w:rsidRPr="001645D4">
        <w:tab/>
      </w:r>
      <w:r w:rsidRPr="001645D4">
        <w:tab/>
      </w:r>
      <w:r w:rsidRPr="000F79E5">
        <w:t xml:space="preserve">Derecho a la vida, prohibición de la tortura y otros tratos crueles, inhumanos </w:t>
      </w:r>
      <w:r w:rsidR="000F79E5" w:rsidRPr="000F79E5">
        <w:t>o</w:t>
      </w:r>
      <w:r w:rsidR="000F79E5">
        <w:t> </w:t>
      </w:r>
      <w:r w:rsidRPr="000F79E5">
        <w:t>degradantes (art</w:t>
      </w:r>
      <w:r w:rsidR="009B404E" w:rsidRPr="000F79E5">
        <w:t>s.</w:t>
      </w:r>
      <w:r w:rsidR="00535776">
        <w:t> </w:t>
      </w:r>
      <w:r w:rsidRPr="000F79E5">
        <w:t xml:space="preserve">2, 6 y 7) </w:t>
      </w:r>
    </w:p>
    <w:p w14:paraId="33FB996D" w14:textId="2107710C" w:rsidR="00377615" w:rsidRPr="001645D4" w:rsidRDefault="0023160C" w:rsidP="001645D4">
      <w:pPr>
        <w:pStyle w:val="SingleTxtG"/>
      </w:pPr>
      <w:r w:rsidRPr="000F79E5">
        <w:t>6</w:t>
      </w:r>
      <w:r w:rsidR="00BE142C" w:rsidRPr="000F79E5">
        <w:t>.</w:t>
      </w:r>
      <w:r w:rsidR="00BE142C" w:rsidRPr="000F79E5">
        <w:tab/>
      </w:r>
      <w:r w:rsidR="00693CAB" w:rsidRPr="000F79E5">
        <w:t xml:space="preserve">Sírvanse </w:t>
      </w:r>
      <w:r w:rsidR="005C1D3F" w:rsidRPr="000F79E5">
        <w:t>describir las medidas adoptadas para prevenir el uso excesivo de la fuerza por parte de los agendes del orden, particularmente con ocasión de las protestas sociales.</w:t>
      </w:r>
      <w:r w:rsidR="000F79E5" w:rsidRPr="000F79E5">
        <w:t xml:space="preserve"> </w:t>
      </w:r>
      <w:r w:rsidR="00377615" w:rsidRPr="000F79E5">
        <w:t xml:space="preserve">Comenten asimismo </w:t>
      </w:r>
      <w:r w:rsidR="00231D92" w:rsidRPr="000F79E5">
        <w:t xml:space="preserve">la </w:t>
      </w:r>
      <w:r w:rsidR="00377615" w:rsidRPr="000F79E5">
        <w:t xml:space="preserve">información proporcionada al Comité que da cuenta </w:t>
      </w:r>
      <w:r w:rsidR="00231D92" w:rsidRPr="000F79E5">
        <w:t xml:space="preserve">de </w:t>
      </w:r>
      <w:r w:rsidR="00377615" w:rsidRPr="000F79E5">
        <w:t xml:space="preserve">que </w:t>
      </w:r>
      <w:r w:rsidR="00377615" w:rsidRPr="001645D4">
        <w:t>elementos armados progubernamentales, incluyendo aquellos</w:t>
      </w:r>
      <w:r w:rsidR="007C31BB" w:rsidRPr="001645D4">
        <w:t xml:space="preserve"> </w:t>
      </w:r>
      <w:r w:rsidR="00377615" w:rsidRPr="001645D4">
        <w:t xml:space="preserve">conocidos como </w:t>
      </w:r>
      <w:r w:rsidR="000F79E5" w:rsidRPr="001645D4">
        <w:t>“</w:t>
      </w:r>
      <w:r w:rsidR="00377615" w:rsidRPr="001645D4">
        <w:t>fuerzas de choque</w:t>
      </w:r>
      <w:r w:rsidR="000F79E5" w:rsidRPr="001645D4">
        <w:t>”</w:t>
      </w:r>
      <w:r w:rsidR="00377615" w:rsidRPr="001645D4">
        <w:t xml:space="preserve"> o </w:t>
      </w:r>
      <w:r w:rsidR="000F79E5" w:rsidRPr="001645D4">
        <w:t>“</w:t>
      </w:r>
      <w:r w:rsidR="00377615" w:rsidRPr="001645D4">
        <w:t>turbas</w:t>
      </w:r>
      <w:r w:rsidR="000F79E5" w:rsidRPr="001645D4">
        <w:t>”</w:t>
      </w:r>
      <w:r w:rsidR="00377615" w:rsidRPr="001645D4">
        <w:t xml:space="preserve">, han actuado con el beneplácito de autoridades estatales de alto nivel y de la Policía Nacional, en ataques a manifestantes e incluso </w:t>
      </w:r>
      <w:r w:rsidR="00C60F12" w:rsidRPr="001645D4">
        <w:t xml:space="preserve">realizando </w:t>
      </w:r>
      <w:r w:rsidR="00377615" w:rsidRPr="001645D4">
        <w:t>detenciones ilegales.</w:t>
      </w:r>
    </w:p>
    <w:p w14:paraId="5639AFAE" w14:textId="2C968E97" w:rsidR="00571235" w:rsidRPr="000F79E5" w:rsidRDefault="0023160C" w:rsidP="001645D4">
      <w:pPr>
        <w:pStyle w:val="SingleTxtG"/>
      </w:pPr>
      <w:r w:rsidRPr="000F79E5">
        <w:t>7</w:t>
      </w:r>
      <w:r w:rsidR="00377615" w:rsidRPr="000F79E5">
        <w:t>.</w:t>
      </w:r>
      <w:r w:rsidR="00377615" w:rsidRPr="000F79E5">
        <w:tab/>
      </w:r>
      <w:r w:rsidR="00571235" w:rsidRPr="000F79E5">
        <w:t xml:space="preserve">Sírvanse comentar sobre informes que dan cuenta de un alto número de muertes como resultado de la represión de las manifestaciones y tranques y de los enfrentamientos entre la policía, los grupos armados progubernamentales y los manifestantes entre abril y agosto de 2018. </w:t>
      </w:r>
      <w:r w:rsidR="00693CAB" w:rsidRPr="000F79E5">
        <w:t>S</w:t>
      </w:r>
      <w:r w:rsidR="00571235" w:rsidRPr="000F79E5">
        <w:t>írvanse</w:t>
      </w:r>
      <w:r w:rsidR="00693CAB" w:rsidRPr="000F79E5">
        <w:t xml:space="preserve"> asimismo</w:t>
      </w:r>
      <w:r w:rsidR="00571235" w:rsidRPr="000F79E5">
        <w:t xml:space="preserve"> proporcionar información sobre recientes homicidios y tentativas de homicidios ocurridas entre junio y julio de 2019, </w:t>
      </w:r>
      <w:r w:rsidR="00571235" w:rsidRPr="001645D4">
        <w:t xml:space="preserve">principalmente en </w:t>
      </w:r>
      <w:r w:rsidR="00571235" w:rsidRPr="000F79E5">
        <w:t xml:space="preserve">el departamento de Jinotega y comenten </w:t>
      </w:r>
      <w:r w:rsidR="003451BE" w:rsidRPr="000F79E5">
        <w:t xml:space="preserve">la </w:t>
      </w:r>
      <w:r w:rsidR="00571235" w:rsidRPr="000F79E5">
        <w:t xml:space="preserve">información proporcionada al Comité </w:t>
      </w:r>
      <w:r w:rsidR="003451BE" w:rsidRPr="000F79E5">
        <w:t xml:space="preserve">de </w:t>
      </w:r>
      <w:r w:rsidR="00571235" w:rsidRPr="000F79E5">
        <w:t xml:space="preserve">que las víctimas habían participado activamente en las protestas de 2018. Sírvanse proporcionar el número de muertes y heridos relacionados con las protestas, las investigaciones llevadas a cabo, el número de enjuiciamientos y condenas. </w:t>
      </w:r>
    </w:p>
    <w:p w14:paraId="7E15922E" w14:textId="15EDB4E3" w:rsidR="00571235" w:rsidRPr="000F79E5" w:rsidRDefault="0023160C" w:rsidP="001645D4">
      <w:pPr>
        <w:pStyle w:val="SingleTxtG"/>
      </w:pPr>
      <w:r w:rsidRPr="000F79E5">
        <w:t>8</w:t>
      </w:r>
      <w:r w:rsidR="00BE142C" w:rsidRPr="000F79E5">
        <w:t>.</w:t>
      </w:r>
      <w:r w:rsidR="00BE142C" w:rsidRPr="000F79E5">
        <w:tab/>
      </w:r>
      <w:r w:rsidR="00571235" w:rsidRPr="000F79E5">
        <w:t>A la luz de las recomendaciones anteriores del Comité (</w:t>
      </w:r>
      <w:proofErr w:type="spellStart"/>
      <w:r w:rsidR="00571235" w:rsidRPr="000F79E5">
        <w:t>CCPR</w:t>
      </w:r>
      <w:proofErr w:type="spellEnd"/>
      <w:r w:rsidR="00571235" w:rsidRPr="000F79E5">
        <w:t>/C/NIC/CO/3, p</w:t>
      </w:r>
      <w:r w:rsidR="007453AA" w:rsidRPr="000F79E5">
        <w:t>árr</w:t>
      </w:r>
      <w:r w:rsidR="00571235" w:rsidRPr="000F79E5">
        <w:t>.</w:t>
      </w:r>
      <w:r w:rsidR="00535776">
        <w:t> </w:t>
      </w:r>
      <w:r w:rsidR="00571235" w:rsidRPr="000F79E5">
        <w:t xml:space="preserve">14), sírvanse comentar información recibida por el Comité sobre la </w:t>
      </w:r>
      <w:r w:rsidR="00CA6E36" w:rsidRPr="000F79E5">
        <w:t>práctica</w:t>
      </w:r>
      <w:r w:rsidR="00571235" w:rsidRPr="000F79E5">
        <w:t xml:space="preserve"> de tortura y malos tratos, tanto en el momento de detención como en las comisarías de policía y en centros de </w:t>
      </w:r>
      <w:r w:rsidR="00CA6E36" w:rsidRPr="000F79E5">
        <w:t>privación de libertad</w:t>
      </w:r>
      <w:r w:rsidR="00571235" w:rsidRPr="000F79E5">
        <w:t xml:space="preserve">. En este sentido, sírvanse: </w:t>
      </w:r>
    </w:p>
    <w:p w14:paraId="1C95E51A" w14:textId="5B411B1D" w:rsidR="00571235" w:rsidRPr="001645D4" w:rsidRDefault="000F79E5" w:rsidP="001645D4">
      <w:pPr>
        <w:pStyle w:val="SingleTxtG"/>
        <w:rPr>
          <w:spacing w:val="-2"/>
        </w:rPr>
      </w:pPr>
      <w:r w:rsidRPr="001645D4">
        <w:rPr>
          <w:spacing w:val="-2"/>
        </w:rPr>
        <w:tab/>
      </w:r>
      <w:r w:rsidR="00571235" w:rsidRPr="001645D4">
        <w:rPr>
          <w:spacing w:val="-2"/>
        </w:rPr>
        <w:t>a)</w:t>
      </w:r>
      <w:r w:rsidR="000758FB" w:rsidRPr="001645D4">
        <w:rPr>
          <w:spacing w:val="-2"/>
        </w:rPr>
        <w:tab/>
      </w:r>
      <w:r w:rsidR="00571235" w:rsidRPr="001645D4">
        <w:rPr>
          <w:spacing w:val="-2"/>
        </w:rPr>
        <w:t>Comentar informes que dan cuenta de casos de tortura y malos tratos ocurridos en el contexto de las protestas en la</w:t>
      </w:r>
      <w:r w:rsidR="007453AA" w:rsidRPr="001645D4">
        <w:rPr>
          <w:spacing w:val="-2"/>
        </w:rPr>
        <w:t>s</w:t>
      </w:r>
      <w:r w:rsidR="00571235" w:rsidRPr="001645D4">
        <w:rPr>
          <w:spacing w:val="-2"/>
        </w:rPr>
        <w:t xml:space="preserve"> cárcel</w:t>
      </w:r>
      <w:r w:rsidR="007453AA" w:rsidRPr="001645D4">
        <w:rPr>
          <w:spacing w:val="-2"/>
        </w:rPr>
        <w:t>es</w:t>
      </w:r>
      <w:r w:rsidR="00571235" w:rsidRPr="001645D4">
        <w:rPr>
          <w:spacing w:val="-2"/>
        </w:rPr>
        <w:t xml:space="preserve"> El Chipote, La Modelo y La Esperanza, incluyendo la muerte de un detenido el 16 de mayo de 2019 en la cárcel La Modelo;</w:t>
      </w:r>
    </w:p>
    <w:p w14:paraId="3D82C99F" w14:textId="6BBA1FA5" w:rsidR="00571235" w:rsidRPr="000F79E5" w:rsidRDefault="000F79E5" w:rsidP="001645D4">
      <w:pPr>
        <w:pStyle w:val="SingleTxtG"/>
      </w:pPr>
      <w:r>
        <w:tab/>
      </w:r>
      <w:r w:rsidR="00571235" w:rsidRPr="000F79E5">
        <w:t>b)</w:t>
      </w:r>
      <w:r w:rsidR="000758FB" w:rsidRPr="000F79E5">
        <w:tab/>
      </w:r>
      <w:r w:rsidR="00571235" w:rsidRPr="000F79E5">
        <w:t xml:space="preserve">Comentar información proporcionada al Comité sobre casos de violencia sexual y de género contra hombres y mujeres detenidos en el contexto de las protestas, incluso tocamientos inapropiados y amenazas de violación; </w:t>
      </w:r>
    </w:p>
    <w:p w14:paraId="5D7DB4EC" w14:textId="5E5CDD4C" w:rsidR="00571235" w:rsidRPr="000F79E5" w:rsidRDefault="000F79E5" w:rsidP="001645D4">
      <w:pPr>
        <w:pStyle w:val="SingleTxtG"/>
      </w:pPr>
      <w:r>
        <w:tab/>
      </w:r>
      <w:r w:rsidR="00571235" w:rsidRPr="000F79E5">
        <w:t>c)</w:t>
      </w:r>
      <w:r w:rsidR="000758FB" w:rsidRPr="000F79E5">
        <w:tab/>
      </w:r>
      <w:r w:rsidR="00571235" w:rsidRPr="000F79E5">
        <w:t>Proporcionar información sobre las investigaciones, los procedimientos disciplinarios y penales, y las sentencias dictadas, así como sobre las medidas adoptadas a fin de garantizar la reparación para las víctimas.</w:t>
      </w:r>
    </w:p>
    <w:p w14:paraId="3A92AB9C" w14:textId="48CBF17D" w:rsidR="00571235" w:rsidRPr="000F79E5" w:rsidRDefault="0023160C" w:rsidP="001645D4">
      <w:pPr>
        <w:pStyle w:val="SingleTxtG"/>
      </w:pPr>
      <w:r w:rsidRPr="000F79E5">
        <w:t>9</w:t>
      </w:r>
      <w:r w:rsidR="00BE142C" w:rsidRPr="000F79E5">
        <w:t>.</w:t>
      </w:r>
      <w:r w:rsidR="00BE142C" w:rsidRPr="000F79E5">
        <w:tab/>
      </w:r>
      <w:r w:rsidR="00571235" w:rsidRPr="000F79E5">
        <w:t>Sírvanse proporcionar información sobre la legislación y reglamentos existentes en el Estado parte sobre los registros, incluso los registros</w:t>
      </w:r>
      <w:r w:rsidR="00F811E8" w:rsidRPr="000F79E5">
        <w:t xml:space="preserve"> de visitas íntima</w:t>
      </w:r>
      <w:r w:rsidR="00571235" w:rsidRPr="000F79E5">
        <w:t xml:space="preserve">s. Sírvanse </w:t>
      </w:r>
      <w:r w:rsidR="00571235" w:rsidRPr="000F79E5">
        <w:lastRenderedPageBreak/>
        <w:t>comentar informes que dan cuenta de</w:t>
      </w:r>
      <w:r w:rsidR="00F811E8" w:rsidRPr="000F79E5">
        <w:t xml:space="preserve"> la realización de inspecciones</w:t>
      </w:r>
      <w:r w:rsidR="00571235" w:rsidRPr="000F79E5">
        <w:t xml:space="preserve"> visual</w:t>
      </w:r>
      <w:r w:rsidR="00F811E8" w:rsidRPr="000F79E5">
        <w:t>es</w:t>
      </w:r>
      <w:r w:rsidR="00571235" w:rsidRPr="000F79E5">
        <w:t xml:space="preserve"> injustificada</w:t>
      </w:r>
      <w:r w:rsidR="00F811E8" w:rsidRPr="000F79E5">
        <w:t>s</w:t>
      </w:r>
      <w:r w:rsidR="00571235" w:rsidRPr="000F79E5">
        <w:t xml:space="preserve"> y degradante</w:t>
      </w:r>
      <w:r w:rsidR="00F811E8" w:rsidRPr="000F79E5">
        <w:t>s</w:t>
      </w:r>
      <w:r w:rsidR="00571235" w:rsidRPr="000F79E5">
        <w:t xml:space="preserve"> a las personas detenidas en el contexto de las manifestaciones. Sírvanse asimismo comentar info</w:t>
      </w:r>
      <w:r w:rsidR="00F811E8" w:rsidRPr="000F79E5">
        <w:t>rmación proporcionada al Comité sobre</w:t>
      </w:r>
      <w:r w:rsidR="00571235" w:rsidRPr="000F79E5">
        <w:t xml:space="preserve"> </w:t>
      </w:r>
      <w:r w:rsidR="00F811E8" w:rsidRPr="000F79E5">
        <w:t xml:space="preserve">que a las </w:t>
      </w:r>
      <w:r w:rsidR="00571235" w:rsidRPr="000F79E5">
        <w:t xml:space="preserve">personas detenidas en el contexto de las protestas </w:t>
      </w:r>
      <w:r w:rsidR="00F811E8" w:rsidRPr="000F79E5">
        <w:t xml:space="preserve">se les prohibía </w:t>
      </w:r>
      <w:r w:rsidR="00571235" w:rsidRPr="000F79E5">
        <w:t>utilizar vestimenta, a excepción de la ropa interior.</w:t>
      </w:r>
    </w:p>
    <w:p w14:paraId="27CE4C66" w14:textId="2252C86F" w:rsidR="00571235" w:rsidRPr="000F79E5" w:rsidRDefault="0023160C" w:rsidP="001645D4">
      <w:pPr>
        <w:pStyle w:val="SingleTxtG"/>
      </w:pPr>
      <w:r w:rsidRPr="000F79E5">
        <w:t>10</w:t>
      </w:r>
      <w:r w:rsidR="00BE142C" w:rsidRPr="000F79E5">
        <w:t>.</w:t>
      </w:r>
      <w:r w:rsidR="00BE142C" w:rsidRPr="000F79E5">
        <w:tab/>
      </w:r>
      <w:r w:rsidR="00571235" w:rsidRPr="000F79E5">
        <w:t>Sírvanse proporcionar información sobre el uso de celdas de aislamiento como medida disciplinaria</w:t>
      </w:r>
      <w:r w:rsidR="0086361A" w:rsidRPr="000F79E5">
        <w:t xml:space="preserve"> y las medidas adoptadas para </w:t>
      </w:r>
      <w:r w:rsidR="00571235" w:rsidRPr="000F79E5">
        <w:t xml:space="preserve">restringir su aplicación a circunstancias excepcionales y por períodos estrictamente limitados, y </w:t>
      </w:r>
      <w:r w:rsidR="003B4200" w:rsidRPr="000F79E5">
        <w:t xml:space="preserve">para </w:t>
      </w:r>
      <w:r w:rsidR="00571235" w:rsidRPr="000F79E5">
        <w:t xml:space="preserve">garantizar que las mismas, en caso de ser usadas, presenten condiciones adecuadas de salubridad e higiene. Sírvanse comentar información según la cual </w:t>
      </w:r>
      <w:r w:rsidR="00A3362E" w:rsidRPr="000F79E5">
        <w:t>algunas de las personas detenidas</w:t>
      </w:r>
      <w:r w:rsidR="00571235" w:rsidRPr="000F79E5">
        <w:t xml:space="preserve"> en el contexto </w:t>
      </w:r>
      <w:r w:rsidR="00A3362E" w:rsidRPr="000F79E5">
        <w:t>de las protestas fueron sometida</w:t>
      </w:r>
      <w:r w:rsidR="00571235" w:rsidRPr="000F79E5">
        <w:t xml:space="preserve">s a régimen de aislamiento, </w:t>
      </w:r>
      <w:r w:rsidR="00A3362E" w:rsidRPr="000F79E5">
        <w:t xml:space="preserve">en </w:t>
      </w:r>
      <w:r w:rsidR="00571235" w:rsidRPr="000F79E5">
        <w:t>algunos casos durante meses y en condiciones precarias</w:t>
      </w:r>
      <w:r w:rsidR="007C31BB" w:rsidRPr="000F79E5">
        <w:t>,</w:t>
      </w:r>
      <w:r w:rsidR="00571235" w:rsidRPr="000F79E5">
        <w:t xml:space="preserve"> </w:t>
      </w:r>
      <w:r w:rsidR="00A3362E" w:rsidRPr="000F79E5">
        <w:t xml:space="preserve">en particular </w:t>
      </w:r>
      <w:r w:rsidR="00571235" w:rsidRPr="000F79E5">
        <w:t xml:space="preserve">en los centros de detención La Modelo y La Esperanza. </w:t>
      </w:r>
    </w:p>
    <w:p w14:paraId="3055BEE5" w14:textId="5CE00A76" w:rsidR="00571235" w:rsidRPr="001645D4" w:rsidRDefault="00571235">
      <w:pPr>
        <w:pStyle w:val="H23G"/>
      </w:pPr>
      <w:r w:rsidRPr="000F79E5">
        <w:tab/>
      </w:r>
      <w:r w:rsidRPr="000F79E5">
        <w:tab/>
        <w:t>Condiciones de detención de las personas privadas de libertad (arts</w:t>
      </w:r>
      <w:r w:rsidR="00535776" w:rsidRPr="000F79E5">
        <w:t>.</w:t>
      </w:r>
      <w:r w:rsidR="00535776">
        <w:t> </w:t>
      </w:r>
      <w:r w:rsidRPr="000F79E5">
        <w:t>6, 7 y 10)</w:t>
      </w:r>
    </w:p>
    <w:p w14:paraId="648928DD" w14:textId="00A5B779" w:rsidR="00571235" w:rsidRPr="000F79E5" w:rsidRDefault="0023160C">
      <w:pPr>
        <w:pStyle w:val="SingleTxtG"/>
      </w:pPr>
      <w:r w:rsidRPr="001645D4">
        <w:t>11</w:t>
      </w:r>
      <w:r w:rsidR="00BE142C" w:rsidRPr="001645D4">
        <w:t>.</w:t>
      </w:r>
      <w:r w:rsidR="00BE142C" w:rsidRPr="001645D4">
        <w:tab/>
      </w:r>
      <w:r w:rsidR="00571235" w:rsidRPr="001645D4">
        <w:t>A la luz de las recomendaciones anteriores del Comité (</w:t>
      </w:r>
      <w:proofErr w:type="spellStart"/>
      <w:r w:rsidR="00571235" w:rsidRPr="001645D4">
        <w:t>CCPR</w:t>
      </w:r>
      <w:proofErr w:type="spellEnd"/>
      <w:r w:rsidR="00571235" w:rsidRPr="001645D4">
        <w:t>/C/NIC/CO/3, p</w:t>
      </w:r>
      <w:r w:rsidR="007453AA" w:rsidRPr="001645D4">
        <w:t>árr</w:t>
      </w:r>
      <w:r w:rsidR="00571235" w:rsidRPr="001645D4">
        <w:t>.</w:t>
      </w:r>
      <w:r w:rsidR="00535776">
        <w:t> </w:t>
      </w:r>
      <w:r w:rsidR="00571235" w:rsidRPr="001645D4">
        <w:t>17)</w:t>
      </w:r>
      <w:r w:rsidR="000F79E5" w:rsidRPr="001645D4">
        <w:t xml:space="preserve"> </w:t>
      </w:r>
      <w:r w:rsidR="00571235" w:rsidRPr="001645D4">
        <w:t xml:space="preserve">y del informe </w:t>
      </w:r>
      <w:r w:rsidR="00CC4B83" w:rsidRPr="001645D4">
        <w:t xml:space="preserve">para </w:t>
      </w:r>
      <w:r w:rsidR="00571235" w:rsidRPr="001645D4">
        <w:t xml:space="preserve">el seguimiento de las observaciones finales del Comité, sírvanse indicar qué medidas ha adoptado el Estado parte para mejorar las condiciones de detención, de conformidad con el </w:t>
      </w:r>
      <w:r w:rsidR="00535776" w:rsidRPr="001645D4">
        <w:t>artículo</w:t>
      </w:r>
      <w:r w:rsidR="00535776">
        <w:t> </w:t>
      </w:r>
      <w:r w:rsidR="00571235" w:rsidRPr="001645D4">
        <w:t>10 del Pacto.</w:t>
      </w:r>
      <w:r w:rsidR="000F79E5" w:rsidRPr="001645D4">
        <w:t xml:space="preserve"> </w:t>
      </w:r>
      <w:r w:rsidR="00A3362E" w:rsidRPr="001645D4">
        <w:t>S</w:t>
      </w:r>
      <w:r w:rsidR="00571235" w:rsidRPr="001645D4">
        <w:t xml:space="preserve">írvanse responder a las denuncias de condiciones inadecuadas de detención, </w:t>
      </w:r>
      <w:r w:rsidR="00A3362E" w:rsidRPr="001645D4">
        <w:t xml:space="preserve">especialmente </w:t>
      </w:r>
      <w:r w:rsidR="00571235" w:rsidRPr="001645D4">
        <w:t xml:space="preserve">en lo que respecta </w:t>
      </w:r>
      <w:r w:rsidR="00571235" w:rsidRPr="000F79E5">
        <w:t>al alojamiento, la higiene, el saneamiento, la calidad de la alimentación y el acceso a servicios médicos, en particular en los centros de detención La Modelo y La Esperanza.</w:t>
      </w:r>
    </w:p>
    <w:p w14:paraId="7CF17FAC" w14:textId="707C4F15" w:rsidR="00571235" w:rsidRPr="000F79E5" w:rsidRDefault="000758FB">
      <w:pPr>
        <w:pStyle w:val="H23G"/>
      </w:pPr>
      <w:r w:rsidRPr="000F79E5">
        <w:tab/>
      </w:r>
      <w:r w:rsidRPr="000F79E5">
        <w:tab/>
      </w:r>
      <w:r w:rsidR="00571235" w:rsidRPr="000F79E5">
        <w:t>Lucha contra la impunidad, juicio justo y garantías procesales (arts</w:t>
      </w:r>
      <w:r w:rsidR="00535776" w:rsidRPr="000F79E5">
        <w:t>.</w:t>
      </w:r>
      <w:r w:rsidR="00535776">
        <w:t> </w:t>
      </w:r>
      <w:r w:rsidR="00571235" w:rsidRPr="000F79E5">
        <w:t>2, 6, 7 y 14)</w:t>
      </w:r>
    </w:p>
    <w:p w14:paraId="57BBDE12" w14:textId="6819748B" w:rsidR="00571235" w:rsidRPr="000F79E5" w:rsidRDefault="0023160C" w:rsidP="001645D4">
      <w:pPr>
        <w:pStyle w:val="SingleTxtG"/>
      </w:pPr>
      <w:r w:rsidRPr="000F79E5">
        <w:t>12</w:t>
      </w:r>
      <w:r w:rsidR="00BE142C" w:rsidRPr="000F79E5">
        <w:t>.</w:t>
      </w:r>
      <w:r w:rsidR="00BE142C" w:rsidRPr="000F79E5">
        <w:tab/>
      </w:r>
      <w:r w:rsidR="00571235" w:rsidRPr="000F79E5">
        <w:t>Sírvanse proporcionar información respecto a la independencia de la Comisión de la Verdad, Justicia y Paz (</w:t>
      </w:r>
      <w:r w:rsidR="00625F3B" w:rsidRPr="000F79E5">
        <w:t>r</w:t>
      </w:r>
      <w:r w:rsidR="00571235" w:rsidRPr="000F79E5">
        <w:t xml:space="preserve">esolución de la Asamblea Nacional </w:t>
      </w:r>
      <w:r w:rsidR="00625F3B" w:rsidRPr="000F79E5">
        <w:t>núm</w:t>
      </w:r>
      <w:r w:rsidR="00571235" w:rsidRPr="000F79E5">
        <w:t>.</w:t>
      </w:r>
      <w:r w:rsidR="00266BED">
        <w:t> </w:t>
      </w:r>
      <w:r w:rsidR="00571235" w:rsidRPr="000F79E5">
        <w:t xml:space="preserve">01-2018) y comenten información proporcionada al Comité </w:t>
      </w:r>
      <w:r w:rsidR="00134A8C" w:rsidRPr="000F79E5">
        <w:t xml:space="preserve">de </w:t>
      </w:r>
      <w:r w:rsidR="00571235" w:rsidRPr="000F79E5">
        <w:t xml:space="preserve">que esta institución ha tenido una postura parcial respecto a los hechos ocurridos desde abril de 2018. </w:t>
      </w:r>
      <w:r w:rsidR="0086361A" w:rsidRPr="000F79E5">
        <w:t>Por favor proporcionen</w:t>
      </w:r>
      <w:r w:rsidR="00571235" w:rsidRPr="000F79E5">
        <w:t xml:space="preserve"> información sobre la Ley </w:t>
      </w:r>
      <w:r w:rsidR="003B4200" w:rsidRPr="000F79E5">
        <w:t>núm.</w:t>
      </w:r>
      <w:r w:rsidR="00266BED">
        <w:t> </w:t>
      </w:r>
      <w:r w:rsidR="003B4200" w:rsidRPr="000F79E5">
        <w:t xml:space="preserve">996 </w:t>
      </w:r>
      <w:r w:rsidR="00571235" w:rsidRPr="000F79E5">
        <w:t xml:space="preserve">de Amnistía, aprobada el 8 de junio de 2019, que prevé amnistía a todas las personas que han participado en los sucesos acaecidos a partir del 18 de abril </w:t>
      </w:r>
      <w:r w:rsidR="005C6654" w:rsidRPr="000F79E5">
        <w:t>de</w:t>
      </w:r>
      <w:r w:rsidR="005C6654">
        <w:t> </w:t>
      </w:r>
      <w:r w:rsidR="00571235" w:rsidRPr="000F79E5">
        <w:t xml:space="preserve">2018, hasta la fecha de vigencia de dicha </w:t>
      </w:r>
      <w:r w:rsidR="00134A8C" w:rsidRPr="000F79E5">
        <w:t>L</w:t>
      </w:r>
      <w:r w:rsidR="00571235" w:rsidRPr="000F79E5">
        <w:t xml:space="preserve">ey y comenten de qué manera dicha </w:t>
      </w:r>
      <w:r w:rsidR="00134A8C" w:rsidRPr="000F79E5">
        <w:t>L</w:t>
      </w:r>
      <w:r w:rsidR="00571235" w:rsidRPr="000F79E5">
        <w:t>ey es compatible con el Pacto. En este sentido, sírvanse proporcionar información sobre los recursos interpuesto</w:t>
      </w:r>
      <w:r w:rsidR="00134A8C" w:rsidRPr="000F79E5">
        <w:t>s</w:t>
      </w:r>
      <w:r w:rsidR="00571235" w:rsidRPr="000F79E5">
        <w:t xml:space="preserve"> por organizaciones de la sociedad civil ante la Corte Suprema </w:t>
      </w:r>
      <w:r w:rsidR="00E703B3" w:rsidRPr="000F79E5">
        <w:t xml:space="preserve">de Justicia </w:t>
      </w:r>
      <w:r w:rsidR="00571235" w:rsidRPr="000F79E5">
        <w:t xml:space="preserve">para impugnar la constitucionalidad de </w:t>
      </w:r>
      <w:r w:rsidR="00134A8C" w:rsidRPr="000F79E5">
        <w:t>e</w:t>
      </w:r>
      <w:r w:rsidR="00571235" w:rsidRPr="000F79E5">
        <w:t>sta Ley.</w:t>
      </w:r>
      <w:r w:rsidR="000F79E5" w:rsidRPr="000F79E5">
        <w:t xml:space="preserve"> </w:t>
      </w:r>
    </w:p>
    <w:p w14:paraId="5D434AA7" w14:textId="47ED5288" w:rsidR="00571235" w:rsidRPr="001645D4" w:rsidRDefault="0023160C" w:rsidP="001645D4">
      <w:pPr>
        <w:pStyle w:val="SingleTxtG"/>
      </w:pPr>
      <w:r w:rsidRPr="000F79E5">
        <w:t>13</w:t>
      </w:r>
      <w:r w:rsidR="00BE142C" w:rsidRPr="000F79E5">
        <w:t>.</w:t>
      </w:r>
      <w:r w:rsidR="00BE142C" w:rsidRPr="000F79E5">
        <w:tab/>
      </w:r>
      <w:r w:rsidR="00571235" w:rsidRPr="000F79E5">
        <w:t xml:space="preserve">Sírvanse proporcionar información sobre la Ley </w:t>
      </w:r>
      <w:r w:rsidR="00E223AE" w:rsidRPr="000F79E5">
        <w:t>núm.</w:t>
      </w:r>
      <w:r w:rsidR="00266BED">
        <w:t> </w:t>
      </w:r>
      <w:r w:rsidR="00E223AE" w:rsidRPr="000F79E5">
        <w:t xml:space="preserve">994 </w:t>
      </w:r>
      <w:r w:rsidR="00571235" w:rsidRPr="000F79E5">
        <w:t xml:space="preserve">de Atención Integral a Víctimas e indiquen de qué manera dicha </w:t>
      </w:r>
      <w:r w:rsidR="00B062EB" w:rsidRPr="000F79E5">
        <w:t>L</w:t>
      </w:r>
      <w:r w:rsidR="00571235" w:rsidRPr="000F79E5">
        <w:t>ey o la legislación vige</w:t>
      </w:r>
      <w:r w:rsidR="0083604A" w:rsidRPr="000F79E5">
        <w:t>nte asegura el derecho de las ví</w:t>
      </w:r>
      <w:r w:rsidR="00571235" w:rsidRPr="000F79E5">
        <w:t xml:space="preserve">ctimas de interponer recursos y medidas de reparación efectivas, incluido el derecho a indemnización y las garantías de no </w:t>
      </w:r>
      <w:r w:rsidR="00571235" w:rsidRPr="001645D4">
        <w:t xml:space="preserve">repetición. Sírvanse, asimismo, explicar la expresión utilizada en la Ley sobre la </w:t>
      </w:r>
      <w:r w:rsidR="000F79E5" w:rsidRPr="001645D4">
        <w:t>“</w:t>
      </w:r>
      <w:r w:rsidR="00571235" w:rsidRPr="001645D4">
        <w:t xml:space="preserve">voluntad de atender los daños y secuelas provocadas en los nicaragüenses por el intento de golpe de estado </w:t>
      </w:r>
      <w:r w:rsidR="0086361A" w:rsidRPr="001645D4">
        <w:t>fallido</w:t>
      </w:r>
      <w:r w:rsidR="000F79E5" w:rsidRPr="001645D4">
        <w:t>”</w:t>
      </w:r>
      <w:r w:rsidR="00571235" w:rsidRPr="001645D4">
        <w:t xml:space="preserve"> y c</w:t>
      </w:r>
      <w:r w:rsidR="00A4043D" w:rsidRPr="001645D4">
        <w:t>ó</w:t>
      </w:r>
      <w:r w:rsidR="00571235" w:rsidRPr="001645D4">
        <w:t>mo esta disposición es compatible con la protección de los derechos de las v</w:t>
      </w:r>
      <w:r w:rsidR="00A4043D" w:rsidRPr="001645D4">
        <w:t>í</w:t>
      </w:r>
      <w:r w:rsidR="00571235" w:rsidRPr="001645D4">
        <w:t>ctimas</w:t>
      </w:r>
      <w:r w:rsidR="0083604A" w:rsidRPr="001645D4">
        <w:t xml:space="preserve"> toda vez que sugiere que las ví</w:t>
      </w:r>
      <w:r w:rsidR="00571235" w:rsidRPr="001645D4">
        <w:t xml:space="preserve">ctimas son perpetradoras de un golpe de </w:t>
      </w:r>
      <w:r w:rsidR="00AB266D" w:rsidRPr="001645D4">
        <w:t>e</w:t>
      </w:r>
      <w:r w:rsidR="00571235" w:rsidRPr="001645D4">
        <w:t>stado.</w:t>
      </w:r>
      <w:r w:rsidR="000F79E5" w:rsidRPr="001645D4">
        <w:rPr>
          <w:rStyle w:val="Refdenotaalpie"/>
          <w:sz w:val="20"/>
          <w:vertAlign w:val="baseline"/>
        </w:rPr>
        <w:t xml:space="preserve"> </w:t>
      </w:r>
    </w:p>
    <w:p w14:paraId="7993DB01" w14:textId="44052DA6" w:rsidR="00571235" w:rsidRPr="000F79E5" w:rsidRDefault="0023160C" w:rsidP="001645D4">
      <w:pPr>
        <w:pStyle w:val="SingleTxtG"/>
      </w:pPr>
      <w:r w:rsidRPr="000F79E5">
        <w:t>14</w:t>
      </w:r>
      <w:r w:rsidR="00BE142C" w:rsidRPr="000F79E5">
        <w:t>.</w:t>
      </w:r>
      <w:r w:rsidR="00BE142C" w:rsidRPr="000F79E5">
        <w:tab/>
      </w:r>
      <w:r w:rsidR="00571235" w:rsidRPr="000F79E5">
        <w:t xml:space="preserve">Sírvanse proporcionar información sobre las medidas tomadas </w:t>
      </w:r>
      <w:r w:rsidR="00CC6812" w:rsidRPr="000F79E5">
        <w:t xml:space="preserve">para asegurar la </w:t>
      </w:r>
      <w:r w:rsidR="00571235" w:rsidRPr="000F79E5">
        <w:t>independencia e imparcialidad del órgano judicial y del Ministerio Público. Sírvanse comentar informaciones que dan cuenta de graves irregularidades en las investigaciones de las violaciones ocurridas durante las protestas ciudadanas, incluyendo en la recolección de datos, determinación de los hechos ocurridos y preservación de la prueba por parte de diferentes instituciones del Estado. Sírvanse asimismo proporcionar información sobre el sistema de asignación de casos judiciales entre los juzgados y comenten información proporcionada al Comité</w:t>
      </w:r>
      <w:r w:rsidR="00E969D1" w:rsidRPr="000F79E5">
        <w:t xml:space="preserve"> de</w:t>
      </w:r>
      <w:r w:rsidR="00571235" w:rsidRPr="000F79E5">
        <w:t xml:space="preserve"> que en la práctica los casos de criminalización de protesta ciudadana son radicadas en un pequeño número de juzgados.</w:t>
      </w:r>
    </w:p>
    <w:p w14:paraId="3845BC9C" w14:textId="255E601A" w:rsidR="00571235" w:rsidRPr="000F79E5" w:rsidRDefault="0023160C" w:rsidP="001645D4">
      <w:pPr>
        <w:pStyle w:val="SingleTxtG"/>
      </w:pPr>
      <w:r w:rsidRPr="000F79E5">
        <w:t>15</w:t>
      </w:r>
      <w:r w:rsidR="00BE142C" w:rsidRPr="000F79E5">
        <w:t>.</w:t>
      </w:r>
      <w:r w:rsidR="00BE142C" w:rsidRPr="000F79E5">
        <w:tab/>
      </w:r>
      <w:r w:rsidR="00571235" w:rsidRPr="000F79E5">
        <w:t xml:space="preserve">Sírvanse proporcionar información sobre el cumplimiento de las garantías judiciales contenidas en el </w:t>
      </w:r>
      <w:r w:rsidR="00535776" w:rsidRPr="000F79E5">
        <w:t>artículo</w:t>
      </w:r>
      <w:r w:rsidR="00535776">
        <w:t> </w:t>
      </w:r>
      <w:r w:rsidR="00571235" w:rsidRPr="000F79E5">
        <w:t>14 del Pacto. En particular, se ruega proporcionar información sobre:</w:t>
      </w:r>
    </w:p>
    <w:p w14:paraId="66618144" w14:textId="30997A6C" w:rsidR="00571235" w:rsidRPr="000F79E5" w:rsidRDefault="000F79E5" w:rsidP="001645D4">
      <w:pPr>
        <w:pStyle w:val="SingleTxtG"/>
      </w:pPr>
      <w:r>
        <w:tab/>
      </w:r>
      <w:r w:rsidR="000758FB" w:rsidRPr="000F79E5">
        <w:t>a)</w:t>
      </w:r>
      <w:r w:rsidR="000758FB" w:rsidRPr="000F79E5">
        <w:tab/>
      </w:r>
      <w:r w:rsidR="00571235" w:rsidRPr="000F79E5">
        <w:t xml:space="preserve">Las garantías existentes para asegurar el acceso de los abogados a las audiencias judiciales, particularmente a las audiencias respecto a personas detenidas en el contexto de las protestas; </w:t>
      </w:r>
    </w:p>
    <w:p w14:paraId="45A8EA51" w14:textId="4557CEC0" w:rsidR="00571235" w:rsidRPr="000F79E5" w:rsidRDefault="000F79E5" w:rsidP="001645D4">
      <w:pPr>
        <w:pStyle w:val="SingleTxtG"/>
      </w:pPr>
      <w:r>
        <w:lastRenderedPageBreak/>
        <w:tab/>
      </w:r>
      <w:r w:rsidR="000758FB" w:rsidRPr="000F79E5">
        <w:t>b)</w:t>
      </w:r>
      <w:r w:rsidR="000758FB" w:rsidRPr="000F79E5">
        <w:tab/>
      </w:r>
      <w:r w:rsidR="00571235" w:rsidRPr="000F79E5">
        <w:t xml:space="preserve">Las medidas para asegurar que todas las personas, incluyendo aquellas que han participado de las protestas, </w:t>
      </w:r>
      <w:r w:rsidR="004871E3" w:rsidRPr="000F79E5">
        <w:t xml:space="preserve">dispongan </w:t>
      </w:r>
      <w:r w:rsidR="00571235" w:rsidRPr="001645D4">
        <w:t xml:space="preserve">del tiempo y de los medios adecuados para la preparación de su defensa y </w:t>
      </w:r>
      <w:r w:rsidR="004871E3" w:rsidRPr="001645D4">
        <w:t xml:space="preserve">se comuniquen </w:t>
      </w:r>
      <w:r w:rsidR="00571235" w:rsidRPr="001645D4">
        <w:t xml:space="preserve">con un defensor de su elección; </w:t>
      </w:r>
    </w:p>
    <w:p w14:paraId="7C31EC61" w14:textId="52116F3A" w:rsidR="00571235" w:rsidRPr="000F79E5" w:rsidRDefault="000F79E5" w:rsidP="001645D4">
      <w:pPr>
        <w:pStyle w:val="SingleTxtG"/>
      </w:pPr>
      <w:r>
        <w:tab/>
      </w:r>
      <w:r w:rsidR="000758FB" w:rsidRPr="000F79E5">
        <w:t>c)</w:t>
      </w:r>
      <w:r w:rsidR="000758FB" w:rsidRPr="000F79E5">
        <w:tab/>
      </w:r>
      <w:r w:rsidR="00571235" w:rsidRPr="000F79E5">
        <w:t xml:space="preserve">Las medidas para asegurar que todas las personas detenidas, incluyendo aquellas que han participado de las protestas, </w:t>
      </w:r>
      <w:r w:rsidR="004871E3" w:rsidRPr="000F79E5">
        <w:t xml:space="preserve">sean </w:t>
      </w:r>
      <w:r w:rsidR="00571235" w:rsidRPr="001645D4">
        <w:t xml:space="preserve">informadas sin demora, en forma detallada, de la naturaleza y causas de la acusación formulada contra ellas; </w:t>
      </w:r>
    </w:p>
    <w:p w14:paraId="224645F8" w14:textId="452A796B" w:rsidR="00571235" w:rsidRPr="001645D4" w:rsidRDefault="000F79E5" w:rsidP="001645D4">
      <w:pPr>
        <w:pStyle w:val="SingleTxtG"/>
      </w:pPr>
      <w:r>
        <w:tab/>
      </w:r>
      <w:r w:rsidR="000758FB" w:rsidRPr="000F79E5">
        <w:t>d)</w:t>
      </w:r>
      <w:r w:rsidR="000758FB" w:rsidRPr="000F79E5">
        <w:tab/>
      </w:r>
      <w:r w:rsidR="00571235" w:rsidRPr="001645D4">
        <w:t>Casos de amenazas y hostigamientos, supuestamente cometidos por parte de las autoridades estatales, de testigos ofrecidos por la defensa de personas detenidas en el contexto de las manifestaciones</w:t>
      </w:r>
      <w:r w:rsidR="00E969D1" w:rsidRPr="001645D4">
        <w:t>;</w:t>
      </w:r>
      <w:r w:rsidR="00571235" w:rsidRPr="001645D4">
        <w:t xml:space="preserve"> </w:t>
      </w:r>
    </w:p>
    <w:p w14:paraId="7CF6F0F7" w14:textId="2F7B82CF" w:rsidR="00FD6C6E" w:rsidRPr="000F79E5" w:rsidRDefault="000F79E5" w:rsidP="001645D4">
      <w:pPr>
        <w:pStyle w:val="SingleTxtG"/>
      </w:pPr>
      <w:r>
        <w:tab/>
      </w:r>
      <w:r w:rsidR="007C31BB" w:rsidRPr="001645D4">
        <w:t>e)</w:t>
      </w:r>
      <w:r w:rsidR="007C31BB" w:rsidRPr="001645D4">
        <w:tab/>
        <w:t>La p</w:t>
      </w:r>
      <w:r w:rsidR="007C31BB" w:rsidRPr="000F79E5">
        <w:t xml:space="preserve">resunta práctica por la cual funcionarios </w:t>
      </w:r>
      <w:r w:rsidR="003941DB" w:rsidRPr="000F79E5">
        <w:t xml:space="preserve">públicos o policías testifican con el </w:t>
      </w:r>
      <w:r w:rsidR="007C31BB" w:rsidRPr="000F79E5">
        <w:t>rostro cubierto sin identifica</w:t>
      </w:r>
      <w:r w:rsidR="007401F8" w:rsidRPr="000F79E5">
        <w:t xml:space="preserve">rse, como exigido en la </w:t>
      </w:r>
      <w:r w:rsidR="007C31BB" w:rsidRPr="000F79E5">
        <w:t>le</w:t>
      </w:r>
      <w:r w:rsidR="004871E3" w:rsidRPr="000F79E5">
        <w:t>gislación</w:t>
      </w:r>
      <w:r w:rsidR="007C31BB" w:rsidRPr="000F79E5">
        <w:t xml:space="preserve"> nacional</w:t>
      </w:r>
      <w:r w:rsidR="007401F8" w:rsidRPr="000F79E5">
        <w:t>.</w:t>
      </w:r>
    </w:p>
    <w:p w14:paraId="28872493" w14:textId="71C38989" w:rsidR="00571235" w:rsidRPr="00A84B3C" w:rsidRDefault="00FD6C6E">
      <w:pPr>
        <w:pStyle w:val="H23G"/>
      </w:pPr>
      <w:r w:rsidRPr="001645D4">
        <w:tab/>
      </w:r>
      <w:r w:rsidRPr="001645D4">
        <w:tab/>
      </w:r>
      <w:r w:rsidR="00571235" w:rsidRPr="00A84B3C">
        <w:t xml:space="preserve">Derecho a la libertad y seguridad personal, derechos de las personas privadas </w:t>
      </w:r>
      <w:r w:rsidR="00A84B3C" w:rsidRPr="00A84B3C">
        <w:t>de</w:t>
      </w:r>
      <w:r w:rsidR="00A84B3C">
        <w:t> </w:t>
      </w:r>
      <w:r w:rsidR="00571235" w:rsidRPr="00A84B3C">
        <w:t>libertad (arts</w:t>
      </w:r>
      <w:r w:rsidR="00535776" w:rsidRPr="00A84B3C">
        <w:t>.</w:t>
      </w:r>
      <w:r w:rsidR="00535776">
        <w:t> </w:t>
      </w:r>
      <w:r w:rsidR="00571235" w:rsidRPr="00A84B3C">
        <w:t>6, 7, 9, 10, 14 y 24)</w:t>
      </w:r>
    </w:p>
    <w:p w14:paraId="6392E428" w14:textId="6C55D50D" w:rsidR="00571235" w:rsidRPr="00A84B3C" w:rsidRDefault="0023160C" w:rsidP="001645D4">
      <w:pPr>
        <w:pStyle w:val="SingleTxtG"/>
      </w:pPr>
      <w:r w:rsidRPr="00A84B3C">
        <w:t>16</w:t>
      </w:r>
      <w:r w:rsidR="00BE142C" w:rsidRPr="00A84B3C">
        <w:t>.</w:t>
      </w:r>
      <w:r w:rsidR="00BE142C" w:rsidRPr="00A84B3C">
        <w:tab/>
      </w:r>
      <w:r w:rsidR="00002604" w:rsidRPr="00A84B3C">
        <w:t>S</w:t>
      </w:r>
      <w:r w:rsidR="00571235" w:rsidRPr="00A84B3C">
        <w:t xml:space="preserve">írvanse proporcionar información sobre </w:t>
      </w:r>
      <w:r w:rsidR="00002604" w:rsidRPr="00A84B3C">
        <w:t xml:space="preserve">las garantías legales existentes para garantizar el derecho </w:t>
      </w:r>
      <w:r w:rsidR="00BB4889" w:rsidRPr="00A84B3C">
        <w:t>de</w:t>
      </w:r>
      <w:r w:rsidR="00002604" w:rsidRPr="00A84B3C">
        <w:t xml:space="preserve"> reunión, de acuerdo con el artículo</w:t>
      </w:r>
      <w:r w:rsidR="00535776">
        <w:t> </w:t>
      </w:r>
      <w:r w:rsidR="00002604" w:rsidRPr="00A84B3C">
        <w:t xml:space="preserve">21 del Pacto. Sírvanse, asimismo proporcionar información sobre </w:t>
      </w:r>
      <w:r w:rsidR="00571235" w:rsidRPr="00A84B3C">
        <w:t xml:space="preserve">el número total de personas detenidas en el contexto de las manifestaciones </w:t>
      </w:r>
      <w:r w:rsidR="00DA3DD8" w:rsidRPr="00A84B3C">
        <w:t xml:space="preserve">de </w:t>
      </w:r>
      <w:r w:rsidR="00571235" w:rsidRPr="00A84B3C">
        <w:t>2018 y 2019, con información respecto al per</w:t>
      </w:r>
      <w:r w:rsidR="002D606E" w:rsidRPr="00A84B3C">
        <w:t>í</w:t>
      </w:r>
      <w:r w:rsidR="00571235" w:rsidRPr="00A84B3C">
        <w:t>odo en que estuvieron detenid</w:t>
      </w:r>
      <w:r w:rsidR="00DA3DD8" w:rsidRPr="00A84B3C">
        <w:t>a</w:t>
      </w:r>
      <w:r w:rsidR="00571235" w:rsidRPr="00A84B3C">
        <w:t xml:space="preserve">s y el número de personas detenidas menores de 18 años. </w:t>
      </w:r>
      <w:r w:rsidR="003E12F5" w:rsidRPr="00A84B3C">
        <w:t>Por favor comenten</w:t>
      </w:r>
      <w:r w:rsidR="00571235" w:rsidRPr="00A84B3C">
        <w:t xml:space="preserve"> información recibida por el Comité </w:t>
      </w:r>
      <w:r w:rsidR="003E12F5" w:rsidRPr="00A84B3C">
        <w:t xml:space="preserve">de </w:t>
      </w:r>
      <w:r w:rsidR="00571235" w:rsidRPr="00A84B3C">
        <w:t>que muchas de las detenciones realizadas en el contexto de las manifestaciones fueron realizadas como castigo a las personas que han participado en dichas protestas.</w:t>
      </w:r>
      <w:r w:rsidR="000F79E5" w:rsidRPr="00A84B3C">
        <w:t xml:space="preserve"> </w:t>
      </w:r>
    </w:p>
    <w:p w14:paraId="1547BAAF" w14:textId="69F15160" w:rsidR="00571235" w:rsidRPr="001645D4" w:rsidRDefault="0023160C" w:rsidP="001645D4">
      <w:pPr>
        <w:pStyle w:val="SingleTxtG"/>
      </w:pPr>
      <w:r w:rsidRPr="00A84B3C">
        <w:t>17</w:t>
      </w:r>
      <w:r w:rsidR="00BE142C" w:rsidRPr="00A84B3C">
        <w:t>.</w:t>
      </w:r>
      <w:r w:rsidR="00BE142C" w:rsidRPr="00A84B3C">
        <w:tab/>
      </w:r>
      <w:r w:rsidR="00571235" w:rsidRPr="00A84B3C">
        <w:t>A la luz de las recomendaciones anteriores del Comité (</w:t>
      </w:r>
      <w:proofErr w:type="spellStart"/>
      <w:r w:rsidR="00571235" w:rsidRPr="00A84B3C">
        <w:t>CCPR</w:t>
      </w:r>
      <w:proofErr w:type="spellEnd"/>
      <w:r w:rsidR="00571235" w:rsidRPr="00A84B3C">
        <w:t xml:space="preserve">/C/NIC/CO/3, </w:t>
      </w:r>
      <w:r w:rsidR="009168E7" w:rsidRPr="00A84B3C">
        <w:t>párr.</w:t>
      </w:r>
      <w:r w:rsidR="00535776">
        <w:t> </w:t>
      </w:r>
      <w:r w:rsidR="00571235" w:rsidRPr="00A84B3C">
        <w:t>16), sírvanse comentar denuncias recibidas por el Comité sobre: a) arrestos y detenciones realizados sin órdenes judiciales o por mandato de autoridad no competente y durante la noche en domicilios de personas</w:t>
      </w:r>
      <w:r w:rsidR="00CD3EF2" w:rsidRPr="00A84B3C">
        <w:t xml:space="preserve">, incluyendo información sobre las personas </w:t>
      </w:r>
      <w:r w:rsidR="00571235" w:rsidRPr="00A84B3C">
        <w:t xml:space="preserve">que participaron de las protestas de 2018; b) casos en que detenidos en el contexto de las manifestaciones permanecieron recluidos semanas o meses sin ser llevados ante un juez y sin tener acceso a un abogado; c) casos en que la policía no ha comunicado el motivo de detención ni el lugar donde se ha recluido </w:t>
      </w:r>
      <w:r w:rsidR="00DA3DD8" w:rsidRPr="00A84B3C">
        <w:t xml:space="preserve">a </w:t>
      </w:r>
      <w:r w:rsidR="00571235" w:rsidRPr="00A84B3C">
        <w:t xml:space="preserve">personas detenidas en el contexto de las manifestaciones; y d) casos de personas que fueron detenidas en comisarías, centros de detención y vehículos policiales para impedirles participar </w:t>
      </w:r>
      <w:r w:rsidR="00DA3DD8" w:rsidRPr="00A84B3C">
        <w:t xml:space="preserve">en </w:t>
      </w:r>
      <w:r w:rsidR="00571235" w:rsidRPr="00A84B3C">
        <w:t xml:space="preserve">las manifestaciones ocurridas en 2018. Sírvanse asimismo proporcionar información sobre la existencia de un </w:t>
      </w:r>
      <w:r w:rsidRPr="00A84B3C">
        <w:t xml:space="preserve">sistema de </w:t>
      </w:r>
      <w:r w:rsidR="00571235" w:rsidRPr="00A84B3C">
        <w:t xml:space="preserve">registro de personas detenidas </w:t>
      </w:r>
      <w:r w:rsidRPr="00A84B3C">
        <w:t xml:space="preserve">y si dicho registro ha sido utilizado </w:t>
      </w:r>
      <w:r w:rsidR="00571235" w:rsidRPr="00A84B3C">
        <w:t>en el contexto de las manifestaciones</w:t>
      </w:r>
      <w:r w:rsidRPr="00A84B3C">
        <w:t xml:space="preserve">. Comenten asimismo </w:t>
      </w:r>
      <w:r w:rsidR="00571235" w:rsidRPr="00A84B3C">
        <w:t xml:space="preserve">información recibida por el Comité </w:t>
      </w:r>
      <w:r w:rsidR="00DA3DD8" w:rsidRPr="00A84B3C">
        <w:t xml:space="preserve">de </w:t>
      </w:r>
      <w:proofErr w:type="gramStart"/>
      <w:r w:rsidR="00571235" w:rsidRPr="00A84B3C">
        <w:t>que</w:t>
      </w:r>
      <w:proofErr w:type="gramEnd"/>
      <w:r w:rsidR="00571235" w:rsidRPr="00A84B3C">
        <w:t xml:space="preserve"> debido a la falta de información oficial sobre el número</w:t>
      </w:r>
      <w:r w:rsidRPr="00A84B3C">
        <w:t>,</w:t>
      </w:r>
      <w:r w:rsidR="00571235" w:rsidRPr="00A84B3C">
        <w:t xml:space="preserve"> identidad de las personas detenidas</w:t>
      </w:r>
      <w:r w:rsidRPr="00A84B3C">
        <w:t xml:space="preserve"> y</w:t>
      </w:r>
      <w:r w:rsidR="00571235" w:rsidRPr="00A84B3C">
        <w:t xml:space="preserve"> lugar de detención, muchos familiares</w:t>
      </w:r>
      <w:r w:rsidRPr="00A84B3C">
        <w:t xml:space="preserve"> de personas detenidas durante las manifestaciones de 2018 y 2019</w:t>
      </w:r>
      <w:r w:rsidR="00571235" w:rsidRPr="00A84B3C">
        <w:t xml:space="preserve"> acamparon en las afueras del centro de detención </w:t>
      </w:r>
      <w:r w:rsidR="000F79E5" w:rsidRPr="00A84B3C">
        <w:t>“</w:t>
      </w:r>
      <w:r w:rsidR="00571235" w:rsidRPr="00A84B3C">
        <w:t>El Chipote</w:t>
      </w:r>
      <w:r w:rsidR="000F79E5" w:rsidRPr="00A84B3C">
        <w:t>”</w:t>
      </w:r>
      <w:r w:rsidR="00571235" w:rsidRPr="00A84B3C">
        <w:t xml:space="preserve"> por días e incluso semanas para obtener dicha información.</w:t>
      </w:r>
    </w:p>
    <w:p w14:paraId="7BD1917B" w14:textId="56FEB0EE" w:rsidR="00571235" w:rsidRPr="00A84B3C" w:rsidRDefault="0023160C" w:rsidP="001645D4">
      <w:pPr>
        <w:pStyle w:val="SingleTxtG"/>
      </w:pPr>
      <w:r w:rsidRPr="00A84B3C">
        <w:t>18</w:t>
      </w:r>
      <w:r w:rsidR="00BE142C" w:rsidRPr="00A84B3C">
        <w:t>.</w:t>
      </w:r>
      <w:r w:rsidR="00BE142C" w:rsidRPr="00A84B3C">
        <w:tab/>
      </w:r>
      <w:r w:rsidR="00571235" w:rsidRPr="00A84B3C">
        <w:t xml:space="preserve">Sírvanse proporcionar información sobre la eficacia del recurso de </w:t>
      </w:r>
      <w:r w:rsidR="00571235" w:rsidRPr="00A84B3C">
        <w:rPr>
          <w:i/>
        </w:rPr>
        <w:t>habeas corpus</w:t>
      </w:r>
      <w:r w:rsidR="00571235" w:rsidRPr="001645D4">
        <w:t xml:space="preserve"> </w:t>
      </w:r>
      <w:r w:rsidR="00571235" w:rsidRPr="00A84B3C">
        <w:t>y comenten información recibida por el Comité según la cual dicho recurso fue, en varios casos, ineficaz para remediar detenciones arbitrarias de personas que participaron de las manifestaciones ocurridas</w:t>
      </w:r>
      <w:r w:rsidR="003E12F5" w:rsidRPr="00A84B3C">
        <w:t xml:space="preserve"> en</w:t>
      </w:r>
      <w:r w:rsidR="00632FAD" w:rsidRPr="00A84B3C">
        <w:t xml:space="preserve"> </w:t>
      </w:r>
      <w:r w:rsidR="00AF154B" w:rsidRPr="00A84B3C">
        <w:t>2018 y</w:t>
      </w:r>
      <w:r w:rsidR="003E12F5" w:rsidRPr="00A84B3C">
        <w:t xml:space="preserve"> 2019</w:t>
      </w:r>
      <w:r w:rsidR="00571235" w:rsidRPr="00A84B3C">
        <w:t xml:space="preserve">. </w:t>
      </w:r>
    </w:p>
    <w:p w14:paraId="31C70795" w14:textId="378BDDC5" w:rsidR="00571235" w:rsidRPr="00A84B3C" w:rsidRDefault="0023160C" w:rsidP="001645D4">
      <w:pPr>
        <w:pStyle w:val="SingleTxtG"/>
      </w:pPr>
      <w:r w:rsidRPr="00A84B3C">
        <w:t>19</w:t>
      </w:r>
      <w:r w:rsidR="00BE142C" w:rsidRPr="00A84B3C">
        <w:t>.</w:t>
      </w:r>
      <w:r w:rsidR="00BE142C" w:rsidRPr="00A84B3C">
        <w:tab/>
      </w:r>
      <w:r w:rsidR="00571235" w:rsidRPr="00A84B3C">
        <w:t xml:space="preserve">Sírvanse proporcionar información sobre el uso de </w:t>
      </w:r>
      <w:r w:rsidR="00C20A9A" w:rsidRPr="00A84B3C">
        <w:t xml:space="preserve">la </w:t>
      </w:r>
      <w:r w:rsidR="00571235" w:rsidRPr="00A84B3C">
        <w:t>prisión preventiva y la promoción del uso de medidas alternativas a la prisión preventiva. Sírvanse comentar información proporcionada al Comité sobre el uso exacerbado de la prisión preventiva</w:t>
      </w:r>
      <w:r w:rsidR="00C6749A" w:rsidRPr="00A84B3C">
        <w:t>, incluyendo</w:t>
      </w:r>
      <w:r w:rsidR="00571235" w:rsidRPr="00A84B3C">
        <w:t xml:space="preserve"> en el contexto de las manifestaciones sociales. Sírvanse </w:t>
      </w:r>
      <w:r w:rsidR="00571235" w:rsidRPr="001645D4">
        <w:t xml:space="preserve">precisar </w:t>
      </w:r>
      <w:r w:rsidR="00571235" w:rsidRPr="00A84B3C">
        <w:t>también las medidas adoptadas para garantizar la separación entre presos condenados y preventivos y entre adultos y menores.</w:t>
      </w:r>
      <w:r w:rsidR="000F79E5" w:rsidRPr="001645D4">
        <w:t xml:space="preserve"> </w:t>
      </w:r>
    </w:p>
    <w:p w14:paraId="3B7AA82F" w14:textId="3C289D34" w:rsidR="00571235" w:rsidRPr="00A84B3C" w:rsidRDefault="00571235" w:rsidP="001645D4">
      <w:pPr>
        <w:pStyle w:val="H23G"/>
      </w:pPr>
      <w:r w:rsidRPr="00A84B3C">
        <w:tab/>
      </w:r>
      <w:r w:rsidRPr="00A84B3C">
        <w:tab/>
        <w:t>Libertades de expresión y asociación</w:t>
      </w:r>
      <w:r w:rsidR="00937BDE" w:rsidRPr="00A84B3C">
        <w:t xml:space="preserve"> e </w:t>
      </w:r>
      <w:r w:rsidR="00937BDE" w:rsidRPr="001645D4">
        <w:t>injerencias arbitrarias o ilegales en</w:t>
      </w:r>
      <w:r w:rsidR="00A84B3C">
        <w:t> </w:t>
      </w:r>
      <w:r w:rsidR="00937BDE" w:rsidRPr="001645D4">
        <w:t>la</w:t>
      </w:r>
      <w:r w:rsidR="00A84B3C">
        <w:t> </w:t>
      </w:r>
      <w:r w:rsidR="00937BDE" w:rsidRPr="001645D4">
        <w:t>vida</w:t>
      </w:r>
      <w:r w:rsidR="00A84B3C">
        <w:t> </w:t>
      </w:r>
      <w:r w:rsidR="00937BDE" w:rsidRPr="001645D4">
        <w:t>privada</w:t>
      </w:r>
      <w:r w:rsidRPr="00A84B3C">
        <w:t xml:space="preserve"> (art</w:t>
      </w:r>
      <w:r w:rsidR="00C20A9A" w:rsidRPr="00A84B3C">
        <w:t>s.</w:t>
      </w:r>
      <w:r w:rsidR="00535776">
        <w:t> </w:t>
      </w:r>
      <w:r w:rsidRPr="00A84B3C">
        <w:t xml:space="preserve">6, 7, 9, </w:t>
      </w:r>
      <w:r w:rsidR="00937BDE" w:rsidRPr="00A84B3C">
        <w:t xml:space="preserve">17, </w:t>
      </w:r>
      <w:r w:rsidRPr="00A84B3C">
        <w:t>19, 21 y 22)</w:t>
      </w:r>
    </w:p>
    <w:p w14:paraId="6B92F0BB" w14:textId="1C9F4527" w:rsidR="00571235" w:rsidRPr="001645D4" w:rsidRDefault="00937BDE" w:rsidP="001645D4">
      <w:pPr>
        <w:pStyle w:val="SingleTxtG"/>
      </w:pPr>
      <w:r w:rsidRPr="00A84B3C">
        <w:t>20</w:t>
      </w:r>
      <w:r w:rsidR="00BE142C" w:rsidRPr="00A84B3C">
        <w:t>.</w:t>
      </w:r>
      <w:r w:rsidR="00BE142C" w:rsidRPr="00A84B3C">
        <w:tab/>
      </w:r>
      <w:r w:rsidR="00571235" w:rsidRPr="00A84B3C">
        <w:t xml:space="preserve">Sírvanse proporcionar información sobre la aplicación de la Ley </w:t>
      </w:r>
      <w:r w:rsidR="00C20A9A" w:rsidRPr="00A84B3C">
        <w:t>núm.</w:t>
      </w:r>
      <w:r w:rsidR="00266BED">
        <w:t> </w:t>
      </w:r>
      <w:r w:rsidR="00571235" w:rsidRPr="00A84B3C">
        <w:t>872 de Organización, Funciones, Carrera y Régimen Especial de Seguridad Social de la Policía Nacional (2014) respecto a</w:t>
      </w:r>
      <w:r w:rsidR="00C20A9A" w:rsidRPr="00A84B3C">
        <w:t>l otorgamiento</w:t>
      </w:r>
      <w:r w:rsidR="00571235" w:rsidRPr="00A84B3C">
        <w:t xml:space="preserve"> de permisos y autorizaciones para la celebración </w:t>
      </w:r>
      <w:r w:rsidR="00571235" w:rsidRPr="00A84B3C">
        <w:lastRenderedPageBreak/>
        <w:t xml:space="preserve">de eventos o actividades especiales y comenten la información proporcionada al Comité </w:t>
      </w:r>
      <w:r w:rsidR="00034CEF" w:rsidRPr="00A84B3C">
        <w:t xml:space="preserve">de </w:t>
      </w:r>
      <w:r w:rsidR="00571235" w:rsidRPr="00A84B3C">
        <w:t xml:space="preserve">que dicha </w:t>
      </w:r>
      <w:r w:rsidR="00034CEF" w:rsidRPr="00A84B3C">
        <w:t>L</w:t>
      </w:r>
      <w:r w:rsidR="00571235" w:rsidRPr="00A84B3C">
        <w:t xml:space="preserve">ey es aplicada de manera restrictiva y que repetidamente se han denegado solicitudes en violación del Pacto. </w:t>
      </w:r>
    </w:p>
    <w:p w14:paraId="7F2A3815" w14:textId="7911DDCA" w:rsidR="00E1341F" w:rsidRPr="001645D4" w:rsidRDefault="00E1341F" w:rsidP="001645D4">
      <w:pPr>
        <w:pStyle w:val="SingleTxtG"/>
      </w:pPr>
      <w:r w:rsidRPr="00A84B3C">
        <w:t>21</w:t>
      </w:r>
      <w:r w:rsidR="00BE142C" w:rsidRPr="00A84B3C">
        <w:t>.</w:t>
      </w:r>
      <w:r w:rsidR="00BE142C" w:rsidRPr="00A84B3C">
        <w:tab/>
      </w:r>
      <w:r w:rsidR="00937BDE" w:rsidRPr="00A84B3C">
        <w:t>Sírvanse proporcionar información sobre las garantías existentes para asegurar el derecho a la libertad de expresión, de acuerdo con el artículo</w:t>
      </w:r>
      <w:r w:rsidR="00535776">
        <w:t> </w:t>
      </w:r>
      <w:r w:rsidR="00937BDE" w:rsidRPr="00A84B3C">
        <w:t xml:space="preserve">19 del Pacto. </w:t>
      </w:r>
      <w:r w:rsidR="00571235" w:rsidRPr="00A84B3C">
        <w:t xml:space="preserve">En relación con los hechos sucedidos entre </w:t>
      </w:r>
      <w:r w:rsidR="00DA7D23" w:rsidRPr="00A84B3C">
        <w:t>abril de 2018 y agosto de 2019</w:t>
      </w:r>
      <w:r w:rsidR="00571235" w:rsidRPr="00A84B3C">
        <w:t xml:space="preserve">, sírvanse responder </w:t>
      </w:r>
      <w:r w:rsidR="00034CEF" w:rsidRPr="00A84B3C">
        <w:t xml:space="preserve">a </w:t>
      </w:r>
      <w:r w:rsidR="00571235" w:rsidRPr="00A84B3C">
        <w:t>informes que dan cuenta de restricciones arbitrarias de la libertad de expresión a trabajadores de los medios de comunicación, periodistas y defensores de los derechos humanos. En particular, sírvanse proporcionar información sobre el arresto de Miguel Mora y Lucía Pineda, propi</w:t>
      </w:r>
      <w:r w:rsidR="008677CA" w:rsidRPr="00A84B3C">
        <w:t>etario y director y directora</w:t>
      </w:r>
      <w:r w:rsidR="00571235" w:rsidRPr="00A84B3C">
        <w:t>, respectivamente, de la estación de televisión 100</w:t>
      </w:r>
      <w:r w:rsidR="000F79E5" w:rsidRPr="00A84B3C">
        <w:t> </w:t>
      </w:r>
      <w:r w:rsidR="00571235" w:rsidRPr="00A84B3C">
        <w:t>% Noticias, quienes fueron acusados de incitación al odio y delitos relacionados con el terrorismo. Sírvanse proporcionar información sobre la presunta fuga de periodista</w:t>
      </w:r>
      <w:r w:rsidR="00DA7D23" w:rsidRPr="00A84B3C">
        <w:t>s</w:t>
      </w:r>
      <w:r w:rsidR="00571235" w:rsidRPr="00A84B3C">
        <w:t xml:space="preserve"> desde el Estado parte por la situación de amenaza y restricciones impuestas a la libertad de </w:t>
      </w:r>
      <w:r w:rsidR="00571235" w:rsidRPr="001645D4">
        <w:t xml:space="preserve">expresión, lo cual según fuentes suman alrededor de 100 periodistas que han dejado el país. </w:t>
      </w:r>
    </w:p>
    <w:p w14:paraId="11B66B1A" w14:textId="5BF538E6" w:rsidR="00AF154B" w:rsidRPr="001645D4" w:rsidRDefault="00E1341F" w:rsidP="001645D4">
      <w:pPr>
        <w:pStyle w:val="SingleTxtG"/>
      </w:pPr>
      <w:r w:rsidRPr="001645D4">
        <w:t>22.</w:t>
      </w:r>
      <w:r w:rsidR="00AF154B" w:rsidRPr="001645D4">
        <w:tab/>
      </w:r>
      <w:r w:rsidRPr="001645D4">
        <w:t>Sírvanse comentar informes que dan cuenta de</w:t>
      </w:r>
      <w:r w:rsidR="00A82D89" w:rsidRPr="001645D4">
        <w:t>l</w:t>
      </w:r>
      <w:r w:rsidRPr="001645D4">
        <w:t xml:space="preserve"> </w:t>
      </w:r>
      <w:r w:rsidR="00A82D89" w:rsidRPr="001645D4">
        <w:t xml:space="preserve">monitoreo indebido por parte de autoridades estatales de llamadas telefónicas y de contenido de </w:t>
      </w:r>
      <w:r w:rsidR="00034CEF" w:rsidRPr="001645D4">
        <w:t>I</w:t>
      </w:r>
      <w:r w:rsidR="00A82D89" w:rsidRPr="001645D4">
        <w:t>nternet de la sociedad civil y periodistas</w:t>
      </w:r>
      <w:r w:rsidR="00632FAD" w:rsidRPr="001645D4">
        <w:t>,</w:t>
      </w:r>
      <w:r w:rsidR="00A82D89" w:rsidRPr="001645D4">
        <w:t xml:space="preserve"> y </w:t>
      </w:r>
      <w:r w:rsidR="00632FAD" w:rsidRPr="001645D4">
        <w:t xml:space="preserve">de </w:t>
      </w:r>
      <w:r w:rsidR="00A82D89" w:rsidRPr="001645D4">
        <w:t>que los sitios web de los medios han sido objeto de repetidos ataques cibernéticos.</w:t>
      </w:r>
    </w:p>
    <w:p w14:paraId="1E378676" w14:textId="3625E5A1" w:rsidR="00571235" w:rsidRPr="00A84B3C" w:rsidRDefault="00AF6485" w:rsidP="001645D4">
      <w:pPr>
        <w:pStyle w:val="SingleTxtG"/>
      </w:pPr>
      <w:r w:rsidRPr="001645D4">
        <w:t>23</w:t>
      </w:r>
      <w:r w:rsidR="00BE142C" w:rsidRPr="001645D4">
        <w:t>.</w:t>
      </w:r>
      <w:r w:rsidR="00BE142C" w:rsidRPr="001645D4">
        <w:tab/>
      </w:r>
      <w:r w:rsidR="00571235" w:rsidRPr="001645D4">
        <w:t>A la luz de las recomendaciones anteriores del Comité (</w:t>
      </w:r>
      <w:proofErr w:type="spellStart"/>
      <w:r w:rsidR="00571235" w:rsidRPr="001645D4">
        <w:t>CCPR</w:t>
      </w:r>
      <w:proofErr w:type="spellEnd"/>
      <w:r w:rsidR="00571235" w:rsidRPr="001645D4">
        <w:t>/C/NIC/CO/3, p</w:t>
      </w:r>
      <w:r w:rsidR="00034CEF" w:rsidRPr="001645D4">
        <w:t>árr</w:t>
      </w:r>
      <w:r w:rsidR="00571235" w:rsidRPr="001645D4">
        <w:t>.</w:t>
      </w:r>
      <w:r w:rsidR="00535776">
        <w:t> </w:t>
      </w:r>
      <w:r w:rsidR="00571235" w:rsidRPr="001645D4">
        <w:t>19)</w:t>
      </w:r>
      <w:r w:rsidR="001D7B07" w:rsidRPr="001645D4">
        <w:t xml:space="preserve"> y</w:t>
      </w:r>
      <w:r w:rsidR="00571235" w:rsidRPr="001645D4">
        <w:t xml:space="preserve"> del informe </w:t>
      </w:r>
      <w:r w:rsidR="00CC4B83" w:rsidRPr="001645D4">
        <w:t xml:space="preserve">para </w:t>
      </w:r>
      <w:r w:rsidR="00571235" w:rsidRPr="001645D4">
        <w:t xml:space="preserve">el seguimiento de las observaciones finales del Comité, sírvanse proporcionar información actualizada sobre las medidas adoptadas para prevenir el hostigamiento, acoso, amenazas y ataques violentos en contra de defensores de derechos humanos. Sírvanse comentar información que da cuenta </w:t>
      </w:r>
      <w:r w:rsidR="00632FAD" w:rsidRPr="001645D4">
        <w:t xml:space="preserve">de </w:t>
      </w:r>
      <w:r w:rsidR="00571235" w:rsidRPr="001645D4">
        <w:t xml:space="preserve">que, entre 2018 y </w:t>
      </w:r>
      <w:r w:rsidR="00571235" w:rsidRPr="001645D4">
        <w:rPr>
          <w:rFonts w:hint="eastAsia"/>
        </w:rPr>
        <w:t xml:space="preserve">2019, </w:t>
      </w:r>
      <w:r w:rsidR="005C6654" w:rsidRPr="001645D4">
        <w:rPr>
          <w:rFonts w:hint="eastAsia"/>
        </w:rPr>
        <w:t>299</w:t>
      </w:r>
      <w:r w:rsidR="005C6654">
        <w:t> </w:t>
      </w:r>
      <w:r w:rsidR="00571235" w:rsidRPr="001645D4">
        <w:rPr>
          <w:rFonts w:hint="eastAsia"/>
        </w:rPr>
        <w:t>defensores de derechos humanos fueron objeto de ataques, intimidaciones, campañas de difamación, detención ilegal, tortura y malos tratos</w:t>
      </w:r>
      <w:r w:rsidR="00632FAD" w:rsidRPr="001645D4">
        <w:rPr>
          <w:rFonts w:hint="eastAsia"/>
        </w:rPr>
        <w:t>,</w:t>
      </w:r>
      <w:r w:rsidR="00571235" w:rsidRPr="001645D4">
        <w:rPr>
          <w:rFonts w:hint="eastAsia"/>
        </w:rPr>
        <w:t xml:space="preserve"> y que muchas de las víctimas representaban organizaciones de la sociedad civil creadas en el contexto de la crisis sociopolítica. Sírvanse asimismo proporcionar el</w:t>
      </w:r>
      <w:r w:rsidR="00571235" w:rsidRPr="00A84B3C">
        <w:t xml:space="preserve"> número de denuncias recibidas y de procesos penales relativos a dichos hechos y sus resultados, incluyendo condenas impuestas a los responsables y medidas de reparación otorgadas a las víctimas. </w:t>
      </w:r>
    </w:p>
    <w:p w14:paraId="532E1151" w14:textId="52304CDF" w:rsidR="00571235" w:rsidRPr="001645D4" w:rsidRDefault="00AF6485" w:rsidP="001645D4">
      <w:pPr>
        <w:pStyle w:val="SingleTxtG"/>
      </w:pPr>
      <w:r w:rsidRPr="00A84B3C">
        <w:t>24</w:t>
      </w:r>
      <w:r w:rsidR="00BE142C" w:rsidRPr="00A84B3C">
        <w:t>.</w:t>
      </w:r>
      <w:r w:rsidR="00BE142C" w:rsidRPr="00A84B3C">
        <w:tab/>
      </w:r>
      <w:r w:rsidR="00571235" w:rsidRPr="00A84B3C">
        <w:t xml:space="preserve">Con base en la reciente crisis sociopolítica y los hechos ocurridos entre 2018 y 2019, sírvanse proporcionar información sobre </w:t>
      </w:r>
      <w:r w:rsidR="00571235" w:rsidRPr="001645D4">
        <w:rPr>
          <w:rFonts w:hint="eastAsia"/>
        </w:rPr>
        <w:t xml:space="preserve">la cancelación del registro de nueve organizaciones de la sociedad civil en noviembre y diciembre de 2018 y las garantías legales existentes </w:t>
      </w:r>
      <w:r w:rsidR="002619AC" w:rsidRPr="001645D4">
        <w:rPr>
          <w:rFonts w:hint="eastAsia"/>
        </w:rPr>
        <w:t>par</w:t>
      </w:r>
      <w:r w:rsidR="00571235" w:rsidRPr="001645D4">
        <w:rPr>
          <w:rFonts w:hint="eastAsia"/>
        </w:rPr>
        <w:t xml:space="preserve">a las organizaciones de la sociedad civil que tuvieron su registro cancelado. Sírvanse, asimismo, proporcionar información sobre la Ley </w:t>
      </w:r>
      <w:r w:rsidR="00034CEF" w:rsidRPr="001645D4">
        <w:rPr>
          <w:rFonts w:hint="eastAsia"/>
        </w:rPr>
        <w:t>núm.</w:t>
      </w:r>
      <w:r w:rsidR="00266BED">
        <w:t> </w:t>
      </w:r>
      <w:r w:rsidR="00571235" w:rsidRPr="001645D4">
        <w:rPr>
          <w:rFonts w:hint="eastAsia"/>
        </w:rPr>
        <w:t xml:space="preserve">976 y su reglamentación mediante el Decreto Ejecutivo </w:t>
      </w:r>
      <w:r w:rsidR="00034CEF" w:rsidRPr="001645D4">
        <w:rPr>
          <w:rFonts w:hint="eastAsia"/>
        </w:rPr>
        <w:t>núm</w:t>
      </w:r>
      <w:r w:rsidR="00571235" w:rsidRPr="001645D4">
        <w:rPr>
          <w:rFonts w:hint="eastAsia"/>
        </w:rPr>
        <w:t>.</w:t>
      </w:r>
      <w:r w:rsidR="00266BED">
        <w:t> </w:t>
      </w:r>
      <w:r w:rsidR="00571235" w:rsidRPr="001645D4">
        <w:rPr>
          <w:rFonts w:hint="eastAsia"/>
        </w:rPr>
        <w:t xml:space="preserve">14-2018 que, según información proporcionada al Comité, otorga al Estado facultades para dictar medidas discrecionales y arbitrarias que pueden restringir el acceso de las organizaciones a fondos internacionales, así como criminalizar y cancelar personerías jurídicas </w:t>
      </w:r>
      <w:proofErr w:type="gramStart"/>
      <w:r w:rsidR="00571235" w:rsidRPr="001645D4">
        <w:rPr>
          <w:rFonts w:hint="eastAsia"/>
        </w:rPr>
        <w:t>en razón del</w:t>
      </w:r>
      <w:proofErr w:type="gramEnd"/>
      <w:r w:rsidR="00571235" w:rsidRPr="001645D4">
        <w:rPr>
          <w:rFonts w:hint="eastAsia"/>
        </w:rPr>
        <w:t xml:space="preserve"> origen del financiamiento.</w:t>
      </w:r>
      <w:r w:rsidR="000F79E5" w:rsidRPr="001645D4">
        <w:rPr>
          <w:rFonts w:hint="eastAsia"/>
        </w:rPr>
        <w:t xml:space="preserve"> </w:t>
      </w:r>
    </w:p>
    <w:p w14:paraId="295B2FF6" w14:textId="000E1347" w:rsidR="00571235" w:rsidRPr="001645D4" w:rsidRDefault="00AF6485" w:rsidP="001645D4">
      <w:pPr>
        <w:pStyle w:val="SingleTxtG"/>
      </w:pPr>
      <w:r w:rsidRPr="001645D4">
        <w:rPr>
          <w:rFonts w:hint="eastAsia"/>
        </w:rPr>
        <w:t>25</w:t>
      </w:r>
      <w:r w:rsidR="00377615" w:rsidRPr="001645D4">
        <w:rPr>
          <w:rFonts w:hint="eastAsia"/>
        </w:rPr>
        <w:t>.</w:t>
      </w:r>
      <w:r w:rsidR="00BE142C" w:rsidRPr="001645D4">
        <w:rPr>
          <w:rFonts w:hint="eastAsia"/>
        </w:rPr>
        <w:tab/>
      </w:r>
      <w:r w:rsidR="00571235" w:rsidRPr="001645D4">
        <w:rPr>
          <w:rFonts w:hint="eastAsia"/>
        </w:rPr>
        <w:t xml:space="preserve">Sírvanse proporcionar información sobre la interpretación del delito de terrorismo en el Código Penal y en la Ley </w:t>
      </w:r>
      <w:r w:rsidR="00034CEF" w:rsidRPr="001645D4">
        <w:rPr>
          <w:rFonts w:hint="eastAsia"/>
        </w:rPr>
        <w:t>núm.</w:t>
      </w:r>
      <w:r w:rsidR="00266BED">
        <w:t> </w:t>
      </w:r>
      <w:r w:rsidR="00034CEF" w:rsidRPr="001645D4">
        <w:rPr>
          <w:rFonts w:hint="eastAsia"/>
        </w:rPr>
        <w:t xml:space="preserve">977 </w:t>
      </w:r>
      <w:r w:rsidR="00571235" w:rsidRPr="001645D4">
        <w:rPr>
          <w:rFonts w:hint="eastAsia"/>
        </w:rPr>
        <w:t>contra el lavado de activos, el financiamiento al terrorismo y el financiamiento a la proliferación de armas de destrucción masiva</w:t>
      </w:r>
      <w:r w:rsidRPr="001645D4">
        <w:rPr>
          <w:rFonts w:hint="eastAsia"/>
        </w:rPr>
        <w:t xml:space="preserve">. Por favor, </w:t>
      </w:r>
      <w:r w:rsidR="00571235" w:rsidRPr="001645D4">
        <w:rPr>
          <w:rFonts w:hint="eastAsia"/>
        </w:rPr>
        <w:t xml:space="preserve">comenten denuncias recibidas por el Comité </w:t>
      </w:r>
      <w:r w:rsidR="00034CEF" w:rsidRPr="001645D4">
        <w:rPr>
          <w:rFonts w:hint="eastAsia"/>
        </w:rPr>
        <w:t xml:space="preserve">de </w:t>
      </w:r>
      <w:r w:rsidR="00571235" w:rsidRPr="001645D4">
        <w:rPr>
          <w:rFonts w:hint="eastAsia"/>
        </w:rPr>
        <w:t xml:space="preserve">que se ha utilizado de la figura penal de terrorismo para castigar </w:t>
      </w:r>
      <w:r w:rsidRPr="001645D4">
        <w:rPr>
          <w:rFonts w:hint="eastAsia"/>
        </w:rPr>
        <w:t>voces disidentes y periodistas en violación al Pacto</w:t>
      </w:r>
      <w:r w:rsidR="00030912" w:rsidRPr="001645D4">
        <w:rPr>
          <w:rFonts w:hint="eastAsia"/>
        </w:rPr>
        <w:t>,</w:t>
      </w:r>
      <w:r w:rsidRPr="001645D4">
        <w:rPr>
          <w:rFonts w:hint="eastAsia"/>
        </w:rPr>
        <w:t xml:space="preserve"> </w:t>
      </w:r>
      <w:r w:rsidR="00571235" w:rsidRPr="001645D4">
        <w:rPr>
          <w:rFonts w:hint="eastAsia"/>
        </w:rPr>
        <w:t xml:space="preserve">incluyendo los derechos protegidos en los </w:t>
      </w:r>
      <w:r w:rsidR="00535776" w:rsidRPr="001645D4">
        <w:rPr>
          <w:rFonts w:hint="eastAsia"/>
        </w:rPr>
        <w:t>artículos</w:t>
      </w:r>
      <w:r w:rsidR="00535776">
        <w:t> </w:t>
      </w:r>
      <w:r w:rsidR="00571235" w:rsidRPr="001645D4">
        <w:rPr>
          <w:rFonts w:hint="eastAsia"/>
        </w:rPr>
        <w:t xml:space="preserve">19, 21 y 22. </w:t>
      </w:r>
    </w:p>
    <w:p w14:paraId="2A4BBA8C" w14:textId="05A3CDD7" w:rsidR="00571235" w:rsidRPr="00A84B3C" w:rsidRDefault="000758FB">
      <w:pPr>
        <w:pStyle w:val="H23G"/>
      </w:pPr>
      <w:r w:rsidRPr="00A84B3C">
        <w:tab/>
      </w:r>
      <w:r w:rsidRPr="00A84B3C">
        <w:tab/>
      </w:r>
      <w:r w:rsidR="00571235" w:rsidRPr="00A84B3C">
        <w:t xml:space="preserve">Derechos de los pueblos indígenas </w:t>
      </w:r>
      <w:r w:rsidR="00023797" w:rsidRPr="00A84B3C">
        <w:t xml:space="preserve">y otras minorías </w:t>
      </w:r>
      <w:r w:rsidR="00571235" w:rsidRPr="00A84B3C">
        <w:t>(art</w:t>
      </w:r>
      <w:r w:rsidR="006F7095" w:rsidRPr="00A84B3C">
        <w:t>s.</w:t>
      </w:r>
      <w:r w:rsidR="00535776">
        <w:t> </w:t>
      </w:r>
      <w:r w:rsidR="00571235" w:rsidRPr="00A84B3C">
        <w:t>2, 26 y 27)</w:t>
      </w:r>
    </w:p>
    <w:p w14:paraId="36405FF5" w14:textId="03B7322A" w:rsidR="00571235" w:rsidRPr="00A84B3C" w:rsidRDefault="00854CC1" w:rsidP="001645D4">
      <w:pPr>
        <w:pStyle w:val="SingleTxtG"/>
      </w:pPr>
      <w:r w:rsidRPr="00A84B3C">
        <w:t>26</w:t>
      </w:r>
      <w:r w:rsidR="00BE142C" w:rsidRPr="00A84B3C">
        <w:t>.</w:t>
      </w:r>
      <w:r w:rsidR="00BE142C" w:rsidRPr="00A84B3C">
        <w:tab/>
      </w:r>
      <w:r w:rsidR="00571235" w:rsidRPr="00A84B3C">
        <w:t>A la luz de las recomendaciones anteriores del Comité (</w:t>
      </w:r>
      <w:proofErr w:type="spellStart"/>
      <w:r w:rsidR="00571235" w:rsidRPr="00A84B3C">
        <w:t>CCPR</w:t>
      </w:r>
      <w:proofErr w:type="spellEnd"/>
      <w:r w:rsidR="00571235" w:rsidRPr="00A84B3C">
        <w:t xml:space="preserve">/C/NIC/CO/3, </w:t>
      </w:r>
      <w:r w:rsidR="00D526D0" w:rsidRPr="00A84B3C">
        <w:t>párr</w:t>
      </w:r>
      <w:r w:rsidR="00571235" w:rsidRPr="00A84B3C">
        <w:t>.</w:t>
      </w:r>
      <w:r w:rsidR="00535776">
        <w:t> </w:t>
      </w:r>
      <w:r w:rsidR="00571235" w:rsidRPr="00A84B3C">
        <w:t>21), sírvanse proporcionar información sobre la normativa de los mecanismos o procesos de consulta existente</w:t>
      </w:r>
      <w:r w:rsidR="00001F16" w:rsidRPr="00A84B3C">
        <w:t>s</w:t>
      </w:r>
      <w:r w:rsidR="00571235" w:rsidRPr="00A84B3C">
        <w:t xml:space="preserve"> </w:t>
      </w:r>
      <w:r w:rsidR="00023797" w:rsidRPr="00A84B3C">
        <w:t>con miras a garantizar</w:t>
      </w:r>
      <w:r w:rsidR="00571235" w:rsidRPr="00A84B3C">
        <w:t xml:space="preserve"> el consentimiento previo, libre e informado de los pueblos indígenas acerca de medidas legislativas o administrativas susceptibles de afectarles directamente, así como ejemplos de consultas que se hayan realizado durante el período en estudio. En concreto, proporcionen información sobre el procedimiento de consulta </w:t>
      </w:r>
      <w:r w:rsidR="00DA7D23" w:rsidRPr="00A84B3C">
        <w:t>respecto</w:t>
      </w:r>
      <w:r w:rsidR="00571235" w:rsidRPr="00A84B3C">
        <w:t xml:space="preserve"> </w:t>
      </w:r>
      <w:r w:rsidR="00DA7D23" w:rsidRPr="00A84B3C">
        <w:t>a</w:t>
      </w:r>
      <w:r w:rsidR="00571235" w:rsidRPr="00A84B3C">
        <w:t xml:space="preserve">l proyecto del Gran Canal Interoceánico. Sírvanse proporcionar información sobre </w:t>
      </w:r>
      <w:r w:rsidR="00023797" w:rsidRPr="00A84B3C">
        <w:t xml:space="preserve">las medidas tomadas para proteger </w:t>
      </w:r>
      <w:r w:rsidR="00571235" w:rsidRPr="00A84B3C">
        <w:t xml:space="preserve">los territorios indígenas y afrodescendientes con la realización de la etapa de saneamiento y comenten informes que </w:t>
      </w:r>
      <w:r w:rsidR="00571235" w:rsidRPr="00A84B3C">
        <w:lastRenderedPageBreak/>
        <w:t xml:space="preserve">dan cuenta </w:t>
      </w:r>
      <w:r w:rsidR="00001F16" w:rsidRPr="00A84B3C">
        <w:t xml:space="preserve">de </w:t>
      </w:r>
      <w:r w:rsidR="00571235" w:rsidRPr="00A84B3C">
        <w:t xml:space="preserve">que la falta de esta etapa ha generado violencia en las comunidades por la invasión y colonización masiva de colonos mestizos. </w:t>
      </w:r>
    </w:p>
    <w:p w14:paraId="5EADFE56" w14:textId="369DBA96" w:rsidR="00571235" w:rsidRPr="00A84B3C" w:rsidRDefault="00854CC1" w:rsidP="001645D4">
      <w:pPr>
        <w:pStyle w:val="SingleTxtG"/>
        <w:rPr>
          <w:rStyle w:val="hps"/>
        </w:rPr>
      </w:pPr>
      <w:r w:rsidRPr="001645D4">
        <w:rPr>
          <w:rStyle w:val="hps"/>
        </w:rPr>
        <w:t>27</w:t>
      </w:r>
      <w:r w:rsidR="00BE142C" w:rsidRPr="001645D4">
        <w:rPr>
          <w:rStyle w:val="hps"/>
        </w:rPr>
        <w:t>.</w:t>
      </w:r>
      <w:r w:rsidR="00BE142C" w:rsidRPr="001645D4">
        <w:rPr>
          <w:rStyle w:val="hps"/>
        </w:rPr>
        <w:tab/>
      </w:r>
      <w:r w:rsidR="00571235" w:rsidRPr="001645D4">
        <w:rPr>
          <w:rStyle w:val="hps"/>
        </w:rPr>
        <w:t>Sírvanse, proporcionar información sobre las medidas tomadas para promover la participación</w:t>
      </w:r>
      <w:r w:rsidR="00571235" w:rsidRPr="001645D4">
        <w:t xml:space="preserve"> </w:t>
      </w:r>
      <w:r w:rsidR="00571235" w:rsidRPr="001645D4">
        <w:rPr>
          <w:rStyle w:val="hps"/>
        </w:rPr>
        <w:t>de los</w:t>
      </w:r>
      <w:r w:rsidR="00571235" w:rsidRPr="001645D4">
        <w:t xml:space="preserve"> </w:t>
      </w:r>
      <w:r w:rsidR="00571235" w:rsidRPr="001645D4">
        <w:rPr>
          <w:rStyle w:val="hps"/>
        </w:rPr>
        <w:t>indígenas</w:t>
      </w:r>
      <w:r w:rsidR="00571235" w:rsidRPr="001645D4">
        <w:t xml:space="preserve"> </w:t>
      </w:r>
      <w:r w:rsidR="00571235" w:rsidRPr="001645D4">
        <w:rPr>
          <w:rStyle w:val="hps"/>
        </w:rPr>
        <w:t>en puestos</w:t>
      </w:r>
      <w:r w:rsidR="00571235" w:rsidRPr="001645D4">
        <w:t xml:space="preserve"> </w:t>
      </w:r>
      <w:r w:rsidR="00571235" w:rsidRPr="001645D4">
        <w:rPr>
          <w:rStyle w:val="hps"/>
        </w:rPr>
        <w:t>de toma de decisiones. En este sentido, en referencia a las recomendaciones anteriores del Comité (</w:t>
      </w:r>
      <w:proofErr w:type="spellStart"/>
      <w:r w:rsidR="00571235" w:rsidRPr="001645D4">
        <w:rPr>
          <w:rStyle w:val="hps"/>
        </w:rPr>
        <w:t>CCPR</w:t>
      </w:r>
      <w:proofErr w:type="spellEnd"/>
      <w:r w:rsidR="00571235" w:rsidRPr="001645D4">
        <w:rPr>
          <w:rStyle w:val="hps"/>
        </w:rPr>
        <w:t xml:space="preserve">/C/NIC/CO/3, </w:t>
      </w:r>
      <w:r w:rsidR="00340C41" w:rsidRPr="001645D4">
        <w:rPr>
          <w:rStyle w:val="hps"/>
        </w:rPr>
        <w:t>párr</w:t>
      </w:r>
      <w:r w:rsidR="00571235" w:rsidRPr="001645D4">
        <w:rPr>
          <w:rStyle w:val="hps"/>
        </w:rPr>
        <w:t>.</w:t>
      </w:r>
      <w:r w:rsidR="00535776">
        <w:rPr>
          <w:rStyle w:val="hps"/>
        </w:rPr>
        <w:t> </w:t>
      </w:r>
      <w:r w:rsidR="00571235" w:rsidRPr="001645D4">
        <w:rPr>
          <w:rStyle w:val="hps"/>
        </w:rPr>
        <w:t xml:space="preserve">20), sírvanse proporcionar información actualizada sobre las medidas tomadas para cumplir con </w:t>
      </w:r>
      <w:r w:rsidR="00001F16" w:rsidRPr="001645D4">
        <w:rPr>
          <w:rStyle w:val="hps"/>
        </w:rPr>
        <w:t xml:space="preserve">la sentencia </w:t>
      </w:r>
      <w:r w:rsidR="00571235" w:rsidRPr="001645D4">
        <w:rPr>
          <w:rStyle w:val="hps"/>
        </w:rPr>
        <w:t xml:space="preserve">de la Corte Interamericana de Derechos Humanos </w:t>
      </w:r>
      <w:r w:rsidR="007E455E" w:rsidRPr="001645D4">
        <w:rPr>
          <w:rStyle w:val="hps"/>
        </w:rPr>
        <w:t xml:space="preserve">en el caso </w:t>
      </w:r>
      <w:proofErr w:type="spellStart"/>
      <w:r w:rsidR="007E455E" w:rsidRPr="001645D4">
        <w:rPr>
          <w:rStyle w:val="hps"/>
          <w:i/>
        </w:rPr>
        <w:t>Yatama</w:t>
      </w:r>
      <w:proofErr w:type="spellEnd"/>
      <w:r w:rsidR="007E455E" w:rsidRPr="001645D4">
        <w:rPr>
          <w:rStyle w:val="hps"/>
        </w:rPr>
        <w:t xml:space="preserve">, </w:t>
      </w:r>
      <w:r w:rsidR="00571235" w:rsidRPr="001645D4">
        <w:rPr>
          <w:rStyle w:val="hps"/>
        </w:rPr>
        <w:t xml:space="preserve">que dispone que el Estado parte debe garantizar que las comunidades indígenas y étnicas de las regiones autónomas participen en los procesos electorales de forma efectiva, tomando en cuenta sus tradiciones, usos y costumbres. </w:t>
      </w:r>
    </w:p>
    <w:p w14:paraId="54031C42" w14:textId="5C0BDDCA" w:rsidR="00571235" w:rsidRPr="001645D4" w:rsidRDefault="00C971AD">
      <w:pPr>
        <w:pStyle w:val="H23G"/>
        <w:rPr>
          <w:rStyle w:val="hps"/>
        </w:rPr>
      </w:pPr>
      <w:r w:rsidRPr="00A84B3C">
        <w:rPr>
          <w:rStyle w:val="hps"/>
        </w:rPr>
        <w:tab/>
      </w:r>
      <w:r w:rsidRPr="00A84B3C">
        <w:rPr>
          <w:rStyle w:val="hps"/>
        </w:rPr>
        <w:tab/>
      </w:r>
      <w:r w:rsidR="00571235" w:rsidRPr="00A84B3C">
        <w:rPr>
          <w:rStyle w:val="hps"/>
        </w:rPr>
        <w:t>Corrupción (art</w:t>
      </w:r>
      <w:r w:rsidR="00636CB2" w:rsidRPr="00A84B3C">
        <w:rPr>
          <w:rStyle w:val="hps"/>
        </w:rPr>
        <w:t>s</w:t>
      </w:r>
      <w:r w:rsidR="00535776" w:rsidRPr="00A84B3C">
        <w:rPr>
          <w:rStyle w:val="hps"/>
        </w:rPr>
        <w:t>.</w:t>
      </w:r>
      <w:r w:rsidR="00535776">
        <w:rPr>
          <w:rStyle w:val="hps"/>
        </w:rPr>
        <w:t> </w:t>
      </w:r>
      <w:r w:rsidR="00571235" w:rsidRPr="00A84B3C">
        <w:rPr>
          <w:rStyle w:val="hps"/>
        </w:rPr>
        <w:t>14 y 25)</w:t>
      </w:r>
    </w:p>
    <w:p w14:paraId="165FE2DA" w14:textId="36C2D25D" w:rsidR="00571235" w:rsidRPr="001645D4" w:rsidRDefault="00854CC1" w:rsidP="001645D4">
      <w:pPr>
        <w:pStyle w:val="SingleTxtG"/>
        <w:rPr>
          <w:rStyle w:val="hps"/>
        </w:rPr>
      </w:pPr>
      <w:r w:rsidRPr="00A84B3C">
        <w:rPr>
          <w:rStyle w:val="hps"/>
        </w:rPr>
        <w:t>28</w:t>
      </w:r>
      <w:r w:rsidR="00BE142C" w:rsidRPr="00A84B3C">
        <w:rPr>
          <w:rStyle w:val="hps"/>
        </w:rPr>
        <w:t>.</w:t>
      </w:r>
      <w:r w:rsidR="00BE142C" w:rsidRPr="00A84B3C">
        <w:rPr>
          <w:rStyle w:val="hps"/>
        </w:rPr>
        <w:tab/>
      </w:r>
      <w:r w:rsidR="00571235" w:rsidRPr="00A84B3C">
        <w:rPr>
          <w:rStyle w:val="hps"/>
        </w:rPr>
        <w:t>Sírvanse proporcionar información sobre las medidas concretas adoptadas para luchar contra la corrupción en ámbitos políticos, así como en la judicatura, e informen sobre las investigaciones de los casos de corrupción y las medidas disciplinarias y sanciones judiciales adoptadas en los mismos durante los últimos cinco años.</w:t>
      </w:r>
      <w:r w:rsidR="00487907" w:rsidRPr="00A84B3C">
        <w:rPr>
          <w:rStyle w:val="hps"/>
        </w:rPr>
        <w:t xml:space="preserve"> Sírvanse proporcionar información sobre las medidas adoptadas para fortalecer la </w:t>
      </w:r>
      <w:r w:rsidR="00487907" w:rsidRPr="001645D4">
        <w:t>Procuraduría para la Defensa de los Derechos Humanos.</w:t>
      </w:r>
    </w:p>
    <w:p w14:paraId="778E749F" w14:textId="6B0D04F0" w:rsidR="00571235" w:rsidRPr="00A84B3C" w:rsidRDefault="00C971AD">
      <w:pPr>
        <w:pStyle w:val="H23G"/>
      </w:pPr>
      <w:r w:rsidRPr="00A84B3C">
        <w:tab/>
      </w:r>
      <w:r w:rsidRPr="00A84B3C">
        <w:tab/>
      </w:r>
      <w:r w:rsidR="00571235" w:rsidRPr="00A84B3C">
        <w:t>Participación en asuntos públicos (art</w:t>
      </w:r>
      <w:r w:rsidR="00535776" w:rsidRPr="00A84B3C">
        <w:t>.</w:t>
      </w:r>
      <w:r w:rsidR="00535776">
        <w:t> </w:t>
      </w:r>
      <w:r w:rsidR="00571235" w:rsidRPr="00A84B3C">
        <w:t>25)</w:t>
      </w:r>
    </w:p>
    <w:p w14:paraId="2F1CF724" w14:textId="565183A7" w:rsidR="00571235" w:rsidRPr="001645D4" w:rsidRDefault="00854CC1" w:rsidP="001645D4">
      <w:pPr>
        <w:pStyle w:val="SingleTxtG"/>
      </w:pPr>
      <w:r w:rsidRPr="00A84B3C">
        <w:rPr>
          <w:rStyle w:val="hps"/>
        </w:rPr>
        <w:t>29</w:t>
      </w:r>
      <w:r w:rsidR="00BE142C" w:rsidRPr="00A84B3C">
        <w:rPr>
          <w:rStyle w:val="hps"/>
        </w:rPr>
        <w:t>.</w:t>
      </w:r>
      <w:r w:rsidR="00BE142C" w:rsidRPr="00A84B3C">
        <w:rPr>
          <w:rStyle w:val="hps"/>
        </w:rPr>
        <w:tab/>
      </w:r>
      <w:r w:rsidR="00571235" w:rsidRPr="00A84B3C">
        <w:rPr>
          <w:rStyle w:val="hps"/>
        </w:rPr>
        <w:t xml:space="preserve">Sírvanse comentar información proporcionada al Comité que da cuenta de un supuesto control del </w:t>
      </w:r>
      <w:r w:rsidR="000A77E7" w:rsidRPr="00A84B3C">
        <w:rPr>
          <w:rStyle w:val="hps"/>
        </w:rPr>
        <w:t>G</w:t>
      </w:r>
      <w:r w:rsidR="00571235" w:rsidRPr="00A84B3C">
        <w:rPr>
          <w:rStyle w:val="hps"/>
        </w:rPr>
        <w:t xml:space="preserve">obierno sobre el órgano electoral y proporcionen información sobre las </w:t>
      </w:r>
      <w:r w:rsidR="00571235" w:rsidRPr="001645D4">
        <w:t xml:space="preserve">medidas que se han tomado para garantizar elecciones libres y transparentes, incluyendo sobre </w:t>
      </w:r>
      <w:r w:rsidR="007E455E" w:rsidRPr="001645D4">
        <w:t xml:space="preserve">los </w:t>
      </w:r>
      <w:r w:rsidR="00571235" w:rsidRPr="001645D4">
        <w:t>órganos encargados de supervisar el proceso electoral y garantizar que las elecciones se lleven a cabo de manera justa e imparcial. Incluya</w:t>
      </w:r>
      <w:r w:rsidR="007E455E" w:rsidRPr="001645D4">
        <w:t>n</w:t>
      </w:r>
      <w:r w:rsidR="00571235" w:rsidRPr="001645D4">
        <w:t xml:space="preserve"> información sobre las medidas adoptadas para investigar las prácticas fraudulentas que se denunciaron en elecciones pasadas. </w:t>
      </w:r>
    </w:p>
    <w:p w14:paraId="0541F1D4" w14:textId="13E2EEE5" w:rsidR="00381C24" w:rsidRPr="001645D4" w:rsidRDefault="00722EEB">
      <w:pPr>
        <w:pStyle w:val="SingleTxtG"/>
        <w:suppressAutoHyphens/>
        <w:spacing w:before="240" w:after="0"/>
        <w:jc w:val="center"/>
        <w:rPr>
          <w:u w:val="single"/>
        </w:rPr>
      </w:pPr>
      <w:r w:rsidRPr="001645D4">
        <w:rPr>
          <w:u w:val="single"/>
        </w:rPr>
        <w:tab/>
      </w:r>
      <w:r w:rsidRPr="001645D4">
        <w:rPr>
          <w:u w:val="single"/>
        </w:rPr>
        <w:tab/>
      </w:r>
      <w:r w:rsidRPr="001645D4">
        <w:rPr>
          <w:u w:val="single"/>
        </w:rPr>
        <w:tab/>
      </w:r>
    </w:p>
    <w:sectPr w:rsidR="00381C24" w:rsidRPr="001645D4"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1E62" w14:textId="77777777" w:rsidR="008F1568" w:rsidRDefault="008F1568">
      <w:r>
        <w:separator/>
      </w:r>
    </w:p>
  </w:endnote>
  <w:endnote w:type="continuationSeparator" w:id="0">
    <w:p w14:paraId="5074EE40" w14:textId="77777777" w:rsidR="008F1568" w:rsidRDefault="008F1568">
      <w:r>
        <w:continuationSeparator/>
      </w:r>
    </w:p>
  </w:endnote>
  <w:endnote w:type="continuationNotice" w:id="1">
    <w:p w14:paraId="599062DF" w14:textId="77777777" w:rsidR="008F1568" w:rsidRDefault="008F15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42F9" w14:textId="7570CA90" w:rsidR="0084222A" w:rsidRPr="001A4396" w:rsidRDefault="0084222A"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3469AB">
      <w:rPr>
        <w:b/>
        <w:noProof/>
        <w:sz w:val="18"/>
      </w:rPr>
      <w:t>2</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6B6D" w14:textId="4819E5FB" w:rsidR="0084222A" w:rsidRPr="001A4396" w:rsidRDefault="0084222A"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3469AB">
      <w:rPr>
        <w:b/>
        <w:noProof/>
        <w:sz w:val="18"/>
      </w:rPr>
      <w:t>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998E" w14:textId="154F37CB" w:rsidR="00C91FDC" w:rsidRPr="00C91FDC" w:rsidRDefault="00C91FDC" w:rsidP="00C91FDC">
    <w:pPr>
      <w:pStyle w:val="Piedepgina"/>
      <w:spacing w:before="120" w:line="240" w:lineRule="auto"/>
      <w:rPr>
        <w:sz w:val="20"/>
      </w:rPr>
    </w:pPr>
    <w:proofErr w:type="spellStart"/>
    <w:r>
      <w:rPr>
        <w:sz w:val="20"/>
      </w:rPr>
      <w:t>GE.19</w:t>
    </w:r>
    <w:proofErr w:type="spellEnd"/>
    <w:r>
      <w:rPr>
        <w:sz w:val="20"/>
      </w:rPr>
      <w:t>-</w:t>
    </w:r>
    <w:proofErr w:type="gramStart"/>
    <w:r>
      <w:rPr>
        <w:sz w:val="20"/>
      </w:rPr>
      <w:t>20581  (</w:t>
    </w:r>
    <w:proofErr w:type="gramEnd"/>
    <w:r>
      <w:rPr>
        <w:sz w:val="20"/>
      </w:rPr>
      <w:t>S)</w:t>
    </w:r>
    <w:r>
      <w:rPr>
        <w:sz w:val="20"/>
      </w:rPr>
      <w:br/>
    </w:r>
    <w:r w:rsidRPr="00C91FDC">
      <w:rPr>
        <w:rFonts w:ascii="C39T30Lfz" w:hAnsi="C39T30Lfz"/>
        <w:sz w:val="56"/>
      </w:rPr>
      <w:t></w:t>
    </w:r>
    <w:r w:rsidRPr="00C91FDC">
      <w:rPr>
        <w:rFonts w:ascii="C39T30Lfz" w:hAnsi="C39T30Lfz"/>
        <w:sz w:val="56"/>
      </w:rPr>
      <w:t></w:t>
    </w:r>
    <w:r w:rsidRPr="00C91FDC">
      <w:rPr>
        <w:rFonts w:ascii="C39T30Lfz" w:hAnsi="C39T30Lfz"/>
        <w:sz w:val="56"/>
      </w:rPr>
      <w:t></w:t>
    </w:r>
    <w:r w:rsidRPr="00C91FDC">
      <w:rPr>
        <w:rFonts w:ascii="C39T30Lfz" w:hAnsi="C39T30Lfz"/>
        <w:sz w:val="56"/>
      </w:rPr>
      <w:t></w:t>
    </w:r>
    <w:r w:rsidRPr="00C91FDC">
      <w:rPr>
        <w:rFonts w:ascii="C39T30Lfz" w:hAnsi="C39T30Lfz"/>
        <w:sz w:val="56"/>
      </w:rPr>
      <w:t></w:t>
    </w:r>
    <w:r w:rsidRPr="00C91FDC">
      <w:rPr>
        <w:rFonts w:ascii="C39T30Lfz" w:hAnsi="C39T30Lfz"/>
        <w:sz w:val="56"/>
      </w:rPr>
      <w:t></w:t>
    </w:r>
    <w:r w:rsidRPr="00C91FDC">
      <w:rPr>
        <w:rFonts w:ascii="C39T30Lfz" w:hAnsi="C39T30Lfz"/>
        <w:sz w:val="56"/>
      </w:rPr>
      <w:t></w:t>
    </w:r>
    <w:r w:rsidRPr="00C91FDC">
      <w:rPr>
        <w:rFonts w:ascii="C39T30Lfz" w:hAnsi="C39T30Lfz"/>
        <w:sz w:val="56"/>
      </w:rPr>
      <w:t></w:t>
    </w:r>
    <w:r w:rsidRPr="00C91FDC">
      <w:rPr>
        <w:rFonts w:ascii="C39T30Lfz" w:hAnsi="C39T30Lfz"/>
        <w:sz w:val="56"/>
      </w:rPr>
      <w:t></w:t>
    </w:r>
    <w:r w:rsidRPr="00C91FDC">
      <w:rPr>
        <w:rFonts w:ascii="C39T30Lfz" w:hAnsi="C39T30Lfz"/>
        <w:noProof/>
        <w:sz w:val="56"/>
        <w:lang w:val="fr-CH" w:eastAsia="zh-CN"/>
      </w:rPr>
      <w:drawing>
        <wp:anchor distT="0" distB="0" distL="114300" distR="114300" simplePos="0" relativeHeight="251660288" behindDoc="0" locked="1" layoutInCell="1" allowOverlap="1" wp14:anchorId="1B1C338D" wp14:editId="23F262AB">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796002B3" wp14:editId="0E6D61D7">
          <wp:simplePos x="0" y="0"/>
          <wp:positionH relativeFrom="margin">
            <wp:posOffset>5489575</wp:posOffset>
          </wp:positionH>
          <wp:positionV relativeFrom="margin">
            <wp:posOffset>8891905</wp:posOffset>
          </wp:positionV>
          <wp:extent cx="561975" cy="561975"/>
          <wp:effectExtent l="0" t="0" r="9525" b="9525"/>
          <wp:wrapNone/>
          <wp:docPr id="2" name="Imagen 1" descr="https://undocs.org/m2/QRCode.ashx?DS=CCPR/C/NIC/Q/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IC/Q/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A1BF4" w14:textId="77777777" w:rsidR="008F1568" w:rsidRPr="001075E9" w:rsidRDefault="008F1568" w:rsidP="001075E9">
      <w:pPr>
        <w:tabs>
          <w:tab w:val="right" w:pos="2155"/>
        </w:tabs>
        <w:spacing w:after="80" w:line="240" w:lineRule="auto"/>
        <w:ind w:left="680"/>
        <w:rPr>
          <w:u w:val="single"/>
        </w:rPr>
      </w:pPr>
      <w:r>
        <w:rPr>
          <w:u w:val="single"/>
        </w:rPr>
        <w:tab/>
      </w:r>
    </w:p>
  </w:footnote>
  <w:footnote w:type="continuationSeparator" w:id="0">
    <w:p w14:paraId="2E984954" w14:textId="77777777" w:rsidR="008F1568" w:rsidRDefault="008F1568" w:rsidP="00407B78">
      <w:pPr>
        <w:tabs>
          <w:tab w:val="right" w:pos="2155"/>
        </w:tabs>
        <w:spacing w:after="80"/>
        <w:ind w:left="680"/>
        <w:rPr>
          <w:u w:val="single"/>
        </w:rPr>
      </w:pPr>
      <w:r>
        <w:rPr>
          <w:u w:val="single"/>
        </w:rPr>
        <w:tab/>
      </w:r>
    </w:p>
  </w:footnote>
  <w:footnote w:type="continuationNotice" w:id="1">
    <w:p w14:paraId="346E75BB" w14:textId="77777777" w:rsidR="008F1568" w:rsidRDefault="008F1568">
      <w:pPr>
        <w:spacing w:line="240" w:lineRule="auto"/>
      </w:pPr>
    </w:p>
  </w:footnote>
  <w:footnote w:id="2">
    <w:p w14:paraId="33BED066" w14:textId="5D2EE989" w:rsidR="000F79E5" w:rsidRPr="001645D4" w:rsidRDefault="000F79E5">
      <w:pPr>
        <w:pStyle w:val="Textonotapie"/>
        <w:rPr>
          <w:sz w:val="20"/>
        </w:rPr>
      </w:pPr>
      <w:r>
        <w:tab/>
      </w:r>
      <w:r w:rsidRPr="001645D4">
        <w:rPr>
          <w:rStyle w:val="Refdenotaalpie"/>
          <w:sz w:val="20"/>
          <w:vertAlign w:val="baseline"/>
        </w:rPr>
        <w:t>*</w:t>
      </w:r>
      <w:r w:rsidRPr="001645D4">
        <w:rPr>
          <w:rStyle w:val="Refdenotaalpie"/>
          <w:vertAlign w:val="baseline"/>
        </w:rPr>
        <w:tab/>
      </w:r>
      <w:r>
        <w:t>Aprobadas por el Comité en su 127º período de sesiones (</w:t>
      </w:r>
      <w:r w:rsidRPr="0081051F">
        <w:t xml:space="preserve">14 de octubre a 8 de noviembre </w:t>
      </w:r>
      <w:r>
        <w:t xml:space="preserve">de </w:t>
      </w:r>
      <w:r w:rsidRPr="0081051F">
        <w:t>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9E45F" w14:textId="03F376A0" w:rsidR="0084222A" w:rsidRPr="001A4396" w:rsidRDefault="009A643A">
    <w:pPr>
      <w:pStyle w:val="Encabezado"/>
    </w:pPr>
    <w:proofErr w:type="spellStart"/>
    <w:r>
      <w:t>CCPR</w:t>
    </w:r>
    <w:proofErr w:type="spellEnd"/>
    <w:r>
      <w:t>/C/NIC/Q/4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279" w14:textId="2E1A8AC7" w:rsidR="0084222A" w:rsidRPr="00935A0B" w:rsidRDefault="009A643A" w:rsidP="00935A0B">
    <w:pPr>
      <w:pStyle w:val="Encabezado"/>
      <w:jc w:val="right"/>
      <w:rPr>
        <w:u w:val="double"/>
      </w:rPr>
    </w:pPr>
    <w:proofErr w:type="spellStart"/>
    <w:r>
      <w:t>CCPR</w:t>
    </w:r>
    <w:proofErr w:type="spellEnd"/>
    <w:r>
      <w:t>/C/NIC/Q/4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19F8" w14:textId="77777777" w:rsidR="00C91FDC" w:rsidRDefault="00C91F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D02C52"/>
    <w:multiLevelType w:val="hybridMultilevel"/>
    <w:tmpl w:val="1FE60FA6"/>
    <w:lvl w:ilvl="0" w:tplc="AD7C195A">
      <w:start w:val="1"/>
      <w:numFmt w:val="decimal"/>
      <w:lvlText w:val="%1."/>
      <w:lvlJc w:val="left"/>
      <w:pPr>
        <w:ind w:left="6881" w:hanging="360"/>
      </w:pPr>
      <w:rPr>
        <w:b w:val="0"/>
        <w:sz w:val="20"/>
        <w:szCs w:val="20"/>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68B2647"/>
    <w:multiLevelType w:val="hybridMultilevel"/>
    <w:tmpl w:val="86ECAF18"/>
    <w:lvl w:ilvl="0" w:tplc="992A68B2">
      <w:start w:val="1"/>
      <w:numFmt w:val="decimal"/>
      <w:lvlText w:val="%1."/>
      <w:lvlJc w:val="left"/>
      <w:pPr>
        <w:ind w:left="1854" w:hanging="360"/>
      </w:pPr>
      <w:rPr>
        <w:b w:val="0"/>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864763"/>
    <w:multiLevelType w:val="hybridMultilevel"/>
    <w:tmpl w:val="0ED0C1EA"/>
    <w:lvl w:ilvl="0" w:tplc="97783B80">
      <w:start w:val="1"/>
      <w:numFmt w:val="lowerLetter"/>
      <w:lvlText w:val="(%1)"/>
      <w:lvlJc w:val="left"/>
      <w:pPr>
        <w:ind w:left="1614" w:hanging="48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2"/>
  </w:num>
  <w:num w:numId="3">
    <w:abstractNumId w:val="18"/>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8"/>
  </w:num>
  <w:num w:numId="19">
    <w:abstractNumId w:val="17"/>
  </w:num>
  <w:num w:numId="20">
    <w:abstractNumId w:val="13"/>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1"/>
  </w:num>
  <w:num w:numId="33">
    <w:abstractNumId w:val="16"/>
  </w:num>
  <w:num w:numId="34">
    <w:abstractNumId w:val="14"/>
  </w:num>
  <w:num w:numId="35">
    <w:abstractNumId w:val="15"/>
  </w:num>
  <w:num w:numId="36">
    <w:abstractNumId w:val="12"/>
  </w:num>
  <w:num w:numId="37">
    <w:abstractNumId w:val="18"/>
  </w:num>
  <w:num w:numId="38">
    <w:abstractNumId w:val="17"/>
  </w:num>
  <w:num w:numId="39">
    <w:abstractNumId w:val="13"/>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s-AR" w:vendorID="64" w:dllVersion="6" w:nlCheck="1" w:checkStyle="0"/>
  <w:activeWritingStyle w:appName="MSWord" w:lang="es-ES_tradnl" w:vendorID="64" w:dllVersion="6" w:nlCheck="1" w:checkStyle="0"/>
  <w:activeWritingStyle w:appName="MSWord" w:lang="es-NI"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86F80"/>
    <w:rsid w:val="00000185"/>
    <w:rsid w:val="00001F16"/>
    <w:rsid w:val="00002604"/>
    <w:rsid w:val="00007BCB"/>
    <w:rsid w:val="000107AA"/>
    <w:rsid w:val="00021CA3"/>
    <w:rsid w:val="00023797"/>
    <w:rsid w:val="00030912"/>
    <w:rsid w:val="00033EE1"/>
    <w:rsid w:val="00034CEF"/>
    <w:rsid w:val="000401C6"/>
    <w:rsid w:val="00042B72"/>
    <w:rsid w:val="00054482"/>
    <w:rsid w:val="000558BD"/>
    <w:rsid w:val="000758FB"/>
    <w:rsid w:val="000A77E7"/>
    <w:rsid w:val="000B57E7"/>
    <w:rsid w:val="000B6373"/>
    <w:rsid w:val="000D3664"/>
    <w:rsid w:val="000E2C31"/>
    <w:rsid w:val="000F09DF"/>
    <w:rsid w:val="000F5AD2"/>
    <w:rsid w:val="000F61B2"/>
    <w:rsid w:val="000F79E5"/>
    <w:rsid w:val="001075E9"/>
    <w:rsid w:val="00134A8C"/>
    <w:rsid w:val="001366B2"/>
    <w:rsid w:val="00151D58"/>
    <w:rsid w:val="001645D4"/>
    <w:rsid w:val="001768DB"/>
    <w:rsid w:val="00180183"/>
    <w:rsid w:val="0018024D"/>
    <w:rsid w:val="00182BEA"/>
    <w:rsid w:val="00183D89"/>
    <w:rsid w:val="0018649F"/>
    <w:rsid w:val="00196389"/>
    <w:rsid w:val="001A4396"/>
    <w:rsid w:val="001B3EF6"/>
    <w:rsid w:val="001C7A89"/>
    <w:rsid w:val="001D7B07"/>
    <w:rsid w:val="001F7F35"/>
    <w:rsid w:val="0023160C"/>
    <w:rsid w:val="00231D92"/>
    <w:rsid w:val="002559E1"/>
    <w:rsid w:val="002619AC"/>
    <w:rsid w:val="00266BED"/>
    <w:rsid w:val="002755D5"/>
    <w:rsid w:val="002A02C6"/>
    <w:rsid w:val="002A2EFC"/>
    <w:rsid w:val="002B2AE0"/>
    <w:rsid w:val="002B4758"/>
    <w:rsid w:val="002C0E18"/>
    <w:rsid w:val="002D4172"/>
    <w:rsid w:val="002D4B30"/>
    <w:rsid w:val="002D5AAC"/>
    <w:rsid w:val="002D606E"/>
    <w:rsid w:val="002E03A9"/>
    <w:rsid w:val="002F405F"/>
    <w:rsid w:val="002F7953"/>
    <w:rsid w:val="00301299"/>
    <w:rsid w:val="00302755"/>
    <w:rsid w:val="00307FB6"/>
    <w:rsid w:val="00317339"/>
    <w:rsid w:val="00322004"/>
    <w:rsid w:val="003340E3"/>
    <w:rsid w:val="003402C2"/>
    <w:rsid w:val="00340C41"/>
    <w:rsid w:val="003451BE"/>
    <w:rsid w:val="003469AB"/>
    <w:rsid w:val="00357DE3"/>
    <w:rsid w:val="00376E4E"/>
    <w:rsid w:val="00377615"/>
    <w:rsid w:val="00381C24"/>
    <w:rsid w:val="003941DB"/>
    <w:rsid w:val="003958D0"/>
    <w:rsid w:val="003A3CE4"/>
    <w:rsid w:val="003B00E5"/>
    <w:rsid w:val="003B4200"/>
    <w:rsid w:val="003B48B8"/>
    <w:rsid w:val="003D3526"/>
    <w:rsid w:val="003E0332"/>
    <w:rsid w:val="003E11B8"/>
    <w:rsid w:val="003E12F5"/>
    <w:rsid w:val="003E50FB"/>
    <w:rsid w:val="003F43D1"/>
    <w:rsid w:val="003F6A2B"/>
    <w:rsid w:val="003F6FF0"/>
    <w:rsid w:val="00407B78"/>
    <w:rsid w:val="00424203"/>
    <w:rsid w:val="00436805"/>
    <w:rsid w:val="00441A62"/>
    <w:rsid w:val="004452DE"/>
    <w:rsid w:val="00454E07"/>
    <w:rsid w:val="00457A5F"/>
    <w:rsid w:val="00466B78"/>
    <w:rsid w:val="004871E3"/>
    <w:rsid w:val="00487907"/>
    <w:rsid w:val="004A4A84"/>
    <w:rsid w:val="004A6293"/>
    <w:rsid w:val="004C31C7"/>
    <w:rsid w:val="004D1828"/>
    <w:rsid w:val="004E07E7"/>
    <w:rsid w:val="004E64AA"/>
    <w:rsid w:val="0050108D"/>
    <w:rsid w:val="0051023C"/>
    <w:rsid w:val="00513081"/>
    <w:rsid w:val="00517901"/>
    <w:rsid w:val="00521DC1"/>
    <w:rsid w:val="00526683"/>
    <w:rsid w:val="00535776"/>
    <w:rsid w:val="00570000"/>
    <w:rsid w:val="005709E0"/>
    <w:rsid w:val="00570A3F"/>
    <w:rsid w:val="00571235"/>
    <w:rsid w:val="00572E19"/>
    <w:rsid w:val="00584D26"/>
    <w:rsid w:val="00595E2A"/>
    <w:rsid w:val="005961C8"/>
    <w:rsid w:val="005977AD"/>
    <w:rsid w:val="005A09E4"/>
    <w:rsid w:val="005B7895"/>
    <w:rsid w:val="005C1D3F"/>
    <w:rsid w:val="005C6654"/>
    <w:rsid w:val="005D0C62"/>
    <w:rsid w:val="005D7914"/>
    <w:rsid w:val="005F0B42"/>
    <w:rsid w:val="0060496E"/>
    <w:rsid w:val="00615628"/>
    <w:rsid w:val="00621949"/>
    <w:rsid w:val="00625F3B"/>
    <w:rsid w:val="00627F0B"/>
    <w:rsid w:val="00632FAD"/>
    <w:rsid w:val="00636CB2"/>
    <w:rsid w:val="0065769A"/>
    <w:rsid w:val="00681A10"/>
    <w:rsid w:val="00682A12"/>
    <w:rsid w:val="00693CAB"/>
    <w:rsid w:val="006A115C"/>
    <w:rsid w:val="006C2031"/>
    <w:rsid w:val="006D461A"/>
    <w:rsid w:val="006D77FE"/>
    <w:rsid w:val="006F2B2A"/>
    <w:rsid w:val="006F35EE"/>
    <w:rsid w:val="006F5191"/>
    <w:rsid w:val="006F7095"/>
    <w:rsid w:val="007021FF"/>
    <w:rsid w:val="00712895"/>
    <w:rsid w:val="00722EEB"/>
    <w:rsid w:val="00726CF0"/>
    <w:rsid w:val="007401F8"/>
    <w:rsid w:val="007453AA"/>
    <w:rsid w:val="00745931"/>
    <w:rsid w:val="00757357"/>
    <w:rsid w:val="00760595"/>
    <w:rsid w:val="007716EE"/>
    <w:rsid w:val="0079063B"/>
    <w:rsid w:val="007B7557"/>
    <w:rsid w:val="007C31BB"/>
    <w:rsid w:val="007C333F"/>
    <w:rsid w:val="007E072F"/>
    <w:rsid w:val="007E455E"/>
    <w:rsid w:val="007E7C52"/>
    <w:rsid w:val="00805D1C"/>
    <w:rsid w:val="00811DDA"/>
    <w:rsid w:val="00823ED1"/>
    <w:rsid w:val="00825F8D"/>
    <w:rsid w:val="00834B71"/>
    <w:rsid w:val="0083604A"/>
    <w:rsid w:val="00841CBA"/>
    <w:rsid w:val="0084222A"/>
    <w:rsid w:val="00854CC1"/>
    <w:rsid w:val="0086361A"/>
    <w:rsid w:val="0086445C"/>
    <w:rsid w:val="008677CA"/>
    <w:rsid w:val="00883EAC"/>
    <w:rsid w:val="0089309C"/>
    <w:rsid w:val="00894693"/>
    <w:rsid w:val="008A08D7"/>
    <w:rsid w:val="008B6909"/>
    <w:rsid w:val="008C7E50"/>
    <w:rsid w:val="008D5D37"/>
    <w:rsid w:val="008F1568"/>
    <w:rsid w:val="00900213"/>
    <w:rsid w:val="00906890"/>
    <w:rsid w:val="00906DE9"/>
    <w:rsid w:val="00911BE4"/>
    <w:rsid w:val="009168E7"/>
    <w:rsid w:val="00935A0B"/>
    <w:rsid w:val="00937BDE"/>
    <w:rsid w:val="00951972"/>
    <w:rsid w:val="00953B31"/>
    <w:rsid w:val="009608F3"/>
    <w:rsid w:val="00970AE5"/>
    <w:rsid w:val="00972CC2"/>
    <w:rsid w:val="0097522E"/>
    <w:rsid w:val="00984713"/>
    <w:rsid w:val="009A00DA"/>
    <w:rsid w:val="009A1FFC"/>
    <w:rsid w:val="009A643A"/>
    <w:rsid w:val="009B404E"/>
    <w:rsid w:val="009D28EB"/>
    <w:rsid w:val="009F41CF"/>
    <w:rsid w:val="00A13C14"/>
    <w:rsid w:val="00A32382"/>
    <w:rsid w:val="00A3362E"/>
    <w:rsid w:val="00A34131"/>
    <w:rsid w:val="00A4043D"/>
    <w:rsid w:val="00A44B2D"/>
    <w:rsid w:val="00A52AFA"/>
    <w:rsid w:val="00A76C0D"/>
    <w:rsid w:val="00A82D89"/>
    <w:rsid w:val="00A84021"/>
    <w:rsid w:val="00A84B3C"/>
    <w:rsid w:val="00A86334"/>
    <w:rsid w:val="00A86F80"/>
    <w:rsid w:val="00A90C2B"/>
    <w:rsid w:val="00A917B3"/>
    <w:rsid w:val="00AA1F9B"/>
    <w:rsid w:val="00AB266D"/>
    <w:rsid w:val="00AB4B51"/>
    <w:rsid w:val="00AC45B2"/>
    <w:rsid w:val="00AC5728"/>
    <w:rsid w:val="00AD66A7"/>
    <w:rsid w:val="00AE3592"/>
    <w:rsid w:val="00AE4FD4"/>
    <w:rsid w:val="00AE5F3B"/>
    <w:rsid w:val="00AF154B"/>
    <w:rsid w:val="00AF6485"/>
    <w:rsid w:val="00AF6F61"/>
    <w:rsid w:val="00B0037B"/>
    <w:rsid w:val="00B062EB"/>
    <w:rsid w:val="00B10CC7"/>
    <w:rsid w:val="00B539E7"/>
    <w:rsid w:val="00B563EB"/>
    <w:rsid w:val="00B62458"/>
    <w:rsid w:val="00B634F2"/>
    <w:rsid w:val="00B71100"/>
    <w:rsid w:val="00B80A93"/>
    <w:rsid w:val="00B85680"/>
    <w:rsid w:val="00BB4889"/>
    <w:rsid w:val="00BC6880"/>
    <w:rsid w:val="00BD33EE"/>
    <w:rsid w:val="00BE142C"/>
    <w:rsid w:val="00BF2E5C"/>
    <w:rsid w:val="00BF4755"/>
    <w:rsid w:val="00C017B9"/>
    <w:rsid w:val="00C106D6"/>
    <w:rsid w:val="00C20A9A"/>
    <w:rsid w:val="00C320E2"/>
    <w:rsid w:val="00C43D35"/>
    <w:rsid w:val="00C535D2"/>
    <w:rsid w:val="00C60F0C"/>
    <w:rsid w:val="00C60F12"/>
    <w:rsid w:val="00C6749A"/>
    <w:rsid w:val="00C805C9"/>
    <w:rsid w:val="00C91FDC"/>
    <w:rsid w:val="00C92939"/>
    <w:rsid w:val="00C971AD"/>
    <w:rsid w:val="00CA1679"/>
    <w:rsid w:val="00CA6E36"/>
    <w:rsid w:val="00CB104D"/>
    <w:rsid w:val="00CB151C"/>
    <w:rsid w:val="00CB242B"/>
    <w:rsid w:val="00CC4B83"/>
    <w:rsid w:val="00CC6812"/>
    <w:rsid w:val="00CD3EF2"/>
    <w:rsid w:val="00CE5A1A"/>
    <w:rsid w:val="00CF0CBA"/>
    <w:rsid w:val="00CF55F6"/>
    <w:rsid w:val="00D02CB8"/>
    <w:rsid w:val="00D04407"/>
    <w:rsid w:val="00D05FDE"/>
    <w:rsid w:val="00D33D63"/>
    <w:rsid w:val="00D3779B"/>
    <w:rsid w:val="00D4492D"/>
    <w:rsid w:val="00D4778E"/>
    <w:rsid w:val="00D526D0"/>
    <w:rsid w:val="00D82740"/>
    <w:rsid w:val="00D90138"/>
    <w:rsid w:val="00DA3DD8"/>
    <w:rsid w:val="00DA7D23"/>
    <w:rsid w:val="00DB34FA"/>
    <w:rsid w:val="00DD2F98"/>
    <w:rsid w:val="00E00F03"/>
    <w:rsid w:val="00E07197"/>
    <w:rsid w:val="00E1341F"/>
    <w:rsid w:val="00E204E4"/>
    <w:rsid w:val="00E223AE"/>
    <w:rsid w:val="00E226FD"/>
    <w:rsid w:val="00E26FE4"/>
    <w:rsid w:val="00E31CF9"/>
    <w:rsid w:val="00E3259E"/>
    <w:rsid w:val="00E505CE"/>
    <w:rsid w:val="00E56EE3"/>
    <w:rsid w:val="00E67ED6"/>
    <w:rsid w:val="00E703B3"/>
    <w:rsid w:val="00E73F76"/>
    <w:rsid w:val="00E86371"/>
    <w:rsid w:val="00E969D1"/>
    <w:rsid w:val="00E96DD2"/>
    <w:rsid w:val="00EA2C9F"/>
    <w:rsid w:val="00EB2B7E"/>
    <w:rsid w:val="00EB6D1C"/>
    <w:rsid w:val="00ED0BDA"/>
    <w:rsid w:val="00EE5865"/>
    <w:rsid w:val="00EE7654"/>
    <w:rsid w:val="00EF1360"/>
    <w:rsid w:val="00EF3220"/>
    <w:rsid w:val="00F07BDC"/>
    <w:rsid w:val="00F3091B"/>
    <w:rsid w:val="00F63772"/>
    <w:rsid w:val="00F65D68"/>
    <w:rsid w:val="00F76A49"/>
    <w:rsid w:val="00F8066A"/>
    <w:rsid w:val="00F811E8"/>
    <w:rsid w:val="00F836B7"/>
    <w:rsid w:val="00F9377E"/>
    <w:rsid w:val="00F94155"/>
    <w:rsid w:val="00FA028D"/>
    <w:rsid w:val="00FB5646"/>
    <w:rsid w:val="00FC1A8F"/>
    <w:rsid w:val="00FD234F"/>
    <w:rsid w:val="00FD2EF7"/>
    <w:rsid w:val="00FD426B"/>
    <w:rsid w:val="00FD6C6E"/>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99640CB"/>
  <w15:docId w15:val="{7B0B324A-9280-4C49-949D-54883D67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79E5"/>
    <w:pPr>
      <w:spacing w:line="240" w:lineRule="atLeast"/>
    </w:pPr>
    <w:rPr>
      <w:rFonts w:eastAsia="SimSun"/>
      <w:lang w:val="es-ES" w:eastAsia="es-ES"/>
    </w:rPr>
  </w:style>
  <w:style w:type="paragraph" w:styleId="Ttulo1">
    <w:name w:val="heading 1"/>
    <w:aliases w:val="Cuadro_G"/>
    <w:basedOn w:val="SingleTxtG"/>
    <w:next w:val="SingleTxtG"/>
    <w:link w:val="Ttulo1Car"/>
    <w:qFormat/>
    <w:rsid w:val="000F79E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0F79E5"/>
    <w:pPr>
      <w:keepNext/>
      <w:outlineLvl w:val="1"/>
    </w:pPr>
    <w:rPr>
      <w:rFonts w:cs="Arial"/>
      <w:bCs/>
      <w:iCs/>
      <w:szCs w:val="28"/>
    </w:rPr>
  </w:style>
  <w:style w:type="paragraph" w:styleId="Ttulo3">
    <w:name w:val="heading 3"/>
    <w:basedOn w:val="Normal"/>
    <w:next w:val="Normal"/>
    <w:semiHidden/>
    <w:rsid w:val="000F79E5"/>
    <w:pPr>
      <w:keepNext/>
      <w:spacing w:before="240" w:after="60"/>
      <w:outlineLvl w:val="2"/>
    </w:pPr>
    <w:rPr>
      <w:rFonts w:ascii="Arial" w:hAnsi="Arial" w:cs="Arial"/>
      <w:b/>
      <w:bCs/>
      <w:sz w:val="26"/>
      <w:szCs w:val="26"/>
    </w:rPr>
  </w:style>
  <w:style w:type="paragraph" w:styleId="Ttulo4">
    <w:name w:val="heading 4"/>
    <w:basedOn w:val="Normal"/>
    <w:next w:val="Normal"/>
    <w:semiHidden/>
    <w:rsid w:val="000F79E5"/>
    <w:pPr>
      <w:keepNext/>
      <w:spacing w:before="240" w:after="60"/>
      <w:outlineLvl w:val="3"/>
    </w:pPr>
    <w:rPr>
      <w:b/>
      <w:bCs/>
      <w:sz w:val="28"/>
      <w:szCs w:val="28"/>
    </w:rPr>
  </w:style>
  <w:style w:type="paragraph" w:styleId="Ttulo5">
    <w:name w:val="heading 5"/>
    <w:basedOn w:val="Normal"/>
    <w:next w:val="Normal"/>
    <w:semiHidden/>
    <w:rsid w:val="000F79E5"/>
    <w:pPr>
      <w:spacing w:before="240" w:after="60"/>
      <w:outlineLvl w:val="4"/>
    </w:pPr>
    <w:rPr>
      <w:b/>
      <w:bCs/>
      <w:i/>
      <w:iCs/>
      <w:sz w:val="26"/>
      <w:szCs w:val="26"/>
    </w:rPr>
  </w:style>
  <w:style w:type="paragraph" w:styleId="Ttulo6">
    <w:name w:val="heading 6"/>
    <w:basedOn w:val="Normal"/>
    <w:next w:val="Normal"/>
    <w:semiHidden/>
    <w:rsid w:val="000F79E5"/>
    <w:pPr>
      <w:spacing w:before="240" w:after="60"/>
      <w:outlineLvl w:val="5"/>
    </w:pPr>
    <w:rPr>
      <w:b/>
      <w:bCs/>
      <w:sz w:val="22"/>
      <w:szCs w:val="22"/>
    </w:rPr>
  </w:style>
  <w:style w:type="paragraph" w:styleId="Ttulo7">
    <w:name w:val="heading 7"/>
    <w:basedOn w:val="Normal"/>
    <w:next w:val="Normal"/>
    <w:semiHidden/>
    <w:rsid w:val="000F79E5"/>
    <w:pPr>
      <w:spacing w:before="240" w:after="60"/>
      <w:outlineLvl w:val="6"/>
    </w:pPr>
    <w:rPr>
      <w:sz w:val="24"/>
      <w:szCs w:val="24"/>
    </w:rPr>
  </w:style>
  <w:style w:type="paragraph" w:styleId="Ttulo8">
    <w:name w:val="heading 8"/>
    <w:basedOn w:val="Normal"/>
    <w:next w:val="Normal"/>
    <w:semiHidden/>
    <w:rsid w:val="000F79E5"/>
    <w:pPr>
      <w:spacing w:before="240" w:after="60"/>
      <w:outlineLvl w:val="7"/>
    </w:pPr>
    <w:rPr>
      <w:i/>
      <w:iCs/>
      <w:sz w:val="24"/>
      <w:szCs w:val="24"/>
    </w:rPr>
  </w:style>
  <w:style w:type="paragraph" w:styleId="Ttulo9">
    <w:name w:val="heading 9"/>
    <w:basedOn w:val="Normal"/>
    <w:next w:val="Normal"/>
    <w:semiHidden/>
    <w:rsid w:val="000F79E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0F79E5"/>
    <w:rPr>
      <w:rFonts w:ascii="Times New Roman" w:hAnsi="Times New Roman"/>
      <w:sz w:val="18"/>
      <w:vertAlign w:val="superscript"/>
    </w:rPr>
  </w:style>
  <w:style w:type="paragraph" w:customStyle="1" w:styleId="HMG">
    <w:name w:val="_ H __M_G"/>
    <w:basedOn w:val="Normal"/>
    <w:next w:val="Normal"/>
    <w:link w:val="HMGChar"/>
    <w:qFormat/>
    <w:rsid w:val="000F79E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0F79E5"/>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DengXian"/>
      <w:b/>
      <w:sz w:val="34"/>
      <w:lang w:eastAsia="es-ES"/>
    </w:rPr>
  </w:style>
  <w:style w:type="character" w:customStyle="1" w:styleId="HChGChar">
    <w:name w:val="_ H _Ch_G Char"/>
    <w:link w:val="HChG"/>
    <w:rsid w:val="001A4396"/>
    <w:rPr>
      <w:rFonts w:eastAsia="DengXian"/>
      <w:b/>
      <w:sz w:val="28"/>
      <w:lang w:eastAsia="es-ES"/>
    </w:rPr>
  </w:style>
  <w:style w:type="paragraph" w:customStyle="1" w:styleId="H1G">
    <w:name w:val="_ H_1_G"/>
    <w:basedOn w:val="Normal"/>
    <w:next w:val="Normal"/>
    <w:link w:val="H1GChar"/>
    <w:qFormat/>
    <w:rsid w:val="000F79E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0F79E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F79E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F79E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0F79E5"/>
    <w:pPr>
      <w:pBdr>
        <w:bottom w:val="single" w:sz="4" w:space="4" w:color="auto"/>
      </w:pBdr>
      <w:spacing w:line="240" w:lineRule="auto"/>
    </w:pPr>
    <w:rPr>
      <w:b/>
      <w:sz w:val="18"/>
    </w:rPr>
  </w:style>
  <w:style w:type="paragraph" w:customStyle="1" w:styleId="SingleTxtG">
    <w:name w:val="_ Single Txt_G"/>
    <w:basedOn w:val="Normal"/>
    <w:link w:val="SingleTxtGChar"/>
    <w:qFormat/>
    <w:rsid w:val="000F79E5"/>
    <w:pPr>
      <w:spacing w:after="120"/>
      <w:ind w:left="1134" w:right="1134"/>
      <w:jc w:val="both"/>
    </w:pPr>
  </w:style>
  <w:style w:type="paragraph" w:customStyle="1" w:styleId="SMG">
    <w:name w:val="__S_M_G"/>
    <w:basedOn w:val="Normal"/>
    <w:next w:val="Normal"/>
    <w:rsid w:val="000F79E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F79E5"/>
    <w:pPr>
      <w:keepNext/>
      <w:keepLines/>
      <w:spacing w:before="240" w:after="240" w:line="580" w:lineRule="exact"/>
      <w:ind w:left="1134" w:right="1134"/>
    </w:pPr>
    <w:rPr>
      <w:b/>
      <w:sz w:val="56"/>
    </w:rPr>
  </w:style>
  <w:style w:type="paragraph" w:customStyle="1" w:styleId="SSG">
    <w:name w:val="__S_S_G"/>
    <w:basedOn w:val="Normal"/>
    <w:next w:val="Normal"/>
    <w:rsid w:val="000F79E5"/>
    <w:pPr>
      <w:keepNext/>
      <w:keepLines/>
      <w:spacing w:before="240" w:after="240" w:line="300" w:lineRule="exact"/>
      <w:ind w:left="1134" w:right="1134"/>
    </w:pPr>
    <w:rPr>
      <w:b/>
      <w:sz w:val="28"/>
    </w:rPr>
  </w:style>
  <w:style w:type="paragraph" w:styleId="Piedepgina">
    <w:name w:val="footer"/>
    <w:aliases w:val="3_G"/>
    <w:basedOn w:val="Normal"/>
    <w:next w:val="Normal"/>
    <w:qFormat/>
    <w:rsid w:val="000F79E5"/>
    <w:rPr>
      <w:sz w:val="16"/>
    </w:rPr>
  </w:style>
  <w:style w:type="paragraph" w:customStyle="1" w:styleId="XLargeG">
    <w:name w:val="__XLarge_G"/>
    <w:basedOn w:val="Normal"/>
    <w:next w:val="Normal"/>
    <w:rsid w:val="000F79E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0F79E5"/>
    <w:pPr>
      <w:tabs>
        <w:tab w:val="right" w:pos="1021"/>
      </w:tabs>
      <w:spacing w:line="220" w:lineRule="exact"/>
      <w:ind w:left="1134" w:right="1134" w:hanging="1134"/>
    </w:pPr>
    <w:rPr>
      <w:sz w:val="18"/>
    </w:rPr>
  </w:style>
  <w:style w:type="table" w:styleId="Tablaconcuadrcula">
    <w:name w:val="Table Grid"/>
    <w:basedOn w:val="Tablanormal"/>
    <w:rsid w:val="000F79E5"/>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0F79E5"/>
    <w:pPr>
      <w:numPr>
        <w:numId w:val="3"/>
      </w:numPr>
    </w:pPr>
  </w:style>
  <w:style w:type="numbering" w:styleId="1ai">
    <w:name w:val="Outline List 1"/>
    <w:basedOn w:val="Sinlista"/>
    <w:semiHidden/>
    <w:rsid w:val="000F79E5"/>
    <w:pPr>
      <w:numPr>
        <w:numId w:val="4"/>
      </w:numPr>
    </w:pPr>
  </w:style>
  <w:style w:type="character" w:styleId="AcrnimoHTML">
    <w:name w:val="HTML Acronym"/>
    <w:semiHidden/>
    <w:rsid w:val="000F79E5"/>
  </w:style>
  <w:style w:type="numbering" w:styleId="ArtculoSeccin">
    <w:name w:val="Outline List 3"/>
    <w:basedOn w:val="Sinlista"/>
    <w:semiHidden/>
    <w:rsid w:val="000F79E5"/>
    <w:pPr>
      <w:numPr>
        <w:numId w:val="5"/>
      </w:numPr>
    </w:pPr>
  </w:style>
  <w:style w:type="paragraph" w:styleId="Cierre">
    <w:name w:val="Closing"/>
    <w:basedOn w:val="Normal"/>
    <w:semiHidden/>
    <w:rsid w:val="000F79E5"/>
    <w:pPr>
      <w:ind w:left="4252"/>
    </w:pPr>
  </w:style>
  <w:style w:type="character" w:styleId="CitaHTML">
    <w:name w:val="HTML Cite"/>
    <w:semiHidden/>
    <w:rsid w:val="000F79E5"/>
    <w:rPr>
      <w:i/>
      <w:iCs/>
    </w:rPr>
  </w:style>
  <w:style w:type="character" w:styleId="CdigoHTML">
    <w:name w:val="HTML Code"/>
    <w:semiHidden/>
    <w:rsid w:val="000F79E5"/>
    <w:rPr>
      <w:rFonts w:ascii="Courier New" w:hAnsi="Courier New" w:cs="Courier New"/>
      <w:sz w:val="20"/>
      <w:szCs w:val="20"/>
    </w:rPr>
  </w:style>
  <w:style w:type="paragraph" w:styleId="Continuarlista">
    <w:name w:val="List Continue"/>
    <w:basedOn w:val="Normal"/>
    <w:semiHidden/>
    <w:rsid w:val="000F79E5"/>
    <w:pPr>
      <w:spacing w:after="120"/>
      <w:ind w:left="283"/>
    </w:pPr>
  </w:style>
  <w:style w:type="paragraph" w:styleId="Continuarlista2">
    <w:name w:val="List Continue 2"/>
    <w:basedOn w:val="Normal"/>
    <w:semiHidden/>
    <w:rsid w:val="000F79E5"/>
    <w:pPr>
      <w:spacing w:after="120"/>
      <w:ind w:left="566"/>
    </w:pPr>
  </w:style>
  <w:style w:type="paragraph" w:styleId="Continuarlista3">
    <w:name w:val="List Continue 3"/>
    <w:basedOn w:val="Normal"/>
    <w:semiHidden/>
    <w:rsid w:val="000F79E5"/>
    <w:pPr>
      <w:spacing w:after="120"/>
      <w:ind w:left="849"/>
    </w:pPr>
  </w:style>
  <w:style w:type="paragraph" w:styleId="Continuarlista4">
    <w:name w:val="List Continue 4"/>
    <w:basedOn w:val="Normal"/>
    <w:semiHidden/>
    <w:rsid w:val="000F79E5"/>
    <w:pPr>
      <w:spacing w:after="120"/>
      <w:ind w:left="1132"/>
    </w:pPr>
  </w:style>
  <w:style w:type="paragraph" w:styleId="Continuarlista5">
    <w:name w:val="List Continue 5"/>
    <w:basedOn w:val="Normal"/>
    <w:semiHidden/>
    <w:rsid w:val="000F79E5"/>
    <w:pPr>
      <w:spacing w:after="120"/>
      <w:ind w:left="1415"/>
    </w:pPr>
  </w:style>
  <w:style w:type="character" w:styleId="DefinicinHTML">
    <w:name w:val="HTML Definition"/>
    <w:semiHidden/>
    <w:rsid w:val="000F79E5"/>
    <w:rPr>
      <w:i/>
      <w:iCs/>
    </w:rPr>
  </w:style>
  <w:style w:type="paragraph" w:styleId="DireccinHTML">
    <w:name w:val="HTML Address"/>
    <w:basedOn w:val="Normal"/>
    <w:semiHidden/>
    <w:rsid w:val="000F79E5"/>
    <w:rPr>
      <w:i/>
      <w:iCs/>
    </w:rPr>
  </w:style>
  <w:style w:type="paragraph" w:styleId="Direccinsobre">
    <w:name w:val="envelope address"/>
    <w:basedOn w:val="Normal"/>
    <w:semiHidden/>
    <w:rsid w:val="000F79E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F79E5"/>
    <w:rPr>
      <w:rFonts w:ascii="Courier New" w:hAnsi="Courier New" w:cs="Courier New"/>
    </w:rPr>
  </w:style>
  <w:style w:type="paragraph" w:styleId="Encabezadodemensaje">
    <w:name w:val="Message Header"/>
    <w:basedOn w:val="Normal"/>
    <w:semiHidden/>
    <w:rsid w:val="000F79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F79E5"/>
  </w:style>
  <w:style w:type="character" w:styleId="nfasis">
    <w:name w:val="Emphasis"/>
    <w:rsid w:val="000F79E5"/>
    <w:rPr>
      <w:i/>
      <w:iCs/>
    </w:rPr>
  </w:style>
  <w:style w:type="paragraph" w:styleId="Fecha">
    <w:name w:val="Date"/>
    <w:basedOn w:val="Normal"/>
    <w:next w:val="Normal"/>
    <w:semiHidden/>
    <w:rsid w:val="000F79E5"/>
  </w:style>
  <w:style w:type="paragraph" w:styleId="Firma">
    <w:name w:val="Signature"/>
    <w:basedOn w:val="Normal"/>
    <w:semiHidden/>
    <w:rsid w:val="000F79E5"/>
    <w:pPr>
      <w:ind w:left="4252"/>
    </w:pPr>
  </w:style>
  <w:style w:type="paragraph" w:styleId="Firmadecorreoelectrnico">
    <w:name w:val="E-mail Signature"/>
    <w:basedOn w:val="Normal"/>
    <w:semiHidden/>
    <w:rsid w:val="000F79E5"/>
  </w:style>
  <w:style w:type="character" w:styleId="Hipervnculo">
    <w:name w:val="Hyperlink"/>
    <w:rsid w:val="000F79E5"/>
    <w:rPr>
      <w:color w:val="0000FF"/>
      <w:u w:val="none"/>
    </w:rPr>
  </w:style>
  <w:style w:type="character" w:styleId="Hipervnculovisitado">
    <w:name w:val="FollowedHyperlink"/>
    <w:rsid w:val="000F79E5"/>
    <w:rPr>
      <w:color w:val="0000FF"/>
      <w:u w:val="none"/>
    </w:rPr>
  </w:style>
  <w:style w:type="paragraph" w:styleId="HTMLconformatoprevio">
    <w:name w:val="HTML Preformatted"/>
    <w:basedOn w:val="Normal"/>
    <w:semiHidden/>
    <w:rsid w:val="000F79E5"/>
    <w:rPr>
      <w:rFonts w:ascii="Courier New" w:hAnsi="Courier New" w:cs="Courier New"/>
    </w:rPr>
  </w:style>
  <w:style w:type="paragraph" w:styleId="Lista">
    <w:name w:val="List"/>
    <w:basedOn w:val="Normal"/>
    <w:semiHidden/>
    <w:rsid w:val="000F79E5"/>
    <w:pPr>
      <w:ind w:left="283" w:hanging="283"/>
    </w:pPr>
  </w:style>
  <w:style w:type="paragraph" w:styleId="Lista2">
    <w:name w:val="List 2"/>
    <w:basedOn w:val="Normal"/>
    <w:semiHidden/>
    <w:rsid w:val="000F79E5"/>
    <w:pPr>
      <w:ind w:left="566" w:hanging="283"/>
    </w:pPr>
  </w:style>
  <w:style w:type="paragraph" w:styleId="Lista3">
    <w:name w:val="List 3"/>
    <w:basedOn w:val="Normal"/>
    <w:semiHidden/>
    <w:rsid w:val="000F79E5"/>
    <w:pPr>
      <w:ind w:left="849" w:hanging="283"/>
    </w:pPr>
  </w:style>
  <w:style w:type="paragraph" w:styleId="Lista4">
    <w:name w:val="List 4"/>
    <w:basedOn w:val="Normal"/>
    <w:semiHidden/>
    <w:rsid w:val="000F79E5"/>
    <w:pPr>
      <w:ind w:left="1132" w:hanging="283"/>
    </w:pPr>
  </w:style>
  <w:style w:type="paragraph" w:styleId="Lista5">
    <w:name w:val="List 5"/>
    <w:basedOn w:val="Normal"/>
    <w:semiHidden/>
    <w:rsid w:val="000F79E5"/>
    <w:pPr>
      <w:ind w:left="1415" w:hanging="283"/>
    </w:pPr>
  </w:style>
  <w:style w:type="paragraph" w:styleId="Listaconnmeros">
    <w:name w:val="List Number"/>
    <w:basedOn w:val="Normal"/>
    <w:semiHidden/>
    <w:rsid w:val="000F79E5"/>
    <w:pPr>
      <w:numPr>
        <w:numId w:val="40"/>
      </w:numPr>
    </w:pPr>
  </w:style>
  <w:style w:type="paragraph" w:styleId="Listaconnmeros2">
    <w:name w:val="List Number 2"/>
    <w:basedOn w:val="Normal"/>
    <w:semiHidden/>
    <w:rsid w:val="000F79E5"/>
    <w:pPr>
      <w:numPr>
        <w:numId w:val="41"/>
      </w:numPr>
    </w:pPr>
  </w:style>
  <w:style w:type="paragraph" w:styleId="Listaconnmeros3">
    <w:name w:val="List Number 3"/>
    <w:basedOn w:val="Normal"/>
    <w:semiHidden/>
    <w:rsid w:val="000F79E5"/>
    <w:pPr>
      <w:numPr>
        <w:numId w:val="42"/>
      </w:numPr>
    </w:pPr>
  </w:style>
  <w:style w:type="paragraph" w:styleId="Listaconnmeros4">
    <w:name w:val="List Number 4"/>
    <w:basedOn w:val="Normal"/>
    <w:semiHidden/>
    <w:rsid w:val="000F79E5"/>
    <w:pPr>
      <w:numPr>
        <w:numId w:val="43"/>
      </w:numPr>
    </w:pPr>
  </w:style>
  <w:style w:type="paragraph" w:styleId="Listaconnmeros5">
    <w:name w:val="List Number 5"/>
    <w:basedOn w:val="Normal"/>
    <w:semiHidden/>
    <w:rsid w:val="000F79E5"/>
    <w:pPr>
      <w:numPr>
        <w:numId w:val="44"/>
      </w:numPr>
    </w:pPr>
  </w:style>
  <w:style w:type="paragraph" w:styleId="Listaconvietas">
    <w:name w:val="List Bullet"/>
    <w:basedOn w:val="Normal"/>
    <w:semiHidden/>
    <w:rsid w:val="000F79E5"/>
    <w:pPr>
      <w:numPr>
        <w:numId w:val="45"/>
      </w:numPr>
    </w:pPr>
  </w:style>
  <w:style w:type="paragraph" w:styleId="Listaconvietas2">
    <w:name w:val="List Bullet 2"/>
    <w:basedOn w:val="Normal"/>
    <w:semiHidden/>
    <w:rsid w:val="000F79E5"/>
    <w:pPr>
      <w:numPr>
        <w:numId w:val="46"/>
      </w:numPr>
    </w:pPr>
  </w:style>
  <w:style w:type="paragraph" w:styleId="Listaconvietas3">
    <w:name w:val="List Bullet 3"/>
    <w:basedOn w:val="Normal"/>
    <w:semiHidden/>
    <w:rsid w:val="000F79E5"/>
    <w:pPr>
      <w:numPr>
        <w:numId w:val="47"/>
      </w:numPr>
    </w:pPr>
  </w:style>
  <w:style w:type="paragraph" w:styleId="Listaconvietas4">
    <w:name w:val="List Bullet 4"/>
    <w:basedOn w:val="Normal"/>
    <w:semiHidden/>
    <w:rsid w:val="000F79E5"/>
    <w:pPr>
      <w:numPr>
        <w:numId w:val="48"/>
      </w:numPr>
    </w:pPr>
  </w:style>
  <w:style w:type="paragraph" w:styleId="Listaconvietas5">
    <w:name w:val="List Bullet 5"/>
    <w:basedOn w:val="Normal"/>
    <w:semiHidden/>
    <w:rsid w:val="000F79E5"/>
    <w:pPr>
      <w:numPr>
        <w:numId w:val="49"/>
      </w:numPr>
    </w:pPr>
  </w:style>
  <w:style w:type="character" w:styleId="MquinadeescribirHTML">
    <w:name w:val="HTML Typewriter"/>
    <w:semiHidden/>
    <w:rsid w:val="000F79E5"/>
    <w:rPr>
      <w:rFonts w:ascii="Courier New" w:hAnsi="Courier New" w:cs="Courier New"/>
      <w:sz w:val="20"/>
      <w:szCs w:val="20"/>
    </w:rPr>
  </w:style>
  <w:style w:type="paragraph" w:styleId="NormalWeb">
    <w:name w:val="Normal (Web)"/>
    <w:basedOn w:val="Normal"/>
    <w:rsid w:val="000F79E5"/>
    <w:rPr>
      <w:sz w:val="24"/>
      <w:szCs w:val="24"/>
    </w:rPr>
  </w:style>
  <w:style w:type="character" w:styleId="Nmerodelnea">
    <w:name w:val="line number"/>
    <w:semiHidden/>
    <w:rsid w:val="000F79E5"/>
  </w:style>
  <w:style w:type="character" w:styleId="Nmerodepgina">
    <w:name w:val="page number"/>
    <w:aliases w:val="7_G"/>
    <w:qFormat/>
    <w:rsid w:val="000F79E5"/>
    <w:rPr>
      <w:b/>
      <w:sz w:val="18"/>
    </w:rPr>
  </w:style>
  <w:style w:type="character" w:styleId="Refdenotaalfinal">
    <w:name w:val="endnote reference"/>
    <w:aliases w:val="1_G"/>
    <w:qFormat/>
    <w:rsid w:val="000F79E5"/>
    <w:rPr>
      <w:rFonts w:ascii="Times New Roman" w:hAnsi="Times New Roman"/>
      <w:sz w:val="18"/>
      <w:vertAlign w:val="superscript"/>
    </w:rPr>
  </w:style>
  <w:style w:type="paragraph" w:styleId="Remitedesobre">
    <w:name w:val="envelope return"/>
    <w:basedOn w:val="Normal"/>
    <w:semiHidden/>
    <w:rsid w:val="000F79E5"/>
    <w:rPr>
      <w:rFonts w:ascii="Arial" w:hAnsi="Arial" w:cs="Arial"/>
    </w:rPr>
  </w:style>
  <w:style w:type="paragraph" w:styleId="Saludo">
    <w:name w:val="Salutation"/>
    <w:basedOn w:val="Normal"/>
    <w:next w:val="Normal"/>
    <w:semiHidden/>
    <w:rsid w:val="000F79E5"/>
  </w:style>
  <w:style w:type="paragraph" w:styleId="Sangra2detindependiente">
    <w:name w:val="Body Text Indent 2"/>
    <w:basedOn w:val="Normal"/>
    <w:semiHidden/>
    <w:rsid w:val="000F79E5"/>
    <w:pPr>
      <w:spacing w:after="120" w:line="480" w:lineRule="auto"/>
      <w:ind w:left="283"/>
    </w:pPr>
  </w:style>
  <w:style w:type="paragraph" w:styleId="Sangra3detindependiente">
    <w:name w:val="Body Text Indent 3"/>
    <w:basedOn w:val="Normal"/>
    <w:semiHidden/>
    <w:rsid w:val="000F79E5"/>
    <w:pPr>
      <w:spacing w:after="120"/>
      <w:ind w:left="283"/>
    </w:pPr>
    <w:rPr>
      <w:sz w:val="16"/>
      <w:szCs w:val="16"/>
    </w:rPr>
  </w:style>
  <w:style w:type="paragraph" w:styleId="Sangradetextonormal">
    <w:name w:val="Body Text Indent"/>
    <w:basedOn w:val="Normal"/>
    <w:semiHidden/>
    <w:rsid w:val="000F79E5"/>
    <w:pPr>
      <w:spacing w:after="120"/>
      <w:ind w:left="283"/>
    </w:pPr>
  </w:style>
  <w:style w:type="paragraph" w:styleId="Sangranormal">
    <w:name w:val="Normal Indent"/>
    <w:basedOn w:val="Normal"/>
    <w:semiHidden/>
    <w:rsid w:val="000F79E5"/>
    <w:pPr>
      <w:ind w:left="567"/>
    </w:pPr>
  </w:style>
  <w:style w:type="paragraph" w:styleId="Subttulo">
    <w:name w:val="Subtitle"/>
    <w:basedOn w:val="Normal"/>
    <w:semiHidden/>
    <w:rsid w:val="000F79E5"/>
    <w:pPr>
      <w:spacing w:after="60"/>
      <w:jc w:val="center"/>
      <w:outlineLvl w:val="1"/>
    </w:pPr>
    <w:rPr>
      <w:rFonts w:ascii="Arial" w:hAnsi="Arial" w:cs="Arial"/>
      <w:sz w:val="24"/>
      <w:szCs w:val="24"/>
    </w:rPr>
  </w:style>
  <w:style w:type="table" w:styleId="Tablabsica1">
    <w:name w:val="Table Simple 1"/>
    <w:basedOn w:val="Tablanormal"/>
    <w:semiHidden/>
    <w:rsid w:val="000F79E5"/>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F79E5"/>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F79E5"/>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F79E5"/>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F79E5"/>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F79E5"/>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F79E5"/>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F79E5"/>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F79E5"/>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F79E5"/>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F79E5"/>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F79E5"/>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F79E5"/>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0F79E5"/>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0F79E5"/>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0F79E5"/>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F79E5"/>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F79E5"/>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F79E5"/>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F79E5"/>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F79E5"/>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F79E5"/>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F79E5"/>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F79E5"/>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F79E5"/>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F79E5"/>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F79E5"/>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F79E5"/>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F79E5"/>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F79E5"/>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F79E5"/>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F79E5"/>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0F79E5"/>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F79E5"/>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F79E5"/>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F79E5"/>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F79E5"/>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F79E5"/>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F79E5"/>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F79E5"/>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F79E5"/>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F79E5"/>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F79E5"/>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F79E5"/>
    <w:rPr>
      <w:rFonts w:ascii="Courier New" w:hAnsi="Courier New" w:cs="Courier New"/>
      <w:sz w:val="20"/>
      <w:szCs w:val="20"/>
    </w:rPr>
  </w:style>
  <w:style w:type="paragraph" w:styleId="Textodebloque">
    <w:name w:val="Block Text"/>
    <w:basedOn w:val="Normal"/>
    <w:semiHidden/>
    <w:rsid w:val="000F79E5"/>
    <w:pPr>
      <w:spacing w:after="120"/>
      <w:ind w:left="1440" w:right="1440"/>
    </w:pPr>
  </w:style>
  <w:style w:type="character" w:styleId="Textoennegrita">
    <w:name w:val="Strong"/>
    <w:rsid w:val="000F79E5"/>
    <w:rPr>
      <w:b/>
      <w:bCs/>
    </w:rPr>
  </w:style>
  <w:style w:type="paragraph" w:styleId="Textoindependiente">
    <w:name w:val="Body Text"/>
    <w:basedOn w:val="Normal"/>
    <w:semiHidden/>
    <w:rsid w:val="000F79E5"/>
    <w:pPr>
      <w:spacing w:after="120"/>
    </w:pPr>
  </w:style>
  <w:style w:type="paragraph" w:styleId="Textoindependiente2">
    <w:name w:val="Body Text 2"/>
    <w:basedOn w:val="Normal"/>
    <w:semiHidden/>
    <w:rsid w:val="000F79E5"/>
    <w:pPr>
      <w:spacing w:after="120" w:line="480" w:lineRule="auto"/>
    </w:pPr>
  </w:style>
  <w:style w:type="paragraph" w:styleId="Textoindependiente3">
    <w:name w:val="Body Text 3"/>
    <w:basedOn w:val="Normal"/>
    <w:semiHidden/>
    <w:rsid w:val="000F79E5"/>
    <w:pPr>
      <w:spacing w:after="120"/>
    </w:pPr>
    <w:rPr>
      <w:sz w:val="16"/>
      <w:szCs w:val="16"/>
    </w:rPr>
  </w:style>
  <w:style w:type="paragraph" w:styleId="Textoindependienteprimerasangra">
    <w:name w:val="Body Text First Indent"/>
    <w:basedOn w:val="Textoindependiente"/>
    <w:semiHidden/>
    <w:rsid w:val="000F79E5"/>
    <w:pPr>
      <w:ind w:firstLine="210"/>
    </w:pPr>
  </w:style>
  <w:style w:type="paragraph" w:styleId="Textoindependienteprimerasangra2">
    <w:name w:val="Body Text First Indent 2"/>
    <w:basedOn w:val="Sangradetextonormal"/>
    <w:semiHidden/>
    <w:rsid w:val="000F79E5"/>
    <w:pPr>
      <w:ind w:firstLine="210"/>
    </w:pPr>
  </w:style>
  <w:style w:type="paragraph" w:styleId="Textonotaalfinal">
    <w:name w:val="endnote text"/>
    <w:aliases w:val="2_G"/>
    <w:basedOn w:val="Textonotapie"/>
    <w:qFormat/>
    <w:rsid w:val="000F79E5"/>
  </w:style>
  <w:style w:type="paragraph" w:styleId="Textosinformato">
    <w:name w:val="Plain Text"/>
    <w:basedOn w:val="Normal"/>
    <w:semiHidden/>
    <w:rsid w:val="000F79E5"/>
    <w:rPr>
      <w:rFonts w:ascii="Courier New" w:hAnsi="Courier New" w:cs="Courier New"/>
    </w:rPr>
  </w:style>
  <w:style w:type="paragraph" w:styleId="Ttulo">
    <w:name w:val="Title"/>
    <w:basedOn w:val="Normal"/>
    <w:semiHidden/>
    <w:rsid w:val="000F79E5"/>
    <w:pPr>
      <w:spacing w:before="240" w:after="60"/>
      <w:jc w:val="center"/>
      <w:outlineLvl w:val="0"/>
    </w:pPr>
    <w:rPr>
      <w:rFonts w:ascii="Arial" w:hAnsi="Arial" w:cs="Arial"/>
      <w:b/>
      <w:bCs/>
      <w:kern w:val="28"/>
      <w:sz w:val="32"/>
      <w:szCs w:val="32"/>
    </w:rPr>
  </w:style>
  <w:style w:type="character" w:styleId="VariableHTML">
    <w:name w:val="HTML Variable"/>
    <w:semiHidden/>
    <w:rsid w:val="000F79E5"/>
    <w:rPr>
      <w:i/>
      <w:iCs/>
    </w:rPr>
  </w:style>
  <w:style w:type="paragraph" w:customStyle="1" w:styleId="Bullet1G">
    <w:name w:val="_Bullet 1_G"/>
    <w:basedOn w:val="Normal"/>
    <w:qFormat/>
    <w:rsid w:val="000F79E5"/>
    <w:pPr>
      <w:numPr>
        <w:numId w:val="35"/>
      </w:numPr>
      <w:spacing w:after="120"/>
      <w:ind w:right="1134"/>
      <w:jc w:val="both"/>
    </w:pPr>
    <w:rPr>
      <w:lang w:eastAsia="en-US"/>
    </w:rPr>
  </w:style>
  <w:style w:type="paragraph" w:customStyle="1" w:styleId="Bullet2G">
    <w:name w:val="_Bullet 2_G"/>
    <w:basedOn w:val="Normal"/>
    <w:qFormat/>
    <w:rsid w:val="000F79E5"/>
    <w:pPr>
      <w:numPr>
        <w:numId w:val="36"/>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0F79E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0F79E5"/>
    <w:rPr>
      <w:rFonts w:eastAsia="DengXian"/>
      <w:b/>
      <w:bCs/>
      <w:i/>
      <w:iCs/>
      <w:color w:val="4F81BD"/>
      <w:lang w:eastAsia="es-ES"/>
    </w:rPr>
  </w:style>
  <w:style w:type="character" w:styleId="nfasisintenso">
    <w:name w:val="Intense Emphasis"/>
    <w:uiPriority w:val="21"/>
    <w:semiHidden/>
    <w:rsid w:val="000F79E5"/>
    <w:rPr>
      <w:b/>
      <w:bCs/>
      <w:i/>
      <w:iCs/>
      <w:color w:val="4F81BD"/>
    </w:rPr>
  </w:style>
  <w:style w:type="character" w:customStyle="1" w:styleId="Ttulo1Car">
    <w:name w:val="Título 1 Car"/>
    <w:aliases w:val="Cuadro_G Car"/>
    <w:link w:val="Ttulo1"/>
    <w:rsid w:val="000F79E5"/>
    <w:rPr>
      <w:rFonts w:eastAsia="DengXian"/>
      <w:lang w:val="fr-CH" w:eastAsia="en-US"/>
    </w:rPr>
  </w:style>
  <w:style w:type="table" w:customStyle="1" w:styleId="Tablaconcuadrcula10">
    <w:name w:val="Tabla con cuadrícula1"/>
    <w:basedOn w:val="Tablanormal"/>
    <w:rsid w:val="002D4172"/>
    <w:pPr>
      <w:suppressAutoHyphens/>
      <w:spacing w:line="240" w:lineRule="atLeast"/>
    </w:pPr>
    <w:rPr>
      <w:rFonts w:eastAsia="Calibr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SingleTxtGChar">
    <w:name w:val="_ Single Txt_G Char"/>
    <w:link w:val="SingleTxtG"/>
    <w:rsid w:val="00E204E4"/>
    <w:rPr>
      <w:rFonts w:eastAsia="DengXian"/>
      <w:lang w:eastAsia="es-ES"/>
    </w:rPr>
  </w:style>
  <w:style w:type="character" w:customStyle="1" w:styleId="H1GChar">
    <w:name w:val="_ H_1_G Char"/>
    <w:link w:val="H1G"/>
    <w:rsid w:val="00571235"/>
    <w:rPr>
      <w:rFonts w:eastAsia="DengXian"/>
      <w:b/>
      <w:sz w:val="24"/>
      <w:lang w:eastAsia="es-ES"/>
    </w:rPr>
  </w:style>
  <w:style w:type="character" w:customStyle="1" w:styleId="H23GChar">
    <w:name w:val="_ H_2/3_G Char"/>
    <w:link w:val="H23G"/>
    <w:rsid w:val="00571235"/>
    <w:rPr>
      <w:rFonts w:eastAsia="DengXian"/>
      <w:b/>
      <w:lang w:eastAsia="es-ES"/>
    </w:rPr>
  </w:style>
  <w:style w:type="character" w:customStyle="1" w:styleId="TextonotapieCar">
    <w:name w:val="Texto nota pie Car"/>
    <w:aliases w:val="5_G Car"/>
    <w:link w:val="Textonotapie"/>
    <w:locked/>
    <w:rsid w:val="00571235"/>
    <w:rPr>
      <w:rFonts w:eastAsia="DengXian"/>
      <w:sz w:val="18"/>
      <w:lang w:eastAsia="es-ES"/>
    </w:rPr>
  </w:style>
  <w:style w:type="character" w:customStyle="1" w:styleId="SingleTxtGCar">
    <w:name w:val="_ Single Txt_G Car"/>
    <w:rsid w:val="00571235"/>
    <w:rPr>
      <w:sz w:val="24"/>
      <w:szCs w:val="24"/>
    </w:rPr>
  </w:style>
  <w:style w:type="character" w:customStyle="1" w:styleId="hps">
    <w:name w:val="hps"/>
    <w:rsid w:val="00571235"/>
  </w:style>
  <w:style w:type="paragraph" w:customStyle="1" w:styleId="Default">
    <w:name w:val="Default"/>
    <w:rsid w:val="00571235"/>
    <w:pPr>
      <w:autoSpaceDE w:val="0"/>
      <w:autoSpaceDN w:val="0"/>
      <w:adjustRightInd w:val="0"/>
    </w:pPr>
    <w:rPr>
      <w:color w:val="000000"/>
      <w:sz w:val="24"/>
      <w:szCs w:val="24"/>
      <w:lang w:val="en-GB" w:eastAsia="en-GB"/>
    </w:rPr>
  </w:style>
  <w:style w:type="character" w:customStyle="1" w:styleId="None">
    <w:name w:val="None"/>
    <w:rsid w:val="00571235"/>
  </w:style>
  <w:style w:type="character" w:customStyle="1" w:styleId="sessionsubtitle">
    <w:name w:val="sessionsubtitle"/>
    <w:rsid w:val="00571235"/>
  </w:style>
  <w:style w:type="character" w:customStyle="1" w:styleId="m-right-30">
    <w:name w:val="m-right-30"/>
    <w:rsid w:val="00571235"/>
  </w:style>
  <w:style w:type="character" w:customStyle="1" w:styleId="h2">
    <w:name w:val="h2"/>
    <w:rsid w:val="00571235"/>
  </w:style>
  <w:style w:type="paragraph" w:customStyle="1" w:styleId="Body">
    <w:name w:val="Body"/>
    <w:rsid w:val="00571235"/>
    <w:pPr>
      <w:pBdr>
        <w:top w:val="nil"/>
        <w:left w:val="nil"/>
        <w:bottom w:val="nil"/>
        <w:right w:val="nil"/>
        <w:between w:val="nil"/>
        <w:bar w:val="nil"/>
      </w:pBdr>
    </w:pPr>
    <w:rPr>
      <w:rFonts w:eastAsia="Arial Unicode MS" w:cs="Arial Unicode MS"/>
      <w:color w:val="000000"/>
      <w:u w:color="000000"/>
      <w:bdr w:val="nil"/>
      <w:lang w:val="pt-PT" w:eastAsia="en-GB"/>
    </w:rPr>
  </w:style>
  <w:style w:type="character" w:customStyle="1" w:styleId="c1">
    <w:name w:val="c1"/>
    <w:rsid w:val="00571235"/>
  </w:style>
  <w:style w:type="character" w:customStyle="1" w:styleId="apple-converted-space">
    <w:name w:val="apple-converted-space"/>
    <w:rsid w:val="00571235"/>
  </w:style>
  <w:style w:type="paragraph" w:customStyle="1" w:styleId="Prrafodelista1">
    <w:name w:val="Párrafo de lista1"/>
    <w:basedOn w:val="Normal"/>
    <w:rsid w:val="00571235"/>
    <w:pPr>
      <w:suppressAutoHyphens/>
      <w:spacing w:line="276" w:lineRule="auto"/>
      <w:ind w:left="720"/>
      <w:contextualSpacing/>
    </w:pPr>
    <w:rPr>
      <w:rFonts w:ascii="Arial" w:eastAsia="Arial" w:hAnsi="Arial" w:cs="Arial"/>
      <w:color w:val="00000A"/>
      <w:kern w:val="1"/>
      <w:sz w:val="22"/>
      <w:szCs w:val="22"/>
      <w:lang w:eastAsia="zh-CN"/>
    </w:rPr>
  </w:style>
  <w:style w:type="character" w:customStyle="1" w:styleId="UnresolvedMention1">
    <w:name w:val="Unresolved Mention1"/>
    <w:uiPriority w:val="99"/>
    <w:semiHidden/>
    <w:unhideWhenUsed/>
    <w:rsid w:val="00E07197"/>
    <w:rPr>
      <w:color w:val="605E5C"/>
      <w:shd w:val="clear" w:color="auto" w:fill="E1DFDD"/>
    </w:rPr>
  </w:style>
  <w:style w:type="paragraph" w:styleId="Prrafodelista">
    <w:name w:val="List Paragraph"/>
    <w:basedOn w:val="Normal"/>
    <w:uiPriority w:val="34"/>
    <w:qFormat/>
    <w:rsid w:val="00BE142C"/>
    <w:pPr>
      <w:ind w:left="720"/>
      <w:contextualSpacing/>
    </w:pPr>
  </w:style>
  <w:style w:type="character" w:customStyle="1" w:styleId="st1">
    <w:name w:val="st1"/>
    <w:basedOn w:val="Fuentedeprrafopredeter"/>
    <w:rsid w:val="00487907"/>
  </w:style>
  <w:style w:type="character" w:styleId="Refdecomentario">
    <w:name w:val="annotation reference"/>
    <w:semiHidden/>
    <w:unhideWhenUsed/>
    <w:rsid w:val="005D0C62"/>
    <w:rPr>
      <w:sz w:val="16"/>
      <w:szCs w:val="16"/>
    </w:rPr>
  </w:style>
  <w:style w:type="paragraph" w:styleId="Textocomentario">
    <w:name w:val="annotation text"/>
    <w:basedOn w:val="Normal"/>
    <w:link w:val="TextocomentarioCar"/>
    <w:semiHidden/>
    <w:unhideWhenUsed/>
    <w:rsid w:val="005D0C62"/>
    <w:pPr>
      <w:spacing w:line="240" w:lineRule="auto"/>
    </w:pPr>
  </w:style>
  <w:style w:type="character" w:customStyle="1" w:styleId="TextocomentarioCar">
    <w:name w:val="Texto comentario Car"/>
    <w:link w:val="Textocomentario"/>
    <w:semiHidden/>
    <w:rsid w:val="005D0C62"/>
    <w:rPr>
      <w:lang w:val="es-ES" w:eastAsia="es-ES"/>
    </w:rPr>
  </w:style>
  <w:style w:type="paragraph" w:styleId="Asuntodelcomentario">
    <w:name w:val="annotation subject"/>
    <w:basedOn w:val="Textocomentario"/>
    <w:next w:val="Textocomentario"/>
    <w:link w:val="AsuntodelcomentarioCar"/>
    <w:semiHidden/>
    <w:unhideWhenUsed/>
    <w:rsid w:val="005D0C62"/>
    <w:rPr>
      <w:b/>
      <w:bCs/>
    </w:rPr>
  </w:style>
  <w:style w:type="character" w:customStyle="1" w:styleId="AsuntodelcomentarioCar">
    <w:name w:val="Asunto del comentario Car"/>
    <w:link w:val="Asuntodelcomentario"/>
    <w:semiHidden/>
    <w:rsid w:val="005D0C62"/>
    <w:rPr>
      <w:b/>
      <w:bCs/>
      <w:lang w:val="es-ES" w:eastAsia="es-ES"/>
    </w:rPr>
  </w:style>
  <w:style w:type="paragraph" w:styleId="Revisin">
    <w:name w:val="Revision"/>
    <w:hidden/>
    <w:uiPriority w:val="99"/>
    <w:semiHidden/>
    <w:rsid w:val="004E64A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59142">
      <w:bodyDiv w:val="1"/>
      <w:marLeft w:val="0"/>
      <w:marRight w:val="0"/>
      <w:marTop w:val="0"/>
      <w:marBottom w:val="0"/>
      <w:divBdr>
        <w:top w:val="none" w:sz="0" w:space="0" w:color="auto"/>
        <w:left w:val="none" w:sz="0" w:space="0" w:color="auto"/>
        <w:bottom w:val="none" w:sz="0" w:space="0" w:color="auto"/>
        <w:right w:val="none" w:sz="0" w:space="0" w:color="auto"/>
      </w:divBdr>
    </w:div>
    <w:div w:id="744767376">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082097419">
      <w:bodyDiv w:val="1"/>
      <w:marLeft w:val="0"/>
      <w:marRight w:val="0"/>
      <w:marTop w:val="0"/>
      <w:marBottom w:val="0"/>
      <w:divBdr>
        <w:top w:val="none" w:sz="0" w:space="0" w:color="auto"/>
        <w:left w:val="none" w:sz="0" w:space="0" w:color="auto"/>
        <w:bottom w:val="none" w:sz="0" w:space="0" w:color="auto"/>
        <w:right w:val="none" w:sz="0" w:space="0" w:color="auto"/>
      </w:divBdr>
    </w:div>
    <w:div w:id="1241596158">
      <w:bodyDiv w:val="1"/>
      <w:marLeft w:val="0"/>
      <w:marRight w:val="0"/>
      <w:marTop w:val="0"/>
      <w:marBottom w:val="0"/>
      <w:divBdr>
        <w:top w:val="none" w:sz="0" w:space="0" w:color="auto"/>
        <w:left w:val="none" w:sz="0" w:space="0" w:color="auto"/>
        <w:bottom w:val="none" w:sz="0" w:space="0" w:color="auto"/>
        <w:right w:val="none" w:sz="0" w:space="0" w:color="auto"/>
      </w:divBdr>
    </w:div>
    <w:div w:id="1350448525">
      <w:bodyDiv w:val="1"/>
      <w:marLeft w:val="0"/>
      <w:marRight w:val="0"/>
      <w:marTop w:val="0"/>
      <w:marBottom w:val="0"/>
      <w:divBdr>
        <w:top w:val="none" w:sz="0" w:space="0" w:color="auto"/>
        <w:left w:val="none" w:sz="0" w:space="0" w:color="auto"/>
        <w:bottom w:val="none" w:sz="0" w:space="0" w:color="auto"/>
        <w:right w:val="none" w:sz="0" w:space="0" w:color="auto"/>
      </w:divBdr>
    </w:div>
    <w:div w:id="2047095036">
      <w:bodyDiv w:val="1"/>
      <w:marLeft w:val="0"/>
      <w:marRight w:val="0"/>
      <w:marTop w:val="0"/>
      <w:marBottom w:val="0"/>
      <w:divBdr>
        <w:top w:val="none" w:sz="0" w:space="0" w:color="auto"/>
        <w:left w:val="none" w:sz="0" w:space="0" w:color="auto"/>
        <w:bottom w:val="none" w:sz="0" w:space="0" w:color="auto"/>
        <w:right w:val="none" w:sz="0" w:space="0" w:color="auto"/>
      </w:divBdr>
      <w:divsChild>
        <w:div w:id="1319773029">
          <w:marLeft w:val="0"/>
          <w:marRight w:val="0"/>
          <w:marTop w:val="0"/>
          <w:marBottom w:val="0"/>
          <w:divBdr>
            <w:top w:val="none" w:sz="0" w:space="0" w:color="auto"/>
            <w:left w:val="none" w:sz="0" w:space="0" w:color="auto"/>
            <w:bottom w:val="none" w:sz="0" w:space="0" w:color="auto"/>
            <w:right w:val="none" w:sz="0" w:space="0" w:color="auto"/>
          </w:divBdr>
          <w:divsChild>
            <w:div w:id="325784543">
              <w:marLeft w:val="0"/>
              <w:marRight w:val="0"/>
              <w:marTop w:val="0"/>
              <w:marBottom w:val="0"/>
              <w:divBdr>
                <w:top w:val="none" w:sz="0" w:space="0" w:color="auto"/>
                <w:left w:val="none" w:sz="0" w:space="0" w:color="auto"/>
                <w:bottom w:val="none" w:sz="0" w:space="0" w:color="auto"/>
                <w:right w:val="none" w:sz="0" w:space="0" w:color="auto"/>
              </w:divBdr>
              <w:divsChild>
                <w:div w:id="1133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D035-2289-4C59-9CC1-5EDE9095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3424</Words>
  <Characters>18834</Characters>
  <Application>Microsoft Office Word</Application>
  <DocSecurity>0</DocSecurity>
  <Lines>156</Lines>
  <Paragraphs>44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CCPR/C/NIC/Q/R.4</vt:lpstr>
      <vt:lpstr>CCPR/C/NIC/Q/R.4</vt:lpstr>
      <vt:lpstr>CAT/C/XXX/Y</vt:lpstr>
    </vt:vector>
  </TitlesOfParts>
  <Company>DCM</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CCPR/C/NIC/Q/4</dc:title>
  <dc:subject/>
  <dc:creator>Gloria de la Rosa</dc:creator>
  <cp:keywords/>
  <dc:description/>
  <cp:lastModifiedBy>Maria De La Plaza</cp:lastModifiedBy>
  <cp:revision>3</cp:revision>
  <cp:lastPrinted>2019-11-29T10:12:00Z</cp:lastPrinted>
  <dcterms:created xsi:type="dcterms:W3CDTF">2019-11-29T10:12:00Z</dcterms:created>
  <dcterms:modified xsi:type="dcterms:W3CDTF">2019-11-29T10:13:00Z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C/NIC/Q/R.4</vt:lpwstr>
  </property>
  <property fmtid="{D5CDD505-2E9C-101B-9397-08002B2CF9AE}" pid="4" name="symh">
    <vt:lpwstr>CCPR/C/NIC/Q/R.4</vt:lpwstr>
  </property>
  <property fmtid="{D5CDD505-2E9C-101B-9397-08002B2CF9AE}" pid="5" name="dist">
    <vt:lpwstr>reservada</vt:lpwstr>
  </property>
  <property fmtid="{D5CDD505-2E9C-101B-9397-08002B2CF9AE}" pid="6" name="date">
    <vt:lpwstr>11 de septiembre de 2019</vt:lpwstr>
  </property>
  <property fmtid="{D5CDD505-2E9C-101B-9397-08002B2CF9AE}" pid="7" name="sdate">
    <vt:lpwstr>14 de octubre a 8 de noviembre 2019</vt:lpwstr>
  </property>
  <property fmtid="{D5CDD505-2E9C-101B-9397-08002B2CF9AE}" pid="8" name="virs">
    <vt:lpwstr>Español, francés e inglés únicamente</vt:lpwstr>
  </property>
  <property fmtid="{D5CDD505-2E9C-101B-9397-08002B2CF9AE}" pid="9" name="snum">
    <vt:lpwstr>127ᵒ</vt:lpwstr>
  </property>
  <property fmtid="{D5CDD505-2E9C-101B-9397-08002B2CF9AE}" pid="10" name="anum">
    <vt:lpwstr>[NUMBER]</vt:lpwstr>
  </property>
  <property fmtid="{D5CDD505-2E9C-101B-9397-08002B2CF9AE}" pid="11" name="count">
    <vt:lpwstr>de Nicaragua</vt:lpwstr>
  </property>
  <property fmtid="{D5CDD505-2E9C-101B-9397-08002B2CF9AE}" pid="12" name="countw">
    <vt:lpwstr>Nicaragua</vt:lpwstr>
  </property>
  <property fmtid="{D5CDD505-2E9C-101B-9397-08002B2CF9AE}" pid="13" name="countwd">
    <vt:lpwstr>Nicaragua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4</vt:lpwstr>
  </property>
  <property fmtid="{D5CDD505-2E9C-101B-9397-08002B2CF9AE}" pid="18" name="stitle">
    <vt:lpwstr>[Title]</vt:lpwstr>
  </property>
  <property fmtid="{D5CDD505-2E9C-101B-9397-08002B2CF9AE}" pid="19" name="prep">
    <vt:lpwstr>al cuarto informe periódico de Nicaragua</vt:lpwstr>
  </property>
  <property fmtid="{D5CDD505-2E9C-101B-9397-08002B2CF9AE}" pid="20" name="preps">
    <vt:lpwstr>cuarto informe periódico de Nicaragua</vt:lpwstr>
  </property>
  <property fmtid="{D5CDD505-2E9C-101B-9397-08002B2CF9AE}" pid="21" name="prepw">
    <vt:lpwstr>al cuarto informe periódico </vt:lpwstr>
  </property>
  <property fmtid="{D5CDD505-2E9C-101B-9397-08002B2CF9AE}" pid="22" name="prepws">
    <vt:lpwstr>cuarto informe periódico de Nicaragua</vt:lpwstr>
  </property>
  <property fmtid="{D5CDD505-2E9C-101B-9397-08002B2CF9AE}" pid="23" name="prepwc">
    <vt:lpwstr>Cuarto informe periódico </vt:lpwstr>
  </property>
  <property fmtid="{D5CDD505-2E9C-101B-9397-08002B2CF9AE}" pid="24" name="olang">
    <vt:lpwstr>español</vt:lpwstr>
  </property>
  <property fmtid="{D5CDD505-2E9C-101B-9397-08002B2CF9AE}" pid="25" name="Date-Generated">
    <vt:filetime>2019-09-11T09:12:54Z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List of issues</vt:lpwstr>
  </property>
  <property fmtid="{D5CDD505-2E9C-101B-9397-08002B2CF9AE}" pid="30" name="doctype">
    <vt:lpwstr>Draft</vt:lpwstr>
  </property>
  <property fmtid="{D5CDD505-2E9C-101B-9397-08002B2CF9AE}" pid="31" name="category">
    <vt:lpwstr>CCPR</vt:lpwstr>
  </property>
</Properties>
</file>