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framePr w:hSpace="180" w:wrap="around" w:vAnchor="text" w:hAnchor="margin" w:y="1"/>
              <w:spacing w:before="24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pPr>
              <w:framePr w:hSpace="180" w:wrap="around" w:vAnchor="text" w:hAnchor="margin" w:y="1"/>
            </w:pPr>
          </w:p>
        </w:tc>
        <w:tc>
          <w:tcPr>
            <w:tcW w:w="3366" w:type="dxa"/>
            <w:tcBorders>
              <w:top w:val="nil"/>
              <w:left w:val="nil"/>
              <w:bottom w:val="single" w:sz="6" w:space="0" w:color="auto"/>
              <w:right w:val="nil"/>
            </w:tcBorders>
            <w:vAlign w:val="bottom"/>
          </w:tcPr>
          <w:p w:rsidR="00000000" w:rsidRDefault="00000000">
            <w:pPr>
              <w:framePr w:hSpace="180" w:wrap="around" w:vAnchor="text" w:hAnchor="margin" w:y="1"/>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pPr>
              <w:framePr w:hSpace="180" w:wrap="around" w:vAnchor="text" w:hAnchor="margin" w:y="1"/>
            </w:pPr>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11583" r:id="rId8"/>
              </w:object>
            </w:r>
          </w:p>
        </w:tc>
        <w:tc>
          <w:tcPr>
            <w:tcW w:w="4536" w:type="dxa"/>
            <w:tcBorders>
              <w:top w:val="single" w:sz="6" w:space="0" w:color="auto"/>
              <w:left w:val="nil"/>
              <w:bottom w:val="single" w:sz="36" w:space="0" w:color="auto"/>
              <w:right w:val="nil"/>
            </w:tcBorders>
          </w:tcPr>
          <w:p w:rsidR="00000000" w:rsidRDefault="00000000">
            <w:pPr>
              <w:framePr w:hSpace="180" w:wrap="around" w:vAnchor="text" w:hAnchor="margin" w:y="1"/>
              <w:spacing w:before="36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framePr w:hSpace="180" w:wrap="around" w:vAnchor="text" w:hAnchor="margin" w:y="1"/>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framePr w:hSpace="180" w:wrap="around" w:vAnchor="text" w:hAnchor="margin" w:y="1"/>
              <w:spacing w:before="480"/>
            </w:pPr>
            <w:r>
              <w:t>Distr.</w:t>
            </w:r>
            <w:r>
              <w:br/>
            </w:r>
            <w:fldSimple w:instr=" FILLIN &quot;Distr.&quot; \* MERGEFORMAT ">
              <w:r>
                <w:t>GENERAL</w:t>
              </w:r>
            </w:fldSimple>
          </w:p>
          <w:p w:rsidR="00000000" w:rsidRDefault="00000000">
            <w:pPr>
              <w:framePr w:hSpace="180" w:wrap="around" w:vAnchor="text" w:hAnchor="margin" w:y="1"/>
            </w:pPr>
          </w:p>
          <w:p w:rsidR="00000000" w:rsidRDefault="00000000">
            <w:pPr>
              <w:framePr w:hSpace="180" w:wrap="around" w:vAnchor="text" w:hAnchor="margin" w:y="1"/>
            </w:pPr>
            <w:r>
              <w:rPr>
                <w:rFonts w:hint="eastAsia"/>
                <w:lang w:eastAsia="ja-JP"/>
              </w:rPr>
              <w:t>CRC/C/</w:t>
            </w:r>
            <w:r>
              <w:rPr>
                <w:lang w:eastAsia="ja-JP"/>
              </w:rPr>
              <w:t>OPSC/UGA</w:t>
            </w:r>
            <w:r>
              <w:rPr>
                <w:rFonts w:hint="eastAsia"/>
                <w:lang w:eastAsia="ja-JP"/>
              </w:rPr>
              <w:t>/Q/</w:t>
            </w:r>
            <w:r>
              <w:rPr>
                <w:lang w:eastAsia="ja-JP"/>
              </w:rPr>
              <w:t>1</w:t>
            </w:r>
            <w:r>
              <w:br/>
            </w:r>
            <w:r>
              <w:rPr>
                <w:lang w:eastAsia="ja-JP"/>
              </w:rPr>
              <w:t xml:space="preserve">27 June </w:t>
            </w:r>
            <w:r>
              <w:t>2008</w:t>
            </w:r>
          </w:p>
          <w:p w:rsidR="00000000" w:rsidRDefault="00000000">
            <w:pPr>
              <w:framePr w:hSpace="180" w:wrap="around" w:vAnchor="text" w:hAnchor="margin" w:y="1"/>
            </w:pPr>
          </w:p>
          <w:p w:rsidR="00000000" w:rsidRDefault="00000000">
            <w:pPr>
              <w:framePr w:hSpace="180" w:wrap="around" w:vAnchor="text" w:hAnchor="margin" w:y="1"/>
            </w:pPr>
            <w:r>
              <w:t xml:space="preserve">Original: </w:t>
            </w:r>
            <w:fldSimple w:instr=" FILLIN &quot;Orig. Lang.&quot; \* MERGEFORMAT ">
              <w:r>
                <w:t>ENGLISH</w:t>
              </w:r>
            </w:fldSimple>
          </w:p>
          <w:p w:rsidR="00000000" w:rsidRDefault="00000000">
            <w:pPr>
              <w:framePr w:hSpace="180" w:wrap="around" w:vAnchor="text" w:hAnchor="margin" w:y="1"/>
              <w:rPr>
                <w:b/>
              </w:rPr>
            </w:pPr>
          </w:p>
        </w:tc>
      </w:tr>
    </w:tbl>
    <w:p w:rsidR="00000000" w:rsidRDefault="00000000"/>
    <w:p w:rsidR="00000000" w:rsidRDefault="00000000">
      <w:pPr>
        <w:rPr>
          <w:lang w:val="en-US"/>
        </w:rPr>
      </w:pPr>
      <w:r>
        <w:rPr>
          <w:lang w:val="en-US"/>
        </w:rPr>
        <w:t>COMMITTEE ON THE RIGHTS OF THE CHILD</w:t>
      </w:r>
    </w:p>
    <w:p w:rsidR="00000000" w:rsidRDefault="00000000">
      <w:pPr>
        <w:autoSpaceDE w:val="0"/>
        <w:autoSpaceDN w:val="0"/>
        <w:adjustRightInd w:val="0"/>
      </w:pPr>
      <w:r>
        <w:t xml:space="preserve">Forty-ninth session </w:t>
      </w:r>
    </w:p>
    <w:p w:rsidR="00000000" w:rsidRDefault="00000000">
      <w:pPr>
        <w:autoSpaceDE w:val="0"/>
        <w:autoSpaceDN w:val="0"/>
        <w:adjustRightInd w:val="0"/>
      </w:pPr>
      <w:r>
        <w:t>15 September – 3 October 2008</w:t>
      </w:r>
    </w:p>
    <w:p w:rsidR="00000000" w:rsidRDefault="00000000"/>
    <w:p w:rsidR="00000000" w:rsidRDefault="00000000"/>
    <w:p w:rsidR="00000000" w:rsidRDefault="00000000">
      <w:pPr>
        <w:autoSpaceDE w:val="0"/>
        <w:autoSpaceDN w:val="0"/>
        <w:adjustRightInd w:val="0"/>
        <w:jc w:val="center"/>
        <w:rPr>
          <w:rFonts w:eastAsia="SimSun"/>
          <w:b/>
          <w:lang w:eastAsia="zh-CN"/>
        </w:rPr>
      </w:pPr>
      <w:r>
        <w:rPr>
          <w:rFonts w:eastAsia="SimSun"/>
          <w:b/>
          <w:lang w:eastAsia="zh-CN"/>
        </w:rPr>
        <w:t>OPTIONAL PROTOCOL ON THE SALE OF CHILDREN, CHILD PROSTITUTION AND CHILD PORNOGRAPHY</w:t>
      </w:r>
    </w:p>
    <w:p w:rsidR="00000000" w:rsidRDefault="00000000">
      <w:pPr>
        <w:autoSpaceDE w:val="0"/>
        <w:autoSpaceDN w:val="0"/>
        <w:adjustRightInd w:val="0"/>
        <w:jc w:val="center"/>
        <w:rPr>
          <w:rFonts w:eastAsia="SimSun"/>
          <w:b/>
          <w:lang w:eastAsia="zh-CN"/>
        </w:rPr>
      </w:pPr>
    </w:p>
    <w:p w:rsidR="00000000" w:rsidRDefault="00000000">
      <w:pPr>
        <w:autoSpaceDE w:val="0"/>
        <w:autoSpaceDN w:val="0"/>
        <w:adjustRightInd w:val="0"/>
        <w:jc w:val="center"/>
        <w:rPr>
          <w:b/>
          <w:bCs/>
        </w:rPr>
      </w:pPr>
      <w:r>
        <w:rPr>
          <w:b/>
          <w:bCs/>
        </w:rPr>
        <w:t>List of issues to be taken up in connection with the consideration</w:t>
      </w:r>
    </w:p>
    <w:p w:rsidR="00000000" w:rsidRDefault="00000000">
      <w:pPr>
        <w:autoSpaceDE w:val="0"/>
        <w:autoSpaceDN w:val="0"/>
        <w:adjustRightInd w:val="0"/>
        <w:jc w:val="center"/>
      </w:pPr>
      <w:r>
        <w:rPr>
          <w:b/>
          <w:bCs/>
        </w:rPr>
        <w:t>of the initial report of Uganda  (CRC/C/OPSC/UGA/1)</w:t>
      </w:r>
    </w:p>
    <w:p w:rsidR="00000000" w:rsidRDefault="00000000">
      <w:pPr>
        <w:autoSpaceDE w:val="0"/>
        <w:autoSpaceDN w:val="0"/>
        <w:adjustRightInd w:val="0"/>
        <w:jc w:val="center"/>
      </w:pPr>
    </w:p>
    <w:p w:rsidR="00000000" w:rsidRDefault="00000000">
      <w:pPr>
        <w:pStyle w:val="Heading3"/>
        <w:rPr>
          <w:rFonts w:ascii="Times New Roman" w:hAnsi="Times New Roman" w:cs="Times New Roman"/>
          <w:sz w:val="24"/>
          <w:szCs w:val="24"/>
        </w:rPr>
      </w:pPr>
      <w:r>
        <w:rPr>
          <w:rFonts w:ascii="Times New Roman" w:hAnsi="Times New Roman" w:cs="Times New Roman"/>
          <w:sz w:val="24"/>
          <w:szCs w:val="24"/>
        </w:rPr>
        <w:t xml:space="preserve">The State party is requested to submit in </w:t>
      </w:r>
      <w:r>
        <w:rPr>
          <w:rFonts w:ascii="Times New Roman" w:hAnsi="Times New Roman" w:cs="Times New Roman"/>
          <w:sz w:val="24"/>
          <w:szCs w:val="24"/>
          <w:u w:val="single"/>
        </w:rPr>
        <w:t>written form</w:t>
      </w:r>
      <w:r>
        <w:rPr>
          <w:rFonts w:ascii="Times New Roman" w:hAnsi="Times New Roman" w:cs="Times New Roman"/>
          <w:sz w:val="24"/>
          <w:szCs w:val="24"/>
        </w:rPr>
        <w:t xml:space="preserve"> additional and updated information, if possible, </w:t>
      </w:r>
      <w:r>
        <w:rPr>
          <w:rFonts w:ascii="Times New Roman" w:hAnsi="Times New Roman" w:cs="Times New Roman"/>
          <w:sz w:val="24"/>
          <w:szCs w:val="24"/>
          <w:u w:val="single"/>
        </w:rPr>
        <w:t>before</w:t>
      </w:r>
      <w:r>
        <w:rPr>
          <w:rFonts w:ascii="Times New Roman" w:eastAsia="SimSun" w:hAnsi="Times New Roman" w:cs="Times New Roman"/>
          <w:color w:val="000000"/>
          <w:sz w:val="24"/>
          <w:szCs w:val="24"/>
          <w:u w:val="single"/>
          <w:lang w:val="en-US" w:eastAsia="zh-CN"/>
        </w:rPr>
        <w:t xml:space="preserve"> 8 August 2008.</w:t>
      </w:r>
    </w:p>
    <w:p w:rsidR="00000000" w:rsidRDefault="00000000">
      <w:pPr>
        <w:autoSpaceDE w:val="0"/>
        <w:autoSpaceDN w:val="0"/>
        <w:adjustRightInd w:val="0"/>
        <w:jc w:val="center"/>
        <w:rPr>
          <w:sz w:val="20"/>
          <w:szCs w:val="20"/>
        </w:rPr>
      </w:pPr>
    </w:p>
    <w:p w:rsidR="00000000" w:rsidRDefault="00000000">
      <w:pPr>
        <w:autoSpaceDE w:val="0"/>
        <w:autoSpaceDN w:val="0"/>
        <w:adjustRightInd w:val="0"/>
        <w:ind w:right="-207"/>
        <w:jc w:val="both"/>
        <w:rPr>
          <w:sz w:val="22"/>
          <w:szCs w:val="22"/>
        </w:rPr>
      </w:pPr>
    </w:p>
    <w:p w:rsidR="00000000" w:rsidRDefault="00000000">
      <w:pPr>
        <w:numPr>
          <w:ilvl w:val="0"/>
          <w:numId w:val="1"/>
        </w:numPr>
        <w:autoSpaceDE w:val="0"/>
        <w:autoSpaceDN w:val="0"/>
        <w:adjustRightInd w:val="0"/>
        <w:jc w:val="both"/>
        <w:rPr>
          <w:b/>
        </w:rPr>
      </w:pPr>
      <w:r>
        <w:t>With reference to articles 2 and 3, please provide data (including by sex, age, urban/rural areas) for the years 2005, 2006, and 2007 on the following:</w:t>
      </w:r>
    </w:p>
    <w:p w:rsidR="00000000" w:rsidRDefault="00000000">
      <w:pPr>
        <w:autoSpaceDE w:val="0"/>
        <w:autoSpaceDN w:val="0"/>
        <w:adjustRightInd w:val="0"/>
        <w:ind w:left="360"/>
        <w:jc w:val="both"/>
        <w:rPr>
          <w:b/>
        </w:rPr>
      </w:pPr>
    </w:p>
    <w:p w:rsidR="00000000" w:rsidRDefault="00000000">
      <w:pPr>
        <w:numPr>
          <w:ilvl w:val="0"/>
          <w:numId w:val="2"/>
        </w:numPr>
        <w:tabs>
          <w:tab w:val="num" w:pos="1200"/>
        </w:tabs>
        <w:autoSpaceDE w:val="0"/>
        <w:autoSpaceDN w:val="0"/>
        <w:adjustRightInd w:val="0"/>
        <w:jc w:val="both"/>
        <w:rPr>
          <w:bCs/>
        </w:rPr>
      </w:pPr>
      <w:r>
        <w:t xml:space="preserve">The number of reported </w:t>
      </w:r>
      <w:r>
        <w:rPr>
          <w:bCs/>
        </w:rPr>
        <w:t>cases of sale of children, child prostitution and child pornography, with additional information on the type of follow-up provided on the outcome of the cases, including prosecution and sanctions for perpetrators;</w:t>
      </w:r>
    </w:p>
    <w:p w:rsidR="00000000" w:rsidRDefault="00000000">
      <w:pPr>
        <w:autoSpaceDE w:val="0"/>
        <w:autoSpaceDN w:val="0"/>
        <w:adjustRightInd w:val="0"/>
        <w:jc w:val="both"/>
        <w:rPr>
          <w:bCs/>
        </w:rPr>
      </w:pPr>
    </w:p>
    <w:p w:rsidR="00000000" w:rsidRDefault="00000000">
      <w:pPr>
        <w:numPr>
          <w:ilvl w:val="0"/>
          <w:numId w:val="2"/>
        </w:numPr>
        <w:tabs>
          <w:tab w:val="num" w:pos="1200"/>
        </w:tabs>
        <w:autoSpaceDE w:val="0"/>
        <w:autoSpaceDN w:val="0"/>
        <w:adjustRightInd w:val="0"/>
        <w:jc w:val="both"/>
        <w:rPr>
          <w:b/>
        </w:rPr>
      </w:pPr>
      <w:r>
        <w:t>The number of child victims provided with recovery assistance and compensation as defined in article 9, paragraphs 3 and 4, of the Optional Protocol.</w:t>
      </w:r>
    </w:p>
    <w:p w:rsidR="00000000" w:rsidRDefault="00000000">
      <w:pPr>
        <w:autoSpaceDE w:val="0"/>
        <w:autoSpaceDN w:val="0"/>
        <w:adjustRightInd w:val="0"/>
        <w:jc w:val="both"/>
      </w:pPr>
    </w:p>
    <w:p w:rsidR="00000000" w:rsidRDefault="00000000">
      <w:pPr>
        <w:numPr>
          <w:ilvl w:val="0"/>
          <w:numId w:val="1"/>
        </w:numPr>
        <w:autoSpaceDE w:val="0"/>
        <w:autoSpaceDN w:val="0"/>
        <w:adjustRightInd w:val="0"/>
        <w:jc w:val="both"/>
      </w:pPr>
      <w:r>
        <w:t>Please update the Committee on measures taken to establish an effective system of data collection on violations of the provisions of the Optional Protocol.</w:t>
      </w:r>
    </w:p>
    <w:p w:rsidR="00000000" w:rsidRDefault="00000000">
      <w:pPr>
        <w:autoSpaceDE w:val="0"/>
        <w:autoSpaceDN w:val="0"/>
        <w:adjustRightInd w:val="0"/>
        <w:ind w:left="360"/>
        <w:jc w:val="both"/>
      </w:pPr>
    </w:p>
    <w:p w:rsidR="00000000" w:rsidRDefault="00000000">
      <w:pPr>
        <w:numPr>
          <w:ilvl w:val="0"/>
          <w:numId w:val="1"/>
        </w:numPr>
        <w:autoSpaceDE w:val="0"/>
        <w:autoSpaceDN w:val="0"/>
        <w:adjustRightInd w:val="0"/>
        <w:jc w:val="both"/>
      </w:pPr>
      <w:r>
        <w:t>Please inform the Committee whether the State party has adopted or considered adopting a national plan of action to combat violations of the Optional Protocol.</w:t>
      </w:r>
    </w:p>
    <w:p w:rsidR="00000000" w:rsidRDefault="00000000">
      <w:pPr>
        <w:autoSpaceDE w:val="0"/>
        <w:autoSpaceDN w:val="0"/>
        <w:adjustRightInd w:val="0"/>
        <w:jc w:val="both"/>
      </w:pPr>
    </w:p>
    <w:p w:rsidR="00000000" w:rsidRDefault="00000000">
      <w:pPr>
        <w:numPr>
          <w:ilvl w:val="0"/>
          <w:numId w:val="1"/>
        </w:numPr>
        <w:autoSpaceDE w:val="0"/>
        <w:autoSpaceDN w:val="0"/>
        <w:adjustRightInd w:val="0"/>
        <w:jc w:val="both"/>
        <w:rPr>
          <w:i/>
          <w:iCs/>
        </w:rPr>
      </w:pPr>
      <w:r>
        <w:t xml:space="preserve">Please clarify the role played by the Ugandan Commission on Human Rights in monitoring implementation of the provisions of the Optional Protocol and whether the Commission has the mandate to receive complaints from, or on behalf, of children on violations of the Optional Protocol. </w:t>
      </w:r>
    </w:p>
    <w:p w:rsidR="00000000" w:rsidRDefault="00000000">
      <w:pPr>
        <w:autoSpaceDE w:val="0"/>
        <w:autoSpaceDN w:val="0"/>
        <w:adjustRightInd w:val="0"/>
        <w:jc w:val="both"/>
      </w:pPr>
      <w:r>
        <w:rPr>
          <w:noProof/>
          <w:sz w:val="20"/>
          <w:lang w:val="en-US"/>
        </w:rPr>
        <w:pict>
          <v:shapetype id="_x0000_t202" coordsize="21600,21600" o:spt="202" path="m,l,21600r21600,l21600,xe">
            <v:stroke joinstyle="miter"/>
            <v:path gradientshapeok="t" o:connecttype="rect"/>
          </v:shapetype>
          <v:shape id="_x0000_s1026" type="#_x0000_t202" style="position:absolute;left:0;text-align:left;margin-left:-6pt;margin-top:8.4pt;width:102pt;height:27pt;z-index:1" stroked="f">
            <v:textbox>
              <w:txbxContent>
                <w:p w:rsidR="00000000" w:rsidRDefault="00000000">
                  <w:r>
                    <w:rPr>
                      <w:rFonts w:hint="eastAsia"/>
                    </w:rPr>
                    <w:t>GE.08-427</w:t>
                  </w:r>
                  <w:r>
                    <w:t>81</w:t>
                  </w:r>
                </w:p>
              </w:txbxContent>
            </v:textbox>
          </v:shape>
        </w:pict>
      </w:r>
    </w:p>
    <w:p w:rsidR="00000000" w:rsidRDefault="00000000">
      <w:pPr>
        <w:numPr>
          <w:ilvl w:val="0"/>
          <w:numId w:val="1"/>
        </w:numPr>
        <w:autoSpaceDE w:val="0"/>
        <w:autoSpaceDN w:val="0"/>
        <w:adjustRightInd w:val="0"/>
        <w:jc w:val="both"/>
      </w:pPr>
      <w:r>
        <w:rPr>
          <w:lang w:val="en-CA"/>
        </w:rPr>
        <w:t>Please inform the Committee of progress made in the reform of the Penal Code with regards to incorporation of the provisions of the Optional Protocol.</w:t>
      </w:r>
    </w:p>
    <w:p w:rsidR="00000000" w:rsidRDefault="00000000">
      <w:pPr>
        <w:autoSpaceDE w:val="0"/>
        <w:autoSpaceDN w:val="0"/>
        <w:adjustRightInd w:val="0"/>
        <w:jc w:val="both"/>
      </w:pPr>
    </w:p>
    <w:p w:rsidR="00000000" w:rsidRDefault="00000000">
      <w:pPr>
        <w:numPr>
          <w:ilvl w:val="0"/>
          <w:numId w:val="1"/>
        </w:numPr>
        <w:autoSpaceDE w:val="0"/>
        <w:autoSpaceDN w:val="0"/>
        <w:adjustRightInd w:val="0"/>
        <w:jc w:val="both"/>
      </w:pPr>
      <w:r>
        <w:t>Please clarify whether legal persons can be held accountable for offences covered by the Optional Protocol.</w:t>
      </w:r>
    </w:p>
    <w:p w:rsidR="00000000" w:rsidRDefault="00000000">
      <w:pPr>
        <w:autoSpaceDE w:val="0"/>
        <w:autoSpaceDN w:val="0"/>
        <w:adjustRightInd w:val="0"/>
        <w:jc w:val="both"/>
      </w:pPr>
    </w:p>
    <w:p w:rsidR="00000000" w:rsidRDefault="00000000">
      <w:pPr>
        <w:numPr>
          <w:ilvl w:val="0"/>
          <w:numId w:val="1"/>
        </w:numPr>
        <w:autoSpaceDE w:val="0"/>
        <w:autoSpaceDN w:val="0"/>
        <w:adjustRightInd w:val="0"/>
        <w:jc w:val="both"/>
      </w:pPr>
      <w:r>
        <w:t>Please explain how the State party may establish jurisdiction over offences in accordance with articles 4 and 5 of the Optional Protocol.</w:t>
      </w:r>
    </w:p>
    <w:p w:rsidR="00000000" w:rsidRDefault="00000000">
      <w:pPr>
        <w:autoSpaceDE w:val="0"/>
        <w:autoSpaceDN w:val="0"/>
        <w:adjustRightInd w:val="0"/>
        <w:jc w:val="both"/>
      </w:pPr>
    </w:p>
    <w:p w:rsidR="00000000" w:rsidRDefault="00000000">
      <w:pPr>
        <w:numPr>
          <w:ilvl w:val="0"/>
          <w:numId w:val="1"/>
        </w:numPr>
        <w:autoSpaceDE w:val="0"/>
        <w:autoSpaceDN w:val="0"/>
        <w:adjustRightInd w:val="0"/>
        <w:jc w:val="both"/>
      </w:pPr>
      <w:r>
        <w:t>Please inform the Committee of the social reintegration assistance as well as physical and psychosocial recovery measures available for victims of offences covered by the Optional Protocol and the State budget allocations for this purpose.</w:t>
      </w:r>
    </w:p>
    <w:p w:rsidR="00000000" w:rsidRDefault="00000000">
      <w:pPr>
        <w:autoSpaceDE w:val="0"/>
        <w:autoSpaceDN w:val="0"/>
        <w:adjustRightInd w:val="0"/>
        <w:jc w:val="both"/>
      </w:pPr>
    </w:p>
    <w:p w:rsidR="00000000" w:rsidRDefault="00000000">
      <w:pPr>
        <w:numPr>
          <w:ilvl w:val="0"/>
          <w:numId w:val="1"/>
        </w:numPr>
        <w:autoSpaceDE w:val="0"/>
        <w:autoSpaceDN w:val="0"/>
        <w:adjustRightInd w:val="0"/>
        <w:jc w:val="both"/>
      </w:pPr>
      <w:r>
        <w:t>Please indicate whether special training is provided to professionals, such as prosecutors, judges, social workers and medical professionals, who come into contact with child victims of the offences under the Optional Protocol.</w:t>
      </w:r>
    </w:p>
    <w:p w:rsidR="00000000" w:rsidRDefault="00000000">
      <w:pPr>
        <w:jc w:val="both"/>
      </w:pPr>
    </w:p>
    <w:p w:rsidR="00000000" w:rsidRDefault="00000000"/>
    <w:p w:rsidR="00000000" w:rsidRDefault="00000000">
      <w:pPr>
        <w:autoSpaceDE w:val="0"/>
        <w:autoSpaceDN w:val="0"/>
        <w:adjustRightInd w:val="0"/>
        <w:jc w:val="center"/>
      </w:pPr>
      <w:r>
        <w:rPr>
          <w:rFonts w:ascii="TimesNewRomanPS-BoldMT" w:hAnsi="TimesNewRomanPS-BoldMT" w:cs="TimesNewRomanPS-BoldMT"/>
          <w:b/>
          <w:bCs/>
          <w:lang w:eastAsia="sv-SE"/>
        </w:rPr>
        <w:t>-----</w:t>
      </w:r>
    </w:p>
    <w:sectPr w:rsidR="00000000">
      <w:headerReference w:type="even" r:id="rId9"/>
      <w:headerReference w:type="default" r:id="rId10"/>
      <w:pgSz w:w="11907" w:h="16840" w:code="9"/>
      <w:pgMar w:top="108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FR"/>
      </w:rPr>
    </w:pPr>
    <w:r>
      <w:rPr>
        <w:lang w:val="fr-FR"/>
      </w:rPr>
      <w:t>CRC/C/OPSC/UGA/Q/1</w:t>
    </w:r>
  </w:p>
  <w:p w:rsidR="00000000" w:rsidRDefault="00000000">
    <w:pPr>
      <w:pStyle w:val="Header"/>
      <w:rPr>
        <w:rStyle w:val="PageNumbe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lang w:val="fr-FR"/>
      </w:rPr>
      <w:t>2</w:t>
    </w:r>
    <w:r>
      <w:rPr>
        <w:rStyle w:val="PageNumber"/>
      </w:rPr>
      <w:fldChar w:fldCharType="end"/>
    </w:r>
  </w:p>
  <w:p w:rsidR="00000000" w:rsidRDefault="00000000">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FR"/>
      </w:rPr>
    </w:pPr>
    <w:r>
      <w:rPr>
        <w:lang w:val="fr-FR"/>
      </w:rPr>
      <w:tab/>
    </w:r>
    <w:r>
      <w:rPr>
        <w:lang w:val="fr-FR"/>
      </w:rPr>
      <w:tab/>
      <w:t>CRC/C/OPSC/KOR/Q/1</w:t>
    </w:r>
  </w:p>
  <w:p w:rsidR="00000000" w:rsidRDefault="00000000">
    <w:pPr>
      <w:pStyle w:val="Header"/>
      <w:tabs>
        <w:tab w:val="clear" w:pos="8640"/>
        <w:tab w:val="right" w:pos="6960"/>
      </w:tabs>
      <w:rPr>
        <w:lang w:val="fr-FR"/>
      </w:rPr>
    </w:pPr>
    <w:r>
      <w:rPr>
        <w:lang w:val="fr-FR"/>
      </w:rPr>
      <w:tab/>
    </w:r>
    <w:r>
      <w:rPr>
        <w:lang w:val="fr-FR"/>
      </w:rPr>
      <w:tab/>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3</w:t>
    </w:r>
    <w:r>
      <w:rPr>
        <w:rStyle w:val="PageNumber"/>
      </w:rPr>
      <w:fldChar w:fldCharType="end"/>
    </w:r>
  </w:p>
  <w:p w:rsidR="00000000" w:rsidRDefault="00000000">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9CB"/>
    <w:multiLevelType w:val="multilevel"/>
    <w:tmpl w:val="DB10A26E"/>
    <w:lvl w:ilvl="0">
      <w:start w:val="1"/>
      <w:numFmt w:val="lowerLetter"/>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DC5686C"/>
    <w:multiLevelType w:val="hybridMultilevel"/>
    <w:tmpl w:val="C48240DE"/>
    <w:lvl w:ilvl="0" w:tplc="384C2DC8">
      <w:start w:val="3"/>
      <w:numFmt w:val="lowerLetter"/>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
    <w:nsid w:val="179035E7"/>
    <w:multiLevelType w:val="multilevel"/>
    <w:tmpl w:val="62389B3A"/>
    <w:lvl w:ilvl="0">
      <w:start w:val="1"/>
      <w:numFmt w:val="decimal"/>
      <w:lvlText w:val="%1."/>
      <w:lvlJc w:val="left"/>
      <w:pPr>
        <w:tabs>
          <w:tab w:val="num" w:pos="3240"/>
        </w:tabs>
        <w:ind w:left="32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8FF1C0F"/>
    <w:multiLevelType w:val="multilevel"/>
    <w:tmpl w:val="9BC8B67E"/>
    <w:lvl w:ilvl="0">
      <w:start w:val="1"/>
      <w:numFmt w:val="lowerLetter"/>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91F3DBE"/>
    <w:multiLevelType w:val="hybridMultilevel"/>
    <w:tmpl w:val="62389B3A"/>
    <w:lvl w:ilvl="0">
      <w:start w:val="1"/>
      <w:numFmt w:val="decimal"/>
      <w:lvlText w:val="%1."/>
      <w:lvlJc w:val="left"/>
      <w:pPr>
        <w:tabs>
          <w:tab w:val="num" w:pos="3240"/>
        </w:tabs>
        <w:ind w:left="32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BB90781"/>
    <w:multiLevelType w:val="hybridMultilevel"/>
    <w:tmpl w:val="32147FE0"/>
    <w:lvl w:ilvl="0" w:tplc="B41E7BFA">
      <w:start w:val="1"/>
      <w:numFmt w:val="decimal"/>
      <w:lvlText w:val="%1."/>
      <w:lvlJc w:val="left"/>
      <w:pPr>
        <w:tabs>
          <w:tab w:val="num" w:pos="680"/>
        </w:tabs>
        <w:ind w:left="0" w:firstLine="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6CE20B0"/>
    <w:multiLevelType w:val="hybridMultilevel"/>
    <w:tmpl w:val="396897C6"/>
    <w:lvl w:ilvl="0" w:tplc="A5FEA4A4">
      <w:start w:val="1"/>
      <w:numFmt w:val="lowerLetter"/>
      <w:lvlText w:val="(%1)"/>
      <w:lvlJc w:val="left"/>
      <w:pPr>
        <w:tabs>
          <w:tab w:val="num" w:pos="1080"/>
        </w:tabs>
        <w:ind w:left="0" w:firstLine="720"/>
      </w:pPr>
      <w:rPr>
        <w:rFonts w:hint="default"/>
        <w:b w:val="0"/>
        <w:b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48A10203"/>
    <w:multiLevelType w:val="multilevel"/>
    <w:tmpl w:val="A0DA3CF6"/>
    <w:lvl w:ilvl="0">
      <w:start w:val="1"/>
      <w:numFmt w:val="decimal"/>
      <w:lvlText w:val="%1."/>
      <w:lvlJc w:val="left"/>
      <w:pPr>
        <w:tabs>
          <w:tab w:val="num" w:pos="3240"/>
        </w:tabs>
        <w:ind w:left="32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B7D153E"/>
    <w:multiLevelType w:val="multilevel"/>
    <w:tmpl w:val="62389B3A"/>
    <w:lvl w:ilvl="0">
      <w:start w:val="1"/>
      <w:numFmt w:val="decimal"/>
      <w:lvlText w:val="%1."/>
      <w:lvlJc w:val="left"/>
      <w:pPr>
        <w:tabs>
          <w:tab w:val="num" w:pos="3240"/>
        </w:tabs>
        <w:ind w:left="32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03632E9"/>
    <w:multiLevelType w:val="hybridMultilevel"/>
    <w:tmpl w:val="8432152A"/>
    <w:lvl w:ilvl="0">
      <w:start w:val="1"/>
      <w:numFmt w:val="lowerLetter"/>
      <w:lvlText w:val="%1)"/>
      <w:lvlJc w:val="left"/>
      <w:pPr>
        <w:tabs>
          <w:tab w:val="num" w:pos="2880"/>
        </w:tabs>
        <w:ind w:left="28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6A214DD4"/>
    <w:multiLevelType w:val="hybridMultilevel"/>
    <w:tmpl w:val="4BD4534A"/>
    <w:lvl w:ilvl="0" w:tplc="7C0C6524">
      <w:start w:val="1"/>
      <w:numFmt w:val="decimal"/>
      <w:lvlText w:val="%1."/>
      <w:lvlJc w:val="left"/>
      <w:pPr>
        <w:tabs>
          <w:tab w:val="num" w:pos="360"/>
        </w:tabs>
        <w:ind w:left="0" w:firstLine="0"/>
      </w:pPr>
      <w:rPr>
        <w:rFonts w:hint="default"/>
        <w:b w:val="0"/>
        <w:bCs/>
        <w:i w:val="0"/>
        <w:iCs w:val="0"/>
      </w:rPr>
    </w:lvl>
    <w:lvl w:ilvl="1" w:tplc="FFFFFFFF">
      <w:start w:val="1"/>
      <w:numFmt w:val="lowerLetter"/>
      <w:lvlText w:val="%2)"/>
      <w:lvlJc w:val="left"/>
      <w:pPr>
        <w:tabs>
          <w:tab w:val="num" w:pos="1440"/>
        </w:tabs>
        <w:ind w:left="1440" w:hanging="360"/>
      </w:pPr>
      <w:rPr>
        <w:b w:val="0"/>
        <w:bCs/>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71521414"/>
    <w:multiLevelType w:val="hybridMultilevel"/>
    <w:tmpl w:val="BCC8E43C"/>
    <w:lvl w:ilvl="0" w:tplc="FA649352">
      <w:start w:val="1"/>
      <w:numFmt w:val="decimal"/>
      <w:lvlText w:val="%1."/>
      <w:lvlJc w:val="left"/>
      <w:pPr>
        <w:tabs>
          <w:tab w:val="num" w:pos="3254"/>
        </w:tabs>
        <w:ind w:left="3254" w:hanging="360"/>
      </w:pPr>
      <w:rPr>
        <w:rFonts w:hint="default"/>
      </w:rPr>
    </w:lvl>
    <w:lvl w:ilvl="1" w:tplc="04090019" w:tentative="1">
      <w:start w:val="1"/>
      <w:numFmt w:val="lowerLetter"/>
      <w:lvlText w:val="%2."/>
      <w:lvlJc w:val="left"/>
      <w:pPr>
        <w:tabs>
          <w:tab w:val="num" w:pos="2707"/>
        </w:tabs>
        <w:ind w:left="2707" w:hanging="360"/>
      </w:pPr>
    </w:lvl>
    <w:lvl w:ilvl="2" w:tplc="52D29648">
      <w:start w:val="1"/>
      <w:numFmt w:val="decimal"/>
      <w:lvlText w:val="%3."/>
      <w:lvlJc w:val="right"/>
      <w:pPr>
        <w:tabs>
          <w:tab w:val="num" w:pos="3427"/>
        </w:tabs>
        <w:ind w:left="3427" w:hanging="180"/>
      </w:pPr>
      <w:rPr>
        <w:rFonts w:ascii="Times New Roman" w:eastAsia="Times New Roman" w:hAnsi="Times New Roman" w:cs="Times New Roman"/>
      </w:rPr>
    </w:lvl>
    <w:lvl w:ilvl="3" w:tplc="0409000F" w:tentative="1">
      <w:start w:val="1"/>
      <w:numFmt w:val="decimal"/>
      <w:lvlText w:val="%4."/>
      <w:lvlJc w:val="left"/>
      <w:pPr>
        <w:tabs>
          <w:tab w:val="num" w:pos="4147"/>
        </w:tabs>
        <w:ind w:left="4147" w:hanging="360"/>
      </w:pPr>
    </w:lvl>
    <w:lvl w:ilvl="4" w:tplc="04090019" w:tentative="1">
      <w:start w:val="1"/>
      <w:numFmt w:val="lowerLetter"/>
      <w:lvlText w:val="%5."/>
      <w:lvlJc w:val="left"/>
      <w:pPr>
        <w:tabs>
          <w:tab w:val="num" w:pos="4867"/>
        </w:tabs>
        <w:ind w:left="4867" w:hanging="360"/>
      </w:pPr>
    </w:lvl>
    <w:lvl w:ilvl="5" w:tplc="0409001B" w:tentative="1">
      <w:start w:val="1"/>
      <w:numFmt w:val="lowerRoman"/>
      <w:lvlText w:val="%6."/>
      <w:lvlJc w:val="right"/>
      <w:pPr>
        <w:tabs>
          <w:tab w:val="num" w:pos="5587"/>
        </w:tabs>
        <w:ind w:left="5587" w:hanging="180"/>
      </w:pPr>
    </w:lvl>
    <w:lvl w:ilvl="6" w:tplc="0409000F" w:tentative="1">
      <w:start w:val="1"/>
      <w:numFmt w:val="decimal"/>
      <w:lvlText w:val="%7."/>
      <w:lvlJc w:val="left"/>
      <w:pPr>
        <w:tabs>
          <w:tab w:val="num" w:pos="6307"/>
        </w:tabs>
        <w:ind w:left="6307" w:hanging="360"/>
      </w:pPr>
    </w:lvl>
    <w:lvl w:ilvl="7" w:tplc="04090019" w:tentative="1">
      <w:start w:val="1"/>
      <w:numFmt w:val="lowerLetter"/>
      <w:lvlText w:val="%8."/>
      <w:lvlJc w:val="left"/>
      <w:pPr>
        <w:tabs>
          <w:tab w:val="num" w:pos="7027"/>
        </w:tabs>
        <w:ind w:left="7027" w:hanging="360"/>
      </w:pPr>
    </w:lvl>
    <w:lvl w:ilvl="8" w:tplc="0409001B" w:tentative="1">
      <w:start w:val="1"/>
      <w:numFmt w:val="lowerRoman"/>
      <w:lvlText w:val="%9."/>
      <w:lvlJc w:val="right"/>
      <w:pPr>
        <w:tabs>
          <w:tab w:val="num" w:pos="7747"/>
        </w:tabs>
        <w:ind w:left="7747" w:hanging="180"/>
      </w:pPr>
    </w:lvl>
  </w:abstractNum>
  <w:abstractNum w:abstractNumId="12">
    <w:nsid w:val="74484FD0"/>
    <w:multiLevelType w:val="multilevel"/>
    <w:tmpl w:val="DB10A26E"/>
    <w:lvl w:ilvl="0">
      <w:start w:val="1"/>
      <w:numFmt w:val="lowerLetter"/>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4"/>
  </w:num>
  <w:num w:numId="5">
    <w:abstractNumId w:val="12"/>
  </w:num>
  <w:num w:numId="6">
    <w:abstractNumId w:val="0"/>
  </w:num>
  <w:num w:numId="7">
    <w:abstractNumId w:val="7"/>
  </w:num>
  <w:num w:numId="8">
    <w:abstractNumId w:val="3"/>
  </w:num>
  <w:num w:numId="9">
    <w:abstractNumId w:val="2"/>
  </w:num>
  <w:num w:numId="10">
    <w:abstractNumId w:val="8"/>
  </w:num>
  <w:num w:numId="11">
    <w:abstractNumId w:val="11"/>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MS Mincho"/>
      <w:sz w:val="24"/>
      <w:szCs w:val="24"/>
      <w:lang w:val="en-GB" w:eastAsia="en-US"/>
    </w:rPr>
  </w:style>
  <w:style w:type="paragraph" w:styleId="Heading3">
    <w:name w:val="heading 3"/>
    <w:basedOn w:val="Normal"/>
    <w:next w:val="Normal"/>
    <w:qFormat/>
    <w:pPr>
      <w:keepNext/>
      <w:spacing w:before="240" w:after="60"/>
      <w:outlineLvl w:val="2"/>
    </w:pPr>
    <w:rPr>
      <w:rFonts w:ascii="Arial" w:eastAsia="Times New Roman" w:hAnsi="Arial" w:cs="Arial"/>
      <w:b/>
      <w:b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sz w:val="20"/>
      <w:szCs w:val="20"/>
    </w:rPr>
  </w:style>
  <w:style w:type="character" w:styleId="FootnoteReference">
    <w:name w:val="footnote reference"/>
    <w:semiHidden/>
    <w:rPr>
      <w:vertAlign w:val="superscript"/>
    </w:rPr>
  </w:style>
  <w:style w:type="character" w:styleId="Strong">
    <w:name w:val="Strong"/>
    <w:qFormat/>
    <w:rPr>
      <w:b/>
      <w:bCs/>
    </w:rPr>
  </w:style>
  <w:style w:type="character" w:customStyle="1" w:styleId="paragraph">
    <w:name w:val="paragraph"/>
    <w:rPr>
      <w:color w:val="4A88C2"/>
      <w:sz w:val="22"/>
      <w:szCs w:val="22"/>
    </w:rPr>
  </w:style>
  <w:style w:type="character" w:customStyle="1" w:styleId="document">
    <w:name w:val="document"/>
    <w:rPr>
      <w:color w:val="4A88C2"/>
      <w:sz w:val="22"/>
      <w:szCs w:val="22"/>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387</Words>
  <Characters>2208</Characters>
  <Application>Microsoft Office Word</Application>
  <DocSecurity>4</DocSecurity>
  <Lines>18</Lines>
  <Paragraphs>4</Paragraphs>
  <ScaleCrop>false</ScaleCrop>
  <HeadingPairs>
    <vt:vector size="2" baseType="variant">
      <vt:variant>
        <vt:lpstr>Title</vt:lpstr>
      </vt:variant>
      <vt:variant>
        <vt:i4>1</vt:i4>
      </vt:variant>
    </vt:vector>
  </HeadingPairs>
  <TitlesOfParts>
    <vt:vector size="1" baseType="lpstr">
      <vt:lpstr>UNITED</vt:lpstr>
    </vt:vector>
  </TitlesOfParts>
  <Company>International Computing Centre</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subject/>
  <dc:creator>OHCHR</dc:creator>
  <cp:keywords/>
  <dc:description/>
  <cp:lastModifiedBy>csd</cp:lastModifiedBy>
  <cp:revision>2</cp:revision>
  <cp:lastPrinted>2008-02-12T09:28:00Z</cp:lastPrinted>
  <dcterms:created xsi:type="dcterms:W3CDTF">2008-07-01T15:20:00Z</dcterms:created>
  <dcterms:modified xsi:type="dcterms:W3CDTF">2008-07-01T15:20:00Z</dcterms:modified>
</cp:coreProperties>
</file>