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B45F6" w:rsidRPr="006F5500" w:rsidTr="008F7EA5">
        <w:trPr>
          <w:trHeight w:hRule="exact" w:val="851"/>
        </w:trPr>
        <w:tc>
          <w:tcPr>
            <w:tcW w:w="1276" w:type="dxa"/>
            <w:tcBorders>
              <w:bottom w:val="single" w:sz="4" w:space="0" w:color="auto"/>
            </w:tcBorders>
          </w:tcPr>
          <w:p w:rsidR="00060E82" w:rsidRPr="00DB45F6" w:rsidRDefault="00060E82" w:rsidP="008F7EA5"/>
        </w:tc>
        <w:tc>
          <w:tcPr>
            <w:tcW w:w="2268" w:type="dxa"/>
            <w:tcBorders>
              <w:bottom w:val="single" w:sz="4" w:space="0" w:color="auto"/>
            </w:tcBorders>
            <w:vAlign w:val="bottom"/>
          </w:tcPr>
          <w:p w:rsidR="00060E82" w:rsidRPr="00DB45F6" w:rsidRDefault="00060E82" w:rsidP="008F7EA5">
            <w:pPr>
              <w:spacing w:after="80" w:line="300" w:lineRule="exact"/>
              <w:rPr>
                <w:sz w:val="28"/>
              </w:rPr>
            </w:pPr>
            <w:r w:rsidRPr="00DB45F6">
              <w:rPr>
                <w:sz w:val="28"/>
              </w:rPr>
              <w:t>Nations Unies</w:t>
            </w:r>
          </w:p>
        </w:tc>
        <w:tc>
          <w:tcPr>
            <w:tcW w:w="6095" w:type="dxa"/>
            <w:gridSpan w:val="2"/>
            <w:tcBorders>
              <w:bottom w:val="single" w:sz="4" w:space="0" w:color="auto"/>
            </w:tcBorders>
            <w:vAlign w:val="bottom"/>
          </w:tcPr>
          <w:p w:rsidR="00060E82" w:rsidRPr="00DB45F6" w:rsidRDefault="00247314" w:rsidP="00247314">
            <w:pPr>
              <w:jc w:val="right"/>
              <w:rPr>
                <w:lang w:val="en-GB"/>
              </w:rPr>
            </w:pPr>
            <w:r w:rsidRPr="00DB45F6">
              <w:rPr>
                <w:sz w:val="40"/>
                <w:lang w:val="en-GB"/>
              </w:rPr>
              <w:t>CRC</w:t>
            </w:r>
            <w:r w:rsidRPr="00DB45F6">
              <w:rPr>
                <w:lang w:val="en-GB"/>
              </w:rPr>
              <w:t>/C/OPSC/NER/Q/1/Add.1</w:t>
            </w:r>
          </w:p>
        </w:tc>
      </w:tr>
      <w:tr w:rsidR="00DB45F6" w:rsidRPr="00DB45F6" w:rsidTr="008F7EA5">
        <w:trPr>
          <w:trHeight w:hRule="exact" w:val="2835"/>
        </w:trPr>
        <w:tc>
          <w:tcPr>
            <w:tcW w:w="1276" w:type="dxa"/>
            <w:tcBorders>
              <w:top w:val="single" w:sz="4" w:space="0" w:color="auto"/>
              <w:bottom w:val="single" w:sz="12" w:space="0" w:color="auto"/>
            </w:tcBorders>
          </w:tcPr>
          <w:p w:rsidR="00060E82" w:rsidRPr="00DB45F6" w:rsidRDefault="00E14712" w:rsidP="008F7EA5">
            <w:pPr>
              <w:spacing w:before="120"/>
              <w:jc w:val="center"/>
            </w:pPr>
            <w:r>
              <w:rPr>
                <w:noProof/>
                <w:lang w:eastAsia="fr-CH"/>
              </w:rPr>
              <w:drawing>
                <wp:inline distT="0" distB="0" distL="0" distR="0">
                  <wp:extent cx="715010" cy="59817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60E82" w:rsidRPr="00DB45F6" w:rsidRDefault="00060E82" w:rsidP="008F7EA5">
            <w:pPr>
              <w:spacing w:before="120" w:line="460" w:lineRule="exact"/>
              <w:rPr>
                <w:b/>
                <w:sz w:val="40"/>
                <w:szCs w:val="40"/>
              </w:rPr>
            </w:pPr>
            <w:r w:rsidRPr="00DB45F6">
              <w:rPr>
                <w:b/>
                <w:sz w:val="40"/>
                <w:szCs w:val="40"/>
              </w:rPr>
              <w:t>Convention relative</w:t>
            </w:r>
            <w:r w:rsidRPr="00DB45F6">
              <w:rPr>
                <w:b/>
                <w:sz w:val="40"/>
                <w:szCs w:val="40"/>
              </w:rPr>
              <w:br/>
              <w:t>aux droits de l’enfant</w:t>
            </w:r>
          </w:p>
        </w:tc>
        <w:tc>
          <w:tcPr>
            <w:tcW w:w="2835" w:type="dxa"/>
            <w:tcBorders>
              <w:top w:val="single" w:sz="4" w:space="0" w:color="auto"/>
              <w:bottom w:val="single" w:sz="12" w:space="0" w:color="auto"/>
            </w:tcBorders>
          </w:tcPr>
          <w:p w:rsidR="00060E82" w:rsidRPr="00DB45F6" w:rsidRDefault="00247314" w:rsidP="00247314">
            <w:pPr>
              <w:spacing w:before="240" w:line="240" w:lineRule="exact"/>
            </w:pPr>
            <w:r w:rsidRPr="00DB45F6">
              <w:t>Distr. générale</w:t>
            </w:r>
          </w:p>
          <w:p w:rsidR="00247314" w:rsidRPr="00DB45F6" w:rsidRDefault="00DE3EB2" w:rsidP="00311431">
            <w:pPr>
              <w:spacing w:line="240" w:lineRule="exact"/>
            </w:pPr>
            <w:r>
              <w:t>2</w:t>
            </w:r>
            <w:r w:rsidR="00311431">
              <w:t>6</w:t>
            </w:r>
            <w:r w:rsidR="00247314" w:rsidRPr="00DB45F6">
              <w:t xml:space="preserve"> juillet 2018</w:t>
            </w:r>
          </w:p>
          <w:p w:rsidR="00247314" w:rsidRPr="00DB45F6" w:rsidRDefault="00247314" w:rsidP="00247314">
            <w:pPr>
              <w:spacing w:line="240" w:lineRule="exact"/>
            </w:pPr>
          </w:p>
          <w:p w:rsidR="00247314" w:rsidRPr="00DB45F6" w:rsidRDefault="00247314" w:rsidP="00247314">
            <w:pPr>
              <w:spacing w:line="240" w:lineRule="exact"/>
            </w:pPr>
            <w:r w:rsidRPr="00DB45F6">
              <w:t>Original : français</w:t>
            </w:r>
          </w:p>
          <w:p w:rsidR="003917B5" w:rsidRPr="00DB45F6" w:rsidRDefault="003917B5" w:rsidP="00247314">
            <w:pPr>
              <w:spacing w:line="240" w:lineRule="exact"/>
            </w:pPr>
            <w:r w:rsidRPr="00DB45F6">
              <w:t>Anglais et français seulement</w:t>
            </w:r>
          </w:p>
        </w:tc>
      </w:tr>
    </w:tbl>
    <w:p w:rsidR="00941CC0" w:rsidRPr="00DB45F6" w:rsidRDefault="00941CC0" w:rsidP="00941CC0">
      <w:pPr>
        <w:spacing w:before="120"/>
        <w:rPr>
          <w:b/>
          <w:sz w:val="24"/>
          <w:szCs w:val="24"/>
        </w:rPr>
      </w:pPr>
      <w:r w:rsidRPr="00DB45F6">
        <w:rPr>
          <w:b/>
          <w:sz w:val="24"/>
          <w:szCs w:val="24"/>
        </w:rPr>
        <w:t>Comité des droits de l’enfant</w:t>
      </w:r>
    </w:p>
    <w:p w:rsidR="00941CC0" w:rsidRPr="00DB45F6" w:rsidRDefault="00941CC0" w:rsidP="00941CC0">
      <w:pPr>
        <w:rPr>
          <w:b/>
          <w:bCs/>
          <w:lang w:val="fr-FR"/>
        </w:rPr>
      </w:pPr>
      <w:r w:rsidRPr="00DB45F6">
        <w:rPr>
          <w:b/>
          <w:bCs/>
          <w:lang w:val="fr-FR"/>
        </w:rPr>
        <w:t>Soixante-dix-neuvième session</w:t>
      </w:r>
    </w:p>
    <w:p w:rsidR="00941CC0" w:rsidRPr="00DB45F6" w:rsidRDefault="00941CC0" w:rsidP="00941CC0">
      <w:pPr>
        <w:rPr>
          <w:lang w:val="fr-FR"/>
        </w:rPr>
      </w:pPr>
      <w:r w:rsidRPr="00DB45F6">
        <w:rPr>
          <w:lang w:val="fr-FR"/>
        </w:rPr>
        <w:t>17 septembre-5 octobre 2018</w:t>
      </w:r>
    </w:p>
    <w:p w:rsidR="00941CC0" w:rsidRPr="00DB45F6" w:rsidRDefault="00941CC0" w:rsidP="00941CC0">
      <w:pPr>
        <w:rPr>
          <w:lang w:val="fr-FR"/>
        </w:rPr>
      </w:pPr>
      <w:r w:rsidRPr="00DB45F6">
        <w:rPr>
          <w:lang w:val="fr-FR"/>
        </w:rPr>
        <w:t>Point 4 de l’ordre du jour provisoire</w:t>
      </w:r>
    </w:p>
    <w:p w:rsidR="00941CC0" w:rsidRPr="00DB45F6" w:rsidRDefault="00941CC0" w:rsidP="00941CC0">
      <w:pPr>
        <w:rPr>
          <w:b/>
          <w:lang w:val="fr-FR"/>
        </w:rPr>
      </w:pPr>
      <w:r w:rsidRPr="00DB45F6">
        <w:rPr>
          <w:b/>
          <w:lang w:val="fr-FR"/>
        </w:rPr>
        <w:t>Examen des rapports des États parties</w:t>
      </w:r>
    </w:p>
    <w:p w:rsidR="00941CC0" w:rsidRPr="00DB45F6" w:rsidRDefault="00941CC0" w:rsidP="003D177D">
      <w:pPr>
        <w:pStyle w:val="HChG"/>
        <w:rPr>
          <w:lang w:val="fr-FR"/>
        </w:rPr>
      </w:pPr>
      <w:r w:rsidRPr="00DB45F6">
        <w:tab/>
      </w:r>
      <w:r w:rsidRPr="00DB45F6">
        <w:tab/>
        <w:t>Liste</w:t>
      </w:r>
      <w:r w:rsidRPr="00DB45F6">
        <w:rPr>
          <w:lang w:val="fr-FR"/>
        </w:rPr>
        <w:t xml:space="preserve"> de points concernant le rapport soumis par le Niger</w:t>
      </w:r>
      <w:r w:rsidR="00814CD4" w:rsidRPr="00DB45F6">
        <w:rPr>
          <w:lang w:val="fr-FR"/>
        </w:rPr>
        <w:t xml:space="preserve"> </w:t>
      </w:r>
      <w:r w:rsidRPr="00DB45F6">
        <w:rPr>
          <w:lang w:val="fr-FR"/>
        </w:rPr>
        <w:br/>
        <w:t>en application du paragraphe 1 de l’article 12 du Protocole facultatif à la Convention relative aux droits de l’enfant, concernant la vente d’enfants, la prostitution des enfants</w:t>
      </w:r>
      <w:r w:rsidR="00814CD4" w:rsidRPr="00DB45F6">
        <w:rPr>
          <w:lang w:val="fr-FR"/>
        </w:rPr>
        <w:t xml:space="preserve"> </w:t>
      </w:r>
      <w:r w:rsidRPr="00DB45F6">
        <w:rPr>
          <w:lang w:val="fr-FR"/>
        </w:rPr>
        <w:br/>
        <w:t>et la pornographie mettant en scène des enfants</w:t>
      </w:r>
    </w:p>
    <w:p w:rsidR="00941CC0" w:rsidRPr="00DB45F6" w:rsidRDefault="00941CC0" w:rsidP="00814CD4">
      <w:pPr>
        <w:pStyle w:val="H23G"/>
        <w:rPr>
          <w:lang w:val="fr-FR"/>
        </w:rPr>
      </w:pPr>
      <w:r w:rsidRPr="00DB45F6">
        <w:rPr>
          <w:lang w:val="fr-FR"/>
        </w:rPr>
        <w:tab/>
      </w:r>
      <w:r w:rsidRPr="00DB45F6">
        <w:rPr>
          <w:lang w:val="fr-FR"/>
        </w:rPr>
        <w:tab/>
        <w:t>Additif</w:t>
      </w:r>
    </w:p>
    <w:p w:rsidR="00941CC0" w:rsidRPr="00DB45F6" w:rsidRDefault="00941CC0" w:rsidP="00814CD4">
      <w:pPr>
        <w:pStyle w:val="HChG"/>
      </w:pPr>
      <w:r w:rsidRPr="00DB45F6">
        <w:rPr>
          <w:lang w:val="fr-FR"/>
        </w:rPr>
        <w:tab/>
      </w:r>
      <w:r w:rsidRPr="00DB45F6">
        <w:rPr>
          <w:lang w:val="fr-FR"/>
        </w:rPr>
        <w:tab/>
        <w:t>Réponses du Niger</w:t>
      </w:r>
      <w:r w:rsidRPr="00DB45F6">
        <w:t xml:space="preserve"> à la liste de points</w:t>
      </w:r>
      <w:r w:rsidRPr="00DB45F6">
        <w:rPr>
          <w:b w:val="0"/>
          <w:sz w:val="20"/>
        </w:rPr>
        <w:footnoteReference w:customMarkFollows="1" w:id="2"/>
        <w:t>*</w:t>
      </w:r>
    </w:p>
    <w:p w:rsidR="00941CC0" w:rsidRPr="00DB45F6" w:rsidRDefault="00941CC0" w:rsidP="00941CC0">
      <w:pPr>
        <w:spacing w:after="120"/>
        <w:ind w:left="1134" w:right="1134"/>
        <w:jc w:val="right"/>
        <w:rPr>
          <w:lang w:val="fr-FR"/>
        </w:rPr>
      </w:pPr>
      <w:r w:rsidRPr="00DB45F6">
        <w:rPr>
          <w:lang w:val="fr-FR"/>
        </w:rPr>
        <w:t>[Date de réception : 17 juillet 2018]</w:t>
      </w:r>
    </w:p>
    <w:p w:rsidR="00814CD4" w:rsidRPr="00DB45F6" w:rsidRDefault="00266E61" w:rsidP="00814CD4">
      <w:pPr>
        <w:pStyle w:val="SingleTxtG"/>
        <w:ind w:firstLine="567"/>
      </w:pPr>
      <w:r>
        <w:br w:type="page"/>
      </w:r>
      <w:r w:rsidR="003170CF" w:rsidRPr="00DB45F6">
        <w:lastRenderedPageBreak/>
        <w:t xml:space="preserve">Le Gouvernement du Niger se </w:t>
      </w:r>
      <w:r w:rsidR="00814CD4" w:rsidRPr="00DB45F6">
        <w:t>réjouit</w:t>
      </w:r>
      <w:r w:rsidR="003170CF" w:rsidRPr="00DB45F6">
        <w:t xml:space="preserve"> de la soumis</w:t>
      </w:r>
      <w:r w:rsidR="00814CD4" w:rsidRPr="00DB45F6">
        <w:t>sion au Comité des droits de l’e</w:t>
      </w:r>
      <w:r w:rsidR="003170CF" w:rsidRPr="00DB45F6">
        <w:t>nfant de son rapport en application du paragraphe</w:t>
      </w:r>
      <w:r w:rsidR="00814CD4" w:rsidRPr="00DB45F6">
        <w:t> </w:t>
      </w:r>
      <w:r w:rsidR="003170CF" w:rsidRPr="00DB45F6">
        <w:t>1 de l’article</w:t>
      </w:r>
      <w:r w:rsidR="00814CD4" w:rsidRPr="00DB45F6">
        <w:t> </w:t>
      </w:r>
      <w:r w:rsidR="003170CF" w:rsidRPr="00DB45F6">
        <w:t xml:space="preserve">12 du Protocole </w:t>
      </w:r>
      <w:r w:rsidR="00814CD4" w:rsidRPr="00DB45F6">
        <w:t>f</w:t>
      </w:r>
      <w:r w:rsidR="003170CF" w:rsidRPr="00DB45F6">
        <w:t xml:space="preserve">acultatif à la Convention relative aux </w:t>
      </w:r>
      <w:r w:rsidR="00814CD4" w:rsidRPr="00DB45F6">
        <w:t>d</w:t>
      </w:r>
      <w:r w:rsidR="003170CF" w:rsidRPr="00DB45F6">
        <w:t>roits de l’</w:t>
      </w:r>
      <w:r w:rsidR="00814CD4" w:rsidRPr="00DB45F6">
        <w:t>e</w:t>
      </w:r>
      <w:r w:rsidR="003170CF" w:rsidRPr="00DB45F6">
        <w:t xml:space="preserve">nfant, sur la vente d’enfants, la prostitution, des enfants et la pornographie mettant en </w:t>
      </w:r>
      <w:r w:rsidR="00814CD4" w:rsidRPr="00DB45F6">
        <w:t>scène</w:t>
      </w:r>
      <w:r w:rsidR="003170CF" w:rsidRPr="00DB45F6">
        <w:t xml:space="preserve"> des enfants. Le Niger remercie le Comité pour avoir procédé à un examen préliminaire dudit </w:t>
      </w:r>
      <w:r w:rsidR="00814CD4" w:rsidRPr="00DB45F6">
        <w:t>r</w:t>
      </w:r>
      <w:r w:rsidR="003170CF" w:rsidRPr="00DB45F6">
        <w:t xml:space="preserve">apport suite auquel une liste des points à traiter lui a été adressée et a l’honneur de fournir aux experts les </w:t>
      </w:r>
      <w:r w:rsidR="00814CD4" w:rsidRPr="00DB45F6">
        <w:t>réponses</w:t>
      </w:r>
      <w:r w:rsidR="003170CF" w:rsidRPr="00DB45F6">
        <w:t xml:space="preserve"> ci</w:t>
      </w:r>
      <w:r w:rsidR="00814CD4" w:rsidRPr="00DB45F6">
        <w:noBreakHyphen/>
      </w:r>
      <w:r w:rsidR="003170CF" w:rsidRPr="00DB45F6">
        <w:t>après.</w:t>
      </w:r>
    </w:p>
    <w:p w:rsidR="003170CF" w:rsidRPr="00DB45F6" w:rsidRDefault="003170CF" w:rsidP="00814CD4">
      <w:pPr>
        <w:pStyle w:val="SingleTxtG"/>
        <w:ind w:firstLine="567"/>
      </w:pPr>
      <w:r w:rsidRPr="00DB45F6">
        <w:t xml:space="preserve">Les </w:t>
      </w:r>
      <w:r w:rsidR="00814CD4" w:rsidRPr="00DB45F6">
        <w:t>numéros</w:t>
      </w:r>
      <w:r w:rsidRPr="00DB45F6">
        <w:t xml:space="preserve"> des points renvoient aux </w:t>
      </w:r>
      <w:r w:rsidR="00814CD4" w:rsidRPr="00DB45F6">
        <w:t>numéros</w:t>
      </w:r>
      <w:r w:rsidRPr="00DB45F6">
        <w:t xml:space="preserve"> figurant sur la liste des points telle qu’établie par le Comité.</w:t>
      </w:r>
    </w:p>
    <w:p w:rsidR="00814CD4" w:rsidRPr="00DB45F6" w:rsidRDefault="003170CF" w:rsidP="008357FD">
      <w:pPr>
        <w:pStyle w:val="H1G"/>
        <w:rPr>
          <w:lang w:val="fr-FR"/>
        </w:rPr>
      </w:pPr>
      <w:r w:rsidRPr="00DB45F6">
        <w:rPr>
          <w:lang w:val="fr-FR"/>
        </w:rPr>
        <w:tab/>
      </w:r>
      <w:r w:rsidRPr="00DB45F6">
        <w:rPr>
          <w:lang w:val="fr-FR"/>
        </w:rPr>
        <w:tab/>
      </w:r>
      <w:r w:rsidR="00814CD4" w:rsidRPr="00DB45F6">
        <w:rPr>
          <w:lang w:val="fr-FR"/>
        </w:rPr>
        <w:t>Point 1</w:t>
      </w:r>
    </w:p>
    <w:p w:rsidR="003170CF" w:rsidRPr="00DB45F6" w:rsidRDefault="008357FD" w:rsidP="008357FD">
      <w:pPr>
        <w:pStyle w:val="SingleTxtG"/>
        <w:rPr>
          <w:lang w:val="fr-FR"/>
        </w:rPr>
      </w:pPr>
      <w:r w:rsidRPr="00DB45F6">
        <w:rPr>
          <w:lang w:val="fr-FR"/>
        </w:rPr>
        <w:t>1.</w:t>
      </w:r>
      <w:r w:rsidRPr="00DB45F6">
        <w:rPr>
          <w:lang w:val="fr-FR"/>
        </w:rPr>
        <w:tab/>
      </w:r>
      <w:r w:rsidR="003170CF" w:rsidRPr="00DB45F6">
        <w:rPr>
          <w:lang w:val="fr-FR"/>
        </w:rPr>
        <w:t>Le Niger a ratifi</w:t>
      </w:r>
      <w:r w:rsidR="00576931">
        <w:rPr>
          <w:lang w:val="fr-FR"/>
        </w:rPr>
        <w:t xml:space="preserve">é le </w:t>
      </w:r>
      <w:r w:rsidR="004829CB">
        <w:rPr>
          <w:lang w:val="fr-FR"/>
        </w:rPr>
        <w:t xml:space="preserve">Protocole </w:t>
      </w:r>
      <w:r w:rsidR="00576931">
        <w:rPr>
          <w:lang w:val="fr-FR"/>
        </w:rPr>
        <w:t xml:space="preserve">facultatif à la </w:t>
      </w:r>
      <w:r w:rsidR="00576931" w:rsidRPr="00DB45F6">
        <w:t>Convention relative aux droits de l’enfant</w:t>
      </w:r>
      <w:r w:rsidR="003170CF" w:rsidRPr="00DB45F6">
        <w:rPr>
          <w:lang w:val="fr-FR"/>
        </w:rPr>
        <w:t xml:space="preserve"> concernant la vente d’enfants, la prostitution des enfants et la pornographie mettant en scène les enfants le 26</w:t>
      </w:r>
      <w:r w:rsidR="00814CD4" w:rsidRPr="00DB45F6">
        <w:rPr>
          <w:lang w:val="fr-FR"/>
        </w:rPr>
        <w:t> </w:t>
      </w:r>
      <w:r w:rsidR="003170CF" w:rsidRPr="00DB45F6">
        <w:rPr>
          <w:lang w:val="fr-FR"/>
        </w:rPr>
        <w:t>octobre 2004. Cependant malgré la ratification, les dispositions de cet instrument n’ont pas encore fait l’objet d’incorporation dans le droit interne.</w:t>
      </w:r>
    </w:p>
    <w:p w:rsidR="003170CF" w:rsidRPr="00DB45F6" w:rsidRDefault="008357FD" w:rsidP="008357FD">
      <w:pPr>
        <w:pStyle w:val="SingleTxtG"/>
        <w:rPr>
          <w:lang w:val="fr-FR"/>
        </w:rPr>
      </w:pPr>
      <w:r w:rsidRPr="00DB45F6">
        <w:rPr>
          <w:lang w:val="fr-FR"/>
        </w:rPr>
        <w:t>2.</w:t>
      </w:r>
      <w:r w:rsidRPr="00DB45F6">
        <w:rPr>
          <w:lang w:val="fr-FR"/>
        </w:rPr>
        <w:tab/>
      </w:r>
      <w:r w:rsidR="003170CF" w:rsidRPr="00DB45F6">
        <w:rPr>
          <w:lang w:val="fr-FR"/>
        </w:rPr>
        <w:t xml:space="preserve">Malgré l’absence d’une politique spécifique de mise en œuvre du </w:t>
      </w:r>
      <w:r w:rsidR="004829CB" w:rsidRPr="00DB45F6">
        <w:rPr>
          <w:lang w:val="fr-FR"/>
        </w:rPr>
        <w:t xml:space="preserve">Protocole </w:t>
      </w:r>
      <w:r w:rsidR="003170CF" w:rsidRPr="00DB45F6">
        <w:rPr>
          <w:lang w:val="fr-FR"/>
        </w:rPr>
        <w:t>facultatif, il est pris en compte non seulement dans la Politique nationale de protection de l’</w:t>
      </w:r>
      <w:r w:rsidR="00814CD4" w:rsidRPr="00DB45F6">
        <w:rPr>
          <w:lang w:val="fr-FR"/>
        </w:rPr>
        <w:t>e</w:t>
      </w:r>
      <w:r w:rsidR="003170CF" w:rsidRPr="00DB45F6">
        <w:rPr>
          <w:lang w:val="fr-FR"/>
        </w:rPr>
        <w:t>nfant contre les abus, les violences et l’exploitation mais aussi dans le programme national de mise en œuvre de cette politique.</w:t>
      </w:r>
    </w:p>
    <w:p w:rsidR="003170CF" w:rsidRPr="00DB45F6" w:rsidRDefault="008357FD" w:rsidP="008357FD">
      <w:pPr>
        <w:pStyle w:val="SingleTxtG"/>
        <w:rPr>
          <w:lang w:val="fr-FR"/>
        </w:rPr>
      </w:pPr>
      <w:r w:rsidRPr="00DB45F6">
        <w:rPr>
          <w:lang w:val="fr-FR"/>
        </w:rPr>
        <w:t>3.</w:t>
      </w:r>
      <w:r w:rsidRPr="00DB45F6">
        <w:rPr>
          <w:lang w:val="fr-FR"/>
        </w:rPr>
        <w:tab/>
      </w:r>
      <w:r w:rsidR="003170CF" w:rsidRPr="00DB45F6">
        <w:rPr>
          <w:lang w:val="fr-FR"/>
        </w:rPr>
        <w:t xml:space="preserve">Le financement de la mise en œuvre de cette </w:t>
      </w:r>
      <w:r w:rsidR="00814CD4" w:rsidRPr="00DB45F6">
        <w:rPr>
          <w:lang w:val="fr-FR"/>
        </w:rPr>
        <w:t>p</w:t>
      </w:r>
      <w:r w:rsidR="003170CF" w:rsidRPr="00DB45F6">
        <w:rPr>
          <w:lang w:val="fr-FR"/>
        </w:rPr>
        <w:t>olitique est assuré par le gouvernement</w:t>
      </w:r>
      <w:r w:rsidR="00814CD4" w:rsidRPr="00DB45F6">
        <w:rPr>
          <w:lang w:val="fr-FR"/>
        </w:rPr>
        <w:t>.</w:t>
      </w:r>
      <w:r w:rsidR="003170CF" w:rsidRPr="00DB45F6">
        <w:rPr>
          <w:lang w:val="fr-FR"/>
        </w:rPr>
        <w:t xml:space="preserve"> Toutefois, l’allocation budgétaire attribuée au Ministère de la </w:t>
      </w:r>
      <w:r w:rsidR="00DB45F6" w:rsidRPr="00DB45F6">
        <w:rPr>
          <w:lang w:val="fr-FR"/>
        </w:rPr>
        <w:t>p</w:t>
      </w:r>
      <w:r w:rsidR="003170CF" w:rsidRPr="00DB45F6">
        <w:rPr>
          <w:lang w:val="fr-FR"/>
        </w:rPr>
        <w:t xml:space="preserve">romotion de la </w:t>
      </w:r>
      <w:r w:rsidR="00DB45F6" w:rsidRPr="00DB45F6">
        <w:rPr>
          <w:lang w:val="fr-FR"/>
        </w:rPr>
        <w:t>f</w:t>
      </w:r>
      <w:r w:rsidR="003170CF" w:rsidRPr="00DB45F6">
        <w:rPr>
          <w:lang w:val="fr-FR"/>
        </w:rPr>
        <w:t xml:space="preserve">emme et de la </w:t>
      </w:r>
      <w:r w:rsidR="00DB45F6" w:rsidRPr="00DB45F6">
        <w:rPr>
          <w:lang w:val="fr-FR"/>
        </w:rPr>
        <w:t>p</w:t>
      </w:r>
      <w:r w:rsidR="003170CF" w:rsidRPr="00DB45F6">
        <w:rPr>
          <w:lang w:val="fr-FR"/>
        </w:rPr>
        <w:t>rotection de l’</w:t>
      </w:r>
      <w:r w:rsidR="00DB45F6" w:rsidRPr="00DB45F6">
        <w:rPr>
          <w:lang w:val="fr-FR"/>
        </w:rPr>
        <w:t>e</w:t>
      </w:r>
      <w:r w:rsidR="003170CF" w:rsidRPr="00DB45F6">
        <w:rPr>
          <w:lang w:val="fr-FR"/>
        </w:rPr>
        <w:t>nfant est insuffisante.</w:t>
      </w:r>
      <w:r w:rsidR="00814CD4" w:rsidRPr="00DB45F6">
        <w:rPr>
          <w:lang w:val="fr-FR"/>
        </w:rPr>
        <w:t xml:space="preserve"> </w:t>
      </w:r>
      <w:r w:rsidR="003170CF" w:rsidRPr="00DB45F6">
        <w:rPr>
          <w:lang w:val="fr-FR"/>
        </w:rPr>
        <w:t>Elle représente 0,09</w:t>
      </w:r>
      <w:r w:rsidR="00DB45F6" w:rsidRPr="00DB45F6">
        <w:rPr>
          <w:lang w:val="fr-FR"/>
        </w:rPr>
        <w:t> </w:t>
      </w:r>
      <w:r w:rsidR="003170CF" w:rsidRPr="00DB45F6">
        <w:rPr>
          <w:lang w:val="fr-FR"/>
        </w:rPr>
        <w:t xml:space="preserve">% du </w:t>
      </w:r>
      <w:r w:rsidR="00DB45F6" w:rsidRPr="00DB45F6">
        <w:rPr>
          <w:lang w:val="fr-FR"/>
        </w:rPr>
        <w:t>b</w:t>
      </w:r>
      <w:r w:rsidR="003170CF" w:rsidRPr="00DB45F6">
        <w:rPr>
          <w:lang w:val="fr-FR"/>
        </w:rPr>
        <w:t xml:space="preserve">udget national. </w:t>
      </w:r>
    </w:p>
    <w:p w:rsidR="003170CF" w:rsidRPr="00DB45F6" w:rsidRDefault="00434894" w:rsidP="008357FD">
      <w:pPr>
        <w:pStyle w:val="SingleTxtG"/>
        <w:ind w:firstLine="567"/>
        <w:rPr>
          <w:lang w:val="fr-FR"/>
        </w:rPr>
      </w:pPr>
      <w:r>
        <w:rPr>
          <w:lang w:val="fr-FR"/>
        </w:rPr>
        <w:t>a)</w:t>
      </w:r>
      <w:r>
        <w:rPr>
          <w:lang w:val="fr-FR"/>
        </w:rPr>
        <w:tab/>
      </w:r>
      <w:r w:rsidR="003170CF" w:rsidRPr="00DB45F6">
        <w:rPr>
          <w:lang w:val="fr-FR"/>
        </w:rPr>
        <w:t>Le nombre de cas signalés de vente d’enfants, prostitution et pornographie et autres formes d’exploitation y compris l’esclavage, les pratiques de la wahaya et les talibés n’est pas disponible. Cependant</w:t>
      </w:r>
      <w:r w:rsidR="00DB45F6" w:rsidRPr="00DB45F6">
        <w:rPr>
          <w:lang w:val="fr-FR"/>
        </w:rPr>
        <w:t>,</w:t>
      </w:r>
      <w:r w:rsidR="003170CF" w:rsidRPr="00DB45F6">
        <w:rPr>
          <w:lang w:val="fr-FR"/>
        </w:rPr>
        <w:t xml:space="preserve"> le plan de suivi et évaluation que </w:t>
      </w:r>
      <w:r w:rsidR="00DB45F6" w:rsidRPr="00DB45F6">
        <w:rPr>
          <w:lang w:val="fr-FR"/>
        </w:rPr>
        <w:t>nous avons mis en place en 2015</w:t>
      </w:r>
      <w:r w:rsidR="003170CF" w:rsidRPr="00DB45F6">
        <w:rPr>
          <w:lang w:val="fr-FR"/>
        </w:rPr>
        <w:t xml:space="preserve"> nous a permis de collecter des données statistiques suivantes de prise en charge pour l’année 2016 et 2017.</w:t>
      </w:r>
    </w:p>
    <w:tbl>
      <w:tblPr>
        <w:tblW w:w="0" w:type="auto"/>
        <w:tblInd w:w="1134" w:type="dxa"/>
        <w:tblLayout w:type="fixed"/>
        <w:tblCellMar>
          <w:left w:w="0" w:type="dxa"/>
          <w:right w:w="0" w:type="dxa"/>
        </w:tblCellMar>
        <w:tblLook w:val="04A0" w:firstRow="1" w:lastRow="0" w:firstColumn="1" w:lastColumn="0" w:noHBand="0" w:noVBand="1"/>
      </w:tblPr>
      <w:tblGrid>
        <w:gridCol w:w="5670"/>
        <w:gridCol w:w="1701"/>
      </w:tblGrid>
      <w:tr w:rsidR="00DB45F6" w:rsidRPr="00DB45F6" w:rsidTr="008357FD">
        <w:trPr>
          <w:tblHeader/>
        </w:trPr>
        <w:tc>
          <w:tcPr>
            <w:tcW w:w="5670" w:type="dxa"/>
            <w:tcBorders>
              <w:top w:val="single" w:sz="4" w:space="0" w:color="auto"/>
              <w:bottom w:val="single" w:sz="12" w:space="0" w:color="auto"/>
            </w:tcBorders>
            <w:shd w:val="clear" w:color="auto" w:fill="auto"/>
            <w:vAlign w:val="bottom"/>
            <w:hideMark/>
          </w:tcPr>
          <w:p w:rsidR="003170CF" w:rsidRPr="00DB45F6" w:rsidRDefault="003170CF" w:rsidP="003170CF">
            <w:pPr>
              <w:pStyle w:val="SingleTxtG"/>
              <w:suppressAutoHyphens w:val="0"/>
              <w:spacing w:before="80" w:after="80" w:line="200" w:lineRule="exact"/>
              <w:ind w:left="0" w:right="0"/>
              <w:jc w:val="left"/>
              <w:rPr>
                <w:i/>
                <w:sz w:val="16"/>
                <w:lang w:val="fr-FR"/>
              </w:rPr>
            </w:pPr>
            <w:r w:rsidRPr="00DB45F6">
              <w:rPr>
                <w:bCs/>
                <w:i/>
                <w:sz w:val="16"/>
                <w:lang w:val="fr-FR"/>
              </w:rPr>
              <w:t xml:space="preserve">Indicateur </w:t>
            </w:r>
          </w:p>
        </w:tc>
        <w:tc>
          <w:tcPr>
            <w:tcW w:w="1701" w:type="dxa"/>
            <w:tcBorders>
              <w:top w:val="single" w:sz="4" w:space="0" w:color="auto"/>
              <w:bottom w:val="single" w:sz="12" w:space="0" w:color="auto"/>
            </w:tcBorders>
            <w:shd w:val="clear" w:color="auto" w:fill="auto"/>
            <w:vAlign w:val="bottom"/>
            <w:hideMark/>
          </w:tcPr>
          <w:p w:rsidR="003170CF" w:rsidRPr="008357FD" w:rsidRDefault="006E53EC" w:rsidP="003170CF">
            <w:pPr>
              <w:pStyle w:val="SingleTxtG"/>
              <w:suppressAutoHyphens w:val="0"/>
              <w:spacing w:before="80" w:after="80" w:line="200" w:lineRule="exact"/>
              <w:ind w:left="0" w:right="0"/>
              <w:jc w:val="right"/>
              <w:rPr>
                <w:b/>
                <w:i/>
                <w:sz w:val="16"/>
                <w:lang w:val="fr-FR"/>
              </w:rPr>
            </w:pPr>
            <w:r w:rsidRPr="008357FD">
              <w:rPr>
                <w:b/>
                <w:i/>
                <w:sz w:val="16"/>
                <w:lang w:val="fr-FR"/>
              </w:rPr>
              <w:t>Total</w:t>
            </w:r>
          </w:p>
        </w:tc>
      </w:tr>
      <w:tr w:rsidR="00DB45F6" w:rsidRPr="00DB45F6" w:rsidTr="008357FD">
        <w:tc>
          <w:tcPr>
            <w:tcW w:w="5670" w:type="dxa"/>
            <w:tcBorders>
              <w:top w:val="single" w:sz="12" w:space="0" w:color="auto"/>
            </w:tcBorders>
            <w:shd w:val="clear" w:color="auto" w:fill="auto"/>
            <w:hideMark/>
          </w:tcPr>
          <w:p w:rsidR="003170CF" w:rsidRPr="00DB45F6" w:rsidRDefault="003170CF" w:rsidP="003170CF">
            <w:pPr>
              <w:pStyle w:val="SingleTxtG"/>
              <w:suppressAutoHyphens w:val="0"/>
              <w:spacing w:before="40" w:after="40" w:line="220" w:lineRule="exact"/>
              <w:ind w:left="0" w:right="0"/>
              <w:jc w:val="left"/>
              <w:rPr>
                <w:sz w:val="18"/>
                <w:lang w:val="fr-FR"/>
              </w:rPr>
            </w:pPr>
            <w:r w:rsidRPr="00DB45F6">
              <w:rPr>
                <w:bCs/>
                <w:sz w:val="18"/>
                <w:lang w:val="fr-FR"/>
              </w:rPr>
              <w:t xml:space="preserve">Victime d’abandon anonyme, séparé, non accompagné </w:t>
            </w:r>
          </w:p>
        </w:tc>
        <w:tc>
          <w:tcPr>
            <w:tcW w:w="1701" w:type="dxa"/>
            <w:tcBorders>
              <w:top w:val="single" w:sz="12" w:space="0" w:color="auto"/>
            </w:tcBorders>
            <w:shd w:val="clear" w:color="auto" w:fill="auto"/>
            <w:vAlign w:val="bottom"/>
            <w:hideMark/>
          </w:tcPr>
          <w:p w:rsidR="003170CF" w:rsidRPr="008357FD" w:rsidRDefault="003170CF" w:rsidP="003170CF">
            <w:pPr>
              <w:pStyle w:val="SingleTxtG"/>
              <w:suppressAutoHyphens w:val="0"/>
              <w:spacing w:before="40" w:after="40" w:line="220" w:lineRule="exact"/>
              <w:ind w:left="0" w:right="0"/>
              <w:jc w:val="right"/>
              <w:rPr>
                <w:b/>
                <w:sz w:val="18"/>
                <w:lang w:val="fr-FR"/>
              </w:rPr>
            </w:pPr>
            <w:r w:rsidRPr="008357FD">
              <w:rPr>
                <w:b/>
                <w:sz w:val="18"/>
                <w:lang w:val="fr-FR"/>
              </w:rPr>
              <w:t>520</w:t>
            </w:r>
          </w:p>
        </w:tc>
      </w:tr>
      <w:tr w:rsidR="00DB45F6" w:rsidRPr="00DB45F6" w:rsidTr="008357FD">
        <w:tc>
          <w:tcPr>
            <w:tcW w:w="5670" w:type="dxa"/>
            <w:shd w:val="clear" w:color="auto" w:fill="auto"/>
            <w:hideMark/>
          </w:tcPr>
          <w:p w:rsidR="003170CF" w:rsidRPr="00DB45F6" w:rsidRDefault="003170CF" w:rsidP="003170CF">
            <w:pPr>
              <w:pStyle w:val="SingleTxtG"/>
              <w:suppressAutoHyphens w:val="0"/>
              <w:spacing w:before="40" w:after="40" w:line="220" w:lineRule="exact"/>
              <w:ind w:left="0" w:right="0"/>
              <w:jc w:val="left"/>
              <w:rPr>
                <w:sz w:val="18"/>
                <w:lang w:val="fr-FR"/>
              </w:rPr>
            </w:pPr>
            <w:r w:rsidRPr="00DB45F6">
              <w:rPr>
                <w:bCs/>
                <w:sz w:val="18"/>
                <w:lang w:val="fr-FR"/>
              </w:rPr>
              <w:t xml:space="preserve">Négligence </w:t>
            </w:r>
          </w:p>
        </w:tc>
        <w:tc>
          <w:tcPr>
            <w:tcW w:w="1701" w:type="dxa"/>
            <w:shd w:val="clear" w:color="auto" w:fill="auto"/>
            <w:vAlign w:val="bottom"/>
            <w:hideMark/>
          </w:tcPr>
          <w:p w:rsidR="003170CF" w:rsidRPr="008357FD" w:rsidRDefault="003170CF" w:rsidP="003170CF">
            <w:pPr>
              <w:pStyle w:val="SingleTxtG"/>
              <w:suppressAutoHyphens w:val="0"/>
              <w:spacing w:before="40" w:after="40" w:line="220" w:lineRule="exact"/>
              <w:ind w:left="0" w:right="0"/>
              <w:jc w:val="right"/>
              <w:rPr>
                <w:b/>
                <w:sz w:val="18"/>
                <w:lang w:val="fr-FR"/>
              </w:rPr>
            </w:pPr>
            <w:r w:rsidRPr="008357FD">
              <w:rPr>
                <w:b/>
                <w:sz w:val="18"/>
                <w:lang w:val="fr-FR"/>
              </w:rPr>
              <w:t>322</w:t>
            </w:r>
          </w:p>
        </w:tc>
      </w:tr>
      <w:tr w:rsidR="00DB45F6" w:rsidRPr="00DB45F6" w:rsidTr="008357FD">
        <w:tc>
          <w:tcPr>
            <w:tcW w:w="5670" w:type="dxa"/>
            <w:shd w:val="clear" w:color="auto" w:fill="auto"/>
            <w:hideMark/>
          </w:tcPr>
          <w:p w:rsidR="003170CF" w:rsidRPr="00DB45F6" w:rsidRDefault="003170CF" w:rsidP="003170CF">
            <w:pPr>
              <w:pStyle w:val="SingleTxtG"/>
              <w:suppressAutoHyphens w:val="0"/>
              <w:spacing w:before="40" w:after="40" w:line="220" w:lineRule="exact"/>
              <w:ind w:left="0" w:right="0"/>
              <w:jc w:val="left"/>
              <w:rPr>
                <w:sz w:val="18"/>
                <w:lang w:val="fr-FR"/>
              </w:rPr>
            </w:pPr>
            <w:r w:rsidRPr="00DB45F6">
              <w:rPr>
                <w:bCs/>
                <w:sz w:val="18"/>
                <w:lang w:val="fr-FR"/>
              </w:rPr>
              <w:t xml:space="preserve">Maltraitance </w:t>
            </w:r>
          </w:p>
        </w:tc>
        <w:tc>
          <w:tcPr>
            <w:tcW w:w="1701" w:type="dxa"/>
            <w:shd w:val="clear" w:color="auto" w:fill="auto"/>
            <w:vAlign w:val="bottom"/>
            <w:hideMark/>
          </w:tcPr>
          <w:p w:rsidR="003170CF" w:rsidRPr="008357FD" w:rsidRDefault="003170CF" w:rsidP="003170CF">
            <w:pPr>
              <w:pStyle w:val="SingleTxtG"/>
              <w:suppressAutoHyphens w:val="0"/>
              <w:spacing w:before="40" w:after="40" w:line="220" w:lineRule="exact"/>
              <w:ind w:left="0" w:right="0"/>
              <w:jc w:val="right"/>
              <w:rPr>
                <w:b/>
                <w:sz w:val="18"/>
                <w:lang w:val="fr-FR"/>
              </w:rPr>
            </w:pPr>
            <w:r w:rsidRPr="008357FD">
              <w:rPr>
                <w:b/>
                <w:sz w:val="18"/>
                <w:lang w:val="fr-FR"/>
              </w:rPr>
              <w:t>261</w:t>
            </w:r>
          </w:p>
        </w:tc>
      </w:tr>
      <w:tr w:rsidR="00DB45F6" w:rsidRPr="00DB45F6" w:rsidTr="008357FD">
        <w:tc>
          <w:tcPr>
            <w:tcW w:w="5670" w:type="dxa"/>
            <w:shd w:val="clear" w:color="auto" w:fill="auto"/>
            <w:hideMark/>
          </w:tcPr>
          <w:p w:rsidR="003170CF" w:rsidRPr="00DB45F6" w:rsidRDefault="003170CF" w:rsidP="003170CF">
            <w:pPr>
              <w:pStyle w:val="SingleTxtG"/>
              <w:suppressAutoHyphens w:val="0"/>
              <w:spacing w:before="40" w:after="40" w:line="220" w:lineRule="exact"/>
              <w:ind w:left="0" w:right="0"/>
              <w:jc w:val="left"/>
              <w:rPr>
                <w:sz w:val="18"/>
                <w:lang w:val="fr-FR"/>
              </w:rPr>
            </w:pPr>
            <w:r w:rsidRPr="00DB45F6">
              <w:rPr>
                <w:bCs/>
                <w:sz w:val="18"/>
                <w:lang w:val="fr-FR"/>
              </w:rPr>
              <w:t xml:space="preserve">Abus sexuel (agression sexuelle/viol) </w:t>
            </w:r>
          </w:p>
        </w:tc>
        <w:tc>
          <w:tcPr>
            <w:tcW w:w="1701" w:type="dxa"/>
            <w:shd w:val="clear" w:color="auto" w:fill="auto"/>
            <w:vAlign w:val="bottom"/>
            <w:hideMark/>
          </w:tcPr>
          <w:p w:rsidR="003170CF" w:rsidRPr="008357FD" w:rsidRDefault="003170CF" w:rsidP="003170CF">
            <w:pPr>
              <w:pStyle w:val="SingleTxtG"/>
              <w:suppressAutoHyphens w:val="0"/>
              <w:spacing w:before="40" w:after="40" w:line="220" w:lineRule="exact"/>
              <w:ind w:left="0" w:right="0"/>
              <w:jc w:val="right"/>
              <w:rPr>
                <w:b/>
                <w:sz w:val="18"/>
                <w:lang w:val="fr-FR"/>
              </w:rPr>
            </w:pPr>
            <w:r w:rsidRPr="008357FD">
              <w:rPr>
                <w:b/>
                <w:sz w:val="18"/>
                <w:lang w:val="fr-FR"/>
              </w:rPr>
              <w:t>185</w:t>
            </w:r>
          </w:p>
        </w:tc>
      </w:tr>
      <w:tr w:rsidR="00DB45F6" w:rsidRPr="00DB45F6" w:rsidTr="008357FD">
        <w:tc>
          <w:tcPr>
            <w:tcW w:w="5670" w:type="dxa"/>
            <w:shd w:val="clear" w:color="auto" w:fill="auto"/>
            <w:hideMark/>
          </w:tcPr>
          <w:p w:rsidR="003170CF" w:rsidRPr="00DB45F6" w:rsidRDefault="003170CF" w:rsidP="003170CF">
            <w:pPr>
              <w:pStyle w:val="SingleTxtG"/>
              <w:suppressAutoHyphens w:val="0"/>
              <w:spacing w:before="40" w:after="40" w:line="220" w:lineRule="exact"/>
              <w:ind w:left="0" w:right="0"/>
              <w:jc w:val="left"/>
              <w:rPr>
                <w:sz w:val="18"/>
                <w:lang w:val="fr-FR"/>
              </w:rPr>
            </w:pPr>
            <w:r w:rsidRPr="00DB45F6">
              <w:rPr>
                <w:bCs/>
                <w:sz w:val="18"/>
                <w:lang w:val="fr-FR"/>
              </w:rPr>
              <w:t xml:space="preserve">Exploitation et Pires formes de travail des enfants </w:t>
            </w:r>
          </w:p>
        </w:tc>
        <w:tc>
          <w:tcPr>
            <w:tcW w:w="1701" w:type="dxa"/>
            <w:shd w:val="clear" w:color="auto" w:fill="auto"/>
            <w:vAlign w:val="bottom"/>
            <w:hideMark/>
          </w:tcPr>
          <w:p w:rsidR="003170CF" w:rsidRPr="008357FD" w:rsidRDefault="003170CF" w:rsidP="003170CF">
            <w:pPr>
              <w:pStyle w:val="SingleTxtG"/>
              <w:suppressAutoHyphens w:val="0"/>
              <w:spacing w:before="40" w:after="40" w:line="220" w:lineRule="exact"/>
              <w:ind w:left="0" w:right="0"/>
              <w:jc w:val="right"/>
              <w:rPr>
                <w:b/>
                <w:sz w:val="18"/>
                <w:lang w:val="fr-FR"/>
              </w:rPr>
            </w:pPr>
            <w:r w:rsidRPr="008357FD">
              <w:rPr>
                <w:b/>
                <w:sz w:val="18"/>
                <w:lang w:val="fr-FR"/>
              </w:rPr>
              <w:t>49</w:t>
            </w:r>
          </w:p>
        </w:tc>
      </w:tr>
      <w:tr w:rsidR="00DB45F6" w:rsidRPr="00DB45F6" w:rsidTr="008357FD">
        <w:tc>
          <w:tcPr>
            <w:tcW w:w="5670" w:type="dxa"/>
            <w:shd w:val="clear" w:color="auto" w:fill="auto"/>
            <w:hideMark/>
          </w:tcPr>
          <w:p w:rsidR="003170CF" w:rsidRPr="00DB45F6" w:rsidRDefault="003170CF" w:rsidP="003170CF">
            <w:pPr>
              <w:pStyle w:val="SingleTxtG"/>
              <w:suppressAutoHyphens w:val="0"/>
              <w:spacing w:before="40" w:after="40" w:line="220" w:lineRule="exact"/>
              <w:ind w:left="0" w:right="0"/>
              <w:jc w:val="left"/>
              <w:rPr>
                <w:sz w:val="18"/>
                <w:lang w:val="fr-FR"/>
              </w:rPr>
            </w:pPr>
            <w:r w:rsidRPr="00DB45F6">
              <w:rPr>
                <w:bCs/>
                <w:sz w:val="18"/>
                <w:lang w:val="fr-FR"/>
              </w:rPr>
              <w:t xml:space="preserve">Exploitation sexuelle commerciale </w:t>
            </w:r>
          </w:p>
        </w:tc>
        <w:tc>
          <w:tcPr>
            <w:tcW w:w="1701" w:type="dxa"/>
            <w:shd w:val="clear" w:color="auto" w:fill="auto"/>
            <w:vAlign w:val="bottom"/>
            <w:hideMark/>
          </w:tcPr>
          <w:p w:rsidR="003170CF" w:rsidRPr="008357FD" w:rsidRDefault="003170CF" w:rsidP="003170CF">
            <w:pPr>
              <w:pStyle w:val="SingleTxtG"/>
              <w:suppressAutoHyphens w:val="0"/>
              <w:spacing w:before="40" w:after="40" w:line="220" w:lineRule="exact"/>
              <w:ind w:left="0" w:right="0"/>
              <w:jc w:val="right"/>
              <w:rPr>
                <w:b/>
                <w:sz w:val="18"/>
                <w:lang w:val="fr-FR"/>
              </w:rPr>
            </w:pPr>
            <w:r w:rsidRPr="008357FD">
              <w:rPr>
                <w:b/>
                <w:sz w:val="18"/>
                <w:lang w:val="fr-FR"/>
              </w:rPr>
              <w:t>11</w:t>
            </w:r>
          </w:p>
        </w:tc>
      </w:tr>
      <w:tr w:rsidR="00DB45F6" w:rsidRPr="00DB45F6" w:rsidTr="008357FD">
        <w:tc>
          <w:tcPr>
            <w:tcW w:w="5670" w:type="dxa"/>
            <w:shd w:val="clear" w:color="auto" w:fill="auto"/>
            <w:hideMark/>
          </w:tcPr>
          <w:p w:rsidR="003170CF" w:rsidRPr="00DB45F6" w:rsidRDefault="003170CF" w:rsidP="003170CF">
            <w:pPr>
              <w:pStyle w:val="SingleTxtG"/>
              <w:suppressAutoHyphens w:val="0"/>
              <w:spacing w:before="40" w:after="40" w:line="220" w:lineRule="exact"/>
              <w:ind w:left="0" w:right="0"/>
              <w:jc w:val="left"/>
              <w:rPr>
                <w:sz w:val="18"/>
                <w:lang w:val="fr-FR"/>
              </w:rPr>
            </w:pPr>
            <w:r w:rsidRPr="00DB45F6">
              <w:rPr>
                <w:bCs/>
                <w:sz w:val="18"/>
                <w:lang w:val="fr-FR"/>
              </w:rPr>
              <w:t xml:space="preserve">Traite </w:t>
            </w:r>
          </w:p>
        </w:tc>
        <w:tc>
          <w:tcPr>
            <w:tcW w:w="1701" w:type="dxa"/>
            <w:shd w:val="clear" w:color="auto" w:fill="auto"/>
            <w:vAlign w:val="bottom"/>
            <w:hideMark/>
          </w:tcPr>
          <w:p w:rsidR="003170CF" w:rsidRPr="008357FD" w:rsidRDefault="003170CF" w:rsidP="003170CF">
            <w:pPr>
              <w:pStyle w:val="SingleTxtG"/>
              <w:suppressAutoHyphens w:val="0"/>
              <w:spacing w:before="40" w:after="40" w:line="220" w:lineRule="exact"/>
              <w:ind w:left="0" w:right="0"/>
              <w:jc w:val="right"/>
              <w:rPr>
                <w:b/>
                <w:sz w:val="18"/>
                <w:lang w:val="fr-FR"/>
              </w:rPr>
            </w:pPr>
            <w:r w:rsidRPr="008357FD">
              <w:rPr>
                <w:b/>
                <w:sz w:val="18"/>
                <w:lang w:val="fr-FR"/>
              </w:rPr>
              <w:t>144</w:t>
            </w:r>
          </w:p>
        </w:tc>
      </w:tr>
      <w:tr w:rsidR="00DB45F6" w:rsidRPr="00DB45F6" w:rsidTr="008357FD">
        <w:tc>
          <w:tcPr>
            <w:tcW w:w="5670" w:type="dxa"/>
            <w:shd w:val="clear" w:color="auto" w:fill="auto"/>
            <w:hideMark/>
          </w:tcPr>
          <w:p w:rsidR="003170CF" w:rsidRPr="00DB45F6" w:rsidRDefault="003170CF" w:rsidP="003170CF">
            <w:pPr>
              <w:pStyle w:val="SingleTxtG"/>
              <w:suppressAutoHyphens w:val="0"/>
              <w:spacing w:before="40" w:after="40" w:line="220" w:lineRule="exact"/>
              <w:ind w:left="0" w:right="0"/>
              <w:jc w:val="left"/>
              <w:rPr>
                <w:sz w:val="18"/>
                <w:lang w:val="fr-FR"/>
              </w:rPr>
            </w:pPr>
            <w:r w:rsidRPr="00DB45F6">
              <w:rPr>
                <w:bCs/>
                <w:sz w:val="18"/>
                <w:lang w:val="fr-FR"/>
              </w:rPr>
              <w:t xml:space="preserve">Menace ou mariage précoce </w:t>
            </w:r>
          </w:p>
        </w:tc>
        <w:tc>
          <w:tcPr>
            <w:tcW w:w="1701" w:type="dxa"/>
            <w:shd w:val="clear" w:color="auto" w:fill="auto"/>
            <w:vAlign w:val="bottom"/>
            <w:hideMark/>
          </w:tcPr>
          <w:p w:rsidR="003170CF" w:rsidRPr="008357FD" w:rsidRDefault="003170CF" w:rsidP="003170CF">
            <w:pPr>
              <w:pStyle w:val="SingleTxtG"/>
              <w:suppressAutoHyphens w:val="0"/>
              <w:spacing w:before="40" w:after="40" w:line="220" w:lineRule="exact"/>
              <w:ind w:left="0" w:right="0"/>
              <w:jc w:val="right"/>
              <w:rPr>
                <w:b/>
                <w:sz w:val="18"/>
                <w:lang w:val="fr-FR"/>
              </w:rPr>
            </w:pPr>
            <w:r w:rsidRPr="008357FD">
              <w:rPr>
                <w:b/>
                <w:sz w:val="18"/>
                <w:lang w:val="fr-FR"/>
              </w:rPr>
              <w:t>222</w:t>
            </w:r>
          </w:p>
        </w:tc>
      </w:tr>
      <w:tr w:rsidR="00DB45F6" w:rsidRPr="00DB45F6" w:rsidTr="008357FD">
        <w:tc>
          <w:tcPr>
            <w:tcW w:w="5670" w:type="dxa"/>
            <w:shd w:val="clear" w:color="auto" w:fill="auto"/>
            <w:hideMark/>
          </w:tcPr>
          <w:p w:rsidR="003170CF" w:rsidRPr="00DB45F6" w:rsidRDefault="003170CF" w:rsidP="003170CF">
            <w:pPr>
              <w:pStyle w:val="SingleTxtG"/>
              <w:suppressAutoHyphens w:val="0"/>
              <w:spacing w:before="40" w:after="40" w:line="220" w:lineRule="exact"/>
              <w:ind w:left="0" w:right="0"/>
              <w:jc w:val="left"/>
              <w:rPr>
                <w:sz w:val="18"/>
                <w:lang w:val="fr-FR"/>
              </w:rPr>
            </w:pPr>
            <w:r w:rsidRPr="00DB45F6">
              <w:rPr>
                <w:bCs/>
                <w:sz w:val="18"/>
                <w:lang w:val="fr-FR"/>
              </w:rPr>
              <w:t xml:space="preserve">Comportement à risque </w:t>
            </w:r>
          </w:p>
        </w:tc>
        <w:tc>
          <w:tcPr>
            <w:tcW w:w="1701" w:type="dxa"/>
            <w:shd w:val="clear" w:color="auto" w:fill="auto"/>
            <w:vAlign w:val="bottom"/>
            <w:hideMark/>
          </w:tcPr>
          <w:p w:rsidR="003170CF" w:rsidRPr="008357FD" w:rsidRDefault="003170CF" w:rsidP="003170CF">
            <w:pPr>
              <w:pStyle w:val="SingleTxtG"/>
              <w:suppressAutoHyphens w:val="0"/>
              <w:spacing w:before="40" w:after="40" w:line="220" w:lineRule="exact"/>
              <w:ind w:left="0" w:right="0"/>
              <w:jc w:val="right"/>
              <w:rPr>
                <w:b/>
                <w:sz w:val="18"/>
                <w:lang w:val="fr-FR"/>
              </w:rPr>
            </w:pPr>
            <w:r w:rsidRPr="008357FD">
              <w:rPr>
                <w:b/>
                <w:sz w:val="18"/>
                <w:lang w:val="fr-FR"/>
              </w:rPr>
              <w:t>523</w:t>
            </w:r>
          </w:p>
        </w:tc>
      </w:tr>
      <w:tr w:rsidR="00DB45F6" w:rsidRPr="00DB45F6" w:rsidTr="008357FD">
        <w:tc>
          <w:tcPr>
            <w:tcW w:w="5670" w:type="dxa"/>
            <w:tcBorders>
              <w:bottom w:val="single" w:sz="4" w:space="0" w:color="auto"/>
            </w:tcBorders>
            <w:shd w:val="clear" w:color="auto" w:fill="auto"/>
            <w:hideMark/>
          </w:tcPr>
          <w:p w:rsidR="003170CF" w:rsidRPr="00DB45F6" w:rsidRDefault="003170CF" w:rsidP="003170CF">
            <w:pPr>
              <w:pStyle w:val="SingleTxtG"/>
              <w:suppressAutoHyphens w:val="0"/>
              <w:spacing w:before="40" w:after="40" w:line="220" w:lineRule="exact"/>
              <w:ind w:left="0" w:right="0"/>
              <w:jc w:val="left"/>
              <w:rPr>
                <w:sz w:val="18"/>
                <w:lang w:val="fr-FR"/>
              </w:rPr>
            </w:pPr>
            <w:r w:rsidRPr="00DB45F6">
              <w:rPr>
                <w:bCs/>
                <w:sz w:val="18"/>
                <w:lang w:val="fr-FR"/>
              </w:rPr>
              <w:t xml:space="preserve">Autres </w:t>
            </w:r>
          </w:p>
        </w:tc>
        <w:tc>
          <w:tcPr>
            <w:tcW w:w="1701" w:type="dxa"/>
            <w:tcBorders>
              <w:bottom w:val="single" w:sz="4" w:space="0" w:color="auto"/>
            </w:tcBorders>
            <w:shd w:val="clear" w:color="auto" w:fill="auto"/>
            <w:vAlign w:val="bottom"/>
            <w:hideMark/>
          </w:tcPr>
          <w:p w:rsidR="003170CF" w:rsidRPr="008357FD" w:rsidRDefault="003170CF" w:rsidP="003170CF">
            <w:pPr>
              <w:pStyle w:val="SingleTxtG"/>
              <w:suppressAutoHyphens w:val="0"/>
              <w:spacing w:before="40" w:after="40" w:line="220" w:lineRule="exact"/>
              <w:ind w:left="0" w:right="0"/>
              <w:jc w:val="right"/>
              <w:rPr>
                <w:b/>
                <w:sz w:val="18"/>
                <w:lang w:val="fr-FR"/>
              </w:rPr>
            </w:pPr>
            <w:r w:rsidRPr="008357FD">
              <w:rPr>
                <w:b/>
                <w:sz w:val="18"/>
                <w:lang w:val="fr-FR"/>
              </w:rPr>
              <w:t>273</w:t>
            </w:r>
          </w:p>
        </w:tc>
      </w:tr>
      <w:tr w:rsidR="00DB45F6" w:rsidRPr="00DB45F6" w:rsidTr="008357FD">
        <w:tc>
          <w:tcPr>
            <w:tcW w:w="5670" w:type="dxa"/>
            <w:tcBorders>
              <w:top w:val="single" w:sz="4" w:space="0" w:color="auto"/>
              <w:bottom w:val="single" w:sz="12" w:space="0" w:color="auto"/>
            </w:tcBorders>
            <w:shd w:val="clear" w:color="auto" w:fill="auto"/>
            <w:hideMark/>
          </w:tcPr>
          <w:p w:rsidR="003170CF" w:rsidRPr="00DB45F6" w:rsidRDefault="00814CD4" w:rsidP="008357FD">
            <w:pPr>
              <w:pStyle w:val="SingleTxtG"/>
              <w:suppressAutoHyphens w:val="0"/>
              <w:spacing w:before="80" w:after="80" w:line="220" w:lineRule="exact"/>
              <w:ind w:left="284" w:right="0"/>
              <w:jc w:val="left"/>
              <w:rPr>
                <w:sz w:val="18"/>
                <w:lang w:val="fr-FR"/>
              </w:rPr>
            </w:pPr>
            <w:r w:rsidRPr="00DB45F6">
              <w:rPr>
                <w:b/>
                <w:bCs/>
                <w:sz w:val="18"/>
                <w:lang w:val="fr-FR"/>
              </w:rPr>
              <w:t>Total</w:t>
            </w:r>
            <w:r w:rsidR="003170CF" w:rsidRPr="00DB45F6">
              <w:rPr>
                <w:b/>
                <w:bCs/>
                <w:sz w:val="18"/>
                <w:lang w:val="fr-FR"/>
              </w:rPr>
              <w:t xml:space="preserve"> </w:t>
            </w:r>
          </w:p>
        </w:tc>
        <w:tc>
          <w:tcPr>
            <w:tcW w:w="1701" w:type="dxa"/>
            <w:tcBorders>
              <w:top w:val="single" w:sz="4" w:space="0" w:color="auto"/>
              <w:bottom w:val="single" w:sz="12" w:space="0" w:color="auto"/>
            </w:tcBorders>
            <w:shd w:val="clear" w:color="auto" w:fill="auto"/>
            <w:vAlign w:val="bottom"/>
            <w:hideMark/>
          </w:tcPr>
          <w:p w:rsidR="003170CF" w:rsidRPr="008357FD" w:rsidRDefault="003170CF" w:rsidP="008357FD">
            <w:pPr>
              <w:pStyle w:val="SingleTxtG"/>
              <w:suppressAutoHyphens w:val="0"/>
              <w:spacing w:before="80" w:after="80" w:line="220" w:lineRule="exact"/>
              <w:ind w:left="0" w:right="0"/>
              <w:jc w:val="right"/>
              <w:rPr>
                <w:b/>
                <w:sz w:val="18"/>
                <w:lang w:val="fr-FR"/>
              </w:rPr>
            </w:pPr>
            <w:r w:rsidRPr="008357FD">
              <w:rPr>
                <w:b/>
                <w:sz w:val="18"/>
                <w:lang w:val="fr-FR"/>
              </w:rPr>
              <w:t>2</w:t>
            </w:r>
            <w:r w:rsidR="00814CD4" w:rsidRPr="008357FD">
              <w:rPr>
                <w:b/>
                <w:sz w:val="18"/>
                <w:lang w:val="fr-FR"/>
              </w:rPr>
              <w:t> </w:t>
            </w:r>
            <w:r w:rsidRPr="008357FD">
              <w:rPr>
                <w:b/>
                <w:sz w:val="18"/>
                <w:lang w:val="fr-FR"/>
              </w:rPr>
              <w:t>516</w:t>
            </w:r>
          </w:p>
        </w:tc>
      </w:tr>
    </w:tbl>
    <w:p w:rsidR="003170CF" w:rsidRPr="00DB45F6" w:rsidRDefault="007C7090" w:rsidP="00814CD4">
      <w:pPr>
        <w:pStyle w:val="SingleTxtG"/>
        <w:spacing w:before="240"/>
        <w:ind w:firstLine="567"/>
        <w:rPr>
          <w:lang w:val="fr-FR"/>
        </w:rPr>
      </w:pPr>
      <w:r w:rsidRPr="00DB45F6">
        <w:rPr>
          <w:lang w:val="fr-FR"/>
        </w:rPr>
        <w:t>b)</w:t>
      </w:r>
      <w:r w:rsidRPr="00DB45F6">
        <w:rPr>
          <w:lang w:val="fr-FR"/>
        </w:rPr>
        <w:tab/>
      </w:r>
      <w:r w:rsidR="003170CF" w:rsidRPr="00DB45F6">
        <w:rPr>
          <w:lang w:val="fr-FR"/>
        </w:rPr>
        <w:t>Le nombre de victimes de traite à des fins de vente, prostitution, travail forcé, adoption illégale, transfert d’organes ou pornographie selon les statistiques judiciaires 2015 est de 687 parmi lesquelles on compte 48,5</w:t>
      </w:r>
      <w:r w:rsidR="00814CD4" w:rsidRPr="00DB45F6">
        <w:rPr>
          <w:lang w:val="fr-FR"/>
        </w:rPr>
        <w:t> </w:t>
      </w:r>
      <w:r w:rsidR="003170CF" w:rsidRPr="00DB45F6">
        <w:rPr>
          <w:lang w:val="fr-FR"/>
        </w:rPr>
        <w:t>% de mineures.</w:t>
      </w:r>
      <w:r w:rsidR="00814CD4" w:rsidRPr="00DB45F6">
        <w:rPr>
          <w:lang w:val="fr-FR"/>
        </w:rPr>
        <w:t xml:space="preserve"> </w:t>
      </w:r>
    </w:p>
    <w:p w:rsidR="003170CF" w:rsidRPr="00DB45F6" w:rsidRDefault="003170CF" w:rsidP="007C7090">
      <w:pPr>
        <w:pStyle w:val="SingleTxtG"/>
        <w:ind w:firstLine="567"/>
        <w:rPr>
          <w:lang w:val="fr-FR"/>
        </w:rPr>
      </w:pPr>
      <w:r w:rsidRPr="00DB45F6">
        <w:rPr>
          <w:lang w:val="fr-FR"/>
        </w:rPr>
        <w:t>c)</w:t>
      </w:r>
      <w:r w:rsidR="007C7090" w:rsidRPr="00DB45F6">
        <w:rPr>
          <w:lang w:val="fr-FR"/>
        </w:rPr>
        <w:tab/>
      </w:r>
      <w:r w:rsidRPr="00DB45F6">
        <w:rPr>
          <w:lang w:val="fr-FR"/>
        </w:rPr>
        <w:t>Il n’existe pas de statistiques connues parce que non collectées et non renseignées de nombre d’enfants offerts ou remis aux fins ci-dessus. </w:t>
      </w:r>
    </w:p>
    <w:p w:rsidR="003170CF" w:rsidRPr="00DB45F6" w:rsidRDefault="007C7090" w:rsidP="007C7090">
      <w:pPr>
        <w:pStyle w:val="SingleTxtG"/>
        <w:ind w:firstLine="567"/>
        <w:rPr>
          <w:lang w:val="fr-FR"/>
        </w:rPr>
      </w:pPr>
      <w:r w:rsidRPr="00DB45F6">
        <w:rPr>
          <w:lang w:val="fr-FR"/>
        </w:rPr>
        <w:t>d)</w:t>
      </w:r>
      <w:r w:rsidRPr="00DB45F6">
        <w:rPr>
          <w:lang w:val="fr-FR"/>
        </w:rPr>
        <w:tab/>
      </w:r>
      <w:r w:rsidR="003170CF" w:rsidRPr="00DB45F6">
        <w:rPr>
          <w:lang w:val="fr-FR"/>
        </w:rPr>
        <w:t xml:space="preserve">Le nombre d’enfants victimes d’infractions visées au </w:t>
      </w:r>
      <w:r w:rsidR="004829CB" w:rsidRPr="00DB45F6">
        <w:rPr>
          <w:lang w:val="fr-FR"/>
        </w:rPr>
        <w:t xml:space="preserve">Protocole </w:t>
      </w:r>
      <w:r w:rsidR="003170CF" w:rsidRPr="00DB45F6">
        <w:rPr>
          <w:lang w:val="fr-FR"/>
        </w:rPr>
        <w:t>ayant bénéficié d’une aide à la réinsertion ou ayant obtenu réparation n’est pas disponible.</w:t>
      </w:r>
    </w:p>
    <w:p w:rsidR="003170CF" w:rsidRPr="00DB45F6" w:rsidRDefault="003170CF" w:rsidP="008357FD">
      <w:pPr>
        <w:pStyle w:val="H1G"/>
        <w:rPr>
          <w:lang w:val="fr-FR"/>
        </w:rPr>
      </w:pPr>
      <w:r w:rsidRPr="00DB45F6">
        <w:rPr>
          <w:lang w:val="fr-FR"/>
        </w:rPr>
        <w:lastRenderedPageBreak/>
        <w:tab/>
      </w:r>
      <w:r w:rsidRPr="00DB45F6">
        <w:rPr>
          <w:lang w:val="fr-FR"/>
        </w:rPr>
        <w:tab/>
        <w:t>Point 2</w:t>
      </w:r>
    </w:p>
    <w:p w:rsidR="003170CF" w:rsidRPr="00DB45F6" w:rsidRDefault="008357FD" w:rsidP="008357FD">
      <w:pPr>
        <w:pStyle w:val="SingleTxtG"/>
        <w:rPr>
          <w:lang w:val="fr-FR"/>
        </w:rPr>
      </w:pPr>
      <w:r w:rsidRPr="00DB45F6">
        <w:rPr>
          <w:lang w:val="fr-FR"/>
        </w:rPr>
        <w:t>4.</w:t>
      </w:r>
      <w:r w:rsidRPr="00DB45F6">
        <w:rPr>
          <w:lang w:val="fr-FR"/>
        </w:rPr>
        <w:tab/>
      </w:r>
      <w:r w:rsidR="003170CF" w:rsidRPr="00DB45F6">
        <w:rPr>
          <w:lang w:val="fr-FR"/>
        </w:rPr>
        <w:t xml:space="preserve">Il n’existe pas à l’heure actuelle de stratégie de prévention et de lutte contre la vente d’enfants, la prostitution des enfants et la pornographie mettant en scène les enfants. Toutes les actions menées dans ce sens se sont concentrées sur les sensibilisations et l’implication des communautés à fin qu’elles dénoncent aux autorités les cas suspects dont elles ont connaissance. </w:t>
      </w:r>
    </w:p>
    <w:p w:rsidR="003170CF" w:rsidRPr="00DB45F6" w:rsidRDefault="008357FD" w:rsidP="008357FD">
      <w:pPr>
        <w:pStyle w:val="SingleTxtG"/>
        <w:rPr>
          <w:lang w:val="fr-FR"/>
        </w:rPr>
      </w:pPr>
      <w:r w:rsidRPr="00DB45F6">
        <w:rPr>
          <w:lang w:val="fr-FR"/>
        </w:rPr>
        <w:t>5.</w:t>
      </w:r>
      <w:r w:rsidRPr="00DB45F6">
        <w:rPr>
          <w:lang w:val="fr-FR"/>
        </w:rPr>
        <w:tab/>
      </w:r>
      <w:r w:rsidR="003170CF" w:rsidRPr="00DB45F6">
        <w:rPr>
          <w:lang w:val="fr-FR"/>
        </w:rPr>
        <w:t>Quant au plan d’actions de la lutte contre la traite des personnes 2014-2018 adopté par décret n</w:t>
      </w:r>
      <w:r w:rsidR="00814CD4" w:rsidRPr="00DB45F6">
        <w:rPr>
          <w:vertAlign w:val="superscript"/>
          <w:lang w:val="fr-FR"/>
        </w:rPr>
        <w:t>o</w:t>
      </w:r>
      <w:r w:rsidR="00814CD4" w:rsidRPr="00DB45F6">
        <w:rPr>
          <w:lang w:val="fr-FR"/>
        </w:rPr>
        <w:t> </w:t>
      </w:r>
      <w:r w:rsidR="003170CF" w:rsidRPr="00DB45F6">
        <w:rPr>
          <w:lang w:val="fr-FR"/>
        </w:rPr>
        <w:t xml:space="preserve">2014-488 du 22 juillet 2014, il intègre la dimension enfant avec des activités spécifiques prévues à son axe stratégique 2 qui vise la réduction de la vulnérabilité des femmes et des enfants. </w:t>
      </w:r>
    </w:p>
    <w:p w:rsidR="003170CF" w:rsidRPr="00DB45F6" w:rsidRDefault="008357FD" w:rsidP="008357FD">
      <w:pPr>
        <w:pStyle w:val="SingleTxtG"/>
        <w:rPr>
          <w:lang w:val="fr-FR"/>
        </w:rPr>
      </w:pPr>
      <w:r w:rsidRPr="00DB45F6">
        <w:rPr>
          <w:lang w:val="fr-FR"/>
        </w:rPr>
        <w:t>6.</w:t>
      </w:r>
      <w:r w:rsidRPr="00DB45F6">
        <w:rPr>
          <w:lang w:val="fr-FR"/>
        </w:rPr>
        <w:tab/>
      </w:r>
      <w:r w:rsidR="003170CF" w:rsidRPr="00DB45F6">
        <w:rPr>
          <w:lang w:val="fr-FR"/>
        </w:rPr>
        <w:t>L</w:t>
      </w:r>
      <w:r w:rsidR="00814CD4" w:rsidRPr="00DB45F6">
        <w:rPr>
          <w:lang w:val="fr-FR"/>
        </w:rPr>
        <w:t>e programme de protection de l’e</w:t>
      </w:r>
      <w:r w:rsidR="003170CF" w:rsidRPr="00DB45F6">
        <w:rPr>
          <w:lang w:val="fr-FR"/>
        </w:rPr>
        <w:t xml:space="preserve">nfant (2014-2019), couvre les infractions prévues par le </w:t>
      </w:r>
      <w:r w:rsidR="004829CB" w:rsidRPr="00DB45F6">
        <w:rPr>
          <w:lang w:val="fr-FR"/>
        </w:rPr>
        <w:t xml:space="preserve">Protocole </w:t>
      </w:r>
      <w:r w:rsidR="003170CF" w:rsidRPr="00DB45F6">
        <w:rPr>
          <w:lang w:val="fr-FR"/>
        </w:rPr>
        <w:t>facultatif. Des actions de sensibilisation sont menées par les services techniques afin de prévenir ces infractions.</w:t>
      </w:r>
    </w:p>
    <w:p w:rsidR="003170CF" w:rsidRPr="00DB45F6" w:rsidRDefault="003170CF" w:rsidP="008357FD">
      <w:pPr>
        <w:pStyle w:val="H1G"/>
        <w:rPr>
          <w:lang w:val="fr-FR"/>
        </w:rPr>
      </w:pPr>
      <w:r w:rsidRPr="00DB45F6">
        <w:rPr>
          <w:lang w:val="fr-FR"/>
        </w:rPr>
        <w:tab/>
      </w:r>
      <w:r w:rsidRPr="00DB45F6">
        <w:rPr>
          <w:lang w:val="fr-FR"/>
        </w:rPr>
        <w:tab/>
        <w:t>Point 3</w:t>
      </w:r>
    </w:p>
    <w:p w:rsidR="003170CF" w:rsidRPr="00DB45F6" w:rsidRDefault="008357FD" w:rsidP="008357FD">
      <w:pPr>
        <w:pStyle w:val="SingleTxtG"/>
        <w:rPr>
          <w:lang w:val="fr-FR"/>
        </w:rPr>
      </w:pPr>
      <w:r w:rsidRPr="00DB45F6">
        <w:rPr>
          <w:lang w:val="fr-FR"/>
        </w:rPr>
        <w:t>7.</w:t>
      </w:r>
      <w:r w:rsidRPr="00DB45F6">
        <w:rPr>
          <w:lang w:val="fr-FR"/>
        </w:rPr>
        <w:tab/>
      </w:r>
      <w:r w:rsidR="003170CF" w:rsidRPr="00DB45F6">
        <w:rPr>
          <w:lang w:val="fr-FR"/>
        </w:rPr>
        <w:t xml:space="preserve">Les mécanismes de coordination et de suivi des activités déployées pour donner effet aux dispositions du </w:t>
      </w:r>
      <w:r w:rsidR="004829CB" w:rsidRPr="00DB45F6">
        <w:rPr>
          <w:lang w:val="fr-FR"/>
        </w:rPr>
        <w:t xml:space="preserve">Protocole </w:t>
      </w:r>
      <w:r w:rsidR="003170CF" w:rsidRPr="00DB45F6">
        <w:rPr>
          <w:lang w:val="fr-FR"/>
        </w:rPr>
        <w:t xml:space="preserve">et mécanisme de suivi-évaluation de la mise en œuvre du </w:t>
      </w:r>
      <w:r w:rsidR="004829CB" w:rsidRPr="00DB45F6">
        <w:rPr>
          <w:lang w:val="fr-FR"/>
        </w:rPr>
        <w:t xml:space="preserve">Protocole </w:t>
      </w:r>
      <w:r w:rsidR="003170CF" w:rsidRPr="00DB45F6">
        <w:rPr>
          <w:lang w:val="fr-FR"/>
        </w:rPr>
        <w:t xml:space="preserve">sont ceux mis en place dans le cadre de la protection de l’enfant et regroupe tous les acteurs étatiques, non étatiques et ceux relevant des </w:t>
      </w:r>
      <w:r w:rsidR="00DB45F6" w:rsidRPr="00DB45F6">
        <w:rPr>
          <w:lang w:val="fr-FR"/>
        </w:rPr>
        <w:t>o</w:t>
      </w:r>
      <w:r w:rsidR="003170CF" w:rsidRPr="00DB45F6">
        <w:rPr>
          <w:lang w:val="fr-FR"/>
        </w:rPr>
        <w:t xml:space="preserve">rganisations </w:t>
      </w:r>
      <w:r w:rsidR="00DB45F6" w:rsidRPr="00DB45F6">
        <w:rPr>
          <w:lang w:val="fr-FR"/>
        </w:rPr>
        <w:t>i</w:t>
      </w:r>
      <w:r w:rsidR="003170CF" w:rsidRPr="00DB45F6">
        <w:rPr>
          <w:lang w:val="fr-FR"/>
        </w:rPr>
        <w:t>nternationales et ONG internationales œuvrant dans le domaine de la protection de l’enfance.</w:t>
      </w:r>
      <w:r w:rsidR="00814CD4" w:rsidRPr="00DB45F6">
        <w:rPr>
          <w:lang w:val="fr-FR"/>
        </w:rPr>
        <w:t xml:space="preserve"> </w:t>
      </w:r>
    </w:p>
    <w:p w:rsidR="003170CF" w:rsidRPr="00DB45F6" w:rsidRDefault="008357FD" w:rsidP="008357FD">
      <w:pPr>
        <w:pStyle w:val="SingleTxtG"/>
        <w:rPr>
          <w:lang w:val="fr-FR"/>
        </w:rPr>
      </w:pPr>
      <w:r w:rsidRPr="00DB45F6">
        <w:rPr>
          <w:lang w:val="fr-FR"/>
        </w:rPr>
        <w:t>8.</w:t>
      </w:r>
      <w:r w:rsidRPr="00DB45F6">
        <w:rPr>
          <w:lang w:val="fr-FR"/>
        </w:rPr>
        <w:tab/>
      </w:r>
      <w:r w:rsidR="003170CF" w:rsidRPr="00DB45F6">
        <w:rPr>
          <w:lang w:val="fr-FR"/>
        </w:rPr>
        <w:t xml:space="preserve">Bien qu’il n’existe pas un plan d’action national spécifique pour la mise en œuvre du </w:t>
      </w:r>
      <w:r w:rsidR="004829CB" w:rsidRPr="00DB45F6">
        <w:rPr>
          <w:lang w:val="fr-FR"/>
        </w:rPr>
        <w:t xml:space="preserve">Protocole </w:t>
      </w:r>
      <w:r w:rsidR="003170CF" w:rsidRPr="00DB45F6">
        <w:rPr>
          <w:lang w:val="fr-FR"/>
        </w:rPr>
        <w:t xml:space="preserve">facultatif de la CDE sur la vente d’enfants, la prostitution des enfants et la pornographie mettant en scène les enfants, les thématiques contenues dans ce protocole sont prises en compte dans la Politique </w:t>
      </w:r>
      <w:r w:rsidR="00DB45F6" w:rsidRPr="00DB45F6">
        <w:rPr>
          <w:lang w:val="fr-FR"/>
        </w:rPr>
        <w:t>n</w:t>
      </w:r>
      <w:r w:rsidR="003170CF" w:rsidRPr="00DB45F6">
        <w:rPr>
          <w:lang w:val="fr-FR"/>
        </w:rPr>
        <w:t xml:space="preserve">ationale de </w:t>
      </w:r>
      <w:r w:rsidR="00DB45F6" w:rsidRPr="00DB45F6">
        <w:rPr>
          <w:lang w:val="fr-FR"/>
        </w:rPr>
        <w:t>p</w:t>
      </w:r>
      <w:r w:rsidR="003170CF" w:rsidRPr="00DB45F6">
        <w:rPr>
          <w:lang w:val="fr-FR"/>
        </w:rPr>
        <w:t>rotection de l’</w:t>
      </w:r>
      <w:r w:rsidR="00DB45F6" w:rsidRPr="00DB45F6">
        <w:rPr>
          <w:lang w:val="fr-FR"/>
        </w:rPr>
        <w:t>e</w:t>
      </w:r>
      <w:r w:rsidR="003170CF" w:rsidRPr="00DB45F6">
        <w:rPr>
          <w:lang w:val="fr-FR"/>
        </w:rPr>
        <w:t>nfant dont</w:t>
      </w:r>
      <w:r w:rsidR="00814CD4" w:rsidRPr="00DB45F6">
        <w:rPr>
          <w:lang w:val="fr-FR"/>
        </w:rPr>
        <w:t xml:space="preserve"> </w:t>
      </w:r>
      <w:r w:rsidR="003170CF" w:rsidRPr="00DB45F6">
        <w:rPr>
          <w:lang w:val="fr-FR"/>
        </w:rPr>
        <w:t>la coordination des actions est assurée au</w:t>
      </w:r>
      <w:r w:rsidR="00DB45F6" w:rsidRPr="00DB45F6">
        <w:rPr>
          <w:lang w:val="fr-FR"/>
        </w:rPr>
        <w:t>x</w:t>
      </w:r>
      <w:r w:rsidR="003170CF" w:rsidRPr="00DB45F6">
        <w:rPr>
          <w:lang w:val="fr-FR"/>
        </w:rPr>
        <w:t xml:space="preserve"> niveau</w:t>
      </w:r>
      <w:r w:rsidR="00DB45F6" w:rsidRPr="00DB45F6">
        <w:rPr>
          <w:lang w:val="fr-FR"/>
        </w:rPr>
        <w:t>x</w:t>
      </w:r>
      <w:r w:rsidR="003170CF" w:rsidRPr="00DB45F6">
        <w:rPr>
          <w:lang w:val="fr-FR"/>
        </w:rPr>
        <w:t xml:space="preserve"> national, régional et départemental par respectivement : </w:t>
      </w:r>
    </w:p>
    <w:p w:rsidR="003170CF" w:rsidRPr="00DB45F6" w:rsidRDefault="008357FD" w:rsidP="008357FD">
      <w:pPr>
        <w:pStyle w:val="Bullet1G"/>
        <w:numPr>
          <w:ilvl w:val="0"/>
          <w:numId w:val="0"/>
        </w:numPr>
        <w:tabs>
          <w:tab w:val="left" w:pos="1701"/>
        </w:tabs>
        <w:ind w:left="1701" w:hanging="170"/>
      </w:pPr>
      <w:r w:rsidRPr="00DB45F6">
        <w:t>•</w:t>
      </w:r>
      <w:r w:rsidRPr="00DB45F6">
        <w:tab/>
      </w:r>
      <w:r w:rsidR="00DB45F6" w:rsidRPr="00DB45F6">
        <w:t>L</w:t>
      </w:r>
      <w:r w:rsidR="003170CF" w:rsidRPr="00DB45F6">
        <w:t xml:space="preserve">a Direction </w:t>
      </w:r>
      <w:r w:rsidR="00DB45F6" w:rsidRPr="00DB45F6">
        <w:t>g</w:t>
      </w:r>
      <w:r w:rsidR="003170CF" w:rsidRPr="00DB45F6">
        <w:t>énéral</w:t>
      </w:r>
      <w:r w:rsidR="00DB45F6" w:rsidRPr="00DB45F6">
        <w:t>e de la protection de l’enfant ;</w:t>
      </w:r>
    </w:p>
    <w:p w:rsidR="003170CF" w:rsidRPr="00DB45F6" w:rsidRDefault="008357FD" w:rsidP="008357FD">
      <w:pPr>
        <w:pStyle w:val="Bullet1G"/>
        <w:numPr>
          <w:ilvl w:val="0"/>
          <w:numId w:val="0"/>
        </w:numPr>
        <w:tabs>
          <w:tab w:val="left" w:pos="1701"/>
        </w:tabs>
        <w:ind w:left="1701" w:hanging="170"/>
      </w:pPr>
      <w:r w:rsidRPr="00DB45F6">
        <w:t>•</w:t>
      </w:r>
      <w:r w:rsidRPr="00DB45F6">
        <w:tab/>
      </w:r>
      <w:r w:rsidR="00DB45F6" w:rsidRPr="00DB45F6">
        <w:t>L</w:t>
      </w:r>
      <w:r w:rsidR="003170CF" w:rsidRPr="00DB45F6">
        <w:t xml:space="preserve">es </w:t>
      </w:r>
      <w:r w:rsidR="00DB45F6" w:rsidRPr="00DB45F6">
        <w:t>d</w:t>
      </w:r>
      <w:r w:rsidR="003170CF" w:rsidRPr="00DB45F6">
        <w:t xml:space="preserve">irections </w:t>
      </w:r>
      <w:r w:rsidR="00DB45F6" w:rsidRPr="00DB45F6">
        <w:t>régionales de la promotion de la femme et protection de l’enfant ;</w:t>
      </w:r>
    </w:p>
    <w:p w:rsidR="003170CF" w:rsidRPr="00DB45F6" w:rsidRDefault="008357FD" w:rsidP="008357FD">
      <w:pPr>
        <w:pStyle w:val="Bullet1G"/>
        <w:numPr>
          <w:ilvl w:val="0"/>
          <w:numId w:val="0"/>
        </w:numPr>
        <w:tabs>
          <w:tab w:val="left" w:pos="1701"/>
        </w:tabs>
        <w:ind w:left="1701" w:hanging="170"/>
      </w:pPr>
      <w:r w:rsidRPr="00DB45F6">
        <w:t>•</w:t>
      </w:r>
      <w:r w:rsidRPr="00DB45F6">
        <w:tab/>
      </w:r>
      <w:r w:rsidR="00DB45F6" w:rsidRPr="00DB45F6">
        <w:t>L</w:t>
      </w:r>
      <w:r w:rsidR="003170CF" w:rsidRPr="00DB45F6">
        <w:t xml:space="preserve">es </w:t>
      </w:r>
      <w:r w:rsidR="00DB45F6" w:rsidRPr="00DB45F6">
        <w:t>directions départementales de la promotion de la f</w:t>
      </w:r>
      <w:r w:rsidR="003170CF" w:rsidRPr="00DB45F6">
        <w:t xml:space="preserve">emme et de la </w:t>
      </w:r>
      <w:r w:rsidR="00DB45F6" w:rsidRPr="00DB45F6">
        <w:t>protection de l’e</w:t>
      </w:r>
      <w:r w:rsidR="003170CF" w:rsidRPr="00DB45F6">
        <w:t>nfant.</w:t>
      </w:r>
    </w:p>
    <w:p w:rsidR="003170CF" w:rsidRPr="00DB45F6" w:rsidRDefault="003170CF" w:rsidP="008357FD">
      <w:pPr>
        <w:pStyle w:val="H1G"/>
        <w:rPr>
          <w:lang w:val="fr-FR"/>
        </w:rPr>
      </w:pPr>
      <w:r w:rsidRPr="00DB45F6">
        <w:rPr>
          <w:lang w:val="fr-FR"/>
        </w:rPr>
        <w:tab/>
      </w:r>
      <w:r w:rsidRPr="00DB45F6">
        <w:rPr>
          <w:lang w:val="fr-FR"/>
        </w:rPr>
        <w:tab/>
        <w:t xml:space="preserve">Point 4 </w:t>
      </w:r>
    </w:p>
    <w:p w:rsidR="003170CF" w:rsidRPr="00DB45F6" w:rsidRDefault="008357FD" w:rsidP="008357FD">
      <w:pPr>
        <w:pStyle w:val="SingleTxtG"/>
        <w:rPr>
          <w:lang w:val="fr-FR"/>
        </w:rPr>
      </w:pPr>
      <w:r w:rsidRPr="00DB45F6">
        <w:rPr>
          <w:lang w:val="fr-FR"/>
        </w:rPr>
        <w:t>9.</w:t>
      </w:r>
      <w:r w:rsidRPr="00DB45F6">
        <w:rPr>
          <w:lang w:val="fr-FR"/>
        </w:rPr>
        <w:tab/>
      </w:r>
      <w:r w:rsidR="003170CF" w:rsidRPr="00DB45F6">
        <w:rPr>
          <w:lang w:val="fr-FR"/>
        </w:rPr>
        <w:t xml:space="preserve">Chaque année, les </w:t>
      </w:r>
      <w:r w:rsidR="00DB45F6" w:rsidRPr="00DB45F6">
        <w:rPr>
          <w:lang w:val="fr-FR"/>
        </w:rPr>
        <w:t>d</w:t>
      </w:r>
      <w:r w:rsidR="003170CF" w:rsidRPr="00DB45F6">
        <w:rPr>
          <w:lang w:val="fr-FR"/>
        </w:rPr>
        <w:t xml:space="preserve">irections </w:t>
      </w:r>
      <w:r w:rsidR="00DB45F6" w:rsidRPr="00DB45F6">
        <w:rPr>
          <w:lang w:val="fr-FR"/>
        </w:rPr>
        <w:t>r</w:t>
      </w:r>
      <w:r w:rsidR="003170CF" w:rsidRPr="00DB45F6">
        <w:rPr>
          <w:lang w:val="fr-FR"/>
        </w:rPr>
        <w:t xml:space="preserve">égionales et les </w:t>
      </w:r>
      <w:r w:rsidR="00DB45F6" w:rsidRPr="00DB45F6">
        <w:rPr>
          <w:lang w:val="fr-FR"/>
        </w:rPr>
        <w:t>d</w:t>
      </w:r>
      <w:r w:rsidR="003170CF" w:rsidRPr="00DB45F6">
        <w:rPr>
          <w:lang w:val="fr-FR"/>
        </w:rPr>
        <w:t xml:space="preserve">irections </w:t>
      </w:r>
      <w:r w:rsidR="00DB45F6" w:rsidRPr="00DB45F6">
        <w:rPr>
          <w:lang w:val="fr-FR"/>
        </w:rPr>
        <w:t>d</w:t>
      </w:r>
      <w:r w:rsidR="003170CF" w:rsidRPr="00DB45F6">
        <w:rPr>
          <w:lang w:val="fr-FR"/>
        </w:rPr>
        <w:t>épartementales de la promotion de la femme et de la protection de l’enfant élaborent et exécutent des programmes de sensibilisation et de formation dans le cadre de la mise en œuvre de l’axe stratégique 1 de la Politique</w:t>
      </w:r>
      <w:r w:rsidR="00DB45F6" w:rsidRPr="00DB45F6">
        <w:rPr>
          <w:lang w:val="fr-FR"/>
        </w:rPr>
        <w:t xml:space="preserve"> nationale de protection de l’e</w:t>
      </w:r>
      <w:r w:rsidR="003170CF" w:rsidRPr="00DB45F6">
        <w:rPr>
          <w:lang w:val="fr-FR"/>
        </w:rPr>
        <w:t>nfant</w:t>
      </w:r>
      <w:r w:rsidR="00DB45F6" w:rsidRPr="00DB45F6">
        <w:rPr>
          <w:lang w:val="fr-FR"/>
        </w:rPr>
        <w:t>,</w:t>
      </w:r>
      <w:r w:rsidR="003170CF" w:rsidRPr="00DB45F6">
        <w:rPr>
          <w:lang w:val="fr-FR"/>
        </w:rPr>
        <w:t xml:space="preserve"> à savoir « Prévention de toutes formes d’abus, violence et exploitation à l’égard des enfants ». Les principales activités menées à cet égard sont : </w:t>
      </w:r>
    </w:p>
    <w:p w:rsidR="003170CF" w:rsidRPr="00DB45F6" w:rsidRDefault="008357FD" w:rsidP="008357FD">
      <w:pPr>
        <w:pStyle w:val="Bullet1G"/>
        <w:numPr>
          <w:ilvl w:val="0"/>
          <w:numId w:val="0"/>
        </w:numPr>
        <w:tabs>
          <w:tab w:val="left" w:pos="1701"/>
        </w:tabs>
        <w:ind w:left="1701" w:hanging="170"/>
      </w:pPr>
      <w:r w:rsidRPr="00DB45F6">
        <w:t>•</w:t>
      </w:r>
      <w:r w:rsidRPr="00DB45F6">
        <w:tab/>
      </w:r>
      <w:r w:rsidR="00DB45F6">
        <w:t>L</w:t>
      </w:r>
      <w:r w:rsidR="003170CF" w:rsidRPr="00DB45F6">
        <w:t>es émissions radiotélévisées et causeries</w:t>
      </w:r>
      <w:r w:rsidR="00814CD4" w:rsidRPr="00DB45F6">
        <w:t xml:space="preserve"> </w:t>
      </w:r>
      <w:r w:rsidR="003170CF" w:rsidRPr="00DB45F6">
        <w:t>sur les problématiques de protection dont la prostitut</w:t>
      </w:r>
      <w:r w:rsidR="00DB45F6">
        <w:t>ion qui touche le grand public ;</w:t>
      </w:r>
    </w:p>
    <w:p w:rsidR="003170CF" w:rsidRPr="00DB45F6" w:rsidRDefault="008357FD" w:rsidP="008357FD">
      <w:pPr>
        <w:pStyle w:val="Bullet1G"/>
        <w:numPr>
          <w:ilvl w:val="0"/>
          <w:numId w:val="0"/>
        </w:numPr>
        <w:tabs>
          <w:tab w:val="left" w:pos="1701"/>
        </w:tabs>
        <w:ind w:left="1701" w:hanging="170"/>
      </w:pPr>
      <w:r w:rsidRPr="00DB45F6">
        <w:t>•</w:t>
      </w:r>
      <w:r w:rsidRPr="00DB45F6">
        <w:tab/>
      </w:r>
      <w:r w:rsidR="00DB45F6">
        <w:t>L</w:t>
      </w:r>
      <w:r w:rsidR="003170CF" w:rsidRPr="00DB45F6">
        <w:t>es célébrations d’évènements spéciaux qui sont des occasions d’expression</w:t>
      </w:r>
      <w:r w:rsidR="00814CD4" w:rsidRPr="00DB45F6">
        <w:t xml:space="preserve"> </w:t>
      </w:r>
      <w:r w:rsidR="003170CF" w:rsidRPr="00DB45F6">
        <w:t>pour les enfants</w:t>
      </w:r>
      <w:r w:rsidR="00DB45F6">
        <w:t> ;</w:t>
      </w:r>
    </w:p>
    <w:p w:rsidR="003170CF" w:rsidRPr="00DB45F6" w:rsidRDefault="008357FD" w:rsidP="008357FD">
      <w:pPr>
        <w:pStyle w:val="Bullet1G"/>
        <w:numPr>
          <w:ilvl w:val="0"/>
          <w:numId w:val="0"/>
        </w:numPr>
        <w:tabs>
          <w:tab w:val="left" w:pos="1701"/>
        </w:tabs>
        <w:ind w:left="1701" w:hanging="170"/>
      </w:pPr>
      <w:r w:rsidRPr="00DB45F6">
        <w:t>•</w:t>
      </w:r>
      <w:r w:rsidRPr="00DB45F6">
        <w:tab/>
      </w:r>
      <w:r w:rsidR="00DB45F6">
        <w:t>L</w:t>
      </w:r>
      <w:r w:rsidR="003170CF" w:rsidRPr="00DB45F6">
        <w:t>es journées d’orientation</w:t>
      </w:r>
      <w:r w:rsidR="00814CD4" w:rsidRPr="00DB45F6">
        <w:t xml:space="preserve"> </w:t>
      </w:r>
      <w:r w:rsidR="003170CF" w:rsidRPr="00DB45F6">
        <w:t>visant</w:t>
      </w:r>
      <w:r w:rsidR="00814CD4" w:rsidRPr="00DB45F6">
        <w:t xml:space="preserve"> </w:t>
      </w:r>
      <w:r w:rsidR="003170CF" w:rsidRPr="00DB45F6">
        <w:t>des groupes cibles</w:t>
      </w:r>
      <w:r w:rsidR="00814CD4" w:rsidRPr="00DB45F6">
        <w:t xml:space="preserve"> </w:t>
      </w:r>
      <w:r w:rsidR="003170CF" w:rsidRPr="00DB45F6">
        <w:t>variés.</w:t>
      </w:r>
    </w:p>
    <w:p w:rsidR="003170CF" w:rsidRPr="00DB45F6" w:rsidRDefault="008357FD" w:rsidP="008357FD">
      <w:pPr>
        <w:pStyle w:val="SingleTxtG"/>
        <w:rPr>
          <w:lang w:val="fr-FR"/>
        </w:rPr>
      </w:pPr>
      <w:r w:rsidRPr="00DB45F6">
        <w:rPr>
          <w:lang w:val="fr-FR"/>
        </w:rPr>
        <w:t>10.</w:t>
      </w:r>
      <w:r w:rsidRPr="00DB45F6">
        <w:rPr>
          <w:lang w:val="fr-FR"/>
        </w:rPr>
        <w:tab/>
      </w:r>
      <w:r w:rsidR="003170CF" w:rsidRPr="00DB45F6">
        <w:rPr>
          <w:lang w:val="fr-FR"/>
        </w:rPr>
        <w:t>Ces activités de communication réalisées par les travailleurs sociaux bénéficient de l’appui technique et financier de l’UNICEF et d’autres partenaires.</w:t>
      </w:r>
    </w:p>
    <w:p w:rsidR="003170CF" w:rsidRPr="00DB45F6" w:rsidRDefault="008357FD" w:rsidP="008357FD">
      <w:pPr>
        <w:pStyle w:val="SingleTxtG"/>
        <w:rPr>
          <w:lang w:val="fr-FR"/>
        </w:rPr>
      </w:pPr>
      <w:r w:rsidRPr="00DB45F6">
        <w:rPr>
          <w:lang w:val="fr-FR"/>
        </w:rPr>
        <w:t>11.</w:t>
      </w:r>
      <w:r w:rsidRPr="00DB45F6">
        <w:rPr>
          <w:lang w:val="fr-FR"/>
        </w:rPr>
        <w:tab/>
      </w:r>
      <w:r w:rsidR="003170CF" w:rsidRPr="00DB45F6">
        <w:rPr>
          <w:lang w:val="fr-FR"/>
        </w:rPr>
        <w:t xml:space="preserve">Par ailleurs un plan de communication relatif à la migration irrégulière des enfants et des femmes est en cours d’élaboration et intégrera les différentes infractions contenues dans le </w:t>
      </w:r>
      <w:r w:rsidR="004829CB" w:rsidRPr="00DB45F6">
        <w:rPr>
          <w:lang w:val="fr-FR"/>
        </w:rPr>
        <w:t>Protocole</w:t>
      </w:r>
      <w:r w:rsidR="003170CF" w:rsidRPr="00DB45F6">
        <w:rPr>
          <w:lang w:val="fr-FR"/>
        </w:rPr>
        <w:t xml:space="preserve">. </w:t>
      </w:r>
    </w:p>
    <w:p w:rsidR="003170CF" w:rsidRPr="00DB45F6" w:rsidRDefault="003170CF" w:rsidP="008357FD">
      <w:pPr>
        <w:pStyle w:val="H1G"/>
        <w:rPr>
          <w:lang w:val="fr-FR"/>
        </w:rPr>
      </w:pPr>
      <w:r w:rsidRPr="00DB45F6">
        <w:rPr>
          <w:lang w:val="fr-FR"/>
        </w:rPr>
        <w:lastRenderedPageBreak/>
        <w:tab/>
      </w:r>
      <w:r w:rsidRPr="00DB45F6">
        <w:rPr>
          <w:lang w:val="fr-FR"/>
        </w:rPr>
        <w:tab/>
        <w:t>Point 5 </w:t>
      </w:r>
    </w:p>
    <w:p w:rsidR="003170CF" w:rsidRPr="00DB45F6" w:rsidRDefault="008357FD" w:rsidP="008357FD">
      <w:pPr>
        <w:pStyle w:val="SingleTxtG"/>
        <w:rPr>
          <w:lang w:val="fr-FR"/>
        </w:rPr>
      </w:pPr>
      <w:r w:rsidRPr="00DB45F6">
        <w:rPr>
          <w:lang w:val="fr-FR"/>
        </w:rPr>
        <w:t>12.</w:t>
      </w:r>
      <w:r w:rsidRPr="00DB45F6">
        <w:rPr>
          <w:lang w:val="fr-FR"/>
        </w:rPr>
        <w:tab/>
      </w:r>
      <w:r w:rsidR="003170CF" w:rsidRPr="00DB45F6">
        <w:rPr>
          <w:lang w:val="fr-FR"/>
        </w:rPr>
        <w:t xml:space="preserve">Il existe selon les cas abordés plusieurs stratégies sectorielles qui concourent à la lutte contre les phénomènes d’enfants exposés aux infractions visées au </w:t>
      </w:r>
      <w:r w:rsidR="004829CB" w:rsidRPr="00DB45F6">
        <w:rPr>
          <w:lang w:val="fr-FR"/>
        </w:rPr>
        <w:t xml:space="preserve">Protocole </w:t>
      </w:r>
      <w:r w:rsidR="003170CF" w:rsidRPr="00DB45F6">
        <w:rPr>
          <w:lang w:val="fr-FR"/>
        </w:rPr>
        <w:t>tels que les enfants descendants d’esclaves, les enfants des rues, les enfants migrants, refugiés ou demandeurs d’asile, les enfants soumis au travail forcé y compris les talibés, les enfants orphelins, séparés de leurs familles et non accompagnés. Les ministères concernés sont ceux de la protection de l’enfant, du travail, de la justice et de l’intérieur. Ces stratégies consacrent une place importante à la sensibilisation des communautés ; les ONG et associations participent à ces actions à travers la protection à base communautaire qui est un des outils élaborés pour combattre les survivances de certaines pratiques y compris celles de la wahaya.</w:t>
      </w:r>
      <w:r w:rsidR="00814CD4" w:rsidRPr="00DB45F6">
        <w:rPr>
          <w:lang w:val="fr-FR"/>
        </w:rPr>
        <w:t xml:space="preserve"> </w:t>
      </w:r>
    </w:p>
    <w:p w:rsidR="003170CF" w:rsidRPr="00DB45F6" w:rsidRDefault="008357FD" w:rsidP="008357FD">
      <w:pPr>
        <w:pStyle w:val="SingleTxtG"/>
        <w:rPr>
          <w:lang w:val="fr-FR"/>
        </w:rPr>
      </w:pPr>
      <w:r w:rsidRPr="00DB45F6">
        <w:rPr>
          <w:lang w:val="fr-FR"/>
        </w:rPr>
        <w:t>13.</w:t>
      </w:r>
      <w:r w:rsidRPr="00DB45F6">
        <w:rPr>
          <w:lang w:val="fr-FR"/>
        </w:rPr>
        <w:tab/>
      </w:r>
      <w:r w:rsidR="003170CF" w:rsidRPr="00DB45F6">
        <w:rPr>
          <w:lang w:val="fr-FR"/>
        </w:rPr>
        <w:t>Les principales mesures prises pour améliorer l’identification des enfants exposés aux problèmes de vente d’enfants, de prostitution et de pornographie les mettant en scène et autres cas sont :</w:t>
      </w:r>
    </w:p>
    <w:p w:rsidR="003170CF" w:rsidRPr="00DB45F6" w:rsidRDefault="008357FD" w:rsidP="008357FD">
      <w:pPr>
        <w:pStyle w:val="Bullet1G"/>
        <w:numPr>
          <w:ilvl w:val="0"/>
          <w:numId w:val="0"/>
        </w:numPr>
        <w:tabs>
          <w:tab w:val="left" w:pos="1701"/>
        </w:tabs>
        <w:ind w:left="1701" w:hanging="170"/>
      </w:pPr>
      <w:r w:rsidRPr="00DB45F6">
        <w:t>•</w:t>
      </w:r>
      <w:r w:rsidRPr="00DB45F6">
        <w:tab/>
      </w:r>
      <w:r w:rsidR="003170CF" w:rsidRPr="00DB45F6">
        <w:t>Le renforcement des capacités des agents des services sociaux sur les différentes formes d’abus, de violences et d’exploitation ;</w:t>
      </w:r>
    </w:p>
    <w:p w:rsidR="003170CF" w:rsidRPr="00DB45F6" w:rsidRDefault="008357FD" w:rsidP="008357FD">
      <w:pPr>
        <w:pStyle w:val="Bullet1G"/>
        <w:numPr>
          <w:ilvl w:val="0"/>
          <w:numId w:val="0"/>
        </w:numPr>
        <w:tabs>
          <w:tab w:val="left" w:pos="1701"/>
        </w:tabs>
        <w:ind w:left="1701" w:hanging="170"/>
      </w:pPr>
      <w:r w:rsidRPr="00DB45F6">
        <w:t>•</w:t>
      </w:r>
      <w:r w:rsidRPr="00DB45F6">
        <w:tab/>
      </w:r>
      <w:r w:rsidR="003170CF" w:rsidRPr="00DB45F6">
        <w:t>L’intensification des actions de sensibilisation et d’information à l’endroit des populations sur les services sociaux, leur mandat, les services qui y sont disponibles et les cibles (les bénéficiaires). Cette stratégie vise à faire connaitre les services sociaux afin de renforcer le signalement des cas d’enfants à risque et/ou victimes d’abus,</w:t>
      </w:r>
      <w:r w:rsidR="00DB45F6">
        <w:t xml:space="preserve"> de violences et d’exploitation ;</w:t>
      </w:r>
    </w:p>
    <w:p w:rsidR="003170CF" w:rsidRPr="00DB45F6" w:rsidRDefault="008357FD" w:rsidP="008357FD">
      <w:pPr>
        <w:pStyle w:val="Bullet1G"/>
        <w:numPr>
          <w:ilvl w:val="0"/>
          <w:numId w:val="0"/>
        </w:numPr>
        <w:tabs>
          <w:tab w:val="left" w:pos="1701"/>
        </w:tabs>
        <w:ind w:left="1701" w:hanging="170"/>
      </w:pPr>
      <w:r w:rsidRPr="00DB45F6">
        <w:t>•</w:t>
      </w:r>
      <w:r w:rsidRPr="00DB45F6">
        <w:tab/>
      </w:r>
      <w:r w:rsidR="003170CF" w:rsidRPr="00DB45F6">
        <w:t>La mise en œuvre de l’axe stratégique 1 de la Politique de protection judiciaire juvénile intitulé</w:t>
      </w:r>
      <w:r w:rsidR="00660DD2">
        <w:t xml:space="preserve"> </w:t>
      </w:r>
      <w:r w:rsidR="003170CF" w:rsidRPr="00DB45F6">
        <w:t>« Consolidation du dispositif de repérage, d’évaluation et de signalement des enfants en danger ».</w:t>
      </w:r>
    </w:p>
    <w:p w:rsidR="003170CF" w:rsidRPr="00DB45F6" w:rsidRDefault="003170CF" w:rsidP="008357FD">
      <w:pPr>
        <w:pStyle w:val="H1G"/>
        <w:rPr>
          <w:lang w:val="fr-FR"/>
        </w:rPr>
      </w:pPr>
      <w:r w:rsidRPr="00DB45F6">
        <w:rPr>
          <w:lang w:val="fr-FR"/>
        </w:rPr>
        <w:tab/>
      </w:r>
      <w:r w:rsidRPr="00DB45F6">
        <w:rPr>
          <w:lang w:val="fr-FR"/>
        </w:rPr>
        <w:tab/>
        <w:t>Point 6 </w:t>
      </w:r>
    </w:p>
    <w:p w:rsidR="003170CF" w:rsidRPr="00DB45F6" w:rsidRDefault="008357FD" w:rsidP="008357FD">
      <w:pPr>
        <w:pStyle w:val="SingleTxtG"/>
        <w:rPr>
          <w:lang w:val="fr-FR"/>
        </w:rPr>
      </w:pPr>
      <w:r w:rsidRPr="00DB45F6">
        <w:rPr>
          <w:lang w:val="fr-FR"/>
        </w:rPr>
        <w:t>14.</w:t>
      </w:r>
      <w:r w:rsidRPr="00DB45F6">
        <w:rPr>
          <w:lang w:val="fr-FR"/>
        </w:rPr>
        <w:tab/>
      </w:r>
      <w:r w:rsidR="003170CF" w:rsidRPr="00DB45F6">
        <w:rPr>
          <w:lang w:val="fr-FR"/>
        </w:rPr>
        <w:t xml:space="preserve">Les articles 270.1 à 270.5 du </w:t>
      </w:r>
      <w:r w:rsidR="004829CB" w:rsidRPr="00DB45F6">
        <w:rPr>
          <w:lang w:val="fr-FR"/>
        </w:rPr>
        <w:t xml:space="preserve">Code </w:t>
      </w:r>
      <w:r w:rsidR="003170CF" w:rsidRPr="00DB45F6">
        <w:rPr>
          <w:lang w:val="fr-FR"/>
        </w:rPr>
        <w:t>pénal prévoient les crimes et délits d’esclavage et un régime commun de la réparatio</w:t>
      </w:r>
      <w:bookmarkStart w:id="0" w:name="_GoBack"/>
      <w:bookmarkEnd w:id="0"/>
      <w:r w:rsidR="003170CF" w:rsidRPr="00DB45F6">
        <w:rPr>
          <w:lang w:val="fr-FR"/>
        </w:rPr>
        <w:t>n. Des poursuites contre les auteurs de ces infractions sont engagées à chaque fois qu’elles ont dénoncées ; ces poursuites ont d’ailleurs donné lieu à des jugements de condamnation aussi bien aux niveaux interne que régional (jurisprudence Mani Korao). Ces dispositions prévoient en outre que « toute association régulièrement déclarée et ayant en vertu de ses statuts comme objectif de combattre l’esclavage ou les pratiques analogues est habilitée à exercer l’action civile en réparation des dommages causés par les infractions à la loi pénale sur l’esclavage ».</w:t>
      </w:r>
      <w:r w:rsidR="00814CD4" w:rsidRPr="00DB45F6">
        <w:rPr>
          <w:lang w:val="fr-FR"/>
        </w:rPr>
        <w:t xml:space="preserve"> </w:t>
      </w:r>
    </w:p>
    <w:p w:rsidR="003170CF" w:rsidRPr="00DB45F6" w:rsidRDefault="003170CF" w:rsidP="008357FD">
      <w:pPr>
        <w:pStyle w:val="H1G"/>
        <w:rPr>
          <w:lang w:val="fr-FR"/>
        </w:rPr>
      </w:pPr>
      <w:r w:rsidRPr="00DB45F6">
        <w:rPr>
          <w:lang w:val="fr-FR"/>
        </w:rPr>
        <w:tab/>
      </w:r>
      <w:r w:rsidRPr="00DB45F6">
        <w:rPr>
          <w:lang w:val="fr-FR"/>
        </w:rPr>
        <w:tab/>
        <w:t>Point 7</w:t>
      </w:r>
    </w:p>
    <w:p w:rsidR="00641A60" w:rsidRDefault="008357FD" w:rsidP="008357FD">
      <w:pPr>
        <w:pStyle w:val="SingleTxtG"/>
        <w:rPr>
          <w:lang w:val="fr-FR"/>
        </w:rPr>
      </w:pPr>
      <w:r>
        <w:rPr>
          <w:lang w:val="fr-FR"/>
        </w:rPr>
        <w:t>15.</w:t>
      </w:r>
      <w:r>
        <w:rPr>
          <w:lang w:val="fr-FR"/>
        </w:rPr>
        <w:tab/>
      </w:r>
      <w:r w:rsidR="003170CF" w:rsidRPr="00DB45F6">
        <w:rPr>
          <w:lang w:val="fr-FR"/>
        </w:rPr>
        <w:t>La vente d’enfant est incriminée par l’article</w:t>
      </w:r>
      <w:r w:rsidR="00DB45F6">
        <w:rPr>
          <w:lang w:val="fr-FR"/>
        </w:rPr>
        <w:t> </w:t>
      </w:r>
      <w:r w:rsidR="003170CF" w:rsidRPr="00DB45F6">
        <w:rPr>
          <w:lang w:val="fr-FR"/>
        </w:rPr>
        <w:t xml:space="preserve">270 du </w:t>
      </w:r>
      <w:r w:rsidR="004829CB" w:rsidRPr="00DB45F6">
        <w:rPr>
          <w:lang w:val="fr-FR"/>
        </w:rPr>
        <w:t xml:space="preserve">Code </w:t>
      </w:r>
      <w:r w:rsidR="003170CF" w:rsidRPr="00DB45F6">
        <w:rPr>
          <w:lang w:val="fr-FR"/>
        </w:rPr>
        <w:t>pénal qui dispose que</w:t>
      </w:r>
      <w:r w:rsidR="00660DD2">
        <w:rPr>
          <w:lang w:val="fr-FR"/>
        </w:rPr>
        <w:t> :</w:t>
      </w:r>
    </w:p>
    <w:p w:rsidR="003170CF" w:rsidRPr="00DB45F6" w:rsidRDefault="003170CF" w:rsidP="008357FD">
      <w:pPr>
        <w:pStyle w:val="SingleTxtG"/>
        <w:ind w:left="1701"/>
        <w:rPr>
          <w:lang w:val="fr-FR"/>
        </w:rPr>
      </w:pPr>
      <w:r w:rsidRPr="00DB45F6">
        <w:rPr>
          <w:lang w:val="fr-FR"/>
        </w:rPr>
        <w:t>« Toute personne qui aura aliéné, soit à titre gratuit, soit à titre onéreux, la liberté de toute autre personne, sera punie de l’emprisonnement de 10 à 30 ans</w:t>
      </w:r>
      <w:r w:rsidR="00641A60">
        <w:rPr>
          <w:lang w:val="fr-FR"/>
        </w:rPr>
        <w:t>.</w:t>
      </w:r>
    </w:p>
    <w:p w:rsidR="003170CF" w:rsidRPr="00DB45F6" w:rsidRDefault="003170CF" w:rsidP="003170CF">
      <w:pPr>
        <w:pStyle w:val="SingleTxtG"/>
        <w:ind w:left="1701"/>
      </w:pPr>
      <w:r w:rsidRPr="00DB45F6">
        <w:t>Si la personne est âgée de moins de 13 ans, la peine de l’emp</w:t>
      </w:r>
      <w:r w:rsidR="00DB45F6">
        <w:t>risonnement à vie sera encourue</w:t>
      </w:r>
      <w:r w:rsidR="00641A60">
        <w:t>.</w:t>
      </w:r>
    </w:p>
    <w:p w:rsidR="003170CF" w:rsidRPr="00DB45F6" w:rsidRDefault="003170CF" w:rsidP="003170CF">
      <w:pPr>
        <w:pStyle w:val="SingleTxtG"/>
        <w:ind w:left="1701"/>
      </w:pPr>
      <w:r w:rsidRPr="00DB45F6">
        <w:t>Si le coupable a aliéné la liberté de plusieurs personnes, il sera puni de mort</w:t>
      </w:r>
      <w:r w:rsidR="00845792">
        <w:t>.</w:t>
      </w:r>
      <w:r w:rsidRPr="00DB45F6">
        <w:t> ».</w:t>
      </w:r>
    </w:p>
    <w:p w:rsidR="003170CF" w:rsidRPr="00DB45F6" w:rsidRDefault="008357FD" w:rsidP="008357FD">
      <w:pPr>
        <w:pStyle w:val="SingleTxtG"/>
        <w:rPr>
          <w:lang w:val="fr-FR"/>
        </w:rPr>
      </w:pPr>
      <w:r w:rsidRPr="00DB45F6">
        <w:rPr>
          <w:lang w:val="fr-FR"/>
        </w:rPr>
        <w:t>16.</w:t>
      </w:r>
      <w:r w:rsidRPr="00DB45F6">
        <w:rPr>
          <w:lang w:val="fr-FR"/>
        </w:rPr>
        <w:tab/>
      </w:r>
      <w:r w:rsidR="003170CF" w:rsidRPr="00DB45F6">
        <w:rPr>
          <w:lang w:val="fr-FR"/>
        </w:rPr>
        <w:t>L’article</w:t>
      </w:r>
      <w:r w:rsidR="00845792">
        <w:rPr>
          <w:lang w:val="fr-FR"/>
        </w:rPr>
        <w:t> </w:t>
      </w:r>
      <w:r w:rsidR="003170CF" w:rsidRPr="00DB45F6">
        <w:rPr>
          <w:lang w:val="fr-FR"/>
        </w:rPr>
        <w:t xml:space="preserve">292 du </w:t>
      </w:r>
      <w:r w:rsidR="0036680C" w:rsidRPr="00DB45F6">
        <w:rPr>
          <w:lang w:val="fr-FR"/>
        </w:rPr>
        <w:t xml:space="preserve">Code </w:t>
      </w:r>
      <w:r w:rsidR="003170CF" w:rsidRPr="00DB45F6">
        <w:rPr>
          <w:lang w:val="fr-FR"/>
        </w:rPr>
        <w:t xml:space="preserve">pénal punit d’un emprisonnement de </w:t>
      </w:r>
      <w:r w:rsidR="00845792">
        <w:rPr>
          <w:lang w:val="fr-FR"/>
        </w:rPr>
        <w:t>deux à cinq </w:t>
      </w:r>
      <w:r w:rsidR="003170CF" w:rsidRPr="00DB45F6">
        <w:rPr>
          <w:lang w:val="fr-FR"/>
        </w:rPr>
        <w:t>ans et d’une amende de 50</w:t>
      </w:r>
      <w:r w:rsidR="00845792">
        <w:rPr>
          <w:lang w:val="fr-FR"/>
        </w:rPr>
        <w:t> </w:t>
      </w:r>
      <w:r w:rsidR="003170CF" w:rsidRPr="00DB45F6">
        <w:rPr>
          <w:lang w:val="fr-FR"/>
        </w:rPr>
        <w:t>000 à 5</w:t>
      </w:r>
      <w:r w:rsidR="00845792">
        <w:rPr>
          <w:lang w:val="fr-FR"/>
        </w:rPr>
        <w:t> </w:t>
      </w:r>
      <w:r w:rsidR="003170CF" w:rsidRPr="00DB45F6">
        <w:rPr>
          <w:lang w:val="fr-FR"/>
        </w:rPr>
        <w:t>000</w:t>
      </w:r>
      <w:r w:rsidR="00845792">
        <w:rPr>
          <w:lang w:val="fr-FR"/>
        </w:rPr>
        <w:t> </w:t>
      </w:r>
      <w:r w:rsidR="003170CF" w:rsidRPr="00DB45F6">
        <w:rPr>
          <w:lang w:val="fr-FR"/>
        </w:rPr>
        <w:t>000 de francs toute personne qui utilise des mineurs à des fins de prostitution.</w:t>
      </w:r>
    </w:p>
    <w:p w:rsidR="003170CF" w:rsidRPr="00DB45F6" w:rsidRDefault="008357FD" w:rsidP="008357FD">
      <w:pPr>
        <w:pStyle w:val="SingleTxtG"/>
        <w:rPr>
          <w:lang w:val="fr-FR"/>
        </w:rPr>
      </w:pPr>
      <w:r w:rsidRPr="00DB45F6">
        <w:rPr>
          <w:lang w:val="fr-FR"/>
        </w:rPr>
        <w:t>17.</w:t>
      </w:r>
      <w:r w:rsidRPr="00DB45F6">
        <w:rPr>
          <w:lang w:val="fr-FR"/>
        </w:rPr>
        <w:tab/>
      </w:r>
      <w:r w:rsidR="003170CF" w:rsidRPr="00DB45F6">
        <w:rPr>
          <w:lang w:val="fr-FR"/>
        </w:rPr>
        <w:t xml:space="preserve">Enfin l’article 293 du </w:t>
      </w:r>
      <w:r w:rsidR="004829CB" w:rsidRPr="00DB45F6">
        <w:rPr>
          <w:lang w:val="fr-FR"/>
        </w:rPr>
        <w:t xml:space="preserve">Code </w:t>
      </w:r>
      <w:r w:rsidR="003170CF" w:rsidRPr="00DB45F6">
        <w:rPr>
          <w:lang w:val="fr-FR"/>
        </w:rPr>
        <w:t xml:space="preserve">pénal sanctionne d’une peine d’emprisonnement de </w:t>
      </w:r>
      <w:r w:rsidR="00845792">
        <w:rPr>
          <w:lang w:val="fr-FR"/>
        </w:rPr>
        <w:t>deux à cinq</w:t>
      </w:r>
      <w:r w:rsidR="003170CF" w:rsidRPr="00DB45F6">
        <w:rPr>
          <w:lang w:val="fr-FR"/>
        </w:rPr>
        <w:t xml:space="preserve"> ans et d’une amende de 50</w:t>
      </w:r>
      <w:r w:rsidR="00845792">
        <w:rPr>
          <w:lang w:val="fr-FR"/>
        </w:rPr>
        <w:t> </w:t>
      </w:r>
      <w:r w:rsidR="003170CF" w:rsidRPr="00DB45F6">
        <w:rPr>
          <w:lang w:val="fr-FR"/>
        </w:rPr>
        <w:t>000 à 5</w:t>
      </w:r>
      <w:r w:rsidR="00845792">
        <w:rPr>
          <w:lang w:val="fr-FR"/>
        </w:rPr>
        <w:t> </w:t>
      </w:r>
      <w:r w:rsidR="003170CF" w:rsidRPr="00DB45F6">
        <w:rPr>
          <w:lang w:val="fr-FR"/>
        </w:rPr>
        <w:t>000</w:t>
      </w:r>
      <w:r w:rsidR="00845792">
        <w:rPr>
          <w:lang w:val="fr-FR"/>
        </w:rPr>
        <w:t> </w:t>
      </w:r>
      <w:r w:rsidR="003170CF" w:rsidRPr="00DB45F6">
        <w:rPr>
          <w:lang w:val="fr-FR"/>
        </w:rPr>
        <w:t>000 francs « quiconque aura attenté aux mœurs en excitant, favorisant, ou facilitant habituellement la débauche ou la corruption de la jeunesse de l’un ou de l’autre sexe, au-dessous de l’âge de 21</w:t>
      </w:r>
      <w:r w:rsidR="00845792">
        <w:rPr>
          <w:lang w:val="fr-FR"/>
        </w:rPr>
        <w:t> </w:t>
      </w:r>
      <w:r w:rsidR="003170CF" w:rsidRPr="00DB45F6">
        <w:rPr>
          <w:lang w:val="fr-FR"/>
        </w:rPr>
        <w:t>ans ou, même occasionnellement des mineurs de moins de 13 ans ».</w:t>
      </w:r>
    </w:p>
    <w:p w:rsidR="003170CF" w:rsidRPr="00DB45F6" w:rsidRDefault="003170CF" w:rsidP="008357FD">
      <w:pPr>
        <w:pStyle w:val="H1G"/>
        <w:rPr>
          <w:lang w:val="fr-FR"/>
        </w:rPr>
      </w:pPr>
      <w:r w:rsidRPr="00DB45F6">
        <w:rPr>
          <w:lang w:val="fr-FR"/>
        </w:rPr>
        <w:lastRenderedPageBreak/>
        <w:tab/>
      </w:r>
      <w:r w:rsidRPr="00DB45F6">
        <w:rPr>
          <w:lang w:val="fr-FR"/>
        </w:rPr>
        <w:tab/>
        <w:t xml:space="preserve">Point 8 </w:t>
      </w:r>
    </w:p>
    <w:p w:rsidR="003170CF" w:rsidRPr="00DB45F6" w:rsidRDefault="008357FD" w:rsidP="008357FD">
      <w:pPr>
        <w:pStyle w:val="SingleTxtG"/>
        <w:rPr>
          <w:lang w:val="fr-FR"/>
        </w:rPr>
      </w:pPr>
      <w:r w:rsidRPr="00DB45F6">
        <w:rPr>
          <w:lang w:val="fr-FR"/>
        </w:rPr>
        <w:t>18.</w:t>
      </w:r>
      <w:r w:rsidRPr="00DB45F6">
        <w:rPr>
          <w:lang w:val="fr-FR"/>
        </w:rPr>
        <w:tab/>
      </w:r>
      <w:r w:rsidR="003170CF" w:rsidRPr="00DB45F6">
        <w:rPr>
          <w:lang w:val="fr-FR"/>
        </w:rPr>
        <w:t>Les</w:t>
      </w:r>
      <w:r w:rsidR="00845792">
        <w:rPr>
          <w:lang w:val="fr-FR"/>
        </w:rPr>
        <w:t xml:space="preserve"> dispositions de l’ordonnance n</w:t>
      </w:r>
      <w:r w:rsidR="00845792" w:rsidRPr="00845792">
        <w:rPr>
          <w:vertAlign w:val="superscript"/>
          <w:lang w:val="fr-FR"/>
        </w:rPr>
        <w:t>o</w:t>
      </w:r>
      <w:r w:rsidR="00845792">
        <w:rPr>
          <w:lang w:val="fr-FR"/>
        </w:rPr>
        <w:t> </w:t>
      </w:r>
      <w:r w:rsidR="003170CF" w:rsidRPr="00DB45F6">
        <w:rPr>
          <w:lang w:val="fr-FR"/>
        </w:rPr>
        <w:t>2010-86 du 16 décembre 2010 relative à la lutte contre la traite des personnes sont effectivement appliquées au Niger ; certes l’ordonnance n’avait pas prévu de façon spécifique la traite des enfants mais dans nombre de cas signalés, des poursuites ont été engagées par l’autorité judiciaire. Après plusieurs années de mise en œuvre, et tirant les conséquences des insuffisances de l’ordonnance précitée, des réflexions ont été engagées sur la nécessité de sa révision en vue d’intégrer la traite des enfants et la traite aggravée ; un projet de loi modificative a été élaboré dans ce sens.</w:t>
      </w:r>
      <w:r w:rsidR="00814CD4" w:rsidRPr="00DB45F6">
        <w:rPr>
          <w:lang w:val="fr-FR"/>
        </w:rPr>
        <w:t xml:space="preserve"> </w:t>
      </w:r>
    </w:p>
    <w:p w:rsidR="003170CF" w:rsidRPr="00DB45F6" w:rsidRDefault="003170CF" w:rsidP="008357FD">
      <w:pPr>
        <w:pStyle w:val="H1G"/>
        <w:rPr>
          <w:lang w:val="fr-FR"/>
        </w:rPr>
      </w:pPr>
      <w:r w:rsidRPr="00DB45F6">
        <w:rPr>
          <w:lang w:val="fr-FR"/>
        </w:rPr>
        <w:tab/>
      </w:r>
      <w:r w:rsidRPr="00DB45F6">
        <w:rPr>
          <w:lang w:val="fr-FR"/>
        </w:rPr>
        <w:tab/>
        <w:t>Point 9 </w:t>
      </w:r>
    </w:p>
    <w:p w:rsidR="003170CF" w:rsidRPr="00DB45F6" w:rsidRDefault="008357FD" w:rsidP="008357FD">
      <w:pPr>
        <w:pStyle w:val="SingleTxtG"/>
        <w:rPr>
          <w:lang w:val="fr-FR"/>
        </w:rPr>
      </w:pPr>
      <w:r w:rsidRPr="00DB45F6">
        <w:rPr>
          <w:lang w:val="fr-FR"/>
        </w:rPr>
        <w:t>19.</w:t>
      </w:r>
      <w:r w:rsidRPr="00DB45F6">
        <w:rPr>
          <w:lang w:val="fr-FR"/>
        </w:rPr>
        <w:tab/>
      </w:r>
      <w:r w:rsidR="003170CF" w:rsidRPr="00DB45F6">
        <w:rPr>
          <w:lang w:val="fr-FR"/>
        </w:rPr>
        <w:t>Au Niger, les droits de l’enfant victime ou témoin dans la procédure pénale sont garantis par plusieurs textes ; il s’agit de :</w:t>
      </w:r>
    </w:p>
    <w:p w:rsidR="003170CF" w:rsidRPr="00DB45F6" w:rsidRDefault="008357FD" w:rsidP="008357FD">
      <w:pPr>
        <w:pStyle w:val="Bullet1G"/>
        <w:numPr>
          <w:ilvl w:val="0"/>
          <w:numId w:val="0"/>
        </w:numPr>
        <w:tabs>
          <w:tab w:val="left" w:pos="1701"/>
        </w:tabs>
        <w:ind w:left="1701" w:hanging="170"/>
      </w:pPr>
      <w:r w:rsidRPr="00DB45F6">
        <w:t>•</w:t>
      </w:r>
      <w:r w:rsidRPr="00DB45F6">
        <w:tab/>
      </w:r>
      <w:r w:rsidR="00845792">
        <w:t>La loi n</w:t>
      </w:r>
      <w:r w:rsidR="00845792" w:rsidRPr="00845792">
        <w:rPr>
          <w:vertAlign w:val="superscript"/>
        </w:rPr>
        <w:t>o</w:t>
      </w:r>
      <w:r w:rsidR="00845792">
        <w:t> </w:t>
      </w:r>
      <w:r w:rsidR="003170CF" w:rsidRPr="00DB45F6">
        <w:t>2014-72 du 20</w:t>
      </w:r>
      <w:r w:rsidR="00845792">
        <w:t> </w:t>
      </w:r>
      <w:r w:rsidR="003170CF" w:rsidRPr="00DB45F6">
        <w:t>novembre 2014 déterminant les compétences, les attributions, et le fonctionnement des juridictions des mineurs au Niger ; cette loi détermine les conditions dans lesquelles les enfants sont entendus dans la procédure les concernant et les mesures prescrites à peine de nullité de la pro</w:t>
      </w:r>
      <w:r w:rsidR="00845792">
        <w:t>cédure ;</w:t>
      </w:r>
    </w:p>
    <w:p w:rsidR="003170CF" w:rsidRPr="00DB45F6" w:rsidRDefault="008357FD" w:rsidP="008357FD">
      <w:pPr>
        <w:pStyle w:val="Bullet1G"/>
        <w:numPr>
          <w:ilvl w:val="0"/>
          <w:numId w:val="0"/>
        </w:numPr>
        <w:tabs>
          <w:tab w:val="left" w:pos="1701"/>
        </w:tabs>
        <w:ind w:left="1701" w:hanging="170"/>
      </w:pPr>
      <w:r w:rsidRPr="00DB45F6">
        <w:t>•</w:t>
      </w:r>
      <w:r w:rsidRPr="00DB45F6">
        <w:tab/>
      </w:r>
      <w:r w:rsidR="00845792">
        <w:t>L</w:t>
      </w:r>
      <w:r w:rsidR="003170CF" w:rsidRPr="00DB45F6">
        <w:t>a loi n</w:t>
      </w:r>
      <w:r w:rsidR="00845792" w:rsidRPr="00845792">
        <w:rPr>
          <w:vertAlign w:val="superscript"/>
        </w:rPr>
        <w:t>o</w:t>
      </w:r>
      <w:r w:rsidR="00845792">
        <w:t> </w:t>
      </w:r>
      <w:r w:rsidR="003170CF" w:rsidRPr="00DB45F6">
        <w:t>2011-42 du 14</w:t>
      </w:r>
      <w:r w:rsidR="00845792">
        <w:t> </w:t>
      </w:r>
      <w:r w:rsidR="003170CF" w:rsidRPr="00DB45F6">
        <w:t>décembre 2011 fixant les règles à l’assistance juridique et judiciaire et créant un établissement public à caractère administratif dénommé</w:t>
      </w:r>
      <w:r w:rsidR="004829CB">
        <w:t xml:space="preserve"> </w:t>
      </w:r>
      <w:r w:rsidR="003170CF" w:rsidRPr="00DB45F6">
        <w:t xml:space="preserve">« ANJJ » ; cette loi accorde d’office le bénéfice de l’assistance judiciaire à l’enfant qu’il soit auteur, victime ou témoin à tous les stades de la procédure, sous peine de nullité. </w:t>
      </w:r>
    </w:p>
    <w:p w:rsidR="003170CF" w:rsidRPr="00DB45F6" w:rsidRDefault="008357FD" w:rsidP="008357FD">
      <w:pPr>
        <w:pStyle w:val="SingleTxtG"/>
        <w:rPr>
          <w:lang w:val="fr-FR"/>
        </w:rPr>
      </w:pPr>
      <w:r w:rsidRPr="00DB45F6">
        <w:rPr>
          <w:lang w:val="fr-FR"/>
        </w:rPr>
        <w:t>20.</w:t>
      </w:r>
      <w:r w:rsidRPr="00DB45F6">
        <w:rPr>
          <w:lang w:val="fr-FR"/>
        </w:rPr>
        <w:tab/>
      </w:r>
      <w:r w:rsidR="003170CF" w:rsidRPr="00DB45F6">
        <w:rPr>
          <w:lang w:val="fr-FR"/>
        </w:rPr>
        <w:t>Quant aux mesures de réinsertion sociale des victimes et leur réhabilitation physique et psychologique dans des structures appropriées, elles sont mises en œuvre conformément aux dispositions des lois en vigueur. L’axe stratégique 3 du plan d’actions de lutte contre la traite des personnes à son Effet 2 Produit 2 prévoit que les victimes sont assistées et prises en charge de manière adéquate sur les plans médico-psychosocial, sanitaire, socioéconomique, administrative et juridique. La prise en charge et l’assistance sont fournies aux victimes par les centres d’accueil dotés de personnel qualifié répondant aux divers profils que nécessitent les interventions.</w:t>
      </w:r>
      <w:r>
        <w:rPr>
          <w:lang w:val="fr-FR"/>
        </w:rPr>
        <w:t xml:space="preserve"> </w:t>
      </w:r>
    </w:p>
    <w:p w:rsidR="003170CF" w:rsidRPr="00DB45F6" w:rsidRDefault="003170CF" w:rsidP="008357FD">
      <w:pPr>
        <w:pStyle w:val="H1G"/>
        <w:rPr>
          <w:lang w:val="fr-FR"/>
        </w:rPr>
      </w:pPr>
      <w:r w:rsidRPr="00DB45F6">
        <w:rPr>
          <w:lang w:val="fr-FR"/>
        </w:rPr>
        <w:tab/>
      </w:r>
      <w:r w:rsidRPr="00DB45F6">
        <w:rPr>
          <w:lang w:val="fr-FR"/>
        </w:rPr>
        <w:tab/>
        <w:t>Point 10</w:t>
      </w:r>
    </w:p>
    <w:p w:rsidR="003170CF" w:rsidRPr="00DB45F6" w:rsidRDefault="008357FD" w:rsidP="008357FD">
      <w:pPr>
        <w:pStyle w:val="SingleTxtG"/>
        <w:rPr>
          <w:lang w:val="fr-FR"/>
        </w:rPr>
      </w:pPr>
      <w:r w:rsidRPr="00DB45F6">
        <w:rPr>
          <w:lang w:val="fr-FR"/>
        </w:rPr>
        <w:t>21.</w:t>
      </w:r>
      <w:r w:rsidRPr="00DB45F6">
        <w:rPr>
          <w:lang w:val="fr-FR"/>
        </w:rPr>
        <w:tab/>
      </w:r>
      <w:r w:rsidR="003170CF" w:rsidRPr="00DB45F6">
        <w:rPr>
          <w:lang w:val="fr-FR"/>
        </w:rPr>
        <w:t xml:space="preserve">Toutes les infractions prévues au paragraphe 1 de l’article 3 du </w:t>
      </w:r>
      <w:r w:rsidR="004829CB" w:rsidRPr="00DB45F6">
        <w:rPr>
          <w:lang w:val="fr-FR"/>
        </w:rPr>
        <w:t xml:space="preserve">Protocole </w:t>
      </w:r>
      <w:r w:rsidR="003170CF" w:rsidRPr="00DB45F6">
        <w:rPr>
          <w:lang w:val="fr-FR"/>
        </w:rPr>
        <w:t xml:space="preserve">facultatif, sont prises en compte par la législation nigérienne. Aussi le </w:t>
      </w:r>
      <w:r w:rsidR="004829CB" w:rsidRPr="00DB45F6">
        <w:rPr>
          <w:lang w:val="fr-FR"/>
        </w:rPr>
        <w:t xml:space="preserve">Code </w:t>
      </w:r>
      <w:r w:rsidR="003170CF" w:rsidRPr="00DB45F6">
        <w:rPr>
          <w:lang w:val="fr-FR"/>
        </w:rPr>
        <w:t>de procédure pénale prévoit la compétence extraterritoriale des juridictions pénales nigériennes lorsque la victime est nigérienne quel que soit le lieu de commission de l’infraction ou lorsque l’auteur est nigérien ou se trouverait sur le territoire nigérien.</w:t>
      </w:r>
    </w:p>
    <w:p w:rsidR="00DA3BE9" w:rsidRPr="00DB45F6" w:rsidRDefault="003170CF" w:rsidP="003170CF">
      <w:pPr>
        <w:pStyle w:val="SingleTxtG"/>
        <w:spacing w:before="240" w:after="0"/>
        <w:jc w:val="center"/>
      </w:pPr>
      <w:r w:rsidRPr="00DB45F6">
        <w:rPr>
          <w:u w:val="single"/>
          <w:lang w:val="fr-FR"/>
        </w:rPr>
        <w:tab/>
      </w:r>
      <w:r w:rsidRPr="00DB45F6">
        <w:rPr>
          <w:u w:val="single"/>
          <w:lang w:val="fr-FR"/>
        </w:rPr>
        <w:tab/>
      </w:r>
      <w:r w:rsidRPr="00DB45F6">
        <w:rPr>
          <w:u w:val="single"/>
          <w:lang w:val="fr-FR"/>
        </w:rPr>
        <w:tab/>
      </w:r>
      <w:r w:rsidR="006E53EC">
        <w:rPr>
          <w:u w:val="single"/>
          <w:lang w:val="fr-FR"/>
        </w:rPr>
        <w:tab/>
      </w:r>
    </w:p>
    <w:sectPr w:rsidR="00DA3BE9" w:rsidRPr="00DB45F6" w:rsidSect="008357FD">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314" w:rsidRDefault="00247314"/>
  </w:endnote>
  <w:endnote w:type="continuationSeparator" w:id="0">
    <w:p w:rsidR="00247314" w:rsidRDefault="00247314"/>
  </w:endnote>
  <w:endnote w:type="continuationNotice" w:id="1">
    <w:p w:rsidR="00247314" w:rsidRDefault="00247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14" w:rsidRPr="00247314" w:rsidRDefault="00247314" w:rsidP="00247314">
    <w:pPr>
      <w:pStyle w:val="Pieddepage"/>
      <w:tabs>
        <w:tab w:val="right" w:pos="9638"/>
      </w:tabs>
      <w:rPr>
        <w:sz w:val="18"/>
      </w:rPr>
    </w:pPr>
    <w:r w:rsidRPr="00247314">
      <w:rPr>
        <w:b/>
        <w:sz w:val="18"/>
      </w:rPr>
      <w:fldChar w:fldCharType="begin"/>
    </w:r>
    <w:r w:rsidRPr="00247314">
      <w:rPr>
        <w:b/>
        <w:sz w:val="18"/>
      </w:rPr>
      <w:instrText xml:space="preserve"> PAGE  \* MERGEFORMAT </w:instrText>
    </w:r>
    <w:r w:rsidRPr="00247314">
      <w:rPr>
        <w:b/>
        <w:sz w:val="18"/>
      </w:rPr>
      <w:fldChar w:fldCharType="separate"/>
    </w:r>
    <w:r w:rsidR="00425EB1">
      <w:rPr>
        <w:b/>
        <w:noProof/>
        <w:sz w:val="18"/>
      </w:rPr>
      <w:t>4</w:t>
    </w:r>
    <w:r w:rsidRPr="0024731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14" w:rsidRPr="00247314" w:rsidRDefault="00247314" w:rsidP="00247314">
    <w:pPr>
      <w:pStyle w:val="Pieddepage"/>
      <w:tabs>
        <w:tab w:val="right" w:pos="9638"/>
      </w:tabs>
      <w:rPr>
        <w:b/>
        <w:sz w:val="18"/>
      </w:rPr>
    </w:pPr>
    <w:r>
      <w:tab/>
    </w:r>
    <w:r w:rsidRPr="00247314">
      <w:rPr>
        <w:b/>
        <w:sz w:val="18"/>
      </w:rPr>
      <w:fldChar w:fldCharType="begin"/>
    </w:r>
    <w:r w:rsidRPr="00247314">
      <w:rPr>
        <w:b/>
        <w:sz w:val="18"/>
      </w:rPr>
      <w:instrText xml:space="preserve"> PAGE  \* MERGEFORMAT </w:instrText>
    </w:r>
    <w:r w:rsidRPr="00247314">
      <w:rPr>
        <w:b/>
        <w:sz w:val="18"/>
      </w:rPr>
      <w:fldChar w:fldCharType="separate"/>
    </w:r>
    <w:r w:rsidR="00425EB1">
      <w:rPr>
        <w:b/>
        <w:noProof/>
        <w:sz w:val="18"/>
      </w:rPr>
      <w:t>5</w:t>
    </w:r>
    <w:r w:rsidRPr="002473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500" w:rsidRPr="006F5500" w:rsidRDefault="006F5500">
    <w:pPr>
      <w:pStyle w:val="Pieddepage"/>
      <w:rPr>
        <w:rFonts w:ascii="C39T30Lfz" w:hAnsi="C39T30Lfz"/>
        <w:sz w:val="56"/>
      </w:rPr>
    </w:pPr>
    <w:r>
      <w:rPr>
        <w:noProof/>
        <w:lang w:eastAsia="fr-CH"/>
      </w:rPr>
      <w:drawing>
        <wp:anchor distT="0" distB="0" distL="114300" distR="114300" simplePos="0" relativeHeight="251657728" behindDoc="0" locked="0" layoutInCell="1" allowOverlap="0" wp14:anchorId="14B930CA" wp14:editId="1F916497">
          <wp:simplePos x="0" y="0"/>
          <wp:positionH relativeFrom="margin">
            <wp:posOffset>4319905</wp:posOffset>
          </wp:positionH>
          <wp:positionV relativeFrom="margin">
            <wp:posOffset>9213894</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800" behindDoc="0" locked="0" layoutInCell="1" allowOverlap="1" wp14:anchorId="6BB7D410" wp14:editId="064F6825">
          <wp:simplePos x="0" y="0"/>
          <wp:positionH relativeFrom="column">
            <wp:posOffset>5473611</wp:posOffset>
          </wp:positionH>
          <wp:positionV relativeFrom="paragraph">
            <wp:posOffset>6394</wp:posOffset>
          </wp:positionV>
          <wp:extent cx="638175" cy="638175"/>
          <wp:effectExtent l="0" t="0" r="9525" b="9525"/>
          <wp:wrapNone/>
          <wp:docPr id="3" name="Image 1" descr="https://undocs.org/m2/QRCode.ashx?DS=CRC/C/OPSC/NER/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NER/Q/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w:t>
    </w:r>
    <w:r>
      <w:rPr>
        <w:sz w:val="20"/>
      </w:rPr>
      <w:t>2387</w:t>
    </w:r>
    <w:r>
      <w:rPr>
        <w:sz w:val="20"/>
      </w:rPr>
      <w:t xml:space="preserve">  (F)</w:t>
    </w:r>
    <w:r>
      <w:br/>
    </w:r>
    <w:r w:rsidRPr="006F5500">
      <w:rPr>
        <w:rFonts w:ascii="C39T30Lfz" w:hAnsi="C39T30Lfz"/>
        <w:sz w:val="56"/>
      </w:rPr>
      <w:t></w:t>
    </w:r>
    <w:r w:rsidRPr="006F5500">
      <w:rPr>
        <w:rFonts w:ascii="C39T30Lfz" w:hAnsi="C39T30Lfz"/>
        <w:sz w:val="56"/>
      </w:rPr>
      <w:t></w:t>
    </w:r>
    <w:r w:rsidRPr="006F5500">
      <w:rPr>
        <w:rFonts w:ascii="C39T30Lfz" w:hAnsi="C39T30Lfz"/>
        <w:sz w:val="56"/>
      </w:rPr>
      <w:t></w:t>
    </w:r>
    <w:r w:rsidRPr="006F5500">
      <w:rPr>
        <w:rFonts w:ascii="C39T30Lfz" w:hAnsi="C39T30Lfz"/>
        <w:sz w:val="56"/>
      </w:rPr>
      <w:t></w:t>
    </w:r>
    <w:r w:rsidRPr="006F5500">
      <w:rPr>
        <w:rFonts w:ascii="C39T30Lfz" w:hAnsi="C39T30Lfz"/>
        <w:sz w:val="56"/>
      </w:rPr>
      <w:t></w:t>
    </w:r>
    <w:r w:rsidRPr="006F5500">
      <w:rPr>
        <w:rFonts w:ascii="C39T30Lfz" w:hAnsi="C39T30Lfz"/>
        <w:sz w:val="56"/>
      </w:rPr>
      <w:t></w:t>
    </w:r>
    <w:r w:rsidRPr="006F5500">
      <w:rPr>
        <w:rFonts w:ascii="C39T30Lfz" w:hAnsi="C39T30Lfz"/>
        <w:sz w:val="56"/>
      </w:rPr>
      <w:t></w:t>
    </w:r>
    <w:r w:rsidRPr="006F5500">
      <w:rPr>
        <w:rFonts w:ascii="C39T30Lfz" w:hAnsi="C39T30Lfz"/>
        <w:sz w:val="56"/>
      </w:rPr>
      <w:t></w:t>
    </w:r>
    <w:r w:rsidRPr="006F5500">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314" w:rsidRPr="00D27D5E" w:rsidRDefault="00247314" w:rsidP="00D27D5E">
      <w:pPr>
        <w:tabs>
          <w:tab w:val="right" w:pos="2155"/>
        </w:tabs>
        <w:spacing w:after="80"/>
        <w:ind w:left="680"/>
        <w:rPr>
          <w:u w:val="single"/>
        </w:rPr>
      </w:pPr>
      <w:r>
        <w:rPr>
          <w:u w:val="single"/>
        </w:rPr>
        <w:tab/>
      </w:r>
    </w:p>
  </w:footnote>
  <w:footnote w:type="continuationSeparator" w:id="0">
    <w:p w:rsidR="00247314" w:rsidRPr="00EA0E33" w:rsidRDefault="00247314" w:rsidP="00EA0E33">
      <w:pPr>
        <w:tabs>
          <w:tab w:val="right" w:pos="2155"/>
        </w:tabs>
        <w:spacing w:after="80"/>
        <w:ind w:left="680"/>
        <w:rPr>
          <w:u w:val="single"/>
        </w:rPr>
      </w:pPr>
      <w:r w:rsidRPr="00EA0E33">
        <w:rPr>
          <w:u w:val="single"/>
        </w:rPr>
        <w:tab/>
      </w:r>
    </w:p>
  </w:footnote>
  <w:footnote w:type="continuationNotice" w:id="1">
    <w:p w:rsidR="00247314" w:rsidRDefault="00247314"/>
  </w:footnote>
  <w:footnote w:id="2">
    <w:p w:rsidR="00941CC0" w:rsidRPr="007F285C" w:rsidRDefault="00941CC0" w:rsidP="006F5500">
      <w:pPr>
        <w:pStyle w:val="Notedebasdepage"/>
        <w:spacing w:after="240"/>
      </w:pPr>
      <w:r>
        <w:tab/>
      </w:r>
      <w:r w:rsidRPr="003D177D">
        <w:rPr>
          <w:rStyle w:val="Appelnotedebasdep"/>
          <w:szCs w:val="18"/>
          <w:vertAlign w:val="baseline"/>
        </w:rPr>
        <w:t>*</w:t>
      </w:r>
      <w:r>
        <w:rPr>
          <w:sz w:val="20"/>
        </w:rPr>
        <w:tab/>
      </w:r>
      <w:r w:rsidR="0063186F" w:rsidRPr="002808CD">
        <w:rPr>
          <w:szCs w:val="18"/>
        </w:rPr>
        <w:t>La version originale du</w:t>
      </w:r>
      <w:r w:rsidRPr="00500CE2">
        <w:rPr>
          <w:szCs w:val="18"/>
        </w:rPr>
        <w:t xml:space="preserve"> présent document n’a pas été revu</w:t>
      </w:r>
      <w:r w:rsidR="0063186F">
        <w:rPr>
          <w:szCs w:val="18"/>
        </w:rPr>
        <w:t>e</w:t>
      </w:r>
      <w:r w:rsidRPr="00500CE2">
        <w:rPr>
          <w:szCs w:val="18"/>
        </w:rPr>
        <w:t xml:space="preserv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14" w:rsidRPr="003917B5" w:rsidRDefault="00941CC0">
    <w:pPr>
      <w:pStyle w:val="En-tte"/>
      <w:rPr>
        <w:lang w:val="en-GB"/>
      </w:rPr>
    </w:pPr>
    <w:r>
      <w:fldChar w:fldCharType="begin"/>
    </w:r>
    <w:r w:rsidRPr="003917B5">
      <w:rPr>
        <w:lang w:val="en-GB"/>
      </w:rPr>
      <w:instrText xml:space="preserve"> TITLE  \* MERGEFORMAT </w:instrText>
    </w:r>
    <w:r>
      <w:fldChar w:fldCharType="separate"/>
    </w:r>
    <w:r w:rsidR="00425EB1">
      <w:rPr>
        <w:lang w:val="en-GB"/>
      </w:rPr>
      <w:t>CRC/C/OPSC/NER/Q/1/Add.1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14" w:rsidRPr="003917B5" w:rsidRDefault="00941CC0" w:rsidP="00247314">
    <w:pPr>
      <w:pStyle w:val="En-tte"/>
      <w:jc w:val="right"/>
      <w:rPr>
        <w:lang w:val="en-GB"/>
      </w:rPr>
    </w:pPr>
    <w:r>
      <w:fldChar w:fldCharType="begin"/>
    </w:r>
    <w:r w:rsidRPr="003917B5">
      <w:rPr>
        <w:lang w:val="en-GB"/>
      </w:rPr>
      <w:instrText xml:space="preserve"> TITLE  \* MERGEFORMAT </w:instrText>
    </w:r>
    <w:r>
      <w:fldChar w:fldCharType="separate"/>
    </w:r>
    <w:r w:rsidR="00425EB1">
      <w:rPr>
        <w:lang w:val="en-GB"/>
      </w:rPr>
      <w:t>CRC/C/OPSC/NER/Q/1/Add.1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F706E16"/>
    <w:multiLevelType w:val="hybridMultilevel"/>
    <w:tmpl w:val="6B60C9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2C25BA6"/>
    <w:multiLevelType w:val="hybridMultilevel"/>
    <w:tmpl w:val="0DEA17EE"/>
    <w:lvl w:ilvl="0" w:tplc="64928B3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56B74FA"/>
    <w:multiLevelType w:val="hybridMultilevel"/>
    <w:tmpl w:val="EB2EE5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2C767AB"/>
    <w:multiLevelType w:val="hybridMultilevel"/>
    <w:tmpl w:val="E14A63FA"/>
    <w:lvl w:ilvl="0" w:tplc="0809000F">
      <w:start w:val="1"/>
      <w:numFmt w:val="decimal"/>
      <w:lvlText w:val="%1."/>
      <w:lvlJc w:val="left"/>
      <w:pPr>
        <w:ind w:left="1854" w:hanging="360"/>
      </w:pPr>
    </w:lvl>
    <w:lvl w:ilvl="1" w:tplc="CCF2054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99A0B61"/>
    <w:multiLevelType w:val="hybridMultilevel"/>
    <w:tmpl w:val="5C4ADC7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6"/>
  </w:num>
  <w:num w:numId="2">
    <w:abstractNumId w:val="4"/>
  </w:num>
  <w:num w:numId="3">
    <w:abstractNumId w:val="0"/>
  </w:num>
  <w:num w:numId="4">
    <w:abstractNumId w:val="3"/>
  </w:num>
  <w:num w:numId="5">
    <w:abstractNumId w:val="7"/>
  </w:num>
  <w:num w:numId="6">
    <w:abstractNumId w:val="1"/>
  </w:num>
  <w:num w:numId="7">
    <w:abstractNumId w:val="2"/>
  </w:num>
  <w:num w:numId="8">
    <w:abstractNumId w:val="5"/>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14"/>
    <w:rsid w:val="0000767A"/>
    <w:rsid w:val="00016AC5"/>
    <w:rsid w:val="00031186"/>
    <w:rsid w:val="00060E82"/>
    <w:rsid w:val="000B696A"/>
    <w:rsid w:val="000F084D"/>
    <w:rsid w:val="000F41F2"/>
    <w:rsid w:val="00125F65"/>
    <w:rsid w:val="0015726A"/>
    <w:rsid w:val="00160540"/>
    <w:rsid w:val="00180167"/>
    <w:rsid w:val="00192EEB"/>
    <w:rsid w:val="001A20FB"/>
    <w:rsid w:val="001D5CBF"/>
    <w:rsid w:val="001D7F8A"/>
    <w:rsid w:val="001E3DE1"/>
    <w:rsid w:val="001E3FEB"/>
    <w:rsid w:val="001E4A02"/>
    <w:rsid w:val="001E5727"/>
    <w:rsid w:val="00225A8C"/>
    <w:rsid w:val="00247314"/>
    <w:rsid w:val="002659F1"/>
    <w:rsid w:val="00266E61"/>
    <w:rsid w:val="00287E79"/>
    <w:rsid w:val="002928F9"/>
    <w:rsid w:val="002A5D07"/>
    <w:rsid w:val="002C6A52"/>
    <w:rsid w:val="003016B7"/>
    <w:rsid w:val="00311431"/>
    <w:rsid w:val="0031567F"/>
    <w:rsid w:val="003170CF"/>
    <w:rsid w:val="00331C04"/>
    <w:rsid w:val="003515AA"/>
    <w:rsid w:val="0036680C"/>
    <w:rsid w:val="00374106"/>
    <w:rsid w:val="003917B5"/>
    <w:rsid w:val="003976D5"/>
    <w:rsid w:val="003D177D"/>
    <w:rsid w:val="003D2F6C"/>
    <w:rsid w:val="003D6C68"/>
    <w:rsid w:val="003E7F2E"/>
    <w:rsid w:val="003F4CA4"/>
    <w:rsid w:val="004159D0"/>
    <w:rsid w:val="00425EB1"/>
    <w:rsid w:val="00434894"/>
    <w:rsid w:val="004377D2"/>
    <w:rsid w:val="004829CB"/>
    <w:rsid w:val="00482D95"/>
    <w:rsid w:val="00543D5E"/>
    <w:rsid w:val="00547BC0"/>
    <w:rsid w:val="00564901"/>
    <w:rsid w:val="00571F41"/>
    <w:rsid w:val="00576931"/>
    <w:rsid w:val="005E5D1F"/>
    <w:rsid w:val="0060753B"/>
    <w:rsid w:val="00611D43"/>
    <w:rsid w:val="00612D48"/>
    <w:rsid w:val="00616B45"/>
    <w:rsid w:val="00630D9B"/>
    <w:rsid w:val="0063186F"/>
    <w:rsid w:val="00631953"/>
    <w:rsid w:val="00641A60"/>
    <w:rsid w:val="006439EC"/>
    <w:rsid w:val="00660DD2"/>
    <w:rsid w:val="006A2FF6"/>
    <w:rsid w:val="006B4590"/>
    <w:rsid w:val="006C340C"/>
    <w:rsid w:val="006E53EC"/>
    <w:rsid w:val="006E637C"/>
    <w:rsid w:val="006F5500"/>
    <w:rsid w:val="0070347C"/>
    <w:rsid w:val="00716BD0"/>
    <w:rsid w:val="007176C1"/>
    <w:rsid w:val="00755632"/>
    <w:rsid w:val="007C3C0D"/>
    <w:rsid w:val="007C7090"/>
    <w:rsid w:val="007F55CB"/>
    <w:rsid w:val="00814CD4"/>
    <w:rsid w:val="008357FD"/>
    <w:rsid w:val="00844750"/>
    <w:rsid w:val="00845792"/>
    <w:rsid w:val="008B44C4"/>
    <w:rsid w:val="008B60BB"/>
    <w:rsid w:val="008E7FAE"/>
    <w:rsid w:val="008F7EA5"/>
    <w:rsid w:val="00901884"/>
    <w:rsid w:val="00911BF7"/>
    <w:rsid w:val="00941CC0"/>
    <w:rsid w:val="00977EC8"/>
    <w:rsid w:val="009877C4"/>
    <w:rsid w:val="00993C56"/>
    <w:rsid w:val="009C2D18"/>
    <w:rsid w:val="009D3A8C"/>
    <w:rsid w:val="009E2ADE"/>
    <w:rsid w:val="009E7956"/>
    <w:rsid w:val="00A133AF"/>
    <w:rsid w:val="00A2492E"/>
    <w:rsid w:val="00A63C60"/>
    <w:rsid w:val="00AB300E"/>
    <w:rsid w:val="00AC67A1"/>
    <w:rsid w:val="00AC7977"/>
    <w:rsid w:val="00AD1127"/>
    <w:rsid w:val="00AE352C"/>
    <w:rsid w:val="00AE39F2"/>
    <w:rsid w:val="00B32E2D"/>
    <w:rsid w:val="00B61990"/>
    <w:rsid w:val="00B93DB1"/>
    <w:rsid w:val="00BC0C5F"/>
    <w:rsid w:val="00BE6AE4"/>
    <w:rsid w:val="00BF0556"/>
    <w:rsid w:val="00C261F8"/>
    <w:rsid w:val="00C33100"/>
    <w:rsid w:val="00C36B9B"/>
    <w:rsid w:val="00C8423C"/>
    <w:rsid w:val="00CD1A71"/>
    <w:rsid w:val="00CD1FBB"/>
    <w:rsid w:val="00D016B5"/>
    <w:rsid w:val="00D034F1"/>
    <w:rsid w:val="00D05E54"/>
    <w:rsid w:val="00D10597"/>
    <w:rsid w:val="00D21AD3"/>
    <w:rsid w:val="00D27D5E"/>
    <w:rsid w:val="00D71C13"/>
    <w:rsid w:val="00D77231"/>
    <w:rsid w:val="00D838EB"/>
    <w:rsid w:val="00DA3BE9"/>
    <w:rsid w:val="00DB45F6"/>
    <w:rsid w:val="00DE26F5"/>
    <w:rsid w:val="00DE3EB2"/>
    <w:rsid w:val="00DE6D90"/>
    <w:rsid w:val="00DF002F"/>
    <w:rsid w:val="00E0244D"/>
    <w:rsid w:val="00E14712"/>
    <w:rsid w:val="00E36FE5"/>
    <w:rsid w:val="00E81E94"/>
    <w:rsid w:val="00E82607"/>
    <w:rsid w:val="00E91838"/>
    <w:rsid w:val="00EA0E33"/>
    <w:rsid w:val="00F47851"/>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14:docId w14:val="01267EA9"/>
  <w15:docId w15:val="{2F88FE86-701D-4238-A56B-CA08CB7F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B300E"/>
    <w:pPr>
      <w:suppressAutoHyphens/>
      <w:spacing w:line="240" w:lineRule="atLeast"/>
    </w:pPr>
    <w:rPr>
      <w:lang w:val="fr-CH" w:eastAsia="en-US"/>
    </w:rPr>
  </w:style>
  <w:style w:type="paragraph" w:styleId="Titre1">
    <w:name w:val="heading 1"/>
    <w:aliases w:val="Table_G"/>
    <w:basedOn w:val="SingleTxtG"/>
    <w:next w:val="SingleTxtG"/>
    <w:qFormat/>
    <w:rsid w:val="0031567F"/>
    <w:pPr>
      <w:keepNext/>
      <w:keepLines/>
      <w:spacing w:after="0" w:line="240" w:lineRule="auto"/>
      <w:ind w:right="0"/>
      <w:jc w:val="left"/>
      <w:outlineLvl w:val="0"/>
    </w:pPr>
  </w:style>
  <w:style w:type="paragraph" w:styleId="Titre2">
    <w:name w:val="heading 2"/>
    <w:basedOn w:val="Normal"/>
    <w:next w:val="Normal"/>
    <w:semiHidden/>
    <w:qFormat/>
    <w:rsid w:val="00716BD0"/>
    <w:pPr>
      <w:outlineLvl w:val="1"/>
    </w:pPr>
  </w:style>
  <w:style w:type="paragraph" w:styleId="Titre3">
    <w:name w:val="heading 3"/>
    <w:basedOn w:val="Normal"/>
    <w:next w:val="Normal"/>
    <w:semiHidden/>
    <w:qFormat/>
    <w:rsid w:val="00716BD0"/>
    <w:pPr>
      <w:outlineLvl w:val="2"/>
    </w:pPr>
  </w:style>
  <w:style w:type="paragraph" w:styleId="Titre4">
    <w:name w:val="heading 4"/>
    <w:basedOn w:val="Normal"/>
    <w:next w:val="Normal"/>
    <w:semiHidden/>
    <w:qFormat/>
    <w:rsid w:val="00716BD0"/>
    <w:pPr>
      <w:outlineLvl w:val="3"/>
    </w:pPr>
  </w:style>
  <w:style w:type="paragraph" w:styleId="Titre5">
    <w:name w:val="heading 5"/>
    <w:basedOn w:val="Normal"/>
    <w:next w:val="Normal"/>
    <w:semiHidden/>
    <w:qFormat/>
    <w:rsid w:val="00716BD0"/>
    <w:pPr>
      <w:outlineLvl w:val="4"/>
    </w:pPr>
  </w:style>
  <w:style w:type="paragraph" w:styleId="Titre6">
    <w:name w:val="heading 6"/>
    <w:basedOn w:val="Normal"/>
    <w:next w:val="Normal"/>
    <w:semiHidden/>
    <w:qFormat/>
    <w:rsid w:val="00716BD0"/>
    <w:pPr>
      <w:outlineLvl w:val="5"/>
    </w:pPr>
  </w:style>
  <w:style w:type="paragraph" w:styleId="Titre7">
    <w:name w:val="heading 7"/>
    <w:basedOn w:val="Normal"/>
    <w:next w:val="Normal"/>
    <w:semiHidden/>
    <w:qFormat/>
    <w:rsid w:val="00716BD0"/>
    <w:pPr>
      <w:outlineLvl w:val="6"/>
    </w:pPr>
  </w:style>
  <w:style w:type="paragraph" w:styleId="Titre8">
    <w:name w:val="heading 8"/>
    <w:basedOn w:val="Normal"/>
    <w:next w:val="Normal"/>
    <w:semiHidden/>
    <w:qFormat/>
    <w:rsid w:val="00716BD0"/>
    <w:pPr>
      <w:outlineLvl w:val="7"/>
    </w:pPr>
  </w:style>
  <w:style w:type="paragraph" w:styleId="Titre9">
    <w:name w:val="heading 9"/>
    <w:basedOn w:val="Normal"/>
    <w:next w:val="Normal"/>
    <w:semiHidden/>
    <w:qFormat/>
    <w:rsid w:val="00716BD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716BD0"/>
    <w:pPr>
      <w:numPr>
        <w:numId w:val="2"/>
      </w:numPr>
      <w:spacing w:after="120"/>
      <w:ind w:right="1134"/>
      <w:jc w:val="both"/>
    </w:pPr>
  </w:style>
  <w:style w:type="character" w:styleId="Appelnotedebasdep">
    <w:name w:val="footnote reference"/>
    <w:aliases w:val="4_G"/>
    <w:qFormat/>
    <w:rsid w:val="00716BD0"/>
    <w:rPr>
      <w:rFonts w:ascii="Times New Roman" w:hAnsi="Times New Roman"/>
      <w:sz w:val="18"/>
      <w:vertAlign w:val="superscript"/>
      <w:lang w:val="fr-CH"/>
    </w:rPr>
  </w:style>
  <w:style w:type="character" w:styleId="Appeldenotedefin">
    <w:name w:val="endnote reference"/>
    <w:aliases w:val="1_G"/>
    <w:qFormat/>
    <w:rsid w:val="00716BD0"/>
    <w:rPr>
      <w:rFonts w:ascii="Times New Roman" w:hAnsi="Times New Roman"/>
      <w:sz w:val="18"/>
      <w:vertAlign w:val="superscript"/>
      <w:lang w:val="fr-CH"/>
    </w:rPr>
  </w:style>
  <w:style w:type="paragraph" w:styleId="En-tte">
    <w:name w:val="header"/>
    <w:aliases w:val="6_G"/>
    <w:basedOn w:val="Normal"/>
    <w:next w:val="Normal"/>
    <w:qFormat/>
    <w:rsid w:val="00716BD0"/>
    <w:pPr>
      <w:pBdr>
        <w:bottom w:val="single" w:sz="4" w:space="4" w:color="auto"/>
      </w:pBdr>
      <w:spacing w:line="240" w:lineRule="auto"/>
    </w:pPr>
    <w:rPr>
      <w:b/>
      <w:sz w:val="18"/>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3F4CA4"/>
    <w:pPr>
      <w:tabs>
        <w:tab w:val="right" w:pos="1021"/>
      </w:tabs>
      <w:spacing w:line="220" w:lineRule="exact"/>
      <w:ind w:left="1134" w:right="1134" w:hanging="1134"/>
    </w:pPr>
    <w:rPr>
      <w:sz w:val="18"/>
    </w:rPr>
  </w:style>
  <w:style w:type="paragraph" w:styleId="Notedefin">
    <w:name w:val="endnote text"/>
    <w:aliases w:val="2_G"/>
    <w:basedOn w:val="Notedebasdepage"/>
    <w:qFormat/>
    <w:rsid w:val="003F4CA4"/>
  </w:style>
  <w:style w:type="character" w:styleId="Numrodepage">
    <w:name w:val="page number"/>
    <w:aliases w:val="7_G"/>
    <w:qFormat/>
    <w:rsid w:val="00716BD0"/>
    <w:rPr>
      <w:rFonts w:ascii="Times New Roman" w:hAnsi="Times New Roman"/>
      <w:b/>
      <w:sz w:val="18"/>
      <w:lang w:val="fr-CH"/>
    </w:rPr>
  </w:style>
  <w:style w:type="paragraph" w:styleId="Pieddepage">
    <w:name w:val="footer"/>
    <w:aliases w:val="3_G"/>
    <w:basedOn w:val="Normal"/>
    <w:next w:val="Normal"/>
    <w:qFormat/>
    <w:rsid w:val="00716BD0"/>
    <w:pPr>
      <w:spacing w:line="240" w:lineRule="auto"/>
    </w:pPr>
    <w:rPr>
      <w:sz w:val="16"/>
    </w:rPr>
  </w:style>
  <w:style w:type="character" w:styleId="Lienhypertexte">
    <w:name w:val="Hyperlink"/>
    <w:semiHidden/>
    <w:rsid w:val="00755632"/>
    <w:rPr>
      <w:color w:val="auto"/>
      <w:u w:val="none"/>
    </w:rPr>
  </w:style>
  <w:style w:type="character" w:styleId="Lienhypertextesuivivisit">
    <w:name w:val="FollowedHyperlink"/>
    <w:semiHidden/>
    <w:rsid w:val="00755632"/>
    <w:rPr>
      <w:color w:val="auto"/>
      <w:u w:val="none"/>
    </w:rPr>
  </w:style>
  <w:style w:type="table" w:styleId="Grilledutableau">
    <w:name w:val="Table Grid"/>
    <w:basedOn w:val="TableauNormal"/>
    <w:semiHidden/>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DE26F5"/>
    <w:pPr>
      <w:spacing w:line="240" w:lineRule="auto"/>
    </w:pPr>
    <w:rPr>
      <w:rFonts w:ascii="Tahoma" w:hAnsi="Tahoma" w:cs="Tahoma"/>
      <w:sz w:val="16"/>
      <w:szCs w:val="16"/>
    </w:rPr>
  </w:style>
  <w:style w:type="character" w:customStyle="1" w:styleId="TextedebullesCar">
    <w:name w:val="Texte de bulles Car"/>
    <w:link w:val="Textedebulles"/>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link w:val="Notedebasdepage"/>
    <w:locked/>
    <w:rsid w:val="00941CC0"/>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6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CCEE-F3F1-491D-BF06-1C53834D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CRC_F.dotm</Template>
  <TotalTime>0</TotalTime>
  <Pages>5</Pages>
  <Words>1985</Words>
  <Characters>10799</Characters>
  <Application>Microsoft Office Word</Application>
  <DocSecurity>0</DocSecurity>
  <Lines>257</Lines>
  <Paragraphs>127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CRC/C/OPSC/NER/Q/1/Add.1</vt:lpstr>
      <vt:lpstr>CRC/C/OPSC/NER/Q/1/Add.1</vt:lpstr>
    </vt:vector>
  </TitlesOfParts>
  <Company>Corine</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CRC/C/OPSC/NER/Q/1/Add.1</dc:title>
  <dc:subject>qrcode</dc:subject>
  <dc:creator>dvx</dc:creator>
  <cp:keywords/>
  <dc:description/>
  <cp:lastModifiedBy>Christine Devouassoux</cp:lastModifiedBy>
  <cp:revision>3</cp:revision>
  <cp:lastPrinted>2018-07-26T08:43:00Z</cp:lastPrinted>
  <dcterms:created xsi:type="dcterms:W3CDTF">2018-07-26T08:43:00Z</dcterms:created>
  <dcterms:modified xsi:type="dcterms:W3CDTF">2018-07-26T08:43:00Z</dcterms:modified>
</cp:coreProperties>
</file>