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13527C">
            <w:pPr>
              <w:spacing w:after="80" w:line="340" w:lineRule="exact"/>
            </w:pPr>
          </w:p>
        </w:tc>
        <w:tc>
          <w:tcPr>
            <w:tcW w:w="2236" w:type="dxa"/>
            <w:tcBorders>
              <w:top w:val="nil"/>
              <w:left w:val="nil"/>
              <w:bottom w:val="single" w:sz="4" w:space="0" w:color="auto"/>
              <w:right w:val="nil"/>
            </w:tcBorders>
            <w:vAlign w:val="bottom"/>
          </w:tcPr>
          <w:p w:rsidR="006F0959" w:rsidRDefault="006F0959" w:rsidP="0013527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86005" w:rsidP="0013527C">
            <w:pPr>
              <w:suppressAutoHyphens w:val="0"/>
              <w:spacing w:after="20"/>
              <w:jc w:val="right"/>
            </w:pPr>
            <w:r w:rsidRPr="00E86005">
              <w:rPr>
                <w:sz w:val="40"/>
              </w:rPr>
              <w:t>CRC</w:t>
            </w:r>
            <w:r>
              <w:t>/C/OPSC/LKA/Q/1/Add.1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13527C">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13527C">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86005" w:rsidP="0013527C">
            <w:pPr>
              <w:spacing w:before="240"/>
            </w:pPr>
            <w:r>
              <w:t>Distr.: General</w:t>
            </w:r>
          </w:p>
          <w:p w:rsidR="00E86005" w:rsidRDefault="002D46C9" w:rsidP="0013527C">
            <w:pPr>
              <w:suppressAutoHyphens w:val="0"/>
            </w:pPr>
            <w:r>
              <w:t>2</w:t>
            </w:r>
            <w:r w:rsidR="00E86005">
              <w:t xml:space="preserve"> April 2019</w:t>
            </w:r>
          </w:p>
          <w:p w:rsidR="00E86005" w:rsidRDefault="00E86005" w:rsidP="0013527C">
            <w:pPr>
              <w:suppressAutoHyphens w:val="0"/>
            </w:pPr>
          </w:p>
          <w:p w:rsidR="00E86005" w:rsidRDefault="00E86005" w:rsidP="0013527C">
            <w:pPr>
              <w:suppressAutoHyphens w:val="0"/>
            </w:pPr>
            <w:r>
              <w:t>English only</w:t>
            </w:r>
          </w:p>
        </w:tc>
      </w:tr>
    </w:tbl>
    <w:p w:rsidR="00737EBA" w:rsidRDefault="00737EBA" w:rsidP="0013527C">
      <w:pPr>
        <w:spacing w:before="120"/>
        <w:rPr>
          <w:b/>
          <w:sz w:val="24"/>
        </w:rPr>
      </w:pPr>
      <w:r>
        <w:rPr>
          <w:b/>
          <w:sz w:val="24"/>
        </w:rPr>
        <w:t>Committee on the Rights of the Child</w:t>
      </w:r>
    </w:p>
    <w:p w:rsidR="00737EBA" w:rsidRDefault="00737EBA" w:rsidP="0013527C">
      <w:pPr>
        <w:rPr>
          <w:b/>
        </w:rPr>
      </w:pPr>
      <w:r>
        <w:rPr>
          <w:b/>
        </w:rPr>
        <w:t>Eighty-first session</w:t>
      </w:r>
    </w:p>
    <w:p w:rsidR="00737EBA" w:rsidRDefault="00737EBA" w:rsidP="0013527C">
      <w:r>
        <w:t>13–31 May 2019</w:t>
      </w:r>
    </w:p>
    <w:p w:rsidR="00737EBA" w:rsidRDefault="00737EBA" w:rsidP="0013527C">
      <w:r>
        <w:t>Item 4 of the provisional agenda</w:t>
      </w:r>
    </w:p>
    <w:p w:rsidR="00737EBA" w:rsidRDefault="00737EBA" w:rsidP="0013527C">
      <w:pPr>
        <w:rPr>
          <w:b/>
          <w:bCs/>
        </w:rPr>
      </w:pPr>
      <w:bookmarkStart w:id="0" w:name="_GoBack"/>
      <w:r>
        <w:rPr>
          <w:b/>
          <w:bCs/>
        </w:rPr>
        <w:t>C</w:t>
      </w:r>
      <w:bookmarkEnd w:id="0"/>
      <w:r>
        <w:rPr>
          <w:b/>
          <w:bCs/>
        </w:rPr>
        <w:t>onsideration of reports of States parties</w:t>
      </w:r>
    </w:p>
    <w:p w:rsidR="00737EBA" w:rsidRDefault="00737EBA" w:rsidP="0013527C">
      <w:pPr>
        <w:pStyle w:val="HChG"/>
      </w:pPr>
      <w:r>
        <w:tab/>
      </w:r>
      <w:r>
        <w:tab/>
        <w:t>List of issues in relation to the report submitted by Sri Lanka under article 12 (1) of the Optional Protocol to the Convention on the Rights of the Child on the sale of children, child prostitution and child pornography</w:t>
      </w:r>
    </w:p>
    <w:p w:rsidR="00737EBA" w:rsidRDefault="00737EBA" w:rsidP="0013527C">
      <w:pPr>
        <w:pStyle w:val="H23G"/>
      </w:pPr>
      <w:r>
        <w:tab/>
      </w:r>
      <w:r>
        <w:tab/>
        <w:t>Addendum</w:t>
      </w:r>
    </w:p>
    <w:p w:rsidR="00737EBA" w:rsidRDefault="00737EBA" w:rsidP="0013527C">
      <w:pPr>
        <w:pStyle w:val="HChG"/>
      </w:pPr>
      <w:r>
        <w:tab/>
      </w:r>
      <w:r>
        <w:tab/>
      </w:r>
      <w:r w:rsidRPr="008B04A5">
        <w:t>Replies of Sri Lanka to the list of issues</w:t>
      </w:r>
      <w:r w:rsidRPr="00A411A1">
        <w:rPr>
          <w:rStyle w:val="FootnoteReference"/>
          <w:b w:val="0"/>
          <w:sz w:val="20"/>
          <w:vertAlign w:val="baseline"/>
        </w:rPr>
        <w:footnoteReference w:customMarkFollows="1" w:id="1"/>
        <w:t>*</w:t>
      </w:r>
    </w:p>
    <w:p w:rsidR="00737EBA" w:rsidRPr="00550C3D" w:rsidRDefault="00737EBA" w:rsidP="005F5F7E">
      <w:pPr>
        <w:pStyle w:val="SingleTxtG"/>
        <w:jc w:val="right"/>
      </w:pPr>
      <w:r w:rsidRPr="00550C3D">
        <w:t>[Date received: 28 March 2019]</w:t>
      </w:r>
    </w:p>
    <w:p w:rsidR="00737EBA" w:rsidRPr="00550C3D" w:rsidRDefault="00737EBA" w:rsidP="008766C0">
      <w:pPr>
        <w:pStyle w:val="HChG"/>
      </w:pPr>
      <w:r>
        <w:br w:type="page"/>
      </w:r>
      <w:r>
        <w:lastRenderedPageBreak/>
        <w:tab/>
      </w:r>
      <w:r>
        <w:tab/>
      </w:r>
      <w:r w:rsidRPr="00550C3D">
        <w:t>Introduction</w:t>
      </w:r>
    </w:p>
    <w:p w:rsidR="00737EBA" w:rsidRPr="00550C3D" w:rsidRDefault="00CB002F" w:rsidP="0013527C">
      <w:pPr>
        <w:pStyle w:val="SingleTxtG"/>
      </w:pPr>
      <w:r w:rsidRPr="00550C3D">
        <w:t>1.</w:t>
      </w:r>
      <w:r w:rsidRPr="00550C3D">
        <w:tab/>
      </w:r>
      <w:r w:rsidR="00737EBA" w:rsidRPr="00550C3D">
        <w:t>This report provides information in relation to the List of Issues (</w:t>
      </w:r>
      <w:proofErr w:type="spellStart"/>
      <w:r w:rsidR="00737EBA" w:rsidRPr="00550C3D">
        <w:t>LoI</w:t>
      </w:r>
      <w:proofErr w:type="spellEnd"/>
      <w:r w:rsidR="00737EBA" w:rsidRPr="00550C3D">
        <w:t>) raised by the Committee on the Rights of the Child pertaining to the report submitted by the Government of Sri Lanka under article 12, paragraph 1 of the Optional Protocol to the Convention on the Rights of the Child on the sale of children, child prostitution and child pornography. The responses are provided in the order set out in the document of List of Issues.</w:t>
      </w:r>
    </w:p>
    <w:p w:rsidR="00737EBA" w:rsidRDefault="00737EBA" w:rsidP="0013527C">
      <w:pPr>
        <w:pStyle w:val="HChG"/>
        <w:rPr>
          <w:lang w:val="en-US"/>
        </w:rPr>
      </w:pPr>
      <w:r>
        <w:rPr>
          <w:lang w:val="en-US"/>
        </w:rPr>
        <w:tab/>
      </w:r>
      <w:r>
        <w:rPr>
          <w:lang w:val="en-US"/>
        </w:rPr>
        <w:tab/>
        <w:t>Issue 1</w:t>
      </w:r>
    </w:p>
    <w:p w:rsidR="00737EBA" w:rsidRPr="00550C3D" w:rsidRDefault="00737EBA" w:rsidP="0013527C">
      <w:pPr>
        <w:pStyle w:val="H1G"/>
        <w:rPr>
          <w:lang w:val="en-US"/>
        </w:rPr>
      </w:pPr>
      <w:r>
        <w:rPr>
          <w:lang w:val="en-US"/>
        </w:rPr>
        <w:tab/>
      </w:r>
      <w:r>
        <w:rPr>
          <w:lang w:val="en-US"/>
        </w:rPr>
        <w:tab/>
      </w:r>
      <w:r w:rsidRPr="00550C3D">
        <w:rPr>
          <w:lang w:val="en-US"/>
        </w:rPr>
        <w:t>Statistical data</w:t>
      </w:r>
    </w:p>
    <w:p w:rsidR="00737EBA" w:rsidRPr="00550C3D" w:rsidRDefault="00CB002F" w:rsidP="0013527C">
      <w:pPr>
        <w:pStyle w:val="SingleTxtG"/>
      </w:pPr>
      <w:r w:rsidRPr="00550C3D">
        <w:t>2.</w:t>
      </w:r>
      <w:r w:rsidRPr="00550C3D">
        <w:tab/>
      </w:r>
      <w:r w:rsidR="00737EBA" w:rsidRPr="00550C3D">
        <w:t>The Government of Sri Lanka is committed to maintain data on matters related to children. All government institutions mandated with child-related affairs are required to maintain data relating to the relevant subject:</w:t>
      </w:r>
    </w:p>
    <w:p w:rsidR="00737EBA" w:rsidRPr="00550C3D" w:rsidRDefault="008766C0" w:rsidP="001351D7">
      <w:pPr>
        <w:pStyle w:val="SingleTxtG"/>
        <w:spacing w:after="240"/>
      </w:pPr>
      <w:r>
        <w:tab/>
      </w:r>
      <w:r w:rsidR="00CB002F" w:rsidRPr="00550C3D">
        <w:t>(a)</w:t>
      </w:r>
      <w:r w:rsidR="00CB002F" w:rsidRPr="00550C3D">
        <w:tab/>
      </w:r>
      <w:r w:rsidR="00737EBA" w:rsidRPr="00550C3D">
        <w:t xml:space="preserve">Cases related to sale of children, child prostitution and child phonography as well as other forms of violence are reported to Sri Lanka Police, National Child Protection Authority (NCPA) and Sri Lanka Computer Emergency Readiness Team (SLCERT), and if the case is related to child </w:t>
      </w:r>
      <w:proofErr w:type="spellStart"/>
      <w:r w:rsidR="00737EBA" w:rsidRPr="00550C3D">
        <w:t>labour</w:t>
      </w:r>
      <w:proofErr w:type="spellEnd"/>
      <w:r w:rsidR="00737EBA" w:rsidRPr="00550C3D">
        <w:t xml:space="preserve">, the same is referred to the Department of </w:t>
      </w:r>
      <w:proofErr w:type="spellStart"/>
      <w:r w:rsidR="00737EBA" w:rsidRPr="00550C3D">
        <w:t>Labour</w:t>
      </w:r>
      <w:proofErr w:type="spellEnd"/>
      <w:r w:rsidR="00737EBA" w:rsidRPr="00550C3D">
        <w:t>. The Crime Division of police specially provides its services to persons who become victim of cybercrime, through their dedicated Cybercrimes Unit. Facilities for lodging complaints are available at all the institutions that deal with cases and investigations are carried out by Sri Lanka Police through its separate division. Matters related to children are referred to the division of Police Women and Child Abuse Prevention Bureau established at 42 police divisions across the country. Databases on reported cases are maintained at the central station of the Women and Children</w:t>
      </w:r>
      <w:r w:rsidR="00B66EA3">
        <w:t>’</w:t>
      </w:r>
      <w:r w:rsidR="00737EBA" w:rsidRPr="00550C3D">
        <w:t>s Bureau.</w:t>
      </w:r>
      <w:r w:rsidR="00363FEE">
        <w:t xml:space="preserve"> </w:t>
      </w:r>
      <w:r w:rsidR="00737EBA" w:rsidRPr="00550C3D">
        <w:t>The data provided by Sri Lanka Police on concerned matters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228"/>
        <w:gridCol w:w="1228"/>
        <w:gridCol w:w="1228"/>
      </w:tblGrid>
      <w:tr w:rsidR="001351D7" w:rsidRPr="001351D7" w:rsidTr="001351D7">
        <w:trPr>
          <w:tblHeader/>
        </w:trPr>
        <w:tc>
          <w:tcPr>
            <w:tcW w:w="3686" w:type="dxa"/>
            <w:tcBorders>
              <w:top w:val="single" w:sz="4" w:space="0" w:color="auto"/>
              <w:bottom w:val="single" w:sz="12" w:space="0" w:color="auto"/>
            </w:tcBorders>
            <w:shd w:val="clear" w:color="auto" w:fill="auto"/>
            <w:vAlign w:val="bottom"/>
          </w:tcPr>
          <w:p w:rsidR="00737EBA" w:rsidRPr="001351D7" w:rsidRDefault="00737EBA" w:rsidP="001351D7">
            <w:pPr>
              <w:suppressAutoHyphens w:val="0"/>
              <w:spacing w:before="80" w:after="80" w:line="200" w:lineRule="exact"/>
              <w:ind w:right="113"/>
              <w:rPr>
                <w:i/>
                <w:sz w:val="16"/>
              </w:rPr>
            </w:pPr>
            <w:r w:rsidRPr="001351D7">
              <w:rPr>
                <w:i/>
                <w:sz w:val="16"/>
              </w:rPr>
              <w:t>Offences</w:t>
            </w:r>
          </w:p>
        </w:tc>
        <w:tc>
          <w:tcPr>
            <w:tcW w:w="1228" w:type="dxa"/>
            <w:tcBorders>
              <w:top w:val="single" w:sz="4" w:space="0" w:color="auto"/>
              <w:bottom w:val="single" w:sz="12" w:space="0" w:color="auto"/>
            </w:tcBorders>
            <w:shd w:val="clear" w:color="auto" w:fill="auto"/>
            <w:vAlign w:val="bottom"/>
          </w:tcPr>
          <w:p w:rsidR="00737EBA" w:rsidRPr="001351D7" w:rsidRDefault="00737EBA" w:rsidP="001351D7">
            <w:pPr>
              <w:suppressAutoHyphens w:val="0"/>
              <w:spacing w:before="80" w:after="80" w:line="200" w:lineRule="exact"/>
              <w:ind w:right="113"/>
              <w:jc w:val="right"/>
              <w:rPr>
                <w:i/>
                <w:sz w:val="16"/>
              </w:rPr>
            </w:pPr>
            <w:r w:rsidRPr="001351D7">
              <w:rPr>
                <w:i/>
                <w:sz w:val="16"/>
              </w:rPr>
              <w:t>2016 Reported</w:t>
            </w:r>
          </w:p>
        </w:tc>
        <w:tc>
          <w:tcPr>
            <w:tcW w:w="1228" w:type="dxa"/>
            <w:tcBorders>
              <w:top w:val="single" w:sz="4" w:space="0" w:color="auto"/>
              <w:bottom w:val="single" w:sz="12" w:space="0" w:color="auto"/>
            </w:tcBorders>
            <w:shd w:val="clear" w:color="auto" w:fill="auto"/>
            <w:vAlign w:val="bottom"/>
          </w:tcPr>
          <w:p w:rsidR="00737EBA" w:rsidRPr="001351D7" w:rsidRDefault="00737EBA" w:rsidP="001351D7">
            <w:pPr>
              <w:suppressAutoHyphens w:val="0"/>
              <w:spacing w:before="80" w:after="80" w:line="200" w:lineRule="exact"/>
              <w:ind w:right="113"/>
              <w:jc w:val="right"/>
              <w:rPr>
                <w:i/>
                <w:sz w:val="16"/>
              </w:rPr>
            </w:pPr>
            <w:r w:rsidRPr="001351D7">
              <w:rPr>
                <w:i/>
                <w:sz w:val="16"/>
              </w:rPr>
              <w:t>2017 Reported</w:t>
            </w:r>
          </w:p>
        </w:tc>
        <w:tc>
          <w:tcPr>
            <w:tcW w:w="1228" w:type="dxa"/>
            <w:tcBorders>
              <w:top w:val="single" w:sz="4" w:space="0" w:color="auto"/>
              <w:bottom w:val="single" w:sz="12" w:space="0" w:color="auto"/>
            </w:tcBorders>
            <w:shd w:val="clear" w:color="auto" w:fill="auto"/>
            <w:vAlign w:val="bottom"/>
          </w:tcPr>
          <w:p w:rsidR="00737EBA" w:rsidRPr="001351D7" w:rsidRDefault="00737EBA" w:rsidP="001351D7">
            <w:pPr>
              <w:suppressAutoHyphens w:val="0"/>
              <w:spacing w:before="80" w:after="80" w:line="200" w:lineRule="exact"/>
              <w:ind w:right="113"/>
              <w:jc w:val="right"/>
              <w:rPr>
                <w:i/>
                <w:sz w:val="16"/>
              </w:rPr>
            </w:pPr>
            <w:r w:rsidRPr="001351D7">
              <w:rPr>
                <w:i/>
                <w:sz w:val="16"/>
              </w:rPr>
              <w:t>2018 Reported</w:t>
            </w:r>
          </w:p>
        </w:tc>
      </w:tr>
      <w:tr w:rsidR="001351D7" w:rsidRPr="001351D7" w:rsidTr="001351D7">
        <w:tc>
          <w:tcPr>
            <w:tcW w:w="3686" w:type="dxa"/>
            <w:tcBorders>
              <w:top w:val="single" w:sz="12" w:space="0" w:color="auto"/>
            </w:tcBorders>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Sale of Children</w:t>
            </w:r>
          </w:p>
        </w:tc>
        <w:tc>
          <w:tcPr>
            <w:tcW w:w="1228" w:type="dxa"/>
            <w:tcBorders>
              <w:top w:val="single" w:sz="12" w:space="0" w:color="auto"/>
            </w:tcBorders>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tcBorders>
              <w:top w:val="single" w:sz="12" w:space="0" w:color="auto"/>
            </w:tcBorders>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tcBorders>
              <w:top w:val="single" w:sz="12" w:space="0" w:color="auto"/>
            </w:tcBorders>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Offence of Child Prostitution</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Child Rape</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599</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374</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384</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 xml:space="preserve">Obscene Publication, exhibition &amp;c. relating to children (Child Pornography) </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7</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7</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9</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Procuration</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4</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4</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7</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Sexual Exploitation of Children</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37</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28</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27</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Offence of Unnatural Acts</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23</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28</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8</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Trafficking in Children</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4</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5</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Grave Sexual Abuse</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614</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525</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670</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Offence of Incest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36</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29</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28</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Sexual Harassment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361</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225</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r w:rsidR="00745E15">
              <w:rPr>
                <w:sz w:val="18"/>
              </w:rPr>
              <w:t xml:space="preserve"> </w:t>
            </w:r>
            <w:r w:rsidRPr="001351D7">
              <w:rPr>
                <w:sz w:val="18"/>
              </w:rPr>
              <w:t>332</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 xml:space="preserve">Publication of Matter relating to certain Offences </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5</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2</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Child sex tourism</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Causing or procuring children to beg</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9</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6</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9</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Child labour</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Nil</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1</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Nil</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Illegal adoption</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r>
      <w:tr w:rsidR="001351D7" w:rsidRPr="001351D7" w:rsidTr="001351D7">
        <w:tc>
          <w:tcPr>
            <w:tcW w:w="3686" w:type="dxa"/>
            <w:shd w:val="clear" w:color="auto" w:fill="auto"/>
          </w:tcPr>
          <w:p w:rsidR="00737EBA" w:rsidRPr="001351D7" w:rsidRDefault="00737EBA" w:rsidP="001351D7">
            <w:pPr>
              <w:suppressAutoHyphens w:val="0"/>
              <w:spacing w:before="40" w:after="40" w:line="220" w:lineRule="exact"/>
              <w:ind w:right="113"/>
              <w:rPr>
                <w:sz w:val="18"/>
              </w:rPr>
            </w:pPr>
            <w:r w:rsidRPr="001351D7">
              <w:rPr>
                <w:sz w:val="18"/>
              </w:rPr>
              <w:t>Child Marriage</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c>
          <w:tcPr>
            <w:tcW w:w="1228" w:type="dxa"/>
            <w:shd w:val="clear" w:color="auto" w:fill="auto"/>
            <w:vAlign w:val="bottom"/>
          </w:tcPr>
          <w:p w:rsidR="00737EBA" w:rsidRPr="001351D7" w:rsidRDefault="00737EBA" w:rsidP="001351D7">
            <w:pPr>
              <w:suppressAutoHyphens w:val="0"/>
              <w:spacing w:before="40" w:after="40" w:line="220" w:lineRule="exact"/>
              <w:ind w:right="113"/>
              <w:jc w:val="right"/>
              <w:rPr>
                <w:sz w:val="18"/>
              </w:rPr>
            </w:pPr>
            <w:r w:rsidRPr="001351D7">
              <w:rPr>
                <w:sz w:val="18"/>
              </w:rPr>
              <w:t>-</w:t>
            </w:r>
          </w:p>
        </w:tc>
      </w:tr>
    </w:tbl>
    <w:p w:rsidR="00737EBA" w:rsidRPr="00550C3D" w:rsidRDefault="000D0737" w:rsidP="000D0737">
      <w:pPr>
        <w:pStyle w:val="SingleTxtG"/>
        <w:spacing w:before="240"/>
      </w:pPr>
      <w:r>
        <w:tab/>
      </w:r>
      <w:r w:rsidR="00CB002F" w:rsidRPr="00550C3D">
        <w:t>(b)</w:t>
      </w:r>
      <w:r w:rsidR="00CB002F" w:rsidRPr="00550C3D">
        <w:tab/>
      </w:r>
      <w:r w:rsidR="00737EBA" w:rsidRPr="00550C3D">
        <w:t xml:space="preserve">The Department of </w:t>
      </w:r>
      <w:proofErr w:type="spellStart"/>
      <w:r w:rsidR="00737EBA" w:rsidRPr="00550C3D">
        <w:t>Labour</w:t>
      </w:r>
      <w:proofErr w:type="spellEnd"/>
      <w:r w:rsidR="00737EBA" w:rsidRPr="00550C3D">
        <w:t xml:space="preserve"> in Sri Lanka is vested with the responsibility of assisting persons who become victims of </w:t>
      </w:r>
      <w:proofErr w:type="spellStart"/>
      <w:r w:rsidR="00737EBA" w:rsidRPr="00550C3D">
        <w:t>labour</w:t>
      </w:r>
      <w:proofErr w:type="spellEnd"/>
      <w:r w:rsidR="00737EBA" w:rsidRPr="00550C3D">
        <w:t xml:space="preserve"> law violations including child </w:t>
      </w:r>
      <w:proofErr w:type="spellStart"/>
      <w:r w:rsidR="00737EBA" w:rsidRPr="00550C3D">
        <w:t>labour</w:t>
      </w:r>
      <w:proofErr w:type="spellEnd"/>
      <w:r w:rsidR="00737EBA" w:rsidRPr="00550C3D">
        <w:t xml:space="preserve">. This government institution provides opportunity for the public to lodge their complaints, and </w:t>
      </w:r>
      <w:r w:rsidR="00737EBA" w:rsidRPr="00550C3D">
        <w:lastRenderedPageBreak/>
        <w:t xml:space="preserve">provides legal assistance when and where necessary. Cases related to child </w:t>
      </w:r>
      <w:proofErr w:type="spellStart"/>
      <w:r w:rsidR="00737EBA" w:rsidRPr="00550C3D">
        <w:t>labour</w:t>
      </w:r>
      <w:proofErr w:type="spellEnd"/>
      <w:r w:rsidR="00737EBA" w:rsidRPr="00550C3D">
        <w:t xml:space="preserve"> are investigated with the support of officers of the Sri Lanka Police, the relevant Probation Officers and </w:t>
      </w:r>
      <w:proofErr w:type="spellStart"/>
      <w:r w:rsidR="00737EBA" w:rsidRPr="00550C3D">
        <w:t>Labour</w:t>
      </w:r>
      <w:proofErr w:type="spellEnd"/>
      <w:r w:rsidR="00737EBA" w:rsidRPr="00550C3D">
        <w:t xml:space="preserve"> Officers. Findings of the investigations and any follow-up action taken are then reported to the Commissioner of </w:t>
      </w:r>
      <w:proofErr w:type="spellStart"/>
      <w:r w:rsidR="00737EBA" w:rsidRPr="00550C3D">
        <w:t>Labour</w:t>
      </w:r>
      <w:proofErr w:type="spellEnd"/>
      <w:r w:rsidR="00737EBA" w:rsidRPr="00550C3D">
        <w:t xml:space="preserve"> (Women and Children</w:t>
      </w:r>
      <w:r w:rsidR="00B66EA3">
        <w:t>’</w:t>
      </w:r>
      <w:r w:rsidR="00737EBA" w:rsidRPr="00550C3D">
        <w:t xml:space="preserve">s Affairs) of the Department of </w:t>
      </w:r>
      <w:proofErr w:type="spellStart"/>
      <w:r w:rsidR="00737EBA" w:rsidRPr="00550C3D">
        <w:t>Labour</w:t>
      </w:r>
      <w:proofErr w:type="spellEnd"/>
      <w:r w:rsidR="00737EBA" w:rsidRPr="00550C3D">
        <w:t xml:space="preserve">. Accordingly, the data available at the Department of </w:t>
      </w:r>
      <w:proofErr w:type="spellStart"/>
      <w:r w:rsidR="00737EBA" w:rsidRPr="00550C3D">
        <w:t>Labour</w:t>
      </w:r>
      <w:proofErr w:type="spellEnd"/>
      <w:r w:rsidR="00737EBA" w:rsidRPr="00550C3D">
        <w:t xml:space="preserve"> are as follows: </w:t>
      </w:r>
    </w:p>
    <w:p w:rsidR="00737EBA" w:rsidRPr="00FA51CD" w:rsidRDefault="00737EBA" w:rsidP="0065416E">
      <w:pPr>
        <w:pStyle w:val="SingleTxtG"/>
        <w:spacing w:after="240"/>
        <w:ind w:left="1701"/>
      </w:pPr>
      <w:r>
        <w:t>(</w:t>
      </w:r>
      <w:proofErr w:type="spellStart"/>
      <w:r>
        <w:t>i</w:t>
      </w:r>
      <w:proofErr w:type="spellEnd"/>
      <w:r>
        <w:t>)</w:t>
      </w:r>
      <w:r>
        <w:tab/>
      </w:r>
      <w:r w:rsidRPr="00FA51CD">
        <w:t xml:space="preserve">127 (in 2018) and 37 (in 2019) child </w:t>
      </w:r>
      <w:proofErr w:type="spellStart"/>
      <w:r w:rsidRPr="00FA51CD">
        <w:t>labour</w:t>
      </w:r>
      <w:proofErr w:type="spellEnd"/>
      <w:r w:rsidRPr="00FA51CD">
        <w:t xml:space="preserve"> complaints have been investigated during the </w:t>
      </w:r>
      <w:r>
        <w:t>period 01.01.2018 to 01.03.2019;</w:t>
      </w:r>
      <w:r w:rsidRPr="00FA51CD">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9"/>
        <w:gridCol w:w="1131"/>
      </w:tblGrid>
      <w:tr w:rsidR="00737EBA" w:rsidRPr="008C0A7B" w:rsidTr="008C0A7B">
        <w:trPr>
          <w:tblHeader/>
        </w:trPr>
        <w:tc>
          <w:tcPr>
            <w:tcW w:w="6239" w:type="dxa"/>
            <w:tcBorders>
              <w:top w:val="single" w:sz="4" w:space="0" w:color="auto"/>
              <w:bottom w:val="single" w:sz="12" w:space="0" w:color="auto"/>
            </w:tcBorders>
            <w:shd w:val="clear" w:color="auto" w:fill="auto"/>
            <w:vAlign w:val="bottom"/>
          </w:tcPr>
          <w:p w:rsidR="00737EBA" w:rsidRPr="008C0A7B" w:rsidRDefault="00737EBA" w:rsidP="008C0A7B">
            <w:pPr>
              <w:suppressAutoHyphens w:val="0"/>
              <w:spacing w:before="80" w:after="80" w:line="200" w:lineRule="exact"/>
              <w:ind w:right="113"/>
              <w:contextualSpacing/>
              <w:rPr>
                <w:i/>
                <w:sz w:val="16"/>
                <w:szCs w:val="22"/>
                <w:lang w:val="en-US"/>
              </w:rPr>
            </w:pPr>
          </w:p>
        </w:tc>
        <w:tc>
          <w:tcPr>
            <w:tcW w:w="1131" w:type="dxa"/>
            <w:tcBorders>
              <w:top w:val="single" w:sz="4" w:space="0" w:color="auto"/>
              <w:bottom w:val="single" w:sz="12" w:space="0" w:color="auto"/>
            </w:tcBorders>
            <w:shd w:val="clear" w:color="auto" w:fill="auto"/>
            <w:vAlign w:val="bottom"/>
          </w:tcPr>
          <w:p w:rsidR="00737EBA" w:rsidRPr="008C0A7B" w:rsidRDefault="00737EBA" w:rsidP="008C0A7B">
            <w:pPr>
              <w:suppressAutoHyphens w:val="0"/>
              <w:spacing w:before="80" w:after="80" w:line="200" w:lineRule="exact"/>
              <w:ind w:right="113"/>
              <w:contextualSpacing/>
              <w:jc w:val="right"/>
              <w:rPr>
                <w:i/>
                <w:sz w:val="16"/>
                <w:szCs w:val="22"/>
                <w:lang w:val="en-US"/>
              </w:rPr>
            </w:pPr>
          </w:p>
        </w:tc>
      </w:tr>
      <w:tr w:rsidR="00737EBA" w:rsidRPr="008C0A7B" w:rsidTr="008C0A7B">
        <w:tc>
          <w:tcPr>
            <w:tcW w:w="6239" w:type="dxa"/>
            <w:tcBorders>
              <w:top w:val="single" w:sz="12" w:space="0" w:color="auto"/>
            </w:tcBorders>
            <w:shd w:val="clear" w:color="auto" w:fill="auto"/>
          </w:tcPr>
          <w:p w:rsidR="00737EBA" w:rsidRPr="008C0A7B" w:rsidRDefault="00737EBA" w:rsidP="008C0A7B">
            <w:pPr>
              <w:suppressAutoHyphens w:val="0"/>
              <w:spacing w:before="40" w:after="40" w:line="220" w:lineRule="exact"/>
              <w:ind w:right="113"/>
              <w:contextualSpacing/>
              <w:rPr>
                <w:sz w:val="18"/>
                <w:szCs w:val="22"/>
                <w:lang w:val="en-US"/>
              </w:rPr>
            </w:pPr>
            <w:r w:rsidRPr="008C0A7B">
              <w:rPr>
                <w:sz w:val="18"/>
                <w:szCs w:val="22"/>
                <w:lang w:val="en-US"/>
              </w:rPr>
              <w:t xml:space="preserve">Number of investigations completed on Child </w:t>
            </w:r>
            <w:proofErr w:type="spellStart"/>
            <w:r w:rsidRPr="008C0A7B">
              <w:rPr>
                <w:sz w:val="18"/>
                <w:szCs w:val="22"/>
                <w:lang w:val="en-US"/>
              </w:rPr>
              <w:t>Labour</w:t>
            </w:r>
            <w:proofErr w:type="spellEnd"/>
            <w:r w:rsidRPr="008C0A7B">
              <w:rPr>
                <w:sz w:val="18"/>
                <w:szCs w:val="22"/>
                <w:lang w:val="en-US"/>
              </w:rPr>
              <w:t xml:space="preserve"> complaints during the period</w:t>
            </w:r>
          </w:p>
        </w:tc>
        <w:tc>
          <w:tcPr>
            <w:tcW w:w="1131" w:type="dxa"/>
            <w:tcBorders>
              <w:top w:val="single" w:sz="12" w:space="0" w:color="auto"/>
            </w:tcBorders>
            <w:shd w:val="clear" w:color="auto" w:fill="auto"/>
            <w:vAlign w:val="bottom"/>
          </w:tcPr>
          <w:p w:rsidR="00737EBA" w:rsidRPr="008C0A7B" w:rsidRDefault="00737EBA" w:rsidP="008C0A7B">
            <w:pPr>
              <w:suppressAutoHyphens w:val="0"/>
              <w:spacing w:before="40" w:after="40" w:line="220" w:lineRule="exact"/>
              <w:ind w:right="113"/>
              <w:contextualSpacing/>
              <w:jc w:val="right"/>
              <w:rPr>
                <w:sz w:val="18"/>
                <w:szCs w:val="22"/>
                <w:lang w:val="en-US"/>
              </w:rPr>
            </w:pPr>
            <w:r w:rsidRPr="008C0A7B">
              <w:rPr>
                <w:sz w:val="18"/>
                <w:szCs w:val="22"/>
                <w:lang w:val="en-US"/>
              </w:rPr>
              <w:t xml:space="preserve">102 </w:t>
            </w:r>
          </w:p>
        </w:tc>
      </w:tr>
      <w:tr w:rsidR="00737EBA" w:rsidRPr="008C0A7B" w:rsidTr="008C0A7B">
        <w:tc>
          <w:tcPr>
            <w:tcW w:w="6239" w:type="dxa"/>
            <w:shd w:val="clear" w:color="auto" w:fill="auto"/>
          </w:tcPr>
          <w:p w:rsidR="00737EBA" w:rsidRPr="008C0A7B" w:rsidRDefault="00737EBA" w:rsidP="008C0A7B">
            <w:pPr>
              <w:suppressAutoHyphens w:val="0"/>
              <w:spacing w:before="40" w:after="40" w:line="220" w:lineRule="exact"/>
              <w:ind w:right="113"/>
              <w:contextualSpacing/>
              <w:rPr>
                <w:sz w:val="18"/>
                <w:szCs w:val="22"/>
                <w:lang w:val="en-US"/>
              </w:rPr>
            </w:pPr>
            <w:r w:rsidRPr="008C0A7B">
              <w:rPr>
                <w:sz w:val="18"/>
                <w:szCs w:val="22"/>
                <w:lang w:val="en-US"/>
              </w:rPr>
              <w:t>Number of Ongoing Investigations</w:t>
            </w:r>
          </w:p>
        </w:tc>
        <w:tc>
          <w:tcPr>
            <w:tcW w:w="1131" w:type="dxa"/>
            <w:shd w:val="clear" w:color="auto" w:fill="auto"/>
            <w:vAlign w:val="bottom"/>
          </w:tcPr>
          <w:p w:rsidR="00737EBA" w:rsidRPr="008C0A7B" w:rsidRDefault="00737EBA" w:rsidP="008C0A7B">
            <w:pPr>
              <w:suppressAutoHyphens w:val="0"/>
              <w:spacing w:before="40" w:after="40" w:line="220" w:lineRule="exact"/>
              <w:ind w:right="113"/>
              <w:contextualSpacing/>
              <w:jc w:val="right"/>
              <w:rPr>
                <w:sz w:val="18"/>
                <w:szCs w:val="22"/>
                <w:lang w:val="en-US"/>
              </w:rPr>
            </w:pPr>
            <w:r w:rsidRPr="008C0A7B">
              <w:rPr>
                <w:sz w:val="18"/>
                <w:szCs w:val="22"/>
                <w:lang w:val="en-US"/>
              </w:rPr>
              <w:t>62</w:t>
            </w:r>
          </w:p>
        </w:tc>
      </w:tr>
      <w:tr w:rsidR="00737EBA" w:rsidRPr="008C0A7B" w:rsidTr="008C0A7B">
        <w:tc>
          <w:tcPr>
            <w:tcW w:w="6239" w:type="dxa"/>
            <w:shd w:val="clear" w:color="auto" w:fill="auto"/>
          </w:tcPr>
          <w:p w:rsidR="00737EBA" w:rsidRPr="008C0A7B" w:rsidRDefault="00737EBA" w:rsidP="008C0A7B">
            <w:pPr>
              <w:suppressAutoHyphens w:val="0"/>
              <w:spacing w:before="40" w:after="40" w:line="220" w:lineRule="exact"/>
              <w:ind w:right="113"/>
              <w:contextualSpacing/>
              <w:rPr>
                <w:sz w:val="18"/>
                <w:szCs w:val="22"/>
                <w:lang w:val="en-US"/>
              </w:rPr>
            </w:pPr>
            <w:r w:rsidRPr="008C0A7B">
              <w:rPr>
                <w:sz w:val="18"/>
                <w:szCs w:val="22"/>
                <w:lang w:val="en-US"/>
              </w:rPr>
              <w:t xml:space="preserve">Number of investigations identified as Child </w:t>
            </w:r>
            <w:proofErr w:type="spellStart"/>
            <w:r w:rsidRPr="008C0A7B">
              <w:rPr>
                <w:sz w:val="18"/>
                <w:szCs w:val="22"/>
                <w:lang w:val="en-US"/>
              </w:rPr>
              <w:t>Labour</w:t>
            </w:r>
            <w:proofErr w:type="spellEnd"/>
            <w:r w:rsidRPr="008C0A7B">
              <w:rPr>
                <w:sz w:val="18"/>
                <w:szCs w:val="22"/>
                <w:lang w:val="en-US"/>
              </w:rPr>
              <w:t xml:space="preserve"> (at the initial inspections)</w:t>
            </w:r>
          </w:p>
        </w:tc>
        <w:tc>
          <w:tcPr>
            <w:tcW w:w="1131" w:type="dxa"/>
            <w:shd w:val="clear" w:color="auto" w:fill="auto"/>
            <w:vAlign w:val="bottom"/>
          </w:tcPr>
          <w:p w:rsidR="00737EBA" w:rsidRPr="008C0A7B" w:rsidRDefault="00737EBA" w:rsidP="008C0A7B">
            <w:pPr>
              <w:suppressAutoHyphens w:val="0"/>
              <w:spacing w:before="40" w:after="40" w:line="220" w:lineRule="exact"/>
              <w:ind w:right="113"/>
              <w:contextualSpacing/>
              <w:jc w:val="right"/>
              <w:rPr>
                <w:sz w:val="18"/>
                <w:szCs w:val="22"/>
                <w:lang w:val="en-US"/>
              </w:rPr>
            </w:pPr>
            <w:r w:rsidRPr="008C0A7B">
              <w:rPr>
                <w:sz w:val="18"/>
                <w:szCs w:val="22"/>
                <w:lang w:val="en-US"/>
              </w:rPr>
              <w:t>03</w:t>
            </w:r>
          </w:p>
        </w:tc>
      </w:tr>
      <w:tr w:rsidR="00737EBA" w:rsidRPr="008C0A7B" w:rsidTr="008C0A7B">
        <w:tc>
          <w:tcPr>
            <w:tcW w:w="6239" w:type="dxa"/>
            <w:shd w:val="clear" w:color="auto" w:fill="auto"/>
          </w:tcPr>
          <w:p w:rsidR="00737EBA" w:rsidRPr="008C0A7B" w:rsidRDefault="00737EBA" w:rsidP="008C0A7B">
            <w:pPr>
              <w:suppressAutoHyphens w:val="0"/>
              <w:spacing w:before="40" w:after="40" w:line="220" w:lineRule="exact"/>
              <w:ind w:right="113"/>
              <w:contextualSpacing/>
              <w:rPr>
                <w:sz w:val="18"/>
                <w:szCs w:val="22"/>
                <w:lang w:val="en-US"/>
              </w:rPr>
            </w:pPr>
            <w:r w:rsidRPr="008C0A7B">
              <w:rPr>
                <w:sz w:val="18"/>
                <w:szCs w:val="22"/>
                <w:lang w:val="en-US"/>
              </w:rPr>
              <w:t xml:space="preserve">Number of investigations that were not identified as child </w:t>
            </w:r>
            <w:proofErr w:type="spellStart"/>
            <w:r w:rsidRPr="008C0A7B">
              <w:rPr>
                <w:sz w:val="18"/>
                <w:szCs w:val="22"/>
                <w:lang w:val="en-US"/>
              </w:rPr>
              <w:t>labour</w:t>
            </w:r>
            <w:proofErr w:type="spellEnd"/>
          </w:p>
        </w:tc>
        <w:tc>
          <w:tcPr>
            <w:tcW w:w="1131" w:type="dxa"/>
            <w:shd w:val="clear" w:color="auto" w:fill="auto"/>
            <w:vAlign w:val="bottom"/>
          </w:tcPr>
          <w:p w:rsidR="00737EBA" w:rsidRPr="008C0A7B" w:rsidRDefault="00737EBA" w:rsidP="008C0A7B">
            <w:pPr>
              <w:suppressAutoHyphens w:val="0"/>
              <w:spacing w:before="40" w:after="40" w:line="220" w:lineRule="exact"/>
              <w:ind w:right="113"/>
              <w:contextualSpacing/>
              <w:jc w:val="right"/>
              <w:rPr>
                <w:sz w:val="18"/>
                <w:szCs w:val="22"/>
                <w:lang w:val="en-US"/>
              </w:rPr>
            </w:pPr>
            <w:r w:rsidRPr="008C0A7B">
              <w:rPr>
                <w:sz w:val="18"/>
                <w:szCs w:val="22"/>
                <w:lang w:val="en-US"/>
              </w:rPr>
              <w:t>99</w:t>
            </w:r>
          </w:p>
        </w:tc>
      </w:tr>
    </w:tbl>
    <w:p w:rsidR="00737EBA" w:rsidRDefault="00737EBA" w:rsidP="00FB6A5F">
      <w:pPr>
        <w:pStyle w:val="SingleTxtG"/>
        <w:spacing w:before="240" w:after="240"/>
        <w:ind w:left="1701"/>
      </w:pPr>
      <w:r>
        <w:t>(ii)</w:t>
      </w:r>
      <w:r>
        <w:tab/>
      </w:r>
      <w:r w:rsidRPr="00F26E78">
        <w:t>Number of Prosecutions Initiated: (period</w:t>
      </w:r>
      <w:r w:rsidR="008C0A7B">
        <w:t xml:space="preserve"> – </w:t>
      </w:r>
      <w:r w:rsidRPr="00F26E78">
        <w:t>01.01.2018 to 01.03.2019)</w:t>
      </w:r>
      <w:r>
        <w:t>;</w:t>
      </w:r>
    </w:p>
    <w:tbl>
      <w:tblPr>
        <w:tblW w:w="7370" w:type="dxa"/>
        <w:tblInd w:w="1134" w:type="dxa"/>
        <w:tblLayout w:type="fixed"/>
        <w:tblCellMar>
          <w:left w:w="0" w:type="dxa"/>
          <w:right w:w="0" w:type="dxa"/>
        </w:tblCellMar>
        <w:tblLook w:val="04A0" w:firstRow="1" w:lastRow="0" w:firstColumn="1" w:lastColumn="0" w:noHBand="0" w:noVBand="1"/>
      </w:tblPr>
      <w:tblGrid>
        <w:gridCol w:w="5241"/>
        <w:gridCol w:w="2129"/>
      </w:tblGrid>
      <w:tr w:rsidR="00737EBA" w:rsidRPr="00F26E78" w:rsidTr="004C0037">
        <w:trPr>
          <w:tblHeader/>
        </w:trPr>
        <w:tc>
          <w:tcPr>
            <w:tcW w:w="5241" w:type="dxa"/>
            <w:tcBorders>
              <w:top w:val="single" w:sz="4" w:space="0" w:color="auto"/>
              <w:bottom w:val="single" w:sz="12" w:space="0" w:color="auto"/>
            </w:tcBorders>
            <w:shd w:val="clear" w:color="auto" w:fill="auto"/>
            <w:vAlign w:val="bottom"/>
          </w:tcPr>
          <w:p w:rsidR="00737EBA" w:rsidRPr="00F26E78" w:rsidRDefault="00737EBA" w:rsidP="0013527C">
            <w:pPr>
              <w:suppressAutoHyphens w:val="0"/>
              <w:spacing w:before="80" w:after="80" w:line="200" w:lineRule="exact"/>
              <w:rPr>
                <w:i/>
                <w:sz w:val="16"/>
                <w:szCs w:val="24"/>
                <w:lang w:val="en-US"/>
              </w:rPr>
            </w:pPr>
          </w:p>
        </w:tc>
        <w:tc>
          <w:tcPr>
            <w:tcW w:w="2129" w:type="dxa"/>
            <w:tcBorders>
              <w:top w:val="single" w:sz="4" w:space="0" w:color="auto"/>
              <w:bottom w:val="single" w:sz="12" w:space="0" w:color="auto"/>
            </w:tcBorders>
            <w:shd w:val="clear" w:color="auto" w:fill="auto"/>
            <w:vAlign w:val="bottom"/>
          </w:tcPr>
          <w:p w:rsidR="00737EBA" w:rsidRPr="00F26E78" w:rsidRDefault="00737EBA" w:rsidP="0013527C">
            <w:pPr>
              <w:suppressAutoHyphens w:val="0"/>
              <w:spacing w:before="80" w:after="80" w:line="200" w:lineRule="exact"/>
              <w:jc w:val="right"/>
              <w:rPr>
                <w:i/>
                <w:sz w:val="16"/>
                <w:szCs w:val="24"/>
                <w:lang w:val="en-US"/>
              </w:rPr>
            </w:pPr>
          </w:p>
        </w:tc>
      </w:tr>
      <w:tr w:rsidR="00737EBA" w:rsidRPr="00F26E78" w:rsidTr="004C0037">
        <w:tc>
          <w:tcPr>
            <w:tcW w:w="5241" w:type="dxa"/>
            <w:tcBorders>
              <w:top w:val="single" w:sz="12" w:space="0" w:color="auto"/>
            </w:tcBorders>
            <w:shd w:val="clear" w:color="auto" w:fill="auto"/>
          </w:tcPr>
          <w:p w:rsidR="00737EBA" w:rsidRPr="00F26E78" w:rsidRDefault="00737EBA" w:rsidP="0013527C">
            <w:pPr>
              <w:suppressAutoHyphens w:val="0"/>
              <w:spacing w:before="40" w:after="40" w:line="220" w:lineRule="exact"/>
              <w:rPr>
                <w:sz w:val="18"/>
                <w:szCs w:val="24"/>
                <w:lang w:val="en-US"/>
              </w:rPr>
            </w:pPr>
            <w:r w:rsidRPr="00F26E78">
              <w:rPr>
                <w:sz w:val="18"/>
                <w:szCs w:val="24"/>
                <w:lang w:val="en-US"/>
              </w:rPr>
              <w:t xml:space="preserve">Number of Ongoing Court Cases </w:t>
            </w:r>
          </w:p>
        </w:tc>
        <w:tc>
          <w:tcPr>
            <w:tcW w:w="2129" w:type="dxa"/>
            <w:tcBorders>
              <w:top w:val="single" w:sz="12" w:space="0" w:color="auto"/>
            </w:tcBorders>
            <w:shd w:val="clear" w:color="auto" w:fill="auto"/>
            <w:vAlign w:val="bottom"/>
          </w:tcPr>
          <w:p w:rsidR="00737EBA" w:rsidRPr="00F26E78" w:rsidRDefault="00737EBA" w:rsidP="0013527C">
            <w:pPr>
              <w:suppressAutoHyphens w:val="0"/>
              <w:spacing w:before="40" w:after="40" w:line="220" w:lineRule="exact"/>
              <w:jc w:val="right"/>
              <w:rPr>
                <w:sz w:val="18"/>
                <w:szCs w:val="24"/>
                <w:lang w:val="en-US"/>
              </w:rPr>
            </w:pPr>
            <w:r w:rsidRPr="00F26E78">
              <w:rPr>
                <w:sz w:val="18"/>
                <w:szCs w:val="24"/>
                <w:lang w:val="en-US"/>
              </w:rPr>
              <w:t>14</w:t>
            </w:r>
          </w:p>
        </w:tc>
      </w:tr>
      <w:tr w:rsidR="00737EBA" w:rsidRPr="00F26E78" w:rsidTr="004C0037">
        <w:tc>
          <w:tcPr>
            <w:tcW w:w="5241" w:type="dxa"/>
            <w:shd w:val="clear" w:color="auto" w:fill="auto"/>
          </w:tcPr>
          <w:p w:rsidR="00737EBA" w:rsidRPr="00F26E78" w:rsidRDefault="00737EBA" w:rsidP="0013527C">
            <w:pPr>
              <w:suppressAutoHyphens w:val="0"/>
              <w:spacing w:before="40" w:after="40" w:line="220" w:lineRule="exact"/>
              <w:rPr>
                <w:sz w:val="18"/>
                <w:szCs w:val="24"/>
                <w:lang w:val="en-US"/>
              </w:rPr>
            </w:pPr>
            <w:r w:rsidRPr="00F26E78">
              <w:rPr>
                <w:sz w:val="18"/>
                <w:szCs w:val="24"/>
                <w:lang w:val="en-US"/>
              </w:rPr>
              <w:t xml:space="preserve">Number of Cases Initiated in 2018 </w:t>
            </w:r>
          </w:p>
        </w:tc>
        <w:tc>
          <w:tcPr>
            <w:tcW w:w="2129" w:type="dxa"/>
            <w:shd w:val="clear" w:color="auto" w:fill="auto"/>
            <w:vAlign w:val="bottom"/>
          </w:tcPr>
          <w:p w:rsidR="00737EBA" w:rsidRPr="00F26E78" w:rsidRDefault="00737EBA" w:rsidP="0013527C">
            <w:pPr>
              <w:suppressAutoHyphens w:val="0"/>
              <w:spacing w:before="40" w:after="40" w:line="220" w:lineRule="exact"/>
              <w:jc w:val="right"/>
              <w:rPr>
                <w:sz w:val="18"/>
                <w:szCs w:val="24"/>
                <w:lang w:val="en-US"/>
              </w:rPr>
            </w:pPr>
            <w:r w:rsidRPr="00F26E78">
              <w:rPr>
                <w:sz w:val="18"/>
                <w:szCs w:val="24"/>
                <w:lang w:val="en-US"/>
              </w:rPr>
              <w:t>03</w:t>
            </w:r>
          </w:p>
        </w:tc>
      </w:tr>
      <w:tr w:rsidR="00737EBA" w:rsidRPr="00F26E78" w:rsidTr="004C0037">
        <w:tc>
          <w:tcPr>
            <w:tcW w:w="5241" w:type="dxa"/>
            <w:tcBorders>
              <w:bottom w:val="single" w:sz="12" w:space="0" w:color="auto"/>
            </w:tcBorders>
            <w:shd w:val="clear" w:color="auto" w:fill="auto"/>
          </w:tcPr>
          <w:p w:rsidR="00737EBA" w:rsidRPr="00F26E78" w:rsidRDefault="00737EBA" w:rsidP="0013527C">
            <w:pPr>
              <w:suppressAutoHyphens w:val="0"/>
              <w:spacing w:before="40" w:after="40" w:line="220" w:lineRule="exact"/>
              <w:contextualSpacing/>
              <w:rPr>
                <w:sz w:val="18"/>
                <w:szCs w:val="24"/>
                <w:lang w:val="en-US"/>
              </w:rPr>
            </w:pPr>
            <w:r w:rsidRPr="00F26E78">
              <w:rPr>
                <w:sz w:val="18"/>
                <w:szCs w:val="24"/>
                <w:lang w:val="en-US"/>
              </w:rPr>
              <w:t>Number of Completed Court Cases during the period</w:t>
            </w:r>
          </w:p>
        </w:tc>
        <w:tc>
          <w:tcPr>
            <w:tcW w:w="2129" w:type="dxa"/>
            <w:tcBorders>
              <w:bottom w:val="single" w:sz="12" w:space="0" w:color="auto"/>
            </w:tcBorders>
            <w:shd w:val="clear" w:color="auto" w:fill="auto"/>
            <w:vAlign w:val="bottom"/>
          </w:tcPr>
          <w:p w:rsidR="00737EBA" w:rsidRPr="00F26E78" w:rsidRDefault="00737EBA" w:rsidP="0013527C">
            <w:pPr>
              <w:suppressAutoHyphens w:val="0"/>
              <w:spacing w:before="40" w:after="40" w:line="220" w:lineRule="exact"/>
              <w:jc w:val="right"/>
              <w:rPr>
                <w:sz w:val="18"/>
                <w:szCs w:val="24"/>
                <w:lang w:val="en-US"/>
              </w:rPr>
            </w:pPr>
            <w:r w:rsidRPr="00F26E78">
              <w:rPr>
                <w:sz w:val="18"/>
                <w:szCs w:val="24"/>
                <w:lang w:val="en-US"/>
              </w:rPr>
              <w:t xml:space="preserve">03 </w:t>
            </w:r>
          </w:p>
        </w:tc>
      </w:tr>
    </w:tbl>
    <w:p w:rsidR="00737EBA" w:rsidRDefault="00E73EBF" w:rsidP="00E73EBF">
      <w:pPr>
        <w:pStyle w:val="SingleTxtG"/>
        <w:spacing w:before="240"/>
      </w:pPr>
      <w:r>
        <w:tab/>
      </w:r>
      <w:r w:rsidR="00CB002F">
        <w:t>(c)</w:t>
      </w:r>
      <w:r w:rsidR="00CB002F">
        <w:tab/>
      </w:r>
      <w:r w:rsidR="00737EBA" w:rsidRPr="00550C3D">
        <w:t>No. of Child Victims: The total number of children detained in Safe Places during Pretrial is given below. These children include both child victims and child suspects. Child victims figures provided below comprise not only the children coming under the optional protocol but also victims of child abuse and the children who do not have guardians. The detention period is 14 days and after that they are referred to alternative care centers or correctional centers for institutional care.</w:t>
      </w:r>
    </w:p>
    <w:p w:rsidR="00737EBA" w:rsidRDefault="00737EBA" w:rsidP="0013527C">
      <w:pPr>
        <w:pStyle w:val="H23G"/>
        <w:rPr>
          <w:lang w:val="en-US"/>
        </w:rPr>
      </w:pPr>
      <w:r>
        <w:rPr>
          <w:lang w:val="en-US"/>
        </w:rPr>
        <w:tab/>
      </w:r>
      <w:r>
        <w:rPr>
          <w:lang w:val="en-US"/>
        </w:rPr>
        <w:tab/>
      </w:r>
      <w:r w:rsidRPr="00B2764C">
        <w:rPr>
          <w:lang w:val="en-US"/>
        </w:rPr>
        <w:t>Number of Children (Child Victims and Suspects) admitted to Places of Safety in 2015 &amp;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00"/>
        <w:gridCol w:w="4670"/>
      </w:tblGrid>
      <w:tr w:rsidR="00737EBA" w:rsidRPr="0032169A" w:rsidTr="0032169A">
        <w:trPr>
          <w:tblHeader/>
        </w:trPr>
        <w:tc>
          <w:tcPr>
            <w:tcW w:w="2700" w:type="dxa"/>
            <w:tcBorders>
              <w:top w:val="single" w:sz="4" w:space="0" w:color="auto"/>
              <w:bottom w:val="single" w:sz="12" w:space="0" w:color="auto"/>
            </w:tcBorders>
            <w:shd w:val="clear" w:color="auto" w:fill="auto"/>
            <w:noWrap/>
            <w:vAlign w:val="bottom"/>
          </w:tcPr>
          <w:p w:rsidR="00737EBA" w:rsidRPr="0032169A" w:rsidRDefault="00737EBA" w:rsidP="0032169A">
            <w:pPr>
              <w:suppressAutoHyphens w:val="0"/>
              <w:spacing w:before="80" w:after="80" w:line="200" w:lineRule="exact"/>
              <w:ind w:right="113"/>
              <w:rPr>
                <w:i/>
                <w:sz w:val="16"/>
                <w:szCs w:val="24"/>
              </w:rPr>
            </w:pPr>
            <w:r w:rsidRPr="0032169A">
              <w:rPr>
                <w:i/>
                <w:sz w:val="16"/>
                <w:szCs w:val="24"/>
              </w:rPr>
              <w:t>Year</w:t>
            </w:r>
          </w:p>
        </w:tc>
        <w:tc>
          <w:tcPr>
            <w:tcW w:w="4670" w:type="dxa"/>
            <w:tcBorders>
              <w:top w:val="single" w:sz="4" w:space="0" w:color="auto"/>
              <w:bottom w:val="single" w:sz="12" w:space="0" w:color="auto"/>
            </w:tcBorders>
            <w:shd w:val="clear" w:color="auto" w:fill="auto"/>
            <w:noWrap/>
            <w:vAlign w:val="bottom"/>
          </w:tcPr>
          <w:p w:rsidR="00737EBA" w:rsidRPr="0032169A" w:rsidRDefault="00737EBA" w:rsidP="0032169A">
            <w:pPr>
              <w:suppressAutoHyphens w:val="0"/>
              <w:spacing w:before="80" w:after="80" w:line="200" w:lineRule="exact"/>
              <w:ind w:right="113"/>
              <w:jc w:val="right"/>
              <w:rPr>
                <w:bCs/>
                <w:i/>
                <w:sz w:val="16"/>
                <w:szCs w:val="24"/>
              </w:rPr>
            </w:pPr>
            <w:r w:rsidRPr="0032169A">
              <w:rPr>
                <w:i/>
                <w:sz w:val="16"/>
                <w:szCs w:val="24"/>
              </w:rPr>
              <w:t>No. of Admissions</w:t>
            </w:r>
          </w:p>
        </w:tc>
      </w:tr>
      <w:tr w:rsidR="00737EBA" w:rsidRPr="0032169A" w:rsidTr="0032169A">
        <w:tc>
          <w:tcPr>
            <w:tcW w:w="2700" w:type="dxa"/>
            <w:tcBorders>
              <w:top w:val="single" w:sz="12" w:space="0" w:color="auto"/>
            </w:tcBorders>
            <w:shd w:val="clear" w:color="auto" w:fill="auto"/>
            <w:noWrap/>
            <w:hideMark/>
          </w:tcPr>
          <w:p w:rsidR="00737EBA" w:rsidRPr="0032169A" w:rsidRDefault="00737EBA" w:rsidP="0032169A">
            <w:pPr>
              <w:suppressAutoHyphens w:val="0"/>
              <w:spacing w:before="40" w:after="40" w:line="220" w:lineRule="exact"/>
              <w:ind w:right="113"/>
              <w:rPr>
                <w:sz w:val="18"/>
                <w:szCs w:val="24"/>
              </w:rPr>
            </w:pPr>
            <w:r w:rsidRPr="0032169A">
              <w:rPr>
                <w:sz w:val="18"/>
                <w:szCs w:val="24"/>
              </w:rPr>
              <w:t>2015</w:t>
            </w:r>
          </w:p>
        </w:tc>
        <w:tc>
          <w:tcPr>
            <w:tcW w:w="4670" w:type="dxa"/>
            <w:tcBorders>
              <w:top w:val="single" w:sz="12" w:space="0" w:color="auto"/>
            </w:tcBorders>
            <w:shd w:val="clear" w:color="auto" w:fill="auto"/>
            <w:noWrap/>
            <w:vAlign w:val="bottom"/>
            <w:hideMark/>
          </w:tcPr>
          <w:p w:rsidR="00737EBA" w:rsidRPr="0032169A" w:rsidRDefault="00737EBA" w:rsidP="0032169A">
            <w:pPr>
              <w:suppressAutoHyphens w:val="0"/>
              <w:spacing w:before="40" w:after="40" w:line="220" w:lineRule="exact"/>
              <w:ind w:right="113"/>
              <w:jc w:val="right"/>
              <w:rPr>
                <w:sz w:val="18"/>
                <w:szCs w:val="24"/>
              </w:rPr>
            </w:pPr>
            <w:r w:rsidRPr="0032169A">
              <w:rPr>
                <w:sz w:val="18"/>
                <w:szCs w:val="24"/>
              </w:rPr>
              <w:t>1</w:t>
            </w:r>
            <w:r w:rsidR="0032169A" w:rsidRPr="0032169A">
              <w:rPr>
                <w:sz w:val="18"/>
                <w:szCs w:val="24"/>
              </w:rPr>
              <w:t xml:space="preserve"> </w:t>
            </w:r>
            <w:r w:rsidRPr="0032169A">
              <w:rPr>
                <w:sz w:val="18"/>
                <w:szCs w:val="24"/>
              </w:rPr>
              <w:t>155</w:t>
            </w:r>
          </w:p>
        </w:tc>
      </w:tr>
      <w:tr w:rsidR="00737EBA" w:rsidRPr="0032169A" w:rsidTr="0032169A">
        <w:tc>
          <w:tcPr>
            <w:tcW w:w="2700" w:type="dxa"/>
            <w:shd w:val="clear" w:color="auto" w:fill="auto"/>
            <w:noWrap/>
            <w:hideMark/>
          </w:tcPr>
          <w:p w:rsidR="00737EBA" w:rsidRPr="0032169A" w:rsidRDefault="00737EBA" w:rsidP="0032169A">
            <w:pPr>
              <w:suppressAutoHyphens w:val="0"/>
              <w:spacing w:before="40" w:after="40" w:line="220" w:lineRule="exact"/>
              <w:ind w:right="113"/>
              <w:rPr>
                <w:sz w:val="18"/>
                <w:szCs w:val="24"/>
              </w:rPr>
            </w:pPr>
            <w:r w:rsidRPr="0032169A">
              <w:rPr>
                <w:sz w:val="18"/>
                <w:szCs w:val="24"/>
              </w:rPr>
              <w:t>2016</w:t>
            </w:r>
          </w:p>
        </w:tc>
        <w:tc>
          <w:tcPr>
            <w:tcW w:w="4670" w:type="dxa"/>
            <w:shd w:val="clear" w:color="auto" w:fill="auto"/>
            <w:noWrap/>
            <w:vAlign w:val="bottom"/>
            <w:hideMark/>
          </w:tcPr>
          <w:p w:rsidR="00737EBA" w:rsidRPr="0032169A" w:rsidRDefault="00737EBA" w:rsidP="0032169A">
            <w:pPr>
              <w:suppressAutoHyphens w:val="0"/>
              <w:spacing w:before="40" w:after="40" w:line="220" w:lineRule="exact"/>
              <w:ind w:right="113"/>
              <w:jc w:val="right"/>
              <w:rPr>
                <w:sz w:val="18"/>
                <w:szCs w:val="24"/>
              </w:rPr>
            </w:pPr>
            <w:r w:rsidRPr="0032169A">
              <w:rPr>
                <w:sz w:val="18"/>
                <w:szCs w:val="24"/>
              </w:rPr>
              <w:t>1</w:t>
            </w:r>
            <w:r w:rsidR="0032169A" w:rsidRPr="0032169A">
              <w:rPr>
                <w:sz w:val="18"/>
                <w:szCs w:val="24"/>
              </w:rPr>
              <w:t xml:space="preserve"> </w:t>
            </w:r>
            <w:r w:rsidRPr="0032169A">
              <w:rPr>
                <w:sz w:val="18"/>
                <w:szCs w:val="24"/>
              </w:rPr>
              <w:t>331</w:t>
            </w:r>
          </w:p>
        </w:tc>
      </w:tr>
    </w:tbl>
    <w:p w:rsidR="00737EBA" w:rsidRDefault="00737EBA" w:rsidP="0013527C">
      <w:pPr>
        <w:pStyle w:val="H23G"/>
        <w:rPr>
          <w:lang w:val="en-US"/>
        </w:rPr>
      </w:pPr>
      <w:r>
        <w:tab/>
      </w:r>
      <w:r>
        <w:tab/>
      </w:r>
      <w:r w:rsidRPr="00B2764C">
        <w:t>Number of Children (Child Victims and Suspects) admitted to Places of Safety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4"/>
        <w:gridCol w:w="2189"/>
        <w:gridCol w:w="1759"/>
        <w:gridCol w:w="2018"/>
      </w:tblGrid>
      <w:tr w:rsidR="00737EBA" w:rsidRPr="004C0037" w:rsidTr="004C0037">
        <w:trPr>
          <w:tblHeader/>
        </w:trPr>
        <w:tc>
          <w:tcPr>
            <w:tcW w:w="1404" w:type="dxa"/>
            <w:tcBorders>
              <w:top w:val="single" w:sz="4" w:space="0" w:color="auto"/>
              <w:bottom w:val="single" w:sz="12" w:space="0" w:color="auto"/>
            </w:tcBorders>
            <w:shd w:val="clear" w:color="auto" w:fill="auto"/>
            <w:noWrap/>
            <w:vAlign w:val="bottom"/>
            <w:hideMark/>
          </w:tcPr>
          <w:p w:rsidR="00737EBA" w:rsidRPr="004C0037" w:rsidRDefault="00737EBA" w:rsidP="004C0037">
            <w:pPr>
              <w:suppressAutoHyphens w:val="0"/>
              <w:spacing w:before="80" w:after="80" w:line="200" w:lineRule="exact"/>
              <w:ind w:right="113"/>
              <w:rPr>
                <w:rFonts w:eastAsia="Calibri"/>
                <w:bCs/>
                <w:i/>
                <w:sz w:val="16"/>
                <w:szCs w:val="22"/>
                <w:lang w:val="en-AU"/>
              </w:rPr>
            </w:pPr>
            <w:r w:rsidRPr="004C0037">
              <w:rPr>
                <w:rFonts w:eastAsia="Calibri"/>
                <w:bCs/>
                <w:i/>
                <w:sz w:val="16"/>
                <w:szCs w:val="22"/>
                <w:lang w:val="en-AU"/>
              </w:rPr>
              <w:t>Year</w:t>
            </w:r>
          </w:p>
        </w:tc>
        <w:tc>
          <w:tcPr>
            <w:tcW w:w="2189" w:type="dxa"/>
            <w:tcBorders>
              <w:top w:val="single" w:sz="4" w:space="0" w:color="auto"/>
              <w:bottom w:val="single" w:sz="12" w:space="0" w:color="auto"/>
            </w:tcBorders>
            <w:shd w:val="clear" w:color="auto" w:fill="auto"/>
            <w:noWrap/>
            <w:vAlign w:val="bottom"/>
            <w:hideMark/>
          </w:tcPr>
          <w:p w:rsidR="00737EBA" w:rsidRPr="004C0037" w:rsidRDefault="00737EBA" w:rsidP="004C0037">
            <w:pPr>
              <w:suppressAutoHyphens w:val="0"/>
              <w:spacing w:before="80" w:after="80" w:line="200" w:lineRule="exact"/>
              <w:ind w:right="113"/>
              <w:jc w:val="right"/>
              <w:rPr>
                <w:rFonts w:eastAsia="Calibri"/>
                <w:bCs/>
                <w:i/>
                <w:sz w:val="16"/>
                <w:szCs w:val="22"/>
                <w:lang w:val="en-AU"/>
              </w:rPr>
            </w:pPr>
            <w:r w:rsidRPr="004C0037">
              <w:rPr>
                <w:rFonts w:eastAsia="Calibri"/>
                <w:bCs/>
                <w:i/>
                <w:sz w:val="16"/>
                <w:szCs w:val="22"/>
                <w:lang w:val="en-AU"/>
              </w:rPr>
              <w:t>Male</w:t>
            </w:r>
          </w:p>
        </w:tc>
        <w:tc>
          <w:tcPr>
            <w:tcW w:w="1759" w:type="dxa"/>
            <w:tcBorders>
              <w:top w:val="single" w:sz="4" w:space="0" w:color="auto"/>
              <w:bottom w:val="single" w:sz="12" w:space="0" w:color="auto"/>
            </w:tcBorders>
            <w:shd w:val="clear" w:color="auto" w:fill="auto"/>
            <w:noWrap/>
            <w:vAlign w:val="bottom"/>
            <w:hideMark/>
          </w:tcPr>
          <w:p w:rsidR="00737EBA" w:rsidRPr="004C0037" w:rsidRDefault="00737EBA" w:rsidP="004C0037">
            <w:pPr>
              <w:suppressAutoHyphens w:val="0"/>
              <w:spacing w:before="80" w:after="80" w:line="200" w:lineRule="exact"/>
              <w:ind w:right="113"/>
              <w:jc w:val="right"/>
              <w:rPr>
                <w:rFonts w:eastAsia="Calibri"/>
                <w:bCs/>
                <w:i/>
                <w:sz w:val="16"/>
                <w:szCs w:val="22"/>
                <w:lang w:val="en-AU"/>
              </w:rPr>
            </w:pPr>
            <w:r w:rsidRPr="004C0037">
              <w:rPr>
                <w:rFonts w:eastAsia="Calibri"/>
                <w:bCs/>
                <w:i/>
                <w:sz w:val="16"/>
                <w:szCs w:val="22"/>
                <w:lang w:val="en-AU"/>
              </w:rPr>
              <w:t>Female</w:t>
            </w:r>
          </w:p>
        </w:tc>
        <w:tc>
          <w:tcPr>
            <w:tcW w:w="2018" w:type="dxa"/>
            <w:tcBorders>
              <w:top w:val="single" w:sz="4" w:space="0" w:color="auto"/>
              <w:bottom w:val="single" w:sz="12" w:space="0" w:color="auto"/>
            </w:tcBorders>
            <w:shd w:val="clear" w:color="auto" w:fill="auto"/>
            <w:noWrap/>
            <w:vAlign w:val="bottom"/>
            <w:hideMark/>
          </w:tcPr>
          <w:p w:rsidR="00737EBA" w:rsidRPr="004C0037" w:rsidRDefault="00737EBA" w:rsidP="004C0037">
            <w:pPr>
              <w:suppressAutoHyphens w:val="0"/>
              <w:spacing w:before="80" w:after="80" w:line="200" w:lineRule="exact"/>
              <w:ind w:right="113"/>
              <w:jc w:val="right"/>
              <w:rPr>
                <w:rFonts w:eastAsia="Calibri"/>
                <w:bCs/>
                <w:i/>
                <w:sz w:val="16"/>
                <w:szCs w:val="22"/>
                <w:lang w:val="en-AU"/>
              </w:rPr>
            </w:pPr>
            <w:r w:rsidRPr="004C0037">
              <w:rPr>
                <w:rFonts w:eastAsia="Calibri"/>
                <w:bCs/>
                <w:i/>
                <w:sz w:val="16"/>
                <w:szCs w:val="22"/>
                <w:lang w:val="en-AU"/>
              </w:rPr>
              <w:t>Total</w:t>
            </w:r>
          </w:p>
        </w:tc>
      </w:tr>
      <w:tr w:rsidR="00737EBA" w:rsidRPr="004C0037" w:rsidTr="004C0037">
        <w:tc>
          <w:tcPr>
            <w:tcW w:w="1404" w:type="dxa"/>
            <w:tcBorders>
              <w:top w:val="single" w:sz="12" w:space="0" w:color="auto"/>
            </w:tcBorders>
            <w:shd w:val="clear" w:color="auto" w:fill="auto"/>
            <w:noWrap/>
            <w:hideMark/>
          </w:tcPr>
          <w:p w:rsidR="00737EBA" w:rsidRPr="004C0037" w:rsidRDefault="00737EBA" w:rsidP="004C0037">
            <w:pPr>
              <w:suppressAutoHyphens w:val="0"/>
              <w:spacing w:before="40" w:after="40" w:line="220" w:lineRule="exact"/>
              <w:ind w:right="113"/>
              <w:rPr>
                <w:rFonts w:eastAsia="Calibri"/>
                <w:sz w:val="18"/>
                <w:szCs w:val="22"/>
                <w:lang w:val="en-AU"/>
              </w:rPr>
            </w:pPr>
            <w:r w:rsidRPr="004C0037">
              <w:rPr>
                <w:rFonts w:eastAsia="Calibri"/>
                <w:sz w:val="18"/>
                <w:szCs w:val="22"/>
                <w:lang w:val="en-AU"/>
              </w:rPr>
              <w:t>2017</w:t>
            </w:r>
          </w:p>
        </w:tc>
        <w:tc>
          <w:tcPr>
            <w:tcW w:w="2189" w:type="dxa"/>
            <w:tcBorders>
              <w:top w:val="single" w:sz="12" w:space="0" w:color="auto"/>
            </w:tcBorders>
            <w:shd w:val="clear" w:color="auto" w:fill="auto"/>
            <w:noWrap/>
            <w:vAlign w:val="bottom"/>
            <w:hideMark/>
          </w:tcPr>
          <w:p w:rsidR="00737EBA" w:rsidRPr="004C0037" w:rsidRDefault="00737EBA" w:rsidP="004C0037">
            <w:pPr>
              <w:suppressAutoHyphens w:val="0"/>
              <w:spacing w:before="40" w:after="40" w:line="220" w:lineRule="exact"/>
              <w:ind w:right="113"/>
              <w:jc w:val="right"/>
              <w:rPr>
                <w:rFonts w:eastAsia="Calibri"/>
                <w:sz w:val="18"/>
                <w:szCs w:val="22"/>
                <w:lang w:val="en-AU"/>
              </w:rPr>
            </w:pPr>
            <w:r w:rsidRPr="004C0037">
              <w:rPr>
                <w:rFonts w:eastAsia="Calibri"/>
                <w:sz w:val="18"/>
                <w:szCs w:val="22"/>
                <w:lang w:val="en-AU"/>
              </w:rPr>
              <w:t>880</w:t>
            </w:r>
          </w:p>
        </w:tc>
        <w:tc>
          <w:tcPr>
            <w:tcW w:w="1759" w:type="dxa"/>
            <w:tcBorders>
              <w:top w:val="single" w:sz="12" w:space="0" w:color="auto"/>
            </w:tcBorders>
            <w:shd w:val="clear" w:color="auto" w:fill="auto"/>
            <w:noWrap/>
            <w:vAlign w:val="bottom"/>
            <w:hideMark/>
          </w:tcPr>
          <w:p w:rsidR="00737EBA" w:rsidRPr="004C0037" w:rsidRDefault="00737EBA" w:rsidP="004C0037">
            <w:pPr>
              <w:suppressAutoHyphens w:val="0"/>
              <w:spacing w:before="40" w:after="40" w:line="220" w:lineRule="exact"/>
              <w:ind w:right="113"/>
              <w:jc w:val="right"/>
              <w:rPr>
                <w:rFonts w:eastAsia="Calibri"/>
                <w:sz w:val="18"/>
                <w:szCs w:val="22"/>
                <w:lang w:val="en-AU"/>
              </w:rPr>
            </w:pPr>
            <w:r w:rsidRPr="004C0037">
              <w:rPr>
                <w:rFonts w:eastAsia="Calibri"/>
                <w:sz w:val="18"/>
                <w:szCs w:val="22"/>
                <w:lang w:val="en-AU"/>
              </w:rPr>
              <w:t>568</w:t>
            </w:r>
          </w:p>
        </w:tc>
        <w:tc>
          <w:tcPr>
            <w:tcW w:w="2018" w:type="dxa"/>
            <w:tcBorders>
              <w:top w:val="single" w:sz="12" w:space="0" w:color="auto"/>
            </w:tcBorders>
            <w:shd w:val="clear" w:color="auto" w:fill="auto"/>
            <w:noWrap/>
            <w:vAlign w:val="bottom"/>
            <w:hideMark/>
          </w:tcPr>
          <w:p w:rsidR="00737EBA" w:rsidRPr="00FE1048" w:rsidRDefault="00737EBA" w:rsidP="004C0037">
            <w:pPr>
              <w:suppressAutoHyphens w:val="0"/>
              <w:spacing w:before="40" w:after="40" w:line="220" w:lineRule="exact"/>
              <w:ind w:right="113"/>
              <w:jc w:val="right"/>
              <w:rPr>
                <w:rFonts w:eastAsia="Calibri"/>
                <w:sz w:val="18"/>
                <w:szCs w:val="22"/>
                <w:lang w:val="en-AU"/>
              </w:rPr>
            </w:pPr>
            <w:r w:rsidRPr="00FE1048">
              <w:rPr>
                <w:rFonts w:eastAsia="Calibri"/>
                <w:sz w:val="18"/>
                <w:szCs w:val="22"/>
                <w:lang w:val="en-AU"/>
              </w:rPr>
              <w:t>1</w:t>
            </w:r>
            <w:r w:rsidR="00FE1048">
              <w:rPr>
                <w:rFonts w:eastAsia="Calibri"/>
                <w:sz w:val="18"/>
                <w:szCs w:val="22"/>
                <w:lang w:val="en-AU"/>
              </w:rPr>
              <w:t xml:space="preserve"> </w:t>
            </w:r>
            <w:r w:rsidRPr="00FE1048">
              <w:rPr>
                <w:rFonts w:eastAsia="Calibri"/>
                <w:sz w:val="18"/>
                <w:szCs w:val="22"/>
                <w:lang w:val="en-AU"/>
              </w:rPr>
              <w:t>448</w:t>
            </w:r>
          </w:p>
        </w:tc>
      </w:tr>
    </w:tbl>
    <w:p w:rsidR="00737EBA" w:rsidRDefault="00737EBA" w:rsidP="0013527C">
      <w:pPr>
        <w:pStyle w:val="H23G"/>
      </w:pPr>
      <w:r>
        <w:tab/>
      </w:r>
      <w:r>
        <w:tab/>
      </w:r>
      <w:r w:rsidRPr="008950EE">
        <w:t>Number of Children (Child Victims and Suspects) admitted to Places of Safety in 2015 &amp; 2016 by Age group</w:t>
      </w:r>
    </w:p>
    <w:tbl>
      <w:tblPr>
        <w:tblW w:w="7370" w:type="dxa"/>
        <w:tblInd w:w="1134" w:type="dxa"/>
        <w:tblLayout w:type="fixed"/>
        <w:tblCellMar>
          <w:left w:w="0" w:type="dxa"/>
          <w:right w:w="0" w:type="dxa"/>
        </w:tblCellMar>
        <w:tblLook w:val="04A0" w:firstRow="1" w:lastRow="0" w:firstColumn="1" w:lastColumn="0" w:noHBand="0" w:noVBand="1"/>
      </w:tblPr>
      <w:tblGrid>
        <w:gridCol w:w="914"/>
        <w:gridCol w:w="1515"/>
        <w:gridCol w:w="1045"/>
        <w:gridCol w:w="968"/>
        <w:gridCol w:w="1582"/>
        <w:gridCol w:w="1346"/>
      </w:tblGrid>
      <w:tr w:rsidR="00737EBA" w:rsidRPr="001E54FE" w:rsidTr="004C0037">
        <w:trPr>
          <w:tblHeader/>
        </w:trPr>
        <w:tc>
          <w:tcPr>
            <w:tcW w:w="914"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rPr>
                <w:bCs/>
                <w:i/>
                <w:sz w:val="16"/>
                <w:szCs w:val="24"/>
                <w:lang w:val="en-AU" w:eastAsia="en-AU" w:bidi="ta-IN"/>
              </w:rPr>
            </w:pPr>
            <w:r w:rsidRPr="001E54FE">
              <w:rPr>
                <w:bCs/>
                <w:i/>
                <w:sz w:val="16"/>
                <w:szCs w:val="24"/>
                <w:lang w:val="en-AU" w:eastAsia="en-AU" w:bidi="ta-IN"/>
              </w:rPr>
              <w:t>Year</w:t>
            </w:r>
          </w:p>
        </w:tc>
        <w:tc>
          <w:tcPr>
            <w:tcW w:w="1515"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jc w:val="right"/>
              <w:rPr>
                <w:bCs/>
                <w:i/>
                <w:sz w:val="16"/>
                <w:szCs w:val="24"/>
                <w:lang w:val="en-AU" w:eastAsia="en-AU" w:bidi="ta-IN"/>
              </w:rPr>
            </w:pPr>
            <w:r w:rsidRPr="001E54FE">
              <w:rPr>
                <w:bCs/>
                <w:i/>
                <w:sz w:val="16"/>
                <w:szCs w:val="24"/>
                <w:lang w:val="en-AU" w:eastAsia="en-AU" w:bidi="ta-IN"/>
              </w:rPr>
              <w:t>Below 7</w:t>
            </w:r>
          </w:p>
        </w:tc>
        <w:tc>
          <w:tcPr>
            <w:tcW w:w="1045"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jc w:val="right"/>
              <w:rPr>
                <w:bCs/>
                <w:i/>
                <w:sz w:val="16"/>
                <w:szCs w:val="24"/>
                <w:lang w:val="en-AU" w:eastAsia="en-AU" w:bidi="ta-IN"/>
              </w:rPr>
            </w:pPr>
            <w:r w:rsidRPr="001E54FE">
              <w:rPr>
                <w:bCs/>
                <w:i/>
                <w:sz w:val="16"/>
                <w:szCs w:val="24"/>
                <w:lang w:val="en-AU" w:eastAsia="en-AU" w:bidi="ta-IN"/>
              </w:rPr>
              <w:t>8 to 10</w:t>
            </w:r>
          </w:p>
        </w:tc>
        <w:tc>
          <w:tcPr>
            <w:tcW w:w="968"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jc w:val="right"/>
              <w:rPr>
                <w:bCs/>
                <w:i/>
                <w:sz w:val="16"/>
                <w:szCs w:val="24"/>
                <w:lang w:val="en-AU" w:eastAsia="en-AU" w:bidi="ta-IN"/>
              </w:rPr>
            </w:pPr>
            <w:r w:rsidRPr="001E54FE">
              <w:rPr>
                <w:bCs/>
                <w:i/>
                <w:sz w:val="16"/>
                <w:szCs w:val="24"/>
                <w:lang w:val="en-AU" w:eastAsia="en-AU" w:bidi="ta-IN"/>
              </w:rPr>
              <w:t>11 to 16</w:t>
            </w:r>
          </w:p>
        </w:tc>
        <w:tc>
          <w:tcPr>
            <w:tcW w:w="1582"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jc w:val="right"/>
              <w:rPr>
                <w:bCs/>
                <w:i/>
                <w:sz w:val="16"/>
                <w:szCs w:val="24"/>
                <w:lang w:val="en-AU" w:eastAsia="en-AU" w:bidi="ta-IN"/>
              </w:rPr>
            </w:pPr>
            <w:r w:rsidRPr="001E54FE">
              <w:rPr>
                <w:bCs/>
                <w:i/>
                <w:sz w:val="16"/>
                <w:szCs w:val="24"/>
                <w:lang w:val="en-AU" w:eastAsia="en-AU" w:bidi="ta-IN"/>
              </w:rPr>
              <w:t>over 16</w:t>
            </w:r>
          </w:p>
        </w:tc>
        <w:tc>
          <w:tcPr>
            <w:tcW w:w="1346" w:type="dxa"/>
            <w:tcBorders>
              <w:top w:val="single" w:sz="4" w:space="0" w:color="auto"/>
              <w:bottom w:val="single" w:sz="12" w:space="0" w:color="auto"/>
            </w:tcBorders>
            <w:shd w:val="clear" w:color="auto" w:fill="auto"/>
            <w:noWrap/>
            <w:vAlign w:val="bottom"/>
            <w:hideMark/>
          </w:tcPr>
          <w:p w:rsidR="00737EBA" w:rsidRPr="001E54FE" w:rsidRDefault="00737EBA" w:rsidP="0013527C">
            <w:pPr>
              <w:suppressAutoHyphens w:val="0"/>
              <w:spacing w:before="80" w:after="80" w:line="200" w:lineRule="exact"/>
              <w:jc w:val="right"/>
              <w:rPr>
                <w:bCs/>
                <w:i/>
                <w:sz w:val="16"/>
                <w:szCs w:val="24"/>
                <w:lang w:val="en-AU" w:eastAsia="en-AU" w:bidi="ta-IN"/>
              </w:rPr>
            </w:pPr>
            <w:r w:rsidRPr="001E54FE">
              <w:rPr>
                <w:bCs/>
                <w:i/>
                <w:sz w:val="16"/>
                <w:szCs w:val="24"/>
                <w:lang w:val="en-AU" w:eastAsia="en-AU" w:bidi="ta-IN"/>
              </w:rPr>
              <w:t>Total</w:t>
            </w:r>
          </w:p>
        </w:tc>
      </w:tr>
      <w:tr w:rsidR="00737EBA" w:rsidRPr="00FE1048" w:rsidTr="004C0037">
        <w:tc>
          <w:tcPr>
            <w:tcW w:w="914" w:type="dxa"/>
            <w:tcBorders>
              <w:top w:val="single" w:sz="12" w:space="0" w:color="auto"/>
            </w:tcBorders>
            <w:shd w:val="clear" w:color="auto" w:fill="auto"/>
            <w:noWrap/>
            <w:hideMark/>
          </w:tcPr>
          <w:p w:rsidR="00737EBA" w:rsidRPr="001E54FE" w:rsidRDefault="00737EBA" w:rsidP="0013527C">
            <w:pPr>
              <w:suppressAutoHyphens w:val="0"/>
              <w:spacing w:before="40" w:after="40" w:line="220" w:lineRule="exact"/>
              <w:rPr>
                <w:sz w:val="18"/>
                <w:szCs w:val="24"/>
                <w:lang w:val="en-AU" w:eastAsia="en-AU" w:bidi="ta-IN"/>
              </w:rPr>
            </w:pPr>
            <w:r w:rsidRPr="001E54FE">
              <w:rPr>
                <w:sz w:val="18"/>
                <w:szCs w:val="24"/>
                <w:lang w:val="en-AU" w:eastAsia="en-AU" w:bidi="ta-IN"/>
              </w:rPr>
              <w:t>2015</w:t>
            </w:r>
          </w:p>
        </w:tc>
        <w:tc>
          <w:tcPr>
            <w:tcW w:w="1515" w:type="dxa"/>
            <w:tcBorders>
              <w:top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34</w:t>
            </w:r>
          </w:p>
        </w:tc>
        <w:tc>
          <w:tcPr>
            <w:tcW w:w="1045" w:type="dxa"/>
            <w:tcBorders>
              <w:top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102</w:t>
            </w:r>
          </w:p>
        </w:tc>
        <w:tc>
          <w:tcPr>
            <w:tcW w:w="968" w:type="dxa"/>
            <w:tcBorders>
              <w:top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756</w:t>
            </w:r>
          </w:p>
        </w:tc>
        <w:tc>
          <w:tcPr>
            <w:tcW w:w="1582" w:type="dxa"/>
            <w:tcBorders>
              <w:top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263</w:t>
            </w:r>
          </w:p>
        </w:tc>
        <w:tc>
          <w:tcPr>
            <w:tcW w:w="1346" w:type="dxa"/>
            <w:tcBorders>
              <w:top w:val="single" w:sz="12" w:space="0" w:color="auto"/>
            </w:tcBorders>
            <w:shd w:val="clear" w:color="auto" w:fill="auto"/>
            <w:noWrap/>
            <w:vAlign w:val="bottom"/>
            <w:hideMark/>
          </w:tcPr>
          <w:p w:rsidR="00737EBA" w:rsidRPr="00FE1048" w:rsidRDefault="00737EBA" w:rsidP="0013527C">
            <w:pPr>
              <w:suppressAutoHyphens w:val="0"/>
              <w:spacing w:before="40" w:after="40" w:line="220" w:lineRule="exact"/>
              <w:jc w:val="right"/>
              <w:rPr>
                <w:sz w:val="18"/>
                <w:szCs w:val="24"/>
                <w:lang w:val="en-AU" w:eastAsia="en-AU" w:bidi="ta-IN"/>
              </w:rPr>
            </w:pPr>
            <w:r w:rsidRPr="00FE1048">
              <w:rPr>
                <w:sz w:val="18"/>
                <w:szCs w:val="24"/>
                <w:lang w:val="en-AU" w:eastAsia="en-AU" w:bidi="ta-IN"/>
              </w:rPr>
              <w:t>1</w:t>
            </w:r>
            <w:r w:rsidR="00FE1048">
              <w:rPr>
                <w:sz w:val="18"/>
                <w:szCs w:val="24"/>
                <w:lang w:val="en-AU" w:eastAsia="en-AU" w:bidi="ta-IN"/>
              </w:rPr>
              <w:t xml:space="preserve"> </w:t>
            </w:r>
            <w:r w:rsidRPr="00FE1048">
              <w:rPr>
                <w:sz w:val="18"/>
                <w:szCs w:val="24"/>
                <w:lang w:val="en-AU" w:eastAsia="en-AU" w:bidi="ta-IN"/>
              </w:rPr>
              <w:t>155</w:t>
            </w:r>
          </w:p>
        </w:tc>
      </w:tr>
      <w:tr w:rsidR="00737EBA" w:rsidRPr="00FE1048" w:rsidTr="004C0037">
        <w:tc>
          <w:tcPr>
            <w:tcW w:w="914" w:type="dxa"/>
            <w:tcBorders>
              <w:bottom w:val="single" w:sz="12" w:space="0" w:color="auto"/>
            </w:tcBorders>
            <w:shd w:val="clear" w:color="auto" w:fill="auto"/>
            <w:noWrap/>
            <w:hideMark/>
          </w:tcPr>
          <w:p w:rsidR="00737EBA" w:rsidRPr="001E54FE" w:rsidRDefault="00737EBA" w:rsidP="0013527C">
            <w:pPr>
              <w:suppressAutoHyphens w:val="0"/>
              <w:spacing w:before="40" w:after="40" w:line="220" w:lineRule="exact"/>
              <w:rPr>
                <w:sz w:val="18"/>
                <w:szCs w:val="24"/>
                <w:lang w:val="en-AU" w:eastAsia="en-AU" w:bidi="ta-IN"/>
              </w:rPr>
            </w:pPr>
            <w:r w:rsidRPr="001E54FE">
              <w:rPr>
                <w:sz w:val="18"/>
                <w:szCs w:val="24"/>
                <w:lang w:val="en-AU" w:eastAsia="en-AU" w:bidi="ta-IN"/>
              </w:rPr>
              <w:t>2016</w:t>
            </w:r>
          </w:p>
        </w:tc>
        <w:tc>
          <w:tcPr>
            <w:tcW w:w="1515" w:type="dxa"/>
            <w:tcBorders>
              <w:bottom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12</w:t>
            </w:r>
          </w:p>
        </w:tc>
        <w:tc>
          <w:tcPr>
            <w:tcW w:w="1045" w:type="dxa"/>
            <w:tcBorders>
              <w:bottom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79</w:t>
            </w:r>
          </w:p>
        </w:tc>
        <w:tc>
          <w:tcPr>
            <w:tcW w:w="968" w:type="dxa"/>
            <w:tcBorders>
              <w:bottom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910</w:t>
            </w:r>
          </w:p>
        </w:tc>
        <w:tc>
          <w:tcPr>
            <w:tcW w:w="1582" w:type="dxa"/>
            <w:tcBorders>
              <w:bottom w:val="single" w:sz="12" w:space="0" w:color="auto"/>
            </w:tcBorders>
            <w:shd w:val="clear" w:color="auto" w:fill="auto"/>
            <w:noWrap/>
            <w:vAlign w:val="bottom"/>
            <w:hideMark/>
          </w:tcPr>
          <w:p w:rsidR="00737EBA" w:rsidRPr="001E54FE" w:rsidRDefault="00737EBA" w:rsidP="0013527C">
            <w:pPr>
              <w:suppressAutoHyphens w:val="0"/>
              <w:spacing w:before="40" w:after="40" w:line="220" w:lineRule="exact"/>
              <w:jc w:val="right"/>
              <w:rPr>
                <w:sz w:val="18"/>
                <w:szCs w:val="24"/>
                <w:lang w:val="en-AU" w:eastAsia="en-AU" w:bidi="ta-IN"/>
              </w:rPr>
            </w:pPr>
            <w:r w:rsidRPr="001E54FE">
              <w:rPr>
                <w:sz w:val="18"/>
                <w:szCs w:val="24"/>
                <w:lang w:val="en-AU" w:eastAsia="en-AU" w:bidi="ta-IN"/>
              </w:rPr>
              <w:t>330</w:t>
            </w:r>
          </w:p>
        </w:tc>
        <w:tc>
          <w:tcPr>
            <w:tcW w:w="1346" w:type="dxa"/>
            <w:tcBorders>
              <w:bottom w:val="single" w:sz="12" w:space="0" w:color="auto"/>
            </w:tcBorders>
            <w:shd w:val="clear" w:color="auto" w:fill="auto"/>
            <w:noWrap/>
            <w:vAlign w:val="bottom"/>
            <w:hideMark/>
          </w:tcPr>
          <w:p w:rsidR="00737EBA" w:rsidRPr="00FE1048" w:rsidRDefault="00FE1048" w:rsidP="0013527C">
            <w:pPr>
              <w:suppressAutoHyphens w:val="0"/>
              <w:spacing w:before="40" w:after="40" w:line="220" w:lineRule="exact"/>
              <w:jc w:val="right"/>
              <w:rPr>
                <w:sz w:val="18"/>
                <w:szCs w:val="24"/>
                <w:lang w:val="en-AU" w:eastAsia="en-AU" w:bidi="ta-IN"/>
              </w:rPr>
            </w:pPr>
            <w:r w:rsidRPr="00FE1048">
              <w:rPr>
                <w:sz w:val="18"/>
                <w:szCs w:val="24"/>
                <w:lang w:val="en-AU" w:eastAsia="en-AU" w:bidi="ta-IN"/>
              </w:rPr>
              <w:t>1</w:t>
            </w:r>
            <w:r>
              <w:rPr>
                <w:sz w:val="18"/>
                <w:szCs w:val="24"/>
                <w:lang w:val="en-AU" w:eastAsia="en-AU" w:bidi="ta-IN"/>
              </w:rPr>
              <w:t xml:space="preserve"> </w:t>
            </w:r>
            <w:r w:rsidRPr="00FE1048">
              <w:rPr>
                <w:sz w:val="18"/>
                <w:szCs w:val="24"/>
                <w:lang w:val="en-AU" w:eastAsia="en-AU" w:bidi="ta-IN"/>
              </w:rPr>
              <w:t>331</w:t>
            </w:r>
          </w:p>
        </w:tc>
      </w:tr>
    </w:tbl>
    <w:p w:rsidR="00737EBA" w:rsidRDefault="00737EBA" w:rsidP="0013527C">
      <w:pPr>
        <w:pStyle w:val="H23G"/>
      </w:pPr>
      <w:r>
        <w:lastRenderedPageBreak/>
        <w:tab/>
      </w:r>
      <w:r>
        <w:tab/>
      </w:r>
      <w:r w:rsidRPr="008950EE">
        <w:t xml:space="preserve">Number of Children (Child Victims and Suspects) admitted to Places of Safety by </w:t>
      </w:r>
      <w:r w:rsidR="00653AEB">
        <w:br/>
      </w:r>
      <w:r w:rsidRPr="008950EE">
        <w:t>Age group in 2017</w:t>
      </w:r>
    </w:p>
    <w:tbl>
      <w:tblPr>
        <w:tblStyle w:val="TableGrid3"/>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
        <w:gridCol w:w="527"/>
        <w:gridCol w:w="527"/>
        <w:gridCol w:w="528"/>
        <w:gridCol w:w="528"/>
        <w:gridCol w:w="600"/>
        <w:gridCol w:w="601"/>
        <w:gridCol w:w="601"/>
        <w:gridCol w:w="601"/>
        <w:gridCol w:w="601"/>
        <w:gridCol w:w="601"/>
        <w:gridCol w:w="983"/>
      </w:tblGrid>
      <w:tr w:rsidR="00737EBA" w:rsidRPr="00D30A32" w:rsidTr="0027449E">
        <w:trPr>
          <w:tblHeader/>
        </w:trPr>
        <w:tc>
          <w:tcPr>
            <w:tcW w:w="672" w:type="dxa"/>
            <w:vMerge w:val="restart"/>
            <w:tcBorders>
              <w:top w:val="single" w:sz="4" w:space="0" w:color="auto"/>
              <w:bottom w:val="single" w:sz="12" w:space="0" w:color="auto"/>
            </w:tcBorders>
            <w:shd w:val="clear" w:color="auto" w:fill="auto"/>
            <w:vAlign w:val="bottom"/>
          </w:tcPr>
          <w:p w:rsidR="00737EBA" w:rsidRPr="0073463F" w:rsidRDefault="00737EBA" w:rsidP="0073463F">
            <w:pPr>
              <w:keepNext/>
              <w:keepLines/>
              <w:suppressAutoHyphens w:val="0"/>
              <w:spacing w:before="40" w:after="40" w:line="220" w:lineRule="exact"/>
              <w:rPr>
                <w:rFonts w:eastAsia="Calibri"/>
                <w:i/>
                <w:iCs/>
                <w:sz w:val="16"/>
                <w:szCs w:val="22"/>
              </w:rPr>
            </w:pPr>
            <w:r w:rsidRPr="0073463F">
              <w:rPr>
                <w:i/>
                <w:iCs/>
                <w:sz w:val="16"/>
                <w:szCs w:val="22"/>
                <w:lang w:val="en-AU" w:eastAsia="en-AU" w:bidi="ta-IN"/>
              </w:rPr>
              <w:t>Year</w:t>
            </w:r>
          </w:p>
        </w:tc>
        <w:tc>
          <w:tcPr>
            <w:tcW w:w="1054" w:type="dxa"/>
            <w:gridSpan w:val="2"/>
            <w:tcBorders>
              <w:top w:val="single" w:sz="4" w:space="0" w:color="auto"/>
              <w:bottom w:val="single" w:sz="4" w:space="0" w:color="auto"/>
              <w:right w:val="single" w:sz="24" w:space="0" w:color="FFFFFF" w:themeColor="background1"/>
            </w:tcBorders>
            <w:shd w:val="clear" w:color="auto" w:fill="auto"/>
            <w:vAlign w:val="bottom"/>
          </w:tcPr>
          <w:p w:rsidR="00737EBA" w:rsidRPr="00D30A32" w:rsidRDefault="00737EBA" w:rsidP="00BC32E4">
            <w:pPr>
              <w:keepNext/>
              <w:keepLines/>
              <w:suppressAutoHyphens w:val="0"/>
              <w:spacing w:before="80" w:after="80" w:line="220" w:lineRule="exact"/>
              <w:rPr>
                <w:rFonts w:eastAsia="Calibri"/>
                <w:i/>
                <w:sz w:val="16"/>
                <w:szCs w:val="22"/>
              </w:rPr>
            </w:pPr>
            <w:r w:rsidRPr="00D30A32">
              <w:rPr>
                <w:rFonts w:eastAsia="Calibri"/>
                <w:i/>
                <w:sz w:val="16"/>
                <w:szCs w:val="22"/>
              </w:rPr>
              <w:t>Below 7 years</w:t>
            </w:r>
          </w:p>
        </w:tc>
        <w:tc>
          <w:tcPr>
            <w:tcW w:w="105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7EBA" w:rsidRPr="00D30A32" w:rsidRDefault="00737EBA" w:rsidP="0027449E">
            <w:pPr>
              <w:keepNext/>
              <w:keepLines/>
              <w:suppressAutoHyphens w:val="0"/>
              <w:spacing w:before="80" w:after="80" w:line="200" w:lineRule="exact"/>
              <w:ind w:left="-57" w:right="113"/>
              <w:jc w:val="center"/>
              <w:rPr>
                <w:rFonts w:eastAsia="Calibri"/>
                <w:i/>
                <w:sz w:val="16"/>
                <w:szCs w:val="22"/>
              </w:rPr>
            </w:pPr>
            <w:r w:rsidRPr="00D30A32">
              <w:rPr>
                <w:rFonts w:eastAsia="Calibri"/>
                <w:i/>
                <w:sz w:val="16"/>
                <w:szCs w:val="22"/>
              </w:rPr>
              <w:t>7 to 10 years</w:t>
            </w:r>
          </w:p>
        </w:tc>
        <w:tc>
          <w:tcPr>
            <w:tcW w:w="12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7EBA" w:rsidRPr="00D30A32" w:rsidRDefault="00737EBA" w:rsidP="0027449E">
            <w:pPr>
              <w:keepNext/>
              <w:keepLines/>
              <w:suppressAutoHyphens w:val="0"/>
              <w:spacing w:before="80" w:after="80" w:line="200" w:lineRule="exact"/>
              <w:ind w:left="-57" w:right="113"/>
              <w:jc w:val="center"/>
              <w:rPr>
                <w:rFonts w:eastAsia="Calibri"/>
                <w:i/>
                <w:sz w:val="16"/>
                <w:szCs w:val="22"/>
              </w:rPr>
            </w:pPr>
            <w:r w:rsidRPr="00D30A32">
              <w:rPr>
                <w:rFonts w:eastAsia="Calibri"/>
                <w:i/>
                <w:sz w:val="16"/>
                <w:szCs w:val="22"/>
              </w:rPr>
              <w:t>11 to 16 years</w:t>
            </w:r>
          </w:p>
        </w:tc>
        <w:tc>
          <w:tcPr>
            <w:tcW w:w="12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7EBA" w:rsidRPr="00D30A32" w:rsidRDefault="00737EBA" w:rsidP="0027449E">
            <w:pPr>
              <w:keepNext/>
              <w:keepLines/>
              <w:suppressAutoHyphens w:val="0"/>
              <w:spacing w:before="80" w:after="80" w:line="200" w:lineRule="exact"/>
              <w:ind w:left="-57" w:right="113"/>
              <w:jc w:val="center"/>
              <w:rPr>
                <w:rFonts w:eastAsia="Calibri"/>
                <w:i/>
                <w:sz w:val="16"/>
                <w:szCs w:val="22"/>
              </w:rPr>
            </w:pPr>
            <w:r w:rsidRPr="00D30A32">
              <w:rPr>
                <w:rFonts w:eastAsia="Calibri"/>
                <w:i/>
                <w:sz w:val="16"/>
                <w:szCs w:val="22"/>
              </w:rPr>
              <w:t>Over 16 years</w:t>
            </w:r>
          </w:p>
        </w:tc>
        <w:tc>
          <w:tcPr>
            <w:tcW w:w="12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7EBA" w:rsidRPr="00D30A32" w:rsidRDefault="00737EBA" w:rsidP="0027449E">
            <w:pPr>
              <w:keepNext/>
              <w:keepLines/>
              <w:suppressAutoHyphens w:val="0"/>
              <w:spacing w:before="80" w:after="80" w:line="200" w:lineRule="exact"/>
              <w:ind w:left="-57" w:right="113"/>
              <w:jc w:val="center"/>
              <w:rPr>
                <w:rFonts w:eastAsia="Calibri"/>
                <w:i/>
                <w:sz w:val="16"/>
                <w:szCs w:val="22"/>
              </w:rPr>
            </w:pPr>
            <w:r w:rsidRPr="00D30A32">
              <w:rPr>
                <w:rFonts w:eastAsia="Calibri"/>
                <w:i/>
                <w:sz w:val="16"/>
                <w:szCs w:val="22"/>
              </w:rPr>
              <w:t>Total</w:t>
            </w:r>
          </w:p>
        </w:tc>
        <w:tc>
          <w:tcPr>
            <w:tcW w:w="983" w:type="dxa"/>
            <w:vMerge w:val="restart"/>
            <w:tcBorders>
              <w:top w:val="single" w:sz="4"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Grand total</w:t>
            </w:r>
          </w:p>
        </w:tc>
      </w:tr>
      <w:tr w:rsidR="00737EBA" w:rsidRPr="00D30A32" w:rsidTr="0027449E">
        <w:trPr>
          <w:tblHeader/>
        </w:trPr>
        <w:tc>
          <w:tcPr>
            <w:tcW w:w="672" w:type="dxa"/>
            <w:vMerge/>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rPr>
                <w:sz w:val="18"/>
                <w:szCs w:val="24"/>
                <w:lang w:val="en-AU" w:eastAsia="en-AU" w:bidi="ta-IN"/>
              </w:rPr>
            </w:pPr>
          </w:p>
        </w:tc>
        <w:tc>
          <w:tcPr>
            <w:tcW w:w="527" w:type="dxa"/>
            <w:tcBorders>
              <w:top w:val="single" w:sz="4" w:space="0" w:color="auto"/>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M</w:t>
            </w:r>
          </w:p>
        </w:tc>
        <w:tc>
          <w:tcPr>
            <w:tcW w:w="527" w:type="dxa"/>
            <w:tcBorders>
              <w:top w:val="single" w:sz="4" w:space="0" w:color="auto"/>
              <w:bottom w:val="single" w:sz="12" w:space="0" w:color="auto"/>
              <w:right w:val="single" w:sz="24" w:space="0" w:color="FFFFFF" w:themeColor="background1"/>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F</w:t>
            </w:r>
          </w:p>
        </w:tc>
        <w:tc>
          <w:tcPr>
            <w:tcW w:w="528" w:type="dxa"/>
            <w:tcBorders>
              <w:top w:val="single" w:sz="4"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M</w:t>
            </w:r>
          </w:p>
        </w:tc>
        <w:tc>
          <w:tcPr>
            <w:tcW w:w="528" w:type="dxa"/>
            <w:tcBorders>
              <w:top w:val="single" w:sz="4" w:space="0" w:color="auto"/>
              <w:bottom w:val="single" w:sz="12" w:space="0" w:color="auto"/>
              <w:right w:val="single" w:sz="24" w:space="0" w:color="FFFFFF" w:themeColor="background1"/>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F</w:t>
            </w:r>
          </w:p>
        </w:tc>
        <w:tc>
          <w:tcPr>
            <w:tcW w:w="600" w:type="dxa"/>
            <w:tcBorders>
              <w:top w:val="single" w:sz="4"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M</w:t>
            </w:r>
          </w:p>
        </w:tc>
        <w:tc>
          <w:tcPr>
            <w:tcW w:w="601" w:type="dxa"/>
            <w:tcBorders>
              <w:top w:val="single" w:sz="4" w:space="0" w:color="auto"/>
              <w:bottom w:val="single" w:sz="12" w:space="0" w:color="auto"/>
              <w:right w:val="single" w:sz="24" w:space="0" w:color="FFFFFF" w:themeColor="background1"/>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F</w:t>
            </w:r>
          </w:p>
        </w:tc>
        <w:tc>
          <w:tcPr>
            <w:tcW w:w="601" w:type="dxa"/>
            <w:tcBorders>
              <w:top w:val="single" w:sz="4"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M</w:t>
            </w:r>
          </w:p>
        </w:tc>
        <w:tc>
          <w:tcPr>
            <w:tcW w:w="601" w:type="dxa"/>
            <w:tcBorders>
              <w:top w:val="single" w:sz="4" w:space="0" w:color="auto"/>
              <w:bottom w:val="single" w:sz="12" w:space="0" w:color="auto"/>
              <w:right w:val="single" w:sz="24" w:space="0" w:color="FFFFFF" w:themeColor="background1"/>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F</w:t>
            </w:r>
          </w:p>
        </w:tc>
        <w:tc>
          <w:tcPr>
            <w:tcW w:w="601" w:type="dxa"/>
            <w:tcBorders>
              <w:top w:val="single" w:sz="4"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M</w:t>
            </w:r>
          </w:p>
        </w:tc>
        <w:tc>
          <w:tcPr>
            <w:tcW w:w="601" w:type="dxa"/>
            <w:tcBorders>
              <w:top w:val="single" w:sz="4" w:space="0" w:color="auto"/>
              <w:bottom w:val="single" w:sz="12" w:space="0" w:color="auto"/>
              <w:right w:val="single" w:sz="24" w:space="0" w:color="FFFFFF" w:themeColor="background1"/>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r w:rsidRPr="00D30A32">
              <w:rPr>
                <w:rFonts w:eastAsia="Calibri"/>
                <w:i/>
                <w:sz w:val="16"/>
                <w:szCs w:val="22"/>
              </w:rPr>
              <w:t>F</w:t>
            </w:r>
          </w:p>
        </w:tc>
        <w:tc>
          <w:tcPr>
            <w:tcW w:w="983" w:type="dxa"/>
            <w:vMerge/>
            <w:tcBorders>
              <w:top w:val="single" w:sz="12" w:space="0" w:color="auto"/>
              <w:left w:val="single" w:sz="24" w:space="0" w:color="FFFFFF" w:themeColor="background1"/>
              <w:bottom w:val="single" w:sz="12" w:space="0" w:color="auto"/>
            </w:tcBorders>
            <w:shd w:val="clear" w:color="auto" w:fill="auto"/>
            <w:vAlign w:val="bottom"/>
          </w:tcPr>
          <w:p w:rsidR="00737EBA" w:rsidRPr="00D30A32" w:rsidRDefault="00737EBA" w:rsidP="00D30A32">
            <w:pPr>
              <w:keepNext/>
              <w:keepLines/>
              <w:suppressAutoHyphens w:val="0"/>
              <w:spacing w:before="80" w:after="80" w:line="200" w:lineRule="exact"/>
              <w:ind w:left="-57" w:right="113"/>
              <w:jc w:val="right"/>
              <w:rPr>
                <w:rFonts w:eastAsia="Calibri"/>
                <w:i/>
                <w:sz w:val="16"/>
                <w:szCs w:val="22"/>
              </w:rPr>
            </w:pPr>
          </w:p>
        </w:tc>
      </w:tr>
      <w:tr w:rsidR="00737EBA" w:rsidRPr="00D30A32" w:rsidTr="0027449E">
        <w:tc>
          <w:tcPr>
            <w:tcW w:w="672" w:type="dxa"/>
            <w:tcBorders>
              <w:top w:val="single" w:sz="12" w:space="0" w:color="auto"/>
              <w:bottom w:val="single" w:sz="12" w:space="0" w:color="auto"/>
            </w:tcBorders>
            <w:shd w:val="clear" w:color="auto" w:fill="auto"/>
          </w:tcPr>
          <w:p w:rsidR="00737EBA" w:rsidRPr="00D30A32" w:rsidRDefault="00737EBA" w:rsidP="00D30A32">
            <w:pPr>
              <w:keepNext/>
              <w:keepLines/>
              <w:suppressAutoHyphens w:val="0"/>
              <w:spacing w:before="40" w:after="40" w:line="220" w:lineRule="exact"/>
              <w:rPr>
                <w:sz w:val="18"/>
                <w:szCs w:val="24"/>
                <w:lang w:val="en-AU" w:eastAsia="en-AU" w:bidi="ta-IN"/>
              </w:rPr>
            </w:pPr>
            <w:r w:rsidRPr="00D30A32">
              <w:rPr>
                <w:sz w:val="18"/>
                <w:szCs w:val="24"/>
                <w:lang w:val="en-AU" w:eastAsia="en-AU" w:bidi="ta-IN"/>
              </w:rPr>
              <w:t>2017</w:t>
            </w:r>
          </w:p>
        </w:tc>
        <w:tc>
          <w:tcPr>
            <w:tcW w:w="527"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11</w:t>
            </w:r>
          </w:p>
        </w:tc>
        <w:tc>
          <w:tcPr>
            <w:tcW w:w="527"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10</w:t>
            </w:r>
          </w:p>
        </w:tc>
        <w:tc>
          <w:tcPr>
            <w:tcW w:w="528"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27</w:t>
            </w:r>
          </w:p>
        </w:tc>
        <w:tc>
          <w:tcPr>
            <w:tcW w:w="528"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25</w:t>
            </w:r>
          </w:p>
        </w:tc>
        <w:tc>
          <w:tcPr>
            <w:tcW w:w="600"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617</w:t>
            </w:r>
          </w:p>
        </w:tc>
        <w:tc>
          <w:tcPr>
            <w:tcW w:w="601"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399</w:t>
            </w:r>
          </w:p>
        </w:tc>
        <w:tc>
          <w:tcPr>
            <w:tcW w:w="601"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225</w:t>
            </w:r>
          </w:p>
        </w:tc>
        <w:tc>
          <w:tcPr>
            <w:tcW w:w="601"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134</w:t>
            </w:r>
          </w:p>
        </w:tc>
        <w:tc>
          <w:tcPr>
            <w:tcW w:w="601"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880</w:t>
            </w:r>
          </w:p>
        </w:tc>
        <w:tc>
          <w:tcPr>
            <w:tcW w:w="601"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568</w:t>
            </w:r>
          </w:p>
        </w:tc>
        <w:tc>
          <w:tcPr>
            <w:tcW w:w="983" w:type="dxa"/>
            <w:tcBorders>
              <w:top w:val="single" w:sz="12" w:space="0" w:color="auto"/>
              <w:bottom w:val="single" w:sz="12" w:space="0" w:color="auto"/>
            </w:tcBorders>
            <w:shd w:val="clear" w:color="auto" w:fill="auto"/>
            <w:vAlign w:val="bottom"/>
          </w:tcPr>
          <w:p w:rsidR="00737EBA" w:rsidRPr="00D30A32" w:rsidRDefault="00737EBA" w:rsidP="00D30A32">
            <w:pPr>
              <w:keepNext/>
              <w:keepLines/>
              <w:suppressAutoHyphens w:val="0"/>
              <w:spacing w:before="40" w:after="40" w:line="220" w:lineRule="exact"/>
              <w:ind w:left="-57" w:right="113"/>
              <w:jc w:val="right"/>
              <w:rPr>
                <w:rFonts w:eastAsia="Calibri"/>
                <w:sz w:val="18"/>
                <w:szCs w:val="22"/>
              </w:rPr>
            </w:pPr>
            <w:r w:rsidRPr="00D30A32">
              <w:rPr>
                <w:rFonts w:eastAsia="Calibri"/>
                <w:sz w:val="18"/>
                <w:szCs w:val="22"/>
              </w:rPr>
              <w:t>1</w:t>
            </w:r>
            <w:r w:rsidR="00C22AEE">
              <w:rPr>
                <w:rFonts w:eastAsia="Calibri"/>
                <w:sz w:val="18"/>
                <w:szCs w:val="22"/>
              </w:rPr>
              <w:t xml:space="preserve"> </w:t>
            </w:r>
            <w:r w:rsidRPr="00D30A32">
              <w:rPr>
                <w:rFonts w:eastAsia="Calibri"/>
                <w:sz w:val="18"/>
                <w:szCs w:val="22"/>
              </w:rPr>
              <w:t>448</w:t>
            </w:r>
          </w:p>
        </w:tc>
      </w:tr>
    </w:tbl>
    <w:p w:rsidR="00737EBA" w:rsidRDefault="00CB002F" w:rsidP="00B2409E">
      <w:pPr>
        <w:pStyle w:val="SingleTxtG"/>
        <w:spacing w:before="240"/>
      </w:pPr>
      <w:r>
        <w:t>3.</w:t>
      </w:r>
      <w:r>
        <w:tab/>
      </w:r>
      <w:r w:rsidR="00737EBA" w:rsidRPr="00550C3D">
        <w:t>Child victims and accused are referred to certified schools for correctional or therapeutic services on court orders for a maximum period of three years. The number of children admitted to certified schools during the period between 2015 and 2017 are given below. The inmates of certified schools are given non-formal education, vocational training, therapeutic treatment and programs on character building during their stay. They are re-integrated into society after the</w:t>
      </w:r>
      <w:r w:rsidR="00737EBA">
        <w:t xml:space="preserve"> expiry of the court orders:</w:t>
      </w:r>
      <w:r w:rsidR="00737EBA" w:rsidRPr="00550C3D">
        <w:t xml:space="preserve"> </w:t>
      </w:r>
    </w:p>
    <w:p w:rsidR="00737EBA" w:rsidRDefault="00737EBA" w:rsidP="0013527C">
      <w:pPr>
        <w:pStyle w:val="H23G"/>
        <w:rPr>
          <w:lang w:val="en-US"/>
        </w:rPr>
      </w:pPr>
      <w:r>
        <w:rPr>
          <w:lang w:val="en-US"/>
        </w:rPr>
        <w:tab/>
      </w:r>
      <w:r>
        <w:rPr>
          <w:lang w:val="en-US"/>
        </w:rPr>
        <w:tab/>
      </w:r>
      <w:r w:rsidRPr="003B744F">
        <w:rPr>
          <w:lang w:val="en-US"/>
        </w:rPr>
        <w:t>Children admitted to Certified Schools for Rehabilitation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3"/>
        <w:gridCol w:w="3957"/>
      </w:tblGrid>
      <w:tr w:rsidR="00737EBA" w:rsidRPr="00B2409E" w:rsidTr="00B2409E">
        <w:trPr>
          <w:tblHeader/>
        </w:trPr>
        <w:tc>
          <w:tcPr>
            <w:tcW w:w="3413" w:type="dxa"/>
            <w:tcBorders>
              <w:top w:val="single" w:sz="4" w:space="0" w:color="auto"/>
              <w:bottom w:val="single" w:sz="12" w:space="0" w:color="auto"/>
            </w:tcBorders>
            <w:shd w:val="clear" w:color="auto" w:fill="auto"/>
            <w:vAlign w:val="bottom"/>
          </w:tcPr>
          <w:p w:rsidR="00737EBA" w:rsidRPr="00B2409E" w:rsidRDefault="00737EBA" w:rsidP="00B2409E">
            <w:pPr>
              <w:pStyle w:val="SingleTxtG"/>
              <w:suppressAutoHyphens w:val="0"/>
              <w:spacing w:before="80" w:after="80" w:line="200" w:lineRule="exact"/>
              <w:ind w:left="0" w:right="113"/>
              <w:jc w:val="left"/>
              <w:rPr>
                <w:i/>
                <w:sz w:val="16"/>
              </w:rPr>
            </w:pPr>
            <w:r w:rsidRPr="00B2409E">
              <w:rPr>
                <w:i/>
                <w:sz w:val="16"/>
              </w:rPr>
              <w:t>Year</w:t>
            </w:r>
          </w:p>
        </w:tc>
        <w:tc>
          <w:tcPr>
            <w:tcW w:w="3957" w:type="dxa"/>
            <w:tcBorders>
              <w:top w:val="single" w:sz="4" w:space="0" w:color="auto"/>
              <w:bottom w:val="single" w:sz="12" w:space="0" w:color="auto"/>
            </w:tcBorders>
            <w:shd w:val="clear" w:color="auto" w:fill="auto"/>
            <w:vAlign w:val="bottom"/>
          </w:tcPr>
          <w:p w:rsidR="00737EBA" w:rsidRPr="00B2409E" w:rsidRDefault="00737EBA" w:rsidP="00B2409E">
            <w:pPr>
              <w:pStyle w:val="SingleTxtG"/>
              <w:suppressAutoHyphens w:val="0"/>
              <w:spacing w:before="80" w:after="80" w:line="200" w:lineRule="exact"/>
              <w:ind w:left="0" w:right="113"/>
              <w:jc w:val="right"/>
              <w:rPr>
                <w:i/>
                <w:sz w:val="16"/>
              </w:rPr>
            </w:pPr>
            <w:r w:rsidRPr="00B2409E">
              <w:rPr>
                <w:i/>
                <w:sz w:val="16"/>
              </w:rPr>
              <w:t>No. of Admissions</w:t>
            </w:r>
          </w:p>
        </w:tc>
      </w:tr>
      <w:tr w:rsidR="00737EBA" w:rsidRPr="00B2409E" w:rsidTr="00B2409E">
        <w:tc>
          <w:tcPr>
            <w:tcW w:w="3413" w:type="dxa"/>
            <w:tcBorders>
              <w:top w:val="single" w:sz="12" w:space="0" w:color="auto"/>
            </w:tcBorders>
            <w:shd w:val="clear" w:color="auto" w:fill="auto"/>
          </w:tcPr>
          <w:p w:rsidR="00737EBA" w:rsidRPr="00B2409E" w:rsidRDefault="00737EBA" w:rsidP="00B2409E">
            <w:pPr>
              <w:pStyle w:val="SingleTxtG"/>
              <w:suppressAutoHyphens w:val="0"/>
              <w:spacing w:before="40" w:after="40" w:line="220" w:lineRule="exact"/>
              <w:ind w:left="0" w:right="113"/>
              <w:jc w:val="left"/>
              <w:rPr>
                <w:sz w:val="18"/>
              </w:rPr>
            </w:pPr>
            <w:r w:rsidRPr="00B2409E">
              <w:rPr>
                <w:sz w:val="18"/>
              </w:rPr>
              <w:t>2015</w:t>
            </w:r>
          </w:p>
        </w:tc>
        <w:tc>
          <w:tcPr>
            <w:tcW w:w="3957" w:type="dxa"/>
            <w:tcBorders>
              <w:top w:val="single" w:sz="12" w:space="0" w:color="auto"/>
            </w:tcBorders>
            <w:shd w:val="clear" w:color="auto" w:fill="auto"/>
            <w:vAlign w:val="bottom"/>
          </w:tcPr>
          <w:p w:rsidR="00737EBA" w:rsidRPr="00B2409E" w:rsidRDefault="00737EBA" w:rsidP="00B2409E">
            <w:pPr>
              <w:pStyle w:val="SingleTxtG"/>
              <w:suppressAutoHyphens w:val="0"/>
              <w:spacing w:before="40" w:after="40" w:line="220" w:lineRule="exact"/>
              <w:ind w:left="0" w:right="113"/>
              <w:jc w:val="right"/>
              <w:rPr>
                <w:sz w:val="18"/>
              </w:rPr>
            </w:pPr>
            <w:r w:rsidRPr="00B2409E">
              <w:rPr>
                <w:sz w:val="18"/>
              </w:rPr>
              <w:t>350</w:t>
            </w:r>
          </w:p>
        </w:tc>
      </w:tr>
      <w:tr w:rsidR="00737EBA" w:rsidRPr="00B2409E" w:rsidTr="00B2409E">
        <w:tc>
          <w:tcPr>
            <w:tcW w:w="3413" w:type="dxa"/>
            <w:shd w:val="clear" w:color="auto" w:fill="auto"/>
          </w:tcPr>
          <w:p w:rsidR="00737EBA" w:rsidRPr="00B2409E" w:rsidRDefault="00737EBA" w:rsidP="00B2409E">
            <w:pPr>
              <w:pStyle w:val="SingleTxtG"/>
              <w:suppressAutoHyphens w:val="0"/>
              <w:spacing w:before="40" w:after="40" w:line="220" w:lineRule="exact"/>
              <w:ind w:left="0" w:right="113"/>
              <w:jc w:val="left"/>
              <w:rPr>
                <w:sz w:val="18"/>
              </w:rPr>
            </w:pPr>
            <w:r w:rsidRPr="00B2409E">
              <w:rPr>
                <w:sz w:val="18"/>
              </w:rPr>
              <w:t>2016</w:t>
            </w:r>
          </w:p>
        </w:tc>
        <w:tc>
          <w:tcPr>
            <w:tcW w:w="3957" w:type="dxa"/>
            <w:shd w:val="clear" w:color="auto" w:fill="auto"/>
            <w:vAlign w:val="bottom"/>
          </w:tcPr>
          <w:p w:rsidR="00737EBA" w:rsidRPr="00B2409E" w:rsidRDefault="00737EBA" w:rsidP="00B2409E">
            <w:pPr>
              <w:pStyle w:val="SingleTxtG"/>
              <w:suppressAutoHyphens w:val="0"/>
              <w:spacing w:before="40" w:after="40" w:line="220" w:lineRule="exact"/>
              <w:ind w:left="0" w:right="113"/>
              <w:jc w:val="right"/>
              <w:rPr>
                <w:sz w:val="18"/>
              </w:rPr>
            </w:pPr>
            <w:r w:rsidRPr="00B2409E">
              <w:rPr>
                <w:sz w:val="18"/>
              </w:rPr>
              <w:t>466</w:t>
            </w:r>
          </w:p>
        </w:tc>
      </w:tr>
    </w:tbl>
    <w:p w:rsidR="00737EBA" w:rsidRDefault="00737EBA" w:rsidP="0013527C">
      <w:pPr>
        <w:pStyle w:val="H23G"/>
        <w:rPr>
          <w:lang w:val="en-AU"/>
        </w:rPr>
      </w:pPr>
      <w:r>
        <w:rPr>
          <w:lang w:val="en-AU"/>
        </w:rPr>
        <w:tab/>
      </w:r>
      <w:r>
        <w:rPr>
          <w:lang w:val="en-AU"/>
        </w:rPr>
        <w:tab/>
      </w:r>
      <w:r w:rsidRPr="0039206E">
        <w:rPr>
          <w:lang w:val="en-AU"/>
        </w:rPr>
        <w:t>Children admitted to Certified Schools for Rehabilitation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2"/>
        <w:gridCol w:w="1843"/>
        <w:gridCol w:w="2579"/>
        <w:gridCol w:w="1546"/>
      </w:tblGrid>
      <w:tr w:rsidR="00737EBA" w:rsidRPr="00882341" w:rsidTr="00882341">
        <w:trPr>
          <w:tblHeader/>
        </w:trPr>
        <w:tc>
          <w:tcPr>
            <w:tcW w:w="1402" w:type="dxa"/>
            <w:tcBorders>
              <w:top w:val="single" w:sz="4" w:space="0" w:color="auto"/>
              <w:bottom w:val="single" w:sz="12" w:space="0" w:color="auto"/>
            </w:tcBorders>
            <w:shd w:val="clear" w:color="auto" w:fill="auto"/>
            <w:noWrap/>
            <w:vAlign w:val="bottom"/>
            <w:hideMark/>
          </w:tcPr>
          <w:p w:rsidR="00737EBA" w:rsidRPr="00882341" w:rsidRDefault="00737EBA" w:rsidP="00882341">
            <w:pPr>
              <w:suppressAutoHyphens w:val="0"/>
              <w:spacing w:before="80" w:after="80" w:line="200" w:lineRule="exact"/>
              <w:ind w:right="113"/>
              <w:rPr>
                <w:rFonts w:eastAsia="Calibri"/>
                <w:bCs/>
                <w:i/>
                <w:sz w:val="16"/>
                <w:szCs w:val="22"/>
                <w:lang w:val="en-AU"/>
              </w:rPr>
            </w:pPr>
            <w:r w:rsidRPr="00882341">
              <w:rPr>
                <w:rFonts w:eastAsia="Calibri"/>
                <w:bCs/>
                <w:i/>
                <w:sz w:val="16"/>
                <w:szCs w:val="22"/>
                <w:lang w:val="en-AU"/>
              </w:rPr>
              <w:t>Year</w:t>
            </w:r>
          </w:p>
        </w:tc>
        <w:tc>
          <w:tcPr>
            <w:tcW w:w="1843" w:type="dxa"/>
            <w:tcBorders>
              <w:top w:val="single" w:sz="4" w:space="0" w:color="auto"/>
              <w:bottom w:val="single" w:sz="12" w:space="0" w:color="auto"/>
            </w:tcBorders>
            <w:shd w:val="clear" w:color="auto" w:fill="auto"/>
            <w:noWrap/>
            <w:vAlign w:val="bottom"/>
            <w:hideMark/>
          </w:tcPr>
          <w:p w:rsidR="00737EBA" w:rsidRPr="00882341" w:rsidRDefault="00737EBA" w:rsidP="00882341">
            <w:pPr>
              <w:suppressAutoHyphens w:val="0"/>
              <w:spacing w:before="80" w:after="80" w:line="200" w:lineRule="exact"/>
              <w:ind w:right="113"/>
              <w:jc w:val="right"/>
              <w:rPr>
                <w:rFonts w:eastAsia="Calibri"/>
                <w:bCs/>
                <w:i/>
                <w:sz w:val="16"/>
                <w:szCs w:val="22"/>
                <w:lang w:val="en-AU"/>
              </w:rPr>
            </w:pPr>
            <w:r w:rsidRPr="00882341">
              <w:rPr>
                <w:rFonts w:eastAsia="Calibri"/>
                <w:bCs/>
                <w:i/>
                <w:sz w:val="16"/>
                <w:szCs w:val="22"/>
                <w:lang w:val="en-AU"/>
              </w:rPr>
              <w:t>Male</w:t>
            </w:r>
          </w:p>
        </w:tc>
        <w:tc>
          <w:tcPr>
            <w:tcW w:w="2579" w:type="dxa"/>
            <w:tcBorders>
              <w:top w:val="single" w:sz="4" w:space="0" w:color="auto"/>
              <w:bottom w:val="single" w:sz="12" w:space="0" w:color="auto"/>
            </w:tcBorders>
            <w:shd w:val="clear" w:color="auto" w:fill="auto"/>
            <w:noWrap/>
            <w:vAlign w:val="bottom"/>
            <w:hideMark/>
          </w:tcPr>
          <w:p w:rsidR="00737EBA" w:rsidRPr="00882341" w:rsidRDefault="00737EBA" w:rsidP="00882341">
            <w:pPr>
              <w:suppressAutoHyphens w:val="0"/>
              <w:spacing w:before="80" w:after="80" w:line="200" w:lineRule="exact"/>
              <w:ind w:right="113"/>
              <w:jc w:val="right"/>
              <w:rPr>
                <w:rFonts w:eastAsia="Calibri"/>
                <w:bCs/>
                <w:i/>
                <w:sz w:val="16"/>
                <w:szCs w:val="22"/>
                <w:lang w:val="en-AU"/>
              </w:rPr>
            </w:pPr>
            <w:r w:rsidRPr="00882341">
              <w:rPr>
                <w:rFonts w:eastAsia="Calibri"/>
                <w:bCs/>
                <w:i/>
                <w:sz w:val="16"/>
                <w:szCs w:val="22"/>
                <w:lang w:val="en-AU"/>
              </w:rPr>
              <w:t>Female</w:t>
            </w:r>
          </w:p>
        </w:tc>
        <w:tc>
          <w:tcPr>
            <w:tcW w:w="1546" w:type="dxa"/>
            <w:tcBorders>
              <w:top w:val="single" w:sz="4" w:space="0" w:color="auto"/>
              <w:bottom w:val="single" w:sz="12" w:space="0" w:color="auto"/>
            </w:tcBorders>
            <w:shd w:val="clear" w:color="auto" w:fill="auto"/>
            <w:noWrap/>
            <w:vAlign w:val="bottom"/>
            <w:hideMark/>
          </w:tcPr>
          <w:p w:rsidR="00737EBA" w:rsidRPr="00882341" w:rsidRDefault="00737EBA" w:rsidP="00882341">
            <w:pPr>
              <w:suppressAutoHyphens w:val="0"/>
              <w:spacing w:before="80" w:after="80" w:line="200" w:lineRule="exact"/>
              <w:ind w:right="113"/>
              <w:jc w:val="right"/>
              <w:rPr>
                <w:rFonts w:eastAsia="Calibri"/>
                <w:bCs/>
                <w:i/>
                <w:sz w:val="16"/>
                <w:szCs w:val="22"/>
                <w:lang w:val="en-AU"/>
              </w:rPr>
            </w:pPr>
            <w:r w:rsidRPr="00882341">
              <w:rPr>
                <w:rFonts w:eastAsia="Calibri"/>
                <w:bCs/>
                <w:i/>
                <w:sz w:val="16"/>
                <w:szCs w:val="22"/>
                <w:lang w:val="en-AU"/>
              </w:rPr>
              <w:t>Total</w:t>
            </w:r>
          </w:p>
        </w:tc>
      </w:tr>
      <w:tr w:rsidR="00737EBA" w:rsidRPr="00882341" w:rsidTr="00882341">
        <w:tc>
          <w:tcPr>
            <w:tcW w:w="1402" w:type="dxa"/>
            <w:tcBorders>
              <w:top w:val="single" w:sz="12" w:space="0" w:color="auto"/>
            </w:tcBorders>
            <w:shd w:val="clear" w:color="auto" w:fill="auto"/>
            <w:noWrap/>
            <w:hideMark/>
          </w:tcPr>
          <w:p w:rsidR="00737EBA" w:rsidRPr="00882341" w:rsidRDefault="00737EBA" w:rsidP="00882341">
            <w:pPr>
              <w:suppressAutoHyphens w:val="0"/>
              <w:spacing w:before="40" w:after="40" w:line="220" w:lineRule="exact"/>
              <w:ind w:right="113"/>
              <w:rPr>
                <w:rFonts w:eastAsia="Calibri"/>
                <w:sz w:val="18"/>
                <w:szCs w:val="22"/>
                <w:lang w:val="en-AU"/>
              </w:rPr>
            </w:pPr>
            <w:r w:rsidRPr="00882341">
              <w:rPr>
                <w:rFonts w:eastAsia="Calibri"/>
                <w:sz w:val="18"/>
                <w:szCs w:val="22"/>
                <w:lang w:val="en-AU"/>
              </w:rPr>
              <w:t>2017</w:t>
            </w:r>
          </w:p>
        </w:tc>
        <w:tc>
          <w:tcPr>
            <w:tcW w:w="1843" w:type="dxa"/>
            <w:tcBorders>
              <w:top w:val="single" w:sz="12" w:space="0" w:color="auto"/>
            </w:tcBorders>
            <w:shd w:val="clear" w:color="auto" w:fill="auto"/>
            <w:noWrap/>
            <w:vAlign w:val="bottom"/>
            <w:hideMark/>
          </w:tcPr>
          <w:p w:rsidR="00737EBA" w:rsidRPr="00882341" w:rsidRDefault="00737EBA" w:rsidP="00882341">
            <w:pPr>
              <w:suppressAutoHyphens w:val="0"/>
              <w:spacing w:before="40" w:after="40" w:line="220" w:lineRule="exact"/>
              <w:ind w:right="113"/>
              <w:jc w:val="right"/>
              <w:rPr>
                <w:rFonts w:eastAsia="Calibri"/>
                <w:sz w:val="18"/>
                <w:szCs w:val="22"/>
                <w:lang w:val="en-AU"/>
              </w:rPr>
            </w:pPr>
            <w:r w:rsidRPr="00882341">
              <w:rPr>
                <w:rFonts w:eastAsia="Calibri"/>
                <w:sz w:val="18"/>
                <w:szCs w:val="22"/>
                <w:lang w:val="en-AU"/>
              </w:rPr>
              <w:t>166</w:t>
            </w:r>
          </w:p>
        </w:tc>
        <w:tc>
          <w:tcPr>
            <w:tcW w:w="2579" w:type="dxa"/>
            <w:tcBorders>
              <w:top w:val="single" w:sz="12" w:space="0" w:color="auto"/>
            </w:tcBorders>
            <w:shd w:val="clear" w:color="auto" w:fill="auto"/>
            <w:noWrap/>
            <w:vAlign w:val="bottom"/>
            <w:hideMark/>
          </w:tcPr>
          <w:p w:rsidR="00737EBA" w:rsidRPr="00882341" w:rsidRDefault="00737EBA" w:rsidP="00882341">
            <w:pPr>
              <w:suppressAutoHyphens w:val="0"/>
              <w:spacing w:before="40" w:after="40" w:line="220" w:lineRule="exact"/>
              <w:ind w:right="113"/>
              <w:jc w:val="right"/>
              <w:rPr>
                <w:rFonts w:eastAsia="Calibri"/>
                <w:sz w:val="18"/>
                <w:szCs w:val="22"/>
                <w:lang w:val="en-AU"/>
              </w:rPr>
            </w:pPr>
            <w:r w:rsidRPr="00882341">
              <w:rPr>
                <w:rFonts w:eastAsia="Calibri"/>
                <w:sz w:val="18"/>
                <w:szCs w:val="22"/>
                <w:lang w:val="en-AU"/>
              </w:rPr>
              <w:t>54</w:t>
            </w:r>
          </w:p>
        </w:tc>
        <w:tc>
          <w:tcPr>
            <w:tcW w:w="1546" w:type="dxa"/>
            <w:tcBorders>
              <w:top w:val="single" w:sz="12" w:space="0" w:color="auto"/>
            </w:tcBorders>
            <w:shd w:val="clear" w:color="auto" w:fill="auto"/>
            <w:noWrap/>
            <w:vAlign w:val="bottom"/>
            <w:hideMark/>
          </w:tcPr>
          <w:p w:rsidR="00737EBA" w:rsidRPr="00882341" w:rsidRDefault="00737EBA" w:rsidP="00882341">
            <w:pPr>
              <w:suppressAutoHyphens w:val="0"/>
              <w:spacing w:before="40" w:after="40" w:line="220" w:lineRule="exact"/>
              <w:ind w:right="113"/>
              <w:jc w:val="right"/>
              <w:rPr>
                <w:rFonts w:eastAsia="Calibri"/>
                <w:sz w:val="18"/>
                <w:szCs w:val="22"/>
                <w:lang w:val="en-AU"/>
              </w:rPr>
            </w:pPr>
            <w:r w:rsidRPr="00882341">
              <w:rPr>
                <w:rFonts w:eastAsia="Calibri"/>
                <w:sz w:val="18"/>
                <w:szCs w:val="22"/>
                <w:lang w:val="en-AU"/>
              </w:rPr>
              <w:t>220</w:t>
            </w:r>
          </w:p>
        </w:tc>
      </w:tr>
    </w:tbl>
    <w:p w:rsidR="00737EBA" w:rsidRDefault="00737EBA" w:rsidP="0013527C">
      <w:pPr>
        <w:pStyle w:val="H23G"/>
        <w:rPr>
          <w:lang w:val="en-AU"/>
        </w:rPr>
      </w:pPr>
      <w:r>
        <w:rPr>
          <w:lang w:val="en-AU"/>
        </w:rPr>
        <w:tab/>
      </w:r>
      <w:r>
        <w:rPr>
          <w:lang w:val="en-AU"/>
        </w:rPr>
        <w:tab/>
      </w:r>
      <w:r w:rsidRPr="00550C3D">
        <w:rPr>
          <w:lang w:val="en-AU"/>
        </w:rPr>
        <w:t>Number of Children admitted to Certified Schools for Rehabilitation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41"/>
        <w:gridCol w:w="1637"/>
        <w:gridCol w:w="1541"/>
        <w:gridCol w:w="1451"/>
      </w:tblGrid>
      <w:tr w:rsidR="00A40779" w:rsidRPr="00A40779" w:rsidTr="00A40779">
        <w:trPr>
          <w:tblHeader/>
        </w:trPr>
        <w:tc>
          <w:tcPr>
            <w:tcW w:w="2279" w:type="dxa"/>
            <w:tcBorders>
              <w:top w:val="single" w:sz="4" w:space="0" w:color="auto"/>
              <w:bottom w:val="single" w:sz="12" w:space="0" w:color="auto"/>
            </w:tcBorders>
            <w:shd w:val="clear" w:color="auto" w:fill="auto"/>
            <w:noWrap/>
            <w:vAlign w:val="bottom"/>
            <w:hideMark/>
          </w:tcPr>
          <w:p w:rsidR="00A40779" w:rsidRPr="00A40779" w:rsidRDefault="00A40779" w:rsidP="00A40779">
            <w:pPr>
              <w:suppressAutoHyphens w:val="0"/>
              <w:spacing w:before="80" w:after="80" w:line="200" w:lineRule="exact"/>
              <w:ind w:right="113"/>
              <w:rPr>
                <w:i/>
                <w:sz w:val="16"/>
              </w:rPr>
            </w:pPr>
            <w:r w:rsidRPr="00A40779">
              <w:rPr>
                <w:i/>
                <w:sz w:val="16"/>
              </w:rPr>
              <w:t>Year</w:t>
            </w:r>
          </w:p>
        </w:tc>
        <w:tc>
          <w:tcPr>
            <w:tcW w:w="1361" w:type="dxa"/>
            <w:tcBorders>
              <w:top w:val="single" w:sz="4" w:space="0" w:color="auto"/>
              <w:bottom w:val="single" w:sz="12" w:space="0" w:color="auto"/>
            </w:tcBorders>
            <w:shd w:val="clear" w:color="auto" w:fill="auto"/>
            <w:noWrap/>
            <w:vAlign w:val="bottom"/>
            <w:hideMark/>
          </w:tcPr>
          <w:p w:rsidR="00A40779" w:rsidRPr="00A40779" w:rsidRDefault="00A40779" w:rsidP="00A40779">
            <w:pPr>
              <w:suppressAutoHyphens w:val="0"/>
              <w:spacing w:before="80" w:after="80" w:line="200" w:lineRule="exact"/>
              <w:ind w:right="113"/>
              <w:jc w:val="right"/>
              <w:rPr>
                <w:i/>
                <w:sz w:val="16"/>
              </w:rPr>
            </w:pPr>
            <w:r w:rsidRPr="00A40779">
              <w:rPr>
                <w:i/>
                <w:sz w:val="16"/>
              </w:rPr>
              <w:t>Convicted</w:t>
            </w:r>
          </w:p>
        </w:tc>
        <w:tc>
          <w:tcPr>
            <w:tcW w:w="1281" w:type="dxa"/>
            <w:tcBorders>
              <w:top w:val="single" w:sz="4" w:space="0" w:color="auto"/>
              <w:bottom w:val="single" w:sz="12" w:space="0" w:color="auto"/>
            </w:tcBorders>
            <w:shd w:val="clear" w:color="auto" w:fill="auto"/>
            <w:noWrap/>
            <w:vAlign w:val="bottom"/>
            <w:hideMark/>
          </w:tcPr>
          <w:p w:rsidR="00A40779" w:rsidRPr="00A40779" w:rsidRDefault="00A40779" w:rsidP="00A40779">
            <w:pPr>
              <w:suppressAutoHyphens w:val="0"/>
              <w:spacing w:before="80" w:after="80" w:line="200" w:lineRule="exact"/>
              <w:ind w:right="113"/>
              <w:jc w:val="right"/>
              <w:rPr>
                <w:i/>
                <w:sz w:val="16"/>
              </w:rPr>
            </w:pPr>
            <w:r w:rsidRPr="00A40779">
              <w:rPr>
                <w:i/>
                <w:sz w:val="16"/>
              </w:rPr>
              <w:t>Victims</w:t>
            </w:r>
          </w:p>
        </w:tc>
        <w:tc>
          <w:tcPr>
            <w:tcW w:w="1206" w:type="dxa"/>
            <w:tcBorders>
              <w:top w:val="single" w:sz="4" w:space="0" w:color="auto"/>
              <w:bottom w:val="single" w:sz="12" w:space="0" w:color="auto"/>
            </w:tcBorders>
            <w:shd w:val="clear" w:color="auto" w:fill="auto"/>
            <w:noWrap/>
            <w:vAlign w:val="bottom"/>
            <w:hideMark/>
          </w:tcPr>
          <w:p w:rsidR="00A40779" w:rsidRPr="00A40779" w:rsidRDefault="00A40779" w:rsidP="00A40779">
            <w:pPr>
              <w:suppressAutoHyphens w:val="0"/>
              <w:spacing w:before="80" w:after="80" w:line="200" w:lineRule="exact"/>
              <w:ind w:right="113"/>
              <w:jc w:val="right"/>
              <w:rPr>
                <w:i/>
                <w:sz w:val="16"/>
              </w:rPr>
            </w:pPr>
            <w:r w:rsidRPr="00A40779">
              <w:rPr>
                <w:i/>
                <w:sz w:val="16"/>
              </w:rPr>
              <w:t>Total</w:t>
            </w:r>
          </w:p>
        </w:tc>
      </w:tr>
      <w:tr w:rsidR="00A40779" w:rsidRPr="00A40779" w:rsidTr="00A40779">
        <w:tc>
          <w:tcPr>
            <w:tcW w:w="2279" w:type="dxa"/>
            <w:tcBorders>
              <w:top w:val="single" w:sz="12" w:space="0" w:color="auto"/>
            </w:tcBorders>
            <w:shd w:val="clear" w:color="auto" w:fill="auto"/>
            <w:noWrap/>
            <w:hideMark/>
          </w:tcPr>
          <w:p w:rsidR="00A40779" w:rsidRPr="00A40779" w:rsidRDefault="00A40779" w:rsidP="00A40779">
            <w:pPr>
              <w:suppressAutoHyphens w:val="0"/>
              <w:spacing w:before="40" w:after="40" w:line="220" w:lineRule="exact"/>
              <w:ind w:right="113"/>
              <w:rPr>
                <w:sz w:val="18"/>
              </w:rPr>
            </w:pPr>
            <w:r w:rsidRPr="00A40779">
              <w:rPr>
                <w:sz w:val="18"/>
              </w:rPr>
              <w:t>2015</w:t>
            </w:r>
          </w:p>
        </w:tc>
        <w:tc>
          <w:tcPr>
            <w:tcW w:w="1361" w:type="dxa"/>
            <w:tcBorders>
              <w:top w:val="single" w:sz="12" w:space="0" w:color="auto"/>
            </w:tcBorders>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299</w:t>
            </w:r>
          </w:p>
        </w:tc>
        <w:tc>
          <w:tcPr>
            <w:tcW w:w="1281" w:type="dxa"/>
            <w:tcBorders>
              <w:top w:val="single" w:sz="12" w:space="0" w:color="auto"/>
            </w:tcBorders>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51</w:t>
            </w:r>
          </w:p>
        </w:tc>
        <w:tc>
          <w:tcPr>
            <w:tcW w:w="1206" w:type="dxa"/>
            <w:tcBorders>
              <w:top w:val="single" w:sz="12" w:space="0" w:color="auto"/>
            </w:tcBorders>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350</w:t>
            </w:r>
          </w:p>
        </w:tc>
      </w:tr>
      <w:tr w:rsidR="00A40779" w:rsidRPr="00A40779" w:rsidTr="00A40779">
        <w:tc>
          <w:tcPr>
            <w:tcW w:w="2279" w:type="dxa"/>
            <w:shd w:val="clear" w:color="auto" w:fill="auto"/>
            <w:noWrap/>
            <w:hideMark/>
          </w:tcPr>
          <w:p w:rsidR="00A40779" w:rsidRPr="00A40779" w:rsidRDefault="00A40779" w:rsidP="00A40779">
            <w:pPr>
              <w:suppressAutoHyphens w:val="0"/>
              <w:spacing w:before="40" w:after="40" w:line="220" w:lineRule="exact"/>
              <w:ind w:right="113"/>
              <w:rPr>
                <w:sz w:val="18"/>
              </w:rPr>
            </w:pPr>
            <w:r w:rsidRPr="00A40779">
              <w:rPr>
                <w:sz w:val="18"/>
              </w:rPr>
              <w:t>2016</w:t>
            </w:r>
          </w:p>
        </w:tc>
        <w:tc>
          <w:tcPr>
            <w:tcW w:w="1361"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376</w:t>
            </w:r>
          </w:p>
        </w:tc>
        <w:tc>
          <w:tcPr>
            <w:tcW w:w="1281"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90</w:t>
            </w:r>
          </w:p>
        </w:tc>
        <w:tc>
          <w:tcPr>
            <w:tcW w:w="1206"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466</w:t>
            </w:r>
          </w:p>
        </w:tc>
      </w:tr>
      <w:tr w:rsidR="00A40779" w:rsidRPr="00A40779" w:rsidTr="00A40779">
        <w:tc>
          <w:tcPr>
            <w:tcW w:w="2279" w:type="dxa"/>
            <w:shd w:val="clear" w:color="auto" w:fill="auto"/>
            <w:noWrap/>
            <w:hideMark/>
          </w:tcPr>
          <w:p w:rsidR="00A40779" w:rsidRPr="00A40779" w:rsidRDefault="00A40779" w:rsidP="00A40779">
            <w:pPr>
              <w:suppressAutoHyphens w:val="0"/>
              <w:spacing w:before="40" w:after="40" w:line="220" w:lineRule="exact"/>
              <w:ind w:right="113"/>
              <w:rPr>
                <w:sz w:val="18"/>
              </w:rPr>
            </w:pPr>
            <w:r w:rsidRPr="00A40779">
              <w:rPr>
                <w:sz w:val="18"/>
              </w:rPr>
              <w:t>2017</w:t>
            </w:r>
          </w:p>
        </w:tc>
        <w:tc>
          <w:tcPr>
            <w:tcW w:w="1361"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116</w:t>
            </w:r>
          </w:p>
        </w:tc>
        <w:tc>
          <w:tcPr>
            <w:tcW w:w="1281"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104</w:t>
            </w:r>
          </w:p>
        </w:tc>
        <w:tc>
          <w:tcPr>
            <w:tcW w:w="1206" w:type="dxa"/>
            <w:shd w:val="clear" w:color="auto" w:fill="auto"/>
            <w:noWrap/>
            <w:vAlign w:val="bottom"/>
            <w:hideMark/>
          </w:tcPr>
          <w:p w:rsidR="00A40779" w:rsidRPr="00A40779" w:rsidRDefault="00A40779" w:rsidP="00A40779">
            <w:pPr>
              <w:suppressAutoHyphens w:val="0"/>
              <w:spacing w:before="40" w:after="40" w:line="220" w:lineRule="exact"/>
              <w:ind w:right="113"/>
              <w:jc w:val="right"/>
              <w:rPr>
                <w:sz w:val="18"/>
              </w:rPr>
            </w:pPr>
            <w:r w:rsidRPr="00A40779">
              <w:rPr>
                <w:sz w:val="18"/>
              </w:rPr>
              <w:t>220</w:t>
            </w:r>
          </w:p>
        </w:tc>
      </w:tr>
    </w:tbl>
    <w:p w:rsidR="00737EBA" w:rsidRDefault="00737EBA" w:rsidP="0013527C">
      <w:pPr>
        <w:pStyle w:val="HChG"/>
        <w:rPr>
          <w:lang w:val="en-AU"/>
        </w:rPr>
      </w:pPr>
      <w:r>
        <w:rPr>
          <w:lang w:val="en-AU"/>
        </w:rPr>
        <w:tab/>
      </w:r>
      <w:r>
        <w:rPr>
          <w:lang w:val="en-AU"/>
        </w:rPr>
        <w:tab/>
        <w:t xml:space="preserve">Issue </w:t>
      </w:r>
      <w:r w:rsidRPr="00550C3D">
        <w:rPr>
          <w:lang w:val="en-AU"/>
        </w:rPr>
        <w:t>2</w:t>
      </w:r>
    </w:p>
    <w:p w:rsidR="00737EBA" w:rsidRPr="00550C3D" w:rsidRDefault="00737EBA" w:rsidP="0013527C">
      <w:pPr>
        <w:pStyle w:val="H1G"/>
        <w:rPr>
          <w:lang w:val="en-AU"/>
        </w:rPr>
      </w:pPr>
      <w:r>
        <w:rPr>
          <w:lang w:val="en-AU"/>
        </w:rPr>
        <w:tab/>
      </w:r>
      <w:r>
        <w:rPr>
          <w:lang w:val="en-AU"/>
        </w:rPr>
        <w:tab/>
      </w:r>
      <w:r w:rsidRPr="00550C3D">
        <w:rPr>
          <w:lang w:val="en-AU"/>
        </w:rPr>
        <w:t>Defining and criminalization of sale of children</w:t>
      </w:r>
    </w:p>
    <w:p w:rsidR="00737EBA" w:rsidRPr="00550C3D" w:rsidRDefault="00CB002F" w:rsidP="0047474B">
      <w:pPr>
        <w:pStyle w:val="SingleTxtG"/>
      </w:pPr>
      <w:r w:rsidRPr="00550C3D">
        <w:t>4.</w:t>
      </w:r>
      <w:r w:rsidRPr="00550C3D">
        <w:tab/>
      </w:r>
      <w:r w:rsidR="00737EBA" w:rsidRPr="00550C3D">
        <w:t>Sri Lanka has recognized the need for addressing legal gaps that may impede the prosecution of cases of sale of children under section 360 (C) of the Penal Code</w:t>
      </w:r>
      <w:r w:rsidR="00737EBA">
        <w:t xml:space="preserve"> </w:t>
      </w:r>
      <w:r w:rsidR="00737EBA" w:rsidRPr="00550C3D">
        <w:t>Measures have been taken to define and criminalize sale of children as follows through the Penal Code (Amendme</w:t>
      </w:r>
      <w:r w:rsidR="00A749B0">
        <w:t>nt) Act (No. 16 of 2006) – Sect</w:t>
      </w:r>
      <w:r w:rsidR="00737EBA">
        <w:t>: 9:</w:t>
      </w:r>
    </w:p>
    <w:p w:rsidR="00737EBA" w:rsidRPr="005A44F8" w:rsidRDefault="0047474B" w:rsidP="0013527C">
      <w:pPr>
        <w:pStyle w:val="SingleTxtG"/>
      </w:pPr>
      <w:r>
        <w:tab/>
      </w:r>
      <w:r w:rsidR="00CB002F" w:rsidRPr="005A44F8">
        <w:t>(a)</w:t>
      </w:r>
      <w:r w:rsidR="00CB002F" w:rsidRPr="005A44F8">
        <w:tab/>
      </w:r>
      <w:r w:rsidR="00737EBA" w:rsidRPr="00550C3D">
        <w:t>Insertion of new Sections 360 D and 360 E to the principal enactment</w:t>
      </w:r>
      <w:r w:rsidR="00737EBA">
        <w:t>: t</w:t>
      </w:r>
      <w:r w:rsidR="00737EBA" w:rsidRPr="005A44F8">
        <w:t xml:space="preserve">he following new sections are hereby inserted immediately after section 360 C of the principal enactment of Penal Code and shall have effect as Sections 360 </w:t>
      </w:r>
      <w:r w:rsidR="00737EBA">
        <w:t>D and 360 E of that enactment</w:t>
      </w:r>
      <w:r w:rsidR="00737EBA" w:rsidRPr="005A44F8">
        <w:t>:</w:t>
      </w:r>
    </w:p>
    <w:p w:rsidR="00737EBA" w:rsidRPr="00550C3D" w:rsidRDefault="0038738D" w:rsidP="0013527C">
      <w:pPr>
        <w:pStyle w:val="SingleTxtG"/>
      </w:pPr>
      <w:r>
        <w:rPr>
          <w:bCs/>
        </w:rPr>
        <w:tab/>
      </w:r>
      <w:r w:rsidR="00737EBA" w:rsidRPr="002C0776">
        <w:rPr>
          <w:bCs/>
        </w:rPr>
        <w:t>360 D.</w:t>
      </w:r>
      <w:r w:rsidR="00737EBA" w:rsidRPr="003F00CA">
        <w:t xml:space="preserve"> </w:t>
      </w:r>
      <w:r w:rsidR="00737EBA" w:rsidRPr="00550C3D">
        <w:t>Whoever, for the purpose of p</w:t>
      </w:r>
      <w:r w:rsidR="00737EBA">
        <w:t>lacing any person in adoption:</w:t>
      </w:r>
    </w:p>
    <w:p w:rsidR="00737EBA" w:rsidRPr="00323362" w:rsidRDefault="00737EBA" w:rsidP="0047474B">
      <w:pPr>
        <w:pStyle w:val="SingleTxtG"/>
        <w:ind w:left="1701"/>
      </w:pPr>
      <w:r>
        <w:t>(</w:t>
      </w:r>
      <w:proofErr w:type="spellStart"/>
      <w:r>
        <w:t>i</w:t>
      </w:r>
      <w:proofErr w:type="spellEnd"/>
      <w:r>
        <w:t>)</w:t>
      </w:r>
      <w:r>
        <w:tab/>
      </w:r>
      <w:r w:rsidRPr="00323362">
        <w:t>Arrange for, or assists, a child to travel to a foreign country without the consent of his or her parent or lawful guardian;</w:t>
      </w:r>
    </w:p>
    <w:p w:rsidR="00737EBA" w:rsidRPr="00323362" w:rsidRDefault="00737EBA" w:rsidP="0047474B">
      <w:pPr>
        <w:pStyle w:val="SingleTxtG"/>
        <w:ind w:left="1701"/>
      </w:pPr>
      <w:r>
        <w:t>(ii)</w:t>
      </w:r>
      <w:r>
        <w:tab/>
      </w:r>
      <w:r w:rsidRPr="00323362">
        <w:t>Obtains the consent, whether written or oral of a pregnant woman, for money or any other consideration, for the adoption of the unborn child of such woman;</w:t>
      </w:r>
    </w:p>
    <w:p w:rsidR="00737EBA" w:rsidRPr="00323362" w:rsidRDefault="00737EBA" w:rsidP="0047474B">
      <w:pPr>
        <w:pStyle w:val="SingleTxtG"/>
        <w:ind w:left="1701"/>
      </w:pPr>
      <w:r>
        <w:t>(iii)</w:t>
      </w:r>
      <w:r>
        <w:tab/>
      </w:r>
      <w:r w:rsidRPr="00323362">
        <w:t>Recruits a woman or a couple to bear children;</w:t>
      </w:r>
    </w:p>
    <w:p w:rsidR="00737EBA" w:rsidRPr="00323362" w:rsidRDefault="00737EBA" w:rsidP="0047474B">
      <w:pPr>
        <w:pStyle w:val="SingleTxtG"/>
        <w:ind w:left="1701"/>
      </w:pPr>
      <w:r>
        <w:lastRenderedPageBreak/>
        <w:t>(iv)</w:t>
      </w:r>
      <w:r>
        <w:tab/>
      </w:r>
      <w:r w:rsidRPr="00323362">
        <w:t>Being a person concerned with the registration of births, knowingly permits the falsification of any register used for the registration of births of any birth record contained in any such register;</w:t>
      </w:r>
    </w:p>
    <w:p w:rsidR="00737EBA" w:rsidRPr="00323362" w:rsidRDefault="00737EBA" w:rsidP="0047474B">
      <w:pPr>
        <w:pStyle w:val="SingleTxtG"/>
        <w:ind w:left="1701"/>
      </w:pPr>
      <w:r>
        <w:t>(v)</w:t>
      </w:r>
      <w:r>
        <w:tab/>
      </w:r>
      <w:r w:rsidRPr="00323362">
        <w:t>Engages in procuring children from hospitals, shelters for women, clinics, nurseries, day care centers or other child care institutions or welfare centers, for money or other consideration or procures a child for adoption from any such institution or center, by intimidation of the mother or any other person; or</w:t>
      </w:r>
    </w:p>
    <w:p w:rsidR="00737EBA" w:rsidRPr="00323362" w:rsidRDefault="00737EBA" w:rsidP="0047474B">
      <w:pPr>
        <w:pStyle w:val="SingleTxtG"/>
        <w:ind w:left="1701"/>
      </w:pPr>
      <w:r>
        <w:t>(vi)</w:t>
      </w:r>
      <w:r>
        <w:tab/>
      </w:r>
      <w:r w:rsidRPr="00323362">
        <w:t xml:space="preserve">Impersonates the mother or assists in such impersonation, shall be guilty of an offence and shall on conviction be punished with imprisonment of either description for a term not exceeding twenty years or to a fine or to </w:t>
      </w:r>
      <w:r>
        <w:t>both such imprisonment and fine;</w:t>
      </w:r>
    </w:p>
    <w:p w:rsidR="00737EBA" w:rsidRPr="00550C3D" w:rsidRDefault="00EA2E26" w:rsidP="005D60BA">
      <w:pPr>
        <w:pStyle w:val="SingleTxtG"/>
      </w:pPr>
      <w:r>
        <w:tab/>
      </w:r>
      <w:r w:rsidR="00CB002F" w:rsidRPr="00550C3D">
        <w:t>(b)</w:t>
      </w:r>
      <w:r w:rsidR="00CB002F" w:rsidRPr="00550C3D">
        <w:tab/>
      </w:r>
      <w:r w:rsidR="00737EBA" w:rsidRPr="00550C3D">
        <w:t>Sale of children, child prostitution, and child pornography come under Section 360 (c) Trafficking, Section 360(E) Soliciting a Child, and Section 360(B) Sexual Exploitation of Children, under the Penal Code (Amendment) Act No 16 of 2006. There is a special unit in the Sri Lanka Police to inquire into complaints relating to child trafficking. The National Anti-Human Trafficking Task Force (NAHTTF) established in the Ministry of Justice with representatives from all relevant government agencies following Sri Lanka accession to the UN Palermo Protocol in 2015, continued t</w:t>
      </w:r>
      <w:r w:rsidR="002E1046">
        <w:t>o implement its five-year (2015–</w:t>
      </w:r>
      <w:r w:rsidR="00737EBA" w:rsidRPr="00550C3D">
        <w:t>2019) Strategic Plan and conducted regular meetings to monitor progress. It strengthened coordination among key government stakeholders to increase victim identification, prosecutions, and improve victim protection. Both the Minister of Foreign Affairs (MFA) and the Minister of Justice (</w:t>
      </w:r>
      <w:proofErr w:type="spellStart"/>
      <w:r w:rsidR="00737EBA" w:rsidRPr="00550C3D">
        <w:t>MoJ</w:t>
      </w:r>
      <w:proofErr w:type="spellEnd"/>
      <w:r w:rsidR="00737EBA" w:rsidRPr="00550C3D">
        <w:t>) chaired NAHTTF meetings.</w:t>
      </w:r>
      <w:r w:rsidR="00FA3538">
        <w:t xml:space="preserve"> </w:t>
      </w:r>
      <w:r w:rsidR="00737EBA" w:rsidRPr="00550C3D">
        <w:t>NAHTTF members also shared information and best practices among themselves at regular meetings.</w:t>
      </w:r>
    </w:p>
    <w:p w:rsidR="00737EBA" w:rsidRDefault="00737EBA" w:rsidP="0013527C">
      <w:pPr>
        <w:pStyle w:val="HChG"/>
        <w:rPr>
          <w:lang w:val="en-AU"/>
        </w:rPr>
      </w:pPr>
      <w:r>
        <w:rPr>
          <w:lang w:val="en-AU"/>
        </w:rPr>
        <w:tab/>
      </w:r>
      <w:r>
        <w:rPr>
          <w:lang w:val="en-AU"/>
        </w:rPr>
        <w:tab/>
        <w:t>Issue 3</w:t>
      </w:r>
    </w:p>
    <w:p w:rsidR="00737EBA" w:rsidRPr="00550C3D" w:rsidRDefault="00737EBA" w:rsidP="0013527C">
      <w:pPr>
        <w:pStyle w:val="H1G"/>
        <w:rPr>
          <w:lang w:val="en-AU"/>
        </w:rPr>
      </w:pPr>
      <w:r>
        <w:rPr>
          <w:lang w:val="en-AU"/>
        </w:rPr>
        <w:tab/>
      </w:r>
      <w:r>
        <w:rPr>
          <w:lang w:val="en-AU"/>
        </w:rPr>
        <w:tab/>
      </w:r>
      <w:r w:rsidRPr="00550C3D">
        <w:rPr>
          <w:lang w:val="en-AU"/>
        </w:rPr>
        <w:t xml:space="preserve">Application of penalties </w:t>
      </w:r>
    </w:p>
    <w:p w:rsidR="00737EBA" w:rsidRPr="00550C3D" w:rsidRDefault="00CB002F" w:rsidP="0013527C">
      <w:pPr>
        <w:pStyle w:val="SingleTxtG"/>
      </w:pPr>
      <w:r w:rsidRPr="00550C3D">
        <w:t>5.</w:t>
      </w:r>
      <w:r w:rsidRPr="00550C3D">
        <w:tab/>
      </w:r>
      <w:r w:rsidR="00737EBA" w:rsidRPr="00550C3D">
        <w:t>As mentioned in paragraph 3, appropriate penalties should be charged against the offence of child sexual exploitation and trafficking as per the Penal Code sections 360C, 360D and 360E.</w:t>
      </w:r>
      <w:r w:rsidR="00363FEE">
        <w:t xml:space="preserve"> </w:t>
      </w:r>
      <w:r w:rsidR="00737EBA" w:rsidRPr="00550C3D">
        <w:t xml:space="preserve">Section 360 B </w:t>
      </w:r>
      <w:r w:rsidR="00737EBA" w:rsidRPr="005A44F8">
        <w:t xml:space="preserve">states </w:t>
      </w:r>
      <w:r w:rsidR="005D60BA">
        <w:rPr>
          <w:iCs/>
        </w:rPr>
        <w:t>“</w:t>
      </w:r>
      <w:r w:rsidR="00737EBA" w:rsidRPr="005A44F8">
        <w:rPr>
          <w:iCs/>
        </w:rPr>
        <w:t>whoever</w:t>
      </w:r>
      <w:r w:rsidR="006F0C52">
        <w:rPr>
          <w:iCs/>
        </w:rPr>
        <w:t xml:space="preserve"> </w:t>
      </w:r>
      <w:r w:rsidR="00737EBA" w:rsidRPr="005A44F8">
        <w:rPr>
          <w:iCs/>
        </w:rPr>
        <w:t>.</w:t>
      </w:r>
      <w:r w:rsidR="00737EBA">
        <w:rPr>
          <w:iCs/>
        </w:rPr>
        <w:t>.</w:t>
      </w:r>
      <w:r w:rsidR="00737EBA" w:rsidRPr="005A44F8">
        <w:rPr>
          <w:iCs/>
        </w:rPr>
        <w:t>.</w:t>
      </w:r>
      <w:r w:rsidR="006F0C52">
        <w:rPr>
          <w:iCs/>
        </w:rPr>
        <w:t xml:space="preserve"> </w:t>
      </w:r>
      <w:r w:rsidR="00737EBA" w:rsidRPr="005A44F8">
        <w:rPr>
          <w:iCs/>
        </w:rPr>
        <w:t>commits the offence of sexual exploitation of children and shall on conviction be punished with imprisonment of either description for a term not less than five years and not exceeding twenty years and may also be punished with not exceeding twenty years and may also be punished with fine</w:t>
      </w:r>
      <w:r w:rsidR="005D60BA">
        <w:rPr>
          <w:iCs/>
        </w:rPr>
        <w:t>”</w:t>
      </w:r>
      <w:r w:rsidR="00737EBA" w:rsidRPr="005A44F8">
        <w:rPr>
          <w:iCs/>
        </w:rPr>
        <w:t>.</w:t>
      </w:r>
      <w:r w:rsidR="00737EBA" w:rsidRPr="00550C3D">
        <w:rPr>
          <w:i/>
          <w:iCs/>
        </w:rPr>
        <w:t xml:space="preserve"> </w:t>
      </w:r>
      <w:r w:rsidR="00737EBA" w:rsidRPr="00550C3D">
        <w:t xml:space="preserve">As per the reports of the Department of </w:t>
      </w:r>
      <w:proofErr w:type="spellStart"/>
      <w:r w:rsidR="00737EBA" w:rsidRPr="00550C3D">
        <w:t>Labour</w:t>
      </w:r>
      <w:proofErr w:type="spellEnd"/>
      <w:r w:rsidR="00737EBA" w:rsidRPr="00550C3D">
        <w:t>, the following case studies can be provided as examples regarding the existing practice o</w:t>
      </w:r>
      <w:r w:rsidR="00737EBA">
        <w:t>f application of the penalties:</w:t>
      </w:r>
    </w:p>
    <w:p w:rsidR="00737EBA" w:rsidRPr="00550C3D" w:rsidRDefault="00CB002F" w:rsidP="00014B6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 xml:space="preserve">Hatton Magistrate Court </w:t>
      </w:r>
      <w:r w:rsidR="00014B6C">
        <w:rPr>
          <w:lang w:val="en-US"/>
        </w:rPr>
        <w:t>–</w:t>
      </w:r>
      <w:r w:rsidR="00737EBA" w:rsidRPr="00550C3D">
        <w:rPr>
          <w:lang w:val="en-US"/>
        </w:rPr>
        <w:t xml:space="preserve"> Case Number 9514 – The respondent has pleaded guilty and the court has ordered Rs.10,000/= as a fine and cour</w:t>
      </w:r>
      <w:r w:rsidR="00737EBA">
        <w:rPr>
          <w:lang w:val="en-US"/>
        </w:rPr>
        <w:t>t procedures has been concluded;</w:t>
      </w:r>
    </w:p>
    <w:p w:rsidR="00737EBA" w:rsidRPr="00550C3D" w:rsidRDefault="00CB002F" w:rsidP="00014B6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proofErr w:type="spellStart"/>
      <w:r w:rsidR="00737EBA" w:rsidRPr="00550C3D">
        <w:rPr>
          <w:lang w:val="en-US"/>
        </w:rPr>
        <w:t>Negombo</w:t>
      </w:r>
      <w:proofErr w:type="spellEnd"/>
      <w:r w:rsidR="00737EBA" w:rsidRPr="00550C3D">
        <w:rPr>
          <w:lang w:val="en-US"/>
        </w:rPr>
        <w:t xml:space="preserve"> Magistrate Court </w:t>
      </w:r>
      <w:r w:rsidR="00014B6C">
        <w:rPr>
          <w:lang w:val="en-US"/>
        </w:rPr>
        <w:t>–</w:t>
      </w:r>
      <w:r w:rsidR="00737EBA" w:rsidRPr="00550C3D">
        <w:rPr>
          <w:lang w:val="en-US"/>
        </w:rPr>
        <w:t xml:space="preserve"> Case Number 31225L-The respondent had employed Two Children in this case and he has pleaded guilty before the court. The magistrate has ordered Rs.5000/= each as</w:t>
      </w:r>
      <w:r w:rsidR="00363FEE">
        <w:rPr>
          <w:lang w:val="en-US"/>
        </w:rPr>
        <w:t xml:space="preserve"> </w:t>
      </w:r>
      <w:r w:rsidR="00737EBA" w:rsidRPr="00550C3D">
        <w:rPr>
          <w:lang w:val="en-US"/>
        </w:rPr>
        <w:t>compensation for Two Children and Rs.2,000/= as a fine and court procedures has been concluded</w:t>
      </w:r>
      <w:r w:rsidR="00737EBA">
        <w:rPr>
          <w:lang w:val="en-US"/>
        </w:rPr>
        <w:t>;</w:t>
      </w:r>
    </w:p>
    <w:p w:rsidR="00737EBA" w:rsidRPr="00550C3D" w:rsidRDefault="00CB002F" w:rsidP="00014B6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proofErr w:type="spellStart"/>
      <w:r w:rsidR="00737EBA" w:rsidRPr="00550C3D">
        <w:rPr>
          <w:lang w:val="en-US"/>
        </w:rPr>
        <w:t>Homagama</w:t>
      </w:r>
      <w:proofErr w:type="spellEnd"/>
      <w:r w:rsidR="00737EBA" w:rsidRPr="00550C3D">
        <w:rPr>
          <w:lang w:val="en-US"/>
        </w:rPr>
        <w:t xml:space="preserve"> Magistrate Court </w:t>
      </w:r>
      <w:r w:rsidR="00014B6C">
        <w:rPr>
          <w:lang w:val="en-US"/>
        </w:rPr>
        <w:t>–</w:t>
      </w:r>
      <w:r w:rsidR="00737EBA" w:rsidRPr="00550C3D">
        <w:rPr>
          <w:lang w:val="en-US"/>
        </w:rPr>
        <w:t xml:space="preserve"> Case Number HO/LT/MC/Add1/54/2018/EWYCA – The respondent has pleaded guilty and the court has ordered Rs.10</w:t>
      </w:r>
      <w:r w:rsidR="00737EBA">
        <w:rPr>
          <w:lang w:val="en-US"/>
        </w:rPr>
        <w:t>,</w:t>
      </w:r>
      <w:r w:rsidR="00737EBA" w:rsidRPr="00550C3D">
        <w:rPr>
          <w:lang w:val="en-US"/>
        </w:rPr>
        <w:t>000/= as a fine and court procedures has been concluded.</w:t>
      </w:r>
    </w:p>
    <w:p w:rsidR="00737EBA" w:rsidRDefault="00737EBA" w:rsidP="0013527C">
      <w:pPr>
        <w:pStyle w:val="HChG"/>
        <w:rPr>
          <w:lang w:val="en-AU"/>
        </w:rPr>
      </w:pPr>
      <w:r>
        <w:rPr>
          <w:lang w:val="en-AU"/>
        </w:rPr>
        <w:tab/>
      </w:r>
      <w:r>
        <w:rPr>
          <w:lang w:val="en-AU"/>
        </w:rPr>
        <w:tab/>
        <w:t xml:space="preserve">Issue </w:t>
      </w:r>
      <w:r w:rsidRPr="00550C3D">
        <w:rPr>
          <w:lang w:val="en-AU"/>
        </w:rPr>
        <w:t>4</w:t>
      </w:r>
    </w:p>
    <w:p w:rsidR="00737EBA" w:rsidRPr="00550C3D" w:rsidRDefault="00737EBA" w:rsidP="0013527C">
      <w:pPr>
        <w:pStyle w:val="H1G"/>
        <w:rPr>
          <w:lang w:val="en-AU"/>
        </w:rPr>
      </w:pPr>
      <w:r>
        <w:rPr>
          <w:lang w:val="en-AU"/>
        </w:rPr>
        <w:tab/>
      </w:r>
      <w:r>
        <w:rPr>
          <w:lang w:val="en-AU"/>
        </w:rPr>
        <w:tab/>
      </w:r>
      <w:r w:rsidRPr="00550C3D">
        <w:rPr>
          <w:lang w:val="en-AU"/>
        </w:rPr>
        <w:t>Age of sexual consent</w:t>
      </w:r>
    </w:p>
    <w:p w:rsidR="00737EBA" w:rsidRPr="00550C3D" w:rsidRDefault="00CB002F" w:rsidP="0013527C">
      <w:pPr>
        <w:pStyle w:val="SingleTxtG"/>
      </w:pPr>
      <w:r w:rsidRPr="00550C3D">
        <w:t>6.</w:t>
      </w:r>
      <w:r w:rsidRPr="00550C3D">
        <w:tab/>
      </w:r>
      <w:r w:rsidR="00737EBA" w:rsidRPr="00550C3D">
        <w:t xml:space="preserve">Sri Lanka notes the concerns about the age of sexual consent for children. Age of sexual consent for children has been identified as 16 years whereas the legal age of </w:t>
      </w:r>
      <w:r w:rsidR="00737EBA" w:rsidRPr="00550C3D">
        <w:lastRenderedPageBreak/>
        <w:t>marriage is 18 years. Considering social dialogues and the parties</w:t>
      </w:r>
      <w:r w:rsidR="00B66EA3">
        <w:t>’</w:t>
      </w:r>
      <w:r w:rsidR="00737EBA" w:rsidRPr="00550C3D">
        <w:t xml:space="preserve"> considerations, no decision has been taken to revise the age of sexual consent of the child or align it with the age of legal marriage. Consequently, the Government of Sri Lanka has initiated and implements programs to harmonize this situation in the different contexts. Accordingly, children are provided with guaranteed 13 years of free education ensuring their right to education until they reach their adulthood (age of majority) at 18 years of age. In this context, the following provisions are made available to ensure that children are given the required time and space to attain the total physical and reproductive development </w:t>
      </w:r>
      <w:r w:rsidR="00737EBA">
        <w:t>required at the age of majority:</w:t>
      </w:r>
    </w:p>
    <w:p w:rsidR="00737EBA" w:rsidRPr="00550C3D" w:rsidRDefault="002A0843" w:rsidP="0013527C">
      <w:pPr>
        <w:pStyle w:val="SingleTxtG"/>
      </w:pPr>
      <w:r>
        <w:tab/>
      </w:r>
      <w:r w:rsidR="00CB002F" w:rsidRPr="00550C3D">
        <w:t>(a)</w:t>
      </w:r>
      <w:r w:rsidR="00CB002F" w:rsidRPr="00550C3D">
        <w:tab/>
      </w:r>
      <w:r w:rsidR="00737EBA" w:rsidRPr="00550C3D">
        <w:t>Provisions to make education compulsory and to provide continuous education</w:t>
      </w:r>
      <w:r w:rsidR="00737EBA">
        <w:t>:</w:t>
      </w:r>
    </w:p>
    <w:p w:rsidR="00737EBA" w:rsidRPr="00323362" w:rsidRDefault="00737EBA" w:rsidP="002A0843">
      <w:pPr>
        <w:pStyle w:val="SingleTxtG"/>
        <w:ind w:left="1701"/>
      </w:pPr>
      <w:r>
        <w:t>(</w:t>
      </w:r>
      <w:proofErr w:type="spellStart"/>
      <w:r>
        <w:t>i</w:t>
      </w:r>
      <w:proofErr w:type="spellEnd"/>
      <w:r>
        <w:t>)</w:t>
      </w:r>
      <w:r>
        <w:tab/>
      </w:r>
      <w:r w:rsidRPr="00323362">
        <w:t xml:space="preserve">The age for compulsory education for children in Sri Lanka was raised to 16 years in 2016 through an amendment to the regulations of the Education Ordinance. This corresponds to the current age of sexual consent in Sri Lanka and ensures the attendance of all children below this age to formal educational institutions. As per the earlier regulations, school education was mandatory for </w:t>
      </w:r>
      <w:r>
        <w:t>children between 5 and 14 years;</w:t>
      </w:r>
    </w:p>
    <w:p w:rsidR="00737EBA" w:rsidRPr="00323362" w:rsidRDefault="00737EBA" w:rsidP="002A0843">
      <w:pPr>
        <w:pStyle w:val="SingleTxtG"/>
        <w:ind w:left="1701"/>
      </w:pPr>
      <w:r>
        <w:t>(ii)</w:t>
      </w:r>
      <w:r>
        <w:tab/>
      </w:r>
      <w:r w:rsidRPr="00323362">
        <w:t>Regulations have also been issued to each Education Division to have a compulsory School Attendance Monitoring Committee which will work with the Zonal Director of Education and the Provincial Director of Education</w:t>
      </w:r>
      <w:r>
        <w:t>;</w:t>
      </w:r>
      <w:r w:rsidR="00363FEE">
        <w:t xml:space="preserve"> </w:t>
      </w:r>
    </w:p>
    <w:p w:rsidR="00737EBA" w:rsidRPr="00323362" w:rsidRDefault="00737EBA" w:rsidP="002A0843">
      <w:pPr>
        <w:pStyle w:val="SingleTxtG"/>
        <w:ind w:left="1701"/>
      </w:pPr>
      <w:r>
        <w:t>(iii)</w:t>
      </w:r>
      <w:r>
        <w:tab/>
      </w:r>
      <w:r w:rsidRPr="00323362">
        <w:t>All children in Sri Lanka are guaranteed free education for thirteen years and access to upper secondary levels (Grade 12 and 13), and until 2017, students entered Grade 12 under six streams of study, provided that they successfully completed the Ordinary Level examinations at the end of Grade 11. The introduction of the Vocational Stream as the seventh stream of study of upper secondary levels in 2017 provided further educational access to students in this stream irrespective of their failure or success at the Ordinary Level examinations, thus guaranteeing thirteen years of education for all children. Students completing their thirteenth school year in the Sri Lankan formal education system are above 18 years of age. This corresponds to the minimum legal age of marriage in Sri Lanka</w:t>
      </w:r>
      <w:r>
        <w:t>;</w:t>
      </w:r>
      <w:r w:rsidRPr="00323362">
        <w:t xml:space="preserve"> </w:t>
      </w:r>
    </w:p>
    <w:p w:rsidR="00737EBA" w:rsidRPr="00550C3D" w:rsidRDefault="00615795" w:rsidP="0013527C">
      <w:pPr>
        <w:pStyle w:val="SingleTxtG"/>
      </w:pPr>
      <w:r>
        <w:tab/>
      </w:r>
      <w:r w:rsidR="00CB002F" w:rsidRPr="00550C3D">
        <w:t>(b)</w:t>
      </w:r>
      <w:r w:rsidR="00CB002F" w:rsidRPr="00550C3D">
        <w:tab/>
      </w:r>
      <w:r w:rsidR="00737EBA" w:rsidRPr="005A44F8">
        <w:t>Empowering children by providing them knowledge and counseling services to make positive sexual decisions</w:t>
      </w:r>
      <w:r w:rsidR="00737EBA" w:rsidRPr="006121EF">
        <w:t>:</w:t>
      </w:r>
    </w:p>
    <w:p w:rsidR="00737EBA" w:rsidRPr="00550C3D" w:rsidRDefault="00737EBA" w:rsidP="00DD245B">
      <w:pPr>
        <w:pStyle w:val="SingleTxtG"/>
        <w:ind w:left="1701"/>
        <w:rPr>
          <w:bCs/>
        </w:rPr>
      </w:pPr>
      <w:r>
        <w:t>(</w:t>
      </w:r>
      <w:proofErr w:type="spellStart"/>
      <w:r>
        <w:t>i</w:t>
      </w:r>
      <w:proofErr w:type="spellEnd"/>
      <w:r>
        <w:t>)</w:t>
      </w:r>
      <w:r>
        <w:tab/>
      </w:r>
      <w:r w:rsidRPr="00550C3D">
        <w:t>Sexual and reproductive health education is provided through the subjects of Health and Science from Grade 6 (approximately at age 11).</w:t>
      </w:r>
      <w:r w:rsidR="00363FEE">
        <w:t xml:space="preserve"> </w:t>
      </w:r>
      <w:r w:rsidRPr="00550C3D">
        <w:t>Curricula seek to systematically introduce the reproductive system to children and inculcate competencies to maintain reproductive health for one</w:t>
      </w:r>
      <w:r w:rsidR="00B66EA3">
        <w:t>’</w:t>
      </w:r>
      <w:r w:rsidRPr="00550C3D">
        <w:t>s wellbeing (Grade 07) guide children on how to spend a safe, healthy and efficient life while avoiding challenges related to reproductive health (Grade 8), and empower children to face such challenges successfully in a responsible manner (Grade 9). The Curricula also provide students guidance with regard to changes relating to puber</w:t>
      </w:r>
      <w:r>
        <w:t>ty in adolescent girls and boys;</w:t>
      </w:r>
    </w:p>
    <w:p w:rsidR="00737EBA" w:rsidRPr="00550C3D" w:rsidRDefault="00737EBA" w:rsidP="00DD245B">
      <w:pPr>
        <w:pStyle w:val="SingleTxtG"/>
        <w:ind w:left="1701"/>
      </w:pPr>
      <w:r>
        <w:t>(ii)</w:t>
      </w:r>
      <w:r>
        <w:tab/>
      </w:r>
      <w:r w:rsidRPr="00550C3D">
        <w:t>With a view to expanding counseling services for students, a room for counseling has been included in the technology units of Nearest School Best School Project initiated in 2016 and 2753 teachers have been recruited for counseling and while the training of 1039 existing teachers i</w:t>
      </w:r>
      <w:r>
        <w:t>n counseling has also commenced;</w:t>
      </w:r>
      <w:r w:rsidRPr="00550C3D">
        <w:t xml:space="preserve"> </w:t>
      </w:r>
    </w:p>
    <w:p w:rsidR="00737EBA" w:rsidRPr="00550C3D" w:rsidRDefault="00737EBA" w:rsidP="0042342F">
      <w:pPr>
        <w:pStyle w:val="SingleTxtG"/>
        <w:ind w:left="1701"/>
        <w:rPr>
          <w:b/>
          <w:bCs/>
        </w:rPr>
      </w:pPr>
      <w:r>
        <w:t>(iii)</w:t>
      </w:r>
      <w:r>
        <w:rPr>
          <w:b/>
        </w:rPr>
        <w:tab/>
      </w:r>
      <w:r w:rsidRPr="005A44F8">
        <w:t>The Parliament Sectorial Oversight Committee on Women and Gender</w:t>
      </w:r>
      <w:r w:rsidRPr="00550C3D">
        <w:t xml:space="preserve"> has also focused its attention on the matter of age appropriate reproductive health education in order to harmonize the practice of sexual consent of children while ensuring the best interest of the child. In this regard, a special module on age appropriate reproductive health has been developed, and after conducting a pilot phase, teachers have been trained. Guidance has also been provided in the form of a book; </w:t>
      </w:r>
      <w:r w:rsidR="00D41F34">
        <w:t>“</w:t>
      </w:r>
      <w:r w:rsidRPr="00550C3D">
        <w:t xml:space="preserve">Teaching Reproductive Health and Sexual Education </w:t>
      </w:r>
      <w:r w:rsidR="0042342F">
        <w:t>–</w:t>
      </w:r>
      <w:r w:rsidRPr="00550C3D">
        <w:t xml:space="preserve"> A Handbook for Students and Teachers</w:t>
      </w:r>
      <w:r w:rsidR="00D41F34">
        <w:t>”</w:t>
      </w:r>
      <w:r w:rsidRPr="00550C3D">
        <w:t xml:space="preserve"> and training of selected teachers to provide psychological first aid has been initiated under a special </w:t>
      </w:r>
      <w:proofErr w:type="spellStart"/>
      <w:r w:rsidRPr="00550C3D">
        <w:t>programme</w:t>
      </w:r>
      <w:proofErr w:type="spellEnd"/>
      <w:r w:rsidRPr="00550C3D">
        <w:t xml:space="preserve"> </w:t>
      </w:r>
      <w:r w:rsidR="002D429B">
        <w:t>“</w:t>
      </w:r>
      <w:r w:rsidRPr="00550C3D">
        <w:t>Helping</w:t>
      </w:r>
      <w:r>
        <w:t xml:space="preserve"> Students in Crisis Situations</w:t>
      </w:r>
      <w:r w:rsidR="002D429B">
        <w:t>”</w:t>
      </w:r>
      <w:r>
        <w:t>;</w:t>
      </w:r>
    </w:p>
    <w:p w:rsidR="00737EBA" w:rsidRPr="00550C3D" w:rsidRDefault="00737EBA" w:rsidP="000A7A75">
      <w:pPr>
        <w:pStyle w:val="SingleTxtG"/>
        <w:spacing w:after="240"/>
        <w:ind w:left="1701"/>
        <w:rPr>
          <w:b/>
          <w:bCs/>
        </w:rPr>
      </w:pPr>
      <w:r>
        <w:lastRenderedPageBreak/>
        <w:t>(iv)</w:t>
      </w:r>
      <w:r>
        <w:rPr>
          <w:b/>
        </w:rPr>
        <w:tab/>
      </w:r>
      <w:r w:rsidRPr="005A44F8">
        <w:t>The Family Health Bureau</w:t>
      </w:r>
      <w:r w:rsidRPr="00550C3D">
        <w:t xml:space="preserve"> maintains the database of identified child mothers and support services are being provided to them. Especially teenage mothers are educated on reproductive health and counselling is also given to the teenage mothers as needed through school health units. Data available on teenage mothers are as </w:t>
      </w:r>
      <w:r>
        <w:t>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1211"/>
        <w:gridCol w:w="1231"/>
        <w:gridCol w:w="1231"/>
        <w:gridCol w:w="1250"/>
        <w:gridCol w:w="1243"/>
      </w:tblGrid>
      <w:tr w:rsidR="00737EBA" w:rsidRPr="0083238A" w:rsidTr="00992C75">
        <w:trPr>
          <w:tblHeader/>
        </w:trPr>
        <w:tc>
          <w:tcPr>
            <w:tcW w:w="3158" w:type="dxa"/>
            <w:gridSpan w:val="2"/>
            <w:tcBorders>
              <w:top w:val="single" w:sz="4" w:space="0" w:color="auto"/>
              <w:bottom w:val="single" w:sz="4" w:space="0" w:color="auto"/>
              <w:right w:val="single" w:sz="24" w:space="0" w:color="FFFFFF" w:themeColor="background1"/>
            </w:tcBorders>
            <w:shd w:val="clear" w:color="auto" w:fill="auto"/>
            <w:vAlign w:val="bottom"/>
          </w:tcPr>
          <w:p w:rsidR="00737EBA" w:rsidRPr="0083238A" w:rsidRDefault="00737EBA" w:rsidP="00992C75">
            <w:pPr>
              <w:suppressAutoHyphens w:val="0"/>
              <w:spacing w:before="80" w:after="80" w:line="200" w:lineRule="exact"/>
              <w:ind w:right="113"/>
              <w:jc w:val="center"/>
              <w:rPr>
                <w:i/>
                <w:sz w:val="16"/>
              </w:rPr>
            </w:pPr>
            <w:r w:rsidRPr="0083238A">
              <w:rPr>
                <w:i/>
                <w:sz w:val="16"/>
              </w:rPr>
              <w:t xml:space="preserve">Pregnant mothers registered </w:t>
            </w:r>
            <w:r w:rsidR="0083238A">
              <w:rPr>
                <w:i/>
                <w:sz w:val="16"/>
              </w:rPr>
              <w:br/>
            </w:r>
            <w:r w:rsidRPr="0083238A">
              <w:rPr>
                <w:i/>
                <w:sz w:val="16"/>
              </w:rPr>
              <w:t>(age less than 16y)</w:t>
            </w:r>
          </w:p>
        </w:tc>
        <w:tc>
          <w:tcPr>
            <w:tcW w:w="3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7EBA" w:rsidRPr="0083238A" w:rsidRDefault="00737EBA" w:rsidP="00992C75">
            <w:pPr>
              <w:suppressAutoHyphens w:val="0"/>
              <w:spacing w:before="80" w:after="80" w:line="200" w:lineRule="exact"/>
              <w:ind w:right="113"/>
              <w:jc w:val="center"/>
              <w:rPr>
                <w:i/>
                <w:sz w:val="16"/>
              </w:rPr>
            </w:pPr>
            <w:r w:rsidRPr="0083238A">
              <w:rPr>
                <w:i/>
                <w:sz w:val="16"/>
              </w:rPr>
              <w:t xml:space="preserve">Pregnant mothers registered </w:t>
            </w:r>
            <w:r w:rsidR="0083238A">
              <w:rPr>
                <w:i/>
                <w:sz w:val="16"/>
              </w:rPr>
              <w:br/>
            </w:r>
            <w:r w:rsidRPr="0083238A">
              <w:rPr>
                <w:i/>
                <w:sz w:val="16"/>
              </w:rPr>
              <w:t>(age 16 to 17y)</w:t>
            </w:r>
          </w:p>
        </w:tc>
        <w:tc>
          <w:tcPr>
            <w:tcW w:w="3260" w:type="dxa"/>
            <w:gridSpan w:val="2"/>
            <w:tcBorders>
              <w:top w:val="single" w:sz="4" w:space="0" w:color="auto"/>
              <w:left w:val="single" w:sz="24" w:space="0" w:color="FFFFFF" w:themeColor="background1"/>
              <w:bottom w:val="single" w:sz="4" w:space="0" w:color="auto"/>
            </w:tcBorders>
            <w:shd w:val="clear" w:color="auto" w:fill="auto"/>
            <w:vAlign w:val="bottom"/>
          </w:tcPr>
          <w:p w:rsidR="00737EBA" w:rsidRPr="0083238A" w:rsidRDefault="00737EBA" w:rsidP="00992C75">
            <w:pPr>
              <w:suppressAutoHyphens w:val="0"/>
              <w:spacing w:before="80" w:after="80" w:line="200" w:lineRule="exact"/>
              <w:ind w:right="113"/>
              <w:jc w:val="center"/>
              <w:rPr>
                <w:i/>
                <w:sz w:val="16"/>
              </w:rPr>
            </w:pPr>
            <w:r w:rsidRPr="0083238A">
              <w:rPr>
                <w:i/>
                <w:sz w:val="16"/>
              </w:rPr>
              <w:t>Pregnant mothers registered</w:t>
            </w:r>
            <w:r w:rsidR="00363FEE" w:rsidRPr="0083238A">
              <w:rPr>
                <w:i/>
                <w:sz w:val="16"/>
              </w:rPr>
              <w:t xml:space="preserve"> </w:t>
            </w:r>
            <w:r w:rsidR="0083238A">
              <w:rPr>
                <w:i/>
                <w:sz w:val="16"/>
              </w:rPr>
              <w:br/>
            </w:r>
            <w:r w:rsidRPr="0083238A">
              <w:rPr>
                <w:i/>
                <w:sz w:val="16"/>
              </w:rPr>
              <w:t>(age 18 to 19y)</w:t>
            </w:r>
          </w:p>
        </w:tc>
      </w:tr>
      <w:tr w:rsidR="00737EBA" w:rsidRPr="0083238A" w:rsidTr="00992C75">
        <w:tc>
          <w:tcPr>
            <w:tcW w:w="1579" w:type="dxa"/>
            <w:tcBorders>
              <w:top w:val="single" w:sz="4" w:space="0" w:color="auto"/>
              <w:bottom w:val="single" w:sz="12" w:space="0" w:color="auto"/>
            </w:tcBorders>
            <w:shd w:val="clear" w:color="auto" w:fill="auto"/>
          </w:tcPr>
          <w:p w:rsidR="00737EBA" w:rsidRPr="00D209EE" w:rsidRDefault="00737EBA" w:rsidP="00D209EE">
            <w:pPr>
              <w:suppressAutoHyphens w:val="0"/>
              <w:spacing w:before="80" w:after="80" w:line="200" w:lineRule="exact"/>
              <w:ind w:right="113"/>
              <w:rPr>
                <w:i/>
                <w:sz w:val="16"/>
              </w:rPr>
            </w:pPr>
            <w:r w:rsidRPr="00D209EE">
              <w:rPr>
                <w:i/>
                <w:sz w:val="16"/>
              </w:rPr>
              <w:t>2017</w:t>
            </w:r>
          </w:p>
        </w:tc>
        <w:tc>
          <w:tcPr>
            <w:tcW w:w="1579" w:type="dxa"/>
            <w:tcBorders>
              <w:top w:val="single" w:sz="4" w:space="0" w:color="auto"/>
              <w:bottom w:val="single" w:sz="12" w:space="0" w:color="auto"/>
              <w:right w:val="single" w:sz="24" w:space="0" w:color="FFFFFF" w:themeColor="background1"/>
            </w:tcBorders>
            <w:shd w:val="clear" w:color="auto" w:fill="auto"/>
          </w:tcPr>
          <w:p w:rsidR="00737EBA" w:rsidRPr="00D209EE" w:rsidRDefault="00737EBA" w:rsidP="00153B2B">
            <w:pPr>
              <w:suppressAutoHyphens w:val="0"/>
              <w:spacing w:before="80" w:after="80" w:line="200" w:lineRule="exact"/>
              <w:ind w:right="113"/>
              <w:jc w:val="right"/>
              <w:rPr>
                <w:i/>
                <w:sz w:val="16"/>
              </w:rPr>
            </w:pPr>
            <w:r w:rsidRPr="00D209EE">
              <w:rPr>
                <w:i/>
                <w:sz w:val="16"/>
              </w:rPr>
              <w:t>2018</w:t>
            </w:r>
          </w:p>
        </w:tc>
        <w:tc>
          <w:tcPr>
            <w:tcW w:w="1605" w:type="dxa"/>
            <w:tcBorders>
              <w:top w:val="single" w:sz="4" w:space="0" w:color="auto"/>
              <w:left w:val="single" w:sz="24" w:space="0" w:color="FFFFFF" w:themeColor="background1"/>
              <w:bottom w:val="single" w:sz="12" w:space="0" w:color="auto"/>
            </w:tcBorders>
            <w:shd w:val="clear" w:color="auto" w:fill="auto"/>
            <w:vAlign w:val="bottom"/>
          </w:tcPr>
          <w:p w:rsidR="00737EBA" w:rsidRPr="00D209EE" w:rsidRDefault="00737EBA" w:rsidP="00153B2B">
            <w:pPr>
              <w:suppressAutoHyphens w:val="0"/>
              <w:spacing w:before="80" w:after="80" w:line="200" w:lineRule="exact"/>
              <w:ind w:right="113"/>
              <w:jc w:val="right"/>
              <w:rPr>
                <w:i/>
                <w:sz w:val="16"/>
              </w:rPr>
            </w:pPr>
            <w:r w:rsidRPr="00D209EE">
              <w:rPr>
                <w:i/>
                <w:sz w:val="16"/>
              </w:rPr>
              <w:t>2017</w:t>
            </w:r>
          </w:p>
        </w:tc>
        <w:tc>
          <w:tcPr>
            <w:tcW w:w="1605" w:type="dxa"/>
            <w:tcBorders>
              <w:top w:val="single" w:sz="4" w:space="0" w:color="auto"/>
              <w:bottom w:val="single" w:sz="12" w:space="0" w:color="auto"/>
              <w:right w:val="single" w:sz="24" w:space="0" w:color="FFFFFF" w:themeColor="background1"/>
            </w:tcBorders>
            <w:shd w:val="clear" w:color="auto" w:fill="auto"/>
            <w:vAlign w:val="bottom"/>
          </w:tcPr>
          <w:p w:rsidR="00737EBA" w:rsidRPr="00D209EE" w:rsidRDefault="00737EBA" w:rsidP="00153B2B">
            <w:pPr>
              <w:suppressAutoHyphens w:val="0"/>
              <w:spacing w:before="80" w:after="80" w:line="200" w:lineRule="exact"/>
              <w:ind w:right="113"/>
              <w:jc w:val="right"/>
              <w:rPr>
                <w:i/>
                <w:sz w:val="16"/>
              </w:rPr>
            </w:pPr>
            <w:r w:rsidRPr="00D209EE">
              <w:rPr>
                <w:i/>
                <w:sz w:val="16"/>
              </w:rPr>
              <w:t>2018</w:t>
            </w:r>
          </w:p>
        </w:tc>
        <w:tc>
          <w:tcPr>
            <w:tcW w:w="1630" w:type="dxa"/>
            <w:tcBorders>
              <w:top w:val="single" w:sz="4" w:space="0" w:color="auto"/>
              <w:left w:val="single" w:sz="24" w:space="0" w:color="FFFFFF" w:themeColor="background1"/>
              <w:bottom w:val="single" w:sz="12" w:space="0" w:color="auto"/>
            </w:tcBorders>
            <w:shd w:val="clear" w:color="auto" w:fill="auto"/>
            <w:vAlign w:val="bottom"/>
          </w:tcPr>
          <w:p w:rsidR="00737EBA" w:rsidRPr="00D209EE" w:rsidRDefault="00737EBA" w:rsidP="00153B2B">
            <w:pPr>
              <w:suppressAutoHyphens w:val="0"/>
              <w:spacing w:before="80" w:after="80" w:line="200" w:lineRule="exact"/>
              <w:ind w:right="113"/>
              <w:jc w:val="right"/>
              <w:rPr>
                <w:i/>
                <w:sz w:val="16"/>
              </w:rPr>
            </w:pPr>
            <w:r w:rsidRPr="00D209EE">
              <w:rPr>
                <w:i/>
                <w:sz w:val="16"/>
              </w:rPr>
              <w:t>2017</w:t>
            </w:r>
          </w:p>
        </w:tc>
        <w:tc>
          <w:tcPr>
            <w:tcW w:w="1630" w:type="dxa"/>
            <w:tcBorders>
              <w:top w:val="single" w:sz="4" w:space="0" w:color="auto"/>
              <w:bottom w:val="single" w:sz="12" w:space="0" w:color="auto"/>
            </w:tcBorders>
            <w:shd w:val="clear" w:color="auto" w:fill="auto"/>
            <w:vAlign w:val="bottom"/>
          </w:tcPr>
          <w:p w:rsidR="00737EBA" w:rsidRPr="00D209EE" w:rsidRDefault="00737EBA" w:rsidP="00153B2B">
            <w:pPr>
              <w:suppressAutoHyphens w:val="0"/>
              <w:spacing w:before="80" w:after="80" w:line="200" w:lineRule="exact"/>
              <w:ind w:right="113"/>
              <w:jc w:val="right"/>
              <w:rPr>
                <w:i/>
                <w:sz w:val="16"/>
              </w:rPr>
            </w:pPr>
            <w:r w:rsidRPr="00D209EE">
              <w:rPr>
                <w:i/>
                <w:sz w:val="16"/>
              </w:rPr>
              <w:t>2018</w:t>
            </w:r>
          </w:p>
        </w:tc>
      </w:tr>
      <w:tr w:rsidR="00737EBA" w:rsidRPr="0083238A" w:rsidTr="00D209EE">
        <w:tc>
          <w:tcPr>
            <w:tcW w:w="1579" w:type="dxa"/>
            <w:tcBorders>
              <w:top w:val="single" w:sz="12" w:space="0" w:color="auto"/>
            </w:tcBorders>
            <w:shd w:val="clear" w:color="auto" w:fill="auto"/>
          </w:tcPr>
          <w:p w:rsidR="00737EBA" w:rsidRPr="0083238A" w:rsidRDefault="00737EBA" w:rsidP="0083238A">
            <w:pPr>
              <w:suppressAutoHyphens w:val="0"/>
              <w:spacing w:before="40" w:after="40" w:line="220" w:lineRule="exact"/>
              <w:ind w:right="113"/>
              <w:rPr>
                <w:sz w:val="18"/>
              </w:rPr>
            </w:pPr>
            <w:r w:rsidRPr="0083238A">
              <w:rPr>
                <w:sz w:val="18"/>
              </w:rPr>
              <w:t>332</w:t>
            </w:r>
          </w:p>
        </w:tc>
        <w:tc>
          <w:tcPr>
            <w:tcW w:w="1579" w:type="dxa"/>
            <w:tcBorders>
              <w:top w:val="single" w:sz="12" w:space="0" w:color="auto"/>
            </w:tcBorders>
            <w:shd w:val="clear" w:color="auto" w:fill="auto"/>
          </w:tcPr>
          <w:p w:rsidR="00737EBA" w:rsidRPr="0083238A" w:rsidRDefault="00737EBA" w:rsidP="00153B2B">
            <w:pPr>
              <w:suppressAutoHyphens w:val="0"/>
              <w:spacing w:before="40" w:after="40" w:line="220" w:lineRule="exact"/>
              <w:ind w:right="113"/>
              <w:jc w:val="right"/>
              <w:rPr>
                <w:sz w:val="18"/>
              </w:rPr>
            </w:pPr>
            <w:r w:rsidRPr="0083238A">
              <w:rPr>
                <w:sz w:val="18"/>
              </w:rPr>
              <w:t>325</w:t>
            </w:r>
          </w:p>
        </w:tc>
        <w:tc>
          <w:tcPr>
            <w:tcW w:w="1605" w:type="dxa"/>
            <w:tcBorders>
              <w:top w:val="single" w:sz="12" w:space="0" w:color="auto"/>
            </w:tcBorders>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3</w:t>
            </w:r>
            <w:r w:rsidR="00BD1B4D">
              <w:rPr>
                <w:sz w:val="18"/>
              </w:rPr>
              <w:t xml:space="preserve"> </w:t>
            </w:r>
            <w:r w:rsidRPr="0083238A">
              <w:rPr>
                <w:sz w:val="18"/>
              </w:rPr>
              <w:t>123</w:t>
            </w:r>
          </w:p>
        </w:tc>
        <w:tc>
          <w:tcPr>
            <w:tcW w:w="1605" w:type="dxa"/>
            <w:tcBorders>
              <w:top w:val="single" w:sz="12" w:space="0" w:color="auto"/>
            </w:tcBorders>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2</w:t>
            </w:r>
            <w:r w:rsidR="00BD1B4D">
              <w:rPr>
                <w:sz w:val="18"/>
              </w:rPr>
              <w:t xml:space="preserve"> </w:t>
            </w:r>
            <w:r w:rsidRPr="0083238A">
              <w:rPr>
                <w:sz w:val="18"/>
              </w:rPr>
              <w:t>947</w:t>
            </w:r>
          </w:p>
        </w:tc>
        <w:tc>
          <w:tcPr>
            <w:tcW w:w="1630" w:type="dxa"/>
            <w:tcBorders>
              <w:top w:val="single" w:sz="12" w:space="0" w:color="auto"/>
            </w:tcBorders>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13</w:t>
            </w:r>
            <w:r w:rsidR="009A6C1D">
              <w:rPr>
                <w:sz w:val="18"/>
              </w:rPr>
              <w:t xml:space="preserve"> </w:t>
            </w:r>
            <w:r w:rsidRPr="0083238A">
              <w:rPr>
                <w:sz w:val="18"/>
              </w:rPr>
              <w:t>251</w:t>
            </w:r>
          </w:p>
        </w:tc>
        <w:tc>
          <w:tcPr>
            <w:tcW w:w="1630" w:type="dxa"/>
            <w:tcBorders>
              <w:top w:val="single" w:sz="12" w:space="0" w:color="auto"/>
            </w:tcBorders>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12</w:t>
            </w:r>
            <w:r w:rsidR="00BD1B4D">
              <w:rPr>
                <w:sz w:val="18"/>
              </w:rPr>
              <w:t xml:space="preserve"> </w:t>
            </w:r>
            <w:r w:rsidRPr="0083238A">
              <w:rPr>
                <w:sz w:val="18"/>
              </w:rPr>
              <w:t>878</w:t>
            </w:r>
          </w:p>
        </w:tc>
      </w:tr>
      <w:tr w:rsidR="00737EBA" w:rsidRPr="0083238A" w:rsidTr="0083238A">
        <w:tc>
          <w:tcPr>
            <w:tcW w:w="1579" w:type="dxa"/>
            <w:shd w:val="clear" w:color="auto" w:fill="auto"/>
          </w:tcPr>
          <w:p w:rsidR="00737EBA" w:rsidRPr="0083238A" w:rsidRDefault="00737EBA" w:rsidP="0083238A">
            <w:pPr>
              <w:suppressAutoHyphens w:val="0"/>
              <w:spacing w:before="40" w:after="40" w:line="220" w:lineRule="exact"/>
              <w:ind w:right="113"/>
              <w:rPr>
                <w:sz w:val="18"/>
              </w:rPr>
            </w:pPr>
            <w:r w:rsidRPr="0083238A">
              <w:rPr>
                <w:sz w:val="18"/>
              </w:rPr>
              <w:t>0.47</w:t>
            </w:r>
          </w:p>
        </w:tc>
        <w:tc>
          <w:tcPr>
            <w:tcW w:w="1579" w:type="dxa"/>
            <w:shd w:val="clear" w:color="auto" w:fill="auto"/>
          </w:tcPr>
          <w:p w:rsidR="00737EBA" w:rsidRPr="0083238A" w:rsidRDefault="00737EBA" w:rsidP="00153B2B">
            <w:pPr>
              <w:suppressAutoHyphens w:val="0"/>
              <w:spacing w:before="40" w:after="40" w:line="220" w:lineRule="exact"/>
              <w:ind w:right="113"/>
              <w:jc w:val="right"/>
              <w:rPr>
                <w:sz w:val="18"/>
              </w:rPr>
            </w:pPr>
            <w:r w:rsidRPr="0083238A">
              <w:rPr>
                <w:sz w:val="18"/>
              </w:rPr>
              <w:t>0.46</w:t>
            </w:r>
          </w:p>
        </w:tc>
        <w:tc>
          <w:tcPr>
            <w:tcW w:w="1605" w:type="dxa"/>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17.85</w:t>
            </w:r>
          </w:p>
        </w:tc>
        <w:tc>
          <w:tcPr>
            <w:tcW w:w="1605" w:type="dxa"/>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16.84</w:t>
            </w:r>
          </w:p>
        </w:tc>
        <w:tc>
          <w:tcPr>
            <w:tcW w:w="1630" w:type="dxa"/>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75.72</w:t>
            </w:r>
          </w:p>
        </w:tc>
        <w:tc>
          <w:tcPr>
            <w:tcW w:w="1630" w:type="dxa"/>
            <w:shd w:val="clear" w:color="auto" w:fill="auto"/>
            <w:vAlign w:val="bottom"/>
          </w:tcPr>
          <w:p w:rsidR="00737EBA" w:rsidRPr="0083238A" w:rsidRDefault="00737EBA" w:rsidP="00153B2B">
            <w:pPr>
              <w:suppressAutoHyphens w:val="0"/>
              <w:spacing w:before="40" w:after="40" w:line="220" w:lineRule="exact"/>
              <w:ind w:right="113"/>
              <w:jc w:val="right"/>
              <w:rPr>
                <w:sz w:val="18"/>
              </w:rPr>
            </w:pPr>
            <w:r w:rsidRPr="0083238A">
              <w:rPr>
                <w:sz w:val="18"/>
              </w:rPr>
              <w:t>73.59</w:t>
            </w:r>
          </w:p>
        </w:tc>
      </w:tr>
    </w:tbl>
    <w:p w:rsidR="00737EBA" w:rsidRPr="00D209EE" w:rsidRDefault="00737EBA" w:rsidP="00D209EE">
      <w:pPr>
        <w:spacing w:before="120"/>
        <w:ind w:left="1134" w:right="1134" w:firstLine="170"/>
        <w:rPr>
          <w:sz w:val="18"/>
        </w:rPr>
      </w:pPr>
      <w:r w:rsidRPr="00D209EE">
        <w:rPr>
          <w:sz w:val="18"/>
        </w:rPr>
        <w:t>*Rate is given for 1000 live births</w:t>
      </w:r>
      <w:r w:rsidR="00D209EE">
        <w:rPr>
          <w:sz w:val="18"/>
        </w:rPr>
        <w:t>.</w:t>
      </w:r>
    </w:p>
    <w:p w:rsidR="00737EBA" w:rsidRDefault="00737EBA" w:rsidP="0013527C">
      <w:pPr>
        <w:pStyle w:val="HChG"/>
        <w:rPr>
          <w:lang w:val="en-AU"/>
        </w:rPr>
      </w:pPr>
      <w:r>
        <w:rPr>
          <w:lang w:val="en-AU"/>
        </w:rPr>
        <w:tab/>
      </w:r>
      <w:r>
        <w:rPr>
          <w:lang w:val="en-AU"/>
        </w:rPr>
        <w:tab/>
        <w:t xml:space="preserve">Issue </w:t>
      </w:r>
      <w:r w:rsidRPr="00550C3D">
        <w:rPr>
          <w:lang w:val="en-AU"/>
        </w:rPr>
        <w:t>5</w:t>
      </w:r>
    </w:p>
    <w:p w:rsidR="00737EBA" w:rsidRPr="00550C3D" w:rsidRDefault="00737EBA" w:rsidP="0013527C">
      <w:pPr>
        <w:pStyle w:val="H1G"/>
        <w:rPr>
          <w:lang w:val="en-AU"/>
        </w:rPr>
      </w:pPr>
      <w:r>
        <w:rPr>
          <w:lang w:val="en-AU"/>
        </w:rPr>
        <w:tab/>
      </w:r>
      <w:r>
        <w:rPr>
          <w:lang w:val="en-AU"/>
        </w:rPr>
        <w:tab/>
      </w:r>
      <w:r w:rsidRPr="00550C3D">
        <w:rPr>
          <w:lang w:val="en-AU"/>
        </w:rPr>
        <w:t>Adoption of National Child Protection Policy and related action plans</w:t>
      </w:r>
    </w:p>
    <w:p w:rsidR="00737EBA" w:rsidRPr="00550C3D" w:rsidRDefault="00CB002F" w:rsidP="0013527C">
      <w:pPr>
        <w:pStyle w:val="SingleTxtG"/>
        <w:rPr>
          <w:b/>
          <w:bCs/>
        </w:rPr>
      </w:pPr>
      <w:r w:rsidRPr="00550C3D">
        <w:t>7.</w:t>
      </w:r>
      <w:r w:rsidRPr="00550C3D">
        <w:tab/>
      </w:r>
      <w:r w:rsidR="00737EBA" w:rsidRPr="00550C3D">
        <w:t>Protection of children from all forms of violence is a primary concern of the Government of Sri Lanka. Sale of children, child sexual exploitation and pornography are critical issues, and protection of children against them is being ensured through system</w:t>
      </w:r>
      <w:r w:rsidR="00737EBA">
        <w:t>atic approaches:</w:t>
      </w:r>
    </w:p>
    <w:p w:rsidR="00737EBA" w:rsidRPr="005A44F8" w:rsidRDefault="005D60BA" w:rsidP="005D60BA">
      <w:pPr>
        <w:pStyle w:val="SingleTxtG"/>
        <w:rPr>
          <w:bCs/>
        </w:rPr>
      </w:pPr>
      <w:r>
        <w:tab/>
      </w:r>
      <w:r w:rsidR="00CB002F" w:rsidRPr="005A44F8">
        <w:t>(a)</w:t>
      </w:r>
      <w:r w:rsidR="00CB002F" w:rsidRPr="005A44F8">
        <w:tab/>
      </w:r>
      <w:r w:rsidR="00737EBA" w:rsidRPr="005A44F8">
        <w:rPr>
          <w:bCs/>
        </w:rPr>
        <w:t>National Child Protection Policy</w:t>
      </w:r>
      <w:r w:rsidR="00737EBA" w:rsidRPr="005A44F8">
        <w:t>,</w:t>
      </w:r>
      <w:r w:rsidR="00737EBA" w:rsidRPr="00550C3D">
        <w:t xml:space="preserve"> drafted by National Child Protection Authority, has been finalized and is being reviewed by the panel established under section 16 of National Child Protection Act of no 50 of 1998. It is envisaged that, following receipt of Cabinet </w:t>
      </w:r>
      <w:r w:rsidR="00737EBA" w:rsidRPr="005A44F8">
        <w:t>approval and the Policy will be implemented beginning from end of 2019;</w:t>
      </w:r>
    </w:p>
    <w:p w:rsidR="00737EBA" w:rsidRPr="00550C3D" w:rsidRDefault="00D51580" w:rsidP="0013527C">
      <w:pPr>
        <w:pStyle w:val="SingleTxtG"/>
      </w:pPr>
      <w:r>
        <w:tab/>
      </w:r>
      <w:r w:rsidR="00CB002F" w:rsidRPr="00550C3D">
        <w:t>(b)</w:t>
      </w:r>
      <w:r w:rsidR="00CB002F" w:rsidRPr="00550C3D">
        <w:tab/>
      </w:r>
      <w:r w:rsidR="00737EBA" w:rsidRPr="005A44F8">
        <w:rPr>
          <w:bCs/>
        </w:rPr>
        <w:t>The National Plan of Action for Children 2016-2020</w:t>
      </w:r>
      <w:r w:rsidR="00737EBA" w:rsidRPr="00550C3D">
        <w:rPr>
          <w:b/>
          <w:bCs/>
        </w:rPr>
        <w:t xml:space="preserve"> </w:t>
      </w:r>
      <w:r w:rsidR="00737EBA" w:rsidRPr="00550C3D">
        <w:t>is a multi-disciplinary Action Plan developed by the Ministry of Women and Child Affairs and Dry Zone Development. Currently, the Plan of Action is being implemented successfully. The Plan also proposed a specific monitoring mechanism to oversee the progress of its implementation. Accordingly, a national level monitoring committee has been setup representing the key government stakeholders under the leadership of the Ministry of Women and Child Affairs. This committee is responsible for reviewing progress quarterly and annually and for making recommendations to overcome any obstacles and streamline the implementation of the Plan to ensure better results.</w:t>
      </w:r>
      <w:r w:rsidR="00363FEE">
        <w:t xml:space="preserve"> </w:t>
      </w:r>
      <w:r w:rsidR="00737EBA" w:rsidRPr="00550C3D">
        <w:t>Furthermore, this Action Plan is aligned with the national plan prepared by the Department of Planning, and the government has ensured budget allocations for the period 2016-2020 for its implementation</w:t>
      </w:r>
      <w:r w:rsidR="00737EBA">
        <w:t>;</w:t>
      </w:r>
    </w:p>
    <w:p w:rsidR="00737EBA" w:rsidRPr="00F97956" w:rsidRDefault="00D51580" w:rsidP="005D60BA">
      <w:pPr>
        <w:pStyle w:val="SingleTxtG"/>
        <w:rPr>
          <w:bCs/>
        </w:rPr>
      </w:pPr>
      <w:r>
        <w:tab/>
      </w:r>
      <w:r w:rsidR="00CB002F" w:rsidRPr="00F97956">
        <w:t>(c)</w:t>
      </w:r>
      <w:r w:rsidR="00CB002F" w:rsidRPr="00F97956">
        <w:tab/>
      </w:r>
      <w:r w:rsidR="00737EBA" w:rsidRPr="00F97956">
        <w:rPr>
          <w:bCs/>
        </w:rPr>
        <w:t>Path Finder Country to the Global Partnership to End Violence against Children:</w:t>
      </w:r>
      <w:r w:rsidR="00737EBA">
        <w:rPr>
          <w:bCs/>
        </w:rPr>
        <w:t xml:space="preserve"> </w:t>
      </w:r>
      <w:r w:rsidR="00737EBA">
        <w:t>t</w:t>
      </w:r>
      <w:r w:rsidR="00737EBA" w:rsidRPr="00F97956">
        <w:t>he Ministry of Women and Child Affairs has initiated the establishment of a Secretariat for the implementation of strategies to end violence against children at the national level in collaboration with UNICEF and other non-governmental organizations. The National Action Plan for National Partnership to End Violence against Children (NEPVAC) has been drafted and is to be validated during this year. The National Plan covers Corporal punishment, Child Abuse and Exploitation, and Online Safety</w:t>
      </w:r>
      <w:r w:rsidR="005D60BA">
        <w:t>,</w:t>
      </w:r>
      <w:r w:rsidR="00737EBA" w:rsidRPr="00F97956">
        <w:t xml:space="preserve"> Save the Children and National Child Protection Authority lead the Action Plan for the Thematic Issue of Online Safety;</w:t>
      </w:r>
    </w:p>
    <w:p w:rsidR="00737EBA" w:rsidRPr="00F97956" w:rsidRDefault="00D51580" w:rsidP="0013527C">
      <w:pPr>
        <w:pStyle w:val="SingleTxtG"/>
        <w:rPr>
          <w:bCs/>
        </w:rPr>
      </w:pPr>
      <w:r>
        <w:tab/>
      </w:r>
      <w:r w:rsidR="00CB002F" w:rsidRPr="00F97956">
        <w:t>(d)</w:t>
      </w:r>
      <w:r w:rsidR="00CB002F" w:rsidRPr="00F97956">
        <w:tab/>
      </w:r>
      <w:r w:rsidR="00737EBA" w:rsidRPr="00F97956">
        <w:rPr>
          <w:bCs/>
        </w:rPr>
        <w:t>National Action Plan on Child Sexual Abuse, Exploitation including Online Safety</w:t>
      </w:r>
      <w:r w:rsidR="00737EBA">
        <w:rPr>
          <w:bCs/>
        </w:rPr>
        <w:t xml:space="preserve">: </w:t>
      </w:r>
      <w:r w:rsidR="00737EBA">
        <w:t>a</w:t>
      </w:r>
      <w:r w:rsidR="00737EBA" w:rsidRPr="00F97956">
        <w:t>s a member country to the South Asia Initiative to End Violence Against Children (SAIEVAC), the Ministry of Women and Child Affairs and Dry Zone Development initiated the preparation of the Action Plan for Child Abuse, Sexual Exploitation including Online Safety which was directed by the SAIEVAC regional action plan. Accordingly, an expert review meeting was held recently and is in the process of the formulating the final draft. Below mentioned strategic approaches were identified in th</w:t>
      </w:r>
      <w:r w:rsidR="00737EBA">
        <w:t>e proposed National Action Plan:</w:t>
      </w:r>
    </w:p>
    <w:p w:rsidR="00737EBA" w:rsidRPr="006E2383" w:rsidRDefault="00737EBA" w:rsidP="00D51580">
      <w:pPr>
        <w:pStyle w:val="SingleTxtG"/>
        <w:ind w:left="1701"/>
      </w:pPr>
      <w:r>
        <w:lastRenderedPageBreak/>
        <w:t>(</w:t>
      </w:r>
      <w:proofErr w:type="spellStart"/>
      <w:r>
        <w:t>i</w:t>
      </w:r>
      <w:proofErr w:type="spellEnd"/>
      <w:r>
        <w:t>)</w:t>
      </w:r>
      <w:r>
        <w:tab/>
      </w:r>
      <w:r w:rsidRPr="006E2383">
        <w:t>Legislative and Policy Framework</w:t>
      </w:r>
      <w:r>
        <w:t>;</w:t>
      </w:r>
    </w:p>
    <w:p w:rsidR="00737EBA" w:rsidRPr="006E2383" w:rsidRDefault="00737EBA" w:rsidP="00D51580">
      <w:pPr>
        <w:pStyle w:val="SingleTxtG"/>
        <w:ind w:left="1701"/>
      </w:pPr>
      <w:r>
        <w:t>(ii)</w:t>
      </w:r>
      <w:r>
        <w:tab/>
      </w:r>
      <w:r w:rsidRPr="006E2383">
        <w:t>Protective Measures and Assistance to Victims</w:t>
      </w:r>
      <w:r>
        <w:t>;</w:t>
      </w:r>
    </w:p>
    <w:p w:rsidR="00737EBA" w:rsidRPr="006E2383" w:rsidRDefault="00737EBA" w:rsidP="00D51580">
      <w:pPr>
        <w:pStyle w:val="SingleTxtG"/>
        <w:ind w:left="1701"/>
      </w:pPr>
      <w:r>
        <w:t>(iii)</w:t>
      </w:r>
      <w:r>
        <w:tab/>
      </w:r>
      <w:r w:rsidRPr="006E2383">
        <w:t>Prevention</w:t>
      </w:r>
      <w:r>
        <w:t>;</w:t>
      </w:r>
    </w:p>
    <w:p w:rsidR="00737EBA" w:rsidRPr="006E2383" w:rsidRDefault="00737EBA" w:rsidP="00D51580">
      <w:pPr>
        <w:pStyle w:val="SingleTxtG"/>
        <w:ind w:left="1701"/>
      </w:pPr>
      <w:r>
        <w:t>(iv)</w:t>
      </w:r>
      <w:r>
        <w:tab/>
      </w:r>
      <w:r w:rsidRPr="006E2383">
        <w:t>Corporate Sector/Industry</w:t>
      </w:r>
      <w:r>
        <w:t>;</w:t>
      </w:r>
    </w:p>
    <w:p w:rsidR="00737EBA" w:rsidRPr="006E2383" w:rsidRDefault="00737EBA" w:rsidP="00D51580">
      <w:pPr>
        <w:pStyle w:val="SingleTxtG"/>
        <w:ind w:left="1701"/>
      </w:pPr>
      <w:r>
        <w:t>(v)</w:t>
      </w:r>
      <w:r>
        <w:tab/>
      </w:r>
      <w:r w:rsidRPr="006E2383">
        <w:t>Capacity and Skills Development</w:t>
      </w:r>
      <w:r>
        <w:t>;</w:t>
      </w:r>
    </w:p>
    <w:p w:rsidR="00737EBA" w:rsidRPr="006E2383" w:rsidRDefault="00737EBA" w:rsidP="00D51580">
      <w:pPr>
        <w:pStyle w:val="SingleTxtG"/>
        <w:ind w:left="1701"/>
      </w:pPr>
      <w:r>
        <w:t>(vi)</w:t>
      </w:r>
      <w:r>
        <w:tab/>
      </w:r>
      <w:r w:rsidRPr="006E2383">
        <w:t>Partnerships</w:t>
      </w:r>
      <w:r>
        <w:t>;</w:t>
      </w:r>
    </w:p>
    <w:p w:rsidR="00737EBA" w:rsidRPr="00F97956" w:rsidRDefault="00D51580" w:rsidP="0013527C">
      <w:pPr>
        <w:pStyle w:val="SingleTxtG"/>
        <w:rPr>
          <w:b/>
          <w:bCs/>
        </w:rPr>
      </w:pPr>
      <w:r>
        <w:tab/>
      </w:r>
      <w:r w:rsidR="00CB002F" w:rsidRPr="00F97956">
        <w:t>(e)</w:t>
      </w:r>
      <w:r w:rsidR="00CB002F" w:rsidRPr="00F97956">
        <w:tab/>
      </w:r>
      <w:r w:rsidR="00737EBA" w:rsidRPr="00F97956">
        <w:rPr>
          <w:bCs/>
        </w:rPr>
        <w:t>Institutional annual action plans:</w:t>
      </w:r>
      <w:r w:rsidR="00737EBA" w:rsidRPr="006E2383">
        <w:rPr>
          <w:b/>
          <w:bCs/>
        </w:rPr>
        <w:t xml:space="preserve"> </w:t>
      </w:r>
      <w:r w:rsidR="00737EBA" w:rsidRPr="00F97956">
        <w:t>Ministry of Women and Child Affairs and Dry Zone Development, National Child Protection Authority and the Department of Probation and Child Care Services implement specific programs to ensure the protection and wellbeing of children. In the context, special programs were implemented to prevent child abuse, sexual exploitation and child pornography. Department of Probation and Child Care Services developed the National Alternative Care Policy and cabinet approval has been granted for the same. The Department intends to disseminate the policy and train officials as the next step. The Department of Probation and Child Care Services takes measures to prevent sexual abuse and exploitation through preparation of care plans for vulnerable children according to the National Case Management Guideline for Prevention of all Forms of Violenc</w:t>
      </w:r>
      <w:r w:rsidR="00737EBA">
        <w:t>e against Children of Sri Lanka;</w:t>
      </w:r>
    </w:p>
    <w:p w:rsidR="00737EBA" w:rsidRPr="00F97956" w:rsidRDefault="00D51580" w:rsidP="0013527C">
      <w:pPr>
        <w:pStyle w:val="SingleTxtG"/>
        <w:rPr>
          <w:b/>
          <w:bCs/>
        </w:rPr>
      </w:pPr>
      <w:r>
        <w:tab/>
      </w:r>
      <w:r w:rsidR="00CB002F" w:rsidRPr="00F97956">
        <w:t>(f)</w:t>
      </w:r>
      <w:r w:rsidR="00CB002F" w:rsidRPr="00F97956">
        <w:tab/>
      </w:r>
      <w:r w:rsidR="00737EBA" w:rsidRPr="00F97956">
        <w:rPr>
          <w:bCs/>
        </w:rPr>
        <w:t>Child Offenders Registry</w:t>
      </w:r>
      <w:r w:rsidR="00737EBA" w:rsidRPr="00550C3D">
        <w:rPr>
          <w:b/>
          <w:bCs/>
        </w:rPr>
        <w:t xml:space="preserve">: </w:t>
      </w:r>
      <w:r w:rsidR="00737EBA">
        <w:t>e</w:t>
      </w:r>
      <w:r w:rsidR="00737EBA" w:rsidRPr="00F97956">
        <w:t>nsuring the rights of child offenders, the Penal Code and the Code of Criminal Procedure Act were amended in 2018 to:</w:t>
      </w:r>
    </w:p>
    <w:p w:rsidR="00737EBA" w:rsidRPr="006E2383" w:rsidRDefault="00737EBA" w:rsidP="00D51580">
      <w:pPr>
        <w:pStyle w:val="SingleTxtG"/>
        <w:ind w:left="1701"/>
      </w:pPr>
      <w:r>
        <w:t>(</w:t>
      </w:r>
      <w:proofErr w:type="spellStart"/>
      <w:r>
        <w:t>i</w:t>
      </w:r>
      <w:proofErr w:type="spellEnd"/>
      <w:r>
        <w:t>)</w:t>
      </w:r>
      <w:r>
        <w:tab/>
      </w:r>
      <w:r w:rsidRPr="006E2383">
        <w:t xml:space="preserve">Raise the minimum age of criminal responsibility from 8 to 12; </w:t>
      </w:r>
    </w:p>
    <w:p w:rsidR="00737EBA" w:rsidRDefault="00737EBA" w:rsidP="00D51580">
      <w:pPr>
        <w:pStyle w:val="SingleTxtG"/>
        <w:ind w:left="1701"/>
      </w:pPr>
      <w:r>
        <w:t>(ii)</w:t>
      </w:r>
      <w:r w:rsidRPr="00236AA3">
        <w:tab/>
        <w:t>Require a medical examination in case of an offence alleged to have been committed by a child of or above twelve years of age and under fourteen</w:t>
      </w:r>
      <w:r w:rsidR="00363FEE">
        <w:t xml:space="preserve"> </w:t>
      </w:r>
      <w:r w:rsidRPr="00236AA3">
        <w:t>in order to obtain a report whether such child has attained sufficient maturity of understanding which enables the Magistrate having jurisdiction in the case to decide (a) the degree of responsibility of such child, taking into consideration the nature and consequences of the alleged offence; and (b) whether the child is in need of any therapeutic intervention</w:t>
      </w:r>
      <w:r>
        <w:t>;</w:t>
      </w:r>
    </w:p>
    <w:p w:rsidR="00737EBA" w:rsidRPr="00236AA3" w:rsidRDefault="00627900" w:rsidP="0013527C">
      <w:pPr>
        <w:pStyle w:val="SingleTxtG"/>
      </w:pPr>
      <w:r>
        <w:tab/>
      </w:r>
      <w:r w:rsidR="00737EBA" w:rsidRPr="00236AA3">
        <w:t>(g)</w:t>
      </w:r>
      <w:r w:rsidR="00737EBA" w:rsidRPr="00236AA3">
        <w:tab/>
        <w:t>The Crime Division of Sri Lanka Police is mandated to maintain a general registry on cases related to Re-convicted Criminals (RC) and Island Re-convicted Criminals (IRC). In this registry, matters related to children are also recorded.</w:t>
      </w:r>
    </w:p>
    <w:p w:rsidR="00737EBA" w:rsidRDefault="00737EBA" w:rsidP="0013527C">
      <w:pPr>
        <w:pStyle w:val="HChG"/>
        <w:rPr>
          <w:lang w:val="en-US"/>
        </w:rPr>
      </w:pPr>
      <w:r>
        <w:rPr>
          <w:lang w:val="en-US"/>
        </w:rPr>
        <w:tab/>
      </w:r>
      <w:r>
        <w:rPr>
          <w:lang w:val="en-US"/>
        </w:rPr>
        <w:tab/>
        <w:t xml:space="preserve">Issue </w:t>
      </w:r>
      <w:r w:rsidRPr="00550C3D">
        <w:rPr>
          <w:lang w:val="en-US"/>
        </w:rPr>
        <w:t>6</w:t>
      </w:r>
    </w:p>
    <w:p w:rsidR="00737EBA" w:rsidRPr="00550C3D" w:rsidRDefault="00737EBA" w:rsidP="0013527C">
      <w:pPr>
        <w:pStyle w:val="H1G"/>
        <w:rPr>
          <w:lang w:val="en-US"/>
        </w:rPr>
      </w:pPr>
      <w:r>
        <w:rPr>
          <w:lang w:val="en-US"/>
        </w:rPr>
        <w:tab/>
      </w:r>
      <w:r>
        <w:rPr>
          <w:lang w:val="en-US"/>
        </w:rPr>
        <w:tab/>
      </w:r>
      <w:r w:rsidRPr="00550C3D">
        <w:rPr>
          <w:lang w:val="en-US"/>
        </w:rPr>
        <w:t>Responsibility of coordination of the implementation of the OP</w:t>
      </w:r>
    </w:p>
    <w:p w:rsidR="00737EBA" w:rsidRPr="00550C3D" w:rsidRDefault="00CB002F" w:rsidP="00537256">
      <w:pPr>
        <w:pStyle w:val="SingleTxtG"/>
        <w:rPr>
          <w:b/>
          <w:bCs/>
        </w:rPr>
      </w:pPr>
      <w:r w:rsidRPr="00550C3D">
        <w:t>8.</w:t>
      </w:r>
      <w:r w:rsidRPr="00550C3D">
        <w:tab/>
      </w:r>
      <w:r w:rsidR="00737EBA" w:rsidRPr="00550C3D">
        <w:t>Ministry of Women and Child Affairs and Dry Zone Development in collaboration with the UNICEF has conducted afunctional mapping survey (2016 and 2017) to determine the functional gaps. Accordingly, duty bearers</w:t>
      </w:r>
      <w:r w:rsidR="00B66EA3">
        <w:t>’</w:t>
      </w:r>
      <w:r w:rsidR="00737EBA" w:rsidRPr="00550C3D">
        <w:t xml:space="preserve"> responsibility has been clearly defined in the job description of assign</w:t>
      </w:r>
      <w:r w:rsidR="00737EBA">
        <w:t>ed officers:</w:t>
      </w:r>
      <w:r w:rsidR="00737EBA" w:rsidRPr="00550C3D">
        <w:t xml:space="preserve"> </w:t>
      </w:r>
    </w:p>
    <w:p w:rsidR="00737EBA" w:rsidRPr="00550C3D" w:rsidRDefault="001615A5" w:rsidP="0013527C">
      <w:pPr>
        <w:pStyle w:val="SingleTxtG"/>
        <w:rPr>
          <w:b/>
          <w:bCs/>
        </w:rPr>
      </w:pPr>
      <w:r>
        <w:tab/>
      </w:r>
      <w:r w:rsidR="00CB002F" w:rsidRPr="00550C3D">
        <w:t>(a)</w:t>
      </w:r>
      <w:r w:rsidR="00CB002F" w:rsidRPr="00550C3D">
        <w:tab/>
      </w:r>
      <w:r w:rsidR="00737EBA" w:rsidRPr="00550C3D">
        <w:t>The Department of Probation and Child Care Services works from grass-root level to national level to ensure child rights. National Child Protection Authority has the responsibility of protection of children from all forms of violence including matters related to sale of children, child sexual exploitation and pornography. Thus at the Provincial Level, Provincial Probation and Child Care Services Departments cater to children through the Probation Officers recruited at the provincial department. Though the implementation of activities in relation to UNCRC and OP is carried out by other government organizations as well, the coordination of matters related to United Nations Convention on the Rights of Child and Optional Protocol I and II is the primary responsibility of the Ministry of Women and Child Af</w:t>
      </w:r>
      <w:r w:rsidR="00737EBA">
        <w:t>fairs and Dry Zone Development;</w:t>
      </w:r>
      <w:r w:rsidR="00737EBA" w:rsidRPr="00550C3D">
        <w:t xml:space="preserve"> </w:t>
      </w:r>
    </w:p>
    <w:p w:rsidR="00737EBA" w:rsidRPr="00550C3D" w:rsidRDefault="001615A5" w:rsidP="00607138">
      <w:pPr>
        <w:pStyle w:val="SingleTxtG"/>
        <w:rPr>
          <w:b/>
          <w:bCs/>
        </w:rPr>
      </w:pPr>
      <w:r>
        <w:tab/>
      </w:r>
      <w:r w:rsidR="00CB002F" w:rsidRPr="00550C3D">
        <w:t>(b)</w:t>
      </w:r>
      <w:r w:rsidR="00CB002F" w:rsidRPr="00550C3D">
        <w:tab/>
      </w:r>
      <w:r w:rsidR="00737EBA" w:rsidRPr="00550C3D">
        <w:t>Following section 40 of the Children</w:t>
      </w:r>
      <w:r w:rsidR="00B66EA3">
        <w:t>’</w:t>
      </w:r>
      <w:r w:rsidR="00737EBA" w:rsidRPr="00550C3D">
        <w:t xml:space="preserve">s Charter, prepared based on the CRC, the Ministry of Women and Child Affairs has established a national level coordination mechanism for child rights, comprising of three tiers of government and civil society </w:t>
      </w:r>
      <w:r w:rsidR="00737EBA" w:rsidRPr="00550C3D">
        <w:lastRenderedPageBreak/>
        <w:t>representatives. The National Monitoring Committee on Rights of the Child (NMC), which is the topmost voluntary authority to make collaborative decisions for the realization of children</w:t>
      </w:r>
      <w:r w:rsidR="00B66EA3">
        <w:t>’</w:t>
      </w:r>
      <w:r w:rsidR="00737EBA" w:rsidRPr="00550C3D">
        <w:t>s rights, is chaired by Secretary to the Ministry of Women and Child Affairs and Dry Zone Development. Six members appointed by the President of Sri Lanka and Secretaries/Heads of Departments of 17 Ministries and Government agencies with a child rights mandate comprise the committee. At the next level, the Ministry convenes a working group</w:t>
      </w:r>
      <w:r w:rsidR="00071B75">
        <w:t>/</w:t>
      </w:r>
      <w:r w:rsidR="00737EBA" w:rsidRPr="00550C3D">
        <w:t>coordination forum of focal points from each ministry and department that is represented at the NMC. The role of this group is to coordinate directly with the MOWCA to monitor and report on the situation of child rights and measures taken to improve children</w:t>
      </w:r>
      <w:r w:rsidR="00B66EA3">
        <w:t>’</w:t>
      </w:r>
      <w:r w:rsidR="00737EBA" w:rsidRPr="00550C3D">
        <w:t>s lives within their mandates. The third tier is a technical working group of government and non-governmental actors which provides technical guidance and support to the MOWCA for the improvement and</w:t>
      </w:r>
      <w:r w:rsidR="00737EBA">
        <w:t xml:space="preserve"> implementation of this process;</w:t>
      </w:r>
    </w:p>
    <w:p w:rsidR="00737EBA" w:rsidRPr="00550C3D" w:rsidRDefault="001615A5" w:rsidP="0013527C">
      <w:pPr>
        <w:pStyle w:val="SingleTxtG"/>
        <w:rPr>
          <w:b/>
          <w:bCs/>
        </w:rPr>
      </w:pPr>
      <w:r>
        <w:tab/>
      </w:r>
      <w:r w:rsidR="00CB002F" w:rsidRPr="00550C3D">
        <w:t>(c)</w:t>
      </w:r>
      <w:r w:rsidR="00CB002F" w:rsidRPr="00550C3D">
        <w:tab/>
      </w:r>
      <w:r w:rsidR="00737EBA" w:rsidRPr="002C0776">
        <w:rPr>
          <w:bCs/>
        </w:rPr>
        <w:t>Resource Allocation:</w:t>
      </w:r>
      <w:r w:rsidR="00737EBA" w:rsidRPr="00550C3D">
        <w:rPr>
          <w:b/>
          <w:bCs/>
        </w:rPr>
        <w:t xml:space="preserve"> </w:t>
      </w:r>
      <w:r w:rsidR="00737EBA" w:rsidRPr="00550C3D">
        <w:t>Financial allocations provided by the government to the Ministry of Women and Child Affairs and Dry Zone Development through its national annual budget are as follows. Save the Children also has provided financial resources for last three consecutive years th</w:t>
      </w:r>
      <w:r w:rsidR="00737EBA">
        <w:t>rough Social Protection Project.</w:t>
      </w:r>
    </w:p>
    <w:p w:rsidR="00737EBA" w:rsidRDefault="00737EBA" w:rsidP="0013527C">
      <w:pPr>
        <w:pStyle w:val="H23G"/>
        <w:rPr>
          <w:lang w:val="en-AU"/>
        </w:rPr>
      </w:pPr>
      <w:r>
        <w:rPr>
          <w:lang w:val="en-AU"/>
        </w:rPr>
        <w:tab/>
      </w:r>
      <w:r>
        <w:rPr>
          <w:lang w:val="en-AU"/>
        </w:rPr>
        <w:tab/>
      </w:r>
      <w:r w:rsidRPr="00550C3D">
        <w:rPr>
          <w:lang w:val="en-AU"/>
        </w:rPr>
        <w:t>Financial Resources allocation from government budget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7"/>
        <w:gridCol w:w="3736"/>
        <w:gridCol w:w="779"/>
        <w:gridCol w:w="779"/>
        <w:gridCol w:w="779"/>
        <w:gridCol w:w="780"/>
      </w:tblGrid>
      <w:tr w:rsidR="00737EBA" w:rsidRPr="006F503B" w:rsidTr="004A27A7">
        <w:trPr>
          <w:tblHeader/>
        </w:trPr>
        <w:tc>
          <w:tcPr>
            <w:tcW w:w="517" w:type="dxa"/>
            <w:vMerge w:val="restart"/>
            <w:tcBorders>
              <w:top w:val="single" w:sz="4" w:space="0" w:color="auto"/>
              <w:bottom w:val="single" w:sz="12" w:space="0" w:color="auto"/>
            </w:tcBorders>
            <w:shd w:val="clear" w:color="auto" w:fill="auto"/>
            <w:vAlign w:val="bottom"/>
          </w:tcPr>
          <w:p w:rsidR="00737EBA" w:rsidRPr="006F503B" w:rsidRDefault="00737EBA" w:rsidP="006F503B">
            <w:pPr>
              <w:suppressAutoHyphens w:val="0"/>
              <w:spacing w:before="80" w:after="80" w:line="200" w:lineRule="exact"/>
              <w:ind w:right="113"/>
              <w:rPr>
                <w:rFonts w:eastAsia="Calibri"/>
                <w:i/>
                <w:sz w:val="16"/>
                <w:lang w:val="en-US" w:bidi="si-LK"/>
              </w:rPr>
            </w:pPr>
            <w:r w:rsidRPr="006F503B">
              <w:rPr>
                <w:rFonts w:eastAsia="Calibri"/>
                <w:i/>
                <w:sz w:val="16"/>
                <w:lang w:val="en-US" w:bidi="si-LK"/>
              </w:rPr>
              <w:t>No</w:t>
            </w:r>
          </w:p>
        </w:tc>
        <w:tc>
          <w:tcPr>
            <w:tcW w:w="3736" w:type="dxa"/>
            <w:vMerge w:val="restart"/>
            <w:tcBorders>
              <w:top w:val="single" w:sz="4" w:space="0" w:color="auto"/>
              <w:bottom w:val="single" w:sz="12" w:space="0" w:color="auto"/>
            </w:tcBorders>
            <w:shd w:val="clear" w:color="auto" w:fill="auto"/>
            <w:vAlign w:val="bottom"/>
          </w:tcPr>
          <w:p w:rsidR="00737EBA" w:rsidRPr="006F503B" w:rsidRDefault="00737EBA" w:rsidP="004A27A7">
            <w:pPr>
              <w:suppressAutoHyphens w:val="0"/>
              <w:spacing w:before="80" w:after="80" w:line="200" w:lineRule="exact"/>
              <w:ind w:right="113"/>
              <w:rPr>
                <w:rFonts w:eastAsia="Calibri"/>
                <w:i/>
                <w:sz w:val="16"/>
                <w:lang w:val="en-US" w:bidi="si-LK"/>
              </w:rPr>
            </w:pPr>
            <w:r w:rsidRPr="006F503B">
              <w:rPr>
                <w:rFonts w:eastAsia="Calibri"/>
                <w:i/>
                <w:sz w:val="16"/>
                <w:lang w:val="en-US" w:bidi="si-LK"/>
              </w:rPr>
              <w:t>Organization</w:t>
            </w:r>
          </w:p>
        </w:tc>
        <w:tc>
          <w:tcPr>
            <w:tcW w:w="3117" w:type="dxa"/>
            <w:gridSpan w:val="4"/>
            <w:tcBorders>
              <w:top w:val="single" w:sz="4" w:space="0" w:color="auto"/>
              <w:bottom w:val="single" w:sz="4" w:space="0" w:color="auto"/>
            </w:tcBorders>
            <w:shd w:val="clear" w:color="auto" w:fill="auto"/>
            <w:vAlign w:val="bottom"/>
          </w:tcPr>
          <w:p w:rsidR="00737EBA" w:rsidRPr="006F503B" w:rsidRDefault="00737EBA" w:rsidP="006F503B">
            <w:pPr>
              <w:suppressAutoHyphens w:val="0"/>
              <w:spacing w:before="80" w:after="80" w:line="200" w:lineRule="exact"/>
              <w:ind w:right="113"/>
              <w:jc w:val="center"/>
              <w:rPr>
                <w:rFonts w:eastAsia="Calibri"/>
                <w:i/>
                <w:sz w:val="16"/>
                <w:lang w:val="en-US" w:bidi="si-LK"/>
              </w:rPr>
            </w:pPr>
            <w:r w:rsidRPr="006F503B">
              <w:rPr>
                <w:rFonts w:eastAsia="Calibri"/>
                <w:i/>
                <w:sz w:val="16"/>
                <w:lang w:val="en-US" w:bidi="si-LK"/>
              </w:rPr>
              <w:t>Year</w:t>
            </w:r>
            <w:r w:rsidR="006F503B">
              <w:rPr>
                <w:rFonts w:eastAsia="Calibri"/>
                <w:i/>
                <w:sz w:val="16"/>
                <w:lang w:val="en-US" w:bidi="si-LK"/>
              </w:rPr>
              <w:br/>
            </w:r>
            <w:r w:rsidRPr="006F503B">
              <w:rPr>
                <w:rFonts w:eastAsia="Calibri"/>
                <w:i/>
                <w:sz w:val="16"/>
                <w:lang w:val="en-US" w:bidi="si-LK"/>
              </w:rPr>
              <w:t>(Financial Resource Allocation –</w:t>
            </w:r>
            <w:r w:rsidR="004A35CD">
              <w:rPr>
                <w:rFonts w:eastAsia="Calibri"/>
                <w:i/>
                <w:sz w:val="16"/>
                <w:lang w:val="en-US" w:bidi="si-LK"/>
              </w:rPr>
              <w:t xml:space="preserve"> </w:t>
            </w:r>
            <w:proofErr w:type="spellStart"/>
            <w:r w:rsidRPr="006F503B">
              <w:rPr>
                <w:rFonts w:eastAsia="Calibri"/>
                <w:i/>
                <w:sz w:val="16"/>
                <w:lang w:val="en-US" w:bidi="si-LK"/>
              </w:rPr>
              <w:t>Mn</w:t>
            </w:r>
            <w:proofErr w:type="spellEnd"/>
            <w:r w:rsidRPr="006F503B">
              <w:rPr>
                <w:rFonts w:eastAsia="Calibri"/>
                <w:i/>
                <w:sz w:val="16"/>
                <w:lang w:val="en-US" w:bidi="si-LK"/>
              </w:rPr>
              <w:t>. LKR)</w:t>
            </w:r>
          </w:p>
        </w:tc>
      </w:tr>
      <w:tr w:rsidR="00737EBA" w:rsidRPr="006F503B" w:rsidTr="004A27A7">
        <w:trPr>
          <w:tblHeader/>
        </w:trPr>
        <w:tc>
          <w:tcPr>
            <w:tcW w:w="517" w:type="dxa"/>
            <w:vMerge/>
            <w:tcBorders>
              <w:top w:val="single" w:sz="12" w:space="0" w:color="auto"/>
              <w:bottom w:val="single" w:sz="12" w:space="0" w:color="auto"/>
            </w:tcBorders>
            <w:shd w:val="clear" w:color="auto" w:fill="auto"/>
            <w:vAlign w:val="bottom"/>
          </w:tcPr>
          <w:p w:rsidR="00737EBA" w:rsidRPr="006F503B" w:rsidRDefault="00737EBA" w:rsidP="006F503B">
            <w:pPr>
              <w:suppressAutoHyphens w:val="0"/>
              <w:spacing w:before="40" w:after="40" w:line="220" w:lineRule="exact"/>
              <w:ind w:right="113"/>
              <w:rPr>
                <w:rFonts w:eastAsia="Calibri"/>
                <w:b/>
                <w:sz w:val="18"/>
                <w:lang w:val="en-US" w:bidi="si-LK"/>
              </w:rPr>
            </w:pPr>
          </w:p>
        </w:tc>
        <w:tc>
          <w:tcPr>
            <w:tcW w:w="3736" w:type="dxa"/>
            <w:vMerge/>
            <w:tcBorders>
              <w:top w:val="single" w:sz="12" w:space="0" w:color="auto"/>
              <w:bottom w:val="single" w:sz="12" w:space="0" w:color="auto"/>
            </w:tcBorders>
            <w:shd w:val="clear" w:color="auto" w:fill="auto"/>
            <w:vAlign w:val="bottom"/>
          </w:tcPr>
          <w:p w:rsidR="00737EBA" w:rsidRPr="006F503B" w:rsidRDefault="00737EBA" w:rsidP="004A27A7">
            <w:pPr>
              <w:suppressAutoHyphens w:val="0"/>
              <w:spacing w:before="40" w:after="40" w:line="220" w:lineRule="exact"/>
              <w:ind w:right="113"/>
              <w:rPr>
                <w:rFonts w:eastAsia="Calibri"/>
                <w:b/>
                <w:sz w:val="18"/>
                <w:lang w:val="en-US" w:bidi="si-LK"/>
              </w:rPr>
            </w:pPr>
          </w:p>
        </w:tc>
        <w:tc>
          <w:tcPr>
            <w:tcW w:w="779" w:type="dxa"/>
            <w:tcBorders>
              <w:top w:val="single" w:sz="4" w:space="0" w:color="auto"/>
              <w:bottom w:val="single" w:sz="12" w:space="0" w:color="auto"/>
            </w:tcBorders>
            <w:shd w:val="clear" w:color="auto" w:fill="auto"/>
            <w:vAlign w:val="bottom"/>
          </w:tcPr>
          <w:p w:rsidR="00737EBA" w:rsidRPr="006F503B" w:rsidRDefault="00737EBA" w:rsidP="006F503B">
            <w:pPr>
              <w:suppressAutoHyphens w:val="0"/>
              <w:spacing w:before="80" w:after="80" w:line="200" w:lineRule="exact"/>
              <w:ind w:right="113"/>
              <w:jc w:val="center"/>
              <w:rPr>
                <w:rFonts w:eastAsia="Calibri"/>
                <w:i/>
                <w:sz w:val="16"/>
                <w:lang w:val="en-US" w:bidi="si-LK"/>
              </w:rPr>
            </w:pPr>
            <w:r w:rsidRPr="006F503B">
              <w:rPr>
                <w:rFonts w:eastAsia="Calibri"/>
                <w:i/>
                <w:sz w:val="16"/>
                <w:lang w:val="en-US" w:bidi="si-LK"/>
              </w:rPr>
              <w:t>2016</w:t>
            </w:r>
          </w:p>
        </w:tc>
        <w:tc>
          <w:tcPr>
            <w:tcW w:w="779" w:type="dxa"/>
            <w:tcBorders>
              <w:top w:val="single" w:sz="4" w:space="0" w:color="auto"/>
              <w:bottom w:val="single" w:sz="12" w:space="0" w:color="auto"/>
            </w:tcBorders>
            <w:shd w:val="clear" w:color="auto" w:fill="auto"/>
            <w:vAlign w:val="bottom"/>
          </w:tcPr>
          <w:p w:rsidR="00737EBA" w:rsidRPr="006F503B" w:rsidRDefault="00737EBA" w:rsidP="006F503B">
            <w:pPr>
              <w:suppressAutoHyphens w:val="0"/>
              <w:spacing w:before="80" w:after="80" w:line="200" w:lineRule="exact"/>
              <w:ind w:right="113"/>
              <w:jc w:val="center"/>
              <w:rPr>
                <w:rFonts w:eastAsia="Calibri"/>
                <w:i/>
                <w:sz w:val="16"/>
                <w:lang w:val="en-US" w:bidi="si-LK"/>
              </w:rPr>
            </w:pPr>
            <w:r w:rsidRPr="006F503B">
              <w:rPr>
                <w:rFonts w:eastAsia="Calibri"/>
                <w:i/>
                <w:sz w:val="16"/>
                <w:lang w:val="en-US" w:bidi="si-LK"/>
              </w:rPr>
              <w:t>2017</w:t>
            </w:r>
          </w:p>
        </w:tc>
        <w:tc>
          <w:tcPr>
            <w:tcW w:w="779" w:type="dxa"/>
            <w:tcBorders>
              <w:top w:val="single" w:sz="4" w:space="0" w:color="auto"/>
              <w:bottom w:val="single" w:sz="12" w:space="0" w:color="auto"/>
            </w:tcBorders>
            <w:shd w:val="clear" w:color="auto" w:fill="auto"/>
            <w:vAlign w:val="bottom"/>
          </w:tcPr>
          <w:p w:rsidR="00737EBA" w:rsidRPr="006F503B" w:rsidRDefault="00737EBA" w:rsidP="006F503B">
            <w:pPr>
              <w:suppressAutoHyphens w:val="0"/>
              <w:spacing w:before="80" w:after="80" w:line="200" w:lineRule="exact"/>
              <w:ind w:right="113"/>
              <w:jc w:val="center"/>
              <w:rPr>
                <w:rFonts w:eastAsia="Calibri"/>
                <w:i/>
                <w:sz w:val="16"/>
                <w:lang w:val="en-US" w:bidi="si-LK"/>
              </w:rPr>
            </w:pPr>
            <w:r w:rsidRPr="006F503B">
              <w:rPr>
                <w:rFonts w:eastAsia="Calibri"/>
                <w:i/>
                <w:sz w:val="16"/>
                <w:lang w:val="en-US" w:bidi="si-LK"/>
              </w:rPr>
              <w:t>2018</w:t>
            </w:r>
          </w:p>
        </w:tc>
        <w:tc>
          <w:tcPr>
            <w:tcW w:w="780" w:type="dxa"/>
            <w:tcBorders>
              <w:top w:val="single" w:sz="4" w:space="0" w:color="auto"/>
              <w:bottom w:val="single" w:sz="12" w:space="0" w:color="auto"/>
            </w:tcBorders>
            <w:shd w:val="clear" w:color="auto" w:fill="auto"/>
            <w:vAlign w:val="bottom"/>
          </w:tcPr>
          <w:p w:rsidR="00737EBA" w:rsidRPr="006F503B" w:rsidRDefault="00737EBA" w:rsidP="006F503B">
            <w:pPr>
              <w:suppressAutoHyphens w:val="0"/>
              <w:spacing w:before="80" w:after="80" w:line="200" w:lineRule="exact"/>
              <w:ind w:right="113"/>
              <w:jc w:val="center"/>
              <w:rPr>
                <w:rFonts w:eastAsia="Calibri"/>
                <w:i/>
                <w:sz w:val="16"/>
                <w:lang w:val="en-US" w:bidi="si-LK"/>
              </w:rPr>
            </w:pPr>
            <w:r w:rsidRPr="006F503B">
              <w:rPr>
                <w:rFonts w:eastAsia="Calibri"/>
                <w:i/>
                <w:sz w:val="16"/>
                <w:lang w:val="en-US" w:bidi="si-LK"/>
              </w:rPr>
              <w:t>2019</w:t>
            </w:r>
          </w:p>
        </w:tc>
      </w:tr>
      <w:tr w:rsidR="00737EBA" w:rsidRPr="006F503B" w:rsidTr="004A27A7">
        <w:tc>
          <w:tcPr>
            <w:tcW w:w="517" w:type="dxa"/>
            <w:tcBorders>
              <w:top w:val="single" w:sz="12" w:space="0" w:color="auto"/>
            </w:tcBorders>
            <w:shd w:val="clear" w:color="auto" w:fill="auto"/>
          </w:tcPr>
          <w:p w:rsidR="00737EBA" w:rsidRPr="006F503B" w:rsidRDefault="00737EBA" w:rsidP="006F503B">
            <w:pPr>
              <w:suppressAutoHyphens w:val="0"/>
              <w:spacing w:before="40" w:after="40" w:line="220" w:lineRule="exact"/>
              <w:ind w:right="113"/>
              <w:rPr>
                <w:rFonts w:eastAsia="Calibri"/>
                <w:sz w:val="18"/>
                <w:lang w:val="en-US" w:bidi="si-LK"/>
              </w:rPr>
            </w:pPr>
            <w:r w:rsidRPr="006F503B">
              <w:rPr>
                <w:rFonts w:eastAsia="Calibri"/>
                <w:sz w:val="18"/>
                <w:lang w:val="en-US" w:bidi="si-LK"/>
              </w:rPr>
              <w:t>01</w:t>
            </w:r>
          </w:p>
        </w:tc>
        <w:tc>
          <w:tcPr>
            <w:tcW w:w="3736" w:type="dxa"/>
            <w:tcBorders>
              <w:top w:val="single" w:sz="12" w:space="0" w:color="auto"/>
            </w:tcBorders>
            <w:shd w:val="clear" w:color="auto" w:fill="auto"/>
            <w:vAlign w:val="bottom"/>
          </w:tcPr>
          <w:p w:rsidR="00737EBA" w:rsidRPr="006F503B" w:rsidRDefault="00737EBA" w:rsidP="004A27A7">
            <w:pPr>
              <w:suppressAutoHyphens w:val="0"/>
              <w:spacing w:before="40" w:after="40" w:line="220" w:lineRule="exact"/>
              <w:ind w:right="113"/>
              <w:rPr>
                <w:rFonts w:eastAsia="Calibri"/>
                <w:sz w:val="18"/>
                <w:lang w:val="en-US" w:bidi="si-LK"/>
              </w:rPr>
            </w:pPr>
            <w:r w:rsidRPr="006F503B">
              <w:rPr>
                <w:rFonts w:eastAsia="Calibri"/>
                <w:sz w:val="18"/>
                <w:lang w:val="en-US" w:bidi="si-LK"/>
              </w:rPr>
              <w:t xml:space="preserve">Ministry of Women and Child Affairs </w:t>
            </w:r>
          </w:p>
        </w:tc>
        <w:tc>
          <w:tcPr>
            <w:tcW w:w="779" w:type="dxa"/>
            <w:tcBorders>
              <w:top w:val="single" w:sz="12" w:space="0" w:color="auto"/>
            </w:tcBorders>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7</w:t>
            </w:r>
            <w:r w:rsidR="00647C2E">
              <w:rPr>
                <w:rFonts w:eastAsia="Calibri"/>
                <w:sz w:val="18"/>
                <w:lang w:val="en-US" w:bidi="si-LK"/>
              </w:rPr>
              <w:t xml:space="preserve"> </w:t>
            </w:r>
            <w:r w:rsidRPr="006F503B">
              <w:rPr>
                <w:rFonts w:eastAsia="Calibri"/>
                <w:sz w:val="18"/>
                <w:lang w:val="en-US" w:bidi="si-LK"/>
              </w:rPr>
              <w:t>169.2</w:t>
            </w:r>
          </w:p>
        </w:tc>
        <w:tc>
          <w:tcPr>
            <w:tcW w:w="779" w:type="dxa"/>
            <w:tcBorders>
              <w:top w:val="single" w:sz="12" w:space="0" w:color="auto"/>
            </w:tcBorders>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7</w:t>
            </w:r>
            <w:r w:rsidR="00647C2E">
              <w:rPr>
                <w:rFonts w:eastAsia="Calibri"/>
                <w:sz w:val="18"/>
                <w:lang w:val="en-US" w:bidi="si-LK"/>
              </w:rPr>
              <w:t xml:space="preserve"> </w:t>
            </w:r>
            <w:r w:rsidRPr="006F503B">
              <w:rPr>
                <w:rFonts w:eastAsia="Calibri"/>
                <w:sz w:val="18"/>
                <w:lang w:val="en-US" w:bidi="si-LK"/>
              </w:rPr>
              <w:t>355.6</w:t>
            </w:r>
          </w:p>
        </w:tc>
        <w:tc>
          <w:tcPr>
            <w:tcW w:w="779" w:type="dxa"/>
            <w:tcBorders>
              <w:top w:val="single" w:sz="12" w:space="0" w:color="auto"/>
            </w:tcBorders>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8</w:t>
            </w:r>
            <w:r w:rsidR="00647C2E">
              <w:rPr>
                <w:rFonts w:eastAsia="Calibri"/>
                <w:sz w:val="18"/>
                <w:lang w:val="en-US" w:bidi="si-LK"/>
              </w:rPr>
              <w:t xml:space="preserve"> </w:t>
            </w:r>
            <w:r w:rsidRPr="006F503B">
              <w:rPr>
                <w:rFonts w:eastAsia="Calibri"/>
                <w:sz w:val="18"/>
                <w:lang w:val="en-US" w:bidi="si-LK"/>
              </w:rPr>
              <w:t>259</w:t>
            </w:r>
          </w:p>
        </w:tc>
        <w:tc>
          <w:tcPr>
            <w:tcW w:w="780" w:type="dxa"/>
            <w:tcBorders>
              <w:top w:val="single" w:sz="12" w:space="0" w:color="auto"/>
            </w:tcBorders>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8</w:t>
            </w:r>
            <w:r w:rsidR="00647C2E">
              <w:rPr>
                <w:rFonts w:eastAsia="Calibri"/>
                <w:sz w:val="18"/>
                <w:lang w:val="en-US" w:bidi="si-LK"/>
              </w:rPr>
              <w:t xml:space="preserve"> </w:t>
            </w:r>
            <w:r w:rsidRPr="006F503B">
              <w:rPr>
                <w:rFonts w:eastAsia="Calibri"/>
                <w:sz w:val="18"/>
                <w:lang w:val="en-US" w:bidi="si-LK"/>
              </w:rPr>
              <w:t>350</w:t>
            </w:r>
          </w:p>
        </w:tc>
      </w:tr>
      <w:tr w:rsidR="00737EBA" w:rsidRPr="006F503B" w:rsidTr="004A27A7">
        <w:tc>
          <w:tcPr>
            <w:tcW w:w="517" w:type="dxa"/>
            <w:shd w:val="clear" w:color="auto" w:fill="auto"/>
          </w:tcPr>
          <w:p w:rsidR="00737EBA" w:rsidRPr="006F503B" w:rsidRDefault="00737EBA" w:rsidP="006F503B">
            <w:pPr>
              <w:suppressAutoHyphens w:val="0"/>
              <w:spacing w:before="40" w:after="40" w:line="220" w:lineRule="exact"/>
              <w:ind w:right="113"/>
              <w:rPr>
                <w:rFonts w:eastAsia="Calibri"/>
                <w:sz w:val="18"/>
                <w:lang w:val="en-US" w:bidi="si-LK"/>
              </w:rPr>
            </w:pPr>
            <w:r w:rsidRPr="006F503B">
              <w:rPr>
                <w:rFonts w:eastAsia="Calibri"/>
                <w:sz w:val="18"/>
                <w:lang w:val="en-US" w:bidi="si-LK"/>
              </w:rPr>
              <w:t>02</w:t>
            </w:r>
          </w:p>
        </w:tc>
        <w:tc>
          <w:tcPr>
            <w:tcW w:w="3736" w:type="dxa"/>
            <w:shd w:val="clear" w:color="auto" w:fill="auto"/>
            <w:vAlign w:val="bottom"/>
          </w:tcPr>
          <w:p w:rsidR="00737EBA" w:rsidRPr="006F503B" w:rsidRDefault="00737EBA" w:rsidP="004A27A7">
            <w:pPr>
              <w:suppressAutoHyphens w:val="0"/>
              <w:spacing w:before="40" w:after="40" w:line="220" w:lineRule="exact"/>
              <w:ind w:right="113"/>
              <w:rPr>
                <w:rFonts w:eastAsia="Calibri"/>
                <w:sz w:val="18"/>
                <w:lang w:val="en-US" w:bidi="si-LK"/>
              </w:rPr>
            </w:pPr>
            <w:r w:rsidRPr="006F503B">
              <w:rPr>
                <w:rFonts w:eastAsia="Calibri"/>
                <w:sz w:val="18"/>
                <w:lang w:val="en-US" w:bidi="si-LK"/>
              </w:rPr>
              <w:t>Department of Probation and Child Care Services</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304.7</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303</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350</w:t>
            </w:r>
          </w:p>
        </w:tc>
        <w:tc>
          <w:tcPr>
            <w:tcW w:w="780"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373</w:t>
            </w:r>
          </w:p>
        </w:tc>
      </w:tr>
      <w:tr w:rsidR="00737EBA" w:rsidRPr="006F503B" w:rsidTr="004A27A7">
        <w:tc>
          <w:tcPr>
            <w:tcW w:w="517" w:type="dxa"/>
            <w:shd w:val="clear" w:color="auto" w:fill="auto"/>
          </w:tcPr>
          <w:p w:rsidR="00737EBA" w:rsidRPr="006F503B" w:rsidRDefault="00737EBA" w:rsidP="006F503B">
            <w:pPr>
              <w:suppressAutoHyphens w:val="0"/>
              <w:spacing w:before="40" w:after="40" w:line="220" w:lineRule="exact"/>
              <w:ind w:right="113"/>
              <w:rPr>
                <w:rFonts w:eastAsia="Calibri"/>
                <w:sz w:val="18"/>
                <w:szCs w:val="28"/>
                <w:lang w:val="en-US" w:bidi="si-LK"/>
              </w:rPr>
            </w:pPr>
            <w:r w:rsidRPr="006F503B">
              <w:rPr>
                <w:rFonts w:eastAsia="Calibri"/>
                <w:sz w:val="18"/>
                <w:lang w:val="en-US" w:bidi="si-LK"/>
              </w:rPr>
              <w:t>03</w:t>
            </w:r>
          </w:p>
        </w:tc>
        <w:tc>
          <w:tcPr>
            <w:tcW w:w="3736" w:type="dxa"/>
            <w:shd w:val="clear" w:color="auto" w:fill="auto"/>
            <w:vAlign w:val="bottom"/>
          </w:tcPr>
          <w:p w:rsidR="00737EBA" w:rsidRPr="006F503B" w:rsidRDefault="00737EBA" w:rsidP="004A27A7">
            <w:pPr>
              <w:suppressAutoHyphens w:val="0"/>
              <w:spacing w:before="40" w:after="40" w:line="220" w:lineRule="exact"/>
              <w:ind w:right="113"/>
              <w:rPr>
                <w:rFonts w:eastAsia="Calibri"/>
                <w:sz w:val="18"/>
                <w:lang w:val="en-US" w:bidi="si-LK"/>
              </w:rPr>
            </w:pPr>
            <w:r w:rsidRPr="006F503B">
              <w:rPr>
                <w:rFonts w:eastAsia="Calibri"/>
                <w:sz w:val="18"/>
                <w:lang w:val="en-US" w:bidi="si-LK"/>
              </w:rPr>
              <w:t>National Child Protection Authority</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29.9</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281.4</w:t>
            </w:r>
          </w:p>
        </w:tc>
        <w:tc>
          <w:tcPr>
            <w:tcW w:w="779"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330</w:t>
            </w:r>
          </w:p>
        </w:tc>
        <w:tc>
          <w:tcPr>
            <w:tcW w:w="780" w:type="dxa"/>
            <w:shd w:val="clear" w:color="auto" w:fill="auto"/>
            <w:vAlign w:val="bottom"/>
          </w:tcPr>
          <w:p w:rsidR="00737EBA" w:rsidRPr="006F503B" w:rsidRDefault="00737EBA" w:rsidP="006F503B">
            <w:pPr>
              <w:suppressAutoHyphens w:val="0"/>
              <w:spacing w:before="40" w:after="40" w:line="220" w:lineRule="exact"/>
              <w:ind w:right="113"/>
              <w:jc w:val="right"/>
              <w:rPr>
                <w:rFonts w:eastAsia="Calibri"/>
                <w:sz w:val="18"/>
                <w:lang w:val="en-US" w:bidi="si-LK"/>
              </w:rPr>
            </w:pPr>
            <w:r w:rsidRPr="006F503B">
              <w:rPr>
                <w:rFonts w:eastAsia="Calibri"/>
                <w:sz w:val="18"/>
                <w:lang w:val="en-US" w:bidi="si-LK"/>
              </w:rPr>
              <w:t>330</w:t>
            </w:r>
          </w:p>
        </w:tc>
      </w:tr>
    </w:tbl>
    <w:p w:rsidR="00737EBA" w:rsidRPr="00550C3D" w:rsidRDefault="00737EBA" w:rsidP="0013527C">
      <w:pPr>
        <w:pStyle w:val="H23G"/>
        <w:rPr>
          <w:lang w:val="en-US"/>
        </w:rPr>
      </w:pPr>
      <w:r>
        <w:rPr>
          <w:lang w:val="en-US"/>
        </w:rPr>
        <w:tab/>
      </w:r>
      <w:r>
        <w:rPr>
          <w:lang w:val="en-US"/>
        </w:rPr>
        <w:tab/>
      </w:r>
      <w:r w:rsidRPr="00550C3D">
        <w:rPr>
          <w:lang w:val="en-US"/>
        </w:rPr>
        <w:t>Financial Resource from Social Protection Project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0"/>
        <w:gridCol w:w="3653"/>
        <w:gridCol w:w="850"/>
        <w:gridCol w:w="709"/>
        <w:gridCol w:w="851"/>
        <w:gridCol w:w="707"/>
      </w:tblGrid>
      <w:tr w:rsidR="00737EBA" w:rsidRPr="00C679BB" w:rsidTr="00EF1AC6">
        <w:trPr>
          <w:tblHeader/>
        </w:trPr>
        <w:tc>
          <w:tcPr>
            <w:tcW w:w="600" w:type="dxa"/>
            <w:vMerge w:val="restart"/>
            <w:tcBorders>
              <w:top w:val="single" w:sz="4" w:space="0" w:color="auto"/>
              <w:bottom w:val="single" w:sz="12" w:space="0" w:color="auto"/>
            </w:tcBorders>
            <w:shd w:val="clear" w:color="auto" w:fill="auto"/>
            <w:vAlign w:val="bottom"/>
          </w:tcPr>
          <w:p w:rsidR="00737EBA" w:rsidRPr="00C679BB" w:rsidRDefault="00737EBA" w:rsidP="00C679BB">
            <w:pPr>
              <w:suppressAutoHyphens w:val="0"/>
              <w:spacing w:before="80" w:after="80" w:line="200" w:lineRule="exact"/>
              <w:ind w:right="113"/>
              <w:rPr>
                <w:i/>
                <w:sz w:val="16"/>
              </w:rPr>
            </w:pPr>
            <w:r w:rsidRPr="00C679BB">
              <w:rPr>
                <w:i/>
                <w:sz w:val="16"/>
              </w:rPr>
              <w:t>No</w:t>
            </w:r>
          </w:p>
        </w:tc>
        <w:tc>
          <w:tcPr>
            <w:tcW w:w="3653" w:type="dxa"/>
            <w:vMerge w:val="restart"/>
            <w:tcBorders>
              <w:top w:val="single" w:sz="4" w:space="0" w:color="auto"/>
              <w:bottom w:val="single" w:sz="12" w:space="0" w:color="auto"/>
            </w:tcBorders>
            <w:shd w:val="clear" w:color="auto" w:fill="auto"/>
            <w:vAlign w:val="bottom"/>
          </w:tcPr>
          <w:p w:rsidR="00737EBA" w:rsidRPr="00C679BB" w:rsidRDefault="00737EBA" w:rsidP="00EF1AC6">
            <w:pPr>
              <w:suppressAutoHyphens w:val="0"/>
              <w:spacing w:before="80" w:after="80" w:line="200" w:lineRule="exact"/>
              <w:ind w:right="113"/>
              <w:rPr>
                <w:i/>
                <w:sz w:val="16"/>
              </w:rPr>
            </w:pPr>
            <w:r w:rsidRPr="00C679BB">
              <w:rPr>
                <w:i/>
                <w:sz w:val="16"/>
              </w:rPr>
              <w:t>Organization</w:t>
            </w:r>
          </w:p>
        </w:tc>
        <w:tc>
          <w:tcPr>
            <w:tcW w:w="3117" w:type="dxa"/>
            <w:gridSpan w:val="4"/>
            <w:tcBorders>
              <w:top w:val="single" w:sz="4" w:space="0" w:color="auto"/>
              <w:bottom w:val="single" w:sz="4" w:space="0" w:color="auto"/>
            </w:tcBorders>
            <w:shd w:val="clear" w:color="auto" w:fill="auto"/>
            <w:vAlign w:val="bottom"/>
          </w:tcPr>
          <w:p w:rsidR="00737EBA" w:rsidRPr="00C679BB" w:rsidRDefault="00737EBA" w:rsidP="00227434">
            <w:pPr>
              <w:suppressAutoHyphens w:val="0"/>
              <w:spacing w:before="80" w:after="80" w:line="200" w:lineRule="exact"/>
              <w:ind w:right="113"/>
              <w:jc w:val="center"/>
              <w:rPr>
                <w:i/>
                <w:sz w:val="16"/>
              </w:rPr>
            </w:pPr>
            <w:r w:rsidRPr="00C679BB">
              <w:rPr>
                <w:i/>
                <w:sz w:val="16"/>
              </w:rPr>
              <w:t xml:space="preserve">Year </w:t>
            </w:r>
            <w:r w:rsidR="00D728DD">
              <w:rPr>
                <w:i/>
                <w:sz w:val="16"/>
              </w:rPr>
              <w:br/>
            </w:r>
            <w:r w:rsidRPr="00C679BB">
              <w:rPr>
                <w:i/>
                <w:sz w:val="16"/>
              </w:rPr>
              <w:t>(Financial Resource Allocation –</w:t>
            </w:r>
            <w:r w:rsidR="00227434">
              <w:rPr>
                <w:i/>
                <w:sz w:val="16"/>
              </w:rPr>
              <w:t xml:space="preserve"> </w:t>
            </w:r>
            <w:proofErr w:type="spellStart"/>
            <w:r w:rsidRPr="00C679BB">
              <w:rPr>
                <w:i/>
                <w:sz w:val="16"/>
              </w:rPr>
              <w:t>Mn</w:t>
            </w:r>
            <w:proofErr w:type="spellEnd"/>
            <w:r w:rsidRPr="00C679BB">
              <w:rPr>
                <w:i/>
                <w:sz w:val="16"/>
              </w:rPr>
              <w:t>. LKR)</w:t>
            </w:r>
          </w:p>
        </w:tc>
      </w:tr>
      <w:tr w:rsidR="00EF1AC6" w:rsidRPr="00C679BB" w:rsidTr="00EF1AC6">
        <w:trPr>
          <w:tblHeader/>
        </w:trPr>
        <w:tc>
          <w:tcPr>
            <w:tcW w:w="600" w:type="dxa"/>
            <w:vMerge/>
            <w:tcBorders>
              <w:top w:val="single" w:sz="12" w:space="0" w:color="auto"/>
              <w:bottom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rPr>
                <w:sz w:val="18"/>
              </w:rPr>
            </w:pPr>
          </w:p>
        </w:tc>
        <w:tc>
          <w:tcPr>
            <w:tcW w:w="3653" w:type="dxa"/>
            <w:vMerge/>
            <w:tcBorders>
              <w:top w:val="single" w:sz="12" w:space="0" w:color="auto"/>
              <w:bottom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jc w:val="right"/>
              <w:rPr>
                <w:sz w:val="18"/>
              </w:rPr>
            </w:pPr>
          </w:p>
        </w:tc>
        <w:tc>
          <w:tcPr>
            <w:tcW w:w="850" w:type="dxa"/>
            <w:tcBorders>
              <w:top w:val="single" w:sz="4" w:space="0" w:color="auto"/>
              <w:bottom w:val="single" w:sz="12" w:space="0" w:color="auto"/>
            </w:tcBorders>
            <w:shd w:val="clear" w:color="auto" w:fill="auto"/>
            <w:vAlign w:val="bottom"/>
          </w:tcPr>
          <w:p w:rsidR="00737EBA" w:rsidRPr="00C679BB" w:rsidRDefault="00737EBA" w:rsidP="00C679BB">
            <w:pPr>
              <w:suppressAutoHyphens w:val="0"/>
              <w:spacing w:before="80" w:after="80" w:line="200" w:lineRule="exact"/>
              <w:ind w:right="113"/>
              <w:jc w:val="right"/>
              <w:rPr>
                <w:i/>
                <w:sz w:val="16"/>
              </w:rPr>
            </w:pPr>
            <w:r w:rsidRPr="00C679BB">
              <w:rPr>
                <w:i/>
                <w:sz w:val="16"/>
              </w:rPr>
              <w:t>2016</w:t>
            </w:r>
          </w:p>
        </w:tc>
        <w:tc>
          <w:tcPr>
            <w:tcW w:w="709" w:type="dxa"/>
            <w:tcBorders>
              <w:top w:val="single" w:sz="4" w:space="0" w:color="auto"/>
              <w:bottom w:val="single" w:sz="12" w:space="0" w:color="auto"/>
            </w:tcBorders>
            <w:shd w:val="clear" w:color="auto" w:fill="auto"/>
            <w:vAlign w:val="bottom"/>
          </w:tcPr>
          <w:p w:rsidR="00737EBA" w:rsidRPr="00C679BB" w:rsidRDefault="00737EBA" w:rsidP="00C679BB">
            <w:pPr>
              <w:suppressAutoHyphens w:val="0"/>
              <w:spacing w:before="80" w:after="80" w:line="200" w:lineRule="exact"/>
              <w:ind w:right="113"/>
              <w:jc w:val="right"/>
              <w:rPr>
                <w:i/>
                <w:sz w:val="16"/>
              </w:rPr>
            </w:pPr>
            <w:r w:rsidRPr="00C679BB">
              <w:rPr>
                <w:i/>
                <w:sz w:val="16"/>
              </w:rPr>
              <w:t>2017</w:t>
            </w:r>
          </w:p>
        </w:tc>
        <w:tc>
          <w:tcPr>
            <w:tcW w:w="851" w:type="dxa"/>
            <w:tcBorders>
              <w:top w:val="single" w:sz="4" w:space="0" w:color="auto"/>
              <w:bottom w:val="single" w:sz="12" w:space="0" w:color="auto"/>
            </w:tcBorders>
            <w:shd w:val="clear" w:color="auto" w:fill="auto"/>
            <w:vAlign w:val="bottom"/>
          </w:tcPr>
          <w:p w:rsidR="00737EBA" w:rsidRPr="00C679BB" w:rsidRDefault="00737EBA" w:rsidP="00C679BB">
            <w:pPr>
              <w:suppressAutoHyphens w:val="0"/>
              <w:spacing w:before="80" w:after="80" w:line="200" w:lineRule="exact"/>
              <w:ind w:right="113"/>
              <w:jc w:val="right"/>
              <w:rPr>
                <w:i/>
                <w:sz w:val="16"/>
              </w:rPr>
            </w:pPr>
            <w:r w:rsidRPr="00C679BB">
              <w:rPr>
                <w:i/>
                <w:sz w:val="16"/>
              </w:rPr>
              <w:t>2018</w:t>
            </w:r>
          </w:p>
        </w:tc>
        <w:tc>
          <w:tcPr>
            <w:tcW w:w="707" w:type="dxa"/>
            <w:tcBorders>
              <w:top w:val="single" w:sz="4" w:space="0" w:color="auto"/>
              <w:bottom w:val="single" w:sz="12" w:space="0" w:color="auto"/>
            </w:tcBorders>
            <w:shd w:val="clear" w:color="auto" w:fill="auto"/>
            <w:vAlign w:val="bottom"/>
          </w:tcPr>
          <w:p w:rsidR="00737EBA" w:rsidRPr="00C679BB" w:rsidRDefault="00737EBA" w:rsidP="00C679BB">
            <w:pPr>
              <w:suppressAutoHyphens w:val="0"/>
              <w:spacing w:before="80" w:after="80" w:line="200" w:lineRule="exact"/>
              <w:ind w:right="113"/>
              <w:jc w:val="right"/>
              <w:rPr>
                <w:i/>
                <w:sz w:val="16"/>
              </w:rPr>
            </w:pPr>
            <w:r w:rsidRPr="00C679BB">
              <w:rPr>
                <w:i/>
                <w:sz w:val="16"/>
              </w:rPr>
              <w:t>2019</w:t>
            </w:r>
          </w:p>
        </w:tc>
      </w:tr>
      <w:tr w:rsidR="00737EBA" w:rsidRPr="00C679BB" w:rsidTr="00EF1AC6">
        <w:tc>
          <w:tcPr>
            <w:tcW w:w="600" w:type="dxa"/>
            <w:tcBorders>
              <w:top w:val="single" w:sz="12" w:space="0" w:color="auto"/>
            </w:tcBorders>
            <w:shd w:val="clear" w:color="auto" w:fill="auto"/>
          </w:tcPr>
          <w:p w:rsidR="00737EBA" w:rsidRPr="00C679BB" w:rsidRDefault="00737EBA" w:rsidP="00C679BB">
            <w:pPr>
              <w:suppressAutoHyphens w:val="0"/>
              <w:spacing w:before="40" w:after="40" w:line="220" w:lineRule="exact"/>
              <w:ind w:right="113"/>
              <w:rPr>
                <w:sz w:val="18"/>
              </w:rPr>
            </w:pPr>
            <w:r w:rsidRPr="00C679BB">
              <w:rPr>
                <w:sz w:val="18"/>
              </w:rPr>
              <w:t>01</w:t>
            </w:r>
          </w:p>
        </w:tc>
        <w:tc>
          <w:tcPr>
            <w:tcW w:w="3653" w:type="dxa"/>
            <w:tcBorders>
              <w:top w:val="single" w:sz="12" w:space="0" w:color="auto"/>
            </w:tcBorders>
            <w:shd w:val="clear" w:color="auto" w:fill="auto"/>
            <w:vAlign w:val="bottom"/>
          </w:tcPr>
          <w:p w:rsidR="00737EBA" w:rsidRPr="00C679BB" w:rsidRDefault="00737EBA" w:rsidP="00EF1AC6">
            <w:pPr>
              <w:suppressAutoHyphens w:val="0"/>
              <w:spacing w:before="40" w:after="40" w:line="220" w:lineRule="exact"/>
              <w:ind w:right="113"/>
              <w:rPr>
                <w:b/>
                <w:bCs/>
                <w:sz w:val="18"/>
              </w:rPr>
            </w:pPr>
            <w:r w:rsidRPr="00C679BB">
              <w:rPr>
                <w:sz w:val="18"/>
              </w:rPr>
              <w:t>Ministry of Women and Child Affairs</w:t>
            </w:r>
          </w:p>
        </w:tc>
        <w:tc>
          <w:tcPr>
            <w:tcW w:w="850" w:type="dxa"/>
            <w:tcBorders>
              <w:top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jc w:val="right"/>
              <w:rPr>
                <w:sz w:val="18"/>
              </w:rPr>
            </w:pPr>
            <w:r w:rsidRPr="00C679BB">
              <w:rPr>
                <w:sz w:val="18"/>
              </w:rPr>
              <w:t>27</w:t>
            </w:r>
          </w:p>
        </w:tc>
        <w:tc>
          <w:tcPr>
            <w:tcW w:w="709" w:type="dxa"/>
            <w:tcBorders>
              <w:top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jc w:val="right"/>
              <w:rPr>
                <w:sz w:val="18"/>
              </w:rPr>
            </w:pPr>
            <w:r w:rsidRPr="00C679BB">
              <w:rPr>
                <w:sz w:val="18"/>
              </w:rPr>
              <w:t>85</w:t>
            </w:r>
          </w:p>
        </w:tc>
        <w:tc>
          <w:tcPr>
            <w:tcW w:w="851" w:type="dxa"/>
            <w:tcBorders>
              <w:top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jc w:val="right"/>
              <w:rPr>
                <w:sz w:val="18"/>
              </w:rPr>
            </w:pPr>
            <w:r w:rsidRPr="00C679BB">
              <w:rPr>
                <w:sz w:val="18"/>
              </w:rPr>
              <w:t>120</w:t>
            </w:r>
          </w:p>
        </w:tc>
        <w:tc>
          <w:tcPr>
            <w:tcW w:w="707" w:type="dxa"/>
            <w:tcBorders>
              <w:top w:val="single" w:sz="12" w:space="0" w:color="auto"/>
            </w:tcBorders>
            <w:shd w:val="clear" w:color="auto" w:fill="auto"/>
            <w:vAlign w:val="bottom"/>
          </w:tcPr>
          <w:p w:rsidR="00737EBA" w:rsidRPr="00C679BB" w:rsidRDefault="00737EBA" w:rsidP="00C679BB">
            <w:pPr>
              <w:suppressAutoHyphens w:val="0"/>
              <w:spacing w:before="40" w:after="40" w:line="220" w:lineRule="exact"/>
              <w:ind w:right="113"/>
              <w:jc w:val="right"/>
              <w:rPr>
                <w:sz w:val="18"/>
              </w:rPr>
            </w:pPr>
            <w:r w:rsidRPr="00C679BB">
              <w:rPr>
                <w:sz w:val="18"/>
              </w:rPr>
              <w:t>34</w:t>
            </w:r>
          </w:p>
        </w:tc>
      </w:tr>
    </w:tbl>
    <w:p w:rsidR="00737EBA" w:rsidRPr="00550C3D" w:rsidRDefault="00CB002F" w:rsidP="00EF1AC6">
      <w:pPr>
        <w:pStyle w:val="SingleTxtG"/>
        <w:spacing w:before="240"/>
      </w:pPr>
      <w:r w:rsidRPr="00550C3D">
        <w:t>9.</w:t>
      </w:r>
      <w:r w:rsidRPr="00550C3D">
        <w:tab/>
      </w:r>
      <w:r w:rsidR="00737EBA" w:rsidRPr="00550C3D">
        <w:t>In addition to above mentioned resource allocation, allocations are also granted via the local governme</w:t>
      </w:r>
      <w:r w:rsidR="00737EBA">
        <w:t>nt system.</w:t>
      </w:r>
    </w:p>
    <w:p w:rsidR="00737EBA" w:rsidRDefault="00737EBA" w:rsidP="0013527C">
      <w:pPr>
        <w:pStyle w:val="HChG"/>
        <w:rPr>
          <w:lang w:val="en-AU"/>
        </w:rPr>
      </w:pPr>
      <w:r>
        <w:rPr>
          <w:lang w:val="en-AU"/>
        </w:rPr>
        <w:tab/>
      </w:r>
      <w:r>
        <w:rPr>
          <w:lang w:val="en-AU"/>
        </w:rPr>
        <w:tab/>
        <w:t>Issue 7</w:t>
      </w:r>
    </w:p>
    <w:p w:rsidR="00737EBA" w:rsidRPr="00550C3D" w:rsidRDefault="00737EBA" w:rsidP="0013527C">
      <w:pPr>
        <w:pStyle w:val="H1G"/>
        <w:rPr>
          <w:lang w:val="en-AU"/>
        </w:rPr>
      </w:pPr>
      <w:r>
        <w:rPr>
          <w:lang w:val="en-AU"/>
        </w:rPr>
        <w:tab/>
      </w:r>
      <w:r>
        <w:rPr>
          <w:lang w:val="en-AU"/>
        </w:rPr>
        <w:tab/>
      </w:r>
      <w:r w:rsidRPr="00550C3D">
        <w:rPr>
          <w:lang w:val="en-AU"/>
        </w:rPr>
        <w:t xml:space="preserve">Measures taken to prevent offences in relation to boys in </w:t>
      </w:r>
      <w:r>
        <w:rPr>
          <w:lang w:val="en-AU"/>
        </w:rPr>
        <w:t>the travel and tourism industry</w:t>
      </w:r>
    </w:p>
    <w:p w:rsidR="00737EBA" w:rsidRPr="00550C3D" w:rsidRDefault="00CB002F" w:rsidP="0013527C">
      <w:pPr>
        <w:pStyle w:val="SingleTxtG"/>
        <w:rPr>
          <w:b/>
          <w:bCs/>
        </w:rPr>
      </w:pPr>
      <w:r w:rsidRPr="00550C3D">
        <w:t>10.</w:t>
      </w:r>
      <w:r w:rsidRPr="00550C3D">
        <w:tab/>
      </w:r>
      <w:r w:rsidR="00737EBA" w:rsidRPr="00550C3D">
        <w:t xml:space="preserve">In the context of immigration, visa applications of foreigners are screened closely by the Department of Immigration and Emigration of Sri Lanka. This intervention directly contributes to the prevention of offenders entering the country and it helps prevent incidents/offences under the Optional protocol, especially in relation to vulnerable </w:t>
      </w:r>
      <w:r w:rsidR="00737EBA">
        <w:t>children in travel and tourism:</w:t>
      </w:r>
    </w:p>
    <w:p w:rsidR="00737EBA" w:rsidRPr="00550C3D" w:rsidRDefault="00E56C17" w:rsidP="0013527C">
      <w:pPr>
        <w:pStyle w:val="SingleTxtG"/>
        <w:rPr>
          <w:b/>
          <w:bCs/>
        </w:rPr>
      </w:pPr>
      <w:r>
        <w:rPr>
          <w:bCs/>
        </w:rPr>
        <w:tab/>
      </w:r>
      <w:r w:rsidR="00CB002F" w:rsidRPr="00550C3D">
        <w:rPr>
          <w:bCs/>
        </w:rPr>
        <w:t>(a)</w:t>
      </w:r>
      <w:r w:rsidR="00CB002F" w:rsidRPr="00550C3D">
        <w:rPr>
          <w:bCs/>
        </w:rPr>
        <w:tab/>
      </w:r>
      <w:r w:rsidR="00737EBA" w:rsidRPr="00550C3D">
        <w:t>Department of Immigration and Emigration is maintaining lists of visa applicants under three categories as Red, Amber and Green. The red list represents perpetrators warranted by a court for any kind of crime. The lists are updated according to inputs received from diplomatic sources and through State Intelligence Service. Applications lodged by tourists for visa are screened via SRS online system as well as the system established at the Department of Immigration and Emigration Sri Lanka. Apart from above, the worldwide INTERPPOL system is also in plac</w:t>
      </w:r>
      <w:r w:rsidR="00737EBA">
        <w:t>e at the International Airports;</w:t>
      </w:r>
    </w:p>
    <w:p w:rsidR="00737EBA" w:rsidRPr="00550C3D" w:rsidRDefault="00E56C17" w:rsidP="0013527C">
      <w:pPr>
        <w:pStyle w:val="SingleTxtG"/>
        <w:rPr>
          <w:b/>
          <w:bCs/>
        </w:rPr>
      </w:pPr>
      <w:r>
        <w:rPr>
          <w:bCs/>
        </w:rPr>
        <w:lastRenderedPageBreak/>
        <w:tab/>
      </w:r>
      <w:r w:rsidR="00CB002F" w:rsidRPr="00550C3D">
        <w:rPr>
          <w:bCs/>
        </w:rPr>
        <w:t>(b)</w:t>
      </w:r>
      <w:r w:rsidR="00CB002F" w:rsidRPr="00550C3D">
        <w:rPr>
          <w:bCs/>
        </w:rPr>
        <w:tab/>
      </w:r>
      <w:r w:rsidR="00737EBA" w:rsidRPr="00550C3D">
        <w:t xml:space="preserve">A number of measures are underway to protect children from all forms of violence. National Child Protection Authority commenced a project in 2016 to address issues related to child sex tourism, child </w:t>
      </w:r>
      <w:proofErr w:type="spellStart"/>
      <w:r w:rsidR="00737EBA" w:rsidRPr="00550C3D">
        <w:t>labour</w:t>
      </w:r>
      <w:proofErr w:type="spellEnd"/>
      <w:r w:rsidR="00737EBA" w:rsidRPr="00550C3D">
        <w:t xml:space="preserve"> and vulnerable children in coastal area, which is being implemented island-wide. A holistic approach has been taken to establish community based safety nets for children, and the program has suggested to lobby the need for care and protection for children who are exposed to violence. The project covered </w:t>
      </w:r>
      <w:proofErr w:type="spellStart"/>
      <w:r w:rsidR="00737EBA" w:rsidRPr="00550C3D">
        <w:t>Gampaha</w:t>
      </w:r>
      <w:proofErr w:type="spellEnd"/>
      <w:r w:rsidR="00737EBA" w:rsidRPr="00550C3D">
        <w:t xml:space="preserve">, </w:t>
      </w:r>
      <w:proofErr w:type="spellStart"/>
      <w:r w:rsidR="00737EBA" w:rsidRPr="00550C3D">
        <w:t>Kalutara</w:t>
      </w:r>
      <w:proofErr w:type="spellEnd"/>
      <w:r w:rsidR="00737EBA" w:rsidRPr="00550C3D">
        <w:t xml:space="preserve">, Galle, </w:t>
      </w:r>
      <w:proofErr w:type="spellStart"/>
      <w:r w:rsidR="00737EBA" w:rsidRPr="00550C3D">
        <w:t>Hambanthota</w:t>
      </w:r>
      <w:proofErr w:type="spellEnd"/>
      <w:r w:rsidR="00737EBA" w:rsidRPr="00550C3D">
        <w:t xml:space="preserve">, </w:t>
      </w:r>
      <w:proofErr w:type="spellStart"/>
      <w:r w:rsidR="00737EBA" w:rsidRPr="00550C3D">
        <w:t>Puttalama</w:t>
      </w:r>
      <w:proofErr w:type="spellEnd"/>
      <w:r w:rsidR="00737EBA" w:rsidRPr="00550C3D">
        <w:t xml:space="preserve">, Jaffna, </w:t>
      </w:r>
      <w:proofErr w:type="spellStart"/>
      <w:r w:rsidR="00737EBA" w:rsidRPr="00550C3D">
        <w:t>Mullaithivu</w:t>
      </w:r>
      <w:proofErr w:type="spellEnd"/>
      <w:r w:rsidR="00737EBA" w:rsidRPr="00550C3D">
        <w:t xml:space="preserve">, </w:t>
      </w:r>
      <w:proofErr w:type="spellStart"/>
      <w:r w:rsidR="00737EBA" w:rsidRPr="00550C3D">
        <w:t>Kilinochchi</w:t>
      </w:r>
      <w:proofErr w:type="spellEnd"/>
      <w:r w:rsidR="00737EBA" w:rsidRPr="00550C3D">
        <w:t xml:space="preserve">, </w:t>
      </w:r>
      <w:proofErr w:type="spellStart"/>
      <w:r w:rsidR="00737EBA" w:rsidRPr="00550C3D">
        <w:t>Trincomalee</w:t>
      </w:r>
      <w:proofErr w:type="spellEnd"/>
      <w:r w:rsidR="00737EBA" w:rsidRPr="00550C3D">
        <w:t xml:space="preserve">, </w:t>
      </w:r>
      <w:proofErr w:type="spellStart"/>
      <w:r w:rsidR="00737EBA" w:rsidRPr="00550C3D">
        <w:t>Mannar</w:t>
      </w:r>
      <w:proofErr w:type="spellEnd"/>
      <w:r w:rsidR="00737EBA" w:rsidRPr="00550C3D">
        <w:t xml:space="preserve">, </w:t>
      </w:r>
      <w:proofErr w:type="spellStart"/>
      <w:r w:rsidR="00737EBA" w:rsidRPr="00550C3D">
        <w:t>Batticaloa</w:t>
      </w:r>
      <w:proofErr w:type="spellEnd"/>
      <w:r w:rsidR="00737EBA" w:rsidRPr="00550C3D">
        <w:t xml:space="preserve">, </w:t>
      </w:r>
      <w:proofErr w:type="spellStart"/>
      <w:r w:rsidR="00737EBA" w:rsidRPr="00550C3D">
        <w:t>Ampara</w:t>
      </w:r>
      <w:proofErr w:type="spellEnd"/>
      <w:r w:rsidR="00737EBA" w:rsidRPr="00550C3D">
        <w:t xml:space="preserve"> a</w:t>
      </w:r>
      <w:r w:rsidR="00737EBA">
        <w:t xml:space="preserve">nd </w:t>
      </w:r>
      <w:proofErr w:type="spellStart"/>
      <w:r w:rsidR="00737EBA">
        <w:t>Matara</w:t>
      </w:r>
      <w:proofErr w:type="spellEnd"/>
      <w:r w:rsidR="00737EBA">
        <w:t xml:space="preserve"> districts effectively;</w:t>
      </w:r>
    </w:p>
    <w:p w:rsidR="00737EBA" w:rsidRPr="00550C3D" w:rsidRDefault="00E56C17" w:rsidP="0013527C">
      <w:pPr>
        <w:pStyle w:val="SingleTxtG"/>
      </w:pPr>
      <w:r>
        <w:tab/>
      </w:r>
      <w:r w:rsidR="00CB002F" w:rsidRPr="00550C3D">
        <w:t>(c)</w:t>
      </w:r>
      <w:r w:rsidR="00CB002F" w:rsidRPr="00550C3D">
        <w:tab/>
      </w:r>
      <w:r w:rsidR="00737EBA" w:rsidRPr="00550C3D">
        <w:t xml:space="preserve">During the month of June 2018, a series of island-wide group inspections were conducted by the Department of </w:t>
      </w:r>
      <w:proofErr w:type="spellStart"/>
      <w:r w:rsidR="00737EBA" w:rsidRPr="00550C3D">
        <w:t>Labour</w:t>
      </w:r>
      <w:proofErr w:type="spellEnd"/>
      <w:r w:rsidR="00737EBA" w:rsidRPr="00550C3D">
        <w:t xml:space="preserve"> to identify Child </w:t>
      </w:r>
      <w:proofErr w:type="spellStart"/>
      <w:r w:rsidR="00737EBA" w:rsidRPr="00550C3D">
        <w:t>labour</w:t>
      </w:r>
      <w:proofErr w:type="spellEnd"/>
      <w:r w:rsidR="00737EBA" w:rsidRPr="00550C3D">
        <w:t xml:space="preserve">/ hazardous Child </w:t>
      </w:r>
      <w:proofErr w:type="spellStart"/>
      <w:r w:rsidR="00737EBA" w:rsidRPr="00550C3D">
        <w:t>labour</w:t>
      </w:r>
      <w:proofErr w:type="spellEnd"/>
      <w:r w:rsidR="00737EBA" w:rsidRPr="00550C3D">
        <w:t xml:space="preserve">. The 100 investigations covered all sectors but did not identify any child victim. </w:t>
      </w:r>
      <w:proofErr w:type="spellStart"/>
      <w:r w:rsidR="00737EBA" w:rsidRPr="00550C3D">
        <w:t>Parallelly</w:t>
      </w:r>
      <w:proofErr w:type="spellEnd"/>
      <w:r w:rsidR="00737EBA" w:rsidRPr="00550C3D">
        <w:t xml:space="preserve">, awareness raising </w:t>
      </w:r>
      <w:proofErr w:type="spellStart"/>
      <w:r w:rsidR="00737EBA" w:rsidRPr="00550C3D">
        <w:t>programmes</w:t>
      </w:r>
      <w:proofErr w:type="spellEnd"/>
      <w:r w:rsidR="00737EBA" w:rsidRPr="00550C3D">
        <w:t xml:space="preserve"> have been conducted among the public and institutions about the importance of eliminating child </w:t>
      </w:r>
      <w:proofErr w:type="spellStart"/>
      <w:r w:rsidR="00737EBA" w:rsidRPr="00550C3D">
        <w:t>labour</w:t>
      </w:r>
      <w:proofErr w:type="spellEnd"/>
      <w:r w:rsidR="00737EBA" w:rsidRPr="00550C3D">
        <w:t xml:space="preserve">/hazardous child </w:t>
      </w:r>
      <w:proofErr w:type="spellStart"/>
      <w:r w:rsidR="00737EBA" w:rsidRPr="00550C3D">
        <w:t>labour</w:t>
      </w:r>
      <w:proofErr w:type="spellEnd"/>
      <w:r w:rsidR="00737EBA" w:rsidRPr="00550C3D">
        <w:t>.</w:t>
      </w:r>
    </w:p>
    <w:p w:rsidR="00737EBA" w:rsidRPr="00550C3D" w:rsidRDefault="00E56C17" w:rsidP="0013527C">
      <w:pPr>
        <w:pStyle w:val="SingleTxtG"/>
      </w:pPr>
      <w:r>
        <w:tab/>
      </w:r>
      <w:r w:rsidR="00CB002F" w:rsidRPr="00550C3D">
        <w:t>(d)</w:t>
      </w:r>
      <w:r w:rsidR="00CB002F" w:rsidRPr="00550C3D">
        <w:tab/>
      </w:r>
      <w:r w:rsidR="00737EBA" w:rsidRPr="00550C3D">
        <w:t>Sri Lanka Computer Emergency Readiness Team (SLCERT) is mandated with raising awareness among the community and officials on computer violence and preventive mechanisms.</w:t>
      </w:r>
    </w:p>
    <w:p w:rsidR="00737EBA" w:rsidRDefault="00737EBA" w:rsidP="0013527C">
      <w:pPr>
        <w:pStyle w:val="HChG"/>
        <w:rPr>
          <w:lang w:val="en-AU"/>
        </w:rPr>
      </w:pPr>
      <w:r>
        <w:rPr>
          <w:lang w:val="en-AU"/>
        </w:rPr>
        <w:tab/>
      </w:r>
      <w:r>
        <w:rPr>
          <w:lang w:val="en-AU"/>
        </w:rPr>
        <w:tab/>
        <w:t xml:space="preserve">Issue </w:t>
      </w:r>
      <w:r w:rsidRPr="00550C3D">
        <w:rPr>
          <w:lang w:val="en-AU"/>
        </w:rPr>
        <w:t>8</w:t>
      </w:r>
    </w:p>
    <w:p w:rsidR="00737EBA" w:rsidRPr="00550C3D" w:rsidRDefault="00737EBA" w:rsidP="0013527C">
      <w:pPr>
        <w:pStyle w:val="H1G"/>
        <w:rPr>
          <w:lang w:val="en-AU"/>
        </w:rPr>
      </w:pPr>
      <w:r>
        <w:rPr>
          <w:lang w:val="en-AU"/>
        </w:rPr>
        <w:tab/>
      </w:r>
      <w:r>
        <w:rPr>
          <w:lang w:val="en-AU"/>
        </w:rPr>
        <w:tab/>
      </w:r>
      <w:r w:rsidRPr="00550C3D">
        <w:rPr>
          <w:lang w:val="en-AU"/>
        </w:rPr>
        <w:t xml:space="preserve">Clarification of </w:t>
      </w:r>
      <w:r w:rsidR="005D60BA">
        <w:rPr>
          <w:lang w:val="en-AU"/>
        </w:rPr>
        <w:t>“</w:t>
      </w:r>
      <w:r w:rsidRPr="00550C3D">
        <w:rPr>
          <w:lang w:val="en-AU"/>
        </w:rPr>
        <w:t>agencies</w:t>
      </w:r>
      <w:r w:rsidR="005D60BA">
        <w:rPr>
          <w:lang w:val="en-AU"/>
        </w:rPr>
        <w:t>”</w:t>
      </w:r>
      <w:r w:rsidRPr="00550C3D">
        <w:rPr>
          <w:lang w:val="en-AU"/>
        </w:rPr>
        <w:t xml:space="preserve"> in the state parties report (CRC/C/OPSC/LKA/1)</w:t>
      </w:r>
    </w:p>
    <w:p w:rsidR="00737EBA" w:rsidRPr="0039206E" w:rsidRDefault="00CB002F" w:rsidP="0013527C">
      <w:pPr>
        <w:pStyle w:val="SingleTxtG"/>
      </w:pPr>
      <w:r w:rsidRPr="0039206E">
        <w:t>11.</w:t>
      </w:r>
      <w:r w:rsidRPr="0039206E">
        <w:tab/>
      </w:r>
      <w:r w:rsidR="00737EBA" w:rsidRPr="00550C3D">
        <w:t>In the 2</w:t>
      </w:r>
      <w:r w:rsidR="00737EBA" w:rsidRPr="0039206E">
        <w:t xml:space="preserve">nd </w:t>
      </w:r>
      <w:r w:rsidR="00737EBA" w:rsidRPr="00550C3D">
        <w:t xml:space="preserve">paragraph of the state parties report (CRC/C/OPSC/LKA/1), the institutions with the facility of lodging complaints related to cyber-crimes have been referred as the </w:t>
      </w:r>
      <w:r w:rsidR="005D60BA">
        <w:t>“</w:t>
      </w:r>
      <w:r w:rsidR="00737EBA" w:rsidRPr="00550C3D">
        <w:t>agencies</w:t>
      </w:r>
      <w:r w:rsidR="005D60BA">
        <w:t>”</w:t>
      </w:r>
      <w:r w:rsidR="00737EBA" w:rsidRPr="00550C3D">
        <w:t>. These agencies are the Sri Lanka Police, Sri Lanka CERT and Police Women and Child Abuse Prevention Bureau.</w:t>
      </w:r>
    </w:p>
    <w:p w:rsidR="00737EBA" w:rsidRDefault="00737EBA" w:rsidP="0013527C">
      <w:pPr>
        <w:pStyle w:val="HChG"/>
        <w:rPr>
          <w:lang w:val="en-AU"/>
        </w:rPr>
      </w:pPr>
      <w:r>
        <w:rPr>
          <w:lang w:val="en-AU"/>
        </w:rPr>
        <w:tab/>
      </w:r>
      <w:r>
        <w:rPr>
          <w:lang w:val="en-AU"/>
        </w:rPr>
        <w:tab/>
      </w:r>
      <w:r w:rsidRPr="00550C3D">
        <w:rPr>
          <w:lang w:val="en-AU"/>
        </w:rPr>
        <w:t>Issue 11</w:t>
      </w:r>
    </w:p>
    <w:p w:rsidR="00737EBA" w:rsidRPr="00550C3D" w:rsidRDefault="00737EBA" w:rsidP="0013527C">
      <w:pPr>
        <w:pStyle w:val="H1G"/>
        <w:rPr>
          <w:lang w:val="en-AU"/>
        </w:rPr>
      </w:pPr>
      <w:r>
        <w:rPr>
          <w:lang w:val="en-AU"/>
        </w:rPr>
        <w:tab/>
      </w:r>
      <w:r>
        <w:rPr>
          <w:lang w:val="en-AU"/>
        </w:rPr>
        <w:tab/>
      </w:r>
      <w:r w:rsidRPr="00550C3D">
        <w:rPr>
          <w:lang w:val="en-AU"/>
        </w:rPr>
        <w:t xml:space="preserve">Assistance to and protection of victims of crime and witnesses act </w:t>
      </w:r>
    </w:p>
    <w:p w:rsidR="00737EBA" w:rsidRPr="00550C3D" w:rsidRDefault="00CB002F" w:rsidP="0013527C">
      <w:pPr>
        <w:pStyle w:val="SingleTxtG"/>
      </w:pPr>
      <w:r w:rsidRPr="00550C3D">
        <w:t>12.</w:t>
      </w:r>
      <w:r w:rsidRPr="00550C3D">
        <w:tab/>
      </w:r>
      <w:r w:rsidR="00737EBA" w:rsidRPr="00550C3D">
        <w:t xml:space="preserve">The National Authority to Protect Victims of Crime and Witnesses has been </w:t>
      </w:r>
      <w:r w:rsidR="00737EBA" w:rsidRPr="00F97956">
        <w:t xml:space="preserve">established under section 11 of the </w:t>
      </w:r>
      <w:r w:rsidR="005D60BA">
        <w:t>“</w:t>
      </w:r>
      <w:r w:rsidR="00737EBA" w:rsidRPr="00F97956">
        <w:t>Assistance to and Protection of Victims of Crime and Witnesses Act no 4 of 2015</w:t>
      </w:r>
      <w:r w:rsidR="005D60BA">
        <w:t>”</w:t>
      </w:r>
      <w:r w:rsidR="00737EBA" w:rsidRPr="00F97956">
        <w:t>:</w:t>
      </w:r>
    </w:p>
    <w:p w:rsidR="00737EBA" w:rsidRPr="00550C3D" w:rsidRDefault="00F143BB" w:rsidP="0013527C">
      <w:pPr>
        <w:pStyle w:val="SingleTxtG"/>
      </w:pPr>
      <w:r>
        <w:tab/>
      </w:r>
      <w:r w:rsidR="00CB002F" w:rsidRPr="00550C3D">
        <w:t>(a)</w:t>
      </w:r>
      <w:r w:rsidR="00CB002F" w:rsidRPr="00550C3D">
        <w:tab/>
      </w:r>
      <w:r w:rsidR="00737EBA" w:rsidRPr="00550C3D">
        <w:t>Several members in the staff of the Authority have undergone multidisciplinary workshops in 2018 to enhance th</w:t>
      </w:r>
      <w:r w:rsidR="00737EBA">
        <w:t xml:space="preserve">e capabilities. The Policy and </w:t>
      </w:r>
      <w:proofErr w:type="spellStart"/>
      <w:r w:rsidR="00737EBA">
        <w:t>p</w:t>
      </w:r>
      <w:r w:rsidR="00737EBA" w:rsidRPr="00550C3D">
        <w:t>rogramme</w:t>
      </w:r>
      <w:proofErr w:type="spellEnd"/>
      <w:r w:rsidR="00737EBA" w:rsidRPr="00550C3D">
        <w:t xml:space="preserve"> division of the Authority conducted several awareness </w:t>
      </w:r>
      <w:proofErr w:type="spellStart"/>
      <w:r w:rsidR="00737EBA" w:rsidRPr="00550C3D">
        <w:t>programmes</w:t>
      </w:r>
      <w:proofErr w:type="spellEnd"/>
      <w:r w:rsidR="00737EBA" w:rsidRPr="00550C3D">
        <w:t xml:space="preserve"> among the officers who assist </w:t>
      </w:r>
      <w:r w:rsidR="00737EBA">
        <w:t>in the Criminal Justice System:</w:t>
      </w:r>
    </w:p>
    <w:p w:rsidR="00737EBA" w:rsidRPr="00550C3D" w:rsidRDefault="00CB002F" w:rsidP="0013527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Officers In Charge (OICs) and Head Quarter Inspectors (HQIs) in Police Stations island-wide</w:t>
      </w:r>
      <w:r w:rsidR="00737EBA">
        <w:rPr>
          <w:lang w:val="en-US"/>
        </w:rPr>
        <w:t>;</w:t>
      </w:r>
    </w:p>
    <w:p w:rsidR="00737EBA" w:rsidRPr="00550C3D" w:rsidRDefault="00CB002F" w:rsidP="0013527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Lawyers of Bar Association and Legal Aid Commission</w:t>
      </w:r>
      <w:r w:rsidR="00737EBA">
        <w:rPr>
          <w:lang w:val="en-US"/>
        </w:rPr>
        <w:t>;</w:t>
      </w:r>
    </w:p>
    <w:p w:rsidR="00737EBA" w:rsidRPr="00550C3D" w:rsidRDefault="00CB002F" w:rsidP="0013527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Judicial Medical Officers of Sri Lanka</w:t>
      </w:r>
      <w:r w:rsidR="00737EBA">
        <w:rPr>
          <w:lang w:val="en-US"/>
        </w:rPr>
        <w:t>;</w:t>
      </w:r>
    </w:p>
    <w:p w:rsidR="00737EBA" w:rsidRPr="00550C3D" w:rsidRDefault="00CB002F" w:rsidP="0013527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Prison Commissioners and Superintends</w:t>
      </w:r>
      <w:r w:rsidR="00737EBA">
        <w:rPr>
          <w:lang w:val="en-US"/>
        </w:rPr>
        <w:t>;</w:t>
      </w:r>
    </w:p>
    <w:p w:rsidR="00737EBA" w:rsidRPr="00550C3D" w:rsidRDefault="00CB002F" w:rsidP="0013527C">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550C3D">
        <w:rPr>
          <w:lang w:val="en-US"/>
        </w:rPr>
        <w:t>•</w:t>
      </w:r>
      <w:r w:rsidRPr="00550C3D">
        <w:rPr>
          <w:lang w:val="en-US"/>
        </w:rPr>
        <w:tab/>
      </w:r>
      <w:r w:rsidR="00737EBA" w:rsidRPr="00550C3D">
        <w:rPr>
          <w:lang w:val="en-US"/>
        </w:rPr>
        <w:t>Child Protection Officers of NCPA</w:t>
      </w:r>
      <w:r w:rsidR="00737EBA">
        <w:rPr>
          <w:lang w:val="en-US"/>
        </w:rPr>
        <w:t>;</w:t>
      </w:r>
    </w:p>
    <w:p w:rsidR="00737EBA" w:rsidRPr="002C0776" w:rsidRDefault="008B70AA" w:rsidP="0013527C">
      <w:pPr>
        <w:pStyle w:val="SingleTxtG"/>
      </w:pPr>
      <w:r>
        <w:tab/>
      </w:r>
      <w:r w:rsidR="00CB002F" w:rsidRPr="002C0776">
        <w:t>(b)</w:t>
      </w:r>
      <w:r w:rsidR="00CB002F" w:rsidRPr="002C0776">
        <w:tab/>
      </w:r>
      <w:r w:rsidR="00737EBA" w:rsidRPr="00550C3D">
        <w:t>86 complaints have been received by the Law and Law Enforcement division of the Authority during the period from 1</w:t>
      </w:r>
      <w:r w:rsidR="00737EBA" w:rsidRPr="0039206E">
        <w:t>st</w:t>
      </w:r>
      <w:r w:rsidR="00737EBA" w:rsidRPr="00550C3D">
        <w:t xml:space="preserve"> of January to 31</w:t>
      </w:r>
      <w:r w:rsidR="00737EBA" w:rsidRPr="0039206E">
        <w:t>st</w:t>
      </w:r>
      <w:r w:rsidR="00737EBA" w:rsidRPr="00550C3D">
        <w:t xml:space="preserve"> December 2018 by public and governmental institutes. The progress of the complaints handled </w:t>
      </w:r>
      <w:r w:rsidR="00737EBA">
        <w:t>by the Authority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1180"/>
        <w:gridCol w:w="1181"/>
        <w:gridCol w:w="1181"/>
      </w:tblGrid>
      <w:tr w:rsidR="00737EBA" w:rsidRPr="008B70AA" w:rsidTr="008450B2">
        <w:trPr>
          <w:tblHeader/>
        </w:trPr>
        <w:tc>
          <w:tcPr>
            <w:tcW w:w="3828" w:type="dxa"/>
            <w:tcBorders>
              <w:top w:val="single" w:sz="4" w:space="0" w:color="auto"/>
              <w:bottom w:val="single" w:sz="12" w:space="0" w:color="auto"/>
            </w:tcBorders>
            <w:shd w:val="clear" w:color="auto" w:fill="auto"/>
            <w:vAlign w:val="bottom"/>
          </w:tcPr>
          <w:p w:rsidR="00737EBA" w:rsidRPr="008B70AA" w:rsidRDefault="00737EBA" w:rsidP="008B70AA">
            <w:pPr>
              <w:keepNext/>
              <w:keepLines/>
              <w:suppressAutoHyphens w:val="0"/>
              <w:spacing w:before="80" w:after="80" w:line="200" w:lineRule="exact"/>
              <w:ind w:right="113"/>
              <w:rPr>
                <w:i/>
                <w:sz w:val="16"/>
              </w:rPr>
            </w:pPr>
            <w:r w:rsidRPr="008B70AA">
              <w:rPr>
                <w:i/>
                <w:sz w:val="16"/>
              </w:rPr>
              <w:lastRenderedPageBreak/>
              <w:t xml:space="preserve">Progress of the Complaints handled </w:t>
            </w:r>
          </w:p>
        </w:tc>
        <w:tc>
          <w:tcPr>
            <w:tcW w:w="1180" w:type="dxa"/>
            <w:tcBorders>
              <w:top w:val="single" w:sz="4" w:space="0" w:color="auto"/>
              <w:bottom w:val="single" w:sz="12" w:space="0" w:color="auto"/>
            </w:tcBorders>
            <w:shd w:val="clear" w:color="auto" w:fill="auto"/>
            <w:vAlign w:val="bottom"/>
          </w:tcPr>
          <w:p w:rsidR="00737EBA" w:rsidRPr="008B70AA" w:rsidRDefault="00737EBA" w:rsidP="008B70AA">
            <w:pPr>
              <w:keepNext/>
              <w:keepLines/>
              <w:suppressAutoHyphens w:val="0"/>
              <w:spacing w:before="80" w:after="80" w:line="200" w:lineRule="exact"/>
              <w:ind w:right="113"/>
              <w:jc w:val="right"/>
              <w:rPr>
                <w:i/>
                <w:sz w:val="16"/>
              </w:rPr>
            </w:pPr>
            <w:r w:rsidRPr="008B70AA">
              <w:rPr>
                <w:i/>
                <w:sz w:val="16"/>
              </w:rPr>
              <w:t>2016</w:t>
            </w:r>
          </w:p>
        </w:tc>
        <w:tc>
          <w:tcPr>
            <w:tcW w:w="1181" w:type="dxa"/>
            <w:tcBorders>
              <w:top w:val="single" w:sz="4" w:space="0" w:color="auto"/>
              <w:bottom w:val="single" w:sz="12" w:space="0" w:color="auto"/>
            </w:tcBorders>
            <w:shd w:val="clear" w:color="auto" w:fill="auto"/>
            <w:vAlign w:val="bottom"/>
          </w:tcPr>
          <w:p w:rsidR="00737EBA" w:rsidRPr="008B70AA" w:rsidRDefault="00737EBA" w:rsidP="008B70AA">
            <w:pPr>
              <w:keepNext/>
              <w:keepLines/>
              <w:suppressAutoHyphens w:val="0"/>
              <w:spacing w:before="80" w:after="80" w:line="200" w:lineRule="exact"/>
              <w:ind w:right="113"/>
              <w:jc w:val="right"/>
              <w:rPr>
                <w:i/>
                <w:sz w:val="16"/>
              </w:rPr>
            </w:pPr>
            <w:r w:rsidRPr="008B70AA">
              <w:rPr>
                <w:i/>
                <w:sz w:val="16"/>
              </w:rPr>
              <w:t>2017</w:t>
            </w:r>
          </w:p>
        </w:tc>
        <w:tc>
          <w:tcPr>
            <w:tcW w:w="1181" w:type="dxa"/>
            <w:tcBorders>
              <w:top w:val="single" w:sz="4" w:space="0" w:color="auto"/>
              <w:bottom w:val="single" w:sz="12" w:space="0" w:color="auto"/>
            </w:tcBorders>
            <w:shd w:val="clear" w:color="auto" w:fill="auto"/>
            <w:vAlign w:val="bottom"/>
          </w:tcPr>
          <w:p w:rsidR="00737EBA" w:rsidRPr="008B70AA" w:rsidRDefault="00737EBA" w:rsidP="008B70AA">
            <w:pPr>
              <w:keepNext/>
              <w:keepLines/>
              <w:suppressAutoHyphens w:val="0"/>
              <w:spacing w:before="80" w:after="80" w:line="200" w:lineRule="exact"/>
              <w:ind w:right="113"/>
              <w:jc w:val="right"/>
              <w:rPr>
                <w:i/>
                <w:sz w:val="16"/>
              </w:rPr>
            </w:pPr>
            <w:r w:rsidRPr="008B70AA">
              <w:rPr>
                <w:i/>
                <w:sz w:val="16"/>
              </w:rPr>
              <w:t>2018</w:t>
            </w:r>
          </w:p>
        </w:tc>
      </w:tr>
      <w:tr w:rsidR="00737EBA" w:rsidRPr="008B70AA" w:rsidTr="008450B2">
        <w:tc>
          <w:tcPr>
            <w:tcW w:w="3828" w:type="dxa"/>
            <w:tcBorders>
              <w:top w:val="single" w:sz="12" w:space="0" w:color="auto"/>
              <w:bottom w:val="single" w:sz="4" w:space="0" w:color="auto"/>
            </w:tcBorders>
            <w:shd w:val="clear" w:color="auto" w:fill="auto"/>
          </w:tcPr>
          <w:p w:rsidR="00737EBA" w:rsidRPr="008B70AA" w:rsidRDefault="00737EBA" w:rsidP="008B70AA">
            <w:pPr>
              <w:keepNext/>
              <w:keepLines/>
              <w:suppressAutoHyphens w:val="0"/>
              <w:spacing w:before="80" w:after="80" w:line="220" w:lineRule="exact"/>
              <w:ind w:left="283"/>
              <w:rPr>
                <w:b/>
                <w:sz w:val="18"/>
              </w:rPr>
            </w:pPr>
            <w:r w:rsidRPr="008B70AA">
              <w:rPr>
                <w:b/>
                <w:sz w:val="18"/>
              </w:rPr>
              <w:t>Total Complaints</w:t>
            </w:r>
          </w:p>
        </w:tc>
        <w:tc>
          <w:tcPr>
            <w:tcW w:w="1180" w:type="dxa"/>
            <w:tcBorders>
              <w:top w:val="single" w:sz="12" w:space="0" w:color="auto"/>
              <w:bottom w:val="single" w:sz="4" w:space="0" w:color="auto"/>
            </w:tcBorders>
            <w:shd w:val="clear" w:color="auto" w:fill="auto"/>
            <w:vAlign w:val="bottom"/>
          </w:tcPr>
          <w:p w:rsidR="00737EBA" w:rsidRPr="008B70AA" w:rsidRDefault="00737EBA" w:rsidP="008B70AA">
            <w:pPr>
              <w:keepNext/>
              <w:keepLines/>
              <w:suppressAutoHyphens w:val="0"/>
              <w:spacing w:before="80" w:after="80" w:line="220" w:lineRule="exact"/>
              <w:ind w:right="113"/>
              <w:jc w:val="right"/>
              <w:rPr>
                <w:b/>
                <w:sz w:val="18"/>
              </w:rPr>
            </w:pPr>
            <w:r w:rsidRPr="008B70AA">
              <w:rPr>
                <w:b/>
                <w:sz w:val="18"/>
              </w:rPr>
              <w:t>12</w:t>
            </w:r>
          </w:p>
        </w:tc>
        <w:tc>
          <w:tcPr>
            <w:tcW w:w="1181" w:type="dxa"/>
            <w:tcBorders>
              <w:top w:val="single" w:sz="12" w:space="0" w:color="auto"/>
              <w:bottom w:val="single" w:sz="4" w:space="0" w:color="auto"/>
            </w:tcBorders>
            <w:shd w:val="clear" w:color="auto" w:fill="auto"/>
            <w:vAlign w:val="bottom"/>
          </w:tcPr>
          <w:p w:rsidR="00737EBA" w:rsidRPr="008B70AA" w:rsidRDefault="00737EBA" w:rsidP="008B70AA">
            <w:pPr>
              <w:keepNext/>
              <w:keepLines/>
              <w:suppressAutoHyphens w:val="0"/>
              <w:spacing w:before="80" w:after="80" w:line="220" w:lineRule="exact"/>
              <w:ind w:right="113"/>
              <w:jc w:val="right"/>
              <w:rPr>
                <w:b/>
                <w:sz w:val="18"/>
              </w:rPr>
            </w:pPr>
            <w:r w:rsidRPr="008B70AA">
              <w:rPr>
                <w:b/>
                <w:sz w:val="18"/>
              </w:rPr>
              <w:t>49</w:t>
            </w:r>
          </w:p>
        </w:tc>
        <w:tc>
          <w:tcPr>
            <w:tcW w:w="1181" w:type="dxa"/>
            <w:tcBorders>
              <w:top w:val="single" w:sz="12" w:space="0" w:color="auto"/>
              <w:bottom w:val="single" w:sz="4" w:space="0" w:color="auto"/>
            </w:tcBorders>
            <w:shd w:val="clear" w:color="auto" w:fill="auto"/>
            <w:vAlign w:val="bottom"/>
          </w:tcPr>
          <w:p w:rsidR="00737EBA" w:rsidRPr="008B70AA" w:rsidRDefault="00737EBA" w:rsidP="008B70AA">
            <w:pPr>
              <w:keepNext/>
              <w:keepLines/>
              <w:suppressAutoHyphens w:val="0"/>
              <w:spacing w:before="80" w:after="80" w:line="220" w:lineRule="exact"/>
              <w:ind w:right="113"/>
              <w:jc w:val="right"/>
              <w:rPr>
                <w:b/>
                <w:sz w:val="18"/>
              </w:rPr>
            </w:pPr>
            <w:r w:rsidRPr="008B70AA">
              <w:rPr>
                <w:b/>
                <w:sz w:val="18"/>
              </w:rPr>
              <w:t>86</w:t>
            </w:r>
          </w:p>
        </w:tc>
      </w:tr>
      <w:tr w:rsidR="00737EBA" w:rsidRPr="008B70AA" w:rsidTr="008450B2">
        <w:tc>
          <w:tcPr>
            <w:tcW w:w="3828" w:type="dxa"/>
            <w:tcBorders>
              <w:top w:val="single" w:sz="4" w:space="0" w:color="auto"/>
            </w:tcBorders>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Closed Complaints</w:t>
            </w:r>
          </w:p>
        </w:tc>
        <w:tc>
          <w:tcPr>
            <w:tcW w:w="1180" w:type="dxa"/>
            <w:tcBorders>
              <w:top w:val="single" w:sz="4" w:space="0" w:color="auto"/>
            </w:tcBorders>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8</w:t>
            </w:r>
          </w:p>
        </w:tc>
        <w:tc>
          <w:tcPr>
            <w:tcW w:w="1181" w:type="dxa"/>
            <w:tcBorders>
              <w:top w:val="single" w:sz="4" w:space="0" w:color="auto"/>
            </w:tcBorders>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32</w:t>
            </w:r>
          </w:p>
        </w:tc>
        <w:tc>
          <w:tcPr>
            <w:tcW w:w="1181" w:type="dxa"/>
            <w:tcBorders>
              <w:top w:val="single" w:sz="4" w:space="0" w:color="auto"/>
            </w:tcBorders>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24</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 xml:space="preserve">Complaints suspended </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2</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2</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3</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cs/>
                <w:lang w:bidi="si-LK"/>
              </w:rPr>
            </w:pPr>
            <w:r w:rsidRPr="008B70AA">
              <w:rPr>
                <w:sz w:val="18"/>
              </w:rPr>
              <w:t>Providing Protection</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5</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Ongoing Investigation</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5</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38</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 xml:space="preserve">Files referred to the AG by Police Department </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3</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Providing Legal Assistance</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3</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4</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Referred to the other institutions</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11</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Inquiries fixed under Section 16</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2</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Orders sent from the Commissioners</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w:t>
            </w:r>
          </w:p>
        </w:tc>
      </w:tr>
      <w:tr w:rsidR="00737EBA" w:rsidRPr="008B70AA" w:rsidTr="008450B2">
        <w:tc>
          <w:tcPr>
            <w:tcW w:w="3828" w:type="dxa"/>
            <w:shd w:val="clear" w:color="auto" w:fill="auto"/>
          </w:tcPr>
          <w:p w:rsidR="00737EBA" w:rsidRPr="008B70AA" w:rsidRDefault="00737EBA" w:rsidP="008B70AA">
            <w:pPr>
              <w:keepNext/>
              <w:keepLines/>
              <w:suppressAutoHyphens w:val="0"/>
              <w:spacing w:before="40" w:after="40" w:line="220" w:lineRule="exact"/>
              <w:ind w:right="113"/>
              <w:rPr>
                <w:sz w:val="18"/>
              </w:rPr>
            </w:pPr>
            <w:r w:rsidRPr="008B70AA">
              <w:rPr>
                <w:sz w:val="18"/>
              </w:rPr>
              <w:t>Closed orders under Section 24</w:t>
            </w:r>
          </w:p>
        </w:tc>
        <w:tc>
          <w:tcPr>
            <w:tcW w:w="1180"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rPr>
            </w:pPr>
            <w:r w:rsidRPr="008B70AA">
              <w:rPr>
                <w:sz w:val="18"/>
              </w:rPr>
              <w:t>-</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1</w:t>
            </w:r>
          </w:p>
        </w:tc>
        <w:tc>
          <w:tcPr>
            <w:tcW w:w="1181" w:type="dxa"/>
            <w:shd w:val="clear" w:color="auto" w:fill="auto"/>
            <w:vAlign w:val="bottom"/>
          </w:tcPr>
          <w:p w:rsidR="00737EBA" w:rsidRPr="008B70AA" w:rsidRDefault="00737EBA" w:rsidP="008B70AA">
            <w:pPr>
              <w:keepNext/>
              <w:keepLines/>
              <w:suppressAutoHyphens w:val="0"/>
              <w:spacing w:before="40" w:after="40" w:line="220" w:lineRule="exact"/>
              <w:ind w:right="113"/>
              <w:jc w:val="right"/>
              <w:rPr>
                <w:sz w:val="18"/>
                <w:cs/>
                <w:lang w:bidi="si-LK"/>
              </w:rPr>
            </w:pPr>
            <w:r w:rsidRPr="008B70AA">
              <w:rPr>
                <w:sz w:val="18"/>
              </w:rPr>
              <w:t>-</w:t>
            </w:r>
          </w:p>
        </w:tc>
      </w:tr>
    </w:tbl>
    <w:p w:rsidR="00737EBA" w:rsidRPr="0039206E" w:rsidRDefault="008450B2" w:rsidP="008450B2">
      <w:pPr>
        <w:pStyle w:val="SingleTxtG"/>
        <w:spacing w:before="240"/>
      </w:pPr>
      <w:r>
        <w:tab/>
      </w:r>
      <w:r w:rsidR="00CB002F" w:rsidRPr="0039206E">
        <w:t>(c)</w:t>
      </w:r>
      <w:r w:rsidR="00CB002F" w:rsidRPr="0039206E">
        <w:tab/>
      </w:r>
      <w:r w:rsidR="00737EBA" w:rsidRPr="00550C3D">
        <w:t>While public awareness is also continuously taking place, 1985 toll free line has been established to receive complaints</w:t>
      </w:r>
      <w:r w:rsidR="00737EBA">
        <w:t>.</w:t>
      </w:r>
    </w:p>
    <w:p w:rsidR="00737EBA" w:rsidRPr="00550C3D" w:rsidRDefault="00737EBA" w:rsidP="0013527C">
      <w:pPr>
        <w:pStyle w:val="HChG"/>
        <w:rPr>
          <w:lang w:val="en-AU"/>
        </w:rPr>
      </w:pPr>
      <w:r>
        <w:rPr>
          <w:lang w:val="en-AU"/>
        </w:rPr>
        <w:tab/>
      </w:r>
      <w:r>
        <w:rPr>
          <w:lang w:val="en-AU"/>
        </w:rPr>
        <w:tab/>
        <w:t>Issue 12</w:t>
      </w:r>
    </w:p>
    <w:p w:rsidR="00737EBA" w:rsidRPr="0039206E" w:rsidRDefault="00737EBA" w:rsidP="005D5A0D">
      <w:pPr>
        <w:pStyle w:val="SingleTxtG"/>
        <w:ind w:left="1701"/>
      </w:pPr>
      <w:r>
        <w:rPr>
          <w:lang w:val="en-AU"/>
        </w:rPr>
        <w:t>(</w:t>
      </w:r>
      <w:proofErr w:type="spellStart"/>
      <w:r>
        <w:rPr>
          <w:lang w:val="en-AU"/>
        </w:rPr>
        <w:t>i</w:t>
      </w:r>
      <w:proofErr w:type="spellEnd"/>
      <w:r>
        <w:rPr>
          <w:lang w:val="en-AU"/>
        </w:rPr>
        <w:t>)</w:t>
      </w:r>
      <w:r>
        <w:rPr>
          <w:lang w:val="en-AU"/>
        </w:rPr>
        <w:tab/>
      </w:r>
      <w:r w:rsidRPr="0039206E">
        <w:t>Child victims are not treated as perpetrators; Child victims mentioned in the Optional Protocol are treated as victims of offences under the Penal Code of Sri Lanka and they are not considered as perpetrators under any circumstanc</w:t>
      </w:r>
      <w:r>
        <w:t>es;</w:t>
      </w:r>
    </w:p>
    <w:p w:rsidR="00737EBA" w:rsidRPr="0039206E" w:rsidRDefault="00737EBA" w:rsidP="005D5A0D">
      <w:pPr>
        <w:pStyle w:val="SingleTxtG"/>
        <w:ind w:left="1701"/>
      </w:pPr>
      <w:r>
        <w:t>(ii)</w:t>
      </w:r>
      <w:r>
        <w:tab/>
      </w:r>
      <w:r w:rsidRPr="0039206E">
        <w:t xml:space="preserve">Detention of child victims: When child victims are taken in to police custody they are not detained at adult detention </w:t>
      </w:r>
      <w:proofErr w:type="spellStart"/>
      <w:r w:rsidRPr="0039206E">
        <w:t>centres</w:t>
      </w:r>
      <w:proofErr w:type="spellEnd"/>
      <w:r w:rsidRPr="0039206E">
        <w:t xml:space="preserve">. If the family environment is conducive and a guardian is available, the victim is handed over to the family by a court order. If not, such victims are sent to places of safety under the Department of Probation and Child Care Services. There are </w:t>
      </w:r>
      <w:r w:rsidRPr="0039206E">
        <w:rPr>
          <w:cs/>
          <w:lang w:bidi="si-LK"/>
        </w:rPr>
        <w:t>17</w:t>
      </w:r>
      <w:r w:rsidRPr="0039206E">
        <w:t xml:space="preserve"> such safet</w:t>
      </w:r>
      <w:r>
        <w:t>y places throughout the country;</w:t>
      </w:r>
    </w:p>
    <w:p w:rsidR="00737EBA" w:rsidRPr="0039206E" w:rsidRDefault="00737EBA" w:rsidP="005D5A0D">
      <w:pPr>
        <w:pStyle w:val="SingleTxtG"/>
        <w:ind w:left="1701"/>
      </w:pPr>
      <w:r>
        <w:t>(iii)</w:t>
      </w:r>
      <w:r>
        <w:tab/>
      </w:r>
      <w:r w:rsidRPr="0039206E">
        <w:t xml:space="preserve">Capacity Building of local staff: The field officers of various institutions have been trained to identify the victims referred to in Optional Protocol. Further, several Training of Trainers programs (TOT) were conducted by the Trafficking Task Force in identified locations with the support of the International Migration Organization (IMO). A training module for identification of victims has been prepared for use by trainers. All police officers of the Women and Child Desk were trained to enable </w:t>
      </w:r>
      <w:r>
        <w:t>them to identify child victims;</w:t>
      </w:r>
    </w:p>
    <w:p w:rsidR="00737EBA" w:rsidRDefault="00737EBA" w:rsidP="005D5A0D">
      <w:pPr>
        <w:pStyle w:val="SingleTxtG"/>
        <w:ind w:left="1701"/>
      </w:pPr>
      <w:r>
        <w:t>(iv)</w:t>
      </w:r>
      <w:r>
        <w:tab/>
      </w:r>
      <w:r w:rsidRPr="0039206E">
        <w:t xml:space="preserve">A public awareness media campaign with distribution of hand bills was carried out with a view to identifying victims and refer them to the relevant </w:t>
      </w:r>
      <w:proofErr w:type="spellStart"/>
      <w:r w:rsidRPr="0039206E">
        <w:t>centres</w:t>
      </w:r>
      <w:proofErr w:type="spellEnd"/>
      <w:r w:rsidRPr="0039206E">
        <w:t>.</w:t>
      </w:r>
    </w:p>
    <w:p w:rsidR="006311EB" w:rsidRPr="006311EB" w:rsidRDefault="006311EB" w:rsidP="006311EB">
      <w:pPr>
        <w:pStyle w:val="SingleTxtG"/>
        <w:spacing w:before="240"/>
        <w:ind w:left="1701"/>
        <w:jc w:val="center"/>
        <w:rPr>
          <w:u w:val="single"/>
        </w:rPr>
      </w:pPr>
      <w:r>
        <w:rPr>
          <w:u w:val="single"/>
        </w:rPr>
        <w:tab/>
      </w:r>
      <w:r>
        <w:rPr>
          <w:u w:val="single"/>
        </w:rPr>
        <w:tab/>
      </w:r>
      <w:r>
        <w:rPr>
          <w:u w:val="single"/>
        </w:rPr>
        <w:tab/>
      </w:r>
    </w:p>
    <w:sectPr w:rsidR="006311EB" w:rsidRPr="006311E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37" w:rsidRPr="00C60504" w:rsidRDefault="004C0037" w:rsidP="00C60504">
      <w:pPr>
        <w:pStyle w:val="Footer"/>
      </w:pPr>
    </w:p>
  </w:endnote>
  <w:endnote w:type="continuationSeparator" w:id="0">
    <w:p w:rsidR="004C0037" w:rsidRPr="00C60504" w:rsidRDefault="004C003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7" w:rsidRDefault="004C0037" w:rsidP="00B437B3">
    <w:pPr>
      <w:pStyle w:val="Footer"/>
      <w:tabs>
        <w:tab w:val="right" w:pos="9638"/>
      </w:tabs>
    </w:pPr>
    <w:r w:rsidRPr="00E86005">
      <w:rPr>
        <w:b/>
        <w:bCs/>
        <w:sz w:val="18"/>
      </w:rPr>
      <w:fldChar w:fldCharType="begin"/>
    </w:r>
    <w:r w:rsidRPr="00E86005">
      <w:rPr>
        <w:b/>
        <w:bCs/>
        <w:sz w:val="18"/>
      </w:rPr>
      <w:instrText xml:space="preserve"> PAGE  \* MERGEFORMAT </w:instrText>
    </w:r>
    <w:r w:rsidRPr="00E86005">
      <w:rPr>
        <w:b/>
        <w:bCs/>
        <w:sz w:val="18"/>
      </w:rPr>
      <w:fldChar w:fldCharType="separate"/>
    </w:r>
    <w:r w:rsidR="00D03871">
      <w:rPr>
        <w:b/>
        <w:bCs/>
        <w:noProof/>
        <w:sz w:val="18"/>
      </w:rPr>
      <w:t>10</w:t>
    </w:r>
    <w:r w:rsidRPr="00E860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7" w:rsidRDefault="004C0037" w:rsidP="00E86005">
    <w:pPr>
      <w:pStyle w:val="Footer"/>
      <w:tabs>
        <w:tab w:val="right" w:pos="9638"/>
      </w:tabs>
    </w:pPr>
    <w:r>
      <w:tab/>
    </w:r>
    <w:r w:rsidRPr="00E86005">
      <w:rPr>
        <w:b/>
        <w:bCs/>
        <w:sz w:val="18"/>
      </w:rPr>
      <w:fldChar w:fldCharType="begin"/>
    </w:r>
    <w:r w:rsidRPr="00E86005">
      <w:rPr>
        <w:b/>
        <w:bCs/>
        <w:sz w:val="18"/>
      </w:rPr>
      <w:instrText xml:space="preserve"> PAGE  \* MERGEFORMAT </w:instrText>
    </w:r>
    <w:r w:rsidRPr="00E86005">
      <w:rPr>
        <w:b/>
        <w:bCs/>
        <w:sz w:val="18"/>
      </w:rPr>
      <w:fldChar w:fldCharType="separate"/>
    </w:r>
    <w:r w:rsidR="00D03871">
      <w:rPr>
        <w:b/>
        <w:bCs/>
        <w:noProof/>
        <w:sz w:val="18"/>
      </w:rPr>
      <w:t>11</w:t>
    </w:r>
    <w:r w:rsidRPr="00E860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71" w:rsidRDefault="00D03871" w:rsidP="00D0387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3871" w:rsidRDefault="00D03871" w:rsidP="00D03871">
    <w:pPr>
      <w:pStyle w:val="Footer"/>
      <w:ind w:right="1134"/>
      <w:rPr>
        <w:sz w:val="20"/>
      </w:rPr>
    </w:pPr>
    <w:r>
      <w:rPr>
        <w:sz w:val="20"/>
      </w:rPr>
      <w:t>GE.19-05391(E)</w:t>
    </w:r>
  </w:p>
  <w:p w:rsidR="00D03871" w:rsidRPr="00D03871" w:rsidRDefault="00D03871" w:rsidP="00D038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LKA/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37" w:rsidRPr="00C60504" w:rsidRDefault="004C0037" w:rsidP="00C60504">
      <w:pPr>
        <w:tabs>
          <w:tab w:val="right" w:pos="2155"/>
        </w:tabs>
        <w:spacing w:after="80" w:line="240" w:lineRule="auto"/>
        <w:ind w:left="680"/>
      </w:pPr>
      <w:r>
        <w:rPr>
          <w:u w:val="single"/>
        </w:rPr>
        <w:tab/>
      </w:r>
    </w:p>
  </w:footnote>
  <w:footnote w:type="continuationSeparator" w:id="0">
    <w:p w:rsidR="004C0037" w:rsidRPr="00C60504" w:rsidRDefault="004C0037" w:rsidP="00C60504">
      <w:pPr>
        <w:tabs>
          <w:tab w:val="right" w:pos="2155"/>
        </w:tabs>
        <w:spacing w:after="80" w:line="240" w:lineRule="auto"/>
        <w:ind w:left="680"/>
      </w:pPr>
      <w:r>
        <w:rPr>
          <w:u w:val="single"/>
        </w:rPr>
        <w:tab/>
      </w:r>
    </w:p>
  </w:footnote>
  <w:footnote w:id="1">
    <w:p w:rsidR="004C0037" w:rsidRDefault="004C0037" w:rsidP="00737EBA">
      <w:pPr>
        <w:pStyle w:val="FootnoteText"/>
        <w:rPr>
          <w:lang w:val="en-US"/>
        </w:rPr>
      </w:pPr>
      <w:r w:rsidRPr="00A411A1">
        <w:tab/>
      </w:r>
      <w:r w:rsidRPr="00A411A1">
        <w:rPr>
          <w:rStyle w:val="FootnoteReference"/>
          <w:sz w:val="20"/>
          <w:vertAlign w:val="baseline"/>
        </w:rPr>
        <w:t>*</w:t>
      </w:r>
      <w:r w:rsidRPr="00A411A1">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7" w:rsidRDefault="004C0037" w:rsidP="00E86005">
    <w:pPr>
      <w:pStyle w:val="Header"/>
    </w:pPr>
    <w:r>
      <w:t>CRC/C/OPSC/LKA/Q/1/Add.1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7" w:rsidRDefault="004C0037" w:rsidP="00E86005">
    <w:pPr>
      <w:pStyle w:val="Header"/>
      <w:jc w:val="right"/>
    </w:pPr>
    <w:r>
      <w:t>CRC/C/OPSC/LKA/Q/1/Add.1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F3233"/>
    <w:multiLevelType w:val="hybridMultilevel"/>
    <w:tmpl w:val="3454DB26"/>
    <w:lvl w:ilvl="0" w:tplc="DF7669C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21A32"/>
    <w:multiLevelType w:val="hybridMultilevel"/>
    <w:tmpl w:val="C2583F60"/>
    <w:lvl w:ilvl="0" w:tplc="F4282500">
      <w:start w:val="1"/>
      <w:numFmt w:val="lowerLetter"/>
      <w:lvlText w:val="(%1)"/>
      <w:lvlJc w:val="left"/>
      <w:pPr>
        <w:ind w:left="360" w:hanging="360"/>
      </w:pPr>
      <w:rPr>
        <w:rFonts w:hint="default"/>
      </w:rPr>
    </w:lvl>
    <w:lvl w:ilvl="1" w:tplc="3A74CF24">
      <w:start w:val="1"/>
      <w:numFmt w:val="lowerLetter"/>
      <w:lvlText w:val="%2."/>
      <w:lvlJc w:val="left"/>
      <w:pPr>
        <w:ind w:left="117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295012"/>
    <w:multiLevelType w:val="hybridMultilevel"/>
    <w:tmpl w:val="21320522"/>
    <w:lvl w:ilvl="0" w:tplc="F42825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9359E"/>
    <w:multiLevelType w:val="hybridMultilevel"/>
    <w:tmpl w:val="463E2D96"/>
    <w:lvl w:ilvl="0" w:tplc="F4282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5897"/>
    <w:multiLevelType w:val="hybridMultilevel"/>
    <w:tmpl w:val="E19A6FD6"/>
    <w:lvl w:ilvl="0" w:tplc="F4282500">
      <w:start w:val="1"/>
      <w:numFmt w:val="lowerLetter"/>
      <w:lvlText w:val="(%1)"/>
      <w:lvlJc w:val="left"/>
      <w:pPr>
        <w:ind w:left="360" w:hanging="360"/>
      </w:pPr>
      <w:rPr>
        <w:rFonts w:hint="default"/>
      </w:rPr>
    </w:lvl>
    <w:lvl w:ilvl="1" w:tplc="3A74CF24">
      <w:start w:val="1"/>
      <w:numFmt w:val="lowerLetter"/>
      <w:lvlText w:val="%2."/>
      <w:lvlJc w:val="left"/>
      <w:pPr>
        <w:ind w:left="117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E3773"/>
    <w:multiLevelType w:val="hybridMultilevel"/>
    <w:tmpl w:val="19A64A6A"/>
    <w:lvl w:ilvl="0" w:tplc="F428250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B72386C"/>
    <w:multiLevelType w:val="hybridMultilevel"/>
    <w:tmpl w:val="EB8CD88C"/>
    <w:lvl w:ilvl="0" w:tplc="F428250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80DCE"/>
    <w:multiLevelType w:val="hybridMultilevel"/>
    <w:tmpl w:val="998E506A"/>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0"/>
  </w:num>
  <w:num w:numId="5">
    <w:abstractNumId w:val="11"/>
  </w:num>
  <w:num w:numId="6">
    <w:abstractNumId w:val="15"/>
  </w:num>
  <w:num w:numId="7">
    <w:abstractNumId w:val="3"/>
  </w:num>
  <w:num w:numId="8">
    <w:abstractNumId w:val="12"/>
  </w:num>
  <w:num w:numId="9">
    <w:abstractNumId w:val="14"/>
  </w:num>
  <w:num w:numId="10">
    <w:abstractNumId w:val="13"/>
  </w:num>
  <w:num w:numId="11">
    <w:abstractNumId w:val="7"/>
  </w:num>
  <w:num w:numId="12">
    <w:abstractNumId w:val="1"/>
  </w:num>
  <w:num w:numId="13">
    <w:abstractNumId w:val="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A4C"/>
    <w:rsid w:val="00014B6C"/>
    <w:rsid w:val="00022F36"/>
    <w:rsid w:val="000432E3"/>
    <w:rsid w:val="00046E92"/>
    <w:rsid w:val="00071B75"/>
    <w:rsid w:val="00072BD0"/>
    <w:rsid w:val="000A7A75"/>
    <w:rsid w:val="000D0737"/>
    <w:rsid w:val="000D1C8D"/>
    <w:rsid w:val="001351D7"/>
    <w:rsid w:val="0013527C"/>
    <w:rsid w:val="00145A4C"/>
    <w:rsid w:val="00153B2B"/>
    <w:rsid w:val="001615A5"/>
    <w:rsid w:val="001A7A01"/>
    <w:rsid w:val="0020462F"/>
    <w:rsid w:val="0021643D"/>
    <w:rsid w:val="00226ADD"/>
    <w:rsid w:val="00227434"/>
    <w:rsid w:val="00247E2C"/>
    <w:rsid w:val="0027449E"/>
    <w:rsid w:val="002A0843"/>
    <w:rsid w:val="002A09CA"/>
    <w:rsid w:val="002A46D8"/>
    <w:rsid w:val="002D429B"/>
    <w:rsid w:val="002D46C9"/>
    <w:rsid w:val="002D6C53"/>
    <w:rsid w:val="002E1046"/>
    <w:rsid w:val="002F5595"/>
    <w:rsid w:val="0032169A"/>
    <w:rsid w:val="00334F6A"/>
    <w:rsid w:val="00342AC8"/>
    <w:rsid w:val="003522C2"/>
    <w:rsid w:val="00352D13"/>
    <w:rsid w:val="00356A43"/>
    <w:rsid w:val="00363FEE"/>
    <w:rsid w:val="0038738D"/>
    <w:rsid w:val="003B4550"/>
    <w:rsid w:val="003F00CA"/>
    <w:rsid w:val="0042342F"/>
    <w:rsid w:val="00447214"/>
    <w:rsid w:val="00461253"/>
    <w:rsid w:val="0047474B"/>
    <w:rsid w:val="004A27A7"/>
    <w:rsid w:val="004A35CD"/>
    <w:rsid w:val="004C0037"/>
    <w:rsid w:val="004C0452"/>
    <w:rsid w:val="005042C2"/>
    <w:rsid w:val="00537256"/>
    <w:rsid w:val="005D5A0D"/>
    <w:rsid w:val="005D60BA"/>
    <w:rsid w:val="005F5F7E"/>
    <w:rsid w:val="00607138"/>
    <w:rsid w:val="00615795"/>
    <w:rsid w:val="00627900"/>
    <w:rsid w:val="006311EB"/>
    <w:rsid w:val="00647C2E"/>
    <w:rsid w:val="00653AEB"/>
    <w:rsid w:val="0065416E"/>
    <w:rsid w:val="00671529"/>
    <w:rsid w:val="006D226A"/>
    <w:rsid w:val="006F0959"/>
    <w:rsid w:val="006F0C52"/>
    <w:rsid w:val="006F503B"/>
    <w:rsid w:val="007020CB"/>
    <w:rsid w:val="007268F9"/>
    <w:rsid w:val="0073463F"/>
    <w:rsid w:val="00737EBA"/>
    <w:rsid w:val="00745E15"/>
    <w:rsid w:val="007C52B0"/>
    <w:rsid w:val="0083238A"/>
    <w:rsid w:val="008450B2"/>
    <w:rsid w:val="008766C0"/>
    <w:rsid w:val="00882341"/>
    <w:rsid w:val="008B04A5"/>
    <w:rsid w:val="008B70AA"/>
    <w:rsid w:val="008C0A7B"/>
    <w:rsid w:val="009411B4"/>
    <w:rsid w:val="00992C75"/>
    <w:rsid w:val="009A6C1D"/>
    <w:rsid w:val="009D0139"/>
    <w:rsid w:val="009F5CDC"/>
    <w:rsid w:val="00A40779"/>
    <w:rsid w:val="00A411A1"/>
    <w:rsid w:val="00A749B0"/>
    <w:rsid w:val="00A775CF"/>
    <w:rsid w:val="00A9548D"/>
    <w:rsid w:val="00B046AD"/>
    <w:rsid w:val="00B06045"/>
    <w:rsid w:val="00B07C2E"/>
    <w:rsid w:val="00B2409E"/>
    <w:rsid w:val="00B437B3"/>
    <w:rsid w:val="00B66EA3"/>
    <w:rsid w:val="00BC32E4"/>
    <w:rsid w:val="00BD1B4D"/>
    <w:rsid w:val="00C073FD"/>
    <w:rsid w:val="00C22AEE"/>
    <w:rsid w:val="00C35A27"/>
    <w:rsid w:val="00C60504"/>
    <w:rsid w:val="00C679BB"/>
    <w:rsid w:val="00CA3C5A"/>
    <w:rsid w:val="00CB002F"/>
    <w:rsid w:val="00CD0365"/>
    <w:rsid w:val="00CF51D5"/>
    <w:rsid w:val="00D03871"/>
    <w:rsid w:val="00D209EE"/>
    <w:rsid w:val="00D21089"/>
    <w:rsid w:val="00D30A32"/>
    <w:rsid w:val="00D41F34"/>
    <w:rsid w:val="00D51580"/>
    <w:rsid w:val="00D728DD"/>
    <w:rsid w:val="00DD245B"/>
    <w:rsid w:val="00E02C2B"/>
    <w:rsid w:val="00E56C17"/>
    <w:rsid w:val="00E73EBF"/>
    <w:rsid w:val="00E86005"/>
    <w:rsid w:val="00E953F8"/>
    <w:rsid w:val="00E96D00"/>
    <w:rsid w:val="00EA2E26"/>
    <w:rsid w:val="00EA79A4"/>
    <w:rsid w:val="00ED625E"/>
    <w:rsid w:val="00ED6C48"/>
    <w:rsid w:val="00EF1AC6"/>
    <w:rsid w:val="00F143BB"/>
    <w:rsid w:val="00F65F5D"/>
    <w:rsid w:val="00F86A3A"/>
    <w:rsid w:val="00F93C73"/>
    <w:rsid w:val="00FA3538"/>
    <w:rsid w:val="00FB6A5F"/>
    <w:rsid w:val="00FE1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63A4B82-6221-40E1-AEF8-8DDD2666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B002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CB002F"/>
    <w:rPr>
      <w:rFonts w:ascii="Times New Roman" w:hAnsi="Times New Roman" w:cs="Times New Roman"/>
      <w:sz w:val="20"/>
      <w:szCs w:val="20"/>
      <w:lang w:val="en-US"/>
    </w:rPr>
  </w:style>
  <w:style w:type="table" w:customStyle="1" w:styleId="TableGrid3">
    <w:name w:val="Table Grid3"/>
    <w:basedOn w:val="TableNormal"/>
    <w:next w:val="TableGrid"/>
    <w:uiPriority w:val="39"/>
    <w:rsid w:val="00737E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3FDF-0215-4829-AE2E-162AC99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4678</Words>
  <Characters>24873</Characters>
  <Application>Microsoft Office Word</Application>
  <DocSecurity>0</DocSecurity>
  <Lines>690</Lines>
  <Paragraphs>401</Paragraphs>
  <ScaleCrop>false</ScaleCrop>
  <HeadingPairs>
    <vt:vector size="2" baseType="variant">
      <vt:variant>
        <vt:lpstr>Title</vt:lpstr>
      </vt:variant>
      <vt:variant>
        <vt:i4>1</vt:i4>
      </vt:variant>
    </vt:vector>
  </HeadingPairs>
  <TitlesOfParts>
    <vt:vector size="1" baseType="lpstr">
      <vt:lpstr>CRC/C/OPSC/LKA/Q/1/Add.1</vt:lpstr>
    </vt:vector>
  </TitlesOfParts>
  <Company>DCM</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CRC/C/OPSC/LKA/Q/1/Add.1</dc:title>
  <dc:subject>1905391</dc:subject>
  <dc:creator>cg</dc:creator>
  <cp:keywords/>
  <dc:description/>
  <cp:lastModifiedBy>Generic Desk Anglais</cp:lastModifiedBy>
  <cp:revision>2</cp:revision>
  <dcterms:created xsi:type="dcterms:W3CDTF">2019-04-02T06:30:00Z</dcterms:created>
  <dcterms:modified xsi:type="dcterms:W3CDTF">2019-04-02T06:30:00Z</dcterms:modified>
</cp:coreProperties>
</file>