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E45" w:rsidRDefault="003D7E45">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3D7E45" w:rsidRDefault="003D7E45">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10841"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3D7E45" w:rsidRDefault="003D7E45">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3D7E45" w:rsidRDefault="003D7E45">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3D7E45" w:rsidRDefault="003D7E45">
      <w:pPr>
        <w:rPr>
          <w:lang w:val="es-ES_tradnl"/>
        </w:rPr>
      </w:pPr>
    </w:p>
    <w:p w:rsidR="003D7E45" w:rsidRDefault="003D7E45">
      <w:pPr>
        <w:rPr>
          <w:lang w:val="es-ES_tradnl"/>
        </w:rPr>
      </w:pPr>
    </w:p>
    <w:p w:rsidR="003D7E45" w:rsidRDefault="003D7E45" w:rsidP="003D7E45">
      <w:pPr>
        <w:spacing w:after="240"/>
        <w:ind w:left="6240"/>
      </w:pPr>
      <w:r>
        <w:t>Distr.</w:t>
      </w:r>
      <w:r>
        <w:br/>
        <w:t>GENERAL</w:t>
      </w:r>
    </w:p>
    <w:p w:rsidR="003D7E45" w:rsidRDefault="003D7E45" w:rsidP="003D7E45">
      <w:pPr>
        <w:spacing w:after="240"/>
        <w:ind w:left="6240"/>
      </w:pPr>
      <w:r w:rsidRPr="007040D7">
        <w:t>CRC/C/</w:t>
      </w:r>
      <w:proofErr w:type="spellStart"/>
      <w:r w:rsidRPr="007040D7">
        <w:t>OPSC</w:t>
      </w:r>
      <w:proofErr w:type="spellEnd"/>
      <w:r w:rsidRPr="007040D7">
        <w:t>/</w:t>
      </w:r>
      <w:proofErr w:type="spellStart"/>
      <w:r w:rsidRPr="007040D7">
        <w:t>MDV</w:t>
      </w:r>
      <w:proofErr w:type="spellEnd"/>
      <w:r w:rsidRPr="007040D7">
        <w:t>/Q/1/</w:t>
      </w:r>
      <w:proofErr w:type="spellStart"/>
      <w:r w:rsidRPr="007040D7">
        <w:t>Add</w:t>
      </w:r>
      <w:proofErr w:type="spellEnd"/>
      <w:r w:rsidRPr="007040D7">
        <w:t>.1</w:t>
      </w:r>
      <w:r>
        <w:br/>
        <w:t>7 de enero de 2009</w:t>
      </w:r>
    </w:p>
    <w:p w:rsidR="003D7E45" w:rsidRDefault="003D7E45" w:rsidP="003D7E45">
      <w:pPr>
        <w:spacing w:after="600"/>
        <w:ind w:left="6243"/>
      </w:pPr>
      <w:r>
        <w:t>ESPAÑOL</w:t>
      </w:r>
      <w:r>
        <w:br/>
        <w:t>Original:  INGLÉS</w:t>
      </w:r>
    </w:p>
    <w:p w:rsidR="003D7E45" w:rsidRDefault="003D7E45" w:rsidP="003D7E45">
      <w:r>
        <w:t>COMITÉ DE LOS DERECHOS DEL NIÑO</w:t>
      </w:r>
    </w:p>
    <w:p w:rsidR="003D7E45" w:rsidRDefault="003D7E45" w:rsidP="003D7E45">
      <w:r>
        <w:t>50º período de sesiones</w:t>
      </w:r>
    </w:p>
    <w:p w:rsidR="003D7E45" w:rsidRDefault="003D7E45" w:rsidP="003D7E45">
      <w:pPr>
        <w:spacing w:after="1080"/>
      </w:pPr>
      <w:r>
        <w:t>12 a 30 de enero de 2009</w:t>
      </w:r>
    </w:p>
    <w:tbl>
      <w:tblPr>
        <w:tblStyle w:val="TableGrid"/>
        <w:tblW w:w="0" w:type="auto"/>
        <w:jc w:val="center"/>
        <w:tblInd w:w="1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01"/>
      </w:tblGrid>
      <w:tr w:rsidR="003D7E45" w:rsidRPr="00AC03A6" w:rsidTr="002B27D5">
        <w:trPr>
          <w:jc w:val="center"/>
        </w:trPr>
        <w:tc>
          <w:tcPr>
            <w:tcW w:w="8301" w:type="dxa"/>
          </w:tcPr>
          <w:p w:rsidR="003D7E45" w:rsidRPr="00AC03A6" w:rsidRDefault="003D7E45" w:rsidP="0081235C">
            <w:pPr>
              <w:tabs>
                <w:tab w:val="center" w:pos="4067"/>
              </w:tabs>
              <w:spacing w:after="480"/>
              <w:jc w:val="both"/>
              <w:rPr>
                <w:spacing w:val="2"/>
              </w:rPr>
            </w:pPr>
            <w:r w:rsidRPr="00AC03A6">
              <w:rPr>
                <w:b/>
              </w:rPr>
              <w:t>RESPUESTAS PRESENTADAS POR ESCRITO POR EL GOBIERNO DE MALDIVAS EN RELACIÓN CON LA LISTA DE CUESTIONES (CRC/C/</w:t>
            </w:r>
            <w:proofErr w:type="spellStart"/>
            <w:r w:rsidRPr="00AC03A6">
              <w:rPr>
                <w:b/>
              </w:rPr>
              <w:t>OPSC</w:t>
            </w:r>
            <w:proofErr w:type="spellEnd"/>
            <w:r w:rsidRPr="00AC03A6">
              <w:rPr>
                <w:b/>
              </w:rPr>
              <w:t>/</w:t>
            </w:r>
            <w:proofErr w:type="spellStart"/>
            <w:r w:rsidRPr="00AC03A6">
              <w:rPr>
                <w:b/>
              </w:rPr>
              <w:t>MDV</w:t>
            </w:r>
            <w:proofErr w:type="spellEnd"/>
            <w:r w:rsidRPr="00AC03A6">
              <w:rPr>
                <w:b/>
              </w:rPr>
              <w:t>/Q/1) QUE DEBEN ABORDARSE AL EXAMINAR EL INFORME INICIAL DE MALDIVAS CON ARREGLO AL PÁRRAFO 1 DEL ARTÍCULO 12 DEL PROTOCOLO FACULTATIVO RELATIVO A LA VENTA DE NIÑOS, LA PROSTITUCIÓN INFANTIL Y LA UTILIZACIÓN</w:t>
            </w:r>
            <w:r>
              <w:rPr>
                <w:b/>
              </w:rPr>
              <w:br/>
            </w:r>
            <w:r>
              <w:rPr>
                <w:b/>
              </w:rPr>
              <w:tab/>
            </w:r>
            <w:r w:rsidRPr="00AC03A6">
              <w:rPr>
                <w:b/>
              </w:rPr>
              <w:t>DE NIÑOS EN LA PORNOGRAFÍA</w:t>
            </w:r>
            <w:r w:rsidRPr="00AC03A6">
              <w:rPr>
                <w:b/>
                <w:spacing w:val="2"/>
              </w:rPr>
              <w:t xml:space="preserve"> (CRC/C/</w:t>
            </w:r>
            <w:proofErr w:type="spellStart"/>
            <w:r w:rsidRPr="00AC03A6">
              <w:rPr>
                <w:b/>
                <w:spacing w:val="2"/>
              </w:rPr>
              <w:t>OPSC</w:t>
            </w:r>
            <w:proofErr w:type="spellEnd"/>
            <w:r w:rsidRPr="00AC03A6">
              <w:rPr>
                <w:b/>
                <w:spacing w:val="2"/>
              </w:rPr>
              <w:t>/</w:t>
            </w:r>
            <w:proofErr w:type="spellStart"/>
            <w:r w:rsidRPr="00AC03A6">
              <w:rPr>
                <w:b/>
                <w:spacing w:val="2"/>
              </w:rPr>
              <w:t>MDV</w:t>
            </w:r>
            <w:proofErr w:type="spellEnd"/>
            <w:r w:rsidRPr="00AC03A6">
              <w:rPr>
                <w:b/>
                <w:spacing w:val="2"/>
              </w:rPr>
              <w:t>/1)</w:t>
            </w:r>
            <w:r w:rsidRPr="003D7E45">
              <w:rPr>
                <w:rStyle w:val="FootnoteReference"/>
                <w:spacing w:val="2"/>
              </w:rPr>
              <w:footnoteReference w:customMarkFollows="1" w:id="1"/>
              <w:t>*</w:t>
            </w:r>
          </w:p>
        </w:tc>
      </w:tr>
    </w:tbl>
    <w:p w:rsidR="003D7E45" w:rsidRDefault="003D7E45" w:rsidP="003D7E45">
      <w:pPr>
        <w:spacing w:after="960"/>
        <w:jc w:val="right"/>
        <w:rPr>
          <w:spacing w:val="2"/>
        </w:rPr>
      </w:pPr>
      <w:r>
        <w:rPr>
          <w:spacing w:val="2"/>
        </w:rPr>
        <w:t>(Respuestas recibidas el 5 de enero de 2009)</w:t>
      </w:r>
    </w:p>
    <w:p w:rsidR="003D7E45" w:rsidRDefault="003D7E45" w:rsidP="003D7E45">
      <w:pPr>
        <w:spacing w:after="240"/>
        <w:jc w:val="center"/>
        <w:rPr>
          <w:b/>
        </w:rPr>
      </w:pPr>
      <w:r>
        <w:rPr>
          <w:b/>
        </w:rPr>
        <w:br w:type="page"/>
        <w:t>Lista de cuestiones relacionadas con la aplicación del Protocolo Facultativo</w:t>
      </w:r>
      <w:r>
        <w:rPr>
          <w:b/>
        </w:rPr>
        <w:br/>
        <w:t>relativo a la venta de niños, la prostitución infantil y la utilización de</w:t>
      </w:r>
      <w:r>
        <w:rPr>
          <w:b/>
        </w:rPr>
        <w:br/>
        <w:t>niños en la pornografía</w:t>
      </w:r>
    </w:p>
    <w:p w:rsidR="003D7E45" w:rsidRPr="001C5D8F" w:rsidRDefault="003D7E45" w:rsidP="003D7E45">
      <w:pPr>
        <w:autoSpaceDE w:val="0"/>
        <w:autoSpaceDN w:val="0"/>
        <w:adjustRightInd w:val="0"/>
        <w:spacing w:after="240"/>
        <w:ind w:left="567" w:hanging="567"/>
        <w:rPr>
          <w:b/>
        </w:rPr>
      </w:pPr>
      <w:r>
        <w:rPr>
          <w:b/>
        </w:rPr>
        <w:t>1.</w:t>
      </w:r>
      <w:r>
        <w:rPr>
          <w:b/>
        </w:rPr>
        <w:tab/>
      </w:r>
      <w:r w:rsidRPr="001C5D8F">
        <w:rPr>
          <w:b/>
        </w:rPr>
        <w:t>Sírvanse proporcionar datos estadísticos (desglosados por sexo, edad, y residencia urbana o rural) para los años 2005, 2006 y 2007 sobre lo siguiente:</w:t>
      </w:r>
    </w:p>
    <w:p w:rsidR="003D7E45" w:rsidRPr="001C5D8F" w:rsidRDefault="003D7E45" w:rsidP="003D7E45">
      <w:pPr>
        <w:autoSpaceDE w:val="0"/>
        <w:autoSpaceDN w:val="0"/>
        <w:adjustRightInd w:val="0"/>
        <w:spacing w:after="240"/>
        <w:ind w:left="1134" w:hanging="567"/>
        <w:rPr>
          <w:b/>
        </w:rPr>
      </w:pPr>
      <w:r w:rsidRPr="001C5D8F">
        <w:rPr>
          <w:b/>
        </w:rPr>
        <w:t>a)</w:t>
      </w:r>
      <w:r w:rsidRPr="001C5D8F">
        <w:rPr>
          <w:b/>
        </w:rPr>
        <w:tab/>
        <w:t>El número de denuncias de ventas de niños, prostitución infantil y utilización de niños en la pornografía, además de información adicional sobre el tipo de seguimiento dado al resultado de los casos, en particular el procesamiento de los autores y las sanciones impuestas a éstos;</w:t>
      </w:r>
    </w:p>
    <w:p w:rsidR="003D7E45" w:rsidRPr="001C5D8F" w:rsidRDefault="003D7E45" w:rsidP="003D7E45">
      <w:pPr>
        <w:autoSpaceDE w:val="0"/>
        <w:autoSpaceDN w:val="0"/>
        <w:adjustRightInd w:val="0"/>
        <w:spacing w:after="240"/>
        <w:ind w:left="1134" w:hanging="567"/>
        <w:rPr>
          <w:b/>
        </w:rPr>
      </w:pPr>
      <w:r w:rsidRPr="001C5D8F">
        <w:rPr>
          <w:b/>
        </w:rPr>
        <w:t>b)</w:t>
      </w:r>
      <w:r w:rsidRPr="001C5D8F">
        <w:rPr>
          <w:b/>
        </w:rPr>
        <w:tab/>
        <w:t>El número de niños víctimas que han recibido asistencia para ayudarles en su recuperación o han o</w:t>
      </w:r>
      <w:r>
        <w:rPr>
          <w:b/>
        </w:rPr>
        <w:t>btenido reparación, de acuerdo con</w:t>
      </w:r>
      <w:r w:rsidRPr="001C5D8F">
        <w:rPr>
          <w:b/>
        </w:rPr>
        <w:t xml:space="preserve"> lo dispuesto en los párrafos 3 y 4 del artículo 9 del Protocolo Facultativo.</w:t>
      </w:r>
    </w:p>
    <w:tbl>
      <w:tblPr>
        <w:tblStyle w:val="TableGrid"/>
        <w:tblW w:w="0" w:type="auto"/>
        <w:jc w:val="center"/>
        <w:tblInd w:w="2038" w:type="dxa"/>
        <w:tblLook w:val="01E0" w:firstRow="1" w:lastRow="1" w:firstColumn="1" w:lastColumn="1" w:noHBand="0" w:noVBand="0"/>
      </w:tblPr>
      <w:tblGrid>
        <w:gridCol w:w="2985"/>
        <w:gridCol w:w="1130"/>
        <w:gridCol w:w="1130"/>
      </w:tblGrid>
      <w:tr w:rsidR="003D7E45" w:rsidRPr="002743AB" w:rsidTr="002B27D5">
        <w:trPr>
          <w:jc w:val="center"/>
        </w:trPr>
        <w:tc>
          <w:tcPr>
            <w:tcW w:w="5245" w:type="dxa"/>
            <w:gridSpan w:val="3"/>
          </w:tcPr>
          <w:p w:rsidR="003D7E45" w:rsidRPr="002743AB" w:rsidRDefault="003D7E45" w:rsidP="002B27D5">
            <w:pPr>
              <w:jc w:val="center"/>
            </w:pPr>
            <w:r w:rsidRPr="002743AB">
              <w:rPr>
                <w:b/>
              </w:rPr>
              <w:t>Niños víctimas de maltrato en 2005</w:t>
            </w:r>
          </w:p>
        </w:tc>
      </w:tr>
      <w:tr w:rsidR="003D7E45" w:rsidRPr="00862739" w:rsidTr="002B27D5">
        <w:trPr>
          <w:jc w:val="center"/>
        </w:trPr>
        <w:tc>
          <w:tcPr>
            <w:tcW w:w="2985" w:type="dxa"/>
            <w:vAlign w:val="center"/>
          </w:tcPr>
          <w:p w:rsidR="003D7E45" w:rsidRPr="00862739" w:rsidRDefault="003D7E45" w:rsidP="002B27D5">
            <w:pPr>
              <w:jc w:val="center"/>
              <w:rPr>
                <w:b/>
              </w:rPr>
            </w:pPr>
          </w:p>
        </w:tc>
        <w:tc>
          <w:tcPr>
            <w:tcW w:w="1130" w:type="dxa"/>
            <w:vAlign w:val="center"/>
          </w:tcPr>
          <w:p w:rsidR="003D7E45" w:rsidRPr="00862739" w:rsidRDefault="003D7E45" w:rsidP="002B27D5">
            <w:pPr>
              <w:jc w:val="center"/>
              <w:rPr>
                <w:b/>
              </w:rPr>
            </w:pPr>
            <w:r w:rsidRPr="00862739">
              <w:rPr>
                <w:b/>
              </w:rPr>
              <w:t>Varones</w:t>
            </w:r>
          </w:p>
        </w:tc>
        <w:tc>
          <w:tcPr>
            <w:tcW w:w="1130" w:type="dxa"/>
            <w:vAlign w:val="center"/>
          </w:tcPr>
          <w:p w:rsidR="003D7E45" w:rsidRPr="00862739" w:rsidRDefault="003D7E45" w:rsidP="002B27D5">
            <w:pPr>
              <w:jc w:val="center"/>
              <w:rPr>
                <w:b/>
              </w:rPr>
            </w:pPr>
            <w:r w:rsidRPr="00862739">
              <w:rPr>
                <w:b/>
              </w:rPr>
              <w:t>Niñas</w:t>
            </w:r>
          </w:p>
        </w:tc>
      </w:tr>
      <w:tr w:rsidR="003D7E45" w:rsidRPr="002743AB" w:rsidTr="002B27D5">
        <w:trPr>
          <w:jc w:val="center"/>
        </w:trPr>
        <w:tc>
          <w:tcPr>
            <w:tcW w:w="2985" w:type="dxa"/>
          </w:tcPr>
          <w:p w:rsidR="003D7E45" w:rsidRPr="002743AB" w:rsidRDefault="003D7E45" w:rsidP="002B27D5">
            <w:r w:rsidRPr="002743AB">
              <w:t>Enero a abril</w:t>
            </w:r>
          </w:p>
        </w:tc>
        <w:tc>
          <w:tcPr>
            <w:tcW w:w="1130" w:type="dxa"/>
          </w:tcPr>
          <w:p w:rsidR="003D7E45" w:rsidRPr="001F149A" w:rsidRDefault="003D7E45" w:rsidP="002B27D5">
            <w:pPr>
              <w:jc w:val="center"/>
            </w:pPr>
            <w:r w:rsidRPr="001F149A">
              <w:t>11</w:t>
            </w:r>
          </w:p>
        </w:tc>
        <w:tc>
          <w:tcPr>
            <w:tcW w:w="1130" w:type="dxa"/>
          </w:tcPr>
          <w:p w:rsidR="003D7E45" w:rsidRPr="001F149A" w:rsidRDefault="003D7E45" w:rsidP="002B27D5">
            <w:pPr>
              <w:jc w:val="center"/>
            </w:pPr>
            <w:r w:rsidRPr="001F149A">
              <w:t>29</w:t>
            </w:r>
          </w:p>
        </w:tc>
      </w:tr>
      <w:tr w:rsidR="003D7E45" w:rsidRPr="002743AB" w:rsidTr="002B27D5">
        <w:trPr>
          <w:jc w:val="center"/>
        </w:trPr>
        <w:tc>
          <w:tcPr>
            <w:tcW w:w="2985" w:type="dxa"/>
          </w:tcPr>
          <w:p w:rsidR="003D7E45" w:rsidRPr="002743AB" w:rsidRDefault="003D7E45" w:rsidP="002B27D5">
            <w:r w:rsidRPr="002743AB">
              <w:t>Mayo a agosto</w:t>
            </w:r>
          </w:p>
        </w:tc>
        <w:tc>
          <w:tcPr>
            <w:tcW w:w="1130" w:type="dxa"/>
          </w:tcPr>
          <w:p w:rsidR="003D7E45" w:rsidRPr="001F149A" w:rsidRDefault="003D7E45" w:rsidP="002B27D5">
            <w:pPr>
              <w:jc w:val="center"/>
            </w:pPr>
            <w:r w:rsidRPr="001F149A">
              <w:t>5</w:t>
            </w:r>
          </w:p>
        </w:tc>
        <w:tc>
          <w:tcPr>
            <w:tcW w:w="1130" w:type="dxa"/>
          </w:tcPr>
          <w:p w:rsidR="003D7E45" w:rsidRPr="001F149A" w:rsidRDefault="003D7E45" w:rsidP="002B27D5">
            <w:pPr>
              <w:jc w:val="center"/>
            </w:pPr>
            <w:r w:rsidRPr="001F149A">
              <w:t>13</w:t>
            </w:r>
          </w:p>
        </w:tc>
      </w:tr>
      <w:tr w:rsidR="003D7E45" w:rsidRPr="002743AB" w:rsidTr="002B27D5">
        <w:trPr>
          <w:jc w:val="center"/>
        </w:trPr>
        <w:tc>
          <w:tcPr>
            <w:tcW w:w="2985" w:type="dxa"/>
          </w:tcPr>
          <w:p w:rsidR="003D7E45" w:rsidRPr="002743AB" w:rsidRDefault="003D7E45" w:rsidP="002B27D5">
            <w:r w:rsidRPr="002743AB">
              <w:t>Septiembre a diciembre</w:t>
            </w:r>
          </w:p>
        </w:tc>
        <w:tc>
          <w:tcPr>
            <w:tcW w:w="1130" w:type="dxa"/>
          </w:tcPr>
          <w:p w:rsidR="003D7E45" w:rsidRPr="001F149A" w:rsidRDefault="003D7E45" w:rsidP="002B27D5">
            <w:pPr>
              <w:jc w:val="center"/>
            </w:pPr>
            <w:r w:rsidRPr="001F149A">
              <w:t>21</w:t>
            </w:r>
          </w:p>
        </w:tc>
        <w:tc>
          <w:tcPr>
            <w:tcW w:w="1130" w:type="dxa"/>
          </w:tcPr>
          <w:p w:rsidR="003D7E45" w:rsidRPr="001F149A" w:rsidRDefault="003D7E45" w:rsidP="002B27D5">
            <w:pPr>
              <w:jc w:val="center"/>
            </w:pPr>
            <w:r w:rsidRPr="001F149A">
              <w:t>26</w:t>
            </w:r>
          </w:p>
        </w:tc>
      </w:tr>
      <w:tr w:rsidR="003D7E45" w:rsidRPr="003F0B6E" w:rsidTr="002B27D5">
        <w:trPr>
          <w:jc w:val="center"/>
        </w:trPr>
        <w:tc>
          <w:tcPr>
            <w:tcW w:w="2985" w:type="dxa"/>
          </w:tcPr>
          <w:p w:rsidR="003D7E45" w:rsidRPr="003F0B6E" w:rsidRDefault="003D7E45" w:rsidP="002B27D5">
            <w:pPr>
              <w:ind w:left="567"/>
              <w:rPr>
                <w:b/>
              </w:rPr>
            </w:pPr>
            <w:r w:rsidRPr="003F0B6E">
              <w:rPr>
                <w:b/>
              </w:rPr>
              <w:t>Total</w:t>
            </w:r>
          </w:p>
        </w:tc>
        <w:tc>
          <w:tcPr>
            <w:tcW w:w="1130" w:type="dxa"/>
          </w:tcPr>
          <w:p w:rsidR="003D7E45" w:rsidRPr="001E74DE" w:rsidRDefault="003D7E45" w:rsidP="002B27D5">
            <w:pPr>
              <w:jc w:val="center"/>
              <w:rPr>
                <w:b/>
              </w:rPr>
            </w:pPr>
            <w:r w:rsidRPr="001E74DE">
              <w:rPr>
                <w:b/>
              </w:rPr>
              <w:t>37</w:t>
            </w:r>
          </w:p>
        </w:tc>
        <w:tc>
          <w:tcPr>
            <w:tcW w:w="1130" w:type="dxa"/>
          </w:tcPr>
          <w:p w:rsidR="003D7E45" w:rsidRPr="001E74DE" w:rsidRDefault="003D7E45" w:rsidP="002B27D5">
            <w:pPr>
              <w:jc w:val="center"/>
              <w:rPr>
                <w:b/>
              </w:rPr>
            </w:pPr>
            <w:r w:rsidRPr="001E74DE">
              <w:rPr>
                <w:b/>
              </w:rPr>
              <w:t>68</w:t>
            </w:r>
          </w:p>
        </w:tc>
      </w:tr>
    </w:tbl>
    <w:p w:rsidR="003D7E45" w:rsidRDefault="003D7E45" w:rsidP="003D7E45">
      <w:pPr>
        <w:spacing w:after="120"/>
      </w:pPr>
    </w:p>
    <w:tbl>
      <w:tblPr>
        <w:tblStyle w:val="TableGrid"/>
        <w:tblW w:w="0" w:type="auto"/>
        <w:jc w:val="center"/>
        <w:tblLayout w:type="fixed"/>
        <w:tblLook w:val="01E0" w:firstRow="1" w:lastRow="1" w:firstColumn="1" w:lastColumn="1" w:noHBand="0" w:noVBand="0"/>
      </w:tblPr>
      <w:tblGrid>
        <w:gridCol w:w="1550"/>
        <w:gridCol w:w="1110"/>
        <w:gridCol w:w="960"/>
        <w:gridCol w:w="360"/>
        <w:gridCol w:w="2112"/>
        <w:gridCol w:w="1110"/>
        <w:gridCol w:w="1080"/>
      </w:tblGrid>
      <w:tr w:rsidR="003D7E45" w:rsidRPr="003F0B6E" w:rsidTr="002B27D5">
        <w:trPr>
          <w:jc w:val="center"/>
        </w:trPr>
        <w:tc>
          <w:tcPr>
            <w:tcW w:w="3620" w:type="dxa"/>
            <w:gridSpan w:val="3"/>
            <w:tcBorders>
              <w:right w:val="single" w:sz="4" w:space="0" w:color="auto"/>
            </w:tcBorders>
            <w:vAlign w:val="center"/>
          </w:tcPr>
          <w:p w:rsidR="003D7E45" w:rsidRPr="003F0B6E" w:rsidRDefault="003D7E45" w:rsidP="002B27D5">
            <w:pPr>
              <w:jc w:val="center"/>
              <w:rPr>
                <w:b/>
              </w:rPr>
            </w:pPr>
            <w:r w:rsidRPr="003F0B6E">
              <w:rPr>
                <w:b/>
              </w:rPr>
              <w:t>2006</w:t>
            </w:r>
          </w:p>
        </w:tc>
        <w:tc>
          <w:tcPr>
            <w:tcW w:w="360" w:type="dxa"/>
            <w:tcBorders>
              <w:top w:val="nil"/>
              <w:left w:val="single" w:sz="4" w:space="0" w:color="auto"/>
              <w:bottom w:val="nil"/>
              <w:right w:val="single" w:sz="4" w:space="0" w:color="auto"/>
            </w:tcBorders>
            <w:vAlign w:val="center"/>
          </w:tcPr>
          <w:p w:rsidR="003D7E45" w:rsidRPr="003F0B6E" w:rsidRDefault="003D7E45" w:rsidP="002B27D5">
            <w:pPr>
              <w:jc w:val="center"/>
              <w:rPr>
                <w:b/>
              </w:rPr>
            </w:pPr>
          </w:p>
        </w:tc>
        <w:tc>
          <w:tcPr>
            <w:tcW w:w="4302" w:type="dxa"/>
            <w:gridSpan w:val="3"/>
            <w:tcBorders>
              <w:left w:val="single" w:sz="4" w:space="0" w:color="auto"/>
            </w:tcBorders>
            <w:vAlign w:val="center"/>
          </w:tcPr>
          <w:p w:rsidR="003D7E45" w:rsidRPr="003F0B6E" w:rsidRDefault="003D7E45" w:rsidP="002B27D5">
            <w:pPr>
              <w:jc w:val="center"/>
              <w:rPr>
                <w:b/>
              </w:rPr>
            </w:pPr>
            <w:r w:rsidRPr="003F0B6E">
              <w:rPr>
                <w:b/>
              </w:rPr>
              <w:t>Septiembre a diciembre de 2006</w:t>
            </w:r>
          </w:p>
        </w:tc>
      </w:tr>
      <w:tr w:rsidR="003D7E45" w:rsidRPr="003F0B6E" w:rsidTr="002B27D5">
        <w:trPr>
          <w:jc w:val="center"/>
        </w:trPr>
        <w:tc>
          <w:tcPr>
            <w:tcW w:w="1550" w:type="dxa"/>
            <w:vAlign w:val="center"/>
          </w:tcPr>
          <w:p w:rsidR="003D7E45" w:rsidRPr="003F0B6E" w:rsidRDefault="003D7E45" w:rsidP="002B27D5">
            <w:pPr>
              <w:jc w:val="center"/>
              <w:rPr>
                <w:b/>
              </w:rPr>
            </w:pPr>
          </w:p>
        </w:tc>
        <w:tc>
          <w:tcPr>
            <w:tcW w:w="1110" w:type="dxa"/>
            <w:vAlign w:val="center"/>
          </w:tcPr>
          <w:p w:rsidR="003D7E45" w:rsidRPr="003F0B6E" w:rsidRDefault="003D7E45" w:rsidP="002B27D5">
            <w:pPr>
              <w:jc w:val="center"/>
              <w:rPr>
                <w:b/>
              </w:rPr>
            </w:pPr>
            <w:r w:rsidRPr="003F0B6E">
              <w:rPr>
                <w:b/>
              </w:rPr>
              <w:t>Varones</w:t>
            </w:r>
          </w:p>
        </w:tc>
        <w:tc>
          <w:tcPr>
            <w:tcW w:w="960" w:type="dxa"/>
            <w:tcBorders>
              <w:right w:val="single" w:sz="4" w:space="0" w:color="auto"/>
            </w:tcBorders>
            <w:vAlign w:val="center"/>
          </w:tcPr>
          <w:p w:rsidR="003D7E45" w:rsidRPr="003F0B6E" w:rsidRDefault="003D7E45" w:rsidP="002B27D5">
            <w:pPr>
              <w:jc w:val="center"/>
              <w:rPr>
                <w:b/>
              </w:rPr>
            </w:pPr>
            <w:r w:rsidRPr="003F0B6E">
              <w:rPr>
                <w:b/>
              </w:rPr>
              <w:t>Niñas</w:t>
            </w:r>
          </w:p>
        </w:tc>
        <w:tc>
          <w:tcPr>
            <w:tcW w:w="360" w:type="dxa"/>
            <w:tcBorders>
              <w:top w:val="nil"/>
              <w:left w:val="single" w:sz="4" w:space="0" w:color="auto"/>
              <w:bottom w:val="nil"/>
              <w:right w:val="single" w:sz="4" w:space="0" w:color="auto"/>
            </w:tcBorders>
            <w:vAlign w:val="center"/>
          </w:tcPr>
          <w:p w:rsidR="003D7E45" w:rsidRPr="003F0B6E" w:rsidRDefault="003D7E45" w:rsidP="002B27D5">
            <w:pPr>
              <w:jc w:val="center"/>
              <w:rPr>
                <w:b/>
              </w:rPr>
            </w:pPr>
          </w:p>
        </w:tc>
        <w:tc>
          <w:tcPr>
            <w:tcW w:w="2112" w:type="dxa"/>
            <w:tcBorders>
              <w:left w:val="single" w:sz="4" w:space="0" w:color="auto"/>
            </w:tcBorders>
            <w:shd w:val="clear" w:color="auto" w:fill="auto"/>
            <w:vAlign w:val="center"/>
          </w:tcPr>
          <w:p w:rsidR="003D7E45" w:rsidRPr="003F0B6E" w:rsidRDefault="003D7E45" w:rsidP="002B27D5">
            <w:pPr>
              <w:jc w:val="center"/>
              <w:rPr>
                <w:b/>
              </w:rPr>
            </w:pPr>
          </w:p>
        </w:tc>
        <w:tc>
          <w:tcPr>
            <w:tcW w:w="1110" w:type="dxa"/>
            <w:tcBorders>
              <w:left w:val="single" w:sz="4" w:space="0" w:color="auto"/>
            </w:tcBorders>
            <w:shd w:val="clear" w:color="auto" w:fill="auto"/>
            <w:vAlign w:val="center"/>
          </w:tcPr>
          <w:p w:rsidR="003D7E45" w:rsidRPr="003F0B6E" w:rsidRDefault="003D7E45" w:rsidP="002B27D5">
            <w:pPr>
              <w:jc w:val="center"/>
              <w:rPr>
                <w:b/>
              </w:rPr>
            </w:pPr>
            <w:r w:rsidRPr="003F0B6E">
              <w:rPr>
                <w:b/>
              </w:rPr>
              <w:t>Varones</w:t>
            </w:r>
          </w:p>
        </w:tc>
        <w:tc>
          <w:tcPr>
            <w:tcW w:w="1080" w:type="dxa"/>
            <w:vAlign w:val="center"/>
          </w:tcPr>
          <w:p w:rsidR="003D7E45" w:rsidRPr="003F0B6E" w:rsidRDefault="003D7E45" w:rsidP="002B27D5">
            <w:pPr>
              <w:jc w:val="center"/>
              <w:rPr>
                <w:b/>
              </w:rPr>
            </w:pPr>
            <w:r w:rsidRPr="003F0B6E">
              <w:rPr>
                <w:b/>
              </w:rPr>
              <w:t>Niñas</w:t>
            </w:r>
          </w:p>
        </w:tc>
      </w:tr>
      <w:tr w:rsidR="003D7E45" w:rsidRPr="003F0B6E" w:rsidTr="002B27D5">
        <w:trPr>
          <w:jc w:val="center"/>
        </w:trPr>
        <w:tc>
          <w:tcPr>
            <w:tcW w:w="1550" w:type="dxa"/>
          </w:tcPr>
          <w:p w:rsidR="003D7E45" w:rsidRPr="003F0B6E" w:rsidRDefault="003D7E45" w:rsidP="002B27D5">
            <w:r w:rsidRPr="003F0B6E">
              <w:t>Enero a abril</w:t>
            </w:r>
          </w:p>
        </w:tc>
        <w:tc>
          <w:tcPr>
            <w:tcW w:w="1110" w:type="dxa"/>
          </w:tcPr>
          <w:p w:rsidR="003D7E45" w:rsidRPr="003F0B6E" w:rsidRDefault="003D7E45" w:rsidP="002B27D5">
            <w:pPr>
              <w:jc w:val="center"/>
            </w:pPr>
            <w:r w:rsidRPr="003F0B6E">
              <w:t>16</w:t>
            </w:r>
          </w:p>
        </w:tc>
        <w:tc>
          <w:tcPr>
            <w:tcW w:w="960" w:type="dxa"/>
            <w:tcBorders>
              <w:right w:val="single" w:sz="4" w:space="0" w:color="auto"/>
            </w:tcBorders>
          </w:tcPr>
          <w:p w:rsidR="003D7E45" w:rsidRPr="003F0B6E" w:rsidRDefault="003D7E45" w:rsidP="002B27D5">
            <w:pPr>
              <w:jc w:val="center"/>
            </w:pPr>
            <w:r w:rsidRPr="003F0B6E">
              <w:t>34</w:t>
            </w:r>
          </w:p>
        </w:tc>
        <w:tc>
          <w:tcPr>
            <w:tcW w:w="360" w:type="dxa"/>
            <w:tcBorders>
              <w:top w:val="nil"/>
              <w:left w:val="single" w:sz="4" w:space="0" w:color="auto"/>
              <w:bottom w:val="nil"/>
              <w:right w:val="single" w:sz="4" w:space="0" w:color="auto"/>
            </w:tcBorders>
          </w:tcPr>
          <w:p w:rsidR="003D7E45" w:rsidRPr="003F0B6E" w:rsidRDefault="003D7E45" w:rsidP="002B27D5"/>
        </w:tc>
        <w:tc>
          <w:tcPr>
            <w:tcW w:w="2112" w:type="dxa"/>
            <w:tcBorders>
              <w:left w:val="single" w:sz="4" w:space="0" w:color="auto"/>
            </w:tcBorders>
            <w:shd w:val="clear" w:color="auto" w:fill="auto"/>
          </w:tcPr>
          <w:p w:rsidR="003D7E45" w:rsidRPr="003F0B6E" w:rsidRDefault="003D7E45" w:rsidP="002B27D5">
            <w:r w:rsidRPr="003F0B6E">
              <w:t>Maltrato emocional</w:t>
            </w:r>
          </w:p>
        </w:tc>
        <w:tc>
          <w:tcPr>
            <w:tcW w:w="1110" w:type="dxa"/>
            <w:tcBorders>
              <w:left w:val="single" w:sz="4" w:space="0" w:color="auto"/>
            </w:tcBorders>
            <w:shd w:val="clear" w:color="auto" w:fill="auto"/>
          </w:tcPr>
          <w:p w:rsidR="003D7E45" w:rsidRPr="003F0B6E" w:rsidRDefault="003D7E45" w:rsidP="002B27D5">
            <w:pPr>
              <w:jc w:val="center"/>
            </w:pPr>
            <w:r w:rsidRPr="003F0B6E">
              <w:t>1</w:t>
            </w:r>
          </w:p>
        </w:tc>
        <w:tc>
          <w:tcPr>
            <w:tcW w:w="1080" w:type="dxa"/>
          </w:tcPr>
          <w:p w:rsidR="003D7E45" w:rsidRPr="003F0B6E" w:rsidRDefault="003D7E45" w:rsidP="002B27D5">
            <w:pPr>
              <w:jc w:val="center"/>
            </w:pPr>
            <w:r w:rsidRPr="003F0B6E">
              <w:t>0</w:t>
            </w:r>
          </w:p>
        </w:tc>
      </w:tr>
      <w:tr w:rsidR="003D7E45" w:rsidRPr="003F0B6E" w:rsidTr="002B27D5">
        <w:trPr>
          <w:jc w:val="center"/>
        </w:trPr>
        <w:tc>
          <w:tcPr>
            <w:tcW w:w="1550" w:type="dxa"/>
          </w:tcPr>
          <w:p w:rsidR="003D7E45" w:rsidRPr="003F0B6E" w:rsidRDefault="003D7E45" w:rsidP="002B27D5">
            <w:r w:rsidRPr="003F0B6E">
              <w:t>Mayo a agosto</w:t>
            </w:r>
          </w:p>
        </w:tc>
        <w:tc>
          <w:tcPr>
            <w:tcW w:w="1110" w:type="dxa"/>
          </w:tcPr>
          <w:p w:rsidR="003D7E45" w:rsidRPr="003F0B6E" w:rsidRDefault="003D7E45" w:rsidP="002B27D5">
            <w:pPr>
              <w:jc w:val="center"/>
            </w:pPr>
            <w:r w:rsidRPr="003F0B6E">
              <w:t>20</w:t>
            </w:r>
          </w:p>
        </w:tc>
        <w:tc>
          <w:tcPr>
            <w:tcW w:w="960" w:type="dxa"/>
            <w:tcBorders>
              <w:right w:val="single" w:sz="4" w:space="0" w:color="auto"/>
            </w:tcBorders>
          </w:tcPr>
          <w:p w:rsidR="003D7E45" w:rsidRPr="003F0B6E" w:rsidRDefault="003D7E45" w:rsidP="002B27D5">
            <w:pPr>
              <w:jc w:val="center"/>
            </w:pPr>
            <w:r w:rsidRPr="003F0B6E">
              <w:t>46</w:t>
            </w:r>
          </w:p>
        </w:tc>
        <w:tc>
          <w:tcPr>
            <w:tcW w:w="360" w:type="dxa"/>
            <w:tcBorders>
              <w:top w:val="nil"/>
              <w:left w:val="single" w:sz="4" w:space="0" w:color="auto"/>
              <w:bottom w:val="nil"/>
              <w:right w:val="single" w:sz="4" w:space="0" w:color="auto"/>
            </w:tcBorders>
          </w:tcPr>
          <w:p w:rsidR="003D7E45" w:rsidRPr="003F0B6E" w:rsidRDefault="003D7E45" w:rsidP="002B27D5"/>
        </w:tc>
        <w:tc>
          <w:tcPr>
            <w:tcW w:w="2112" w:type="dxa"/>
            <w:tcBorders>
              <w:left w:val="single" w:sz="4" w:space="0" w:color="auto"/>
            </w:tcBorders>
            <w:shd w:val="clear" w:color="auto" w:fill="auto"/>
          </w:tcPr>
          <w:p w:rsidR="003D7E45" w:rsidRPr="003F0B6E" w:rsidRDefault="003D7E45" w:rsidP="002B27D5">
            <w:r w:rsidRPr="003F0B6E">
              <w:t>Maltrato físico</w:t>
            </w:r>
          </w:p>
        </w:tc>
        <w:tc>
          <w:tcPr>
            <w:tcW w:w="1110" w:type="dxa"/>
            <w:tcBorders>
              <w:left w:val="single" w:sz="4" w:space="0" w:color="auto"/>
            </w:tcBorders>
            <w:shd w:val="clear" w:color="auto" w:fill="auto"/>
          </w:tcPr>
          <w:p w:rsidR="003D7E45" w:rsidRPr="003F0B6E" w:rsidRDefault="003D7E45" w:rsidP="002B27D5">
            <w:pPr>
              <w:jc w:val="center"/>
            </w:pPr>
            <w:r w:rsidRPr="003F0B6E">
              <w:t>2</w:t>
            </w:r>
          </w:p>
        </w:tc>
        <w:tc>
          <w:tcPr>
            <w:tcW w:w="1080" w:type="dxa"/>
          </w:tcPr>
          <w:p w:rsidR="003D7E45" w:rsidRPr="003F0B6E" w:rsidRDefault="003D7E45" w:rsidP="002B27D5">
            <w:pPr>
              <w:jc w:val="center"/>
            </w:pPr>
            <w:r w:rsidRPr="003F0B6E">
              <w:t>3</w:t>
            </w:r>
          </w:p>
        </w:tc>
      </w:tr>
      <w:tr w:rsidR="003D7E45" w:rsidRPr="003F0B6E" w:rsidTr="002B27D5">
        <w:trPr>
          <w:jc w:val="center"/>
        </w:trPr>
        <w:tc>
          <w:tcPr>
            <w:tcW w:w="1550" w:type="dxa"/>
          </w:tcPr>
          <w:p w:rsidR="003D7E45" w:rsidRPr="003F0B6E" w:rsidRDefault="003D7E45" w:rsidP="002B27D5">
            <w:r w:rsidRPr="003F0B6E">
              <w:t>Total</w:t>
            </w:r>
          </w:p>
        </w:tc>
        <w:tc>
          <w:tcPr>
            <w:tcW w:w="1110" w:type="dxa"/>
          </w:tcPr>
          <w:p w:rsidR="003D7E45" w:rsidRPr="003F0B6E" w:rsidRDefault="003D7E45" w:rsidP="002B27D5">
            <w:pPr>
              <w:jc w:val="center"/>
            </w:pPr>
            <w:r w:rsidRPr="003F0B6E">
              <w:t>36</w:t>
            </w:r>
          </w:p>
        </w:tc>
        <w:tc>
          <w:tcPr>
            <w:tcW w:w="960" w:type="dxa"/>
            <w:tcBorders>
              <w:right w:val="single" w:sz="4" w:space="0" w:color="auto"/>
            </w:tcBorders>
          </w:tcPr>
          <w:p w:rsidR="003D7E45" w:rsidRPr="003F0B6E" w:rsidRDefault="003D7E45" w:rsidP="002B27D5">
            <w:pPr>
              <w:jc w:val="center"/>
            </w:pPr>
            <w:r w:rsidRPr="003F0B6E">
              <w:t>80</w:t>
            </w:r>
          </w:p>
        </w:tc>
        <w:tc>
          <w:tcPr>
            <w:tcW w:w="360" w:type="dxa"/>
            <w:tcBorders>
              <w:top w:val="nil"/>
              <w:left w:val="single" w:sz="4" w:space="0" w:color="auto"/>
              <w:bottom w:val="nil"/>
              <w:right w:val="single" w:sz="4" w:space="0" w:color="auto"/>
            </w:tcBorders>
          </w:tcPr>
          <w:p w:rsidR="003D7E45" w:rsidRPr="003F0B6E" w:rsidRDefault="003D7E45" w:rsidP="002B27D5"/>
        </w:tc>
        <w:tc>
          <w:tcPr>
            <w:tcW w:w="2112" w:type="dxa"/>
            <w:tcBorders>
              <w:left w:val="single" w:sz="4" w:space="0" w:color="auto"/>
              <w:bottom w:val="single" w:sz="4" w:space="0" w:color="auto"/>
            </w:tcBorders>
            <w:shd w:val="clear" w:color="auto" w:fill="auto"/>
          </w:tcPr>
          <w:p w:rsidR="003D7E45" w:rsidRPr="003F0B6E" w:rsidRDefault="003D7E45" w:rsidP="002B27D5">
            <w:r w:rsidRPr="003F0B6E">
              <w:t>Abuso sexual</w:t>
            </w:r>
          </w:p>
        </w:tc>
        <w:tc>
          <w:tcPr>
            <w:tcW w:w="1110" w:type="dxa"/>
            <w:tcBorders>
              <w:left w:val="single" w:sz="4" w:space="0" w:color="auto"/>
              <w:bottom w:val="single" w:sz="4" w:space="0" w:color="auto"/>
            </w:tcBorders>
            <w:shd w:val="clear" w:color="auto" w:fill="auto"/>
          </w:tcPr>
          <w:p w:rsidR="003D7E45" w:rsidRPr="003F0B6E" w:rsidRDefault="003D7E45" w:rsidP="002B27D5">
            <w:pPr>
              <w:jc w:val="center"/>
            </w:pPr>
            <w:r w:rsidRPr="003F0B6E">
              <w:t>2</w:t>
            </w:r>
          </w:p>
        </w:tc>
        <w:tc>
          <w:tcPr>
            <w:tcW w:w="1080" w:type="dxa"/>
            <w:tcBorders>
              <w:bottom w:val="single" w:sz="4" w:space="0" w:color="auto"/>
            </w:tcBorders>
          </w:tcPr>
          <w:p w:rsidR="003D7E45" w:rsidRPr="003F0B6E" w:rsidRDefault="003D7E45" w:rsidP="002B27D5">
            <w:pPr>
              <w:jc w:val="center"/>
            </w:pPr>
            <w:r w:rsidRPr="003F0B6E">
              <w:t>15</w:t>
            </w:r>
          </w:p>
        </w:tc>
      </w:tr>
      <w:tr w:rsidR="003D7E45" w:rsidRPr="003F0B6E" w:rsidTr="002B27D5">
        <w:trPr>
          <w:jc w:val="center"/>
        </w:trPr>
        <w:tc>
          <w:tcPr>
            <w:tcW w:w="1550" w:type="dxa"/>
          </w:tcPr>
          <w:p w:rsidR="003D7E45" w:rsidRPr="003F0B6E" w:rsidRDefault="003D7E45" w:rsidP="002B27D5">
            <w:r w:rsidRPr="003F0B6E">
              <w:t>Descuido</w:t>
            </w:r>
          </w:p>
        </w:tc>
        <w:tc>
          <w:tcPr>
            <w:tcW w:w="1110" w:type="dxa"/>
          </w:tcPr>
          <w:p w:rsidR="003D7E45" w:rsidRPr="003F0B6E" w:rsidRDefault="003D7E45" w:rsidP="002B27D5">
            <w:pPr>
              <w:jc w:val="center"/>
            </w:pPr>
            <w:r w:rsidRPr="003F0B6E">
              <w:t>10</w:t>
            </w:r>
          </w:p>
        </w:tc>
        <w:tc>
          <w:tcPr>
            <w:tcW w:w="960" w:type="dxa"/>
            <w:tcBorders>
              <w:right w:val="single" w:sz="4" w:space="0" w:color="auto"/>
            </w:tcBorders>
          </w:tcPr>
          <w:p w:rsidR="003D7E45" w:rsidRPr="003F0B6E" w:rsidRDefault="003D7E45" w:rsidP="002B27D5">
            <w:pPr>
              <w:jc w:val="center"/>
            </w:pPr>
            <w:r w:rsidRPr="003F0B6E">
              <w:t>8</w:t>
            </w:r>
          </w:p>
        </w:tc>
        <w:tc>
          <w:tcPr>
            <w:tcW w:w="360" w:type="dxa"/>
            <w:tcBorders>
              <w:top w:val="nil"/>
              <w:left w:val="single" w:sz="4" w:space="0" w:color="auto"/>
              <w:bottom w:val="nil"/>
              <w:right w:val="nil"/>
            </w:tcBorders>
          </w:tcPr>
          <w:p w:rsidR="003D7E45" w:rsidRPr="003F0B6E" w:rsidRDefault="003D7E45" w:rsidP="002B27D5"/>
        </w:tc>
        <w:tc>
          <w:tcPr>
            <w:tcW w:w="2112" w:type="dxa"/>
            <w:tcBorders>
              <w:left w:val="nil"/>
              <w:bottom w:val="nil"/>
              <w:right w:val="nil"/>
            </w:tcBorders>
            <w:shd w:val="clear" w:color="auto" w:fill="auto"/>
          </w:tcPr>
          <w:p w:rsidR="003D7E45" w:rsidRPr="003F0B6E" w:rsidRDefault="003D7E45" w:rsidP="002B27D5"/>
        </w:tc>
        <w:tc>
          <w:tcPr>
            <w:tcW w:w="1110" w:type="dxa"/>
            <w:tcBorders>
              <w:left w:val="nil"/>
              <w:bottom w:val="nil"/>
              <w:right w:val="nil"/>
            </w:tcBorders>
            <w:shd w:val="clear" w:color="auto" w:fill="auto"/>
          </w:tcPr>
          <w:p w:rsidR="003D7E45" w:rsidRPr="003F0B6E" w:rsidRDefault="003D7E45" w:rsidP="002B27D5">
            <w:pPr>
              <w:jc w:val="center"/>
            </w:pPr>
          </w:p>
        </w:tc>
        <w:tc>
          <w:tcPr>
            <w:tcW w:w="1080" w:type="dxa"/>
            <w:tcBorders>
              <w:left w:val="nil"/>
              <w:bottom w:val="nil"/>
              <w:right w:val="nil"/>
            </w:tcBorders>
          </w:tcPr>
          <w:p w:rsidR="003D7E45" w:rsidRPr="003F0B6E" w:rsidRDefault="003D7E45" w:rsidP="002B27D5">
            <w:pPr>
              <w:jc w:val="center"/>
            </w:pPr>
          </w:p>
        </w:tc>
      </w:tr>
    </w:tbl>
    <w:p w:rsidR="003D7E45" w:rsidRDefault="003D7E45" w:rsidP="003D7E45">
      <w:pPr>
        <w:spacing w:after="120"/>
      </w:pP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A0" w:firstRow="1" w:lastRow="0" w:firstColumn="1" w:lastColumn="0" w:noHBand="0" w:noVBand="0"/>
      </w:tblPr>
      <w:tblGrid>
        <w:gridCol w:w="2081"/>
        <w:gridCol w:w="1037"/>
        <w:gridCol w:w="953"/>
      </w:tblGrid>
      <w:tr w:rsidR="003D7E45" w:rsidRPr="00834404" w:rsidTr="002B27D5">
        <w:trPr>
          <w:cantSplit/>
          <w:trHeight w:val="269"/>
          <w:jc w:val="center"/>
        </w:trPr>
        <w:tc>
          <w:tcPr>
            <w:tcW w:w="4071" w:type="dxa"/>
            <w:gridSpan w:val="3"/>
            <w:shd w:val="clear" w:color="auto" w:fill="auto"/>
          </w:tcPr>
          <w:p w:rsidR="003D7E45" w:rsidRPr="001F149A" w:rsidRDefault="003D7E45" w:rsidP="002B27D5">
            <w:pPr>
              <w:jc w:val="center"/>
              <w:rPr>
                <w:b/>
              </w:rPr>
            </w:pPr>
            <w:r w:rsidRPr="001F149A">
              <w:rPr>
                <w:b/>
              </w:rPr>
              <w:t>Enero a abril de 2007</w:t>
            </w:r>
          </w:p>
        </w:tc>
      </w:tr>
      <w:tr w:rsidR="003D7E45" w:rsidRPr="00834404" w:rsidTr="002B27D5">
        <w:trPr>
          <w:cantSplit/>
          <w:trHeight w:val="269"/>
          <w:jc w:val="center"/>
        </w:trPr>
        <w:tc>
          <w:tcPr>
            <w:tcW w:w="2081" w:type="dxa"/>
            <w:shd w:val="clear" w:color="auto" w:fill="auto"/>
          </w:tcPr>
          <w:p w:rsidR="003D7E45" w:rsidRPr="00834404" w:rsidRDefault="003D7E45" w:rsidP="002B27D5">
            <w:pPr>
              <w:pStyle w:val="ListParagraph"/>
              <w:spacing w:after="0" w:line="240" w:lineRule="auto"/>
              <w:ind w:left="0"/>
              <w:jc w:val="both"/>
              <w:rPr>
                <w:rFonts w:ascii="Times New Roman" w:hAnsi="Times New Roman" w:cs="Times New Roman"/>
                <w:b/>
                <w:bCs/>
                <w:sz w:val="24"/>
                <w:szCs w:val="24"/>
              </w:rPr>
            </w:pPr>
          </w:p>
        </w:tc>
        <w:tc>
          <w:tcPr>
            <w:tcW w:w="1037" w:type="dxa"/>
            <w:shd w:val="clear" w:color="auto" w:fill="auto"/>
            <w:vAlign w:val="center"/>
          </w:tcPr>
          <w:p w:rsidR="003D7E45" w:rsidRPr="003F0B6E" w:rsidRDefault="003D7E45" w:rsidP="002B27D5">
            <w:pPr>
              <w:jc w:val="center"/>
              <w:rPr>
                <w:b/>
              </w:rPr>
            </w:pPr>
            <w:r w:rsidRPr="003F0B6E">
              <w:rPr>
                <w:b/>
              </w:rPr>
              <w:t>Varones</w:t>
            </w:r>
          </w:p>
        </w:tc>
        <w:tc>
          <w:tcPr>
            <w:tcW w:w="953" w:type="dxa"/>
            <w:shd w:val="clear" w:color="auto" w:fill="auto"/>
            <w:vAlign w:val="center"/>
          </w:tcPr>
          <w:p w:rsidR="003D7E45" w:rsidRPr="003F0B6E" w:rsidRDefault="003D7E45" w:rsidP="002B27D5">
            <w:pPr>
              <w:jc w:val="center"/>
              <w:rPr>
                <w:b/>
              </w:rPr>
            </w:pPr>
            <w:r w:rsidRPr="003F0B6E">
              <w:rPr>
                <w:b/>
              </w:rPr>
              <w:t>Niñas</w:t>
            </w:r>
          </w:p>
        </w:tc>
      </w:tr>
      <w:tr w:rsidR="003D7E45" w:rsidRPr="00834404" w:rsidTr="002B27D5">
        <w:trPr>
          <w:cantSplit/>
          <w:trHeight w:val="269"/>
          <w:jc w:val="center"/>
        </w:trPr>
        <w:tc>
          <w:tcPr>
            <w:tcW w:w="2081" w:type="dxa"/>
            <w:shd w:val="clear" w:color="auto" w:fill="auto"/>
          </w:tcPr>
          <w:p w:rsidR="003D7E45" w:rsidRPr="003F0B6E" w:rsidRDefault="003D7E45" w:rsidP="002B27D5">
            <w:r w:rsidRPr="003F0B6E">
              <w:t>Maltrato emocional</w:t>
            </w:r>
          </w:p>
        </w:tc>
        <w:tc>
          <w:tcPr>
            <w:tcW w:w="1037" w:type="dxa"/>
            <w:shd w:val="clear" w:color="auto" w:fill="auto"/>
          </w:tcPr>
          <w:p w:rsidR="003D7E45" w:rsidRPr="001F149A" w:rsidRDefault="003D7E45" w:rsidP="002B27D5">
            <w:pPr>
              <w:jc w:val="center"/>
            </w:pPr>
            <w:r w:rsidRPr="001F149A">
              <w:t>1</w:t>
            </w:r>
          </w:p>
        </w:tc>
        <w:tc>
          <w:tcPr>
            <w:tcW w:w="953" w:type="dxa"/>
            <w:shd w:val="clear" w:color="auto" w:fill="auto"/>
          </w:tcPr>
          <w:p w:rsidR="003D7E45" w:rsidRPr="001F149A" w:rsidRDefault="003D7E45" w:rsidP="002B27D5">
            <w:pPr>
              <w:jc w:val="center"/>
            </w:pPr>
            <w:r w:rsidRPr="001F149A">
              <w:t>0</w:t>
            </w:r>
          </w:p>
        </w:tc>
      </w:tr>
      <w:tr w:rsidR="003D7E45" w:rsidRPr="00834404" w:rsidTr="002B27D5">
        <w:trPr>
          <w:cantSplit/>
          <w:jc w:val="center"/>
        </w:trPr>
        <w:tc>
          <w:tcPr>
            <w:tcW w:w="2081" w:type="dxa"/>
            <w:shd w:val="clear" w:color="auto" w:fill="auto"/>
          </w:tcPr>
          <w:p w:rsidR="003D7E45" w:rsidRPr="003F0B6E" w:rsidRDefault="003D7E45" w:rsidP="002B27D5">
            <w:r w:rsidRPr="003F0B6E">
              <w:t>Maltrato físico</w:t>
            </w:r>
          </w:p>
        </w:tc>
        <w:tc>
          <w:tcPr>
            <w:tcW w:w="1037" w:type="dxa"/>
            <w:shd w:val="clear" w:color="auto" w:fill="auto"/>
          </w:tcPr>
          <w:p w:rsidR="003D7E45" w:rsidRPr="001F149A" w:rsidRDefault="003D7E45" w:rsidP="002B27D5">
            <w:pPr>
              <w:jc w:val="center"/>
            </w:pPr>
            <w:r w:rsidRPr="001F149A">
              <w:t>7</w:t>
            </w:r>
          </w:p>
        </w:tc>
        <w:tc>
          <w:tcPr>
            <w:tcW w:w="953" w:type="dxa"/>
            <w:shd w:val="clear" w:color="auto" w:fill="auto"/>
          </w:tcPr>
          <w:p w:rsidR="003D7E45" w:rsidRPr="001F149A" w:rsidRDefault="003D7E45" w:rsidP="002B27D5">
            <w:pPr>
              <w:jc w:val="center"/>
            </w:pPr>
            <w:r w:rsidRPr="001F149A">
              <w:t>5</w:t>
            </w:r>
          </w:p>
        </w:tc>
      </w:tr>
      <w:tr w:rsidR="003D7E45" w:rsidRPr="00834404" w:rsidTr="002B27D5">
        <w:trPr>
          <w:cantSplit/>
          <w:jc w:val="center"/>
        </w:trPr>
        <w:tc>
          <w:tcPr>
            <w:tcW w:w="2081" w:type="dxa"/>
            <w:shd w:val="clear" w:color="auto" w:fill="auto"/>
          </w:tcPr>
          <w:p w:rsidR="003D7E45" w:rsidRPr="003F0B6E" w:rsidRDefault="003D7E45" w:rsidP="002B27D5">
            <w:r w:rsidRPr="003F0B6E">
              <w:t>Abuso sexual</w:t>
            </w:r>
          </w:p>
        </w:tc>
        <w:tc>
          <w:tcPr>
            <w:tcW w:w="1037" w:type="dxa"/>
            <w:shd w:val="clear" w:color="auto" w:fill="auto"/>
          </w:tcPr>
          <w:p w:rsidR="003D7E45" w:rsidRPr="001F149A" w:rsidRDefault="003D7E45" w:rsidP="002B27D5">
            <w:pPr>
              <w:jc w:val="center"/>
            </w:pPr>
            <w:r w:rsidRPr="001F149A">
              <w:t>5</w:t>
            </w:r>
          </w:p>
        </w:tc>
        <w:tc>
          <w:tcPr>
            <w:tcW w:w="953" w:type="dxa"/>
            <w:shd w:val="clear" w:color="auto" w:fill="auto"/>
          </w:tcPr>
          <w:p w:rsidR="003D7E45" w:rsidRPr="001F149A" w:rsidRDefault="003D7E45" w:rsidP="002B27D5">
            <w:pPr>
              <w:jc w:val="center"/>
            </w:pPr>
            <w:r w:rsidRPr="001F149A">
              <w:t>25</w:t>
            </w:r>
          </w:p>
        </w:tc>
      </w:tr>
      <w:tr w:rsidR="003D7E45" w:rsidRPr="00834404" w:rsidTr="002B27D5">
        <w:trPr>
          <w:cantSplit/>
          <w:jc w:val="center"/>
        </w:trPr>
        <w:tc>
          <w:tcPr>
            <w:tcW w:w="2081" w:type="dxa"/>
            <w:shd w:val="clear" w:color="auto" w:fill="auto"/>
          </w:tcPr>
          <w:p w:rsidR="003D7E45" w:rsidRPr="001F149A" w:rsidRDefault="003D7E45" w:rsidP="002B27D5">
            <w:r>
              <w:t>Descuido</w:t>
            </w:r>
          </w:p>
        </w:tc>
        <w:tc>
          <w:tcPr>
            <w:tcW w:w="1037" w:type="dxa"/>
            <w:shd w:val="clear" w:color="auto" w:fill="auto"/>
          </w:tcPr>
          <w:p w:rsidR="003D7E45" w:rsidRPr="001F149A" w:rsidRDefault="003D7E45" w:rsidP="002B27D5">
            <w:pPr>
              <w:jc w:val="center"/>
            </w:pPr>
            <w:r w:rsidRPr="001F149A">
              <w:t>15</w:t>
            </w:r>
          </w:p>
        </w:tc>
        <w:tc>
          <w:tcPr>
            <w:tcW w:w="953" w:type="dxa"/>
            <w:shd w:val="clear" w:color="auto" w:fill="auto"/>
          </w:tcPr>
          <w:p w:rsidR="003D7E45" w:rsidRPr="001F149A" w:rsidRDefault="003D7E45" w:rsidP="002B27D5">
            <w:pPr>
              <w:jc w:val="center"/>
            </w:pPr>
            <w:r w:rsidRPr="001F149A">
              <w:t>9</w:t>
            </w:r>
          </w:p>
        </w:tc>
      </w:tr>
      <w:tr w:rsidR="003D7E45" w:rsidRPr="001F149A" w:rsidTr="002B27D5">
        <w:trPr>
          <w:cantSplit/>
          <w:jc w:val="center"/>
        </w:trPr>
        <w:tc>
          <w:tcPr>
            <w:tcW w:w="2081" w:type="dxa"/>
            <w:shd w:val="clear" w:color="auto" w:fill="auto"/>
          </w:tcPr>
          <w:p w:rsidR="003D7E45" w:rsidRPr="001F149A" w:rsidRDefault="003D7E45" w:rsidP="002B27D5">
            <w:pPr>
              <w:ind w:left="567"/>
              <w:rPr>
                <w:b/>
              </w:rPr>
            </w:pPr>
            <w:r w:rsidRPr="001F149A">
              <w:rPr>
                <w:b/>
              </w:rPr>
              <w:t>Total</w:t>
            </w:r>
          </w:p>
        </w:tc>
        <w:tc>
          <w:tcPr>
            <w:tcW w:w="1037" w:type="dxa"/>
            <w:shd w:val="clear" w:color="auto" w:fill="auto"/>
          </w:tcPr>
          <w:p w:rsidR="003D7E45" w:rsidRPr="001F149A" w:rsidRDefault="003D7E45" w:rsidP="002B27D5">
            <w:pPr>
              <w:jc w:val="center"/>
              <w:rPr>
                <w:b/>
              </w:rPr>
            </w:pPr>
            <w:r w:rsidRPr="001F149A">
              <w:rPr>
                <w:b/>
              </w:rPr>
              <w:t>28</w:t>
            </w:r>
          </w:p>
        </w:tc>
        <w:tc>
          <w:tcPr>
            <w:tcW w:w="953" w:type="dxa"/>
            <w:shd w:val="clear" w:color="auto" w:fill="auto"/>
          </w:tcPr>
          <w:p w:rsidR="003D7E45" w:rsidRPr="001F149A" w:rsidRDefault="003D7E45" w:rsidP="002B27D5">
            <w:pPr>
              <w:jc w:val="center"/>
              <w:rPr>
                <w:b/>
              </w:rPr>
            </w:pPr>
            <w:r w:rsidRPr="001F149A">
              <w:rPr>
                <w:b/>
              </w:rPr>
              <w:t>39</w:t>
            </w:r>
          </w:p>
        </w:tc>
      </w:tr>
    </w:tbl>
    <w:p w:rsidR="003D7E45" w:rsidRDefault="003D7E45" w:rsidP="003D7E45">
      <w:pPr>
        <w:spacing w:after="120"/>
      </w:pPr>
    </w:p>
    <w:tbl>
      <w:tblPr>
        <w:tblStyle w:val="TableGrid"/>
        <w:tblW w:w="8731" w:type="dxa"/>
        <w:jc w:val="center"/>
        <w:tblInd w:w="-143" w:type="dxa"/>
        <w:tblLook w:val="01E0" w:firstRow="1" w:lastRow="1" w:firstColumn="1" w:lastColumn="1" w:noHBand="0" w:noVBand="0"/>
      </w:tblPr>
      <w:tblGrid>
        <w:gridCol w:w="2160"/>
        <w:gridCol w:w="1051"/>
        <w:gridCol w:w="1000"/>
        <w:gridCol w:w="440"/>
        <w:gridCol w:w="2040"/>
        <w:gridCol w:w="1080"/>
        <w:gridCol w:w="960"/>
      </w:tblGrid>
      <w:tr w:rsidR="003D7E45" w:rsidRPr="00862739" w:rsidTr="002B27D5">
        <w:trPr>
          <w:jc w:val="center"/>
        </w:trPr>
        <w:tc>
          <w:tcPr>
            <w:tcW w:w="4211" w:type="dxa"/>
            <w:gridSpan w:val="3"/>
            <w:vAlign w:val="center"/>
          </w:tcPr>
          <w:p w:rsidR="003D7E45" w:rsidRPr="00862739" w:rsidRDefault="003D7E45" w:rsidP="002B27D5">
            <w:pPr>
              <w:jc w:val="center"/>
              <w:rPr>
                <w:b/>
              </w:rPr>
            </w:pPr>
            <w:r w:rsidRPr="00862739">
              <w:rPr>
                <w:b/>
              </w:rPr>
              <w:t>Enero a agosto de 2007</w:t>
            </w:r>
            <w:r w:rsidRPr="00862739">
              <w:rPr>
                <w:b/>
              </w:rPr>
              <w:br/>
              <w:t>(Nacional)</w:t>
            </w:r>
          </w:p>
        </w:tc>
        <w:tc>
          <w:tcPr>
            <w:tcW w:w="440" w:type="dxa"/>
            <w:tcBorders>
              <w:top w:val="nil"/>
              <w:bottom w:val="nil"/>
            </w:tcBorders>
            <w:vAlign w:val="center"/>
          </w:tcPr>
          <w:p w:rsidR="003D7E45" w:rsidRPr="00862739" w:rsidRDefault="003D7E45" w:rsidP="002B27D5">
            <w:pPr>
              <w:jc w:val="center"/>
              <w:rPr>
                <w:b/>
              </w:rPr>
            </w:pPr>
          </w:p>
        </w:tc>
        <w:tc>
          <w:tcPr>
            <w:tcW w:w="4080" w:type="dxa"/>
            <w:gridSpan w:val="3"/>
            <w:vAlign w:val="center"/>
          </w:tcPr>
          <w:p w:rsidR="003D7E45" w:rsidRPr="00862739" w:rsidRDefault="003D7E45" w:rsidP="002B27D5">
            <w:pPr>
              <w:jc w:val="center"/>
              <w:rPr>
                <w:b/>
              </w:rPr>
            </w:pPr>
            <w:r w:rsidRPr="00862739">
              <w:rPr>
                <w:b/>
              </w:rPr>
              <w:t>Septiembre a diciembre de 2007</w:t>
            </w:r>
            <w:r w:rsidRPr="00862739">
              <w:rPr>
                <w:b/>
              </w:rPr>
              <w:br/>
              <w:t>(</w:t>
            </w:r>
            <w:proofErr w:type="spellStart"/>
            <w:r w:rsidRPr="00862739">
              <w:rPr>
                <w:b/>
              </w:rPr>
              <w:t>CFPS</w:t>
            </w:r>
            <w:proofErr w:type="spellEnd"/>
            <w:r w:rsidRPr="00862739">
              <w:rPr>
                <w:b/>
              </w:rPr>
              <w:t>)</w:t>
            </w:r>
          </w:p>
        </w:tc>
      </w:tr>
      <w:tr w:rsidR="003D7E45" w:rsidRPr="00862739" w:rsidTr="002B27D5">
        <w:trPr>
          <w:jc w:val="center"/>
        </w:trPr>
        <w:tc>
          <w:tcPr>
            <w:tcW w:w="2160" w:type="dxa"/>
            <w:vAlign w:val="center"/>
          </w:tcPr>
          <w:p w:rsidR="003D7E45" w:rsidRPr="00862739" w:rsidRDefault="003D7E45" w:rsidP="002B27D5">
            <w:pPr>
              <w:jc w:val="center"/>
              <w:rPr>
                <w:b/>
              </w:rPr>
            </w:pPr>
          </w:p>
        </w:tc>
        <w:tc>
          <w:tcPr>
            <w:tcW w:w="1051" w:type="dxa"/>
            <w:vAlign w:val="center"/>
          </w:tcPr>
          <w:p w:rsidR="003D7E45" w:rsidRPr="00862739" w:rsidRDefault="003D7E45" w:rsidP="002B27D5">
            <w:pPr>
              <w:jc w:val="center"/>
              <w:rPr>
                <w:b/>
              </w:rPr>
            </w:pPr>
            <w:r w:rsidRPr="00862739">
              <w:rPr>
                <w:b/>
              </w:rPr>
              <w:t>Varones</w:t>
            </w:r>
          </w:p>
        </w:tc>
        <w:tc>
          <w:tcPr>
            <w:tcW w:w="1000" w:type="dxa"/>
            <w:vAlign w:val="center"/>
          </w:tcPr>
          <w:p w:rsidR="003D7E45" w:rsidRPr="00862739" w:rsidRDefault="003D7E45" w:rsidP="002B27D5">
            <w:pPr>
              <w:jc w:val="center"/>
              <w:rPr>
                <w:b/>
              </w:rPr>
            </w:pPr>
            <w:r w:rsidRPr="00862739">
              <w:rPr>
                <w:b/>
              </w:rPr>
              <w:t>Niñas</w:t>
            </w:r>
          </w:p>
        </w:tc>
        <w:tc>
          <w:tcPr>
            <w:tcW w:w="440" w:type="dxa"/>
            <w:tcBorders>
              <w:top w:val="nil"/>
              <w:bottom w:val="nil"/>
            </w:tcBorders>
            <w:vAlign w:val="center"/>
          </w:tcPr>
          <w:p w:rsidR="003D7E45" w:rsidRPr="00862739" w:rsidRDefault="003D7E45" w:rsidP="002B27D5">
            <w:pPr>
              <w:jc w:val="center"/>
              <w:rPr>
                <w:b/>
              </w:rPr>
            </w:pPr>
          </w:p>
        </w:tc>
        <w:tc>
          <w:tcPr>
            <w:tcW w:w="2040" w:type="dxa"/>
            <w:vAlign w:val="center"/>
          </w:tcPr>
          <w:p w:rsidR="003D7E45" w:rsidRPr="00862739" w:rsidRDefault="003D7E45" w:rsidP="002B27D5">
            <w:pPr>
              <w:jc w:val="center"/>
              <w:rPr>
                <w:b/>
              </w:rPr>
            </w:pPr>
          </w:p>
        </w:tc>
        <w:tc>
          <w:tcPr>
            <w:tcW w:w="1080" w:type="dxa"/>
            <w:vAlign w:val="center"/>
          </w:tcPr>
          <w:p w:rsidR="003D7E45" w:rsidRPr="00862739" w:rsidRDefault="003D7E45" w:rsidP="002B27D5">
            <w:pPr>
              <w:jc w:val="center"/>
              <w:rPr>
                <w:b/>
              </w:rPr>
            </w:pPr>
            <w:r w:rsidRPr="00862739">
              <w:rPr>
                <w:b/>
              </w:rPr>
              <w:t>Varones</w:t>
            </w:r>
          </w:p>
        </w:tc>
        <w:tc>
          <w:tcPr>
            <w:tcW w:w="960" w:type="dxa"/>
            <w:vAlign w:val="center"/>
          </w:tcPr>
          <w:p w:rsidR="003D7E45" w:rsidRPr="00862739" w:rsidRDefault="003D7E45" w:rsidP="002B27D5">
            <w:pPr>
              <w:jc w:val="center"/>
              <w:rPr>
                <w:b/>
              </w:rPr>
            </w:pPr>
            <w:r w:rsidRPr="00862739">
              <w:rPr>
                <w:b/>
              </w:rPr>
              <w:t>Niñas</w:t>
            </w:r>
          </w:p>
        </w:tc>
      </w:tr>
      <w:tr w:rsidR="003D7E45" w:rsidRPr="00862739" w:rsidTr="002B27D5">
        <w:trPr>
          <w:jc w:val="center"/>
        </w:trPr>
        <w:tc>
          <w:tcPr>
            <w:tcW w:w="2160" w:type="dxa"/>
          </w:tcPr>
          <w:p w:rsidR="003D7E45" w:rsidRPr="00862739" w:rsidRDefault="003D7E45" w:rsidP="002B27D5">
            <w:r w:rsidRPr="00862739">
              <w:t>Maltrato emocional</w:t>
            </w:r>
          </w:p>
        </w:tc>
        <w:tc>
          <w:tcPr>
            <w:tcW w:w="1051" w:type="dxa"/>
          </w:tcPr>
          <w:p w:rsidR="003D7E45" w:rsidRPr="00862739" w:rsidRDefault="003D7E45" w:rsidP="002B27D5">
            <w:pPr>
              <w:jc w:val="center"/>
            </w:pPr>
            <w:r w:rsidRPr="00862739">
              <w:t>11</w:t>
            </w:r>
          </w:p>
        </w:tc>
        <w:tc>
          <w:tcPr>
            <w:tcW w:w="1000" w:type="dxa"/>
          </w:tcPr>
          <w:p w:rsidR="003D7E45" w:rsidRPr="00862739" w:rsidRDefault="003D7E45" w:rsidP="002B27D5">
            <w:pPr>
              <w:jc w:val="center"/>
            </w:pPr>
            <w:r w:rsidRPr="00862739">
              <w:t>2</w:t>
            </w:r>
          </w:p>
        </w:tc>
        <w:tc>
          <w:tcPr>
            <w:tcW w:w="440" w:type="dxa"/>
            <w:tcBorders>
              <w:top w:val="nil"/>
              <w:bottom w:val="nil"/>
            </w:tcBorders>
          </w:tcPr>
          <w:p w:rsidR="003D7E45" w:rsidRPr="00862739" w:rsidRDefault="003D7E45" w:rsidP="002B27D5"/>
        </w:tc>
        <w:tc>
          <w:tcPr>
            <w:tcW w:w="2040" w:type="dxa"/>
          </w:tcPr>
          <w:p w:rsidR="003D7E45" w:rsidRPr="00862739" w:rsidRDefault="003D7E45" w:rsidP="002B27D5">
            <w:r w:rsidRPr="00862739">
              <w:t>Abuso sexual</w:t>
            </w:r>
          </w:p>
        </w:tc>
        <w:tc>
          <w:tcPr>
            <w:tcW w:w="1080" w:type="dxa"/>
          </w:tcPr>
          <w:p w:rsidR="003D7E45" w:rsidRPr="00862739" w:rsidRDefault="003D7E45" w:rsidP="002B27D5">
            <w:pPr>
              <w:jc w:val="center"/>
            </w:pPr>
            <w:r w:rsidRPr="00862739">
              <w:t>1</w:t>
            </w:r>
          </w:p>
        </w:tc>
        <w:tc>
          <w:tcPr>
            <w:tcW w:w="960" w:type="dxa"/>
          </w:tcPr>
          <w:p w:rsidR="003D7E45" w:rsidRPr="00862739" w:rsidRDefault="003D7E45" w:rsidP="002B27D5">
            <w:pPr>
              <w:jc w:val="center"/>
            </w:pPr>
            <w:r w:rsidRPr="00862739">
              <w:t>23</w:t>
            </w:r>
          </w:p>
        </w:tc>
      </w:tr>
      <w:tr w:rsidR="003D7E45" w:rsidRPr="00862739" w:rsidTr="002B27D5">
        <w:trPr>
          <w:jc w:val="center"/>
        </w:trPr>
        <w:tc>
          <w:tcPr>
            <w:tcW w:w="2160" w:type="dxa"/>
          </w:tcPr>
          <w:p w:rsidR="003D7E45" w:rsidRPr="00862739" w:rsidRDefault="003D7E45" w:rsidP="002B27D5">
            <w:r w:rsidRPr="00862739">
              <w:t>Maltrato físico</w:t>
            </w:r>
          </w:p>
        </w:tc>
        <w:tc>
          <w:tcPr>
            <w:tcW w:w="1051" w:type="dxa"/>
          </w:tcPr>
          <w:p w:rsidR="003D7E45" w:rsidRPr="00862739" w:rsidRDefault="003D7E45" w:rsidP="002B27D5">
            <w:pPr>
              <w:jc w:val="center"/>
            </w:pPr>
            <w:r w:rsidRPr="00862739">
              <w:t>9</w:t>
            </w:r>
          </w:p>
        </w:tc>
        <w:tc>
          <w:tcPr>
            <w:tcW w:w="1000" w:type="dxa"/>
          </w:tcPr>
          <w:p w:rsidR="003D7E45" w:rsidRPr="00862739" w:rsidRDefault="003D7E45" w:rsidP="002B27D5">
            <w:pPr>
              <w:jc w:val="center"/>
            </w:pPr>
            <w:r w:rsidRPr="00862739">
              <w:t>7</w:t>
            </w:r>
          </w:p>
        </w:tc>
        <w:tc>
          <w:tcPr>
            <w:tcW w:w="440" w:type="dxa"/>
            <w:tcBorders>
              <w:top w:val="nil"/>
              <w:bottom w:val="nil"/>
            </w:tcBorders>
          </w:tcPr>
          <w:p w:rsidR="003D7E45" w:rsidRPr="00862739" w:rsidRDefault="003D7E45" w:rsidP="002B27D5"/>
        </w:tc>
        <w:tc>
          <w:tcPr>
            <w:tcW w:w="2040" w:type="dxa"/>
          </w:tcPr>
          <w:p w:rsidR="003D7E45" w:rsidRPr="00862739" w:rsidRDefault="003D7E45" w:rsidP="002B27D5">
            <w:r w:rsidRPr="00862739">
              <w:t>Maltrato físico</w:t>
            </w:r>
          </w:p>
        </w:tc>
        <w:tc>
          <w:tcPr>
            <w:tcW w:w="1080" w:type="dxa"/>
          </w:tcPr>
          <w:p w:rsidR="003D7E45" w:rsidRPr="00862739" w:rsidRDefault="003D7E45" w:rsidP="002B27D5">
            <w:pPr>
              <w:jc w:val="center"/>
            </w:pPr>
            <w:r w:rsidRPr="00862739">
              <w:t>10</w:t>
            </w:r>
          </w:p>
        </w:tc>
        <w:tc>
          <w:tcPr>
            <w:tcW w:w="960" w:type="dxa"/>
          </w:tcPr>
          <w:p w:rsidR="003D7E45" w:rsidRPr="00862739" w:rsidRDefault="003D7E45" w:rsidP="002B27D5">
            <w:pPr>
              <w:jc w:val="center"/>
            </w:pPr>
            <w:r w:rsidRPr="00862739">
              <w:t>5</w:t>
            </w:r>
          </w:p>
        </w:tc>
      </w:tr>
      <w:tr w:rsidR="003D7E45" w:rsidRPr="00862739" w:rsidTr="002B27D5">
        <w:trPr>
          <w:jc w:val="center"/>
        </w:trPr>
        <w:tc>
          <w:tcPr>
            <w:tcW w:w="2160" w:type="dxa"/>
          </w:tcPr>
          <w:p w:rsidR="003D7E45" w:rsidRPr="00862739" w:rsidRDefault="003D7E45" w:rsidP="002B27D5">
            <w:r w:rsidRPr="00862739">
              <w:t>Abuso sexual</w:t>
            </w:r>
          </w:p>
        </w:tc>
        <w:tc>
          <w:tcPr>
            <w:tcW w:w="1051" w:type="dxa"/>
          </w:tcPr>
          <w:p w:rsidR="003D7E45" w:rsidRPr="00862739" w:rsidRDefault="003D7E45" w:rsidP="002B27D5">
            <w:pPr>
              <w:jc w:val="center"/>
            </w:pPr>
            <w:r w:rsidRPr="00862739">
              <w:t>6</w:t>
            </w:r>
          </w:p>
        </w:tc>
        <w:tc>
          <w:tcPr>
            <w:tcW w:w="1000" w:type="dxa"/>
          </w:tcPr>
          <w:p w:rsidR="003D7E45" w:rsidRPr="00862739" w:rsidRDefault="003D7E45" w:rsidP="002B27D5">
            <w:pPr>
              <w:jc w:val="center"/>
            </w:pPr>
            <w:r w:rsidRPr="00862739">
              <w:t>37</w:t>
            </w:r>
          </w:p>
        </w:tc>
        <w:tc>
          <w:tcPr>
            <w:tcW w:w="440" w:type="dxa"/>
            <w:tcBorders>
              <w:top w:val="nil"/>
              <w:bottom w:val="nil"/>
            </w:tcBorders>
          </w:tcPr>
          <w:p w:rsidR="003D7E45" w:rsidRPr="00862739" w:rsidRDefault="003D7E45" w:rsidP="002B27D5"/>
        </w:tc>
        <w:tc>
          <w:tcPr>
            <w:tcW w:w="2040" w:type="dxa"/>
          </w:tcPr>
          <w:p w:rsidR="003D7E45" w:rsidRPr="00862739" w:rsidRDefault="003D7E45" w:rsidP="002B27D5">
            <w:r>
              <w:t>Descuido</w:t>
            </w:r>
          </w:p>
        </w:tc>
        <w:tc>
          <w:tcPr>
            <w:tcW w:w="1080" w:type="dxa"/>
          </w:tcPr>
          <w:p w:rsidR="003D7E45" w:rsidRPr="00862739" w:rsidRDefault="003D7E45" w:rsidP="002B27D5">
            <w:pPr>
              <w:jc w:val="center"/>
            </w:pPr>
            <w:r w:rsidRPr="00862739">
              <w:t>10</w:t>
            </w:r>
          </w:p>
        </w:tc>
        <w:tc>
          <w:tcPr>
            <w:tcW w:w="960" w:type="dxa"/>
          </w:tcPr>
          <w:p w:rsidR="003D7E45" w:rsidRPr="00862739" w:rsidRDefault="003D7E45" w:rsidP="002B27D5">
            <w:pPr>
              <w:jc w:val="center"/>
            </w:pPr>
            <w:r w:rsidRPr="00862739">
              <w:t>2</w:t>
            </w:r>
          </w:p>
        </w:tc>
      </w:tr>
      <w:tr w:rsidR="003D7E45" w:rsidRPr="00862739" w:rsidTr="002B27D5">
        <w:trPr>
          <w:jc w:val="center"/>
        </w:trPr>
        <w:tc>
          <w:tcPr>
            <w:tcW w:w="2160" w:type="dxa"/>
          </w:tcPr>
          <w:p w:rsidR="003D7E45" w:rsidRPr="00862739" w:rsidRDefault="003D7E45" w:rsidP="002B27D5">
            <w:pPr>
              <w:ind w:left="567"/>
              <w:rPr>
                <w:b/>
              </w:rPr>
            </w:pPr>
            <w:r w:rsidRPr="00862739">
              <w:rPr>
                <w:b/>
              </w:rPr>
              <w:t>Total</w:t>
            </w:r>
          </w:p>
        </w:tc>
        <w:tc>
          <w:tcPr>
            <w:tcW w:w="1051" w:type="dxa"/>
          </w:tcPr>
          <w:p w:rsidR="003D7E45" w:rsidRPr="00862739" w:rsidRDefault="003D7E45" w:rsidP="002B27D5">
            <w:pPr>
              <w:jc w:val="center"/>
              <w:rPr>
                <w:b/>
              </w:rPr>
            </w:pPr>
            <w:r w:rsidRPr="00862739">
              <w:rPr>
                <w:b/>
              </w:rPr>
              <w:t>26</w:t>
            </w:r>
          </w:p>
        </w:tc>
        <w:tc>
          <w:tcPr>
            <w:tcW w:w="1000" w:type="dxa"/>
          </w:tcPr>
          <w:p w:rsidR="003D7E45" w:rsidRPr="00862739" w:rsidRDefault="003D7E45" w:rsidP="002B27D5">
            <w:pPr>
              <w:jc w:val="center"/>
              <w:rPr>
                <w:b/>
              </w:rPr>
            </w:pPr>
            <w:r w:rsidRPr="00862739">
              <w:rPr>
                <w:b/>
              </w:rPr>
              <w:t>46</w:t>
            </w:r>
          </w:p>
        </w:tc>
        <w:tc>
          <w:tcPr>
            <w:tcW w:w="440" w:type="dxa"/>
            <w:tcBorders>
              <w:top w:val="nil"/>
              <w:bottom w:val="nil"/>
            </w:tcBorders>
          </w:tcPr>
          <w:p w:rsidR="003D7E45" w:rsidRPr="00862739" w:rsidRDefault="003D7E45" w:rsidP="002B27D5">
            <w:pPr>
              <w:jc w:val="center"/>
              <w:rPr>
                <w:b/>
              </w:rPr>
            </w:pPr>
          </w:p>
        </w:tc>
        <w:tc>
          <w:tcPr>
            <w:tcW w:w="2040" w:type="dxa"/>
          </w:tcPr>
          <w:p w:rsidR="003D7E45" w:rsidRPr="00862739" w:rsidRDefault="003D7E45" w:rsidP="002B27D5">
            <w:pPr>
              <w:ind w:left="567"/>
              <w:rPr>
                <w:b/>
              </w:rPr>
            </w:pPr>
            <w:r w:rsidRPr="00862739">
              <w:rPr>
                <w:b/>
              </w:rPr>
              <w:t>Total</w:t>
            </w:r>
          </w:p>
        </w:tc>
        <w:tc>
          <w:tcPr>
            <w:tcW w:w="1080" w:type="dxa"/>
          </w:tcPr>
          <w:p w:rsidR="003D7E45" w:rsidRPr="00862739" w:rsidRDefault="003D7E45" w:rsidP="002B27D5">
            <w:pPr>
              <w:jc w:val="center"/>
              <w:rPr>
                <w:b/>
              </w:rPr>
            </w:pPr>
            <w:r w:rsidRPr="00862739">
              <w:rPr>
                <w:b/>
              </w:rPr>
              <w:t>21</w:t>
            </w:r>
          </w:p>
        </w:tc>
        <w:tc>
          <w:tcPr>
            <w:tcW w:w="960" w:type="dxa"/>
          </w:tcPr>
          <w:p w:rsidR="003D7E45" w:rsidRPr="00862739" w:rsidRDefault="003D7E45" w:rsidP="002B27D5">
            <w:pPr>
              <w:jc w:val="center"/>
              <w:rPr>
                <w:b/>
              </w:rPr>
            </w:pPr>
            <w:r w:rsidRPr="00862739">
              <w:rPr>
                <w:b/>
              </w:rPr>
              <w:t>30</w:t>
            </w:r>
          </w:p>
        </w:tc>
      </w:tr>
    </w:tbl>
    <w:p w:rsidR="003D7E45" w:rsidRDefault="003D7E45" w:rsidP="003D7E45">
      <w:pPr>
        <w:spacing w:after="220"/>
      </w:pPr>
      <w:r>
        <w:tab/>
        <w:t>Los casos notificados al Ministerio de la Salud y la Familia se clasifican como casos de maltrato de niños, no específicamente como prostitución infantil, utilización de niños en la pornografía o venta de niños.</w:t>
      </w:r>
    </w:p>
    <w:p w:rsidR="003D7E45" w:rsidRPr="00EF16C4" w:rsidRDefault="003D7E45" w:rsidP="003D7E45">
      <w:pPr>
        <w:spacing w:after="220"/>
        <w:ind w:left="567" w:hanging="567"/>
      </w:pPr>
      <w:r w:rsidRPr="00EF16C4">
        <w:rPr>
          <w:b/>
        </w:rPr>
        <w:t>2.</w:t>
      </w:r>
      <w:r w:rsidRPr="00EF16C4">
        <w:rPr>
          <w:b/>
        </w:rPr>
        <w:tab/>
        <w:t xml:space="preserve">Sírvanse proporcionar más información sobre las medidas adoptadas por el Comité para crear un sistema eficaz de recopilación de datos sobre las violaciones de </w:t>
      </w:r>
      <w:r>
        <w:rPr>
          <w:b/>
        </w:rPr>
        <w:t>las disposiciones del Protocolo</w:t>
      </w:r>
      <w:r w:rsidRPr="00EF16C4">
        <w:rPr>
          <w:b/>
        </w:rPr>
        <w:t xml:space="preserve">, mediante un </w:t>
      </w:r>
      <w:r w:rsidRPr="00EF16C4">
        <w:rPr>
          <w:rFonts w:eastAsia="Arial Unicode MS"/>
          <w:b/>
          <w:lang w:val="es-ES_tradnl"/>
        </w:rPr>
        <w:t xml:space="preserve">registro unificado </w:t>
      </w:r>
      <w:r>
        <w:rPr>
          <w:rFonts w:eastAsia="Arial Unicode MS"/>
          <w:b/>
          <w:lang w:val="es-ES_tradnl"/>
        </w:rPr>
        <w:t>de datos sobre maltrato infantil.</w:t>
      </w:r>
    </w:p>
    <w:p w:rsidR="003D7E45" w:rsidRPr="00EF16C4" w:rsidRDefault="003D7E45" w:rsidP="003D7E45">
      <w:pPr>
        <w:spacing w:after="220"/>
        <w:rPr>
          <w:lang w:val="es-ES_tradnl"/>
        </w:rPr>
      </w:pPr>
      <w:r>
        <w:rPr>
          <w:lang w:val="es-ES_tradnl"/>
        </w:rPr>
        <w:tab/>
        <w:t xml:space="preserve">El documento de exposición de conceptos ya está redactado, se seleccionó el </w:t>
      </w:r>
      <w:proofErr w:type="spellStart"/>
      <w:r>
        <w:rPr>
          <w:lang w:val="es-ES_tradnl"/>
        </w:rPr>
        <w:t>SSR</w:t>
      </w:r>
      <w:proofErr w:type="spellEnd"/>
      <w:r>
        <w:rPr>
          <w:lang w:val="es-ES_tradnl"/>
        </w:rPr>
        <w:t xml:space="preserve"> y se estableció </w:t>
      </w:r>
      <w:r w:rsidR="00E72ED0">
        <w:rPr>
          <w:lang w:val="es-ES_tradnl"/>
        </w:rPr>
        <w:t>u</w:t>
      </w:r>
      <w:r>
        <w:rPr>
          <w:lang w:val="es-ES_tradnl"/>
        </w:rPr>
        <w:t xml:space="preserve">n equipo encargado del proyecto.  Los interesados concordaron en que el proyecto se iniciaría con la creación de la base de datos de la Dependencia de Protección de la Familia y el Niño del Servicio de Policía, que se espera esté completada en el primer trimestre de 2009; posteriormente se ampliará el proyecto al Ministerio de la Salud y la Familia, el Departamento de Justicia, el Departamento de Gendarmería y los servicios de rehabilitación.  </w:t>
      </w:r>
    </w:p>
    <w:p w:rsidR="003D7E45" w:rsidRPr="008A77D1" w:rsidRDefault="003D7E45" w:rsidP="003D7E45">
      <w:pPr>
        <w:autoSpaceDE w:val="0"/>
        <w:autoSpaceDN w:val="0"/>
        <w:adjustRightInd w:val="0"/>
        <w:spacing w:after="220"/>
        <w:ind w:left="567" w:hanging="567"/>
        <w:rPr>
          <w:b/>
        </w:rPr>
      </w:pPr>
      <w:r w:rsidRPr="008A77D1">
        <w:rPr>
          <w:rFonts w:eastAsia="Arial Unicode MS"/>
          <w:b/>
          <w:lang w:val="es-ES_tradnl"/>
        </w:rPr>
        <w:t>3.</w:t>
      </w:r>
      <w:r w:rsidRPr="008A77D1">
        <w:rPr>
          <w:rFonts w:eastAsia="Arial Unicode MS"/>
          <w:b/>
          <w:lang w:val="es-ES_tradnl"/>
        </w:rPr>
        <w:tab/>
        <w:t xml:space="preserve">Sírvanse informar al Comité si en </w:t>
      </w:r>
      <w:r w:rsidRPr="008A77D1">
        <w:rPr>
          <w:b/>
        </w:rPr>
        <w:t>el Plan nacional de acción para el bienestar de los niños de Maldivas 2001-2010 (CRC/C/</w:t>
      </w:r>
      <w:proofErr w:type="spellStart"/>
      <w:r w:rsidRPr="008A77D1">
        <w:rPr>
          <w:b/>
        </w:rPr>
        <w:t>MDV</w:t>
      </w:r>
      <w:proofErr w:type="spellEnd"/>
      <w:r w:rsidRPr="008A77D1">
        <w:rPr>
          <w:b/>
        </w:rPr>
        <w:t xml:space="preserve">/CO/3, </w:t>
      </w:r>
      <w:proofErr w:type="spellStart"/>
      <w:r w:rsidRPr="008A77D1">
        <w:rPr>
          <w:b/>
        </w:rPr>
        <w:t>párrs</w:t>
      </w:r>
      <w:proofErr w:type="spellEnd"/>
      <w:r w:rsidRPr="008A77D1">
        <w:rPr>
          <w:b/>
        </w:rPr>
        <w:t>. 14 y 15) se toma en consideración el Protocolo Facultativo y qué medidas se han adoptado al respecto.  Además, en el pár</w:t>
      </w:r>
      <w:r>
        <w:rPr>
          <w:b/>
        </w:rPr>
        <w:t xml:space="preserve">rafo </w:t>
      </w:r>
      <w:r w:rsidRPr="008A77D1">
        <w:rPr>
          <w:b/>
        </w:rPr>
        <w:t>5 del informe del Estado parte se expresa la intención de formular un plan de acción sobre los temas considerados en el Protocolo Facultativo.  Sírvanse informar al Comité sobre los avances logrados en este sentido.</w:t>
      </w:r>
    </w:p>
    <w:p w:rsidR="003D7E45" w:rsidRPr="008A77D1" w:rsidRDefault="003D7E45" w:rsidP="003D7E45">
      <w:pPr>
        <w:autoSpaceDE w:val="0"/>
        <w:autoSpaceDN w:val="0"/>
        <w:adjustRightInd w:val="0"/>
        <w:spacing w:after="220"/>
        <w:ind w:left="567" w:hanging="567"/>
        <w:rPr>
          <w:b/>
        </w:rPr>
      </w:pPr>
      <w:r w:rsidRPr="008A77D1">
        <w:rPr>
          <w:b/>
        </w:rPr>
        <w:t>4.</w:t>
      </w:r>
      <w:r w:rsidRPr="008A77D1">
        <w:rPr>
          <w:b/>
        </w:rPr>
        <w:tab/>
        <w:t>Sírvanse informar más en detalle sobre la función desempeñada por la Comisión de Derechos Humanos de Maldivas en lo que respecta al seguimiento de la aplicación de las disposiciones del Protocolo Facultativo y si ésta cuenta con un mandato para recibir denuncias presentadas por niños o en su nombre por violaciones del Protocolo Facultativo.</w:t>
      </w:r>
    </w:p>
    <w:p w:rsidR="003D7E45" w:rsidRDefault="003D7E45" w:rsidP="003D7E45">
      <w:pPr>
        <w:spacing w:after="220"/>
      </w:pPr>
      <w:r>
        <w:tab/>
        <w:t>La Comisión de Derechos Humanos de Maldivas celebra reuniones periódicas con el Ministerio de la Salud y la Familia, que es, el órgano gubernamental encargado de la aplicación de la Convención sobre los Derechos del Niño y sus dos protocolos facultativos y la entidad coordinadora de esta labor designada por el Gobierno.  Las reuniones tienen por objeto examinar las actividades realizadas por el Ministerio de la Salud y la Familia para poner en práctica la Convención y sus dos protocolos facultativos y permiten estimular y controlar su adecuada observancia.</w:t>
      </w:r>
    </w:p>
    <w:p w:rsidR="003D7E45" w:rsidRDefault="003D7E45" w:rsidP="003D7E45">
      <w:pPr>
        <w:spacing w:after="220"/>
      </w:pPr>
      <w:r>
        <w:tab/>
        <w:t>La Comisión está desplegando esfuerzos para establecer un mecanismo de control, conforme al cual se exigirá al Ministerio de la Salud y la Familia que le presente informes periódicos sobre sus esfuerzos destinados a aplicar la Convención y sus dos protocolos facultativos.</w:t>
      </w:r>
    </w:p>
    <w:p w:rsidR="003D7E45" w:rsidRDefault="003D7E45" w:rsidP="003D7E45">
      <w:pPr>
        <w:spacing w:after="220"/>
      </w:pPr>
      <w:r>
        <w:tab/>
        <w:t xml:space="preserve">Paralelamente a la redacción de los informes del Estado, la Comisión está preparando dos informes para órganos de tratados, lo que ha supuesto también la preparación de informes sobre los protocolos de la Convención.  La información utilizada en los informes fue recopilada en reuniones sostenidas por la Comisión con entidades gubernamentales y no gubernamentales que se ocupan de la protección de los derechos del niño, entre otras, el Ministerio de la Salud y la Familia, el Servicio de Policía, el Ministerio de Educación, organizaciones no gubernamentales, CARE y la Sociedad de Educación sobre Salud.  </w:t>
      </w:r>
    </w:p>
    <w:p w:rsidR="003D7E45" w:rsidRDefault="003D7E45" w:rsidP="000F221F">
      <w:pPr>
        <w:spacing w:after="220"/>
      </w:pPr>
      <w:r>
        <w:tab/>
        <w:t xml:space="preserve">La Comisión tiene el mandato de recibir denuncias directas de niños o presentadas en nombre de niños sobre violaciones del Protocolo Facultativo.  En virtud de la disposición contenida en el párrafo a) del artículo 21 de la Ley sobre la Comisión de Derechos Humanos de Maldivas (Ley </w:t>
      </w:r>
      <w:proofErr w:type="spellStart"/>
      <w:r>
        <w:t>Nº</w:t>
      </w:r>
      <w:proofErr w:type="spellEnd"/>
      <w:r>
        <w:t xml:space="preserve"> 6/2006), ésta está facultada para lo siguiente:  "Cuando una persona, una organización o una persona que actúe en su representación presente una denuncia de violación de los derechos humanos... la Comisión debe investigar la situación".</w:t>
      </w:r>
    </w:p>
    <w:p w:rsidR="003D7E45" w:rsidRDefault="003D7E45" w:rsidP="000F221F">
      <w:pPr>
        <w:spacing w:after="220"/>
      </w:pPr>
      <w:r>
        <w:tab/>
        <w:t>Aunque no se hace referencia específica al Protocolo Facultativo, las disposiciones del artículo 21 de la ley cubren suficientemente los casos de denuncia de violación del Protocolo Facultativo.</w:t>
      </w:r>
    </w:p>
    <w:p w:rsidR="003D7E45" w:rsidRPr="00FF7181" w:rsidRDefault="003D7E45" w:rsidP="000F221F">
      <w:pPr>
        <w:autoSpaceDE w:val="0"/>
        <w:autoSpaceDN w:val="0"/>
        <w:adjustRightInd w:val="0"/>
        <w:spacing w:after="220"/>
        <w:ind w:left="567" w:hanging="567"/>
        <w:rPr>
          <w:b/>
          <w:snapToGrid w:val="0"/>
        </w:rPr>
      </w:pPr>
      <w:r w:rsidRPr="00FF7181">
        <w:rPr>
          <w:b/>
        </w:rPr>
        <w:t>5.</w:t>
      </w:r>
      <w:r w:rsidRPr="00FF7181">
        <w:rPr>
          <w:b/>
        </w:rPr>
        <w:tab/>
        <w:t xml:space="preserve">Sírvanse proporcionar más información sobre las acciones emprendidas por el Estado parte para evitar el turismo sexual infantil.  ¿El Estado parte </w:t>
      </w:r>
      <w:r>
        <w:rPr>
          <w:b/>
        </w:rPr>
        <w:t>h</w:t>
      </w:r>
      <w:r w:rsidRPr="00FF7181">
        <w:rPr>
          <w:b/>
        </w:rPr>
        <w:t xml:space="preserve">a tomado medidas para dar a conocer el Código de Conducta redactado por la Organización Mundial del Turismo </w:t>
      </w:r>
      <w:r w:rsidRPr="00FF7181">
        <w:rPr>
          <w:b/>
          <w:snapToGrid w:val="0"/>
        </w:rPr>
        <w:t>para la protección de los niños frente a la explotación sexual en el turismo y en la industria de viajes?</w:t>
      </w:r>
    </w:p>
    <w:p w:rsidR="003D7E45" w:rsidRDefault="003D7E45" w:rsidP="000F221F">
      <w:pPr>
        <w:spacing w:after="220"/>
      </w:pPr>
      <w:r>
        <w:tab/>
        <w:t>El turismo se ha organizado de tal manera en Maldivas que los centros turísticos y los hoteles están alejados de las zonas residenciales, como ocurre con las islas habitadas (un centro turístico por isla).</w:t>
      </w:r>
    </w:p>
    <w:p w:rsidR="003D7E45" w:rsidRDefault="003D7E45" w:rsidP="000F221F">
      <w:pPr>
        <w:spacing w:after="220"/>
      </w:pPr>
      <w:r>
        <w:tab/>
      </w:r>
      <w:r w:rsidRPr="000F221F">
        <w:rPr>
          <w:spacing w:val="-2"/>
        </w:rPr>
        <w:t>El tercer Plan General de Turismo refleja la evolución del turismo en Maldivas, cuyas leyes</w:t>
      </w:r>
      <w:r>
        <w:t xml:space="preserve"> y normas sobre la materia están siendo examinadas.  De acuerdo a este plan, el examen de las </w:t>
      </w:r>
      <w:r w:rsidRPr="000F221F">
        <w:rPr>
          <w:spacing w:val="-3"/>
        </w:rPr>
        <w:t>leyes y normas en colaboración con los interlocutores pertinentes está previsto para el año en curso</w:t>
      </w:r>
      <w:r>
        <w:t>.</w:t>
      </w:r>
    </w:p>
    <w:p w:rsidR="003D7E45" w:rsidRPr="00606E70" w:rsidRDefault="003D7E45" w:rsidP="000F221F">
      <w:pPr>
        <w:autoSpaceDE w:val="0"/>
        <w:autoSpaceDN w:val="0"/>
        <w:adjustRightInd w:val="0"/>
        <w:spacing w:after="220"/>
        <w:ind w:left="567" w:hanging="567"/>
        <w:rPr>
          <w:b/>
        </w:rPr>
      </w:pPr>
      <w:r w:rsidRPr="00606E70">
        <w:rPr>
          <w:b/>
        </w:rPr>
        <w:t>6.</w:t>
      </w:r>
      <w:r w:rsidRPr="00606E70">
        <w:rPr>
          <w:b/>
        </w:rPr>
        <w:tab/>
        <w:t>Sírvanse proporcionar información actualizada al Comité sobre el proceso de enmienda del Código Penal (párrafo 25 del informe del Estado parte), con el propósito de incorporar en éste las disposiciones del Protocolo Facultativo.</w:t>
      </w:r>
    </w:p>
    <w:p w:rsidR="003D7E45" w:rsidRDefault="003D7E45" w:rsidP="000F221F">
      <w:pPr>
        <w:spacing w:after="220"/>
      </w:pPr>
      <w:r>
        <w:tab/>
        <w:t>El Comité de Examen del Código Penal del Parlamento (</w:t>
      </w:r>
      <w:proofErr w:type="spellStart"/>
      <w:r w:rsidRPr="003B05B1">
        <w:rPr>
          <w:i/>
        </w:rPr>
        <w:t>Majlis</w:t>
      </w:r>
      <w:proofErr w:type="spellEnd"/>
      <w:r>
        <w:t>) está examinando el proyecto de nuevo Código Penal.</w:t>
      </w:r>
    </w:p>
    <w:p w:rsidR="003D7E45" w:rsidRPr="001B33E0" w:rsidRDefault="003D7E45" w:rsidP="000F221F">
      <w:pPr>
        <w:autoSpaceDE w:val="0"/>
        <w:autoSpaceDN w:val="0"/>
        <w:adjustRightInd w:val="0"/>
        <w:spacing w:after="220"/>
        <w:ind w:left="567" w:hanging="567"/>
        <w:rPr>
          <w:b/>
        </w:rPr>
      </w:pPr>
      <w:r w:rsidRPr="001B33E0">
        <w:rPr>
          <w:b/>
        </w:rPr>
        <w:t>7.</w:t>
      </w:r>
      <w:r w:rsidRPr="001B33E0">
        <w:rPr>
          <w:b/>
        </w:rPr>
        <w:tab/>
        <w:t>Sírvanse aclarar si, de conformidad con el Código Penal vigente, está permitida la penalización de menores que han sido víctimas de la prostitución infantil.</w:t>
      </w:r>
    </w:p>
    <w:p w:rsidR="003D7E45" w:rsidRPr="003B05B1" w:rsidRDefault="003D7E45" w:rsidP="000F221F">
      <w:pPr>
        <w:spacing w:after="220"/>
      </w:pPr>
      <w:r>
        <w:tab/>
        <w:t xml:space="preserve">En el párrafo a) del artículo 2 del reglamento sobre examen, investigación y justa </w:t>
      </w:r>
      <w:r w:rsidRPr="000F221F">
        <w:rPr>
          <w:spacing w:val="-2"/>
        </w:rPr>
        <w:t>penalización de la delincuencia juvenil se dispone que los menores de 18 años deben considerarse</w:t>
      </w:r>
      <w:r>
        <w:t xml:space="preserve"> niños, pero en el artículo 5 del mismo reglamento se estipula que las personas de 10 a 15 años son responsables de los delitos que puedan cometer, incluidas las relaciones sexuales </w:t>
      </w:r>
      <w:r w:rsidRPr="003B05B1">
        <w:t>(</w:t>
      </w:r>
      <w:proofErr w:type="spellStart"/>
      <w:r w:rsidRPr="003B05B1">
        <w:t>zina</w:t>
      </w:r>
      <w:proofErr w:type="spellEnd"/>
      <w:r w:rsidRPr="003B05B1">
        <w:t>).</w:t>
      </w:r>
    </w:p>
    <w:p w:rsidR="003D7E45" w:rsidRPr="002F1D38" w:rsidRDefault="003D7E45" w:rsidP="000F221F">
      <w:pPr>
        <w:autoSpaceDE w:val="0"/>
        <w:autoSpaceDN w:val="0"/>
        <w:adjustRightInd w:val="0"/>
        <w:spacing w:after="220"/>
        <w:ind w:left="567" w:hanging="567"/>
        <w:rPr>
          <w:b/>
        </w:rPr>
      </w:pPr>
      <w:r w:rsidRPr="002F1D38">
        <w:rPr>
          <w:b/>
        </w:rPr>
        <w:t>8.</w:t>
      </w:r>
      <w:r w:rsidRPr="002F1D38">
        <w:rPr>
          <w:b/>
        </w:rPr>
        <w:tab/>
        <w:t>Sírvanse informar al Comité sobre la asistencia con fines de reintegración social y de recuperación física y psicosocial que pueden recibir las víctimas de delitos tipificados en el Protocolo Facultativo y sobre las partidas presupuestarias asignadas específicamente para prestar esa asistencia.</w:t>
      </w:r>
    </w:p>
    <w:p w:rsidR="003D7E45" w:rsidRPr="002F1D38" w:rsidRDefault="003D7E45" w:rsidP="000F221F">
      <w:pPr>
        <w:autoSpaceDE w:val="0"/>
        <w:autoSpaceDN w:val="0"/>
        <w:adjustRightInd w:val="0"/>
        <w:spacing w:after="160"/>
        <w:ind w:left="567" w:hanging="567"/>
        <w:rPr>
          <w:b/>
        </w:rPr>
      </w:pPr>
      <w:r w:rsidRPr="002F1D38">
        <w:rPr>
          <w:b/>
        </w:rPr>
        <w:t>9.</w:t>
      </w:r>
      <w:r w:rsidRPr="002F1D38">
        <w:rPr>
          <w:b/>
        </w:rPr>
        <w:tab/>
        <w:t xml:space="preserve">Sírvanse indicar si se imparte capacitación especial, en particular jurídica y psicológica, a los profesionales que </w:t>
      </w:r>
      <w:r>
        <w:rPr>
          <w:b/>
        </w:rPr>
        <w:t>puedan relacionarse</w:t>
      </w:r>
      <w:r w:rsidRPr="002F1D38">
        <w:rPr>
          <w:b/>
        </w:rPr>
        <w:t xml:space="preserve"> con niños víctimas de delitos tipificados en el Protocolo Facultativo.</w:t>
      </w:r>
    </w:p>
    <w:p w:rsidR="00941D4E" w:rsidRPr="00C820BE" w:rsidRDefault="003D7E45" w:rsidP="000F221F">
      <w:pPr>
        <w:adjustRightInd w:val="0"/>
        <w:snapToGrid w:val="0"/>
        <w:spacing w:after="240"/>
        <w:jc w:val="center"/>
        <w:rPr>
          <w:snapToGrid w:val="0"/>
        </w:rPr>
      </w:pPr>
      <w:r>
        <w:rPr>
          <w:snapToGrid w:val="0"/>
        </w:rPr>
        <w:t>-----</w:t>
      </w:r>
    </w:p>
    <w:sectPr w:rsidR="00941D4E" w:rsidRPr="00C820BE" w:rsidSect="003D7E45">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B73" w:rsidRDefault="00B61B73">
      <w:r>
        <w:separator/>
      </w:r>
    </w:p>
  </w:endnote>
  <w:endnote w:type="continuationSeparator" w:id="0">
    <w:p w:rsidR="00B61B73" w:rsidRDefault="00B6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B73" w:rsidRDefault="00B61B73">
      <w:r>
        <w:separator/>
      </w:r>
    </w:p>
  </w:footnote>
  <w:footnote w:type="continuationSeparator" w:id="0">
    <w:p w:rsidR="00B61B73" w:rsidRDefault="00B61B73">
      <w:r>
        <w:continuationSeparator/>
      </w:r>
    </w:p>
  </w:footnote>
  <w:footnote w:id="1">
    <w:p w:rsidR="003D7E45" w:rsidRDefault="003D7E45" w:rsidP="003D7E45">
      <w:pPr>
        <w:pStyle w:val="FootnoteText"/>
        <w:spacing w:after="480" w:line="240" w:lineRule="auto"/>
      </w:pPr>
      <w:r>
        <w:rPr>
          <w:rStyle w:val="FootnoteReference"/>
        </w:rPr>
        <w:t>*</w:t>
      </w:r>
      <w:r>
        <w:t xml:space="preserve"> De conformidad con la información transmitida a los Estados partes acerca de la tramitación de sus informes, el presente documento no fue objeto de revisión editorial oficial antes de ser enviado a los servicios de traducción de las Naciones Unidas.</w:t>
      </w:r>
    </w:p>
    <w:p w:rsidR="003D7E45" w:rsidRDefault="003D7E45" w:rsidP="003D7E45">
      <w:pPr>
        <w:pStyle w:val="FootnoteText"/>
        <w:spacing w:after="0" w:line="240" w:lineRule="auto"/>
      </w:pPr>
      <w:r>
        <w:t>GE.09-40041  (S)    140109    140109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E45" w:rsidRPr="003D7E45" w:rsidRDefault="003D7E45">
    <w:pPr>
      <w:pStyle w:val="Header"/>
      <w:rPr>
        <w:lang w:val="en-GB"/>
      </w:rPr>
    </w:pPr>
    <w:r w:rsidRPr="003D7E45">
      <w:rPr>
        <w:lang w:val="en-GB"/>
      </w:rPr>
      <w:t>CRC/C/OPSC/MDV/Q/1/Add.1</w:t>
    </w:r>
  </w:p>
  <w:p w:rsidR="003D7E45" w:rsidRDefault="003D7E45">
    <w:pPr>
      <w:pStyle w:val="Header"/>
    </w:pPr>
    <w:r>
      <w:t xml:space="preserve">página </w:t>
    </w:r>
    <w:r>
      <w:fldChar w:fldCharType="begin"/>
    </w:r>
    <w:r>
      <w:instrText xml:space="preserve"> PAGE  \* MERGEFORMAT </w:instrText>
    </w:r>
    <w:r>
      <w:fldChar w:fldCharType="separate"/>
    </w:r>
    <w:r w:rsidR="000F221F">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E45" w:rsidRPr="003D7E45" w:rsidRDefault="003D7E45" w:rsidP="003D7E45">
    <w:pPr>
      <w:tabs>
        <w:tab w:val="left" w:pos="6240"/>
      </w:tabs>
      <w:rPr>
        <w:lang w:val="en-GB"/>
      </w:rPr>
    </w:pPr>
    <w:r>
      <w:tab/>
    </w:r>
    <w:r w:rsidRPr="003D7E45">
      <w:rPr>
        <w:lang w:val="en-GB"/>
      </w:rPr>
      <w:t>CRC/C/OPSC/MDV/Q/1/Add.1</w:t>
    </w:r>
  </w:p>
  <w:p w:rsidR="002B27D5" w:rsidRDefault="003D7E45" w:rsidP="003D7E45">
    <w:pPr>
      <w:tabs>
        <w:tab w:val="left" w:pos="6240"/>
      </w:tabs>
    </w:pPr>
    <w:r w:rsidRPr="003D7E45">
      <w:rPr>
        <w:lang w:val="en-GB"/>
      </w:rPr>
      <w:tab/>
    </w:r>
    <w:r>
      <w:t xml:space="preserve">página </w:t>
    </w:r>
    <w:r>
      <w:fldChar w:fldCharType="begin"/>
    </w:r>
    <w:r>
      <w:instrText xml:space="preserve"> PAGE  \* MERGEFORMAT </w:instrText>
    </w:r>
    <w:r>
      <w:fldChar w:fldCharType="separate"/>
    </w:r>
    <w:r w:rsidR="000F221F">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33B"/>
    <w:rsid w:val="000F18F3"/>
    <w:rsid w:val="000F221F"/>
    <w:rsid w:val="001E79FD"/>
    <w:rsid w:val="001E7D80"/>
    <w:rsid w:val="002009CB"/>
    <w:rsid w:val="002426E2"/>
    <w:rsid w:val="00273020"/>
    <w:rsid w:val="002B27D5"/>
    <w:rsid w:val="003D7E45"/>
    <w:rsid w:val="00493B79"/>
    <w:rsid w:val="006541BE"/>
    <w:rsid w:val="006C222A"/>
    <w:rsid w:val="00716E4C"/>
    <w:rsid w:val="0077727F"/>
    <w:rsid w:val="007E1504"/>
    <w:rsid w:val="007E7BD0"/>
    <w:rsid w:val="0081235C"/>
    <w:rsid w:val="008C2547"/>
    <w:rsid w:val="00941D4E"/>
    <w:rsid w:val="00A528E7"/>
    <w:rsid w:val="00AA0CDD"/>
    <w:rsid w:val="00AE40CB"/>
    <w:rsid w:val="00B61B73"/>
    <w:rsid w:val="00BE1186"/>
    <w:rsid w:val="00C820BE"/>
    <w:rsid w:val="00D2333B"/>
    <w:rsid w:val="00E01E15"/>
    <w:rsid w:val="00E72ED0"/>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3D7E45"/>
    <w:pPr>
      <w:tabs>
        <w:tab w:val="center" w:pos="4252"/>
        <w:tab w:val="right" w:pos="8504"/>
      </w:tabs>
    </w:pPr>
  </w:style>
  <w:style w:type="paragraph" w:styleId="ListParagraph">
    <w:name w:val="List Paragraph"/>
    <w:basedOn w:val="Normal"/>
    <w:qFormat/>
    <w:rsid w:val="003D7E45"/>
    <w:pPr>
      <w:spacing w:after="200" w:line="276" w:lineRule="auto"/>
      <w:ind w:left="720"/>
      <w:contextualSpacing/>
    </w:pPr>
    <w:rPr>
      <w:rFonts w:ascii="Calibri" w:hAnsi="Calibri"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1295</Words>
  <Characters>7124</Characters>
  <Application>Microsoft Office Word</Application>
  <DocSecurity>4</DocSecurity>
  <Lines>59</Lines>
  <Paragraphs>16</Paragraphs>
  <ScaleCrop>false</ScaleCrop>
  <HeadingPairs>
    <vt:vector size="2" baseType="variant">
      <vt:variant>
        <vt:lpstr>Título</vt:lpstr>
      </vt:variant>
      <vt:variant>
        <vt:i4>1</vt:i4>
      </vt:variant>
    </vt:vector>
  </HeadingPairs>
  <TitlesOfParts>
    <vt:vector size="1" baseType="lpstr">
      <vt:lpstr>CRC/C/OPSC/MDV/Q/1/Add.1</vt:lpstr>
    </vt:vector>
  </TitlesOfParts>
  <Company>CSD</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CRC/C/OPSC/MDV/Q/1/Add.1</dc:title>
  <dc:subject>Final</dc:subject>
  <dc:creator>C. Bragunde</dc:creator>
  <cp:keywords/>
  <dc:description/>
  <cp:lastModifiedBy>Admieng</cp:lastModifiedBy>
  <cp:revision>2</cp:revision>
  <cp:lastPrinted>2001-03-13T13:07:00Z</cp:lastPrinted>
  <dcterms:created xsi:type="dcterms:W3CDTF">2009-01-14T10:44:00Z</dcterms:created>
  <dcterms:modified xsi:type="dcterms:W3CDTF">2009-01-14T10:44:00Z</dcterms:modified>
</cp:coreProperties>
</file>