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54EDC" w:rsidRPr="00277644" w:rsidTr="00346C57">
        <w:trPr>
          <w:trHeight w:hRule="exact" w:val="851"/>
        </w:trPr>
        <w:tc>
          <w:tcPr>
            <w:tcW w:w="1276" w:type="dxa"/>
            <w:tcBorders>
              <w:bottom w:val="single" w:sz="4" w:space="0" w:color="auto"/>
            </w:tcBorders>
          </w:tcPr>
          <w:p w:rsidR="00982E23" w:rsidRPr="00982E23" w:rsidRDefault="00982E23" w:rsidP="00982E23">
            <w:pPr>
              <w:spacing w:line="20" w:lineRule="exact"/>
              <w:rPr>
                <w:sz w:val="2"/>
              </w:rPr>
            </w:pPr>
            <w:bookmarkStart w:id="0" w:name="_GoBack"/>
            <w:bookmarkEnd w:id="0"/>
            <w:r>
              <w:rPr>
                <w:rStyle w:val="CommentReference"/>
              </w:rPr>
              <w:commentReference w:id="1"/>
            </w:r>
          </w:p>
          <w:p w:rsidR="00454EDC" w:rsidRPr="00982E23" w:rsidRDefault="00982E23" w:rsidP="00982E23">
            <w:pPr>
              <w:spacing w:line="240" w:lineRule="auto"/>
              <w:rPr>
                <w:sz w:val="6"/>
              </w:rPr>
            </w:pPr>
            <w:r>
              <w:rPr>
                <w:sz w:val="6"/>
              </w:rPr>
              <w:t xml:space="preserve">  </w:t>
            </w:r>
          </w:p>
        </w:tc>
        <w:tc>
          <w:tcPr>
            <w:tcW w:w="2268" w:type="dxa"/>
            <w:tcBorders>
              <w:bottom w:val="single" w:sz="4" w:space="0" w:color="auto"/>
            </w:tcBorders>
            <w:vAlign w:val="bottom"/>
          </w:tcPr>
          <w:p w:rsidR="00454EDC" w:rsidRPr="00DB58B5" w:rsidRDefault="00454EDC" w:rsidP="00346C5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454EDC" w:rsidRPr="00277644" w:rsidRDefault="00E2328C" w:rsidP="00E2328C">
            <w:pPr>
              <w:jc w:val="right"/>
              <w:rPr>
                <w:lang w:val="en-GB"/>
              </w:rPr>
            </w:pPr>
            <w:r w:rsidRPr="00277644">
              <w:rPr>
                <w:sz w:val="40"/>
                <w:lang w:val="en-GB"/>
              </w:rPr>
              <w:t>CRC</w:t>
            </w:r>
            <w:r w:rsidRPr="00781618">
              <w:rPr>
                <w:lang w:val="en-GB"/>
              </w:rPr>
              <w:t>/C/OPSC/MDG/Q/1/Add.1</w:t>
            </w:r>
          </w:p>
        </w:tc>
      </w:tr>
      <w:tr w:rsidR="00454EDC" w:rsidRPr="00DB58B5" w:rsidTr="00346C57">
        <w:trPr>
          <w:trHeight w:hRule="exact" w:val="2835"/>
        </w:trPr>
        <w:tc>
          <w:tcPr>
            <w:tcW w:w="1276" w:type="dxa"/>
            <w:tcBorders>
              <w:top w:val="single" w:sz="4" w:space="0" w:color="auto"/>
              <w:bottom w:val="single" w:sz="12" w:space="0" w:color="auto"/>
            </w:tcBorders>
          </w:tcPr>
          <w:p w:rsidR="00454EDC" w:rsidRPr="00DB58B5" w:rsidRDefault="0081521D" w:rsidP="00346C57">
            <w:pPr>
              <w:spacing w:before="120"/>
              <w:jc w:val="center"/>
            </w:pPr>
            <w:r>
              <w:rPr>
                <w:noProof/>
                <w:lang w:val="en-US"/>
              </w:rPr>
              <w:drawing>
                <wp:inline distT="0" distB="0" distL="0" distR="0">
                  <wp:extent cx="711200"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54EDC" w:rsidRPr="00740562" w:rsidRDefault="00454EDC" w:rsidP="00346C57">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454EDC" w:rsidRDefault="00E2328C" w:rsidP="00781618">
            <w:pPr>
              <w:spacing w:before="240"/>
            </w:pPr>
            <w:r>
              <w:t>Distr. générale</w:t>
            </w:r>
          </w:p>
          <w:p w:rsidR="00E2328C" w:rsidRDefault="00E2328C" w:rsidP="00A77B53">
            <w:pPr>
              <w:spacing w:line="240" w:lineRule="exact"/>
            </w:pPr>
            <w:r w:rsidRPr="00781618">
              <w:t>2</w:t>
            </w:r>
            <w:r w:rsidR="00A77B53" w:rsidRPr="00781618">
              <w:t>0</w:t>
            </w:r>
            <w:r w:rsidRPr="00781618">
              <w:t xml:space="preserve"> jui</w:t>
            </w:r>
            <w:r w:rsidR="00A77B53" w:rsidRPr="00781618">
              <w:t>llet</w:t>
            </w:r>
            <w:r>
              <w:t xml:space="preserve"> 2015</w:t>
            </w:r>
          </w:p>
          <w:p w:rsidR="00E2328C" w:rsidRDefault="00E2328C" w:rsidP="00E2328C">
            <w:pPr>
              <w:spacing w:line="240" w:lineRule="exact"/>
            </w:pPr>
          </w:p>
          <w:p w:rsidR="00E2328C" w:rsidRDefault="00E2328C" w:rsidP="00E2328C">
            <w:pPr>
              <w:spacing w:line="240" w:lineRule="exact"/>
            </w:pPr>
            <w:r>
              <w:t xml:space="preserve">Original: français </w:t>
            </w:r>
          </w:p>
          <w:p w:rsidR="00277644" w:rsidRPr="00DB58B5" w:rsidRDefault="00277644" w:rsidP="00E2328C">
            <w:pPr>
              <w:spacing w:line="240" w:lineRule="exact"/>
            </w:pPr>
            <w:r>
              <w:t>Anglais, espagnol et français seulement</w:t>
            </w:r>
          </w:p>
        </w:tc>
      </w:tr>
    </w:tbl>
    <w:p w:rsidR="00454EDC" w:rsidRPr="00174040" w:rsidRDefault="00454EDC" w:rsidP="00454EDC">
      <w:pPr>
        <w:spacing w:before="120"/>
        <w:rPr>
          <w:b/>
          <w:sz w:val="24"/>
          <w:szCs w:val="24"/>
        </w:rPr>
      </w:pPr>
      <w:r w:rsidRPr="00A77B53">
        <w:rPr>
          <w:b/>
          <w:sz w:val="24"/>
          <w:szCs w:val="24"/>
        </w:rPr>
        <w:t>Comité des droits de l’enfant</w:t>
      </w:r>
    </w:p>
    <w:p w:rsidR="00C277EB" w:rsidRPr="00781618" w:rsidRDefault="00C277EB" w:rsidP="00C277EB">
      <w:pPr>
        <w:suppressAutoHyphens w:val="0"/>
        <w:rPr>
          <w:b/>
        </w:rPr>
      </w:pPr>
      <w:r w:rsidRPr="00174040">
        <w:rPr>
          <w:b/>
          <w:bCs/>
          <w:lang w:val="fr-FR"/>
        </w:rPr>
        <w:t xml:space="preserve">Soixante-dixième </w:t>
      </w:r>
      <w:r w:rsidRPr="00781618">
        <w:rPr>
          <w:b/>
        </w:rPr>
        <w:t xml:space="preserve">session </w:t>
      </w:r>
    </w:p>
    <w:p w:rsidR="00C277EB" w:rsidRPr="00781618" w:rsidRDefault="00C277EB" w:rsidP="00C277EB">
      <w:pPr>
        <w:rPr>
          <w:lang w:val="fr-FR"/>
        </w:rPr>
      </w:pPr>
      <w:r w:rsidRPr="00781618">
        <w:rPr>
          <w:lang w:val="fr-FR"/>
        </w:rPr>
        <w:t>14 septembre-2 octobre 2015</w:t>
      </w:r>
    </w:p>
    <w:p w:rsidR="00454EDC" w:rsidRPr="00781618" w:rsidRDefault="00454EDC" w:rsidP="00454EDC">
      <w:r w:rsidRPr="00781618">
        <w:t>Point</w:t>
      </w:r>
      <w:r w:rsidR="00C277EB" w:rsidRPr="00781618">
        <w:t xml:space="preserve"> 4</w:t>
      </w:r>
      <w:r w:rsidRPr="00781618">
        <w:t xml:space="preserve"> de l’ordre du jour provisoire</w:t>
      </w:r>
    </w:p>
    <w:p w:rsidR="00454EDC" w:rsidRPr="00781618" w:rsidRDefault="00454EDC" w:rsidP="00454EDC">
      <w:pPr>
        <w:rPr>
          <w:rFonts w:eastAsia="MS Mincho"/>
          <w:b/>
        </w:rPr>
      </w:pPr>
      <w:r w:rsidRPr="00781618">
        <w:rPr>
          <w:b/>
        </w:rPr>
        <w:t xml:space="preserve">Examen des rapports des </w:t>
      </w:r>
      <w:r w:rsidRPr="00781618">
        <w:rPr>
          <w:rFonts w:eastAsia="MS Mincho"/>
          <w:b/>
        </w:rPr>
        <w:t>États parties</w:t>
      </w:r>
    </w:p>
    <w:p w:rsidR="00454EDC" w:rsidRPr="00FE2DF1" w:rsidRDefault="00454EDC" w:rsidP="00454EDC">
      <w:pPr>
        <w:pStyle w:val="HChG"/>
        <w:rPr>
          <w:lang w:val="fr-FR"/>
        </w:rPr>
      </w:pPr>
      <w:r w:rsidRPr="00781618">
        <w:tab/>
      </w:r>
      <w:r w:rsidRPr="00781618">
        <w:tab/>
        <w:t>Liste</w:t>
      </w:r>
      <w:r w:rsidRPr="00781618">
        <w:rPr>
          <w:lang w:val="fr-FR"/>
        </w:rPr>
        <w:t xml:space="preserve"> de points concernant</w:t>
      </w:r>
      <w:r>
        <w:rPr>
          <w:lang w:val="fr-FR"/>
        </w:rPr>
        <w:t xml:space="preserve"> le rapport soumis pa</w:t>
      </w:r>
      <w:r w:rsidRPr="00FE2DF1">
        <w:rPr>
          <w:lang w:val="fr-FR"/>
        </w:rPr>
        <w:t>r</w:t>
      </w:r>
      <w:r w:rsidR="00C277EB">
        <w:rPr>
          <w:lang w:val="fr-FR"/>
        </w:rPr>
        <w:t xml:space="preserve"> </w:t>
      </w:r>
      <w:r w:rsidR="00C277EB" w:rsidRPr="007764D5">
        <w:rPr>
          <w:bCs/>
          <w:lang w:val="fr-FR"/>
        </w:rPr>
        <w:t>Madagascar</w:t>
      </w:r>
      <w:r w:rsidRPr="00FE2DF1">
        <w:rPr>
          <w:lang w:val="fr-FR"/>
        </w:rPr>
        <w:t xml:space="preserve"> en application du paragraphe 1 de l’</w:t>
      </w:r>
      <w:r w:rsidR="00C80B89">
        <w:rPr>
          <w:lang w:val="fr-FR"/>
        </w:rPr>
        <w:t>article </w:t>
      </w:r>
      <w:r>
        <w:rPr>
          <w:lang w:val="fr-FR"/>
        </w:rPr>
        <w:t>12</w:t>
      </w:r>
      <w:r w:rsidRPr="00FE2DF1">
        <w:rPr>
          <w:lang w:val="fr-FR"/>
        </w:rPr>
        <w:t xml:space="preserve"> du Protocole facultatif à la Convention relative aux droits de l’enfant, concernant </w:t>
      </w:r>
      <w:r>
        <w:rPr>
          <w:lang w:val="fr-FR"/>
        </w:rPr>
        <w:t>la vente d’enfants, la prostitution des enfants</w:t>
      </w:r>
      <w:r>
        <w:rPr>
          <w:lang w:val="fr-FR"/>
        </w:rPr>
        <w:br/>
        <w:t>et la pornographie mettant en scène des enfants</w:t>
      </w:r>
    </w:p>
    <w:p w:rsidR="00454EDC" w:rsidRPr="00FE2DF1" w:rsidRDefault="00454EDC" w:rsidP="00454EDC">
      <w:pPr>
        <w:pStyle w:val="H23G"/>
        <w:rPr>
          <w:lang w:val="fr-FR"/>
        </w:rPr>
      </w:pPr>
      <w:r w:rsidRPr="00FE2DF1">
        <w:rPr>
          <w:lang w:val="fr-FR"/>
        </w:rPr>
        <w:tab/>
      </w:r>
      <w:r w:rsidRPr="00FE2DF1">
        <w:rPr>
          <w:lang w:val="fr-FR"/>
        </w:rPr>
        <w:tab/>
        <w:t>Additif</w:t>
      </w:r>
    </w:p>
    <w:p w:rsidR="00454EDC" w:rsidRPr="00FE2DF1" w:rsidRDefault="00454EDC" w:rsidP="00454EDC">
      <w:pPr>
        <w:pStyle w:val="HChG"/>
      </w:pPr>
      <w:r w:rsidRPr="00FE2DF1">
        <w:rPr>
          <w:lang w:val="fr-FR"/>
        </w:rPr>
        <w:tab/>
      </w:r>
      <w:r w:rsidRPr="00FE2DF1">
        <w:rPr>
          <w:lang w:val="fr-FR"/>
        </w:rPr>
        <w:tab/>
        <w:t>Réponses de</w:t>
      </w:r>
      <w:r w:rsidRPr="00FE2DF1">
        <w:rPr>
          <w:rStyle w:val="H1GChar"/>
          <w:lang w:val="fr-FR"/>
        </w:rPr>
        <w:t xml:space="preserve"> </w:t>
      </w:r>
      <w:r w:rsidR="00C277EB" w:rsidRPr="007764D5">
        <w:rPr>
          <w:bCs/>
          <w:lang w:val="fr-FR"/>
        </w:rPr>
        <w:t>Madagascar</w:t>
      </w:r>
      <w:r w:rsidR="00C277EB" w:rsidRPr="00781618">
        <w:rPr>
          <w:color w:val="000000" w:themeColor="text1"/>
        </w:rPr>
        <w:t xml:space="preserve"> </w:t>
      </w:r>
      <w:r>
        <w:t>à la liste de</w:t>
      </w:r>
      <w:r w:rsidRPr="00FE2DF1">
        <w:t xml:space="preserve"> points</w:t>
      </w:r>
      <w:r w:rsidRPr="007F285C">
        <w:rPr>
          <w:rStyle w:val="FootnoteReference"/>
          <w:b w:val="0"/>
          <w:sz w:val="20"/>
          <w:vertAlign w:val="baseline"/>
        </w:rPr>
        <w:footnoteReference w:customMarkFollows="1" w:id="2"/>
        <w:t>*</w:t>
      </w:r>
    </w:p>
    <w:p w:rsidR="00454EDC" w:rsidRPr="00FE2DF1" w:rsidRDefault="00454EDC" w:rsidP="00454EDC">
      <w:pPr>
        <w:pStyle w:val="SingleTxtG"/>
        <w:jc w:val="right"/>
        <w:rPr>
          <w:lang w:val="fr-FR"/>
        </w:rPr>
      </w:pPr>
      <w:r w:rsidRPr="00FE2DF1">
        <w:rPr>
          <w:lang w:val="fr-FR"/>
        </w:rPr>
        <w:t>[</w:t>
      </w:r>
      <w:r w:rsidRPr="002153C5">
        <w:rPr>
          <w:lang w:val="fr-FR"/>
        </w:rPr>
        <w:t>Date de réception</w:t>
      </w:r>
      <w:r w:rsidR="006F39CA">
        <w:rPr>
          <w:lang w:val="fr-FR"/>
        </w:rPr>
        <w:t xml:space="preserve">: </w:t>
      </w:r>
      <w:r w:rsidR="00E2328C" w:rsidRPr="002153C5">
        <w:rPr>
          <w:lang w:val="fr-FR"/>
        </w:rPr>
        <w:t>12 juin 2015</w:t>
      </w:r>
      <w:r w:rsidRPr="00FE2DF1">
        <w:rPr>
          <w:lang w:val="fr-FR"/>
        </w:rPr>
        <w:t>]</w:t>
      </w:r>
    </w:p>
    <w:p w:rsidR="00C277EB" w:rsidRPr="00781618" w:rsidRDefault="00EE10E9" w:rsidP="00781618">
      <w:pPr>
        <w:pStyle w:val="HChG"/>
        <w:rPr>
          <w:szCs w:val="24"/>
        </w:rPr>
      </w:pPr>
      <w:r>
        <w:tab/>
      </w:r>
      <w:r>
        <w:tab/>
      </w:r>
      <w:r w:rsidRPr="00781618">
        <w:rPr>
          <w:sz w:val="24"/>
          <w:szCs w:val="24"/>
        </w:rPr>
        <w:t>Introduction</w:t>
      </w:r>
    </w:p>
    <w:p w:rsidR="00C277EB" w:rsidRPr="00592AD1" w:rsidRDefault="00217000" w:rsidP="00217000">
      <w:pPr>
        <w:pStyle w:val="SingleTxtG"/>
      </w:pPr>
      <w:r w:rsidRPr="00592AD1">
        <w:t>1.</w:t>
      </w:r>
      <w:r w:rsidRPr="00592AD1">
        <w:tab/>
      </w:r>
      <w:r w:rsidR="00C277EB" w:rsidRPr="00592AD1">
        <w:t>Pour donner suite à l’invitation du Comité de</w:t>
      </w:r>
      <w:r w:rsidR="001D3A51">
        <w:t>s</w:t>
      </w:r>
      <w:r w:rsidR="00C277EB" w:rsidRPr="00592AD1">
        <w:t xml:space="preserve"> </w:t>
      </w:r>
      <w:r w:rsidR="001D3A51">
        <w:t>d</w:t>
      </w:r>
      <w:r w:rsidR="00C277EB" w:rsidRPr="00592AD1">
        <w:t>roits de l’</w:t>
      </w:r>
      <w:r w:rsidR="001D3A51">
        <w:t>e</w:t>
      </w:r>
      <w:r w:rsidR="00C277EB" w:rsidRPr="00592AD1">
        <w:t xml:space="preserve">nfant adressée à Madagascar à soumettre des informations complémentaires et actualisées, le Gouvernement a établi le présent rapport additif relatif aux points se rapportant à l’application du Protocole facultatif </w:t>
      </w:r>
      <w:r w:rsidR="001D3A51">
        <w:t xml:space="preserve">à la Convention relative aux droits de l’enfant, concernant </w:t>
      </w:r>
      <w:r w:rsidR="00C277EB" w:rsidRPr="00592AD1">
        <w:t>la vente d’enfants, la prostitution des enfants et la pornographie mettant en scène des enfants.</w:t>
      </w:r>
    </w:p>
    <w:p w:rsidR="00C277EB" w:rsidRPr="00592AD1" w:rsidRDefault="00EE10E9" w:rsidP="00EE10E9">
      <w:pPr>
        <w:pStyle w:val="H1G"/>
      </w:pPr>
      <w:r>
        <w:tab/>
      </w:r>
      <w:r>
        <w:tab/>
      </w:r>
      <w:r w:rsidRPr="00030BDE">
        <w:t>Mécanisme de collecte de donn</w:t>
      </w:r>
      <w:r w:rsidR="00DB5B97" w:rsidRPr="00781618">
        <w:t>é</w:t>
      </w:r>
      <w:r w:rsidRPr="00030BDE">
        <w:t>es</w:t>
      </w:r>
    </w:p>
    <w:p w:rsidR="00C277EB" w:rsidRPr="00592AD1" w:rsidRDefault="00217000" w:rsidP="00217000">
      <w:pPr>
        <w:pStyle w:val="SingleTxtG"/>
      </w:pPr>
      <w:r w:rsidRPr="00592AD1">
        <w:t>2.</w:t>
      </w:r>
      <w:r w:rsidRPr="00592AD1">
        <w:tab/>
      </w:r>
      <w:r w:rsidR="00C277EB" w:rsidRPr="00592AD1">
        <w:t>Par rapport aux informations données aux paragraphes</w:t>
      </w:r>
      <w:r w:rsidR="00F47AAA">
        <w:t> </w:t>
      </w:r>
      <w:r w:rsidR="00C277EB" w:rsidRPr="00592AD1">
        <w:t>132</w:t>
      </w:r>
      <w:r w:rsidR="0061758F">
        <w:t xml:space="preserve"> et </w:t>
      </w:r>
      <w:r w:rsidR="00C277EB" w:rsidRPr="00592AD1">
        <w:t>133</w:t>
      </w:r>
      <w:r w:rsidR="0061758F">
        <w:t xml:space="preserve"> de son rapport (CRC/C/OPSC/MDG/1)</w:t>
      </w:r>
      <w:r w:rsidR="00C277EB" w:rsidRPr="00592AD1">
        <w:t xml:space="preserve">, il a été convenu entre le Ministère de la </w:t>
      </w:r>
      <w:r w:rsidR="000C33DF">
        <w:t>j</w:t>
      </w:r>
      <w:r w:rsidR="00C277EB" w:rsidRPr="00592AD1">
        <w:t>ustice et l</w:t>
      </w:r>
      <w:r w:rsidR="000C33DF">
        <w:t>e Fonds des Nations Unies pour l’enfance (</w:t>
      </w:r>
      <w:r w:rsidR="00C277EB" w:rsidRPr="00592AD1">
        <w:t>UNICEF</w:t>
      </w:r>
      <w:r w:rsidR="000C33DF">
        <w:t>)</w:t>
      </w:r>
      <w:r w:rsidR="00C277EB" w:rsidRPr="00592AD1">
        <w:t xml:space="preserve"> la mise en place d’un mécanisme de collecte et de suivi de données liée à la maltraitance, à la traite, à la prostitution et à la pornographie mettant en scène des enfants.</w:t>
      </w:r>
    </w:p>
    <w:p w:rsidR="00C277EB" w:rsidRPr="00592AD1" w:rsidRDefault="00217000" w:rsidP="00217000">
      <w:pPr>
        <w:pStyle w:val="SingleTxtG"/>
      </w:pPr>
      <w:r w:rsidRPr="00592AD1">
        <w:lastRenderedPageBreak/>
        <w:t>3.</w:t>
      </w:r>
      <w:r w:rsidRPr="00592AD1">
        <w:tab/>
      </w:r>
      <w:r w:rsidR="00C277EB" w:rsidRPr="00592AD1">
        <w:t>L’opérationnalisation de ce mécanisme prévue pour la période de deux ans va permettre de remédier aux insuffisances des données collectées tant au niveau central que local.</w:t>
      </w:r>
    </w:p>
    <w:p w:rsidR="00C277EB" w:rsidRPr="00592AD1" w:rsidRDefault="00217000" w:rsidP="00217000">
      <w:pPr>
        <w:pStyle w:val="SingleTxtG"/>
      </w:pPr>
      <w:r w:rsidRPr="00592AD1">
        <w:t>4.</w:t>
      </w:r>
      <w:r w:rsidRPr="00592AD1">
        <w:tab/>
      </w:r>
      <w:r w:rsidR="00C277EB" w:rsidRPr="00592AD1">
        <w:t xml:space="preserve">Il est également prévu la mise en place d’un mécanisme de suivi et d’évaluation des actions en faveur de la protection de droits de l’enfant. </w:t>
      </w:r>
    </w:p>
    <w:p w:rsidR="00C277EB" w:rsidRPr="00592AD1" w:rsidRDefault="00EE10E9" w:rsidP="00EE10E9">
      <w:pPr>
        <w:pStyle w:val="H1G"/>
      </w:pPr>
      <w:r>
        <w:tab/>
      </w:r>
      <w:r>
        <w:tab/>
      </w:r>
      <w:r w:rsidRPr="00592AD1">
        <w:t>Donn</w:t>
      </w:r>
      <w:r w:rsidR="00931D2E">
        <w:t>é</w:t>
      </w:r>
      <w:r w:rsidRPr="00592AD1">
        <w:t>es statistiques</w:t>
      </w:r>
    </w:p>
    <w:p w:rsidR="00C277EB" w:rsidRPr="00592AD1" w:rsidRDefault="00E2328C">
      <w:pPr>
        <w:pStyle w:val="H23G"/>
      </w:pPr>
      <w:r>
        <w:tab/>
      </w:r>
      <w:r>
        <w:tab/>
      </w:r>
      <w:r w:rsidR="00C277EB" w:rsidRPr="00592AD1">
        <w:t>Information</w:t>
      </w:r>
      <w:r w:rsidR="0078184B">
        <w:t xml:space="preserve"> </w:t>
      </w:r>
      <w:r w:rsidR="00C277EB" w:rsidRPr="00592AD1">
        <w:t>et</w:t>
      </w:r>
      <w:r w:rsidR="0078184B">
        <w:t xml:space="preserve"> </w:t>
      </w:r>
      <w:r w:rsidR="00C277EB" w:rsidRPr="00592AD1">
        <w:t>données</w:t>
      </w:r>
      <w:r w:rsidR="0078184B">
        <w:t xml:space="preserve"> </w:t>
      </w:r>
      <w:r w:rsidR="00C277EB" w:rsidRPr="00592AD1">
        <w:t>relatives</w:t>
      </w:r>
      <w:r w:rsidR="0078184B">
        <w:t xml:space="preserve"> </w:t>
      </w:r>
      <w:r w:rsidR="00C277EB" w:rsidRPr="00592AD1">
        <w:t xml:space="preserve">à la vente d’enfants, </w:t>
      </w:r>
      <w:r w:rsidR="00427291">
        <w:t xml:space="preserve">la </w:t>
      </w:r>
      <w:r w:rsidR="00C277EB" w:rsidRPr="00592AD1">
        <w:t>prostitution enfantine</w:t>
      </w:r>
      <w:r w:rsidR="00427291">
        <w:t xml:space="preserve"> et la</w:t>
      </w:r>
      <w:r w:rsidR="00C277EB" w:rsidRPr="00592AD1">
        <w:t xml:space="preserve"> pornographie</w:t>
      </w:r>
      <w:r w:rsidR="0078184B">
        <w:t xml:space="preserve"> </w:t>
      </w:r>
      <w:r w:rsidR="00C277EB" w:rsidRPr="00592AD1">
        <w:t>mettant</w:t>
      </w:r>
      <w:r w:rsidR="0078184B">
        <w:t xml:space="preserve"> </w:t>
      </w:r>
      <w:r w:rsidR="00C277EB" w:rsidRPr="00592AD1">
        <w:t>en scène</w:t>
      </w:r>
      <w:r w:rsidR="0078184B">
        <w:t xml:space="preserve"> </w:t>
      </w:r>
      <w:r w:rsidR="00C277EB" w:rsidRPr="00592AD1">
        <w:t>des</w:t>
      </w:r>
      <w:r w:rsidR="0078184B">
        <w:t xml:space="preserve"> </w:t>
      </w:r>
      <w:r w:rsidR="00C277EB" w:rsidRPr="00592AD1">
        <w:t>enfants</w:t>
      </w:r>
    </w:p>
    <w:p w:rsidR="00C277EB" w:rsidRPr="00592AD1" w:rsidRDefault="00EE10E9" w:rsidP="00781618">
      <w:pPr>
        <w:pStyle w:val="H23G"/>
      </w:pPr>
      <w:r>
        <w:tab/>
      </w:r>
      <w:r>
        <w:tab/>
      </w:r>
      <w:r w:rsidR="00030BDE" w:rsidRPr="00781618">
        <w:rPr>
          <w:b w:val="0"/>
          <w:bCs/>
        </w:rPr>
        <w:t>Tableau 1</w:t>
      </w:r>
      <w:r w:rsidR="00030BDE">
        <w:br/>
      </w:r>
      <w:r w:rsidRPr="00592AD1">
        <w:t>Vente et trafic d’enfants</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2"/>
        <w:gridCol w:w="1843"/>
        <w:gridCol w:w="2409"/>
        <w:gridCol w:w="2126"/>
      </w:tblGrid>
      <w:tr w:rsidR="0010556E" w:rsidRPr="00931D2E" w:rsidTr="00A812E0">
        <w:trPr>
          <w:trHeight w:val="240"/>
          <w:tblHeader/>
        </w:trPr>
        <w:tc>
          <w:tcPr>
            <w:tcW w:w="992" w:type="dxa"/>
            <w:tcBorders>
              <w:top w:val="single" w:sz="4" w:space="0" w:color="auto"/>
              <w:bottom w:val="single" w:sz="12" w:space="0" w:color="auto"/>
            </w:tcBorders>
            <w:shd w:val="clear" w:color="auto" w:fill="auto"/>
            <w:vAlign w:val="bottom"/>
          </w:tcPr>
          <w:p w:rsidR="00C277EB" w:rsidRPr="00931D2E" w:rsidRDefault="00931D2E" w:rsidP="00A812E0">
            <w:pPr>
              <w:pStyle w:val="SingleTxtG"/>
              <w:suppressAutoHyphens w:val="0"/>
              <w:spacing w:before="80" w:after="80" w:line="200" w:lineRule="exact"/>
              <w:ind w:left="0" w:right="0"/>
              <w:jc w:val="left"/>
              <w:rPr>
                <w:i/>
                <w:sz w:val="16"/>
              </w:rPr>
            </w:pPr>
            <w:r w:rsidRPr="00931D2E">
              <w:rPr>
                <w:i/>
                <w:sz w:val="16"/>
              </w:rPr>
              <w:t>Années</w:t>
            </w:r>
          </w:p>
        </w:tc>
        <w:tc>
          <w:tcPr>
            <w:tcW w:w="1843" w:type="dxa"/>
            <w:tcBorders>
              <w:top w:val="single" w:sz="4" w:space="0" w:color="auto"/>
              <w:bottom w:val="single" w:sz="12" w:space="0" w:color="auto"/>
            </w:tcBorders>
            <w:shd w:val="clear" w:color="auto" w:fill="auto"/>
            <w:vAlign w:val="bottom"/>
          </w:tcPr>
          <w:p w:rsidR="00C277EB" w:rsidRPr="00931D2E" w:rsidRDefault="00931D2E" w:rsidP="00A812E0">
            <w:pPr>
              <w:pStyle w:val="SingleTxtG"/>
              <w:suppressAutoHyphens w:val="0"/>
              <w:spacing w:before="80" w:after="80" w:line="200" w:lineRule="exact"/>
              <w:ind w:left="0" w:right="0"/>
              <w:jc w:val="left"/>
              <w:rPr>
                <w:i/>
                <w:sz w:val="16"/>
              </w:rPr>
            </w:pPr>
            <w:r w:rsidRPr="00931D2E">
              <w:rPr>
                <w:i/>
                <w:sz w:val="16"/>
              </w:rPr>
              <w:t>Faits</w:t>
            </w:r>
          </w:p>
        </w:tc>
        <w:tc>
          <w:tcPr>
            <w:tcW w:w="2409" w:type="dxa"/>
            <w:tcBorders>
              <w:top w:val="single" w:sz="4" w:space="0" w:color="auto"/>
              <w:bottom w:val="single" w:sz="12" w:space="0" w:color="auto"/>
            </w:tcBorders>
            <w:shd w:val="clear" w:color="auto" w:fill="auto"/>
            <w:vAlign w:val="bottom"/>
          </w:tcPr>
          <w:p w:rsidR="00C277EB" w:rsidRPr="00931D2E" w:rsidRDefault="00931D2E" w:rsidP="00A812E0">
            <w:pPr>
              <w:pStyle w:val="SingleTxtG"/>
              <w:suppressAutoHyphens w:val="0"/>
              <w:spacing w:before="80" w:after="80" w:line="200" w:lineRule="exact"/>
              <w:ind w:left="0" w:right="0"/>
              <w:jc w:val="left"/>
              <w:rPr>
                <w:i/>
                <w:sz w:val="16"/>
              </w:rPr>
            </w:pPr>
            <w:r>
              <w:rPr>
                <w:i/>
                <w:sz w:val="16"/>
              </w:rPr>
              <w:t>M</w:t>
            </w:r>
            <w:r w:rsidRPr="00931D2E">
              <w:rPr>
                <w:i/>
                <w:sz w:val="16"/>
              </w:rPr>
              <w:t>is en cause</w:t>
            </w:r>
          </w:p>
        </w:tc>
        <w:tc>
          <w:tcPr>
            <w:tcW w:w="2126" w:type="dxa"/>
            <w:tcBorders>
              <w:top w:val="single" w:sz="4" w:space="0" w:color="auto"/>
              <w:bottom w:val="single" w:sz="12" w:space="0" w:color="auto"/>
            </w:tcBorders>
            <w:shd w:val="clear" w:color="auto" w:fill="auto"/>
            <w:vAlign w:val="bottom"/>
          </w:tcPr>
          <w:p w:rsidR="00C277EB" w:rsidRPr="00931D2E" w:rsidRDefault="00931D2E" w:rsidP="00A812E0">
            <w:pPr>
              <w:pStyle w:val="SingleTxtG"/>
              <w:suppressAutoHyphens w:val="0"/>
              <w:spacing w:before="80" w:after="80" w:line="200" w:lineRule="exact"/>
              <w:ind w:left="0" w:right="0"/>
              <w:jc w:val="left"/>
              <w:rPr>
                <w:i/>
                <w:sz w:val="16"/>
              </w:rPr>
            </w:pPr>
            <w:r w:rsidRPr="00931D2E">
              <w:rPr>
                <w:i/>
                <w:sz w:val="16"/>
              </w:rPr>
              <w:t>Observations</w:t>
            </w:r>
          </w:p>
        </w:tc>
      </w:tr>
      <w:tr w:rsidR="00931D2E" w:rsidRPr="00931D2E" w:rsidTr="00A812E0">
        <w:trPr>
          <w:trHeight w:val="240"/>
        </w:trPr>
        <w:tc>
          <w:tcPr>
            <w:tcW w:w="992" w:type="dxa"/>
            <w:tcBorders>
              <w:top w:val="single" w:sz="12" w:space="0" w:color="auto"/>
            </w:tcBorders>
            <w:shd w:val="clear" w:color="auto" w:fill="auto"/>
          </w:tcPr>
          <w:p w:rsidR="00C277EB" w:rsidRPr="00931D2E" w:rsidRDefault="00C277EB" w:rsidP="00A812E0">
            <w:pPr>
              <w:pStyle w:val="SingleTxtG"/>
              <w:suppressAutoHyphens w:val="0"/>
              <w:spacing w:before="40" w:line="220" w:lineRule="exact"/>
              <w:ind w:left="0" w:right="0"/>
              <w:jc w:val="left"/>
            </w:pPr>
            <w:r w:rsidRPr="00931D2E">
              <w:t>2008-2013</w:t>
            </w:r>
          </w:p>
        </w:tc>
        <w:tc>
          <w:tcPr>
            <w:tcW w:w="1843" w:type="dxa"/>
            <w:tcBorders>
              <w:top w:val="single" w:sz="12" w:space="0" w:color="auto"/>
            </w:tcBorders>
            <w:shd w:val="clear" w:color="auto" w:fill="auto"/>
          </w:tcPr>
          <w:p w:rsidR="00C277EB" w:rsidRPr="00931D2E" w:rsidRDefault="00C277EB" w:rsidP="00A812E0">
            <w:pPr>
              <w:pStyle w:val="SingleTxtG"/>
              <w:suppressAutoHyphens w:val="0"/>
              <w:spacing w:before="40" w:line="220" w:lineRule="exact"/>
              <w:ind w:left="0" w:right="0"/>
              <w:jc w:val="left"/>
            </w:pPr>
            <w:r w:rsidRPr="00931D2E">
              <w:t>3 plaintes</w:t>
            </w:r>
            <w:r w:rsidR="0078184B" w:rsidRPr="00931D2E">
              <w:t xml:space="preserve"> </w:t>
            </w:r>
            <w:r w:rsidRPr="00931D2E">
              <w:t>reçues concernant</w:t>
            </w:r>
            <w:r w:rsidR="0078184B" w:rsidRPr="00931D2E">
              <w:t xml:space="preserve"> </w:t>
            </w:r>
            <w:r w:rsidRPr="00931D2E">
              <w:t>une</w:t>
            </w:r>
            <w:r w:rsidR="0078184B" w:rsidRPr="00931D2E">
              <w:t xml:space="preserve"> </w:t>
            </w:r>
            <w:r w:rsidRPr="00931D2E">
              <w:t>vente</w:t>
            </w:r>
            <w:r w:rsidR="0078184B" w:rsidRPr="00931D2E">
              <w:t xml:space="preserve"> </w:t>
            </w:r>
            <w:r w:rsidRPr="00931D2E">
              <w:t>d’enfant</w:t>
            </w:r>
            <w:r w:rsidR="0078184B" w:rsidRPr="00931D2E">
              <w:t xml:space="preserve"> </w:t>
            </w:r>
          </w:p>
        </w:tc>
        <w:tc>
          <w:tcPr>
            <w:tcW w:w="2409" w:type="dxa"/>
            <w:tcBorders>
              <w:top w:val="single" w:sz="12" w:space="0" w:color="auto"/>
            </w:tcBorders>
            <w:shd w:val="clear" w:color="auto" w:fill="auto"/>
          </w:tcPr>
          <w:p w:rsidR="00C277EB" w:rsidRPr="00931D2E" w:rsidRDefault="00C277EB" w:rsidP="00A812E0">
            <w:pPr>
              <w:pStyle w:val="SingleTxtG"/>
              <w:suppressAutoHyphens w:val="0"/>
              <w:spacing w:before="40" w:line="220" w:lineRule="exact"/>
              <w:ind w:left="0" w:right="0"/>
              <w:jc w:val="left"/>
            </w:pPr>
            <w:r w:rsidRPr="00931D2E">
              <w:t>5 personnes impliquées</w:t>
            </w:r>
          </w:p>
        </w:tc>
        <w:tc>
          <w:tcPr>
            <w:tcW w:w="2126" w:type="dxa"/>
            <w:tcBorders>
              <w:top w:val="single" w:sz="12" w:space="0" w:color="auto"/>
            </w:tcBorders>
            <w:shd w:val="clear" w:color="auto" w:fill="auto"/>
          </w:tcPr>
          <w:p w:rsidR="00C277EB" w:rsidRPr="00931D2E" w:rsidRDefault="00C277EB" w:rsidP="00A812E0">
            <w:pPr>
              <w:pStyle w:val="SingleTxtG"/>
              <w:suppressAutoHyphens w:val="0"/>
              <w:spacing w:before="40" w:line="220" w:lineRule="exact"/>
              <w:ind w:left="0" w:right="0"/>
              <w:jc w:val="left"/>
            </w:pPr>
            <w:r w:rsidRPr="00931D2E">
              <w:t>5 personnes placées</w:t>
            </w:r>
            <w:r w:rsidR="0078184B" w:rsidRPr="00931D2E">
              <w:t xml:space="preserve"> </w:t>
            </w:r>
            <w:r w:rsidRPr="00931D2E">
              <w:t>sous</w:t>
            </w:r>
            <w:r w:rsidR="0078184B" w:rsidRPr="00931D2E">
              <w:t xml:space="preserve"> </w:t>
            </w:r>
            <w:r w:rsidRPr="00931D2E">
              <w:t>mandat</w:t>
            </w:r>
            <w:r w:rsidR="0078184B" w:rsidRPr="00931D2E">
              <w:t xml:space="preserve"> </w:t>
            </w:r>
            <w:r w:rsidRPr="00931D2E">
              <w:t>de</w:t>
            </w:r>
            <w:r w:rsidR="0078184B" w:rsidRPr="00931D2E">
              <w:t xml:space="preserve"> </w:t>
            </w:r>
            <w:r w:rsidRPr="00931D2E">
              <w:t>dépôt</w:t>
            </w:r>
          </w:p>
        </w:tc>
      </w:tr>
      <w:tr w:rsidR="00931D2E" w:rsidRPr="00931D2E" w:rsidTr="00A812E0">
        <w:trPr>
          <w:trHeight w:val="240"/>
        </w:trPr>
        <w:tc>
          <w:tcPr>
            <w:tcW w:w="992" w:type="dxa"/>
            <w:shd w:val="clear" w:color="auto" w:fill="auto"/>
          </w:tcPr>
          <w:p w:rsidR="00C277EB" w:rsidRPr="00931D2E" w:rsidRDefault="00C277EB" w:rsidP="00A812E0">
            <w:pPr>
              <w:pStyle w:val="SingleTxtG"/>
              <w:suppressAutoHyphens w:val="0"/>
              <w:spacing w:before="40" w:line="220" w:lineRule="exact"/>
              <w:ind w:left="0" w:right="0"/>
              <w:jc w:val="left"/>
            </w:pPr>
            <w:r w:rsidRPr="00931D2E">
              <w:t>2014</w:t>
            </w:r>
          </w:p>
        </w:tc>
        <w:tc>
          <w:tcPr>
            <w:tcW w:w="1843" w:type="dxa"/>
            <w:shd w:val="clear" w:color="auto" w:fill="auto"/>
          </w:tcPr>
          <w:p w:rsidR="00C277EB" w:rsidRPr="00931D2E" w:rsidRDefault="00C277EB" w:rsidP="00A812E0">
            <w:pPr>
              <w:pStyle w:val="SingleTxtG"/>
              <w:suppressAutoHyphens w:val="0"/>
              <w:spacing w:before="40" w:line="220" w:lineRule="exact"/>
              <w:ind w:left="0" w:right="0"/>
              <w:jc w:val="left"/>
            </w:pPr>
            <w:r w:rsidRPr="00931D2E">
              <w:t>2 plaintes</w:t>
            </w:r>
            <w:r w:rsidR="0078184B" w:rsidRPr="00931D2E">
              <w:t xml:space="preserve"> </w:t>
            </w:r>
            <w:r w:rsidRPr="00931D2E">
              <w:t>reçues pour vente</w:t>
            </w:r>
            <w:r w:rsidR="0078184B" w:rsidRPr="00931D2E">
              <w:t xml:space="preserve"> </w:t>
            </w:r>
            <w:r w:rsidRPr="00931D2E">
              <w:t>et</w:t>
            </w:r>
            <w:r w:rsidR="0078184B" w:rsidRPr="00931D2E">
              <w:t xml:space="preserve"> </w:t>
            </w:r>
            <w:r w:rsidRPr="00931D2E">
              <w:t>trafic</w:t>
            </w:r>
            <w:r w:rsidR="0078184B" w:rsidRPr="00931D2E">
              <w:t xml:space="preserve"> </w:t>
            </w:r>
            <w:r w:rsidRPr="00931D2E">
              <w:t xml:space="preserve">d’enfant </w:t>
            </w:r>
          </w:p>
        </w:tc>
        <w:tc>
          <w:tcPr>
            <w:tcW w:w="2409" w:type="dxa"/>
            <w:shd w:val="clear" w:color="auto" w:fill="auto"/>
          </w:tcPr>
          <w:p w:rsidR="00C277EB" w:rsidRPr="00931D2E" w:rsidRDefault="00C277EB" w:rsidP="00A812E0">
            <w:pPr>
              <w:pStyle w:val="SingleTxtG"/>
              <w:suppressAutoHyphens w:val="0"/>
              <w:spacing w:before="40" w:line="220" w:lineRule="exact"/>
              <w:ind w:left="0" w:right="0"/>
              <w:jc w:val="left"/>
            </w:pPr>
            <w:r w:rsidRPr="00931D2E">
              <w:t>3 personnes impliquées</w:t>
            </w:r>
          </w:p>
        </w:tc>
        <w:tc>
          <w:tcPr>
            <w:tcW w:w="2126" w:type="dxa"/>
            <w:shd w:val="clear" w:color="auto" w:fill="auto"/>
          </w:tcPr>
          <w:p w:rsidR="00C277EB" w:rsidRPr="00931D2E" w:rsidRDefault="00C277EB" w:rsidP="00A812E0">
            <w:pPr>
              <w:pStyle w:val="SingleTxtG"/>
              <w:suppressAutoHyphens w:val="0"/>
              <w:spacing w:before="40" w:line="220" w:lineRule="exact"/>
              <w:ind w:left="0" w:right="0"/>
              <w:jc w:val="left"/>
            </w:pPr>
            <w:r w:rsidRPr="00931D2E">
              <w:t>2 personnes placées sou</w:t>
            </w:r>
            <w:r w:rsidR="000F0B19">
              <w:t>s</w:t>
            </w:r>
            <w:r w:rsidRPr="00931D2E">
              <w:t xml:space="preserve"> mandat</w:t>
            </w:r>
            <w:r w:rsidR="0078184B" w:rsidRPr="00931D2E">
              <w:t xml:space="preserve"> </w:t>
            </w:r>
            <w:r w:rsidRPr="00931D2E">
              <w:t>de</w:t>
            </w:r>
            <w:r w:rsidR="0078184B" w:rsidRPr="00931D2E">
              <w:t xml:space="preserve"> </w:t>
            </w:r>
            <w:r w:rsidRPr="00931D2E">
              <w:t xml:space="preserve">dépôt </w:t>
            </w:r>
          </w:p>
        </w:tc>
      </w:tr>
    </w:tbl>
    <w:p w:rsidR="00C277EB" w:rsidRPr="00592AD1" w:rsidRDefault="00EE10E9" w:rsidP="00781618">
      <w:pPr>
        <w:pStyle w:val="H23G"/>
      </w:pPr>
      <w:r>
        <w:tab/>
      </w:r>
      <w:r>
        <w:tab/>
      </w:r>
      <w:r w:rsidR="00030BDE" w:rsidRPr="00781618">
        <w:rPr>
          <w:b w:val="0"/>
          <w:bCs/>
        </w:rPr>
        <w:t>Tableau 2</w:t>
      </w:r>
      <w:r w:rsidR="00030BDE" w:rsidRPr="00781618">
        <w:rPr>
          <w:b w:val="0"/>
          <w:bCs/>
        </w:rPr>
        <w:br/>
      </w:r>
      <w:r w:rsidRPr="00592AD1">
        <w:t xml:space="preserve">Prostitution enfantine </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2"/>
        <w:gridCol w:w="1702"/>
        <w:gridCol w:w="2550"/>
        <w:gridCol w:w="2126"/>
      </w:tblGrid>
      <w:tr w:rsidR="006019FC" w:rsidRPr="006019FC" w:rsidTr="00A812E0">
        <w:trPr>
          <w:trHeight w:val="240"/>
          <w:tblHeader/>
        </w:trPr>
        <w:tc>
          <w:tcPr>
            <w:tcW w:w="992" w:type="dxa"/>
            <w:tcBorders>
              <w:top w:val="single" w:sz="4" w:space="0" w:color="auto"/>
              <w:bottom w:val="single" w:sz="12" w:space="0" w:color="auto"/>
            </w:tcBorders>
            <w:shd w:val="clear" w:color="auto" w:fill="auto"/>
            <w:vAlign w:val="bottom"/>
          </w:tcPr>
          <w:p w:rsidR="00C277EB" w:rsidRPr="006019FC" w:rsidRDefault="00853F7B" w:rsidP="00A812E0">
            <w:pPr>
              <w:pStyle w:val="SingleTxtG"/>
              <w:suppressAutoHyphens w:val="0"/>
              <w:spacing w:before="80" w:after="80" w:line="200" w:lineRule="exact"/>
              <w:ind w:left="0" w:right="0"/>
              <w:jc w:val="left"/>
              <w:rPr>
                <w:i/>
                <w:sz w:val="16"/>
              </w:rPr>
            </w:pPr>
            <w:r w:rsidRPr="006019FC">
              <w:rPr>
                <w:i/>
                <w:sz w:val="16"/>
              </w:rPr>
              <w:t>Année</w:t>
            </w:r>
          </w:p>
        </w:tc>
        <w:tc>
          <w:tcPr>
            <w:tcW w:w="1702" w:type="dxa"/>
            <w:tcBorders>
              <w:top w:val="single" w:sz="4" w:space="0" w:color="auto"/>
              <w:bottom w:val="single" w:sz="12" w:space="0" w:color="auto"/>
            </w:tcBorders>
            <w:shd w:val="clear" w:color="auto" w:fill="auto"/>
            <w:vAlign w:val="bottom"/>
          </w:tcPr>
          <w:p w:rsidR="00C277EB" w:rsidRPr="006019FC" w:rsidRDefault="0010556E" w:rsidP="00A812E0">
            <w:pPr>
              <w:pStyle w:val="SingleTxtG"/>
              <w:suppressAutoHyphens w:val="0"/>
              <w:spacing w:before="80" w:after="80" w:line="200" w:lineRule="exact"/>
              <w:ind w:left="0" w:right="0"/>
              <w:jc w:val="left"/>
              <w:rPr>
                <w:i/>
                <w:sz w:val="16"/>
              </w:rPr>
            </w:pPr>
            <w:r w:rsidRPr="006019FC">
              <w:rPr>
                <w:i/>
                <w:sz w:val="16"/>
              </w:rPr>
              <w:t>Faits</w:t>
            </w:r>
          </w:p>
        </w:tc>
        <w:tc>
          <w:tcPr>
            <w:tcW w:w="2550" w:type="dxa"/>
            <w:tcBorders>
              <w:top w:val="single" w:sz="4" w:space="0" w:color="auto"/>
              <w:bottom w:val="single" w:sz="12" w:space="0" w:color="auto"/>
            </w:tcBorders>
            <w:shd w:val="clear" w:color="auto" w:fill="auto"/>
            <w:vAlign w:val="bottom"/>
          </w:tcPr>
          <w:p w:rsidR="00C277EB" w:rsidRPr="006019FC" w:rsidRDefault="004F5840" w:rsidP="00A812E0">
            <w:pPr>
              <w:pStyle w:val="SingleTxtG"/>
              <w:suppressAutoHyphens w:val="0"/>
              <w:spacing w:before="80" w:after="80" w:line="200" w:lineRule="exact"/>
              <w:ind w:left="0" w:right="0"/>
              <w:jc w:val="left"/>
              <w:rPr>
                <w:i/>
                <w:sz w:val="16"/>
              </w:rPr>
            </w:pPr>
            <w:r w:rsidRPr="006019FC">
              <w:rPr>
                <w:i/>
                <w:sz w:val="16"/>
              </w:rPr>
              <w:t>Résultats</w:t>
            </w:r>
            <w:r w:rsidR="0010556E" w:rsidRPr="006019FC">
              <w:rPr>
                <w:i/>
                <w:sz w:val="16"/>
              </w:rPr>
              <w:t xml:space="preserve"> </w:t>
            </w:r>
          </w:p>
        </w:tc>
        <w:tc>
          <w:tcPr>
            <w:tcW w:w="2126" w:type="dxa"/>
            <w:tcBorders>
              <w:top w:val="single" w:sz="4" w:space="0" w:color="auto"/>
              <w:bottom w:val="single" w:sz="12" w:space="0" w:color="auto"/>
            </w:tcBorders>
            <w:shd w:val="clear" w:color="auto" w:fill="auto"/>
            <w:vAlign w:val="bottom"/>
          </w:tcPr>
          <w:p w:rsidR="00C277EB" w:rsidRPr="006019FC" w:rsidRDefault="0010556E" w:rsidP="00A812E0">
            <w:pPr>
              <w:pStyle w:val="SingleTxtG"/>
              <w:suppressAutoHyphens w:val="0"/>
              <w:spacing w:before="80" w:after="80" w:line="200" w:lineRule="exact"/>
              <w:ind w:left="0" w:right="0"/>
              <w:jc w:val="left"/>
              <w:rPr>
                <w:i/>
                <w:sz w:val="16"/>
              </w:rPr>
            </w:pPr>
            <w:r>
              <w:rPr>
                <w:i/>
                <w:sz w:val="16"/>
              </w:rPr>
              <w:t>M</w:t>
            </w:r>
            <w:r w:rsidRPr="006019FC">
              <w:rPr>
                <w:i/>
                <w:sz w:val="16"/>
              </w:rPr>
              <w:t>esures prises</w:t>
            </w:r>
          </w:p>
        </w:tc>
      </w:tr>
      <w:tr w:rsidR="006019FC" w:rsidRPr="006019FC" w:rsidTr="00A812E0">
        <w:trPr>
          <w:trHeight w:val="240"/>
        </w:trPr>
        <w:tc>
          <w:tcPr>
            <w:tcW w:w="992" w:type="dxa"/>
            <w:tcBorders>
              <w:top w:val="single" w:sz="12" w:space="0" w:color="auto"/>
            </w:tcBorders>
            <w:shd w:val="clear" w:color="auto" w:fill="auto"/>
          </w:tcPr>
          <w:p w:rsidR="00C277EB" w:rsidRPr="006019FC" w:rsidRDefault="00C277EB" w:rsidP="00A812E0">
            <w:pPr>
              <w:pStyle w:val="SingleTxtG"/>
              <w:suppressAutoHyphens w:val="0"/>
              <w:spacing w:before="40" w:after="80" w:line="220" w:lineRule="exact"/>
              <w:ind w:left="0" w:right="0"/>
              <w:jc w:val="left"/>
            </w:pPr>
            <w:r w:rsidRPr="006019FC">
              <w:t>2011</w:t>
            </w:r>
          </w:p>
        </w:tc>
        <w:tc>
          <w:tcPr>
            <w:tcW w:w="1702" w:type="dxa"/>
            <w:tcBorders>
              <w:top w:val="single" w:sz="12" w:space="0" w:color="auto"/>
            </w:tcBorders>
            <w:shd w:val="clear" w:color="auto" w:fill="auto"/>
          </w:tcPr>
          <w:p w:rsidR="00C277EB" w:rsidRPr="006019FC" w:rsidRDefault="00C277EB" w:rsidP="00A812E0">
            <w:pPr>
              <w:pStyle w:val="SingleTxtG"/>
              <w:suppressAutoHyphens w:val="0"/>
              <w:spacing w:before="40" w:after="80" w:line="220" w:lineRule="exact"/>
              <w:ind w:left="0" w:right="0"/>
              <w:jc w:val="left"/>
            </w:pPr>
            <w:r w:rsidRPr="006019FC">
              <w:t>Descente</w:t>
            </w:r>
            <w:r w:rsidR="0078184B" w:rsidRPr="006019FC">
              <w:t xml:space="preserve"> </w:t>
            </w:r>
            <w:r w:rsidRPr="006019FC">
              <w:t>dans</w:t>
            </w:r>
            <w:r w:rsidR="0078184B" w:rsidRPr="006019FC">
              <w:t xml:space="preserve"> </w:t>
            </w:r>
            <w:r w:rsidRPr="006019FC">
              <w:t>les</w:t>
            </w:r>
            <w:r w:rsidR="0078184B" w:rsidRPr="006019FC">
              <w:t xml:space="preserve"> </w:t>
            </w:r>
            <w:r w:rsidRPr="006019FC">
              <w:t>discothèques et</w:t>
            </w:r>
            <w:r w:rsidR="0078184B" w:rsidRPr="006019FC">
              <w:t xml:space="preserve"> </w:t>
            </w:r>
            <w:r w:rsidRPr="006019FC">
              <w:t>contrôle</w:t>
            </w:r>
            <w:r w:rsidR="0078184B" w:rsidRPr="006019FC">
              <w:t xml:space="preserve"> </w:t>
            </w:r>
            <w:r w:rsidRPr="006019FC">
              <w:t>de</w:t>
            </w:r>
            <w:r w:rsidR="0078184B" w:rsidRPr="006019FC">
              <w:t xml:space="preserve"> </w:t>
            </w:r>
            <w:r w:rsidRPr="006019FC">
              <w:t>carte</w:t>
            </w:r>
            <w:r w:rsidR="0078184B" w:rsidRPr="006019FC">
              <w:t xml:space="preserve"> </w:t>
            </w:r>
            <w:r w:rsidRPr="006019FC">
              <w:t>d’identité</w:t>
            </w:r>
            <w:r w:rsidR="0078184B" w:rsidRPr="006019FC">
              <w:t xml:space="preserve"> </w:t>
            </w:r>
            <w:r w:rsidRPr="006019FC">
              <w:t>nationale</w:t>
            </w:r>
            <w:r w:rsidR="0078184B" w:rsidRPr="006019FC">
              <w:t xml:space="preserve"> </w:t>
            </w:r>
          </w:p>
        </w:tc>
        <w:tc>
          <w:tcPr>
            <w:tcW w:w="2550" w:type="dxa"/>
            <w:tcBorders>
              <w:top w:val="single" w:sz="12" w:space="0" w:color="auto"/>
            </w:tcBorders>
            <w:shd w:val="clear" w:color="auto" w:fill="auto"/>
          </w:tcPr>
          <w:p w:rsidR="00C277EB" w:rsidRPr="006019FC" w:rsidRDefault="00C277EB" w:rsidP="00A812E0">
            <w:pPr>
              <w:pStyle w:val="SingleTxtG"/>
              <w:suppressAutoHyphens w:val="0"/>
              <w:spacing w:before="40" w:after="80" w:line="220" w:lineRule="exact"/>
              <w:ind w:left="0" w:right="0"/>
              <w:jc w:val="left"/>
            </w:pPr>
            <w:r w:rsidRPr="006019FC">
              <w:t>Sur 3</w:t>
            </w:r>
            <w:r w:rsidR="00FE7CEC">
              <w:t> </w:t>
            </w:r>
            <w:r w:rsidRPr="006019FC">
              <w:t>455 individus contrôlés, les mineurs</w:t>
            </w:r>
            <w:r w:rsidR="0078184B" w:rsidRPr="006019FC">
              <w:t xml:space="preserve"> </w:t>
            </w:r>
            <w:r w:rsidRPr="006019FC">
              <w:t>sont au nombre</w:t>
            </w:r>
            <w:r w:rsidR="0078184B" w:rsidRPr="006019FC">
              <w:t xml:space="preserve"> </w:t>
            </w:r>
            <w:r w:rsidRPr="006019FC">
              <w:t>de</w:t>
            </w:r>
            <w:r w:rsidR="0078184B" w:rsidRPr="006019FC">
              <w:t xml:space="preserve"> </w:t>
            </w:r>
            <w:r w:rsidRPr="006019FC">
              <w:t>1</w:t>
            </w:r>
            <w:r w:rsidR="00FE7CEC">
              <w:t> </w:t>
            </w:r>
            <w:r w:rsidRPr="006019FC">
              <w:t>048</w:t>
            </w:r>
            <w:r w:rsidR="0078184B" w:rsidRPr="006019FC">
              <w:t xml:space="preserve"> </w:t>
            </w:r>
            <w:r w:rsidRPr="006019FC">
              <w:t>dont</w:t>
            </w:r>
            <w:r w:rsidR="0078184B" w:rsidRPr="006019FC">
              <w:t xml:space="preserve"> </w:t>
            </w:r>
            <w:r w:rsidRPr="006019FC">
              <w:t>546 prostitués (471</w:t>
            </w:r>
            <w:r w:rsidR="00FE7CEC">
              <w:t> </w:t>
            </w:r>
            <w:r w:rsidRPr="006019FC">
              <w:t>filles et 55 garçons)</w:t>
            </w:r>
          </w:p>
        </w:tc>
        <w:tc>
          <w:tcPr>
            <w:tcW w:w="2126" w:type="dxa"/>
            <w:tcBorders>
              <w:top w:val="single" w:sz="12" w:space="0" w:color="auto"/>
            </w:tcBorders>
            <w:shd w:val="clear" w:color="auto" w:fill="auto"/>
          </w:tcPr>
          <w:p w:rsidR="00C277EB" w:rsidRPr="006019FC" w:rsidRDefault="00217000" w:rsidP="00217000">
            <w:pPr>
              <w:pStyle w:val="SingleTxtG"/>
              <w:suppressAutoHyphens w:val="0"/>
              <w:spacing w:before="40" w:after="80" w:line="220" w:lineRule="exact"/>
              <w:ind w:left="170" w:right="0" w:hanging="170"/>
              <w:jc w:val="left"/>
            </w:pPr>
            <w:r w:rsidRPr="006019FC">
              <w:t>•</w:t>
            </w:r>
            <w:r w:rsidRPr="006019FC">
              <w:tab/>
            </w:r>
            <w:r w:rsidR="00C277EB" w:rsidRPr="006019FC">
              <w:t>Examen</w:t>
            </w:r>
            <w:r w:rsidR="0078184B" w:rsidRPr="006019FC">
              <w:t xml:space="preserve"> </w:t>
            </w:r>
            <w:r w:rsidR="00C277EB" w:rsidRPr="006019FC">
              <w:t>de</w:t>
            </w:r>
            <w:r w:rsidR="0078184B" w:rsidRPr="006019FC">
              <w:t xml:space="preserve"> </w:t>
            </w:r>
            <w:r w:rsidR="00C277EB" w:rsidRPr="006019FC">
              <w:t>situation</w:t>
            </w:r>
            <w:r w:rsidR="0078184B" w:rsidRPr="006019FC">
              <w:t xml:space="preserve"> </w:t>
            </w:r>
            <w:r w:rsidR="00C277EB" w:rsidRPr="006019FC">
              <w:t>pour</w:t>
            </w:r>
            <w:r w:rsidR="0078184B" w:rsidRPr="006019FC">
              <w:t xml:space="preserve"> </w:t>
            </w:r>
            <w:r w:rsidR="00C277EB" w:rsidRPr="006019FC">
              <w:t>les mineurs</w:t>
            </w:r>
            <w:r w:rsidR="0078184B" w:rsidRPr="006019FC">
              <w:t xml:space="preserve"> </w:t>
            </w:r>
            <w:r w:rsidR="00C277EB" w:rsidRPr="006019FC">
              <w:t>victimes</w:t>
            </w:r>
          </w:p>
          <w:p w:rsidR="00C277EB" w:rsidRPr="006019FC" w:rsidRDefault="00217000" w:rsidP="00217000">
            <w:pPr>
              <w:pStyle w:val="SingleTxtG"/>
              <w:suppressAutoHyphens w:val="0"/>
              <w:spacing w:before="40" w:after="80" w:line="220" w:lineRule="exact"/>
              <w:ind w:left="170" w:right="0" w:hanging="170"/>
              <w:jc w:val="left"/>
            </w:pPr>
            <w:r w:rsidRPr="006019FC">
              <w:t>•</w:t>
            </w:r>
            <w:r w:rsidRPr="006019FC">
              <w:tab/>
            </w:r>
            <w:r w:rsidR="00C277EB" w:rsidRPr="006019FC">
              <w:t>Poursuite des</w:t>
            </w:r>
            <w:r w:rsidR="0078184B" w:rsidRPr="006019FC">
              <w:t xml:space="preserve"> </w:t>
            </w:r>
            <w:r w:rsidR="00C277EB" w:rsidRPr="006019FC">
              <w:t>auteurs</w:t>
            </w:r>
            <w:r w:rsidR="0078184B" w:rsidRPr="006019FC">
              <w:t xml:space="preserve"> </w:t>
            </w:r>
            <w:r w:rsidR="00C277EB" w:rsidRPr="006019FC">
              <w:t>en</w:t>
            </w:r>
            <w:r w:rsidR="0078184B" w:rsidRPr="006019FC">
              <w:t xml:space="preserve"> </w:t>
            </w:r>
            <w:r w:rsidR="00C277EB" w:rsidRPr="006019FC">
              <w:t>cas</w:t>
            </w:r>
            <w:r w:rsidR="0078184B" w:rsidRPr="006019FC">
              <w:t xml:space="preserve"> </w:t>
            </w:r>
            <w:r w:rsidR="00C277EB" w:rsidRPr="006019FC">
              <w:t>d’infraction</w:t>
            </w:r>
            <w:r w:rsidR="0078184B" w:rsidRPr="006019FC">
              <w:t xml:space="preserve"> </w:t>
            </w:r>
          </w:p>
          <w:p w:rsidR="00C277EB" w:rsidRPr="006019FC" w:rsidRDefault="00C277EB" w:rsidP="00A812E0">
            <w:pPr>
              <w:pStyle w:val="SingleTxtG"/>
              <w:suppressAutoHyphens w:val="0"/>
              <w:spacing w:before="40" w:after="80" w:line="220" w:lineRule="exact"/>
              <w:ind w:left="0" w:right="0"/>
              <w:jc w:val="left"/>
            </w:pPr>
            <w:r w:rsidRPr="006019FC">
              <w:t>(ex</w:t>
            </w:r>
            <w:r w:rsidR="006F39CA" w:rsidRPr="006019FC">
              <w:t xml:space="preserve">: </w:t>
            </w:r>
            <w:r w:rsidRPr="006019FC">
              <w:t>détournement de mineur, proxénétisme, viol)</w:t>
            </w:r>
          </w:p>
        </w:tc>
      </w:tr>
      <w:tr w:rsidR="006019FC" w:rsidRPr="006019FC" w:rsidTr="00A812E0">
        <w:trPr>
          <w:trHeight w:val="240"/>
        </w:trPr>
        <w:tc>
          <w:tcPr>
            <w:tcW w:w="992" w:type="dxa"/>
            <w:shd w:val="clear" w:color="auto" w:fill="auto"/>
          </w:tcPr>
          <w:p w:rsidR="00C277EB" w:rsidRPr="006019FC" w:rsidRDefault="00C277EB" w:rsidP="00A812E0">
            <w:pPr>
              <w:pStyle w:val="SingleTxtG"/>
              <w:suppressAutoHyphens w:val="0"/>
              <w:spacing w:before="40" w:after="80" w:line="220" w:lineRule="exact"/>
              <w:ind w:left="0" w:right="0"/>
              <w:jc w:val="left"/>
            </w:pPr>
            <w:r w:rsidRPr="006019FC">
              <w:t>2012</w:t>
            </w:r>
          </w:p>
        </w:tc>
        <w:tc>
          <w:tcPr>
            <w:tcW w:w="1702" w:type="dxa"/>
            <w:shd w:val="clear" w:color="auto" w:fill="auto"/>
          </w:tcPr>
          <w:p w:rsidR="00C277EB" w:rsidRPr="006019FC" w:rsidRDefault="00C277EB" w:rsidP="00A812E0">
            <w:pPr>
              <w:pStyle w:val="SingleTxtG"/>
              <w:suppressAutoHyphens w:val="0"/>
              <w:spacing w:before="40" w:after="80" w:line="220" w:lineRule="exact"/>
              <w:ind w:left="0" w:right="0"/>
              <w:jc w:val="left"/>
            </w:pPr>
          </w:p>
        </w:tc>
        <w:tc>
          <w:tcPr>
            <w:tcW w:w="2550" w:type="dxa"/>
            <w:shd w:val="clear" w:color="auto" w:fill="auto"/>
          </w:tcPr>
          <w:p w:rsidR="00C277EB" w:rsidRPr="006019FC" w:rsidRDefault="00C277EB" w:rsidP="00A812E0">
            <w:pPr>
              <w:pStyle w:val="SingleTxtG"/>
              <w:suppressAutoHyphens w:val="0"/>
              <w:spacing w:before="40" w:after="80" w:line="220" w:lineRule="exact"/>
              <w:ind w:left="0" w:right="0"/>
              <w:jc w:val="left"/>
            </w:pPr>
            <w:r w:rsidRPr="006019FC">
              <w:t>Sur 3</w:t>
            </w:r>
            <w:r w:rsidR="00FE7CEC">
              <w:t> </w:t>
            </w:r>
            <w:r w:rsidRPr="006019FC">
              <w:t>721 individus contrôlés, les mineurs</w:t>
            </w:r>
            <w:r w:rsidR="0078184B" w:rsidRPr="006019FC">
              <w:t xml:space="preserve"> </w:t>
            </w:r>
            <w:r w:rsidRPr="006019FC">
              <w:t>sont au nombre</w:t>
            </w:r>
            <w:r w:rsidR="0078184B" w:rsidRPr="006019FC">
              <w:t xml:space="preserve"> </w:t>
            </w:r>
            <w:r w:rsidRPr="006019FC">
              <w:t>de</w:t>
            </w:r>
            <w:r w:rsidR="0078184B" w:rsidRPr="006019FC">
              <w:t xml:space="preserve"> </w:t>
            </w:r>
            <w:r w:rsidRPr="006019FC">
              <w:t>1</w:t>
            </w:r>
            <w:r w:rsidR="00FE7CEC">
              <w:t> </w:t>
            </w:r>
            <w:r w:rsidRPr="006019FC">
              <w:t>124</w:t>
            </w:r>
            <w:r w:rsidR="0078184B" w:rsidRPr="006019FC">
              <w:t xml:space="preserve"> </w:t>
            </w:r>
            <w:r w:rsidRPr="006019FC">
              <w:t>dont</w:t>
            </w:r>
            <w:r w:rsidR="0078184B" w:rsidRPr="006019FC">
              <w:t xml:space="preserve"> </w:t>
            </w:r>
            <w:r w:rsidRPr="006019FC">
              <w:t>501 prostitués (465</w:t>
            </w:r>
            <w:r w:rsidR="00FE7CEC">
              <w:t> </w:t>
            </w:r>
            <w:r w:rsidRPr="006019FC">
              <w:t xml:space="preserve">filles et 36 garçons) </w:t>
            </w:r>
          </w:p>
        </w:tc>
        <w:tc>
          <w:tcPr>
            <w:tcW w:w="2126" w:type="dxa"/>
            <w:shd w:val="clear" w:color="auto" w:fill="auto"/>
          </w:tcPr>
          <w:p w:rsidR="00C277EB" w:rsidRPr="006019FC" w:rsidRDefault="00C277EB" w:rsidP="00A812E0">
            <w:pPr>
              <w:pStyle w:val="SingleTxtG"/>
              <w:suppressAutoHyphens w:val="0"/>
              <w:spacing w:before="40" w:after="80" w:line="220" w:lineRule="exact"/>
              <w:ind w:left="0" w:right="0"/>
              <w:jc w:val="left"/>
            </w:pPr>
            <w:r w:rsidRPr="006019FC">
              <w:t>Prostitution non compliquée d’exploitation sexuelle à</w:t>
            </w:r>
            <w:r w:rsidR="00434DAA">
              <w:t> </w:t>
            </w:r>
            <w:r w:rsidRPr="006019FC">
              <w:t xml:space="preserve">des fins commerciales </w:t>
            </w:r>
          </w:p>
        </w:tc>
      </w:tr>
      <w:tr w:rsidR="006019FC" w:rsidRPr="006019FC" w:rsidTr="00A812E0">
        <w:trPr>
          <w:trHeight w:val="240"/>
        </w:trPr>
        <w:tc>
          <w:tcPr>
            <w:tcW w:w="992" w:type="dxa"/>
            <w:shd w:val="clear" w:color="auto" w:fill="auto"/>
          </w:tcPr>
          <w:p w:rsidR="00C277EB" w:rsidRPr="006019FC" w:rsidRDefault="00C277EB" w:rsidP="00A812E0">
            <w:pPr>
              <w:pStyle w:val="SingleTxtG"/>
              <w:suppressAutoHyphens w:val="0"/>
              <w:spacing w:before="40" w:after="80" w:line="220" w:lineRule="exact"/>
              <w:ind w:left="0" w:right="0"/>
              <w:jc w:val="left"/>
            </w:pPr>
            <w:r w:rsidRPr="006019FC">
              <w:t>2013</w:t>
            </w:r>
          </w:p>
        </w:tc>
        <w:tc>
          <w:tcPr>
            <w:tcW w:w="1702" w:type="dxa"/>
            <w:shd w:val="clear" w:color="auto" w:fill="auto"/>
          </w:tcPr>
          <w:p w:rsidR="00C277EB" w:rsidRPr="006019FC" w:rsidRDefault="00C277EB" w:rsidP="00A812E0">
            <w:pPr>
              <w:pStyle w:val="SingleTxtG"/>
              <w:suppressAutoHyphens w:val="0"/>
              <w:spacing w:before="40" w:after="80" w:line="220" w:lineRule="exact"/>
              <w:ind w:left="0" w:right="0"/>
              <w:jc w:val="left"/>
            </w:pPr>
          </w:p>
        </w:tc>
        <w:tc>
          <w:tcPr>
            <w:tcW w:w="2550" w:type="dxa"/>
            <w:shd w:val="clear" w:color="auto" w:fill="auto"/>
          </w:tcPr>
          <w:p w:rsidR="00C277EB" w:rsidRPr="006019FC" w:rsidRDefault="00C277EB" w:rsidP="00A812E0">
            <w:pPr>
              <w:pStyle w:val="SingleTxtG"/>
              <w:suppressAutoHyphens w:val="0"/>
              <w:spacing w:before="40" w:after="80" w:line="220" w:lineRule="exact"/>
              <w:ind w:left="0" w:right="0"/>
              <w:jc w:val="left"/>
            </w:pPr>
            <w:r w:rsidRPr="006019FC">
              <w:t>Sur 3</w:t>
            </w:r>
            <w:r w:rsidR="00FE7CEC">
              <w:t> </w:t>
            </w:r>
            <w:r w:rsidRPr="006019FC">
              <w:t>113 individus contrôlés, les mineurs</w:t>
            </w:r>
            <w:r w:rsidR="0078184B" w:rsidRPr="006019FC">
              <w:t xml:space="preserve"> </w:t>
            </w:r>
            <w:r w:rsidRPr="006019FC">
              <w:t>sont au nombre</w:t>
            </w:r>
            <w:r w:rsidR="0078184B" w:rsidRPr="006019FC">
              <w:t xml:space="preserve"> </w:t>
            </w:r>
            <w:r w:rsidRPr="006019FC">
              <w:t>de</w:t>
            </w:r>
            <w:r w:rsidR="0078184B" w:rsidRPr="006019FC">
              <w:t xml:space="preserve"> </w:t>
            </w:r>
            <w:r w:rsidRPr="006019FC">
              <w:t>993</w:t>
            </w:r>
            <w:r w:rsidR="0078184B" w:rsidRPr="006019FC">
              <w:t xml:space="preserve"> </w:t>
            </w:r>
            <w:r w:rsidRPr="006019FC">
              <w:t>dont 423 prostitués (395</w:t>
            </w:r>
            <w:r w:rsidR="00FE7CEC">
              <w:t> </w:t>
            </w:r>
            <w:r w:rsidRPr="006019FC">
              <w:t xml:space="preserve">filles et 28 garçons) </w:t>
            </w:r>
          </w:p>
        </w:tc>
        <w:tc>
          <w:tcPr>
            <w:tcW w:w="2126" w:type="dxa"/>
            <w:shd w:val="clear" w:color="auto" w:fill="auto"/>
          </w:tcPr>
          <w:p w:rsidR="00C277EB" w:rsidRPr="006019FC" w:rsidRDefault="00C277EB" w:rsidP="00A812E0">
            <w:pPr>
              <w:pStyle w:val="SingleTxtG"/>
              <w:suppressAutoHyphens w:val="0"/>
              <w:spacing w:before="40" w:after="80" w:line="220" w:lineRule="exact"/>
              <w:ind w:left="0" w:right="0"/>
              <w:jc w:val="left"/>
            </w:pPr>
            <w:r w:rsidRPr="006019FC">
              <w:t>Prostitution non compliquée d’exploitation sexuelle à</w:t>
            </w:r>
            <w:r w:rsidR="00434DAA">
              <w:t> </w:t>
            </w:r>
            <w:r w:rsidRPr="006019FC">
              <w:t>des fins commerciales</w:t>
            </w:r>
          </w:p>
        </w:tc>
      </w:tr>
      <w:tr w:rsidR="006019FC" w:rsidRPr="006019FC" w:rsidTr="00A812E0">
        <w:trPr>
          <w:trHeight w:val="240"/>
        </w:trPr>
        <w:tc>
          <w:tcPr>
            <w:tcW w:w="992" w:type="dxa"/>
            <w:shd w:val="clear" w:color="auto" w:fill="auto"/>
          </w:tcPr>
          <w:p w:rsidR="00C277EB" w:rsidRPr="006019FC" w:rsidRDefault="00C277EB" w:rsidP="00A812E0">
            <w:pPr>
              <w:pStyle w:val="SingleTxtG"/>
              <w:keepNext/>
              <w:suppressAutoHyphens w:val="0"/>
              <w:spacing w:before="40" w:after="80" w:line="220" w:lineRule="exact"/>
              <w:ind w:left="0" w:right="0"/>
              <w:jc w:val="left"/>
            </w:pPr>
            <w:r w:rsidRPr="006019FC">
              <w:t>2014</w:t>
            </w:r>
          </w:p>
        </w:tc>
        <w:tc>
          <w:tcPr>
            <w:tcW w:w="1702" w:type="dxa"/>
            <w:shd w:val="clear" w:color="auto" w:fill="auto"/>
          </w:tcPr>
          <w:p w:rsidR="00C277EB" w:rsidRPr="006019FC" w:rsidRDefault="00C277EB" w:rsidP="00A812E0">
            <w:pPr>
              <w:pStyle w:val="SingleTxtG"/>
              <w:keepNext/>
              <w:suppressAutoHyphens w:val="0"/>
              <w:spacing w:before="40" w:after="80" w:line="220" w:lineRule="exact"/>
              <w:ind w:left="0" w:right="0"/>
              <w:jc w:val="left"/>
            </w:pPr>
          </w:p>
        </w:tc>
        <w:tc>
          <w:tcPr>
            <w:tcW w:w="2550" w:type="dxa"/>
            <w:shd w:val="clear" w:color="auto" w:fill="auto"/>
          </w:tcPr>
          <w:p w:rsidR="00C277EB" w:rsidRPr="006019FC" w:rsidRDefault="00C277EB" w:rsidP="00A812E0">
            <w:pPr>
              <w:pStyle w:val="SingleTxtG"/>
              <w:keepNext/>
              <w:suppressAutoHyphens w:val="0"/>
              <w:spacing w:before="40" w:after="80" w:line="220" w:lineRule="exact"/>
              <w:ind w:left="0" w:right="0"/>
              <w:jc w:val="left"/>
            </w:pPr>
            <w:r w:rsidRPr="006019FC">
              <w:t>Sur 3</w:t>
            </w:r>
            <w:r w:rsidR="00FE7CEC">
              <w:t> </w:t>
            </w:r>
            <w:r w:rsidRPr="006019FC">
              <w:t>413 individus contrôlés, les mineurs</w:t>
            </w:r>
            <w:r w:rsidR="0078184B" w:rsidRPr="006019FC">
              <w:t xml:space="preserve"> </w:t>
            </w:r>
            <w:r w:rsidRPr="006019FC">
              <w:t>sont au nombre</w:t>
            </w:r>
            <w:r w:rsidR="0078184B" w:rsidRPr="006019FC">
              <w:t xml:space="preserve"> </w:t>
            </w:r>
            <w:r w:rsidRPr="006019FC">
              <w:t>de</w:t>
            </w:r>
            <w:r w:rsidR="0078184B" w:rsidRPr="006019FC">
              <w:t xml:space="preserve"> </w:t>
            </w:r>
            <w:r w:rsidRPr="006019FC">
              <w:t>1</w:t>
            </w:r>
            <w:r w:rsidR="00FE7CEC">
              <w:t> </w:t>
            </w:r>
            <w:r w:rsidRPr="006019FC">
              <w:t>021</w:t>
            </w:r>
            <w:r w:rsidR="0078184B" w:rsidRPr="006019FC">
              <w:t xml:space="preserve"> </w:t>
            </w:r>
            <w:r w:rsidRPr="006019FC">
              <w:t>dont 391 prostitués (332</w:t>
            </w:r>
            <w:r w:rsidR="00FE7CEC">
              <w:t> </w:t>
            </w:r>
            <w:r w:rsidR="00434DAA">
              <w:t>filles et 59 g</w:t>
            </w:r>
            <w:r w:rsidRPr="006019FC">
              <w:t xml:space="preserve">arçons </w:t>
            </w:r>
          </w:p>
        </w:tc>
        <w:tc>
          <w:tcPr>
            <w:tcW w:w="2126" w:type="dxa"/>
            <w:shd w:val="clear" w:color="auto" w:fill="auto"/>
          </w:tcPr>
          <w:p w:rsidR="00C277EB" w:rsidRPr="006019FC" w:rsidRDefault="00C277EB" w:rsidP="00A812E0">
            <w:pPr>
              <w:pStyle w:val="SingleTxtG"/>
              <w:keepNext/>
              <w:suppressAutoHyphens w:val="0"/>
              <w:spacing w:before="40" w:after="80" w:line="220" w:lineRule="exact"/>
              <w:ind w:left="0" w:right="0"/>
              <w:jc w:val="left"/>
            </w:pPr>
            <w:r w:rsidRPr="006019FC">
              <w:t>Prostitution non compliquée d’exploitation sexuelle à</w:t>
            </w:r>
            <w:r w:rsidR="00434DAA">
              <w:t> </w:t>
            </w:r>
            <w:r w:rsidRPr="006019FC">
              <w:t>des fins commerciales</w:t>
            </w:r>
          </w:p>
        </w:tc>
      </w:tr>
    </w:tbl>
    <w:p w:rsidR="00C277EB" w:rsidRPr="00EE10E9" w:rsidRDefault="00C277EB" w:rsidP="00A812E0">
      <w:pPr>
        <w:pStyle w:val="SingleTxtG"/>
        <w:spacing w:before="80" w:after="0"/>
        <w:ind w:firstLine="170"/>
        <w:jc w:val="left"/>
        <w:rPr>
          <w:sz w:val="18"/>
          <w:szCs w:val="18"/>
        </w:rPr>
      </w:pPr>
      <w:r w:rsidRPr="00EE10E9">
        <w:rPr>
          <w:i/>
          <w:sz w:val="18"/>
          <w:szCs w:val="18"/>
        </w:rPr>
        <w:t>Source</w:t>
      </w:r>
      <w:r w:rsidR="006F39CA" w:rsidRPr="00781618">
        <w:rPr>
          <w:iCs/>
          <w:sz w:val="18"/>
          <w:szCs w:val="18"/>
        </w:rPr>
        <w:t xml:space="preserve">: </w:t>
      </w:r>
      <w:r w:rsidRPr="00EE10E9">
        <w:rPr>
          <w:sz w:val="18"/>
          <w:szCs w:val="18"/>
        </w:rPr>
        <w:t xml:space="preserve">Police des </w:t>
      </w:r>
      <w:r w:rsidR="0061758F">
        <w:rPr>
          <w:sz w:val="18"/>
          <w:szCs w:val="18"/>
        </w:rPr>
        <w:t>m</w:t>
      </w:r>
      <w:r w:rsidRPr="00EE10E9">
        <w:rPr>
          <w:sz w:val="18"/>
          <w:szCs w:val="18"/>
        </w:rPr>
        <w:t xml:space="preserve">œurs et </w:t>
      </w:r>
      <w:r w:rsidR="0061758F">
        <w:rPr>
          <w:sz w:val="18"/>
          <w:szCs w:val="18"/>
        </w:rPr>
        <w:t>p</w:t>
      </w:r>
      <w:r w:rsidRPr="00EE10E9">
        <w:rPr>
          <w:sz w:val="18"/>
          <w:szCs w:val="18"/>
        </w:rPr>
        <w:t xml:space="preserve">rotection des </w:t>
      </w:r>
      <w:r w:rsidR="0061758F">
        <w:rPr>
          <w:sz w:val="18"/>
          <w:szCs w:val="18"/>
        </w:rPr>
        <w:t>m</w:t>
      </w:r>
      <w:r w:rsidRPr="00EE10E9">
        <w:rPr>
          <w:sz w:val="18"/>
          <w:szCs w:val="18"/>
        </w:rPr>
        <w:t>ineurs, l’</w:t>
      </w:r>
      <w:r w:rsidR="006951A4">
        <w:rPr>
          <w:sz w:val="18"/>
          <w:szCs w:val="18"/>
        </w:rPr>
        <w:t xml:space="preserve">organisation non gouvernementale </w:t>
      </w:r>
      <w:r w:rsidRPr="00EE10E9">
        <w:rPr>
          <w:sz w:val="18"/>
          <w:szCs w:val="18"/>
        </w:rPr>
        <w:t>«Groupe Développement» et le B</w:t>
      </w:r>
      <w:r w:rsidR="000F0B19">
        <w:rPr>
          <w:sz w:val="18"/>
          <w:szCs w:val="18"/>
        </w:rPr>
        <w:t>ureau international du Travail</w:t>
      </w:r>
      <w:r w:rsidRPr="00EE10E9">
        <w:rPr>
          <w:sz w:val="18"/>
          <w:szCs w:val="18"/>
        </w:rPr>
        <w:t>.</w:t>
      </w:r>
    </w:p>
    <w:p w:rsidR="00C277EB" w:rsidRPr="00592AD1" w:rsidRDefault="00EE10E9" w:rsidP="00EE10E9">
      <w:pPr>
        <w:pStyle w:val="H1G"/>
      </w:pPr>
      <w:r>
        <w:lastRenderedPageBreak/>
        <w:tab/>
      </w:r>
      <w:r>
        <w:tab/>
        <w:t>Pornographie</w:t>
      </w:r>
      <w:r w:rsidRPr="00592AD1">
        <w:t xml:space="preserve"> mettant</w:t>
      </w:r>
      <w:r>
        <w:t xml:space="preserve"> </w:t>
      </w:r>
      <w:r w:rsidR="006951A4">
        <w:t xml:space="preserve">en </w:t>
      </w:r>
      <w:r>
        <w:t xml:space="preserve">scène des </w:t>
      </w:r>
      <w:r w:rsidRPr="00592AD1">
        <w:t>enfants</w:t>
      </w:r>
    </w:p>
    <w:p w:rsidR="00C277EB" w:rsidRPr="00592AD1" w:rsidRDefault="00EE10E9">
      <w:pPr>
        <w:pStyle w:val="H23G"/>
      </w:pPr>
      <w:r>
        <w:tab/>
      </w:r>
      <w:r>
        <w:tab/>
      </w:r>
      <w:r w:rsidR="0061758F">
        <w:t>Un</w:t>
      </w:r>
      <w:r w:rsidR="00C277EB" w:rsidRPr="00592AD1">
        <w:t xml:space="preserve"> </w:t>
      </w:r>
      <w:r w:rsidR="0061758F">
        <w:t>s</w:t>
      </w:r>
      <w:r w:rsidR="00C277EB" w:rsidRPr="00592AD1">
        <w:t>eul</w:t>
      </w:r>
      <w:r w:rsidR="0078184B">
        <w:t xml:space="preserve"> </w:t>
      </w:r>
      <w:r w:rsidR="00C277EB" w:rsidRPr="00592AD1">
        <w:t>cas</w:t>
      </w:r>
      <w:r w:rsidR="0078184B">
        <w:t xml:space="preserve"> </w:t>
      </w:r>
      <w:r w:rsidR="00C277EB" w:rsidRPr="00592AD1">
        <w:t>(année</w:t>
      </w:r>
      <w:r w:rsidR="0078184B">
        <w:t xml:space="preserve"> </w:t>
      </w:r>
      <w:r w:rsidR="00C277EB" w:rsidRPr="00592AD1">
        <w:t>2011)</w:t>
      </w:r>
    </w:p>
    <w:p w:rsidR="00C277EB" w:rsidRPr="00592AD1" w:rsidRDefault="00217000" w:rsidP="00217000">
      <w:pPr>
        <w:pStyle w:val="SingleTxtG"/>
      </w:pPr>
      <w:r w:rsidRPr="00592AD1">
        <w:t>5.</w:t>
      </w:r>
      <w:r w:rsidRPr="00592AD1">
        <w:tab/>
      </w:r>
      <w:r w:rsidR="00C277EB" w:rsidRPr="00592AD1">
        <w:t>Un</w:t>
      </w:r>
      <w:r w:rsidR="0078184B">
        <w:t xml:space="preserve"> </w:t>
      </w:r>
      <w:r w:rsidR="00C277EB" w:rsidRPr="00592AD1">
        <w:t>français</w:t>
      </w:r>
      <w:r w:rsidR="0078184B">
        <w:t xml:space="preserve"> </w:t>
      </w:r>
      <w:r w:rsidR="00C277EB" w:rsidRPr="00592AD1">
        <w:t>âgé</w:t>
      </w:r>
      <w:r w:rsidR="0078184B">
        <w:t xml:space="preserve"> </w:t>
      </w:r>
      <w:r w:rsidR="00C277EB" w:rsidRPr="00592AD1">
        <w:t>de</w:t>
      </w:r>
      <w:r w:rsidR="0078184B">
        <w:t xml:space="preserve"> </w:t>
      </w:r>
      <w:r w:rsidR="00C277EB" w:rsidRPr="00592AD1">
        <w:t>60</w:t>
      </w:r>
      <w:r w:rsidR="0078184B">
        <w:t xml:space="preserve"> </w:t>
      </w:r>
      <w:r w:rsidR="00C277EB" w:rsidRPr="00592AD1">
        <w:t>ans</w:t>
      </w:r>
      <w:r w:rsidR="0078184B">
        <w:t xml:space="preserve"> </w:t>
      </w:r>
      <w:r w:rsidR="00C277EB" w:rsidRPr="00592AD1">
        <w:t>avait</w:t>
      </w:r>
      <w:r w:rsidR="0078184B">
        <w:t xml:space="preserve"> </w:t>
      </w:r>
      <w:r w:rsidR="00C277EB" w:rsidRPr="00592AD1">
        <w:t>abusé</w:t>
      </w:r>
      <w:r w:rsidR="0078184B">
        <w:t xml:space="preserve"> </w:t>
      </w:r>
      <w:r w:rsidR="00C277EB" w:rsidRPr="00592AD1">
        <w:t>une</w:t>
      </w:r>
      <w:r w:rsidR="0078184B">
        <w:t xml:space="preserve"> </w:t>
      </w:r>
      <w:r w:rsidR="00C277EB" w:rsidRPr="00592AD1">
        <w:t>jeune</w:t>
      </w:r>
      <w:r w:rsidR="0078184B">
        <w:t xml:space="preserve"> </w:t>
      </w:r>
      <w:r w:rsidR="00C277EB" w:rsidRPr="00592AD1">
        <w:t>fille</w:t>
      </w:r>
      <w:r w:rsidR="0078184B">
        <w:t xml:space="preserve"> </w:t>
      </w:r>
      <w:r w:rsidR="00C277EB" w:rsidRPr="00592AD1">
        <w:t>de</w:t>
      </w:r>
      <w:r w:rsidR="0078184B">
        <w:t xml:space="preserve"> </w:t>
      </w:r>
      <w:r w:rsidR="00C277EB" w:rsidRPr="00592AD1">
        <w:t>13 ans</w:t>
      </w:r>
      <w:r w:rsidR="006951A4">
        <w:t>;</w:t>
      </w:r>
      <w:r w:rsidR="0078184B">
        <w:t xml:space="preserve"> </w:t>
      </w:r>
      <w:r w:rsidR="00C277EB" w:rsidRPr="00592AD1">
        <w:t>cette</w:t>
      </w:r>
      <w:r w:rsidR="0078184B">
        <w:t xml:space="preserve"> </w:t>
      </w:r>
      <w:r w:rsidR="00C277EB" w:rsidRPr="00592AD1">
        <w:t>scène</w:t>
      </w:r>
      <w:r w:rsidR="0078184B">
        <w:t xml:space="preserve"> </w:t>
      </w:r>
      <w:r w:rsidR="00C277EB" w:rsidRPr="00592AD1">
        <w:t>a été</w:t>
      </w:r>
      <w:r w:rsidR="0078184B">
        <w:t xml:space="preserve"> </w:t>
      </w:r>
      <w:r w:rsidR="00C277EB" w:rsidRPr="00592AD1">
        <w:t>filmée</w:t>
      </w:r>
      <w:r w:rsidR="0078184B">
        <w:t xml:space="preserve"> </w:t>
      </w:r>
      <w:r w:rsidR="00C277EB" w:rsidRPr="00592AD1">
        <w:t>et</w:t>
      </w:r>
      <w:r w:rsidR="0078184B">
        <w:t xml:space="preserve"> </w:t>
      </w:r>
      <w:r w:rsidR="00C277EB" w:rsidRPr="00592AD1">
        <w:t>publiée. Une</w:t>
      </w:r>
      <w:r w:rsidR="0078184B">
        <w:t xml:space="preserve"> </w:t>
      </w:r>
      <w:r w:rsidR="00C277EB" w:rsidRPr="00592AD1">
        <w:t>enquête</w:t>
      </w:r>
      <w:r w:rsidR="0078184B">
        <w:t xml:space="preserve"> </w:t>
      </w:r>
      <w:r w:rsidR="00C277EB" w:rsidRPr="00592AD1">
        <w:t>à</w:t>
      </w:r>
      <w:r w:rsidR="0078184B">
        <w:t xml:space="preserve"> </w:t>
      </w:r>
      <w:r w:rsidR="00C277EB" w:rsidRPr="00592AD1">
        <w:t>l’encontre</w:t>
      </w:r>
      <w:r w:rsidR="0078184B">
        <w:t xml:space="preserve"> </w:t>
      </w:r>
      <w:r w:rsidR="00C277EB" w:rsidRPr="00592AD1">
        <w:t>des</w:t>
      </w:r>
      <w:r w:rsidR="0078184B">
        <w:t xml:space="preserve"> </w:t>
      </w:r>
      <w:r w:rsidR="00C277EB" w:rsidRPr="00592AD1">
        <w:t>auteurs</w:t>
      </w:r>
      <w:r w:rsidR="0078184B">
        <w:t xml:space="preserve"> </w:t>
      </w:r>
      <w:r w:rsidR="00C277EB" w:rsidRPr="00592AD1">
        <w:t>de</w:t>
      </w:r>
      <w:r w:rsidR="0078184B">
        <w:t xml:space="preserve"> </w:t>
      </w:r>
      <w:r w:rsidR="00C277EB" w:rsidRPr="00592AD1">
        <w:t>cet</w:t>
      </w:r>
      <w:r w:rsidR="0078184B">
        <w:t xml:space="preserve"> </w:t>
      </w:r>
      <w:r w:rsidR="00C277EB" w:rsidRPr="00592AD1">
        <w:t>acte</w:t>
      </w:r>
      <w:r w:rsidR="0078184B">
        <w:t xml:space="preserve"> </w:t>
      </w:r>
      <w:r w:rsidR="00C277EB" w:rsidRPr="00592AD1">
        <w:t>a</w:t>
      </w:r>
      <w:r w:rsidR="0078184B">
        <w:t xml:space="preserve"> </w:t>
      </w:r>
      <w:r w:rsidR="00C277EB" w:rsidRPr="00592AD1">
        <w:t>été</w:t>
      </w:r>
      <w:r w:rsidR="0078184B">
        <w:t xml:space="preserve"> </w:t>
      </w:r>
      <w:r w:rsidR="00C277EB" w:rsidRPr="00592AD1">
        <w:t>ouverte,</w:t>
      </w:r>
      <w:r w:rsidR="0078184B">
        <w:t xml:space="preserve"> </w:t>
      </w:r>
      <w:r w:rsidR="006951A4">
        <w:t>trois</w:t>
      </w:r>
      <w:r w:rsidR="0078184B">
        <w:t xml:space="preserve"> </w:t>
      </w:r>
      <w:r w:rsidR="00C277EB" w:rsidRPr="00592AD1">
        <w:t>individus</w:t>
      </w:r>
      <w:r w:rsidR="0078184B">
        <w:t xml:space="preserve"> </w:t>
      </w:r>
      <w:r w:rsidR="00C277EB" w:rsidRPr="00592AD1">
        <w:t>complice</w:t>
      </w:r>
      <w:r w:rsidR="006951A4">
        <w:t>s</w:t>
      </w:r>
      <w:r w:rsidR="00C277EB" w:rsidRPr="00592AD1">
        <w:t xml:space="preserve"> </w:t>
      </w:r>
      <w:r w:rsidR="006951A4">
        <w:t xml:space="preserve">ont été </w:t>
      </w:r>
      <w:r w:rsidR="00C277EB" w:rsidRPr="00592AD1">
        <w:t>placés</w:t>
      </w:r>
      <w:r w:rsidR="0078184B">
        <w:t xml:space="preserve"> </w:t>
      </w:r>
      <w:r w:rsidR="00C277EB" w:rsidRPr="00592AD1">
        <w:t>sous</w:t>
      </w:r>
      <w:r w:rsidR="0078184B">
        <w:t xml:space="preserve"> </w:t>
      </w:r>
      <w:r w:rsidR="00C277EB" w:rsidRPr="00592AD1">
        <w:t>mandat</w:t>
      </w:r>
      <w:r w:rsidR="0078184B">
        <w:t xml:space="preserve"> </w:t>
      </w:r>
      <w:r w:rsidR="00C277EB" w:rsidRPr="00592AD1">
        <w:t>de</w:t>
      </w:r>
      <w:r w:rsidR="0078184B">
        <w:t xml:space="preserve"> </w:t>
      </w:r>
      <w:r w:rsidR="00C277EB" w:rsidRPr="00592AD1">
        <w:t>dépôt</w:t>
      </w:r>
      <w:r w:rsidR="0078184B">
        <w:t xml:space="preserve"> </w:t>
      </w:r>
      <w:r w:rsidR="00C277EB" w:rsidRPr="00592AD1">
        <w:t>à</w:t>
      </w:r>
      <w:r w:rsidR="0078184B">
        <w:t xml:space="preserve"> </w:t>
      </w:r>
      <w:r w:rsidR="00C277EB" w:rsidRPr="00592AD1">
        <w:t>la</w:t>
      </w:r>
      <w:r w:rsidR="0078184B">
        <w:t xml:space="preserve"> </w:t>
      </w:r>
      <w:r w:rsidR="00C277EB" w:rsidRPr="00592AD1">
        <w:t>maison</w:t>
      </w:r>
      <w:r w:rsidR="0078184B">
        <w:t xml:space="preserve"> </w:t>
      </w:r>
      <w:r w:rsidR="006951A4">
        <w:t>c</w:t>
      </w:r>
      <w:r w:rsidR="00C277EB" w:rsidRPr="00592AD1">
        <w:t>entral</w:t>
      </w:r>
      <w:r w:rsidR="006951A4">
        <w:t>e</w:t>
      </w:r>
      <w:r w:rsidR="0078184B">
        <w:t xml:space="preserve"> </w:t>
      </w:r>
      <w:r w:rsidR="00C277EB" w:rsidRPr="00592AD1">
        <w:t>de Toamasina</w:t>
      </w:r>
      <w:r w:rsidR="0078184B">
        <w:t xml:space="preserve"> </w:t>
      </w:r>
      <w:r w:rsidR="00C277EB" w:rsidRPr="00592AD1">
        <w:t>au</w:t>
      </w:r>
      <w:r w:rsidR="0078184B">
        <w:t xml:space="preserve"> </w:t>
      </w:r>
      <w:r w:rsidR="00C277EB" w:rsidRPr="00592AD1">
        <w:t>mois de</w:t>
      </w:r>
      <w:r w:rsidR="0078184B">
        <w:t xml:space="preserve"> </w:t>
      </w:r>
      <w:r w:rsidR="00C277EB" w:rsidRPr="00592AD1">
        <w:t>juillet 2011,</w:t>
      </w:r>
      <w:r w:rsidR="0078184B">
        <w:t xml:space="preserve"> </w:t>
      </w:r>
      <w:r w:rsidR="00C277EB" w:rsidRPr="00592AD1">
        <w:t>tandis que</w:t>
      </w:r>
      <w:r w:rsidR="0078184B">
        <w:t xml:space="preserve"> </w:t>
      </w:r>
      <w:r w:rsidR="00C277EB" w:rsidRPr="00592AD1">
        <w:t>l’auteur</w:t>
      </w:r>
      <w:r w:rsidR="0078184B">
        <w:t xml:space="preserve"> </w:t>
      </w:r>
      <w:r w:rsidR="00C277EB" w:rsidRPr="00592AD1">
        <w:t>principal</w:t>
      </w:r>
      <w:r w:rsidR="0078184B">
        <w:t xml:space="preserve"> </w:t>
      </w:r>
      <w:r w:rsidR="00C277EB" w:rsidRPr="00592AD1">
        <w:t>a</w:t>
      </w:r>
      <w:r w:rsidR="0078184B">
        <w:t xml:space="preserve"> </w:t>
      </w:r>
      <w:r w:rsidR="00C277EB" w:rsidRPr="00592AD1">
        <w:t>été</w:t>
      </w:r>
      <w:r w:rsidR="0078184B">
        <w:t xml:space="preserve"> </w:t>
      </w:r>
      <w:r w:rsidR="00C277EB" w:rsidRPr="00592AD1">
        <w:t>arrêté</w:t>
      </w:r>
      <w:r w:rsidR="0078184B">
        <w:t xml:space="preserve"> </w:t>
      </w:r>
      <w:r w:rsidR="00C277EB" w:rsidRPr="00592AD1">
        <w:t>par</w:t>
      </w:r>
      <w:r w:rsidR="0078184B">
        <w:t xml:space="preserve"> </w:t>
      </w:r>
      <w:r w:rsidR="00C277EB" w:rsidRPr="00592AD1">
        <w:t>les</w:t>
      </w:r>
      <w:r w:rsidR="0078184B">
        <w:t xml:space="preserve"> </w:t>
      </w:r>
      <w:r w:rsidR="00C277EB" w:rsidRPr="00592AD1">
        <w:t>autorités</w:t>
      </w:r>
      <w:r w:rsidR="0078184B">
        <w:t xml:space="preserve"> </w:t>
      </w:r>
      <w:r w:rsidR="00C277EB" w:rsidRPr="00592AD1">
        <w:t>françaises</w:t>
      </w:r>
      <w:r w:rsidR="0078184B">
        <w:t xml:space="preserve"> </w:t>
      </w:r>
      <w:r w:rsidR="00C277EB" w:rsidRPr="00592AD1">
        <w:t>et</w:t>
      </w:r>
      <w:r w:rsidR="0078184B">
        <w:t xml:space="preserve"> </w:t>
      </w:r>
      <w:r w:rsidR="00C277EB" w:rsidRPr="00592AD1">
        <w:t>emprisonné</w:t>
      </w:r>
      <w:r w:rsidR="0078184B">
        <w:t xml:space="preserve"> </w:t>
      </w:r>
      <w:r w:rsidR="00C277EB" w:rsidRPr="00592AD1">
        <w:t>en</w:t>
      </w:r>
      <w:r w:rsidR="0078184B">
        <w:t xml:space="preserve"> </w:t>
      </w:r>
      <w:r w:rsidR="00C277EB" w:rsidRPr="00592AD1">
        <w:t>France au</w:t>
      </w:r>
      <w:r w:rsidR="0078184B">
        <w:t xml:space="preserve"> </w:t>
      </w:r>
      <w:r w:rsidR="00C277EB" w:rsidRPr="00592AD1">
        <w:t>mois</w:t>
      </w:r>
      <w:r w:rsidR="0078184B">
        <w:t xml:space="preserve"> </w:t>
      </w:r>
      <w:r w:rsidR="00C277EB" w:rsidRPr="00592AD1">
        <w:t>de</w:t>
      </w:r>
      <w:r w:rsidR="0078184B">
        <w:t xml:space="preserve"> </w:t>
      </w:r>
      <w:r w:rsidR="00C277EB" w:rsidRPr="00592AD1">
        <w:t>juin 2013.</w:t>
      </w:r>
    </w:p>
    <w:p w:rsidR="00C277EB" w:rsidRPr="00592AD1" w:rsidRDefault="00217000" w:rsidP="00217000">
      <w:pPr>
        <w:pStyle w:val="SingleTxtG"/>
      </w:pPr>
      <w:r w:rsidRPr="00592AD1">
        <w:t>6.</w:t>
      </w:r>
      <w:r w:rsidRPr="00592AD1">
        <w:tab/>
      </w:r>
      <w:r w:rsidR="00C277EB" w:rsidRPr="00592AD1">
        <w:t>En 2011-2012, l’étude réalisée par l’</w:t>
      </w:r>
      <w:r w:rsidR="006951A4">
        <w:rPr>
          <w:sz w:val="18"/>
          <w:szCs w:val="18"/>
        </w:rPr>
        <w:t xml:space="preserve">organisation non gouvernementale </w:t>
      </w:r>
      <w:r w:rsidR="00C277EB" w:rsidRPr="00592AD1">
        <w:t>«Groupe Développement» sur la prostitution des enfants dans les villes d’Antananarivo, Mahajanga et Nosy Be, a montré que la tranche d’âge d’entrée des enfants dans la prostitution dans ces trois localités est de 13 à 17 ans.</w:t>
      </w:r>
    </w:p>
    <w:p w:rsidR="00C277EB" w:rsidRPr="00592AD1" w:rsidRDefault="00217000" w:rsidP="00217000">
      <w:pPr>
        <w:pStyle w:val="SingleTxtG"/>
      </w:pPr>
      <w:r w:rsidRPr="00592AD1">
        <w:t>7.</w:t>
      </w:r>
      <w:r w:rsidRPr="00592AD1">
        <w:tab/>
      </w:r>
      <w:r w:rsidR="00C277EB" w:rsidRPr="00592AD1">
        <w:t xml:space="preserve">Les résultats d’enquête ont dégagé que 56 % des cas évoquent des raisons financières pour expliquer leur entrée dans la prostitution, et 85 % des </w:t>
      </w:r>
      <w:r w:rsidR="006951A4">
        <w:t xml:space="preserve">personnes interrogées </w:t>
      </w:r>
      <w:r w:rsidR="00C277EB" w:rsidRPr="00592AD1">
        <w:t>ont déclaré vouloir sortir de la prostitution. Dans le cas d’Antananarivo, la prostitution des mineurs est liée en majeure partie à des raisons de survie (57 % de prostitution de survie, 56 % de ces jeunes filles vivent dans les bas quartiers de la capitale).</w:t>
      </w:r>
    </w:p>
    <w:p w:rsidR="00C277EB" w:rsidRPr="00592AD1" w:rsidRDefault="00217000" w:rsidP="00217000">
      <w:pPr>
        <w:pStyle w:val="SingleTxtG"/>
      </w:pPr>
      <w:r w:rsidRPr="00592AD1">
        <w:t>8.</w:t>
      </w:r>
      <w:r w:rsidRPr="00592AD1">
        <w:tab/>
      </w:r>
      <w:r w:rsidR="00C277EB" w:rsidRPr="00592AD1">
        <w:t xml:space="preserve">L’enquête menée par le </w:t>
      </w:r>
      <w:r w:rsidR="000F0B19">
        <w:t>Bureau international du Travail (</w:t>
      </w:r>
      <w:r w:rsidR="00C277EB" w:rsidRPr="00592AD1">
        <w:t>BIT</w:t>
      </w:r>
      <w:r w:rsidR="000F0B19">
        <w:t>)</w:t>
      </w:r>
      <w:r w:rsidR="00C277EB" w:rsidRPr="00592AD1">
        <w:t xml:space="preserve"> sur les enfants victimes de l’exploitation sexuelle dans les villes d’Antsiranana, de Toliara et d’Antananarivo a souligné l’ampleur du phénomène et a indiqué que l’âge moyen du début de la prostitution se situerait autour de 13 ans pour les filles et de 12 ans pour les garçons. La </w:t>
      </w:r>
      <w:r w:rsidR="0061758F" w:rsidRPr="00EE10E9">
        <w:rPr>
          <w:sz w:val="18"/>
          <w:szCs w:val="18"/>
        </w:rPr>
        <w:t xml:space="preserve">Police des </w:t>
      </w:r>
      <w:r w:rsidR="0061758F">
        <w:rPr>
          <w:sz w:val="18"/>
          <w:szCs w:val="18"/>
        </w:rPr>
        <w:t>m</w:t>
      </w:r>
      <w:r w:rsidR="0061758F" w:rsidRPr="00EE10E9">
        <w:rPr>
          <w:sz w:val="18"/>
          <w:szCs w:val="18"/>
        </w:rPr>
        <w:t xml:space="preserve">œurs et </w:t>
      </w:r>
      <w:r w:rsidR="0061758F">
        <w:rPr>
          <w:sz w:val="18"/>
          <w:szCs w:val="18"/>
        </w:rPr>
        <w:t>p</w:t>
      </w:r>
      <w:r w:rsidR="0061758F" w:rsidRPr="00EE10E9">
        <w:rPr>
          <w:sz w:val="18"/>
          <w:szCs w:val="18"/>
        </w:rPr>
        <w:t xml:space="preserve">rotection des </w:t>
      </w:r>
      <w:r w:rsidR="0061758F">
        <w:rPr>
          <w:sz w:val="18"/>
          <w:szCs w:val="18"/>
        </w:rPr>
        <w:t>m</w:t>
      </w:r>
      <w:r w:rsidR="0061758F" w:rsidRPr="00EE10E9">
        <w:rPr>
          <w:sz w:val="18"/>
          <w:szCs w:val="18"/>
        </w:rPr>
        <w:t>ineur</w:t>
      </w:r>
      <w:r w:rsidR="0061758F" w:rsidRPr="0061758F">
        <w:rPr>
          <w:sz w:val="18"/>
          <w:szCs w:val="18"/>
        </w:rPr>
        <w:t>s</w:t>
      </w:r>
      <w:r w:rsidR="00C277EB" w:rsidRPr="00592AD1">
        <w:t xml:space="preserve"> d’Antananarivo a confirmé que les enfants victimes d’exploitation sexuelle sont de plus en plus jeunes et que leur nombre ne cesse d’augmenter.</w:t>
      </w:r>
    </w:p>
    <w:p w:rsidR="00C277EB" w:rsidRPr="00592AD1" w:rsidRDefault="00EE10E9">
      <w:pPr>
        <w:pStyle w:val="H1G"/>
      </w:pPr>
      <w:r>
        <w:tab/>
      </w:r>
      <w:r>
        <w:tab/>
      </w:r>
      <w:r w:rsidRPr="00592AD1">
        <w:t xml:space="preserve">Coordination de l’application du </w:t>
      </w:r>
      <w:r w:rsidR="007E5B53">
        <w:t>P</w:t>
      </w:r>
      <w:r w:rsidRPr="00592AD1">
        <w:t>rotocole</w:t>
      </w:r>
      <w:r w:rsidR="007E5B53">
        <w:t xml:space="preserve"> facultatif</w:t>
      </w:r>
    </w:p>
    <w:p w:rsidR="00C277EB" w:rsidRPr="00592AD1" w:rsidRDefault="00217000" w:rsidP="00217000">
      <w:pPr>
        <w:pStyle w:val="SingleTxtG"/>
      </w:pPr>
      <w:r w:rsidRPr="00592AD1">
        <w:t>9.</w:t>
      </w:r>
      <w:r w:rsidRPr="00592AD1">
        <w:tab/>
      </w:r>
      <w:r w:rsidR="00C277EB" w:rsidRPr="00592AD1">
        <w:t>Pour plus de précisions par rapport au paragraphe</w:t>
      </w:r>
      <w:r w:rsidR="00013F4F">
        <w:t> </w:t>
      </w:r>
      <w:r w:rsidR="00C277EB" w:rsidRPr="00592AD1">
        <w:t>162 sur les mesures prises pour la coordination de l’application du Protocole</w:t>
      </w:r>
      <w:r w:rsidR="007E5B53">
        <w:t xml:space="preserve"> facultatif</w:t>
      </w:r>
      <w:r w:rsidR="00C277EB" w:rsidRPr="00592AD1">
        <w:t xml:space="preserve">, Madagascar s’est doté d’un Bureau </w:t>
      </w:r>
      <w:r w:rsidR="006951A4">
        <w:t>n</w:t>
      </w:r>
      <w:r w:rsidR="00C277EB" w:rsidRPr="00592AD1">
        <w:t xml:space="preserve">ational de </w:t>
      </w:r>
      <w:r w:rsidR="006951A4">
        <w:t>l</w:t>
      </w:r>
      <w:r w:rsidR="00C277EB" w:rsidRPr="00592AD1">
        <w:t xml:space="preserve">utte contre la </w:t>
      </w:r>
      <w:r w:rsidR="006951A4">
        <w:t>t</w:t>
      </w:r>
      <w:r w:rsidR="00C277EB" w:rsidRPr="00592AD1">
        <w:t xml:space="preserve">raite des </w:t>
      </w:r>
      <w:r w:rsidR="00E549B7">
        <w:t>ê</w:t>
      </w:r>
      <w:r w:rsidR="00C277EB" w:rsidRPr="00592AD1">
        <w:t xml:space="preserve">tres </w:t>
      </w:r>
      <w:r w:rsidR="00E549B7">
        <w:t>h</w:t>
      </w:r>
      <w:r w:rsidR="00C277EB" w:rsidRPr="00592AD1">
        <w:t xml:space="preserve">umains institué par le décret </w:t>
      </w:r>
      <w:r w:rsidR="00E549B7" w:rsidRPr="00592AD1">
        <w:t>n</w:t>
      </w:r>
      <w:r w:rsidR="00E549B7" w:rsidRPr="00D75A10">
        <w:rPr>
          <w:vertAlign w:val="superscript"/>
        </w:rPr>
        <w:t>o</w:t>
      </w:r>
      <w:r w:rsidR="00E549B7">
        <w:t> </w:t>
      </w:r>
      <w:r w:rsidR="00C277EB" w:rsidRPr="00592AD1">
        <w:t>2015-269 du 3</w:t>
      </w:r>
      <w:r w:rsidR="0061758F">
        <w:t> </w:t>
      </w:r>
      <w:r w:rsidR="00C277EB" w:rsidRPr="00592AD1">
        <w:t>mars 2015. L’</w:t>
      </w:r>
      <w:r w:rsidR="00C80B89">
        <w:t>article </w:t>
      </w:r>
      <w:r w:rsidR="00C277EB" w:rsidRPr="00592AD1">
        <w:t>4 dudit décret stipule que</w:t>
      </w:r>
      <w:r w:rsidR="00E549B7">
        <w:t xml:space="preserve"> </w:t>
      </w:r>
      <w:r w:rsidR="00C277EB" w:rsidRPr="00592AD1">
        <w:t xml:space="preserve">le Bureau </w:t>
      </w:r>
      <w:r w:rsidR="006951A4">
        <w:t>n</w:t>
      </w:r>
      <w:r w:rsidR="00C277EB" w:rsidRPr="00592AD1">
        <w:t xml:space="preserve">ational de </w:t>
      </w:r>
      <w:r w:rsidR="006951A4">
        <w:t>l</w:t>
      </w:r>
      <w:r w:rsidR="00C277EB" w:rsidRPr="00592AD1">
        <w:t xml:space="preserve">utte contre la </w:t>
      </w:r>
      <w:r w:rsidR="006951A4">
        <w:t>t</w:t>
      </w:r>
      <w:r w:rsidR="00C277EB" w:rsidRPr="00592AD1">
        <w:t>raite des êtres humains</w:t>
      </w:r>
      <w:r w:rsidR="00E549B7">
        <w:t xml:space="preserve"> </w:t>
      </w:r>
      <w:r w:rsidR="00C277EB" w:rsidRPr="00592AD1">
        <w:t>est chargé</w:t>
      </w:r>
      <w:r w:rsidR="00E549B7">
        <w:t xml:space="preserve"> </w:t>
      </w:r>
      <w:r w:rsidR="00C277EB" w:rsidRPr="00592AD1">
        <w:t>de</w:t>
      </w:r>
      <w:r w:rsidR="006F39CA">
        <w:t xml:space="preserve">: </w:t>
      </w:r>
    </w:p>
    <w:p w:rsidR="00C277EB" w:rsidRPr="00592AD1" w:rsidRDefault="00217000" w:rsidP="00217000">
      <w:pPr>
        <w:pStyle w:val="Bullet1G"/>
        <w:numPr>
          <w:ilvl w:val="0"/>
          <w:numId w:val="0"/>
        </w:numPr>
        <w:tabs>
          <w:tab w:val="left" w:pos="1701"/>
        </w:tabs>
        <w:ind w:left="1701" w:hanging="170"/>
      </w:pPr>
      <w:r w:rsidRPr="00592AD1">
        <w:t>•</w:t>
      </w:r>
      <w:r w:rsidRPr="00592AD1">
        <w:tab/>
      </w:r>
      <w:r w:rsidR="00E549B7">
        <w:t>É</w:t>
      </w:r>
      <w:r w:rsidR="00C277EB" w:rsidRPr="00592AD1">
        <w:t>laborer une politique nationale de lutte contre la traite des êtres humains</w:t>
      </w:r>
      <w:r w:rsidR="006F39CA">
        <w:t>;</w:t>
      </w:r>
    </w:p>
    <w:p w:rsidR="00C277EB" w:rsidRPr="00592AD1" w:rsidRDefault="00217000" w:rsidP="00217000">
      <w:pPr>
        <w:pStyle w:val="Bullet1G"/>
        <w:numPr>
          <w:ilvl w:val="0"/>
          <w:numId w:val="0"/>
        </w:numPr>
        <w:tabs>
          <w:tab w:val="left" w:pos="1701"/>
        </w:tabs>
        <w:ind w:left="1701" w:hanging="170"/>
      </w:pPr>
      <w:r w:rsidRPr="00592AD1">
        <w:t>•</w:t>
      </w:r>
      <w:r w:rsidRPr="00592AD1">
        <w:tab/>
      </w:r>
      <w:r w:rsidR="00E549B7">
        <w:t>H</w:t>
      </w:r>
      <w:r w:rsidR="00C277EB" w:rsidRPr="00592AD1">
        <w:t>armoniser et coordonner les actions de prévention et de protection des victimes de traite;</w:t>
      </w:r>
    </w:p>
    <w:p w:rsidR="00C277EB" w:rsidRPr="00592AD1" w:rsidRDefault="00217000" w:rsidP="00217000">
      <w:pPr>
        <w:pStyle w:val="Bullet1G"/>
        <w:numPr>
          <w:ilvl w:val="0"/>
          <w:numId w:val="0"/>
        </w:numPr>
        <w:tabs>
          <w:tab w:val="left" w:pos="1701"/>
        </w:tabs>
        <w:ind w:left="1701" w:hanging="170"/>
      </w:pPr>
      <w:r w:rsidRPr="00592AD1">
        <w:t>•</w:t>
      </w:r>
      <w:r w:rsidRPr="00592AD1">
        <w:tab/>
      </w:r>
      <w:r w:rsidR="00E549B7">
        <w:t>C</w:t>
      </w:r>
      <w:r w:rsidR="00C277EB" w:rsidRPr="00592AD1">
        <w:t>entraliser les informations et les données relatives à la traite des êtres humains, et les exploiter en vue de l’élaboration d’une politique nationale de prévention de la criminalité liée à la traite;</w:t>
      </w:r>
    </w:p>
    <w:p w:rsidR="00C277EB" w:rsidRPr="00592AD1" w:rsidRDefault="00217000" w:rsidP="00217000">
      <w:pPr>
        <w:pStyle w:val="Bullet1G"/>
        <w:numPr>
          <w:ilvl w:val="0"/>
          <w:numId w:val="0"/>
        </w:numPr>
        <w:tabs>
          <w:tab w:val="left" w:pos="1701"/>
        </w:tabs>
        <w:ind w:left="1701" w:hanging="170"/>
      </w:pPr>
      <w:r w:rsidRPr="00592AD1">
        <w:t>•</w:t>
      </w:r>
      <w:r w:rsidRPr="00592AD1">
        <w:tab/>
      </w:r>
      <w:r w:rsidR="00E549B7">
        <w:t>A</w:t>
      </w:r>
      <w:r w:rsidR="00C277EB" w:rsidRPr="00592AD1">
        <w:t>ssurer le suivi de la mise en œuvre du</w:t>
      </w:r>
      <w:r w:rsidR="0078184B">
        <w:t xml:space="preserve"> </w:t>
      </w:r>
      <w:r w:rsidR="00C277EB" w:rsidRPr="00592AD1">
        <w:t xml:space="preserve">Plan </w:t>
      </w:r>
      <w:r w:rsidR="0009166B">
        <w:t>n</w:t>
      </w:r>
      <w:r w:rsidR="00C277EB" w:rsidRPr="00592AD1">
        <w:t>ational d’action de lutte contre la traite</w:t>
      </w:r>
      <w:r w:rsidR="00F91F7D">
        <w:t>.</w:t>
      </w:r>
    </w:p>
    <w:p w:rsidR="00C277EB" w:rsidRPr="00592AD1" w:rsidRDefault="00217000" w:rsidP="00217000">
      <w:pPr>
        <w:pStyle w:val="SingleTxtG"/>
      </w:pPr>
      <w:r w:rsidRPr="00592AD1">
        <w:t>10.</w:t>
      </w:r>
      <w:r w:rsidRPr="00592AD1">
        <w:tab/>
      </w:r>
      <w:r w:rsidR="00C277EB" w:rsidRPr="00592AD1">
        <w:t xml:space="preserve">Madagascar dispose également d’un Plan </w:t>
      </w:r>
      <w:r w:rsidR="006A259F">
        <w:t>n</w:t>
      </w:r>
      <w:r w:rsidR="00C277EB" w:rsidRPr="00592AD1">
        <w:t>ational d’</w:t>
      </w:r>
      <w:r w:rsidR="006A259F">
        <w:t>a</w:t>
      </w:r>
      <w:r w:rsidR="00C277EB" w:rsidRPr="00592AD1">
        <w:t>ction de lutte contre la traite des êtres humains incluant la vente d’enfant, la prostitution des enfants et la pornographie mettant en scène des enfants.</w:t>
      </w:r>
    </w:p>
    <w:p w:rsidR="00C277EB" w:rsidRPr="00592AD1" w:rsidRDefault="00EE10E9">
      <w:pPr>
        <w:pStyle w:val="H1G"/>
      </w:pPr>
      <w:r>
        <w:lastRenderedPageBreak/>
        <w:tab/>
      </w:r>
      <w:r>
        <w:tab/>
      </w:r>
      <w:r w:rsidRPr="00592AD1">
        <w:t xml:space="preserve">Reformes législatives sur la vente d’enfants, le transfert d’organes </w:t>
      </w:r>
      <w:r w:rsidR="00E005D0">
        <w:br/>
      </w:r>
      <w:r w:rsidRPr="00592AD1">
        <w:t>et le travail forc</w:t>
      </w:r>
      <w:r w:rsidR="00F91F7D">
        <w:t>é</w:t>
      </w:r>
      <w:r w:rsidRPr="00592AD1">
        <w:t xml:space="preserve"> </w:t>
      </w:r>
      <w:r w:rsidR="00C277EB" w:rsidRPr="00592AD1">
        <w:t>(</w:t>
      </w:r>
      <w:r w:rsidR="00C277EB" w:rsidRPr="0061758F">
        <w:t>par</w:t>
      </w:r>
      <w:r w:rsidR="00C80B89" w:rsidRPr="0061758F">
        <w:t>. </w:t>
      </w:r>
      <w:r w:rsidR="00C277EB" w:rsidRPr="0061758F">
        <w:t>29 à 31 du rapport)</w:t>
      </w:r>
    </w:p>
    <w:p w:rsidR="00C277EB" w:rsidRPr="00592AD1" w:rsidRDefault="00217000" w:rsidP="00217000">
      <w:pPr>
        <w:pStyle w:val="SingleTxtG"/>
      </w:pPr>
      <w:r w:rsidRPr="00592AD1">
        <w:t>11.</w:t>
      </w:r>
      <w:r w:rsidRPr="00592AD1">
        <w:tab/>
      </w:r>
      <w:r w:rsidR="00C277EB" w:rsidRPr="0061758F">
        <w:t>L’</w:t>
      </w:r>
      <w:r w:rsidR="002A7451" w:rsidRPr="0061758F">
        <w:t>É</w:t>
      </w:r>
      <w:r w:rsidR="00C277EB" w:rsidRPr="0061758F">
        <w:t xml:space="preserve">tat </w:t>
      </w:r>
      <w:r w:rsidR="00F91F7D" w:rsidRPr="0061758F">
        <w:t>m</w:t>
      </w:r>
      <w:r w:rsidR="00C277EB" w:rsidRPr="0061758F">
        <w:t>alagasy a</w:t>
      </w:r>
      <w:r w:rsidR="00C277EB" w:rsidRPr="00592AD1">
        <w:t xml:space="preserve"> adopté la loi n</w:t>
      </w:r>
      <w:r w:rsidR="00C80B89" w:rsidRPr="00781618">
        <w:rPr>
          <w:vertAlign w:val="superscript"/>
        </w:rPr>
        <w:t>o</w:t>
      </w:r>
      <w:r w:rsidR="00C80B89">
        <w:t> </w:t>
      </w:r>
      <w:r w:rsidR="00C277EB" w:rsidRPr="00592AD1">
        <w:t xml:space="preserve">2014-040 du 20 </w:t>
      </w:r>
      <w:r w:rsidR="00C80B89">
        <w:t>j</w:t>
      </w:r>
      <w:r w:rsidR="00C277EB" w:rsidRPr="00592AD1">
        <w:t>anvier 2015 sur la lutte contre la traite des êtres humains. Cette loi érige en infraction la vente d’enfants</w:t>
      </w:r>
      <w:r w:rsidR="00277644">
        <w:t xml:space="preserve"> telle que définie à l’</w:t>
      </w:r>
      <w:r w:rsidR="00C80B89">
        <w:t>article </w:t>
      </w:r>
      <w:r w:rsidR="00C277EB" w:rsidRPr="00592AD1">
        <w:t xml:space="preserve">2 du Protocole </w:t>
      </w:r>
      <w:r w:rsidR="00F91F7D">
        <w:t>f</w:t>
      </w:r>
      <w:r w:rsidR="00C277EB" w:rsidRPr="00592AD1">
        <w:t>acultatif, le transfert d’organes</w:t>
      </w:r>
      <w:r w:rsidR="001E2817">
        <w:rPr>
          <w:rStyle w:val="FootnoteReference"/>
        </w:rPr>
        <w:footnoteReference w:id="3"/>
      </w:r>
      <w:r w:rsidR="00C277EB" w:rsidRPr="00592AD1">
        <w:t xml:space="preserve"> de l’enfant à titre onéreux ainsi que la soumission de l’enfant au travail forcé</w:t>
      </w:r>
      <w:r w:rsidR="00C277EB" w:rsidRPr="00781618">
        <w:rPr>
          <w:rStyle w:val="FootnoteReference"/>
        </w:rPr>
        <w:footnoteReference w:id="4"/>
      </w:r>
      <w:r w:rsidR="00C277EB" w:rsidRPr="00592AD1">
        <w:t xml:space="preserve">. </w:t>
      </w:r>
    </w:p>
    <w:p w:rsidR="00C277EB" w:rsidRPr="00E549B7" w:rsidRDefault="00EE10E9">
      <w:pPr>
        <w:pStyle w:val="H1G"/>
        <w:rPr>
          <w:rStyle w:val="H1GChar"/>
          <w:b/>
        </w:rPr>
      </w:pPr>
      <w:r>
        <w:rPr>
          <w:rStyle w:val="H1GChar"/>
        </w:rPr>
        <w:tab/>
      </w:r>
      <w:r>
        <w:rPr>
          <w:rStyle w:val="H1GChar"/>
        </w:rPr>
        <w:tab/>
      </w:r>
      <w:r w:rsidR="00030BDE">
        <w:rPr>
          <w:rStyle w:val="H1GChar"/>
          <w:b/>
        </w:rPr>
        <w:t>P</w:t>
      </w:r>
      <w:r w:rsidRPr="00F91F7D">
        <w:rPr>
          <w:rStyle w:val="H1GChar"/>
          <w:b/>
        </w:rPr>
        <w:t xml:space="preserve">ornographie mettant en scène des enfants </w:t>
      </w:r>
      <w:r w:rsidR="00C277EB" w:rsidRPr="003274EF">
        <w:rPr>
          <w:rStyle w:val="H1GChar"/>
          <w:b/>
        </w:rPr>
        <w:t>(par</w:t>
      </w:r>
      <w:r w:rsidR="00E549B7" w:rsidRPr="0061758F">
        <w:rPr>
          <w:rStyle w:val="H1GChar"/>
          <w:b/>
        </w:rPr>
        <w:t>. </w:t>
      </w:r>
      <w:r w:rsidR="00C277EB" w:rsidRPr="0061758F">
        <w:rPr>
          <w:rStyle w:val="H1GChar"/>
          <w:b/>
        </w:rPr>
        <w:t>46 à 56 du rapport</w:t>
      </w:r>
      <w:r w:rsidR="00C277EB" w:rsidRPr="00F91F7D">
        <w:rPr>
          <w:rStyle w:val="H1GChar"/>
          <w:b/>
        </w:rPr>
        <w:t>)</w:t>
      </w:r>
    </w:p>
    <w:p w:rsidR="00C277EB" w:rsidRPr="0061758F" w:rsidRDefault="00217000" w:rsidP="00217000">
      <w:pPr>
        <w:pStyle w:val="SingleTxtG"/>
      </w:pPr>
      <w:r w:rsidRPr="0061758F">
        <w:t>12.</w:t>
      </w:r>
      <w:r w:rsidRPr="0061758F">
        <w:tab/>
      </w:r>
      <w:r w:rsidR="00C277EB" w:rsidRPr="00592AD1">
        <w:t>Le Code pénal malagasy punit d’une peine de 2 à 5 ans d’emprisonnement</w:t>
      </w:r>
      <w:r w:rsidR="0078184B">
        <w:t xml:space="preserve"> </w:t>
      </w:r>
      <w:r w:rsidR="00C277EB" w:rsidRPr="00592AD1">
        <w:t>et d’une amende de 1</w:t>
      </w:r>
      <w:r w:rsidR="004443B9">
        <w:t xml:space="preserve"> million </w:t>
      </w:r>
      <w:r w:rsidR="00E005D0">
        <w:t>à 10</w:t>
      </w:r>
      <w:r w:rsidR="004443B9">
        <w:t xml:space="preserve"> millions </w:t>
      </w:r>
      <w:r w:rsidR="00C277EB" w:rsidRPr="00592AD1">
        <w:t xml:space="preserve">d’ariary le fait de produire, de distribuer, de diffuser, d’importer, d’exporter, d’offrir, de vendre ou de détenir aux fins susmentionnées des matériels pornographiques mettant en scène des enfants, tels que définis </w:t>
      </w:r>
      <w:r w:rsidR="00C277EB" w:rsidRPr="0061758F">
        <w:t>à l’</w:t>
      </w:r>
      <w:r w:rsidR="00C80B89" w:rsidRPr="0061758F">
        <w:t>article </w:t>
      </w:r>
      <w:r w:rsidR="00C277EB" w:rsidRPr="0061758F">
        <w:t>2 du Protocole</w:t>
      </w:r>
      <w:r w:rsidR="007E5B53" w:rsidRPr="0061758F">
        <w:t xml:space="preserve"> facultatif</w:t>
      </w:r>
      <w:r w:rsidR="00C277EB" w:rsidRPr="0061758F">
        <w:t>.</w:t>
      </w:r>
    </w:p>
    <w:p w:rsidR="00C277EB" w:rsidRPr="00592AD1" w:rsidRDefault="00217000" w:rsidP="00217000">
      <w:pPr>
        <w:pStyle w:val="SingleTxtG"/>
      </w:pPr>
      <w:r w:rsidRPr="00592AD1">
        <w:t>13.</w:t>
      </w:r>
      <w:r w:rsidRPr="00592AD1">
        <w:tab/>
      </w:r>
      <w:r w:rsidR="00C277EB" w:rsidRPr="00592AD1">
        <w:t xml:space="preserve">La loi </w:t>
      </w:r>
      <w:r w:rsidR="00E549B7" w:rsidRPr="00592AD1">
        <w:t>n</w:t>
      </w:r>
      <w:r w:rsidR="00E549B7" w:rsidRPr="00D75A10">
        <w:rPr>
          <w:vertAlign w:val="superscript"/>
        </w:rPr>
        <w:t>o</w:t>
      </w:r>
      <w:r w:rsidR="00E549B7">
        <w:t> </w:t>
      </w:r>
      <w:r w:rsidR="00C277EB" w:rsidRPr="00592AD1">
        <w:t xml:space="preserve">2014-006 du 17 </w:t>
      </w:r>
      <w:r w:rsidR="00E549B7">
        <w:t>j</w:t>
      </w:r>
      <w:r w:rsidR="00C277EB" w:rsidRPr="00592AD1">
        <w:t>uillet 2014 sur la lutte contre la cybercriminalité réprime l’infraction de pédopornographie par le biais d’un support informatique ou électronique d’une peine de deux ans à cinq ans d’emprisonnement</w:t>
      </w:r>
      <w:r w:rsidR="0078184B">
        <w:t xml:space="preserve"> </w:t>
      </w:r>
      <w:r w:rsidR="007C4C01">
        <w:t xml:space="preserve">et </w:t>
      </w:r>
      <w:r w:rsidR="00F91F7D">
        <w:t xml:space="preserve">d’une amende </w:t>
      </w:r>
      <w:r w:rsidR="007C4C01">
        <w:t>de 2 </w:t>
      </w:r>
      <w:r w:rsidR="004443B9">
        <w:t xml:space="preserve">millions </w:t>
      </w:r>
      <w:r w:rsidR="00C277EB" w:rsidRPr="00592AD1">
        <w:t>à</w:t>
      </w:r>
      <w:r w:rsidR="0078184B">
        <w:t xml:space="preserve"> </w:t>
      </w:r>
      <w:r w:rsidR="00C277EB" w:rsidRPr="00592AD1">
        <w:t>10</w:t>
      </w:r>
      <w:r w:rsidR="007C4C01">
        <w:t> </w:t>
      </w:r>
      <w:r w:rsidR="004443B9">
        <w:t xml:space="preserve">millions </w:t>
      </w:r>
      <w:r w:rsidR="00F91F7D">
        <w:t>d’a</w:t>
      </w:r>
      <w:r w:rsidR="00C277EB" w:rsidRPr="00592AD1">
        <w:t xml:space="preserve">riary. </w:t>
      </w:r>
    </w:p>
    <w:p w:rsidR="00C277EB" w:rsidRPr="00592AD1" w:rsidRDefault="00EE10E9" w:rsidP="00362674">
      <w:pPr>
        <w:pStyle w:val="H1G"/>
      </w:pPr>
      <w:r>
        <w:tab/>
      </w:r>
      <w:r>
        <w:tab/>
      </w:r>
      <w:r w:rsidRPr="00592AD1">
        <w:t xml:space="preserve">Responsabilité de personnes morales </w:t>
      </w:r>
      <w:r w:rsidR="00C277EB" w:rsidRPr="00592AD1">
        <w:t>(</w:t>
      </w:r>
      <w:r w:rsidR="00C277EB" w:rsidRPr="0061758F">
        <w:t>par</w:t>
      </w:r>
      <w:r w:rsidR="00362674" w:rsidRPr="0061758F">
        <w:t>. </w:t>
      </w:r>
      <w:r w:rsidR="00C277EB" w:rsidRPr="0061758F">
        <w:t>57 à 60</w:t>
      </w:r>
      <w:r w:rsidR="0061758F">
        <w:t xml:space="preserve"> du rapport</w:t>
      </w:r>
      <w:r w:rsidR="00C277EB" w:rsidRPr="0061758F">
        <w:t>)</w:t>
      </w:r>
    </w:p>
    <w:p w:rsidR="00C277EB" w:rsidRPr="00592AD1" w:rsidRDefault="00EE10E9">
      <w:pPr>
        <w:pStyle w:val="H23G"/>
      </w:pPr>
      <w:r>
        <w:tab/>
      </w:r>
      <w:r>
        <w:tab/>
      </w:r>
      <w:r w:rsidR="00C277EB" w:rsidRPr="00592AD1">
        <w:t xml:space="preserve">Infractions visées au </w:t>
      </w:r>
      <w:r w:rsidR="007E5B53">
        <w:t>P</w:t>
      </w:r>
      <w:r w:rsidR="00C277EB" w:rsidRPr="00592AD1">
        <w:t>rotocole</w:t>
      </w:r>
      <w:r w:rsidR="007E5B53">
        <w:t xml:space="preserve"> facultatif</w:t>
      </w:r>
    </w:p>
    <w:p w:rsidR="00C277EB" w:rsidRPr="00592AD1" w:rsidRDefault="00217000" w:rsidP="00217000">
      <w:pPr>
        <w:pStyle w:val="SingleTxtG"/>
      </w:pPr>
      <w:r w:rsidRPr="00592AD1">
        <w:t>14.</w:t>
      </w:r>
      <w:r w:rsidRPr="00592AD1">
        <w:tab/>
      </w:r>
      <w:r w:rsidR="00C277EB" w:rsidRPr="00592AD1">
        <w:t xml:space="preserve">La loi </w:t>
      </w:r>
      <w:r w:rsidR="00E549B7" w:rsidRPr="00592AD1">
        <w:t>n</w:t>
      </w:r>
      <w:r w:rsidR="00E549B7" w:rsidRPr="00D75A10">
        <w:rPr>
          <w:vertAlign w:val="superscript"/>
        </w:rPr>
        <w:t>o</w:t>
      </w:r>
      <w:r w:rsidR="00E549B7">
        <w:t> </w:t>
      </w:r>
      <w:r w:rsidR="00C277EB" w:rsidRPr="00592AD1">
        <w:t xml:space="preserve">2014-040 du 20 </w:t>
      </w:r>
      <w:r w:rsidR="00E549B7">
        <w:t>j</w:t>
      </w:r>
      <w:r w:rsidR="00C277EB" w:rsidRPr="00592AD1">
        <w:t xml:space="preserve">anvier 2015 sur la lutte contre la traite des êtres humains a établi la responsabilité pénale de la personne morale en son </w:t>
      </w:r>
      <w:r w:rsidR="00C80B89">
        <w:t>article </w:t>
      </w:r>
      <w:r w:rsidR="00C277EB" w:rsidRPr="00592AD1">
        <w:t>30</w:t>
      </w:r>
      <w:r w:rsidR="006F39CA">
        <w:t xml:space="preserve">: </w:t>
      </w:r>
      <w:r w:rsidR="00C277EB" w:rsidRPr="00E27896">
        <w:t>«La</w:t>
      </w:r>
      <w:r w:rsidR="00C277EB" w:rsidRPr="00592AD1">
        <w:t xml:space="preserve"> responsabilité pénale d’une personne morale à l’exclusion de l’</w:t>
      </w:r>
      <w:r w:rsidR="002A7451">
        <w:t xml:space="preserve">État </w:t>
      </w:r>
      <w:r w:rsidR="00C277EB" w:rsidRPr="00592AD1">
        <w:t>peut être engagée pour les infractions de traite commises pour leur compte par leurs organes ou représentants, à travers des personnes physiques exerçant la fonction de direction ou d’administration, de gestion ou de contrôle ou de toutes autres personnes titulaires d’une délégation de pouvoir, pourvue de la compétence, de l’autorité et des moyens nécessaires à l’exécution de sa mission.</w:t>
      </w:r>
      <w:r w:rsidR="00E27896">
        <w:t>»</w:t>
      </w:r>
      <w:r w:rsidR="0078184B">
        <w:t xml:space="preserve"> </w:t>
      </w:r>
    </w:p>
    <w:p w:rsidR="00C277EB" w:rsidRPr="00592AD1" w:rsidRDefault="00217000" w:rsidP="00217000">
      <w:pPr>
        <w:pStyle w:val="SingleTxtG"/>
      </w:pPr>
      <w:r w:rsidRPr="00592AD1">
        <w:t>15.</w:t>
      </w:r>
      <w:r w:rsidRPr="00592AD1">
        <w:tab/>
      </w:r>
      <w:r w:rsidR="00C277EB" w:rsidRPr="00592AD1">
        <w:t>La responsabilité pénale de la personne morale n’exclut pas celle des personnes physiques auteurs ou complices des faits commis.</w:t>
      </w:r>
    </w:p>
    <w:p w:rsidR="00C277EB" w:rsidRPr="00592AD1" w:rsidRDefault="00217000" w:rsidP="00217000">
      <w:pPr>
        <w:pStyle w:val="SingleTxtG"/>
      </w:pPr>
      <w:r w:rsidRPr="00592AD1">
        <w:t>16.</w:t>
      </w:r>
      <w:r w:rsidRPr="00592AD1">
        <w:tab/>
      </w:r>
      <w:r w:rsidR="00C277EB" w:rsidRPr="00592AD1">
        <w:t>Les personnes morales peuvent en outre être condamnées</w:t>
      </w:r>
      <w:r w:rsidR="00C277EB" w:rsidRPr="00781618">
        <w:rPr>
          <w:rStyle w:val="FootnoteReference"/>
        </w:rPr>
        <w:footnoteReference w:id="5"/>
      </w:r>
      <w:r w:rsidR="00C277EB" w:rsidRPr="00277644">
        <w:rPr>
          <w:vertAlign w:val="superscript"/>
        </w:rPr>
        <w:t xml:space="preserve"> </w:t>
      </w:r>
      <w:r w:rsidR="00C277EB" w:rsidRPr="00592AD1">
        <w:t>à</w:t>
      </w:r>
      <w:r w:rsidR="006F39CA">
        <w:t xml:space="preserve">: </w:t>
      </w:r>
    </w:p>
    <w:p w:rsidR="00C277EB" w:rsidRPr="00592AD1" w:rsidRDefault="00217000" w:rsidP="00217000">
      <w:pPr>
        <w:pStyle w:val="Bullet1G"/>
        <w:numPr>
          <w:ilvl w:val="0"/>
          <w:numId w:val="0"/>
        </w:numPr>
        <w:tabs>
          <w:tab w:val="left" w:pos="1701"/>
        </w:tabs>
        <w:ind w:left="1701" w:hanging="170"/>
      </w:pPr>
      <w:r w:rsidRPr="00592AD1">
        <w:t>•</w:t>
      </w:r>
      <w:r w:rsidRPr="00592AD1">
        <w:tab/>
      </w:r>
      <w:r w:rsidR="005E6E8D">
        <w:t>L</w:t>
      </w:r>
      <w:r w:rsidR="00C277EB" w:rsidRPr="00592AD1">
        <w:t>’interdiction à titre définitif ou pour une durée de cinq ans au plus d’exercer directement ou indirectement certaines activités professionnelles</w:t>
      </w:r>
      <w:r w:rsidR="006F39CA">
        <w:t>;</w:t>
      </w:r>
      <w:r w:rsidR="00C277EB" w:rsidRPr="00592AD1">
        <w:t xml:space="preserve"> </w:t>
      </w:r>
    </w:p>
    <w:p w:rsidR="00C277EB" w:rsidRPr="00592AD1" w:rsidRDefault="00217000" w:rsidP="00217000">
      <w:pPr>
        <w:pStyle w:val="Bullet1G"/>
        <w:numPr>
          <w:ilvl w:val="0"/>
          <w:numId w:val="0"/>
        </w:numPr>
        <w:tabs>
          <w:tab w:val="left" w:pos="1701"/>
        </w:tabs>
        <w:ind w:left="1701" w:hanging="170"/>
      </w:pPr>
      <w:r w:rsidRPr="00592AD1">
        <w:t>•</w:t>
      </w:r>
      <w:r w:rsidRPr="00592AD1">
        <w:tab/>
      </w:r>
      <w:r w:rsidR="005E6E8D">
        <w:t>L</w:t>
      </w:r>
      <w:r w:rsidR="00C277EB" w:rsidRPr="00592AD1">
        <w:t>a fermeture définitive ou pour une durée de cinq ans au plus de leurs établissements ayant servi à commettre l’infraction</w:t>
      </w:r>
      <w:r w:rsidR="006F39CA">
        <w:t>;</w:t>
      </w:r>
      <w:r w:rsidR="00C277EB" w:rsidRPr="00592AD1">
        <w:t xml:space="preserve"> </w:t>
      </w:r>
    </w:p>
    <w:p w:rsidR="00C277EB" w:rsidRPr="00592AD1" w:rsidRDefault="00217000" w:rsidP="00217000">
      <w:pPr>
        <w:pStyle w:val="Bullet1G"/>
        <w:numPr>
          <w:ilvl w:val="0"/>
          <w:numId w:val="0"/>
        </w:numPr>
        <w:tabs>
          <w:tab w:val="left" w:pos="1701"/>
        </w:tabs>
        <w:ind w:left="1701" w:hanging="170"/>
      </w:pPr>
      <w:r w:rsidRPr="00592AD1">
        <w:t>•</w:t>
      </w:r>
      <w:r w:rsidRPr="00592AD1">
        <w:tab/>
      </w:r>
      <w:r w:rsidR="005E6E8D">
        <w:t>L</w:t>
      </w:r>
      <w:r w:rsidR="00C277EB" w:rsidRPr="00592AD1">
        <w:t>a dissolution lorsqu’elles ont été créées pour commettre les faits incriminés</w:t>
      </w:r>
      <w:r w:rsidR="006F39CA">
        <w:t>;</w:t>
      </w:r>
    </w:p>
    <w:p w:rsidR="00C277EB" w:rsidRPr="00592AD1" w:rsidRDefault="00217000" w:rsidP="00217000">
      <w:pPr>
        <w:pStyle w:val="Bullet1G"/>
        <w:numPr>
          <w:ilvl w:val="0"/>
          <w:numId w:val="0"/>
        </w:numPr>
        <w:tabs>
          <w:tab w:val="left" w:pos="1701"/>
        </w:tabs>
        <w:ind w:left="1701" w:hanging="170"/>
      </w:pPr>
      <w:r w:rsidRPr="00592AD1">
        <w:lastRenderedPageBreak/>
        <w:t>•</w:t>
      </w:r>
      <w:r w:rsidRPr="00592AD1">
        <w:tab/>
      </w:r>
      <w:r w:rsidR="00797748">
        <w:t>L</w:t>
      </w:r>
      <w:r w:rsidR="00C277EB" w:rsidRPr="00592AD1">
        <w:t xml:space="preserve">a diffusion de la décision par la presse écrite ou par tout autre moyen de communication audiovisuelle. </w:t>
      </w:r>
    </w:p>
    <w:p w:rsidR="00C277EB" w:rsidRPr="00592AD1" w:rsidRDefault="00EE10E9">
      <w:pPr>
        <w:pStyle w:val="H1G"/>
      </w:pPr>
      <w:r>
        <w:tab/>
      </w:r>
      <w:r>
        <w:tab/>
      </w:r>
      <w:r w:rsidRPr="00592AD1">
        <w:t xml:space="preserve">Extension de la compétence </w:t>
      </w:r>
      <w:r w:rsidRPr="00A0576F">
        <w:t>ex</w:t>
      </w:r>
      <w:r w:rsidR="00A0576F" w:rsidRPr="00A0576F">
        <w:t>tr</w:t>
      </w:r>
      <w:r w:rsidR="00A0576F">
        <w:t>a</w:t>
      </w:r>
      <w:r w:rsidRPr="00592AD1">
        <w:t xml:space="preserve">territoriale </w:t>
      </w:r>
    </w:p>
    <w:p w:rsidR="006F39CA" w:rsidRDefault="00217000" w:rsidP="00217000">
      <w:pPr>
        <w:pStyle w:val="SingleTxtG"/>
      </w:pPr>
      <w:r>
        <w:t>17.</w:t>
      </w:r>
      <w:r>
        <w:tab/>
      </w:r>
      <w:r w:rsidR="00C277EB" w:rsidRPr="00592AD1">
        <w:t>En complément des inform</w:t>
      </w:r>
      <w:r w:rsidR="000F3F11">
        <w:t>ations fournies aux paragraphes </w:t>
      </w:r>
      <w:r w:rsidR="00C277EB" w:rsidRPr="00592AD1">
        <w:t>18 et 19 du rapport, il y a lieu de préciser que l’</w:t>
      </w:r>
      <w:r w:rsidR="00C80B89">
        <w:t>article </w:t>
      </w:r>
      <w:r w:rsidR="000F3F11">
        <w:t>38 de la loi n</w:t>
      </w:r>
      <w:r w:rsidR="000F3F11" w:rsidRPr="000F3F11">
        <w:rPr>
          <w:vertAlign w:val="superscript"/>
        </w:rPr>
        <w:t>o</w:t>
      </w:r>
      <w:r w:rsidR="000F3F11">
        <w:t> </w:t>
      </w:r>
      <w:r w:rsidR="00C277EB" w:rsidRPr="00592AD1">
        <w:t>2014-040 du 20 janvier 2015 sur la lutte contre la traite des êtres humains a étendu la compétence extraterritoriale en stipulant que</w:t>
      </w:r>
      <w:r w:rsidR="006F39CA">
        <w:t>:</w:t>
      </w:r>
    </w:p>
    <w:p w:rsidR="00C277EB" w:rsidRPr="00592AD1" w:rsidRDefault="00C277EB" w:rsidP="00781618">
      <w:pPr>
        <w:pStyle w:val="SingleTxtG"/>
        <w:ind w:left="1701"/>
      </w:pPr>
      <w:r w:rsidRPr="00592AD1">
        <w:t>«</w:t>
      </w:r>
      <w:r w:rsidRPr="00CB4544">
        <w:t>les</w:t>
      </w:r>
      <w:r w:rsidRPr="00592AD1">
        <w:t xml:space="preserve"> juridictions malagasy sont compétentes pour poursuivre, juger et punir toute personnes ayant commis l’infraction de traite en dehors du territoire de Madagascar si</w:t>
      </w:r>
      <w:r w:rsidR="006F39CA">
        <w:t xml:space="preserve">: </w:t>
      </w:r>
    </w:p>
    <w:p w:rsidR="00C277EB" w:rsidRPr="00592AD1" w:rsidRDefault="00217000" w:rsidP="00217000">
      <w:pPr>
        <w:pStyle w:val="Bullet1G"/>
        <w:numPr>
          <w:ilvl w:val="0"/>
          <w:numId w:val="0"/>
        </w:numPr>
        <w:tabs>
          <w:tab w:val="left" w:pos="1701"/>
        </w:tabs>
        <w:ind w:left="1871" w:hanging="170"/>
      </w:pPr>
      <w:r w:rsidRPr="00592AD1">
        <w:t>•</w:t>
      </w:r>
      <w:r w:rsidRPr="00592AD1">
        <w:tab/>
      </w:r>
      <w:r w:rsidR="00C277EB" w:rsidRPr="00592AD1">
        <w:t>l’auteur ou la victime a la nationalité malagasy</w:t>
      </w:r>
      <w:r w:rsidR="006F39CA">
        <w:t>;</w:t>
      </w:r>
    </w:p>
    <w:p w:rsidR="00C277EB" w:rsidRPr="00592AD1" w:rsidRDefault="00217000" w:rsidP="00217000">
      <w:pPr>
        <w:pStyle w:val="Bullet1G"/>
        <w:numPr>
          <w:ilvl w:val="0"/>
          <w:numId w:val="0"/>
        </w:numPr>
        <w:tabs>
          <w:tab w:val="left" w:pos="1701"/>
        </w:tabs>
        <w:ind w:left="1871" w:hanging="170"/>
      </w:pPr>
      <w:r w:rsidRPr="00592AD1">
        <w:t>•</w:t>
      </w:r>
      <w:r w:rsidRPr="00592AD1">
        <w:tab/>
      </w:r>
      <w:r w:rsidR="00C277EB" w:rsidRPr="00592AD1">
        <w:t>l’auteur de l’acte est un étranger se trouvant à Madagascar après la commission de l’acte de traite ou y réside habituellement.</w:t>
      </w:r>
    </w:p>
    <w:p w:rsidR="00C277EB" w:rsidRPr="00592AD1" w:rsidRDefault="00C277EB" w:rsidP="00781618">
      <w:pPr>
        <w:pStyle w:val="SingleTxtG"/>
        <w:ind w:left="1701"/>
      </w:pPr>
      <w:r w:rsidRPr="00592AD1">
        <w:t>Les peines prévues dans le cadre de cette loi sont applicables, alors même que certains des éléments constitutifs de la traite auraient été accomplis dans d’autres pays»</w:t>
      </w:r>
      <w:r w:rsidR="00CB4544">
        <w:t>.</w:t>
      </w:r>
    </w:p>
    <w:p w:rsidR="00C277EB" w:rsidRPr="00592AD1" w:rsidRDefault="0021482E" w:rsidP="00781618">
      <w:pPr>
        <w:pStyle w:val="H1G"/>
      </w:pPr>
      <w:r>
        <w:tab/>
      </w:r>
      <w:r>
        <w:tab/>
      </w:r>
      <w:r w:rsidR="00C277EB" w:rsidRPr="00592AD1">
        <w:t>Incrimination dans la législation nationale des infractions visées au</w:t>
      </w:r>
      <w:r>
        <w:t> </w:t>
      </w:r>
      <w:r w:rsidR="00C277EB" w:rsidRPr="00592AD1">
        <w:t>paragraphe 1 de l’</w:t>
      </w:r>
      <w:r w:rsidR="00C80B89">
        <w:t>article </w:t>
      </w:r>
      <w:r w:rsidR="00C277EB" w:rsidRPr="00592AD1">
        <w:t xml:space="preserve">3 du </w:t>
      </w:r>
      <w:r w:rsidR="00CB4544">
        <w:t>P</w:t>
      </w:r>
      <w:r w:rsidR="00C277EB" w:rsidRPr="00592AD1">
        <w:t>rotocole</w:t>
      </w:r>
      <w:r w:rsidR="007E5B53">
        <w:t xml:space="preserve"> facultatif</w:t>
      </w:r>
    </w:p>
    <w:p w:rsidR="00C277EB" w:rsidRPr="00592AD1" w:rsidRDefault="00217000" w:rsidP="00217000">
      <w:pPr>
        <w:pStyle w:val="SingleTxtG"/>
      </w:pPr>
      <w:r w:rsidRPr="00592AD1">
        <w:t>18.</w:t>
      </w:r>
      <w:r w:rsidRPr="00592AD1">
        <w:tab/>
      </w:r>
      <w:r w:rsidR="00C277EB" w:rsidRPr="00592AD1">
        <w:t xml:space="preserve">La législation nationale </w:t>
      </w:r>
      <w:r w:rsidR="005C33EF">
        <w:t xml:space="preserve">y compris </w:t>
      </w:r>
      <w:r w:rsidR="00C277EB" w:rsidRPr="00592AD1">
        <w:t>la loi sur la lutte contre la traite des êtres humains couvrent toutes les i</w:t>
      </w:r>
      <w:r w:rsidR="00D674E1">
        <w:t>nfractions visées au paragraphe </w:t>
      </w:r>
      <w:r w:rsidR="00C277EB" w:rsidRPr="00592AD1">
        <w:t>1 de l’</w:t>
      </w:r>
      <w:r w:rsidR="00C80B89">
        <w:t>article </w:t>
      </w:r>
      <w:r w:rsidR="00C277EB" w:rsidRPr="00592AD1">
        <w:t>3 du Protocole</w:t>
      </w:r>
      <w:r w:rsidR="007E5B53">
        <w:t xml:space="preserve"> facultatif</w:t>
      </w:r>
      <w:r w:rsidR="00C277EB" w:rsidRPr="00592AD1">
        <w:t>.</w:t>
      </w:r>
    </w:p>
    <w:p w:rsidR="00C277EB" w:rsidRPr="00592AD1" w:rsidRDefault="00217000" w:rsidP="00217000">
      <w:pPr>
        <w:pStyle w:val="SingleTxtG"/>
      </w:pPr>
      <w:r w:rsidRPr="00592AD1">
        <w:t>19.</w:t>
      </w:r>
      <w:r w:rsidRPr="00592AD1">
        <w:tab/>
      </w:r>
      <w:r w:rsidR="00C277EB" w:rsidRPr="00592AD1">
        <w:t xml:space="preserve">La loi sur la traite en son </w:t>
      </w:r>
      <w:r w:rsidR="00C80B89">
        <w:t>article </w:t>
      </w:r>
      <w:r w:rsidR="00044F61">
        <w:t>premier</w:t>
      </w:r>
      <w:r w:rsidR="00C277EB" w:rsidRPr="00592AD1">
        <w:t xml:space="preserve"> couvre:</w:t>
      </w:r>
    </w:p>
    <w:p w:rsidR="00C277EB" w:rsidRPr="00592AD1" w:rsidRDefault="00217000" w:rsidP="00217000">
      <w:pPr>
        <w:pStyle w:val="Bullet1G"/>
        <w:numPr>
          <w:ilvl w:val="0"/>
          <w:numId w:val="0"/>
        </w:numPr>
        <w:tabs>
          <w:tab w:val="left" w:pos="1701"/>
        </w:tabs>
        <w:ind w:left="1701" w:hanging="170"/>
      </w:pPr>
      <w:r w:rsidRPr="00592AD1">
        <w:t>•</w:t>
      </w:r>
      <w:r w:rsidRPr="00592AD1">
        <w:tab/>
      </w:r>
      <w:r w:rsidR="000115A9">
        <w:t>L</w:t>
      </w:r>
      <w:r w:rsidR="00C277EB" w:rsidRPr="00592AD1">
        <w:t>’exploitation de la prostitution d’une personne ou d’un groupe de personnes</w:t>
      </w:r>
      <w:r w:rsidR="006F39CA">
        <w:t>;</w:t>
      </w:r>
    </w:p>
    <w:p w:rsidR="00C277EB" w:rsidRPr="00592AD1" w:rsidRDefault="00217000" w:rsidP="00217000">
      <w:pPr>
        <w:pStyle w:val="Bullet1G"/>
        <w:numPr>
          <w:ilvl w:val="0"/>
          <w:numId w:val="0"/>
        </w:numPr>
        <w:tabs>
          <w:tab w:val="left" w:pos="1701"/>
        </w:tabs>
        <w:ind w:left="1701" w:hanging="170"/>
      </w:pPr>
      <w:r w:rsidRPr="00592AD1">
        <w:t>•</w:t>
      </w:r>
      <w:r w:rsidRPr="00592AD1">
        <w:tab/>
      </w:r>
      <w:r w:rsidR="000115A9">
        <w:t>L</w:t>
      </w:r>
      <w:r w:rsidR="00C277EB" w:rsidRPr="00592AD1">
        <w:t>’exploitation du travail domestique</w:t>
      </w:r>
      <w:r w:rsidR="006F39CA">
        <w:t>;</w:t>
      </w:r>
    </w:p>
    <w:p w:rsidR="00C277EB" w:rsidRPr="00592AD1" w:rsidRDefault="00217000" w:rsidP="00217000">
      <w:pPr>
        <w:pStyle w:val="Bullet1G"/>
        <w:numPr>
          <w:ilvl w:val="0"/>
          <w:numId w:val="0"/>
        </w:numPr>
        <w:tabs>
          <w:tab w:val="left" w:pos="1701"/>
        </w:tabs>
        <w:ind w:left="1701" w:hanging="170"/>
      </w:pPr>
      <w:r w:rsidRPr="00592AD1">
        <w:t>•</w:t>
      </w:r>
      <w:r w:rsidRPr="00592AD1">
        <w:tab/>
      </w:r>
      <w:r w:rsidR="000115A9">
        <w:t>L</w:t>
      </w:r>
      <w:r w:rsidR="00C277EB" w:rsidRPr="00592AD1">
        <w:t>e travail forcé et des pratiques analogues à l’esclavage</w:t>
      </w:r>
      <w:r w:rsidR="006F39CA">
        <w:t>;</w:t>
      </w:r>
    </w:p>
    <w:p w:rsidR="00C277EB" w:rsidRPr="00592AD1" w:rsidRDefault="00217000" w:rsidP="00217000">
      <w:pPr>
        <w:pStyle w:val="Bullet1G"/>
        <w:numPr>
          <w:ilvl w:val="0"/>
          <w:numId w:val="0"/>
        </w:numPr>
        <w:tabs>
          <w:tab w:val="left" w:pos="1701"/>
        </w:tabs>
        <w:ind w:left="1701" w:hanging="170"/>
      </w:pPr>
      <w:r w:rsidRPr="00592AD1">
        <w:t>•</w:t>
      </w:r>
      <w:r w:rsidRPr="00592AD1">
        <w:tab/>
      </w:r>
      <w:r w:rsidR="000115A9">
        <w:t>L</w:t>
      </w:r>
      <w:r w:rsidR="00C277EB" w:rsidRPr="00592AD1">
        <w:t>e mariage forcé</w:t>
      </w:r>
      <w:r w:rsidR="006F39CA">
        <w:t>;</w:t>
      </w:r>
    </w:p>
    <w:p w:rsidR="00C277EB" w:rsidRPr="00592AD1" w:rsidRDefault="00217000" w:rsidP="00217000">
      <w:pPr>
        <w:pStyle w:val="Bullet1G"/>
        <w:numPr>
          <w:ilvl w:val="0"/>
          <w:numId w:val="0"/>
        </w:numPr>
        <w:tabs>
          <w:tab w:val="left" w:pos="1701"/>
        </w:tabs>
        <w:ind w:left="1701" w:hanging="170"/>
      </w:pPr>
      <w:r w:rsidRPr="00592AD1">
        <w:t>•</w:t>
      </w:r>
      <w:r w:rsidRPr="00592AD1">
        <w:tab/>
      </w:r>
      <w:r w:rsidR="000115A9">
        <w:t>L</w:t>
      </w:r>
      <w:r w:rsidR="00C277EB" w:rsidRPr="00592AD1">
        <w:t>a vente de personne</w:t>
      </w:r>
      <w:r w:rsidR="006F39CA">
        <w:t>;</w:t>
      </w:r>
    </w:p>
    <w:p w:rsidR="00C277EB" w:rsidRPr="00592AD1" w:rsidRDefault="00217000" w:rsidP="00217000">
      <w:pPr>
        <w:pStyle w:val="Bullet1G"/>
        <w:numPr>
          <w:ilvl w:val="0"/>
          <w:numId w:val="0"/>
        </w:numPr>
        <w:tabs>
          <w:tab w:val="left" w:pos="1701"/>
        </w:tabs>
        <w:ind w:left="1701" w:hanging="170"/>
      </w:pPr>
      <w:r w:rsidRPr="00592AD1">
        <w:t>•</w:t>
      </w:r>
      <w:r w:rsidRPr="00592AD1">
        <w:tab/>
      </w:r>
      <w:r w:rsidR="000115A9">
        <w:t>L</w:t>
      </w:r>
      <w:r w:rsidR="00C277EB" w:rsidRPr="00592AD1">
        <w:t>’adoption illégale</w:t>
      </w:r>
      <w:r w:rsidR="006F39CA">
        <w:t>;</w:t>
      </w:r>
    </w:p>
    <w:p w:rsidR="00C277EB" w:rsidRPr="00592AD1" w:rsidRDefault="00217000" w:rsidP="00217000">
      <w:pPr>
        <w:pStyle w:val="Bullet1G"/>
        <w:numPr>
          <w:ilvl w:val="0"/>
          <w:numId w:val="0"/>
        </w:numPr>
        <w:tabs>
          <w:tab w:val="left" w:pos="1701"/>
        </w:tabs>
        <w:ind w:left="1701" w:hanging="170"/>
      </w:pPr>
      <w:r w:rsidRPr="00592AD1">
        <w:t>•</w:t>
      </w:r>
      <w:r w:rsidRPr="00592AD1">
        <w:tab/>
      </w:r>
      <w:r w:rsidR="000115A9">
        <w:t>L</w:t>
      </w:r>
      <w:r w:rsidR="00C277EB" w:rsidRPr="00592AD1">
        <w:t>a servitude pour dette civile</w:t>
      </w:r>
      <w:r w:rsidR="006F39CA">
        <w:t>;</w:t>
      </w:r>
    </w:p>
    <w:p w:rsidR="00C277EB" w:rsidRPr="00592AD1" w:rsidRDefault="00217000" w:rsidP="00217000">
      <w:pPr>
        <w:pStyle w:val="Bullet1G"/>
        <w:numPr>
          <w:ilvl w:val="0"/>
          <w:numId w:val="0"/>
        </w:numPr>
        <w:tabs>
          <w:tab w:val="left" w:pos="1701"/>
        </w:tabs>
        <w:ind w:left="1701" w:hanging="170"/>
      </w:pPr>
      <w:r w:rsidRPr="00592AD1">
        <w:t>•</w:t>
      </w:r>
      <w:r w:rsidRPr="00592AD1">
        <w:tab/>
      </w:r>
      <w:r w:rsidR="000115A9">
        <w:t>L</w:t>
      </w:r>
      <w:r w:rsidR="00C277EB" w:rsidRPr="00592AD1">
        <w:t>’exploitation de la mendicité d’autrui</w:t>
      </w:r>
      <w:r w:rsidR="006F39CA">
        <w:t>;</w:t>
      </w:r>
    </w:p>
    <w:p w:rsidR="00C277EB" w:rsidRPr="00592AD1" w:rsidRDefault="00217000" w:rsidP="00217000">
      <w:pPr>
        <w:pStyle w:val="Bullet1G"/>
        <w:numPr>
          <w:ilvl w:val="0"/>
          <w:numId w:val="0"/>
        </w:numPr>
        <w:tabs>
          <w:tab w:val="left" w:pos="1701"/>
        </w:tabs>
        <w:ind w:left="1701" w:hanging="170"/>
      </w:pPr>
      <w:r w:rsidRPr="00592AD1">
        <w:t>•</w:t>
      </w:r>
      <w:r w:rsidRPr="00592AD1">
        <w:tab/>
      </w:r>
      <w:r w:rsidR="000115A9">
        <w:t>L</w:t>
      </w:r>
      <w:r w:rsidR="00C277EB" w:rsidRPr="00592AD1">
        <w:t>e trafic d’organe</w:t>
      </w:r>
      <w:r w:rsidR="000115A9">
        <w:t>.</w:t>
      </w:r>
    </w:p>
    <w:p w:rsidR="00C277EB" w:rsidRPr="00592AD1" w:rsidRDefault="00217000" w:rsidP="00217000">
      <w:pPr>
        <w:pStyle w:val="SingleTxtG"/>
      </w:pPr>
      <w:r w:rsidRPr="00592AD1">
        <w:t>20.</w:t>
      </w:r>
      <w:r w:rsidRPr="00592AD1">
        <w:tab/>
      </w:r>
      <w:r w:rsidR="00C277EB" w:rsidRPr="00592AD1">
        <w:t>La traite couvre également l’exploitation sexuelle des enfants à des fins commerciales.</w:t>
      </w:r>
    </w:p>
    <w:p w:rsidR="00C277EB" w:rsidRPr="00592AD1" w:rsidRDefault="00EE10E9" w:rsidP="00781618">
      <w:pPr>
        <w:pStyle w:val="H1G"/>
      </w:pPr>
      <w:r>
        <w:tab/>
      </w:r>
      <w:r>
        <w:tab/>
      </w:r>
      <w:r w:rsidR="00C277EB" w:rsidRPr="00781618">
        <w:t>Extradition</w:t>
      </w:r>
    </w:p>
    <w:p w:rsidR="00C277EB" w:rsidRPr="00592AD1" w:rsidRDefault="00217000" w:rsidP="00217000">
      <w:pPr>
        <w:pStyle w:val="SingleTxtG"/>
      </w:pPr>
      <w:r w:rsidRPr="00592AD1">
        <w:t>21.</w:t>
      </w:r>
      <w:r w:rsidRPr="00592AD1">
        <w:tab/>
      </w:r>
      <w:r w:rsidR="00C277EB" w:rsidRPr="00592AD1">
        <w:t xml:space="preserve">La loi sur </w:t>
      </w:r>
      <w:r w:rsidR="001E4873">
        <w:t xml:space="preserve">la </w:t>
      </w:r>
      <w:r w:rsidR="00C277EB" w:rsidRPr="00592AD1">
        <w:t xml:space="preserve">lutte contre la traite des êtres humains en son </w:t>
      </w:r>
      <w:r w:rsidR="00C80B89">
        <w:t>article </w:t>
      </w:r>
      <w:r w:rsidR="00C277EB" w:rsidRPr="00592AD1">
        <w:t>50 énonce que «sans préjudice de convention bilatérale ou de traité multilatéral applicable en matière de coopération et d’entraide judiciaire sont applicables les dispositions de la loi du 10 mars 1927 relative à l’extradition des étrangers et les dispos</w:t>
      </w:r>
      <w:r w:rsidR="00D674E1">
        <w:t>itions prévues par les articles </w:t>
      </w:r>
      <w:r w:rsidR="00C277EB" w:rsidRPr="00592AD1">
        <w:t xml:space="preserve">41 à 63 de la loi </w:t>
      </w:r>
      <w:r w:rsidR="000115A9" w:rsidRPr="00592AD1">
        <w:t>n</w:t>
      </w:r>
      <w:r w:rsidR="000115A9" w:rsidRPr="00D75A10">
        <w:rPr>
          <w:vertAlign w:val="superscript"/>
        </w:rPr>
        <w:t>o</w:t>
      </w:r>
      <w:r w:rsidR="000115A9">
        <w:t> </w:t>
      </w:r>
      <w:r w:rsidR="00C277EB" w:rsidRPr="00592AD1">
        <w:t xml:space="preserve">2004-020 du 19 août 2004 sur le blanchiment, </w:t>
      </w:r>
      <w:r w:rsidR="001E4873">
        <w:t xml:space="preserve">le </w:t>
      </w:r>
      <w:r w:rsidR="00C277EB" w:rsidRPr="00592AD1">
        <w:t>dépistage, la confiscation et la coopération internationale en matière de produits du crime».</w:t>
      </w:r>
    </w:p>
    <w:p w:rsidR="00C277EB" w:rsidRPr="00592AD1" w:rsidRDefault="00AE73BE" w:rsidP="00EE10E9">
      <w:pPr>
        <w:pStyle w:val="H1G"/>
      </w:pPr>
      <w:r>
        <w:lastRenderedPageBreak/>
        <w:tab/>
      </w:r>
      <w:r>
        <w:tab/>
      </w:r>
      <w:r w:rsidRPr="00592AD1">
        <w:t>Mécanisme de recours judiciaire</w:t>
      </w:r>
    </w:p>
    <w:p w:rsidR="00C277EB" w:rsidRPr="00592AD1" w:rsidRDefault="00217000" w:rsidP="00217000">
      <w:pPr>
        <w:pStyle w:val="SingleTxtG"/>
      </w:pPr>
      <w:r w:rsidRPr="00592AD1">
        <w:t>22.</w:t>
      </w:r>
      <w:r w:rsidRPr="00592AD1">
        <w:tab/>
      </w:r>
      <w:r w:rsidR="00C277EB" w:rsidRPr="00592AD1">
        <w:t>La loi antitraite</w:t>
      </w:r>
      <w:r w:rsidR="00251E07">
        <w:t>,</w:t>
      </w:r>
      <w:r w:rsidR="00C277EB" w:rsidRPr="00592AD1">
        <w:t xml:space="preserve"> en son </w:t>
      </w:r>
      <w:r w:rsidR="00C80B89">
        <w:t>article </w:t>
      </w:r>
      <w:r w:rsidR="00C277EB" w:rsidRPr="00592AD1">
        <w:t>44</w:t>
      </w:r>
      <w:r w:rsidR="00251E07">
        <w:t>,</w:t>
      </w:r>
      <w:r w:rsidR="00C277EB" w:rsidRPr="00592AD1">
        <w:t xml:space="preserve"> alinéa 2</w:t>
      </w:r>
      <w:r w:rsidR="00251E07">
        <w:t>,</w:t>
      </w:r>
      <w:r w:rsidR="00C277EB" w:rsidRPr="00592AD1">
        <w:t xml:space="preserve"> permet la possibilité pour l’enfant de signaler ou </w:t>
      </w:r>
      <w:r w:rsidR="00251E07">
        <w:t xml:space="preserve">de </w:t>
      </w:r>
      <w:r w:rsidR="00C277EB" w:rsidRPr="00592AD1">
        <w:t>déposer plainte,</w:t>
      </w:r>
      <w:r w:rsidR="000115A9">
        <w:t xml:space="preserve"> </w:t>
      </w:r>
      <w:r w:rsidR="00C277EB" w:rsidRPr="00592AD1">
        <w:t xml:space="preserve">par lui-même, auprès du </w:t>
      </w:r>
      <w:r w:rsidR="00251E07">
        <w:t>m</w:t>
      </w:r>
      <w:r w:rsidR="00C277EB" w:rsidRPr="00592AD1">
        <w:t xml:space="preserve">inistère </w:t>
      </w:r>
      <w:r w:rsidR="00251E07">
        <w:t>p</w:t>
      </w:r>
      <w:r w:rsidR="00C277EB" w:rsidRPr="00592AD1">
        <w:t xml:space="preserve">ublic et </w:t>
      </w:r>
      <w:r w:rsidR="00251E07">
        <w:t>d</w:t>
      </w:r>
      <w:r w:rsidR="00C277EB" w:rsidRPr="00592AD1">
        <w:t xml:space="preserve">es autorités compétentes des faits commis à son encontre, et </w:t>
      </w:r>
      <w:r w:rsidR="00251E07">
        <w:t xml:space="preserve">de </w:t>
      </w:r>
      <w:r w:rsidR="00C277EB" w:rsidRPr="00592AD1">
        <w:t>réclamer réparation des préjudices subis.</w:t>
      </w:r>
    </w:p>
    <w:p w:rsidR="00C277EB" w:rsidRPr="00592AD1" w:rsidRDefault="00217000" w:rsidP="00217000">
      <w:pPr>
        <w:pStyle w:val="SingleTxtG"/>
      </w:pPr>
      <w:r w:rsidRPr="00592AD1">
        <w:t>23.</w:t>
      </w:r>
      <w:r w:rsidRPr="00592AD1">
        <w:tab/>
      </w:r>
      <w:r w:rsidR="00C277EB" w:rsidRPr="00592AD1">
        <w:t>En l’état actuel, aucune plainte n’a été déposée. Pour encourager le dépôt de plainte par l’enfant lui-même, il est envisagé de vulgariser le texte pour porter à la connaissance des enfants victimes l’existence de cette procédure en dérogation, de l’exigence de plainte déposée par le parent ou le tuteur.</w:t>
      </w:r>
    </w:p>
    <w:p w:rsidR="00C277EB" w:rsidRPr="00592AD1" w:rsidRDefault="00AE73BE">
      <w:pPr>
        <w:pStyle w:val="H1G"/>
      </w:pPr>
      <w:r>
        <w:tab/>
      </w:r>
      <w:r>
        <w:tab/>
      </w:r>
      <w:r w:rsidRPr="00592AD1">
        <w:t xml:space="preserve">Sensibilisation et formation sur le </w:t>
      </w:r>
      <w:r w:rsidR="007E5B53">
        <w:t>P</w:t>
      </w:r>
      <w:r w:rsidRPr="00592AD1">
        <w:t xml:space="preserve">rotocole </w:t>
      </w:r>
      <w:r w:rsidR="007E5B53">
        <w:t>facultatif</w:t>
      </w:r>
      <w:r w:rsidR="00A0576F">
        <w:t xml:space="preserve"> </w:t>
      </w:r>
      <w:r w:rsidR="00D674E1" w:rsidRPr="00A0576F">
        <w:t>(par. </w:t>
      </w:r>
      <w:r w:rsidR="00C277EB" w:rsidRPr="00A0576F">
        <w:t>114 à 117</w:t>
      </w:r>
      <w:r w:rsidR="00A0576F" w:rsidRPr="00781618">
        <w:t xml:space="preserve"> du rapport</w:t>
      </w:r>
      <w:r w:rsidR="00C277EB" w:rsidRPr="00A0576F">
        <w:t>)</w:t>
      </w:r>
    </w:p>
    <w:p w:rsidR="00C277EB" w:rsidRPr="00592AD1" w:rsidRDefault="00217000" w:rsidP="00217000">
      <w:pPr>
        <w:pStyle w:val="SingleTxtG"/>
      </w:pPr>
      <w:r w:rsidRPr="00592AD1">
        <w:t>24.</w:t>
      </w:r>
      <w:r w:rsidRPr="00592AD1">
        <w:tab/>
      </w:r>
      <w:r w:rsidR="00C277EB" w:rsidRPr="00592AD1">
        <w:t xml:space="preserve">Le Plan </w:t>
      </w:r>
      <w:r w:rsidR="00251E07">
        <w:t>n</w:t>
      </w:r>
      <w:r w:rsidR="00C277EB" w:rsidRPr="00592AD1">
        <w:t>ational de lutte contre la trai</w:t>
      </w:r>
      <w:r w:rsidR="00D674E1">
        <w:t xml:space="preserve">te des êtres humains validé le </w:t>
      </w:r>
      <w:r w:rsidR="00C277EB" w:rsidRPr="00592AD1">
        <w:t>5 mars 2015 comporte de</w:t>
      </w:r>
      <w:r w:rsidR="00251E07">
        <w:t>s</w:t>
      </w:r>
      <w:r w:rsidR="00C277EB" w:rsidRPr="00592AD1">
        <w:t xml:space="preserve"> programmes pluriannuels de sensibilisation et de formation en matière de lutte contre la traite de personnes incluant la vente d’enfant, la prostitution enfantine et la pornographie mettant en scène des enfants. </w:t>
      </w:r>
    </w:p>
    <w:p w:rsidR="00C277EB" w:rsidRPr="00592AD1" w:rsidRDefault="00217000" w:rsidP="00217000">
      <w:pPr>
        <w:pStyle w:val="SingleTxtG"/>
      </w:pPr>
      <w:r w:rsidRPr="00592AD1">
        <w:t>25.</w:t>
      </w:r>
      <w:r w:rsidRPr="00592AD1">
        <w:tab/>
      </w:r>
      <w:r w:rsidR="00C277EB" w:rsidRPr="00592AD1">
        <w:t>Le programme s’adresse aux enfants et à leur famille en milieu urbain et rural.</w:t>
      </w:r>
    </w:p>
    <w:p w:rsidR="00C277EB" w:rsidRPr="00592AD1" w:rsidRDefault="00AE73BE" w:rsidP="00EE10E9">
      <w:pPr>
        <w:pStyle w:val="H1G"/>
      </w:pPr>
      <w:r>
        <w:tab/>
      </w:r>
      <w:r>
        <w:tab/>
      </w:r>
      <w:r w:rsidRPr="00592AD1">
        <w:t>Mécanisme d’identification</w:t>
      </w:r>
    </w:p>
    <w:p w:rsidR="00C277EB" w:rsidRPr="00592AD1" w:rsidRDefault="00217000" w:rsidP="00217000">
      <w:pPr>
        <w:pStyle w:val="SingleTxtG"/>
        <w:rPr>
          <w:rFonts w:eastAsia="Cambria"/>
        </w:rPr>
      </w:pPr>
      <w:r w:rsidRPr="00592AD1">
        <w:rPr>
          <w:rFonts w:eastAsia="Cambria"/>
        </w:rPr>
        <w:t>26.</w:t>
      </w:r>
      <w:r w:rsidRPr="00592AD1">
        <w:rPr>
          <w:rFonts w:eastAsia="Cambria"/>
        </w:rPr>
        <w:tab/>
      </w:r>
      <w:r w:rsidR="00C277EB" w:rsidRPr="00592AD1">
        <w:t>Le Plan national cité plus haut comporte un volet consacré</w:t>
      </w:r>
      <w:r w:rsidR="0078184B">
        <w:t xml:space="preserve"> </w:t>
      </w:r>
      <w:r w:rsidR="00C277EB" w:rsidRPr="00592AD1">
        <w:t xml:space="preserve">à </w:t>
      </w:r>
      <w:r w:rsidR="00C277EB" w:rsidRPr="00592AD1">
        <w:rPr>
          <w:rFonts w:eastAsia="Cambria"/>
        </w:rPr>
        <w:t>l’identification des victimes de la traite des personnes</w:t>
      </w:r>
      <w:r w:rsidR="007E5B53">
        <w:rPr>
          <w:rFonts w:eastAsia="Cambria"/>
        </w:rPr>
        <w:t>,</w:t>
      </w:r>
      <w:r w:rsidR="00C277EB" w:rsidRPr="00592AD1">
        <w:rPr>
          <w:rFonts w:eastAsia="Cambria"/>
        </w:rPr>
        <w:t xml:space="preserve"> y compris les enfants exposés aux infractions de traite incluant celles</w:t>
      </w:r>
      <w:r w:rsidR="0078184B">
        <w:rPr>
          <w:rFonts w:eastAsia="Cambria"/>
        </w:rPr>
        <w:t xml:space="preserve"> </w:t>
      </w:r>
      <w:r w:rsidR="00C277EB" w:rsidRPr="00592AD1">
        <w:rPr>
          <w:rFonts w:eastAsia="Cambria"/>
        </w:rPr>
        <w:t xml:space="preserve">prévues par le </w:t>
      </w:r>
      <w:r w:rsidR="007E5B53">
        <w:rPr>
          <w:rFonts w:eastAsia="Cambria"/>
        </w:rPr>
        <w:t>P</w:t>
      </w:r>
      <w:r w:rsidR="00C277EB" w:rsidRPr="00592AD1">
        <w:rPr>
          <w:rFonts w:eastAsia="Cambria"/>
        </w:rPr>
        <w:t>rotocole</w:t>
      </w:r>
      <w:r w:rsidR="007E5B53">
        <w:rPr>
          <w:rFonts w:eastAsia="Cambria"/>
        </w:rPr>
        <w:t xml:space="preserve"> </w:t>
      </w:r>
      <w:r w:rsidR="007E5B53">
        <w:t>facultatif</w:t>
      </w:r>
      <w:r w:rsidR="00C277EB" w:rsidRPr="00592AD1">
        <w:rPr>
          <w:rFonts w:eastAsia="Cambria"/>
        </w:rPr>
        <w:t>.</w:t>
      </w:r>
    </w:p>
    <w:p w:rsidR="00C277EB" w:rsidRPr="00592AD1" w:rsidRDefault="00217000" w:rsidP="00217000">
      <w:pPr>
        <w:pStyle w:val="SingleTxtG"/>
        <w:rPr>
          <w:rFonts w:eastAsia="Cambria"/>
        </w:rPr>
      </w:pPr>
      <w:r w:rsidRPr="00592AD1">
        <w:rPr>
          <w:rFonts w:eastAsia="Cambria"/>
        </w:rPr>
        <w:t>27.</w:t>
      </w:r>
      <w:r w:rsidRPr="00592AD1">
        <w:rPr>
          <w:rFonts w:eastAsia="Cambria"/>
        </w:rPr>
        <w:tab/>
      </w:r>
      <w:r w:rsidR="00C277EB" w:rsidRPr="00592AD1">
        <w:rPr>
          <w:rFonts w:eastAsia="Cambria"/>
        </w:rPr>
        <w:t>L’indentification vise les enfants de rue ou encore ceux vivant dans les zones reculé</w:t>
      </w:r>
      <w:r w:rsidR="00F224A0">
        <w:rPr>
          <w:rFonts w:eastAsia="Cambria"/>
        </w:rPr>
        <w:t>e</w:t>
      </w:r>
      <w:r w:rsidR="00C277EB" w:rsidRPr="00592AD1">
        <w:rPr>
          <w:rFonts w:eastAsia="Cambria"/>
        </w:rPr>
        <w:t>s.</w:t>
      </w:r>
    </w:p>
    <w:p w:rsidR="00C277EB" w:rsidRPr="00592AD1" w:rsidRDefault="00AE73BE">
      <w:pPr>
        <w:pStyle w:val="H1G"/>
      </w:pPr>
      <w:r>
        <w:rPr>
          <w:rFonts w:eastAsia="Cambria"/>
        </w:rPr>
        <w:tab/>
      </w:r>
      <w:r>
        <w:rPr>
          <w:rFonts w:eastAsia="Cambria"/>
        </w:rPr>
        <w:tab/>
      </w:r>
      <w:r w:rsidRPr="00592AD1">
        <w:rPr>
          <w:rFonts w:eastAsia="Cambria"/>
        </w:rPr>
        <w:t xml:space="preserve">Prévention des infractions visées dans le </w:t>
      </w:r>
      <w:r w:rsidR="007E5B53">
        <w:rPr>
          <w:rFonts w:eastAsia="Cambria"/>
        </w:rPr>
        <w:t>P</w:t>
      </w:r>
      <w:r w:rsidRPr="00592AD1">
        <w:rPr>
          <w:rFonts w:eastAsia="Cambria"/>
        </w:rPr>
        <w:t>rotocole</w:t>
      </w:r>
      <w:r w:rsidR="007E5B53">
        <w:rPr>
          <w:rFonts w:eastAsia="Cambria"/>
        </w:rPr>
        <w:t xml:space="preserve"> </w:t>
      </w:r>
      <w:r w:rsidR="007E5B53">
        <w:t>facultatif</w:t>
      </w:r>
    </w:p>
    <w:p w:rsidR="00C277EB" w:rsidRPr="00592AD1" w:rsidRDefault="00AE73BE" w:rsidP="00EE10E9">
      <w:pPr>
        <w:pStyle w:val="H23G"/>
        <w:rPr>
          <w:rFonts w:eastAsia="Calibri"/>
        </w:rPr>
      </w:pPr>
      <w:r>
        <w:rPr>
          <w:rFonts w:eastAsia="Cambria"/>
        </w:rPr>
        <w:tab/>
      </w:r>
      <w:r>
        <w:rPr>
          <w:rFonts w:eastAsia="Cambria"/>
        </w:rPr>
        <w:tab/>
      </w:r>
      <w:r w:rsidR="00D674E1">
        <w:rPr>
          <w:rFonts w:eastAsia="Cambria"/>
        </w:rPr>
        <w:t>Lutte contre la pauvreté</w:t>
      </w:r>
    </w:p>
    <w:p w:rsidR="00C277EB" w:rsidRPr="00592AD1" w:rsidRDefault="00217000" w:rsidP="00217000">
      <w:pPr>
        <w:pStyle w:val="SingleTxtG"/>
      </w:pPr>
      <w:r w:rsidRPr="00592AD1">
        <w:t>28.</w:t>
      </w:r>
      <w:r w:rsidRPr="00592AD1">
        <w:tab/>
      </w:r>
      <w:r w:rsidR="00C277EB" w:rsidRPr="00592AD1">
        <w:t>La pauvreté est une des causes favorisant l’exploitation des enfants à des fins de vente, de prostitutio</w:t>
      </w:r>
      <w:r w:rsidR="00C277EB" w:rsidRPr="00A0576F">
        <w:t>n ou de pornographie mettant en scène des enfants. C’est pourquoi l’</w:t>
      </w:r>
      <w:r w:rsidR="002A7451" w:rsidRPr="00A0576F">
        <w:t xml:space="preserve">État </w:t>
      </w:r>
      <w:r w:rsidR="00EE7217" w:rsidRPr="00A0576F">
        <w:t>m</w:t>
      </w:r>
      <w:r w:rsidR="00C277EB" w:rsidRPr="00A0576F">
        <w:t>algache prévoit</w:t>
      </w:r>
      <w:r w:rsidR="00C277EB" w:rsidRPr="00592AD1">
        <w:t xml:space="preserve"> de lutter contre ce phénomène de pauvreté à travers la mise en œuvre du Plan </w:t>
      </w:r>
      <w:r w:rsidR="00EE7217">
        <w:t>n</w:t>
      </w:r>
      <w:r w:rsidR="00C277EB" w:rsidRPr="00592AD1">
        <w:t xml:space="preserve">ational de </w:t>
      </w:r>
      <w:r w:rsidR="00EE7217">
        <w:t>d</w:t>
      </w:r>
      <w:r w:rsidR="00C277EB" w:rsidRPr="00592AD1">
        <w:t>éveloppement.</w:t>
      </w:r>
    </w:p>
    <w:p w:rsidR="00C277EB" w:rsidRPr="00592AD1" w:rsidRDefault="00AE73BE" w:rsidP="00EE10E9">
      <w:pPr>
        <w:pStyle w:val="H23G"/>
      </w:pPr>
      <w:r>
        <w:tab/>
      </w:r>
      <w:r>
        <w:tab/>
      </w:r>
      <w:r w:rsidR="00C277EB" w:rsidRPr="00592AD1">
        <w:t>Non-discrimination fondée sur le sexe et accès à l’éducation</w:t>
      </w:r>
    </w:p>
    <w:p w:rsidR="00C277EB" w:rsidRPr="00592AD1" w:rsidRDefault="00217000" w:rsidP="00217000">
      <w:pPr>
        <w:pStyle w:val="SingleTxtG"/>
      </w:pPr>
      <w:r w:rsidRPr="00592AD1">
        <w:t>29.</w:t>
      </w:r>
      <w:r w:rsidRPr="00592AD1">
        <w:tab/>
      </w:r>
      <w:r w:rsidR="00C277EB" w:rsidRPr="00592AD1">
        <w:t>L’accès à l’éducation ne souffre de discrimination fondée sur le sexe.</w:t>
      </w:r>
    </w:p>
    <w:p w:rsidR="00C277EB" w:rsidRPr="00592AD1" w:rsidRDefault="00217000" w:rsidP="00217000">
      <w:pPr>
        <w:pStyle w:val="SingleTxtG"/>
      </w:pPr>
      <w:r w:rsidRPr="00592AD1">
        <w:t>30.</w:t>
      </w:r>
      <w:r w:rsidRPr="00592AD1">
        <w:tab/>
      </w:r>
      <w:r w:rsidR="00C277EB" w:rsidRPr="00592AD1">
        <w:t>L’éducation permet de soustraire les enfants aux risques d’exploitations visées dans</w:t>
      </w:r>
      <w:r w:rsidR="0078184B">
        <w:t xml:space="preserve"> </w:t>
      </w:r>
      <w:r w:rsidR="00C277EB" w:rsidRPr="00592AD1">
        <w:t xml:space="preserve">le </w:t>
      </w:r>
      <w:r w:rsidR="007E5B53">
        <w:t>P</w:t>
      </w:r>
      <w:r w:rsidR="00C277EB" w:rsidRPr="00592AD1">
        <w:t>rotocole</w:t>
      </w:r>
      <w:r w:rsidR="007E5B53">
        <w:t xml:space="preserve"> facultatif</w:t>
      </w:r>
      <w:r w:rsidR="00C277EB" w:rsidRPr="00592AD1">
        <w:t>. Pour cela, l’</w:t>
      </w:r>
      <w:r w:rsidR="002A7451">
        <w:t>État</w:t>
      </w:r>
      <w:r w:rsidR="00C277EB" w:rsidRPr="00592AD1">
        <w:t xml:space="preserve"> a entrepris des efforts pour faciliter l’accès à l’éducation par</w:t>
      </w:r>
      <w:r w:rsidR="006F39CA">
        <w:t xml:space="preserve">: </w:t>
      </w:r>
    </w:p>
    <w:p w:rsidR="00C277EB" w:rsidRPr="00592AD1" w:rsidRDefault="00217000" w:rsidP="00217000">
      <w:pPr>
        <w:pStyle w:val="Bullet1G"/>
        <w:numPr>
          <w:ilvl w:val="0"/>
          <w:numId w:val="0"/>
        </w:numPr>
        <w:tabs>
          <w:tab w:val="left" w:pos="1701"/>
        </w:tabs>
        <w:ind w:left="1701" w:hanging="170"/>
      </w:pPr>
      <w:r w:rsidRPr="00592AD1">
        <w:t>•</w:t>
      </w:r>
      <w:r w:rsidRPr="00592AD1">
        <w:tab/>
      </w:r>
      <w:r w:rsidR="000115A9">
        <w:t>L</w:t>
      </w:r>
      <w:r w:rsidR="00C277EB" w:rsidRPr="00592AD1">
        <w:t>’adopt</w:t>
      </w:r>
      <w:r w:rsidR="00296D36">
        <w:t xml:space="preserve">ion du Plan </w:t>
      </w:r>
      <w:r w:rsidR="00EE7217">
        <w:t>i</w:t>
      </w:r>
      <w:r w:rsidR="00296D36">
        <w:t>ntérimaire pour l’</w:t>
      </w:r>
      <w:r w:rsidR="00EE7217">
        <w:t>é</w:t>
      </w:r>
      <w:r w:rsidR="00C277EB" w:rsidRPr="00592AD1">
        <w:t xml:space="preserve">ducation 2013-2015 visant l’amélioration de l’accès à </w:t>
      </w:r>
      <w:r w:rsidR="005471AF">
        <w:t>l’éducation sans discrimination;</w:t>
      </w:r>
    </w:p>
    <w:p w:rsidR="00C277EB" w:rsidRPr="00592AD1" w:rsidRDefault="00217000" w:rsidP="00217000">
      <w:pPr>
        <w:pStyle w:val="Bullet1G"/>
        <w:numPr>
          <w:ilvl w:val="0"/>
          <w:numId w:val="0"/>
        </w:numPr>
        <w:tabs>
          <w:tab w:val="left" w:pos="1701"/>
        </w:tabs>
        <w:ind w:left="1701" w:hanging="170"/>
      </w:pPr>
      <w:r w:rsidRPr="00592AD1">
        <w:t>•</w:t>
      </w:r>
      <w:r w:rsidRPr="00592AD1">
        <w:tab/>
      </w:r>
      <w:r w:rsidR="000115A9">
        <w:t>L</w:t>
      </w:r>
      <w:r w:rsidR="00C277EB" w:rsidRPr="00592AD1">
        <w:t>’allègement de charges parentales à travers de</w:t>
      </w:r>
      <w:r w:rsidR="004B3C90">
        <w:t>s</w:t>
      </w:r>
      <w:r w:rsidR="00C277EB" w:rsidRPr="00592AD1">
        <w:t xml:space="preserve"> dotation</w:t>
      </w:r>
      <w:r w:rsidR="004B3C90">
        <w:t>s</w:t>
      </w:r>
      <w:r w:rsidR="00C277EB" w:rsidRPr="00592AD1">
        <w:t xml:space="preserve"> de kits scolaires pou</w:t>
      </w:r>
      <w:r w:rsidR="00062EA6">
        <w:t>r 1 409 890 élèves en 2011 et 4 235 </w:t>
      </w:r>
      <w:r w:rsidR="00C277EB" w:rsidRPr="00592AD1">
        <w:t>000 en 2013</w:t>
      </w:r>
      <w:r w:rsidR="004B3C90">
        <w:t>,</w:t>
      </w:r>
      <w:r w:rsidR="00C277EB" w:rsidRPr="00592AD1">
        <w:t xml:space="preserve"> avec l’appui de </w:t>
      </w:r>
      <w:r w:rsidR="00C277EB" w:rsidRPr="00A0576F">
        <w:t>l’AFD,</w:t>
      </w:r>
      <w:r w:rsidR="00C277EB" w:rsidRPr="00592AD1">
        <w:t xml:space="preserve"> de la Norvège et d</w:t>
      </w:r>
      <w:r w:rsidR="004B3C90">
        <w:t>u Fonds des Nations Unies pour l’enfance (</w:t>
      </w:r>
      <w:r w:rsidR="00C277EB" w:rsidRPr="00592AD1">
        <w:t>UNICEF</w:t>
      </w:r>
      <w:r w:rsidR="004B3C90">
        <w:t>)</w:t>
      </w:r>
      <w:r w:rsidR="00C277EB" w:rsidRPr="00592AD1">
        <w:t xml:space="preserve">, </w:t>
      </w:r>
      <w:r w:rsidR="004B3C90">
        <w:t xml:space="preserve">la </w:t>
      </w:r>
      <w:r w:rsidR="00C277EB" w:rsidRPr="00592AD1">
        <w:t xml:space="preserve">suppression du droit d’inscription et </w:t>
      </w:r>
      <w:r w:rsidR="004B3C90">
        <w:t xml:space="preserve">la </w:t>
      </w:r>
      <w:r w:rsidR="00C277EB" w:rsidRPr="00592AD1">
        <w:t xml:space="preserve">dotation de 3 000 </w:t>
      </w:r>
      <w:r w:rsidR="004B3C90">
        <w:t>a</w:t>
      </w:r>
      <w:r w:rsidR="00C277EB" w:rsidRPr="00592AD1">
        <w:t xml:space="preserve">riary par élève de caisse-école, </w:t>
      </w:r>
      <w:r w:rsidR="004B3C90">
        <w:t xml:space="preserve">la </w:t>
      </w:r>
      <w:r w:rsidR="00C277EB" w:rsidRPr="00592AD1">
        <w:t xml:space="preserve">mise en </w:t>
      </w:r>
      <w:r w:rsidR="00C277EB" w:rsidRPr="00592AD1">
        <w:lastRenderedPageBreak/>
        <w:t>place de cantines scolaires dans les zones</w:t>
      </w:r>
      <w:r w:rsidR="00062EA6">
        <w:t xml:space="preserve"> à forte insécurité alimentaire </w:t>
      </w:r>
      <w:r w:rsidR="00C277EB" w:rsidRPr="00592AD1">
        <w:t xml:space="preserve">et </w:t>
      </w:r>
      <w:r w:rsidR="004B3C90">
        <w:t xml:space="preserve">la </w:t>
      </w:r>
      <w:r w:rsidR="00C277EB" w:rsidRPr="00592AD1">
        <w:t xml:space="preserve">subvention des </w:t>
      </w:r>
      <w:r w:rsidR="00C277EB" w:rsidRPr="00A0576F">
        <w:t>enseignants FRAM,</w:t>
      </w:r>
      <w:r w:rsidR="00C277EB" w:rsidRPr="00592AD1">
        <w:t xml:space="preserve"> des </w:t>
      </w:r>
      <w:r w:rsidR="004B3C90">
        <w:t>e</w:t>
      </w:r>
      <w:r w:rsidR="00C277EB" w:rsidRPr="00592AD1">
        <w:t xml:space="preserve">nseignants </w:t>
      </w:r>
      <w:r w:rsidR="004B3C90">
        <w:t>n</w:t>
      </w:r>
      <w:r w:rsidR="00C277EB" w:rsidRPr="00592AD1">
        <w:t xml:space="preserve">on </w:t>
      </w:r>
      <w:r w:rsidR="004B3C90">
        <w:t>f</w:t>
      </w:r>
      <w:r w:rsidR="00C277EB" w:rsidRPr="00592AD1">
        <w:t>onctionnaires</w:t>
      </w:r>
      <w:r w:rsidR="00A0576F">
        <w:t>,</w:t>
      </w:r>
      <w:r w:rsidR="00C277EB" w:rsidRPr="00592AD1">
        <w:t xml:space="preserve"> avec l’aide des </w:t>
      </w:r>
      <w:r w:rsidR="004B3C90">
        <w:t>p</w:t>
      </w:r>
      <w:r w:rsidR="00C277EB" w:rsidRPr="00592AD1">
        <w:t xml:space="preserve">artenaires </w:t>
      </w:r>
      <w:r w:rsidR="004B3C90">
        <w:t>t</w:t>
      </w:r>
      <w:r w:rsidR="00C277EB" w:rsidRPr="00592AD1">
        <w:t>echniques et fin</w:t>
      </w:r>
      <w:r w:rsidR="00032685">
        <w:t>anciers et le recrutement de 10 </w:t>
      </w:r>
      <w:r w:rsidR="00C277EB" w:rsidRPr="00592AD1">
        <w:t xml:space="preserve">000 </w:t>
      </w:r>
      <w:r w:rsidR="004B3C90">
        <w:t xml:space="preserve">enseignements non fonctionnaires </w:t>
      </w:r>
      <w:r w:rsidR="00C277EB" w:rsidRPr="00592AD1">
        <w:t>en tant qu’agents contractuels de l’</w:t>
      </w:r>
      <w:r w:rsidR="002A7451">
        <w:t>État</w:t>
      </w:r>
      <w:r w:rsidR="00032685">
        <w:t xml:space="preserve"> en 2014 et 10 </w:t>
      </w:r>
      <w:r w:rsidR="00C277EB" w:rsidRPr="00592AD1">
        <w:t>000 autres en 2015</w:t>
      </w:r>
      <w:r w:rsidR="00032685">
        <w:t>.</w:t>
      </w:r>
    </w:p>
    <w:p w:rsidR="00C277EB" w:rsidRPr="00592AD1" w:rsidRDefault="00AE73BE" w:rsidP="00EE10E9">
      <w:pPr>
        <w:pStyle w:val="H23G"/>
      </w:pPr>
      <w:r>
        <w:tab/>
      </w:r>
      <w:r>
        <w:tab/>
      </w:r>
      <w:r w:rsidR="00C277EB" w:rsidRPr="00592AD1">
        <w:t xml:space="preserve">Enregistrement à la naissance </w:t>
      </w:r>
    </w:p>
    <w:p w:rsidR="00C277EB" w:rsidRPr="00592AD1" w:rsidRDefault="00217000" w:rsidP="00217000">
      <w:pPr>
        <w:pStyle w:val="SingleTxtG"/>
      </w:pPr>
      <w:r w:rsidRPr="00592AD1">
        <w:t>31.</w:t>
      </w:r>
      <w:r w:rsidRPr="00592AD1">
        <w:tab/>
      </w:r>
      <w:r w:rsidR="00C277EB" w:rsidRPr="00592AD1">
        <w:t xml:space="preserve">Madagascar a établi un </w:t>
      </w:r>
      <w:r w:rsidR="004B3C90">
        <w:t>p</w:t>
      </w:r>
      <w:r w:rsidR="00C277EB" w:rsidRPr="00592AD1">
        <w:t>rogramme d’envergure nationale pour la réhabilitation de l’enregistrement des naissances dénommé «EzakaKopia ho an’nyAnkizy»</w:t>
      </w:r>
      <w:r w:rsidR="001D3C70">
        <w:t xml:space="preserve"> </w:t>
      </w:r>
      <w:r w:rsidR="00C277EB" w:rsidRPr="00592AD1">
        <w:t xml:space="preserve">(EKA) pour la période </w:t>
      </w:r>
      <w:r w:rsidR="00F456AA">
        <w:t xml:space="preserve">2004-2013 suivant le </w:t>
      </w:r>
      <w:r w:rsidR="004B3C90">
        <w:t>d</w:t>
      </w:r>
      <w:r w:rsidR="00F456AA">
        <w:t>écret n</w:t>
      </w:r>
      <w:r w:rsidR="00F456AA" w:rsidRPr="00F456AA">
        <w:rPr>
          <w:vertAlign w:val="superscript"/>
        </w:rPr>
        <w:t>o</w:t>
      </w:r>
      <w:r w:rsidR="00F456AA">
        <w:t> </w:t>
      </w:r>
      <w:r w:rsidR="00C277EB" w:rsidRPr="00592AD1">
        <w:t>2004-495 du 26 avril 2004.</w:t>
      </w:r>
    </w:p>
    <w:p w:rsidR="00C277EB" w:rsidRPr="00592AD1" w:rsidRDefault="00217000" w:rsidP="00217000">
      <w:pPr>
        <w:pStyle w:val="SingleTxtG"/>
      </w:pPr>
      <w:r w:rsidRPr="00592AD1">
        <w:t>32.</w:t>
      </w:r>
      <w:r w:rsidRPr="00592AD1">
        <w:tab/>
      </w:r>
      <w:r w:rsidR="00C277EB" w:rsidRPr="00592AD1">
        <w:t xml:space="preserve">Avec l’appui de l’UNICEF, ce programme est intervenu auprès de 921 </w:t>
      </w:r>
      <w:r w:rsidR="004B3C90">
        <w:t>c</w:t>
      </w:r>
      <w:r w:rsidR="00C277EB" w:rsidRPr="00592AD1">
        <w:t>ommunes sur les 1</w:t>
      </w:r>
      <w:r w:rsidR="00181255">
        <w:t> </w:t>
      </w:r>
      <w:r w:rsidR="00C277EB" w:rsidRPr="00592AD1">
        <w:t>579 existantes.</w:t>
      </w:r>
    </w:p>
    <w:p w:rsidR="00C277EB" w:rsidRPr="00592AD1" w:rsidRDefault="00AE73BE" w:rsidP="00AE73BE">
      <w:pPr>
        <w:pStyle w:val="H23G"/>
      </w:pPr>
      <w:r>
        <w:tab/>
      </w:r>
      <w:r>
        <w:tab/>
      </w:r>
      <w:r w:rsidR="00C277EB" w:rsidRPr="00592AD1">
        <w:t>Enregistrement rétroactif des naissances par jugement supplétif</w:t>
      </w:r>
    </w:p>
    <w:p w:rsidR="00C277EB" w:rsidRPr="00592AD1" w:rsidRDefault="00217000" w:rsidP="00217000">
      <w:pPr>
        <w:pStyle w:val="SingleTxtG"/>
      </w:pPr>
      <w:r w:rsidRPr="00592AD1">
        <w:t>33.</w:t>
      </w:r>
      <w:r w:rsidRPr="00592AD1">
        <w:tab/>
      </w:r>
      <w:r w:rsidR="00C277EB" w:rsidRPr="00592AD1">
        <w:t>Concernant l’enregistrement rétroactif des naissances par jugement supplétif, 1 029 005 enfants sans acte de naissance</w:t>
      </w:r>
      <w:r w:rsidR="004B3C90">
        <w:t>,</w:t>
      </w:r>
      <w:r w:rsidR="00C277EB" w:rsidRPr="00592AD1">
        <w:t xml:space="preserve"> sur les 1 532 857 recensés de 2004 à 2010, ont été enregistrés à l’état civil. Actuellement</w:t>
      </w:r>
      <w:r w:rsidR="004B3C90">
        <w:t>,</w:t>
      </w:r>
      <w:r w:rsidR="00C277EB" w:rsidRPr="00592AD1">
        <w:t xml:space="preserve"> suivant les données disponibles, 503 852 enfants recensés sans acte de naissance devraient faire l’objet d’enregistrement rétroactif de naissance.</w:t>
      </w:r>
    </w:p>
    <w:p w:rsidR="00C277EB" w:rsidRPr="00592AD1" w:rsidRDefault="00217000" w:rsidP="00217000">
      <w:pPr>
        <w:pStyle w:val="SingleTxtG"/>
      </w:pPr>
      <w:r w:rsidRPr="00592AD1">
        <w:t>34.</w:t>
      </w:r>
      <w:r w:rsidRPr="00592AD1">
        <w:tab/>
      </w:r>
      <w:r w:rsidR="00C277EB" w:rsidRPr="00592AD1">
        <w:t xml:space="preserve">Des efforts sont à mener auprès des 628 </w:t>
      </w:r>
      <w:r w:rsidR="004B3C90">
        <w:t>c</w:t>
      </w:r>
      <w:r w:rsidR="00C277EB" w:rsidRPr="00592AD1">
        <w:t>ommunes qui n’ont pas encore eu l’appui du programme.</w:t>
      </w:r>
    </w:p>
    <w:p w:rsidR="00C277EB" w:rsidRPr="00592AD1" w:rsidRDefault="00AE73BE" w:rsidP="00EE10E9">
      <w:pPr>
        <w:pStyle w:val="H23G"/>
      </w:pPr>
      <w:r>
        <w:tab/>
      </w:r>
      <w:r>
        <w:tab/>
      </w:r>
      <w:r w:rsidR="00C277EB" w:rsidRPr="00592AD1">
        <w:t>Enregistrement systématique des naissances par déclaration</w:t>
      </w:r>
    </w:p>
    <w:p w:rsidR="00C277EB" w:rsidRPr="00592AD1" w:rsidRDefault="00217000" w:rsidP="00217000">
      <w:pPr>
        <w:pStyle w:val="SingleTxtG"/>
      </w:pPr>
      <w:r w:rsidRPr="00592AD1">
        <w:t>35.</w:t>
      </w:r>
      <w:r w:rsidRPr="00592AD1">
        <w:tab/>
      </w:r>
      <w:r w:rsidR="00C277EB" w:rsidRPr="00592AD1">
        <w:t xml:space="preserve">Les données des </w:t>
      </w:r>
      <w:r w:rsidR="00E24217">
        <w:t>e</w:t>
      </w:r>
      <w:r w:rsidR="00C277EB" w:rsidRPr="00592AD1">
        <w:t xml:space="preserve">nquêtes </w:t>
      </w:r>
      <w:r w:rsidR="00E24217">
        <w:t>d</w:t>
      </w:r>
      <w:r w:rsidR="00C277EB" w:rsidRPr="00592AD1">
        <w:t xml:space="preserve">émographiques et de </w:t>
      </w:r>
      <w:r w:rsidR="00E24217">
        <w:t>s</w:t>
      </w:r>
      <w:r w:rsidR="00C277EB" w:rsidRPr="00592AD1">
        <w:t>anté indiquent que le taux de sous déclaration d’enfants de 0 à 5 ans est passé de 25 % en 2003-2004 à 20 % en 2008-2009, soit une réduction de 5 % en 5 ans, c’est-à-dire une baisse moyenne de 1 % par an.</w:t>
      </w:r>
    </w:p>
    <w:p w:rsidR="00C277EB" w:rsidRPr="00592AD1" w:rsidRDefault="00AE73BE" w:rsidP="00EE10E9">
      <w:pPr>
        <w:pStyle w:val="H23G"/>
      </w:pPr>
      <w:r>
        <w:tab/>
      </w:r>
      <w:r>
        <w:tab/>
      </w:r>
      <w:r w:rsidR="00C277EB" w:rsidRPr="00592AD1">
        <w:t>Projet d’extension du délai de déclaration de naissance</w:t>
      </w:r>
    </w:p>
    <w:p w:rsidR="00C277EB" w:rsidRPr="00592AD1" w:rsidRDefault="00217000" w:rsidP="00217000">
      <w:pPr>
        <w:pStyle w:val="SingleTxtG"/>
      </w:pPr>
      <w:r w:rsidRPr="00592AD1">
        <w:t>36.</w:t>
      </w:r>
      <w:r w:rsidRPr="00592AD1">
        <w:tab/>
      </w:r>
      <w:r w:rsidR="00C277EB" w:rsidRPr="00592AD1">
        <w:t xml:space="preserve">Afin de permettre à tout un chacun de procéder à l’enregistrement de leurs enfants, un projet de loi prévoit l’extension du délai de déclaration de naissance à 45 jours. </w:t>
      </w:r>
    </w:p>
    <w:p w:rsidR="00C277EB" w:rsidRPr="00592AD1" w:rsidRDefault="00AE73BE" w:rsidP="00EE10E9">
      <w:pPr>
        <w:pStyle w:val="H23G"/>
      </w:pPr>
      <w:r>
        <w:tab/>
      </w:r>
      <w:r>
        <w:tab/>
      </w:r>
      <w:r w:rsidR="00C277EB" w:rsidRPr="00592AD1">
        <w:t xml:space="preserve">Mariage précoce et forcé </w:t>
      </w:r>
    </w:p>
    <w:p w:rsidR="00C277EB" w:rsidRPr="00592AD1" w:rsidRDefault="00217000" w:rsidP="00217000">
      <w:pPr>
        <w:pStyle w:val="SingleTxtG"/>
      </w:pPr>
      <w:r w:rsidRPr="00592AD1">
        <w:t>37.</w:t>
      </w:r>
      <w:r w:rsidRPr="00592AD1">
        <w:tab/>
      </w:r>
      <w:r w:rsidR="00C277EB" w:rsidRPr="00592AD1">
        <w:t>Pour éliminer les pratiques de mariage d’enfant</w:t>
      </w:r>
      <w:r w:rsidR="00E24217">
        <w:t>,</w:t>
      </w:r>
      <w:r w:rsidR="00C277EB" w:rsidRPr="00592AD1">
        <w:t xml:space="preserve"> malgré la fixation à 18 ans </w:t>
      </w:r>
      <w:r w:rsidR="00E24217">
        <w:t xml:space="preserve">de </w:t>
      </w:r>
      <w:r w:rsidR="00C277EB" w:rsidRPr="00592AD1">
        <w:t>l’âge minimum pour contracter mariage</w:t>
      </w:r>
      <w:r w:rsidR="00E24217">
        <w:t>,</w:t>
      </w:r>
      <w:r w:rsidR="00C277EB" w:rsidRPr="00592AD1">
        <w:t xml:space="preserve"> le service de vulgarisation du </w:t>
      </w:r>
      <w:r w:rsidR="00E24217">
        <w:t>M</w:t>
      </w:r>
      <w:r w:rsidR="00C277EB" w:rsidRPr="00592AD1">
        <w:t>inistère</w:t>
      </w:r>
      <w:r w:rsidR="0078184B">
        <w:t xml:space="preserve"> </w:t>
      </w:r>
      <w:r w:rsidR="00C277EB" w:rsidRPr="00592AD1">
        <w:t>de la justice a organisé des campagnes de sensibilisation publique sur les effets négatifs des mariages d’enfant dans la capitale.</w:t>
      </w:r>
    </w:p>
    <w:p w:rsidR="00C277EB" w:rsidRPr="00592AD1" w:rsidRDefault="00217000" w:rsidP="00217000">
      <w:pPr>
        <w:pStyle w:val="SingleTxtG"/>
      </w:pPr>
      <w:r w:rsidRPr="00592AD1">
        <w:t>38.</w:t>
      </w:r>
      <w:r w:rsidRPr="00592AD1">
        <w:tab/>
      </w:r>
      <w:r w:rsidR="00C277EB" w:rsidRPr="00592AD1">
        <w:t xml:space="preserve">Madagascar compte poursuivre et renforcer cette campagne dans les </w:t>
      </w:r>
      <w:r w:rsidR="00E24217">
        <w:t>r</w:t>
      </w:r>
      <w:r w:rsidR="00C277EB" w:rsidRPr="00592AD1">
        <w:t>égions.</w:t>
      </w:r>
    </w:p>
    <w:p w:rsidR="00C277EB" w:rsidRPr="00592AD1" w:rsidRDefault="00217000" w:rsidP="00217000">
      <w:pPr>
        <w:pStyle w:val="SingleTxtG"/>
      </w:pPr>
      <w:r w:rsidRPr="00592AD1">
        <w:t>39.</w:t>
      </w:r>
      <w:r w:rsidRPr="00592AD1">
        <w:tab/>
      </w:r>
      <w:r w:rsidR="00C277EB" w:rsidRPr="00592AD1">
        <w:t>Pour combattre les pratiques traditionnelles néfastes</w:t>
      </w:r>
      <w:r w:rsidR="00E24217">
        <w:t>,</w:t>
      </w:r>
      <w:r w:rsidR="00C277EB" w:rsidRPr="00592AD1">
        <w:t xml:space="preserve"> telles que le mariage d’enfant, le Ministère de la </w:t>
      </w:r>
      <w:r w:rsidR="00E24217">
        <w:t>j</w:t>
      </w:r>
      <w:r w:rsidR="00C277EB" w:rsidRPr="00592AD1">
        <w:t xml:space="preserve">ustice, avec l’appui du </w:t>
      </w:r>
      <w:r w:rsidR="00E24217">
        <w:t>Programme des Nations Unies pour le développement (</w:t>
      </w:r>
      <w:r w:rsidR="00C277EB" w:rsidRPr="00592AD1">
        <w:t>PNUD</w:t>
      </w:r>
      <w:r w:rsidR="00E24217">
        <w:t>)</w:t>
      </w:r>
      <w:r w:rsidR="00C277EB" w:rsidRPr="00592AD1">
        <w:t>,</w:t>
      </w:r>
      <w:r w:rsidR="0078184B">
        <w:t xml:space="preserve"> </w:t>
      </w:r>
      <w:r w:rsidR="00C277EB" w:rsidRPr="00592AD1">
        <w:t>a fait procéder à une étude confiée au cabinet Miaramita aux fins d’identifier les causes profondes expliquant la persistance du mariage précoce</w:t>
      </w:r>
      <w:r w:rsidR="0078184B">
        <w:t xml:space="preserve"> </w:t>
      </w:r>
      <w:r w:rsidR="00C277EB" w:rsidRPr="00592AD1">
        <w:t>à travers le «Moletry</w:t>
      </w:r>
      <w:r w:rsidR="0078184B">
        <w:t xml:space="preserve"> </w:t>
      </w:r>
      <w:r w:rsidR="00C277EB" w:rsidRPr="00592AD1">
        <w:t>»</w:t>
      </w:r>
      <w:r w:rsidR="0078184B">
        <w:t xml:space="preserve"> </w:t>
      </w:r>
      <w:r w:rsidR="00C277EB" w:rsidRPr="00592AD1">
        <w:t>parfois pratiqué à l’encontre des filles mineures.</w:t>
      </w:r>
    </w:p>
    <w:p w:rsidR="00C277EB" w:rsidRPr="00592AD1" w:rsidRDefault="00217000" w:rsidP="00217000">
      <w:pPr>
        <w:pStyle w:val="SingleTxtG"/>
      </w:pPr>
      <w:r w:rsidRPr="00592AD1">
        <w:t>40.</w:t>
      </w:r>
      <w:r w:rsidRPr="00592AD1">
        <w:tab/>
      </w:r>
      <w:r w:rsidR="00C277EB" w:rsidRPr="00592AD1">
        <w:t>L’étude vise également à déterminer</w:t>
      </w:r>
      <w:r w:rsidR="0078184B">
        <w:t xml:space="preserve"> </w:t>
      </w:r>
      <w:r w:rsidR="00C277EB" w:rsidRPr="00592AD1">
        <w:t xml:space="preserve">l’ampleur, à dégager les voies et moyens à mettre en œuvre pour éradiquer cette discrimination à l’encontre des enfants victimes. Ainsi, le Ministère de la </w:t>
      </w:r>
      <w:r w:rsidR="00E24217">
        <w:t>j</w:t>
      </w:r>
      <w:r w:rsidR="00C277EB" w:rsidRPr="00592AD1">
        <w:t>ustice</w:t>
      </w:r>
      <w:r w:rsidR="00E24217">
        <w:t>,</w:t>
      </w:r>
      <w:r w:rsidR="00C277EB" w:rsidRPr="00592AD1">
        <w:t xml:space="preserve"> avec l’appui du PNUD</w:t>
      </w:r>
      <w:r w:rsidR="00E24217">
        <w:t>,</w:t>
      </w:r>
      <w:r w:rsidR="00C277EB" w:rsidRPr="00592AD1">
        <w:t xml:space="preserve"> a organisé à Mampikony</w:t>
      </w:r>
      <w:r w:rsidR="00E24217">
        <w:t>,</w:t>
      </w:r>
      <w:r w:rsidR="00C277EB" w:rsidRPr="00592AD1">
        <w:t xml:space="preserve"> en 2008, un atelier regroupant toutes les parties prenantes concernées.</w:t>
      </w:r>
    </w:p>
    <w:p w:rsidR="00C277EB" w:rsidRPr="00592AD1" w:rsidRDefault="00217000" w:rsidP="00217000">
      <w:pPr>
        <w:pStyle w:val="SingleTxtG"/>
      </w:pPr>
      <w:r w:rsidRPr="00592AD1">
        <w:t>41.</w:t>
      </w:r>
      <w:r w:rsidRPr="00592AD1">
        <w:tab/>
      </w:r>
      <w:r w:rsidR="004F7647">
        <w:t>À</w:t>
      </w:r>
      <w:r w:rsidR="00C277EB" w:rsidRPr="00592AD1">
        <w:t xml:space="preserve"> l’issu</w:t>
      </w:r>
      <w:r w:rsidR="001D3C70">
        <w:t>e</w:t>
      </w:r>
      <w:r w:rsidR="00C277EB" w:rsidRPr="00592AD1">
        <w:t xml:space="preserve"> de cet atelier, les autorités locales, administratives, judiciaires, policières, et les leaders traditionnels ainsi que les chefs religieux toutes confessions confondues ont </w:t>
      </w:r>
      <w:r w:rsidR="00C277EB" w:rsidRPr="00592AD1">
        <w:lastRenderedPageBreak/>
        <w:t>signé une feuille de route en vue d</w:t>
      </w:r>
      <w:r w:rsidR="00887B82">
        <w:t>’</w:t>
      </w:r>
      <w:r w:rsidR="00C277EB" w:rsidRPr="00592AD1">
        <w:t xml:space="preserve">actions concrètes pour mettre fin à la pratique du Moletry à l’encontre de l’enfant. </w:t>
      </w:r>
    </w:p>
    <w:p w:rsidR="00C277EB" w:rsidRPr="00592AD1" w:rsidRDefault="00217000" w:rsidP="00217000">
      <w:pPr>
        <w:pStyle w:val="SingleTxtG"/>
      </w:pPr>
      <w:r w:rsidRPr="00592AD1">
        <w:t>42.</w:t>
      </w:r>
      <w:r w:rsidRPr="00592AD1">
        <w:tab/>
      </w:r>
      <w:r w:rsidR="00C277EB" w:rsidRPr="00592AD1">
        <w:t>Dans le même sens</w:t>
      </w:r>
      <w:r w:rsidR="00887B82">
        <w:t>,</w:t>
      </w:r>
      <w:r w:rsidR="00C277EB" w:rsidRPr="00592AD1">
        <w:t xml:space="preserve"> avec l’appui de l’UNICEF et du</w:t>
      </w:r>
      <w:r w:rsidR="00A0576F">
        <w:t xml:space="preserve"> Fonds des Nations Unies pour la population</w:t>
      </w:r>
      <w:r w:rsidR="00C277EB" w:rsidRPr="00592AD1">
        <w:t>, le lancement de la lutte contre le mariage précoce des enfants a eu lieu le 2</w:t>
      </w:r>
      <w:r w:rsidR="00A0576F">
        <w:t> </w:t>
      </w:r>
      <w:r w:rsidR="00C277EB" w:rsidRPr="00592AD1">
        <w:t>juin 2015</w:t>
      </w:r>
      <w:r w:rsidR="001D3C70">
        <w:t xml:space="preserve"> </w:t>
      </w:r>
      <w:r w:rsidR="00C277EB" w:rsidRPr="00592AD1">
        <w:t>à l’</w:t>
      </w:r>
      <w:r w:rsidR="00887B82">
        <w:t>h</w:t>
      </w:r>
      <w:r w:rsidR="00C277EB" w:rsidRPr="00592AD1">
        <w:t>ôtel de ville d’Antananarivo.</w:t>
      </w:r>
    </w:p>
    <w:p w:rsidR="00C277EB" w:rsidRPr="00592AD1" w:rsidRDefault="00AE73BE" w:rsidP="00EE10E9">
      <w:pPr>
        <w:pStyle w:val="H23G"/>
      </w:pPr>
      <w:r>
        <w:tab/>
      </w:r>
      <w:r>
        <w:tab/>
      </w:r>
      <w:r w:rsidR="00C277EB" w:rsidRPr="00592AD1">
        <w:t xml:space="preserve">Violence sexuelle à l’école, au sein de la communauté et dans la rue </w:t>
      </w:r>
    </w:p>
    <w:p w:rsidR="00C277EB" w:rsidRPr="00592AD1" w:rsidRDefault="00217000" w:rsidP="00217000">
      <w:pPr>
        <w:pStyle w:val="SingleTxtG"/>
      </w:pPr>
      <w:r w:rsidRPr="00592AD1">
        <w:t>43.</w:t>
      </w:r>
      <w:r w:rsidRPr="00592AD1">
        <w:tab/>
      </w:r>
      <w:r w:rsidR="00C277EB" w:rsidRPr="00592AD1">
        <w:t xml:space="preserve">La loi </w:t>
      </w:r>
      <w:r w:rsidR="004F7647" w:rsidRPr="00592AD1">
        <w:t>n</w:t>
      </w:r>
      <w:r w:rsidR="004F7647" w:rsidRPr="00D75A10">
        <w:rPr>
          <w:vertAlign w:val="superscript"/>
        </w:rPr>
        <w:t>o</w:t>
      </w:r>
      <w:r w:rsidR="004F7647">
        <w:t> </w:t>
      </w:r>
      <w:r w:rsidR="00C277EB" w:rsidRPr="00592AD1">
        <w:t>2007-023 du 20 ao</w:t>
      </w:r>
      <w:r w:rsidR="004F7647">
        <w:t>û</w:t>
      </w:r>
      <w:r w:rsidR="00C277EB" w:rsidRPr="00592AD1">
        <w:t>t 2007 sur les droits et la protection des enfants définit la maltraitance et énonce les mesures de protection des enfants en danger moral ou victimes de maltraitance ainsi que les dispositions relatives au signalement.</w:t>
      </w:r>
    </w:p>
    <w:p w:rsidR="00C277EB" w:rsidRPr="00592AD1" w:rsidRDefault="00217000" w:rsidP="00217000">
      <w:pPr>
        <w:pStyle w:val="SingleTxtG"/>
      </w:pPr>
      <w:r w:rsidRPr="00592AD1">
        <w:t>44.</w:t>
      </w:r>
      <w:r w:rsidRPr="00592AD1">
        <w:tab/>
      </w:r>
      <w:r w:rsidR="00C277EB" w:rsidRPr="00592AD1">
        <w:t>L’</w:t>
      </w:r>
      <w:r w:rsidR="00C80B89">
        <w:t>article </w:t>
      </w:r>
      <w:r w:rsidR="00C277EB" w:rsidRPr="00592AD1">
        <w:t>67 de ce</w:t>
      </w:r>
      <w:r w:rsidR="004F44F5">
        <w:t xml:space="preserve">tte loi définit la maltraitance </w:t>
      </w:r>
      <w:r w:rsidR="00C277EB" w:rsidRPr="00592AD1">
        <w:t>comme étant toutes formes de violence, d’atteintes ou de brutalités physiques ou morales, d’abandon ou de négligence, de mauvais traitements ou d’exploitation y compris la violence sexuelle perpétrées sur un enfant par ses parents, des représentants légaux ou toute autre personne.</w:t>
      </w:r>
    </w:p>
    <w:p w:rsidR="00C277EB" w:rsidRPr="00592AD1" w:rsidRDefault="00217000" w:rsidP="00217000">
      <w:pPr>
        <w:pStyle w:val="SingleTxtG"/>
      </w:pPr>
      <w:r w:rsidRPr="00592AD1">
        <w:t>45.</w:t>
      </w:r>
      <w:r w:rsidRPr="00592AD1">
        <w:tab/>
      </w:r>
      <w:r w:rsidR="00C277EB" w:rsidRPr="00592AD1">
        <w:t xml:space="preserve">Cet </w:t>
      </w:r>
      <w:r w:rsidR="00C80B89">
        <w:t>article</w:t>
      </w:r>
      <w:r w:rsidR="00181255">
        <w:t xml:space="preserve"> </w:t>
      </w:r>
      <w:r w:rsidR="00C277EB" w:rsidRPr="00592AD1">
        <w:t>intègre aussi dans la maltraitance les différents types de sanctions prises à l’encontre des enfants dans le contexte au sein de la vie familiale, des écoles, de la communauté lorsqu’elles portent atteinte à leur intégrité physique ou morale.</w:t>
      </w:r>
    </w:p>
    <w:p w:rsidR="00C277EB" w:rsidRPr="00592AD1" w:rsidRDefault="00217000" w:rsidP="00217000">
      <w:pPr>
        <w:pStyle w:val="SingleTxtG"/>
      </w:pPr>
      <w:r w:rsidRPr="00592AD1">
        <w:t>46.</w:t>
      </w:r>
      <w:r w:rsidRPr="00592AD1">
        <w:tab/>
      </w:r>
      <w:r w:rsidR="00C277EB" w:rsidRPr="00592AD1">
        <w:t>Toute personne ayant perpétré des sévices sexuels sur les mineurs encourt des peines aggravées.</w:t>
      </w:r>
    </w:p>
    <w:p w:rsidR="00C277EB" w:rsidRPr="00592AD1" w:rsidRDefault="00217000" w:rsidP="00217000">
      <w:pPr>
        <w:pStyle w:val="SingleTxtG"/>
      </w:pPr>
      <w:r w:rsidRPr="00592AD1">
        <w:t>47.</w:t>
      </w:r>
      <w:r w:rsidRPr="00592AD1">
        <w:tab/>
      </w:r>
      <w:r w:rsidR="00C277EB" w:rsidRPr="00592AD1">
        <w:t>L’</w:t>
      </w:r>
      <w:r w:rsidR="00C80B89">
        <w:t>article </w:t>
      </w:r>
      <w:r w:rsidR="00C277EB" w:rsidRPr="00592AD1">
        <w:t>69 prévoit l’obligation de signalement pour les parents, les membres de la famille, les voisins, les amis, les autorités locales, les enseignants, les dignitaires religieux, les travailleurs sociaux, le personnel médical, la police judiciaire auprès des autorités administratives ou judiciaires compétentes sous peine des sanctions prévues par l’</w:t>
      </w:r>
      <w:r w:rsidR="00C80B89">
        <w:t>article </w:t>
      </w:r>
      <w:r w:rsidR="00F8123D">
        <w:t>62 alinéa 1 du Code p</w:t>
      </w:r>
      <w:r w:rsidR="00C277EB" w:rsidRPr="00592AD1">
        <w:t>énal.</w:t>
      </w:r>
    </w:p>
    <w:p w:rsidR="00C277EB" w:rsidRPr="00592AD1" w:rsidRDefault="00217000" w:rsidP="00217000">
      <w:pPr>
        <w:pStyle w:val="SingleTxtG"/>
      </w:pPr>
      <w:r w:rsidRPr="00592AD1">
        <w:t>48.</w:t>
      </w:r>
      <w:r w:rsidRPr="00592AD1">
        <w:tab/>
      </w:r>
      <w:r w:rsidR="00C277EB" w:rsidRPr="00592AD1">
        <w:t>Dans tous les cas, l’enfant lui-même peut signaler la maltraitance dont il est victime.</w:t>
      </w:r>
    </w:p>
    <w:p w:rsidR="00C277EB" w:rsidRPr="00592AD1" w:rsidRDefault="00217000" w:rsidP="00217000">
      <w:pPr>
        <w:pStyle w:val="SingleTxtG"/>
      </w:pPr>
      <w:r w:rsidRPr="00592AD1">
        <w:t>49.</w:t>
      </w:r>
      <w:r w:rsidRPr="00592AD1">
        <w:tab/>
      </w:r>
      <w:r w:rsidR="00C277EB" w:rsidRPr="00592AD1">
        <w:t>Par ailleurs, en matière de traite, de tourisme sexuel et d’inceste, le défaut de signalement constitue un acte de complicité spéciale conformément à l’</w:t>
      </w:r>
      <w:r w:rsidR="00C80B89">
        <w:t>article </w:t>
      </w:r>
      <w:r w:rsidR="00C277EB" w:rsidRPr="00592AD1">
        <w:t xml:space="preserve">7.3 de la loi 2007 </w:t>
      </w:r>
      <w:r w:rsidR="004F7647" w:rsidRPr="00592AD1">
        <w:t>n</w:t>
      </w:r>
      <w:r w:rsidR="004F7647" w:rsidRPr="00D75A10">
        <w:rPr>
          <w:vertAlign w:val="superscript"/>
        </w:rPr>
        <w:t>o</w:t>
      </w:r>
      <w:r w:rsidR="004F7647">
        <w:t> </w:t>
      </w:r>
      <w:r w:rsidR="00C277EB" w:rsidRPr="00592AD1">
        <w:t>2007-038 du 14 janvier 2008</w:t>
      </w:r>
      <w:r w:rsidR="004F44F5">
        <w:t xml:space="preserve"> </w:t>
      </w:r>
      <w:r w:rsidR="00C277EB" w:rsidRPr="00592AD1">
        <w:t xml:space="preserve">modifiant et complétant </w:t>
      </w:r>
      <w:r w:rsidR="00DE28EE">
        <w:t>certaines dispositions du Code p</w:t>
      </w:r>
      <w:r w:rsidR="00C277EB" w:rsidRPr="00592AD1">
        <w:t>énal sur la lutte contre la traite des personnes et le tourisme sexuel.</w:t>
      </w:r>
    </w:p>
    <w:p w:rsidR="00C277EB" w:rsidRPr="00592AD1" w:rsidRDefault="00AE73BE" w:rsidP="00EE10E9">
      <w:pPr>
        <w:pStyle w:val="H1G"/>
      </w:pPr>
      <w:r>
        <w:tab/>
      </w:r>
      <w:r>
        <w:tab/>
      </w:r>
      <w:r w:rsidRPr="00592AD1">
        <w:t>Mesure prise pour combattre l’exploitation sexuelle des enfants</w:t>
      </w:r>
    </w:p>
    <w:p w:rsidR="00C277EB" w:rsidRPr="00592AD1" w:rsidRDefault="00217000" w:rsidP="00217000">
      <w:pPr>
        <w:pStyle w:val="SingleTxtG"/>
      </w:pPr>
      <w:r w:rsidRPr="00592AD1">
        <w:t>50.</w:t>
      </w:r>
      <w:r w:rsidRPr="00592AD1">
        <w:tab/>
      </w:r>
      <w:r w:rsidR="00C277EB" w:rsidRPr="00592AD1">
        <w:t xml:space="preserve">Outre l’adoption de la loi antitraite et la création du Bureau </w:t>
      </w:r>
      <w:r w:rsidR="00200EB2">
        <w:t>n</w:t>
      </w:r>
      <w:r w:rsidR="00C277EB" w:rsidRPr="00592AD1">
        <w:t xml:space="preserve">ational de </w:t>
      </w:r>
      <w:r w:rsidR="00200EB2">
        <w:t>l</w:t>
      </w:r>
      <w:r w:rsidR="00C277EB" w:rsidRPr="00592AD1">
        <w:t>utt</w:t>
      </w:r>
      <w:r w:rsidR="00877A58">
        <w:t xml:space="preserve">e contre la </w:t>
      </w:r>
      <w:r w:rsidR="00200EB2">
        <w:t>t</w:t>
      </w:r>
      <w:r w:rsidR="00877A58">
        <w:t>raite, le décret n</w:t>
      </w:r>
      <w:r w:rsidR="00877A58" w:rsidRPr="00877A58">
        <w:rPr>
          <w:vertAlign w:val="superscript"/>
        </w:rPr>
        <w:t>o</w:t>
      </w:r>
      <w:r w:rsidR="00877A58">
        <w:t> </w:t>
      </w:r>
      <w:r w:rsidR="00C277EB" w:rsidRPr="00592AD1">
        <w:t xml:space="preserve">2007-563 du 3 juillet 2007 relatif au travail des enfants en son </w:t>
      </w:r>
      <w:r w:rsidR="00C80B89">
        <w:t>article </w:t>
      </w:r>
      <w:r w:rsidR="00C277EB" w:rsidRPr="00592AD1">
        <w:t xml:space="preserve">12 prohibe l’emploi des enfants dans </w:t>
      </w:r>
      <w:r w:rsidR="00C277EB" w:rsidRPr="00781618">
        <w:t>les</w:t>
      </w:r>
      <w:r w:rsidR="00C277EB" w:rsidRPr="00592AD1">
        <w:t xml:space="preserve"> bars, les discothèques, les casinos, les maisons de jeux, les cabarets. Il en est de même des étalages extérieurs se trouvant à proximité</w:t>
      </w:r>
      <w:r w:rsidR="000A0B13">
        <w:t xml:space="preserve"> </w:t>
      </w:r>
      <w:r w:rsidR="00C277EB" w:rsidRPr="00592AD1">
        <w:t>des lieux susvisés ainsi que de tout autre lieu public ou sont consommés des boissons alcoolisées.</w:t>
      </w:r>
    </w:p>
    <w:p w:rsidR="00C277EB" w:rsidRPr="00592AD1" w:rsidRDefault="00217000" w:rsidP="00217000">
      <w:pPr>
        <w:pStyle w:val="SingleTxtG"/>
      </w:pPr>
      <w:r w:rsidRPr="00592AD1">
        <w:t>51.</w:t>
      </w:r>
      <w:r w:rsidRPr="00592AD1">
        <w:tab/>
      </w:r>
      <w:r w:rsidR="00C277EB" w:rsidRPr="00592AD1">
        <w:t>L’</w:t>
      </w:r>
      <w:r w:rsidR="00C80B89">
        <w:t>article </w:t>
      </w:r>
      <w:r w:rsidR="00C277EB" w:rsidRPr="00592AD1">
        <w:t>13 de ce décret stipule que «le recrutement, l’utilisation, l’offre et l’emploi des enfants de l’un ou l’autre sexe à des fins de prostitution, de production de matériel pornographiques, l’exploitation sexuelle à des f</w:t>
      </w:r>
      <w:r w:rsidR="000A0B13">
        <w:t>ins commerciales sont interdits</w:t>
      </w:r>
      <w:r w:rsidR="00C277EB" w:rsidRPr="00592AD1">
        <w:t>».</w:t>
      </w:r>
    </w:p>
    <w:p w:rsidR="00C277EB" w:rsidRPr="00592AD1" w:rsidRDefault="00217000" w:rsidP="00217000">
      <w:pPr>
        <w:pStyle w:val="SingleTxtG"/>
      </w:pPr>
      <w:r w:rsidRPr="00592AD1">
        <w:t>52.</w:t>
      </w:r>
      <w:r w:rsidRPr="00592AD1">
        <w:tab/>
      </w:r>
      <w:r w:rsidR="00C277EB" w:rsidRPr="00592AD1">
        <w:t>Selon l’</w:t>
      </w:r>
      <w:r w:rsidR="00C80B89">
        <w:t>article </w:t>
      </w:r>
      <w:r w:rsidR="00C277EB" w:rsidRPr="00592AD1">
        <w:t>24 du décret, les auteurs des infrac</w:t>
      </w:r>
      <w:r w:rsidR="00CD3C33">
        <w:t>tions prévues aux articles </w:t>
      </w:r>
      <w:r w:rsidR="00C277EB" w:rsidRPr="00592AD1">
        <w:t xml:space="preserve">12 et 13 sont punis </w:t>
      </w:r>
      <w:r w:rsidR="000A0B13">
        <w:t>des peines prévues aux articles 332 à 347 du Code p</w:t>
      </w:r>
      <w:r w:rsidR="00C277EB" w:rsidRPr="00592AD1">
        <w:t>énal</w:t>
      </w:r>
      <w:r w:rsidR="004F7647">
        <w:t>.</w:t>
      </w:r>
    </w:p>
    <w:p w:rsidR="00C277EB" w:rsidRPr="00592AD1" w:rsidRDefault="00AE73BE" w:rsidP="00EE10E9">
      <w:pPr>
        <w:pStyle w:val="H1G"/>
      </w:pPr>
      <w:r>
        <w:lastRenderedPageBreak/>
        <w:tab/>
      </w:r>
      <w:r>
        <w:tab/>
      </w:r>
      <w:r w:rsidRPr="00592AD1">
        <w:t xml:space="preserve">Initiative prise pour combattre la pornographie sur </w:t>
      </w:r>
      <w:r w:rsidR="00200EB2">
        <w:t>I</w:t>
      </w:r>
      <w:r w:rsidRPr="00592AD1">
        <w:t xml:space="preserve">nternet </w:t>
      </w:r>
      <w:r w:rsidR="004F7647">
        <w:br/>
      </w:r>
      <w:r w:rsidRPr="00592AD1">
        <w:t>et l</w:t>
      </w:r>
      <w:r w:rsidR="004F7647">
        <w:t>a</w:t>
      </w:r>
      <w:r w:rsidRPr="00592AD1">
        <w:t xml:space="preserve"> détention de matériels pornographiques</w:t>
      </w:r>
    </w:p>
    <w:p w:rsidR="00C277EB" w:rsidRPr="00592AD1" w:rsidRDefault="00217000" w:rsidP="00217000">
      <w:pPr>
        <w:pStyle w:val="SingleTxtG"/>
        <w:rPr>
          <w:rFonts w:eastAsia="Calibri"/>
        </w:rPr>
      </w:pPr>
      <w:r w:rsidRPr="00592AD1">
        <w:rPr>
          <w:rFonts w:eastAsia="Calibri"/>
        </w:rPr>
        <w:t>53.</w:t>
      </w:r>
      <w:r w:rsidRPr="00592AD1">
        <w:rPr>
          <w:rFonts w:eastAsia="Calibri"/>
        </w:rPr>
        <w:tab/>
      </w:r>
      <w:r w:rsidR="000B46DF">
        <w:t>L</w:t>
      </w:r>
      <w:r w:rsidR="00C277EB" w:rsidRPr="00592AD1">
        <w:t>’</w:t>
      </w:r>
      <w:r w:rsidR="002A7451">
        <w:t>État</w:t>
      </w:r>
      <w:r w:rsidR="00C277EB" w:rsidRPr="00592AD1">
        <w:t xml:space="preserve"> </w:t>
      </w:r>
      <w:r w:rsidR="00200EB2">
        <w:t>m</w:t>
      </w:r>
      <w:r w:rsidR="00C277EB" w:rsidRPr="00592AD1">
        <w:t xml:space="preserve">alagasy dispose d’une loi </w:t>
      </w:r>
      <w:r w:rsidR="004F7647" w:rsidRPr="00592AD1">
        <w:t>n</w:t>
      </w:r>
      <w:r w:rsidR="004F7647" w:rsidRPr="00D75A10">
        <w:rPr>
          <w:vertAlign w:val="superscript"/>
        </w:rPr>
        <w:t>o</w:t>
      </w:r>
      <w:r w:rsidR="004F7647">
        <w:t> </w:t>
      </w:r>
      <w:r w:rsidR="00C277EB" w:rsidRPr="00592AD1">
        <w:t>2014-</w:t>
      </w:r>
      <w:r w:rsidR="000A0B13">
        <w:t>006 du 17 j</w:t>
      </w:r>
      <w:r w:rsidR="00C277EB" w:rsidRPr="00592AD1">
        <w:t xml:space="preserve">uillet 2014 sur la lutte contre la cybercriminalité qui réprime en son </w:t>
      </w:r>
      <w:r w:rsidR="00C80B89">
        <w:t>article </w:t>
      </w:r>
      <w:r w:rsidR="00C277EB" w:rsidRPr="00592AD1">
        <w:t xml:space="preserve">22 et suivants la pédopornographie sur Internet ou la pornographie impliquant des enfants sur Internet: </w:t>
      </w:r>
      <w:r w:rsidR="00200EB2">
        <w:t>l</w:t>
      </w:r>
      <w:r w:rsidR="00C277EB" w:rsidRPr="00592AD1">
        <w:t>a pédopornographie ou pornographie mettant en scène des enfants s’entend comme toute représentation, par quelque moyen que ce soit, d’un enfant s’adonnant à des activités sexuelles explicites, réelles ou simulées ou toute représentation des organes sexuels d’un enfant, à des fins principalement sexuelles.</w:t>
      </w:r>
    </w:p>
    <w:p w:rsidR="00C277EB" w:rsidRPr="00592AD1" w:rsidRDefault="00217000" w:rsidP="00217000">
      <w:pPr>
        <w:pStyle w:val="SingleTxtG"/>
      </w:pPr>
      <w:r w:rsidRPr="00592AD1">
        <w:t>54.</w:t>
      </w:r>
      <w:r w:rsidRPr="00592AD1">
        <w:tab/>
      </w:r>
      <w:r w:rsidR="00C277EB" w:rsidRPr="00592AD1">
        <w:t>On entend par «enfant»</w:t>
      </w:r>
      <w:r w:rsidR="0078184B">
        <w:t xml:space="preserve"> </w:t>
      </w:r>
      <w:r w:rsidR="00C277EB" w:rsidRPr="00592AD1">
        <w:t>t</w:t>
      </w:r>
      <w:r w:rsidR="00C277EB" w:rsidRPr="00A77B53">
        <w:t xml:space="preserve">out </w:t>
      </w:r>
      <w:r w:rsidR="00C277EB" w:rsidRPr="00174040">
        <w:t>ê</w:t>
      </w:r>
      <w:r w:rsidR="000A0B13" w:rsidRPr="00174040">
        <w:t>tre humain âgé de dix-huit ans</w:t>
      </w:r>
      <w:r w:rsidR="000A0B13" w:rsidRPr="00FF5973">
        <w:t>.</w:t>
      </w:r>
    </w:p>
    <w:p w:rsidR="00C277EB" w:rsidRPr="00592AD1" w:rsidRDefault="00217000" w:rsidP="00217000">
      <w:pPr>
        <w:pStyle w:val="SingleTxtG"/>
      </w:pPr>
      <w:r w:rsidRPr="00592AD1">
        <w:t>55.</w:t>
      </w:r>
      <w:r w:rsidRPr="00592AD1">
        <w:tab/>
      </w:r>
      <w:r w:rsidR="00C277EB" w:rsidRPr="00592AD1">
        <w:t>La pornographie et la détention de matériels pornographiques mettant en scène des enfants sont incriminées et réprimées par la loi n</w:t>
      </w:r>
      <w:r w:rsidR="000A0B13" w:rsidRPr="000A0B13">
        <w:rPr>
          <w:vertAlign w:val="superscript"/>
        </w:rPr>
        <w:t>o</w:t>
      </w:r>
      <w:r w:rsidR="000A0B13">
        <w:t xml:space="preserve"> 2014-006 du 17 </w:t>
      </w:r>
      <w:r w:rsidR="003F56EA" w:rsidRPr="00592AD1">
        <w:t>juillet</w:t>
      </w:r>
      <w:r w:rsidR="00C277EB" w:rsidRPr="00592AD1">
        <w:t xml:space="preserve"> 2014 sur la lutte contre la cybercriminalité.</w:t>
      </w:r>
    </w:p>
    <w:p w:rsidR="00C277EB" w:rsidRPr="00592AD1" w:rsidRDefault="00217000" w:rsidP="00217000">
      <w:pPr>
        <w:pStyle w:val="SingleTxtG"/>
      </w:pPr>
      <w:r w:rsidRPr="00592AD1">
        <w:t>56.</w:t>
      </w:r>
      <w:r w:rsidRPr="00592AD1">
        <w:tab/>
      </w:r>
      <w:r w:rsidR="00C277EB" w:rsidRPr="00592AD1">
        <w:t>Est puni des mêmes peines, le fait d</w:t>
      </w:r>
      <w:r w:rsidR="0078184B">
        <w:t>’</w:t>
      </w:r>
      <w:r w:rsidR="00C277EB" w:rsidRPr="00592AD1">
        <w:t>offrir ou de diffuser une telle image ou représentation,</w:t>
      </w:r>
      <w:r w:rsidR="004F7647">
        <w:t xml:space="preserve"> </w:t>
      </w:r>
      <w:r w:rsidR="00C277EB" w:rsidRPr="00592AD1">
        <w:t>par le biais d’un support informatique ou électronique,</w:t>
      </w:r>
      <w:r w:rsidR="004F7647">
        <w:t xml:space="preserve"> </w:t>
      </w:r>
      <w:r w:rsidR="00C277EB" w:rsidRPr="00592AD1">
        <w:t>de l</w:t>
      </w:r>
      <w:r w:rsidR="0078184B">
        <w:t>’</w:t>
      </w:r>
      <w:r w:rsidR="00C277EB" w:rsidRPr="00592AD1">
        <w:t>importer ou de l</w:t>
      </w:r>
      <w:r w:rsidR="0078184B">
        <w:t>’</w:t>
      </w:r>
      <w:r w:rsidR="00C277EB" w:rsidRPr="00592AD1">
        <w:t>exporter, de la faire importer ou de la faire exporter.</w:t>
      </w:r>
    </w:p>
    <w:p w:rsidR="00C277EB" w:rsidRPr="00592AD1" w:rsidRDefault="00217000" w:rsidP="00217000">
      <w:pPr>
        <w:pStyle w:val="SingleTxtG"/>
      </w:pPr>
      <w:r w:rsidRPr="00592AD1">
        <w:t>57.</w:t>
      </w:r>
      <w:r w:rsidRPr="00592AD1">
        <w:tab/>
      </w:r>
      <w:r w:rsidR="00C277EB" w:rsidRPr="00592AD1">
        <w:t>Le fait de consulter habituellement un service de communication au public en ligne mettant à disposition une telle image ou représentation ou de détenir une telle image ou représentation par quelque moyen que ce soit est puni de deux ans</w:t>
      </w:r>
      <w:r w:rsidR="0078184B">
        <w:t xml:space="preserve"> </w:t>
      </w:r>
      <w:r w:rsidR="00C277EB" w:rsidRPr="00592AD1">
        <w:t>à cinq ans d</w:t>
      </w:r>
      <w:r w:rsidR="0078184B">
        <w:t>’</w:t>
      </w:r>
      <w:r w:rsidR="00C277EB" w:rsidRPr="00592AD1">
        <w:t>emprisonnement et de 2</w:t>
      </w:r>
      <w:r w:rsidR="000A0B13">
        <w:t> </w:t>
      </w:r>
      <w:r w:rsidR="00200EB2">
        <w:t xml:space="preserve">millions </w:t>
      </w:r>
      <w:r w:rsidR="00C277EB" w:rsidRPr="00592AD1">
        <w:t>à</w:t>
      </w:r>
      <w:r w:rsidR="0078184B">
        <w:t xml:space="preserve"> </w:t>
      </w:r>
      <w:r w:rsidR="000A0B13">
        <w:t>10 </w:t>
      </w:r>
      <w:r w:rsidR="00200EB2">
        <w:t>millions d’a</w:t>
      </w:r>
      <w:r w:rsidR="00C277EB" w:rsidRPr="00592AD1">
        <w:t>riary d’amende.</w:t>
      </w:r>
    </w:p>
    <w:p w:rsidR="00C277EB" w:rsidRPr="00592AD1" w:rsidRDefault="00217000" w:rsidP="00217000">
      <w:pPr>
        <w:pStyle w:val="SingleTxtG"/>
      </w:pPr>
      <w:r w:rsidRPr="00592AD1">
        <w:t>58.</w:t>
      </w:r>
      <w:r w:rsidRPr="00592AD1">
        <w:tab/>
      </w:r>
      <w:r w:rsidR="00C277EB" w:rsidRPr="00592AD1">
        <w:t>Les peines sont portées de trois ans à dix ans d’emprison</w:t>
      </w:r>
      <w:r w:rsidR="000A0B13">
        <w:t xml:space="preserve">nement et </w:t>
      </w:r>
      <w:r w:rsidR="00DB4083">
        <w:t xml:space="preserve">de </w:t>
      </w:r>
      <w:r w:rsidR="000A0B13">
        <w:t>4 </w:t>
      </w:r>
      <w:r w:rsidR="00DB4083">
        <w:t xml:space="preserve">millions </w:t>
      </w:r>
      <w:r w:rsidR="000A0B13">
        <w:t>à 20</w:t>
      </w:r>
      <w:r w:rsidR="00DB4083">
        <w:t xml:space="preserve"> millions d’a</w:t>
      </w:r>
      <w:r w:rsidR="00C277EB" w:rsidRPr="00592AD1">
        <w:t>riary d’amende lorsqu’il s’agit d’un mineur de quinze</w:t>
      </w:r>
      <w:r w:rsidR="004F7647">
        <w:t xml:space="preserve"> </w:t>
      </w:r>
      <w:r w:rsidR="00C277EB" w:rsidRPr="00592AD1">
        <w:t>ans.</w:t>
      </w:r>
    </w:p>
    <w:p w:rsidR="00C277EB" w:rsidRPr="00592AD1" w:rsidRDefault="00217000" w:rsidP="00217000">
      <w:pPr>
        <w:pStyle w:val="SingleTxtG"/>
      </w:pPr>
      <w:r w:rsidRPr="00592AD1">
        <w:t>59.</w:t>
      </w:r>
      <w:r w:rsidRPr="00592AD1">
        <w:tab/>
      </w:r>
      <w:r w:rsidR="00C277EB" w:rsidRPr="00592AD1">
        <w:t>Le fait, en vue de sa diffusion par le biais d’un support informatique ou électronique, de fixer, d</w:t>
      </w:r>
      <w:r w:rsidR="0078184B">
        <w:t>’</w:t>
      </w:r>
      <w:r w:rsidR="00C277EB" w:rsidRPr="00592AD1">
        <w:t>enregistrer, de produire, de se procurer ou de transmettre l</w:t>
      </w:r>
      <w:r w:rsidR="0078184B">
        <w:t>’</w:t>
      </w:r>
      <w:r w:rsidR="00C277EB" w:rsidRPr="00592AD1">
        <w:t>image ou la représentation d</w:t>
      </w:r>
      <w:r w:rsidR="0078184B">
        <w:t>’</w:t>
      </w:r>
      <w:r w:rsidR="00C277EB" w:rsidRPr="00592AD1">
        <w:t>un enfant lorsque cette image ou cette représentation présente un caractère pornographique est puni de deux ans à cinq ans d’emprisonnement</w:t>
      </w:r>
      <w:r w:rsidR="0078184B">
        <w:t xml:space="preserve"> </w:t>
      </w:r>
      <w:r w:rsidR="000A0B13">
        <w:t>et de 2 </w:t>
      </w:r>
      <w:r w:rsidR="00DB4083">
        <w:t xml:space="preserve">millions </w:t>
      </w:r>
      <w:r w:rsidR="00C277EB" w:rsidRPr="00592AD1">
        <w:t>à</w:t>
      </w:r>
      <w:r w:rsidR="0078184B">
        <w:t xml:space="preserve"> </w:t>
      </w:r>
      <w:r w:rsidR="000A0B13">
        <w:t>10 </w:t>
      </w:r>
      <w:r w:rsidR="00DB4083">
        <w:t>millions d’a</w:t>
      </w:r>
      <w:r w:rsidR="00C277EB" w:rsidRPr="00592AD1">
        <w:t>riary d’amende.</w:t>
      </w:r>
    </w:p>
    <w:p w:rsidR="00C277EB" w:rsidRPr="00592AD1" w:rsidRDefault="00217000" w:rsidP="00217000">
      <w:pPr>
        <w:pStyle w:val="SingleTxtG"/>
      </w:pPr>
      <w:r w:rsidRPr="00592AD1">
        <w:t>60.</w:t>
      </w:r>
      <w:r w:rsidRPr="00592AD1">
        <w:tab/>
      </w:r>
      <w:r w:rsidR="00C277EB" w:rsidRPr="00592AD1">
        <w:t>La tentative est punie des mêmes peines.</w:t>
      </w:r>
    </w:p>
    <w:p w:rsidR="00C277EB" w:rsidRPr="00592AD1" w:rsidRDefault="00217000" w:rsidP="00217000">
      <w:pPr>
        <w:pStyle w:val="SingleTxtG"/>
      </w:pPr>
      <w:r w:rsidRPr="00592AD1">
        <w:t>61.</w:t>
      </w:r>
      <w:r w:rsidRPr="00592AD1">
        <w:tab/>
      </w:r>
      <w:r w:rsidR="00C277EB" w:rsidRPr="00592AD1">
        <w:t xml:space="preserve">Le service de communication au public en ligne s’entend </w:t>
      </w:r>
      <w:r w:rsidR="00DB4083">
        <w:t xml:space="preserve">de </w:t>
      </w:r>
      <w:r w:rsidR="00C277EB" w:rsidRPr="00592AD1">
        <w:t xml:space="preserve">toute transmission de données numériques n’ayant pas un caractère de correspondance privée, par un procédé de communication électronique utilisant le réseau </w:t>
      </w:r>
      <w:r w:rsidR="00DB4083">
        <w:t>I</w:t>
      </w:r>
      <w:r w:rsidR="00C277EB" w:rsidRPr="00592AD1">
        <w:t>nternet permettant un échange réciproque ou non d’informations en</w:t>
      </w:r>
      <w:r w:rsidR="000B46DF">
        <w:t>tre l’émetteur et le récepteur.</w:t>
      </w:r>
    </w:p>
    <w:p w:rsidR="000D55EB" w:rsidRDefault="00217000" w:rsidP="00217000">
      <w:pPr>
        <w:pStyle w:val="SingleTxtG"/>
      </w:pPr>
      <w:r>
        <w:t>62.</w:t>
      </w:r>
      <w:r>
        <w:tab/>
      </w:r>
      <w:r w:rsidR="00C277EB" w:rsidRPr="00592AD1">
        <w:t xml:space="preserve">Le Législateur malagasy est allé plus loin en légiférant le cas des images pornographiques d’une personne dont l’aspect physique est celui d’un mineur en son </w:t>
      </w:r>
      <w:r w:rsidR="00C80B89">
        <w:t>article </w:t>
      </w:r>
      <w:r w:rsidR="00C277EB" w:rsidRPr="00592AD1">
        <w:t>22</w:t>
      </w:r>
      <w:r w:rsidR="006E46AF">
        <w:t>,</w:t>
      </w:r>
      <w:r w:rsidR="00C277EB" w:rsidRPr="00592AD1">
        <w:t xml:space="preserve"> alinéa 9 et 10</w:t>
      </w:r>
      <w:r w:rsidR="006F39CA">
        <w:t xml:space="preserve">: </w:t>
      </w:r>
    </w:p>
    <w:p w:rsidR="00C277EB" w:rsidRPr="00592AD1" w:rsidRDefault="003F56EA" w:rsidP="000D55EB">
      <w:pPr>
        <w:pStyle w:val="SingleTxtG"/>
        <w:ind w:left="1701"/>
      </w:pPr>
      <w:r>
        <w:t>«</w:t>
      </w:r>
      <w:r w:rsidR="00C277EB" w:rsidRPr="00592AD1">
        <w:t xml:space="preserve">Les dispositions du présent </w:t>
      </w:r>
      <w:r w:rsidR="00C80B89">
        <w:t>article</w:t>
      </w:r>
      <w:r w:rsidR="000D55EB">
        <w:t xml:space="preserve"> </w:t>
      </w:r>
      <w:r w:rsidR="00C277EB" w:rsidRPr="00592AD1">
        <w:t>sont également</w:t>
      </w:r>
      <w:r w:rsidR="0078184B">
        <w:t xml:space="preserve"> </w:t>
      </w:r>
      <w:r w:rsidR="00C277EB" w:rsidRPr="00592AD1">
        <w:t>applicables aux images pornographiques d</w:t>
      </w:r>
      <w:r w:rsidR="0078184B">
        <w:t>’</w:t>
      </w:r>
      <w:r w:rsidR="00C277EB" w:rsidRPr="00592AD1">
        <w:t>une personne dont l</w:t>
      </w:r>
      <w:r w:rsidR="0078184B">
        <w:t>’</w:t>
      </w:r>
      <w:r w:rsidR="00C277EB" w:rsidRPr="00592AD1">
        <w:t>aspect physique est celui d</w:t>
      </w:r>
      <w:r w:rsidR="0078184B">
        <w:t>’</w:t>
      </w:r>
      <w:r w:rsidR="00C277EB" w:rsidRPr="00592AD1">
        <w:t>un mineur, sauf s</w:t>
      </w:r>
      <w:r w:rsidR="0078184B">
        <w:t>’</w:t>
      </w:r>
      <w:r w:rsidR="00C277EB" w:rsidRPr="00592AD1">
        <w:t>il est établi que cette personne était âgée de dix-huit ans au jour de la fixation ou de l</w:t>
      </w:r>
      <w:r w:rsidR="0078184B">
        <w:t>’</w:t>
      </w:r>
      <w:r w:rsidR="00C277EB" w:rsidRPr="00592AD1">
        <w:t>enregistrement de son image.</w:t>
      </w:r>
    </w:p>
    <w:p w:rsidR="00C277EB" w:rsidRPr="00592AD1" w:rsidRDefault="00C277EB" w:rsidP="00781618">
      <w:pPr>
        <w:pStyle w:val="SingleTxtG"/>
        <w:ind w:left="1701"/>
      </w:pPr>
      <w:r w:rsidRPr="00592AD1">
        <w:t>Sont considérées comme des images à caractère pornographique</w:t>
      </w:r>
      <w:r w:rsidR="006F39CA">
        <w:t xml:space="preserve">: </w:t>
      </w:r>
    </w:p>
    <w:p w:rsidR="00C277EB" w:rsidRPr="00592AD1" w:rsidRDefault="00217000" w:rsidP="00217000">
      <w:pPr>
        <w:pStyle w:val="Bullet1G"/>
        <w:numPr>
          <w:ilvl w:val="0"/>
          <w:numId w:val="0"/>
        </w:numPr>
        <w:tabs>
          <w:tab w:val="left" w:pos="1701"/>
        </w:tabs>
        <w:ind w:left="1871" w:hanging="170"/>
      </w:pPr>
      <w:r w:rsidRPr="00592AD1">
        <w:t>•</w:t>
      </w:r>
      <w:r w:rsidRPr="00592AD1">
        <w:tab/>
      </w:r>
      <w:r w:rsidR="006F39CA">
        <w:t>L</w:t>
      </w:r>
      <w:r w:rsidR="0078184B">
        <w:t>’</w:t>
      </w:r>
      <w:r w:rsidR="00C277EB" w:rsidRPr="00592AD1">
        <w:t>image ou la représentation d</w:t>
      </w:r>
      <w:r w:rsidR="0078184B">
        <w:t>’</w:t>
      </w:r>
      <w:r w:rsidR="00C277EB" w:rsidRPr="00592AD1">
        <w:t>un mineur se livrant à un comportement sexuellement explicite</w:t>
      </w:r>
      <w:r w:rsidR="006F39CA">
        <w:t>;</w:t>
      </w:r>
    </w:p>
    <w:p w:rsidR="00C277EB" w:rsidRPr="00592AD1" w:rsidRDefault="00217000" w:rsidP="00217000">
      <w:pPr>
        <w:pStyle w:val="Bullet1G"/>
        <w:numPr>
          <w:ilvl w:val="0"/>
          <w:numId w:val="0"/>
        </w:numPr>
        <w:tabs>
          <w:tab w:val="left" w:pos="1701"/>
        </w:tabs>
        <w:ind w:left="1871" w:hanging="170"/>
      </w:pPr>
      <w:r w:rsidRPr="00592AD1">
        <w:t>•</w:t>
      </w:r>
      <w:r w:rsidRPr="00592AD1">
        <w:tab/>
      </w:r>
      <w:r w:rsidR="006F39CA">
        <w:t>L</w:t>
      </w:r>
      <w:r w:rsidR="0078184B">
        <w:t>’</w:t>
      </w:r>
      <w:r w:rsidR="00C277EB" w:rsidRPr="00592AD1">
        <w:t>image ou la représentation d</w:t>
      </w:r>
      <w:r w:rsidR="0078184B">
        <w:t>’</w:t>
      </w:r>
      <w:r w:rsidR="00C277EB" w:rsidRPr="00592AD1">
        <w:t>une personne qui apparaît comme un mineur se livrant à un comportement sexuellement explicite</w:t>
      </w:r>
      <w:r w:rsidR="006F39CA">
        <w:t>;</w:t>
      </w:r>
    </w:p>
    <w:p w:rsidR="00C277EB" w:rsidRPr="00592AD1" w:rsidRDefault="00217000" w:rsidP="00217000">
      <w:pPr>
        <w:pStyle w:val="Bullet1G"/>
        <w:numPr>
          <w:ilvl w:val="0"/>
          <w:numId w:val="0"/>
        </w:numPr>
        <w:tabs>
          <w:tab w:val="left" w:pos="1701"/>
        </w:tabs>
        <w:ind w:left="1871" w:hanging="170"/>
      </w:pPr>
      <w:r w:rsidRPr="00592AD1">
        <w:lastRenderedPageBreak/>
        <w:t>•</w:t>
      </w:r>
      <w:r w:rsidRPr="00592AD1">
        <w:tab/>
      </w:r>
      <w:r w:rsidR="006F39CA">
        <w:t>L</w:t>
      </w:r>
      <w:r w:rsidR="0078184B">
        <w:t>’</w:t>
      </w:r>
      <w:r w:rsidR="00C277EB" w:rsidRPr="00592AD1">
        <w:t>image réaliste représentant un mineur se livrant à un comportement sexuellement explicite.</w:t>
      </w:r>
      <w:r w:rsidR="0078184B">
        <w:t xml:space="preserve"> </w:t>
      </w:r>
      <w:r w:rsidR="00C277EB" w:rsidRPr="00592AD1">
        <w:t>L</w:t>
      </w:r>
      <w:r w:rsidR="0078184B">
        <w:t>’</w:t>
      </w:r>
      <w:r w:rsidR="00C277EB" w:rsidRPr="00592AD1">
        <w:t>expression «image réaliste» désigne notamment l</w:t>
      </w:r>
      <w:r w:rsidR="0078184B">
        <w:t>’</w:t>
      </w:r>
      <w:r w:rsidR="00C277EB" w:rsidRPr="00592AD1">
        <w:t>image altérée d</w:t>
      </w:r>
      <w:r w:rsidR="0078184B">
        <w:t>’</w:t>
      </w:r>
      <w:r w:rsidR="00C277EB" w:rsidRPr="00592AD1">
        <w:t>une personne physique, en tout ou partie créée par des méthodes numériques.</w:t>
      </w:r>
      <w:r w:rsidR="00C277EB" w:rsidRPr="000D55EB">
        <w:t>»</w:t>
      </w:r>
    </w:p>
    <w:p w:rsidR="00C277EB" w:rsidRPr="00592AD1" w:rsidRDefault="00E2328C" w:rsidP="00EE10E9">
      <w:pPr>
        <w:pStyle w:val="H1G"/>
      </w:pPr>
      <w:r>
        <w:tab/>
      </w:r>
      <w:r>
        <w:tab/>
      </w:r>
      <w:r w:rsidRPr="00592AD1">
        <w:t xml:space="preserve">Lutte contre le tourisme sexuel </w:t>
      </w:r>
    </w:p>
    <w:p w:rsidR="00C277EB" w:rsidRPr="00592AD1" w:rsidRDefault="00217000" w:rsidP="00217000">
      <w:pPr>
        <w:pStyle w:val="SingleTxtG"/>
      </w:pPr>
      <w:r w:rsidRPr="00592AD1">
        <w:t>63.</w:t>
      </w:r>
      <w:r w:rsidRPr="00592AD1">
        <w:tab/>
      </w:r>
      <w:r w:rsidR="00C277EB" w:rsidRPr="00592AD1">
        <w:t>Pour lutter contre le tourisme sexuel dans les villes du littoral, il a été initié à Nosy</w:t>
      </w:r>
      <w:r w:rsidR="00DB4083">
        <w:t> </w:t>
      </w:r>
      <w:r w:rsidR="00C277EB" w:rsidRPr="00592AD1">
        <w:t>Be, l’adoption de Code de bonne conduite en faveur de la lutte contre le tourisme sexuel.</w:t>
      </w:r>
    </w:p>
    <w:p w:rsidR="00C277EB" w:rsidRPr="00592AD1" w:rsidRDefault="00217000" w:rsidP="00217000">
      <w:pPr>
        <w:pStyle w:val="SingleTxtG"/>
        <w:rPr>
          <w:rFonts w:eastAsia="Calibri"/>
        </w:rPr>
      </w:pPr>
      <w:r w:rsidRPr="00592AD1">
        <w:rPr>
          <w:rFonts w:eastAsia="Calibri"/>
        </w:rPr>
        <w:t>64.</w:t>
      </w:r>
      <w:r w:rsidRPr="00592AD1">
        <w:rPr>
          <w:rFonts w:eastAsia="Calibri"/>
        </w:rPr>
        <w:tab/>
      </w:r>
      <w:r w:rsidR="00C277EB" w:rsidRPr="00592AD1">
        <w:t>Des établissements hôteliers de Nosy Be s’engagent dans la lutte contre l’exploitation sexuelle des enfants à des fins commerciales et le tourisme sexuel impliquant des enfants.</w:t>
      </w:r>
    </w:p>
    <w:p w:rsidR="00C277EB" w:rsidRPr="00592AD1" w:rsidRDefault="00217000" w:rsidP="00217000">
      <w:pPr>
        <w:pStyle w:val="SingleTxtG"/>
        <w:rPr>
          <w:rFonts w:eastAsia="Calibri"/>
        </w:rPr>
      </w:pPr>
      <w:r w:rsidRPr="00592AD1">
        <w:rPr>
          <w:rFonts w:eastAsia="Calibri"/>
        </w:rPr>
        <w:t>65.</w:t>
      </w:r>
      <w:r w:rsidRPr="00592AD1">
        <w:rPr>
          <w:rFonts w:eastAsia="Calibri"/>
        </w:rPr>
        <w:tab/>
      </w:r>
      <w:r w:rsidR="00C277EB" w:rsidRPr="00592AD1">
        <w:t>Ainsi, le 19 juillet 2013, avec l’appui du BIT, l’Office régional du Tourisme de Nosy</w:t>
      </w:r>
      <w:r w:rsidR="00DB4083">
        <w:t> </w:t>
      </w:r>
      <w:r w:rsidR="00C277EB" w:rsidRPr="00592AD1">
        <w:t xml:space="preserve">Be s’est engagé depuis décembre 2011 dans la lutte contre l’exploitation sexuelle des enfants à des fins commerciales et le tourisme sexuel impliquant des enfants. Les efforts initiés depuis 2011 par le Projet BIT/IPEC-TACKLE financé par l’Union </w:t>
      </w:r>
      <w:r w:rsidR="00DB4083">
        <w:t>e</w:t>
      </w:r>
      <w:r w:rsidR="00C277EB" w:rsidRPr="00592AD1">
        <w:t>uropéenne à travers des activités de formation et de sensibilisation des établissements hôteliers de Nosy</w:t>
      </w:r>
      <w:r w:rsidR="00DB4083">
        <w:t> </w:t>
      </w:r>
      <w:r w:rsidR="00C277EB" w:rsidRPr="00592AD1">
        <w:t>Be contre l’</w:t>
      </w:r>
      <w:r w:rsidR="00DB4083" w:rsidRPr="00592AD1">
        <w:t>exploitation sexuelle des enfants à des fins commerciales</w:t>
      </w:r>
      <w:r w:rsidR="00DB4083">
        <w:t xml:space="preserve"> </w:t>
      </w:r>
      <w:r w:rsidR="00C277EB" w:rsidRPr="00592AD1">
        <w:t xml:space="preserve">ont abouti à l’élaboration d’un Code de conduite. </w:t>
      </w:r>
    </w:p>
    <w:p w:rsidR="00C277EB" w:rsidRPr="00592AD1" w:rsidRDefault="00217000" w:rsidP="00217000">
      <w:pPr>
        <w:pStyle w:val="SingleTxtG"/>
        <w:rPr>
          <w:rFonts w:eastAsia="Calibri"/>
        </w:rPr>
      </w:pPr>
      <w:r w:rsidRPr="00592AD1">
        <w:rPr>
          <w:rFonts w:eastAsia="Calibri"/>
        </w:rPr>
        <w:t>66.</w:t>
      </w:r>
      <w:r w:rsidRPr="00592AD1">
        <w:rPr>
          <w:rFonts w:eastAsia="Calibri"/>
        </w:rPr>
        <w:tab/>
      </w:r>
      <w:r w:rsidR="004F7647">
        <w:t>À</w:t>
      </w:r>
      <w:r w:rsidR="00C277EB" w:rsidRPr="00592AD1">
        <w:t xml:space="preserve"> ce jour, une soixantaine d’établissements hôteliers à Nosy Be ont signé le Code de conduite pour lutter contre l’</w:t>
      </w:r>
      <w:r w:rsidR="00DB4083" w:rsidRPr="00592AD1">
        <w:t>exploitation sexuelle des enfants à des fins commerciales</w:t>
      </w:r>
      <w:r w:rsidR="00DB4083">
        <w:t xml:space="preserve"> </w:t>
      </w:r>
      <w:r w:rsidR="00C277EB" w:rsidRPr="00592AD1">
        <w:t xml:space="preserve">et le </w:t>
      </w:r>
      <w:r w:rsidR="00DB4083" w:rsidRPr="00592AD1">
        <w:t>tourisme sexuel impliquant des enfants</w:t>
      </w:r>
      <w:r w:rsidR="00C277EB" w:rsidRPr="00592AD1">
        <w:t xml:space="preserve">. </w:t>
      </w:r>
    </w:p>
    <w:p w:rsidR="00C277EB" w:rsidRPr="00592AD1" w:rsidRDefault="00217000" w:rsidP="00217000">
      <w:pPr>
        <w:pStyle w:val="SingleTxtG"/>
        <w:rPr>
          <w:rFonts w:eastAsia="Calibri"/>
        </w:rPr>
      </w:pPr>
      <w:r w:rsidRPr="00592AD1">
        <w:rPr>
          <w:rFonts w:eastAsia="Calibri"/>
        </w:rPr>
        <w:t>67.</w:t>
      </w:r>
      <w:r w:rsidRPr="00592AD1">
        <w:rPr>
          <w:rFonts w:eastAsia="Calibri"/>
        </w:rPr>
        <w:tab/>
      </w:r>
      <w:r w:rsidR="00C277EB" w:rsidRPr="00592AD1">
        <w:t>Des efforts seront entrepris pour faciliter une large diffusion de ce Code à l’intention des établissements hôteliers des autres villes exposés aux risques du tourisme sexuel.</w:t>
      </w:r>
    </w:p>
    <w:p w:rsidR="00C277EB" w:rsidRPr="00592AD1" w:rsidRDefault="00E2328C" w:rsidP="00EE10E9">
      <w:pPr>
        <w:pStyle w:val="H1G"/>
      </w:pPr>
      <w:r>
        <w:tab/>
      </w:r>
      <w:r>
        <w:tab/>
      </w:r>
      <w:r w:rsidRPr="00592AD1">
        <w:t>Protection des droits et intérêts des enfants dans la procédure pénale</w:t>
      </w:r>
    </w:p>
    <w:p w:rsidR="00C277EB" w:rsidRPr="00592AD1" w:rsidRDefault="00217000" w:rsidP="00217000">
      <w:pPr>
        <w:pStyle w:val="SingleTxtG"/>
      </w:pPr>
      <w:r w:rsidRPr="00592AD1">
        <w:t>68.</w:t>
      </w:r>
      <w:r w:rsidRPr="00592AD1">
        <w:tab/>
      </w:r>
      <w:r w:rsidR="00C277EB" w:rsidRPr="00592AD1">
        <w:t xml:space="preserve">Au niveau des </w:t>
      </w:r>
      <w:r w:rsidR="00DB4083">
        <w:t>t</w:t>
      </w:r>
      <w:r w:rsidR="00DB4083" w:rsidRPr="00592AD1">
        <w:t>ribunaux</w:t>
      </w:r>
      <w:r w:rsidR="00C277EB" w:rsidRPr="00592AD1">
        <w:t>, en matière pénale la prise en compte de l’intérêt supérieur de l’enfant est la règle à tous les stades de la procédure pénale.</w:t>
      </w:r>
      <w:r w:rsidR="0078184B">
        <w:t xml:space="preserve"> </w:t>
      </w:r>
    </w:p>
    <w:p w:rsidR="00C277EB" w:rsidRPr="00592AD1" w:rsidRDefault="00217000" w:rsidP="00217000">
      <w:pPr>
        <w:pStyle w:val="SingleTxtG"/>
      </w:pPr>
      <w:r w:rsidRPr="00592AD1">
        <w:t>69.</w:t>
      </w:r>
      <w:r w:rsidRPr="00592AD1">
        <w:tab/>
      </w:r>
      <w:r w:rsidR="00C277EB" w:rsidRPr="00592AD1">
        <w:t>La loi n</w:t>
      </w:r>
      <w:r w:rsidR="004F7647" w:rsidRPr="00781618">
        <w:rPr>
          <w:vertAlign w:val="superscript"/>
        </w:rPr>
        <w:t>o</w:t>
      </w:r>
      <w:r w:rsidR="004F7647">
        <w:t> </w:t>
      </w:r>
      <w:r w:rsidR="00C277EB" w:rsidRPr="00592AD1">
        <w:t xml:space="preserve">2014-040 du 20 janvier 2015 en son </w:t>
      </w:r>
      <w:r w:rsidR="00C80B89">
        <w:t>article </w:t>
      </w:r>
      <w:r w:rsidR="00C277EB" w:rsidRPr="00592AD1">
        <w:t>43 énonce que</w:t>
      </w:r>
      <w:r w:rsidR="006F39CA">
        <w:t xml:space="preserve">: </w:t>
      </w:r>
      <w:r w:rsidR="00C277EB" w:rsidRPr="00CD3C33">
        <w:t>«</w:t>
      </w:r>
      <w:r w:rsidR="00C277EB" w:rsidRPr="00592AD1">
        <w:t>La victime de traite est exemptée de toute poursuite ou sanction pour les infractions liées à son statut de victime». Cette disposition est également applicable pour protéger les enfants victimes de violation des dispositions du Protocole facultatif et assure qu’ils sont</w:t>
      </w:r>
      <w:r w:rsidR="006F39CA">
        <w:t xml:space="preserve"> </w:t>
      </w:r>
      <w:r w:rsidR="00C277EB" w:rsidRPr="00592AD1">
        <w:t>traité</w:t>
      </w:r>
      <w:r w:rsidR="006F39CA">
        <w:t>s</w:t>
      </w:r>
      <w:r w:rsidR="00C277EB" w:rsidRPr="00592AD1">
        <w:t xml:space="preserve"> comme des victimes et non comme des délinquants pour les infractions commises liées à </w:t>
      </w:r>
      <w:r w:rsidR="00DB4083">
        <w:t xml:space="preserve">leur </w:t>
      </w:r>
      <w:r w:rsidR="00C277EB" w:rsidRPr="00592AD1">
        <w:t xml:space="preserve">statut de victimes. </w:t>
      </w:r>
    </w:p>
    <w:p w:rsidR="00E2328C" w:rsidRDefault="00217000" w:rsidP="00217000">
      <w:pPr>
        <w:pStyle w:val="SingleTxtG"/>
      </w:pPr>
      <w:r>
        <w:t>70.</w:t>
      </w:r>
      <w:r>
        <w:tab/>
      </w:r>
      <w:r w:rsidR="00C277EB" w:rsidRPr="00592AD1">
        <w:t>Ainsi, à titre d’illustration, les mineurs détenteurs de carte d’identité falsifiée pour masquer leur âge réel pour le besoin de leur exploitation sont exemptés de toute poursuite ou sanction pour usa</w:t>
      </w:r>
      <w:r w:rsidR="00EE10E9">
        <w:t>ge de fausse carte d’identité.</w:t>
      </w:r>
    </w:p>
    <w:p w:rsidR="00CD044C" w:rsidRPr="00E2328C" w:rsidRDefault="00E2328C" w:rsidP="00E2328C">
      <w:pPr>
        <w:pStyle w:val="SingleTxtG"/>
        <w:spacing w:before="240" w:after="0"/>
        <w:jc w:val="center"/>
        <w:rPr>
          <w:u w:val="single"/>
        </w:rPr>
      </w:pPr>
      <w:r>
        <w:rPr>
          <w:u w:val="single"/>
        </w:rPr>
        <w:tab/>
      </w:r>
      <w:r>
        <w:rPr>
          <w:u w:val="single"/>
        </w:rPr>
        <w:tab/>
      </w:r>
      <w:r>
        <w:rPr>
          <w:u w:val="single"/>
        </w:rPr>
        <w:tab/>
      </w:r>
    </w:p>
    <w:sectPr w:rsidR="00CD044C" w:rsidRPr="00E2328C" w:rsidSect="00982E2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07-20T16:26:00Z" w:initials="Start">
    <w:p w:rsidR="00982E23" w:rsidRDefault="00982E2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NO&gt;&gt;N1515982F&lt;&lt;ODS JOB NO&gt;&gt;</w:t>
      </w:r>
    </w:p>
    <w:p w:rsidR="00982E23" w:rsidRDefault="00982E23">
      <w:pPr>
        <w:pStyle w:val="CommentText"/>
      </w:pPr>
      <w:r>
        <w:t>&lt;&lt;ODS DOC SYMBOL1&gt;&gt;CRC/C/OPSC/MDG/Q/1/ADD.1&lt;&lt;ODS DOC SYMBOL1&gt;&gt;</w:t>
      </w:r>
    </w:p>
    <w:p w:rsidR="00982E23" w:rsidRDefault="00982E2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CA" w:rsidRDefault="006F39CA"/>
  </w:endnote>
  <w:endnote w:type="continuationSeparator" w:id="0">
    <w:p w:rsidR="006F39CA" w:rsidRDefault="006F39CA">
      <w:pPr>
        <w:pStyle w:val="Footer"/>
      </w:pPr>
    </w:p>
  </w:endnote>
  <w:endnote w:type="continuationNotice" w:id="1">
    <w:p w:rsidR="006F39CA" w:rsidRPr="00C451B9" w:rsidRDefault="006F39CA"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CA" w:rsidRPr="00E2328C" w:rsidRDefault="006F39CA" w:rsidP="00454EDC">
    <w:pPr>
      <w:pStyle w:val="Footer"/>
      <w:tabs>
        <w:tab w:val="right" w:pos="9638"/>
      </w:tabs>
      <w:rPr>
        <w:b/>
        <w:sz w:val="18"/>
      </w:rPr>
    </w:pPr>
    <w:r w:rsidRPr="00454EDC">
      <w:rPr>
        <w:b/>
        <w:sz w:val="18"/>
      </w:rPr>
      <w:fldChar w:fldCharType="begin"/>
    </w:r>
    <w:r w:rsidRPr="00454EDC">
      <w:rPr>
        <w:b/>
        <w:sz w:val="18"/>
      </w:rPr>
      <w:instrText xml:space="preserve"> PAGE  \* MERGEFORMAT </w:instrText>
    </w:r>
    <w:r w:rsidRPr="00454EDC">
      <w:rPr>
        <w:b/>
        <w:sz w:val="18"/>
      </w:rPr>
      <w:fldChar w:fldCharType="separate"/>
    </w:r>
    <w:r w:rsidR="00982E23">
      <w:rPr>
        <w:b/>
        <w:noProof/>
        <w:sz w:val="18"/>
      </w:rPr>
      <w:t>10</w:t>
    </w:r>
    <w:r w:rsidRPr="00454EDC">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CA" w:rsidRPr="00781618" w:rsidRDefault="006F39CA" w:rsidP="00454EDC">
    <w:pPr>
      <w:pStyle w:val="Footer"/>
      <w:tabs>
        <w:tab w:val="right" w:pos="9638"/>
      </w:tabs>
      <w:rPr>
        <w:b/>
        <w:bCs/>
        <w:sz w:val="18"/>
      </w:rPr>
    </w:pPr>
    <w:r>
      <w:tab/>
    </w:r>
    <w:r w:rsidRPr="00781618">
      <w:rPr>
        <w:b/>
        <w:bCs/>
        <w:sz w:val="18"/>
      </w:rPr>
      <w:fldChar w:fldCharType="begin"/>
    </w:r>
    <w:r w:rsidRPr="00781618">
      <w:rPr>
        <w:b/>
        <w:bCs/>
        <w:sz w:val="18"/>
      </w:rPr>
      <w:instrText xml:space="preserve"> PAGE  \* MERGEFORMAT </w:instrText>
    </w:r>
    <w:r w:rsidRPr="00781618">
      <w:rPr>
        <w:b/>
        <w:bCs/>
        <w:sz w:val="18"/>
      </w:rPr>
      <w:fldChar w:fldCharType="separate"/>
    </w:r>
    <w:r w:rsidR="00982E23">
      <w:rPr>
        <w:b/>
        <w:bCs/>
        <w:noProof/>
        <w:sz w:val="18"/>
      </w:rPr>
      <w:t>9</w:t>
    </w:r>
    <w:r w:rsidRPr="00781618">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82E23" w:rsidTr="00982E23">
      <w:tc>
        <w:tcPr>
          <w:tcW w:w="3614" w:type="dxa"/>
          <w:shd w:val="clear" w:color="auto" w:fill="auto"/>
        </w:tcPr>
        <w:p w:rsidR="00982E23" w:rsidRDefault="00982E23" w:rsidP="00982E23">
          <w:pPr>
            <w:pStyle w:val="Footer"/>
            <w:rPr>
              <w:sz w:val="20"/>
            </w:rPr>
          </w:pPr>
          <w:r>
            <w:rPr>
              <w:noProof/>
              <w:sz w:val="20"/>
              <w:lang w:val="en-US"/>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RC/C/OPSC/MDG/Q/1/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OPSC/MDG/Q/1/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GE.15-11900 (F)</w:t>
          </w:r>
        </w:p>
        <w:p w:rsidR="00982E23" w:rsidRPr="00982E23" w:rsidRDefault="00982E23" w:rsidP="00982E23">
          <w:pPr>
            <w:rPr>
              <w:rFonts w:ascii="Barcode 3 of 9 by request" w:hAnsi="Barcode 3 of 9 by request"/>
              <w:sz w:val="24"/>
            </w:rPr>
          </w:pPr>
          <w:r>
            <w:rPr>
              <w:rFonts w:ascii="Barcode 3 of 9 by request" w:hAnsi="Barcode 3 of 9 by request"/>
              <w:sz w:val="24"/>
            </w:rPr>
            <w:t>*1511900*</w:t>
          </w:r>
        </w:p>
      </w:tc>
      <w:tc>
        <w:tcPr>
          <w:tcW w:w="4752" w:type="dxa"/>
          <w:shd w:val="clear" w:color="auto" w:fill="auto"/>
        </w:tcPr>
        <w:p w:rsidR="00982E23" w:rsidRDefault="00982E23" w:rsidP="00982E23">
          <w:pPr>
            <w:pStyle w:val="Footer"/>
            <w:spacing w:line="240" w:lineRule="atLeast"/>
            <w:jc w:val="right"/>
            <w:rPr>
              <w:sz w:val="20"/>
            </w:rPr>
          </w:pPr>
          <w:r>
            <w:rPr>
              <w:noProof/>
              <w:sz w:val="20"/>
              <w:lang w:val="en-US"/>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82E23" w:rsidRPr="00982E23" w:rsidRDefault="00982E23" w:rsidP="00982E2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CA" w:rsidRPr="00D27D5E" w:rsidRDefault="006F39CA" w:rsidP="00D27D5E">
      <w:pPr>
        <w:tabs>
          <w:tab w:val="right" w:pos="2155"/>
        </w:tabs>
        <w:spacing w:after="80"/>
        <w:ind w:left="680"/>
        <w:rPr>
          <w:u w:val="single"/>
        </w:rPr>
      </w:pPr>
      <w:r>
        <w:rPr>
          <w:u w:val="single"/>
        </w:rPr>
        <w:tab/>
      </w:r>
    </w:p>
  </w:footnote>
  <w:footnote w:type="continuationSeparator" w:id="0">
    <w:p w:rsidR="006F39CA" w:rsidRPr="00D171D4" w:rsidRDefault="006F39CA" w:rsidP="00D171D4">
      <w:pPr>
        <w:tabs>
          <w:tab w:val="right" w:pos="2155"/>
        </w:tabs>
        <w:spacing w:after="80"/>
        <w:ind w:left="680"/>
        <w:rPr>
          <w:u w:val="single"/>
        </w:rPr>
      </w:pPr>
      <w:r w:rsidRPr="00D171D4">
        <w:rPr>
          <w:u w:val="single"/>
        </w:rPr>
        <w:tab/>
      </w:r>
    </w:p>
  </w:footnote>
  <w:footnote w:type="continuationNotice" w:id="1">
    <w:p w:rsidR="006F39CA" w:rsidRPr="00C451B9" w:rsidRDefault="006F39CA" w:rsidP="00C451B9">
      <w:pPr>
        <w:spacing w:line="240" w:lineRule="auto"/>
        <w:rPr>
          <w:sz w:val="2"/>
          <w:szCs w:val="2"/>
        </w:rPr>
      </w:pPr>
    </w:p>
  </w:footnote>
  <w:footnote w:id="2">
    <w:p w:rsidR="006F39CA" w:rsidRPr="005F4E3B" w:rsidRDefault="006F39CA" w:rsidP="00965FEC">
      <w:pPr>
        <w:pStyle w:val="FootnoteText"/>
        <w:rPr>
          <w:lang w:val="fr-FR"/>
        </w:rPr>
      </w:pPr>
      <w:r w:rsidRPr="005F4E3B">
        <w:rPr>
          <w:lang w:val="fr-FR"/>
        </w:rPr>
        <w:tab/>
      </w:r>
      <w:r w:rsidRPr="005F4E3B">
        <w:rPr>
          <w:rStyle w:val="FootnoteReference"/>
          <w:sz w:val="20"/>
          <w:vertAlign w:val="baseline"/>
          <w:lang w:val="fr-FR"/>
        </w:rPr>
        <w:t>*</w:t>
      </w:r>
      <w:r w:rsidRPr="005F4E3B">
        <w:rPr>
          <w:sz w:val="20"/>
          <w:lang w:val="fr-FR"/>
        </w:rPr>
        <w:tab/>
      </w:r>
      <w:r w:rsidRPr="005F4E3B">
        <w:rPr>
          <w:szCs w:val="18"/>
          <w:lang w:val="fr-FR"/>
        </w:rPr>
        <w:t xml:space="preserve">Le présent document n’a pas </w:t>
      </w:r>
      <w:r w:rsidR="00965FEC" w:rsidRPr="005F4E3B">
        <w:rPr>
          <w:szCs w:val="18"/>
          <w:lang w:val="fr-FR"/>
        </w:rPr>
        <w:t xml:space="preserve">fait l’objet d’une relecture sur le fond </w:t>
      </w:r>
      <w:r w:rsidRPr="005F4E3B">
        <w:rPr>
          <w:szCs w:val="18"/>
          <w:lang w:val="fr-FR"/>
        </w:rPr>
        <w:t>par les services d’édition.</w:t>
      </w:r>
    </w:p>
  </w:footnote>
  <w:footnote w:id="3">
    <w:p w:rsidR="001E2817" w:rsidRPr="005F4E3B" w:rsidRDefault="001E2817">
      <w:pPr>
        <w:pStyle w:val="FootnoteText"/>
        <w:rPr>
          <w:lang w:val="fr-FR"/>
        </w:rPr>
      </w:pPr>
      <w:r w:rsidRPr="005F4E3B">
        <w:rPr>
          <w:lang w:val="fr-FR"/>
        </w:rPr>
        <w:tab/>
      </w:r>
      <w:r w:rsidRPr="005F4E3B">
        <w:rPr>
          <w:rStyle w:val="FootnoteReference"/>
          <w:lang w:val="fr-FR"/>
        </w:rPr>
        <w:footnoteRef/>
      </w:r>
      <w:r w:rsidRPr="005F4E3B">
        <w:rPr>
          <w:lang w:val="fr-FR"/>
        </w:rPr>
        <w:tab/>
      </w:r>
      <w:r w:rsidRPr="005F4E3B">
        <w:rPr>
          <w:szCs w:val="18"/>
          <w:lang w:val="fr-FR"/>
        </w:rPr>
        <w:t xml:space="preserve">«Art. 26.- Si l’infraction de </w:t>
      </w:r>
      <w:r w:rsidRPr="005F4E3B">
        <w:rPr>
          <w:bCs/>
          <w:szCs w:val="18"/>
          <w:lang w:val="fr-FR"/>
        </w:rPr>
        <w:t>trafic d’organe</w:t>
      </w:r>
      <w:r w:rsidRPr="005F4E3B">
        <w:rPr>
          <w:szCs w:val="18"/>
          <w:lang w:val="fr-FR"/>
        </w:rPr>
        <w:t xml:space="preserve"> prévue à l’article 15 a été commise à l’encontre d’un enfant, les peines sont celles d’un d’emprisonnement de 5 à 10 ans et d’une </w:t>
      </w:r>
      <w:r w:rsidR="007A06F4" w:rsidRPr="005F4E3B">
        <w:rPr>
          <w:szCs w:val="18"/>
          <w:lang w:val="fr-FR"/>
        </w:rPr>
        <w:t>amende de 2 000 000 Ar à 10 000 </w:t>
      </w:r>
      <w:r w:rsidRPr="005F4E3B">
        <w:rPr>
          <w:szCs w:val="18"/>
          <w:lang w:val="fr-FR"/>
        </w:rPr>
        <w:t>000 Ar.»</w:t>
      </w:r>
    </w:p>
  </w:footnote>
  <w:footnote w:id="4">
    <w:p w:rsidR="006F39CA" w:rsidRPr="005F4E3B" w:rsidRDefault="006F39CA" w:rsidP="001E2817">
      <w:pPr>
        <w:pStyle w:val="FootnoteText"/>
        <w:rPr>
          <w:szCs w:val="18"/>
          <w:lang w:val="fr-FR"/>
        </w:rPr>
      </w:pPr>
      <w:r w:rsidRPr="005F4E3B">
        <w:rPr>
          <w:szCs w:val="18"/>
          <w:lang w:val="fr-FR"/>
        </w:rPr>
        <w:tab/>
      </w:r>
      <w:r w:rsidRPr="005F4E3B">
        <w:rPr>
          <w:rStyle w:val="FootnoteReference"/>
          <w:szCs w:val="18"/>
          <w:lang w:val="fr-FR"/>
        </w:rPr>
        <w:footnoteRef/>
      </w:r>
      <w:r w:rsidRPr="005F4E3B">
        <w:rPr>
          <w:szCs w:val="18"/>
          <w:lang w:val="fr-FR"/>
        </w:rPr>
        <w:tab/>
        <w:t xml:space="preserve">«Art. 18.- Si l’infraction </w:t>
      </w:r>
      <w:r w:rsidRPr="005F4E3B">
        <w:rPr>
          <w:bCs/>
          <w:szCs w:val="18"/>
          <w:lang w:val="fr-FR"/>
        </w:rPr>
        <w:t>de travail forcé</w:t>
      </w:r>
      <w:r w:rsidRPr="005F4E3B">
        <w:rPr>
          <w:szCs w:val="18"/>
          <w:lang w:val="fr-FR"/>
        </w:rPr>
        <w:t xml:space="preserve"> énumérée à l’</w:t>
      </w:r>
      <w:r w:rsidR="00C80B89" w:rsidRPr="005F4E3B">
        <w:rPr>
          <w:szCs w:val="18"/>
          <w:lang w:val="fr-FR"/>
        </w:rPr>
        <w:t>article </w:t>
      </w:r>
      <w:r w:rsidRPr="005F4E3B">
        <w:rPr>
          <w:szCs w:val="18"/>
          <w:lang w:val="fr-FR"/>
        </w:rPr>
        <w:t xml:space="preserve">8 est commise à l’encontre d’un enfant, elle est passible d’une peine d’emprisonnement de </w:t>
      </w:r>
      <w:r w:rsidR="007A06F4" w:rsidRPr="005F4E3B">
        <w:rPr>
          <w:szCs w:val="18"/>
          <w:lang w:val="fr-FR"/>
        </w:rPr>
        <w:t>5 à 10 ans et d’une amende de 2 000 000 à 10 000 </w:t>
      </w:r>
      <w:r w:rsidRPr="005F4E3B">
        <w:rPr>
          <w:szCs w:val="18"/>
          <w:lang w:val="fr-FR"/>
        </w:rPr>
        <w:t>000 Ar.»</w:t>
      </w:r>
    </w:p>
  </w:footnote>
  <w:footnote w:id="5">
    <w:p w:rsidR="006F39CA" w:rsidRPr="005F4E3B" w:rsidRDefault="006F39CA" w:rsidP="001E2817">
      <w:pPr>
        <w:pStyle w:val="FootnoteText"/>
        <w:rPr>
          <w:rFonts w:asciiTheme="majorBidi" w:hAnsiTheme="majorBidi" w:cstheme="majorBidi"/>
          <w:i/>
          <w:szCs w:val="18"/>
          <w:lang w:val="fr-FR"/>
        </w:rPr>
      </w:pPr>
      <w:r w:rsidRPr="005F4E3B">
        <w:rPr>
          <w:szCs w:val="18"/>
          <w:lang w:val="fr-FR"/>
        </w:rPr>
        <w:tab/>
      </w:r>
      <w:r w:rsidRPr="005F4E3B">
        <w:rPr>
          <w:rStyle w:val="FootnoteReference"/>
          <w:szCs w:val="18"/>
          <w:lang w:val="fr-FR"/>
        </w:rPr>
        <w:footnoteRef/>
      </w:r>
      <w:r w:rsidRPr="005F4E3B">
        <w:rPr>
          <w:szCs w:val="18"/>
          <w:lang w:val="fr-FR"/>
        </w:rPr>
        <w:t xml:space="preserve"> </w:t>
      </w:r>
      <w:r w:rsidRPr="005F4E3B">
        <w:rPr>
          <w:szCs w:val="18"/>
          <w:lang w:val="fr-FR"/>
        </w:rPr>
        <w:tab/>
        <w:t xml:space="preserve">En cas de commission d’infraction de traite, dans les conditions prévues à l’alinéa 1, la personne morale encourt une peine d’amende allant </w:t>
      </w:r>
      <w:r w:rsidR="007A06F4" w:rsidRPr="005F4E3B">
        <w:rPr>
          <w:szCs w:val="18"/>
          <w:lang w:val="fr-FR"/>
        </w:rPr>
        <w:t>de 100 000 </w:t>
      </w:r>
      <w:r w:rsidRPr="005F4E3B">
        <w:rPr>
          <w:szCs w:val="18"/>
          <w:lang w:val="fr-FR"/>
        </w:rPr>
        <w:t>000 à 500</w:t>
      </w:r>
      <w:r w:rsidR="007A06F4" w:rsidRPr="005F4E3B">
        <w:rPr>
          <w:szCs w:val="18"/>
          <w:lang w:val="fr-FR"/>
        </w:rPr>
        <w:t> 000 </w:t>
      </w:r>
      <w:r w:rsidRPr="005F4E3B">
        <w:rPr>
          <w:szCs w:val="18"/>
          <w:lang w:val="fr-FR"/>
        </w:rPr>
        <w:t>000 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CA" w:rsidRPr="00277644" w:rsidRDefault="006F39CA" w:rsidP="00E2328C">
    <w:pPr>
      <w:pStyle w:val="Header"/>
      <w:rPr>
        <w:lang w:val="en-GB"/>
      </w:rPr>
    </w:pPr>
    <w:r w:rsidRPr="00277644">
      <w:rPr>
        <w:lang w:val="en-GB"/>
      </w:rPr>
      <w:t>CRC/C/OPSC/MDG/Q/1/Add.1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CA" w:rsidRPr="00277644" w:rsidRDefault="006F39CA" w:rsidP="00454EDC">
    <w:pPr>
      <w:pStyle w:val="Header"/>
      <w:jc w:val="right"/>
      <w:rPr>
        <w:lang w:val="en-GB"/>
      </w:rPr>
    </w:pPr>
    <w:r w:rsidRPr="00277644">
      <w:rPr>
        <w:lang w:val="en-GB"/>
      </w:rPr>
      <w:t>CRC/C/OPSC/MDG/Q/1/Add.1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3411FA3"/>
    <w:multiLevelType w:val="hybridMultilevel"/>
    <w:tmpl w:val="B14AE040"/>
    <w:lvl w:ilvl="0" w:tplc="9836F3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3D6F04AA"/>
    <w:multiLevelType w:val="hybridMultilevel"/>
    <w:tmpl w:val="EF30A270"/>
    <w:lvl w:ilvl="0" w:tplc="75DAB5E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nsid w:val="6EAC16DE"/>
    <w:multiLevelType w:val="hybridMultilevel"/>
    <w:tmpl w:val="07A481A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4"/>
  </w:num>
  <w:num w:numId="2">
    <w:abstractNumId w:val="2"/>
  </w:num>
  <w:num w:numId="3">
    <w:abstractNumId w:val="0"/>
  </w:num>
  <w:num w:numId="4">
    <w:abstractNumId w:val="5"/>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4A"/>
    <w:rsid w:val="000115A9"/>
    <w:rsid w:val="00013F4F"/>
    <w:rsid w:val="0001470D"/>
    <w:rsid w:val="00016165"/>
    <w:rsid w:val="00016AC5"/>
    <w:rsid w:val="00016B88"/>
    <w:rsid w:val="00021907"/>
    <w:rsid w:val="000233A5"/>
    <w:rsid w:val="0002445D"/>
    <w:rsid w:val="00024C50"/>
    <w:rsid w:val="00025E92"/>
    <w:rsid w:val="000276A3"/>
    <w:rsid w:val="00030BDE"/>
    <w:rsid w:val="00032060"/>
    <w:rsid w:val="00032685"/>
    <w:rsid w:val="000340AE"/>
    <w:rsid w:val="00040539"/>
    <w:rsid w:val="00040598"/>
    <w:rsid w:val="00044F61"/>
    <w:rsid w:val="00047F10"/>
    <w:rsid w:val="00052157"/>
    <w:rsid w:val="0005346D"/>
    <w:rsid w:val="00055FE4"/>
    <w:rsid w:val="00062EA6"/>
    <w:rsid w:val="000641CE"/>
    <w:rsid w:val="00067310"/>
    <w:rsid w:val="00077E35"/>
    <w:rsid w:val="000806A4"/>
    <w:rsid w:val="0008669E"/>
    <w:rsid w:val="00090599"/>
    <w:rsid w:val="0009166B"/>
    <w:rsid w:val="000A0B13"/>
    <w:rsid w:val="000A1501"/>
    <w:rsid w:val="000A2494"/>
    <w:rsid w:val="000A6B7E"/>
    <w:rsid w:val="000A6FCB"/>
    <w:rsid w:val="000B46DF"/>
    <w:rsid w:val="000C33DF"/>
    <w:rsid w:val="000C6CDB"/>
    <w:rsid w:val="000D55EB"/>
    <w:rsid w:val="000D5C25"/>
    <w:rsid w:val="000E4F06"/>
    <w:rsid w:val="000E5601"/>
    <w:rsid w:val="000F0B19"/>
    <w:rsid w:val="000F3F11"/>
    <w:rsid w:val="000F41F2"/>
    <w:rsid w:val="000F5673"/>
    <w:rsid w:val="0010373B"/>
    <w:rsid w:val="0010556E"/>
    <w:rsid w:val="00125446"/>
    <w:rsid w:val="001358D9"/>
    <w:rsid w:val="00141E26"/>
    <w:rsid w:val="00143EB9"/>
    <w:rsid w:val="0015389C"/>
    <w:rsid w:val="00160540"/>
    <w:rsid w:val="00166C68"/>
    <w:rsid w:val="00174040"/>
    <w:rsid w:val="00174814"/>
    <w:rsid w:val="00181255"/>
    <w:rsid w:val="00181A90"/>
    <w:rsid w:val="00190D5D"/>
    <w:rsid w:val="00192EEB"/>
    <w:rsid w:val="00194484"/>
    <w:rsid w:val="001A2040"/>
    <w:rsid w:val="001A20FB"/>
    <w:rsid w:val="001A376F"/>
    <w:rsid w:val="001B09BB"/>
    <w:rsid w:val="001C3D8D"/>
    <w:rsid w:val="001C6497"/>
    <w:rsid w:val="001D3A51"/>
    <w:rsid w:val="001D3C70"/>
    <w:rsid w:val="001D7F8A"/>
    <w:rsid w:val="001E0447"/>
    <w:rsid w:val="001E1495"/>
    <w:rsid w:val="001E2817"/>
    <w:rsid w:val="001E34CB"/>
    <w:rsid w:val="001E3FEB"/>
    <w:rsid w:val="001E4541"/>
    <w:rsid w:val="001E4873"/>
    <w:rsid w:val="001E4A02"/>
    <w:rsid w:val="001E4E3F"/>
    <w:rsid w:val="001E653B"/>
    <w:rsid w:val="001E6DF0"/>
    <w:rsid w:val="001F3E68"/>
    <w:rsid w:val="001F4931"/>
    <w:rsid w:val="00200CBA"/>
    <w:rsid w:val="00200EB2"/>
    <w:rsid w:val="00204B66"/>
    <w:rsid w:val="002059CE"/>
    <w:rsid w:val="00206AD4"/>
    <w:rsid w:val="0021482E"/>
    <w:rsid w:val="002153C5"/>
    <w:rsid w:val="00217000"/>
    <w:rsid w:val="00224B8B"/>
    <w:rsid w:val="00225A8C"/>
    <w:rsid w:val="00231A7F"/>
    <w:rsid w:val="00242BBD"/>
    <w:rsid w:val="0024586F"/>
    <w:rsid w:val="00246BC8"/>
    <w:rsid w:val="00246CB0"/>
    <w:rsid w:val="00251E07"/>
    <w:rsid w:val="00251F95"/>
    <w:rsid w:val="00252317"/>
    <w:rsid w:val="002659F1"/>
    <w:rsid w:val="00271E41"/>
    <w:rsid w:val="00277644"/>
    <w:rsid w:val="00284C19"/>
    <w:rsid w:val="00286E23"/>
    <w:rsid w:val="002876A1"/>
    <w:rsid w:val="00287CA6"/>
    <w:rsid w:val="00287E79"/>
    <w:rsid w:val="002928F9"/>
    <w:rsid w:val="00294D5B"/>
    <w:rsid w:val="00296D36"/>
    <w:rsid w:val="002A2A2C"/>
    <w:rsid w:val="002A5D07"/>
    <w:rsid w:val="002A7451"/>
    <w:rsid w:val="002D25CA"/>
    <w:rsid w:val="002D3DA4"/>
    <w:rsid w:val="002D781B"/>
    <w:rsid w:val="002E2F5C"/>
    <w:rsid w:val="002F0C48"/>
    <w:rsid w:val="003016B7"/>
    <w:rsid w:val="0030754C"/>
    <w:rsid w:val="00317E54"/>
    <w:rsid w:val="00322DF1"/>
    <w:rsid w:val="00324EBF"/>
    <w:rsid w:val="0032556C"/>
    <w:rsid w:val="003274EF"/>
    <w:rsid w:val="00330508"/>
    <w:rsid w:val="00331630"/>
    <w:rsid w:val="0033286A"/>
    <w:rsid w:val="00333130"/>
    <w:rsid w:val="00346C57"/>
    <w:rsid w:val="00346E32"/>
    <w:rsid w:val="003515AA"/>
    <w:rsid w:val="00362674"/>
    <w:rsid w:val="00364F13"/>
    <w:rsid w:val="0036776C"/>
    <w:rsid w:val="00372A7A"/>
    <w:rsid w:val="00372D1D"/>
    <w:rsid w:val="00373C93"/>
    <w:rsid w:val="00374106"/>
    <w:rsid w:val="0037679A"/>
    <w:rsid w:val="0038047C"/>
    <w:rsid w:val="00390EEF"/>
    <w:rsid w:val="00394410"/>
    <w:rsid w:val="003976D5"/>
    <w:rsid w:val="003B53B6"/>
    <w:rsid w:val="003D103F"/>
    <w:rsid w:val="003D6C68"/>
    <w:rsid w:val="003D7F88"/>
    <w:rsid w:val="003E01D0"/>
    <w:rsid w:val="003E49B9"/>
    <w:rsid w:val="003E5F12"/>
    <w:rsid w:val="003E786C"/>
    <w:rsid w:val="003F2A89"/>
    <w:rsid w:val="003F4A54"/>
    <w:rsid w:val="003F56EA"/>
    <w:rsid w:val="0040144C"/>
    <w:rsid w:val="004067AE"/>
    <w:rsid w:val="00410521"/>
    <w:rsid w:val="00413BB0"/>
    <w:rsid w:val="004159D0"/>
    <w:rsid w:val="00417326"/>
    <w:rsid w:val="00422499"/>
    <w:rsid w:val="00427291"/>
    <w:rsid w:val="004342E2"/>
    <w:rsid w:val="00434354"/>
    <w:rsid w:val="00434DAA"/>
    <w:rsid w:val="00440BC8"/>
    <w:rsid w:val="004443B9"/>
    <w:rsid w:val="00454EDC"/>
    <w:rsid w:val="00454F8D"/>
    <w:rsid w:val="004567EB"/>
    <w:rsid w:val="00460E72"/>
    <w:rsid w:val="00467412"/>
    <w:rsid w:val="00476265"/>
    <w:rsid w:val="00490F56"/>
    <w:rsid w:val="00491F39"/>
    <w:rsid w:val="004A49A5"/>
    <w:rsid w:val="004A66A2"/>
    <w:rsid w:val="004B3C90"/>
    <w:rsid w:val="004B51CD"/>
    <w:rsid w:val="004C54C0"/>
    <w:rsid w:val="004C56B2"/>
    <w:rsid w:val="004D00B2"/>
    <w:rsid w:val="004E4963"/>
    <w:rsid w:val="004E6809"/>
    <w:rsid w:val="004E7F24"/>
    <w:rsid w:val="004F44F5"/>
    <w:rsid w:val="004F5840"/>
    <w:rsid w:val="004F7647"/>
    <w:rsid w:val="005111B1"/>
    <w:rsid w:val="005111DB"/>
    <w:rsid w:val="0051457E"/>
    <w:rsid w:val="0051714B"/>
    <w:rsid w:val="00520F80"/>
    <w:rsid w:val="005239FF"/>
    <w:rsid w:val="00523DB8"/>
    <w:rsid w:val="00533150"/>
    <w:rsid w:val="00543B57"/>
    <w:rsid w:val="00543C47"/>
    <w:rsid w:val="00543D5E"/>
    <w:rsid w:val="005471AF"/>
    <w:rsid w:val="00552260"/>
    <w:rsid w:val="00552777"/>
    <w:rsid w:val="00555494"/>
    <w:rsid w:val="00555CBA"/>
    <w:rsid w:val="00565B29"/>
    <w:rsid w:val="00571BC1"/>
    <w:rsid w:val="00571F41"/>
    <w:rsid w:val="00575476"/>
    <w:rsid w:val="00584373"/>
    <w:rsid w:val="00591DB3"/>
    <w:rsid w:val="00592AD1"/>
    <w:rsid w:val="005939ED"/>
    <w:rsid w:val="005947BC"/>
    <w:rsid w:val="00595E8A"/>
    <w:rsid w:val="005A0268"/>
    <w:rsid w:val="005A6014"/>
    <w:rsid w:val="005B473C"/>
    <w:rsid w:val="005C33EF"/>
    <w:rsid w:val="005C549A"/>
    <w:rsid w:val="005D7719"/>
    <w:rsid w:val="005E1B9B"/>
    <w:rsid w:val="005E32D1"/>
    <w:rsid w:val="005E5D1F"/>
    <w:rsid w:val="005E6E8D"/>
    <w:rsid w:val="005F4E3B"/>
    <w:rsid w:val="006019FC"/>
    <w:rsid w:val="0061113B"/>
    <w:rsid w:val="00611D43"/>
    <w:rsid w:val="00612D48"/>
    <w:rsid w:val="00613A5E"/>
    <w:rsid w:val="00616B45"/>
    <w:rsid w:val="0061758F"/>
    <w:rsid w:val="006241C6"/>
    <w:rsid w:val="00630D9B"/>
    <w:rsid w:val="00631953"/>
    <w:rsid w:val="00631B23"/>
    <w:rsid w:val="0063208D"/>
    <w:rsid w:val="00641438"/>
    <w:rsid w:val="00643814"/>
    <w:rsid w:val="006439EC"/>
    <w:rsid w:val="00645090"/>
    <w:rsid w:val="00647059"/>
    <w:rsid w:val="00647162"/>
    <w:rsid w:val="0065029A"/>
    <w:rsid w:val="00661E96"/>
    <w:rsid w:val="00665786"/>
    <w:rsid w:val="00671C93"/>
    <w:rsid w:val="00671F00"/>
    <w:rsid w:val="006729C8"/>
    <w:rsid w:val="00675501"/>
    <w:rsid w:val="0068562A"/>
    <w:rsid w:val="006951A4"/>
    <w:rsid w:val="006A259F"/>
    <w:rsid w:val="006A6B31"/>
    <w:rsid w:val="006A6C95"/>
    <w:rsid w:val="006A7B29"/>
    <w:rsid w:val="006B0EB2"/>
    <w:rsid w:val="006B0FF8"/>
    <w:rsid w:val="006B4590"/>
    <w:rsid w:val="006C340C"/>
    <w:rsid w:val="006E46AF"/>
    <w:rsid w:val="006F1D0B"/>
    <w:rsid w:val="006F27A8"/>
    <w:rsid w:val="006F3493"/>
    <w:rsid w:val="006F3544"/>
    <w:rsid w:val="006F39CA"/>
    <w:rsid w:val="0070347C"/>
    <w:rsid w:val="007102D2"/>
    <w:rsid w:val="00714A66"/>
    <w:rsid w:val="007176C1"/>
    <w:rsid w:val="00720BC0"/>
    <w:rsid w:val="0072116B"/>
    <w:rsid w:val="00725063"/>
    <w:rsid w:val="00732E72"/>
    <w:rsid w:val="00741D90"/>
    <w:rsid w:val="00744229"/>
    <w:rsid w:val="007607B1"/>
    <w:rsid w:val="00765296"/>
    <w:rsid w:val="00766D28"/>
    <w:rsid w:val="007723C2"/>
    <w:rsid w:val="007815B9"/>
    <w:rsid w:val="00781618"/>
    <w:rsid w:val="0078184B"/>
    <w:rsid w:val="00785F1F"/>
    <w:rsid w:val="00790B9D"/>
    <w:rsid w:val="00796316"/>
    <w:rsid w:val="00797114"/>
    <w:rsid w:val="00797748"/>
    <w:rsid w:val="007A06F4"/>
    <w:rsid w:val="007A1C58"/>
    <w:rsid w:val="007A20D2"/>
    <w:rsid w:val="007A7445"/>
    <w:rsid w:val="007A79CD"/>
    <w:rsid w:val="007C4C01"/>
    <w:rsid w:val="007D2668"/>
    <w:rsid w:val="007D3119"/>
    <w:rsid w:val="007D7193"/>
    <w:rsid w:val="007E5B53"/>
    <w:rsid w:val="007F1867"/>
    <w:rsid w:val="007F1EC4"/>
    <w:rsid w:val="007F55CB"/>
    <w:rsid w:val="007F768E"/>
    <w:rsid w:val="008021D4"/>
    <w:rsid w:val="008149F9"/>
    <w:rsid w:val="0081521D"/>
    <w:rsid w:val="008245B7"/>
    <w:rsid w:val="0082755E"/>
    <w:rsid w:val="00831A18"/>
    <w:rsid w:val="00837345"/>
    <w:rsid w:val="00844750"/>
    <w:rsid w:val="00851A74"/>
    <w:rsid w:val="00853AB8"/>
    <w:rsid w:val="00853F7B"/>
    <w:rsid w:val="00854C34"/>
    <w:rsid w:val="0085586A"/>
    <w:rsid w:val="00877A58"/>
    <w:rsid w:val="00887B82"/>
    <w:rsid w:val="00895DE5"/>
    <w:rsid w:val="008A0FA8"/>
    <w:rsid w:val="008A1EC0"/>
    <w:rsid w:val="008B44C4"/>
    <w:rsid w:val="008C322B"/>
    <w:rsid w:val="008C4B74"/>
    <w:rsid w:val="008D1156"/>
    <w:rsid w:val="008D59DB"/>
    <w:rsid w:val="008E0319"/>
    <w:rsid w:val="008E1117"/>
    <w:rsid w:val="008E4DE2"/>
    <w:rsid w:val="008E7CE2"/>
    <w:rsid w:val="008E7FAE"/>
    <w:rsid w:val="00911BF7"/>
    <w:rsid w:val="0091594A"/>
    <w:rsid w:val="009230F1"/>
    <w:rsid w:val="00931D2E"/>
    <w:rsid w:val="00935490"/>
    <w:rsid w:val="009418DE"/>
    <w:rsid w:val="009516B7"/>
    <w:rsid w:val="00957CE5"/>
    <w:rsid w:val="009624E2"/>
    <w:rsid w:val="00965FEC"/>
    <w:rsid w:val="00967E71"/>
    <w:rsid w:val="00970449"/>
    <w:rsid w:val="00971EC9"/>
    <w:rsid w:val="00977EC8"/>
    <w:rsid w:val="00982E23"/>
    <w:rsid w:val="009A3048"/>
    <w:rsid w:val="009A6C26"/>
    <w:rsid w:val="009B17AD"/>
    <w:rsid w:val="009B3F8C"/>
    <w:rsid w:val="009B45E0"/>
    <w:rsid w:val="009B540F"/>
    <w:rsid w:val="009D3A8C"/>
    <w:rsid w:val="009E1BA9"/>
    <w:rsid w:val="009E2876"/>
    <w:rsid w:val="009E2F0B"/>
    <w:rsid w:val="009E7956"/>
    <w:rsid w:val="009F072F"/>
    <w:rsid w:val="009F26C1"/>
    <w:rsid w:val="009F3F95"/>
    <w:rsid w:val="009F5A74"/>
    <w:rsid w:val="00A023FC"/>
    <w:rsid w:val="00A0338D"/>
    <w:rsid w:val="00A0576F"/>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7B53"/>
    <w:rsid w:val="00A812E0"/>
    <w:rsid w:val="00A81F93"/>
    <w:rsid w:val="00A9247E"/>
    <w:rsid w:val="00AA7796"/>
    <w:rsid w:val="00AB711C"/>
    <w:rsid w:val="00AC67A1"/>
    <w:rsid w:val="00AC7977"/>
    <w:rsid w:val="00AC7E56"/>
    <w:rsid w:val="00AD0212"/>
    <w:rsid w:val="00AE2617"/>
    <w:rsid w:val="00AE352C"/>
    <w:rsid w:val="00AE73BE"/>
    <w:rsid w:val="00AE79AC"/>
    <w:rsid w:val="00AF111B"/>
    <w:rsid w:val="00B01AAD"/>
    <w:rsid w:val="00B01F05"/>
    <w:rsid w:val="00B101DB"/>
    <w:rsid w:val="00B21751"/>
    <w:rsid w:val="00B256F0"/>
    <w:rsid w:val="00B31D7D"/>
    <w:rsid w:val="00B32E2D"/>
    <w:rsid w:val="00B43741"/>
    <w:rsid w:val="00B45642"/>
    <w:rsid w:val="00B52F29"/>
    <w:rsid w:val="00B5388D"/>
    <w:rsid w:val="00B61990"/>
    <w:rsid w:val="00B6249B"/>
    <w:rsid w:val="00B70CCD"/>
    <w:rsid w:val="00B75E66"/>
    <w:rsid w:val="00B773BF"/>
    <w:rsid w:val="00B922B0"/>
    <w:rsid w:val="00BC3F20"/>
    <w:rsid w:val="00BD28B2"/>
    <w:rsid w:val="00BD5A8D"/>
    <w:rsid w:val="00BD7343"/>
    <w:rsid w:val="00BF0556"/>
    <w:rsid w:val="00BF37EE"/>
    <w:rsid w:val="00C024A1"/>
    <w:rsid w:val="00C02C42"/>
    <w:rsid w:val="00C10FB1"/>
    <w:rsid w:val="00C11282"/>
    <w:rsid w:val="00C14108"/>
    <w:rsid w:val="00C261F8"/>
    <w:rsid w:val="00C27662"/>
    <w:rsid w:val="00C277EB"/>
    <w:rsid w:val="00C33100"/>
    <w:rsid w:val="00C3744A"/>
    <w:rsid w:val="00C451B9"/>
    <w:rsid w:val="00C51D9C"/>
    <w:rsid w:val="00C54DA4"/>
    <w:rsid w:val="00C55118"/>
    <w:rsid w:val="00C577D1"/>
    <w:rsid w:val="00C57A2D"/>
    <w:rsid w:val="00C6018C"/>
    <w:rsid w:val="00C6262B"/>
    <w:rsid w:val="00C67D23"/>
    <w:rsid w:val="00C71827"/>
    <w:rsid w:val="00C80B89"/>
    <w:rsid w:val="00C825E5"/>
    <w:rsid w:val="00C95EB8"/>
    <w:rsid w:val="00CB02C5"/>
    <w:rsid w:val="00CB39CD"/>
    <w:rsid w:val="00CB4544"/>
    <w:rsid w:val="00CC7CE6"/>
    <w:rsid w:val="00CD044C"/>
    <w:rsid w:val="00CD1A71"/>
    <w:rsid w:val="00CD1FBB"/>
    <w:rsid w:val="00CD3C33"/>
    <w:rsid w:val="00CE033D"/>
    <w:rsid w:val="00CE08E5"/>
    <w:rsid w:val="00D016B5"/>
    <w:rsid w:val="00D034F1"/>
    <w:rsid w:val="00D14F42"/>
    <w:rsid w:val="00D171D4"/>
    <w:rsid w:val="00D27D5E"/>
    <w:rsid w:val="00D32B08"/>
    <w:rsid w:val="00D407D1"/>
    <w:rsid w:val="00D43E5F"/>
    <w:rsid w:val="00D508DE"/>
    <w:rsid w:val="00D51CE6"/>
    <w:rsid w:val="00D548DB"/>
    <w:rsid w:val="00D639BD"/>
    <w:rsid w:val="00D65777"/>
    <w:rsid w:val="00D66378"/>
    <w:rsid w:val="00D66E0D"/>
    <w:rsid w:val="00D674E1"/>
    <w:rsid w:val="00D7425A"/>
    <w:rsid w:val="00D74F7E"/>
    <w:rsid w:val="00D7695F"/>
    <w:rsid w:val="00D9039B"/>
    <w:rsid w:val="00D93582"/>
    <w:rsid w:val="00DA41A2"/>
    <w:rsid w:val="00DA43A1"/>
    <w:rsid w:val="00DA5E1D"/>
    <w:rsid w:val="00DB4083"/>
    <w:rsid w:val="00DB5B97"/>
    <w:rsid w:val="00DC4F43"/>
    <w:rsid w:val="00DE28EE"/>
    <w:rsid w:val="00DE6D90"/>
    <w:rsid w:val="00DF002F"/>
    <w:rsid w:val="00E005D0"/>
    <w:rsid w:val="00E0244D"/>
    <w:rsid w:val="00E026DF"/>
    <w:rsid w:val="00E02F48"/>
    <w:rsid w:val="00E03712"/>
    <w:rsid w:val="00E06B3F"/>
    <w:rsid w:val="00E10A73"/>
    <w:rsid w:val="00E11FFC"/>
    <w:rsid w:val="00E14F27"/>
    <w:rsid w:val="00E171D2"/>
    <w:rsid w:val="00E2328C"/>
    <w:rsid w:val="00E24217"/>
    <w:rsid w:val="00E25534"/>
    <w:rsid w:val="00E27896"/>
    <w:rsid w:val="00E319B6"/>
    <w:rsid w:val="00E32145"/>
    <w:rsid w:val="00E32F5A"/>
    <w:rsid w:val="00E510F3"/>
    <w:rsid w:val="00E549B7"/>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A3B1D"/>
    <w:rsid w:val="00EB73FB"/>
    <w:rsid w:val="00EB77B9"/>
    <w:rsid w:val="00EB7D07"/>
    <w:rsid w:val="00ED3A26"/>
    <w:rsid w:val="00EE10E9"/>
    <w:rsid w:val="00EE7217"/>
    <w:rsid w:val="00EF70BB"/>
    <w:rsid w:val="00F02FA9"/>
    <w:rsid w:val="00F06660"/>
    <w:rsid w:val="00F116EB"/>
    <w:rsid w:val="00F1794E"/>
    <w:rsid w:val="00F211AF"/>
    <w:rsid w:val="00F224A0"/>
    <w:rsid w:val="00F25EC3"/>
    <w:rsid w:val="00F32ADB"/>
    <w:rsid w:val="00F32C98"/>
    <w:rsid w:val="00F37E12"/>
    <w:rsid w:val="00F424BD"/>
    <w:rsid w:val="00F456AA"/>
    <w:rsid w:val="00F47AAA"/>
    <w:rsid w:val="00F515AD"/>
    <w:rsid w:val="00F57DD7"/>
    <w:rsid w:val="00F636AD"/>
    <w:rsid w:val="00F72B88"/>
    <w:rsid w:val="00F734D9"/>
    <w:rsid w:val="00F73F83"/>
    <w:rsid w:val="00F74902"/>
    <w:rsid w:val="00F8123D"/>
    <w:rsid w:val="00F85A4E"/>
    <w:rsid w:val="00F91F7D"/>
    <w:rsid w:val="00F9353A"/>
    <w:rsid w:val="00F965C2"/>
    <w:rsid w:val="00FA27D4"/>
    <w:rsid w:val="00FA5A79"/>
    <w:rsid w:val="00FB0BFE"/>
    <w:rsid w:val="00FB4300"/>
    <w:rsid w:val="00FB4C51"/>
    <w:rsid w:val="00FB734D"/>
    <w:rsid w:val="00FD02A2"/>
    <w:rsid w:val="00FD3B86"/>
    <w:rsid w:val="00FD5E64"/>
    <w:rsid w:val="00FD7985"/>
    <w:rsid w:val="00FE6526"/>
    <w:rsid w:val="00FE7CEC"/>
    <w:rsid w:val="00FF1DBD"/>
    <w:rsid w:val="00FF1E4B"/>
    <w:rsid w:val="00FF59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link w:val="FootnoteTextChar"/>
    <w:qFormat/>
    <w:rsid w:val="00044F6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qFormat/>
    <w:rsid w:val="00044F61"/>
    <w:rPr>
      <w:rFonts w:ascii="Times New Roman" w:hAnsi="Times New Roman"/>
      <w:sz w:val="18"/>
      <w:vertAlign w:val="superscript"/>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link w:val="H1GChar"/>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TableGrid">
    <w:name w:val="Table Grid"/>
    <w:basedOn w:val="TableNormal"/>
    <w:uiPriority w:val="59"/>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3"/>
      </w:numPr>
    </w:p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character" w:customStyle="1" w:styleId="FootnoteTextChar">
    <w:name w:val="Footnote Text Char"/>
    <w:aliases w:val="5_G Char"/>
    <w:link w:val="FootnoteText"/>
    <w:locked/>
    <w:rsid w:val="00454EDC"/>
    <w:rPr>
      <w:rFonts w:eastAsia="SimSun"/>
      <w:sz w:val="18"/>
      <w:lang w:val="en-US" w:eastAsia="zh-CN"/>
    </w:rPr>
  </w:style>
  <w:style w:type="character" w:customStyle="1" w:styleId="HChGChar">
    <w:name w:val="_ H _Ch_G Char"/>
    <w:link w:val="HChG"/>
    <w:locked/>
    <w:rsid w:val="00454EDC"/>
    <w:rPr>
      <w:b/>
      <w:sz w:val="28"/>
      <w:lang w:val="fr-CH" w:eastAsia="en-US" w:bidi="ar-SA"/>
    </w:rPr>
  </w:style>
  <w:style w:type="character" w:customStyle="1" w:styleId="H1GChar">
    <w:name w:val="_ H_1_G Char"/>
    <w:link w:val="H1G"/>
    <w:locked/>
    <w:rsid w:val="00454EDC"/>
    <w:rPr>
      <w:b/>
      <w:sz w:val="24"/>
      <w:lang w:val="fr-CH" w:eastAsia="en-US" w:bidi="ar-SA"/>
    </w:rPr>
  </w:style>
  <w:style w:type="character" w:customStyle="1" w:styleId="H23GChar">
    <w:name w:val="_ H_2/3_G Char"/>
    <w:link w:val="H23G"/>
    <w:locked/>
    <w:rsid w:val="00454EDC"/>
    <w:rPr>
      <w:b/>
      <w:lang w:val="fr-CH" w:eastAsia="en-US" w:bidi="ar-SA"/>
    </w:rPr>
  </w:style>
  <w:style w:type="paragraph" w:styleId="ListParagraph">
    <w:name w:val="List Paragraph"/>
    <w:basedOn w:val="Normal"/>
    <w:link w:val="ListParagraphChar"/>
    <w:uiPriority w:val="34"/>
    <w:qFormat/>
    <w:rsid w:val="00C277EB"/>
    <w:pPr>
      <w:suppressAutoHyphens w:val="0"/>
      <w:spacing w:after="200" w:line="276" w:lineRule="auto"/>
      <w:ind w:left="720"/>
      <w:contextualSpacing/>
    </w:pPr>
    <w:rPr>
      <w:rFonts w:ascii="Calibri" w:eastAsia="Calibri" w:hAnsi="Calibri"/>
      <w:sz w:val="22"/>
      <w:szCs w:val="22"/>
      <w:lang w:val="fr-FR"/>
    </w:rPr>
  </w:style>
  <w:style w:type="character" w:customStyle="1" w:styleId="ListParagraphChar">
    <w:name w:val="List Paragraph Char"/>
    <w:link w:val="ListParagraph"/>
    <w:uiPriority w:val="34"/>
    <w:locked/>
    <w:rsid w:val="00C277EB"/>
    <w:rPr>
      <w:rFonts w:ascii="Calibri" w:eastAsia="Calibri" w:hAnsi="Calibri"/>
      <w:sz w:val="22"/>
      <w:szCs w:val="22"/>
      <w:lang w:eastAsia="en-US"/>
    </w:rPr>
  </w:style>
  <w:style w:type="paragraph" w:styleId="BalloonText">
    <w:name w:val="Balloon Text"/>
    <w:basedOn w:val="Normal"/>
    <w:link w:val="BalloonTextChar"/>
    <w:rsid w:val="00F91F7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91F7D"/>
    <w:rPr>
      <w:rFonts w:ascii="Tahoma" w:hAnsi="Tahoma" w:cs="Tahoma"/>
      <w:sz w:val="16"/>
      <w:szCs w:val="16"/>
      <w:lang w:val="fr-CH" w:eastAsia="en-US"/>
    </w:rPr>
  </w:style>
  <w:style w:type="character" w:styleId="CommentReference">
    <w:name w:val="annotation reference"/>
    <w:basedOn w:val="DefaultParagraphFont"/>
    <w:rsid w:val="00982E23"/>
    <w:rPr>
      <w:sz w:val="16"/>
      <w:szCs w:val="16"/>
    </w:rPr>
  </w:style>
  <w:style w:type="paragraph" w:styleId="CommentText">
    <w:name w:val="annotation text"/>
    <w:basedOn w:val="Normal"/>
    <w:link w:val="CommentTextChar"/>
    <w:rsid w:val="00982E23"/>
    <w:pPr>
      <w:spacing w:line="240" w:lineRule="auto"/>
    </w:pPr>
  </w:style>
  <w:style w:type="character" w:customStyle="1" w:styleId="CommentTextChar">
    <w:name w:val="Comment Text Char"/>
    <w:basedOn w:val="DefaultParagraphFont"/>
    <w:link w:val="CommentText"/>
    <w:rsid w:val="00982E23"/>
    <w:rPr>
      <w:lang w:val="fr-CH" w:eastAsia="en-US"/>
    </w:rPr>
  </w:style>
  <w:style w:type="paragraph" w:styleId="CommentSubject">
    <w:name w:val="annotation subject"/>
    <w:basedOn w:val="CommentText"/>
    <w:next w:val="CommentText"/>
    <w:link w:val="CommentSubjectChar"/>
    <w:rsid w:val="00982E23"/>
    <w:rPr>
      <w:b/>
      <w:bCs/>
    </w:rPr>
  </w:style>
  <w:style w:type="character" w:customStyle="1" w:styleId="CommentSubjectChar">
    <w:name w:val="Comment Subject Char"/>
    <w:basedOn w:val="CommentTextChar"/>
    <w:link w:val="CommentSubject"/>
    <w:rsid w:val="00982E23"/>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link w:val="FootnoteTextChar"/>
    <w:qFormat/>
    <w:rsid w:val="00044F6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qFormat/>
    <w:rsid w:val="00044F61"/>
    <w:rPr>
      <w:rFonts w:ascii="Times New Roman" w:hAnsi="Times New Roman"/>
      <w:sz w:val="18"/>
      <w:vertAlign w:val="superscript"/>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link w:val="H1GChar"/>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TableGrid">
    <w:name w:val="Table Grid"/>
    <w:basedOn w:val="TableNormal"/>
    <w:uiPriority w:val="59"/>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3"/>
      </w:numPr>
    </w:p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character" w:customStyle="1" w:styleId="FootnoteTextChar">
    <w:name w:val="Footnote Text Char"/>
    <w:aliases w:val="5_G Char"/>
    <w:link w:val="FootnoteText"/>
    <w:locked/>
    <w:rsid w:val="00454EDC"/>
    <w:rPr>
      <w:rFonts w:eastAsia="SimSun"/>
      <w:sz w:val="18"/>
      <w:lang w:val="en-US" w:eastAsia="zh-CN"/>
    </w:rPr>
  </w:style>
  <w:style w:type="character" w:customStyle="1" w:styleId="HChGChar">
    <w:name w:val="_ H _Ch_G Char"/>
    <w:link w:val="HChG"/>
    <w:locked/>
    <w:rsid w:val="00454EDC"/>
    <w:rPr>
      <w:b/>
      <w:sz w:val="28"/>
      <w:lang w:val="fr-CH" w:eastAsia="en-US" w:bidi="ar-SA"/>
    </w:rPr>
  </w:style>
  <w:style w:type="character" w:customStyle="1" w:styleId="H1GChar">
    <w:name w:val="_ H_1_G Char"/>
    <w:link w:val="H1G"/>
    <w:locked/>
    <w:rsid w:val="00454EDC"/>
    <w:rPr>
      <w:b/>
      <w:sz w:val="24"/>
      <w:lang w:val="fr-CH" w:eastAsia="en-US" w:bidi="ar-SA"/>
    </w:rPr>
  </w:style>
  <w:style w:type="character" w:customStyle="1" w:styleId="H23GChar">
    <w:name w:val="_ H_2/3_G Char"/>
    <w:link w:val="H23G"/>
    <w:locked/>
    <w:rsid w:val="00454EDC"/>
    <w:rPr>
      <w:b/>
      <w:lang w:val="fr-CH" w:eastAsia="en-US" w:bidi="ar-SA"/>
    </w:rPr>
  </w:style>
  <w:style w:type="paragraph" w:styleId="ListParagraph">
    <w:name w:val="List Paragraph"/>
    <w:basedOn w:val="Normal"/>
    <w:link w:val="ListParagraphChar"/>
    <w:uiPriority w:val="34"/>
    <w:qFormat/>
    <w:rsid w:val="00C277EB"/>
    <w:pPr>
      <w:suppressAutoHyphens w:val="0"/>
      <w:spacing w:after="200" w:line="276" w:lineRule="auto"/>
      <w:ind w:left="720"/>
      <w:contextualSpacing/>
    </w:pPr>
    <w:rPr>
      <w:rFonts w:ascii="Calibri" w:eastAsia="Calibri" w:hAnsi="Calibri"/>
      <w:sz w:val="22"/>
      <w:szCs w:val="22"/>
      <w:lang w:val="fr-FR"/>
    </w:rPr>
  </w:style>
  <w:style w:type="character" w:customStyle="1" w:styleId="ListParagraphChar">
    <w:name w:val="List Paragraph Char"/>
    <w:link w:val="ListParagraph"/>
    <w:uiPriority w:val="34"/>
    <w:locked/>
    <w:rsid w:val="00C277EB"/>
    <w:rPr>
      <w:rFonts w:ascii="Calibri" w:eastAsia="Calibri" w:hAnsi="Calibri"/>
      <w:sz w:val="22"/>
      <w:szCs w:val="22"/>
      <w:lang w:eastAsia="en-US"/>
    </w:rPr>
  </w:style>
  <w:style w:type="paragraph" w:styleId="BalloonText">
    <w:name w:val="Balloon Text"/>
    <w:basedOn w:val="Normal"/>
    <w:link w:val="BalloonTextChar"/>
    <w:rsid w:val="00F91F7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91F7D"/>
    <w:rPr>
      <w:rFonts w:ascii="Tahoma" w:hAnsi="Tahoma" w:cs="Tahoma"/>
      <w:sz w:val="16"/>
      <w:szCs w:val="16"/>
      <w:lang w:val="fr-CH" w:eastAsia="en-US"/>
    </w:rPr>
  </w:style>
  <w:style w:type="character" w:styleId="CommentReference">
    <w:name w:val="annotation reference"/>
    <w:basedOn w:val="DefaultParagraphFont"/>
    <w:rsid w:val="00982E23"/>
    <w:rPr>
      <w:sz w:val="16"/>
      <w:szCs w:val="16"/>
    </w:rPr>
  </w:style>
  <w:style w:type="paragraph" w:styleId="CommentText">
    <w:name w:val="annotation text"/>
    <w:basedOn w:val="Normal"/>
    <w:link w:val="CommentTextChar"/>
    <w:rsid w:val="00982E23"/>
    <w:pPr>
      <w:spacing w:line="240" w:lineRule="auto"/>
    </w:pPr>
  </w:style>
  <w:style w:type="character" w:customStyle="1" w:styleId="CommentTextChar">
    <w:name w:val="Comment Text Char"/>
    <w:basedOn w:val="DefaultParagraphFont"/>
    <w:link w:val="CommentText"/>
    <w:rsid w:val="00982E23"/>
    <w:rPr>
      <w:lang w:val="fr-CH" w:eastAsia="en-US"/>
    </w:rPr>
  </w:style>
  <w:style w:type="paragraph" w:styleId="CommentSubject">
    <w:name w:val="annotation subject"/>
    <w:basedOn w:val="CommentText"/>
    <w:next w:val="CommentText"/>
    <w:link w:val="CommentSubjectChar"/>
    <w:rsid w:val="00982E23"/>
    <w:rPr>
      <w:b/>
      <w:bCs/>
    </w:rPr>
  </w:style>
  <w:style w:type="character" w:customStyle="1" w:styleId="CommentSubjectChar">
    <w:name w:val="Comment Subject Char"/>
    <w:basedOn w:val="CommentTextChar"/>
    <w:link w:val="CommentSubject"/>
    <w:rsid w:val="00982E23"/>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68BE-98AE-4944-921E-C4C3DCC7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4034</Words>
  <Characters>21745</Characters>
  <Application>Microsoft Office Word</Application>
  <DocSecurity>0</DocSecurity>
  <Lines>345</Lines>
  <Paragraphs>56</Paragraphs>
  <ScaleCrop>false</ScaleCrop>
  <HeadingPairs>
    <vt:vector size="2" baseType="variant">
      <vt:variant>
        <vt:lpstr>Title</vt:lpstr>
      </vt:variant>
      <vt:variant>
        <vt:i4>1</vt:i4>
      </vt:variant>
    </vt:vector>
  </HeadingPairs>
  <TitlesOfParts>
    <vt:vector size="1" baseType="lpstr">
      <vt:lpstr>M/CONF/2013/92</vt:lpstr>
    </vt:vector>
  </TitlesOfParts>
  <Company>CSD</Company>
  <LinksUpToDate>false</LinksUpToDate>
  <CharactersWithSpaces>25723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M/CONF/2013/92</dc:title>
  <dc:creator>Clere</dc:creator>
  <cp:lastModifiedBy>Morin</cp:lastModifiedBy>
  <cp:revision>2</cp:revision>
  <cp:lastPrinted>2015-07-20T06:20:00Z</cp:lastPrinted>
  <dcterms:created xsi:type="dcterms:W3CDTF">2015-07-20T14:28:00Z</dcterms:created>
  <dcterms:modified xsi:type="dcterms:W3CDTF">2015-07-20T14:28:00Z</dcterms:modified>
</cp:coreProperties>
</file>