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rPr>
                <w:rFonts w:ascii="Univers" w:hAnsi="Univers"/>
                <w:b/>
                <w:sz w:val="16"/>
                <w:lang w:val="en-GB"/>
              </w:rPr>
            </w:pPr>
            <w:r>
              <w:rPr>
                <w:rFonts w:ascii="Univers" w:hAnsi="Univers"/>
                <w:b/>
                <w:sz w:val="28"/>
                <w:lang w:val="en-GB"/>
              </w:rPr>
              <w:t>UNITED NATIONS</w:t>
            </w:r>
          </w:p>
        </w:tc>
        <w:tc>
          <w:tcPr>
            <w:tcW w:w="4536" w:type="dxa"/>
            <w:tcBorders>
              <w:top w:val="nil"/>
              <w:left w:val="nil"/>
              <w:bottom w:val="single" w:sz="6" w:space="0" w:color="auto"/>
              <w:right w:val="nil"/>
            </w:tcBorders>
          </w:tcPr>
          <w:p w:rsidR="00000000" w:rsidRDefault="00000000">
            <w:pPr>
              <w:spacing w:after="240"/>
              <w:rPr>
                <w:strike/>
              </w:rPr>
            </w:pPr>
          </w:p>
        </w:tc>
        <w:tc>
          <w:tcPr>
            <w:tcW w:w="3366" w:type="dxa"/>
            <w:tcBorders>
              <w:top w:val="nil"/>
              <w:left w:val="nil"/>
              <w:bottom w:val="single" w:sz="6" w:space="0" w:color="auto"/>
              <w:right w:val="nil"/>
            </w:tcBorders>
            <w:vAlign w:val="bottom"/>
          </w:tcPr>
          <w:p w:rsidR="00000000" w:rsidRDefault="00000000">
            <w:pPr>
              <w:spacing w:after="240"/>
              <w:jc w:val="right"/>
              <w:rPr>
                <w:rFonts w:ascii="Univers" w:hAnsi="Univers"/>
                <w:b/>
                <w:sz w:val="72"/>
                <w:lang w:val="en-GB"/>
              </w:rPr>
            </w:pPr>
            <w:r>
              <w:rPr>
                <w:rFonts w:ascii="Univers" w:hAnsi="Univers"/>
                <w:b/>
                <w:sz w:val="72"/>
                <w:lang w:val="en-GB"/>
              </w:rPr>
              <w:t>CERD</w:t>
            </w:r>
          </w:p>
        </w:tc>
      </w:tr>
      <w:bookmarkStart w:id="0" w:name="_MON_992683263"/>
      <w:bookmarkStart w:id="1" w:name="_MON_1114341677"/>
      <w:bookmarkEnd w:id="0"/>
      <w:bookmarkEnd w:id="1"/>
      <w:tr w:rsidR="00000000">
        <w:tblPrEx>
          <w:tblCellMar>
            <w:top w:w="0" w:type="dxa"/>
            <w:bottom w:w="0" w:type="dxa"/>
          </w:tblCellMar>
        </w:tblPrEx>
        <w:trPr>
          <w:trHeight w:val="1978"/>
        </w:trPr>
        <w:tc>
          <w:tcPr>
            <w:tcW w:w="1560" w:type="dxa"/>
            <w:tcBorders>
              <w:top w:val="single" w:sz="6" w:space="0" w:color="auto"/>
              <w:left w:val="nil"/>
              <w:bottom w:val="single" w:sz="36" w:space="0" w:color="auto"/>
              <w:right w:val="nil"/>
            </w:tcBorders>
          </w:tcPr>
          <w:p w:rsidR="00000000" w:rsidRDefault="00000000">
            <w:pPr>
              <w:spacing w:after="240"/>
              <w:rPr>
                <w:lang w:val="en-GB"/>
              </w:rPr>
            </w:pPr>
            <w:r>
              <w:rPr>
                <w:lang w:val="en-GB"/>
              </w:rP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fillcolor="window">
                  <v:imagedata r:id="rId7" o:title=""/>
                </v:shape>
              </w:object>
            </w:r>
          </w:p>
        </w:tc>
        <w:tc>
          <w:tcPr>
            <w:tcW w:w="4536" w:type="dxa"/>
            <w:tcBorders>
              <w:top w:val="single" w:sz="6" w:space="0" w:color="auto"/>
              <w:left w:val="nil"/>
              <w:bottom w:val="single" w:sz="36" w:space="0" w:color="auto"/>
              <w:right w:val="nil"/>
            </w:tcBorders>
          </w:tcPr>
          <w:p w:rsidR="00000000" w:rsidRDefault="00000000">
            <w:pPr>
              <w:spacing w:before="360"/>
              <w:rPr>
                <w:rFonts w:ascii="Univers" w:hAnsi="Univers"/>
                <w:b/>
                <w:sz w:val="32"/>
                <w:lang w:val="en-GB"/>
              </w:rPr>
            </w:pPr>
            <w:r>
              <w:rPr>
                <w:rFonts w:ascii="Univers" w:hAnsi="Univers"/>
                <w:b/>
                <w:sz w:val="32"/>
                <w:lang w:val="en-GB"/>
              </w:rPr>
              <w:t>International Convention on the Elimination of all Forms of Racial Discrimination</w:t>
            </w:r>
          </w:p>
          <w:p w:rsidR="00000000" w:rsidRDefault="00000000">
            <w:pPr>
              <w:spacing w:after="240"/>
              <w:rPr>
                <w:rFonts w:ascii="Univers" w:hAnsi="Univers"/>
                <w:sz w:val="32"/>
                <w:lang w:val="en-GB"/>
              </w:rPr>
            </w:pPr>
          </w:p>
        </w:tc>
        <w:tc>
          <w:tcPr>
            <w:tcW w:w="3366" w:type="dxa"/>
            <w:tcBorders>
              <w:top w:val="single" w:sz="6" w:space="0" w:color="auto"/>
              <w:left w:val="nil"/>
              <w:bottom w:val="single" w:sz="36" w:space="0" w:color="auto"/>
              <w:right w:val="nil"/>
            </w:tcBorders>
          </w:tcPr>
          <w:p w:rsidR="00000000" w:rsidRDefault="00000000">
            <w:pPr>
              <w:rPr>
                <w:lang w:val="en-US"/>
              </w:rPr>
            </w:pPr>
          </w:p>
          <w:p w:rsidR="00000000" w:rsidRDefault="00000000">
            <w:pPr>
              <w:rPr>
                <w:lang w:val="en-US"/>
              </w:rPr>
            </w:pPr>
            <w:r>
              <w:rPr>
                <w:lang w:val="en-US"/>
              </w:rPr>
              <w:t>Distr.</w:t>
            </w:r>
          </w:p>
          <w:p w:rsidR="00000000" w:rsidRDefault="00000000">
            <w:pPr>
              <w:spacing w:after="240"/>
              <w:rPr>
                <w:lang w:val="en-US"/>
              </w:rPr>
            </w:pPr>
            <w:r>
              <w:rPr>
                <w:lang w:val="en-GB"/>
              </w:rPr>
              <w:fldChar w:fldCharType="begin"/>
            </w:r>
            <w:r>
              <w:rPr>
                <w:lang w:val="en-US"/>
              </w:rPr>
              <w:instrText xml:space="preserve"> FILLIN "Distr." \* MERGEFORMAT </w:instrText>
            </w:r>
            <w:r>
              <w:rPr>
                <w:lang w:val="en-GB"/>
              </w:rPr>
              <w:fldChar w:fldCharType="separate"/>
            </w:r>
            <w:r>
              <w:rPr>
                <w:lang w:val="en-US"/>
              </w:rPr>
              <w:t>GENERAL</w:t>
            </w:r>
            <w:r>
              <w:rPr>
                <w:lang w:val="en-GB"/>
              </w:rPr>
              <w:fldChar w:fldCharType="end"/>
            </w:r>
          </w:p>
          <w:p w:rsidR="00000000" w:rsidRDefault="00000000">
            <w:pPr>
              <w:rPr>
                <w:lang w:val="en-US"/>
              </w:rPr>
            </w:pPr>
            <w:r>
              <w:rPr>
                <w:lang w:val="en-US"/>
              </w:rPr>
              <w:t>CERD/C/ARE/Q/12-17</w:t>
            </w:r>
            <w:r>
              <w:rPr>
                <w:rStyle w:val="FootnoteReference"/>
                <w:lang w:val="en-US"/>
              </w:rPr>
              <w:footnoteReference w:customMarkFollows="1" w:id="1"/>
              <w:t>*</w:t>
            </w:r>
          </w:p>
          <w:p w:rsidR="00000000" w:rsidRDefault="00000000">
            <w:pPr>
              <w:spacing w:after="240"/>
              <w:rPr>
                <w:lang w:val="en-US"/>
              </w:rPr>
            </w:pPr>
            <w:r>
              <w:rPr>
                <w:lang w:val="en-US"/>
              </w:rPr>
              <w:t>11 August 2009</w:t>
            </w:r>
          </w:p>
          <w:p w:rsidR="00000000" w:rsidRDefault="00000000">
            <w:pPr>
              <w:spacing w:after="240"/>
              <w:rPr>
                <w:lang w:val="en-GB"/>
              </w:rPr>
            </w:pPr>
            <w:r>
              <w:rPr>
                <w:lang w:val="en-GB"/>
              </w:rPr>
              <w:t>Original:  ENGLISH</w:t>
            </w:r>
          </w:p>
        </w:tc>
      </w:tr>
    </w:tbl>
    <w:p w:rsidR="00000000" w:rsidRDefault="00000000">
      <w:pPr>
        <w:spacing w:after="120"/>
        <w:rPr>
          <w:lang w:val="en-GB"/>
        </w:rPr>
      </w:pPr>
    </w:p>
    <w:p w:rsidR="00000000" w:rsidRDefault="00000000">
      <w:pPr>
        <w:pStyle w:val="Heading2"/>
        <w:numPr>
          <w:ilvl w:val="0"/>
          <w:numId w:val="0"/>
        </w:numPr>
        <w:spacing w:before="0" w:after="0" w:line="240" w:lineRule="auto"/>
        <w:jc w:val="left"/>
        <w:rPr>
          <w:b w:val="0"/>
          <w:bCs w:val="0"/>
        </w:rPr>
      </w:pPr>
      <w:r>
        <w:rPr>
          <w:b w:val="0"/>
          <w:bCs w:val="0"/>
        </w:rPr>
        <w:t>COMMITTEE ON THE ELIMINATION</w:t>
      </w:r>
    </w:p>
    <w:p w:rsidR="00000000" w:rsidRDefault="00000000">
      <w:pPr>
        <w:pStyle w:val="Heading2"/>
        <w:numPr>
          <w:ilvl w:val="0"/>
          <w:numId w:val="0"/>
        </w:numPr>
        <w:spacing w:before="0" w:after="0" w:line="240" w:lineRule="auto"/>
        <w:jc w:val="left"/>
        <w:rPr>
          <w:rFonts w:eastAsia="MS Mincho"/>
          <w:b w:val="0"/>
          <w:bCs w:val="0"/>
          <w:lang w:eastAsia="ja-JP"/>
        </w:rPr>
      </w:pPr>
      <w:r>
        <w:rPr>
          <w:b w:val="0"/>
          <w:bCs w:val="0"/>
        </w:rPr>
        <w:t>OF RACIAL DISCRIMINATION</w:t>
      </w:r>
    </w:p>
    <w:p w:rsidR="00000000" w:rsidRDefault="00000000">
      <w:pPr>
        <w:jc w:val="both"/>
        <w:rPr>
          <w:lang w:val="en-US"/>
        </w:rPr>
      </w:pPr>
      <w:r>
        <w:rPr>
          <w:lang w:val="en-US"/>
        </w:rPr>
        <w:t>Seventy-fifth session</w:t>
      </w:r>
    </w:p>
    <w:p w:rsidR="00000000" w:rsidRDefault="00000000">
      <w:pPr>
        <w:jc w:val="both"/>
        <w:rPr>
          <w:lang w:val="en-US"/>
        </w:rPr>
      </w:pPr>
      <w:r>
        <w:rPr>
          <w:lang w:val="en-US"/>
        </w:rPr>
        <w:t>Geneva, 3 August – 28 August 2009</w:t>
      </w:r>
    </w:p>
    <w:p w:rsidR="00000000" w:rsidRDefault="00000000">
      <w:pPr>
        <w:spacing w:after="240"/>
        <w:rPr>
          <w:lang w:val="en-US"/>
        </w:rPr>
      </w:pPr>
    </w:p>
    <w:p w:rsidR="00000000" w:rsidRDefault="00000000">
      <w:pPr>
        <w:jc w:val="center"/>
        <w:rPr>
          <w:b/>
          <w:lang w:val="en-US"/>
        </w:rPr>
      </w:pPr>
      <w:r>
        <w:rPr>
          <w:b/>
          <w:lang w:val="en-US"/>
        </w:rPr>
        <w:t>QUESTIONS BY THE RAPPORTEUR</w:t>
      </w:r>
    </w:p>
    <w:p w:rsidR="00000000" w:rsidRDefault="00000000">
      <w:pPr>
        <w:jc w:val="center"/>
        <w:rPr>
          <w:b/>
          <w:lang w:val="en-US"/>
        </w:rPr>
      </w:pPr>
      <w:r>
        <w:rPr>
          <w:b/>
          <w:lang w:val="en-US"/>
        </w:rPr>
        <w:t>IN CONNECTION WITH THE CONSIDERATION OF</w:t>
      </w:r>
    </w:p>
    <w:p w:rsidR="00000000" w:rsidRDefault="00000000">
      <w:pPr>
        <w:jc w:val="center"/>
        <w:rPr>
          <w:b/>
          <w:lang w:val="en-US"/>
        </w:rPr>
      </w:pPr>
      <w:r>
        <w:rPr>
          <w:b/>
          <w:lang w:val="en-US"/>
        </w:rPr>
        <w:t xml:space="preserve">THE TWELFTH TO SEVENTEETH PERIODIC REPORTS OF THE </w:t>
      </w:r>
    </w:p>
    <w:p w:rsidR="00000000" w:rsidRDefault="00000000">
      <w:pPr>
        <w:jc w:val="center"/>
        <w:rPr>
          <w:b/>
          <w:lang w:val="en-US"/>
        </w:rPr>
      </w:pPr>
      <w:r>
        <w:rPr>
          <w:b/>
          <w:lang w:val="en-US"/>
        </w:rPr>
        <w:t>UNITED ARAB EMIRATES</w:t>
      </w:r>
    </w:p>
    <w:p w:rsidR="00000000" w:rsidRDefault="00000000">
      <w:pPr>
        <w:spacing w:after="120"/>
        <w:ind w:left="360"/>
        <w:rPr>
          <w:lang w:val="en-US"/>
        </w:rPr>
      </w:pPr>
    </w:p>
    <w:p w:rsidR="00000000" w:rsidRDefault="00000000">
      <w:pPr>
        <w:spacing w:after="120"/>
        <w:ind w:left="360"/>
        <w:jc w:val="center"/>
        <w:rPr>
          <w:rFonts w:eastAsia="MS Mincho"/>
          <w:b/>
          <w:lang w:val="en-US" w:eastAsia="ja-JP"/>
        </w:rPr>
      </w:pPr>
      <w:r>
        <w:rPr>
          <w:rFonts w:eastAsia="MS Mincho"/>
          <w:b/>
          <w:lang w:val="en-US" w:eastAsia="ja-JP"/>
        </w:rPr>
        <w:t>General information</w:t>
      </w:r>
    </w:p>
    <w:p w:rsidR="00000000" w:rsidRDefault="00000000">
      <w:pPr>
        <w:numPr>
          <w:ilvl w:val="0"/>
          <w:numId w:val="15"/>
        </w:numPr>
        <w:tabs>
          <w:tab w:val="clear" w:pos="1080"/>
          <w:tab w:val="num" w:pos="600"/>
        </w:tabs>
        <w:ind w:left="0" w:firstLine="0"/>
        <w:jc w:val="both"/>
        <w:rPr>
          <w:lang w:val="en-GB"/>
        </w:rPr>
      </w:pPr>
      <w:r>
        <w:rPr>
          <w:lang w:val="en-GB"/>
        </w:rPr>
        <w:t>Please elaborate on the information provided in paragraph 13 of the State report by providing statistical data on the ethnic composition of the State party’s population, both national and non-national.</w:t>
      </w:r>
    </w:p>
    <w:p w:rsidR="00000000" w:rsidRDefault="00000000">
      <w:pPr>
        <w:tabs>
          <w:tab w:val="num" w:pos="840"/>
        </w:tabs>
        <w:jc w:val="both"/>
        <w:rPr>
          <w:lang w:val="en-GB"/>
        </w:rPr>
      </w:pPr>
    </w:p>
    <w:p w:rsidR="00000000" w:rsidRDefault="00000000">
      <w:pPr>
        <w:tabs>
          <w:tab w:val="num" w:pos="840"/>
        </w:tabs>
        <w:jc w:val="center"/>
        <w:rPr>
          <w:rFonts w:eastAsia="MS Mincho"/>
          <w:b/>
          <w:lang w:val="en-US" w:eastAsia="ja-JP"/>
        </w:rPr>
      </w:pPr>
      <w:r>
        <w:rPr>
          <w:rFonts w:eastAsia="MS Mincho"/>
          <w:b/>
          <w:lang w:val="en-US" w:eastAsia="ja-JP"/>
        </w:rPr>
        <w:t>Questions relating to articles 1 to 7 of the Convention</w:t>
      </w:r>
    </w:p>
    <w:p w:rsidR="00000000" w:rsidRDefault="00000000">
      <w:pPr>
        <w:tabs>
          <w:tab w:val="num" w:pos="840"/>
        </w:tabs>
        <w:jc w:val="center"/>
        <w:rPr>
          <w:rFonts w:eastAsia="MS Mincho"/>
          <w:b/>
          <w:lang w:val="en-US" w:eastAsia="ja-JP"/>
        </w:rPr>
      </w:pPr>
    </w:p>
    <w:p w:rsidR="00000000" w:rsidRDefault="00000000">
      <w:pPr>
        <w:tabs>
          <w:tab w:val="num" w:pos="840"/>
        </w:tabs>
        <w:jc w:val="center"/>
        <w:rPr>
          <w:rFonts w:eastAsia="MS Mincho"/>
          <w:b/>
          <w:lang w:val="en-US" w:eastAsia="ja-JP"/>
        </w:rPr>
      </w:pPr>
      <w:r>
        <w:rPr>
          <w:rFonts w:eastAsia="MS Mincho"/>
          <w:b/>
          <w:lang w:val="en-US" w:eastAsia="ja-JP"/>
        </w:rPr>
        <w:t>Article 1</w:t>
      </w:r>
    </w:p>
    <w:p w:rsidR="00000000" w:rsidRDefault="00000000">
      <w:pPr>
        <w:jc w:val="both"/>
        <w:rPr>
          <w:lang w:val="en-GB"/>
        </w:rPr>
      </w:pPr>
    </w:p>
    <w:p w:rsidR="00000000" w:rsidRDefault="00000000">
      <w:pPr>
        <w:numPr>
          <w:ilvl w:val="0"/>
          <w:numId w:val="15"/>
        </w:numPr>
        <w:tabs>
          <w:tab w:val="clear" w:pos="1080"/>
          <w:tab w:val="num" w:pos="600"/>
        </w:tabs>
        <w:ind w:left="0" w:firstLine="0"/>
        <w:jc w:val="both"/>
        <w:rPr>
          <w:lang w:val="en-GB"/>
        </w:rPr>
      </w:pPr>
      <w:r>
        <w:rPr>
          <w:lang w:val="en-GB"/>
        </w:rPr>
        <w:t>Please specify the legislative provisions enunciating the principle of equal rights and obligations and the prohibition of all forms of racial discrimination, as referred to in paragraph 68 of the State report.</w:t>
      </w:r>
    </w:p>
    <w:p w:rsidR="00000000" w:rsidRDefault="00000000">
      <w:pPr>
        <w:jc w:val="both"/>
        <w:rPr>
          <w:lang w:val="en-GB"/>
        </w:rPr>
      </w:pPr>
    </w:p>
    <w:p w:rsidR="00000000" w:rsidRDefault="00000000">
      <w:pPr>
        <w:numPr>
          <w:ilvl w:val="0"/>
          <w:numId w:val="15"/>
        </w:numPr>
        <w:tabs>
          <w:tab w:val="clear" w:pos="1080"/>
          <w:tab w:val="num" w:pos="600"/>
        </w:tabs>
        <w:ind w:left="0" w:firstLine="0"/>
        <w:jc w:val="both"/>
        <w:rPr>
          <w:lang w:val="en-GB"/>
        </w:rPr>
      </w:pPr>
      <w:r>
        <w:rPr>
          <w:lang w:val="en-GB"/>
        </w:rPr>
        <w:t>Please provide further detail as to the steps taken to strengthen the judiciary, as referred to in paragraph 70 of the State Party report?  What means are used to safeguard the independence of the judiciary?</w:t>
      </w:r>
    </w:p>
    <w:p w:rsidR="00000000" w:rsidRDefault="00000000">
      <w:pPr>
        <w:tabs>
          <w:tab w:val="num" w:pos="840"/>
        </w:tabs>
        <w:jc w:val="center"/>
        <w:rPr>
          <w:lang w:val="en-GB"/>
        </w:rPr>
      </w:pPr>
    </w:p>
    <w:p w:rsidR="00000000" w:rsidRDefault="00000000">
      <w:pPr>
        <w:tabs>
          <w:tab w:val="num" w:pos="840"/>
        </w:tabs>
        <w:jc w:val="center"/>
        <w:rPr>
          <w:lang w:val="en-GB"/>
        </w:rPr>
      </w:pPr>
    </w:p>
    <w:p w:rsidR="00000000" w:rsidRDefault="00000000">
      <w:pPr>
        <w:tabs>
          <w:tab w:val="num" w:pos="840"/>
        </w:tabs>
        <w:jc w:val="center"/>
        <w:rPr>
          <w:b/>
          <w:bCs/>
          <w:lang w:val="en-GB"/>
        </w:rPr>
      </w:pPr>
      <w:r>
        <w:rPr>
          <w:rFonts w:eastAsia="MS Mincho"/>
          <w:b/>
          <w:lang w:val="en-US" w:eastAsia="ja-JP"/>
        </w:rPr>
        <w:br w:type="page"/>
        <w:t>Article</w:t>
      </w:r>
      <w:r>
        <w:rPr>
          <w:lang w:val="en-GB"/>
        </w:rPr>
        <w:t xml:space="preserve"> </w:t>
      </w:r>
      <w:r>
        <w:rPr>
          <w:b/>
          <w:bCs/>
          <w:lang w:val="en-GB"/>
        </w:rPr>
        <w:t>2</w:t>
      </w:r>
    </w:p>
    <w:p w:rsidR="00000000" w:rsidRDefault="00000000">
      <w:pPr>
        <w:tabs>
          <w:tab w:val="num" w:pos="840"/>
        </w:tabs>
        <w:jc w:val="center"/>
        <w:rPr>
          <w:lang w:val="en-GB"/>
        </w:rPr>
      </w:pPr>
    </w:p>
    <w:p w:rsidR="00000000" w:rsidRDefault="00000000">
      <w:pPr>
        <w:numPr>
          <w:ilvl w:val="0"/>
          <w:numId w:val="15"/>
        </w:numPr>
        <w:tabs>
          <w:tab w:val="clear" w:pos="1080"/>
          <w:tab w:val="num" w:pos="600"/>
        </w:tabs>
        <w:ind w:left="0" w:firstLine="0"/>
        <w:jc w:val="both"/>
        <w:rPr>
          <w:rFonts w:eastAsia="MS Mincho"/>
          <w:b/>
          <w:lang w:val="en-US" w:eastAsia="ja-JP"/>
        </w:rPr>
      </w:pPr>
      <w:r>
        <w:rPr>
          <w:rFonts w:eastAsia="MS Mincho"/>
          <w:bCs/>
          <w:lang w:val="en-US" w:eastAsia="ja-JP"/>
        </w:rPr>
        <w:t xml:space="preserve">Please provide further information on plans for the establishment of an independent national human rights institution in accordance with the Paris Principles, as referred to by the State party delegation during the Universal Periodic Review at the tenth session of the Human Rights Council.  </w:t>
      </w:r>
    </w:p>
    <w:p w:rsidR="00000000" w:rsidRDefault="00000000">
      <w:pPr>
        <w:jc w:val="both"/>
        <w:rPr>
          <w:rFonts w:eastAsia="MS Mincho"/>
          <w:b/>
          <w:lang w:val="en-US" w:eastAsia="ja-JP"/>
        </w:rPr>
      </w:pPr>
    </w:p>
    <w:p w:rsidR="00000000" w:rsidRDefault="00000000">
      <w:pPr>
        <w:numPr>
          <w:ilvl w:val="0"/>
          <w:numId w:val="15"/>
        </w:numPr>
        <w:tabs>
          <w:tab w:val="clear" w:pos="1080"/>
          <w:tab w:val="num" w:pos="600"/>
        </w:tabs>
        <w:ind w:left="0" w:firstLine="0"/>
        <w:jc w:val="both"/>
        <w:rPr>
          <w:rFonts w:eastAsia="MS Mincho"/>
          <w:b/>
          <w:lang w:val="en-US" w:eastAsia="ja-JP"/>
        </w:rPr>
      </w:pPr>
      <w:r>
        <w:rPr>
          <w:rFonts w:eastAsia="MS Mincho"/>
          <w:bCs/>
          <w:lang w:val="en-US" w:eastAsia="ja-JP"/>
        </w:rPr>
        <w:t>What bodies exist to monitor possible discriminatory practices in access to health, education or leisure facilities?</w:t>
      </w:r>
    </w:p>
    <w:p w:rsidR="00000000" w:rsidRDefault="00000000">
      <w:pPr>
        <w:tabs>
          <w:tab w:val="num" w:pos="840"/>
        </w:tabs>
        <w:jc w:val="both"/>
        <w:rPr>
          <w:rFonts w:eastAsia="MS Mincho"/>
          <w:bCs/>
          <w:highlight w:val="yellow"/>
          <w:lang w:val="en-US" w:eastAsia="ja-JP"/>
        </w:rPr>
      </w:pPr>
    </w:p>
    <w:p w:rsidR="00000000" w:rsidRDefault="00000000">
      <w:pPr>
        <w:tabs>
          <w:tab w:val="num" w:pos="840"/>
        </w:tabs>
        <w:jc w:val="center"/>
        <w:rPr>
          <w:rFonts w:eastAsia="MS Mincho"/>
          <w:b/>
          <w:lang w:eastAsia="ja-JP"/>
        </w:rPr>
      </w:pPr>
      <w:r>
        <w:rPr>
          <w:rFonts w:eastAsia="MS Mincho"/>
          <w:b/>
          <w:lang w:val="en-US" w:eastAsia="ja-JP"/>
        </w:rPr>
        <w:t xml:space="preserve">Article </w:t>
      </w:r>
      <w:r>
        <w:rPr>
          <w:rFonts w:eastAsia="MS Mincho"/>
          <w:b/>
          <w:lang w:eastAsia="ja-JP"/>
        </w:rPr>
        <w:t>5</w:t>
      </w:r>
    </w:p>
    <w:p w:rsidR="00000000" w:rsidRDefault="00000000">
      <w:pPr>
        <w:tabs>
          <w:tab w:val="num" w:pos="840"/>
        </w:tabs>
        <w:jc w:val="center"/>
        <w:rPr>
          <w:rFonts w:eastAsia="MS Mincho"/>
          <w:b/>
          <w:lang w:eastAsia="ja-JP"/>
        </w:rPr>
      </w:pPr>
    </w:p>
    <w:p w:rsidR="00000000" w:rsidRDefault="00000000">
      <w:pPr>
        <w:numPr>
          <w:ilvl w:val="0"/>
          <w:numId w:val="15"/>
        </w:numPr>
        <w:tabs>
          <w:tab w:val="clear" w:pos="1080"/>
          <w:tab w:val="num" w:pos="600"/>
        </w:tabs>
        <w:ind w:left="0" w:firstLine="0"/>
        <w:jc w:val="both"/>
        <w:rPr>
          <w:lang w:val="en-US"/>
        </w:rPr>
      </w:pPr>
      <w:r>
        <w:rPr>
          <w:lang w:val="en-US"/>
        </w:rPr>
        <w:t xml:space="preserve">With reference to the Abu Dhabi GCC Conference on Contractual Labour in January 2008, please indicate which measures have been taken, besides those mentioned in paragraphs 113 to 134 of the State party report, to further improve the working and living conditions of migrant workers, especially in the construction sector? </w:t>
      </w:r>
    </w:p>
    <w:p w:rsidR="00000000" w:rsidRDefault="00000000">
      <w:pPr>
        <w:jc w:val="both"/>
        <w:rPr>
          <w:lang w:val="en-US"/>
        </w:rPr>
      </w:pPr>
    </w:p>
    <w:p w:rsidR="00000000" w:rsidRDefault="00000000">
      <w:pPr>
        <w:numPr>
          <w:ilvl w:val="0"/>
          <w:numId w:val="15"/>
        </w:numPr>
        <w:tabs>
          <w:tab w:val="clear" w:pos="1080"/>
          <w:tab w:val="num" w:pos="600"/>
        </w:tabs>
        <w:ind w:left="0" w:firstLine="0"/>
        <w:jc w:val="both"/>
        <w:rPr>
          <w:lang w:val="en-US"/>
        </w:rPr>
      </w:pPr>
      <w:r>
        <w:rPr>
          <w:lang w:val="en-US"/>
        </w:rPr>
        <w:t>In this context, also please indicate if labour cities like the workers’ housing complex project with projected accommodation for 32,000 workers in Abu Dhabi, referred to in paragraph 140 of the State report, have been completed.  If so, how many such projects have been completed?</w:t>
      </w:r>
    </w:p>
    <w:p w:rsidR="00000000" w:rsidRDefault="00000000">
      <w:pPr>
        <w:jc w:val="both"/>
        <w:rPr>
          <w:lang w:val="en-US"/>
        </w:rPr>
      </w:pPr>
    </w:p>
    <w:p w:rsidR="00000000" w:rsidRDefault="00000000">
      <w:pPr>
        <w:numPr>
          <w:ilvl w:val="0"/>
          <w:numId w:val="15"/>
        </w:numPr>
        <w:tabs>
          <w:tab w:val="clear" w:pos="1080"/>
          <w:tab w:val="num" w:pos="600"/>
        </w:tabs>
        <w:ind w:left="0" w:firstLine="0"/>
        <w:jc w:val="both"/>
        <w:rPr>
          <w:lang w:val="en-US"/>
        </w:rPr>
      </w:pPr>
      <w:r>
        <w:rPr>
          <w:lang w:val="en-US"/>
        </w:rPr>
        <w:t xml:space="preserve">What measures have been taken to verify that contractual arrangements, in particular those made through foreign recruitment agencies, follow basic principles of fairness and equity?  What measures have been taken to ensure that fees charged by these agencies do not leave employees in debt for prolonged periods? </w:t>
      </w:r>
    </w:p>
    <w:p w:rsidR="00000000" w:rsidRDefault="00000000">
      <w:pPr>
        <w:jc w:val="both"/>
        <w:rPr>
          <w:lang w:val="en-US"/>
        </w:rPr>
      </w:pPr>
    </w:p>
    <w:p w:rsidR="00000000" w:rsidRDefault="00000000">
      <w:pPr>
        <w:numPr>
          <w:ilvl w:val="0"/>
          <w:numId w:val="15"/>
        </w:numPr>
        <w:tabs>
          <w:tab w:val="clear" w:pos="1080"/>
          <w:tab w:val="num" w:pos="600"/>
        </w:tabs>
        <w:ind w:left="0" w:firstLine="0"/>
        <w:jc w:val="both"/>
        <w:rPr>
          <w:lang w:val="en-US"/>
        </w:rPr>
      </w:pPr>
      <w:r>
        <w:rPr>
          <w:lang w:val="en-US"/>
        </w:rPr>
        <w:t>Has the State party taken any measures against the practice by which migrant workers’ passports are retained by employers?</w:t>
      </w:r>
    </w:p>
    <w:p w:rsidR="00000000" w:rsidRDefault="00000000">
      <w:pPr>
        <w:jc w:val="both"/>
        <w:rPr>
          <w:lang w:val="en-US"/>
        </w:rPr>
      </w:pPr>
    </w:p>
    <w:p w:rsidR="00000000" w:rsidRDefault="00000000">
      <w:pPr>
        <w:numPr>
          <w:ilvl w:val="0"/>
          <w:numId w:val="15"/>
        </w:numPr>
        <w:tabs>
          <w:tab w:val="clear" w:pos="1080"/>
          <w:tab w:val="num" w:pos="600"/>
        </w:tabs>
        <w:ind w:left="0" w:firstLine="0"/>
        <w:jc w:val="both"/>
        <w:rPr>
          <w:lang w:val="en-US"/>
        </w:rPr>
      </w:pPr>
      <w:r>
        <w:rPr>
          <w:lang w:val="en-US"/>
        </w:rPr>
        <w:t xml:space="preserve">According to paragraph 132 of the State report, the State party has elaborated a standard employment contract for domestic workers. Does this contract include the right to a weekly day of rest and provisions on specified working hours and paid vacations? In this context, please also provide further information on the new law to protect domestic workers, referred to by the State party delegation during the Universal Periodic Review </w:t>
      </w:r>
      <w:r>
        <w:rPr>
          <w:rFonts w:eastAsia="MS Mincho"/>
          <w:bCs/>
          <w:lang w:val="en-US" w:eastAsia="ja-JP"/>
        </w:rPr>
        <w:t xml:space="preserve">at the tenth session of the Human Rights Council, </w:t>
      </w:r>
      <w:r>
        <w:rPr>
          <w:lang w:val="en-US"/>
        </w:rPr>
        <w:t>and on a timeframe for its coming into force.</w:t>
      </w:r>
    </w:p>
    <w:p w:rsidR="00000000" w:rsidRDefault="00000000">
      <w:pPr>
        <w:jc w:val="both"/>
        <w:rPr>
          <w:lang w:val="en-US"/>
        </w:rPr>
      </w:pPr>
    </w:p>
    <w:p w:rsidR="00000000" w:rsidRDefault="00000000">
      <w:pPr>
        <w:numPr>
          <w:ilvl w:val="0"/>
          <w:numId w:val="15"/>
        </w:numPr>
        <w:tabs>
          <w:tab w:val="clear" w:pos="1080"/>
          <w:tab w:val="num" w:pos="600"/>
        </w:tabs>
        <w:ind w:left="0" w:firstLine="0"/>
        <w:jc w:val="both"/>
        <w:rPr>
          <w:lang w:val="en-US"/>
        </w:rPr>
      </w:pPr>
      <w:r>
        <w:rPr>
          <w:lang w:val="en-US"/>
        </w:rPr>
        <w:t xml:space="preserve">Please provide further information on a timeframe for the procedures to grant nationality to stateless residents (“Bidun”), referred to in paragraph 98 of the State report. </w:t>
      </w:r>
    </w:p>
    <w:p w:rsidR="00000000" w:rsidRDefault="00000000">
      <w:pPr>
        <w:jc w:val="both"/>
        <w:rPr>
          <w:lang w:val="en-US"/>
        </w:rPr>
      </w:pPr>
    </w:p>
    <w:p w:rsidR="00000000" w:rsidRDefault="00000000">
      <w:pPr>
        <w:numPr>
          <w:ilvl w:val="0"/>
          <w:numId w:val="15"/>
        </w:numPr>
        <w:tabs>
          <w:tab w:val="clear" w:pos="1080"/>
          <w:tab w:val="num" w:pos="600"/>
        </w:tabs>
        <w:ind w:left="0" w:firstLine="0"/>
        <w:jc w:val="both"/>
        <w:rPr>
          <w:lang w:val="en-US"/>
        </w:rPr>
      </w:pPr>
      <w:r>
        <w:rPr>
          <w:lang w:val="en-US"/>
        </w:rPr>
        <w:t>Please also indicate whether the State party has taken any measures to improve the situation of discrimination against the remaining “Bidun” on the labor market.</w:t>
      </w:r>
    </w:p>
    <w:p w:rsidR="00000000" w:rsidRDefault="00000000">
      <w:pPr>
        <w:jc w:val="both"/>
        <w:rPr>
          <w:lang w:val="en-US"/>
        </w:rPr>
      </w:pPr>
    </w:p>
    <w:p w:rsidR="00000000" w:rsidRDefault="00000000">
      <w:pPr>
        <w:numPr>
          <w:ilvl w:val="0"/>
          <w:numId w:val="15"/>
        </w:numPr>
        <w:tabs>
          <w:tab w:val="clear" w:pos="1080"/>
          <w:tab w:val="num" w:pos="600"/>
        </w:tabs>
        <w:ind w:left="0" w:firstLine="0"/>
        <w:jc w:val="both"/>
        <w:rPr>
          <w:lang w:val="en-US"/>
        </w:rPr>
      </w:pPr>
      <w:r>
        <w:rPr>
          <w:lang w:val="en-US"/>
        </w:rPr>
        <w:t>Please indicate whether the State party considers amending the nationality law to enable a female citizen married to a foreign man to pass on her nationality to their children. In this regard, please further elaborate on the information provided in paragraph 97 of the State report.</w:t>
      </w:r>
    </w:p>
    <w:p w:rsidR="00000000" w:rsidRDefault="00000000">
      <w:pPr>
        <w:numPr>
          <w:ilvl w:val="0"/>
          <w:numId w:val="15"/>
        </w:numPr>
        <w:tabs>
          <w:tab w:val="clear" w:pos="1080"/>
          <w:tab w:val="num" w:pos="600"/>
        </w:tabs>
        <w:ind w:left="0" w:firstLine="0"/>
        <w:jc w:val="both"/>
        <w:rPr>
          <w:lang w:val="en-US"/>
        </w:rPr>
      </w:pPr>
      <w:r>
        <w:rPr>
          <w:lang w:val="en-US"/>
        </w:rPr>
        <w:t>Has the State party taken any measures, as recommended by the Committee of the Rights of the Child, to ensure that all children within its jurisdiction, including non-national children, enjoy equal economic and social rights, particularly to health and education?</w:t>
      </w:r>
    </w:p>
    <w:p w:rsidR="00000000" w:rsidRDefault="00000000">
      <w:pPr>
        <w:jc w:val="both"/>
        <w:rPr>
          <w:lang w:val="en-US"/>
        </w:rPr>
      </w:pPr>
    </w:p>
    <w:p w:rsidR="00000000" w:rsidRDefault="00000000">
      <w:pPr>
        <w:numPr>
          <w:ilvl w:val="0"/>
          <w:numId w:val="15"/>
        </w:numPr>
        <w:tabs>
          <w:tab w:val="clear" w:pos="1080"/>
          <w:tab w:val="num" w:pos="600"/>
        </w:tabs>
        <w:ind w:left="0" w:firstLine="0"/>
        <w:jc w:val="both"/>
        <w:rPr>
          <w:lang w:val="en-US"/>
        </w:rPr>
      </w:pPr>
      <w:r>
        <w:rPr>
          <w:rFonts w:eastAsia="MS Mincho"/>
          <w:bCs/>
          <w:lang w:val="en-US" w:eastAsia="ja-JP"/>
        </w:rPr>
        <w:t xml:space="preserve">Do any distinctions, preferences or prejudices exist within the UAE citizenship, for example on the grounds of ethnic background or colour of skin?  If so, please indicate whether the State party has taken any measures to address such distinctions, preferences or prejudices. </w:t>
      </w:r>
    </w:p>
    <w:p w:rsidR="00000000" w:rsidRDefault="00000000">
      <w:pPr>
        <w:tabs>
          <w:tab w:val="num" w:pos="840"/>
        </w:tabs>
        <w:jc w:val="center"/>
        <w:rPr>
          <w:rFonts w:eastAsia="MS Mincho"/>
          <w:b/>
          <w:lang w:val="en-US" w:eastAsia="ja-JP"/>
        </w:rPr>
      </w:pPr>
    </w:p>
    <w:p w:rsidR="00000000" w:rsidRDefault="00000000">
      <w:pPr>
        <w:tabs>
          <w:tab w:val="num" w:pos="840"/>
        </w:tabs>
        <w:jc w:val="center"/>
        <w:rPr>
          <w:rFonts w:eastAsia="MS Mincho"/>
          <w:b/>
          <w:lang w:val="en-US" w:eastAsia="ja-JP"/>
        </w:rPr>
      </w:pPr>
      <w:r>
        <w:rPr>
          <w:rFonts w:eastAsia="MS Mincho"/>
          <w:b/>
          <w:lang w:val="en-US" w:eastAsia="ja-JP"/>
        </w:rPr>
        <w:t>Article 6</w:t>
      </w:r>
    </w:p>
    <w:p w:rsidR="00000000" w:rsidRDefault="00000000">
      <w:pPr>
        <w:tabs>
          <w:tab w:val="num" w:pos="840"/>
        </w:tabs>
        <w:jc w:val="center"/>
        <w:rPr>
          <w:rFonts w:eastAsia="MS Mincho"/>
          <w:b/>
          <w:lang w:val="en-US" w:eastAsia="ja-JP"/>
        </w:rPr>
      </w:pPr>
    </w:p>
    <w:p w:rsidR="00000000" w:rsidRDefault="00000000">
      <w:pPr>
        <w:numPr>
          <w:ilvl w:val="0"/>
          <w:numId w:val="15"/>
        </w:numPr>
        <w:tabs>
          <w:tab w:val="clear" w:pos="1080"/>
          <w:tab w:val="num" w:pos="600"/>
        </w:tabs>
        <w:ind w:left="0" w:firstLine="0"/>
        <w:jc w:val="both"/>
        <w:rPr>
          <w:lang w:val="en-GB"/>
        </w:rPr>
      </w:pPr>
      <w:r>
        <w:rPr>
          <w:lang w:val="en-GB"/>
        </w:rPr>
        <w:t>Please specify what status the Convention enjoys in the domestic legal order and if it can be invoked directly before national Courts. If so, please provide examples of cases, if any, in which the Convention was directly applied by domestic Courts.</w:t>
      </w:r>
    </w:p>
    <w:p w:rsidR="00000000" w:rsidRDefault="00000000">
      <w:pPr>
        <w:jc w:val="both"/>
        <w:rPr>
          <w:lang w:val="en-US"/>
        </w:rPr>
      </w:pPr>
    </w:p>
    <w:p w:rsidR="00000000" w:rsidRDefault="00000000">
      <w:pPr>
        <w:numPr>
          <w:ilvl w:val="0"/>
          <w:numId w:val="15"/>
        </w:numPr>
        <w:tabs>
          <w:tab w:val="clear" w:pos="1080"/>
          <w:tab w:val="num" w:pos="600"/>
        </w:tabs>
        <w:ind w:left="0" w:firstLine="0"/>
        <w:jc w:val="both"/>
        <w:rPr>
          <w:lang w:val="en-US"/>
        </w:rPr>
      </w:pPr>
      <w:r>
        <w:rPr>
          <w:lang w:val="en-US"/>
        </w:rPr>
        <w:t xml:space="preserve">What provisions exist to ensure that foreigners can benefit from legal assistance, translation and interpretation in court proceedings and police custody where necessary?  </w:t>
      </w:r>
    </w:p>
    <w:p w:rsidR="00000000" w:rsidRDefault="00000000">
      <w:pPr>
        <w:jc w:val="both"/>
        <w:rPr>
          <w:lang w:val="en-US"/>
        </w:rPr>
      </w:pPr>
    </w:p>
    <w:p w:rsidR="00000000" w:rsidRDefault="00000000">
      <w:pPr>
        <w:numPr>
          <w:ilvl w:val="0"/>
          <w:numId w:val="15"/>
        </w:numPr>
        <w:tabs>
          <w:tab w:val="clear" w:pos="1080"/>
          <w:tab w:val="num" w:pos="600"/>
        </w:tabs>
        <w:ind w:left="0" w:firstLine="0"/>
        <w:jc w:val="both"/>
        <w:rPr>
          <w:lang w:val="en-US"/>
        </w:rPr>
      </w:pPr>
      <w:r>
        <w:rPr>
          <w:lang w:val="en-US"/>
        </w:rPr>
        <w:t>Please indicate whether the State party considers establishing a body such as a Mediator or Ombudsman, helping migrant workers to defend their rights.</w:t>
      </w:r>
    </w:p>
    <w:p w:rsidR="00000000" w:rsidRDefault="00000000">
      <w:pPr>
        <w:jc w:val="both"/>
        <w:rPr>
          <w:lang w:val="en-US"/>
        </w:rPr>
      </w:pPr>
    </w:p>
    <w:p w:rsidR="00000000" w:rsidRDefault="00000000">
      <w:pPr>
        <w:numPr>
          <w:ilvl w:val="0"/>
          <w:numId w:val="15"/>
        </w:numPr>
        <w:tabs>
          <w:tab w:val="clear" w:pos="1080"/>
          <w:tab w:val="num" w:pos="600"/>
        </w:tabs>
        <w:ind w:left="0" w:firstLine="0"/>
        <w:jc w:val="both"/>
        <w:rPr>
          <w:lang w:val="en-US"/>
        </w:rPr>
      </w:pPr>
      <w:r>
        <w:rPr>
          <w:rFonts w:eastAsia="MS Mincho"/>
          <w:bCs/>
          <w:lang w:val="en-US" w:eastAsia="ja-JP"/>
        </w:rPr>
        <w:t xml:space="preserve">Please provide further information on the establishment of women’s and children’s refuges and a humanitarian mission of protection of women and children, who are victims of human trafficking and sexual exploitation, as referred to in paragraph 62 of the State report. Regarding the Federal Act No. 51 of 2006 on combating human trafficking, please provide information on a timeframe for the establishment of the National Committee on Human Trafficking, as referred to in paragraph 57 of the State report. </w:t>
      </w:r>
    </w:p>
    <w:p w:rsidR="00000000" w:rsidRDefault="00000000">
      <w:pPr>
        <w:tabs>
          <w:tab w:val="num" w:pos="600"/>
        </w:tabs>
        <w:jc w:val="center"/>
        <w:rPr>
          <w:rFonts w:eastAsia="MS Mincho"/>
          <w:b/>
          <w:lang w:val="en-US" w:eastAsia="ja-JP"/>
        </w:rPr>
      </w:pPr>
    </w:p>
    <w:p w:rsidR="00000000" w:rsidRDefault="00000000">
      <w:pPr>
        <w:tabs>
          <w:tab w:val="num" w:pos="600"/>
        </w:tabs>
        <w:jc w:val="center"/>
        <w:rPr>
          <w:rFonts w:eastAsia="MS Mincho"/>
          <w:b/>
          <w:lang w:val="en-US" w:eastAsia="ja-JP"/>
        </w:rPr>
      </w:pPr>
      <w:r>
        <w:rPr>
          <w:rFonts w:eastAsia="MS Mincho"/>
          <w:b/>
          <w:lang w:val="en-US" w:eastAsia="ja-JP"/>
        </w:rPr>
        <w:t>Article 7</w:t>
      </w:r>
    </w:p>
    <w:p w:rsidR="00000000" w:rsidRDefault="00000000">
      <w:pPr>
        <w:jc w:val="both"/>
        <w:rPr>
          <w:lang w:val="en-US"/>
        </w:rPr>
      </w:pPr>
    </w:p>
    <w:p w:rsidR="00000000" w:rsidRDefault="00000000">
      <w:pPr>
        <w:numPr>
          <w:ilvl w:val="0"/>
          <w:numId w:val="15"/>
        </w:numPr>
        <w:tabs>
          <w:tab w:val="clear" w:pos="1080"/>
          <w:tab w:val="num" w:pos="600"/>
        </w:tabs>
        <w:ind w:left="0" w:firstLine="0"/>
        <w:jc w:val="both"/>
        <w:rPr>
          <w:lang w:val="en-US"/>
        </w:rPr>
      </w:pPr>
      <w:r>
        <w:rPr>
          <w:rFonts w:eastAsia="MS Mincho"/>
          <w:bCs/>
          <w:lang w:val="en-US" w:eastAsia="ja-JP"/>
        </w:rPr>
        <w:t xml:space="preserve">The Committee is aware that training courses on human rights for the benefit of police officers and prosecutors in the State party have been held in cooperation with the Office of the High Commissioner for Human Rights.  Please indicate whether the State party has developed or is contemplating any programmes to build on this initiative and continue training measures. </w:t>
      </w:r>
    </w:p>
    <w:p w:rsidR="00000000" w:rsidRDefault="00000000">
      <w:pPr>
        <w:jc w:val="both"/>
        <w:rPr>
          <w:lang w:val="en-US"/>
        </w:rPr>
      </w:pPr>
    </w:p>
    <w:p w:rsidR="00000000" w:rsidRDefault="00000000">
      <w:pPr>
        <w:numPr>
          <w:ilvl w:val="0"/>
          <w:numId w:val="15"/>
        </w:numPr>
        <w:tabs>
          <w:tab w:val="clear" w:pos="1080"/>
          <w:tab w:val="num" w:pos="600"/>
        </w:tabs>
        <w:ind w:left="0" w:firstLine="0"/>
        <w:jc w:val="both"/>
        <w:rPr>
          <w:lang w:val="en-US"/>
        </w:rPr>
      </w:pPr>
      <w:r>
        <w:rPr>
          <w:rFonts w:eastAsia="MS Mincho"/>
          <w:bCs/>
          <w:lang w:val="en-US" w:eastAsia="ja-JP"/>
        </w:rPr>
        <w:t>Please describe what projects have been developed to accomplish the strategic objectives in the area of education set out in the final paragraph of the State party report (paragraph 161), and explain how they contribute to combating prejudices and to promoting understanding, tolerance and friendship among nations as well as racial and ethnic groups in the State party.</w:t>
      </w:r>
    </w:p>
    <w:p w:rsidR="00000000" w:rsidRDefault="00000000">
      <w:pPr>
        <w:tabs>
          <w:tab w:val="num" w:pos="600"/>
        </w:tabs>
        <w:jc w:val="both"/>
        <w:rPr>
          <w:lang w:val="en-US"/>
        </w:rPr>
      </w:pPr>
    </w:p>
    <w:p w:rsidR="00000000" w:rsidRDefault="00000000">
      <w:pPr>
        <w:tabs>
          <w:tab w:val="num" w:pos="600"/>
        </w:tabs>
        <w:jc w:val="center"/>
        <w:rPr>
          <w:rFonts w:eastAsia="MS Mincho"/>
          <w:b/>
          <w:lang w:val="en-US" w:eastAsia="ja-JP"/>
        </w:rPr>
      </w:pPr>
      <w:r>
        <w:rPr>
          <w:rFonts w:eastAsia="MS Mincho"/>
          <w:b/>
          <w:lang w:val="en-US" w:eastAsia="ja-JP"/>
        </w:rPr>
        <w:t>Additional information</w:t>
      </w:r>
    </w:p>
    <w:p w:rsidR="00000000" w:rsidRDefault="00000000">
      <w:pPr>
        <w:jc w:val="both"/>
        <w:rPr>
          <w:lang w:val="en-GB"/>
        </w:rPr>
      </w:pPr>
    </w:p>
    <w:p w:rsidR="00000000" w:rsidRDefault="00000000">
      <w:pPr>
        <w:numPr>
          <w:ilvl w:val="0"/>
          <w:numId w:val="15"/>
        </w:numPr>
        <w:tabs>
          <w:tab w:val="clear" w:pos="1080"/>
          <w:tab w:val="num" w:pos="600"/>
        </w:tabs>
        <w:ind w:left="0" w:firstLine="0"/>
        <w:jc w:val="both"/>
        <w:rPr>
          <w:lang w:val="en-GB"/>
        </w:rPr>
      </w:pPr>
      <w:r>
        <w:rPr>
          <w:lang w:val="en-GB"/>
        </w:rPr>
        <w:t>Does the State party consider making the declaration provided for in Article 14 of the Convention?</w:t>
      </w:r>
    </w:p>
    <w:p w:rsidR="00000000" w:rsidRDefault="00000000">
      <w:pPr>
        <w:spacing w:after="120"/>
        <w:jc w:val="center"/>
        <w:rPr>
          <w:lang w:val="en-GB" w:eastAsia="ja-JP"/>
        </w:rPr>
      </w:pPr>
    </w:p>
    <w:p w:rsidR="00000000" w:rsidRDefault="00000000">
      <w:pPr>
        <w:spacing w:after="120"/>
        <w:jc w:val="center"/>
        <w:rPr>
          <w:lang w:val="en-GB" w:eastAsia="ja-JP"/>
        </w:rPr>
      </w:pPr>
      <w:r>
        <w:rPr>
          <w:lang w:val="en-GB" w:eastAsia="ja-JP"/>
        </w:rPr>
        <w:t>- - - - -</w:t>
      </w:r>
    </w:p>
    <w:sectPr w:rsidR="00000000">
      <w:headerReference w:type="even" r:id="rId8"/>
      <w:headerReference w:type="default" r:id="rId9"/>
      <w:footerReference w:type="first" r:id="rId10"/>
      <w:pgSz w:w="11907" w:h="16840" w:code="9"/>
      <w:pgMar w:top="1134" w:right="851" w:bottom="1985" w:left="1701" w:header="851" w:footer="14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rPr>
        <w:lang w:val="fr-CH"/>
      </w:rPr>
    </w:pPr>
    <w:r>
      <w:rPr>
        <w:lang w:val="fr-CH"/>
      </w:rPr>
      <w:t>GE.09-44146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pPr>
      <w:r>
        <w:rPr>
          <w:rStyle w:val="FootnoteReference"/>
        </w:rPr>
        <w:t>*</w:t>
      </w:r>
      <w:r>
        <w:t xml:space="preserve"> </w:t>
      </w:r>
      <w:r>
        <w:rPr>
          <w:sz w:val="22"/>
          <w:szCs w:val="22"/>
        </w:rPr>
        <w:t>Re-issued for technical reasons.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ind w:right="360"/>
      <w:rPr>
        <w:lang w:val="en-GB"/>
      </w:rPr>
    </w:pPr>
    <w:r>
      <w:rPr>
        <w:lang w:val="en-GB"/>
      </w:rPr>
      <w:t>CERD/C/ARE/Q/12-17*</w:t>
    </w:r>
  </w:p>
  <w:p w:rsidR="00000000" w:rsidRDefault="00000000">
    <w:pPr>
      <w:pStyle w:val="Header"/>
      <w:ind w:right="360"/>
      <w:rPr>
        <w:rStyle w:val="PageNumber"/>
      </w:rPr>
    </w:pPr>
    <w:r>
      <w:rPr>
        <w:lang w:val="en-GB"/>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p w:rsidR="00000000" w:rsidRDefault="00000000">
    <w:pPr>
      <w:pStyle w:val="Header"/>
      <w:ind w:right="360"/>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ind w:right="360"/>
      <w:jc w:val="right"/>
      <w:rPr>
        <w:lang w:val="en-GB"/>
      </w:rPr>
    </w:pPr>
    <w:r>
      <w:rPr>
        <w:lang w:val="en-GB"/>
      </w:rPr>
      <w:t>CERD/C/ARE/Q/12-17</w:t>
    </w:r>
  </w:p>
  <w:p w:rsidR="00000000" w:rsidRDefault="00000000">
    <w:pPr>
      <w:pStyle w:val="Header"/>
      <w:ind w:right="360"/>
      <w:jc w:val="right"/>
      <w:rPr>
        <w:rStyle w:val="PageNumber"/>
      </w:rPr>
    </w:pPr>
    <w:r>
      <w:rPr>
        <w:lang w:val="en-GB"/>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rsidR="00000000" w:rsidRDefault="00000000">
    <w:pPr>
      <w:pStyle w:val="Header"/>
      <w:ind w:right="360"/>
      <w:jc w:val="right"/>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45E3"/>
    <w:multiLevelType w:val="hybridMultilevel"/>
    <w:tmpl w:val="98EAD05C"/>
    <w:lvl w:ilvl="0" w:tplc="EDAA3510">
      <w:start w:val="1"/>
      <w:numFmt w:val="decimal"/>
      <w:lvlText w:val="%1."/>
      <w:lvlJc w:val="left"/>
      <w:pPr>
        <w:tabs>
          <w:tab w:val="num" w:pos="1080"/>
        </w:tabs>
        <w:ind w:left="1080" w:hanging="360"/>
      </w:pPr>
      <w:rPr>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E5270E8"/>
    <w:multiLevelType w:val="hybridMultilevel"/>
    <w:tmpl w:val="3692EB30"/>
    <w:lvl w:ilvl="0" w:tplc="FFFFFFF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22E5529C"/>
    <w:multiLevelType w:val="multilevel"/>
    <w:tmpl w:val="F7007C0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66B004C"/>
    <w:multiLevelType w:val="hybridMultilevel"/>
    <w:tmpl w:val="E8965A72"/>
    <w:lvl w:ilvl="0" w:tplc="EDAA3510">
      <w:start w:val="1"/>
      <w:numFmt w:val="decimal"/>
      <w:lvlText w:val="%1."/>
      <w:lvlJc w:val="left"/>
      <w:pPr>
        <w:tabs>
          <w:tab w:val="num" w:pos="1080"/>
        </w:tabs>
        <w:ind w:left="1080" w:hanging="360"/>
      </w:pPr>
      <w:rPr>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467143C"/>
    <w:multiLevelType w:val="hybridMultilevel"/>
    <w:tmpl w:val="F7007C0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0E13E94"/>
    <w:multiLevelType w:val="hybridMultilevel"/>
    <w:tmpl w:val="D5943D72"/>
    <w:lvl w:ilvl="0" w:tplc="EDAA3510">
      <w:start w:val="1"/>
      <w:numFmt w:val="decimal"/>
      <w:lvlText w:val="%1."/>
      <w:lvlJc w:val="left"/>
      <w:pPr>
        <w:tabs>
          <w:tab w:val="num" w:pos="1080"/>
        </w:tabs>
        <w:ind w:left="1080" w:hanging="360"/>
      </w:pPr>
      <w:rPr>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197653C"/>
    <w:multiLevelType w:val="hybridMultilevel"/>
    <w:tmpl w:val="DE8E860C"/>
    <w:lvl w:ilvl="0" w:tplc="FFFFFFFF">
      <w:start w:val="1"/>
      <w:numFmt w:val="decimal"/>
      <w:lvlText w:val="%1."/>
      <w:lvlJc w:val="left"/>
      <w:pPr>
        <w:tabs>
          <w:tab w:val="num" w:pos="720"/>
        </w:tabs>
        <w:ind w:left="720" w:hanging="360"/>
      </w:pPr>
    </w:lvl>
    <w:lvl w:ilvl="1" w:tplc="FFFFFFFF">
      <w:numFmt w:val="bullet"/>
      <w:lvlText w:val="-"/>
      <w:lvlJc w:val="left"/>
      <w:pPr>
        <w:tabs>
          <w:tab w:val="num" w:pos="1440"/>
        </w:tabs>
        <w:ind w:left="1440" w:hanging="360"/>
      </w:pPr>
      <w:rPr>
        <w:rFonts w:ascii="Times New Roman" w:eastAsia="SimSun" w:hAnsi="Times New Roman" w:cs="Times New Roman" w:hint="default"/>
      </w:rPr>
    </w:lvl>
    <w:lvl w:ilvl="2" w:tplc="FFFFFFFF">
      <w:start w:val="1"/>
      <w:numFmt w:val="bullet"/>
      <w:lvlText w:val=""/>
      <w:lvlJc w:val="left"/>
      <w:pPr>
        <w:tabs>
          <w:tab w:val="num" w:pos="1440"/>
        </w:tabs>
        <w:ind w:left="1440" w:hanging="360"/>
      </w:pPr>
      <w:rPr>
        <w:rFonts w:ascii="Symbol" w:hAnsi="Symbol" w:hint="default"/>
      </w:rPr>
    </w:lvl>
    <w:lvl w:ilvl="3" w:tplc="FFFFFFFF">
      <w:start w:val="1"/>
      <w:numFmt w:val="bullet"/>
      <w:lvlText w:val=""/>
      <w:lvlJc w:val="left"/>
      <w:pPr>
        <w:tabs>
          <w:tab w:val="num" w:pos="1440"/>
        </w:tabs>
        <w:ind w:left="144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573B4B4E"/>
    <w:multiLevelType w:val="multilevel"/>
    <w:tmpl w:val="B316C6F2"/>
    <w:lvl w:ilvl="0">
      <w:start w:val="1"/>
      <w:numFmt w:val="decimal"/>
      <w:lvlText w:val="%1."/>
      <w:lvlJc w:val="left"/>
      <w:pPr>
        <w:tabs>
          <w:tab w:val="num" w:pos="1080"/>
        </w:tabs>
        <w:ind w:left="1080" w:hanging="360"/>
      </w:pPr>
      <w:rPr>
        <w:b w:val="0"/>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615B3C1C"/>
    <w:multiLevelType w:val="hybridMultilevel"/>
    <w:tmpl w:val="B51C8FAA"/>
    <w:lvl w:ilvl="0" w:tplc="EDAA3510">
      <w:start w:val="1"/>
      <w:numFmt w:val="decimal"/>
      <w:lvlText w:val="%1."/>
      <w:lvlJc w:val="left"/>
      <w:pPr>
        <w:tabs>
          <w:tab w:val="num" w:pos="1080"/>
        </w:tabs>
        <w:ind w:left="1080" w:hanging="360"/>
      </w:pPr>
      <w:rPr>
        <w:b w:val="0"/>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1B81A86"/>
    <w:multiLevelType w:val="hybridMultilevel"/>
    <w:tmpl w:val="5D725AB2"/>
    <w:lvl w:ilvl="0" w:tplc="FFFFFFFF">
      <w:start w:val="1"/>
      <w:numFmt w:val="lowerLetter"/>
      <w:lvlText w:val="%1)"/>
      <w:lvlJc w:val="left"/>
      <w:pPr>
        <w:tabs>
          <w:tab w:val="num" w:pos="720"/>
        </w:tabs>
        <w:ind w:left="720" w:hanging="360"/>
      </w:pPr>
      <w:rPr>
        <w:rFonts w:hint="default"/>
      </w:rPr>
    </w:lvl>
    <w:lvl w:ilvl="1" w:tplc="FFFFFFFF">
      <w:start w:val="5"/>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bullet"/>
      <w:lvlText w:val="o"/>
      <w:lvlJc w:val="left"/>
      <w:pPr>
        <w:tabs>
          <w:tab w:val="num" w:pos="2340"/>
        </w:tabs>
        <w:ind w:left="2340" w:hanging="360"/>
      </w:pPr>
      <w:rPr>
        <w:rFonts w:ascii="Courier New" w:hAnsi="Courier New" w:cs="Arial" w:hint="default"/>
      </w:rPr>
    </w:lvl>
    <w:lvl w:ilvl="3" w:tplc="FFFFFFFF">
      <w:start w:val="1"/>
      <w:numFmt w:val="bullet"/>
      <w:lvlText w:val=""/>
      <w:lvlJc w:val="left"/>
      <w:pPr>
        <w:tabs>
          <w:tab w:val="num" w:pos="2880"/>
        </w:tabs>
        <w:ind w:left="2880" w:hanging="360"/>
      </w:pPr>
      <w:rPr>
        <w:rFonts w:ascii="Wingdings" w:hAnsi="Wingding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65582CA9"/>
    <w:multiLevelType w:val="hybridMultilevel"/>
    <w:tmpl w:val="0DD8563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76C56D2"/>
    <w:multiLevelType w:val="multilevel"/>
    <w:tmpl w:val="F7007C0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69F94E19"/>
    <w:multiLevelType w:val="hybridMultilevel"/>
    <w:tmpl w:val="A1E0A3E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B4F7F89"/>
    <w:multiLevelType w:val="multilevel"/>
    <w:tmpl w:val="D7347498"/>
    <w:lvl w:ilvl="0">
      <w:start w:val="1"/>
      <w:numFmt w:val="none"/>
      <w:pStyle w:val="Heading1"/>
      <w:lvlText w:val=""/>
      <w:lvlJc w:val="left"/>
      <w:pPr>
        <w:tabs>
          <w:tab w:val="num" w:pos="-1080"/>
        </w:tabs>
        <w:ind w:left="-1440" w:firstLine="0"/>
      </w:pPr>
    </w:lvl>
    <w:lvl w:ilvl="1">
      <w:start w:val="1"/>
      <w:numFmt w:val="none"/>
      <w:lvlRestart w:val="0"/>
      <w:pStyle w:val="Heading2"/>
      <w:suff w:val="space"/>
      <w:lvlText w:val=""/>
      <w:lvlJc w:val="left"/>
      <w:pPr>
        <w:ind w:left="-720" w:firstLine="0"/>
      </w:pPr>
    </w:lvl>
    <w:lvl w:ilvl="2">
      <w:start w:val="1"/>
      <w:numFmt w:val="decimal"/>
      <w:lvlText w:val="%3."/>
      <w:lvlJc w:val="left"/>
      <w:pPr>
        <w:tabs>
          <w:tab w:val="num" w:pos="360"/>
        </w:tabs>
        <w:ind w:left="0" w:firstLine="0"/>
      </w:pPr>
    </w:lvl>
    <w:lvl w:ilvl="3">
      <w:start w:val="1"/>
      <w:numFmt w:val="lowerLetter"/>
      <w:lvlRestart w:val="1"/>
      <w:pStyle w:val="Heading4"/>
      <w:lvlText w:val="(%4)"/>
      <w:lvlJc w:val="left"/>
      <w:pPr>
        <w:tabs>
          <w:tab w:val="num" w:pos="1080"/>
        </w:tabs>
        <w:ind w:left="720" w:firstLine="0"/>
      </w:pPr>
    </w:lvl>
    <w:lvl w:ilvl="4">
      <w:start w:val="1"/>
      <w:numFmt w:val="decimal"/>
      <w:pStyle w:val="Heading5"/>
      <w:lvlText w:val="(%5)"/>
      <w:lvlJc w:val="left"/>
      <w:pPr>
        <w:tabs>
          <w:tab w:val="num" w:pos="1800"/>
        </w:tabs>
        <w:ind w:left="1440" w:firstLine="0"/>
      </w:pPr>
    </w:lvl>
    <w:lvl w:ilvl="5">
      <w:start w:val="1"/>
      <w:numFmt w:val="lowerLetter"/>
      <w:pStyle w:val="Heading6"/>
      <w:lvlText w:val="(%6)"/>
      <w:lvlJc w:val="left"/>
      <w:pPr>
        <w:tabs>
          <w:tab w:val="num" w:pos="2520"/>
        </w:tabs>
        <w:ind w:left="2160" w:firstLine="0"/>
      </w:pPr>
    </w:lvl>
    <w:lvl w:ilvl="6">
      <w:start w:val="1"/>
      <w:numFmt w:val="lowerRoman"/>
      <w:pStyle w:val="Heading7"/>
      <w:lvlText w:val="(%7)"/>
      <w:lvlJc w:val="left"/>
      <w:pPr>
        <w:tabs>
          <w:tab w:val="num" w:pos="3240"/>
        </w:tabs>
        <w:ind w:left="2880" w:firstLine="0"/>
      </w:pPr>
    </w:lvl>
    <w:lvl w:ilvl="7">
      <w:start w:val="1"/>
      <w:numFmt w:val="lowerLetter"/>
      <w:pStyle w:val="Heading8"/>
      <w:lvlText w:val="(%8)"/>
      <w:lvlJc w:val="left"/>
      <w:pPr>
        <w:tabs>
          <w:tab w:val="num" w:pos="3960"/>
        </w:tabs>
        <w:ind w:left="3600" w:firstLine="0"/>
      </w:pPr>
    </w:lvl>
    <w:lvl w:ilvl="8">
      <w:start w:val="1"/>
      <w:numFmt w:val="lowerRoman"/>
      <w:pStyle w:val="Heading9"/>
      <w:lvlText w:val="(%9)"/>
      <w:lvlJc w:val="left"/>
      <w:pPr>
        <w:tabs>
          <w:tab w:val="num" w:pos="4680"/>
        </w:tabs>
        <w:ind w:left="4320" w:firstLine="0"/>
      </w:pPr>
    </w:lvl>
  </w:abstractNum>
  <w:abstractNum w:abstractNumId="14">
    <w:nsid w:val="71A93762"/>
    <w:multiLevelType w:val="hybridMultilevel"/>
    <w:tmpl w:val="E656F578"/>
    <w:lvl w:ilvl="0" w:tplc="FFFFFFFF">
      <w:start w:val="1"/>
      <w:numFmt w:val="decimal"/>
      <w:lvlText w:val="%1."/>
      <w:lvlJc w:val="left"/>
      <w:pPr>
        <w:tabs>
          <w:tab w:val="num" w:pos="720"/>
        </w:tabs>
        <w:ind w:left="720" w:hanging="360"/>
      </w:pPr>
    </w:lvl>
    <w:lvl w:ilvl="1" w:tplc="FFFFFFFF">
      <w:numFmt w:val="bullet"/>
      <w:lvlText w:val="-"/>
      <w:lvlJc w:val="left"/>
      <w:pPr>
        <w:tabs>
          <w:tab w:val="num" w:pos="1440"/>
        </w:tabs>
        <w:ind w:left="1440" w:hanging="360"/>
      </w:pPr>
      <w:rPr>
        <w:rFonts w:ascii="Times New Roman" w:eastAsia="SimSun" w:hAnsi="Times New Roman" w:cs="Times New Roman" w:hint="default"/>
      </w:rPr>
    </w:lvl>
    <w:lvl w:ilvl="2" w:tplc="FFFFFFFF">
      <w:start w:val="1"/>
      <w:numFmt w:val="bullet"/>
      <w:lvlText w:val=""/>
      <w:lvlJc w:val="left"/>
      <w:pPr>
        <w:tabs>
          <w:tab w:val="num" w:pos="1440"/>
        </w:tabs>
        <w:ind w:left="1440" w:hanging="360"/>
      </w:pPr>
      <w:rPr>
        <w:rFonts w:ascii="Symbol" w:hAnsi="Symbol" w:hint="default"/>
      </w:rPr>
    </w:lvl>
    <w:lvl w:ilvl="3" w:tplc="FFFFFFFF">
      <w:start w:val="1"/>
      <w:numFmt w:val="bullet"/>
      <w:lvlText w:val=""/>
      <w:lvlJc w:val="left"/>
      <w:pPr>
        <w:tabs>
          <w:tab w:val="num" w:pos="1440"/>
        </w:tabs>
        <w:ind w:left="144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799F2CD0"/>
    <w:multiLevelType w:val="hybridMultilevel"/>
    <w:tmpl w:val="B316C6F2"/>
    <w:lvl w:ilvl="0" w:tplc="EDAA3510">
      <w:start w:val="1"/>
      <w:numFmt w:val="decimal"/>
      <w:lvlText w:val="%1."/>
      <w:lvlJc w:val="left"/>
      <w:pPr>
        <w:tabs>
          <w:tab w:val="num" w:pos="1080"/>
        </w:tabs>
        <w:ind w:left="1080" w:hanging="360"/>
      </w:pPr>
      <w:rPr>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C5C1BEA"/>
    <w:multiLevelType w:val="hybridMultilevel"/>
    <w:tmpl w:val="1E28577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4"/>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0"/>
  </w:num>
  <w:num w:numId="6">
    <w:abstractNumId w:val="11"/>
  </w:num>
  <w:num w:numId="7">
    <w:abstractNumId w:val="16"/>
  </w:num>
  <w:num w:numId="8">
    <w:abstractNumId w:val="2"/>
  </w:num>
  <w:num w:numId="9">
    <w:abstractNumId w:val="12"/>
  </w:num>
  <w:num w:numId="10">
    <w:abstractNumId w:val="8"/>
  </w:num>
  <w:num w:numId="11">
    <w:abstractNumId w:val="6"/>
  </w:num>
  <w:num w:numId="12">
    <w:abstractNumId w:val="14"/>
  </w:num>
  <w:num w:numId="13">
    <w:abstractNumId w:val="15"/>
  </w:num>
  <w:num w:numId="14">
    <w:abstractNumId w:val="7"/>
  </w:num>
  <w:num w:numId="15">
    <w:abstractNumId w:val="3"/>
  </w:num>
  <w:num w:numId="16">
    <w:abstractNumId w:val="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oNotTrackMoves/>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zh-CN"/>
    </w:rPr>
  </w:style>
  <w:style w:type="paragraph" w:styleId="Heading1">
    <w:name w:val="heading 1"/>
    <w:basedOn w:val="Normal"/>
    <w:next w:val="Normal"/>
    <w:qFormat/>
    <w:pPr>
      <w:keepNext/>
      <w:keepLines/>
      <w:numPr>
        <w:numId w:val="3"/>
      </w:numPr>
      <w:spacing w:before="120" w:after="120" w:line="360" w:lineRule="auto"/>
      <w:jc w:val="center"/>
      <w:outlineLvl w:val="0"/>
    </w:pPr>
    <w:rPr>
      <w:rFonts w:eastAsia="Times New Roman"/>
      <w:b/>
      <w:bCs/>
      <w:kern w:val="28"/>
      <w:lang w:val="en-GB" w:eastAsia="en-US"/>
    </w:rPr>
  </w:style>
  <w:style w:type="paragraph" w:styleId="Heading2">
    <w:name w:val="heading 2"/>
    <w:basedOn w:val="Normal"/>
    <w:next w:val="Normal"/>
    <w:qFormat/>
    <w:pPr>
      <w:keepNext/>
      <w:numPr>
        <w:ilvl w:val="1"/>
        <w:numId w:val="3"/>
      </w:numPr>
      <w:spacing w:before="120" w:after="120" w:line="360" w:lineRule="auto"/>
      <w:jc w:val="center"/>
      <w:outlineLvl w:val="1"/>
    </w:pPr>
    <w:rPr>
      <w:rFonts w:eastAsia="Times New Roman"/>
      <w:b/>
      <w:bCs/>
      <w:caps/>
      <w:lang w:val="en-GB" w:eastAsia="en-US"/>
    </w:rPr>
  </w:style>
  <w:style w:type="paragraph" w:styleId="Heading4">
    <w:name w:val="heading 4"/>
    <w:basedOn w:val="Normal"/>
    <w:next w:val="Normal"/>
    <w:qFormat/>
    <w:pPr>
      <w:keepNext/>
      <w:numPr>
        <w:ilvl w:val="3"/>
        <w:numId w:val="3"/>
      </w:numPr>
      <w:spacing w:before="120" w:line="360" w:lineRule="auto"/>
      <w:outlineLvl w:val="3"/>
    </w:pPr>
    <w:rPr>
      <w:rFonts w:eastAsia="Times New Roman"/>
      <w:b/>
      <w:bCs/>
      <w:i/>
      <w:iCs/>
      <w:lang w:val="en-GB" w:eastAsia="en-US"/>
    </w:rPr>
  </w:style>
  <w:style w:type="paragraph" w:styleId="Heading5">
    <w:name w:val="heading 5"/>
    <w:basedOn w:val="Normal"/>
    <w:next w:val="Normal"/>
    <w:qFormat/>
    <w:pPr>
      <w:keepNext/>
      <w:numPr>
        <w:ilvl w:val="4"/>
        <w:numId w:val="3"/>
      </w:numPr>
      <w:spacing w:before="120" w:line="360" w:lineRule="auto"/>
      <w:outlineLvl w:val="4"/>
    </w:pPr>
    <w:rPr>
      <w:rFonts w:eastAsia="Times New Roman"/>
      <w:i/>
      <w:iCs/>
      <w:lang w:val="en-GB" w:eastAsia="en-US"/>
    </w:rPr>
  </w:style>
  <w:style w:type="paragraph" w:styleId="Heading6">
    <w:name w:val="heading 6"/>
    <w:basedOn w:val="Normal"/>
    <w:next w:val="Normal"/>
    <w:qFormat/>
    <w:pPr>
      <w:keepNext/>
      <w:numPr>
        <w:ilvl w:val="5"/>
        <w:numId w:val="3"/>
      </w:numPr>
      <w:spacing w:before="120" w:line="360" w:lineRule="auto"/>
      <w:outlineLvl w:val="5"/>
    </w:pPr>
    <w:rPr>
      <w:rFonts w:eastAsia="Times New Roman"/>
      <w:b/>
      <w:bCs/>
      <w:caps/>
      <w:lang w:val="en-GB" w:eastAsia="en-US"/>
    </w:rPr>
  </w:style>
  <w:style w:type="paragraph" w:styleId="Heading7">
    <w:name w:val="heading 7"/>
    <w:basedOn w:val="Normal"/>
    <w:next w:val="Normal"/>
    <w:qFormat/>
    <w:pPr>
      <w:numPr>
        <w:ilvl w:val="6"/>
        <w:numId w:val="3"/>
      </w:numPr>
      <w:spacing w:before="120" w:line="360" w:lineRule="auto"/>
      <w:jc w:val="center"/>
      <w:outlineLvl w:val="6"/>
    </w:pPr>
    <w:rPr>
      <w:rFonts w:eastAsia="Times New Roman"/>
      <w:caps/>
      <w:lang w:val="en-GB" w:eastAsia="en-US"/>
    </w:rPr>
  </w:style>
  <w:style w:type="paragraph" w:styleId="Heading8">
    <w:name w:val="heading 8"/>
    <w:basedOn w:val="Normal"/>
    <w:next w:val="Normal"/>
    <w:qFormat/>
    <w:pPr>
      <w:keepNext/>
      <w:numPr>
        <w:ilvl w:val="7"/>
        <w:numId w:val="3"/>
      </w:numPr>
      <w:spacing w:before="120" w:line="360" w:lineRule="auto"/>
      <w:outlineLvl w:val="7"/>
    </w:pPr>
    <w:rPr>
      <w:rFonts w:eastAsia="Times New Roman"/>
      <w:lang w:val="en-GB" w:eastAsia="en-US"/>
    </w:rPr>
  </w:style>
  <w:style w:type="paragraph" w:styleId="Heading9">
    <w:name w:val="heading 9"/>
    <w:basedOn w:val="Normal"/>
    <w:next w:val="Normal"/>
    <w:qFormat/>
    <w:pPr>
      <w:keepNext/>
      <w:numPr>
        <w:ilvl w:val="8"/>
        <w:numId w:val="3"/>
      </w:numPr>
      <w:spacing w:before="120" w:line="360" w:lineRule="auto"/>
      <w:outlineLvl w:val="8"/>
    </w:pPr>
    <w:rPr>
      <w:rFonts w:eastAsia="Times New Roman"/>
      <w:lang w:val="en-GB"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w:basedOn w:val="Normal"/>
    <w:semiHidden/>
    <w:rPr>
      <w:sz w:val="20"/>
      <w:szCs w:val="20"/>
      <w:lang w:val="en-US"/>
    </w:rPr>
  </w:style>
  <w:style w:type="character" w:styleId="FootnoteReference">
    <w:name w:val="footnote reference"/>
    <w:aliases w:val="callout"/>
    <w:semiHidden/>
    <w:rPr>
      <w:vertAlign w:val="superscript"/>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920</Words>
  <Characters>5248</Characters>
  <Application>Microsoft Office Word</Application>
  <DocSecurity>4</DocSecurity>
  <Lines>43</Lines>
  <Paragraphs>10</Paragraphs>
  <ScaleCrop>false</ScaleCrop>
  <HeadingPairs>
    <vt:vector size="2" baseType="variant">
      <vt:variant>
        <vt:lpstr>Title</vt:lpstr>
      </vt:variant>
      <vt:variant>
        <vt:i4>1</vt:i4>
      </vt:variant>
    </vt:vector>
  </HeadingPairs>
  <TitlesOfParts>
    <vt:vector size="1" baseType="lpstr">
      <vt:lpstr></vt:lpstr>
    </vt:vector>
  </TitlesOfParts>
  <Company>International Computing Centre</Company>
  <LinksUpToDate>false</LinksUpToDate>
  <CharactersWithSpaces>6444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OHCHR</dc:creator>
  <cp:keywords/>
  <dc:description/>
  <cp:lastModifiedBy>csd</cp:lastModifiedBy>
  <cp:revision>2</cp:revision>
  <cp:lastPrinted>2009-06-09T09:44:00Z</cp:lastPrinted>
  <dcterms:created xsi:type="dcterms:W3CDTF">2009-08-19T15:21:00Z</dcterms:created>
  <dcterms:modified xsi:type="dcterms:W3CDTF">2009-08-19T15:21:00Z</dcterms:modified>
</cp:coreProperties>
</file>