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E60290" w:rsidP="00A40A0A">
            <w:pPr>
              <w:bidi w:val="0"/>
              <w:spacing w:after="20"/>
              <w:jc w:val="left"/>
              <w:rPr>
                <w:szCs w:val="20"/>
              </w:rPr>
            </w:pPr>
            <w:r w:rsidRPr="00E60290">
              <w:rPr>
                <w:sz w:val="40"/>
                <w:szCs w:val="20"/>
              </w:rPr>
              <w:t>C</w:t>
            </w:r>
            <w:r w:rsidRPr="00A40A0A">
              <w:rPr>
                <w:sz w:val="40"/>
                <w:szCs w:val="20"/>
              </w:rPr>
              <w:t>ERD</w:t>
            </w:r>
            <w:r>
              <w:rPr>
                <w:szCs w:val="20"/>
              </w:rPr>
              <w:t>/C/ARG/CO/21-23</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E36B04" w:rsidRDefault="00E36B04" w:rsidP="00E36B04">
            <w:pPr>
              <w:spacing w:before="120" w:line="600" w:lineRule="exact"/>
              <w:rPr>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c>
        <w:tc>
          <w:tcPr>
            <w:tcW w:w="3402" w:type="dxa"/>
            <w:tcBorders>
              <w:top w:val="single" w:sz="4" w:space="0" w:color="auto"/>
              <w:bottom w:val="single" w:sz="12" w:space="0" w:color="auto"/>
            </w:tcBorders>
          </w:tcPr>
          <w:p w:rsidR="00E36B04" w:rsidRPr="00C52993" w:rsidRDefault="00E36B04" w:rsidP="00E36B04">
            <w:pPr>
              <w:kinsoku w:val="0"/>
              <w:overflowPunct w:val="0"/>
              <w:autoSpaceDE w:val="0"/>
              <w:autoSpaceDN w:val="0"/>
              <w:bidi w:val="0"/>
              <w:adjustRightInd w:val="0"/>
              <w:snapToGrid w:val="0"/>
              <w:spacing w:before="240" w:line="240" w:lineRule="exact"/>
              <w:jc w:val="left"/>
              <w:rPr>
                <w:rFonts w:eastAsiaTheme="minorHAnsi" w:cs="Times New Roman"/>
                <w:szCs w:val="20"/>
                <w:lang w:val="en-GB"/>
              </w:rPr>
            </w:pPr>
            <w:r w:rsidRPr="00C52993">
              <w:rPr>
                <w:rFonts w:eastAsiaTheme="minorHAnsi" w:cs="Times New Roman"/>
                <w:szCs w:val="20"/>
                <w:lang w:val="en-GB"/>
              </w:rPr>
              <w:t>Distr.: General</w:t>
            </w:r>
          </w:p>
          <w:p w:rsidR="00E36B04" w:rsidRPr="00C52993" w:rsidRDefault="00E36B04" w:rsidP="00E36B04">
            <w:pPr>
              <w:kinsoku w:val="0"/>
              <w:overflowPunct w:val="0"/>
              <w:autoSpaceDE w:val="0"/>
              <w:autoSpaceDN w:val="0"/>
              <w:bidi w:val="0"/>
              <w:adjustRightInd w:val="0"/>
              <w:snapToGrid w:val="0"/>
              <w:jc w:val="left"/>
              <w:rPr>
                <w:rFonts w:eastAsiaTheme="minorHAnsi" w:cs="Times New Roman"/>
                <w:szCs w:val="20"/>
                <w:lang w:val="en-GB"/>
              </w:rPr>
            </w:pPr>
            <w:r>
              <w:rPr>
                <w:rFonts w:eastAsiaTheme="minorHAnsi" w:cs="Times New Roman"/>
                <w:szCs w:val="20"/>
                <w:lang w:val="en-GB"/>
              </w:rPr>
              <w:t>11</w:t>
            </w:r>
            <w:r w:rsidRPr="00C52993">
              <w:rPr>
                <w:rFonts w:eastAsiaTheme="minorHAnsi" w:cs="Times New Roman"/>
                <w:szCs w:val="20"/>
                <w:lang w:val="en-GB"/>
              </w:rPr>
              <w:t xml:space="preserve"> January 2017</w:t>
            </w:r>
          </w:p>
          <w:p w:rsidR="00E36B04" w:rsidRPr="00C52993" w:rsidRDefault="00E36B04" w:rsidP="00E36B04">
            <w:pPr>
              <w:kinsoku w:val="0"/>
              <w:overflowPunct w:val="0"/>
              <w:autoSpaceDE w:val="0"/>
              <w:autoSpaceDN w:val="0"/>
              <w:bidi w:val="0"/>
              <w:adjustRightInd w:val="0"/>
              <w:snapToGrid w:val="0"/>
              <w:jc w:val="left"/>
              <w:rPr>
                <w:rFonts w:eastAsiaTheme="minorHAnsi" w:cs="Times New Roman"/>
                <w:szCs w:val="20"/>
                <w:lang w:val="en-GB"/>
              </w:rPr>
            </w:pPr>
            <w:r>
              <w:rPr>
                <w:rFonts w:eastAsiaTheme="minorHAnsi" w:cs="Times New Roman"/>
                <w:szCs w:val="20"/>
                <w:lang w:val="en-GB"/>
              </w:rPr>
              <w:t>Arabic</w:t>
            </w:r>
          </w:p>
          <w:p w:rsidR="00A40A0A" w:rsidRPr="003E159A" w:rsidRDefault="00E36B04" w:rsidP="00E36B04">
            <w:pPr>
              <w:bidi w:val="0"/>
              <w:jc w:val="left"/>
              <w:rPr>
                <w:szCs w:val="20"/>
              </w:rPr>
            </w:pPr>
            <w:r w:rsidRPr="00C52993">
              <w:rPr>
                <w:rFonts w:eastAsiaTheme="minorHAnsi" w:cs="Times New Roman"/>
                <w:szCs w:val="20"/>
                <w:lang w:val="en-GB"/>
              </w:rPr>
              <w:t xml:space="preserve">Original: </w:t>
            </w:r>
            <w:r>
              <w:rPr>
                <w:rFonts w:eastAsiaTheme="minorHAnsi" w:cs="Times New Roman"/>
                <w:szCs w:val="20"/>
                <w:lang w:val="en-GB"/>
              </w:rPr>
              <w:t>Spanish</w:t>
            </w:r>
          </w:p>
        </w:tc>
      </w:tr>
    </w:tbl>
    <w:p w:rsidR="00A40A0A" w:rsidRPr="00A40A0A" w:rsidRDefault="00A40A0A" w:rsidP="00A40A0A">
      <w:pPr>
        <w:spacing w:before="120" w:line="380" w:lineRule="exact"/>
        <w:rPr>
          <w:b/>
          <w:bCs/>
          <w:sz w:val="36"/>
          <w:szCs w:val="36"/>
          <w:rtl/>
        </w:rPr>
      </w:pPr>
      <w:r w:rsidRPr="00A40A0A">
        <w:rPr>
          <w:rFonts w:hint="cs"/>
          <w:b/>
          <w:bCs/>
          <w:sz w:val="36"/>
          <w:szCs w:val="36"/>
          <w:rtl/>
        </w:rPr>
        <w:t>لجنة القضاء على التمييز العنصري</w:t>
      </w:r>
    </w:p>
    <w:p w:rsidR="00A40A0A" w:rsidRDefault="00A40A0A" w:rsidP="00A40A0A">
      <w:pPr>
        <w:pStyle w:val="HChGA"/>
        <w:rPr>
          <w:rtl/>
        </w:rPr>
      </w:pPr>
      <w:r>
        <w:rPr>
          <w:rFonts w:hint="cs"/>
          <w:rtl/>
        </w:rPr>
        <w:tab/>
      </w:r>
      <w:r>
        <w:rPr>
          <w:rFonts w:hint="cs"/>
          <w:rtl/>
        </w:rPr>
        <w:tab/>
        <w:t>الملاحظات الختامية بشأن التقرير الجامع للتقارير الدورية من 21 إلى</w:t>
      </w:r>
      <w:r>
        <w:rPr>
          <w:rFonts w:hint="eastAsia"/>
          <w:rtl/>
        </w:rPr>
        <w:t> </w:t>
      </w:r>
      <w:r>
        <w:rPr>
          <w:rFonts w:hint="cs"/>
          <w:rtl/>
        </w:rPr>
        <w:t>23 للأرجنتين</w:t>
      </w:r>
      <w:r w:rsidRPr="008B7DEE">
        <w:rPr>
          <w:rStyle w:val="FootnoteReference"/>
          <w:sz w:val="20"/>
          <w:vertAlign w:val="baseline"/>
          <w:rtl/>
        </w:rPr>
        <w:footnoteReference w:customMarkFollows="1" w:id="1"/>
        <w:t>*</w:t>
      </w:r>
    </w:p>
    <w:p w:rsidR="00A40A0A" w:rsidRDefault="00A40A0A" w:rsidP="003F2C81">
      <w:pPr>
        <w:pStyle w:val="SingleTxtGA"/>
        <w:spacing w:line="370" w:lineRule="exact"/>
        <w:rPr>
          <w:rtl/>
        </w:rPr>
      </w:pPr>
      <w:r>
        <w:rPr>
          <w:rFonts w:hint="cs"/>
          <w:rtl/>
        </w:rPr>
        <w:t>1-</w:t>
      </w:r>
      <w:r>
        <w:rPr>
          <w:rFonts w:hint="cs"/>
          <w:rtl/>
        </w:rPr>
        <w:tab/>
        <w:t>نظرت اللجنة في التقرير الجامع للتقارير الدورية من 21 إلى 23 للأرجنتين (</w:t>
      </w:r>
      <w:r w:rsidRPr="000D009A">
        <w:t>CERD/C/</w:t>
      </w:r>
      <w:r>
        <w:t>ARG</w:t>
      </w:r>
      <w:r w:rsidRPr="000D009A">
        <w:t>/</w:t>
      </w:r>
      <w:r>
        <w:t>21-23</w:t>
      </w:r>
      <w:r>
        <w:rPr>
          <w:rFonts w:hint="cs"/>
          <w:rtl/>
        </w:rPr>
        <w:t xml:space="preserve">) في جلستيها 2490 و2491 (انظر </w:t>
      </w:r>
      <w:r w:rsidRPr="000D009A">
        <w:t>CERD</w:t>
      </w:r>
      <w:r w:rsidRPr="009646C2">
        <w:t>/C/SR.2490</w:t>
      </w:r>
      <w:r>
        <w:rPr>
          <w:rFonts w:hint="cs"/>
          <w:rtl/>
        </w:rPr>
        <w:t xml:space="preserve"> و</w:t>
      </w:r>
      <w:r>
        <w:t>2491</w:t>
      </w:r>
      <w:r>
        <w:rPr>
          <w:rFonts w:hint="cs"/>
          <w:rtl/>
        </w:rPr>
        <w:t>) المعقودتين في 22 و23 تشرين الثاني/نوفمبر 2016. واعتمدت اللجنة في جلستيها 2506 و2507، المعقودتين في 2 و5 كانون الأول/ديسمبر 2016، الملاحظات الختامية التالية.</w:t>
      </w:r>
      <w:r w:rsidR="003F2C81">
        <w:rPr>
          <w:rFonts w:hint="cs"/>
          <w:rtl/>
        </w:rPr>
        <w:t xml:space="preserve"> </w:t>
      </w:r>
    </w:p>
    <w:p w:rsidR="00A40A0A" w:rsidRDefault="00A40A0A" w:rsidP="00F13F17">
      <w:pPr>
        <w:pStyle w:val="H1GA"/>
        <w:rPr>
          <w:rtl/>
        </w:rPr>
      </w:pPr>
      <w:r>
        <w:rPr>
          <w:rFonts w:hint="cs"/>
          <w:rtl/>
        </w:rPr>
        <w:tab/>
        <w:t>ألف-</w:t>
      </w:r>
      <w:r>
        <w:rPr>
          <w:rFonts w:hint="cs"/>
          <w:rtl/>
        </w:rPr>
        <w:tab/>
        <w:t>مقدمة</w:t>
      </w:r>
    </w:p>
    <w:p w:rsidR="00A40A0A" w:rsidRDefault="00A40A0A" w:rsidP="003F2C81">
      <w:pPr>
        <w:pStyle w:val="SingleTxtGA"/>
        <w:spacing w:line="370" w:lineRule="exact"/>
        <w:rPr>
          <w:rtl/>
        </w:rPr>
      </w:pPr>
      <w:r>
        <w:rPr>
          <w:rFonts w:hint="cs"/>
          <w:rtl/>
        </w:rPr>
        <w:t>2-</w:t>
      </w:r>
      <w:r>
        <w:rPr>
          <w:rFonts w:hint="cs"/>
          <w:rtl/>
        </w:rPr>
        <w:tab/>
        <w:t>ترحب اللجنة بتقديم الدولة الطرف تقريرها الجامع للتقارير الدورية من 21 إلى 23. كما ترحب اللجنة بالحوار الصريح والبناء الذي جرى مع وفد الدولة الطرف الرفيع المستوى وبالمعلومات الإضافية المقدمة في أعقاب الحوار.</w:t>
      </w:r>
      <w:r w:rsidR="003F2C81">
        <w:rPr>
          <w:rFonts w:hint="cs"/>
          <w:rtl/>
        </w:rPr>
        <w:t xml:space="preserve"> </w:t>
      </w:r>
    </w:p>
    <w:p w:rsidR="00A40A0A" w:rsidRDefault="00A40A0A" w:rsidP="00F13F17">
      <w:pPr>
        <w:pStyle w:val="H1GA"/>
        <w:rPr>
          <w:rFonts w:hint="cs"/>
          <w:rtl/>
        </w:rPr>
      </w:pPr>
      <w:r>
        <w:rPr>
          <w:rFonts w:hint="cs"/>
          <w:rtl/>
        </w:rPr>
        <w:tab/>
        <w:t>باء-</w:t>
      </w:r>
      <w:r>
        <w:rPr>
          <w:rFonts w:hint="cs"/>
          <w:rtl/>
        </w:rPr>
        <w:tab/>
        <w:t>الجوانب الإيجابية</w:t>
      </w:r>
    </w:p>
    <w:p w:rsidR="00A40A0A" w:rsidRDefault="00A40A0A" w:rsidP="003F2C81">
      <w:pPr>
        <w:pStyle w:val="SingleTxtGA"/>
        <w:spacing w:line="370" w:lineRule="exact"/>
        <w:rPr>
          <w:rtl/>
        </w:rPr>
      </w:pPr>
      <w:r>
        <w:rPr>
          <w:rFonts w:hint="cs"/>
          <w:rtl/>
        </w:rPr>
        <w:t>3-</w:t>
      </w:r>
      <w:r>
        <w:rPr>
          <w:rFonts w:hint="cs"/>
          <w:rtl/>
        </w:rPr>
        <w:tab/>
        <w:t xml:space="preserve">ترحب اللجنة بتصديق الدولة الطرف، في 24 تشرين الأول/أكتوبر 2011، على البروتوكول الاختياري الملحق بالعهد الدولي الخاص بالحقوق الاقتصادية والاجتماعية والثقافية، وفي 14 نيسان/أبريل 2015، على البروتوكول الاختياري لاتفاقية حقوق الطفل المتعلق بإجراء تقديم البلاغات. </w:t>
      </w:r>
    </w:p>
    <w:p w:rsidR="00A40A0A" w:rsidRDefault="00A40A0A" w:rsidP="003F2C81">
      <w:pPr>
        <w:pStyle w:val="SingleTxtGA"/>
        <w:spacing w:line="370" w:lineRule="exact"/>
        <w:rPr>
          <w:rtl/>
        </w:rPr>
      </w:pPr>
      <w:r>
        <w:rPr>
          <w:rFonts w:hint="cs"/>
          <w:rtl/>
        </w:rPr>
        <w:t>4-</w:t>
      </w:r>
      <w:r>
        <w:rPr>
          <w:rFonts w:hint="cs"/>
          <w:rtl/>
        </w:rPr>
        <w:tab/>
        <w:t>وترحب اللجنة بالتدابير التشريعية والمؤسسية التي اعتمدتها الدولة الطرف خلال الفترة قيد الاستعراض، وخاصة منها ما يلي:</w:t>
      </w:r>
    </w:p>
    <w:p w:rsidR="00A40A0A" w:rsidRDefault="00A40A0A" w:rsidP="003F2C81">
      <w:pPr>
        <w:pStyle w:val="SingleTxtGA"/>
        <w:spacing w:line="370" w:lineRule="exact"/>
        <w:rPr>
          <w:rtl/>
        </w:rPr>
      </w:pPr>
      <w:r>
        <w:rPr>
          <w:rFonts w:hint="cs"/>
          <w:rtl/>
        </w:rPr>
        <w:tab/>
      </w:r>
      <w:r w:rsidRPr="00F13F17">
        <w:rPr>
          <w:rFonts w:hint="cs"/>
          <w:spacing w:val="-5"/>
          <w:rtl/>
        </w:rPr>
        <w:t>(أ)</w:t>
      </w:r>
      <w:r w:rsidRPr="00F13F17">
        <w:rPr>
          <w:rFonts w:hint="cs"/>
          <w:spacing w:val="-5"/>
          <w:rtl/>
        </w:rPr>
        <w:tab/>
        <w:t xml:space="preserve">إنشاء المعهد الوطني لمكافحة التمييز وكراهية الأجانب </w:t>
      </w:r>
      <w:r w:rsidRPr="00F13F17">
        <w:rPr>
          <w:spacing w:val="-5"/>
          <w:rtl/>
        </w:rPr>
        <w:t>والعنصرية</w:t>
      </w:r>
      <w:r w:rsidRPr="00F13F17">
        <w:rPr>
          <w:rFonts w:hint="cs"/>
          <w:spacing w:val="-5"/>
          <w:rtl/>
        </w:rPr>
        <w:t>، في عام</w:t>
      </w:r>
      <w:r w:rsidR="00F13F17" w:rsidRPr="00F13F17">
        <w:rPr>
          <w:rFonts w:hint="eastAsia"/>
          <w:spacing w:val="-5"/>
          <w:rtl/>
        </w:rPr>
        <w:t> </w:t>
      </w:r>
      <w:r w:rsidRPr="00F13F17">
        <w:rPr>
          <w:rFonts w:hint="cs"/>
          <w:spacing w:val="-5"/>
          <w:rtl/>
        </w:rPr>
        <w:t>2011،</w:t>
      </w:r>
      <w:r>
        <w:rPr>
          <w:rFonts w:hint="cs"/>
          <w:rtl/>
        </w:rPr>
        <w:t xml:space="preserve"> لمديرية تعزيز وتطوير الممارسات المناهضة للتمييز؛</w:t>
      </w:r>
    </w:p>
    <w:p w:rsidR="00A40A0A" w:rsidRDefault="00A40A0A" w:rsidP="00A40A0A">
      <w:pPr>
        <w:pStyle w:val="SingleTxtGA"/>
        <w:rPr>
          <w:rtl/>
        </w:rPr>
      </w:pPr>
      <w:r>
        <w:rPr>
          <w:rFonts w:hint="cs"/>
          <w:rtl/>
        </w:rPr>
        <w:lastRenderedPageBreak/>
        <w:tab/>
        <w:t>(ب)</w:t>
      </w:r>
      <w:r>
        <w:rPr>
          <w:rFonts w:hint="cs"/>
          <w:rtl/>
        </w:rPr>
        <w:tab/>
        <w:t>إنشاء مكتب الدفاع العام المعني بخدمات الاتصال السمعي البصري، في عام</w:t>
      </w:r>
      <w:r>
        <w:rPr>
          <w:rFonts w:hint="eastAsia"/>
          <w:rtl/>
        </w:rPr>
        <w:t> </w:t>
      </w:r>
      <w:r>
        <w:rPr>
          <w:rFonts w:hint="cs"/>
          <w:rtl/>
        </w:rPr>
        <w:t>2012، بموجب القانون 26522؛</w:t>
      </w:r>
    </w:p>
    <w:p w:rsidR="00A40A0A" w:rsidRDefault="00A40A0A" w:rsidP="00A40A0A">
      <w:pPr>
        <w:pStyle w:val="SingleTxtGA"/>
        <w:rPr>
          <w:rtl/>
        </w:rPr>
      </w:pPr>
      <w:r>
        <w:rPr>
          <w:rFonts w:hint="cs"/>
          <w:rtl/>
        </w:rPr>
        <w:tab/>
        <w:t>(ج)</w:t>
      </w:r>
      <w:r>
        <w:rPr>
          <w:rFonts w:hint="cs"/>
          <w:rtl/>
        </w:rPr>
        <w:tab/>
        <w:t>اعتماد المرسوم الرئاسي 1584/2010، الصادر في 2 تشرين الثاني/    نوفمبر 2010، الذي يعلن يوم 12 تشرين الأول/أكتوبر "يوم احترام التنوع الثقافي" بدلاً من "يوم العرق"؛</w:t>
      </w:r>
    </w:p>
    <w:p w:rsidR="00A40A0A" w:rsidRDefault="00A40A0A" w:rsidP="002D54F1">
      <w:pPr>
        <w:pStyle w:val="SingleTxtGA"/>
        <w:rPr>
          <w:rtl/>
        </w:rPr>
      </w:pPr>
      <w:r>
        <w:rPr>
          <w:rtl/>
        </w:rPr>
        <w:tab/>
      </w:r>
      <w:r>
        <w:rPr>
          <w:rFonts w:hint="cs"/>
          <w:rtl/>
        </w:rPr>
        <w:t>(د)</w:t>
      </w:r>
      <w:r w:rsidR="00F13F17">
        <w:rPr>
          <w:rFonts w:hint="cs"/>
          <w:rtl/>
        </w:rPr>
        <w:tab/>
      </w:r>
      <w:r>
        <w:rPr>
          <w:rFonts w:hint="cs"/>
          <w:rtl/>
        </w:rPr>
        <w:t>إعلان يوم 8 تشرين الثاني/نوفمبر "اليوم الوطني للأرجنتينيين المنحدرين من أ</w:t>
      </w:r>
      <w:r w:rsidR="002D54F1">
        <w:rPr>
          <w:rFonts w:hint="cs"/>
          <w:rtl/>
        </w:rPr>
        <w:t>ص</w:t>
      </w:r>
      <w:r>
        <w:rPr>
          <w:rFonts w:hint="cs"/>
          <w:rtl/>
        </w:rPr>
        <w:t>ل</w:t>
      </w:r>
      <w:r w:rsidR="00F13F17">
        <w:rPr>
          <w:rFonts w:hint="eastAsia"/>
          <w:rtl/>
        </w:rPr>
        <w:t> </w:t>
      </w:r>
      <w:r>
        <w:rPr>
          <w:rFonts w:hint="cs"/>
          <w:rtl/>
        </w:rPr>
        <w:t>أفريقي والثقافة المنحدرة من أصل أفريقي"، بموجب القانون 26852 الصادر في 20 أيار/</w:t>
      </w:r>
      <w:r w:rsidR="00F13F17">
        <w:rPr>
          <w:rFonts w:hint="cs"/>
          <w:rtl/>
        </w:rPr>
        <w:t xml:space="preserve"> </w:t>
      </w:r>
      <w:r>
        <w:rPr>
          <w:rFonts w:hint="cs"/>
          <w:rtl/>
        </w:rPr>
        <w:t>مايو</w:t>
      </w:r>
      <w:r w:rsidR="00F13F17">
        <w:rPr>
          <w:rFonts w:hint="cs"/>
          <w:rtl/>
        </w:rPr>
        <w:t xml:space="preserve"> </w:t>
      </w:r>
      <w:r>
        <w:rPr>
          <w:rFonts w:hint="cs"/>
          <w:rtl/>
        </w:rPr>
        <w:t>2013</w:t>
      </w:r>
      <w:r w:rsidR="00F13F17">
        <w:rPr>
          <w:rFonts w:hint="cs"/>
          <w:rtl/>
        </w:rPr>
        <w:t xml:space="preserve">. </w:t>
      </w:r>
    </w:p>
    <w:p w:rsidR="00A40A0A" w:rsidRDefault="00A40A0A" w:rsidP="00A40A0A">
      <w:pPr>
        <w:pStyle w:val="SingleTxtGA"/>
        <w:rPr>
          <w:rtl/>
        </w:rPr>
      </w:pPr>
      <w:r>
        <w:rPr>
          <w:rFonts w:hint="cs"/>
          <w:rtl/>
        </w:rPr>
        <w:t>5-</w:t>
      </w:r>
      <w:r>
        <w:rPr>
          <w:rFonts w:hint="cs"/>
          <w:rtl/>
        </w:rPr>
        <w:tab/>
        <w:t>وترحب اللجنة بتوجيه الدولة الطرف دعوة مفتوحة ودائمة إلى المكلفين بولايات في إطار الإجراءات الخاصة لمجلس حقوق الإنسان لكي يزوروا البلد.</w:t>
      </w:r>
    </w:p>
    <w:p w:rsidR="00A40A0A" w:rsidRDefault="00A40A0A" w:rsidP="00F13F17">
      <w:pPr>
        <w:pStyle w:val="H1GA"/>
        <w:rPr>
          <w:rtl/>
        </w:rPr>
      </w:pPr>
      <w:r>
        <w:rPr>
          <w:rFonts w:hint="cs"/>
          <w:rtl/>
        </w:rPr>
        <w:tab/>
        <w:t>جيم-</w:t>
      </w:r>
      <w:r>
        <w:rPr>
          <w:rFonts w:hint="cs"/>
          <w:rtl/>
        </w:rPr>
        <w:tab/>
        <w:t>دواعي القلق والتوصيات</w:t>
      </w:r>
    </w:p>
    <w:p w:rsidR="00A40A0A" w:rsidRDefault="00A40A0A" w:rsidP="00F13F17">
      <w:pPr>
        <w:pStyle w:val="H23GA"/>
        <w:rPr>
          <w:rtl/>
        </w:rPr>
      </w:pPr>
      <w:r>
        <w:rPr>
          <w:rFonts w:hint="cs"/>
          <w:rtl/>
        </w:rPr>
        <w:tab/>
      </w:r>
      <w:r>
        <w:rPr>
          <w:rFonts w:hint="cs"/>
          <w:rtl/>
        </w:rPr>
        <w:tab/>
        <w:t>التمييز الهيكلي</w:t>
      </w:r>
    </w:p>
    <w:p w:rsidR="00A40A0A" w:rsidRDefault="00A40A0A" w:rsidP="00A40A0A">
      <w:pPr>
        <w:pStyle w:val="SingleTxtGA"/>
        <w:rPr>
          <w:rtl/>
        </w:rPr>
      </w:pPr>
      <w:r>
        <w:rPr>
          <w:rFonts w:hint="cs"/>
          <w:rtl/>
        </w:rPr>
        <w:t>6-</w:t>
      </w:r>
      <w:r>
        <w:rPr>
          <w:rFonts w:hint="cs"/>
          <w:rtl/>
        </w:rPr>
        <w:tab/>
        <w:t xml:space="preserve">تظل اللجنة منشغلة إزاء التمييز الهيكلي الذي ما زال يتعرض له أفراد الشعوب الأصلية والمنحدرون من أصل أفريقي، إلى جانب إغفال حقوق هؤلاء الأفراد. ويقيد التمييز الهيكلي إمكانية استفادة الشعوب الأصلية والمنحدرين من أصل أفريقي من تطبيق المعايير الدولية الدنيا في مجال التنمية، بما فيها تلك الواردة في أهداف التنمية المستدامة. وتعرب اللجنة عن أسفها إزاء عدم حصول أفراد الشعوب الأصلية والمنحدرين من أصل أفريقي والمهاجرين، لا سيما المهاجرين غير الشرعيين، على الخدمات الأساسية. واللجنة منشغلة بصفة خاصة إزاء حالات </w:t>
      </w:r>
      <w:r>
        <w:rPr>
          <w:rFonts w:eastAsiaTheme="minorEastAsia" w:hint="cs"/>
          <w:rtl/>
          <w:lang w:val="fr-FR" w:eastAsia="zh-CN"/>
        </w:rPr>
        <w:t>نقص</w:t>
      </w:r>
      <w:r>
        <w:rPr>
          <w:rFonts w:hint="cs"/>
          <w:rtl/>
        </w:rPr>
        <w:t xml:space="preserve"> تغذية الأطفال المنتمين إلى المجتمعات المحلية للشعوب الأصلية. وتعرب اللجنة عن أسفها أيضاً إزاء الصعوبات التي تواجهها المجتمعات المحلية للشعوب الأصلية في الحصول على المياه، وهي صعوبات تتفاقم بالافتقار إلى شهادات ملكية أراضيها وأنشطة الشركات التي تستغل الموارد الطبيعية (المواد 1 و2 و5). </w:t>
      </w:r>
    </w:p>
    <w:p w:rsidR="00A40A0A" w:rsidRPr="00DD7D91" w:rsidRDefault="00A40A0A" w:rsidP="00A40A0A">
      <w:pPr>
        <w:pStyle w:val="SingleTxtGA"/>
        <w:rPr>
          <w:b/>
          <w:bCs/>
          <w:rtl/>
        </w:rPr>
      </w:pPr>
      <w:r>
        <w:rPr>
          <w:rFonts w:hint="cs"/>
          <w:rtl/>
        </w:rPr>
        <w:t>7-</w:t>
      </w:r>
      <w:r>
        <w:rPr>
          <w:rFonts w:hint="cs"/>
          <w:rtl/>
        </w:rPr>
        <w:tab/>
      </w:r>
      <w:r w:rsidRPr="00DD7D91">
        <w:rPr>
          <w:rFonts w:hint="cs"/>
          <w:b/>
          <w:bCs/>
          <w:rtl/>
        </w:rPr>
        <w:t>توصي اللجنة الدولة الطرف بما يلي:</w:t>
      </w:r>
    </w:p>
    <w:p w:rsidR="00A40A0A" w:rsidRPr="00F13F17" w:rsidRDefault="00A40A0A" w:rsidP="00F13F17">
      <w:pPr>
        <w:pStyle w:val="SingleTxtGA"/>
        <w:rPr>
          <w:b/>
          <w:bCs/>
          <w:spacing w:val="-4"/>
          <w:rtl/>
        </w:rPr>
      </w:pPr>
      <w:r w:rsidRPr="00F13F17">
        <w:rPr>
          <w:rFonts w:hint="cs"/>
          <w:spacing w:val="-4"/>
          <w:rtl/>
        </w:rPr>
        <w:tab/>
        <w:t>(أ)</w:t>
      </w:r>
      <w:r w:rsidRPr="00F13F17">
        <w:rPr>
          <w:rFonts w:hint="cs"/>
          <w:spacing w:val="-4"/>
          <w:rtl/>
        </w:rPr>
        <w:tab/>
      </w:r>
      <w:r w:rsidRPr="00F13F17">
        <w:rPr>
          <w:rFonts w:hint="cs"/>
          <w:b/>
          <w:bCs/>
          <w:spacing w:val="-4"/>
          <w:rtl/>
        </w:rPr>
        <w:t>اعتماد سياسة متكاملة لمكافحة العنصرية والتمييز العنصري تشجع الإدماج الاجتماعي وتخفض مستويات الفقر العالية لدى أفراد الشعوب الأصلية والمنحدرين من أصل</w:t>
      </w:r>
      <w:r w:rsidR="00F13F17">
        <w:rPr>
          <w:rFonts w:hint="eastAsia"/>
          <w:b/>
          <w:bCs/>
          <w:spacing w:val="-4"/>
          <w:rtl/>
        </w:rPr>
        <w:t> </w:t>
      </w:r>
      <w:r w:rsidRPr="00F13F17">
        <w:rPr>
          <w:rFonts w:hint="cs"/>
          <w:b/>
          <w:bCs/>
          <w:spacing w:val="-4"/>
          <w:rtl/>
        </w:rPr>
        <w:t>أفريقي والمهاجرين، لا سيما المهاجرين غير الشرعيين. وتوصي اللجنة بأن تعزز الدولة</w:t>
      </w:r>
      <w:r w:rsidR="00F13F17">
        <w:rPr>
          <w:rFonts w:hint="eastAsia"/>
          <w:b/>
          <w:bCs/>
          <w:spacing w:val="-4"/>
          <w:rtl/>
        </w:rPr>
        <w:t> </w:t>
      </w:r>
      <w:r w:rsidRPr="00F13F17">
        <w:rPr>
          <w:rFonts w:hint="cs"/>
          <w:b/>
          <w:bCs/>
          <w:spacing w:val="-4"/>
          <w:rtl/>
        </w:rPr>
        <w:t xml:space="preserve">الطرف جهودها في سبيل التصدي لسوء تغذية الأطفال، الذي يؤثر تأثيراً خاصاً في الشعوب الأصلية؛ </w:t>
      </w:r>
    </w:p>
    <w:p w:rsidR="00A40A0A" w:rsidRPr="00DD7D91" w:rsidRDefault="00A40A0A" w:rsidP="00A40A0A">
      <w:pPr>
        <w:pStyle w:val="SingleTxtGA"/>
        <w:rPr>
          <w:b/>
          <w:bCs/>
          <w:rtl/>
        </w:rPr>
      </w:pPr>
      <w:r>
        <w:rPr>
          <w:rFonts w:hint="cs"/>
          <w:rtl/>
        </w:rPr>
        <w:tab/>
        <w:t>(ب)</w:t>
      </w:r>
      <w:r>
        <w:rPr>
          <w:rFonts w:hint="cs"/>
          <w:rtl/>
        </w:rPr>
        <w:tab/>
      </w:r>
      <w:r>
        <w:rPr>
          <w:rFonts w:hint="cs"/>
          <w:b/>
          <w:bCs/>
          <w:rtl/>
        </w:rPr>
        <w:t xml:space="preserve">مراعاة توصيتها </w:t>
      </w:r>
      <w:r w:rsidRPr="00DD7D91">
        <w:rPr>
          <w:rFonts w:hint="cs"/>
          <w:b/>
          <w:bCs/>
          <w:rtl/>
        </w:rPr>
        <w:t>ال</w:t>
      </w:r>
      <w:r>
        <w:rPr>
          <w:rFonts w:hint="cs"/>
          <w:b/>
          <w:bCs/>
          <w:rtl/>
        </w:rPr>
        <w:t>عامة رقم 32(2009) بشأن معنى ونطاق</w:t>
      </w:r>
      <w:r w:rsidRPr="00DD7D91">
        <w:rPr>
          <w:rFonts w:hint="cs"/>
          <w:b/>
          <w:bCs/>
          <w:rtl/>
        </w:rPr>
        <w:t xml:space="preserve"> التدابير الخاصة الواردة في الاتفاقية لدى اعتماد تدابير خاصة أو إجراءات إيجابية ترمي إلى </w:t>
      </w:r>
      <w:r>
        <w:rPr>
          <w:rFonts w:hint="cs"/>
          <w:b/>
          <w:bCs/>
          <w:rtl/>
        </w:rPr>
        <w:lastRenderedPageBreak/>
        <w:t>القضاء على</w:t>
      </w:r>
      <w:r w:rsidRPr="00DD7D91">
        <w:rPr>
          <w:rFonts w:hint="cs"/>
          <w:b/>
          <w:bCs/>
          <w:rtl/>
        </w:rPr>
        <w:t xml:space="preserve"> التمييز الهي</w:t>
      </w:r>
      <w:r>
        <w:rPr>
          <w:rFonts w:hint="cs"/>
          <w:b/>
          <w:bCs/>
          <w:rtl/>
        </w:rPr>
        <w:t>كلي ضد الشعوب الأصلية والمنحدرين</w:t>
      </w:r>
      <w:r w:rsidRPr="00DD7D91">
        <w:rPr>
          <w:rFonts w:hint="cs"/>
          <w:b/>
          <w:bCs/>
          <w:rtl/>
        </w:rPr>
        <w:t xml:space="preserve"> من أصل أفريقي. وتحث اللج</w:t>
      </w:r>
      <w:r>
        <w:rPr>
          <w:rFonts w:hint="cs"/>
          <w:b/>
          <w:bCs/>
          <w:rtl/>
        </w:rPr>
        <w:t>نة على تطوير مشروع "إبراز وتعزيز</w:t>
      </w:r>
      <w:r w:rsidRPr="00DD7D91">
        <w:rPr>
          <w:rFonts w:hint="cs"/>
          <w:b/>
          <w:bCs/>
          <w:rtl/>
        </w:rPr>
        <w:t xml:space="preserve"> حقوق المنحدرين من أصل أفريقي" وتنفيذ</w:t>
      </w:r>
      <w:r>
        <w:rPr>
          <w:rFonts w:hint="cs"/>
          <w:b/>
          <w:bCs/>
          <w:rtl/>
        </w:rPr>
        <w:t>ه</w:t>
      </w:r>
      <w:r w:rsidRPr="00DD7D91">
        <w:rPr>
          <w:rFonts w:hint="cs"/>
          <w:b/>
          <w:bCs/>
          <w:rtl/>
        </w:rPr>
        <w:t xml:space="preserve"> على النحو المناسب بغية الاعتراف بالمنحدرين من أصل أفريقي وتحسين بر</w:t>
      </w:r>
      <w:r>
        <w:rPr>
          <w:rFonts w:hint="cs"/>
          <w:b/>
          <w:bCs/>
          <w:rtl/>
        </w:rPr>
        <w:t>وزهم، مع مراعاة توصيتها</w:t>
      </w:r>
      <w:r w:rsidRPr="00DD7D91">
        <w:rPr>
          <w:rFonts w:hint="cs"/>
          <w:b/>
          <w:bCs/>
          <w:rtl/>
        </w:rPr>
        <w:t xml:space="preserve"> العام</w:t>
      </w:r>
      <w:r>
        <w:rPr>
          <w:rFonts w:hint="cs"/>
          <w:b/>
          <w:bCs/>
          <w:rtl/>
        </w:rPr>
        <w:t>ة</w:t>
      </w:r>
      <w:r w:rsidRPr="00DD7D91">
        <w:rPr>
          <w:rFonts w:hint="cs"/>
          <w:b/>
          <w:bCs/>
          <w:rtl/>
        </w:rPr>
        <w:t xml:space="preserve"> رقم 34(2011) بشأن التمييز العنصري ضد السكان المنحدرين من أصل أفريقي، و</w:t>
      </w:r>
      <w:r>
        <w:rPr>
          <w:rFonts w:hint="cs"/>
          <w:b/>
          <w:bCs/>
          <w:rtl/>
        </w:rPr>
        <w:t xml:space="preserve">كذلك </w:t>
      </w:r>
      <w:r w:rsidRPr="00DD7D91">
        <w:rPr>
          <w:rFonts w:hint="cs"/>
          <w:b/>
          <w:bCs/>
          <w:rtl/>
        </w:rPr>
        <w:t>بغية الاعتراف بحقوقهم؛</w:t>
      </w:r>
    </w:p>
    <w:p w:rsidR="00A40A0A" w:rsidRPr="00DD7D91" w:rsidRDefault="00A40A0A" w:rsidP="00A40A0A">
      <w:pPr>
        <w:pStyle w:val="SingleTxtGA"/>
        <w:rPr>
          <w:b/>
          <w:bCs/>
          <w:rtl/>
        </w:rPr>
      </w:pPr>
      <w:r w:rsidRPr="003F2C81">
        <w:rPr>
          <w:rFonts w:hint="cs"/>
          <w:rtl/>
        </w:rPr>
        <w:tab/>
        <w:t>(ج)</w:t>
      </w:r>
      <w:r w:rsidRPr="00DD7D91">
        <w:rPr>
          <w:rFonts w:hint="cs"/>
          <w:b/>
          <w:bCs/>
          <w:rtl/>
        </w:rPr>
        <w:tab/>
        <w:t xml:space="preserve">اتخاذ التدابير اللازمة لبلوغ أهداف التنمية المستدامة. </w:t>
      </w:r>
    </w:p>
    <w:p w:rsidR="00A40A0A" w:rsidRDefault="00A40A0A" w:rsidP="004A4CFA">
      <w:pPr>
        <w:pStyle w:val="H23GA"/>
      </w:pPr>
      <w:r>
        <w:rPr>
          <w:rFonts w:hint="cs"/>
          <w:rtl/>
        </w:rPr>
        <w:tab/>
      </w:r>
      <w:r>
        <w:rPr>
          <w:rFonts w:hint="cs"/>
          <w:rtl/>
        </w:rPr>
        <w:tab/>
        <w:t xml:space="preserve">السياسات العامة </w:t>
      </w:r>
      <w:bookmarkStart w:id="0" w:name="_GoBack"/>
      <w:bookmarkEnd w:id="0"/>
    </w:p>
    <w:p w:rsidR="00A40A0A" w:rsidRDefault="00A40A0A" w:rsidP="00A40A0A">
      <w:pPr>
        <w:pStyle w:val="SingleTxtGA"/>
        <w:rPr>
          <w:rtl/>
        </w:rPr>
      </w:pPr>
      <w:r>
        <w:rPr>
          <w:rFonts w:hint="cs"/>
          <w:rtl/>
        </w:rPr>
        <w:t>8-</w:t>
      </w:r>
      <w:r>
        <w:rPr>
          <w:rFonts w:hint="cs"/>
          <w:rtl/>
        </w:rPr>
        <w:tab/>
        <w:t xml:space="preserve">تلاحظ اللجنة اعتراف الدولة الطرف بطابع سكانها المتعدد </w:t>
      </w:r>
      <w:proofErr w:type="spellStart"/>
      <w:r>
        <w:rPr>
          <w:rFonts w:hint="cs"/>
          <w:rtl/>
        </w:rPr>
        <w:t>الإثنيات</w:t>
      </w:r>
      <w:proofErr w:type="spellEnd"/>
      <w:r>
        <w:rPr>
          <w:rFonts w:hint="cs"/>
          <w:rtl/>
        </w:rPr>
        <w:t xml:space="preserve"> والثقافات. بيد أن اللجنة تلاحظ بقلق عدم وجود إطار تشريعي شامل وآليات مناسبة لإعمال هذه ال</w:t>
      </w:r>
      <w:r>
        <w:rPr>
          <w:rFonts w:eastAsiaTheme="minorEastAsia" w:hint="cs"/>
          <w:rtl/>
          <w:lang w:val="fr-FR" w:eastAsia="zh-CN"/>
        </w:rPr>
        <w:t>حقوق</w:t>
      </w:r>
      <w:r>
        <w:rPr>
          <w:rFonts w:hint="cs"/>
          <w:rtl/>
        </w:rPr>
        <w:t xml:space="preserve"> إعمالاً كاملاً وفعالاً على نحو متجانس في كامل أنحاء إقليم الدولة الطرف، رغم وجود قواعد بشأن حماية حقوق الشعوب الأصلية (المادتان 2 و5).</w:t>
      </w:r>
    </w:p>
    <w:p w:rsidR="00A40A0A" w:rsidRPr="00DD7D91" w:rsidRDefault="00A40A0A" w:rsidP="00A40A0A">
      <w:pPr>
        <w:pStyle w:val="SingleTxtGA"/>
        <w:rPr>
          <w:b/>
          <w:bCs/>
          <w:rtl/>
        </w:rPr>
      </w:pPr>
      <w:r>
        <w:rPr>
          <w:rFonts w:hint="cs"/>
          <w:rtl/>
        </w:rPr>
        <w:t>9-</w:t>
      </w:r>
      <w:r>
        <w:rPr>
          <w:rFonts w:hint="cs"/>
          <w:rtl/>
        </w:rPr>
        <w:tab/>
      </w:r>
      <w:r w:rsidRPr="00DD7D91">
        <w:rPr>
          <w:rFonts w:hint="cs"/>
          <w:b/>
          <w:bCs/>
          <w:rtl/>
        </w:rPr>
        <w:t>تقترح اللجنة أن تعكس الدولة الطرف في تشريعاتها رؤيت</w:t>
      </w:r>
      <w:r>
        <w:rPr>
          <w:rFonts w:hint="cs"/>
          <w:b/>
          <w:bCs/>
          <w:rtl/>
        </w:rPr>
        <w:t xml:space="preserve">ها لما تتسم به من طابع متعدد </w:t>
      </w:r>
      <w:proofErr w:type="spellStart"/>
      <w:r>
        <w:rPr>
          <w:rFonts w:hint="cs"/>
          <w:b/>
          <w:bCs/>
          <w:rtl/>
        </w:rPr>
        <w:t>الإ</w:t>
      </w:r>
      <w:r w:rsidRPr="00DD7D91">
        <w:rPr>
          <w:rFonts w:hint="cs"/>
          <w:b/>
          <w:bCs/>
          <w:rtl/>
        </w:rPr>
        <w:t>ثنيات</w:t>
      </w:r>
      <w:proofErr w:type="spellEnd"/>
      <w:r w:rsidRPr="00DD7D91">
        <w:rPr>
          <w:rFonts w:hint="cs"/>
          <w:b/>
          <w:bCs/>
          <w:rtl/>
        </w:rPr>
        <w:t xml:space="preserve"> والثقافات. وت</w:t>
      </w:r>
      <w:r>
        <w:rPr>
          <w:rFonts w:hint="cs"/>
          <w:b/>
          <w:bCs/>
          <w:rtl/>
        </w:rPr>
        <w:t xml:space="preserve">وصي اللجنة بإعطاء الأولوية في </w:t>
      </w:r>
      <w:r w:rsidRPr="00DD7D91">
        <w:rPr>
          <w:rFonts w:hint="cs"/>
          <w:b/>
          <w:bCs/>
          <w:rtl/>
        </w:rPr>
        <w:t>برنامج</w:t>
      </w:r>
      <w:r>
        <w:rPr>
          <w:rFonts w:hint="cs"/>
          <w:b/>
          <w:bCs/>
          <w:rtl/>
        </w:rPr>
        <w:t>ها</w:t>
      </w:r>
      <w:r w:rsidRPr="00DD7D91">
        <w:rPr>
          <w:rFonts w:hint="cs"/>
          <w:b/>
          <w:bCs/>
          <w:rtl/>
        </w:rPr>
        <w:t xml:space="preserve"> التشريعي لل</w:t>
      </w:r>
      <w:r>
        <w:rPr>
          <w:rFonts w:hint="cs"/>
          <w:b/>
          <w:bCs/>
          <w:rtl/>
        </w:rPr>
        <w:t xml:space="preserve">مبادرات </w:t>
      </w:r>
      <w:r w:rsidRPr="00DD7D91">
        <w:rPr>
          <w:rFonts w:hint="cs"/>
          <w:b/>
          <w:bCs/>
          <w:rtl/>
        </w:rPr>
        <w:t>الرامية إلى مكافحة التمييز العنصري وتعزي</w:t>
      </w:r>
      <w:r>
        <w:rPr>
          <w:rFonts w:hint="cs"/>
          <w:b/>
          <w:bCs/>
          <w:rtl/>
        </w:rPr>
        <w:t>ز حقوق الشعوب الأصلية والمنحدرين</w:t>
      </w:r>
      <w:r w:rsidRPr="00DD7D91">
        <w:rPr>
          <w:rFonts w:hint="cs"/>
          <w:b/>
          <w:bCs/>
          <w:rtl/>
        </w:rPr>
        <w:t xml:space="preserve"> من أص</w:t>
      </w:r>
      <w:r>
        <w:rPr>
          <w:rFonts w:hint="cs"/>
          <w:b/>
          <w:bCs/>
          <w:rtl/>
        </w:rPr>
        <w:t>ل أفريقي، بالتشاور مع هاتين الفئتين</w:t>
      </w:r>
      <w:r w:rsidRPr="00DD7D91">
        <w:rPr>
          <w:rFonts w:hint="cs"/>
          <w:b/>
          <w:bCs/>
          <w:rtl/>
        </w:rPr>
        <w:t xml:space="preserve">، بغية إرساء إطار تشريعي مناسب على امتداد الإقليم. </w:t>
      </w:r>
    </w:p>
    <w:p w:rsidR="00A40A0A" w:rsidRDefault="00A40A0A" w:rsidP="004A4CFA">
      <w:pPr>
        <w:pStyle w:val="H23GA"/>
        <w:rPr>
          <w:rtl/>
        </w:rPr>
      </w:pPr>
      <w:r>
        <w:rPr>
          <w:rFonts w:hint="cs"/>
          <w:rtl/>
        </w:rPr>
        <w:tab/>
      </w:r>
      <w:r>
        <w:rPr>
          <w:rFonts w:hint="cs"/>
          <w:rtl/>
        </w:rPr>
        <w:tab/>
        <w:t>تركيبة السكان الديمغرافية والبيانات الإحصائية</w:t>
      </w:r>
    </w:p>
    <w:p w:rsidR="00A40A0A" w:rsidRPr="004A4CFA" w:rsidRDefault="00A40A0A" w:rsidP="00A40A0A">
      <w:pPr>
        <w:pStyle w:val="SingleTxtGA"/>
        <w:rPr>
          <w:spacing w:val="-2"/>
          <w:rtl/>
        </w:rPr>
      </w:pPr>
      <w:r w:rsidRPr="004A4CFA">
        <w:rPr>
          <w:rFonts w:hint="cs"/>
          <w:spacing w:val="-2"/>
          <w:rtl/>
        </w:rPr>
        <w:t>10-</w:t>
      </w:r>
      <w:r w:rsidRPr="004A4CFA">
        <w:rPr>
          <w:rFonts w:hint="cs"/>
          <w:spacing w:val="-2"/>
          <w:rtl/>
        </w:rPr>
        <w:tab/>
        <w:t xml:space="preserve">تحيط اللجنة علماً بالمعلومات المقدمة من الدولة الطرف بشأن التعداد الوطني للسكان والأسر والمساكن لعام 2010، لكنها تعرب عن أسفها لأن سؤال تحديد الهوية الذاتي في حالة الشعوب الأصلية والمنحدرين من أصل أفريقي لم يدرج في الاستمارة العامة، </w:t>
      </w:r>
      <w:r w:rsidRPr="004A4CFA">
        <w:rPr>
          <w:rFonts w:eastAsiaTheme="minorEastAsia" w:hint="cs"/>
          <w:spacing w:val="-2"/>
          <w:rtl/>
          <w:lang w:val="fr-FR" w:eastAsia="zh-CN"/>
        </w:rPr>
        <w:t>م</w:t>
      </w:r>
      <w:r w:rsidRPr="004A4CFA">
        <w:rPr>
          <w:rFonts w:hint="cs"/>
          <w:spacing w:val="-2"/>
          <w:rtl/>
        </w:rPr>
        <w:t>ما حال دون استيعاب كامل لواقع هذه الفئات. وتعرب اللجنة عن أسفها إزاء عدم تقديم معلومات عن الغجر. كما تعرب عن أسفها إزاء عدم ورود بيانات مصنفة جديرة بالثقة تسمح بتقييم مستويات التمييز ضد الأقليات؛ ونقص مؤشرات حقوق الإنسان والمؤشرات الاجتماعية الاقتصادية اللازمة لتقييم ظروف المعيشة، وكذلك التقدم المحرز صوب المساواة في إعمال الحقوق الواردة في الاتفاقية (المادة 2(1</w:t>
      </w:r>
      <w:r w:rsidR="002D54F1">
        <w:rPr>
          <w:rFonts w:hint="cs"/>
          <w:spacing w:val="-2"/>
          <w:rtl/>
        </w:rPr>
        <w:t>1</w:t>
      </w:r>
      <w:r w:rsidRPr="004A4CFA">
        <w:rPr>
          <w:rFonts w:hint="cs"/>
          <w:spacing w:val="-2"/>
          <w:rtl/>
        </w:rPr>
        <w:t xml:space="preserve">)). </w:t>
      </w:r>
    </w:p>
    <w:p w:rsidR="00A40A0A" w:rsidRPr="00DD7D91" w:rsidRDefault="00A40A0A" w:rsidP="003F2C81">
      <w:pPr>
        <w:pStyle w:val="SingleTxtGA"/>
        <w:spacing w:line="370" w:lineRule="exact"/>
        <w:rPr>
          <w:b/>
          <w:bCs/>
          <w:rtl/>
        </w:rPr>
      </w:pPr>
      <w:r>
        <w:rPr>
          <w:rFonts w:hint="cs"/>
          <w:rtl/>
        </w:rPr>
        <w:t>11-</w:t>
      </w:r>
      <w:r>
        <w:rPr>
          <w:rFonts w:hint="cs"/>
          <w:rtl/>
        </w:rPr>
        <w:tab/>
      </w:r>
      <w:r w:rsidRPr="00DD7D91">
        <w:rPr>
          <w:rFonts w:hint="cs"/>
          <w:b/>
          <w:bCs/>
          <w:rtl/>
        </w:rPr>
        <w:t xml:space="preserve">تحث اللجنة الدولة الطرف، في ضوء توصيتها العامة رقم 4(1973) بشأن تقديم </w:t>
      </w:r>
      <w:r>
        <w:rPr>
          <w:rFonts w:hint="cs"/>
          <w:b/>
          <w:bCs/>
          <w:rtl/>
        </w:rPr>
        <w:t>ال</w:t>
      </w:r>
      <w:r w:rsidRPr="00DD7D91">
        <w:rPr>
          <w:rFonts w:hint="cs"/>
          <w:b/>
          <w:bCs/>
          <w:rtl/>
        </w:rPr>
        <w:t xml:space="preserve">تقارير من جانب الدول الأطراف، ومبادئها التوجيهية المنقحة لتقديم تقارير (انظر </w:t>
      </w:r>
      <w:r w:rsidRPr="00DD7D91">
        <w:rPr>
          <w:b/>
          <w:bCs/>
        </w:rPr>
        <w:t>CERD/C/2007/1</w:t>
      </w:r>
      <w:r>
        <w:rPr>
          <w:rFonts w:hint="cs"/>
          <w:b/>
          <w:bCs/>
          <w:rtl/>
        </w:rPr>
        <w:t>، الفقرتان 10 و12)، على أ</w:t>
      </w:r>
      <w:r w:rsidRPr="00DD7D91">
        <w:rPr>
          <w:rFonts w:hint="cs"/>
          <w:b/>
          <w:bCs/>
          <w:rtl/>
        </w:rPr>
        <w:t>ن تجمع وتقدم بيانات إحصائية دقيقة ومحدثة بشأن تركيبة السكان الديمغرافية، ول</w:t>
      </w:r>
      <w:r>
        <w:rPr>
          <w:rFonts w:hint="cs"/>
          <w:b/>
          <w:bCs/>
          <w:rtl/>
        </w:rPr>
        <w:t>ا سيما الشعوب الأصلية والمنحدرين</w:t>
      </w:r>
      <w:r w:rsidRPr="00DD7D91">
        <w:rPr>
          <w:rFonts w:hint="cs"/>
          <w:b/>
          <w:bCs/>
          <w:rtl/>
        </w:rPr>
        <w:t xml:space="preserve"> من أصل أفريقي والغجر والمهاجرين، إلى جانب مؤشرات بشأن الحقوق المدنية والسياسية والاقتصادية والاجتماعية تعكس مضمون تلك الحقوق على نحو مناسب. ويرجى إدراج </w:t>
      </w:r>
      <w:r w:rsidRPr="00DD7D91">
        <w:rPr>
          <w:rFonts w:hint="cs"/>
          <w:b/>
          <w:bCs/>
          <w:rtl/>
        </w:rPr>
        <w:lastRenderedPageBreak/>
        <w:t xml:space="preserve">معلومات عن تقييم تنفيذ هذه الملاحظات الختامية، وخطة العمل الوطنية لحقوق الإنسان (2017-2020) التي يجري إعدادها، وبرامج مكافحة التمييز العنصري </w:t>
      </w:r>
      <w:r>
        <w:rPr>
          <w:rFonts w:hint="cs"/>
          <w:b/>
          <w:bCs/>
          <w:rtl/>
        </w:rPr>
        <w:t>ال</w:t>
      </w:r>
      <w:r w:rsidRPr="00DD7D91">
        <w:rPr>
          <w:rFonts w:hint="cs"/>
          <w:b/>
          <w:bCs/>
          <w:rtl/>
        </w:rPr>
        <w:t>قائمة، بما فيها خريطة التمييز الوطنية لعام 201</w:t>
      </w:r>
      <w:r>
        <w:rPr>
          <w:rFonts w:hint="cs"/>
          <w:b/>
          <w:bCs/>
          <w:rtl/>
        </w:rPr>
        <w:t>3 التي أعدها المعهد الوطني لمكافحة</w:t>
      </w:r>
      <w:r w:rsidRPr="00DD7D91">
        <w:rPr>
          <w:rFonts w:hint="cs"/>
          <w:b/>
          <w:bCs/>
          <w:rtl/>
        </w:rPr>
        <w:t xml:space="preserve"> التمييز </w:t>
      </w:r>
      <w:r>
        <w:rPr>
          <w:rFonts w:hint="cs"/>
          <w:b/>
          <w:bCs/>
          <w:rtl/>
        </w:rPr>
        <w:t xml:space="preserve">وكراهية الأجانب </w:t>
      </w:r>
      <w:r w:rsidRPr="001C4808">
        <w:rPr>
          <w:b/>
          <w:bCs/>
          <w:rtl/>
        </w:rPr>
        <w:t>والعنصرية</w:t>
      </w:r>
      <w:r>
        <w:rPr>
          <w:rFonts w:hint="cs"/>
          <w:b/>
          <w:bCs/>
          <w:rtl/>
        </w:rPr>
        <w:t>.</w:t>
      </w:r>
      <w:r w:rsidRPr="00DD7D91">
        <w:rPr>
          <w:rFonts w:hint="cs"/>
          <w:b/>
          <w:bCs/>
          <w:rtl/>
        </w:rPr>
        <w:t xml:space="preserve"> </w:t>
      </w:r>
    </w:p>
    <w:p w:rsidR="00A40A0A" w:rsidRDefault="00A40A0A" w:rsidP="003F2C81">
      <w:pPr>
        <w:pStyle w:val="H23GA"/>
        <w:spacing w:line="370" w:lineRule="exact"/>
        <w:rPr>
          <w:rtl/>
        </w:rPr>
      </w:pPr>
      <w:r>
        <w:rPr>
          <w:rFonts w:hint="cs"/>
          <w:rtl/>
        </w:rPr>
        <w:tab/>
      </w:r>
      <w:r>
        <w:rPr>
          <w:rFonts w:hint="cs"/>
          <w:rtl/>
        </w:rPr>
        <w:tab/>
        <w:t xml:space="preserve">إدراج </w:t>
      </w:r>
      <w:r>
        <w:rPr>
          <w:rFonts w:eastAsiaTheme="minorEastAsia" w:hint="cs"/>
          <w:rtl/>
          <w:lang w:val="fr-FR" w:eastAsia="zh-CN"/>
        </w:rPr>
        <w:t xml:space="preserve">جريمة </w:t>
      </w:r>
      <w:r>
        <w:rPr>
          <w:rFonts w:hint="cs"/>
          <w:rtl/>
        </w:rPr>
        <w:t>التمييز العنصري</w:t>
      </w:r>
    </w:p>
    <w:p w:rsidR="00A40A0A" w:rsidRDefault="00A40A0A" w:rsidP="003F2C81">
      <w:pPr>
        <w:pStyle w:val="SingleTxtGA"/>
        <w:spacing w:line="370" w:lineRule="exact"/>
        <w:rPr>
          <w:b/>
          <w:rtl/>
        </w:rPr>
      </w:pPr>
      <w:r>
        <w:rPr>
          <w:rFonts w:hint="cs"/>
          <w:b/>
          <w:rtl/>
        </w:rPr>
        <w:t>12-</w:t>
      </w:r>
      <w:r>
        <w:rPr>
          <w:rFonts w:hint="cs"/>
          <w:b/>
          <w:rtl/>
        </w:rPr>
        <w:tab/>
        <w:t>تظل اللجنة قلقة لأن الدولة الطرف لم تدرج جريمة</w:t>
      </w:r>
      <w:r w:rsidR="000D31B8">
        <w:rPr>
          <w:rFonts w:hint="cs"/>
          <w:b/>
          <w:rtl/>
        </w:rPr>
        <w:t xml:space="preserve"> </w:t>
      </w:r>
      <w:r>
        <w:rPr>
          <w:rFonts w:hint="cs"/>
          <w:b/>
          <w:rtl/>
        </w:rPr>
        <w:t xml:space="preserve">التمييز العنصري في القانون، طبقاً للاتفاقية (المادة 4). </w:t>
      </w:r>
    </w:p>
    <w:p w:rsidR="00A40A0A" w:rsidRPr="00DD7D91" w:rsidRDefault="00A40A0A" w:rsidP="003F2C81">
      <w:pPr>
        <w:pStyle w:val="SingleTxtGA"/>
        <w:spacing w:line="370" w:lineRule="exact"/>
        <w:rPr>
          <w:bCs/>
          <w:rtl/>
        </w:rPr>
      </w:pPr>
      <w:r>
        <w:rPr>
          <w:rFonts w:hint="cs"/>
          <w:b/>
          <w:rtl/>
        </w:rPr>
        <w:t>13-</w:t>
      </w:r>
      <w:r>
        <w:rPr>
          <w:rFonts w:hint="cs"/>
          <w:b/>
          <w:rtl/>
        </w:rPr>
        <w:tab/>
      </w:r>
      <w:r w:rsidRPr="00DD7D91">
        <w:rPr>
          <w:rFonts w:hint="cs"/>
          <w:bCs/>
          <w:rtl/>
        </w:rPr>
        <w:t>في ضوء التوصيتين العامتين 7(1985) بشأن تنفيذ المادة 4 من الاتفاقية ورقم</w:t>
      </w:r>
      <w:r>
        <w:rPr>
          <w:rFonts w:hint="eastAsia"/>
          <w:bCs/>
          <w:rtl/>
        </w:rPr>
        <w:t> </w:t>
      </w:r>
      <w:r w:rsidRPr="00DD7D91">
        <w:rPr>
          <w:rFonts w:hint="cs"/>
          <w:bCs/>
          <w:rtl/>
        </w:rPr>
        <w:t>15(1993) بشأن المادة</w:t>
      </w:r>
      <w:r>
        <w:rPr>
          <w:rFonts w:hint="cs"/>
          <w:bCs/>
          <w:rtl/>
        </w:rPr>
        <w:t xml:space="preserve"> 4 من الاتفاقية، والتوصية المقدمة فيما سبق</w:t>
      </w:r>
      <w:r w:rsidRPr="00DD7D91">
        <w:rPr>
          <w:rFonts w:hint="cs"/>
          <w:bCs/>
          <w:rtl/>
        </w:rPr>
        <w:t xml:space="preserve"> (انظر </w:t>
      </w:r>
      <w:r w:rsidRPr="00DD7D91">
        <w:rPr>
          <w:b/>
        </w:rPr>
        <w:t>CERD/C/ARG/CO/19-20</w:t>
      </w:r>
      <w:r w:rsidRPr="00DD7D91">
        <w:rPr>
          <w:rFonts w:hint="cs"/>
          <w:b/>
          <w:rtl/>
        </w:rPr>
        <w:t xml:space="preserve">، </w:t>
      </w:r>
      <w:r w:rsidRPr="004A4CFA">
        <w:rPr>
          <w:rFonts w:hint="cs"/>
          <w:bCs/>
          <w:rtl/>
        </w:rPr>
        <w:t>الفقرة</w:t>
      </w:r>
      <w:r w:rsidRPr="00DD7D91">
        <w:rPr>
          <w:rFonts w:hint="cs"/>
          <w:b/>
          <w:rtl/>
        </w:rPr>
        <w:t xml:space="preserve"> </w:t>
      </w:r>
      <w:r w:rsidRPr="00DD7D91">
        <w:rPr>
          <w:rFonts w:hint="cs"/>
          <w:bCs/>
          <w:rtl/>
        </w:rPr>
        <w:t>15)، تحث اللجنة الدولة الطرف على أن ت</w:t>
      </w:r>
      <w:r>
        <w:rPr>
          <w:rFonts w:hint="cs"/>
          <w:bCs/>
          <w:rtl/>
        </w:rPr>
        <w:t xml:space="preserve">درج في القانون </w:t>
      </w:r>
      <w:r w:rsidRPr="00DD7D91">
        <w:rPr>
          <w:rFonts w:hint="cs"/>
          <w:bCs/>
          <w:rtl/>
        </w:rPr>
        <w:t xml:space="preserve">جريمة </w:t>
      </w:r>
      <w:r>
        <w:rPr>
          <w:rFonts w:hint="cs"/>
          <w:bCs/>
          <w:rtl/>
        </w:rPr>
        <w:t>ارتكاب</w:t>
      </w:r>
      <w:r w:rsidR="000D31B8">
        <w:rPr>
          <w:rFonts w:hint="cs"/>
          <w:bCs/>
          <w:rtl/>
        </w:rPr>
        <w:t xml:space="preserve"> </w:t>
      </w:r>
      <w:r w:rsidRPr="00DD7D91">
        <w:rPr>
          <w:rFonts w:hint="cs"/>
          <w:bCs/>
          <w:rtl/>
        </w:rPr>
        <w:t>أعمال</w:t>
      </w:r>
      <w:r>
        <w:rPr>
          <w:rFonts w:hint="cs"/>
          <w:bCs/>
          <w:rtl/>
        </w:rPr>
        <w:t xml:space="preserve"> التمييز العنصري والأفعال الموصوفة في المادة 4 من الاتفاقية، آ</w:t>
      </w:r>
      <w:r w:rsidRPr="00DD7D91">
        <w:rPr>
          <w:rFonts w:hint="cs"/>
          <w:bCs/>
          <w:rtl/>
        </w:rPr>
        <w:t xml:space="preserve">خذة في اعتبارها التوصية العامة رقم 35(2013) بشأن مكافحة خطاب التحريض على الكراهية العنصرية. </w:t>
      </w:r>
    </w:p>
    <w:p w:rsidR="00A40A0A" w:rsidRDefault="00A40A0A" w:rsidP="003F2C81">
      <w:pPr>
        <w:pStyle w:val="H23GA"/>
        <w:spacing w:line="370" w:lineRule="exact"/>
        <w:rPr>
          <w:rtl/>
        </w:rPr>
      </w:pPr>
      <w:r>
        <w:rPr>
          <w:rFonts w:hint="cs"/>
          <w:rtl/>
        </w:rPr>
        <w:tab/>
      </w:r>
      <w:r>
        <w:rPr>
          <w:rFonts w:hint="cs"/>
          <w:rtl/>
        </w:rPr>
        <w:tab/>
        <w:t>أمين المظالم ومكتب الدفاع العام المعني بخدمات الاتصال السمعي البصري</w:t>
      </w:r>
    </w:p>
    <w:p w:rsidR="00A40A0A" w:rsidRDefault="00A40A0A" w:rsidP="003F2C81">
      <w:pPr>
        <w:pStyle w:val="SingleTxtGA"/>
        <w:spacing w:line="370" w:lineRule="exact"/>
        <w:rPr>
          <w:rtl/>
        </w:rPr>
      </w:pPr>
      <w:r>
        <w:rPr>
          <w:rFonts w:hint="cs"/>
          <w:rtl/>
        </w:rPr>
        <w:t>14-</w:t>
      </w:r>
      <w:r>
        <w:rPr>
          <w:rFonts w:hint="cs"/>
          <w:rtl/>
        </w:rPr>
        <w:tab/>
        <w:t xml:space="preserve">تعرب اللجنة عن أسفها لعدم تعيين أمين مظالم منذ عام 2009. وتعرب عن أسفها أيضاً لأن وظيفة الدفاع العام المعني بخدمات الاتصال السمعي البصري ظلت شاغرة في الفترة الأخيرة (المادة 2(1)). </w:t>
      </w:r>
    </w:p>
    <w:p w:rsidR="00A40A0A" w:rsidRPr="00D941F8" w:rsidRDefault="00A40A0A" w:rsidP="003F2C81">
      <w:pPr>
        <w:pStyle w:val="SingleTxtGA"/>
        <w:spacing w:line="370" w:lineRule="exact"/>
        <w:rPr>
          <w:b/>
          <w:bCs/>
          <w:rtl/>
        </w:rPr>
      </w:pPr>
      <w:r>
        <w:rPr>
          <w:rFonts w:hint="cs"/>
          <w:rtl/>
        </w:rPr>
        <w:t>15-</w:t>
      </w:r>
      <w:r>
        <w:rPr>
          <w:rFonts w:hint="cs"/>
          <w:rtl/>
        </w:rPr>
        <w:tab/>
      </w:r>
      <w:r w:rsidRPr="00D941F8">
        <w:rPr>
          <w:rFonts w:hint="cs"/>
          <w:b/>
          <w:bCs/>
          <w:rtl/>
        </w:rPr>
        <w:t xml:space="preserve">تحث اللجنة الدولة الطرف، في ضوء توصيتها السابقة (انظر </w:t>
      </w:r>
      <w:r w:rsidRPr="00D941F8">
        <w:rPr>
          <w:b/>
          <w:bCs/>
        </w:rPr>
        <w:t>CERD/C/ARG/CO/19-20</w:t>
      </w:r>
      <w:r w:rsidRPr="00D941F8">
        <w:rPr>
          <w:rFonts w:hint="cs"/>
          <w:b/>
          <w:bCs/>
          <w:rtl/>
        </w:rPr>
        <w:t xml:space="preserve">، الفقرة 16)، على الإسراع في اتخاذ جميع التدابير اللازمة للشروع في تعيين أمين </w:t>
      </w:r>
      <w:r>
        <w:rPr>
          <w:rFonts w:hint="cs"/>
          <w:b/>
          <w:bCs/>
          <w:rtl/>
        </w:rPr>
        <w:t>ال</w:t>
      </w:r>
      <w:r w:rsidRPr="00D941F8">
        <w:rPr>
          <w:rFonts w:hint="cs"/>
          <w:b/>
          <w:bCs/>
          <w:rtl/>
        </w:rPr>
        <w:t>مظالم بواسطة عملية اختيار وتعيين شفافة وقائمة على المشاركة تعطى فيها الأولوية للاستحقاق والقدرة والنزاهة، وكذلك ت</w:t>
      </w:r>
      <w:r>
        <w:rPr>
          <w:rFonts w:hint="cs"/>
          <w:b/>
          <w:bCs/>
          <w:rtl/>
        </w:rPr>
        <w:t>عيين ممثل لمكتب الدفاع العام المعني</w:t>
      </w:r>
      <w:r w:rsidRPr="00D941F8">
        <w:rPr>
          <w:rFonts w:hint="cs"/>
          <w:b/>
          <w:bCs/>
          <w:rtl/>
        </w:rPr>
        <w:t xml:space="preserve"> بخدمات الاتصال السمعي البصري. </w:t>
      </w:r>
    </w:p>
    <w:p w:rsidR="00A40A0A" w:rsidRDefault="00A40A0A" w:rsidP="004A4CFA">
      <w:pPr>
        <w:pStyle w:val="H23GA"/>
        <w:rPr>
          <w:rtl/>
        </w:rPr>
      </w:pPr>
      <w:r>
        <w:rPr>
          <w:rFonts w:hint="cs"/>
          <w:rtl/>
        </w:rPr>
        <w:tab/>
      </w:r>
      <w:r>
        <w:rPr>
          <w:rFonts w:hint="cs"/>
          <w:rtl/>
        </w:rPr>
        <w:tab/>
        <w:t>تدعيم المؤسسات</w:t>
      </w:r>
    </w:p>
    <w:p w:rsidR="00A40A0A" w:rsidRPr="004A4CFA" w:rsidRDefault="00A40A0A" w:rsidP="003F2C81">
      <w:pPr>
        <w:pStyle w:val="SingleTxtGA"/>
        <w:spacing w:line="370" w:lineRule="exact"/>
        <w:rPr>
          <w:spacing w:val="-4"/>
          <w:rtl/>
        </w:rPr>
      </w:pPr>
      <w:r>
        <w:rPr>
          <w:rFonts w:hint="cs"/>
          <w:rtl/>
        </w:rPr>
        <w:t>16-</w:t>
      </w:r>
      <w:r>
        <w:rPr>
          <w:rFonts w:hint="cs"/>
          <w:rtl/>
        </w:rPr>
        <w:tab/>
        <w:t>تعرب اللجنة عن أسفها إزاء عدم مشاركة الشعوب الأصلية مشاركة كاملة ومنهجية في المنظمات العاملة على تمثيلها، مثل المعهد الوطني لشؤون الشعوب الأصلية، ومجلس إشراك الشعوب الأصلية، والمجلس الاستشاري والتشاركي للشعوب الأصلية. وتلاحظ اللجنة زيادة ميزانية المعهد الوطني لشؤون الشعوب الأصلية، لكنها تعرب عن أسفها: (أ) لأن مخصصات الميزانية قد لا تكون كافية للاضطلاع بوظائفها بصورة فعالة؛ (ب) ولنقص</w:t>
      </w:r>
      <w:r>
        <w:rPr>
          <w:rFonts w:eastAsiaTheme="minorEastAsia" w:hint="cs"/>
          <w:rtl/>
          <w:lang w:val="fr-FR" w:eastAsia="zh-CN"/>
        </w:rPr>
        <w:t xml:space="preserve"> </w:t>
      </w:r>
      <w:r>
        <w:rPr>
          <w:rFonts w:hint="cs"/>
          <w:rtl/>
        </w:rPr>
        <w:t xml:space="preserve">تمثيل المعهد الوطني </w:t>
      </w:r>
      <w:r w:rsidRPr="004A4CFA">
        <w:rPr>
          <w:rFonts w:hint="cs"/>
          <w:spacing w:val="-4"/>
          <w:rtl/>
        </w:rPr>
        <w:t xml:space="preserve">لشؤون الشعوب الأصلية على مستوى المحافظات؛ (ج) ولعدم تعيين موظفين من الشعوب الأصلية من ذوي الكفاءة في هذا المجال. ويساور اللجنة القلق أيضاً إزاء التدخل الإداري من جانب المعهد منذ عام 2011، مما قد يضعف الاستقلال ويحد من القدرة على العمل (المادة 2). </w:t>
      </w:r>
    </w:p>
    <w:p w:rsidR="00A40A0A" w:rsidRPr="00D941F8" w:rsidRDefault="00A40A0A" w:rsidP="00A40A0A">
      <w:pPr>
        <w:pStyle w:val="SingleTxtGA"/>
        <w:rPr>
          <w:b/>
          <w:bCs/>
          <w:rtl/>
        </w:rPr>
      </w:pPr>
      <w:r>
        <w:rPr>
          <w:rFonts w:hint="cs"/>
          <w:rtl/>
        </w:rPr>
        <w:lastRenderedPageBreak/>
        <w:t>17-</w:t>
      </w:r>
      <w:r>
        <w:rPr>
          <w:rFonts w:hint="cs"/>
          <w:rtl/>
        </w:rPr>
        <w:tab/>
      </w:r>
      <w:r w:rsidRPr="00D941F8">
        <w:rPr>
          <w:rFonts w:hint="cs"/>
          <w:b/>
          <w:bCs/>
          <w:rtl/>
        </w:rPr>
        <w:t>تحث اللجنة الدولة الطرف على ما يلي:</w:t>
      </w:r>
    </w:p>
    <w:p w:rsidR="00A40A0A" w:rsidRPr="004A4CFA" w:rsidRDefault="00A40A0A" w:rsidP="00A40A0A">
      <w:pPr>
        <w:pStyle w:val="SingleTxtGA"/>
        <w:rPr>
          <w:b/>
          <w:bCs/>
          <w:spacing w:val="-2"/>
          <w:rtl/>
        </w:rPr>
      </w:pPr>
      <w:r w:rsidRPr="004A4CFA">
        <w:rPr>
          <w:rFonts w:hint="cs"/>
          <w:spacing w:val="-2"/>
          <w:rtl/>
        </w:rPr>
        <w:tab/>
        <w:t>(أ)</w:t>
      </w:r>
      <w:r w:rsidRPr="004A4CFA">
        <w:rPr>
          <w:rFonts w:hint="cs"/>
          <w:spacing w:val="-2"/>
          <w:rtl/>
        </w:rPr>
        <w:tab/>
      </w:r>
      <w:r w:rsidRPr="004A4CFA">
        <w:rPr>
          <w:rFonts w:hint="cs"/>
          <w:b/>
          <w:bCs/>
          <w:spacing w:val="-2"/>
          <w:rtl/>
        </w:rPr>
        <w:t>اتخاذ جميع التدابير اللازمة لضمان مشاركة الشعوب الأصلية والمنحدرين من أصل أفريقي والمهاجرين مشاركة كاملة وفعالة في المؤسسات التي تمثلهم أو تعمل على مكافحة التمييز العنصري؛</w:t>
      </w:r>
      <w:r w:rsidR="003F2C81">
        <w:rPr>
          <w:rFonts w:hint="cs"/>
          <w:b/>
          <w:bCs/>
          <w:spacing w:val="-2"/>
          <w:rtl/>
        </w:rPr>
        <w:t xml:space="preserve"> </w:t>
      </w:r>
    </w:p>
    <w:p w:rsidR="00A40A0A" w:rsidRPr="00D941F8" w:rsidRDefault="00A40A0A" w:rsidP="00A40A0A">
      <w:pPr>
        <w:pStyle w:val="SingleTxtGA"/>
        <w:rPr>
          <w:b/>
          <w:bCs/>
          <w:rtl/>
        </w:rPr>
      </w:pPr>
      <w:r>
        <w:rPr>
          <w:rFonts w:hint="cs"/>
          <w:rtl/>
        </w:rPr>
        <w:tab/>
        <w:t>(ب)</w:t>
      </w:r>
      <w:r>
        <w:rPr>
          <w:rFonts w:hint="cs"/>
          <w:rtl/>
        </w:rPr>
        <w:tab/>
      </w:r>
      <w:r>
        <w:rPr>
          <w:rFonts w:hint="cs"/>
          <w:b/>
          <w:bCs/>
          <w:rtl/>
        </w:rPr>
        <w:t>مواصلة تدعيم المؤسسات</w:t>
      </w:r>
      <w:r w:rsidRPr="00D941F8">
        <w:rPr>
          <w:rFonts w:hint="cs"/>
          <w:b/>
          <w:bCs/>
          <w:rtl/>
        </w:rPr>
        <w:t xml:space="preserve"> العاملة على مكافحة التمييز العنصري وتعزيز حقوق الشعوب الأصلية، وضمان استقلالها الذاتي الكامل وتزويدها بما يلزم من الموارد البشرية والمالية، والنظر في إنشاء فر</w:t>
      </w:r>
      <w:r>
        <w:rPr>
          <w:rFonts w:hint="cs"/>
          <w:b/>
          <w:bCs/>
          <w:rtl/>
        </w:rPr>
        <w:t>وع لهذه المؤسسات في جميع أقاليم</w:t>
      </w:r>
      <w:r w:rsidRPr="00D941F8">
        <w:rPr>
          <w:rFonts w:hint="cs"/>
          <w:b/>
          <w:bCs/>
          <w:rtl/>
        </w:rPr>
        <w:t xml:space="preserve"> البلد.</w:t>
      </w:r>
      <w:r w:rsidR="003F2C81">
        <w:rPr>
          <w:rFonts w:hint="cs"/>
          <w:b/>
          <w:bCs/>
          <w:rtl/>
        </w:rPr>
        <w:t xml:space="preserve"> </w:t>
      </w:r>
    </w:p>
    <w:p w:rsidR="00A40A0A" w:rsidRDefault="00A40A0A" w:rsidP="004A4CFA">
      <w:pPr>
        <w:pStyle w:val="H23GA"/>
        <w:rPr>
          <w:rtl/>
        </w:rPr>
      </w:pPr>
      <w:r>
        <w:rPr>
          <w:rFonts w:hint="cs"/>
          <w:rtl/>
        </w:rPr>
        <w:tab/>
      </w:r>
      <w:r>
        <w:rPr>
          <w:rFonts w:hint="cs"/>
          <w:rtl/>
        </w:rPr>
        <w:tab/>
        <w:t xml:space="preserve">المشاورة المسبقة والمستنيرة </w:t>
      </w:r>
    </w:p>
    <w:p w:rsidR="00A40A0A" w:rsidRDefault="00A40A0A" w:rsidP="00A40A0A">
      <w:pPr>
        <w:pStyle w:val="SingleTxtGA"/>
        <w:rPr>
          <w:rtl/>
        </w:rPr>
      </w:pPr>
      <w:r>
        <w:rPr>
          <w:rFonts w:hint="cs"/>
          <w:rtl/>
        </w:rPr>
        <w:t>18-</w:t>
      </w:r>
      <w:r>
        <w:rPr>
          <w:rFonts w:hint="cs"/>
          <w:rtl/>
        </w:rPr>
        <w:tab/>
        <w:t>تظل اللجنة قلقة إزاء عدم وجود قواعد تنظم إجراءات المشاورة بغية الحصول من الشعوب الأصلية على الموافقة الحرة والمسبقة والمستنيرة، علاوة على نقص الآليات الفعالة لإجراء تلك المشاورات. وتعرب اللجنة عن أسفها إزاء عدد المشاورات المحدود في الدولة الطرف، وهي مشاورات خاضعة للسلطة التقديرية للهيئات المختصة ولا تحترم المعايير الدولية (المادتان 2 و5).</w:t>
      </w:r>
      <w:r w:rsidR="003F2C81">
        <w:rPr>
          <w:rFonts w:hint="cs"/>
          <w:rtl/>
        </w:rPr>
        <w:t xml:space="preserve"> </w:t>
      </w:r>
    </w:p>
    <w:p w:rsidR="00A40A0A" w:rsidRPr="00D941F8" w:rsidRDefault="00A40A0A" w:rsidP="00A40A0A">
      <w:pPr>
        <w:pStyle w:val="SingleTxtGA"/>
        <w:rPr>
          <w:b/>
          <w:bCs/>
          <w:rtl/>
        </w:rPr>
      </w:pPr>
      <w:r>
        <w:rPr>
          <w:rFonts w:hint="cs"/>
          <w:rtl/>
        </w:rPr>
        <w:t>19-</w:t>
      </w:r>
      <w:r>
        <w:rPr>
          <w:rFonts w:hint="cs"/>
          <w:rtl/>
        </w:rPr>
        <w:tab/>
      </w:r>
      <w:r w:rsidRPr="00D941F8">
        <w:rPr>
          <w:rFonts w:hint="cs"/>
          <w:b/>
          <w:bCs/>
          <w:rtl/>
        </w:rPr>
        <w:t>تذكر اللجنة بتوصيتها العامة رقم 23(1997) بشأن حقوق الشعوب الأصلية، وتحث الدولة الطرف على ما يلي:</w:t>
      </w:r>
    </w:p>
    <w:p w:rsidR="00A40A0A" w:rsidRPr="00D941F8" w:rsidRDefault="00A40A0A" w:rsidP="00A40A0A">
      <w:pPr>
        <w:pStyle w:val="SingleTxtGA"/>
        <w:rPr>
          <w:b/>
          <w:bCs/>
          <w:rtl/>
        </w:rPr>
      </w:pPr>
      <w:r>
        <w:rPr>
          <w:rFonts w:hint="cs"/>
          <w:rtl/>
        </w:rPr>
        <w:tab/>
        <w:t>(أ)</w:t>
      </w:r>
      <w:r>
        <w:rPr>
          <w:rFonts w:hint="cs"/>
          <w:rtl/>
        </w:rPr>
        <w:tab/>
      </w:r>
      <w:r w:rsidRPr="00D941F8">
        <w:rPr>
          <w:rFonts w:hint="cs"/>
          <w:b/>
          <w:bCs/>
          <w:rtl/>
        </w:rPr>
        <w:t xml:space="preserve">اعتماد تشريعات وآليات مناسبة في كامل أنحاء الإقليم لضمان إجراء مشاورة منهجية وقائمة على حسن النية مع هيئات </w:t>
      </w:r>
      <w:r>
        <w:rPr>
          <w:rFonts w:hint="cs"/>
          <w:b/>
          <w:bCs/>
          <w:rtl/>
        </w:rPr>
        <w:t>تمثيلية</w:t>
      </w:r>
      <w:r w:rsidRPr="00D941F8">
        <w:rPr>
          <w:rFonts w:hint="cs"/>
          <w:b/>
          <w:bCs/>
          <w:rtl/>
        </w:rPr>
        <w:t xml:space="preserve"> وباتباع إجراءات سليمة وتقديم المعلومات الكافية والمناسبة، بغية الحصول على الموافقة الحرة والمسبقة والمستنيرة؛ </w:t>
      </w:r>
    </w:p>
    <w:p w:rsidR="00A40A0A" w:rsidRPr="00D941F8" w:rsidRDefault="00A40A0A" w:rsidP="00A40A0A">
      <w:pPr>
        <w:pStyle w:val="SingleTxtGA"/>
        <w:rPr>
          <w:b/>
          <w:bCs/>
          <w:rtl/>
        </w:rPr>
      </w:pPr>
      <w:r>
        <w:rPr>
          <w:rFonts w:hint="cs"/>
          <w:rtl/>
        </w:rPr>
        <w:tab/>
        <w:t>(ب)</w:t>
      </w:r>
      <w:r>
        <w:rPr>
          <w:rFonts w:hint="cs"/>
          <w:rtl/>
        </w:rPr>
        <w:tab/>
      </w:r>
      <w:r w:rsidRPr="00D941F8">
        <w:rPr>
          <w:rFonts w:hint="cs"/>
          <w:b/>
          <w:bCs/>
          <w:rtl/>
        </w:rPr>
        <w:t>ضمان أن تخضع التدابير التشريعية أو الإدارية التي قد تؤثر في الشعوب الأصلية، وكذلك مشاريع البنية الأساسية واستغلال الموارد الطبيعية، لع</w:t>
      </w:r>
      <w:r>
        <w:rPr>
          <w:rFonts w:hint="cs"/>
          <w:b/>
          <w:bCs/>
          <w:rtl/>
        </w:rPr>
        <w:t>ملية مشاورة مسبقة</w:t>
      </w:r>
      <w:r w:rsidRPr="00D941F8">
        <w:rPr>
          <w:rFonts w:hint="cs"/>
          <w:b/>
          <w:bCs/>
          <w:rtl/>
        </w:rPr>
        <w:t xml:space="preserve"> ترمي إلى الحصول على موافقتها الحرة والمسبقة والمستنيرة.</w:t>
      </w:r>
    </w:p>
    <w:p w:rsidR="00A40A0A" w:rsidRDefault="00A40A0A" w:rsidP="004A4CFA">
      <w:pPr>
        <w:pStyle w:val="H23GA"/>
        <w:rPr>
          <w:rtl/>
        </w:rPr>
      </w:pPr>
      <w:r>
        <w:rPr>
          <w:rFonts w:hint="cs"/>
          <w:rtl/>
        </w:rPr>
        <w:tab/>
      </w:r>
      <w:r>
        <w:rPr>
          <w:rFonts w:hint="cs"/>
          <w:rtl/>
        </w:rPr>
        <w:tab/>
        <w:t>الحقوق الإقليمية وإعادة الأراضي</w:t>
      </w:r>
    </w:p>
    <w:p w:rsidR="00A40A0A" w:rsidRDefault="00A40A0A" w:rsidP="00A40A0A">
      <w:pPr>
        <w:pStyle w:val="SingleTxtGA"/>
        <w:rPr>
          <w:rtl/>
        </w:rPr>
      </w:pPr>
      <w:r>
        <w:rPr>
          <w:rFonts w:hint="cs"/>
          <w:rtl/>
        </w:rPr>
        <w:t>20-</w:t>
      </w:r>
      <w:r>
        <w:rPr>
          <w:rFonts w:hint="cs"/>
          <w:rtl/>
        </w:rPr>
        <w:tab/>
        <w:t>تلاحظ اللجنة بقلق أنه على الرغم من الإطار القانوني الذي يعترف بحق الشعوب الأصلية في ملكية الأراضي التي تشغلها تقليدي</w:t>
      </w:r>
      <w:r w:rsidR="003C280E">
        <w:rPr>
          <w:rFonts w:hint="cs"/>
          <w:rtl/>
        </w:rPr>
        <w:t>اً،</w:t>
      </w:r>
      <w:r>
        <w:rPr>
          <w:rFonts w:hint="cs"/>
          <w:rtl/>
        </w:rPr>
        <w:t xml:space="preserve"> فإن الدولة الطرف لا تكفل بعد التمتع بهذا الحق وممارسته بصورة فعلية. وينص القانون 26160 على مسح أو تحديد الأراضي التي تشغلها الشعوب الأصلية تقليدي</w:t>
      </w:r>
      <w:r w:rsidR="003C280E">
        <w:rPr>
          <w:rFonts w:hint="cs"/>
          <w:rtl/>
        </w:rPr>
        <w:t xml:space="preserve">اً </w:t>
      </w:r>
      <w:r>
        <w:rPr>
          <w:rFonts w:hint="cs"/>
          <w:rtl/>
        </w:rPr>
        <w:t xml:space="preserve">بغية تسوية أوضاعها. ومع ذلك، واجه تنفيذ هذا القانون تعقيدات وتأخيرات، ولم يتسن إنجاز العملية إلا في 6 أقاليم، ولم تترجم نتائجها بالضرورة، حتى في الأقاليم التي أنجزت فيها، إلى اعتراف بالملكية والحيازة المجتمعيتين. وتظل اللجنة منشغلة إزاء حالة رابطة </w:t>
      </w:r>
      <w:proofErr w:type="spellStart"/>
      <w:r>
        <w:rPr>
          <w:rFonts w:hint="cs"/>
          <w:rtl/>
        </w:rPr>
        <w:t>لهاكا</w:t>
      </w:r>
      <w:proofErr w:type="spellEnd"/>
      <w:r>
        <w:rPr>
          <w:rFonts w:hint="cs"/>
          <w:rtl/>
        </w:rPr>
        <w:t xml:space="preserve"> </w:t>
      </w:r>
      <w:proofErr w:type="spellStart"/>
      <w:r>
        <w:rPr>
          <w:rFonts w:hint="cs"/>
          <w:rtl/>
        </w:rPr>
        <w:t>هونهات</w:t>
      </w:r>
      <w:proofErr w:type="spellEnd"/>
      <w:r>
        <w:rPr>
          <w:rFonts w:hint="cs"/>
          <w:rtl/>
        </w:rPr>
        <w:t xml:space="preserve"> للمجتمعات المحلية للشعوب الأصلية (المادة 5).</w:t>
      </w:r>
    </w:p>
    <w:p w:rsidR="00A40A0A" w:rsidRPr="004A4CFA" w:rsidRDefault="00A40A0A" w:rsidP="004A4CFA">
      <w:pPr>
        <w:pStyle w:val="SingleTxtGA"/>
        <w:rPr>
          <w:b/>
          <w:bCs/>
          <w:rtl/>
        </w:rPr>
      </w:pPr>
      <w:r w:rsidRPr="004A4CFA">
        <w:rPr>
          <w:rFonts w:hint="cs"/>
          <w:rtl/>
        </w:rPr>
        <w:t>21-</w:t>
      </w:r>
      <w:r w:rsidRPr="004A4CFA">
        <w:rPr>
          <w:rFonts w:hint="cs"/>
          <w:rtl/>
        </w:rPr>
        <w:tab/>
      </w:r>
      <w:r w:rsidRPr="004A4CFA">
        <w:rPr>
          <w:rFonts w:hint="cs"/>
          <w:b/>
          <w:bCs/>
          <w:rtl/>
        </w:rPr>
        <w:t xml:space="preserve">تحث اللجنة الدولة الطرف على أن تكفل، بالتنسيق مع السلطات الاتحادية والإقليمية والبلدية، حماية حقوق الشعوب الأصلية في امتلاك أراضيها وأقاليمها </w:t>
      </w:r>
      <w:r w:rsidRPr="004A4CFA">
        <w:rPr>
          <w:rFonts w:hint="cs"/>
          <w:b/>
          <w:bCs/>
          <w:rtl/>
        </w:rPr>
        <w:lastRenderedPageBreak/>
        <w:t>ومواردها</w:t>
      </w:r>
      <w:r w:rsidR="004A4CFA">
        <w:rPr>
          <w:rFonts w:hint="eastAsia"/>
          <w:b/>
          <w:bCs/>
          <w:rtl/>
        </w:rPr>
        <w:t> </w:t>
      </w:r>
      <w:r w:rsidRPr="004A4CFA">
        <w:rPr>
          <w:rFonts w:hint="cs"/>
          <w:b/>
          <w:bCs/>
          <w:rtl/>
        </w:rPr>
        <w:t xml:space="preserve">الطبيعية واستخدامها وتطويرها والتحكم فيها في كنف الأمن التام، وذلك بواسطة التدابير التالية: </w:t>
      </w:r>
    </w:p>
    <w:p w:rsidR="00A40A0A" w:rsidRPr="00D941F8" w:rsidRDefault="00A40A0A" w:rsidP="00A40A0A">
      <w:pPr>
        <w:pStyle w:val="SingleTxtGA"/>
        <w:rPr>
          <w:b/>
          <w:bCs/>
          <w:rtl/>
        </w:rPr>
      </w:pPr>
      <w:r>
        <w:rPr>
          <w:rFonts w:hint="cs"/>
          <w:rtl/>
        </w:rPr>
        <w:tab/>
        <w:t>(أ)</w:t>
      </w:r>
      <w:r>
        <w:rPr>
          <w:rFonts w:hint="cs"/>
          <w:rtl/>
        </w:rPr>
        <w:tab/>
      </w:r>
      <w:r w:rsidRPr="00D941F8">
        <w:rPr>
          <w:rFonts w:hint="cs"/>
          <w:b/>
          <w:bCs/>
          <w:rtl/>
        </w:rPr>
        <w:t xml:space="preserve">تنفيذ القانون 26160 تنفيذاً كاملاً والإسراع في استكمال عملية مسح </w:t>
      </w:r>
      <w:r>
        <w:rPr>
          <w:rFonts w:hint="cs"/>
          <w:b/>
          <w:bCs/>
          <w:rtl/>
        </w:rPr>
        <w:t>ال</w:t>
      </w:r>
      <w:r w:rsidRPr="00D941F8">
        <w:rPr>
          <w:rFonts w:hint="cs"/>
          <w:b/>
          <w:bCs/>
          <w:rtl/>
        </w:rPr>
        <w:t>أراضي و</w:t>
      </w:r>
      <w:r>
        <w:rPr>
          <w:rFonts w:hint="cs"/>
          <w:b/>
          <w:bCs/>
          <w:rtl/>
        </w:rPr>
        <w:t>ال</w:t>
      </w:r>
      <w:r w:rsidRPr="00D941F8">
        <w:rPr>
          <w:rFonts w:hint="cs"/>
          <w:b/>
          <w:bCs/>
          <w:rtl/>
        </w:rPr>
        <w:t>أقاليم</w:t>
      </w:r>
      <w:r>
        <w:rPr>
          <w:rFonts w:hint="cs"/>
          <w:b/>
          <w:bCs/>
          <w:rtl/>
        </w:rPr>
        <w:t xml:space="preserve"> المتوارثة عن</w:t>
      </w:r>
      <w:r w:rsidRPr="00D941F8">
        <w:rPr>
          <w:rFonts w:hint="cs"/>
          <w:b/>
          <w:bCs/>
          <w:rtl/>
        </w:rPr>
        <w:t xml:space="preserve"> ال</w:t>
      </w:r>
      <w:r>
        <w:rPr>
          <w:rFonts w:hint="cs"/>
          <w:b/>
          <w:bCs/>
          <w:rtl/>
        </w:rPr>
        <w:t>أ</w:t>
      </w:r>
      <w:r w:rsidRPr="00D941F8">
        <w:rPr>
          <w:rFonts w:hint="cs"/>
          <w:b/>
          <w:bCs/>
          <w:rtl/>
        </w:rPr>
        <w:t>سل</w:t>
      </w:r>
      <w:r>
        <w:rPr>
          <w:rFonts w:hint="cs"/>
          <w:b/>
          <w:bCs/>
          <w:rtl/>
        </w:rPr>
        <w:t>ا</w:t>
      </w:r>
      <w:r w:rsidRPr="00D941F8">
        <w:rPr>
          <w:rFonts w:hint="cs"/>
          <w:b/>
          <w:bCs/>
          <w:rtl/>
        </w:rPr>
        <w:t>ف؛</w:t>
      </w:r>
    </w:p>
    <w:p w:rsidR="00A40A0A" w:rsidRPr="004A4CFA" w:rsidRDefault="00A40A0A" w:rsidP="00A40A0A">
      <w:pPr>
        <w:pStyle w:val="SingleTxtGA"/>
        <w:rPr>
          <w:b/>
          <w:bCs/>
          <w:spacing w:val="-2"/>
          <w:rtl/>
        </w:rPr>
      </w:pPr>
      <w:r w:rsidRPr="004A4CFA">
        <w:rPr>
          <w:rFonts w:hint="cs"/>
          <w:spacing w:val="-2"/>
          <w:rtl/>
        </w:rPr>
        <w:tab/>
        <w:t>(ب)</w:t>
      </w:r>
      <w:r w:rsidRPr="004A4CFA">
        <w:rPr>
          <w:rFonts w:hint="cs"/>
          <w:spacing w:val="-2"/>
          <w:rtl/>
        </w:rPr>
        <w:tab/>
      </w:r>
      <w:r w:rsidRPr="004A4CFA">
        <w:rPr>
          <w:rFonts w:hint="cs"/>
          <w:b/>
          <w:bCs/>
          <w:spacing w:val="-2"/>
          <w:rtl/>
        </w:rPr>
        <w:t xml:space="preserve">اعتماد تدابير تشريعية وإدارية، وإقرار آليات مناسبة وفعالة، لتيسير امتلاك تلك الأراضي والأقاليم المذكورة وتسجيلها والوصول الفعلي إلى الإجراءات القضائية ذات الصلة واحترام ضمانات المحاكمة العادلة. </w:t>
      </w:r>
    </w:p>
    <w:p w:rsidR="00A40A0A" w:rsidRPr="00D941F8" w:rsidRDefault="00A40A0A" w:rsidP="00A40A0A">
      <w:pPr>
        <w:pStyle w:val="SingleTxtGA"/>
        <w:rPr>
          <w:b/>
          <w:bCs/>
          <w:rtl/>
        </w:rPr>
      </w:pPr>
      <w:r>
        <w:rPr>
          <w:rFonts w:hint="cs"/>
          <w:rtl/>
        </w:rPr>
        <w:t>22-</w:t>
      </w:r>
      <w:r>
        <w:rPr>
          <w:rFonts w:hint="cs"/>
          <w:rtl/>
        </w:rPr>
        <w:tab/>
      </w:r>
      <w:r w:rsidRPr="00D941F8">
        <w:rPr>
          <w:rFonts w:hint="cs"/>
          <w:b/>
          <w:bCs/>
          <w:rtl/>
        </w:rPr>
        <w:t xml:space="preserve">وبخصوص رابطة </w:t>
      </w:r>
      <w:proofErr w:type="spellStart"/>
      <w:r>
        <w:rPr>
          <w:rFonts w:hint="cs"/>
          <w:b/>
          <w:bCs/>
          <w:rtl/>
        </w:rPr>
        <w:t>ل</w:t>
      </w:r>
      <w:r w:rsidRPr="00D941F8">
        <w:rPr>
          <w:rFonts w:hint="cs"/>
          <w:b/>
          <w:bCs/>
          <w:rtl/>
        </w:rPr>
        <w:t>هاكا</w:t>
      </w:r>
      <w:proofErr w:type="spellEnd"/>
      <w:r>
        <w:rPr>
          <w:rFonts w:hint="cs"/>
          <w:b/>
          <w:bCs/>
          <w:rtl/>
        </w:rPr>
        <w:t xml:space="preserve"> </w:t>
      </w:r>
      <w:proofErr w:type="spellStart"/>
      <w:r w:rsidRPr="00D941F8">
        <w:rPr>
          <w:rFonts w:hint="cs"/>
          <w:b/>
          <w:bCs/>
          <w:rtl/>
        </w:rPr>
        <w:t>هونهات</w:t>
      </w:r>
      <w:proofErr w:type="spellEnd"/>
      <w:r w:rsidRPr="00D941F8">
        <w:rPr>
          <w:rFonts w:hint="cs"/>
          <w:b/>
          <w:bCs/>
          <w:rtl/>
        </w:rPr>
        <w:t xml:space="preserve"> للمجتمعات الأصلية، تحث اللجنة الدولة الطرف على اختتام </w:t>
      </w:r>
      <w:r>
        <w:rPr>
          <w:rFonts w:hint="cs"/>
          <w:b/>
          <w:bCs/>
          <w:rtl/>
        </w:rPr>
        <w:t>عملية ترسيم حدود الإقليم، ومنح</w:t>
      </w:r>
      <w:r w:rsidRPr="00D941F8">
        <w:rPr>
          <w:rFonts w:hint="cs"/>
          <w:b/>
          <w:bCs/>
          <w:rtl/>
        </w:rPr>
        <w:t xml:space="preserve"> الجماعات المعنية سند الملكية الجماعي، ومساعدة الأسر </w:t>
      </w:r>
      <w:proofErr w:type="spellStart"/>
      <w:r w:rsidRPr="00D941F8">
        <w:rPr>
          <w:rFonts w:hint="cs"/>
          <w:b/>
          <w:bCs/>
          <w:rtl/>
        </w:rPr>
        <w:t>الكريول</w:t>
      </w:r>
      <w:proofErr w:type="spellEnd"/>
      <w:r w:rsidRPr="00D941F8">
        <w:rPr>
          <w:rFonts w:hint="cs"/>
          <w:b/>
          <w:bCs/>
          <w:rtl/>
        </w:rPr>
        <w:t xml:space="preserve"> في إعادة توطينها. </w:t>
      </w:r>
    </w:p>
    <w:p w:rsidR="00A40A0A" w:rsidRPr="004A4CFA" w:rsidRDefault="00A40A0A" w:rsidP="004A4CFA">
      <w:pPr>
        <w:pStyle w:val="SingleTxtGA"/>
        <w:rPr>
          <w:spacing w:val="-4"/>
          <w:rtl/>
        </w:rPr>
      </w:pPr>
      <w:r w:rsidRPr="004A4CFA">
        <w:rPr>
          <w:rFonts w:hint="cs"/>
          <w:spacing w:val="-4"/>
          <w:rtl/>
        </w:rPr>
        <w:t>23-</w:t>
      </w:r>
      <w:r w:rsidRPr="004A4CFA">
        <w:rPr>
          <w:rFonts w:hint="cs"/>
          <w:spacing w:val="-4"/>
          <w:rtl/>
        </w:rPr>
        <w:tab/>
        <w:t xml:space="preserve">ويساور اللجنة قلق خاص إزاء ارتفاع عدد عمليات الإخلاء التي تستهدف الشعوب الأصلية رغم سريان القانون 26160، ولا سيما الحوادث التي يشتد فيها العنف المسلط على المجتمعات الأصلية، سواء في أثناء عمليات الإخلاء أم في سياق الاحتجاجات عليها. ويساور اللجنة قلق خاص إزاء إفلات الجناة من العقاب في قضية اغتيال خافيير </w:t>
      </w:r>
      <w:proofErr w:type="spellStart"/>
      <w:r w:rsidRPr="004A4CFA">
        <w:rPr>
          <w:rFonts w:hint="cs"/>
          <w:spacing w:val="-4"/>
          <w:rtl/>
        </w:rPr>
        <w:t>تشوكوبار</w:t>
      </w:r>
      <w:proofErr w:type="spellEnd"/>
      <w:r w:rsidRPr="004A4CFA">
        <w:rPr>
          <w:rFonts w:hint="cs"/>
          <w:spacing w:val="-4"/>
          <w:rtl/>
        </w:rPr>
        <w:t xml:space="preserve"> قبل 7</w:t>
      </w:r>
      <w:r w:rsidR="003F2C81">
        <w:rPr>
          <w:rFonts w:hint="cs"/>
          <w:spacing w:val="-4"/>
          <w:rtl/>
        </w:rPr>
        <w:t xml:space="preserve"> </w:t>
      </w:r>
      <w:r w:rsidRPr="004A4CFA">
        <w:rPr>
          <w:rFonts w:hint="cs"/>
          <w:spacing w:val="-4"/>
          <w:rtl/>
        </w:rPr>
        <w:t xml:space="preserve">سبعة أعوام، وإزاء الحوادث العنيفة التي تعرضت لها جماعات منها جماعة بوتاي </w:t>
      </w:r>
      <w:proofErr w:type="spellStart"/>
      <w:r w:rsidRPr="004A4CFA">
        <w:rPr>
          <w:rFonts w:hint="cs"/>
          <w:spacing w:val="-4"/>
          <w:rtl/>
        </w:rPr>
        <w:t>نابوكنا</w:t>
      </w:r>
      <w:proofErr w:type="spellEnd"/>
      <w:r w:rsidRPr="004A4CFA">
        <w:rPr>
          <w:rFonts w:hint="cs"/>
          <w:spacing w:val="-4"/>
          <w:rtl/>
        </w:rPr>
        <w:t xml:space="preserve"> </w:t>
      </w:r>
      <w:proofErr w:type="spellStart"/>
      <w:r w:rsidRPr="004A4CFA">
        <w:rPr>
          <w:rFonts w:hint="cs"/>
          <w:spacing w:val="-4"/>
          <w:rtl/>
        </w:rPr>
        <w:t>نافوغوه</w:t>
      </w:r>
      <w:proofErr w:type="spellEnd"/>
      <w:r w:rsidRPr="004A4CFA">
        <w:rPr>
          <w:rFonts w:hint="cs"/>
          <w:spacing w:val="-4"/>
          <w:rtl/>
        </w:rPr>
        <w:t xml:space="preserve"> (لا</w:t>
      </w:r>
      <w:r w:rsidR="004A4CFA">
        <w:rPr>
          <w:rFonts w:hint="eastAsia"/>
          <w:spacing w:val="-4"/>
          <w:rtl/>
        </w:rPr>
        <w:t> </w:t>
      </w:r>
      <w:proofErr w:type="spellStart"/>
      <w:r w:rsidRPr="004A4CFA">
        <w:rPr>
          <w:rFonts w:hint="cs"/>
          <w:spacing w:val="-4"/>
          <w:rtl/>
        </w:rPr>
        <w:t>بريمافيرا</w:t>
      </w:r>
      <w:proofErr w:type="spellEnd"/>
      <w:r w:rsidRPr="004A4CFA">
        <w:rPr>
          <w:rFonts w:hint="cs"/>
          <w:spacing w:val="-4"/>
          <w:rtl/>
        </w:rPr>
        <w:t xml:space="preserve">)، وجماعة نام كوم من شعب الكوم، وجماعة </w:t>
      </w:r>
      <w:proofErr w:type="spellStart"/>
      <w:r w:rsidRPr="004A4CFA">
        <w:rPr>
          <w:rFonts w:hint="cs"/>
          <w:spacing w:val="-4"/>
          <w:rtl/>
        </w:rPr>
        <w:t>كيلميس</w:t>
      </w:r>
      <w:proofErr w:type="spellEnd"/>
      <w:r w:rsidRPr="004A4CFA">
        <w:rPr>
          <w:rFonts w:hint="cs"/>
          <w:spacing w:val="-4"/>
          <w:rtl/>
        </w:rPr>
        <w:t xml:space="preserve"> الهندية. وتعرب اللجنة أيضاً عن أسفها لعدم التحقيق في أعمال العنف التي ارتكبتها قوات الأمن وأطراف أخرى في حق المدافعين عن حقوق الشعوب الأصلية وأفراد تلك الشعوب ومعاقبة المتورطين فيها، وكذلك لعدم اتخاذ تدابير لمنع تكرار حوادث العنف تلك (المادة 5).</w:t>
      </w:r>
    </w:p>
    <w:p w:rsidR="00A40A0A" w:rsidRPr="00D941F8" w:rsidRDefault="00A40A0A" w:rsidP="00A40A0A">
      <w:pPr>
        <w:pStyle w:val="SingleTxtGA"/>
        <w:rPr>
          <w:b/>
          <w:bCs/>
          <w:rtl/>
        </w:rPr>
      </w:pPr>
      <w:r>
        <w:rPr>
          <w:rFonts w:hint="cs"/>
          <w:rtl/>
        </w:rPr>
        <w:t>24-</w:t>
      </w:r>
      <w:r>
        <w:rPr>
          <w:rFonts w:hint="cs"/>
          <w:rtl/>
        </w:rPr>
        <w:tab/>
      </w:r>
      <w:r w:rsidRPr="00D941F8">
        <w:rPr>
          <w:rFonts w:hint="cs"/>
          <w:b/>
          <w:bCs/>
          <w:rtl/>
        </w:rPr>
        <w:t>تحث اللجنة الدولة الطرف على ما يلي:</w:t>
      </w:r>
    </w:p>
    <w:p w:rsidR="00A40A0A" w:rsidRPr="004A4CFA" w:rsidRDefault="00A40A0A" w:rsidP="00A40A0A">
      <w:pPr>
        <w:pStyle w:val="SingleTxtGA"/>
        <w:rPr>
          <w:b/>
          <w:bCs/>
          <w:spacing w:val="-2"/>
          <w:rtl/>
        </w:rPr>
      </w:pPr>
      <w:r w:rsidRPr="004A4CFA">
        <w:rPr>
          <w:rFonts w:hint="cs"/>
          <w:spacing w:val="-2"/>
          <w:rtl/>
        </w:rPr>
        <w:tab/>
        <w:t>(أ)</w:t>
      </w:r>
      <w:r w:rsidRPr="004A4CFA">
        <w:rPr>
          <w:rFonts w:hint="cs"/>
          <w:spacing w:val="-2"/>
          <w:rtl/>
        </w:rPr>
        <w:tab/>
      </w:r>
      <w:r w:rsidRPr="004A4CFA">
        <w:rPr>
          <w:rFonts w:hint="cs"/>
          <w:b/>
          <w:bCs/>
          <w:spacing w:val="-2"/>
          <w:rtl/>
        </w:rPr>
        <w:t>اعتماد جميع التدابير اللازمة لضمان حماية الشعوب الأصلية من عمليات الإخلاء القسري، وضمان تنفيذ القانون 26160 تنفيذاً كاملاً وفعالاً؛</w:t>
      </w:r>
      <w:r w:rsidR="003F2C81">
        <w:rPr>
          <w:rFonts w:hint="cs"/>
          <w:b/>
          <w:bCs/>
          <w:spacing w:val="-2"/>
          <w:rtl/>
        </w:rPr>
        <w:t xml:space="preserve"> </w:t>
      </w:r>
    </w:p>
    <w:p w:rsidR="00A40A0A" w:rsidRPr="004A4CFA" w:rsidRDefault="00A40A0A" w:rsidP="00A40A0A">
      <w:pPr>
        <w:pStyle w:val="SingleTxtGA"/>
        <w:rPr>
          <w:b/>
          <w:bCs/>
          <w:spacing w:val="-2"/>
          <w:rtl/>
        </w:rPr>
      </w:pPr>
      <w:r w:rsidRPr="004A4CFA">
        <w:rPr>
          <w:rFonts w:hint="cs"/>
          <w:spacing w:val="-2"/>
          <w:rtl/>
        </w:rPr>
        <w:tab/>
        <w:t>(ب)</w:t>
      </w:r>
      <w:r w:rsidRPr="004A4CFA">
        <w:rPr>
          <w:rFonts w:hint="cs"/>
          <w:spacing w:val="-2"/>
          <w:rtl/>
        </w:rPr>
        <w:tab/>
      </w:r>
      <w:r w:rsidRPr="004A4CFA">
        <w:rPr>
          <w:rFonts w:hint="cs"/>
          <w:b/>
          <w:bCs/>
          <w:spacing w:val="-2"/>
          <w:rtl/>
        </w:rPr>
        <w:t xml:space="preserve">اعتماد تدابير لضمان أمن الشعوب الأصلية المعرضة للتهديد والاضطهاد وأعمال عنف أخرى من جانب موظفين حكوميين وأفراد يتصرفون بصفتهم الخاصة، ومنع تلك الأعمال والتحقيق فيها ومعاقبة مرتكبيها. </w:t>
      </w:r>
    </w:p>
    <w:p w:rsidR="00A40A0A" w:rsidRDefault="00A40A0A" w:rsidP="004A4CFA">
      <w:pPr>
        <w:pStyle w:val="H23GA"/>
        <w:rPr>
          <w:rtl/>
        </w:rPr>
      </w:pPr>
      <w:r>
        <w:rPr>
          <w:rFonts w:hint="cs"/>
          <w:rtl/>
        </w:rPr>
        <w:tab/>
      </w:r>
      <w:r>
        <w:rPr>
          <w:rFonts w:hint="cs"/>
          <w:rtl/>
        </w:rPr>
        <w:tab/>
        <w:t>حالة المدافعين عن حقوق الإنسان</w:t>
      </w:r>
    </w:p>
    <w:p w:rsidR="00A40A0A" w:rsidRDefault="00A40A0A" w:rsidP="003F2C81">
      <w:pPr>
        <w:pStyle w:val="SingleTxtGA"/>
        <w:rPr>
          <w:rtl/>
        </w:rPr>
      </w:pPr>
      <w:r>
        <w:rPr>
          <w:rFonts w:hint="cs"/>
          <w:rtl/>
        </w:rPr>
        <w:t>25-</w:t>
      </w:r>
      <w:r>
        <w:rPr>
          <w:rFonts w:hint="cs"/>
          <w:rtl/>
        </w:rPr>
        <w:tab/>
        <w:t xml:space="preserve">يساور اللجنة القلق إزاء أعمال الانتقام والترهيب والتهديد التي تستهدف المدافعين عن حقوق الإنسان وأفراد الشعوب الأصلية والمنحدرين من أصل أفريقي والمهاجرين، وإزاء تجريم هؤلاء بسبب أنشطتهم في مجال الدفاع عن حقوق الإنسان. وفي هذا الخصوص، يساور اللجنة القلق إزاء أمور منها حالة زعيم جماعة بوتاي </w:t>
      </w:r>
      <w:proofErr w:type="spellStart"/>
      <w:r>
        <w:rPr>
          <w:rFonts w:hint="cs"/>
          <w:rtl/>
        </w:rPr>
        <w:t>نابوكنا</w:t>
      </w:r>
      <w:proofErr w:type="spellEnd"/>
      <w:r>
        <w:rPr>
          <w:rFonts w:hint="cs"/>
          <w:rtl/>
        </w:rPr>
        <w:t xml:space="preserve"> </w:t>
      </w:r>
      <w:proofErr w:type="spellStart"/>
      <w:r>
        <w:rPr>
          <w:rFonts w:hint="cs"/>
          <w:rtl/>
        </w:rPr>
        <w:t>نافوغوه</w:t>
      </w:r>
      <w:proofErr w:type="spellEnd"/>
      <w:r>
        <w:rPr>
          <w:rFonts w:hint="cs"/>
          <w:rtl/>
        </w:rPr>
        <w:t xml:space="preserve"> (لا </w:t>
      </w:r>
      <w:proofErr w:type="spellStart"/>
      <w:r>
        <w:rPr>
          <w:rFonts w:hint="cs"/>
          <w:rtl/>
        </w:rPr>
        <w:t>بريمافيرا</w:t>
      </w:r>
      <w:proofErr w:type="spellEnd"/>
      <w:r>
        <w:rPr>
          <w:rFonts w:hint="cs"/>
          <w:rtl/>
        </w:rPr>
        <w:t xml:space="preserve">)، </w:t>
      </w:r>
      <w:proofErr w:type="spellStart"/>
      <w:r>
        <w:rPr>
          <w:rFonts w:hint="cs"/>
          <w:rtl/>
        </w:rPr>
        <w:t>فيليكس</w:t>
      </w:r>
      <w:proofErr w:type="spellEnd"/>
      <w:r>
        <w:rPr>
          <w:rFonts w:hint="cs"/>
          <w:rtl/>
        </w:rPr>
        <w:t xml:space="preserve"> </w:t>
      </w:r>
      <w:proofErr w:type="spellStart"/>
      <w:r>
        <w:rPr>
          <w:rFonts w:hint="cs"/>
          <w:rtl/>
        </w:rPr>
        <w:t>دياز</w:t>
      </w:r>
      <w:proofErr w:type="spellEnd"/>
      <w:r>
        <w:rPr>
          <w:rFonts w:hint="cs"/>
          <w:rtl/>
        </w:rPr>
        <w:t xml:space="preserve">، </w:t>
      </w:r>
      <w:r>
        <w:rPr>
          <w:rFonts w:hint="cs"/>
          <w:rtl/>
        </w:rPr>
        <w:lastRenderedPageBreak/>
        <w:t>وزعيم</w:t>
      </w:r>
      <w:r w:rsidR="003F2C81">
        <w:rPr>
          <w:rFonts w:hint="eastAsia"/>
          <w:rtl/>
        </w:rPr>
        <w:t> </w:t>
      </w:r>
      <w:r>
        <w:rPr>
          <w:rFonts w:hint="cs"/>
          <w:rtl/>
        </w:rPr>
        <w:t xml:space="preserve">منظمة توباك </w:t>
      </w:r>
      <w:proofErr w:type="spellStart"/>
      <w:r>
        <w:rPr>
          <w:rFonts w:hint="cs"/>
          <w:rtl/>
        </w:rPr>
        <w:t>أمارو</w:t>
      </w:r>
      <w:proofErr w:type="spellEnd"/>
      <w:r>
        <w:rPr>
          <w:rFonts w:hint="cs"/>
          <w:rtl/>
        </w:rPr>
        <w:t xml:space="preserve"> لسكان الضواحي، </w:t>
      </w:r>
      <w:proofErr w:type="spellStart"/>
      <w:r>
        <w:rPr>
          <w:rFonts w:hint="cs"/>
          <w:rtl/>
        </w:rPr>
        <w:t>ميلاغرو</w:t>
      </w:r>
      <w:proofErr w:type="spellEnd"/>
      <w:r>
        <w:rPr>
          <w:rFonts w:hint="cs"/>
          <w:rtl/>
        </w:rPr>
        <w:t xml:space="preserve"> سالا. واللجنة منشغلة بصفة خاصة بشأن وفاة زعيم الجالية السنغالية، مسار </w:t>
      </w:r>
      <w:proofErr w:type="spellStart"/>
      <w:r>
        <w:rPr>
          <w:rFonts w:hint="cs"/>
          <w:rtl/>
        </w:rPr>
        <w:t>با</w:t>
      </w:r>
      <w:proofErr w:type="spellEnd"/>
      <w:r>
        <w:rPr>
          <w:rFonts w:hint="cs"/>
          <w:rtl/>
        </w:rPr>
        <w:t>، في آذار/مارس 2016. وتعرب اللجنة عن أسفها إزاء عدم تقدم التحقيقات في مقتله وعدم السماح لجمعيته، وهي جمعية المقيمين السنغاليين، بالقيام طرف</w:t>
      </w:r>
      <w:r w:rsidR="003C280E">
        <w:rPr>
          <w:rFonts w:hint="cs"/>
          <w:rtl/>
        </w:rPr>
        <w:t xml:space="preserve">اً </w:t>
      </w:r>
      <w:r>
        <w:rPr>
          <w:rFonts w:hint="cs"/>
          <w:rtl/>
        </w:rPr>
        <w:t>في الدعوى الجنائية (المادة 5).</w:t>
      </w:r>
    </w:p>
    <w:p w:rsidR="00A40A0A" w:rsidRPr="00D941F8" w:rsidRDefault="00A40A0A" w:rsidP="00A40A0A">
      <w:pPr>
        <w:pStyle w:val="SingleTxtGA"/>
        <w:rPr>
          <w:b/>
          <w:bCs/>
          <w:rtl/>
        </w:rPr>
      </w:pPr>
      <w:r>
        <w:rPr>
          <w:rFonts w:hint="cs"/>
          <w:rtl/>
        </w:rPr>
        <w:t>26-</w:t>
      </w:r>
      <w:r>
        <w:rPr>
          <w:rFonts w:hint="cs"/>
          <w:rtl/>
        </w:rPr>
        <w:tab/>
      </w:r>
      <w:r w:rsidRPr="00D941F8">
        <w:rPr>
          <w:rFonts w:hint="cs"/>
          <w:b/>
          <w:bCs/>
          <w:rtl/>
        </w:rPr>
        <w:t>تحث اللجنة الدولة الطرف على ما يلي:</w:t>
      </w:r>
    </w:p>
    <w:p w:rsidR="00A40A0A" w:rsidRPr="00D941F8" w:rsidRDefault="00A40A0A" w:rsidP="00A40A0A">
      <w:pPr>
        <w:pStyle w:val="SingleTxtGA"/>
        <w:rPr>
          <w:b/>
          <w:bCs/>
          <w:rtl/>
        </w:rPr>
      </w:pPr>
      <w:r>
        <w:rPr>
          <w:rFonts w:hint="cs"/>
          <w:rtl/>
        </w:rPr>
        <w:tab/>
        <w:t>(أ)</w:t>
      </w:r>
      <w:r>
        <w:rPr>
          <w:rFonts w:hint="cs"/>
          <w:rtl/>
        </w:rPr>
        <w:tab/>
      </w:r>
      <w:r w:rsidRPr="00D941F8">
        <w:rPr>
          <w:rFonts w:hint="cs"/>
          <w:b/>
          <w:bCs/>
          <w:rtl/>
        </w:rPr>
        <w:t xml:space="preserve">اعتماد جميع التدابير اللازمة لحماية المدافعين عن حقوق الإنسان، بمن فيهم زعماء وأفراد </w:t>
      </w:r>
      <w:r>
        <w:rPr>
          <w:rFonts w:hint="cs"/>
          <w:b/>
          <w:bCs/>
          <w:rtl/>
        </w:rPr>
        <w:t>جماعات الشعوب الأصلية والمنحدرين</w:t>
      </w:r>
      <w:r w:rsidRPr="00D941F8">
        <w:rPr>
          <w:rFonts w:hint="cs"/>
          <w:b/>
          <w:bCs/>
          <w:rtl/>
        </w:rPr>
        <w:t xml:space="preserve"> من أصل أفريقي والمهاجرين، من كل أعمال الترهيب والعنف، ومن أي فعل تعسفي من جانب السلطات العامة أو الكيانات الخاصة، نتيجة ممارسة وظائفهم؛</w:t>
      </w:r>
    </w:p>
    <w:p w:rsidR="00A40A0A" w:rsidRPr="007826C2" w:rsidRDefault="00A40A0A" w:rsidP="00A40A0A">
      <w:pPr>
        <w:pStyle w:val="SingleTxtGA"/>
        <w:rPr>
          <w:b/>
          <w:bCs/>
          <w:spacing w:val="-4"/>
          <w:rtl/>
        </w:rPr>
      </w:pPr>
      <w:r w:rsidRPr="007826C2">
        <w:rPr>
          <w:rFonts w:hint="cs"/>
          <w:spacing w:val="-4"/>
          <w:rtl/>
        </w:rPr>
        <w:tab/>
        <w:t>(ب)</w:t>
      </w:r>
      <w:r w:rsidRPr="007826C2">
        <w:rPr>
          <w:rFonts w:hint="cs"/>
          <w:spacing w:val="-4"/>
          <w:rtl/>
        </w:rPr>
        <w:tab/>
      </w:r>
      <w:r w:rsidRPr="007826C2">
        <w:rPr>
          <w:rFonts w:hint="cs"/>
          <w:b/>
          <w:bCs/>
          <w:spacing w:val="-4"/>
          <w:rtl/>
        </w:rPr>
        <w:t xml:space="preserve">التحقيق في جميع أعمال الترهيب والعنف التي تستهدف المدافعين عن حقوق الإنسان وجماعاتهم، وإنزال العقوبة الواجبة بالمسؤولين عن تلك الأفعال. وفي هذا الخصوص، توجه اللجنة انتباه الدولة الطرف على وجه التحديد إلى حادث وفاة مسار </w:t>
      </w:r>
      <w:proofErr w:type="spellStart"/>
      <w:r w:rsidRPr="007826C2">
        <w:rPr>
          <w:rFonts w:hint="cs"/>
          <w:b/>
          <w:bCs/>
          <w:spacing w:val="-4"/>
          <w:rtl/>
        </w:rPr>
        <w:t>با</w:t>
      </w:r>
      <w:proofErr w:type="spellEnd"/>
      <w:r w:rsidRPr="007826C2">
        <w:rPr>
          <w:rFonts w:hint="cs"/>
          <w:b/>
          <w:bCs/>
          <w:spacing w:val="-4"/>
          <w:rtl/>
        </w:rPr>
        <w:t>؛</w:t>
      </w:r>
    </w:p>
    <w:p w:rsidR="00A40A0A" w:rsidRPr="004A4CFA" w:rsidRDefault="00A40A0A" w:rsidP="004A4CFA">
      <w:pPr>
        <w:pStyle w:val="SingleTxtGA"/>
        <w:rPr>
          <w:b/>
          <w:bCs/>
          <w:spacing w:val="-4"/>
          <w:rtl/>
        </w:rPr>
      </w:pPr>
      <w:r w:rsidRPr="004A4CFA">
        <w:rPr>
          <w:rFonts w:hint="cs"/>
          <w:spacing w:val="-4"/>
          <w:rtl/>
        </w:rPr>
        <w:tab/>
        <w:t>(ج)</w:t>
      </w:r>
      <w:r w:rsidRPr="004A4CFA">
        <w:rPr>
          <w:rFonts w:hint="cs"/>
          <w:spacing w:val="-4"/>
          <w:rtl/>
        </w:rPr>
        <w:tab/>
      </w:r>
      <w:r w:rsidRPr="004A4CFA">
        <w:rPr>
          <w:rFonts w:hint="cs"/>
          <w:b/>
          <w:bCs/>
          <w:spacing w:val="-4"/>
          <w:rtl/>
        </w:rPr>
        <w:t xml:space="preserve">ضمان الوصول الفعلي إلى العدالة، واحترام الحقوق الأساسية وضمانات المحاكمة العادلة في ما يجري من محاكمات للمدافعين عن حقوق الإنسان وأفراد من جماعات الشعوب الأصلية والمنحدرين من أصل أفريقي والمهاجرين، بما يشمل قضيتي </w:t>
      </w:r>
      <w:proofErr w:type="spellStart"/>
      <w:r w:rsidRPr="004A4CFA">
        <w:rPr>
          <w:rFonts w:hint="cs"/>
          <w:b/>
          <w:bCs/>
          <w:spacing w:val="-4"/>
          <w:rtl/>
        </w:rPr>
        <w:t>ميلاغرو</w:t>
      </w:r>
      <w:proofErr w:type="spellEnd"/>
      <w:r w:rsidRPr="004A4CFA">
        <w:rPr>
          <w:rFonts w:hint="cs"/>
          <w:b/>
          <w:bCs/>
          <w:spacing w:val="-4"/>
          <w:rtl/>
        </w:rPr>
        <w:t xml:space="preserve"> سالا </w:t>
      </w:r>
      <w:proofErr w:type="spellStart"/>
      <w:r w:rsidRPr="004A4CFA">
        <w:rPr>
          <w:rFonts w:hint="cs"/>
          <w:b/>
          <w:bCs/>
          <w:spacing w:val="-4"/>
          <w:rtl/>
        </w:rPr>
        <w:t>وفيليكس</w:t>
      </w:r>
      <w:proofErr w:type="spellEnd"/>
      <w:r w:rsidRPr="004A4CFA">
        <w:rPr>
          <w:rFonts w:hint="cs"/>
          <w:b/>
          <w:bCs/>
          <w:spacing w:val="-4"/>
          <w:rtl/>
        </w:rPr>
        <w:t xml:space="preserve"> </w:t>
      </w:r>
      <w:proofErr w:type="spellStart"/>
      <w:r w:rsidRPr="004A4CFA">
        <w:rPr>
          <w:rFonts w:hint="cs"/>
          <w:b/>
          <w:bCs/>
          <w:spacing w:val="-4"/>
          <w:rtl/>
        </w:rPr>
        <w:t>دياز</w:t>
      </w:r>
      <w:proofErr w:type="spellEnd"/>
      <w:r w:rsidRPr="004A4CFA">
        <w:rPr>
          <w:rFonts w:hint="cs"/>
          <w:b/>
          <w:bCs/>
          <w:spacing w:val="-4"/>
          <w:rtl/>
        </w:rPr>
        <w:t xml:space="preserve">. وفي حالة </w:t>
      </w:r>
      <w:proofErr w:type="spellStart"/>
      <w:r w:rsidRPr="004A4CFA">
        <w:rPr>
          <w:rFonts w:hint="cs"/>
          <w:b/>
          <w:bCs/>
          <w:spacing w:val="-4"/>
          <w:rtl/>
        </w:rPr>
        <w:t>ميلاغرو</w:t>
      </w:r>
      <w:proofErr w:type="spellEnd"/>
      <w:r w:rsidRPr="004A4CFA">
        <w:rPr>
          <w:rFonts w:hint="cs"/>
          <w:b/>
          <w:bCs/>
          <w:spacing w:val="-4"/>
          <w:rtl/>
        </w:rPr>
        <w:t xml:space="preserve"> سالا، تدعو اللجنة الدولة الطرف إلى </w:t>
      </w:r>
      <w:r w:rsidRPr="002D54F1">
        <w:rPr>
          <w:rFonts w:hint="cs"/>
          <w:b/>
          <w:bCs/>
          <w:spacing w:val="-5"/>
          <w:rtl/>
        </w:rPr>
        <w:t>تنفيذ</w:t>
      </w:r>
      <w:r w:rsidR="004A4CFA" w:rsidRPr="002D54F1">
        <w:rPr>
          <w:rFonts w:hint="eastAsia"/>
          <w:b/>
          <w:bCs/>
          <w:spacing w:val="-5"/>
          <w:rtl/>
        </w:rPr>
        <w:t> </w:t>
      </w:r>
      <w:r w:rsidRPr="002D54F1">
        <w:rPr>
          <w:rFonts w:hint="cs"/>
          <w:b/>
          <w:bCs/>
          <w:spacing w:val="-5"/>
          <w:rtl/>
        </w:rPr>
        <w:t>التدابير التي طلبها الفريق العامل المعني بالاحتجاز التعسفي (</w:t>
      </w:r>
      <w:r w:rsidR="002D54F1" w:rsidRPr="002D54F1">
        <w:rPr>
          <w:b/>
          <w:bCs/>
          <w:spacing w:val="-5"/>
        </w:rPr>
        <w:t>A</w:t>
      </w:r>
      <w:r w:rsidRPr="002D54F1">
        <w:rPr>
          <w:b/>
          <w:bCs/>
          <w:spacing w:val="-5"/>
        </w:rPr>
        <w:t>/HRC/WGAD/2016/31</w:t>
      </w:r>
      <w:r w:rsidRPr="002D54F1">
        <w:rPr>
          <w:rFonts w:hint="cs"/>
          <w:b/>
          <w:bCs/>
          <w:spacing w:val="-5"/>
          <w:rtl/>
        </w:rPr>
        <w:t>،</w:t>
      </w:r>
      <w:r w:rsidRPr="004A4CFA">
        <w:rPr>
          <w:rFonts w:hint="cs"/>
          <w:b/>
          <w:bCs/>
          <w:spacing w:val="-4"/>
          <w:rtl/>
        </w:rPr>
        <w:t xml:space="preserve"> الفقرة 117).</w:t>
      </w:r>
    </w:p>
    <w:p w:rsidR="00A40A0A" w:rsidRDefault="00A40A0A" w:rsidP="004A4CFA">
      <w:pPr>
        <w:pStyle w:val="H23GA"/>
        <w:rPr>
          <w:rtl/>
        </w:rPr>
      </w:pPr>
      <w:r>
        <w:rPr>
          <w:rFonts w:hint="cs"/>
          <w:rtl/>
        </w:rPr>
        <w:tab/>
      </w:r>
      <w:r>
        <w:rPr>
          <w:rFonts w:hint="cs"/>
          <w:rtl/>
        </w:rPr>
        <w:tab/>
        <w:t>الحصول على التعليم</w:t>
      </w:r>
    </w:p>
    <w:p w:rsidR="00A40A0A" w:rsidRDefault="00A40A0A" w:rsidP="00A40A0A">
      <w:pPr>
        <w:pStyle w:val="SingleTxtGA"/>
        <w:rPr>
          <w:rtl/>
        </w:rPr>
      </w:pPr>
      <w:r>
        <w:rPr>
          <w:rFonts w:hint="cs"/>
          <w:rtl/>
        </w:rPr>
        <w:t>27-</w:t>
      </w:r>
      <w:r>
        <w:rPr>
          <w:rFonts w:hint="cs"/>
          <w:rtl/>
        </w:rPr>
        <w:tab/>
        <w:t xml:space="preserve">تعرب اللجنة عن أسفها لعدم توافر بيانات إحصائية مصنفة عن مستوى معرفة القراءة والكتابة والحصول على التعليم الابتدائي والثانوي والجامعي في صفوف الشعوب الأصلية والمنحدرين من أصل أفريقي والمهاجرين. وتحيط اللجنة علماً بالجهود المبذولة في سبيل إعمال الحق في التعليم الثنائي اللغة والمتعدد الثقافات، لكنها تعرب عن أسفها إزاء عدم إحراز تقدم في هذا المضمار بسبب عوامل منها انخفاض عدد المدرسين من المجتمعات المحلية للشعوب الأصلية وما يصطدم به هؤلاء من صعوبات في الوصول إلى دورات التأهيل (المادة 5). </w:t>
      </w:r>
    </w:p>
    <w:p w:rsidR="00A40A0A" w:rsidRPr="007826C2" w:rsidRDefault="00A40A0A" w:rsidP="007826C2">
      <w:pPr>
        <w:pStyle w:val="SingleTxtGA"/>
        <w:rPr>
          <w:b/>
          <w:bCs/>
          <w:spacing w:val="-4"/>
          <w:rtl/>
        </w:rPr>
      </w:pPr>
      <w:r w:rsidRPr="007826C2">
        <w:rPr>
          <w:rFonts w:hint="cs"/>
          <w:spacing w:val="-4"/>
          <w:rtl/>
        </w:rPr>
        <w:t>28-</w:t>
      </w:r>
      <w:r w:rsidRPr="007826C2">
        <w:rPr>
          <w:rFonts w:hint="cs"/>
          <w:spacing w:val="-4"/>
          <w:rtl/>
        </w:rPr>
        <w:tab/>
      </w:r>
      <w:r w:rsidRPr="007826C2">
        <w:rPr>
          <w:rFonts w:hint="cs"/>
          <w:b/>
          <w:bCs/>
          <w:spacing w:val="-4"/>
          <w:rtl/>
        </w:rPr>
        <w:t>توصي اللجنة بأن تكثف الدولة الطرف جهودها في سبيل ضمان توافر وتيسر وجودة</w:t>
      </w:r>
      <w:r w:rsidR="007826C2">
        <w:rPr>
          <w:rFonts w:hint="eastAsia"/>
          <w:b/>
          <w:bCs/>
          <w:spacing w:val="-4"/>
          <w:rtl/>
        </w:rPr>
        <w:t> </w:t>
      </w:r>
      <w:r w:rsidRPr="007826C2">
        <w:rPr>
          <w:rFonts w:hint="cs"/>
          <w:b/>
          <w:bCs/>
          <w:spacing w:val="-4"/>
          <w:rtl/>
        </w:rPr>
        <w:t>التعليم بجميع مستوياته لفائدة أطفال الشعوب الأصلية، بما في ذلك التعليم بلغتهم الأم. كما توصيها بمواصلة جهودها الرامية إلى زيادة عدد المدرسين من المجتمعات المحلية للشعوب الأصلية بسبل منها تيسير وصولهم إلى دورات التأهيل.</w:t>
      </w:r>
    </w:p>
    <w:p w:rsidR="00A40A0A" w:rsidRDefault="00A40A0A" w:rsidP="004A4CFA">
      <w:pPr>
        <w:pStyle w:val="H23GA"/>
        <w:rPr>
          <w:rtl/>
        </w:rPr>
      </w:pPr>
      <w:r>
        <w:rPr>
          <w:rFonts w:hint="cs"/>
          <w:rtl/>
        </w:rPr>
        <w:lastRenderedPageBreak/>
        <w:tab/>
      </w:r>
      <w:r>
        <w:rPr>
          <w:rFonts w:hint="cs"/>
          <w:rtl/>
        </w:rPr>
        <w:tab/>
        <w:t>الوصول إلى العدالة</w:t>
      </w:r>
    </w:p>
    <w:p w:rsidR="00A40A0A" w:rsidRPr="004A4CFA" w:rsidRDefault="00A40A0A" w:rsidP="00A40A0A">
      <w:pPr>
        <w:pStyle w:val="SingleTxtGA"/>
        <w:rPr>
          <w:spacing w:val="-2"/>
          <w:rtl/>
        </w:rPr>
      </w:pPr>
      <w:r w:rsidRPr="004A4CFA">
        <w:rPr>
          <w:rFonts w:hint="cs"/>
          <w:spacing w:val="-2"/>
          <w:rtl/>
        </w:rPr>
        <w:t>29-</w:t>
      </w:r>
      <w:r w:rsidRPr="004A4CFA">
        <w:rPr>
          <w:rFonts w:hint="cs"/>
          <w:spacing w:val="-2"/>
          <w:rtl/>
        </w:rPr>
        <w:tab/>
        <w:t xml:space="preserve">تعرب اللجنة عن أسفها لعدم توافر معلومات إحصائية مصنفة عن الشكاوى المتعلقة بالتمييز العنصري وما اتخذ بشأنها من إجراءات. وإذ تحيط اللجنة علماً بما تبذله الدولة الطرف من جهود في سبيل ضمان وصول الشعوب الأصلية إلى العدالة، تعرب عن أسفها إزاء ما تواجهه هذه الشعوب من صعوبات في التمتع بهذا الحق لأسباب منها: (أ) نقص إلمام السلطات القضائية ومحاميي المساعدة القضائية والمحامين بالقانون العرفي للشعوب الأصلية؛ (ب) ونقص المترجمين الفوريين والتحريرين العاملين بلغات الشعوب الأصلية؛ (ج) وعدم وجود مساعدة قانونية ومراكز قضائية في أبعد مناطق البلد وأضعفها. واللجنة منشغلة أيضاً إزاء عدم المساواة في الوصول إلى العدالة في حالة المنحدرين من أصل أفريقي (المادة 6). </w:t>
      </w:r>
    </w:p>
    <w:p w:rsidR="00A40A0A" w:rsidRPr="001A048B" w:rsidRDefault="00A40A0A" w:rsidP="00A40A0A">
      <w:pPr>
        <w:pStyle w:val="SingleTxtGA"/>
        <w:rPr>
          <w:b/>
          <w:bCs/>
          <w:rtl/>
        </w:rPr>
      </w:pPr>
      <w:r>
        <w:rPr>
          <w:rFonts w:hint="cs"/>
          <w:rtl/>
        </w:rPr>
        <w:t>30-</w:t>
      </w:r>
      <w:r>
        <w:rPr>
          <w:rFonts w:hint="cs"/>
          <w:rtl/>
        </w:rPr>
        <w:tab/>
      </w:r>
      <w:r w:rsidRPr="001A048B">
        <w:rPr>
          <w:rFonts w:hint="cs"/>
          <w:b/>
          <w:bCs/>
          <w:rtl/>
        </w:rPr>
        <w:t>تحث اللجنة الدولة الطرف، في ضوء توصيتها العامة رقم 31(2005) بشأن منع التمييز العنصري في إدارة وسير عمل نظام العدالة الجنائية، بما يلي:</w:t>
      </w:r>
    </w:p>
    <w:p w:rsidR="00A40A0A" w:rsidRPr="001A048B" w:rsidRDefault="00A40A0A" w:rsidP="00A40A0A">
      <w:pPr>
        <w:pStyle w:val="SingleTxtGA"/>
        <w:rPr>
          <w:b/>
          <w:bCs/>
          <w:rtl/>
        </w:rPr>
      </w:pPr>
      <w:r>
        <w:rPr>
          <w:rFonts w:hint="cs"/>
          <w:rtl/>
        </w:rPr>
        <w:tab/>
      </w:r>
      <w:r w:rsidRPr="001A048B">
        <w:rPr>
          <w:rFonts w:hint="cs"/>
          <w:b/>
          <w:bCs/>
          <w:rtl/>
        </w:rPr>
        <w:t>(أ)</w:t>
      </w:r>
      <w:r>
        <w:rPr>
          <w:rFonts w:hint="cs"/>
          <w:rtl/>
        </w:rPr>
        <w:tab/>
      </w:r>
      <w:r w:rsidRPr="001A048B">
        <w:rPr>
          <w:rFonts w:hint="cs"/>
          <w:b/>
          <w:bCs/>
          <w:rtl/>
        </w:rPr>
        <w:t>زيادة جهودها الرامية إلى الاعتراف بنُظم العدالة التقليدية للشعوب الأصلية واحترام هذه النُظم وفقاً للمعايير الدول</w:t>
      </w:r>
      <w:r>
        <w:rPr>
          <w:rFonts w:hint="cs"/>
          <w:b/>
          <w:bCs/>
          <w:rtl/>
        </w:rPr>
        <w:t>ي</w:t>
      </w:r>
      <w:r w:rsidRPr="001A048B">
        <w:rPr>
          <w:rFonts w:hint="cs"/>
          <w:b/>
          <w:bCs/>
          <w:rtl/>
        </w:rPr>
        <w:t>ة لحقوق الإنسان؛</w:t>
      </w:r>
    </w:p>
    <w:p w:rsidR="00A40A0A" w:rsidRPr="004A4CFA" w:rsidRDefault="00A40A0A" w:rsidP="00A40A0A">
      <w:pPr>
        <w:pStyle w:val="SingleTxtGA"/>
        <w:rPr>
          <w:b/>
          <w:bCs/>
          <w:spacing w:val="-2"/>
          <w:rtl/>
        </w:rPr>
      </w:pPr>
      <w:r w:rsidRPr="004A4CFA">
        <w:rPr>
          <w:rFonts w:hint="cs"/>
          <w:b/>
          <w:bCs/>
          <w:spacing w:val="-2"/>
          <w:rtl/>
        </w:rPr>
        <w:tab/>
      </w:r>
      <w:r w:rsidRPr="004A4CFA">
        <w:rPr>
          <w:rFonts w:hint="cs"/>
          <w:spacing w:val="-2"/>
          <w:rtl/>
        </w:rPr>
        <w:t>(ب)</w:t>
      </w:r>
      <w:r w:rsidRPr="004A4CFA">
        <w:rPr>
          <w:rFonts w:hint="cs"/>
          <w:b/>
          <w:bCs/>
          <w:spacing w:val="-2"/>
          <w:rtl/>
        </w:rPr>
        <w:tab/>
        <w:t>اعتماد التدابير اللازمة لضمان وصول الشعوب الأصلية إلى العدالة، واحترام حقوقها الأساسية وضمانات الإجراءات القانونية الواجبة، بما فيها زيادة عدد المترجمين الفوريين والمتخصصين في نُظم العدالة التقليدية للشعوب الأصلية؛ والمضي في توسيع نطاق المساعدة القضائية ومراكز العدالة في أبعد مناطق البلد وأضعفها، وتعزيز إمكانات المساعدة القضائية المجانية؛</w:t>
      </w:r>
    </w:p>
    <w:p w:rsidR="00A40A0A" w:rsidRPr="001A048B" w:rsidRDefault="00A40A0A" w:rsidP="00A40A0A">
      <w:pPr>
        <w:pStyle w:val="SingleTxtGA"/>
        <w:rPr>
          <w:b/>
          <w:bCs/>
          <w:rtl/>
        </w:rPr>
      </w:pPr>
      <w:r w:rsidRPr="001A048B">
        <w:rPr>
          <w:rFonts w:hint="cs"/>
          <w:b/>
          <w:bCs/>
          <w:rtl/>
        </w:rPr>
        <w:tab/>
      </w:r>
      <w:r w:rsidRPr="001A048B">
        <w:rPr>
          <w:rFonts w:hint="cs"/>
          <w:rtl/>
        </w:rPr>
        <w:t>(ج)</w:t>
      </w:r>
      <w:r w:rsidRPr="001A048B">
        <w:rPr>
          <w:rFonts w:hint="cs"/>
          <w:b/>
          <w:bCs/>
          <w:rtl/>
        </w:rPr>
        <w:tab/>
        <w:t>تشجيع تدريب موظفي الشرطة و</w:t>
      </w:r>
      <w:r>
        <w:rPr>
          <w:rFonts w:hint="cs"/>
          <w:b/>
          <w:bCs/>
          <w:rtl/>
        </w:rPr>
        <w:t>محاميي المساعدة القضائية</w:t>
      </w:r>
      <w:r w:rsidRPr="001A048B">
        <w:rPr>
          <w:rFonts w:hint="cs"/>
          <w:b/>
          <w:bCs/>
          <w:rtl/>
        </w:rPr>
        <w:t xml:space="preserve"> والمحامين والقضاة والمهنيين العاملين في ا</w:t>
      </w:r>
      <w:r>
        <w:rPr>
          <w:rFonts w:hint="cs"/>
          <w:b/>
          <w:bCs/>
          <w:rtl/>
        </w:rPr>
        <w:t>لنظام القضائي فيما يتعلق ب</w:t>
      </w:r>
      <w:r w:rsidRPr="001A048B">
        <w:rPr>
          <w:rFonts w:hint="cs"/>
          <w:b/>
          <w:bCs/>
          <w:rtl/>
        </w:rPr>
        <w:t>القانون العرفي للشعوب</w:t>
      </w:r>
      <w:r>
        <w:rPr>
          <w:rFonts w:hint="cs"/>
          <w:b/>
          <w:bCs/>
          <w:rtl/>
        </w:rPr>
        <w:t xml:space="preserve"> الأصلية وحقوق المنحدرين من أصل</w:t>
      </w:r>
      <w:r w:rsidRPr="001A048B">
        <w:rPr>
          <w:rFonts w:hint="cs"/>
          <w:b/>
          <w:bCs/>
          <w:rtl/>
        </w:rPr>
        <w:t xml:space="preserve"> أفريقي والمهاجرين ومناهضة التمييز العنصري.</w:t>
      </w:r>
    </w:p>
    <w:p w:rsidR="00A40A0A" w:rsidRDefault="00A40A0A" w:rsidP="004A4CFA">
      <w:pPr>
        <w:pStyle w:val="H23GA"/>
        <w:rPr>
          <w:rtl/>
        </w:rPr>
      </w:pPr>
      <w:r>
        <w:rPr>
          <w:rFonts w:hint="cs"/>
          <w:rtl/>
        </w:rPr>
        <w:tab/>
      </w:r>
      <w:r>
        <w:rPr>
          <w:rFonts w:hint="cs"/>
          <w:rtl/>
        </w:rPr>
        <w:tab/>
        <w:t>حقوق العمال</w:t>
      </w:r>
    </w:p>
    <w:p w:rsidR="00A40A0A" w:rsidRDefault="00A40A0A" w:rsidP="00A40A0A">
      <w:pPr>
        <w:pStyle w:val="SingleTxtGA"/>
        <w:rPr>
          <w:rtl/>
        </w:rPr>
      </w:pPr>
      <w:r>
        <w:rPr>
          <w:rFonts w:hint="cs"/>
          <w:rtl/>
        </w:rPr>
        <w:t>31-</w:t>
      </w:r>
      <w:r>
        <w:rPr>
          <w:rFonts w:hint="cs"/>
          <w:rtl/>
        </w:rPr>
        <w:tab/>
        <w:t>تُلاحظ اللجنة بقلقٍ ما يعترض أفراد الشعوب الأصلية والمنحدرين من أصل أفريقي والمهاجرين من صعوبات في دخول القطاع المنظم في سوق العمل وتركزهم في وظائف لا تُتيح لهم التمتع بالحقوق الأساسية للعمال (المادة 5).</w:t>
      </w:r>
    </w:p>
    <w:p w:rsidR="00A40A0A" w:rsidRPr="001A048B" w:rsidRDefault="00A40A0A" w:rsidP="00A40A0A">
      <w:pPr>
        <w:pStyle w:val="SingleTxtGA"/>
        <w:rPr>
          <w:b/>
          <w:bCs/>
          <w:rtl/>
        </w:rPr>
      </w:pPr>
      <w:r>
        <w:rPr>
          <w:rFonts w:hint="cs"/>
          <w:rtl/>
        </w:rPr>
        <w:t>32-</w:t>
      </w:r>
      <w:r>
        <w:rPr>
          <w:rFonts w:hint="cs"/>
          <w:rtl/>
        </w:rPr>
        <w:tab/>
      </w:r>
      <w:r w:rsidRPr="001A048B">
        <w:rPr>
          <w:rFonts w:hint="cs"/>
          <w:b/>
          <w:bCs/>
          <w:rtl/>
        </w:rPr>
        <w:t>توصي اللجنة الدولة الطرف بأن ت</w:t>
      </w:r>
      <w:r>
        <w:rPr>
          <w:rFonts w:hint="cs"/>
          <w:b/>
          <w:bCs/>
          <w:rtl/>
        </w:rPr>
        <w:t xml:space="preserve">واصل </w:t>
      </w:r>
      <w:r w:rsidRPr="001A048B">
        <w:rPr>
          <w:rFonts w:hint="cs"/>
          <w:b/>
          <w:bCs/>
          <w:rtl/>
        </w:rPr>
        <w:t>بذل ما في وسعها لتحسين دخول القطاع الاقتصادي المنظم وضمان شروط عمل عادلة ومُرضية، وفقاً للمعايير الدولية لحقوق الإنسان وحقوق العم</w:t>
      </w:r>
      <w:r>
        <w:rPr>
          <w:rFonts w:hint="cs"/>
          <w:b/>
          <w:bCs/>
          <w:rtl/>
        </w:rPr>
        <w:t>ا</w:t>
      </w:r>
      <w:r w:rsidRPr="001A048B">
        <w:rPr>
          <w:rFonts w:hint="cs"/>
          <w:b/>
          <w:bCs/>
          <w:rtl/>
        </w:rPr>
        <w:t>ل، علاوةً على التحقيق في حالات الاستغلال والتمييز، وموافاة اللجنة بمعلومات إحصائية ذات صلة في تقريرها الدوري المقبل.</w:t>
      </w:r>
    </w:p>
    <w:p w:rsidR="00A40A0A" w:rsidRDefault="00A40A0A" w:rsidP="004A4CFA">
      <w:pPr>
        <w:pStyle w:val="H23GA"/>
        <w:rPr>
          <w:rtl/>
        </w:rPr>
      </w:pPr>
      <w:r>
        <w:rPr>
          <w:rFonts w:hint="cs"/>
          <w:rtl/>
        </w:rPr>
        <w:lastRenderedPageBreak/>
        <w:tab/>
      </w:r>
      <w:r>
        <w:rPr>
          <w:rFonts w:hint="cs"/>
          <w:rtl/>
        </w:rPr>
        <w:tab/>
        <w:t>المهاجرون</w:t>
      </w:r>
    </w:p>
    <w:p w:rsidR="00A40A0A" w:rsidRDefault="00A40A0A" w:rsidP="004A4CFA">
      <w:pPr>
        <w:pStyle w:val="SingleTxtGA"/>
        <w:rPr>
          <w:rtl/>
        </w:rPr>
      </w:pPr>
      <w:r>
        <w:rPr>
          <w:rFonts w:hint="cs"/>
          <w:rtl/>
        </w:rPr>
        <w:t>33-</w:t>
      </w:r>
      <w:r>
        <w:rPr>
          <w:rFonts w:hint="cs"/>
          <w:rtl/>
        </w:rPr>
        <w:tab/>
        <w:t>تُحيط اللجنة علماً بما اعتمدته الأرجنتين من تشريعات متقدمة في مجال الهجرة وتُرحب بما يُنفذ من برامج لتسوية أوضاع المهاجرين غير الشرعيين. بيد أن اللجنة منشغلة إزاء: (أ)</w:t>
      </w:r>
      <w:r w:rsidR="004A4CFA">
        <w:rPr>
          <w:rFonts w:hint="eastAsia"/>
          <w:rtl/>
        </w:rPr>
        <w:t> </w:t>
      </w:r>
      <w:r>
        <w:rPr>
          <w:rFonts w:hint="cs"/>
          <w:rtl/>
        </w:rPr>
        <w:t xml:space="preserve">التمييز ضد المهاجرين، لا سيما المنتمين إلى الجاليتين السنغالية </w:t>
      </w:r>
      <w:proofErr w:type="spellStart"/>
      <w:r>
        <w:rPr>
          <w:rFonts w:hint="cs"/>
          <w:rtl/>
        </w:rPr>
        <w:t>والدومينيكية</w:t>
      </w:r>
      <w:proofErr w:type="spellEnd"/>
      <w:r>
        <w:rPr>
          <w:rFonts w:hint="cs"/>
          <w:rtl/>
        </w:rPr>
        <w:t>، وبخاصةٍ النساء والمهاجرين غير الشرعيين؛ (ب)</w:t>
      </w:r>
      <w:r>
        <w:rPr>
          <w:rFonts w:hint="eastAsia"/>
          <w:rtl/>
        </w:rPr>
        <w:t> </w:t>
      </w:r>
      <w:r>
        <w:rPr>
          <w:rFonts w:hint="cs"/>
          <w:rtl/>
        </w:rPr>
        <w:t>وارتفاع عدد أوامر الإبعاد؛ (ج) والحد من سياسات التسوية وفرض شروطٍ إضافية لتسوية أوضاع المهاجرين الوافدين من بلدان غير أعضاء في السوق الجنوبية المشتركة؛ (د) وتطبيق معايير تمييزية في الحصول على الحقوق الأساسية. كما يساور اللجنة القلق إزاء الخطط الرامية إلى إنشاء مركزٍ لاحتجاز المهاجرين في انتظار ترحيلهم، لما ينطوي عليه ذلك من احتمال احتجاز الأفراد في حالاتٍ لا يُشكل فيها الاحتجاز حلاً أخيراً. وتُعرب اللجنة عن أسفها لعدم توافر بياناتٍ إحصائية عن احتجاز الأجانب وعدم وجود حوارٍ سلس ومُنتظمٍ مع جمعيات المهاجرين (المواد 1 و2 و5).</w:t>
      </w:r>
    </w:p>
    <w:p w:rsidR="00A40A0A" w:rsidRPr="003F306C" w:rsidRDefault="00A40A0A" w:rsidP="00A40A0A">
      <w:pPr>
        <w:pStyle w:val="SingleTxtGA"/>
        <w:rPr>
          <w:b/>
          <w:bCs/>
          <w:spacing w:val="-4"/>
          <w:rtl/>
        </w:rPr>
      </w:pPr>
      <w:r w:rsidRPr="003F306C">
        <w:rPr>
          <w:rFonts w:hint="cs"/>
          <w:spacing w:val="-4"/>
          <w:rtl/>
        </w:rPr>
        <w:t>34-</w:t>
      </w:r>
      <w:r w:rsidRPr="003F306C">
        <w:rPr>
          <w:rFonts w:hint="cs"/>
          <w:spacing w:val="-4"/>
          <w:rtl/>
        </w:rPr>
        <w:tab/>
      </w:r>
      <w:r w:rsidRPr="003F306C">
        <w:rPr>
          <w:rFonts w:hint="cs"/>
          <w:b/>
          <w:bCs/>
          <w:spacing w:val="-4"/>
          <w:rtl/>
        </w:rPr>
        <w:t>في ضوء التوصية العامة رقم 30(2004) بشأن التمييز ضد غير المواطنين، توصي اللجنة الدولة الطرف باتخاذ التدابير اللازمة لحماية المهاجرين، بما في ذلك التالية:</w:t>
      </w:r>
    </w:p>
    <w:p w:rsidR="00A40A0A" w:rsidRPr="001A048B" w:rsidRDefault="00A40A0A" w:rsidP="00A40A0A">
      <w:pPr>
        <w:pStyle w:val="SingleTxtGA"/>
        <w:rPr>
          <w:b/>
          <w:bCs/>
          <w:rtl/>
        </w:rPr>
      </w:pPr>
      <w:r>
        <w:rPr>
          <w:rFonts w:hint="cs"/>
          <w:rtl/>
        </w:rPr>
        <w:tab/>
        <w:t>(أ)</w:t>
      </w:r>
      <w:r>
        <w:rPr>
          <w:rFonts w:hint="cs"/>
          <w:rtl/>
        </w:rPr>
        <w:tab/>
      </w:r>
      <w:r w:rsidRPr="001A048B">
        <w:rPr>
          <w:rFonts w:hint="cs"/>
          <w:b/>
          <w:bCs/>
          <w:rtl/>
        </w:rPr>
        <w:t>تنفيذ تدابير تُشجع مشاركة المهاجرين وإدماجهم بصورة كاملة في الدولة الطرف واحترام حقوقهم، و</w:t>
      </w:r>
      <w:r>
        <w:rPr>
          <w:rFonts w:hint="cs"/>
          <w:b/>
          <w:bCs/>
          <w:rtl/>
        </w:rPr>
        <w:t xml:space="preserve">كذا </w:t>
      </w:r>
      <w:r w:rsidRPr="001A048B">
        <w:rPr>
          <w:rFonts w:hint="cs"/>
          <w:b/>
          <w:bCs/>
          <w:rtl/>
        </w:rPr>
        <w:t>الحرص على عدم إقرار ممارسات وقواعد تشكل تراجعاً بالمقارنة مع الإطار المعياري الساري؛</w:t>
      </w:r>
    </w:p>
    <w:p w:rsidR="00A40A0A" w:rsidRPr="001A048B" w:rsidRDefault="00A40A0A" w:rsidP="00A40A0A">
      <w:pPr>
        <w:pStyle w:val="SingleTxtGA"/>
        <w:rPr>
          <w:b/>
          <w:bCs/>
          <w:rtl/>
        </w:rPr>
      </w:pPr>
      <w:r>
        <w:rPr>
          <w:rFonts w:hint="cs"/>
          <w:rtl/>
        </w:rPr>
        <w:tab/>
        <w:t>(ب)</w:t>
      </w:r>
      <w:r>
        <w:rPr>
          <w:rFonts w:hint="cs"/>
          <w:rtl/>
        </w:rPr>
        <w:tab/>
      </w:r>
      <w:r w:rsidRPr="001A048B">
        <w:rPr>
          <w:rFonts w:hint="cs"/>
          <w:b/>
          <w:bCs/>
          <w:rtl/>
        </w:rPr>
        <w:t>النظر في تطبيق تدابير بديلة عن سلب حرية المهاجرين غير الشرعيين وعدم اللجوء إلى الاحتجاز إلا كحلٍ أخير، وضمان أن يكون الاحتجاز معقولاً وضرورياً ومتناسباً وأن يدوم لأقصر فترة زمنية ممكنة.</w:t>
      </w:r>
    </w:p>
    <w:p w:rsidR="00A40A0A" w:rsidRDefault="00A40A0A" w:rsidP="004A4CFA">
      <w:pPr>
        <w:pStyle w:val="H23GA"/>
        <w:rPr>
          <w:rtl/>
        </w:rPr>
      </w:pPr>
      <w:r>
        <w:rPr>
          <w:rFonts w:hint="cs"/>
          <w:rtl/>
        </w:rPr>
        <w:tab/>
      </w:r>
      <w:r>
        <w:rPr>
          <w:rFonts w:hint="cs"/>
          <w:rtl/>
        </w:rPr>
        <w:tab/>
        <w:t>أشكال التمييز المتعددة</w:t>
      </w:r>
    </w:p>
    <w:p w:rsidR="00A40A0A" w:rsidRDefault="00A40A0A" w:rsidP="00A40A0A">
      <w:pPr>
        <w:pStyle w:val="SingleTxtGA"/>
        <w:rPr>
          <w:rtl/>
        </w:rPr>
      </w:pPr>
      <w:r>
        <w:rPr>
          <w:rFonts w:hint="cs"/>
          <w:rtl/>
        </w:rPr>
        <w:t>35-</w:t>
      </w:r>
      <w:r>
        <w:rPr>
          <w:rFonts w:hint="cs"/>
          <w:rtl/>
        </w:rPr>
        <w:tab/>
        <w:t xml:space="preserve">تُعرب اللجنة عن قلقها لأن نساء الشعوب الأصلية والمنحدرات من أصلٍ أفريقي والمهاجرات، بمن فيهن النساء المنحدرات من الجمهورية </w:t>
      </w:r>
      <w:proofErr w:type="spellStart"/>
      <w:r>
        <w:rPr>
          <w:rFonts w:hint="cs"/>
          <w:rtl/>
        </w:rPr>
        <w:t>الدومينيكية</w:t>
      </w:r>
      <w:proofErr w:type="spellEnd"/>
      <w:r>
        <w:rPr>
          <w:rFonts w:hint="cs"/>
          <w:rtl/>
        </w:rPr>
        <w:t xml:space="preserve"> </w:t>
      </w:r>
      <w:proofErr w:type="spellStart"/>
      <w:r>
        <w:rPr>
          <w:rFonts w:hint="cs"/>
          <w:rtl/>
        </w:rPr>
        <w:t>والمثليات</w:t>
      </w:r>
      <w:proofErr w:type="spellEnd"/>
      <w:r>
        <w:rPr>
          <w:rFonts w:hint="cs"/>
          <w:rtl/>
        </w:rPr>
        <w:t xml:space="preserve"> والمثليين ومزدوجي الميل الجنسي ومغايري الهوية الجنسانية وحاملي صفات الجنسين، وأفراد أقلياتٍ أخرى ما زالوا يتعرضون لأشكال تمييز متعددة في جميع مناحي الحياة الاجتماعية والسياسية والاقتصادية والثقافية (المادة 2(2)).</w:t>
      </w:r>
    </w:p>
    <w:p w:rsidR="00A40A0A" w:rsidRPr="007A0C79" w:rsidRDefault="00A40A0A" w:rsidP="007A0C79">
      <w:pPr>
        <w:pStyle w:val="SingleTxtGA"/>
        <w:spacing w:line="370" w:lineRule="exact"/>
        <w:rPr>
          <w:b/>
          <w:bCs/>
          <w:spacing w:val="-2"/>
          <w:rtl/>
        </w:rPr>
      </w:pPr>
      <w:r w:rsidRPr="007A0C79">
        <w:rPr>
          <w:rFonts w:hint="cs"/>
          <w:spacing w:val="-2"/>
          <w:rtl/>
        </w:rPr>
        <w:t>36-</w:t>
      </w:r>
      <w:r w:rsidRPr="007A0C79">
        <w:rPr>
          <w:rFonts w:hint="cs"/>
          <w:spacing w:val="-2"/>
          <w:rtl/>
        </w:rPr>
        <w:tab/>
      </w:r>
      <w:r w:rsidRPr="007A0C79">
        <w:rPr>
          <w:rFonts w:hint="cs"/>
          <w:b/>
          <w:bCs/>
          <w:spacing w:val="-2"/>
          <w:rtl/>
        </w:rPr>
        <w:t xml:space="preserve">توصي اللجنة الدولة الطرف بمراعاة توصيتها العامة رقم 25(2000) بشأن أبعاد التمييز العنصري المتعلقة بنوع الجنس، وبتضمين جميع سياساتها واستراتيجياتها منظوراً </w:t>
      </w:r>
      <w:proofErr w:type="spellStart"/>
      <w:r w:rsidRPr="007A0C79">
        <w:rPr>
          <w:rFonts w:hint="cs"/>
          <w:b/>
          <w:bCs/>
          <w:spacing w:val="-2"/>
          <w:rtl/>
        </w:rPr>
        <w:t>جنسانياً</w:t>
      </w:r>
      <w:proofErr w:type="spellEnd"/>
      <w:r w:rsidRPr="007A0C79">
        <w:rPr>
          <w:rFonts w:hint="cs"/>
          <w:b/>
          <w:bCs/>
          <w:spacing w:val="-2"/>
          <w:rtl/>
        </w:rPr>
        <w:t xml:space="preserve"> لمواجهة أشكال التمييز المتعددة التي تُؤثر بصفةٍ خاصةٍ في نساء الشعوب الأصلية والمنحدرين من أصل أفريقي والمهاجرين، </w:t>
      </w:r>
      <w:proofErr w:type="spellStart"/>
      <w:r w:rsidRPr="007A0C79">
        <w:rPr>
          <w:rFonts w:hint="cs"/>
          <w:b/>
          <w:bCs/>
          <w:spacing w:val="-2"/>
          <w:rtl/>
        </w:rPr>
        <w:t>والمثليات</w:t>
      </w:r>
      <w:proofErr w:type="spellEnd"/>
      <w:r w:rsidRPr="007A0C79">
        <w:rPr>
          <w:rFonts w:hint="cs"/>
          <w:b/>
          <w:bCs/>
          <w:spacing w:val="-2"/>
          <w:rtl/>
        </w:rPr>
        <w:t xml:space="preserve"> والمثليين ومزدوجي الميل الجنسي ومغايري الهوية الجنسانية وحاملي صفات الجنسين، وأفراد أقليات أخرى. كما توصيها بوضع إحصاءات مصنفة في هذا الصدد.</w:t>
      </w:r>
    </w:p>
    <w:p w:rsidR="00A40A0A" w:rsidRPr="0044304B" w:rsidRDefault="004A4CFA" w:rsidP="004A4CFA">
      <w:pPr>
        <w:pStyle w:val="H1GA"/>
        <w:rPr>
          <w:rtl/>
          <w:lang w:eastAsia="zh-TW"/>
        </w:rPr>
      </w:pPr>
      <w:r>
        <w:rPr>
          <w:rFonts w:hint="cs"/>
          <w:rtl/>
          <w:lang w:eastAsia="zh-TW"/>
        </w:rPr>
        <w:lastRenderedPageBreak/>
        <w:tab/>
      </w:r>
      <w:r w:rsidR="00A40A0A">
        <w:rPr>
          <w:rFonts w:hint="cs"/>
          <w:rtl/>
          <w:lang w:eastAsia="zh-TW"/>
        </w:rPr>
        <w:t>دال</w:t>
      </w:r>
      <w:r w:rsidR="00A40A0A">
        <w:rPr>
          <w:rtl/>
          <w:lang w:eastAsia="zh-TW"/>
        </w:rPr>
        <w:t>-</w:t>
      </w:r>
      <w:r w:rsidR="00A40A0A">
        <w:rPr>
          <w:rFonts w:hint="cs"/>
          <w:rtl/>
          <w:lang w:eastAsia="zh-TW"/>
        </w:rPr>
        <w:tab/>
      </w:r>
      <w:dir w:val="rtl">
        <w:r w:rsidR="00A40A0A" w:rsidRPr="0044304B">
          <w:rPr>
            <w:rFonts w:hint="cs"/>
            <w:rtl/>
            <w:lang w:eastAsia="zh-TW"/>
          </w:rPr>
          <w:t>توصيات</w:t>
        </w:r>
        <w:r w:rsidR="00A40A0A" w:rsidRPr="0044304B">
          <w:rPr>
            <w:rtl/>
            <w:lang w:eastAsia="zh-TW"/>
          </w:rPr>
          <w:t xml:space="preserve"> </w:t>
        </w:r>
        <w:r w:rsidR="00A40A0A" w:rsidRPr="0044304B">
          <w:rPr>
            <w:rFonts w:hint="cs"/>
            <w:rtl/>
            <w:lang w:eastAsia="zh-TW"/>
          </w:rPr>
          <w:t>أخرى</w:t>
        </w:r>
        <w:r w:rsidR="00A40A0A">
          <w:t>‬</w:t>
        </w:r>
        <w:r w:rsidR="00A40A0A">
          <w:t>‬</w:t>
        </w:r>
        <w:r w:rsidR="00A40A0A">
          <w:t>‬</w:t>
        </w:r>
        <w:r w:rsidR="00A40A0A">
          <w:t>‬</w:t>
        </w:r>
        <w:r w:rsidR="00A40A0A">
          <w:t>‬</w:t>
        </w:r>
        <w:r w:rsidR="00A40A0A">
          <w:t>‬</w:t>
        </w:r>
        <w:r w:rsidR="00A40A0A">
          <w:t>‬</w:t>
        </w:r>
        <w:r w:rsidR="00A40A0A">
          <w:t>‬</w:t>
        </w:r>
        <w:r w:rsidR="00A40A0A">
          <w:t>‬</w:t>
        </w:r>
        <w:r w:rsidR="00A40A0A">
          <w:t>‬</w:t>
        </w:r>
        <w:r w:rsidR="00A40A0A">
          <w:t>‬</w:t>
        </w:r>
        <w:r w:rsidR="003C280E">
          <w:t>‬</w:t>
        </w:r>
        <w:r w:rsidR="002D54F1">
          <w:t>‬</w:t>
        </w:r>
        <w:r w:rsidR="00A32865">
          <w:t>‬</w:t>
        </w:r>
      </w:dir>
    </w:p>
    <w:p w:rsidR="00A40A0A" w:rsidRPr="0044304B" w:rsidRDefault="00A40A0A" w:rsidP="00DF2C8F">
      <w:pPr>
        <w:pStyle w:val="H23GA"/>
        <w:rPr>
          <w:rtl/>
        </w:rPr>
      </w:pPr>
      <w:r>
        <w:rPr>
          <w:rtl/>
        </w:rPr>
        <w:tab/>
      </w:r>
      <w:r>
        <w:rPr>
          <w:rFonts w:hint="cs"/>
          <w:rtl/>
        </w:rPr>
        <w:tab/>
      </w:r>
      <w:r w:rsidRPr="0044304B">
        <w:rPr>
          <w:rFonts w:hint="cs"/>
          <w:rtl/>
        </w:rPr>
        <w:t>التصديق</w:t>
      </w:r>
      <w:r w:rsidRPr="0044304B">
        <w:rPr>
          <w:rtl/>
        </w:rPr>
        <w:t xml:space="preserve"> </w:t>
      </w:r>
      <w:r w:rsidRPr="0044304B">
        <w:rPr>
          <w:rFonts w:hint="cs"/>
          <w:rtl/>
        </w:rPr>
        <w:t>على</w:t>
      </w:r>
      <w:r w:rsidRPr="0044304B">
        <w:rPr>
          <w:rtl/>
        </w:rPr>
        <w:t xml:space="preserve"> </w:t>
      </w:r>
      <w:r>
        <w:rPr>
          <w:rFonts w:hint="cs"/>
          <w:rtl/>
        </w:rPr>
        <w:t>معاهدات</w:t>
      </w:r>
      <w:r w:rsidRPr="0044304B">
        <w:rPr>
          <w:rtl/>
        </w:rPr>
        <w:t xml:space="preserve"> </w:t>
      </w:r>
      <w:r w:rsidRPr="0044304B">
        <w:rPr>
          <w:rFonts w:hint="cs"/>
          <w:rtl/>
        </w:rPr>
        <w:t>أخرى</w:t>
      </w:r>
      <w:r w:rsidRPr="0044304B">
        <w:rPr>
          <w:rFonts w:ascii="MS Mincho" w:eastAsia="MS Mincho" w:hAnsi="MS Mincho" w:cs="MS Mincho" w:hint="eastAsia"/>
          <w:rtl/>
        </w:rPr>
        <w:t>‬</w:t>
      </w:r>
      <w:r>
        <w:t>‬</w:t>
      </w:r>
    </w:p>
    <w:p w:rsidR="00A40A0A" w:rsidRDefault="00A40A0A" w:rsidP="00DF2C8F">
      <w:pPr>
        <w:pStyle w:val="SingleTxtGA"/>
        <w:rPr>
          <w:rFonts w:ascii="MS Mincho" w:eastAsia="MS Mincho" w:hAnsi="MS Mincho" w:cs="MS Mincho"/>
          <w:b/>
          <w:bCs/>
          <w:rtl/>
          <w:lang w:eastAsia="zh-TW"/>
        </w:rPr>
      </w:pPr>
      <w:r>
        <w:rPr>
          <w:rFonts w:hint="cs"/>
          <w:rtl/>
        </w:rPr>
        <w:t>37</w:t>
      </w:r>
      <w:r w:rsidRPr="0044304B">
        <w:rPr>
          <w:rtl/>
        </w:rPr>
        <w:t>-</w:t>
      </w:r>
      <w:r w:rsidRPr="0044304B">
        <w:rPr>
          <w:rtl/>
        </w:rPr>
        <w:tab/>
      </w:r>
      <w:r w:rsidRPr="004C6A33">
        <w:rPr>
          <w:b/>
          <w:bCs/>
          <w:rtl/>
          <w:lang w:eastAsia="zh-TW"/>
        </w:rPr>
        <w:t>تضع اللجنة في اعتبارها أن جميع حقوق الإنسان غير قابلة للتجزئة، وتشجع الدولة الط</w:t>
      </w:r>
      <w:r>
        <w:rPr>
          <w:b/>
          <w:bCs/>
          <w:rtl/>
          <w:lang w:eastAsia="zh-TW"/>
        </w:rPr>
        <w:t>رف على ال</w:t>
      </w:r>
      <w:r>
        <w:rPr>
          <w:rFonts w:hint="cs"/>
          <w:b/>
          <w:bCs/>
          <w:rtl/>
          <w:lang w:eastAsia="zh-TW"/>
        </w:rPr>
        <w:t>تصديق على اتفاقية البلدان الأمريكية لمكافحة العنصرية والتمييز العنصري وما يتصل بذلك من أشكال التعصب (2013) واتفاقية البلدان الأمريكية لمكافحة جميع أشكال التمييز العنصري والتعصب (2013)</w:t>
      </w:r>
      <w:r w:rsidRPr="004C6A33">
        <w:rPr>
          <w:b/>
          <w:bCs/>
          <w:rtl/>
          <w:lang w:eastAsia="zh-TW"/>
        </w:rPr>
        <w:t>.</w:t>
      </w:r>
      <w:r w:rsidRPr="004C6A33">
        <w:rPr>
          <w:rFonts w:ascii="MS Mincho" w:eastAsia="MS Mincho" w:hAnsi="MS Mincho" w:cs="MS Mincho" w:hint="eastAsia"/>
          <w:b/>
          <w:bCs/>
          <w:rtl/>
          <w:lang w:eastAsia="zh-TW"/>
        </w:rPr>
        <w:t>‬</w:t>
      </w:r>
      <w:r w:rsidR="004A4CFA">
        <w:rPr>
          <w:rFonts w:ascii="MS Mincho" w:eastAsia="MS Mincho" w:hAnsi="MS Mincho" w:cs="MS Mincho" w:hint="cs"/>
          <w:b/>
          <w:bCs/>
          <w:rtl/>
          <w:lang w:eastAsia="zh-TW"/>
        </w:rPr>
        <w:t xml:space="preserve"> </w:t>
      </w:r>
    </w:p>
    <w:p w:rsidR="00A40A0A" w:rsidRPr="0044304B" w:rsidRDefault="00A40A0A" w:rsidP="00DF2C8F">
      <w:pPr>
        <w:pStyle w:val="H23GA"/>
        <w:rPr>
          <w:rtl/>
        </w:rPr>
      </w:pPr>
      <w:r>
        <w:rPr>
          <w:rtl/>
        </w:rPr>
        <w:tab/>
      </w:r>
      <w:r>
        <w:rPr>
          <w:rtl/>
        </w:rPr>
        <w:tab/>
      </w:r>
      <w:r w:rsidRPr="0044304B">
        <w:rPr>
          <w:rFonts w:hint="cs"/>
          <w:rtl/>
        </w:rPr>
        <w:t>تعديل</w:t>
      </w:r>
      <w:r w:rsidRPr="0044304B">
        <w:rPr>
          <w:rtl/>
        </w:rPr>
        <w:t xml:space="preserve"> </w:t>
      </w:r>
      <w:r w:rsidRPr="0044304B">
        <w:rPr>
          <w:rFonts w:hint="cs"/>
          <w:rtl/>
        </w:rPr>
        <w:t>المادة</w:t>
      </w:r>
      <w:r w:rsidRPr="0044304B">
        <w:rPr>
          <w:rtl/>
        </w:rPr>
        <w:t xml:space="preserve"> 8 من الاتفاقية</w:t>
      </w:r>
      <w:r w:rsidRPr="0044304B">
        <w:rPr>
          <w:rFonts w:eastAsia="MS Mincho" w:cs="MS Mincho" w:hint="eastAsia"/>
          <w:szCs w:val="20"/>
          <w:rtl/>
        </w:rPr>
        <w:t>‬</w:t>
      </w:r>
      <w:r w:rsidRPr="0044304B">
        <w:rPr>
          <w:rFonts w:eastAsia="MS Mincho" w:cs="MS Mincho" w:hint="eastAsia"/>
          <w:szCs w:val="20"/>
          <w:rtl/>
        </w:rPr>
        <w:t>‬</w:t>
      </w:r>
      <w:r w:rsidRPr="0044304B">
        <w:rPr>
          <w:rFonts w:eastAsia="MS Mincho" w:cs="MS Mincho" w:hint="eastAsia"/>
          <w:szCs w:val="20"/>
          <w:rtl/>
        </w:rPr>
        <w:t>‬</w:t>
      </w:r>
      <w:r w:rsidRPr="0044304B">
        <w:rPr>
          <w:rFonts w:eastAsia="MS Mincho" w:cs="MS Mincho" w:hint="eastAsia"/>
          <w:szCs w:val="20"/>
          <w:rtl/>
        </w:rPr>
        <w:t>‬</w:t>
      </w:r>
      <w:r w:rsidRPr="0044304B">
        <w:rPr>
          <w:rFonts w:eastAsia="MS Mincho" w:cs="MS Mincho" w:hint="eastAsia"/>
          <w:szCs w:val="20"/>
          <w:rtl/>
        </w:rPr>
        <w:t>‬</w:t>
      </w:r>
      <w:r w:rsidRPr="0044304B">
        <w:rPr>
          <w:rFonts w:eastAsia="MS Mincho" w:cs="MS Mincho" w:hint="eastAsia"/>
          <w:szCs w:val="20"/>
          <w:rtl/>
        </w:rPr>
        <w:t>‬</w:t>
      </w:r>
      <w:r w:rsidRPr="0044304B">
        <w:rPr>
          <w:rFonts w:eastAsia="MS Mincho" w:cs="MS Mincho" w:hint="eastAsia"/>
          <w:szCs w:val="20"/>
          <w:rtl/>
        </w:rPr>
        <w:t>‬</w:t>
      </w:r>
      <w:r w:rsidRPr="0044304B">
        <w:rPr>
          <w:rFonts w:eastAsia="MS Mincho" w:cs="MS Mincho" w:hint="eastAsia"/>
          <w:szCs w:val="20"/>
          <w:rtl/>
        </w:rPr>
        <w:t>‬</w:t>
      </w:r>
      <w:r>
        <w:t>‬</w:t>
      </w:r>
    </w:p>
    <w:p w:rsidR="00A40A0A" w:rsidRPr="004C6A33" w:rsidRDefault="00A40A0A" w:rsidP="00DF2C8F">
      <w:pPr>
        <w:pStyle w:val="SingleTxtGA"/>
        <w:rPr>
          <w:rStyle w:val="SingleTxtGCar"/>
          <w:b/>
          <w:bCs/>
          <w:sz w:val="22"/>
          <w:rtl/>
          <w:lang w:eastAsia="zh-TW"/>
        </w:rPr>
      </w:pPr>
      <w:r>
        <w:rPr>
          <w:rFonts w:hint="cs"/>
          <w:sz w:val="22"/>
          <w:rtl/>
        </w:rPr>
        <w:t>38</w:t>
      </w:r>
      <w:r w:rsidRPr="0044304B">
        <w:rPr>
          <w:sz w:val="22"/>
          <w:rtl/>
        </w:rPr>
        <w:t>-</w:t>
      </w:r>
      <w:r w:rsidRPr="0044304B">
        <w:rPr>
          <w:sz w:val="22"/>
          <w:rtl/>
        </w:rPr>
        <w:tab/>
      </w:r>
      <w:r w:rsidRPr="004C6A33">
        <w:rPr>
          <w:b/>
          <w:bCs/>
          <w:sz w:val="22"/>
          <w:rtl/>
          <w:lang w:eastAsia="zh-TW"/>
        </w:rPr>
        <w:t>توصي اللجنة الدولة الطر</w:t>
      </w:r>
      <w:r>
        <w:rPr>
          <w:b/>
          <w:bCs/>
          <w:sz w:val="22"/>
          <w:rtl/>
          <w:lang w:eastAsia="zh-TW"/>
        </w:rPr>
        <w:t>ف بأن تصدِّق على تعديل المادة 8</w:t>
      </w:r>
      <w:r w:rsidRPr="004C6A33">
        <w:rPr>
          <w:b/>
          <w:bCs/>
          <w:sz w:val="22"/>
          <w:rtl/>
          <w:lang w:eastAsia="zh-TW"/>
        </w:rPr>
        <w:t>(6) من الاتفاقية، الذي اعتُمد في 15 كانون الثاني/يناير 1992 في الاجتماع الرابع عشر للدول الأطراف في الاتفاقية وأقرته الجمعية العامة في قرارها 47/111.</w:t>
      </w:r>
      <w:r w:rsidRPr="004C6A33">
        <w:rPr>
          <w:rFonts w:ascii="MS Mincho" w:eastAsia="MS Mincho" w:hAnsi="MS Mincho" w:cs="MS Mincho" w:hint="eastAsia"/>
          <w:b/>
          <w:bCs/>
          <w:sz w:val="22"/>
          <w:rtl/>
          <w:lang w:eastAsia="zh-TW"/>
        </w:rPr>
        <w:t>‬</w:t>
      </w:r>
      <w:r w:rsidRPr="004C6A33">
        <w:rPr>
          <w:b/>
          <w:bCs/>
          <w:sz w:val="22"/>
          <w:rtl/>
          <w:lang w:eastAsia="zh-TW"/>
        </w:rPr>
        <w:t xml:space="preserve"> </w:t>
      </w:r>
    </w:p>
    <w:p w:rsidR="00A40A0A" w:rsidRPr="0044304B" w:rsidRDefault="00A40A0A" w:rsidP="00DF2C8F">
      <w:pPr>
        <w:pStyle w:val="H23GA"/>
        <w:rPr>
          <w:rtl/>
        </w:rPr>
      </w:pPr>
      <w:r>
        <w:rPr>
          <w:rtl/>
        </w:rPr>
        <w:tab/>
      </w:r>
      <w:r>
        <w:rPr>
          <w:rFonts w:hint="cs"/>
          <w:rtl/>
        </w:rPr>
        <w:tab/>
      </w:r>
      <w:r w:rsidRPr="0044304B">
        <w:rPr>
          <w:rFonts w:hint="cs"/>
          <w:rtl/>
        </w:rPr>
        <w:t>إعلان</w:t>
      </w:r>
      <w:r w:rsidRPr="0044304B">
        <w:rPr>
          <w:rtl/>
        </w:rPr>
        <w:t xml:space="preserve"> </w:t>
      </w:r>
      <w:r w:rsidRPr="0044304B">
        <w:rPr>
          <w:rFonts w:hint="cs"/>
          <w:rtl/>
        </w:rPr>
        <w:t>وبرنامج</w:t>
      </w:r>
      <w:r w:rsidRPr="0044304B">
        <w:rPr>
          <w:rtl/>
        </w:rPr>
        <w:t xml:space="preserve"> </w:t>
      </w:r>
      <w:r w:rsidRPr="0044304B">
        <w:rPr>
          <w:rFonts w:hint="cs"/>
          <w:rtl/>
        </w:rPr>
        <w:t>عمل</w:t>
      </w:r>
      <w:r w:rsidRPr="0044304B">
        <w:rPr>
          <w:rtl/>
        </w:rPr>
        <w:t xml:space="preserve"> </w:t>
      </w:r>
      <w:r w:rsidRPr="0044304B">
        <w:rPr>
          <w:rFonts w:hint="cs"/>
          <w:rtl/>
        </w:rPr>
        <w:t>ديربان</w:t>
      </w:r>
      <w:r w:rsidRPr="0044304B">
        <w:rPr>
          <w:rFonts w:ascii="MS Mincho" w:eastAsia="MS Mincho" w:hAnsi="MS Mincho" w:cs="MS Mincho" w:hint="eastAsia"/>
          <w:rtl/>
        </w:rPr>
        <w:t>‬</w:t>
      </w:r>
      <w:r w:rsidRPr="0044304B">
        <w:rPr>
          <w:rFonts w:ascii="MS Mincho" w:eastAsia="MS Mincho" w:hAnsi="MS Mincho" w:cs="MS Mincho" w:hint="eastAsia"/>
          <w:rtl/>
        </w:rPr>
        <w:t>‬</w:t>
      </w:r>
      <w:r>
        <w:t>‬</w:t>
      </w:r>
    </w:p>
    <w:p w:rsidR="00A40A0A" w:rsidRPr="0007446C" w:rsidRDefault="00A40A0A" w:rsidP="00DF2C8F">
      <w:pPr>
        <w:pStyle w:val="SingleTxtGA"/>
        <w:rPr>
          <w:b/>
          <w:bCs/>
          <w:spacing w:val="-4"/>
          <w:sz w:val="22"/>
          <w:rtl/>
          <w:lang w:eastAsia="zh-TW"/>
        </w:rPr>
      </w:pPr>
      <w:r>
        <w:rPr>
          <w:rFonts w:hint="cs"/>
          <w:spacing w:val="-4"/>
          <w:sz w:val="22"/>
          <w:rtl/>
        </w:rPr>
        <w:t>39</w:t>
      </w:r>
      <w:r w:rsidRPr="0007446C">
        <w:rPr>
          <w:spacing w:val="-4"/>
          <w:sz w:val="22"/>
          <w:rtl/>
        </w:rPr>
        <w:t>-</w:t>
      </w:r>
      <w:r w:rsidRPr="0007446C">
        <w:rPr>
          <w:spacing w:val="-4"/>
          <w:sz w:val="22"/>
          <w:rtl/>
        </w:rPr>
        <w:tab/>
      </w:r>
      <w:r>
        <w:rPr>
          <w:b/>
          <w:bCs/>
          <w:spacing w:val="-4"/>
          <w:sz w:val="22"/>
          <w:rtl/>
          <w:lang w:eastAsia="zh-TW"/>
        </w:rPr>
        <w:t>في ضوء التوصية العامة رقم 33</w:t>
      </w:r>
      <w:r w:rsidRPr="0007446C">
        <w:rPr>
          <w:b/>
          <w:bCs/>
          <w:spacing w:val="-4"/>
          <w:sz w:val="22"/>
          <w:rtl/>
          <w:lang w:eastAsia="zh-TW"/>
        </w:rPr>
        <w:t>(2009) بشأن متابعة مؤتمر استعراض</w:t>
      </w:r>
      <w:r>
        <w:rPr>
          <w:rFonts w:hint="cs"/>
          <w:b/>
          <w:bCs/>
          <w:spacing w:val="-4"/>
          <w:sz w:val="22"/>
          <w:rtl/>
          <w:lang w:eastAsia="zh-TW"/>
        </w:rPr>
        <w:t xml:space="preserve"> نتائج</w:t>
      </w:r>
      <w:r w:rsidRPr="0007446C">
        <w:rPr>
          <w:b/>
          <w:bCs/>
          <w:spacing w:val="-4"/>
          <w:sz w:val="22"/>
          <w:rtl/>
          <w:lang w:eastAsia="zh-TW"/>
        </w:rPr>
        <w:t xml:space="preserve"> ديربان، توصي اللجنة الدولة الطرف بأن</w:t>
      </w:r>
      <w:r>
        <w:rPr>
          <w:rFonts w:hint="cs"/>
          <w:b/>
          <w:bCs/>
          <w:spacing w:val="-4"/>
          <w:sz w:val="22"/>
          <w:rtl/>
          <w:lang w:eastAsia="zh-TW"/>
        </w:rPr>
        <w:t xml:space="preserve"> تضع في اعتبارها، عند إدماج الاتفاقية في تشريعاتها الوطنية،</w:t>
      </w:r>
      <w:r>
        <w:rPr>
          <w:b/>
          <w:bCs/>
          <w:spacing w:val="-4"/>
          <w:sz w:val="22"/>
          <w:rtl/>
          <w:lang w:eastAsia="zh-TW"/>
        </w:rPr>
        <w:t xml:space="preserve"> إعلان وبرنامج عمل ديربان</w:t>
      </w:r>
      <w:r>
        <w:rPr>
          <w:rFonts w:hint="cs"/>
          <w:b/>
          <w:bCs/>
          <w:spacing w:val="-4"/>
          <w:sz w:val="22"/>
          <w:rtl/>
          <w:lang w:eastAsia="zh-TW"/>
        </w:rPr>
        <w:t>، اللذين اعتمدهما ال</w:t>
      </w:r>
      <w:r w:rsidRPr="00B356D0">
        <w:rPr>
          <w:b/>
          <w:bCs/>
          <w:spacing w:val="-4"/>
          <w:sz w:val="22"/>
          <w:rtl/>
          <w:lang w:eastAsia="zh-TW"/>
        </w:rPr>
        <w:t>مؤتمر العالمي لمكافحة العنصرية والتمييز العنصري وكراهي</w:t>
      </w:r>
      <w:r>
        <w:rPr>
          <w:b/>
          <w:bCs/>
          <w:spacing w:val="-4"/>
          <w:sz w:val="22"/>
          <w:rtl/>
          <w:lang w:eastAsia="zh-TW"/>
        </w:rPr>
        <w:t>ة الأجانب وما يتصل بذلك من تعصب</w:t>
      </w:r>
      <w:r>
        <w:rPr>
          <w:rFonts w:hint="cs"/>
          <w:b/>
          <w:bCs/>
          <w:spacing w:val="-4"/>
          <w:sz w:val="22"/>
          <w:rtl/>
          <w:lang w:eastAsia="zh-TW"/>
        </w:rPr>
        <w:t xml:space="preserve"> في أيلول/سبتمبر 2001، وكذلك الوثيقة الختامية</w:t>
      </w:r>
      <w:r w:rsidRPr="00B356D0">
        <w:rPr>
          <w:rFonts w:hint="cs"/>
          <w:b/>
          <w:bCs/>
          <w:spacing w:val="-4"/>
          <w:sz w:val="22"/>
          <w:rtl/>
          <w:lang w:eastAsia="zh-TW"/>
        </w:rPr>
        <w:t xml:space="preserve"> لمؤتمر استعراض نتائج ديربان المعقود في نيسان/أبريل 2009</w:t>
      </w:r>
      <w:r>
        <w:rPr>
          <w:rFonts w:hint="cs"/>
          <w:b/>
          <w:bCs/>
          <w:spacing w:val="-4"/>
          <w:sz w:val="22"/>
          <w:rtl/>
          <w:lang w:eastAsia="zh-TW"/>
        </w:rPr>
        <w:t>. وتطلب اللجنة إلى الدولة الطرف أن تضمن تقريرها الدوري المقبل معلومات مفصلة عن</w:t>
      </w:r>
      <w:r w:rsidR="004A4CFA">
        <w:rPr>
          <w:rFonts w:hint="eastAsia"/>
          <w:b/>
          <w:bCs/>
          <w:spacing w:val="-4"/>
          <w:sz w:val="22"/>
          <w:rtl/>
          <w:lang w:eastAsia="zh-TW"/>
        </w:rPr>
        <w:t> </w:t>
      </w:r>
      <w:r>
        <w:rPr>
          <w:rFonts w:hint="cs"/>
          <w:b/>
          <w:bCs/>
          <w:spacing w:val="-4"/>
          <w:sz w:val="22"/>
          <w:rtl/>
          <w:lang w:eastAsia="zh-TW"/>
        </w:rPr>
        <w:t>خطط العمل والتدابير الأخرى المعتمدة لتنفيذ إعلان وبرنامج عمل ديربان على النطاق</w:t>
      </w:r>
      <w:r w:rsidR="004A4CFA">
        <w:rPr>
          <w:rFonts w:hint="eastAsia"/>
          <w:b/>
          <w:bCs/>
          <w:spacing w:val="-4"/>
          <w:sz w:val="22"/>
          <w:rtl/>
          <w:lang w:eastAsia="zh-TW"/>
        </w:rPr>
        <w:t> </w:t>
      </w:r>
      <w:r>
        <w:rPr>
          <w:rFonts w:hint="cs"/>
          <w:b/>
          <w:bCs/>
          <w:spacing w:val="-4"/>
          <w:sz w:val="22"/>
          <w:rtl/>
          <w:lang w:eastAsia="zh-TW"/>
        </w:rPr>
        <w:t>المحلي.</w:t>
      </w:r>
    </w:p>
    <w:p w:rsidR="00A40A0A" w:rsidRPr="0044304B" w:rsidRDefault="00A40A0A" w:rsidP="00DF2C8F">
      <w:pPr>
        <w:pStyle w:val="H23GA"/>
        <w:rPr>
          <w:rtl/>
        </w:rPr>
      </w:pPr>
      <w:r>
        <w:rPr>
          <w:rFonts w:hint="cs"/>
          <w:rtl/>
        </w:rPr>
        <w:tab/>
      </w:r>
      <w:r>
        <w:rPr>
          <w:rFonts w:hint="cs"/>
          <w:rtl/>
        </w:rPr>
        <w:tab/>
      </w:r>
      <w:r w:rsidRPr="0044304B">
        <w:rPr>
          <w:rtl/>
        </w:rPr>
        <w:t xml:space="preserve">العقد الدولي للمنحدرين من أصل أفريقي </w:t>
      </w:r>
    </w:p>
    <w:p w:rsidR="00A40A0A" w:rsidRDefault="00A40A0A" w:rsidP="00DF2C8F">
      <w:pPr>
        <w:pStyle w:val="SingleTxtGA"/>
        <w:rPr>
          <w:b/>
          <w:bCs/>
          <w:sz w:val="22"/>
          <w:rtl/>
          <w:lang w:eastAsia="zh-TW"/>
        </w:rPr>
      </w:pPr>
      <w:r>
        <w:rPr>
          <w:rFonts w:hint="cs"/>
          <w:sz w:val="22"/>
          <w:rtl/>
        </w:rPr>
        <w:t>40</w:t>
      </w:r>
      <w:r w:rsidRPr="0044304B">
        <w:rPr>
          <w:sz w:val="22"/>
          <w:rtl/>
        </w:rPr>
        <w:t>-</w:t>
      </w:r>
      <w:r w:rsidRPr="0044304B">
        <w:rPr>
          <w:sz w:val="22"/>
          <w:rtl/>
        </w:rPr>
        <w:tab/>
      </w:r>
      <w:r w:rsidRPr="004C6A33">
        <w:rPr>
          <w:b/>
          <w:bCs/>
          <w:sz w:val="22"/>
          <w:rtl/>
          <w:lang w:eastAsia="zh-TW"/>
        </w:rPr>
        <w:t>في ضوء قرار الجمعية العامة 68/237</w:t>
      </w:r>
      <w:r>
        <w:rPr>
          <w:rFonts w:hint="cs"/>
          <w:b/>
          <w:bCs/>
          <w:sz w:val="22"/>
          <w:rtl/>
          <w:lang w:eastAsia="zh-TW"/>
        </w:rPr>
        <w:t xml:space="preserve"> بشأن إعلان العقد الدولي للمنحدرين من أصل أفريقي (2015-2024) وقرارها 69/16 بشأن برنامج الأنشطة لتنفيذ العقد الدولي للمنحدرين من أصل أفريقي</w:t>
      </w:r>
      <w:r>
        <w:rPr>
          <w:b/>
          <w:bCs/>
          <w:sz w:val="22"/>
          <w:rtl/>
          <w:lang w:eastAsia="zh-TW"/>
        </w:rPr>
        <w:t>، ت</w:t>
      </w:r>
      <w:r>
        <w:rPr>
          <w:rFonts w:hint="cs"/>
          <w:b/>
          <w:bCs/>
          <w:sz w:val="22"/>
          <w:rtl/>
          <w:lang w:eastAsia="zh-TW"/>
        </w:rPr>
        <w:t>وصي</w:t>
      </w:r>
      <w:r w:rsidRPr="004C6A33">
        <w:rPr>
          <w:b/>
          <w:bCs/>
          <w:sz w:val="22"/>
          <w:rtl/>
          <w:lang w:eastAsia="zh-TW"/>
        </w:rPr>
        <w:t xml:space="preserve"> ال</w:t>
      </w:r>
      <w:r>
        <w:rPr>
          <w:b/>
          <w:bCs/>
          <w:sz w:val="22"/>
          <w:rtl/>
          <w:lang w:eastAsia="zh-TW"/>
        </w:rPr>
        <w:t xml:space="preserve">لجنة الدولة الطرف </w:t>
      </w:r>
      <w:r>
        <w:rPr>
          <w:rFonts w:hint="cs"/>
          <w:b/>
          <w:bCs/>
          <w:sz w:val="22"/>
          <w:rtl/>
          <w:lang w:eastAsia="zh-TW"/>
        </w:rPr>
        <w:t>بأن تعد وتنفذ برنامج تدابير وسياسات مناسب</w:t>
      </w:r>
      <w:r w:rsidR="003C280E">
        <w:rPr>
          <w:rFonts w:hint="cs"/>
          <w:b/>
          <w:bCs/>
          <w:sz w:val="22"/>
          <w:rtl/>
          <w:lang w:eastAsia="zh-TW"/>
        </w:rPr>
        <w:t>اً.</w:t>
      </w:r>
      <w:r>
        <w:rPr>
          <w:rFonts w:hint="cs"/>
          <w:b/>
          <w:bCs/>
          <w:sz w:val="22"/>
          <w:rtl/>
          <w:lang w:eastAsia="zh-TW"/>
        </w:rPr>
        <w:t xml:space="preserve"> كما تطلب اللجنة إلى الدولة الطرف </w:t>
      </w:r>
      <w:r>
        <w:rPr>
          <w:b/>
          <w:bCs/>
          <w:sz w:val="22"/>
          <w:rtl/>
          <w:lang w:eastAsia="zh-TW"/>
        </w:rPr>
        <w:t>أن ت</w:t>
      </w:r>
      <w:r>
        <w:rPr>
          <w:rFonts w:hint="cs"/>
          <w:b/>
          <w:bCs/>
          <w:sz w:val="22"/>
          <w:rtl/>
          <w:lang w:eastAsia="zh-TW"/>
        </w:rPr>
        <w:t>ضمن</w:t>
      </w:r>
      <w:r w:rsidRPr="004C6A33">
        <w:rPr>
          <w:b/>
          <w:bCs/>
          <w:sz w:val="22"/>
          <w:rtl/>
          <w:lang w:eastAsia="zh-TW"/>
        </w:rPr>
        <w:t xml:space="preserve"> تقريرها الدوري المقبل معلومات محددة عن التدابير الملموسة المعتمدة </w:t>
      </w:r>
      <w:r>
        <w:rPr>
          <w:rFonts w:hint="cs"/>
          <w:b/>
          <w:bCs/>
          <w:sz w:val="22"/>
          <w:rtl/>
          <w:lang w:eastAsia="zh-TW"/>
        </w:rPr>
        <w:t>في إطار</w:t>
      </w:r>
      <w:r w:rsidRPr="004C6A33">
        <w:rPr>
          <w:b/>
          <w:bCs/>
          <w:sz w:val="22"/>
          <w:rtl/>
          <w:lang w:eastAsia="zh-TW"/>
        </w:rPr>
        <w:t xml:space="preserve"> </w:t>
      </w:r>
      <w:r>
        <w:rPr>
          <w:rFonts w:hint="cs"/>
          <w:b/>
          <w:bCs/>
          <w:sz w:val="22"/>
          <w:rtl/>
          <w:lang w:eastAsia="zh-TW"/>
        </w:rPr>
        <w:t xml:space="preserve">هذا </w:t>
      </w:r>
      <w:r w:rsidRPr="004C6A33">
        <w:rPr>
          <w:b/>
          <w:bCs/>
          <w:sz w:val="22"/>
          <w:rtl/>
          <w:lang w:eastAsia="zh-TW"/>
        </w:rPr>
        <w:t>العق</w:t>
      </w:r>
      <w:r>
        <w:rPr>
          <w:b/>
          <w:bCs/>
          <w:sz w:val="22"/>
          <w:rtl/>
          <w:lang w:eastAsia="zh-TW"/>
        </w:rPr>
        <w:t>د</w:t>
      </w:r>
      <w:r w:rsidRPr="004C6A33">
        <w:rPr>
          <w:b/>
          <w:bCs/>
          <w:sz w:val="22"/>
          <w:rtl/>
          <w:lang w:eastAsia="zh-TW"/>
        </w:rPr>
        <w:t xml:space="preserve">، </w:t>
      </w:r>
      <w:r>
        <w:rPr>
          <w:b/>
          <w:bCs/>
          <w:sz w:val="22"/>
          <w:rtl/>
          <w:lang w:eastAsia="zh-TW"/>
        </w:rPr>
        <w:t>مع مراعاة توصيتها العامة رقم</w:t>
      </w:r>
      <w:r>
        <w:rPr>
          <w:rFonts w:hint="cs"/>
          <w:b/>
          <w:bCs/>
          <w:sz w:val="22"/>
          <w:rtl/>
          <w:lang w:eastAsia="zh-TW"/>
        </w:rPr>
        <w:t> </w:t>
      </w:r>
      <w:r>
        <w:rPr>
          <w:b/>
          <w:bCs/>
          <w:sz w:val="22"/>
          <w:rtl/>
          <w:lang w:eastAsia="zh-TW"/>
        </w:rPr>
        <w:t>34</w:t>
      </w:r>
      <w:r w:rsidRPr="004C6A33">
        <w:rPr>
          <w:b/>
          <w:bCs/>
          <w:sz w:val="22"/>
          <w:rtl/>
          <w:lang w:eastAsia="zh-TW"/>
        </w:rPr>
        <w:t xml:space="preserve">. </w:t>
      </w:r>
    </w:p>
    <w:p w:rsidR="00A40A0A" w:rsidRPr="0044304B" w:rsidRDefault="00A40A0A" w:rsidP="00DF2C8F">
      <w:pPr>
        <w:pStyle w:val="H23GA"/>
        <w:rPr>
          <w:rtl/>
        </w:rPr>
      </w:pPr>
      <w:r>
        <w:rPr>
          <w:rtl/>
        </w:rPr>
        <w:tab/>
      </w:r>
      <w:r>
        <w:rPr>
          <w:rtl/>
        </w:rPr>
        <w:tab/>
        <w:t>نشر ال</w:t>
      </w:r>
      <w:r>
        <w:rPr>
          <w:rFonts w:hint="cs"/>
          <w:rtl/>
        </w:rPr>
        <w:t>تقارير والملاحظات الختامية</w:t>
      </w:r>
    </w:p>
    <w:p w:rsidR="00A40A0A" w:rsidRPr="004C6A33" w:rsidRDefault="00A40A0A" w:rsidP="00DF2C8F">
      <w:pPr>
        <w:pStyle w:val="SingleTxtGA"/>
        <w:rPr>
          <w:b/>
          <w:bCs/>
          <w:sz w:val="22"/>
          <w:rtl/>
          <w:lang w:eastAsia="zh-TW"/>
        </w:rPr>
      </w:pPr>
      <w:r>
        <w:rPr>
          <w:rFonts w:hint="cs"/>
          <w:sz w:val="22"/>
          <w:rtl/>
        </w:rPr>
        <w:t>41</w:t>
      </w:r>
      <w:r w:rsidRPr="0044304B">
        <w:rPr>
          <w:sz w:val="22"/>
          <w:rtl/>
        </w:rPr>
        <w:t>-</w:t>
      </w:r>
      <w:r w:rsidRPr="0044304B">
        <w:rPr>
          <w:sz w:val="22"/>
          <w:rtl/>
        </w:rPr>
        <w:tab/>
      </w:r>
      <w:r>
        <w:rPr>
          <w:b/>
          <w:bCs/>
          <w:sz w:val="22"/>
          <w:rtl/>
          <w:lang w:eastAsia="zh-TW"/>
        </w:rPr>
        <w:t xml:space="preserve">توصي اللجنة </w:t>
      </w:r>
      <w:r>
        <w:rPr>
          <w:rFonts w:hint="cs"/>
          <w:b/>
          <w:bCs/>
          <w:sz w:val="22"/>
          <w:rtl/>
          <w:lang w:eastAsia="zh-TW"/>
        </w:rPr>
        <w:t>بأن تتيح الدولة الطرف</w:t>
      </w:r>
      <w:r>
        <w:rPr>
          <w:b/>
          <w:bCs/>
          <w:sz w:val="22"/>
          <w:rtl/>
          <w:lang w:eastAsia="zh-TW"/>
        </w:rPr>
        <w:t xml:space="preserve"> تقارير</w:t>
      </w:r>
      <w:r>
        <w:rPr>
          <w:rFonts w:hint="cs"/>
          <w:b/>
          <w:bCs/>
          <w:sz w:val="22"/>
          <w:rtl/>
          <w:lang w:eastAsia="zh-TW"/>
        </w:rPr>
        <w:t>ها</w:t>
      </w:r>
      <w:r w:rsidRPr="00EA7F46">
        <w:rPr>
          <w:b/>
          <w:bCs/>
          <w:sz w:val="22"/>
          <w:rtl/>
          <w:lang w:eastAsia="zh-TW"/>
        </w:rPr>
        <w:t xml:space="preserve"> </w:t>
      </w:r>
      <w:r>
        <w:rPr>
          <w:rFonts w:hint="cs"/>
          <w:b/>
          <w:bCs/>
          <w:sz w:val="22"/>
          <w:rtl/>
          <w:lang w:eastAsia="zh-TW"/>
        </w:rPr>
        <w:t>ل</w:t>
      </w:r>
      <w:r w:rsidRPr="004C6A33">
        <w:rPr>
          <w:b/>
          <w:bCs/>
          <w:sz w:val="22"/>
          <w:rtl/>
          <w:lang w:eastAsia="zh-TW"/>
        </w:rPr>
        <w:t>لجمهور</w:t>
      </w:r>
      <w:r>
        <w:rPr>
          <w:rFonts w:hint="cs"/>
          <w:b/>
          <w:bCs/>
          <w:sz w:val="22"/>
          <w:rtl/>
          <w:lang w:eastAsia="zh-TW"/>
        </w:rPr>
        <w:t xml:space="preserve"> حال</w:t>
      </w:r>
      <w:r>
        <w:rPr>
          <w:b/>
          <w:bCs/>
          <w:sz w:val="22"/>
          <w:rtl/>
          <w:lang w:eastAsia="zh-TW"/>
        </w:rPr>
        <w:t xml:space="preserve"> تقديمها و</w:t>
      </w:r>
      <w:r>
        <w:rPr>
          <w:rFonts w:hint="cs"/>
          <w:b/>
          <w:bCs/>
          <w:sz w:val="22"/>
          <w:rtl/>
          <w:lang w:eastAsia="zh-TW"/>
        </w:rPr>
        <w:t>بأن تنشر هذه</w:t>
      </w:r>
      <w:r>
        <w:rPr>
          <w:b/>
          <w:bCs/>
          <w:sz w:val="22"/>
          <w:rtl/>
          <w:lang w:eastAsia="zh-TW"/>
        </w:rPr>
        <w:t xml:space="preserve"> الملاحظات الختامية</w:t>
      </w:r>
      <w:r>
        <w:rPr>
          <w:rFonts w:hint="cs"/>
          <w:b/>
          <w:bCs/>
          <w:sz w:val="22"/>
          <w:rtl/>
          <w:lang w:eastAsia="zh-TW"/>
        </w:rPr>
        <w:t>، بما يشمل نشرها بلغات الشعوب الأصلية.</w:t>
      </w:r>
      <w:r w:rsidRPr="004C6A33">
        <w:rPr>
          <w:rFonts w:ascii="MS Mincho" w:eastAsia="MS Mincho" w:hAnsi="MS Mincho" w:cs="MS Mincho" w:hint="eastAsia"/>
          <w:b/>
          <w:bCs/>
          <w:sz w:val="22"/>
          <w:rtl/>
          <w:lang w:eastAsia="zh-TW"/>
        </w:rPr>
        <w:t>‬</w:t>
      </w:r>
    </w:p>
    <w:p w:rsidR="00A40A0A" w:rsidRPr="0044304B" w:rsidRDefault="00A40A0A" w:rsidP="00DF2C8F">
      <w:pPr>
        <w:pStyle w:val="H23GA"/>
        <w:rPr>
          <w:rtl/>
        </w:rPr>
      </w:pPr>
      <w:r>
        <w:rPr>
          <w:rFonts w:hint="cs"/>
          <w:rtl/>
        </w:rPr>
        <w:lastRenderedPageBreak/>
        <w:tab/>
      </w:r>
      <w:r>
        <w:rPr>
          <w:rFonts w:hint="cs"/>
          <w:rtl/>
        </w:rPr>
        <w:tab/>
      </w:r>
      <w:r w:rsidRPr="0044304B">
        <w:rPr>
          <w:rFonts w:hint="cs"/>
          <w:rtl/>
        </w:rPr>
        <w:t>المشاورات</w:t>
      </w:r>
      <w:r w:rsidRPr="0044304B">
        <w:rPr>
          <w:rtl/>
        </w:rPr>
        <w:t xml:space="preserve"> </w:t>
      </w:r>
      <w:r w:rsidRPr="0044304B">
        <w:rPr>
          <w:rFonts w:hint="cs"/>
          <w:rtl/>
        </w:rPr>
        <w:t>مع</w:t>
      </w:r>
      <w:r w:rsidRPr="0044304B">
        <w:rPr>
          <w:rtl/>
        </w:rPr>
        <w:t xml:space="preserve"> </w:t>
      </w:r>
      <w:r>
        <w:rPr>
          <w:rFonts w:hint="cs"/>
          <w:rtl/>
        </w:rPr>
        <w:t xml:space="preserve">منظمات </w:t>
      </w:r>
      <w:r w:rsidRPr="0044304B">
        <w:rPr>
          <w:rFonts w:hint="cs"/>
          <w:rtl/>
        </w:rPr>
        <w:t>المجتمع</w:t>
      </w:r>
      <w:r w:rsidRPr="0044304B">
        <w:rPr>
          <w:rtl/>
        </w:rPr>
        <w:t xml:space="preserve"> </w:t>
      </w:r>
      <w:r w:rsidRPr="0044304B">
        <w:rPr>
          <w:rFonts w:hint="cs"/>
          <w:rtl/>
        </w:rPr>
        <w:t>المدني</w:t>
      </w:r>
      <w:r w:rsidRPr="0044304B">
        <w:rPr>
          <w:rFonts w:ascii="MS Mincho" w:eastAsia="MS Mincho" w:hAnsi="MS Mincho" w:cs="MS Mincho" w:hint="eastAsia"/>
          <w:rtl/>
        </w:rPr>
        <w:t>‬</w:t>
      </w:r>
      <w:r>
        <w:t>‬</w:t>
      </w:r>
    </w:p>
    <w:p w:rsidR="00A40A0A" w:rsidRPr="00E83290" w:rsidRDefault="00A40A0A" w:rsidP="00DF2C8F">
      <w:pPr>
        <w:pStyle w:val="SingleTxtGA"/>
        <w:rPr>
          <w:sz w:val="22"/>
          <w:rtl/>
        </w:rPr>
      </w:pPr>
      <w:r>
        <w:rPr>
          <w:rFonts w:hint="cs"/>
          <w:sz w:val="22"/>
          <w:rtl/>
        </w:rPr>
        <w:t>42</w:t>
      </w:r>
      <w:r w:rsidRPr="0044304B">
        <w:rPr>
          <w:sz w:val="22"/>
          <w:rtl/>
        </w:rPr>
        <w:t>-</w:t>
      </w:r>
      <w:r w:rsidRPr="0044304B">
        <w:rPr>
          <w:sz w:val="22"/>
          <w:rtl/>
        </w:rPr>
        <w:tab/>
      </w:r>
      <w:r w:rsidRPr="004C6A33">
        <w:rPr>
          <w:b/>
          <w:bCs/>
          <w:sz w:val="22"/>
          <w:rtl/>
          <w:lang w:eastAsia="zh-TW"/>
        </w:rPr>
        <w:t>تو</w:t>
      </w:r>
      <w:r>
        <w:rPr>
          <w:b/>
          <w:bCs/>
          <w:sz w:val="22"/>
          <w:rtl/>
          <w:lang w:eastAsia="zh-TW"/>
        </w:rPr>
        <w:t>صي اللجنة الدولة الطرف بأن ت</w:t>
      </w:r>
      <w:r>
        <w:rPr>
          <w:rFonts w:hint="cs"/>
          <w:b/>
          <w:bCs/>
          <w:sz w:val="22"/>
          <w:rtl/>
          <w:lang w:eastAsia="zh-TW"/>
        </w:rPr>
        <w:t>عقد</w:t>
      </w:r>
      <w:r>
        <w:rPr>
          <w:b/>
          <w:bCs/>
          <w:sz w:val="22"/>
          <w:rtl/>
          <w:lang w:eastAsia="zh-TW"/>
        </w:rPr>
        <w:t xml:space="preserve"> </w:t>
      </w:r>
      <w:r>
        <w:rPr>
          <w:rFonts w:hint="cs"/>
          <w:b/>
          <w:bCs/>
          <w:sz w:val="22"/>
          <w:rtl/>
          <w:lang w:eastAsia="zh-TW"/>
        </w:rPr>
        <w:t>مشاورات</w:t>
      </w:r>
      <w:r w:rsidRPr="004C6A33">
        <w:rPr>
          <w:b/>
          <w:bCs/>
          <w:sz w:val="22"/>
          <w:rtl/>
          <w:lang w:eastAsia="zh-TW"/>
        </w:rPr>
        <w:t xml:space="preserve"> مع منظمات المجتمع المدني العاملة في مجال ح</w:t>
      </w:r>
      <w:r>
        <w:rPr>
          <w:b/>
          <w:bCs/>
          <w:sz w:val="22"/>
          <w:rtl/>
          <w:lang w:eastAsia="zh-TW"/>
        </w:rPr>
        <w:t>ماية حقوق الإنسان، ولا سيما</w:t>
      </w:r>
      <w:r>
        <w:rPr>
          <w:rFonts w:hint="cs"/>
          <w:b/>
          <w:bCs/>
          <w:sz w:val="22"/>
          <w:rtl/>
          <w:lang w:eastAsia="zh-TW"/>
        </w:rPr>
        <w:t xml:space="preserve"> العاملة منها على </w:t>
      </w:r>
      <w:r w:rsidRPr="004C6A33">
        <w:rPr>
          <w:b/>
          <w:bCs/>
          <w:sz w:val="22"/>
          <w:rtl/>
          <w:lang w:eastAsia="zh-TW"/>
        </w:rPr>
        <w:t>مكافحة التمييز العنصري، و</w:t>
      </w:r>
      <w:r>
        <w:rPr>
          <w:rFonts w:hint="cs"/>
          <w:b/>
          <w:bCs/>
          <w:sz w:val="22"/>
          <w:rtl/>
          <w:lang w:eastAsia="zh-TW"/>
        </w:rPr>
        <w:t xml:space="preserve">أن </w:t>
      </w:r>
      <w:r w:rsidRPr="004C6A33">
        <w:rPr>
          <w:b/>
          <w:bCs/>
          <w:sz w:val="22"/>
          <w:rtl/>
          <w:lang w:eastAsia="zh-TW"/>
        </w:rPr>
        <w:t xml:space="preserve">تكثِّف الحوار معها في سياق إعداد تقريرها الدوري المقبل ومتابعة هذه الملاحظات الختامية. </w:t>
      </w:r>
      <w:r w:rsidRPr="004C6A33">
        <w:rPr>
          <w:rFonts w:ascii="MS Mincho" w:eastAsia="MS Mincho" w:hAnsi="MS Mincho" w:cs="MS Mincho" w:hint="eastAsia"/>
          <w:b/>
          <w:bCs/>
          <w:sz w:val="22"/>
          <w:rtl/>
          <w:lang w:eastAsia="zh-TW"/>
        </w:rPr>
        <w:t>‬</w:t>
      </w:r>
      <w:r w:rsidRPr="004C6A33">
        <w:rPr>
          <w:rFonts w:ascii="MS Mincho" w:eastAsia="MS Mincho" w:hAnsi="MS Mincho" w:cs="MS Mincho" w:hint="eastAsia"/>
          <w:b/>
          <w:bCs/>
          <w:sz w:val="22"/>
          <w:rtl/>
          <w:lang w:eastAsia="zh-TW"/>
        </w:rPr>
        <w:t>‬</w:t>
      </w:r>
      <w:r>
        <w:t>‬</w:t>
      </w:r>
    </w:p>
    <w:p w:rsidR="00A40A0A" w:rsidRPr="0044304B" w:rsidRDefault="00A40A0A" w:rsidP="00DF2C8F">
      <w:pPr>
        <w:pStyle w:val="H23GA"/>
        <w:rPr>
          <w:rtl/>
        </w:rPr>
      </w:pPr>
      <w:r>
        <w:tab/>
      </w:r>
      <w:r>
        <w:tab/>
      </w:r>
      <w:r w:rsidRPr="0044304B">
        <w:rPr>
          <w:rFonts w:hint="cs"/>
          <w:rtl/>
        </w:rPr>
        <w:t>متابعة</w:t>
      </w:r>
      <w:r>
        <w:rPr>
          <w:rFonts w:hint="cs"/>
          <w:rtl/>
        </w:rPr>
        <w:t xml:space="preserve"> </w:t>
      </w:r>
      <w:r w:rsidRPr="0044304B">
        <w:rPr>
          <w:rFonts w:hint="cs"/>
          <w:rtl/>
        </w:rPr>
        <w:t>الملاحظات</w:t>
      </w:r>
      <w:r w:rsidRPr="0044304B">
        <w:rPr>
          <w:rtl/>
        </w:rPr>
        <w:t xml:space="preserve"> </w:t>
      </w:r>
      <w:r w:rsidRPr="0044304B">
        <w:rPr>
          <w:rFonts w:hint="cs"/>
          <w:rtl/>
        </w:rPr>
        <w:t>الختامية</w:t>
      </w:r>
      <w:r w:rsidRPr="0044304B">
        <w:rPr>
          <w:rFonts w:ascii="MS Mincho" w:eastAsia="MS Mincho" w:hAnsi="MS Mincho" w:cs="MS Mincho" w:hint="eastAsia"/>
          <w:rtl/>
        </w:rPr>
        <w:t>‬</w:t>
      </w:r>
      <w:r>
        <w:t>‬</w:t>
      </w:r>
    </w:p>
    <w:p w:rsidR="00A40A0A" w:rsidRPr="0007446C" w:rsidRDefault="00A40A0A" w:rsidP="00DF2C8F">
      <w:pPr>
        <w:pStyle w:val="SingleTxtGA"/>
        <w:rPr>
          <w:b/>
          <w:bCs/>
          <w:spacing w:val="-4"/>
          <w:sz w:val="22"/>
          <w:rtl/>
          <w:lang w:eastAsia="zh-TW"/>
        </w:rPr>
      </w:pPr>
      <w:r>
        <w:rPr>
          <w:rFonts w:hint="cs"/>
          <w:spacing w:val="-4"/>
          <w:sz w:val="22"/>
          <w:rtl/>
        </w:rPr>
        <w:t>43</w:t>
      </w:r>
      <w:r w:rsidRPr="0007446C">
        <w:rPr>
          <w:spacing w:val="-4"/>
          <w:sz w:val="22"/>
          <w:rtl/>
        </w:rPr>
        <w:t>-</w:t>
      </w:r>
      <w:r w:rsidRPr="0007446C">
        <w:rPr>
          <w:spacing w:val="-4"/>
          <w:sz w:val="22"/>
          <w:rtl/>
        </w:rPr>
        <w:tab/>
      </w:r>
      <w:r w:rsidRPr="0007446C">
        <w:rPr>
          <w:b/>
          <w:bCs/>
          <w:spacing w:val="-4"/>
          <w:sz w:val="22"/>
          <w:rtl/>
          <w:lang w:eastAsia="zh-TW"/>
        </w:rPr>
        <w:t xml:space="preserve">تطلب اللجنة إلى الدولة الطرف، عملاً بالفقرة (1) من المادة 9 من الاتفاقية والمادة 65 من نظامها الداخلي، أن توافيها في غضون سنة واحدة من اعتماد هذه الملاحظات الختامية بمعلومات عن تنفيذها للتوصيات </w:t>
      </w:r>
      <w:r>
        <w:rPr>
          <w:b/>
          <w:bCs/>
          <w:spacing w:val="-4"/>
          <w:sz w:val="22"/>
          <w:rtl/>
          <w:lang w:eastAsia="zh-TW"/>
        </w:rPr>
        <w:t>الواردة في الفقر</w:t>
      </w:r>
      <w:r>
        <w:rPr>
          <w:rFonts w:hint="cs"/>
          <w:b/>
          <w:bCs/>
          <w:spacing w:val="-4"/>
          <w:sz w:val="22"/>
          <w:rtl/>
          <w:lang w:eastAsia="zh-TW"/>
        </w:rPr>
        <w:t>ات 15 و24 و26(ب) و(ج)</w:t>
      </w:r>
      <w:r w:rsidRPr="0007446C">
        <w:rPr>
          <w:b/>
          <w:bCs/>
          <w:spacing w:val="-4"/>
          <w:sz w:val="22"/>
          <w:rtl/>
          <w:lang w:eastAsia="zh-TW"/>
        </w:rPr>
        <w:t>.</w:t>
      </w:r>
      <w:r w:rsidRPr="0007446C">
        <w:rPr>
          <w:rFonts w:ascii="MS Mincho" w:eastAsia="MS Mincho" w:hAnsi="MS Mincho" w:cs="MS Mincho" w:hint="eastAsia"/>
          <w:b/>
          <w:bCs/>
          <w:spacing w:val="-4"/>
          <w:sz w:val="22"/>
          <w:rtl/>
          <w:lang w:eastAsia="zh-TW"/>
        </w:rPr>
        <w:t>‬</w:t>
      </w:r>
      <w:r w:rsidRPr="0007446C">
        <w:rPr>
          <w:rFonts w:ascii="MS Mincho" w:eastAsia="MS Mincho" w:hAnsi="MS Mincho" w:cs="MS Mincho" w:hint="eastAsia"/>
          <w:b/>
          <w:bCs/>
          <w:spacing w:val="-4"/>
          <w:sz w:val="22"/>
          <w:rtl/>
          <w:lang w:eastAsia="zh-TW"/>
        </w:rPr>
        <w:t>‬</w:t>
      </w:r>
      <w:r w:rsidRPr="0007446C">
        <w:rPr>
          <w:b/>
          <w:bCs/>
          <w:spacing w:val="-4"/>
          <w:sz w:val="22"/>
          <w:rtl/>
          <w:lang w:eastAsia="zh-TW"/>
        </w:rPr>
        <w:t xml:space="preserve"> </w:t>
      </w:r>
    </w:p>
    <w:p w:rsidR="00A40A0A" w:rsidRPr="0044304B" w:rsidRDefault="00A40A0A" w:rsidP="00DF2C8F">
      <w:pPr>
        <w:pStyle w:val="H23GA"/>
        <w:rPr>
          <w:rtl/>
        </w:rPr>
      </w:pPr>
      <w:r>
        <w:rPr>
          <w:rtl/>
        </w:rPr>
        <w:tab/>
      </w:r>
      <w:r>
        <w:rPr>
          <w:rFonts w:hint="cs"/>
          <w:rtl/>
        </w:rPr>
        <w:tab/>
      </w:r>
      <w:r w:rsidRPr="0044304B">
        <w:rPr>
          <w:rFonts w:hint="cs"/>
          <w:rtl/>
        </w:rPr>
        <w:t>الفقرات</w:t>
      </w:r>
      <w:r w:rsidRPr="0044304B">
        <w:rPr>
          <w:rtl/>
        </w:rPr>
        <w:t xml:space="preserve"> </w:t>
      </w:r>
      <w:r w:rsidRPr="0044304B">
        <w:rPr>
          <w:rFonts w:hint="cs"/>
          <w:rtl/>
        </w:rPr>
        <w:t>التي</w:t>
      </w:r>
      <w:r w:rsidRPr="0044304B">
        <w:rPr>
          <w:rtl/>
        </w:rPr>
        <w:t xml:space="preserve"> </w:t>
      </w:r>
      <w:r w:rsidRPr="0044304B">
        <w:rPr>
          <w:rFonts w:hint="cs"/>
          <w:rtl/>
        </w:rPr>
        <w:t>تكتسي</w:t>
      </w:r>
      <w:r w:rsidRPr="0044304B">
        <w:rPr>
          <w:rtl/>
        </w:rPr>
        <w:t xml:space="preserve"> </w:t>
      </w:r>
      <w:r w:rsidRPr="0044304B">
        <w:rPr>
          <w:rFonts w:hint="cs"/>
          <w:rtl/>
        </w:rPr>
        <w:t>أهمية</w:t>
      </w:r>
      <w:r w:rsidRPr="0044304B">
        <w:rPr>
          <w:rtl/>
        </w:rPr>
        <w:t xml:space="preserve"> </w:t>
      </w:r>
      <w:r w:rsidRPr="0044304B">
        <w:rPr>
          <w:rFonts w:hint="cs"/>
          <w:rtl/>
        </w:rPr>
        <w:t>خاصة</w:t>
      </w:r>
      <w:r w:rsidRPr="0044304B">
        <w:rPr>
          <w:rFonts w:ascii="MS Mincho" w:eastAsia="MS Mincho" w:hAnsi="MS Mincho" w:cs="MS Mincho" w:hint="eastAsia"/>
          <w:rtl/>
        </w:rPr>
        <w:t>‬</w:t>
      </w:r>
      <w:r>
        <w:t>‬</w:t>
      </w:r>
    </w:p>
    <w:p w:rsidR="00A40A0A" w:rsidRPr="004C6A33" w:rsidRDefault="00A40A0A" w:rsidP="00DF2C8F">
      <w:pPr>
        <w:pStyle w:val="SingleTxtGA"/>
        <w:rPr>
          <w:b/>
          <w:bCs/>
          <w:sz w:val="22"/>
          <w:rtl/>
          <w:lang w:eastAsia="zh-TW"/>
        </w:rPr>
      </w:pPr>
      <w:r>
        <w:rPr>
          <w:rFonts w:hint="cs"/>
          <w:sz w:val="22"/>
          <w:rtl/>
        </w:rPr>
        <w:t>44</w:t>
      </w:r>
      <w:r w:rsidRPr="0044304B">
        <w:rPr>
          <w:sz w:val="22"/>
          <w:rtl/>
        </w:rPr>
        <w:t>-</w:t>
      </w:r>
      <w:r w:rsidRPr="0044304B">
        <w:rPr>
          <w:sz w:val="22"/>
          <w:rtl/>
        </w:rPr>
        <w:tab/>
      </w:r>
      <w:r w:rsidRPr="004C6A33">
        <w:rPr>
          <w:b/>
          <w:bCs/>
          <w:sz w:val="22"/>
          <w:rtl/>
          <w:lang w:eastAsia="zh-TW"/>
        </w:rPr>
        <w:t xml:space="preserve">تود اللجنة أن توجِّه انتباه الدولة الطرف إلى الأهمية الخاصة للتوصيات الواردة في </w:t>
      </w:r>
      <w:r>
        <w:rPr>
          <w:rFonts w:hint="cs"/>
          <w:b/>
          <w:bCs/>
          <w:sz w:val="22"/>
          <w:rtl/>
          <w:lang w:eastAsia="zh-TW"/>
        </w:rPr>
        <w:t>الفقرات 7 و19 و21 و30 و34</w:t>
      </w:r>
      <w:r>
        <w:rPr>
          <w:b/>
          <w:bCs/>
          <w:sz w:val="22"/>
          <w:rtl/>
          <w:lang w:eastAsia="zh-TW"/>
        </w:rPr>
        <w:t xml:space="preserve"> أعلاه وتطلب إليها أن ت</w:t>
      </w:r>
      <w:r>
        <w:rPr>
          <w:rFonts w:hint="cs"/>
          <w:b/>
          <w:bCs/>
          <w:sz w:val="22"/>
          <w:rtl/>
          <w:lang w:eastAsia="zh-TW"/>
        </w:rPr>
        <w:t>ضمن</w:t>
      </w:r>
      <w:r w:rsidRPr="004C6A33">
        <w:rPr>
          <w:b/>
          <w:bCs/>
          <w:sz w:val="22"/>
          <w:rtl/>
          <w:lang w:eastAsia="zh-TW"/>
        </w:rPr>
        <w:t xml:space="preserve"> تقريرها الدوري المقبل معلومات مفصلة عن التدابير الملموسة المتخذة لتنفيذ تلك التوصيات.</w:t>
      </w:r>
      <w:r w:rsidRPr="004C6A33">
        <w:rPr>
          <w:rFonts w:ascii="MS Mincho" w:eastAsia="MS Mincho" w:hAnsi="MS Mincho" w:cs="MS Mincho" w:hint="eastAsia"/>
          <w:b/>
          <w:bCs/>
          <w:sz w:val="22"/>
          <w:rtl/>
          <w:lang w:eastAsia="zh-TW"/>
        </w:rPr>
        <w:t>‬</w:t>
      </w:r>
      <w:r w:rsidRPr="004C6A33">
        <w:rPr>
          <w:b/>
          <w:bCs/>
          <w:sz w:val="22"/>
          <w:rtl/>
          <w:lang w:eastAsia="zh-TW"/>
        </w:rPr>
        <w:t xml:space="preserve"> </w:t>
      </w:r>
    </w:p>
    <w:p w:rsidR="00A40A0A" w:rsidRPr="00E83290" w:rsidRDefault="00A40A0A" w:rsidP="00DF2C8F">
      <w:pPr>
        <w:pStyle w:val="H23GA"/>
        <w:rPr>
          <w:sz w:val="22"/>
          <w:rtl/>
          <w:lang w:eastAsia="zh-TW"/>
        </w:rPr>
      </w:pPr>
      <w:r>
        <w:rPr>
          <w:rFonts w:hint="cs"/>
          <w:rtl/>
        </w:rPr>
        <w:tab/>
      </w:r>
      <w:r>
        <w:rPr>
          <w:rFonts w:hint="cs"/>
          <w:rtl/>
        </w:rPr>
        <w:tab/>
      </w:r>
      <w:r w:rsidRPr="0044304B">
        <w:rPr>
          <w:rFonts w:hint="cs"/>
          <w:rtl/>
        </w:rPr>
        <w:t>إعداد</w:t>
      </w:r>
      <w:r w:rsidRPr="0044304B">
        <w:rPr>
          <w:rtl/>
        </w:rPr>
        <w:t xml:space="preserve"> </w:t>
      </w:r>
      <w:r w:rsidRPr="0044304B">
        <w:rPr>
          <w:rFonts w:hint="cs"/>
          <w:rtl/>
        </w:rPr>
        <w:t>التقرير</w:t>
      </w:r>
      <w:r>
        <w:rPr>
          <w:rFonts w:hint="cs"/>
          <w:rtl/>
        </w:rPr>
        <w:t xml:space="preserve"> الدوري</w:t>
      </w:r>
      <w:r w:rsidRPr="0044304B">
        <w:rPr>
          <w:rtl/>
        </w:rPr>
        <w:t xml:space="preserve"> </w:t>
      </w:r>
      <w:r w:rsidRPr="0044304B">
        <w:rPr>
          <w:rFonts w:hint="cs"/>
          <w:rtl/>
        </w:rPr>
        <w:t>المقبل</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rsidRPr="0044304B">
        <w:rPr>
          <w:rFonts w:ascii="MS Mincho" w:eastAsia="MS Mincho" w:hAnsi="MS Mincho" w:cs="MS Mincho" w:hint="eastAsia"/>
          <w:rtl/>
        </w:rPr>
        <w:t>‬</w:t>
      </w:r>
      <w:r>
        <w:t>‬</w:t>
      </w:r>
    </w:p>
    <w:p w:rsidR="00A40A0A" w:rsidRPr="004C6A33" w:rsidRDefault="00A40A0A" w:rsidP="00DF2C8F">
      <w:pPr>
        <w:pStyle w:val="SingleTxtGA"/>
        <w:rPr>
          <w:b/>
          <w:bCs/>
          <w:rtl/>
          <w:lang w:eastAsia="zh-TW"/>
        </w:rPr>
      </w:pPr>
      <w:r>
        <w:rPr>
          <w:rFonts w:hint="cs"/>
          <w:rtl/>
        </w:rPr>
        <w:t>45</w:t>
      </w:r>
      <w:r w:rsidRPr="006D79C2">
        <w:rPr>
          <w:rtl/>
        </w:rPr>
        <w:t>-</w:t>
      </w:r>
      <w:r w:rsidRPr="006D79C2">
        <w:rPr>
          <w:rtl/>
        </w:rPr>
        <w:tab/>
      </w:r>
      <w:r w:rsidRPr="004C6A33">
        <w:rPr>
          <w:b/>
          <w:bCs/>
          <w:rtl/>
          <w:lang w:eastAsia="zh-TW"/>
        </w:rPr>
        <w:t xml:space="preserve">توصي اللجنة الدولة الطرف بأن تقدم </w:t>
      </w:r>
      <w:r>
        <w:rPr>
          <w:b/>
          <w:bCs/>
          <w:rtl/>
          <w:lang w:eastAsia="zh-TW"/>
        </w:rPr>
        <w:t>تقريرها الجامع لتق</w:t>
      </w:r>
      <w:r>
        <w:rPr>
          <w:rFonts w:hint="cs"/>
          <w:b/>
          <w:bCs/>
          <w:rtl/>
          <w:lang w:eastAsia="zh-TW"/>
        </w:rPr>
        <w:t>اريرها الدورية من الرابع والعشرين إلى السادس والعشرين في موعد أقصاه</w:t>
      </w:r>
      <w:r w:rsidRPr="004C6A33">
        <w:rPr>
          <w:b/>
          <w:bCs/>
          <w:rtl/>
          <w:lang w:eastAsia="zh-TW"/>
        </w:rPr>
        <w:t xml:space="preserve"> </w:t>
      </w:r>
      <w:r>
        <w:rPr>
          <w:rFonts w:hint="cs"/>
          <w:b/>
          <w:bCs/>
          <w:rtl/>
          <w:lang w:eastAsia="zh-TW"/>
        </w:rPr>
        <w:t>4 كانون الثاني/</w:t>
      </w:r>
      <w:r w:rsidR="000D31B8">
        <w:rPr>
          <w:rFonts w:hint="cs"/>
          <w:b/>
          <w:bCs/>
          <w:rtl/>
          <w:lang w:eastAsia="zh-TW"/>
        </w:rPr>
        <w:t>يناير</w:t>
      </w:r>
      <w:r>
        <w:rPr>
          <w:rFonts w:hint="cs"/>
          <w:b/>
          <w:bCs/>
          <w:rtl/>
          <w:lang w:eastAsia="zh-TW"/>
        </w:rPr>
        <w:t xml:space="preserve"> 2020</w:t>
      </w:r>
      <w:r w:rsidRPr="004C6A33">
        <w:rPr>
          <w:b/>
          <w:bCs/>
          <w:rtl/>
          <w:lang w:eastAsia="zh-TW"/>
        </w:rPr>
        <w:t>، مع مراعاة ا</w:t>
      </w:r>
      <w:r>
        <w:rPr>
          <w:b/>
          <w:bCs/>
          <w:rtl/>
          <w:lang w:eastAsia="zh-TW"/>
        </w:rPr>
        <w:t xml:space="preserve">لمبادئ التوجيهية </w:t>
      </w:r>
      <w:r>
        <w:rPr>
          <w:rFonts w:hint="cs"/>
          <w:b/>
          <w:bCs/>
          <w:rtl/>
          <w:lang w:eastAsia="zh-TW"/>
        </w:rPr>
        <w:t>للوثيقة الخاصة باللجنة،</w:t>
      </w:r>
      <w:r w:rsidRPr="004C6A33">
        <w:rPr>
          <w:b/>
          <w:bCs/>
          <w:rtl/>
          <w:lang w:eastAsia="zh-TW"/>
        </w:rPr>
        <w:t xml:space="preserve"> التي اعتمدتها اللجنة أثناء دورتها الحادية والسبعين (</w:t>
      </w:r>
      <w:r w:rsidRPr="004C6A33">
        <w:rPr>
          <w:b/>
          <w:bCs/>
          <w:lang w:eastAsia="zh-TW"/>
        </w:rPr>
        <w:t>CERD/C/2007/1</w:t>
      </w:r>
      <w:r w:rsidRPr="004C6A33">
        <w:rPr>
          <w:b/>
          <w:bCs/>
          <w:rtl/>
          <w:lang w:eastAsia="zh-TW"/>
        </w:rPr>
        <w:t>)</w:t>
      </w:r>
      <w:r>
        <w:rPr>
          <w:rFonts w:hint="cs"/>
          <w:b/>
          <w:bCs/>
          <w:rtl/>
          <w:lang w:eastAsia="zh-TW"/>
        </w:rPr>
        <w:t>،</w:t>
      </w:r>
      <w:r w:rsidRPr="004C6A33">
        <w:rPr>
          <w:b/>
          <w:bCs/>
          <w:rtl/>
          <w:lang w:eastAsia="zh-TW"/>
        </w:rPr>
        <w:t xml:space="preserve"> و</w:t>
      </w:r>
      <w:r>
        <w:rPr>
          <w:rFonts w:hint="cs"/>
          <w:b/>
          <w:bCs/>
          <w:rtl/>
          <w:lang w:eastAsia="zh-TW"/>
        </w:rPr>
        <w:t>بأن ت</w:t>
      </w:r>
      <w:r w:rsidRPr="004C6A33">
        <w:rPr>
          <w:b/>
          <w:bCs/>
          <w:rtl/>
          <w:lang w:eastAsia="zh-TW"/>
        </w:rPr>
        <w:t>تناول</w:t>
      </w:r>
      <w:r>
        <w:rPr>
          <w:rFonts w:hint="cs"/>
          <w:b/>
          <w:bCs/>
          <w:rtl/>
          <w:lang w:eastAsia="zh-TW"/>
        </w:rPr>
        <w:t xml:space="preserve"> في تلك الوثيقة </w:t>
      </w:r>
      <w:r w:rsidRPr="004C6A33">
        <w:rPr>
          <w:b/>
          <w:bCs/>
          <w:rtl/>
          <w:lang w:eastAsia="zh-TW"/>
        </w:rPr>
        <w:t xml:space="preserve">جميع النقاط المثارة في هذه الملاحظات الختامية. </w:t>
      </w:r>
      <w:dir w:val="rtl">
        <w:r w:rsidRPr="004C6A33">
          <w:rPr>
            <w:rFonts w:hint="cs"/>
            <w:b/>
            <w:bCs/>
            <w:rtl/>
            <w:lang w:eastAsia="zh-TW"/>
          </w:rPr>
          <w:t>وفي</w:t>
        </w:r>
        <w:r w:rsidRPr="004C6A33">
          <w:rPr>
            <w:b/>
            <w:bCs/>
            <w:rtl/>
            <w:lang w:eastAsia="zh-TW"/>
          </w:rPr>
          <w:t xml:space="preserve"> </w:t>
        </w:r>
        <w:r w:rsidRPr="004C6A33">
          <w:rPr>
            <w:rFonts w:hint="cs"/>
            <w:b/>
            <w:bCs/>
            <w:rtl/>
            <w:lang w:eastAsia="zh-TW"/>
          </w:rPr>
          <w:t>ضوء</w:t>
        </w:r>
        <w:r w:rsidRPr="004C6A33">
          <w:rPr>
            <w:b/>
            <w:bCs/>
            <w:rtl/>
            <w:lang w:eastAsia="zh-TW"/>
          </w:rPr>
          <w:t xml:space="preserve"> </w:t>
        </w:r>
        <w:r w:rsidRPr="004C6A33">
          <w:rPr>
            <w:rFonts w:hint="cs"/>
            <w:b/>
            <w:bCs/>
            <w:rtl/>
            <w:lang w:eastAsia="zh-TW"/>
          </w:rPr>
          <w:t>قرار</w:t>
        </w:r>
        <w:r w:rsidRPr="004C6A33">
          <w:rPr>
            <w:b/>
            <w:bCs/>
            <w:rtl/>
            <w:lang w:eastAsia="zh-TW"/>
          </w:rPr>
          <w:t xml:space="preserve"> </w:t>
        </w:r>
        <w:r w:rsidRPr="004C6A33">
          <w:rPr>
            <w:rFonts w:hint="cs"/>
            <w:b/>
            <w:bCs/>
            <w:rtl/>
            <w:lang w:eastAsia="zh-TW"/>
          </w:rPr>
          <w:t>الجمعية</w:t>
        </w:r>
        <w:r w:rsidRPr="004C6A33">
          <w:rPr>
            <w:b/>
            <w:bCs/>
            <w:rtl/>
            <w:lang w:eastAsia="zh-TW"/>
          </w:rPr>
          <w:t xml:space="preserve"> </w:t>
        </w:r>
        <w:r w:rsidRPr="004C6A33">
          <w:rPr>
            <w:rFonts w:hint="cs"/>
            <w:b/>
            <w:bCs/>
            <w:rtl/>
            <w:lang w:eastAsia="zh-TW"/>
          </w:rPr>
          <w:t>العامة</w:t>
        </w:r>
        <w:r>
          <w:rPr>
            <w:rFonts w:hint="cs"/>
            <w:b/>
            <w:bCs/>
            <w:rtl/>
            <w:lang w:eastAsia="zh-TW"/>
          </w:rPr>
          <w:t> </w:t>
        </w:r>
        <w:r w:rsidRPr="004C6A33">
          <w:rPr>
            <w:rFonts w:hint="cs"/>
            <w:b/>
            <w:bCs/>
            <w:rtl/>
            <w:lang w:eastAsia="zh-TW"/>
          </w:rPr>
          <w:t>68/268</w:t>
        </w:r>
        <w:r w:rsidRPr="004C6A33">
          <w:rPr>
            <w:b/>
            <w:bCs/>
            <w:rtl/>
            <w:lang w:eastAsia="zh-TW"/>
          </w:rPr>
          <w:t>، تحث اللجنة الدولة الطرف على أن تتقيد بالحد الأقصى لعدد الكلمات المحدد</w:t>
        </w:r>
        <w:r>
          <w:rPr>
            <w:rFonts w:hint="cs"/>
            <w:b/>
            <w:bCs/>
            <w:rtl/>
            <w:lang w:eastAsia="zh-TW"/>
          </w:rPr>
          <w:t xml:space="preserve"> في</w:t>
        </w:r>
        <w:r>
          <w:rPr>
            <w:rFonts w:hint="eastAsia"/>
            <w:b/>
            <w:bCs/>
            <w:rtl/>
            <w:lang w:eastAsia="zh-TW"/>
          </w:rPr>
          <w:t> </w:t>
        </w:r>
        <w:r w:rsidRPr="004C6A33">
          <w:rPr>
            <w:rFonts w:hint="cs"/>
            <w:b/>
            <w:bCs/>
            <w:rtl/>
            <w:lang w:eastAsia="zh-TW"/>
          </w:rPr>
          <w:t>200 21</w:t>
        </w:r>
        <w:r w:rsidR="000D31B8">
          <w:rPr>
            <w:b/>
            <w:bCs/>
            <w:rtl/>
            <w:lang w:eastAsia="zh-TW"/>
          </w:rPr>
          <w:t xml:space="preserve"> </w:t>
        </w:r>
        <w:r w:rsidRPr="004C6A33">
          <w:rPr>
            <w:b/>
            <w:bCs/>
            <w:rtl/>
            <w:lang w:eastAsia="zh-TW"/>
          </w:rPr>
          <w:t>كلمة للتقارير الدورية.</w:t>
        </w:r>
        <w:r w:rsidRPr="004C6A33">
          <w:rPr>
            <w:rFonts w:ascii="MS Mincho" w:eastAsia="MS Mincho" w:hAnsi="MS Mincho" w:cs="MS Mincho" w:hint="eastAsia"/>
            <w:b/>
            <w:bCs/>
            <w:rtl/>
            <w:lang w:eastAsia="zh-TW"/>
          </w:rPr>
          <w:t>‬</w:t>
        </w:r>
        <w:r w:rsidRPr="004C6A33">
          <w:rPr>
            <w:b/>
            <w:bCs/>
          </w:rPr>
          <w:t>‬</w:t>
        </w:r>
        <w:r>
          <w:t>‬</w:t>
        </w:r>
        <w:r>
          <w:t>‬</w:t>
        </w:r>
        <w:r>
          <w:t>‬</w:t>
        </w:r>
        <w:r>
          <w:t>‬</w:t>
        </w:r>
        <w:r>
          <w:t>‬</w:t>
        </w:r>
        <w:r>
          <w:t>‬</w:t>
        </w:r>
        <w:r>
          <w:rPr>
            <w:rFonts w:hint="cs"/>
            <w:rtl/>
          </w:rPr>
          <w:t xml:space="preserve"> </w:t>
        </w:r>
        <w:r>
          <w:t>‬</w:t>
        </w:r>
        <w:r>
          <w:t>‬</w:t>
        </w:r>
        <w:r>
          <w:t>‬</w:t>
        </w:r>
        <w:r>
          <w:t>‬</w:t>
        </w:r>
        <w:r>
          <w:t>‬</w:t>
        </w:r>
        <w:r>
          <w:t>‬</w:t>
        </w:r>
        <w:r>
          <w:t>‬</w:t>
        </w:r>
        <w:r w:rsidR="003C280E">
          <w:t>‬</w:t>
        </w:r>
        <w:r w:rsidR="002D54F1">
          <w:t>‬</w:t>
        </w:r>
        <w:r w:rsidR="00A32865">
          <w:t>‬</w:t>
        </w:r>
      </w:dir>
    </w:p>
    <w:p w:rsidR="00A40A0A" w:rsidRPr="00A40A0A" w:rsidRDefault="00A40A0A" w:rsidP="00A40A0A">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A40A0A" w:rsidRPr="00A40A0A" w:rsidSect="00E6029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DE" w:rsidRPr="002901D9" w:rsidRDefault="00185ADE" w:rsidP="002901D9">
      <w:pPr>
        <w:spacing w:after="60" w:line="240" w:lineRule="auto"/>
        <w:rPr>
          <w:i/>
          <w:iCs/>
        </w:rPr>
      </w:pPr>
      <w:r>
        <w:rPr>
          <w:rFonts w:hint="cs"/>
          <w:i/>
          <w:iCs/>
          <w:rtl/>
        </w:rPr>
        <w:t>الحواشي</w:t>
      </w:r>
    </w:p>
  </w:endnote>
  <w:endnote w:type="continuationSeparator" w:id="0">
    <w:p w:rsidR="00185ADE" w:rsidRDefault="00185AD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0A" w:rsidRPr="00A40A0A" w:rsidRDefault="00A40A0A" w:rsidP="00A40A0A">
    <w:pPr>
      <w:pStyle w:val="Footer"/>
      <w:tabs>
        <w:tab w:val="right" w:pos="9598"/>
      </w:tabs>
      <w:rPr>
        <w:sz w:val="17"/>
      </w:rPr>
    </w:pPr>
    <w:r>
      <w:rPr>
        <w:sz w:val="17"/>
      </w:rPr>
      <w:t>GE.17-00416</w:t>
    </w:r>
    <w:r>
      <w:rPr>
        <w:sz w:val="17"/>
      </w:rPr>
      <w:tab/>
    </w:r>
    <w:r w:rsidRPr="00A40A0A">
      <w:rPr>
        <w:b/>
        <w:sz w:val="18"/>
      </w:rPr>
      <w:fldChar w:fldCharType="begin"/>
    </w:r>
    <w:r w:rsidRPr="00A40A0A">
      <w:rPr>
        <w:b/>
        <w:sz w:val="18"/>
      </w:rPr>
      <w:instrText xml:space="preserve"> PAGE  \* MERGEFORMAT </w:instrText>
    </w:r>
    <w:r w:rsidRPr="00A40A0A">
      <w:rPr>
        <w:b/>
        <w:sz w:val="18"/>
      </w:rPr>
      <w:fldChar w:fldCharType="separate"/>
    </w:r>
    <w:r w:rsidR="00D97B13">
      <w:rPr>
        <w:b/>
        <w:noProof/>
        <w:sz w:val="18"/>
      </w:rPr>
      <w:t>4</w:t>
    </w:r>
    <w:r w:rsidRPr="00A40A0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40A0A" w:rsidRDefault="00A40A0A" w:rsidP="006959B0">
    <w:pPr>
      <w:pStyle w:val="Footer"/>
      <w:tabs>
        <w:tab w:val="right" w:pos="9599"/>
      </w:tabs>
      <w:jc w:val="left"/>
      <w:rPr>
        <w:b/>
        <w:sz w:val="18"/>
        <w:lang w:val="en-US"/>
      </w:rPr>
    </w:pPr>
    <w:r w:rsidRPr="00A40A0A">
      <w:rPr>
        <w:b/>
        <w:sz w:val="18"/>
        <w:lang w:val="en-US"/>
      </w:rPr>
      <w:fldChar w:fldCharType="begin"/>
    </w:r>
    <w:r w:rsidRPr="00A40A0A">
      <w:rPr>
        <w:b/>
        <w:sz w:val="18"/>
        <w:lang w:val="en-US"/>
      </w:rPr>
      <w:instrText xml:space="preserve"> PAGE  \* MERGEFORMAT </w:instrText>
    </w:r>
    <w:r w:rsidRPr="00A40A0A">
      <w:rPr>
        <w:b/>
        <w:sz w:val="18"/>
        <w:lang w:val="en-US"/>
      </w:rPr>
      <w:fldChar w:fldCharType="separate"/>
    </w:r>
    <w:r w:rsidR="00D97B13">
      <w:rPr>
        <w:b/>
        <w:noProof/>
        <w:sz w:val="18"/>
        <w:lang w:val="en-US"/>
      </w:rPr>
      <w:t>5</w:t>
    </w:r>
    <w:r w:rsidRPr="00A40A0A">
      <w:rPr>
        <w:b/>
        <w:sz w:val="18"/>
        <w:lang w:val="en-US"/>
      </w:rPr>
      <w:fldChar w:fldCharType="end"/>
    </w:r>
    <w:r>
      <w:rPr>
        <w:b/>
        <w:sz w:val="18"/>
        <w:lang w:val="en-US"/>
      </w:rPr>
      <w:tab/>
    </w:r>
    <w:r>
      <w:rPr>
        <w:sz w:val="17"/>
        <w:lang w:val="en-US"/>
      </w:rPr>
      <w:t>GE.17-00416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D97B13" w:rsidP="00FD4BC9">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0BF4C5A5" wp14:editId="484F0F5A">
          <wp:simplePos x="0" y="0"/>
          <wp:positionH relativeFrom="column">
            <wp:posOffset>635</wp:posOffset>
          </wp:positionH>
          <wp:positionV relativeFrom="paragraph">
            <wp:posOffset>19050</wp:posOffset>
          </wp:positionV>
          <wp:extent cx="638175" cy="638175"/>
          <wp:effectExtent l="0" t="0" r="9525" b="9525"/>
          <wp:wrapNone/>
          <wp:docPr id="3" name="Picture 1" descr="http://undocs.org/m2/QRCode.ashx?DS=CERD/C/ARG/CO/21-2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RG/CO/21-23&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290">
      <w:rPr>
        <w:sz w:val="20"/>
        <w:szCs w:val="20"/>
      </w:rPr>
      <w:t>GE.17-00416</w:t>
    </w:r>
    <w:r w:rsidR="00FD4BC9">
      <w:rPr>
        <w:noProof/>
        <w:lang w:val="en-US"/>
      </w:rPr>
      <w:drawing>
        <wp:anchor distT="0" distB="0" distL="114300" distR="114300" simplePos="0" relativeHeight="251659264" behindDoc="1" locked="1" layoutInCell="0" allowOverlap="1" wp14:anchorId="35A10D9C" wp14:editId="7E93ECEA">
          <wp:simplePos x="0" y="0"/>
          <wp:positionH relativeFrom="margin">
            <wp:posOffset>668655</wp:posOffset>
          </wp:positionH>
          <wp:positionV relativeFrom="page">
            <wp:posOffset>9806305</wp:posOffset>
          </wp:positionV>
          <wp:extent cx="1162685" cy="32385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6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60290" w:rsidRPr="00E60290" w:rsidRDefault="00E60290" w:rsidP="00E6029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DE" w:rsidRPr="0054762C" w:rsidRDefault="00185ADE" w:rsidP="00173565">
      <w:pPr>
        <w:pStyle w:val="Footer"/>
        <w:bidi/>
        <w:spacing w:after="80" w:line="200" w:lineRule="exact"/>
        <w:ind w:left="680"/>
      </w:pPr>
      <w:r>
        <w:rPr>
          <w:rtl/>
        </w:rPr>
        <w:t>__________</w:t>
      </w:r>
    </w:p>
  </w:footnote>
  <w:footnote w:type="continuationSeparator" w:id="0">
    <w:p w:rsidR="00185ADE" w:rsidRDefault="00185ADE" w:rsidP="00656392">
      <w:pPr>
        <w:spacing w:line="240" w:lineRule="auto"/>
      </w:pPr>
      <w:r>
        <w:continuationSeparator/>
      </w:r>
    </w:p>
  </w:footnote>
  <w:footnote w:id="1">
    <w:p w:rsidR="00A40A0A" w:rsidRPr="008B7DEE" w:rsidRDefault="00A40A0A" w:rsidP="003F2C81">
      <w:pPr>
        <w:pStyle w:val="FootnoteText1"/>
      </w:pPr>
      <w:r>
        <w:rPr>
          <w:rtl/>
        </w:rPr>
        <w:t>*</w:t>
      </w:r>
      <w:r>
        <w:rPr>
          <w:rtl/>
        </w:rPr>
        <w:tab/>
      </w:r>
      <w:r>
        <w:rPr>
          <w:rFonts w:hint="cs"/>
          <w:rtl/>
        </w:rPr>
        <w:t>اعتمدتها اللجنة ف</w:t>
      </w:r>
      <w:r w:rsidR="002D54F1">
        <w:rPr>
          <w:rFonts w:hint="cs"/>
          <w:rtl/>
        </w:rPr>
        <w:t>ي دورتها الحادية والتسعين (21 ت</w:t>
      </w:r>
      <w:r>
        <w:rPr>
          <w:rFonts w:hint="cs"/>
          <w:rtl/>
        </w:rPr>
        <w:t xml:space="preserve">شرين الثاني/نوفمبر </w:t>
      </w:r>
      <w:r w:rsidR="003F2C81">
        <w:rPr>
          <w:rFonts w:hint="cs"/>
          <w:rtl/>
        </w:rPr>
        <w:t>-</w:t>
      </w:r>
      <w:r>
        <w:rPr>
          <w:rFonts w:hint="cs"/>
          <w:rtl/>
        </w:rPr>
        <w:t xml:space="preserve"> 9 كانون الأول/ديسمبر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0A" w:rsidRPr="00A40A0A" w:rsidRDefault="00A40A0A" w:rsidP="00A40A0A">
    <w:pPr>
      <w:pStyle w:val="Header"/>
      <w:jc w:val="right"/>
    </w:pPr>
    <w:r w:rsidRPr="00A40A0A">
      <w:t>CERD/C/ARG/CO/21-23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0A" w:rsidRPr="00A40A0A" w:rsidRDefault="00A40A0A" w:rsidP="00A40A0A">
    <w:pPr>
      <w:pStyle w:val="Header"/>
      <w:jc w:val="left"/>
    </w:pPr>
    <w:r w:rsidRPr="00A40A0A">
      <w:t>CERD/C/ARG/CO/21-23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85ADE"/>
    <w:rsid w:val="000076D5"/>
    <w:rsid w:val="00043663"/>
    <w:rsid w:val="000505CF"/>
    <w:rsid w:val="000D31B8"/>
    <w:rsid w:val="000D701C"/>
    <w:rsid w:val="000E2A71"/>
    <w:rsid w:val="00160263"/>
    <w:rsid w:val="00173565"/>
    <w:rsid w:val="00181F96"/>
    <w:rsid w:val="00185ADE"/>
    <w:rsid w:val="001A1371"/>
    <w:rsid w:val="001B346A"/>
    <w:rsid w:val="001E1CAD"/>
    <w:rsid w:val="001E290D"/>
    <w:rsid w:val="002144FA"/>
    <w:rsid w:val="0023469A"/>
    <w:rsid w:val="00243C8A"/>
    <w:rsid w:val="00267A0E"/>
    <w:rsid w:val="002901D9"/>
    <w:rsid w:val="002976C2"/>
    <w:rsid w:val="002D54F1"/>
    <w:rsid w:val="003260FF"/>
    <w:rsid w:val="00343D95"/>
    <w:rsid w:val="00374341"/>
    <w:rsid w:val="003C280E"/>
    <w:rsid w:val="003D1062"/>
    <w:rsid w:val="003D4C4E"/>
    <w:rsid w:val="003E159A"/>
    <w:rsid w:val="003F2C81"/>
    <w:rsid w:val="003F306C"/>
    <w:rsid w:val="00420D7B"/>
    <w:rsid w:val="00450B21"/>
    <w:rsid w:val="00453B63"/>
    <w:rsid w:val="00455780"/>
    <w:rsid w:val="004A3FF8"/>
    <w:rsid w:val="004A4CFA"/>
    <w:rsid w:val="004B0A1C"/>
    <w:rsid w:val="004D298E"/>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87200"/>
    <w:rsid w:val="0068781D"/>
    <w:rsid w:val="006959B0"/>
    <w:rsid w:val="006B3E27"/>
    <w:rsid w:val="006B6507"/>
    <w:rsid w:val="006C104C"/>
    <w:rsid w:val="00733704"/>
    <w:rsid w:val="0078071A"/>
    <w:rsid w:val="007826C2"/>
    <w:rsid w:val="007A0C79"/>
    <w:rsid w:val="007A70BB"/>
    <w:rsid w:val="00852A9A"/>
    <w:rsid w:val="008930DB"/>
    <w:rsid w:val="00895D16"/>
    <w:rsid w:val="008F49E1"/>
    <w:rsid w:val="0090370F"/>
    <w:rsid w:val="009269D2"/>
    <w:rsid w:val="00942135"/>
    <w:rsid w:val="009521B0"/>
    <w:rsid w:val="009A7E9F"/>
    <w:rsid w:val="009E5018"/>
    <w:rsid w:val="00A12B37"/>
    <w:rsid w:val="00A40A0A"/>
    <w:rsid w:val="00A50EC0"/>
    <w:rsid w:val="00AB6758"/>
    <w:rsid w:val="00B13763"/>
    <w:rsid w:val="00B477A4"/>
    <w:rsid w:val="00B54045"/>
    <w:rsid w:val="00C022F5"/>
    <w:rsid w:val="00C438D7"/>
    <w:rsid w:val="00C53FE8"/>
    <w:rsid w:val="00C70A7C"/>
    <w:rsid w:val="00C81B50"/>
    <w:rsid w:val="00CA655B"/>
    <w:rsid w:val="00CD1801"/>
    <w:rsid w:val="00D10EF1"/>
    <w:rsid w:val="00D42810"/>
    <w:rsid w:val="00D4456B"/>
    <w:rsid w:val="00D914A7"/>
    <w:rsid w:val="00D97B13"/>
    <w:rsid w:val="00DD13C3"/>
    <w:rsid w:val="00DD596E"/>
    <w:rsid w:val="00DD621E"/>
    <w:rsid w:val="00DF0575"/>
    <w:rsid w:val="00DF2C8F"/>
    <w:rsid w:val="00E36B04"/>
    <w:rsid w:val="00E60290"/>
    <w:rsid w:val="00E70E04"/>
    <w:rsid w:val="00EC05A7"/>
    <w:rsid w:val="00EC4B6B"/>
    <w:rsid w:val="00ED7442"/>
    <w:rsid w:val="00EE0B18"/>
    <w:rsid w:val="00EF1EE5"/>
    <w:rsid w:val="00F0233D"/>
    <w:rsid w:val="00F13F17"/>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Car">
    <w:name w:val="_ Single Txt_G Car"/>
    <w:locked/>
    <w:rsid w:val="00A40A0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Car">
    <w:name w:val="_ Single Txt_G Car"/>
    <w:locked/>
    <w:rsid w:val="00A40A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F17E-4642-4141-8D41-114E416A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11</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CERD/C/ARG/CO/21-23</vt:lpstr>
    </vt:vector>
  </TitlesOfParts>
  <Company>DCM</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CERD/C/ARG/CO/21-23</dc:title>
  <dc:subject>GE.1700416</dc:subject>
  <dc:creator>gmah87-AGH</dc:creator>
  <cp:keywords>ODS No.1700426</cp:keywords>
  <dc:description>Original: Spanish_x000d_
Distribution: General_x000d_
Date:11 January 2017</dc:description>
  <cp:lastModifiedBy>Administrator</cp:lastModifiedBy>
  <cp:revision>2</cp:revision>
  <dcterms:created xsi:type="dcterms:W3CDTF">2017-02-02T16:46:00Z</dcterms:created>
  <dcterms:modified xsi:type="dcterms:W3CDTF">2017-02-02T16:46:00Z</dcterms:modified>
  <cp:category>Final</cp:category>
</cp:coreProperties>
</file>