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856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856F3" w:rsidP="000856F3">
            <w:pPr>
              <w:jc w:val="right"/>
            </w:pPr>
            <w:r w:rsidRPr="000856F3">
              <w:rPr>
                <w:sz w:val="40"/>
              </w:rPr>
              <w:t>CERD</w:t>
            </w:r>
            <w:r>
              <w:t>/C/ARE/CO/18-21</w:t>
            </w:r>
          </w:p>
        </w:tc>
      </w:tr>
      <w:tr w:rsidR="002D5AAC" w:rsidRPr="000856F3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29CBB89" wp14:editId="11D34B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856F3" w:rsidRDefault="000856F3" w:rsidP="008D2AAD">
            <w:pPr>
              <w:spacing w:before="240"/>
              <w:rPr>
                <w:lang w:val="en-US"/>
              </w:rPr>
            </w:pPr>
            <w:r w:rsidRPr="000856F3">
              <w:rPr>
                <w:lang w:val="en-US"/>
              </w:rPr>
              <w:t>Distr.: General</w:t>
            </w:r>
          </w:p>
          <w:p w:rsidR="000856F3" w:rsidRPr="000856F3" w:rsidRDefault="000856F3" w:rsidP="000856F3">
            <w:pPr>
              <w:spacing w:line="240" w:lineRule="exact"/>
              <w:rPr>
                <w:lang w:val="en-US"/>
              </w:rPr>
            </w:pPr>
            <w:r w:rsidRPr="000856F3">
              <w:rPr>
                <w:lang w:val="en-US"/>
              </w:rPr>
              <w:t>13 September 2017</w:t>
            </w:r>
          </w:p>
          <w:p w:rsidR="000856F3" w:rsidRPr="000856F3" w:rsidRDefault="000856F3" w:rsidP="000856F3">
            <w:pPr>
              <w:spacing w:line="240" w:lineRule="exact"/>
              <w:rPr>
                <w:lang w:val="en-US"/>
              </w:rPr>
            </w:pPr>
            <w:r w:rsidRPr="000856F3">
              <w:rPr>
                <w:lang w:val="en-US"/>
              </w:rPr>
              <w:t>Russian</w:t>
            </w:r>
          </w:p>
          <w:p w:rsidR="000856F3" w:rsidRPr="000856F3" w:rsidRDefault="000856F3" w:rsidP="000856F3">
            <w:pPr>
              <w:spacing w:line="240" w:lineRule="exact"/>
              <w:rPr>
                <w:lang w:val="en-US"/>
              </w:rPr>
            </w:pPr>
            <w:r w:rsidRPr="000856F3">
              <w:rPr>
                <w:lang w:val="en-US"/>
              </w:rPr>
              <w:t>Original: English</w:t>
            </w:r>
          </w:p>
        </w:tc>
      </w:tr>
    </w:tbl>
    <w:p w:rsidR="000856F3" w:rsidRPr="000856F3" w:rsidRDefault="000856F3" w:rsidP="00EC3187">
      <w:pPr>
        <w:spacing w:before="120"/>
        <w:rPr>
          <w:b/>
          <w:bCs/>
          <w:sz w:val="24"/>
          <w:szCs w:val="24"/>
        </w:rPr>
      </w:pPr>
      <w:r w:rsidRPr="000856F3">
        <w:rPr>
          <w:b/>
          <w:bCs/>
          <w:sz w:val="24"/>
          <w:szCs w:val="24"/>
        </w:rPr>
        <w:t>Комитет по ликвидации расовой дискриминации</w:t>
      </w:r>
    </w:p>
    <w:p w:rsidR="000856F3" w:rsidRPr="000856F3" w:rsidRDefault="000856F3" w:rsidP="00631E4C">
      <w:pPr>
        <w:pStyle w:val="HChGR"/>
      </w:pPr>
      <w:r w:rsidRPr="000856F3">
        <w:tab/>
      </w:r>
      <w:r w:rsidRPr="000856F3">
        <w:tab/>
        <w:t>Заключительные замечания по объединенным восемнадцатому</w:t>
      </w:r>
      <w:r w:rsidR="00631E4C" w:rsidRPr="00631E4C">
        <w:t xml:space="preserve"> </w:t>
      </w:r>
      <w:r w:rsidRPr="000856F3">
        <w:t>–</w:t>
      </w:r>
      <w:r w:rsidR="00631E4C" w:rsidRPr="00631E4C">
        <w:t xml:space="preserve"> </w:t>
      </w:r>
      <w:r w:rsidRPr="000856F3">
        <w:t>двадцать первому периодическим докладам Объединенных Арабских Эмиратов</w:t>
      </w:r>
      <w:r w:rsidRPr="00631E4C">
        <w:rPr>
          <w:b w:val="0"/>
          <w:bCs/>
          <w:sz w:val="20"/>
        </w:rPr>
        <w:footnoteReference w:customMarkFollows="1" w:id="1"/>
        <w:t>*</w:t>
      </w:r>
    </w:p>
    <w:p w:rsidR="000856F3" w:rsidRPr="000856F3" w:rsidRDefault="000856F3" w:rsidP="000856F3">
      <w:pPr>
        <w:pStyle w:val="SingleTxtGR"/>
      </w:pPr>
      <w:r w:rsidRPr="000856F3">
        <w:t>1.</w:t>
      </w:r>
      <w:r w:rsidRPr="000856F3">
        <w:tab/>
        <w:t>Комитет рассмотрел объединенные восемнадцатый</w:t>
      </w:r>
      <w:r w:rsidR="00EC3187">
        <w:t xml:space="preserve"> </w:t>
      </w:r>
      <w:r w:rsidRPr="000856F3">
        <w:t>–</w:t>
      </w:r>
      <w:r w:rsidR="00EC3187">
        <w:t xml:space="preserve"> </w:t>
      </w:r>
      <w:r w:rsidRPr="000856F3">
        <w:t>двадцать первый периодические доклады Объединенных Арабских Эмиратов, представленные в одном документе (CERD/C/ARE/18-21), на своих 2556-м и 2557-м заседаниях (CERD/C/SR.2556 и 2557), состоявшихся 7 и 8 августа 2017 года. На своем 2571-м заседании, состоявшемся 17 августа, он принял настоящие заключ</w:t>
      </w:r>
      <w:r w:rsidRPr="000856F3">
        <w:t>и</w:t>
      </w:r>
      <w:r w:rsidRPr="000856F3">
        <w:t xml:space="preserve">тельные замечания. </w:t>
      </w:r>
    </w:p>
    <w:p w:rsidR="000856F3" w:rsidRPr="000856F3" w:rsidRDefault="00631E4C" w:rsidP="00631E4C">
      <w:pPr>
        <w:pStyle w:val="H1GR"/>
      </w:pPr>
      <w:r>
        <w:rPr>
          <w:lang w:val="en-US"/>
        </w:rPr>
        <w:tab/>
      </w:r>
      <w:r w:rsidR="000856F3" w:rsidRPr="000856F3">
        <w:t>A.</w:t>
      </w:r>
      <w:r w:rsidR="000856F3" w:rsidRPr="000856F3">
        <w:tab/>
        <w:t>Введение</w:t>
      </w:r>
    </w:p>
    <w:p w:rsidR="000856F3" w:rsidRPr="000856F3" w:rsidRDefault="000856F3" w:rsidP="000856F3">
      <w:pPr>
        <w:pStyle w:val="SingleTxtGR"/>
      </w:pPr>
      <w:r w:rsidRPr="000856F3">
        <w:t>2.</w:t>
      </w:r>
      <w:r w:rsidRPr="000856F3">
        <w:tab/>
        <w:t>Комитет приветствует представление объединенных восемнадцатого</w:t>
      </w:r>
      <w:r w:rsidR="00631E4C" w:rsidRPr="00631E4C">
        <w:t xml:space="preserve"> </w:t>
      </w:r>
      <w:r w:rsidRPr="000856F3">
        <w:t>–</w:t>
      </w:r>
      <w:r w:rsidR="00631E4C" w:rsidRPr="00631E4C">
        <w:t xml:space="preserve"> </w:t>
      </w:r>
      <w:r w:rsidRPr="000856F3">
        <w:t>двадцать первого периодических докладов государства-участника, в которых содержатся ответы на вопросы, вызвавшие обеспокоенность Комитета и затр</w:t>
      </w:r>
      <w:r w:rsidRPr="000856F3">
        <w:t>о</w:t>
      </w:r>
      <w:r w:rsidRPr="000856F3">
        <w:t>нутые в его предыдущих заключительных замечаниях (CERD/C/ARE/CO/17). Комитет приветствует состоявшийся открытый и конструктивный диалог с д</w:t>
      </w:r>
      <w:r w:rsidRPr="000856F3">
        <w:t>е</w:t>
      </w:r>
      <w:r w:rsidRPr="000856F3">
        <w:t xml:space="preserve">легацией государства-участника высокого уровня. </w:t>
      </w:r>
    </w:p>
    <w:p w:rsidR="000856F3" w:rsidRPr="000856F3" w:rsidRDefault="00631E4C" w:rsidP="00631E4C">
      <w:pPr>
        <w:pStyle w:val="H1GR"/>
      </w:pPr>
      <w:r>
        <w:rPr>
          <w:lang w:val="en-US"/>
        </w:rPr>
        <w:tab/>
      </w:r>
      <w:r w:rsidR="000856F3" w:rsidRPr="000856F3">
        <w:t>B.</w:t>
      </w:r>
      <w:r w:rsidR="000856F3" w:rsidRPr="000856F3">
        <w:tab/>
        <w:t>Позитивные аспекты</w:t>
      </w:r>
    </w:p>
    <w:p w:rsidR="000856F3" w:rsidRPr="000856F3" w:rsidRDefault="000856F3" w:rsidP="00EC3187">
      <w:pPr>
        <w:pStyle w:val="SingleTxtGR"/>
        <w:spacing w:line="234" w:lineRule="atLeast"/>
      </w:pPr>
      <w:r w:rsidRPr="000856F3">
        <w:t>3.</w:t>
      </w:r>
      <w:r w:rsidRPr="000856F3">
        <w:tab/>
        <w:t xml:space="preserve">Комитет приветствует следующие законодательные и политические меры, принятые государством-участником: </w:t>
      </w:r>
    </w:p>
    <w:p w:rsidR="000856F3" w:rsidRPr="000856F3" w:rsidRDefault="000856F3" w:rsidP="00EC3187">
      <w:pPr>
        <w:pStyle w:val="SingleTxtGR"/>
        <w:spacing w:line="234" w:lineRule="atLeast"/>
      </w:pPr>
      <w:r w:rsidRPr="000856F3">
        <w:tab/>
        <w:t>а)</w:t>
      </w:r>
      <w:r w:rsidRPr="000856F3">
        <w:tab/>
        <w:t>принятие федерального декрета-закона № 2 от 2015 года о борьбе с дискриминацией и ненавистью;</w:t>
      </w:r>
    </w:p>
    <w:p w:rsidR="000856F3" w:rsidRPr="000856F3" w:rsidRDefault="000856F3" w:rsidP="00EC3187">
      <w:pPr>
        <w:pStyle w:val="SingleTxtGR"/>
        <w:spacing w:line="234" w:lineRule="atLeast"/>
      </w:pPr>
      <w:r w:rsidRPr="000856F3">
        <w:tab/>
        <w:t>b)</w:t>
      </w:r>
      <w:r w:rsidRPr="000856F3">
        <w:tab/>
        <w:t>запуск в 2016 году национальной</w:t>
      </w:r>
      <w:r w:rsidR="00EC3187">
        <w:t xml:space="preserve"> </w:t>
      </w:r>
      <w:r w:rsidRPr="000856F3">
        <w:t>программы укрепления толеран</w:t>
      </w:r>
      <w:r w:rsidRPr="000856F3">
        <w:t>т</w:t>
      </w:r>
      <w:r w:rsidRPr="000856F3">
        <w:t>ности, направленной на борьбу с дискриминацией по признаку расы, рел</w:t>
      </w:r>
      <w:r w:rsidRPr="000856F3">
        <w:t>и</w:t>
      </w:r>
      <w:r w:rsidRPr="000856F3">
        <w:t>гии и национального происхождения и поощрения терпимости и сосуществов</w:t>
      </w:r>
      <w:r w:rsidRPr="000856F3">
        <w:t>а</w:t>
      </w:r>
      <w:r w:rsidRPr="000856F3">
        <w:t>ния, в том числе создание министерства по вопросам терпимости и назначение мин</w:t>
      </w:r>
      <w:r w:rsidRPr="000856F3">
        <w:t>и</w:t>
      </w:r>
      <w:r w:rsidRPr="000856F3">
        <w:t>стра по вопросам терпимости в феврале 2016 года;</w:t>
      </w:r>
    </w:p>
    <w:p w:rsidR="000856F3" w:rsidRPr="000856F3" w:rsidRDefault="000856F3" w:rsidP="00EC3187">
      <w:pPr>
        <w:pStyle w:val="SingleTxtGR"/>
        <w:spacing w:line="234" w:lineRule="atLeast"/>
      </w:pPr>
      <w:r w:rsidRPr="000856F3">
        <w:tab/>
        <w:t>с)</w:t>
      </w:r>
      <w:r w:rsidRPr="000856F3">
        <w:tab/>
        <w:t>составление и распространение хартии терпимости среди препод</w:t>
      </w:r>
      <w:r w:rsidRPr="000856F3">
        <w:t>а</w:t>
      </w:r>
      <w:r w:rsidRPr="000856F3">
        <w:t xml:space="preserve">вателей в государственных и частных учебных заведениях; </w:t>
      </w:r>
    </w:p>
    <w:p w:rsidR="000856F3" w:rsidRPr="000856F3" w:rsidRDefault="000856F3" w:rsidP="00C645C3">
      <w:pPr>
        <w:pStyle w:val="SingleTxtGR"/>
        <w:spacing w:line="234" w:lineRule="atLeast"/>
      </w:pPr>
      <w:r w:rsidRPr="000856F3">
        <w:tab/>
        <w:t>d)</w:t>
      </w:r>
      <w:r w:rsidRPr="000856F3">
        <w:tab/>
        <w:t>принятие министерского постановления № 764 от 2015 года об утвержденных Министерством труда стандартных трудовых договорах, в кот</w:t>
      </w:r>
      <w:r w:rsidRPr="000856F3">
        <w:t>о</w:t>
      </w:r>
      <w:r w:rsidRPr="000856F3">
        <w:t xml:space="preserve">ром предусмотрено, что типовой договор о найме на работу, утвержденный Министерством труда и </w:t>
      </w:r>
      <w:proofErr w:type="spellStart"/>
      <w:r w:rsidRPr="000856F3">
        <w:t>эмиратизации</w:t>
      </w:r>
      <w:proofErr w:type="spellEnd"/>
      <w:r w:rsidRPr="000856F3">
        <w:t>, долж</w:t>
      </w:r>
      <w:r w:rsidR="00C645C3">
        <w:t>ен</w:t>
      </w:r>
      <w:r w:rsidRPr="000856F3">
        <w:t xml:space="preserve"> быть перевед</w:t>
      </w:r>
      <w:r w:rsidR="00C645C3">
        <w:t>ен</w:t>
      </w:r>
      <w:r w:rsidRPr="000856F3">
        <w:t xml:space="preserve"> на английский, арабский языки и язык работника;</w:t>
      </w:r>
    </w:p>
    <w:p w:rsidR="000856F3" w:rsidRPr="000856F3" w:rsidRDefault="000856F3" w:rsidP="000856F3">
      <w:pPr>
        <w:pStyle w:val="SingleTxtGR"/>
      </w:pPr>
      <w:r w:rsidRPr="000856F3">
        <w:lastRenderedPageBreak/>
        <w:tab/>
        <w:t>e)</w:t>
      </w:r>
      <w:r w:rsidRPr="000856F3">
        <w:tab/>
        <w:t>принятие национальной</w:t>
      </w:r>
      <w:r w:rsidR="00631E4C">
        <w:t xml:space="preserve"> стратегии по расширению прав и</w:t>
      </w:r>
      <w:r w:rsidR="00631E4C" w:rsidRPr="00631E4C">
        <w:t xml:space="preserve"> </w:t>
      </w:r>
      <w:r w:rsidRPr="000856F3">
        <w:t>воз</w:t>
      </w:r>
      <w:r w:rsidR="00631E4C" w:rsidRPr="00631E4C">
        <w:t>-</w:t>
      </w:r>
      <w:r w:rsidRPr="000856F3">
        <w:t>мо</w:t>
      </w:r>
      <w:r w:rsidRPr="000856F3">
        <w:t>ж</w:t>
      </w:r>
      <w:r w:rsidRPr="000856F3">
        <w:t>ностей эмиратских женщин в Объедин</w:t>
      </w:r>
      <w:r w:rsidR="00631E4C">
        <w:t>енных Арабских Эмиратах за</w:t>
      </w:r>
      <w:r w:rsidR="00631E4C" w:rsidRPr="00631E4C">
        <w:br/>
      </w:r>
      <w:r w:rsidR="00631E4C">
        <w:t>2015</w:t>
      </w:r>
      <w:r w:rsidR="00631E4C" w:rsidRPr="00631E4C">
        <w:t>–</w:t>
      </w:r>
      <w:r w:rsidRPr="000856F3">
        <w:t>2021 годы.</w:t>
      </w:r>
    </w:p>
    <w:p w:rsidR="000856F3" w:rsidRPr="000856F3" w:rsidRDefault="000856F3" w:rsidP="000856F3">
      <w:pPr>
        <w:pStyle w:val="SingleTxtGR"/>
      </w:pPr>
      <w:r w:rsidRPr="000856F3">
        <w:t>4.</w:t>
      </w:r>
      <w:r w:rsidRPr="000856F3">
        <w:tab/>
        <w:t xml:space="preserve">Комитет приветствует ратификацию государством-участником: </w:t>
      </w:r>
    </w:p>
    <w:p w:rsidR="000856F3" w:rsidRPr="000856F3" w:rsidRDefault="000856F3" w:rsidP="000856F3">
      <w:pPr>
        <w:pStyle w:val="SingleTxtGR"/>
      </w:pPr>
      <w:r w:rsidRPr="000856F3">
        <w:tab/>
        <w:t>а)</w:t>
      </w:r>
      <w:r w:rsidRPr="000856F3">
        <w:tab/>
        <w:t>Конве</w:t>
      </w:r>
      <w:r w:rsidR="00C645C3">
        <w:t>нции о правах инвалидов – в 2010</w:t>
      </w:r>
      <w:r w:rsidRPr="000856F3">
        <w:t xml:space="preserve"> году;</w:t>
      </w:r>
    </w:p>
    <w:p w:rsidR="000856F3" w:rsidRPr="000856F3" w:rsidRDefault="000856F3" w:rsidP="000856F3">
      <w:pPr>
        <w:pStyle w:val="SingleTxtGR"/>
      </w:pPr>
      <w:r w:rsidRPr="000856F3">
        <w:tab/>
        <w:t>b)</w:t>
      </w:r>
      <w:r w:rsidRPr="000856F3">
        <w:tab/>
        <w:t>Конвенции против пыток и других жестоких, бесчеловечных или унижающих достоинство видов обращения и наказания – в 2012 году;</w:t>
      </w:r>
    </w:p>
    <w:p w:rsidR="000856F3" w:rsidRPr="000856F3" w:rsidRDefault="000856F3" w:rsidP="000856F3">
      <w:pPr>
        <w:pStyle w:val="SingleTxtGR"/>
      </w:pPr>
      <w:r w:rsidRPr="000856F3">
        <w:tab/>
        <w:t>с)</w:t>
      </w:r>
      <w:r w:rsidRPr="000856F3">
        <w:tab/>
        <w:t>Факультативного протокол</w:t>
      </w:r>
      <w:r w:rsidR="00631E4C">
        <w:t>а к Конвенции о правах ребе</w:t>
      </w:r>
      <w:r w:rsidR="00631E4C">
        <w:t>н</w:t>
      </w:r>
      <w:r w:rsidR="00631E4C">
        <w:t>ка,</w:t>
      </w:r>
      <w:r w:rsidR="00631E4C" w:rsidRPr="00631E4C">
        <w:br/>
      </w:r>
      <w:r w:rsidRPr="000856F3">
        <w:t>касающегося торговли детьми, детской про</w:t>
      </w:r>
      <w:r w:rsidR="00631E4C">
        <w:t xml:space="preserve">ституции и детской порнографии </w:t>
      </w:r>
      <w:r w:rsidR="00631E4C" w:rsidRPr="00631E4C">
        <w:t>–</w:t>
      </w:r>
      <w:r w:rsidR="00631E4C" w:rsidRPr="00631E4C">
        <w:br/>
      </w:r>
      <w:r w:rsidR="00631E4C">
        <w:t>в 2016</w:t>
      </w:r>
      <w:r w:rsidR="00631E4C">
        <w:rPr>
          <w:lang w:val="en-US"/>
        </w:rPr>
        <w:t> </w:t>
      </w:r>
      <w:r w:rsidRPr="000856F3">
        <w:t>году.</w:t>
      </w:r>
    </w:p>
    <w:p w:rsidR="000856F3" w:rsidRPr="000856F3" w:rsidRDefault="00631E4C" w:rsidP="00631E4C">
      <w:pPr>
        <w:pStyle w:val="H1GR"/>
      </w:pPr>
      <w:r>
        <w:rPr>
          <w:lang w:val="en-US"/>
        </w:rPr>
        <w:tab/>
      </w:r>
      <w:r w:rsidR="000856F3" w:rsidRPr="000856F3">
        <w:t>C.</w:t>
      </w:r>
      <w:r w:rsidR="000856F3" w:rsidRPr="000856F3">
        <w:tab/>
        <w:t>Вопросы, вызывающие обеспокоенность, и рекомендации</w:t>
      </w:r>
    </w:p>
    <w:p w:rsidR="000856F3" w:rsidRPr="000856F3" w:rsidRDefault="000856F3" w:rsidP="00631E4C">
      <w:pPr>
        <w:pStyle w:val="H23GR"/>
      </w:pPr>
      <w:r w:rsidRPr="000856F3">
        <w:tab/>
      </w:r>
      <w:r w:rsidRPr="000856F3">
        <w:tab/>
        <w:t>Статистические данные</w:t>
      </w:r>
    </w:p>
    <w:p w:rsidR="000856F3" w:rsidRPr="000856F3" w:rsidRDefault="000856F3" w:rsidP="000856F3">
      <w:pPr>
        <w:pStyle w:val="SingleTxtGR"/>
      </w:pPr>
      <w:r w:rsidRPr="000856F3">
        <w:t>5.</w:t>
      </w:r>
      <w:r w:rsidRPr="000856F3">
        <w:tab/>
        <w:t>Принимая к сведению ограниченные статистические данные, предста</w:t>
      </w:r>
      <w:r w:rsidRPr="000856F3">
        <w:t>в</w:t>
      </w:r>
      <w:r w:rsidRPr="000856F3">
        <w:t>ленные государством-участником в ходе диалога, в том числе новые данные всеобщей переписи населения 2016 года в разбивке по полу, Комитет выражает сожаление в связи с отсутствием демографических данных об этническом с</w:t>
      </w:r>
      <w:r w:rsidRPr="000856F3">
        <w:t>о</w:t>
      </w:r>
      <w:r w:rsidRPr="000856F3">
        <w:t>ставе населения, включая неграждан, а также отсутствием информации об ос</w:t>
      </w:r>
      <w:r w:rsidRPr="000856F3">
        <w:t>у</w:t>
      </w:r>
      <w:r w:rsidRPr="000856F3">
        <w:t>ществлении экономических, социальных и культурных прав этнических групп в государстве-участнике. Комитет выражает также озабоченность в связи с отсу</w:t>
      </w:r>
      <w:r w:rsidRPr="000856F3">
        <w:t>т</w:t>
      </w:r>
      <w:r w:rsidRPr="000856F3">
        <w:t xml:space="preserve">ствием данных об этническом составе заключенных (статьи 1 и 5). </w:t>
      </w:r>
    </w:p>
    <w:p w:rsidR="000856F3" w:rsidRPr="000856F3" w:rsidRDefault="000856F3" w:rsidP="00631E4C">
      <w:pPr>
        <w:pStyle w:val="SingleTxtGR"/>
      </w:pPr>
      <w:r w:rsidRPr="000856F3">
        <w:t>6.</w:t>
      </w:r>
      <w:r w:rsidRPr="000856F3">
        <w:tab/>
        <w:t>Комитет приветствует готовность государства-участника представить дезагрегированные данные Комитету. Ссылаясь на пункты 10</w:t>
      </w:r>
      <w:r w:rsidR="00631E4C" w:rsidRPr="00631E4C">
        <w:t>–</w:t>
      </w:r>
      <w:r w:rsidRPr="000856F3">
        <w:t>12 своих руков</w:t>
      </w:r>
      <w:r w:rsidRPr="000856F3">
        <w:t>о</w:t>
      </w:r>
      <w:r w:rsidRPr="000856F3">
        <w:t>дящих принципов подготовки докладов по Конвенции (CERD/C/2007/1)</w:t>
      </w:r>
      <w:r w:rsidR="00C645C3">
        <w:t>,</w:t>
      </w:r>
      <w:r w:rsidRPr="000856F3">
        <w:t xml:space="preserve"> Ком</w:t>
      </w:r>
      <w:r w:rsidRPr="000856F3">
        <w:t>и</w:t>
      </w:r>
      <w:r w:rsidRPr="000856F3">
        <w:t>тет рекомендует государству-участнику:</w:t>
      </w:r>
    </w:p>
    <w:p w:rsidR="000856F3" w:rsidRPr="0042038F" w:rsidRDefault="000856F3" w:rsidP="000856F3">
      <w:pPr>
        <w:pStyle w:val="SingleTxtGR"/>
        <w:rPr>
          <w:b/>
          <w:bCs/>
        </w:rPr>
      </w:pPr>
      <w:r w:rsidRPr="0042038F">
        <w:rPr>
          <w:b/>
          <w:bCs/>
        </w:rPr>
        <w:tab/>
        <w:t>а)</w:t>
      </w:r>
      <w:r w:rsidRPr="0042038F">
        <w:rPr>
          <w:b/>
          <w:bCs/>
        </w:rPr>
        <w:tab/>
        <w:t>представить в своем следующем периодическом докладе стат</w:t>
      </w:r>
      <w:r w:rsidRPr="0042038F">
        <w:rPr>
          <w:b/>
          <w:bCs/>
        </w:rPr>
        <w:t>и</w:t>
      </w:r>
      <w:r w:rsidRPr="0042038F">
        <w:rPr>
          <w:b/>
          <w:bCs/>
        </w:rPr>
        <w:t>стические данные о демографическом составе населения, в разбивке по признакам, перечисленным в пункте 1 статьи 1 Конвенции, на основе с</w:t>
      </w:r>
      <w:r w:rsidRPr="0042038F">
        <w:rPr>
          <w:b/>
          <w:bCs/>
        </w:rPr>
        <w:t>а</w:t>
      </w:r>
      <w:r w:rsidRPr="0042038F">
        <w:rPr>
          <w:b/>
          <w:bCs/>
        </w:rPr>
        <w:t xml:space="preserve">моидентификации этнических групп; </w:t>
      </w:r>
    </w:p>
    <w:p w:rsidR="000856F3" w:rsidRPr="0042038F" w:rsidRDefault="000856F3" w:rsidP="000856F3">
      <w:pPr>
        <w:pStyle w:val="SingleTxtGR"/>
        <w:rPr>
          <w:b/>
          <w:bCs/>
        </w:rPr>
      </w:pPr>
      <w:r w:rsidRPr="0042038F">
        <w:rPr>
          <w:b/>
          <w:bCs/>
        </w:rPr>
        <w:tab/>
        <w:t>b)</w:t>
      </w:r>
      <w:r w:rsidRPr="0042038F">
        <w:rPr>
          <w:b/>
          <w:bCs/>
        </w:rPr>
        <w:tab/>
        <w:t>представить ему подробную статистическую информацию об осуществлении экономических, социальных и культурных прав этнич</w:t>
      </w:r>
      <w:r w:rsidRPr="0042038F">
        <w:rPr>
          <w:b/>
          <w:bCs/>
        </w:rPr>
        <w:t>е</w:t>
      </w:r>
      <w:r w:rsidRPr="0042038F">
        <w:rPr>
          <w:b/>
          <w:bCs/>
        </w:rPr>
        <w:t xml:space="preserve">ских групп, с </w:t>
      </w:r>
      <w:proofErr w:type="gramStart"/>
      <w:r w:rsidRPr="0042038F">
        <w:rPr>
          <w:b/>
          <w:bCs/>
        </w:rPr>
        <w:t>тем</w:t>
      </w:r>
      <w:proofErr w:type="gramEnd"/>
      <w:r w:rsidRPr="0042038F">
        <w:rPr>
          <w:b/>
          <w:bCs/>
        </w:rPr>
        <w:t xml:space="preserve"> чтобы обеспечить Комитету эмпирическую основу для оценки равного пользования правами, предусмотренными Конвенцией; </w:t>
      </w:r>
    </w:p>
    <w:p w:rsidR="000856F3" w:rsidRPr="0042038F" w:rsidRDefault="000856F3" w:rsidP="000856F3">
      <w:pPr>
        <w:pStyle w:val="SingleTxtGR"/>
        <w:rPr>
          <w:b/>
          <w:bCs/>
        </w:rPr>
      </w:pPr>
      <w:r w:rsidRPr="0042038F">
        <w:rPr>
          <w:b/>
          <w:bCs/>
        </w:rPr>
        <w:tab/>
        <w:t>с)</w:t>
      </w:r>
      <w:r w:rsidRPr="0042038F">
        <w:rPr>
          <w:b/>
          <w:bCs/>
        </w:rPr>
        <w:tab/>
        <w:t xml:space="preserve">представить данные об этническом составе заключенных. </w:t>
      </w:r>
    </w:p>
    <w:p w:rsidR="000856F3" w:rsidRPr="000856F3" w:rsidRDefault="000856F3" w:rsidP="00631E4C">
      <w:pPr>
        <w:pStyle w:val="H23GR"/>
      </w:pPr>
      <w:r w:rsidRPr="000856F3">
        <w:tab/>
      </w:r>
      <w:r w:rsidRPr="000856F3">
        <w:tab/>
        <w:t>Национальное правозащитное учреждение</w:t>
      </w:r>
    </w:p>
    <w:p w:rsidR="000856F3" w:rsidRPr="000856F3" w:rsidRDefault="000856F3" w:rsidP="000856F3">
      <w:pPr>
        <w:pStyle w:val="SingleTxtGR"/>
      </w:pPr>
      <w:r w:rsidRPr="000856F3">
        <w:t>7.</w:t>
      </w:r>
      <w:r w:rsidRPr="000856F3">
        <w:tab/>
        <w:t>Комитет приветствует информацию о том, что государство-участник пл</w:t>
      </w:r>
      <w:r w:rsidRPr="000856F3">
        <w:t>а</w:t>
      </w:r>
      <w:r w:rsidRPr="000856F3">
        <w:t>нирует создать национальное учреждение по правам человека, отвечающее тр</w:t>
      </w:r>
      <w:r w:rsidRPr="000856F3">
        <w:t>е</w:t>
      </w:r>
      <w:r w:rsidR="00631E4C">
        <w:t>бованиям «статуса A»</w:t>
      </w:r>
      <w:r w:rsidRPr="000856F3">
        <w:t xml:space="preserve">, однако выражает сожаление по поводу того, что это учреждение еще не создано.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8.</w:t>
      </w:r>
      <w:r w:rsidRPr="000856F3">
        <w:tab/>
      </w:r>
      <w:r w:rsidRPr="000856F3">
        <w:rPr>
          <w:b/>
        </w:rPr>
        <w:t>Ссылаясь на свою общую рекомендацию № 17 (1993) о создании национальных институтов по содействию осуществлению Конвенции, К</w:t>
      </w:r>
      <w:r w:rsidRPr="000856F3">
        <w:rPr>
          <w:b/>
        </w:rPr>
        <w:t>о</w:t>
      </w:r>
      <w:r w:rsidRPr="000856F3">
        <w:rPr>
          <w:b/>
        </w:rPr>
        <w:t>митет рекомендует государству-участнику принять незамедлительные м</w:t>
      </w:r>
      <w:r w:rsidRPr="000856F3">
        <w:rPr>
          <w:b/>
        </w:rPr>
        <w:t>е</w:t>
      </w:r>
      <w:r w:rsidRPr="000856F3">
        <w:rPr>
          <w:b/>
        </w:rPr>
        <w:t>ры с целью создания национального правозащитного учреждения в полном соответствии с принципами, касающимися статуса национальных учр</w:t>
      </w:r>
      <w:r w:rsidRPr="000856F3">
        <w:rPr>
          <w:b/>
        </w:rPr>
        <w:t>е</w:t>
      </w:r>
      <w:r w:rsidRPr="000856F3">
        <w:rPr>
          <w:b/>
        </w:rPr>
        <w:t>ждений, занимающихся поощрением и защитой прав человека (Парижские принципы), которое будет заниматься поощрением и защитой прав челов</w:t>
      </w:r>
      <w:r w:rsidRPr="000856F3">
        <w:rPr>
          <w:b/>
        </w:rPr>
        <w:t>е</w:t>
      </w:r>
      <w:r w:rsidRPr="000856F3">
        <w:rPr>
          <w:b/>
        </w:rPr>
        <w:t>ка, и обеспечить его необходимыми ресурсами для выполнения своего ма</w:t>
      </w:r>
      <w:r w:rsidRPr="000856F3">
        <w:rPr>
          <w:b/>
        </w:rPr>
        <w:t>н</w:t>
      </w:r>
      <w:r w:rsidRPr="000856F3">
        <w:rPr>
          <w:b/>
        </w:rPr>
        <w:t>дата эффективным и независимым образом.</w:t>
      </w:r>
      <w:r w:rsidRPr="000856F3">
        <w:t xml:space="preserve"> </w:t>
      </w:r>
    </w:p>
    <w:p w:rsidR="000856F3" w:rsidRPr="000856F3" w:rsidRDefault="000856F3" w:rsidP="00631E4C">
      <w:pPr>
        <w:pStyle w:val="H23GR"/>
      </w:pPr>
      <w:r w:rsidRPr="000856F3">
        <w:lastRenderedPageBreak/>
        <w:tab/>
      </w:r>
      <w:r w:rsidRPr="000856F3">
        <w:tab/>
        <w:t>Конституционный запрет расовой дискриминации</w:t>
      </w:r>
    </w:p>
    <w:p w:rsidR="000856F3" w:rsidRPr="000856F3" w:rsidRDefault="000856F3" w:rsidP="00631E4C">
      <w:pPr>
        <w:pStyle w:val="SingleTxtGR"/>
        <w:spacing w:line="230" w:lineRule="atLeast"/>
      </w:pPr>
      <w:r w:rsidRPr="000856F3">
        <w:t>9.</w:t>
      </w:r>
      <w:r w:rsidRPr="000856F3">
        <w:tab/>
        <w:t>Комитет выражает обеспокоенность тем, что статья 25 Конституции, к</w:t>
      </w:r>
      <w:r w:rsidRPr="000856F3">
        <w:t>о</w:t>
      </w:r>
      <w:r w:rsidRPr="000856F3">
        <w:t>торая запре</w:t>
      </w:r>
      <w:r w:rsidR="00631E4C">
        <w:t>щает дискриминацию по признаку «</w:t>
      </w:r>
      <w:r w:rsidRPr="000856F3">
        <w:t>расы, национальности, религ</w:t>
      </w:r>
      <w:r w:rsidRPr="000856F3">
        <w:t>и</w:t>
      </w:r>
      <w:r w:rsidRPr="000856F3">
        <w:t>озных убеж</w:t>
      </w:r>
      <w:r w:rsidR="00631E4C">
        <w:t>дений или социального положения»</w:t>
      </w:r>
      <w:r w:rsidRPr="000856F3">
        <w:t>, не включает все основания, указанные в статье 1 Конвенции, в том числе цвет кожи, происхождение и этн</w:t>
      </w:r>
      <w:r w:rsidRPr="000856F3">
        <w:t>и</w:t>
      </w:r>
      <w:r w:rsidRPr="000856F3">
        <w:t>ческую принадлежность. Комитет также обеспокоен тем, что статья 25, которая гласит, что запрещение дискрим</w:t>
      </w:r>
      <w:r w:rsidR="00631E4C">
        <w:t>инации распространяется на «граждан Союза»</w:t>
      </w:r>
      <w:r w:rsidRPr="000856F3">
        <w:t>, может не в равной степени применяться к лицам, не являющимся гражданами, которые сос</w:t>
      </w:r>
      <w:r w:rsidR="00631E4C">
        <w:t>тавляют около 90% населения (статья</w:t>
      </w:r>
      <w:r w:rsidRPr="000856F3">
        <w:t xml:space="preserve"> 1). </w:t>
      </w:r>
    </w:p>
    <w:p w:rsidR="000856F3" w:rsidRPr="000856F3" w:rsidRDefault="000856F3" w:rsidP="00631E4C">
      <w:pPr>
        <w:pStyle w:val="SingleTxtGR"/>
        <w:spacing w:line="230" w:lineRule="atLeast"/>
        <w:rPr>
          <w:b/>
        </w:rPr>
      </w:pPr>
      <w:r w:rsidRPr="000856F3">
        <w:t>10.</w:t>
      </w:r>
      <w:r w:rsidRPr="000856F3">
        <w:tab/>
      </w:r>
      <w:r w:rsidRPr="000856F3">
        <w:rPr>
          <w:b/>
        </w:rPr>
        <w:t>Комитет рекомендует государству-участнику принять закон, с тем чтобы привести свое законодательство в полное соответствие с положен</w:t>
      </w:r>
      <w:r w:rsidRPr="000856F3">
        <w:rPr>
          <w:b/>
        </w:rPr>
        <w:t>и</w:t>
      </w:r>
      <w:r w:rsidRPr="000856F3">
        <w:rPr>
          <w:b/>
        </w:rPr>
        <w:t>ями Конвенции, путем включения всех запрещенных оснований для ди</w:t>
      </w:r>
      <w:r w:rsidRPr="000856F3">
        <w:rPr>
          <w:b/>
        </w:rPr>
        <w:t>с</w:t>
      </w:r>
      <w:r w:rsidRPr="000856F3">
        <w:rPr>
          <w:b/>
        </w:rPr>
        <w:t xml:space="preserve">криминации, указанных в статье 1, и обеспечения того, чтобы запрет на дискриминацию в отношении соблюдения основных прав распространялся в равной степени на граждан и неграждан, принимая во внимание пункт 2 статьи 1, касающийся различий между гражданами и негражданами. </w:t>
      </w:r>
    </w:p>
    <w:p w:rsidR="000856F3" w:rsidRPr="000856F3" w:rsidRDefault="000856F3" w:rsidP="00631E4C">
      <w:pPr>
        <w:pStyle w:val="H23GR"/>
      </w:pPr>
      <w:r w:rsidRPr="000856F3">
        <w:tab/>
      </w:r>
      <w:r w:rsidRPr="000856F3">
        <w:tab/>
        <w:t>Закон о дискриминаци</w:t>
      </w:r>
      <w:r w:rsidR="00EC3187">
        <w:t>и</w:t>
      </w:r>
      <w:r w:rsidRPr="000856F3">
        <w:t xml:space="preserve"> и ненавистнических высказываниях</w:t>
      </w:r>
    </w:p>
    <w:p w:rsidR="000856F3" w:rsidRPr="000856F3" w:rsidRDefault="000856F3" w:rsidP="00631E4C">
      <w:pPr>
        <w:pStyle w:val="SingleTxtGR"/>
        <w:spacing w:line="230" w:lineRule="atLeast"/>
      </w:pPr>
      <w:r w:rsidRPr="000856F3">
        <w:t>11.</w:t>
      </w:r>
      <w:r w:rsidRPr="000856F3">
        <w:tab/>
        <w:t>Комитет отмечает принятие федерального декрета-закона № 2 от 2015 г</w:t>
      </w:r>
      <w:r w:rsidRPr="000856F3">
        <w:t>о</w:t>
      </w:r>
      <w:r w:rsidRPr="000856F3">
        <w:t>да о борьбе с дискриминацией и ненавистью, который предусматривает уголо</w:t>
      </w:r>
      <w:r w:rsidRPr="000856F3">
        <w:t>в</w:t>
      </w:r>
      <w:r w:rsidRPr="000856F3">
        <w:t>ное наказание за богохульство, диффамацию религий, дискриминацию и нен</w:t>
      </w:r>
      <w:r w:rsidRPr="000856F3">
        <w:t>а</w:t>
      </w:r>
      <w:r w:rsidR="00C645C3">
        <w:t>вистнические высказывания</w:t>
      </w:r>
      <w:r w:rsidRPr="000856F3">
        <w:t xml:space="preserve"> наряду с другими преступлениями. Комитет обе</w:t>
      </w:r>
      <w:r w:rsidRPr="000856F3">
        <w:t>с</w:t>
      </w:r>
      <w:r w:rsidRPr="000856F3">
        <w:t>покоен тем, что определение дискриминации в законодательстве не в полной мере соответствует статье 1 Конвенции, поскольку в нем отсутствуют основ</w:t>
      </w:r>
      <w:r w:rsidRPr="000856F3">
        <w:t>а</w:t>
      </w:r>
      <w:r w:rsidRPr="000856F3">
        <w:t>ния родового и национального происхождения. Комитет также выражает озаб</w:t>
      </w:r>
      <w:r w:rsidRPr="000856F3">
        <w:t>о</w:t>
      </w:r>
      <w:r w:rsidRPr="000856F3">
        <w:t>ченность по поводу того, что установленные наказания могут быть несоразме</w:t>
      </w:r>
      <w:r w:rsidRPr="000856F3">
        <w:t>р</w:t>
      </w:r>
      <w:r w:rsidRPr="000856F3">
        <w:t xml:space="preserve">ными совершенным преступлениям (статьи 1 и 4). </w:t>
      </w:r>
    </w:p>
    <w:p w:rsidR="000856F3" w:rsidRPr="000856F3" w:rsidRDefault="000856F3" w:rsidP="00631E4C">
      <w:pPr>
        <w:pStyle w:val="SingleTxtGR"/>
        <w:spacing w:line="230" w:lineRule="atLeast"/>
        <w:rPr>
          <w:b/>
        </w:rPr>
      </w:pPr>
      <w:r w:rsidRPr="000856F3">
        <w:t>12.</w:t>
      </w:r>
      <w:r w:rsidRPr="000856F3">
        <w:tab/>
      </w:r>
      <w:r w:rsidRPr="000856F3">
        <w:rPr>
          <w:b/>
        </w:rPr>
        <w:t>Ссылаясь на свою общую рекомендацию № 35 (2013) о борьбе с нен</w:t>
      </w:r>
      <w:r w:rsidRPr="000856F3">
        <w:rPr>
          <w:b/>
        </w:rPr>
        <w:t>а</w:t>
      </w:r>
      <w:r w:rsidRPr="000856F3">
        <w:rPr>
          <w:b/>
        </w:rPr>
        <w:t>вистническими высказываниями расистского толка, Комитет рекомендует государству-участнику обеспечить, чтобы:</w:t>
      </w:r>
    </w:p>
    <w:p w:rsidR="000856F3" w:rsidRPr="0042038F" w:rsidRDefault="000856F3" w:rsidP="00631E4C">
      <w:pPr>
        <w:pStyle w:val="SingleTxtGR"/>
        <w:spacing w:line="230" w:lineRule="atLeast"/>
        <w:rPr>
          <w:b/>
          <w:bCs/>
        </w:rPr>
      </w:pPr>
      <w:r w:rsidRPr="0042038F">
        <w:rPr>
          <w:b/>
          <w:bCs/>
        </w:rPr>
        <w:tab/>
        <w:t>а)</w:t>
      </w:r>
      <w:r w:rsidRPr="0042038F">
        <w:rPr>
          <w:b/>
          <w:bCs/>
        </w:rPr>
        <w:tab/>
        <w:t>все законы о запрещении расовой дискриминации в полной м</w:t>
      </w:r>
      <w:r w:rsidRPr="0042038F">
        <w:rPr>
          <w:b/>
          <w:bCs/>
        </w:rPr>
        <w:t>е</w:t>
      </w:r>
      <w:r w:rsidRPr="0042038F">
        <w:rPr>
          <w:b/>
          <w:bCs/>
        </w:rPr>
        <w:t>ре соответствовали</w:t>
      </w:r>
      <w:r w:rsidR="00EC3187" w:rsidRPr="0042038F">
        <w:rPr>
          <w:b/>
          <w:bCs/>
        </w:rPr>
        <w:t xml:space="preserve"> </w:t>
      </w:r>
      <w:r w:rsidRPr="0042038F">
        <w:rPr>
          <w:b/>
          <w:bCs/>
        </w:rPr>
        <w:t xml:space="preserve">Конвенции; </w:t>
      </w:r>
    </w:p>
    <w:p w:rsidR="000856F3" w:rsidRPr="0042038F" w:rsidRDefault="000856F3" w:rsidP="00631E4C">
      <w:pPr>
        <w:pStyle w:val="SingleTxtGR"/>
        <w:spacing w:line="230" w:lineRule="atLeast"/>
        <w:rPr>
          <w:b/>
          <w:bCs/>
        </w:rPr>
      </w:pPr>
      <w:r w:rsidRPr="0042038F">
        <w:rPr>
          <w:b/>
          <w:bCs/>
          <w:spacing w:val="2"/>
        </w:rPr>
        <w:tab/>
        <w:t>b)</w:t>
      </w:r>
      <w:r w:rsidRPr="0042038F">
        <w:rPr>
          <w:b/>
          <w:bCs/>
          <w:spacing w:val="2"/>
        </w:rPr>
        <w:tab/>
        <w:t xml:space="preserve">определение дискриминации в федеральном декрете-законе № 2 </w:t>
      </w:r>
      <w:r w:rsidRPr="0042038F">
        <w:rPr>
          <w:b/>
          <w:bCs/>
        </w:rPr>
        <w:t>от 2015 года полностью соответствовало статье 1 Конвенции;</w:t>
      </w:r>
    </w:p>
    <w:p w:rsidR="000856F3" w:rsidRPr="0042038F" w:rsidRDefault="000856F3" w:rsidP="00631E4C">
      <w:pPr>
        <w:pStyle w:val="SingleTxtGR"/>
        <w:spacing w:line="230" w:lineRule="atLeast"/>
        <w:rPr>
          <w:b/>
          <w:bCs/>
        </w:rPr>
      </w:pPr>
      <w:r w:rsidRPr="0042038F">
        <w:rPr>
          <w:b/>
          <w:bCs/>
        </w:rPr>
        <w:tab/>
        <w:t>с)</w:t>
      </w:r>
      <w:r w:rsidRPr="0042038F">
        <w:rPr>
          <w:b/>
          <w:bCs/>
        </w:rPr>
        <w:tab/>
        <w:t>все законы, касающиеся ненавистнических высказываний, с</w:t>
      </w:r>
      <w:r w:rsidRPr="0042038F">
        <w:rPr>
          <w:b/>
          <w:bCs/>
        </w:rPr>
        <w:t>о</w:t>
      </w:r>
      <w:r w:rsidRPr="0042038F">
        <w:rPr>
          <w:b/>
          <w:bCs/>
        </w:rPr>
        <w:t>ответствовали положениям статьи 4 Конвенции, которая требует от гос</w:t>
      </w:r>
      <w:r w:rsidRPr="0042038F">
        <w:rPr>
          <w:b/>
          <w:bCs/>
        </w:rPr>
        <w:t>у</w:t>
      </w:r>
      <w:r w:rsidRPr="0042038F">
        <w:rPr>
          <w:b/>
          <w:bCs/>
        </w:rPr>
        <w:t>дарств-участников запрещения идей, основанных на расовом превосхо</w:t>
      </w:r>
      <w:r w:rsidRPr="0042038F">
        <w:rPr>
          <w:b/>
          <w:bCs/>
        </w:rPr>
        <w:t>д</w:t>
      </w:r>
      <w:r w:rsidRPr="0042038F">
        <w:rPr>
          <w:b/>
          <w:bCs/>
        </w:rPr>
        <w:t>стве и ненависти, подстрекательства к расовой ненависти, актов насилия, направленных против любой расы или групп лиц другого цвета кожи или этнического происхождения, а также подстрекательства к таким актам;</w:t>
      </w:r>
    </w:p>
    <w:p w:rsidR="000856F3" w:rsidRPr="0042038F" w:rsidRDefault="000856F3" w:rsidP="00631E4C">
      <w:pPr>
        <w:pStyle w:val="SingleTxtGR"/>
        <w:spacing w:line="230" w:lineRule="atLeast"/>
        <w:rPr>
          <w:b/>
          <w:bCs/>
        </w:rPr>
      </w:pPr>
      <w:r w:rsidRPr="0042038F">
        <w:rPr>
          <w:b/>
          <w:bCs/>
        </w:rPr>
        <w:tab/>
        <w:t>d)</w:t>
      </w:r>
      <w:r w:rsidRPr="0042038F">
        <w:rPr>
          <w:b/>
          <w:bCs/>
        </w:rPr>
        <w:tab/>
        <w:t>уголовные наказания применялись в соответствии с принц</w:t>
      </w:r>
      <w:r w:rsidRPr="0042038F">
        <w:rPr>
          <w:b/>
          <w:bCs/>
        </w:rPr>
        <w:t>и</w:t>
      </w:r>
      <w:r w:rsidRPr="0042038F">
        <w:rPr>
          <w:b/>
          <w:bCs/>
        </w:rPr>
        <w:t>пами законности, соразмерности и необходимости.</w:t>
      </w:r>
    </w:p>
    <w:p w:rsidR="000856F3" w:rsidRPr="000856F3" w:rsidRDefault="000856F3" w:rsidP="00631E4C">
      <w:pPr>
        <w:pStyle w:val="H23GR"/>
      </w:pPr>
      <w:r w:rsidRPr="000856F3">
        <w:tab/>
      </w:r>
      <w:r w:rsidRPr="000856F3">
        <w:tab/>
        <w:t>Жалобы в отношении случаев расовой</w:t>
      </w:r>
      <w:r w:rsidR="00C645C3">
        <w:t xml:space="preserve"> дискриминации</w:t>
      </w:r>
      <w:r w:rsidRPr="000856F3">
        <w:t xml:space="preserve"> </w:t>
      </w:r>
    </w:p>
    <w:p w:rsidR="000856F3" w:rsidRPr="000856F3" w:rsidRDefault="000856F3" w:rsidP="00631E4C">
      <w:pPr>
        <w:pStyle w:val="SingleTxtGR"/>
        <w:spacing w:line="230" w:lineRule="atLeast"/>
      </w:pPr>
      <w:r w:rsidRPr="000856F3">
        <w:t>13.</w:t>
      </w:r>
      <w:r w:rsidRPr="000856F3">
        <w:tab/>
        <w:t>Комитет с удовлетворением принимает к сведению представленные гос</w:t>
      </w:r>
      <w:r w:rsidRPr="000856F3">
        <w:t>у</w:t>
      </w:r>
      <w:r w:rsidRPr="000856F3">
        <w:t>дарством-участником в ходе диалога данные о количестве дел, возбужденных в период с 2015 по 2017 год в соответствии с федеральным декретом-законом № 2 от 2015 года о борьбе с дискриминацией и ненавистью. Комитет выражает с</w:t>
      </w:r>
      <w:r w:rsidRPr="000856F3">
        <w:t>о</w:t>
      </w:r>
      <w:r w:rsidRPr="000856F3">
        <w:t>жаление по поводу отсутствия подробной информации о характере и результ</w:t>
      </w:r>
      <w:r w:rsidRPr="000856F3">
        <w:t>а</w:t>
      </w:r>
      <w:r w:rsidRPr="000856F3">
        <w:t>тах рассмотрения жалоб, включая данные о количестве расследований, суде</w:t>
      </w:r>
      <w:r w:rsidRPr="000856F3">
        <w:t>б</w:t>
      </w:r>
      <w:r w:rsidRPr="000856F3">
        <w:t>ных дел и обвинительных приговоров в связи с жалобами и национальным или этническим происхождением жертв. Отмечая, что этот закон был принят лишь недавно, Комитет выражает озабоченность в связи</w:t>
      </w:r>
      <w:r w:rsidR="00C645C3">
        <w:t xml:space="preserve"> с низким числом поданных исков</w:t>
      </w:r>
      <w:r w:rsidRPr="000856F3">
        <w:t xml:space="preserve"> и напоминает государству-участнику, что незначительное количество дел не указывает на отсутствие расовой дискриминации в государстве-участнике, а может свидетельствовать о наличии барьеров в использовании предусмотре</w:t>
      </w:r>
      <w:r w:rsidRPr="000856F3">
        <w:t>н</w:t>
      </w:r>
      <w:r w:rsidRPr="000856F3">
        <w:t xml:space="preserve">ных в Конвенции </w:t>
      </w:r>
      <w:r w:rsidR="00631E4C">
        <w:t>прав на национальном уровне (статьи</w:t>
      </w:r>
      <w:r w:rsidRPr="000856F3">
        <w:t xml:space="preserve"> 6</w:t>
      </w:r>
      <w:r w:rsidR="00631E4C">
        <w:t>–</w:t>
      </w:r>
      <w:r w:rsidRPr="000856F3">
        <w:t xml:space="preserve">7).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lastRenderedPageBreak/>
        <w:t>14.</w:t>
      </w:r>
      <w:r w:rsidRPr="000856F3">
        <w:tab/>
        <w:t>К</w:t>
      </w:r>
      <w:r w:rsidRPr="000856F3">
        <w:rPr>
          <w:b/>
        </w:rPr>
        <w:t>омитет рекомендует государству-участнику:</w:t>
      </w:r>
      <w:r w:rsidRPr="000856F3">
        <w:t xml:space="preserve"> 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</w:r>
      <w:proofErr w:type="gramStart"/>
      <w:r w:rsidRPr="00C645C3">
        <w:rPr>
          <w:b/>
          <w:bCs/>
        </w:rPr>
        <w:t>а)</w:t>
      </w:r>
      <w:r w:rsidRPr="00C645C3">
        <w:rPr>
          <w:b/>
          <w:bCs/>
        </w:rPr>
        <w:tab/>
        <w:t>представить ему в следующем периодическом докладе подро</w:t>
      </w:r>
      <w:r w:rsidRPr="00C645C3">
        <w:rPr>
          <w:b/>
          <w:bCs/>
        </w:rPr>
        <w:t>б</w:t>
      </w:r>
      <w:r w:rsidRPr="00C645C3">
        <w:rPr>
          <w:b/>
          <w:bCs/>
        </w:rPr>
        <w:t>ную информацию о ходе и результатах применения федерального декрета-закона № 2 от 2015 года о борьбе с дискриминацией и ненавистью, в том числе статистические данные о количестве и видах жалоб на расовую ди</w:t>
      </w:r>
      <w:r w:rsidRPr="00C645C3">
        <w:rPr>
          <w:b/>
          <w:bCs/>
        </w:rPr>
        <w:t>с</w:t>
      </w:r>
      <w:r w:rsidRPr="00C645C3">
        <w:rPr>
          <w:b/>
          <w:bCs/>
        </w:rPr>
        <w:t>криминацию и ненавистнические высказывания и уголовном преследов</w:t>
      </w:r>
      <w:r w:rsidRPr="00C645C3">
        <w:rPr>
          <w:b/>
          <w:bCs/>
        </w:rPr>
        <w:t>а</w:t>
      </w:r>
      <w:r w:rsidRPr="00C645C3">
        <w:rPr>
          <w:b/>
          <w:bCs/>
        </w:rPr>
        <w:t>нии и осуждении виновных лиц в разбивке по возрасту, полу и этническому происхождению потерпевших, а также</w:t>
      </w:r>
      <w:proofErr w:type="gramEnd"/>
      <w:r w:rsidRPr="00C645C3">
        <w:rPr>
          <w:b/>
          <w:bCs/>
        </w:rPr>
        <w:t xml:space="preserve"> информацию о предоставлении им компенсации; 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b)</w:t>
      </w:r>
      <w:r w:rsidRPr="00C645C3">
        <w:rPr>
          <w:b/>
          <w:bCs/>
        </w:rPr>
        <w:tab/>
        <w:t>проводить кампании по просвещению общественности, в час</w:t>
      </w:r>
      <w:r w:rsidRPr="00C645C3">
        <w:rPr>
          <w:b/>
          <w:bCs/>
        </w:rPr>
        <w:t>т</w:t>
      </w:r>
      <w:r w:rsidRPr="00C645C3">
        <w:rPr>
          <w:b/>
          <w:bCs/>
        </w:rPr>
        <w:t>ности о правах, предусмотренных в Конвенции, и внутреннем законод</w:t>
      </w:r>
      <w:r w:rsidRPr="00C645C3">
        <w:rPr>
          <w:b/>
          <w:bCs/>
        </w:rPr>
        <w:t>а</w:t>
      </w:r>
      <w:r w:rsidRPr="00C645C3">
        <w:rPr>
          <w:b/>
          <w:bCs/>
        </w:rPr>
        <w:t>тельстве, позволяющем ссылаться на эти права, а также о процедурах п</w:t>
      </w:r>
      <w:r w:rsidRPr="00C645C3">
        <w:rPr>
          <w:b/>
          <w:bCs/>
        </w:rPr>
        <w:t>о</w:t>
      </w:r>
      <w:r w:rsidRPr="00C645C3">
        <w:rPr>
          <w:b/>
          <w:bCs/>
        </w:rPr>
        <w:t>дачи жалоб на расовую дискриминацию и преступления на почве ненав</w:t>
      </w:r>
      <w:r w:rsidRPr="00C645C3">
        <w:rPr>
          <w:b/>
          <w:bCs/>
        </w:rPr>
        <w:t>и</w:t>
      </w:r>
      <w:r w:rsidRPr="00C645C3">
        <w:rPr>
          <w:b/>
          <w:bCs/>
        </w:rPr>
        <w:t>сти;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с)</w:t>
      </w:r>
      <w:r w:rsidRPr="00C645C3">
        <w:rPr>
          <w:b/>
          <w:bCs/>
        </w:rPr>
        <w:tab/>
        <w:t>обеспечить, чтобы процедуры обращения в суд, в том числе п</w:t>
      </w:r>
      <w:r w:rsidRPr="00C645C3">
        <w:rPr>
          <w:b/>
          <w:bCs/>
        </w:rPr>
        <w:t>о</w:t>
      </w:r>
      <w:r w:rsidRPr="00C645C3">
        <w:rPr>
          <w:b/>
          <w:bCs/>
        </w:rPr>
        <w:t xml:space="preserve">дачи жалоб, были открытыми и доступными для всех потерпевших; 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d)</w:t>
      </w:r>
      <w:r w:rsidRPr="00C645C3">
        <w:rPr>
          <w:b/>
          <w:bCs/>
        </w:rPr>
        <w:tab/>
        <w:t xml:space="preserve">представить в следующем периодическом докладе информацию о подготовке сотрудников сил безопасности, прокуроров, судей, трудовых инспекторов и других государственных служащих по вопросам выявления и регистрации случаев проявления расизма. 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 xml:space="preserve">Доступ к правосудию </w:t>
      </w:r>
    </w:p>
    <w:p w:rsidR="000856F3" w:rsidRPr="000856F3" w:rsidRDefault="000856F3" w:rsidP="000856F3">
      <w:pPr>
        <w:pStyle w:val="SingleTxtGR"/>
      </w:pPr>
      <w:r w:rsidRPr="000856F3">
        <w:t>15.</w:t>
      </w:r>
      <w:r w:rsidRPr="000856F3">
        <w:tab/>
        <w:t>Комитет с интересом отмечает представленную государством-участником информацию о создании механизмов подачи и рассмотрения трудовых жалоб, включая электронные механизмы для работников, а также о мерах по информ</w:t>
      </w:r>
      <w:r w:rsidRPr="000856F3">
        <w:t>и</w:t>
      </w:r>
      <w:r w:rsidR="0079646A">
        <w:t xml:space="preserve">рованию мигрантов об их </w:t>
      </w:r>
      <w:r w:rsidRPr="000856F3">
        <w:t>правах в соответствии с трудовым законодател</w:t>
      </w:r>
      <w:r w:rsidRPr="000856F3">
        <w:t>ь</w:t>
      </w:r>
      <w:r w:rsidRPr="000856F3">
        <w:t>ством, однако вместе с тем выражает сожаление по поводу отсутствия подробной и</w:t>
      </w:r>
      <w:r w:rsidRPr="000856F3">
        <w:t>н</w:t>
      </w:r>
      <w:r w:rsidRPr="000856F3">
        <w:t>формации о количестве жалоб, поданных иностранными работниками с испол</w:t>
      </w:r>
      <w:r w:rsidRPr="000856F3">
        <w:t>ь</w:t>
      </w:r>
      <w:r w:rsidRPr="000856F3">
        <w:t>зованием указанных механизмов, и исков в национальных судах в отношении нарушений трудовых норм и о результатах их рассмотрения. Кроме того, Ком</w:t>
      </w:r>
      <w:r w:rsidRPr="000856F3">
        <w:t>и</w:t>
      </w:r>
      <w:r w:rsidRPr="000856F3">
        <w:t>тет выражает обеспокоенность в связи с тем, что иностранные трудящиеся м</w:t>
      </w:r>
      <w:r w:rsidRPr="000856F3">
        <w:t>о</w:t>
      </w:r>
      <w:r w:rsidRPr="000856F3">
        <w:t>гут сталкиваться с препятствиями в досту</w:t>
      </w:r>
      <w:r w:rsidR="00C645C3">
        <w:t>пе к правосудию, такими</w:t>
      </w:r>
      <w:r w:rsidRPr="000856F3">
        <w:t xml:space="preserve"> как отсу</w:t>
      </w:r>
      <w:r w:rsidRPr="000856F3">
        <w:t>т</w:t>
      </w:r>
      <w:r w:rsidRPr="000856F3">
        <w:t>ствие возможностей для подачи жалоб из-за бо</w:t>
      </w:r>
      <w:r w:rsidR="0079646A">
        <w:t>язни негативных последствий (статьи 5–</w:t>
      </w:r>
      <w:r w:rsidRPr="000856F3">
        <w:t>6).</w:t>
      </w:r>
    </w:p>
    <w:p w:rsidR="000856F3" w:rsidRPr="0079646A" w:rsidRDefault="000856F3" w:rsidP="000856F3">
      <w:pPr>
        <w:pStyle w:val="SingleTxtGR"/>
        <w:rPr>
          <w:b/>
          <w:bCs/>
        </w:rPr>
      </w:pPr>
      <w:r w:rsidRPr="000856F3">
        <w:t>16.</w:t>
      </w:r>
      <w:r w:rsidRPr="000856F3">
        <w:tab/>
      </w:r>
      <w:r w:rsidRPr="0079646A">
        <w:rPr>
          <w:b/>
          <w:bCs/>
        </w:rPr>
        <w:t>В свете своей общей рекомендации № 31 (2005) о предупреждении р</w:t>
      </w:r>
      <w:r w:rsidRPr="0079646A">
        <w:rPr>
          <w:b/>
          <w:bCs/>
        </w:rPr>
        <w:t>а</w:t>
      </w:r>
      <w:r w:rsidRPr="0079646A">
        <w:rPr>
          <w:b/>
          <w:bCs/>
        </w:rPr>
        <w:t>совой дискриминации в процессе отправления и функционирования с</w:t>
      </w:r>
      <w:r w:rsidRPr="0079646A">
        <w:rPr>
          <w:b/>
          <w:bCs/>
        </w:rPr>
        <w:t>и</w:t>
      </w:r>
      <w:r w:rsidRPr="0079646A">
        <w:rPr>
          <w:b/>
          <w:bCs/>
        </w:rPr>
        <w:t>стемы уг</w:t>
      </w:r>
      <w:r w:rsidRPr="0079646A">
        <w:rPr>
          <w:b/>
          <w:bCs/>
        </w:rPr>
        <w:t>о</w:t>
      </w:r>
      <w:r w:rsidRPr="0079646A">
        <w:rPr>
          <w:b/>
          <w:bCs/>
        </w:rPr>
        <w:t xml:space="preserve">ловного правосудия Комитет рекомендует государству-участнику: 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а)</w:t>
      </w:r>
      <w:r w:rsidRPr="00C645C3">
        <w:rPr>
          <w:b/>
          <w:bCs/>
        </w:rPr>
        <w:tab/>
        <w:t>принять меры для недопущения препятствий для доступа к правосудию иностранных работников в государстве-участнике;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b)</w:t>
      </w:r>
      <w:r w:rsidRPr="00C645C3">
        <w:rPr>
          <w:b/>
          <w:bCs/>
        </w:rPr>
        <w:tab/>
        <w:t>обеспечить, чтобы иностранные работники могли подавать ж</w:t>
      </w:r>
      <w:r w:rsidRPr="00C645C3">
        <w:rPr>
          <w:b/>
          <w:bCs/>
        </w:rPr>
        <w:t>а</w:t>
      </w:r>
      <w:r w:rsidRPr="00C645C3">
        <w:rPr>
          <w:b/>
          <w:bCs/>
        </w:rPr>
        <w:t>лобы о нарушении трудового законодательства с использованием незав</w:t>
      </w:r>
      <w:r w:rsidRPr="00C645C3">
        <w:rPr>
          <w:b/>
          <w:bCs/>
        </w:rPr>
        <w:t>и</w:t>
      </w:r>
      <w:r w:rsidRPr="00C645C3">
        <w:rPr>
          <w:b/>
          <w:bCs/>
        </w:rPr>
        <w:t>симых и эффективных механизмов;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с)</w:t>
      </w:r>
      <w:r w:rsidRPr="00C645C3">
        <w:rPr>
          <w:b/>
          <w:bCs/>
        </w:rPr>
        <w:tab/>
        <w:t>рассмотреть вопрос о создании поста омбудсмена по трудовым вопросам для эффективного мониторинга и урегулирования трудовых сп</w:t>
      </w:r>
      <w:r w:rsidRPr="00C645C3">
        <w:rPr>
          <w:b/>
          <w:bCs/>
        </w:rPr>
        <w:t>о</w:t>
      </w:r>
      <w:r w:rsidRPr="00C645C3">
        <w:rPr>
          <w:b/>
          <w:bCs/>
        </w:rPr>
        <w:t>ров;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d)</w:t>
      </w:r>
      <w:r w:rsidRPr="00C645C3">
        <w:rPr>
          <w:b/>
          <w:bCs/>
        </w:rPr>
        <w:tab/>
        <w:t>представить в своем следующем периодическом докладе п</w:t>
      </w:r>
      <w:r w:rsidRPr="00C645C3">
        <w:rPr>
          <w:b/>
          <w:bCs/>
        </w:rPr>
        <w:t>о</w:t>
      </w:r>
      <w:r w:rsidRPr="00C645C3">
        <w:rPr>
          <w:b/>
          <w:bCs/>
        </w:rPr>
        <w:t>дробную информацию о количестве жалоб, поданных иностранными р</w:t>
      </w:r>
      <w:r w:rsidRPr="00C645C3">
        <w:rPr>
          <w:b/>
          <w:bCs/>
        </w:rPr>
        <w:t>а</w:t>
      </w:r>
      <w:r w:rsidRPr="00C645C3">
        <w:rPr>
          <w:b/>
          <w:bCs/>
        </w:rPr>
        <w:t>ботниками, и количестве проверок, расследований, судебных дел и обвин</w:t>
      </w:r>
      <w:r w:rsidRPr="00C645C3">
        <w:rPr>
          <w:b/>
          <w:bCs/>
        </w:rPr>
        <w:t>и</w:t>
      </w:r>
      <w:r w:rsidRPr="00C645C3">
        <w:rPr>
          <w:b/>
          <w:bCs/>
        </w:rPr>
        <w:t>тельных приговоров в связи с такими жалобами, а также о предоставле</w:t>
      </w:r>
      <w:r w:rsidRPr="00C645C3">
        <w:rPr>
          <w:b/>
          <w:bCs/>
        </w:rPr>
        <w:t>н</w:t>
      </w:r>
      <w:r w:rsidRPr="00C645C3">
        <w:rPr>
          <w:b/>
          <w:bCs/>
        </w:rPr>
        <w:t>ной потерпевшим компенсации.</w:t>
      </w:r>
    </w:p>
    <w:p w:rsidR="000856F3" w:rsidRPr="000856F3" w:rsidRDefault="000856F3" w:rsidP="0079646A">
      <w:pPr>
        <w:pStyle w:val="H23GR"/>
        <w:pageBreakBefore/>
      </w:pPr>
      <w:r w:rsidRPr="000856F3">
        <w:lastRenderedPageBreak/>
        <w:tab/>
      </w:r>
      <w:r w:rsidRPr="000856F3">
        <w:tab/>
        <w:t>Дискриминация в сфере занятости</w:t>
      </w:r>
    </w:p>
    <w:p w:rsidR="000856F3" w:rsidRPr="000856F3" w:rsidRDefault="000856F3" w:rsidP="000856F3">
      <w:pPr>
        <w:pStyle w:val="SingleTxtGR"/>
      </w:pPr>
      <w:r w:rsidRPr="000856F3">
        <w:t>17.</w:t>
      </w:r>
      <w:r w:rsidRPr="000856F3">
        <w:tab/>
        <w:t>Отмечая, что федеральный декрет-закон № 2 от 2015 года о борьбе с ди</w:t>
      </w:r>
      <w:r w:rsidRPr="000856F3">
        <w:t>с</w:t>
      </w:r>
      <w:r w:rsidRPr="000856F3">
        <w:t>криминацией и ненавистью содержит ряд статей, устанавливающих наказание за дискриминацию в сфере занятости, Комитет выражает озабоченность по п</w:t>
      </w:r>
      <w:r w:rsidRPr="000856F3">
        <w:t>о</w:t>
      </w:r>
      <w:r w:rsidRPr="000856F3">
        <w:t>воду отсутствия информации о ходе и результатах применения этих положений по предупреждению расовой дискриминации в сфере труда. Комитет обеспок</w:t>
      </w:r>
      <w:r w:rsidRPr="000856F3">
        <w:t>о</w:t>
      </w:r>
      <w:r w:rsidRPr="000856F3">
        <w:t>ен также сообщениями о дифференциации заработной платы иностранных р</w:t>
      </w:r>
      <w:r w:rsidRPr="000856F3">
        <w:t>а</w:t>
      </w:r>
      <w:r w:rsidRPr="000856F3">
        <w:t>ботников из различных географических регионо</w:t>
      </w:r>
      <w:r w:rsidR="0079646A">
        <w:t>в (статья</w:t>
      </w:r>
      <w:r w:rsidRPr="000856F3">
        <w:t xml:space="preserve"> 5).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18.</w:t>
      </w:r>
      <w:r w:rsidRPr="000856F3">
        <w:tab/>
      </w:r>
      <w:r w:rsidRPr="000856F3">
        <w:rPr>
          <w:b/>
        </w:rPr>
        <w:t>Комитет просит государство-участник представить в своем следу</w:t>
      </w:r>
      <w:r w:rsidRPr="000856F3">
        <w:rPr>
          <w:b/>
        </w:rPr>
        <w:t>ю</w:t>
      </w:r>
      <w:r w:rsidRPr="000856F3">
        <w:rPr>
          <w:b/>
        </w:rPr>
        <w:t>щем периодическом докладе подробную информацию о результативности и осуществлении законодательства о предотвращении дискриминации в сфере трудоустройства и на рабочем месте. Комитет рекомендует госуда</w:t>
      </w:r>
      <w:r w:rsidRPr="000856F3">
        <w:rPr>
          <w:b/>
        </w:rPr>
        <w:t>р</w:t>
      </w:r>
      <w:r w:rsidRPr="000856F3">
        <w:rPr>
          <w:b/>
        </w:rPr>
        <w:t>ству-участнику эффективно осуществлять действующее законодательство с целью ликвидации дискриминационных различий в размере оплаты тр</w:t>
      </w:r>
      <w:r w:rsidRPr="000856F3">
        <w:rPr>
          <w:b/>
        </w:rPr>
        <w:t>у</w:t>
      </w:r>
      <w:r w:rsidRPr="000856F3">
        <w:rPr>
          <w:b/>
        </w:rPr>
        <w:t>да, которые могут быть основаны на этническом и национальном прои</w:t>
      </w:r>
      <w:r w:rsidRPr="000856F3">
        <w:rPr>
          <w:b/>
        </w:rPr>
        <w:t>с</w:t>
      </w:r>
      <w:r w:rsidRPr="000856F3">
        <w:rPr>
          <w:b/>
        </w:rPr>
        <w:t>хождении, в соответствии со статьей 5 Конвенции.</w:t>
      </w:r>
      <w:r w:rsidRPr="000856F3">
        <w:t xml:space="preserve"> 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>Система спонсирования</w:t>
      </w:r>
    </w:p>
    <w:p w:rsidR="000856F3" w:rsidRPr="00C645C3" w:rsidRDefault="000856F3" w:rsidP="000856F3">
      <w:pPr>
        <w:pStyle w:val="SingleTxtGR"/>
        <w:rPr>
          <w:spacing w:val="2"/>
        </w:rPr>
      </w:pPr>
      <w:r w:rsidRPr="000856F3">
        <w:t>19.</w:t>
      </w:r>
      <w:r w:rsidRPr="000856F3">
        <w:tab/>
        <w:t>Комитет приветствует недавнее принятие Министерством труда: a) реш</w:t>
      </w:r>
      <w:r w:rsidRPr="000856F3">
        <w:t>е</w:t>
      </w:r>
      <w:r w:rsidRPr="000856F3">
        <w:t>ния 766/2015, отменяющего постановлени</w:t>
      </w:r>
      <w:r w:rsidR="00C645C3">
        <w:t>е № 1186/2010; b) постановл</w:t>
      </w:r>
      <w:r w:rsidR="00C645C3">
        <w:t>е</w:t>
      </w:r>
      <w:r w:rsidR="00C645C3">
        <w:t>ние </w:t>
      </w:r>
      <w:r w:rsidRPr="000856F3">
        <w:t>1094/2016, вносящее изменения и дополнения в решение № 766/2015, в ц</w:t>
      </w:r>
      <w:r w:rsidRPr="000856F3">
        <w:t>е</w:t>
      </w:r>
      <w:r w:rsidRPr="000856F3">
        <w:t>лях предоставле</w:t>
      </w:r>
      <w:r w:rsidR="00C645C3">
        <w:t>ния работникам нового разрешения</w:t>
      </w:r>
      <w:r w:rsidRPr="000856F3">
        <w:t xml:space="preserve"> на работу для перехода на другое место работы. Вместе с тем он обеспокоен сохранением проблем, св</w:t>
      </w:r>
      <w:r w:rsidRPr="000856F3">
        <w:t>я</w:t>
      </w:r>
      <w:r w:rsidRPr="000856F3">
        <w:t>занных с защитой иностранных работников в системе спонсирования труд</w:t>
      </w:r>
      <w:r w:rsidRPr="000856F3">
        <w:t>о</w:t>
      </w:r>
      <w:r w:rsidRPr="000856F3">
        <w:t xml:space="preserve">устройства. </w:t>
      </w:r>
      <w:r w:rsidRPr="00C645C3">
        <w:rPr>
          <w:spacing w:val="2"/>
        </w:rPr>
        <w:t>Комитет также выражает сожаление по поводу отсутствия информ</w:t>
      </w:r>
      <w:r w:rsidRPr="00C645C3">
        <w:rPr>
          <w:spacing w:val="2"/>
        </w:rPr>
        <w:t>а</w:t>
      </w:r>
      <w:r w:rsidRPr="00C645C3">
        <w:rPr>
          <w:spacing w:val="2"/>
        </w:rPr>
        <w:t>ции об эффективном осуществлен</w:t>
      </w:r>
      <w:r w:rsidR="0079646A" w:rsidRPr="00C645C3">
        <w:rPr>
          <w:spacing w:val="2"/>
        </w:rPr>
        <w:t>ии и воздействии мер защиты (статьи</w:t>
      </w:r>
      <w:r w:rsidRPr="00C645C3">
        <w:rPr>
          <w:spacing w:val="2"/>
        </w:rPr>
        <w:t xml:space="preserve"> 5 и 6).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20.</w:t>
      </w:r>
      <w:r w:rsidRPr="000856F3">
        <w:tab/>
      </w:r>
      <w:r w:rsidRPr="000856F3">
        <w:rPr>
          <w:b/>
        </w:rPr>
        <w:t>Комитет рекомендует государству-участнику отказаться от системы спонсирования в трудовых отношениях и регулировать вопросы выдачи вида на жительство чере</w:t>
      </w:r>
      <w:r w:rsidR="0079646A">
        <w:rPr>
          <w:b/>
        </w:rPr>
        <w:t xml:space="preserve">з его </w:t>
      </w:r>
      <w:r w:rsidRPr="000856F3">
        <w:rPr>
          <w:b/>
        </w:rPr>
        <w:t>министерства. Комитет далее рекомендует принять меры в целях полной реализации стратегий и мер по защите ин</w:t>
      </w:r>
      <w:r w:rsidRPr="000856F3">
        <w:rPr>
          <w:b/>
        </w:rPr>
        <w:t>о</w:t>
      </w:r>
      <w:r w:rsidRPr="000856F3">
        <w:rPr>
          <w:b/>
        </w:rPr>
        <w:t>странных трудящихся, в настоящее время зависящих от системы спонсо</w:t>
      </w:r>
      <w:r w:rsidRPr="000856F3">
        <w:rPr>
          <w:b/>
        </w:rPr>
        <w:t>р</w:t>
      </w:r>
      <w:r w:rsidRPr="000856F3">
        <w:rPr>
          <w:b/>
        </w:rPr>
        <w:t>ства, и обеспечить, чтобы любой работник, подвергающийся сексуальному насилию и эксплуатации в рамках этой системы, имел беспрепятственный доступ к надлежащим средствам правовой защиты. Комитет рекомендует государству-участнику включить в свой следующий периодический доклад подробную информацию о состоянии системы спонсорства и ходе и резул</w:t>
      </w:r>
      <w:r w:rsidRPr="000856F3">
        <w:rPr>
          <w:b/>
        </w:rPr>
        <w:t>ь</w:t>
      </w:r>
      <w:r w:rsidRPr="000856F3">
        <w:rPr>
          <w:b/>
        </w:rPr>
        <w:t xml:space="preserve">татах применения мер по защите иностранных работников. 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>Положение трудящихся-мигрантов</w:t>
      </w:r>
    </w:p>
    <w:p w:rsidR="000856F3" w:rsidRPr="000856F3" w:rsidRDefault="000856F3" w:rsidP="000856F3">
      <w:pPr>
        <w:pStyle w:val="SingleTxtGR"/>
      </w:pPr>
      <w:r w:rsidRPr="000856F3">
        <w:t>21.</w:t>
      </w:r>
      <w:r w:rsidRPr="000856F3">
        <w:tab/>
        <w:t>Комитет с удовлетворением отмечает меры, принятые государством-участником для улучшения положения иностранных работников в государстве-участнике,</w:t>
      </w:r>
      <w:r w:rsidR="00C645C3">
        <w:t xml:space="preserve"> включая</w:t>
      </w:r>
      <w:r w:rsidRPr="000856F3">
        <w:t xml:space="preserve"> меры по повышению транспарентности трудоустройства, предотвращению подмены трудовых договоров, незаконного изъятия паспо</w:t>
      </w:r>
      <w:r w:rsidRPr="000856F3">
        <w:t>р</w:t>
      </w:r>
      <w:r w:rsidRPr="000856F3">
        <w:t>тов, созданию системы защиты заработной платы, проведению инспекций в ц</w:t>
      </w:r>
      <w:r w:rsidRPr="000856F3">
        <w:t>е</w:t>
      </w:r>
      <w:r w:rsidRPr="000856F3">
        <w:t>лях регулирования рабочего времени и информирования мигрантов об их з</w:t>
      </w:r>
      <w:r w:rsidRPr="000856F3">
        <w:t>а</w:t>
      </w:r>
      <w:r w:rsidRPr="000856F3">
        <w:t>конных правах и пр</w:t>
      </w:r>
      <w:r w:rsidR="00C645C3">
        <w:t>очие</w:t>
      </w:r>
      <w:r w:rsidRPr="000856F3">
        <w:t>. Вместе с тем Комитет выражает обеспокоенность по поводу того, что без регулярного мониторинга и применения защитных страт</w:t>
      </w:r>
      <w:r w:rsidRPr="000856F3">
        <w:t>е</w:t>
      </w:r>
      <w:r w:rsidRPr="000856F3">
        <w:t>гий и мер такие противоправные действия, как изъяти</w:t>
      </w:r>
      <w:bookmarkStart w:id="0" w:name="_GoBack"/>
      <w:bookmarkEnd w:id="0"/>
      <w:r w:rsidRPr="000856F3">
        <w:t>е паспортов, заключение в тюрьму по необоснованным обвинениям, неудовлетворительные условия р</w:t>
      </w:r>
      <w:r w:rsidRPr="000856F3">
        <w:t>а</w:t>
      </w:r>
      <w:r w:rsidRPr="000856F3">
        <w:t>боты, ненормированный рабочий день, невыплата заработной платы, неоплата сверхурочной работы, незаконные вычеты из заработной платы, недостаточное время для отдыха или перерывов в работе, а также проживание в стесненных условиях, будут по-прежнему ущемлять права иностранных работников. Ин</w:t>
      </w:r>
      <w:r w:rsidRPr="000856F3">
        <w:t>о</w:t>
      </w:r>
      <w:r w:rsidRPr="000856F3">
        <w:t>странные работники в государстве-участнике, как представляется, не имеют п</w:t>
      </w:r>
      <w:r w:rsidR="0079646A">
        <w:t>рава на воссоединение семьи (статья</w:t>
      </w:r>
      <w:r w:rsidRPr="000856F3">
        <w:t xml:space="preserve"> 5). </w:t>
      </w:r>
    </w:p>
    <w:p w:rsidR="000856F3" w:rsidRPr="000856F3" w:rsidRDefault="000856F3" w:rsidP="0079646A">
      <w:pPr>
        <w:pStyle w:val="SingleTxtGR"/>
        <w:pageBreakBefore/>
        <w:rPr>
          <w:b/>
        </w:rPr>
      </w:pPr>
      <w:r w:rsidRPr="000856F3">
        <w:lastRenderedPageBreak/>
        <w:t>22.</w:t>
      </w:r>
      <w:r w:rsidRPr="000856F3">
        <w:tab/>
      </w:r>
      <w:r w:rsidRPr="000856F3">
        <w:rPr>
          <w:b/>
        </w:rPr>
        <w:t>Комитет рекомендует государству-участнику: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а)</w:t>
      </w:r>
      <w:r w:rsidRPr="00C645C3">
        <w:rPr>
          <w:b/>
          <w:bCs/>
        </w:rPr>
        <w:tab/>
        <w:t>продолжать свои усилия по принятию законов о защите ин</w:t>
      </w:r>
      <w:r w:rsidRPr="00C645C3">
        <w:rPr>
          <w:b/>
          <w:bCs/>
        </w:rPr>
        <w:t>о</w:t>
      </w:r>
      <w:r w:rsidRPr="00C645C3">
        <w:rPr>
          <w:b/>
          <w:bCs/>
        </w:rPr>
        <w:t>странных работников от трудовой эксплуатации;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b)</w:t>
      </w:r>
      <w:r w:rsidRPr="00C645C3">
        <w:rPr>
          <w:b/>
          <w:bCs/>
        </w:rPr>
        <w:tab/>
        <w:t>обеспечить эффективное проведение инспекций квалифицир</w:t>
      </w:r>
      <w:r w:rsidRPr="00C645C3">
        <w:rPr>
          <w:b/>
          <w:bCs/>
        </w:rPr>
        <w:t>о</w:t>
      </w:r>
      <w:r w:rsidRPr="00C645C3">
        <w:rPr>
          <w:b/>
          <w:bCs/>
        </w:rPr>
        <w:t>ванными должностными лицами в целях выявления и искоренения зл</w:t>
      </w:r>
      <w:r w:rsidRPr="00C645C3">
        <w:rPr>
          <w:b/>
          <w:bCs/>
        </w:rPr>
        <w:t>о</w:t>
      </w:r>
      <w:r w:rsidRPr="00C645C3">
        <w:rPr>
          <w:b/>
          <w:bCs/>
        </w:rPr>
        <w:t xml:space="preserve">употреблений; 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с)</w:t>
      </w:r>
      <w:r w:rsidRPr="00C645C3">
        <w:rPr>
          <w:b/>
          <w:bCs/>
        </w:rPr>
        <w:tab/>
        <w:t>представить в своем следующем периодическом докладе п</w:t>
      </w:r>
      <w:r w:rsidRPr="00C645C3">
        <w:rPr>
          <w:b/>
          <w:bCs/>
        </w:rPr>
        <w:t>о</w:t>
      </w:r>
      <w:r w:rsidRPr="00C645C3">
        <w:rPr>
          <w:b/>
          <w:bCs/>
        </w:rPr>
        <w:t>дробную информацию о воздействии политики и мер по защите иностра</w:t>
      </w:r>
      <w:r w:rsidRPr="00C645C3">
        <w:rPr>
          <w:b/>
          <w:bCs/>
        </w:rPr>
        <w:t>н</w:t>
      </w:r>
      <w:r w:rsidRPr="00C645C3">
        <w:rPr>
          <w:b/>
          <w:bCs/>
        </w:rPr>
        <w:t>ных трудящихся от практики эксплуатации труда;</w:t>
      </w:r>
    </w:p>
    <w:p w:rsidR="000856F3" w:rsidRPr="00C645C3" w:rsidRDefault="000856F3" w:rsidP="000856F3">
      <w:pPr>
        <w:pStyle w:val="SingleTxtGR"/>
        <w:rPr>
          <w:b/>
          <w:bCs/>
        </w:rPr>
      </w:pPr>
      <w:r w:rsidRPr="00C645C3">
        <w:rPr>
          <w:b/>
          <w:bCs/>
        </w:rPr>
        <w:tab/>
        <w:t>d)</w:t>
      </w:r>
      <w:r w:rsidRPr="00C645C3">
        <w:rPr>
          <w:b/>
          <w:bCs/>
        </w:rPr>
        <w:tab/>
        <w:t xml:space="preserve">гарантировать право на воссоединение семьи для иностранных работников. 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>Пенсии для иностранных трудящихся</w:t>
      </w:r>
    </w:p>
    <w:p w:rsidR="000856F3" w:rsidRPr="000856F3" w:rsidRDefault="000856F3" w:rsidP="000856F3">
      <w:pPr>
        <w:pStyle w:val="SingleTxtGR"/>
      </w:pPr>
      <w:r w:rsidRPr="000856F3">
        <w:t>23.</w:t>
      </w:r>
      <w:r w:rsidRPr="000856F3">
        <w:tab/>
        <w:t>Комитет отмечает, что государство-участник является одним из наиболее привлекательных для иностранных работников и занимает третье место по об</w:t>
      </w:r>
      <w:r w:rsidRPr="000856F3">
        <w:t>ъ</w:t>
      </w:r>
      <w:r w:rsidRPr="000856F3">
        <w:t xml:space="preserve">ему денежных перечислений иностранных работников из более чем 200 стран (см. CERD/C/ARE/18-21, пункты 21 и 94). Вместе с тем Комитет обеспокоен тем, что иностранные трудящиеся по возвращению в свои родные страны могут не иметь права на получение пенсии даже после длительного периода работы.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24.</w:t>
      </w:r>
      <w:r w:rsidRPr="000856F3">
        <w:tab/>
      </w:r>
      <w:r w:rsidRPr="000856F3">
        <w:rPr>
          <w:b/>
        </w:rPr>
        <w:t>Комитет рекомендует государству-участнику рассмотреть возмо</w:t>
      </w:r>
      <w:r w:rsidRPr="000856F3">
        <w:rPr>
          <w:b/>
        </w:rPr>
        <w:t>ж</w:t>
      </w:r>
      <w:r w:rsidRPr="000856F3">
        <w:rPr>
          <w:b/>
        </w:rPr>
        <w:t>ность создания государственной пенсионной системы для иностранных р</w:t>
      </w:r>
      <w:r w:rsidRPr="000856F3">
        <w:rPr>
          <w:b/>
        </w:rPr>
        <w:t>а</w:t>
      </w:r>
      <w:r w:rsidRPr="000856F3">
        <w:rPr>
          <w:b/>
        </w:rPr>
        <w:t xml:space="preserve">ботников, возможно, за счет работодателей и работников, с учетом выслуги лет и других соответствующих критериев. 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>Защита иностранцев, работающих в качестве домашней пр</w:t>
      </w:r>
      <w:r w:rsidRPr="000856F3">
        <w:t>и</w:t>
      </w:r>
      <w:r w:rsidRPr="000856F3">
        <w:t>слуги</w:t>
      </w:r>
    </w:p>
    <w:p w:rsidR="000856F3" w:rsidRPr="000856F3" w:rsidRDefault="000856F3" w:rsidP="000856F3">
      <w:pPr>
        <w:pStyle w:val="SingleTxtGR"/>
      </w:pPr>
      <w:r w:rsidRPr="000856F3">
        <w:t>25.</w:t>
      </w:r>
      <w:r w:rsidRPr="000856F3">
        <w:tab/>
        <w:t>Комитет обеспокоен тем, что домашние работники, среди которых прео</w:t>
      </w:r>
      <w:r w:rsidRPr="000856F3">
        <w:t>б</w:t>
      </w:r>
      <w:r w:rsidRPr="000856F3">
        <w:t>ладают женщины-иностранки, не пользуются защитой в соответствии с наци</w:t>
      </w:r>
      <w:r w:rsidRPr="000856F3">
        <w:t>о</w:t>
      </w:r>
      <w:r w:rsidRPr="000856F3">
        <w:t>нальным трудовым законодательством. Комитет также обеспокоен сообщени</w:t>
      </w:r>
      <w:r w:rsidRPr="000856F3">
        <w:t>я</w:t>
      </w:r>
      <w:r w:rsidRPr="000856F3">
        <w:t>ми о том, что иностранцы, работающие в качестве домашней прислуги, сталк</w:t>
      </w:r>
      <w:r w:rsidRPr="000856F3">
        <w:t>и</w:t>
      </w:r>
      <w:r w:rsidRPr="000856F3">
        <w:t>ваются с невыплатой заработной платы, работают в условиях ненормированн</w:t>
      </w:r>
      <w:r w:rsidRPr="000856F3">
        <w:t>о</w:t>
      </w:r>
      <w:r w:rsidRPr="000856F3">
        <w:t>го рабочего дня без достаточных перерывов и отдыха, подвергаются огранич</w:t>
      </w:r>
      <w:r w:rsidRPr="000856F3">
        <w:t>е</w:t>
      </w:r>
      <w:r w:rsidRPr="000856F3">
        <w:t>ниям свободы передвижения и, в некоторых случаях, сексуальной эксплуатации со стороны работодателей. Комитет приветствует представленную госуда</w:t>
      </w:r>
      <w:r w:rsidRPr="000856F3">
        <w:t>р</w:t>
      </w:r>
      <w:r w:rsidRPr="000856F3">
        <w:t>ством-участником в ходе диалога информацию о законопроекте, касающемся домашней прислуги, который в настоящее врем</w:t>
      </w:r>
      <w:r w:rsidR="0079646A">
        <w:t>я находится на рассмотрении (статья</w:t>
      </w:r>
      <w:r w:rsidRPr="000856F3">
        <w:t xml:space="preserve"> 5). </w:t>
      </w:r>
    </w:p>
    <w:p w:rsidR="000856F3" w:rsidRPr="000856F3" w:rsidRDefault="000856F3" w:rsidP="0079646A">
      <w:pPr>
        <w:pStyle w:val="SingleTxtGR"/>
        <w:rPr>
          <w:b/>
        </w:rPr>
      </w:pPr>
      <w:r w:rsidRPr="000856F3">
        <w:t>26.</w:t>
      </w:r>
      <w:r w:rsidRPr="000856F3">
        <w:tab/>
      </w:r>
      <w:r w:rsidRPr="000856F3">
        <w:rPr>
          <w:b/>
        </w:rPr>
        <w:t>Ссылаясь на свою общую рекомендацию № 25 (2000) о гендерных а</w:t>
      </w:r>
      <w:r w:rsidRPr="000856F3">
        <w:rPr>
          <w:b/>
        </w:rPr>
        <w:t>с</w:t>
      </w:r>
      <w:r w:rsidRPr="000856F3">
        <w:rPr>
          <w:b/>
        </w:rPr>
        <w:t>пектах расовой дискриминации, Комитет рекомендует государству-участнику обеспечить, чтобы законопроект о правах домашней прислуги 2017 года включал меры по защите мигрантов, работающих в качестве д</w:t>
      </w:r>
      <w:r w:rsidRPr="000856F3">
        <w:rPr>
          <w:b/>
        </w:rPr>
        <w:t>о</w:t>
      </w:r>
      <w:r w:rsidRPr="000856F3">
        <w:rPr>
          <w:b/>
        </w:rPr>
        <w:t>машней прислуги, от злоупотреблений и эксплуатации труда в соотве</w:t>
      </w:r>
      <w:r w:rsidRPr="000856F3">
        <w:rPr>
          <w:b/>
        </w:rPr>
        <w:t>т</w:t>
      </w:r>
      <w:r w:rsidRPr="000856F3">
        <w:rPr>
          <w:b/>
        </w:rPr>
        <w:t>ствии с международным правом и Конвенцией, включая защиту от уде</w:t>
      </w:r>
      <w:r w:rsidRPr="000856F3">
        <w:rPr>
          <w:b/>
        </w:rPr>
        <w:t>р</w:t>
      </w:r>
      <w:r w:rsidRPr="000856F3">
        <w:rPr>
          <w:b/>
        </w:rPr>
        <w:t>жания заработной платы, работы в течение ненормированного рабочего времени с недостаточной продолжительностью отдыха, ограничения своб</w:t>
      </w:r>
      <w:r w:rsidRPr="000856F3">
        <w:rPr>
          <w:b/>
        </w:rPr>
        <w:t>о</w:t>
      </w:r>
      <w:r w:rsidRPr="000856F3">
        <w:rPr>
          <w:b/>
        </w:rPr>
        <w:t>ды передвижения и сексуальной эксплуатации. Кроме того, Комитет рек</w:t>
      </w:r>
      <w:r w:rsidRPr="000856F3">
        <w:rPr>
          <w:b/>
        </w:rPr>
        <w:t>о</w:t>
      </w:r>
      <w:r w:rsidRPr="000856F3">
        <w:rPr>
          <w:b/>
        </w:rPr>
        <w:t>мендует государству-участнику ускорить принятие закона о домашней прислуге в сотрудн</w:t>
      </w:r>
      <w:r w:rsidR="00C645C3">
        <w:rPr>
          <w:b/>
        </w:rPr>
        <w:t>ичестве с гражданским обществом</w:t>
      </w:r>
      <w:r w:rsidRPr="000856F3">
        <w:rPr>
          <w:b/>
        </w:rPr>
        <w:t xml:space="preserve"> и обеспечить нал</w:t>
      </w:r>
      <w:r w:rsidRPr="000856F3">
        <w:rPr>
          <w:b/>
        </w:rPr>
        <w:t>и</w:t>
      </w:r>
      <w:r w:rsidRPr="000856F3">
        <w:rPr>
          <w:b/>
        </w:rPr>
        <w:t>чие достаточных механизмов контроля для его эффективного выполнения. Он также рекомендует государству-уча</w:t>
      </w:r>
      <w:r w:rsidR="0079646A">
        <w:rPr>
          <w:b/>
        </w:rPr>
        <w:t>стнику ратифицировать Конве</w:t>
      </w:r>
      <w:r w:rsidR="0079646A">
        <w:rPr>
          <w:b/>
        </w:rPr>
        <w:t>н</w:t>
      </w:r>
      <w:r w:rsidR="0079646A">
        <w:rPr>
          <w:b/>
        </w:rPr>
        <w:t>цию </w:t>
      </w:r>
      <w:r w:rsidRPr="000856F3">
        <w:rPr>
          <w:b/>
        </w:rPr>
        <w:t>(№ 189) Международной организации труда от 2011 года. Комитет пр</w:t>
      </w:r>
      <w:r w:rsidRPr="000856F3">
        <w:rPr>
          <w:b/>
        </w:rPr>
        <w:t>о</w:t>
      </w:r>
      <w:r w:rsidRPr="000856F3">
        <w:rPr>
          <w:b/>
        </w:rPr>
        <w:t>сит государство-участник представить в своем следующем периодическом докладе подробную информаци</w:t>
      </w:r>
      <w:r w:rsidR="0079646A">
        <w:rPr>
          <w:b/>
        </w:rPr>
        <w:t xml:space="preserve">ю о принятии закона, а также о </w:t>
      </w:r>
      <w:r w:rsidRPr="000856F3">
        <w:rPr>
          <w:b/>
        </w:rPr>
        <w:t>его посл</w:t>
      </w:r>
      <w:r w:rsidRPr="000856F3">
        <w:rPr>
          <w:b/>
        </w:rPr>
        <w:t>е</w:t>
      </w:r>
      <w:r w:rsidRPr="000856F3">
        <w:rPr>
          <w:b/>
        </w:rPr>
        <w:t>дующем осуществлении, мониторинг</w:t>
      </w:r>
      <w:r w:rsidR="0079646A">
        <w:rPr>
          <w:b/>
        </w:rPr>
        <w:t xml:space="preserve">е и воздействии закона в плане </w:t>
      </w:r>
      <w:r w:rsidRPr="000856F3">
        <w:rPr>
          <w:b/>
        </w:rPr>
        <w:t>улу</w:t>
      </w:r>
      <w:r w:rsidRPr="000856F3">
        <w:rPr>
          <w:b/>
        </w:rPr>
        <w:t>ч</w:t>
      </w:r>
      <w:r w:rsidRPr="000856F3">
        <w:rPr>
          <w:b/>
        </w:rPr>
        <w:t xml:space="preserve">шения положения иностранной домашней прислуги. </w:t>
      </w:r>
    </w:p>
    <w:p w:rsidR="000856F3" w:rsidRPr="000856F3" w:rsidRDefault="000856F3" w:rsidP="0079646A">
      <w:pPr>
        <w:pStyle w:val="H23GR"/>
      </w:pPr>
      <w:r w:rsidRPr="000856F3">
        <w:lastRenderedPageBreak/>
        <w:tab/>
      </w:r>
      <w:r w:rsidRPr="000856F3">
        <w:tab/>
        <w:t>Положение бидунов (лиц без гражданства)</w:t>
      </w:r>
    </w:p>
    <w:p w:rsidR="000856F3" w:rsidRPr="000856F3" w:rsidRDefault="000856F3" w:rsidP="000856F3">
      <w:pPr>
        <w:pStyle w:val="SingleTxtGR"/>
      </w:pPr>
      <w:r w:rsidRPr="000856F3">
        <w:t>27.</w:t>
      </w:r>
      <w:r w:rsidRPr="000856F3">
        <w:tab/>
        <w:t>Комитет принимает к сведению представленную государством-участ</w:t>
      </w:r>
      <w:r w:rsidR="0079646A">
        <w:t>-</w:t>
      </w:r>
      <w:r w:rsidRPr="000856F3">
        <w:t>ником в ходе диалога информ</w:t>
      </w:r>
      <w:r w:rsidR="00C645C3">
        <w:t>ацию</w:t>
      </w:r>
      <w:r w:rsidRPr="000856F3">
        <w:t xml:space="preserve"> о том, что в ряде случаев бидуны могут п</w:t>
      </w:r>
      <w:r w:rsidRPr="000856F3">
        <w:t>о</w:t>
      </w:r>
      <w:r w:rsidRPr="000856F3">
        <w:t>лучить гражданство в течение льготного периода, когда они могут пол</w:t>
      </w:r>
      <w:r w:rsidRPr="000856F3">
        <w:t>ь</w:t>
      </w:r>
      <w:r w:rsidRPr="000856F3">
        <w:t>зоваться правами и не подлежат наказанию. Вместе с тем Комитет выражает обеспок</w:t>
      </w:r>
      <w:r w:rsidRPr="000856F3">
        <w:t>о</w:t>
      </w:r>
      <w:r w:rsidRPr="000856F3">
        <w:t>енность по поводу отсутствия подробной информации, включая стат</w:t>
      </w:r>
      <w:r w:rsidRPr="000856F3">
        <w:t>и</w:t>
      </w:r>
      <w:r w:rsidRPr="000856F3">
        <w:t>стические данные о положении не получивших гражданство бидунов в госуда</w:t>
      </w:r>
      <w:r w:rsidRPr="000856F3">
        <w:t>р</w:t>
      </w:r>
      <w:r w:rsidRPr="000856F3">
        <w:t>стве-участнике, в том числе о последствиях отсутствия гражданства для доступа к здравоохранению, образованию, занятости и государственной службе, без к</w:t>
      </w:r>
      <w:r w:rsidRPr="000856F3">
        <w:t>а</w:t>
      </w:r>
      <w:r w:rsidR="0079646A">
        <w:t>кой-либо дискриминации (статья</w:t>
      </w:r>
      <w:r w:rsidRPr="000856F3">
        <w:t xml:space="preserve"> 5).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28.</w:t>
      </w:r>
      <w:r w:rsidRPr="000856F3">
        <w:tab/>
      </w:r>
      <w:r w:rsidRPr="000856F3">
        <w:rPr>
          <w:b/>
        </w:rPr>
        <w:t>Ссы</w:t>
      </w:r>
      <w:r w:rsidR="0079646A">
        <w:rPr>
          <w:b/>
        </w:rPr>
        <w:t>лаясь на свою общую рекомендаци</w:t>
      </w:r>
      <w:r w:rsidRPr="000856F3">
        <w:rPr>
          <w:b/>
        </w:rPr>
        <w:t>ю № 30 (2004) о дискримин</w:t>
      </w:r>
      <w:r w:rsidRPr="000856F3">
        <w:rPr>
          <w:b/>
        </w:rPr>
        <w:t>а</w:t>
      </w:r>
      <w:r w:rsidRPr="000856F3">
        <w:rPr>
          <w:b/>
        </w:rPr>
        <w:t>ции в отношении неграждан, Комитет рекомендует государству-участнику принять меры с целью рассмотрения заявлений проживающих в госуда</w:t>
      </w:r>
      <w:r w:rsidRPr="000856F3">
        <w:rPr>
          <w:b/>
        </w:rPr>
        <w:t>р</w:t>
      </w:r>
      <w:r w:rsidRPr="000856F3">
        <w:rPr>
          <w:b/>
        </w:rPr>
        <w:t>стве-участнике бидунов о предоставлении гражданства. Комитет также р</w:t>
      </w:r>
      <w:r w:rsidRPr="000856F3">
        <w:rPr>
          <w:b/>
        </w:rPr>
        <w:t>е</w:t>
      </w:r>
      <w:r w:rsidRPr="000856F3">
        <w:rPr>
          <w:b/>
        </w:rPr>
        <w:t>комендует государству-участнику снабдить бидунов документами, необх</w:t>
      </w:r>
      <w:r w:rsidRPr="000856F3">
        <w:rPr>
          <w:b/>
        </w:rPr>
        <w:t>о</w:t>
      </w:r>
      <w:r w:rsidRPr="000856F3">
        <w:rPr>
          <w:b/>
        </w:rPr>
        <w:t>димыми для получения доступа к здравоохранению, образованию, занят</w:t>
      </w:r>
      <w:r w:rsidRPr="000856F3">
        <w:rPr>
          <w:b/>
        </w:rPr>
        <w:t>о</w:t>
      </w:r>
      <w:r w:rsidRPr="000856F3">
        <w:rPr>
          <w:b/>
        </w:rPr>
        <w:t>сти и государственной службе, без какой-либо дискриминации. Комитет рекомендует государству-участнику присоединиться к Конвенции о сокр</w:t>
      </w:r>
      <w:r w:rsidRPr="000856F3">
        <w:rPr>
          <w:b/>
        </w:rPr>
        <w:t>а</w:t>
      </w:r>
      <w:r w:rsidRPr="000856F3">
        <w:rPr>
          <w:b/>
        </w:rPr>
        <w:t xml:space="preserve">щении безгражданства и Конвенции о статусе апатридов. 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>Права на гражданство</w:t>
      </w:r>
    </w:p>
    <w:p w:rsidR="000856F3" w:rsidRPr="000856F3" w:rsidRDefault="000856F3" w:rsidP="000856F3">
      <w:pPr>
        <w:pStyle w:val="SingleTxtGR"/>
      </w:pPr>
      <w:r w:rsidRPr="000856F3">
        <w:t>29.</w:t>
      </w:r>
      <w:r w:rsidRPr="000856F3">
        <w:tab/>
        <w:t>Приветствуя тот факт, что в королевской директиве от 2 декабря 2011 г</w:t>
      </w:r>
      <w:r w:rsidRPr="000856F3">
        <w:t>о</w:t>
      </w:r>
      <w:r w:rsidRPr="000856F3">
        <w:t>да предусматривается возможность принятия в гражданство детей женщин-граждан, вышедших замуж за иностранцев, Комитет выражает сожаление по поводу того, что гражданство не может быть предоставлено до достижения р</w:t>
      </w:r>
      <w:r w:rsidRPr="000856F3">
        <w:t>е</w:t>
      </w:r>
      <w:r w:rsidR="0079646A">
        <w:t>бенком возраста 18 лет (статьи</w:t>
      </w:r>
      <w:r w:rsidRPr="000856F3">
        <w:t xml:space="preserve"> 2 и 5).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30.</w:t>
      </w:r>
      <w:r w:rsidRPr="000856F3">
        <w:tab/>
      </w:r>
      <w:r w:rsidRPr="000856F3">
        <w:rPr>
          <w:b/>
        </w:rPr>
        <w:t>Ссылаясь на свою общую рекомендацию № 30, в частности пункт 16 о сокращении безгражданства, особенно среди детей, Комитет рекомендует государству-участнику пересмотреть директиву от 2 декабря 2011 года, с тем чтобы позволить женщинам передавать гражданство своим детям с момента рождения без какой-либо дискриминации.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 xml:space="preserve">Учебные курсы по вопросам расовой дискриминации </w:t>
      </w:r>
    </w:p>
    <w:p w:rsidR="000856F3" w:rsidRPr="000856F3" w:rsidRDefault="000856F3" w:rsidP="000856F3">
      <w:pPr>
        <w:pStyle w:val="SingleTxtGR"/>
      </w:pPr>
      <w:r w:rsidRPr="000856F3">
        <w:t>31.</w:t>
      </w:r>
      <w:r w:rsidRPr="000856F3">
        <w:tab/>
        <w:t>Комитет приветствует информацию об учебных курсах по правам челов</w:t>
      </w:r>
      <w:r w:rsidRPr="000856F3">
        <w:t>е</w:t>
      </w:r>
      <w:r w:rsidRPr="000856F3">
        <w:t>ка, которые проводятся для работников, сотрудников полиции и судебных орг</w:t>
      </w:r>
      <w:r w:rsidRPr="000856F3">
        <w:t>а</w:t>
      </w:r>
      <w:r w:rsidRPr="000856F3">
        <w:t>нов, а также инициативы по поощрению толерантности в государстве-участнике, в том числе в школах. Комитет выражает обеспокоенность в связи с отсутствием подробной информации и статистических данных о професси</w:t>
      </w:r>
      <w:r w:rsidRPr="000856F3">
        <w:t>о</w:t>
      </w:r>
      <w:r w:rsidR="00C645C3">
        <w:t>нальной подготовке, в частности</w:t>
      </w:r>
      <w:r w:rsidRPr="000856F3">
        <w:t xml:space="preserve"> о правах, закрепленных в Конвенции, и о во</w:t>
      </w:r>
      <w:r w:rsidRPr="000856F3">
        <w:t>з</w:t>
      </w:r>
      <w:r w:rsidRPr="000856F3">
        <w:t>действии такой подготовки на ликвидацию расово</w:t>
      </w:r>
      <w:r w:rsidR="0079646A">
        <w:t>й дискриминации (статья</w:t>
      </w:r>
      <w:r w:rsidRPr="000856F3">
        <w:t xml:space="preserve"> 7).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32.</w:t>
      </w:r>
      <w:r w:rsidRPr="000856F3">
        <w:tab/>
      </w:r>
      <w:r w:rsidRPr="000856F3">
        <w:rPr>
          <w:b/>
        </w:rPr>
        <w:t>Комитет рекомендует государству-участнику продолжать усилия по укреплению терпимости и уважения многообразия в государстве-участнике и продолжать проведение учебных курсов по вопросам прав человека. К</w:t>
      </w:r>
      <w:r w:rsidRPr="000856F3">
        <w:rPr>
          <w:b/>
        </w:rPr>
        <w:t>о</w:t>
      </w:r>
      <w:r w:rsidRPr="000856F3">
        <w:rPr>
          <w:b/>
        </w:rPr>
        <w:t>митет рекомендует государству-участнику проводить учебные курсы для сотрудников правоохранительных органов, судей, адвокатов и госуда</w:t>
      </w:r>
      <w:r w:rsidRPr="000856F3">
        <w:rPr>
          <w:b/>
        </w:rPr>
        <w:t>р</w:t>
      </w:r>
      <w:r w:rsidRPr="000856F3">
        <w:rPr>
          <w:b/>
        </w:rPr>
        <w:t>ственных должностных лиц по вопросам прав, закрепленных в Конвенции, включая специальную подготовку по вопросам предотвращения расовой дискриминации. Он просит государство-участник представить в своем сл</w:t>
      </w:r>
      <w:r w:rsidRPr="000856F3">
        <w:rPr>
          <w:b/>
        </w:rPr>
        <w:t>е</w:t>
      </w:r>
      <w:r w:rsidRPr="000856F3">
        <w:rPr>
          <w:b/>
        </w:rPr>
        <w:t>дующем периодическом докладе подробную новую информацию и стат</w:t>
      </w:r>
      <w:r w:rsidRPr="000856F3">
        <w:rPr>
          <w:b/>
        </w:rPr>
        <w:t>и</w:t>
      </w:r>
      <w:r w:rsidRPr="000856F3">
        <w:rPr>
          <w:b/>
        </w:rPr>
        <w:t>стические данные о таких программах подготовки и их влиянии на ликв</w:t>
      </w:r>
      <w:r w:rsidRPr="000856F3">
        <w:rPr>
          <w:b/>
        </w:rPr>
        <w:t>и</w:t>
      </w:r>
      <w:r w:rsidRPr="000856F3">
        <w:rPr>
          <w:b/>
        </w:rPr>
        <w:t>дацию дискриминации в</w:t>
      </w:r>
      <w:r w:rsidR="00EC3187">
        <w:rPr>
          <w:b/>
        </w:rPr>
        <w:t xml:space="preserve"> </w:t>
      </w:r>
      <w:r w:rsidRPr="000856F3">
        <w:rPr>
          <w:b/>
        </w:rPr>
        <w:t xml:space="preserve">государстве-участнике. </w:t>
      </w:r>
    </w:p>
    <w:p w:rsidR="000856F3" w:rsidRPr="000856F3" w:rsidRDefault="0079646A" w:rsidP="0079646A">
      <w:pPr>
        <w:pStyle w:val="H1GR"/>
        <w:pageBreakBefore/>
      </w:pPr>
      <w:r>
        <w:lastRenderedPageBreak/>
        <w:tab/>
      </w:r>
      <w:r w:rsidR="000856F3" w:rsidRPr="000856F3">
        <w:t>D.</w:t>
      </w:r>
      <w:r w:rsidR="000856F3" w:rsidRPr="000856F3">
        <w:tab/>
        <w:t>Другие рекомендации</w:t>
      </w:r>
    </w:p>
    <w:p w:rsidR="000856F3" w:rsidRPr="000856F3" w:rsidRDefault="000856F3" w:rsidP="0079646A">
      <w:pPr>
        <w:pStyle w:val="H23GR"/>
      </w:pPr>
      <w:r w:rsidRPr="000856F3">
        <w:tab/>
      </w:r>
      <w:r w:rsidRPr="000856F3">
        <w:tab/>
        <w:t>Ратификация других договоров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33.</w:t>
      </w:r>
      <w:r w:rsidRPr="000856F3">
        <w:tab/>
      </w:r>
      <w:proofErr w:type="gramStart"/>
      <w:r w:rsidRPr="000856F3">
        <w:rPr>
          <w:b/>
        </w:rPr>
        <w:t>Памятуя о неделимости всех прав человека, Комитет призывает гос</w:t>
      </w:r>
      <w:r w:rsidRPr="000856F3">
        <w:rPr>
          <w:b/>
        </w:rPr>
        <w:t>у</w:t>
      </w:r>
      <w:r w:rsidRPr="000856F3">
        <w:rPr>
          <w:b/>
        </w:rPr>
        <w:t>дарство-участник рассмотреть возможность ратификации тех междунаро</w:t>
      </w:r>
      <w:r w:rsidRPr="000856F3">
        <w:rPr>
          <w:b/>
        </w:rPr>
        <w:t>д</w:t>
      </w:r>
      <w:r w:rsidRPr="000856F3">
        <w:rPr>
          <w:b/>
        </w:rPr>
        <w:t>ных договоров по правам человека, которые оно еще не ратифицировало, в частности договоров, положения которых имеют прямое отношение к о</w:t>
      </w:r>
      <w:r w:rsidRPr="000856F3">
        <w:rPr>
          <w:b/>
        </w:rPr>
        <w:t>б</w:t>
      </w:r>
      <w:r w:rsidRPr="000856F3">
        <w:rPr>
          <w:b/>
        </w:rPr>
        <w:t>щинам, которые могут подвергаться расовой дискриминации, включая Международный пакт о гражданских и политических правах, Междун</w:t>
      </w:r>
      <w:r w:rsidRPr="000856F3">
        <w:rPr>
          <w:b/>
        </w:rPr>
        <w:t>а</w:t>
      </w:r>
      <w:r w:rsidRPr="000856F3">
        <w:rPr>
          <w:b/>
        </w:rPr>
        <w:t>родный пакт об экономических, социальных и культурных правах, Ме</w:t>
      </w:r>
      <w:r w:rsidRPr="000856F3">
        <w:rPr>
          <w:b/>
        </w:rPr>
        <w:t>ж</w:t>
      </w:r>
      <w:r w:rsidRPr="000856F3">
        <w:rPr>
          <w:b/>
        </w:rPr>
        <w:t>дународную конвенцию о защите прав всех</w:t>
      </w:r>
      <w:proofErr w:type="gramEnd"/>
      <w:r w:rsidRPr="000856F3">
        <w:rPr>
          <w:b/>
        </w:rPr>
        <w:t xml:space="preserve"> трудящихся-мигрантов и чл</w:t>
      </w:r>
      <w:r w:rsidRPr="000856F3">
        <w:rPr>
          <w:b/>
        </w:rPr>
        <w:t>е</w:t>
      </w:r>
      <w:r w:rsidR="00C645C3">
        <w:rPr>
          <w:b/>
        </w:rPr>
        <w:t>нов их семей, а также Конвенцию</w:t>
      </w:r>
      <w:r w:rsidRPr="000856F3">
        <w:rPr>
          <w:b/>
        </w:rPr>
        <w:t xml:space="preserve"> о домашних работниках (№ 189) Межд</w:t>
      </w:r>
      <w:r w:rsidRPr="000856F3">
        <w:rPr>
          <w:b/>
        </w:rPr>
        <w:t>у</w:t>
      </w:r>
      <w:r w:rsidRPr="000856F3">
        <w:rPr>
          <w:b/>
        </w:rPr>
        <w:t xml:space="preserve">народной организации труда от 2011 года. 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Последующие меры в связи с Дурбанской декларацией и Программой действий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34.</w:t>
      </w:r>
      <w:r w:rsidRPr="000856F3">
        <w:tab/>
      </w:r>
      <w:r w:rsidRPr="000856F3">
        <w:rPr>
          <w:b/>
        </w:rPr>
        <w:t>В свете своей общей рекомендации № 33 (2009) о последующих мерах в связи с Конференцией по обзору Дурбанского процесса Комитет рекоме</w:t>
      </w:r>
      <w:r w:rsidRPr="000856F3">
        <w:rPr>
          <w:b/>
        </w:rPr>
        <w:t>н</w:t>
      </w:r>
      <w:r w:rsidRPr="000856F3">
        <w:rPr>
          <w:b/>
        </w:rPr>
        <w:t>дует государству-участнику при осуществлении Конвенции в рамках своего внутреннего законодательства предпринять шаги по выполнению Дурба</w:t>
      </w:r>
      <w:r w:rsidRPr="000856F3">
        <w:rPr>
          <w:b/>
        </w:rPr>
        <w:t>н</w:t>
      </w:r>
      <w:r w:rsidRPr="000856F3">
        <w:rPr>
          <w:b/>
        </w:rPr>
        <w:t>ской декларации и Программы действий, принятых в сентябре 2001 года Всемирной конференцией по борьбе против расизма, расовой дискримин</w:t>
      </w:r>
      <w:r w:rsidRPr="000856F3">
        <w:rPr>
          <w:b/>
        </w:rPr>
        <w:t>а</w:t>
      </w:r>
      <w:r w:rsidRPr="000856F3">
        <w:rPr>
          <w:b/>
        </w:rPr>
        <w:t>ции, ксенофобии и связанной с ними нетерпимости, с учетом итогового д</w:t>
      </w:r>
      <w:r w:rsidRPr="000856F3">
        <w:rPr>
          <w:b/>
        </w:rPr>
        <w:t>о</w:t>
      </w:r>
      <w:r w:rsidRPr="000856F3">
        <w:rPr>
          <w:b/>
        </w:rPr>
        <w:t>кумента Конференции по обзору Дурбанского процесса, состоявшейся в апреле 2009 года в Женеве. Комитет просит государство-участник вкл</w:t>
      </w:r>
      <w:r w:rsidRPr="000856F3">
        <w:rPr>
          <w:b/>
        </w:rPr>
        <w:t>ю</w:t>
      </w:r>
      <w:r w:rsidRPr="000856F3">
        <w:rPr>
          <w:b/>
        </w:rPr>
        <w:t>чить в его следующий периодический</w:t>
      </w:r>
      <w:r w:rsidR="00C645C3">
        <w:rPr>
          <w:b/>
        </w:rPr>
        <w:t xml:space="preserve"> доклад конкретную информацию о</w:t>
      </w:r>
      <w:r w:rsidRPr="000856F3">
        <w:rPr>
          <w:b/>
        </w:rPr>
        <w:t xml:space="preserve"> планах действий и о принятых других мерах с целью осуществления Ду</w:t>
      </w:r>
      <w:r w:rsidRPr="000856F3">
        <w:rPr>
          <w:b/>
        </w:rPr>
        <w:t>р</w:t>
      </w:r>
      <w:r w:rsidRPr="000856F3">
        <w:rPr>
          <w:b/>
        </w:rPr>
        <w:t xml:space="preserve">банской декларации и Программы действий на национальном уровне. 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 xml:space="preserve">Международное десятилетие лиц африканского происхождения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35.</w:t>
      </w:r>
      <w:r w:rsidRPr="000856F3">
        <w:tab/>
      </w:r>
      <w:r w:rsidRPr="000856F3">
        <w:rPr>
          <w:b/>
        </w:rPr>
        <w:t>В свете резолюции 68/237 Генеральной Ассамблеи, в которой Асса</w:t>
      </w:r>
      <w:r w:rsidRPr="000856F3">
        <w:rPr>
          <w:b/>
        </w:rPr>
        <w:t>м</w:t>
      </w:r>
      <w:r w:rsidRPr="000856F3">
        <w:rPr>
          <w:b/>
        </w:rPr>
        <w:t>блея провозгласила 2015–2024 годы Международным десятилетием лиц африканского происхождения, и резолюции 69/16 Ассамблеи о программе мероприятий по проведению Десятилетия Комитет рекомендует госуда</w:t>
      </w:r>
      <w:r w:rsidRPr="000856F3">
        <w:rPr>
          <w:b/>
        </w:rPr>
        <w:t>р</w:t>
      </w:r>
      <w:r w:rsidRPr="000856F3">
        <w:rPr>
          <w:b/>
        </w:rPr>
        <w:t>ству-участнику подготовить и осуществить соответствующую программу мер и стратегий. Комитет просит государство-участник включить в свой следующий периодический доклад обстоятельную информацию о конкре</w:t>
      </w:r>
      <w:r w:rsidRPr="000856F3">
        <w:rPr>
          <w:b/>
        </w:rPr>
        <w:t>т</w:t>
      </w:r>
      <w:r w:rsidRPr="000856F3">
        <w:rPr>
          <w:b/>
        </w:rPr>
        <w:t>ных мерах, принятых в данном контексте, принимая во внимание его о</w:t>
      </w:r>
      <w:r w:rsidRPr="000856F3">
        <w:rPr>
          <w:b/>
        </w:rPr>
        <w:t>б</w:t>
      </w:r>
      <w:r w:rsidRPr="000856F3">
        <w:rPr>
          <w:b/>
        </w:rPr>
        <w:t>щую рекомендацию № 34 (2011) о дискриминации в отношении лиц афр</w:t>
      </w:r>
      <w:r w:rsidRPr="000856F3">
        <w:rPr>
          <w:b/>
        </w:rPr>
        <w:t>и</w:t>
      </w:r>
      <w:r w:rsidRPr="000856F3">
        <w:rPr>
          <w:b/>
        </w:rPr>
        <w:t xml:space="preserve">канского происхождения. 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Консультации с гражданским обществом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36.</w:t>
      </w:r>
      <w:r w:rsidRPr="000856F3">
        <w:tab/>
      </w:r>
      <w:r w:rsidRPr="000856F3">
        <w:rPr>
          <w:b/>
        </w:rPr>
        <w:t>Комитет хотел бы подчеркнуть то значение, которое он придает пре</w:t>
      </w:r>
      <w:r w:rsidRPr="000856F3">
        <w:rPr>
          <w:b/>
        </w:rPr>
        <w:t>д</w:t>
      </w:r>
      <w:r w:rsidRPr="000856F3">
        <w:rPr>
          <w:b/>
        </w:rPr>
        <w:t>ставляемым неправительственными организациями докладам, обогащ</w:t>
      </w:r>
      <w:r w:rsidRPr="000856F3">
        <w:rPr>
          <w:b/>
        </w:rPr>
        <w:t>а</w:t>
      </w:r>
      <w:r w:rsidRPr="000856F3">
        <w:rPr>
          <w:b/>
        </w:rPr>
        <w:t>ющим диалог между Комитетом и делегацией государства-участника в ходе рассмотрения докладов государств-участников. Государству-участнику следует продолжать развивать диалог с организациями гражданского о</w:t>
      </w:r>
      <w:r w:rsidRPr="000856F3">
        <w:rPr>
          <w:b/>
        </w:rPr>
        <w:t>б</w:t>
      </w:r>
      <w:r w:rsidRPr="000856F3">
        <w:rPr>
          <w:b/>
        </w:rPr>
        <w:t>щества, работающими в сфере защиты прав человека, в частности борьбы с расовой дискриминацией, в связи с подготовкой следующего периодич</w:t>
      </w:r>
      <w:r w:rsidRPr="000856F3">
        <w:rPr>
          <w:b/>
        </w:rPr>
        <w:t>е</w:t>
      </w:r>
      <w:r w:rsidRPr="000856F3">
        <w:rPr>
          <w:b/>
        </w:rPr>
        <w:t>ского доклада.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Поправка к статье 8 Конвенции</w:t>
      </w:r>
    </w:p>
    <w:p w:rsidR="000856F3" w:rsidRPr="000856F3" w:rsidRDefault="000856F3" w:rsidP="00EC3187">
      <w:pPr>
        <w:pStyle w:val="SingleTxtGR"/>
        <w:spacing w:line="234" w:lineRule="atLeast"/>
        <w:rPr>
          <w:b/>
        </w:rPr>
      </w:pPr>
      <w:r w:rsidRPr="000856F3">
        <w:t>37.</w:t>
      </w:r>
      <w:r w:rsidRPr="000856F3">
        <w:tab/>
      </w:r>
      <w:r w:rsidRPr="000856F3">
        <w:rPr>
          <w:b/>
        </w:rPr>
        <w:t>Комитет рекомендует государству-участнику ратифицировать п</w:t>
      </w:r>
      <w:r w:rsidRPr="000856F3">
        <w:rPr>
          <w:b/>
        </w:rPr>
        <w:t>о</w:t>
      </w:r>
      <w:r w:rsidRPr="000856F3">
        <w:rPr>
          <w:b/>
        </w:rPr>
        <w:t>правку к пункту 6 статьи 8 Конвенции, принятую 15 января 1992 года на четырнадцатом совещании государств – участников Конвенции и одобре</w:t>
      </w:r>
      <w:r w:rsidRPr="000856F3">
        <w:rPr>
          <w:b/>
        </w:rPr>
        <w:t>н</w:t>
      </w:r>
      <w:r w:rsidRPr="000856F3">
        <w:rPr>
          <w:b/>
        </w:rPr>
        <w:t xml:space="preserve">ную Генеральной Ассамблеей в ее резолюции 47/111. </w:t>
      </w:r>
    </w:p>
    <w:p w:rsidR="000856F3" w:rsidRPr="000856F3" w:rsidRDefault="000856F3" w:rsidP="00EC3187">
      <w:pPr>
        <w:pStyle w:val="H23GR"/>
      </w:pPr>
      <w:r w:rsidRPr="000856F3">
        <w:lastRenderedPageBreak/>
        <w:tab/>
      </w:r>
      <w:r w:rsidRPr="000856F3">
        <w:tab/>
        <w:t>Заявление в соответствии со статьей 14 Конвенции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38.</w:t>
      </w:r>
      <w:r w:rsidRPr="000856F3">
        <w:tab/>
      </w:r>
      <w:r w:rsidRPr="000856F3">
        <w:rPr>
          <w:b/>
        </w:rPr>
        <w:t>Комитет призывает государство-участник сделать предусмотренное статьей 14 Конвенции факультативное заявление о признании компете</w:t>
      </w:r>
      <w:r w:rsidRPr="000856F3">
        <w:rPr>
          <w:b/>
        </w:rPr>
        <w:t>н</w:t>
      </w:r>
      <w:r w:rsidRPr="000856F3">
        <w:rPr>
          <w:b/>
        </w:rPr>
        <w:t>ции Комитета принимать и рассматривать индивидуальные сообщения.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 xml:space="preserve">Общий базовый документ 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39.</w:t>
      </w:r>
      <w:r w:rsidRPr="000856F3">
        <w:tab/>
      </w:r>
      <w:r w:rsidRPr="000856F3">
        <w:rPr>
          <w:b/>
        </w:rPr>
        <w:t>Комитет призывает государство-участник представить общий баз</w:t>
      </w:r>
      <w:r w:rsidRPr="000856F3">
        <w:rPr>
          <w:b/>
        </w:rPr>
        <w:t>о</w:t>
      </w:r>
      <w:r w:rsidRPr="000856F3">
        <w:rPr>
          <w:b/>
        </w:rPr>
        <w:t>вый документ в соответствии с согласованными руководящими принцип</w:t>
      </w:r>
      <w:r w:rsidRPr="000856F3">
        <w:rPr>
          <w:b/>
        </w:rPr>
        <w:t>а</w:t>
      </w:r>
      <w:r w:rsidRPr="000856F3">
        <w:rPr>
          <w:b/>
        </w:rPr>
        <w:t>ми представления докладов согласно международным договорам о правах человека, в частности руководящими принципами подготовки общего б</w:t>
      </w:r>
      <w:r w:rsidRPr="000856F3">
        <w:rPr>
          <w:b/>
        </w:rPr>
        <w:t>а</w:t>
      </w:r>
      <w:r w:rsidRPr="000856F3">
        <w:rPr>
          <w:b/>
        </w:rPr>
        <w:t>зового документа, принятыми на пятом межкомитетском совещании дог</w:t>
      </w:r>
      <w:r w:rsidRPr="000856F3">
        <w:rPr>
          <w:b/>
        </w:rPr>
        <w:t>о</w:t>
      </w:r>
      <w:r w:rsidRPr="000856F3">
        <w:rPr>
          <w:b/>
        </w:rPr>
        <w:t>ворных органов по правам человека в июне 2006 года (HRI/GEN/2/Rev.6, глава I). В свете резолюции 68/268 Генеральной Ассамблеи Комитет наст</w:t>
      </w:r>
      <w:r w:rsidRPr="000856F3">
        <w:rPr>
          <w:b/>
        </w:rPr>
        <w:t>о</w:t>
      </w:r>
      <w:r w:rsidRPr="000856F3">
        <w:rPr>
          <w:b/>
        </w:rPr>
        <w:t>ятельно призывает государство-участник соблюдать установленное для объема таких документов ограничение в 42 400 слов.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Последующие меры в связи с настоящими заключительными замечаниями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40.</w:t>
      </w:r>
      <w:r w:rsidRPr="000856F3">
        <w:tab/>
      </w:r>
      <w:r w:rsidRPr="000856F3">
        <w:rPr>
          <w:b/>
        </w:rPr>
        <w:t>В соответствии с пунктом 1 статьи 9 Конвенции и правилом 65 своих правил процедуры Комитет просит государство-участник представить в течение одного года после принятия настоящих заключительных замеч</w:t>
      </w:r>
      <w:r w:rsidRPr="000856F3">
        <w:rPr>
          <w:b/>
        </w:rPr>
        <w:t>а</w:t>
      </w:r>
      <w:r w:rsidRPr="000856F3">
        <w:rPr>
          <w:b/>
        </w:rPr>
        <w:t>ний информацию о выполнении им рекомендаций, содержащихся в пун</w:t>
      </w:r>
      <w:r w:rsidRPr="000856F3">
        <w:rPr>
          <w:b/>
        </w:rPr>
        <w:t>к</w:t>
      </w:r>
      <w:r w:rsidRPr="000856F3">
        <w:rPr>
          <w:b/>
        </w:rPr>
        <w:t xml:space="preserve">тах 26 и 28 выше. 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Пункты, имеющие особое значение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41.</w:t>
      </w:r>
      <w:r w:rsidRPr="000856F3">
        <w:tab/>
      </w:r>
      <w:r w:rsidRPr="000856F3">
        <w:rPr>
          <w:b/>
        </w:rPr>
        <w:t>Комитет хотел бы обратить внимание государства-участника на ос</w:t>
      </w:r>
      <w:r w:rsidRPr="000856F3">
        <w:rPr>
          <w:b/>
        </w:rPr>
        <w:t>о</w:t>
      </w:r>
      <w:r w:rsidRPr="000856F3">
        <w:rPr>
          <w:b/>
        </w:rPr>
        <w:t>бое значение рекомендаций, содержащихся в пунктах 8, 22 и 24 выше, и просит государство-участник представить в своем следующем периодич</w:t>
      </w:r>
      <w:r w:rsidRPr="000856F3">
        <w:rPr>
          <w:b/>
        </w:rPr>
        <w:t>е</w:t>
      </w:r>
      <w:r w:rsidRPr="000856F3">
        <w:rPr>
          <w:b/>
        </w:rPr>
        <w:t xml:space="preserve">ском докладе подробную информацию о конкретных мерах, принятых в целях выполнения этих рекомендаций. 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Распространение информации</w:t>
      </w:r>
    </w:p>
    <w:p w:rsidR="000856F3" w:rsidRPr="000856F3" w:rsidRDefault="000856F3" w:rsidP="000856F3">
      <w:pPr>
        <w:pStyle w:val="SingleTxtGR"/>
        <w:rPr>
          <w:b/>
        </w:rPr>
      </w:pPr>
      <w:r w:rsidRPr="000856F3">
        <w:t>42.</w:t>
      </w:r>
      <w:r w:rsidRPr="000856F3">
        <w:tab/>
      </w:r>
      <w:r w:rsidRPr="000856F3">
        <w:rPr>
          <w:b/>
        </w:rPr>
        <w:t>Комитет рекомендует государству-участнику обеспечить наличие и доступность для общественности его докладов в момент их представления, а также публикацию в надлежащем порядке заключительных замечаний Комитета по этим докладам на официальном и, при необходимости, на др</w:t>
      </w:r>
      <w:r w:rsidRPr="000856F3">
        <w:rPr>
          <w:b/>
        </w:rPr>
        <w:t>у</w:t>
      </w:r>
      <w:r w:rsidRPr="000856F3">
        <w:rPr>
          <w:b/>
        </w:rPr>
        <w:t xml:space="preserve">гих широко используемых языках. </w:t>
      </w:r>
    </w:p>
    <w:p w:rsidR="000856F3" w:rsidRPr="000856F3" w:rsidRDefault="000856F3" w:rsidP="00EC3187">
      <w:pPr>
        <w:pStyle w:val="H23GR"/>
      </w:pPr>
      <w:r w:rsidRPr="000856F3">
        <w:tab/>
      </w:r>
      <w:r w:rsidRPr="000856F3">
        <w:tab/>
        <w:t>Подготовка следующего периодического доклада</w:t>
      </w:r>
    </w:p>
    <w:p w:rsidR="000856F3" w:rsidRPr="000856F3" w:rsidRDefault="000856F3" w:rsidP="000856F3">
      <w:pPr>
        <w:pStyle w:val="SingleTxtGR"/>
      </w:pPr>
      <w:r w:rsidRPr="000856F3">
        <w:t>43.</w:t>
      </w:r>
      <w:r w:rsidRPr="000856F3">
        <w:tab/>
      </w:r>
      <w:r w:rsidRPr="000856F3">
        <w:rPr>
          <w:b/>
        </w:rPr>
        <w:t>Комитет рекомендует государству-участнику представить свои об</w:t>
      </w:r>
      <w:r w:rsidRPr="000856F3">
        <w:rPr>
          <w:b/>
        </w:rPr>
        <w:t>ъ</w:t>
      </w:r>
      <w:r w:rsidRPr="000856F3">
        <w:rPr>
          <w:b/>
        </w:rPr>
        <w:t>единенные двадцать второй и двадцать третий периодические доклады в одном документе к 20 июля 2021 года, следуя руководящим принципам по</w:t>
      </w:r>
      <w:r w:rsidRPr="000856F3">
        <w:rPr>
          <w:b/>
        </w:rPr>
        <w:t>д</w:t>
      </w:r>
      <w:r w:rsidRPr="000856F3">
        <w:rPr>
          <w:b/>
        </w:rPr>
        <w:t>готовки докладов, принятым Комитетом на его семьдесят первой сессии (CERD/C/2007/1), и отразить в них все вопросы, затронутые в настоящих заключительных замечаниях. В соответствии с резолюцией 68/268 Ген</w:t>
      </w:r>
      <w:r w:rsidRPr="000856F3">
        <w:rPr>
          <w:b/>
        </w:rPr>
        <w:t>е</w:t>
      </w:r>
      <w:r w:rsidRPr="000856F3">
        <w:rPr>
          <w:b/>
        </w:rPr>
        <w:t>ральной Ассамблеи Комитет настоятельно призывает государство-участник соблюдать ограничение в 21 200 слов для периодических докл</w:t>
      </w:r>
      <w:r w:rsidRPr="000856F3">
        <w:rPr>
          <w:b/>
        </w:rPr>
        <w:t>а</w:t>
      </w:r>
      <w:r w:rsidRPr="000856F3">
        <w:rPr>
          <w:b/>
        </w:rPr>
        <w:t>дов.</w:t>
      </w:r>
    </w:p>
    <w:p w:rsidR="000856F3" w:rsidRPr="00EC3187" w:rsidRDefault="00EC3187" w:rsidP="00EC318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56F3" w:rsidRPr="00EC3187" w:rsidSect="000856F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71" w:rsidRPr="00A312BC" w:rsidRDefault="00FA3071" w:rsidP="00A312BC"/>
  </w:endnote>
  <w:endnote w:type="continuationSeparator" w:id="0">
    <w:p w:rsidR="00FA3071" w:rsidRPr="00A312BC" w:rsidRDefault="00FA30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Pr="000856F3" w:rsidRDefault="000856F3">
    <w:pPr>
      <w:pStyle w:val="a8"/>
    </w:pPr>
    <w:r w:rsidRPr="000856F3">
      <w:rPr>
        <w:b/>
        <w:sz w:val="18"/>
      </w:rPr>
      <w:fldChar w:fldCharType="begin"/>
    </w:r>
    <w:r w:rsidRPr="000856F3">
      <w:rPr>
        <w:b/>
        <w:sz w:val="18"/>
      </w:rPr>
      <w:instrText xml:space="preserve"> PAGE  \* MERGEFORMAT </w:instrText>
    </w:r>
    <w:r w:rsidRPr="000856F3">
      <w:rPr>
        <w:b/>
        <w:sz w:val="18"/>
      </w:rPr>
      <w:fldChar w:fldCharType="separate"/>
    </w:r>
    <w:r w:rsidR="00D77AD5">
      <w:rPr>
        <w:b/>
        <w:noProof/>
        <w:sz w:val="18"/>
      </w:rPr>
      <w:t>8</w:t>
    </w:r>
    <w:r w:rsidRPr="000856F3">
      <w:rPr>
        <w:b/>
        <w:sz w:val="18"/>
      </w:rPr>
      <w:fldChar w:fldCharType="end"/>
    </w:r>
    <w:r>
      <w:rPr>
        <w:b/>
        <w:sz w:val="18"/>
      </w:rPr>
      <w:tab/>
    </w:r>
    <w:r>
      <w:t>GE.17-15987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Pr="000856F3" w:rsidRDefault="000856F3" w:rsidP="000856F3">
    <w:pPr>
      <w:pStyle w:val="a8"/>
      <w:tabs>
        <w:tab w:val="clear" w:pos="9639"/>
        <w:tab w:val="right" w:pos="9638"/>
      </w:tabs>
      <w:rPr>
        <w:b/>
        <w:sz w:val="18"/>
      </w:rPr>
    </w:pPr>
    <w:r>
      <w:t>GE.17-15987</w:t>
    </w:r>
    <w:r>
      <w:tab/>
    </w:r>
    <w:r w:rsidRPr="000856F3">
      <w:rPr>
        <w:b/>
        <w:sz w:val="18"/>
      </w:rPr>
      <w:fldChar w:fldCharType="begin"/>
    </w:r>
    <w:r w:rsidRPr="000856F3">
      <w:rPr>
        <w:b/>
        <w:sz w:val="18"/>
      </w:rPr>
      <w:instrText xml:space="preserve"> PAGE  \* MERGEFORMAT </w:instrText>
    </w:r>
    <w:r w:rsidRPr="000856F3">
      <w:rPr>
        <w:b/>
        <w:sz w:val="18"/>
      </w:rPr>
      <w:fldChar w:fldCharType="separate"/>
    </w:r>
    <w:r w:rsidR="00D77AD5">
      <w:rPr>
        <w:b/>
        <w:noProof/>
        <w:sz w:val="18"/>
      </w:rPr>
      <w:t>7</w:t>
    </w:r>
    <w:r w:rsidRPr="000856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856F3" w:rsidRDefault="000856F3" w:rsidP="000856F3">
    <w:pPr>
      <w:spacing w:before="120" w:line="240" w:lineRule="auto"/>
    </w:pPr>
    <w:r>
      <w:t>GE.</w:t>
    </w:r>
    <w:r w:rsidR="00DF71B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6AFBE6A6" wp14:editId="5CCC66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17-15987  (R)</w:t>
    </w:r>
    <w:r>
      <w:rPr>
        <w:lang w:val="en-US"/>
      </w:rPr>
      <w:t xml:space="preserve">  131017  161017</w:t>
    </w:r>
    <w:r>
      <w:br/>
    </w:r>
    <w:r w:rsidRPr="000856F3">
      <w:rPr>
        <w:rFonts w:ascii="C39T30Lfz" w:hAnsi="C39T30Lfz"/>
        <w:spacing w:val="0"/>
        <w:w w:val="100"/>
        <w:sz w:val="56"/>
      </w:rPr>
      <w:t></w:t>
    </w:r>
    <w:r w:rsidRPr="000856F3">
      <w:rPr>
        <w:rFonts w:ascii="C39T30Lfz" w:hAnsi="C39T30Lfz"/>
        <w:spacing w:val="0"/>
        <w:w w:val="100"/>
        <w:sz w:val="56"/>
      </w:rPr>
      <w:t></w:t>
    </w:r>
    <w:r w:rsidRPr="000856F3">
      <w:rPr>
        <w:rFonts w:ascii="C39T30Lfz" w:hAnsi="C39T30Lfz"/>
        <w:spacing w:val="0"/>
        <w:w w:val="100"/>
        <w:sz w:val="56"/>
      </w:rPr>
      <w:t></w:t>
    </w:r>
    <w:r w:rsidRPr="000856F3">
      <w:rPr>
        <w:rFonts w:ascii="C39T30Lfz" w:hAnsi="C39T30Lfz"/>
        <w:spacing w:val="0"/>
        <w:w w:val="100"/>
        <w:sz w:val="56"/>
      </w:rPr>
      <w:t></w:t>
    </w:r>
    <w:r w:rsidRPr="000856F3">
      <w:rPr>
        <w:rFonts w:ascii="C39T30Lfz" w:hAnsi="C39T30Lfz"/>
        <w:spacing w:val="0"/>
        <w:w w:val="100"/>
        <w:sz w:val="56"/>
      </w:rPr>
      <w:t></w:t>
    </w:r>
    <w:r w:rsidRPr="000856F3">
      <w:rPr>
        <w:rFonts w:ascii="C39T30Lfz" w:hAnsi="C39T30Lfz"/>
        <w:spacing w:val="0"/>
        <w:w w:val="100"/>
        <w:sz w:val="56"/>
      </w:rPr>
      <w:t></w:t>
    </w:r>
    <w:r w:rsidRPr="000856F3">
      <w:rPr>
        <w:rFonts w:ascii="C39T30Lfz" w:hAnsi="C39T30Lfz"/>
        <w:spacing w:val="0"/>
        <w:w w:val="100"/>
        <w:sz w:val="56"/>
      </w:rPr>
      <w:t></w:t>
    </w:r>
    <w:r w:rsidRPr="000856F3">
      <w:rPr>
        <w:rFonts w:ascii="C39T30Lfz" w:hAnsi="C39T30Lfz"/>
        <w:spacing w:val="0"/>
        <w:w w:val="100"/>
        <w:sz w:val="56"/>
      </w:rPr>
      <w:t></w:t>
    </w:r>
    <w:r w:rsidRPr="000856F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ERD/C/ARE/CO/18-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ARE/CO/18-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71" w:rsidRPr="001075E9" w:rsidRDefault="00FA30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A3071" w:rsidRDefault="00FA30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856F3" w:rsidRPr="00231103" w:rsidRDefault="000856F3" w:rsidP="000856F3">
      <w:pPr>
        <w:pStyle w:val="ad"/>
        <w:rPr>
          <w:lang w:val="ru-RU"/>
        </w:rPr>
      </w:pPr>
      <w:r>
        <w:rPr>
          <w:lang w:val="ru-RU"/>
        </w:rPr>
        <w:tab/>
      </w:r>
      <w:r w:rsidRPr="00631E4C">
        <w:rPr>
          <w:sz w:val="20"/>
          <w:lang w:val="ru-RU"/>
        </w:rPr>
        <w:t>*</w:t>
      </w:r>
      <w:r>
        <w:rPr>
          <w:lang w:val="ru-RU"/>
        </w:rPr>
        <w:tab/>
        <w:t>Приняты Комитетом на его девяносто третьей сессии (31 июля – 25 августа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Pr="000856F3" w:rsidRDefault="000856F3">
    <w:pPr>
      <w:pStyle w:val="a5"/>
    </w:pPr>
    <w:fldSimple w:instr=" TITLE  \* MERGEFORMAT ">
      <w:r w:rsidR="00D77AD5">
        <w:t>CERD/C/ARE/CO/18-21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Pr="000856F3" w:rsidRDefault="000856F3" w:rsidP="000856F3">
    <w:pPr>
      <w:pStyle w:val="a5"/>
      <w:jc w:val="right"/>
    </w:pPr>
    <w:fldSimple w:instr=" TITLE  \* MERGEFORMAT ">
      <w:r w:rsidR="00D77AD5">
        <w:t>CERD/C/ARE/CO/18-21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1"/>
    <w:rsid w:val="00033EE1"/>
    <w:rsid w:val="00042B72"/>
    <w:rsid w:val="000558BD"/>
    <w:rsid w:val="000856F3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195"/>
    <w:rsid w:val="00381C24"/>
    <w:rsid w:val="003958D0"/>
    <w:rsid w:val="003B00E5"/>
    <w:rsid w:val="003D11EA"/>
    <w:rsid w:val="00407B78"/>
    <w:rsid w:val="0042038F"/>
    <w:rsid w:val="00424203"/>
    <w:rsid w:val="00452493"/>
    <w:rsid w:val="00453318"/>
    <w:rsid w:val="00454E07"/>
    <w:rsid w:val="00472C5C"/>
    <w:rsid w:val="004A1C15"/>
    <w:rsid w:val="004E104A"/>
    <w:rsid w:val="0050108D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31E4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57357"/>
    <w:rsid w:val="0079646A"/>
    <w:rsid w:val="00796BD4"/>
    <w:rsid w:val="007C46C9"/>
    <w:rsid w:val="00825F8D"/>
    <w:rsid w:val="00834B71"/>
    <w:rsid w:val="00843657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B10CC7"/>
    <w:rsid w:val="00B27969"/>
    <w:rsid w:val="00B32719"/>
    <w:rsid w:val="00B36DF7"/>
    <w:rsid w:val="00B539E7"/>
    <w:rsid w:val="00B62458"/>
    <w:rsid w:val="00BC18B2"/>
    <w:rsid w:val="00BD33EE"/>
    <w:rsid w:val="00C106D6"/>
    <w:rsid w:val="00C60F0C"/>
    <w:rsid w:val="00C645C3"/>
    <w:rsid w:val="00C805C9"/>
    <w:rsid w:val="00C92939"/>
    <w:rsid w:val="00CA1679"/>
    <w:rsid w:val="00CB151C"/>
    <w:rsid w:val="00CE5A1A"/>
    <w:rsid w:val="00CF55F6"/>
    <w:rsid w:val="00D33D63"/>
    <w:rsid w:val="00D77AD5"/>
    <w:rsid w:val="00D90028"/>
    <w:rsid w:val="00D90138"/>
    <w:rsid w:val="00DD78D1"/>
    <w:rsid w:val="00DE32CD"/>
    <w:rsid w:val="00DF71B9"/>
    <w:rsid w:val="00E73F76"/>
    <w:rsid w:val="00EA2C9F"/>
    <w:rsid w:val="00EA420E"/>
    <w:rsid w:val="00EC3187"/>
    <w:rsid w:val="00ED0BDA"/>
    <w:rsid w:val="00EF1360"/>
    <w:rsid w:val="00EF3220"/>
    <w:rsid w:val="00F0540A"/>
    <w:rsid w:val="00F43903"/>
    <w:rsid w:val="00F94155"/>
    <w:rsid w:val="00F9783F"/>
    <w:rsid w:val="00FA307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A31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31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A31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A31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A31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A31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A31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A31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A31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A31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A31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A31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A31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A31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8A31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8A31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8A31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8A31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8A31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3D11E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8A31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8A31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8A3166"/>
  </w:style>
  <w:style w:type="character" w:customStyle="1" w:styleId="af0">
    <w:name w:val="Текст концевой сноски Знак"/>
    <w:aliases w:val="2_GR Знак"/>
    <w:basedOn w:val="a0"/>
    <w:link w:val="af"/>
    <w:rsid w:val="008A31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A31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8A31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8A31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4</TotalTime>
  <Pages>9</Pages>
  <Words>3298</Words>
  <Characters>23597</Characters>
  <Application>Microsoft Office Word</Application>
  <DocSecurity>0</DocSecurity>
  <Lines>444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CERD/C/ARE/CO/18-21</vt:lpstr>
      <vt:lpstr>A/</vt:lpstr>
    </vt:vector>
  </TitlesOfParts>
  <Company>DCM</Company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CERD/C/ARE/CO/18-21</dc:title>
  <dc:subject/>
  <dc:creator>Uliana Antipova</dc:creator>
  <cp:keywords/>
  <cp:lastModifiedBy>Uliana Antipova</cp:lastModifiedBy>
  <cp:revision>3</cp:revision>
  <cp:lastPrinted>2017-10-16T11:33:00Z</cp:lastPrinted>
  <dcterms:created xsi:type="dcterms:W3CDTF">2017-10-16T11:33:00Z</dcterms:created>
  <dcterms:modified xsi:type="dcterms:W3CDTF">2017-10-16T11:37:00Z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