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w:t>
            </w:r>
            <w:r w:rsidR="001D5785">
              <w:rPr>
                <w:rFonts w:hint="eastAsia"/>
                <w:sz w:val="20"/>
              </w:rPr>
              <w:t>OP/12/6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F05DBE" w:rsidP="00137BEA">
            <w:pPr>
              <w:spacing w:before="240" w:line="240" w:lineRule="atLeast"/>
              <w:rPr>
                <w:sz w:val="20"/>
              </w:rPr>
            </w:pPr>
            <w:r>
              <w:rPr>
                <w:sz w:val="20"/>
              </w:rPr>
              <w:t xml:space="preserve">Distr.: </w:t>
            </w:r>
            <w:r w:rsidR="00A879C2" w:rsidRPr="00137BEA">
              <w:rPr>
                <w:sz w:val="20"/>
              </w:rPr>
              <w:t>General</w:t>
            </w:r>
          </w:p>
          <w:p w:rsidR="00A879C2" w:rsidRPr="00137BEA" w:rsidRDefault="001D5785">
            <w:pPr>
              <w:spacing w:line="240" w:lineRule="atLeast"/>
              <w:rPr>
                <w:rFonts w:hint="eastAsia"/>
                <w:sz w:val="20"/>
              </w:rPr>
            </w:pPr>
            <w:r>
              <w:rPr>
                <w:rFonts w:hint="eastAsia"/>
                <w:sz w:val="20"/>
              </w:rPr>
              <w:t xml:space="preserve">30 </w:t>
            </w:r>
            <w:r w:rsidRPr="001D5785">
              <w:rPr>
                <w:sz w:val="20"/>
              </w:rPr>
              <w:t>December</w:t>
            </w:r>
            <w:r w:rsidR="00D83B4B">
              <w:rPr>
                <w:sz w:val="20"/>
              </w:rPr>
              <w:t xml:space="preserve"> 20</w:t>
            </w:r>
            <w:r w:rsidR="00D83B4B">
              <w:rPr>
                <w:rFonts w:hint="eastAsia"/>
                <w:sz w:val="20"/>
              </w:rPr>
              <w:t>10</w:t>
            </w:r>
          </w:p>
          <w:p w:rsidR="00A879C2" w:rsidRPr="00137BEA" w:rsidRDefault="00A879C2" w:rsidP="00626C95">
            <w:pPr>
              <w:spacing w:line="240" w:lineRule="atLeast"/>
              <w:rPr>
                <w:sz w:val="20"/>
              </w:rPr>
            </w:pPr>
            <w:r w:rsidRPr="00137BEA">
              <w:rPr>
                <w:sz w:val="20"/>
              </w:rPr>
              <w:t xml:space="preserve">Chinese </w:t>
            </w:r>
          </w:p>
          <w:p w:rsidR="00A879C2" w:rsidRPr="00137BEA" w:rsidRDefault="00F05DBE" w:rsidP="00137BEA">
            <w:pPr>
              <w:spacing w:line="240" w:lineRule="atLeast"/>
              <w:rPr>
                <w:rFonts w:hint="eastAsia"/>
                <w:sz w:val="20"/>
              </w:rPr>
            </w:pPr>
            <w:r>
              <w:rPr>
                <w:sz w:val="20"/>
              </w:rPr>
              <w:t xml:space="preserve">Original: </w:t>
            </w:r>
            <w:r w:rsidR="00A879C2" w:rsidRPr="00137BEA">
              <w:rPr>
                <w:sz w:val="20"/>
              </w:rPr>
              <w:t>English</w:t>
            </w:r>
          </w:p>
        </w:tc>
      </w:tr>
    </w:tbl>
    <w:p w:rsidR="009A001C" w:rsidRPr="009A001C" w:rsidRDefault="00F05DBE" w:rsidP="009A001C">
      <w:pPr>
        <w:spacing w:before="120"/>
        <w:rPr>
          <w:rFonts w:ascii="Time New Roman" w:eastAsia="SimHei" w:hAnsi="Time New Roman" w:hint="eastAsia"/>
          <w:sz w:val="24"/>
          <w:szCs w:val="24"/>
          <w:lang w:val="en-GB"/>
        </w:rPr>
      </w:pPr>
      <w:r>
        <w:rPr>
          <w:rFonts w:ascii="Time New Roman" w:eastAsia="SimHei" w:hAnsi="Time New Roman" w:hint="eastAsia"/>
          <w:sz w:val="24"/>
          <w:szCs w:val="24"/>
        </w:rPr>
        <w:t>防止</w:t>
      </w:r>
      <w:r w:rsidR="009A001C" w:rsidRPr="009A001C">
        <w:rPr>
          <w:rFonts w:ascii="Time New Roman" w:eastAsia="SimHei" w:hAnsi="Time New Roman" w:hint="eastAsia"/>
          <w:sz w:val="24"/>
          <w:szCs w:val="24"/>
          <w:lang w:val="en-GB"/>
        </w:rPr>
        <w:t>酷刑和其他残忍、不人道或有辱</w:t>
      </w:r>
      <w:r w:rsidR="00A50518">
        <w:rPr>
          <w:rFonts w:ascii="Time New Roman" w:eastAsia="SimHei" w:hAnsi="Time New Roman"/>
          <w:sz w:val="24"/>
          <w:szCs w:val="24"/>
          <w:lang w:val="en-GB"/>
        </w:rPr>
        <w:br/>
      </w:r>
      <w:r w:rsidR="009A001C" w:rsidRPr="009A001C">
        <w:rPr>
          <w:rFonts w:ascii="Time New Roman" w:eastAsia="SimHei" w:hAnsi="Time New Roman" w:hint="eastAsia"/>
          <w:sz w:val="24"/>
          <w:szCs w:val="24"/>
          <w:lang w:val="en-GB"/>
        </w:rPr>
        <w:t>人格的待遇或处罚问题</w:t>
      </w:r>
      <w:r w:rsidR="009A001C" w:rsidRPr="009A001C">
        <w:rPr>
          <w:rFonts w:ascii="Time New Roman" w:eastAsia="SimHei" w:hAnsi="Time New Roman" w:hint="eastAsia"/>
          <w:sz w:val="24"/>
          <w:szCs w:val="24"/>
          <w:lang w:val="fr-CH"/>
        </w:rPr>
        <w:t>小组委员会</w:t>
      </w:r>
    </w:p>
    <w:p w:rsidR="009A001C" w:rsidRPr="009A001C" w:rsidRDefault="009A001C" w:rsidP="009A001C">
      <w:pPr>
        <w:rPr>
          <w:rFonts w:ascii="Time New Roman" w:eastAsia="SimHei" w:hAnsi="Time New Roman" w:hint="eastAsia"/>
          <w:lang w:val="en-GB"/>
        </w:rPr>
      </w:pPr>
      <w:r w:rsidRPr="009A001C">
        <w:rPr>
          <w:rFonts w:ascii="Time New Roman" w:eastAsia="SimHei" w:hAnsi="Time New Roman" w:hint="eastAsia"/>
          <w:lang w:val="en-GB"/>
        </w:rPr>
        <w:t>第十二届会议</w:t>
      </w:r>
    </w:p>
    <w:p w:rsidR="00A879C2" w:rsidRDefault="009A001C">
      <w:pPr>
        <w:rPr>
          <w:rFonts w:hint="eastAsia"/>
          <w:lang w:val="en-GB"/>
        </w:rPr>
      </w:pPr>
      <w:r w:rsidRPr="009A001C">
        <w:rPr>
          <w:rFonts w:hint="eastAsia"/>
          <w:lang w:val="en-GB"/>
        </w:rPr>
        <w:t>2010</w:t>
      </w:r>
      <w:r w:rsidRPr="009A001C">
        <w:rPr>
          <w:rFonts w:hint="eastAsia"/>
          <w:lang w:val="en-GB"/>
        </w:rPr>
        <w:t>年</w:t>
      </w:r>
      <w:r w:rsidRPr="009A001C">
        <w:rPr>
          <w:rFonts w:hint="eastAsia"/>
          <w:lang w:val="en-GB"/>
        </w:rPr>
        <w:t>11</w:t>
      </w:r>
      <w:r w:rsidRPr="009A001C">
        <w:rPr>
          <w:rFonts w:hint="eastAsia"/>
          <w:lang w:val="en-GB"/>
        </w:rPr>
        <w:t>月</w:t>
      </w:r>
      <w:r w:rsidRPr="009A001C">
        <w:rPr>
          <w:rFonts w:hint="eastAsia"/>
          <w:lang w:val="en-GB"/>
        </w:rPr>
        <w:t>15</w:t>
      </w:r>
      <w:r w:rsidRPr="009A001C">
        <w:rPr>
          <w:rFonts w:hint="eastAsia"/>
          <w:lang w:val="en-GB"/>
        </w:rPr>
        <w:t>至</w:t>
      </w:r>
      <w:r w:rsidRPr="009A001C">
        <w:rPr>
          <w:rFonts w:hint="eastAsia"/>
          <w:lang w:val="en-GB"/>
        </w:rPr>
        <w:t>19</w:t>
      </w:r>
      <w:r w:rsidRPr="009A001C">
        <w:rPr>
          <w:rFonts w:hint="eastAsia"/>
          <w:lang w:val="en-GB"/>
        </w:rPr>
        <w:t>日，日内瓦</w:t>
      </w:r>
    </w:p>
    <w:p w:rsidR="00A50518" w:rsidRDefault="00A50518">
      <w:pPr>
        <w:rPr>
          <w:rFonts w:hint="eastAsia"/>
          <w:lang w:val="en-GB"/>
        </w:rPr>
      </w:pPr>
    </w:p>
    <w:p w:rsidR="009A001C" w:rsidRDefault="009A001C">
      <w:pPr>
        <w:rPr>
          <w:rFonts w:hint="eastAsia"/>
        </w:rPr>
      </w:pPr>
    </w:p>
    <w:p w:rsidR="00A879C2" w:rsidRPr="00A50518" w:rsidRDefault="008D6116" w:rsidP="009A001C">
      <w:pPr>
        <w:pStyle w:val="HMGC"/>
        <w:rPr>
          <w:rFonts w:hint="eastAsia"/>
          <w:spacing w:val="2"/>
          <w:lang w:val="fr-CH"/>
        </w:rPr>
      </w:pPr>
      <w:r>
        <w:rPr>
          <w:rFonts w:hint="eastAsia"/>
          <w:lang w:val="fr-CH"/>
        </w:rPr>
        <w:tab/>
      </w:r>
      <w:r>
        <w:rPr>
          <w:rFonts w:hint="eastAsia"/>
          <w:lang w:val="fr-CH"/>
        </w:rPr>
        <w:tab/>
      </w:r>
      <w:r w:rsidR="009A001C" w:rsidRPr="00A50518">
        <w:rPr>
          <w:rFonts w:hint="eastAsia"/>
          <w:spacing w:val="-3"/>
        </w:rPr>
        <w:t>防止酷刑小组委员会根据《</w:t>
      </w:r>
      <w:r w:rsidR="009A001C" w:rsidRPr="00A50518">
        <w:rPr>
          <w:rFonts w:hint="eastAsia"/>
          <w:spacing w:val="-3"/>
          <w:lang w:val="en-GB"/>
        </w:rPr>
        <w:t>禁止酷刑和其他残忍、不人道或有辱人格的待遇或处罚</w:t>
      </w:r>
      <w:r w:rsidR="009A001C" w:rsidRPr="00A50518">
        <w:rPr>
          <w:rFonts w:hint="eastAsia"/>
          <w:spacing w:val="-3"/>
        </w:rPr>
        <w:t>公约任择议定书</w:t>
      </w:r>
      <w:r w:rsidR="009A001C" w:rsidRPr="00A50518">
        <w:rPr>
          <w:rFonts w:hint="eastAsia"/>
          <w:spacing w:val="2"/>
        </w:rPr>
        <w:t>》处理</w:t>
      </w:r>
      <w:r w:rsidR="009A001C" w:rsidRPr="00A50518">
        <w:rPr>
          <w:rFonts w:hint="eastAsia"/>
          <w:spacing w:val="2"/>
          <w:lang w:val="en-GB"/>
        </w:rPr>
        <w:t>禁止酷</w:t>
      </w:r>
      <w:r w:rsidR="009A001C" w:rsidRPr="00A50518">
        <w:rPr>
          <w:rFonts w:hint="eastAsia"/>
          <w:lang w:val="en-GB"/>
        </w:rPr>
        <w:t>刑和其他残忍、不人道或有辱人格的</w:t>
      </w:r>
      <w:r w:rsidR="00A50518">
        <w:rPr>
          <w:lang w:val="en-GB"/>
        </w:rPr>
        <w:br/>
      </w:r>
      <w:r w:rsidR="009A001C" w:rsidRPr="00A50518">
        <w:rPr>
          <w:rFonts w:hint="eastAsia"/>
          <w:lang w:val="en-GB"/>
        </w:rPr>
        <w:t>待遇或处罚的概念的方</w:t>
      </w:r>
      <w:r w:rsidR="009A001C" w:rsidRPr="00A50518">
        <w:rPr>
          <w:rFonts w:hint="eastAsia"/>
          <w:spacing w:val="2"/>
          <w:lang w:val="en-GB"/>
        </w:rPr>
        <w:t>法</w:t>
      </w:r>
    </w:p>
    <w:p w:rsidR="009A001C" w:rsidRPr="009A001C" w:rsidRDefault="009A001C" w:rsidP="00B12683">
      <w:pPr>
        <w:pStyle w:val="HChGC"/>
        <w:rPr>
          <w:rFonts w:hint="eastAsia"/>
          <w:lang w:val="en-GB"/>
        </w:rPr>
      </w:pPr>
      <w:r w:rsidRPr="009A001C">
        <w:rPr>
          <w:lang w:val="en-GB"/>
        </w:rPr>
        <w:br w:type="page"/>
      </w:r>
      <w:r w:rsidR="00B12683">
        <w:rPr>
          <w:rFonts w:hint="eastAsia"/>
          <w:lang w:val="en-GB"/>
        </w:rPr>
        <w:tab/>
      </w:r>
      <w:r w:rsidR="00B12683">
        <w:rPr>
          <w:rFonts w:hint="eastAsia"/>
          <w:lang w:val="en-GB"/>
        </w:rPr>
        <w:t>一</w:t>
      </w:r>
      <w:r w:rsidR="00B12683">
        <w:rPr>
          <w:rFonts w:hint="eastAsia"/>
          <w:lang w:val="en-GB"/>
        </w:rPr>
        <w:t>.</w:t>
      </w:r>
      <w:r w:rsidR="00B12683">
        <w:rPr>
          <w:rFonts w:hint="eastAsia"/>
          <w:lang w:val="en-GB"/>
        </w:rPr>
        <w:tab/>
      </w:r>
      <w:r w:rsidRPr="009A001C">
        <w:rPr>
          <w:rFonts w:hint="eastAsia"/>
          <w:lang w:val="en-GB"/>
        </w:rPr>
        <w:t>导言</w:t>
      </w:r>
    </w:p>
    <w:p w:rsidR="009A001C" w:rsidRPr="009A001C" w:rsidRDefault="00B12683" w:rsidP="002D2F33">
      <w:pPr>
        <w:pStyle w:val="SingleTxtGC"/>
        <w:rPr>
          <w:rFonts w:hint="eastAsia"/>
        </w:rPr>
      </w:pPr>
      <w:r>
        <w:rPr>
          <w:rFonts w:hint="eastAsia"/>
          <w:lang w:val="en-GB"/>
        </w:rPr>
        <w:t xml:space="preserve">1.  </w:t>
      </w:r>
      <w:r w:rsidR="009A001C" w:rsidRPr="009A001C">
        <w:rPr>
          <w:rFonts w:hint="eastAsia"/>
          <w:lang w:val="en-GB"/>
        </w:rPr>
        <w:t>毫无疑问，</w:t>
      </w:r>
      <w:r w:rsidR="009A001C" w:rsidRPr="009A001C">
        <w:rPr>
          <w:rFonts w:hint="eastAsia"/>
        </w:rPr>
        <w:t>《</w:t>
      </w:r>
      <w:r w:rsidR="009A001C" w:rsidRPr="009A001C">
        <w:rPr>
          <w:rFonts w:hint="eastAsia"/>
          <w:lang w:val="en-GB"/>
        </w:rPr>
        <w:t>禁止酷刑和其他残忍、不人道或有辱人格的待遇或处罚</w:t>
      </w:r>
      <w:r w:rsidR="009A001C" w:rsidRPr="009A001C">
        <w:rPr>
          <w:rFonts w:hint="eastAsia"/>
        </w:rPr>
        <w:t>公约任择议定书》</w:t>
      </w:r>
      <w:r w:rsidR="00F05DBE">
        <w:rPr>
          <w:rFonts w:hint="eastAsia"/>
        </w:rPr>
        <w:t>(</w:t>
      </w:r>
      <w:r w:rsidR="009A001C" w:rsidRPr="009A001C">
        <w:rPr>
          <w:rFonts w:hint="eastAsia"/>
        </w:rPr>
        <w:t>“任择议定书”</w:t>
      </w:r>
      <w:r w:rsidR="00F05DBE">
        <w:rPr>
          <w:rFonts w:hint="eastAsia"/>
        </w:rPr>
        <w:t>)</w:t>
      </w:r>
      <w:r w:rsidR="00343FB6">
        <w:rPr>
          <w:rFonts w:hint="eastAsia"/>
        </w:rPr>
        <w:t>的缔约国有</w:t>
      </w:r>
      <w:r w:rsidR="009A001C" w:rsidRPr="009A001C">
        <w:rPr>
          <w:rFonts w:hint="eastAsia"/>
        </w:rPr>
        <w:t>法律义务“防止”酷刑和其他残忍、不人道或有辱人格的待遇或处罚。《任择议定书》所有缔约国也必须参加的《公约》第</w:t>
      </w:r>
      <w:r w:rsidR="009A001C" w:rsidRPr="009A001C">
        <w:rPr>
          <w:rFonts w:hint="eastAsia"/>
        </w:rPr>
        <w:t>2</w:t>
      </w:r>
      <w:r w:rsidR="009A001C" w:rsidRPr="009A001C">
        <w:rPr>
          <w:rFonts w:hint="eastAsia"/>
        </w:rPr>
        <w:t>条第</w:t>
      </w:r>
      <w:r w:rsidR="009A001C" w:rsidRPr="009A001C">
        <w:rPr>
          <w:rFonts w:hint="eastAsia"/>
        </w:rPr>
        <w:t>1</w:t>
      </w:r>
      <w:r w:rsidR="009A001C" w:rsidRPr="009A001C">
        <w:rPr>
          <w:rFonts w:hint="eastAsia"/>
        </w:rPr>
        <w:t>款规定，“每一缔约国应采取有效的立法、行政、司法或其他措施，防止在其管辖的任何领土内出现酷刑的行为”。《公约》第</w:t>
      </w:r>
      <w:r w:rsidR="009A001C" w:rsidRPr="009A001C">
        <w:rPr>
          <w:rFonts w:hint="eastAsia"/>
        </w:rPr>
        <w:t>16</w:t>
      </w:r>
      <w:r w:rsidR="009A001C" w:rsidRPr="009A001C">
        <w:rPr>
          <w:rFonts w:hint="eastAsia"/>
        </w:rPr>
        <w:t>条第</w:t>
      </w:r>
      <w:r w:rsidR="009A001C" w:rsidRPr="009A001C">
        <w:rPr>
          <w:rFonts w:hint="eastAsia"/>
        </w:rPr>
        <w:t>1</w:t>
      </w:r>
      <w:r w:rsidR="009A001C" w:rsidRPr="009A001C">
        <w:rPr>
          <w:rFonts w:hint="eastAsia"/>
        </w:rPr>
        <w:t>款扩大了这项义务，规定：“每一缔约国应保证防止……在该国管辖的任何领土内……未达……酷刑程度的其他残忍、不人道或有辱人格的待遇或处罚的行为”。如禁止酷刑委员会在第</w:t>
      </w:r>
      <w:r w:rsidR="009A001C" w:rsidRPr="009A001C">
        <w:rPr>
          <w:rFonts w:hint="eastAsia"/>
        </w:rPr>
        <w:t>2</w:t>
      </w:r>
      <w:r w:rsidR="009A001C" w:rsidRPr="009A001C">
        <w:rPr>
          <w:rFonts w:hint="eastAsia"/>
        </w:rPr>
        <w:t>号一般性评论中所解释的那样，“第</w:t>
      </w:r>
      <w:r w:rsidR="009A001C" w:rsidRPr="009A001C">
        <w:rPr>
          <w:rFonts w:hint="eastAsia"/>
        </w:rPr>
        <w:t>2</w:t>
      </w:r>
      <w:r w:rsidR="009A001C" w:rsidRPr="009A001C">
        <w:rPr>
          <w:rFonts w:hint="eastAsia"/>
        </w:rPr>
        <w:t>条第</w:t>
      </w:r>
      <w:r w:rsidR="009A001C" w:rsidRPr="009A001C">
        <w:rPr>
          <w:rFonts w:hint="eastAsia"/>
        </w:rPr>
        <w:t>1</w:t>
      </w:r>
      <w:r w:rsidR="009A001C" w:rsidRPr="009A001C">
        <w:rPr>
          <w:rFonts w:hint="eastAsia"/>
        </w:rPr>
        <w:t>款规定每一缔约国有义务采取行动，禁止酷刑”</w:t>
      </w:r>
      <w:r w:rsidR="009A001C" w:rsidRPr="00F05DBE">
        <w:rPr>
          <w:color w:val="0000FF"/>
          <w:vertAlign w:val="superscript"/>
        </w:rPr>
        <w:footnoteReference w:id="1"/>
      </w:r>
      <w:r w:rsidR="009A001C" w:rsidRPr="009A001C">
        <w:rPr>
          <w:rFonts w:hint="eastAsia"/>
        </w:rPr>
        <w:t>。防止酷刑和虐待的义务既加强对酷刑的禁止，它本身也是一项义务。缔约国如果不在其权力范围内采取适当的预防措施，一旦发生酷刑，即使在该国本来可以不承担责任的情况下发生的，它也可能要承担国际责任。</w:t>
      </w:r>
    </w:p>
    <w:p w:rsidR="009A001C" w:rsidRPr="009A001C" w:rsidRDefault="00B12683" w:rsidP="00B12683">
      <w:pPr>
        <w:pStyle w:val="SingleTxtGC"/>
        <w:rPr>
          <w:rFonts w:hint="eastAsia"/>
        </w:rPr>
      </w:pPr>
      <w:r>
        <w:rPr>
          <w:rFonts w:hint="eastAsia"/>
        </w:rPr>
        <w:t xml:space="preserve">2.  </w:t>
      </w:r>
      <w:r w:rsidR="009A001C" w:rsidRPr="009A001C">
        <w:rPr>
          <w:rFonts w:hint="eastAsia"/>
        </w:rPr>
        <w:t>国际法院提请注意《公约》第</w:t>
      </w:r>
      <w:r w:rsidR="009A001C" w:rsidRPr="009A001C">
        <w:rPr>
          <w:rFonts w:hint="eastAsia"/>
        </w:rPr>
        <w:t>2</w:t>
      </w:r>
      <w:r w:rsidR="009A001C" w:rsidRPr="009A001C">
        <w:rPr>
          <w:rFonts w:hint="eastAsia"/>
        </w:rPr>
        <w:t>条说，“关于防止的义务，按有关条款的措辞，取决于要防止的行为的性质，其内容在各个文件都有差异”。</w:t>
      </w:r>
      <w:r w:rsidR="009A001C" w:rsidRPr="00F05DBE">
        <w:rPr>
          <w:color w:val="0000FF"/>
          <w:vertAlign w:val="superscript"/>
        </w:rPr>
        <w:footnoteReference w:id="2"/>
      </w:r>
      <w:r w:rsidR="00A34A4E">
        <w:rPr>
          <w:rFonts w:hint="eastAsia"/>
        </w:rPr>
        <w:t xml:space="preserve"> </w:t>
      </w:r>
      <w:r w:rsidR="009A001C" w:rsidRPr="009A001C">
        <w:rPr>
          <w:rFonts w:hint="eastAsia"/>
        </w:rPr>
        <w:t>委员会说，防止的义务“范围很广”</w:t>
      </w:r>
      <w:r w:rsidR="009A001C" w:rsidRPr="00F05DBE">
        <w:rPr>
          <w:color w:val="0000FF"/>
          <w:vertAlign w:val="superscript"/>
        </w:rPr>
        <w:footnoteReference w:id="3"/>
      </w:r>
      <w:r w:rsidR="009A001C" w:rsidRPr="009A001C">
        <w:rPr>
          <w:rFonts w:hint="eastAsia"/>
        </w:rPr>
        <w:t>，它表明该义务的内容不是静止的，因为“委员会对有效措施的理解和建议在不断的演变中”</w:t>
      </w:r>
      <w:r w:rsidR="009A001C" w:rsidRPr="00F05DBE">
        <w:rPr>
          <w:color w:val="0000FF"/>
          <w:vertAlign w:val="superscript"/>
        </w:rPr>
        <w:footnoteReference w:id="4"/>
      </w:r>
      <w:r w:rsidR="009A001C" w:rsidRPr="009A001C">
        <w:rPr>
          <w:rFonts w:hint="eastAsia"/>
        </w:rPr>
        <w:t>，因此“不局限于下面第</w:t>
      </w:r>
      <w:r w:rsidR="009A001C" w:rsidRPr="009A001C">
        <w:rPr>
          <w:rFonts w:hint="eastAsia"/>
        </w:rPr>
        <w:t>3</w:t>
      </w:r>
      <w:r w:rsidR="009A001C" w:rsidRPr="009A001C">
        <w:rPr>
          <w:rFonts w:hint="eastAsia"/>
        </w:rPr>
        <w:t>至第</w:t>
      </w:r>
      <w:r w:rsidR="009A001C" w:rsidRPr="009A001C">
        <w:rPr>
          <w:rFonts w:hint="eastAsia"/>
        </w:rPr>
        <w:t>16</w:t>
      </w:r>
      <w:r w:rsidR="009A001C" w:rsidRPr="009A001C">
        <w:rPr>
          <w:rFonts w:hint="eastAsia"/>
        </w:rPr>
        <w:t>段所载的措施”</w:t>
      </w:r>
      <w:r w:rsidR="009A001C" w:rsidRPr="00F05DBE">
        <w:rPr>
          <w:color w:val="0000FF"/>
          <w:vertAlign w:val="superscript"/>
        </w:rPr>
        <w:footnoteReference w:id="5"/>
      </w:r>
      <w:r w:rsidR="009A001C" w:rsidRPr="009A001C">
        <w:rPr>
          <w:rFonts w:hint="eastAsia"/>
        </w:rPr>
        <w:t>。</w:t>
      </w:r>
    </w:p>
    <w:p w:rsidR="00B02175" w:rsidRDefault="00F05DBE" w:rsidP="00B12683">
      <w:pPr>
        <w:pStyle w:val="SingleTxtGC"/>
      </w:pPr>
      <w:r>
        <w:rPr>
          <w:rFonts w:hint="eastAsia"/>
        </w:rPr>
        <w:t xml:space="preserve">3.  </w:t>
      </w:r>
      <w:r w:rsidR="009A001C" w:rsidRPr="009A001C">
        <w:rPr>
          <w:rFonts w:hint="eastAsia"/>
        </w:rPr>
        <w:t>防止酷刑小组委员会认为，如上述意见所表明的那样，可以就防止酷刑和虐待的义务在理论上产生的后果拟订一项全面的声明。当然，能够而且必须确定国家遵守具有预防效应的国际文书规定的正式法律承诺的程度，但是，尽管这很有必要，但在履行防止的义务方面，这很难说是足够的：这既是国家的立法、行政、司法或其他措施的习惯做法，也是这种措施的内容，因为这是预防努力的核心。此外，防止酷刑和虐待，比遵守法律承诺的范围要广。在这个意义上，防止酷刑和虐待尽量多地包括</w:t>
      </w:r>
      <w:r>
        <w:rPr>
          <w:rFonts w:hint="eastAsia"/>
        </w:rPr>
        <w:t>(</w:t>
      </w:r>
      <w:r w:rsidR="009A001C" w:rsidRPr="009A001C">
        <w:rPr>
          <w:rFonts w:hint="eastAsia"/>
        </w:rPr>
        <w:t>或者应该包括</w:t>
      </w:r>
      <w:r>
        <w:rPr>
          <w:rFonts w:hint="eastAsia"/>
        </w:rPr>
        <w:t>)</w:t>
      </w:r>
      <w:r w:rsidR="009A001C" w:rsidRPr="009A001C">
        <w:rPr>
          <w:rFonts w:hint="eastAsia"/>
        </w:rPr>
        <w:t>在特定情况下能有助于减少发生酷刑或虐待的可能性或风险。这种方法不仅要求在形式和实质上履行有关的国际义务和标准，而且还要注意与被剥夺自由的人的经历和待遇有关的所有其他因素，他们的经历和待遇由于其特性而具有非常具体的内容。</w:t>
      </w:r>
    </w:p>
    <w:p w:rsidR="009A001C" w:rsidRPr="009A001C" w:rsidRDefault="00B02175" w:rsidP="00B12683">
      <w:pPr>
        <w:pStyle w:val="SingleTxtGC"/>
        <w:rPr>
          <w:rFonts w:hint="eastAsia"/>
          <w:lang w:val="en-GB"/>
        </w:rPr>
      </w:pPr>
      <w:r>
        <w:br w:type="page"/>
      </w:r>
      <w:r w:rsidR="00F05DBE">
        <w:rPr>
          <w:rFonts w:hint="eastAsia"/>
          <w:lang w:val="en-GB"/>
        </w:rPr>
        <w:t xml:space="preserve">4.  </w:t>
      </w:r>
      <w:r w:rsidR="00F05DBE">
        <w:rPr>
          <w:rFonts w:hint="eastAsia"/>
          <w:lang w:val="en-GB"/>
        </w:rPr>
        <w:t>为此，《任择议定书》在力图加强保护被剥夺自由的人方面，不是</w:t>
      </w:r>
      <w:r w:rsidR="009A001C" w:rsidRPr="009A001C">
        <w:rPr>
          <w:rFonts w:hint="eastAsia"/>
          <w:lang w:val="en-GB"/>
        </w:rPr>
        <w:t>规定额外的实质性预防义务，而是促进防止酷刑，在国际和国内层面上建立定期探访的</w:t>
      </w:r>
      <w:r w:rsidR="00F05DBE">
        <w:rPr>
          <w:rFonts w:hint="eastAsia"/>
          <w:lang w:val="en-GB"/>
        </w:rPr>
        <w:t>预防制度</w:t>
      </w:r>
      <w:r w:rsidR="009A001C" w:rsidRPr="009A001C">
        <w:rPr>
          <w:rFonts w:hint="eastAsia"/>
          <w:lang w:val="en-GB"/>
        </w:rPr>
        <w:t>，并在此基础上编写报告和建议。这种报告和建议的目的不仅是要促成对国际义务和标准的履行，而且还要就如何减少发生酷刑或虐待的可能性或风险问题提出切实的咨询意见和建议；报告和建议将严格根据并参照在探访中发现的事实和遇到的情况。因此，小组委员会认为，它最有能力促进预防工作，它能够扩大它对如何最有效地履行《任择议定书》的任务的理解，而不是就作为抽象概念或者法律义务问题是否需要何种义务阐述自己的意见。不管怎样，有一些关键原则指导小组委员会处理其预防任务，它认为应该予以说明。</w:t>
      </w:r>
    </w:p>
    <w:p w:rsidR="009A001C" w:rsidRPr="009A001C" w:rsidRDefault="00F05DBE" w:rsidP="00F05DBE">
      <w:pPr>
        <w:pStyle w:val="HChGC"/>
        <w:rPr>
          <w:rFonts w:hint="eastAsia"/>
          <w:lang w:val="en-GB"/>
        </w:rPr>
      </w:pPr>
      <w:r>
        <w:rPr>
          <w:rFonts w:hint="eastAsia"/>
          <w:lang w:val="en-GB"/>
        </w:rPr>
        <w:tab/>
      </w:r>
      <w:r>
        <w:rPr>
          <w:rFonts w:hint="eastAsia"/>
          <w:lang w:val="en-GB"/>
        </w:rPr>
        <w:t>二</w:t>
      </w:r>
      <w:r>
        <w:rPr>
          <w:rFonts w:hint="eastAsia"/>
          <w:lang w:val="en-GB"/>
        </w:rPr>
        <w:t>.</w:t>
      </w:r>
      <w:r>
        <w:rPr>
          <w:rFonts w:hint="eastAsia"/>
          <w:lang w:val="en-GB"/>
        </w:rPr>
        <w:tab/>
      </w:r>
      <w:r w:rsidR="009A001C" w:rsidRPr="009A001C">
        <w:rPr>
          <w:rFonts w:hint="eastAsia"/>
          <w:lang w:val="en-GB"/>
        </w:rPr>
        <w:t>指导原则</w:t>
      </w:r>
    </w:p>
    <w:p w:rsidR="009A001C" w:rsidRPr="009A001C" w:rsidRDefault="00F05DBE" w:rsidP="00B12683">
      <w:pPr>
        <w:pStyle w:val="SingleTxtGC"/>
        <w:rPr>
          <w:rFonts w:hint="eastAsia"/>
          <w:lang w:val="en-GB"/>
        </w:rPr>
      </w:pPr>
      <w:r>
        <w:rPr>
          <w:rFonts w:hint="eastAsia"/>
          <w:lang w:val="en-GB"/>
        </w:rPr>
        <w:t xml:space="preserve">5.  </w:t>
      </w:r>
      <w:r w:rsidR="009A001C" w:rsidRPr="009A001C">
        <w:rPr>
          <w:rFonts w:hint="eastAsia"/>
          <w:lang w:val="en-GB"/>
        </w:rPr>
        <w:t>指导原则如下：</w:t>
      </w:r>
    </w:p>
    <w:p w:rsidR="009A001C" w:rsidRPr="009A001C" w:rsidRDefault="009A001C" w:rsidP="00F05DBE">
      <w:pPr>
        <w:pStyle w:val="SingleTxtGC"/>
        <w:numPr>
          <w:ilvl w:val="0"/>
          <w:numId w:val="36"/>
        </w:numPr>
        <w:rPr>
          <w:rFonts w:hint="eastAsia"/>
          <w:lang w:val="en-GB"/>
        </w:rPr>
      </w:pPr>
      <w:r w:rsidRPr="009A001C">
        <w:rPr>
          <w:rFonts w:hint="eastAsia"/>
          <w:lang w:val="en-GB"/>
        </w:rPr>
        <w:t>酷刑和虐待的发生程度受到大量因素的影响，包括享有人权和法制的总体水平、贫穷程度、社会排斥、腐败、歧视等等。虽然某一社会或社群中尊重人权和法制的程度普遍较高，不能保证不</w:t>
      </w:r>
      <w:r w:rsidR="00F05DBE">
        <w:rPr>
          <w:rFonts w:hint="eastAsia"/>
          <w:lang w:val="en-GB"/>
        </w:rPr>
        <w:t>发生酷刑和虐待，但这对有效的预防工作提供了最好的前景。为此，小组</w:t>
      </w:r>
      <w:r w:rsidRPr="009A001C">
        <w:rPr>
          <w:rFonts w:hint="eastAsia"/>
          <w:lang w:val="en-GB"/>
        </w:rPr>
        <w:t>委员会对一国在享有人权方面的总体情况以及这种情况如何影响被剥夺自由者的境况问题有很大的兴趣。</w:t>
      </w:r>
    </w:p>
    <w:p w:rsidR="009A001C" w:rsidRPr="009A001C" w:rsidRDefault="009A001C" w:rsidP="00F05DBE">
      <w:pPr>
        <w:pStyle w:val="SingleTxtGC"/>
        <w:numPr>
          <w:ilvl w:val="0"/>
          <w:numId w:val="36"/>
        </w:numPr>
        <w:rPr>
          <w:rFonts w:hint="eastAsia"/>
          <w:lang w:val="en-GB"/>
        </w:rPr>
      </w:pPr>
      <w:r w:rsidRPr="009A001C">
        <w:rPr>
          <w:rFonts w:hint="eastAsia"/>
          <w:lang w:val="en-GB"/>
        </w:rPr>
        <w:t>小组委员会在工作中必须利用关于被剥夺自由者的待遇的更广泛的规章和政策框架，与负责这些框架的人进行合作。它还必须关注如何通过为此而确立的各种国际安排、它们的治理和管理来落实这些框架的问题，关注它们实际上是如何运作的。因此，对情况必须采取总体的办法，并参照</w:t>
      </w:r>
      <w:r w:rsidR="00F05DBE">
        <w:rPr>
          <w:rFonts w:hint="eastAsia"/>
          <w:lang w:val="en-GB"/>
        </w:rPr>
        <w:t>(</w:t>
      </w:r>
      <w:r w:rsidRPr="009A001C">
        <w:rPr>
          <w:rFonts w:hint="eastAsia"/>
          <w:lang w:val="en-GB"/>
        </w:rPr>
        <w:t>而不是局限于</w:t>
      </w:r>
      <w:r w:rsidR="00F05DBE">
        <w:rPr>
          <w:rFonts w:hint="eastAsia"/>
          <w:lang w:val="en-GB"/>
        </w:rPr>
        <w:t>)</w:t>
      </w:r>
      <w:r w:rsidRPr="009A001C">
        <w:rPr>
          <w:rFonts w:hint="eastAsia"/>
          <w:lang w:val="en-GB"/>
        </w:rPr>
        <w:t>通过它对某些拘留场所的探访所获得的经验。</w:t>
      </w:r>
    </w:p>
    <w:p w:rsidR="009A001C" w:rsidRPr="009A001C" w:rsidRDefault="009A001C" w:rsidP="00F05DBE">
      <w:pPr>
        <w:pStyle w:val="SingleTxtGC"/>
        <w:numPr>
          <w:ilvl w:val="0"/>
          <w:numId w:val="36"/>
        </w:numPr>
        <w:rPr>
          <w:rFonts w:hint="eastAsia"/>
          <w:lang w:val="en-GB"/>
        </w:rPr>
      </w:pPr>
      <w:r w:rsidRPr="009A001C">
        <w:rPr>
          <w:rFonts w:hint="eastAsia"/>
          <w:lang w:val="en-GB"/>
        </w:rPr>
        <w:t>预防工作将包括确保实际上承认并落实关于被剥夺自由者的各种大量的程序保障。这些将涉及到拘留的所有阶段，从最初的逮捕到最后的释放。由于这种保障的目的是减少发生酷刑或虐待的可能性或风险，因此不管有没有实际上发生酷刑或虐待的证据，这些保障措施都是适用的。</w:t>
      </w:r>
    </w:p>
    <w:p w:rsidR="009A001C" w:rsidRPr="009A001C" w:rsidRDefault="009A001C" w:rsidP="00F05DBE">
      <w:pPr>
        <w:pStyle w:val="SingleTxtGC"/>
        <w:numPr>
          <w:ilvl w:val="0"/>
          <w:numId w:val="36"/>
        </w:numPr>
        <w:rPr>
          <w:rFonts w:hint="eastAsia"/>
          <w:lang w:val="en-GB"/>
        </w:rPr>
      </w:pPr>
      <w:r w:rsidRPr="009A001C">
        <w:rPr>
          <w:rFonts w:hint="eastAsia"/>
          <w:lang w:val="en-GB"/>
        </w:rPr>
        <w:t>拘留条件不仅引起残忍、不人道或有辱人格待遇或处罚的问题，而且在有些情况下也是一种酷刑的手段，如果采用的方式与《公约》第</w:t>
      </w:r>
      <w:r w:rsidRPr="009A001C">
        <w:rPr>
          <w:rFonts w:hint="eastAsia"/>
          <w:lang w:val="en-GB"/>
        </w:rPr>
        <w:t>1</w:t>
      </w:r>
      <w:r w:rsidRPr="009A001C">
        <w:rPr>
          <w:rFonts w:hint="eastAsia"/>
          <w:lang w:val="en-GB"/>
        </w:rPr>
        <w:t>条的条款相同的话。因此，关于拘留条件的建议在有效预防方面起关键作用，涉及到大量各种问题，包括与有形条件、关押在拘留所的原因、拘留所的关押率、大量设施和服务的提供和获得等等有关的问题。</w:t>
      </w:r>
    </w:p>
    <w:p w:rsidR="009A001C" w:rsidRPr="009A001C" w:rsidRDefault="009A001C" w:rsidP="00F05DBE">
      <w:pPr>
        <w:pStyle w:val="SingleTxtGC"/>
        <w:numPr>
          <w:ilvl w:val="0"/>
          <w:numId w:val="36"/>
        </w:numPr>
        <w:rPr>
          <w:rFonts w:hint="eastAsia"/>
          <w:lang w:val="en-GB"/>
        </w:rPr>
      </w:pPr>
      <w:r w:rsidRPr="009A001C">
        <w:rPr>
          <w:rFonts w:hint="eastAsia"/>
          <w:lang w:val="en-GB"/>
        </w:rPr>
        <w:t>对缔约国和某些拘留场所的访问应该实现认真准备，并考虑进所有有关的因素，包括总的法律和行政框架、实质性权利、拘留方面的程序保障和正当程序保障以及访问的实际情况。如何进行访问，访问的实质重点和访问后提出的建议，都可以因这种因素和遇到的情况而有所变化，目的是最有效地谈到访问的首要目的，即尽量扩大访问在预防方面的潜力和影响。</w:t>
      </w:r>
    </w:p>
    <w:p w:rsidR="009A001C" w:rsidRPr="009A001C" w:rsidRDefault="009A001C" w:rsidP="00F05DBE">
      <w:pPr>
        <w:pStyle w:val="SingleTxtGC"/>
        <w:numPr>
          <w:ilvl w:val="0"/>
          <w:numId w:val="36"/>
        </w:numPr>
        <w:rPr>
          <w:rFonts w:hint="eastAsia"/>
          <w:lang w:val="en-GB"/>
        </w:rPr>
      </w:pPr>
      <w:r w:rsidRPr="009A001C">
        <w:rPr>
          <w:rFonts w:hint="eastAsia"/>
          <w:lang w:val="en-GB"/>
        </w:rPr>
        <w:t>报告和建议，如果依据的是严格的分析，而且事实根据充分，就能产生最大的效力。小组委员会在访问报告中的建议应该适合建议本身所处理的情况，以尽可能提供实际的指导。在拟订建议时，小组委员会认识到，有些问题如果要探讨，可能都会有预防性的影响，所以在问题的范围上没有逻辑限制。然而，它认为应该着重于这样的问题，即根据它对有关缔约国的访问及其更普遍的经验，对它来说是最紧迫、相关和可实现的问题。</w:t>
      </w:r>
    </w:p>
    <w:p w:rsidR="009A001C" w:rsidRPr="009A001C" w:rsidRDefault="009A001C" w:rsidP="00F05DBE">
      <w:pPr>
        <w:pStyle w:val="SingleTxtGC"/>
        <w:numPr>
          <w:ilvl w:val="0"/>
          <w:numId w:val="36"/>
        </w:numPr>
        <w:rPr>
          <w:rFonts w:hint="eastAsia"/>
          <w:lang w:val="en-GB"/>
        </w:rPr>
      </w:pPr>
      <w:r w:rsidRPr="009A001C">
        <w:rPr>
          <w:rFonts w:hint="eastAsia"/>
          <w:lang w:val="en-GB"/>
        </w:rPr>
        <w:t>有效的国内监督机制，包括申诉机制，是预防手段的一个基本部分。这些机制将采取各种形式，并在多种层面上运作。有些机制是有关机构的内部机制，还有一些则从政府机器内开展外部检查，另一些机制将进行完全独立的检查，后者包括将根据《任择议定书》的规定建立的国家预防机制。</w:t>
      </w:r>
    </w:p>
    <w:p w:rsidR="009A001C" w:rsidRPr="009A001C" w:rsidRDefault="009A001C" w:rsidP="00F05DBE">
      <w:pPr>
        <w:pStyle w:val="SingleTxtGC"/>
        <w:numPr>
          <w:ilvl w:val="0"/>
          <w:numId w:val="36"/>
        </w:numPr>
        <w:rPr>
          <w:rFonts w:hint="eastAsia"/>
          <w:lang w:val="en-GB"/>
        </w:rPr>
      </w:pPr>
      <w:r w:rsidRPr="009A001C">
        <w:rPr>
          <w:rFonts w:hint="eastAsia"/>
          <w:lang w:val="en-GB"/>
        </w:rPr>
        <w:t>如果拘留系统开放供检查，酷刑和虐待是较容易预防的。国家预防机制与国家人权机构和检察院办事处，在确保开展这种检查方面发挥关键作用。这得到民间社会的支持和补充，民间社会也在确保透明度和问责方面发挥重要作用，它可以监督拘留场所，调查被拘留者的待遇情况，可以提供服务，以满足他们的需要。进一步的补充性检查由司法监督提供。国家预防机制、民间社会和司法监督手段，结合在一起能提供相互增强的基本的预防手段。</w:t>
      </w:r>
    </w:p>
    <w:p w:rsidR="009A001C" w:rsidRPr="009A001C" w:rsidRDefault="00F05DBE" w:rsidP="00F05DBE">
      <w:pPr>
        <w:pStyle w:val="SingleTxtGC"/>
        <w:numPr>
          <w:ilvl w:val="0"/>
          <w:numId w:val="36"/>
        </w:numPr>
        <w:rPr>
          <w:rFonts w:hint="eastAsia"/>
          <w:lang w:val="en-GB"/>
        </w:rPr>
      </w:pPr>
      <w:r>
        <w:rPr>
          <w:rFonts w:hint="eastAsia"/>
          <w:lang w:val="en-GB"/>
        </w:rPr>
        <w:t>在预防努力方面不应</w:t>
      </w:r>
      <w:r w:rsidR="009A001C" w:rsidRPr="009A001C">
        <w:rPr>
          <w:rFonts w:hint="eastAsia"/>
          <w:lang w:val="en-GB"/>
        </w:rPr>
        <w:t>有排他性。预防工作是一项多方面多学科的事业。它必须参照来自各种背景</w:t>
      </w:r>
      <w:r>
        <w:rPr>
          <w:rFonts w:hint="eastAsia"/>
          <w:lang w:val="en-GB"/>
        </w:rPr>
        <w:t>(</w:t>
      </w:r>
      <w:r w:rsidR="009A001C" w:rsidRPr="009A001C">
        <w:rPr>
          <w:rFonts w:hint="eastAsia"/>
          <w:lang w:val="en-GB"/>
        </w:rPr>
        <w:t>如法律、医疗、教育、宗教、政治、警察和拘留系统</w:t>
      </w:r>
      <w:r>
        <w:rPr>
          <w:rFonts w:hint="eastAsia"/>
          <w:lang w:val="en-GB"/>
        </w:rPr>
        <w:t>)</w:t>
      </w:r>
      <w:r w:rsidR="009A001C" w:rsidRPr="009A001C">
        <w:rPr>
          <w:rFonts w:hint="eastAsia"/>
          <w:lang w:val="en-GB"/>
        </w:rPr>
        <w:t>人士的知识和经验。</w:t>
      </w:r>
    </w:p>
    <w:p w:rsidR="009A001C" w:rsidRDefault="009A001C" w:rsidP="00F05DBE">
      <w:pPr>
        <w:pStyle w:val="SingleTxtGC"/>
        <w:numPr>
          <w:ilvl w:val="0"/>
          <w:numId w:val="36"/>
        </w:numPr>
        <w:rPr>
          <w:rFonts w:hint="eastAsia"/>
          <w:lang w:val="en-GB"/>
        </w:rPr>
      </w:pPr>
      <w:r w:rsidRPr="009A001C">
        <w:rPr>
          <w:rFonts w:hint="eastAsia"/>
          <w:lang w:val="en-GB"/>
        </w:rPr>
        <w:t>虽然所有被拘留者构成弱势群体，但有些群体特别弱势，如妇女、少年、少数群体成员、外国国民、残疾人、患有急性医疗或心理依赖或症状的人。为了减少虐待的可能性，在所有这种弱势情况方面都需要专门知识。</w:t>
      </w:r>
    </w:p>
    <w:p w:rsidR="00F05DBE" w:rsidRDefault="00F05DBE" w:rsidP="00B12683">
      <w:pPr>
        <w:pStyle w:val="SingleTxtGC"/>
        <w:rPr>
          <w:rFonts w:hint="eastAsia"/>
          <w:lang w:val="en-GB"/>
        </w:rPr>
      </w:pPr>
    </w:p>
    <w:p w:rsidR="00F05DBE" w:rsidRPr="002D6A9C" w:rsidRDefault="00F05DB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05DB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4F" w:rsidRPr="00EE3782" w:rsidRDefault="009D494F"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9D494F" w:rsidRPr="00EE3782" w:rsidRDefault="009D494F"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Pr="009A001C" w:rsidRDefault="00FB3861"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CB43B2">
      <w:rPr>
        <w:rStyle w:val="PageNumber"/>
        <w:noProof/>
      </w:rPr>
      <w:t>4</w:t>
    </w:r>
    <w:r>
      <w:rPr>
        <w:rStyle w:val="PageNumber"/>
      </w:rPr>
      <w:fldChar w:fldCharType="end"/>
    </w:r>
    <w:r>
      <w:rPr>
        <w:rStyle w:val="PageNumber"/>
        <w:rFonts w:eastAsia="SimSun" w:hint="eastAsia"/>
        <w:lang w:eastAsia="zh-CN"/>
      </w:rPr>
      <w:tab/>
    </w:r>
    <w:r w:rsidRPr="009A001C">
      <w:rPr>
        <w:rFonts w:eastAsia="SimSun"/>
        <w:lang w:val="en-US" w:eastAsia="zh-CN"/>
      </w:rPr>
      <w:t>GE.10-47380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Default="00FB3861">
    <w:pPr>
      <w:pStyle w:val="Footer"/>
      <w:tabs>
        <w:tab w:val="right" w:pos="9639"/>
      </w:tabs>
    </w:pPr>
    <w:r w:rsidRPr="009A001C">
      <w:rPr>
        <w:rFonts w:eastAsia="SimSun"/>
        <w:lang w:val="en-US" w:eastAsia="zh-CN"/>
      </w:rPr>
      <w:t>GE.10-47380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B43B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Pr="00800F27" w:rsidRDefault="00FB3861"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47380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w:t>
    </w:r>
    <w:r>
      <w:rPr>
        <w:rFonts w:eastAsia="SimSun"/>
        <w:sz w:val="20"/>
        <w:lang w:eastAsia="zh-CN"/>
      </w:rPr>
      <w:t>0</w:t>
    </w:r>
    <w:r>
      <w:rPr>
        <w:rFonts w:eastAsia="SimSun" w:hint="eastAsia"/>
        <w:sz w:val="20"/>
        <w:lang w:eastAsia="zh-CN"/>
      </w:rPr>
      <w:t>111</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4F" w:rsidRPr="003126F9" w:rsidRDefault="009D494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9D494F" w:rsidRPr="003126F9" w:rsidRDefault="009D494F"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FB3861" w:rsidRDefault="00FB3861" w:rsidP="00F05DBE">
      <w:pPr>
        <w:pStyle w:val="EndnoteText"/>
        <w:rPr>
          <w:rFonts w:hint="eastAsia"/>
        </w:rPr>
      </w:pPr>
      <w:r>
        <w:rPr>
          <w:rFonts w:hint="eastAsia"/>
        </w:rPr>
        <w:tab/>
      </w:r>
      <w:r>
        <w:rPr>
          <w:rStyle w:val="FootnoteReference"/>
        </w:rPr>
        <w:footnoteRef/>
      </w:r>
      <w:r>
        <w:rPr>
          <w:rFonts w:hint="eastAsia"/>
        </w:rPr>
        <w:tab/>
      </w:r>
      <w:r>
        <w:t>CAT/C/GC/2,</w:t>
      </w:r>
      <w:r>
        <w:rPr>
          <w:rFonts w:hint="eastAsia"/>
        </w:rPr>
        <w:t xml:space="preserve"> </w:t>
      </w:r>
      <w:r>
        <w:rPr>
          <w:rFonts w:hint="eastAsia"/>
        </w:rPr>
        <w:t>第</w:t>
      </w:r>
      <w:r>
        <w:rPr>
          <w:rFonts w:hint="eastAsia"/>
        </w:rPr>
        <w:t>2</w:t>
      </w:r>
      <w:r>
        <w:rPr>
          <w:rFonts w:hint="eastAsia"/>
        </w:rPr>
        <w:t>段。</w:t>
      </w:r>
    </w:p>
  </w:footnote>
  <w:footnote w:id="2">
    <w:p w:rsidR="00FB3861" w:rsidRDefault="00FB3861" w:rsidP="00F05DBE">
      <w:pPr>
        <w:pStyle w:val="EndnoteText"/>
        <w:rPr>
          <w:rFonts w:hint="eastAsia"/>
        </w:rPr>
      </w:pPr>
      <w:r>
        <w:rPr>
          <w:rFonts w:hint="eastAsia"/>
        </w:rPr>
        <w:tab/>
      </w:r>
      <w:r w:rsidRPr="00F05DBE">
        <w:rPr>
          <w:rStyle w:val="FootnoteReference"/>
        </w:rPr>
        <w:footnoteRef/>
      </w:r>
      <w:r>
        <w:rPr>
          <w:rFonts w:hint="eastAsia"/>
        </w:rPr>
        <w:tab/>
      </w:r>
      <w:r w:rsidRPr="001D7A5F">
        <w:rPr>
          <w:rFonts w:hint="eastAsia"/>
        </w:rPr>
        <w:t>实施</w:t>
      </w:r>
      <w:r w:rsidRPr="00A34A4E">
        <w:rPr>
          <w:rFonts w:eastAsia="KaiTi_GB2312" w:hint="eastAsia"/>
        </w:rPr>
        <w:t>《</w:t>
      </w:r>
      <w:r w:rsidRPr="001D7A5F">
        <w:t>防止及惩治灭绝种族罪公约</w:t>
      </w:r>
      <w:r w:rsidRPr="00A34A4E">
        <w:rPr>
          <w:rFonts w:eastAsia="KaiTi_GB2312" w:hint="eastAsia"/>
        </w:rPr>
        <w:t>》</w:t>
      </w:r>
      <w:r w:rsidRPr="00A34A4E">
        <w:rPr>
          <w:rFonts w:eastAsia="KaiTi_GB2312" w:hint="eastAsia"/>
        </w:rPr>
        <w:t>(</w:t>
      </w:r>
      <w:r>
        <w:rPr>
          <w:rFonts w:eastAsia="KaiTi_GB2312" w:hint="eastAsia"/>
        </w:rPr>
        <w:t>波斯尼亚和黑塞哥维那诉</w:t>
      </w:r>
      <w:r w:rsidRPr="00A34A4E">
        <w:rPr>
          <w:rFonts w:eastAsia="KaiTi_GB2312" w:hint="eastAsia"/>
        </w:rPr>
        <w:t>塞尔维亚和黑山案</w:t>
      </w:r>
      <w:r w:rsidRPr="00A34A4E">
        <w:rPr>
          <w:rFonts w:eastAsia="KaiTi_GB2312" w:hint="eastAsia"/>
        </w:rPr>
        <w:t>)</w:t>
      </w:r>
      <w:r w:rsidRPr="00A34A4E">
        <w:rPr>
          <w:rFonts w:eastAsia="KaiTi_GB2312" w:hint="eastAsia"/>
        </w:rPr>
        <w:t>，</w:t>
      </w:r>
      <w:r w:rsidRPr="001D7A5F">
        <w:rPr>
          <w:rFonts w:hint="eastAsia"/>
        </w:rPr>
        <w:t>案情，</w:t>
      </w:r>
      <w:r w:rsidRPr="001D7A5F">
        <w:rPr>
          <w:rFonts w:hint="eastAsia"/>
        </w:rPr>
        <w:t>2007</w:t>
      </w:r>
      <w:r w:rsidRPr="001D7A5F">
        <w:rPr>
          <w:rFonts w:hint="eastAsia"/>
        </w:rPr>
        <w:t>年</w:t>
      </w:r>
      <w:r w:rsidRPr="001D7A5F">
        <w:rPr>
          <w:rFonts w:hint="eastAsia"/>
        </w:rPr>
        <w:t>2</w:t>
      </w:r>
      <w:r w:rsidRPr="001D7A5F">
        <w:rPr>
          <w:rFonts w:hint="eastAsia"/>
        </w:rPr>
        <w:t>月</w:t>
      </w:r>
      <w:r w:rsidRPr="001D7A5F">
        <w:rPr>
          <w:rFonts w:hint="eastAsia"/>
        </w:rPr>
        <w:t>26</w:t>
      </w:r>
      <w:r w:rsidRPr="001D7A5F">
        <w:rPr>
          <w:rFonts w:hint="eastAsia"/>
        </w:rPr>
        <w:t>日的判决，第</w:t>
      </w:r>
      <w:r w:rsidRPr="001D7A5F">
        <w:rPr>
          <w:rFonts w:hint="eastAsia"/>
        </w:rPr>
        <w:t>429</w:t>
      </w:r>
      <w:r w:rsidRPr="001D7A5F">
        <w:rPr>
          <w:rFonts w:hint="eastAsia"/>
        </w:rPr>
        <w:t>段</w:t>
      </w:r>
      <w:r>
        <w:rPr>
          <w:rFonts w:hint="eastAsia"/>
        </w:rPr>
        <w:t>。</w:t>
      </w:r>
    </w:p>
  </w:footnote>
  <w:footnote w:id="3">
    <w:p w:rsidR="00FB3861" w:rsidRDefault="00FB3861" w:rsidP="00F05DBE">
      <w:pPr>
        <w:pStyle w:val="EndnoteText"/>
        <w:rPr>
          <w:rFonts w:hint="eastAsia"/>
        </w:rPr>
      </w:pPr>
      <w:r>
        <w:rPr>
          <w:rFonts w:hint="eastAsia"/>
        </w:rPr>
        <w:tab/>
      </w:r>
      <w:r w:rsidRPr="00F05DBE">
        <w:rPr>
          <w:rStyle w:val="FootnoteReference"/>
        </w:rPr>
        <w:footnoteRef/>
      </w:r>
      <w:r>
        <w:rPr>
          <w:rFonts w:hint="eastAsia"/>
        </w:rPr>
        <w:tab/>
      </w:r>
      <w:r>
        <w:t>CAT/C/GC/2,</w:t>
      </w:r>
      <w:r>
        <w:rPr>
          <w:rFonts w:hint="eastAsia"/>
        </w:rPr>
        <w:t xml:space="preserve"> </w:t>
      </w:r>
      <w:r>
        <w:rPr>
          <w:rFonts w:hint="eastAsia"/>
        </w:rPr>
        <w:t>第</w:t>
      </w:r>
      <w:r>
        <w:rPr>
          <w:rFonts w:hint="eastAsia"/>
        </w:rPr>
        <w:t>3</w:t>
      </w:r>
      <w:r>
        <w:rPr>
          <w:rFonts w:hint="eastAsia"/>
        </w:rPr>
        <w:t>段。</w:t>
      </w:r>
    </w:p>
  </w:footnote>
  <w:footnote w:id="4">
    <w:p w:rsidR="00FB3861" w:rsidRDefault="00FB3861" w:rsidP="00F05DBE">
      <w:pPr>
        <w:pStyle w:val="EndnoteText"/>
        <w:rPr>
          <w:rFonts w:hint="eastAsia"/>
        </w:rPr>
      </w:pPr>
      <w:r>
        <w:rPr>
          <w:rFonts w:hint="eastAsia"/>
        </w:rPr>
        <w:tab/>
      </w:r>
      <w:r w:rsidRPr="00F05DBE">
        <w:rPr>
          <w:rStyle w:val="FootnoteReference"/>
        </w:rPr>
        <w:footnoteRef/>
      </w:r>
      <w:r>
        <w:rPr>
          <w:rFonts w:hint="eastAsia"/>
        </w:rPr>
        <w:tab/>
      </w:r>
      <w:r>
        <w:rPr>
          <w:rFonts w:hint="eastAsia"/>
        </w:rPr>
        <w:t>同上，第</w:t>
      </w:r>
      <w:r>
        <w:rPr>
          <w:rFonts w:hint="eastAsia"/>
        </w:rPr>
        <w:t>4</w:t>
      </w:r>
      <w:r>
        <w:rPr>
          <w:rFonts w:hint="eastAsia"/>
        </w:rPr>
        <w:t>段。</w:t>
      </w:r>
    </w:p>
  </w:footnote>
  <w:footnote w:id="5">
    <w:p w:rsidR="00FB3861" w:rsidRDefault="00FB3861" w:rsidP="00F05DBE">
      <w:pPr>
        <w:pStyle w:val="EndnoteText"/>
        <w:rPr>
          <w:rFonts w:hint="eastAsia"/>
        </w:rPr>
      </w:pPr>
      <w:r>
        <w:rPr>
          <w:rFonts w:hint="eastAsia"/>
        </w:rPr>
        <w:tab/>
      </w:r>
      <w:r w:rsidRPr="00F05DBE">
        <w:rPr>
          <w:rStyle w:val="FootnoteReference"/>
        </w:rPr>
        <w:footnoteRef/>
      </w:r>
      <w:r>
        <w:rPr>
          <w:rFonts w:hint="eastAsia"/>
        </w:rPr>
        <w:tab/>
      </w:r>
      <w:r>
        <w:rPr>
          <w:rFonts w:hint="eastAsia"/>
        </w:rPr>
        <w:t>同上，第</w:t>
      </w:r>
      <w:r>
        <w:rPr>
          <w:rFonts w:hint="eastAsia"/>
        </w:rPr>
        <w:t>1</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Pr="009A001C" w:rsidRDefault="00FB3861">
    <w:pPr>
      <w:pStyle w:val="Header"/>
    </w:pPr>
    <w:r w:rsidRPr="009A001C">
      <w:t>CAT/OP/12/6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Pr="009A001C" w:rsidRDefault="00FB3861" w:rsidP="003843D8">
    <w:pPr>
      <w:pStyle w:val="Header"/>
      <w:jc w:val="right"/>
      <w:rPr>
        <w:rFonts w:hint="eastAsia"/>
        <w:lang w:eastAsia="zh-CN"/>
      </w:rPr>
    </w:pPr>
    <w:r w:rsidRPr="009A001C">
      <w:rPr>
        <w:lang w:eastAsia="zh-CN"/>
      </w:rPr>
      <w:t>CAT/OP/12/6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61" w:rsidRDefault="00FB386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F51480E"/>
    <w:multiLevelType w:val="hybridMultilevel"/>
    <w:tmpl w:val="E79E2DDC"/>
    <w:lvl w:ilvl="0" w:tplc="74D6C94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442711D"/>
    <w:multiLevelType w:val="hybridMultilevel"/>
    <w:tmpl w:val="BD20EC68"/>
    <w:lvl w:ilvl="0" w:tplc="C3B44C10">
      <w:start w:val="1"/>
      <w:numFmt w:val="japaneseCounting"/>
      <w:lvlText w:val="%1、"/>
      <w:lvlJc w:val="left"/>
      <w:pPr>
        <w:tabs>
          <w:tab w:val="num" w:pos="570"/>
        </w:tabs>
        <w:ind w:left="570" w:hanging="570"/>
      </w:pPr>
      <w:rPr>
        <w:rFonts w:hint="default"/>
      </w:rPr>
    </w:lvl>
    <w:lvl w:ilvl="1" w:tplc="3D64A466">
      <w:start w:val="1"/>
      <w:numFmt w:val="decimal"/>
      <w:lvlText w:val="%2."/>
      <w:lvlJc w:val="left"/>
      <w:pPr>
        <w:tabs>
          <w:tab w:val="num" w:pos="840"/>
        </w:tabs>
        <w:ind w:left="840" w:hanging="420"/>
      </w:pPr>
      <w:rPr>
        <w:rFonts w:hint="default"/>
      </w:rPr>
    </w:lvl>
    <w:lvl w:ilvl="2" w:tplc="50066254">
      <w:start w:val="5"/>
      <w:numFmt w:val="decimal"/>
      <w:lvlText w:val="%3."/>
      <w:lvlJc w:val="left"/>
      <w:pPr>
        <w:tabs>
          <w:tab w:val="num" w:pos="1260"/>
        </w:tabs>
        <w:ind w:left="1260" w:hanging="420"/>
      </w:pPr>
      <w:rPr>
        <w:rFonts w:hint="default"/>
      </w:rPr>
    </w:lvl>
    <w:lvl w:ilvl="3" w:tplc="CFEE5A7C">
      <w:start w:val="1"/>
      <w:numFmt w:val="lowerLetter"/>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19"/>
  </w:num>
  <w:num w:numId="21">
    <w:abstractNumId w:val="10"/>
  </w:num>
  <w:num w:numId="22">
    <w:abstractNumId w:val="16"/>
  </w:num>
  <w:num w:numId="23">
    <w:abstractNumId w:val="13"/>
  </w:num>
  <w:num w:numId="24">
    <w:abstractNumId w:val="21"/>
  </w:num>
  <w:num w:numId="25">
    <w:abstractNumId w:val="17"/>
  </w:num>
  <w:num w:numId="26">
    <w:abstractNumId w:val="15"/>
  </w:num>
  <w:num w:numId="27">
    <w:abstractNumId w:val="24"/>
  </w:num>
  <w:num w:numId="28">
    <w:abstractNumId w:val="21"/>
  </w:num>
  <w:num w:numId="29">
    <w:abstractNumId w:val="17"/>
  </w:num>
  <w:num w:numId="30">
    <w:abstractNumId w:val="15"/>
  </w:num>
  <w:num w:numId="31">
    <w:abstractNumId w:val="19"/>
  </w:num>
  <w:num w:numId="32">
    <w:abstractNumId w:val="10"/>
  </w:num>
  <w:num w:numId="33">
    <w:abstractNumId w:val="16"/>
  </w:num>
  <w:num w:numId="34">
    <w:abstractNumId w:val="24"/>
  </w:num>
  <w:num w:numId="35">
    <w:abstractNumId w:val="22"/>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785"/>
    <w:rsid w:val="00000B96"/>
    <w:rsid w:val="000058EC"/>
    <w:rsid w:val="00027608"/>
    <w:rsid w:val="00055D21"/>
    <w:rsid w:val="00066D74"/>
    <w:rsid w:val="000725DD"/>
    <w:rsid w:val="00076F85"/>
    <w:rsid w:val="000A01D8"/>
    <w:rsid w:val="000C1A2F"/>
    <w:rsid w:val="000C4087"/>
    <w:rsid w:val="000C6070"/>
    <w:rsid w:val="000D1566"/>
    <w:rsid w:val="000F00DC"/>
    <w:rsid w:val="001011BD"/>
    <w:rsid w:val="0010791A"/>
    <w:rsid w:val="00122A56"/>
    <w:rsid w:val="001231E9"/>
    <w:rsid w:val="00137BEA"/>
    <w:rsid w:val="001520BA"/>
    <w:rsid w:val="0017111A"/>
    <w:rsid w:val="00177DC9"/>
    <w:rsid w:val="001A068C"/>
    <w:rsid w:val="001A6F68"/>
    <w:rsid w:val="001B2918"/>
    <w:rsid w:val="001B3BF6"/>
    <w:rsid w:val="001B7160"/>
    <w:rsid w:val="001D5785"/>
    <w:rsid w:val="001D7A5F"/>
    <w:rsid w:val="00252072"/>
    <w:rsid w:val="00296B09"/>
    <w:rsid w:val="002B6A04"/>
    <w:rsid w:val="002D2F33"/>
    <w:rsid w:val="003126F9"/>
    <w:rsid w:val="00325EF5"/>
    <w:rsid w:val="003412AD"/>
    <w:rsid w:val="00343FB6"/>
    <w:rsid w:val="003517C6"/>
    <w:rsid w:val="00355A94"/>
    <w:rsid w:val="003613F6"/>
    <w:rsid w:val="00376C5B"/>
    <w:rsid w:val="003843D8"/>
    <w:rsid w:val="0038638B"/>
    <w:rsid w:val="00391902"/>
    <w:rsid w:val="003C535F"/>
    <w:rsid w:val="00401C99"/>
    <w:rsid w:val="00433D83"/>
    <w:rsid w:val="00496FA9"/>
    <w:rsid w:val="004D3F9C"/>
    <w:rsid w:val="004D5556"/>
    <w:rsid w:val="00515BE0"/>
    <w:rsid w:val="00516C7C"/>
    <w:rsid w:val="0053311A"/>
    <w:rsid w:val="00561C95"/>
    <w:rsid w:val="005F1AF4"/>
    <w:rsid w:val="00606650"/>
    <w:rsid w:val="00626C95"/>
    <w:rsid w:val="00634C3D"/>
    <w:rsid w:val="006451E3"/>
    <w:rsid w:val="006625DC"/>
    <w:rsid w:val="006726B6"/>
    <w:rsid w:val="00673E9B"/>
    <w:rsid w:val="00721E6D"/>
    <w:rsid w:val="00756374"/>
    <w:rsid w:val="0079383F"/>
    <w:rsid w:val="0079553A"/>
    <w:rsid w:val="007A32CB"/>
    <w:rsid w:val="007E208B"/>
    <w:rsid w:val="00800F27"/>
    <w:rsid w:val="0083376D"/>
    <w:rsid w:val="00865F9A"/>
    <w:rsid w:val="00873C25"/>
    <w:rsid w:val="008D6116"/>
    <w:rsid w:val="008E7CA7"/>
    <w:rsid w:val="008F4B6E"/>
    <w:rsid w:val="008F5B7D"/>
    <w:rsid w:val="0092099F"/>
    <w:rsid w:val="00932EAB"/>
    <w:rsid w:val="009502BD"/>
    <w:rsid w:val="009A001C"/>
    <w:rsid w:val="009A4D41"/>
    <w:rsid w:val="009B4331"/>
    <w:rsid w:val="009D494F"/>
    <w:rsid w:val="00A02DA3"/>
    <w:rsid w:val="00A22F01"/>
    <w:rsid w:val="00A34A4E"/>
    <w:rsid w:val="00A45F96"/>
    <w:rsid w:val="00A50518"/>
    <w:rsid w:val="00A74043"/>
    <w:rsid w:val="00A77115"/>
    <w:rsid w:val="00A879C2"/>
    <w:rsid w:val="00AC78CB"/>
    <w:rsid w:val="00AC7CE6"/>
    <w:rsid w:val="00AD10BC"/>
    <w:rsid w:val="00B02175"/>
    <w:rsid w:val="00B12683"/>
    <w:rsid w:val="00B474CC"/>
    <w:rsid w:val="00B63E11"/>
    <w:rsid w:val="00B76457"/>
    <w:rsid w:val="00B80B28"/>
    <w:rsid w:val="00B96E72"/>
    <w:rsid w:val="00BB5427"/>
    <w:rsid w:val="00BB5FDE"/>
    <w:rsid w:val="00BB6622"/>
    <w:rsid w:val="00BC42DD"/>
    <w:rsid w:val="00BD4588"/>
    <w:rsid w:val="00C47AAF"/>
    <w:rsid w:val="00C56016"/>
    <w:rsid w:val="00C65D82"/>
    <w:rsid w:val="00C80338"/>
    <w:rsid w:val="00C917CC"/>
    <w:rsid w:val="00CB38D9"/>
    <w:rsid w:val="00CB43B2"/>
    <w:rsid w:val="00CC2E75"/>
    <w:rsid w:val="00CC6728"/>
    <w:rsid w:val="00D039EE"/>
    <w:rsid w:val="00D40281"/>
    <w:rsid w:val="00D710CF"/>
    <w:rsid w:val="00D71651"/>
    <w:rsid w:val="00D75B05"/>
    <w:rsid w:val="00D83B4B"/>
    <w:rsid w:val="00DA658B"/>
    <w:rsid w:val="00DC0297"/>
    <w:rsid w:val="00E11F54"/>
    <w:rsid w:val="00EE195B"/>
    <w:rsid w:val="00EE3782"/>
    <w:rsid w:val="00EE6D4C"/>
    <w:rsid w:val="00F02747"/>
    <w:rsid w:val="00F03CC4"/>
    <w:rsid w:val="00F05DBE"/>
    <w:rsid w:val="00F118F2"/>
    <w:rsid w:val="00F3417C"/>
    <w:rsid w:val="00F77050"/>
    <w:rsid w:val="00F82D07"/>
    <w:rsid w:val="00F85DFD"/>
    <w:rsid w:val="00F94C89"/>
    <w:rsid w:val="00FA2C35"/>
    <w:rsid w:val="00FB3861"/>
    <w:rsid w:val="00FC6DA6"/>
    <w:rsid w:val="00FD0260"/>
    <w:rsid w:val="00FD739A"/>
    <w:rsid w:val="00FE16B3"/>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437</Words>
  <Characters>2493</Characters>
  <Application>Microsoft Office Word</Application>
  <DocSecurity>4</DocSecurity>
  <Lines>20</Lines>
  <Paragraphs>5</Paragraphs>
  <ScaleCrop>false</ScaleCrop>
  <Company>CSD</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nie</cp:lastModifiedBy>
  <cp:revision>3</cp:revision>
  <cp:lastPrinted>2011-01-25T14:04:00Z</cp:lastPrinted>
  <dcterms:created xsi:type="dcterms:W3CDTF">2011-01-25T14:04:00Z</dcterms:created>
  <dcterms:modified xsi:type="dcterms:W3CDTF">2011-01-25T14:04:00Z</dcterms:modified>
</cp:coreProperties>
</file>