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77265BA9" w14:textId="77777777" w:rsidTr="004C4D99">
        <w:trPr>
          <w:trHeight w:hRule="exact" w:val="851"/>
        </w:trPr>
        <w:tc>
          <w:tcPr>
            <w:tcW w:w="1276" w:type="dxa"/>
            <w:tcBorders>
              <w:bottom w:val="single" w:sz="4" w:space="0" w:color="auto"/>
            </w:tcBorders>
          </w:tcPr>
          <w:p w14:paraId="5927F37D" w14:textId="77777777" w:rsidR="00392B1D" w:rsidRPr="00DB58B5" w:rsidRDefault="00392B1D" w:rsidP="009D734F"/>
        </w:tc>
        <w:tc>
          <w:tcPr>
            <w:tcW w:w="2268" w:type="dxa"/>
            <w:tcBorders>
              <w:bottom w:val="single" w:sz="4" w:space="0" w:color="auto"/>
            </w:tcBorders>
            <w:vAlign w:val="bottom"/>
          </w:tcPr>
          <w:p w14:paraId="6CB4E996"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371FDE6" w14:textId="4D9FDC31" w:rsidR="00392B1D" w:rsidRPr="00760BD8" w:rsidRDefault="00760BD8" w:rsidP="00760BD8">
            <w:pPr>
              <w:jc w:val="right"/>
            </w:pPr>
            <w:r w:rsidRPr="00760BD8">
              <w:rPr>
                <w:sz w:val="40"/>
              </w:rPr>
              <w:t>CED</w:t>
            </w:r>
            <w:r>
              <w:t>/C/NER/Q/1</w:t>
            </w:r>
          </w:p>
        </w:tc>
      </w:tr>
      <w:tr w:rsidR="00392B1D" w:rsidRPr="00DB58B5" w14:paraId="2DBAB169" w14:textId="77777777" w:rsidTr="004C4D99">
        <w:trPr>
          <w:trHeight w:hRule="exact" w:val="2835"/>
        </w:trPr>
        <w:tc>
          <w:tcPr>
            <w:tcW w:w="1276" w:type="dxa"/>
            <w:tcBorders>
              <w:top w:val="single" w:sz="4" w:space="0" w:color="auto"/>
              <w:bottom w:val="single" w:sz="12" w:space="0" w:color="auto"/>
            </w:tcBorders>
          </w:tcPr>
          <w:p w14:paraId="15974D05" w14:textId="77777777" w:rsidR="00392B1D" w:rsidRPr="00DB58B5" w:rsidRDefault="00392B1D" w:rsidP="004C4D99">
            <w:pPr>
              <w:spacing w:before="120"/>
              <w:jc w:val="center"/>
            </w:pPr>
            <w:r>
              <w:rPr>
                <w:noProof/>
                <w:lang w:val="en-GB" w:eastAsia="en-GB"/>
              </w:rPr>
              <w:drawing>
                <wp:inline distT="0" distB="0" distL="0" distR="0" wp14:anchorId="6A0D57E2" wp14:editId="1CF160B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727E93"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0B6EAB5E" w14:textId="77777777" w:rsidR="00392B1D" w:rsidRDefault="009D734F" w:rsidP="004C4D99">
            <w:pPr>
              <w:spacing w:before="240"/>
            </w:pPr>
            <w:proofErr w:type="spellStart"/>
            <w:r>
              <w:t>Distr</w:t>
            </w:r>
            <w:proofErr w:type="spellEnd"/>
            <w:r>
              <w:t>. générale</w:t>
            </w:r>
          </w:p>
          <w:p w14:paraId="2FB0E015" w14:textId="77777777" w:rsidR="009D734F" w:rsidRDefault="00415C13" w:rsidP="009D734F">
            <w:pPr>
              <w:spacing w:line="240" w:lineRule="exact"/>
            </w:pPr>
            <w:r>
              <w:t>30</w:t>
            </w:r>
            <w:r w:rsidR="009D734F">
              <w:t xml:space="preserve"> septembre 2020</w:t>
            </w:r>
          </w:p>
          <w:p w14:paraId="2F91628B" w14:textId="77777777" w:rsidR="001F53DE" w:rsidRDefault="001F53DE" w:rsidP="009D734F">
            <w:pPr>
              <w:spacing w:line="240" w:lineRule="exact"/>
            </w:pPr>
          </w:p>
          <w:p w14:paraId="777E2AF6" w14:textId="77777777" w:rsidR="009D734F" w:rsidRDefault="009D734F" w:rsidP="009D734F">
            <w:pPr>
              <w:spacing w:line="240" w:lineRule="exact"/>
            </w:pPr>
            <w:r>
              <w:t xml:space="preserve">Original </w:t>
            </w:r>
            <w:r w:rsidR="001F53DE">
              <w:t>: français</w:t>
            </w:r>
          </w:p>
          <w:p w14:paraId="3E430F9C" w14:textId="77777777" w:rsidR="009D734F" w:rsidRPr="00DB58B5" w:rsidRDefault="009D734F" w:rsidP="009D734F">
            <w:pPr>
              <w:spacing w:line="240" w:lineRule="exact"/>
            </w:pPr>
            <w:r>
              <w:t>Anglais, espagnol et français seulement</w:t>
            </w:r>
          </w:p>
        </w:tc>
      </w:tr>
    </w:tbl>
    <w:p w14:paraId="6E34C589" w14:textId="77777777" w:rsidR="00392B1D" w:rsidRPr="00D55CFF" w:rsidRDefault="00392B1D" w:rsidP="00392B1D">
      <w:pPr>
        <w:spacing w:before="120"/>
        <w:rPr>
          <w:b/>
          <w:sz w:val="24"/>
          <w:szCs w:val="24"/>
        </w:rPr>
      </w:pPr>
      <w:r w:rsidRPr="00D55CFF">
        <w:rPr>
          <w:b/>
          <w:sz w:val="24"/>
          <w:szCs w:val="24"/>
        </w:rPr>
        <w:t>Comité des disparitions forcées</w:t>
      </w:r>
    </w:p>
    <w:p w14:paraId="798B020A" w14:textId="77777777" w:rsidR="009D734F" w:rsidRDefault="009D734F" w:rsidP="009D734F">
      <w:pPr>
        <w:pStyle w:val="HChG"/>
        <w:rPr>
          <w:lang w:val="fr-FR"/>
        </w:rPr>
      </w:pPr>
      <w:r>
        <w:rPr>
          <w:lang w:val="fr-FR"/>
        </w:rPr>
        <w:tab/>
      </w:r>
      <w:r>
        <w:rPr>
          <w:lang w:val="fr-FR"/>
        </w:rPr>
        <w:tab/>
        <w:t xml:space="preserve">Liste de points concernant le rapport soumis par le Niger </w:t>
      </w:r>
      <w:r w:rsidR="00A04F03">
        <w:rPr>
          <w:lang w:val="fr-FR"/>
        </w:rPr>
        <w:br/>
      </w:r>
      <w:r>
        <w:rPr>
          <w:lang w:val="fr-FR"/>
        </w:rPr>
        <w:t>en application du paragraphe</w:t>
      </w:r>
      <w:r w:rsidR="00A04F03">
        <w:rPr>
          <w:lang w:val="fr-FR"/>
        </w:rPr>
        <w:t> </w:t>
      </w:r>
      <w:r>
        <w:rPr>
          <w:lang w:val="fr-FR"/>
        </w:rPr>
        <w:t>1 de l’article</w:t>
      </w:r>
      <w:r w:rsidR="00A04F03">
        <w:rPr>
          <w:lang w:val="fr-FR"/>
        </w:rPr>
        <w:t> </w:t>
      </w:r>
      <w:r>
        <w:rPr>
          <w:lang w:val="fr-FR"/>
        </w:rPr>
        <w:t xml:space="preserve">29 </w:t>
      </w:r>
      <w:r w:rsidR="00A04F03">
        <w:rPr>
          <w:lang w:val="fr-FR"/>
        </w:rPr>
        <w:br/>
      </w:r>
      <w:r>
        <w:rPr>
          <w:lang w:val="fr-FR"/>
        </w:rPr>
        <w:t>de la Convention</w:t>
      </w:r>
      <w:r w:rsidRPr="00E9329D">
        <w:rPr>
          <w:rStyle w:val="Appelnotedebasdep"/>
          <w:b w:val="0"/>
          <w:sz w:val="20"/>
          <w:vertAlign w:val="baseline"/>
        </w:rPr>
        <w:footnoteReference w:customMarkFollows="1" w:id="2"/>
        <w:t>*</w:t>
      </w:r>
    </w:p>
    <w:p w14:paraId="64DA41C7" w14:textId="37857E50" w:rsidR="009D734F" w:rsidRPr="00810C30" w:rsidRDefault="009D734F" w:rsidP="00A04F03">
      <w:pPr>
        <w:pStyle w:val="HChG"/>
        <w:rPr>
          <w:lang w:val="fr-FR"/>
        </w:rPr>
      </w:pPr>
      <w:r>
        <w:rPr>
          <w:lang w:val="fr-FR"/>
        </w:rPr>
        <w:tab/>
        <w:t>I.</w:t>
      </w:r>
      <w:r>
        <w:rPr>
          <w:lang w:val="fr-FR"/>
        </w:rPr>
        <w:tab/>
      </w:r>
      <w:r w:rsidRPr="00810C30">
        <w:rPr>
          <w:lang w:val="fr-FR"/>
        </w:rPr>
        <w:t xml:space="preserve">Renseignements d’ordre général </w:t>
      </w:r>
    </w:p>
    <w:p w14:paraId="241A4AC8" w14:textId="77777777" w:rsidR="009D734F" w:rsidRDefault="00A04F03" w:rsidP="00A04F03">
      <w:pPr>
        <w:pStyle w:val="SingleTxtG"/>
        <w:rPr>
          <w:lang w:eastAsia="es-ES_tradnl"/>
        </w:rPr>
      </w:pPr>
      <w:r>
        <w:rPr>
          <w:lang w:eastAsia="es-ES_tradnl"/>
        </w:rPr>
        <w:t>1.</w:t>
      </w:r>
      <w:r>
        <w:rPr>
          <w:lang w:eastAsia="es-ES_tradnl"/>
        </w:rPr>
        <w:tab/>
      </w:r>
      <w:r w:rsidR="009D734F" w:rsidRPr="003325E4">
        <w:rPr>
          <w:lang w:eastAsia="es-ES_tradnl"/>
        </w:rPr>
        <w:t>Indiquer si l’État partie envisage de déclarer, conformément aux dispositions des articles</w:t>
      </w:r>
      <w:r w:rsidR="00B50270">
        <w:rPr>
          <w:lang w:eastAsia="es-ES_tradnl"/>
        </w:rPr>
        <w:t> </w:t>
      </w:r>
      <w:r w:rsidR="009D734F" w:rsidRPr="003325E4">
        <w:rPr>
          <w:lang w:eastAsia="es-ES_tradnl"/>
        </w:rPr>
        <w:t xml:space="preserve">31 et 32 de la Convention, qu’il reconnaît la compétence du Comité pour recevoir et examiner des communications présentées par des personnes ou par un État partie au sujet d’un autre État partie. </w:t>
      </w:r>
    </w:p>
    <w:p w14:paraId="1FB3AC2E" w14:textId="77777777" w:rsidR="009D734F" w:rsidRDefault="00A04F03" w:rsidP="00A04F03">
      <w:pPr>
        <w:pStyle w:val="SingleTxtG"/>
      </w:pPr>
      <w:r>
        <w:t>2.</w:t>
      </w:r>
      <w:r>
        <w:tab/>
      </w:r>
      <w:r w:rsidR="009D734F">
        <w:t>Compte tenu des informations fournies au paragraphe</w:t>
      </w:r>
      <w:r w:rsidR="00B50270">
        <w:t> </w:t>
      </w:r>
      <w:r w:rsidR="009D734F">
        <w:t xml:space="preserve">24 du rapport de l’État partie (CED/C/NER/1), préciser quelles </w:t>
      </w:r>
      <w:r w:rsidR="009D734F" w:rsidRPr="00BD3B07">
        <w:rPr>
          <w:rFonts w:eastAsia="Times New Roman"/>
          <w:lang w:eastAsia="es-ES_tradnl"/>
        </w:rPr>
        <w:t>dispositions</w:t>
      </w:r>
      <w:r w:rsidR="009D734F">
        <w:t xml:space="preserve"> de la Convention sont considérées comme directement applicables, et lesquelles nécessitent une transposition en droit interne. D</w:t>
      </w:r>
      <w:r w:rsidR="009D734F" w:rsidRPr="003325E4">
        <w:t xml:space="preserve">onner, si possible, des exemples de décisions de justice ou de mesures administratives rendues par les </w:t>
      </w:r>
      <w:r w:rsidR="009D734F" w:rsidRPr="00FC6A79">
        <w:rPr>
          <w:rFonts w:eastAsia="Times New Roman"/>
          <w:lang w:eastAsia="es-ES_tradnl"/>
        </w:rPr>
        <w:t>tribunaux</w:t>
      </w:r>
      <w:r w:rsidR="009D734F" w:rsidRPr="003325E4">
        <w:t xml:space="preserve"> ou autres autorités compétentes dans lesquelles les dispositions de la Convention ont ét</w:t>
      </w:r>
      <w:r w:rsidR="009D734F">
        <w:t>é</w:t>
      </w:r>
      <w:r w:rsidR="009D734F" w:rsidRPr="003325E4">
        <w:t xml:space="preserve"> appliquées</w:t>
      </w:r>
      <w:r w:rsidR="009D734F">
        <w:t>,</w:t>
      </w:r>
      <w:r w:rsidR="009D734F" w:rsidRPr="003325E4">
        <w:t xml:space="preserve"> et de décisions judiciaires dans lesquelles des violations de la Convention ont ét</w:t>
      </w:r>
      <w:r w:rsidR="009D734F">
        <w:t>é</w:t>
      </w:r>
      <w:r w:rsidR="009D734F" w:rsidRPr="003325E4">
        <w:t xml:space="preserve"> établies</w:t>
      </w:r>
      <w:r w:rsidR="009D734F">
        <w:t>.</w:t>
      </w:r>
    </w:p>
    <w:p w14:paraId="4AE12C2A" w14:textId="77777777" w:rsidR="009D734F" w:rsidRPr="003325E4" w:rsidRDefault="00A04F03" w:rsidP="00A04F03">
      <w:pPr>
        <w:pStyle w:val="SingleTxtG"/>
      </w:pPr>
      <w:r w:rsidRPr="003325E4">
        <w:t>3.</w:t>
      </w:r>
      <w:r w:rsidRPr="003325E4">
        <w:tab/>
      </w:r>
      <w:r w:rsidR="009D734F" w:rsidRPr="00736D82">
        <w:t xml:space="preserve">Donner des précisions sur le mandat, le rôle, les compétences et l’organisation de la Commission </w:t>
      </w:r>
      <w:r w:rsidR="009D734F">
        <w:t>n</w:t>
      </w:r>
      <w:r w:rsidR="009D734F" w:rsidRPr="00736D82">
        <w:t xml:space="preserve">ationale des </w:t>
      </w:r>
      <w:r w:rsidR="009D734F">
        <w:t>d</w:t>
      </w:r>
      <w:r w:rsidR="009D734F" w:rsidRPr="00736D82">
        <w:t xml:space="preserve">roits </w:t>
      </w:r>
      <w:r w:rsidR="009D734F">
        <w:t>h</w:t>
      </w:r>
      <w:r w:rsidR="009D734F" w:rsidRPr="00736D82">
        <w:t xml:space="preserve">umains, en précisant les actions prises en matière de disparition forcée et </w:t>
      </w:r>
      <w:r w:rsidR="009D734F">
        <w:t xml:space="preserve">en indiquant </w:t>
      </w:r>
      <w:r w:rsidR="009D734F" w:rsidRPr="00736D82">
        <w:t xml:space="preserve">si les décisions adoptées dans les cas portés à sa connaissance sont contraignantes. Décrire les mesures adoptées pour que la </w:t>
      </w:r>
      <w:r w:rsidR="009D734F">
        <w:t>Commission</w:t>
      </w:r>
      <w:r w:rsidR="009D734F" w:rsidRPr="00736D82">
        <w:t xml:space="preserve"> dispose des ressources financières, techniques et humaines nécessaires pour remplir correctement ses fonctions sur l’ensemble du territoire de l’État partie. Préciser enfin les mesures adoptées pour promouvoir la connaissance du rôle et des missions de la </w:t>
      </w:r>
      <w:r w:rsidR="009D734F">
        <w:t>Commission</w:t>
      </w:r>
      <w:r w:rsidR="009D734F" w:rsidRPr="00736D82">
        <w:t xml:space="preserve"> par l’ensemble de la population, des organisations de la société civile et des autorités nationales et locales.</w:t>
      </w:r>
    </w:p>
    <w:p w14:paraId="3B681DBA" w14:textId="77777777" w:rsidR="009D734F" w:rsidRPr="00810C30" w:rsidRDefault="009D734F" w:rsidP="009D734F">
      <w:pPr>
        <w:pStyle w:val="HChG"/>
      </w:pPr>
      <w:r>
        <w:tab/>
        <w:t>II.</w:t>
      </w:r>
      <w:r>
        <w:tab/>
      </w:r>
      <w:r w:rsidRPr="00820FC0">
        <w:t xml:space="preserve">Définition et </w:t>
      </w:r>
      <w:r>
        <w:t>incrimination</w:t>
      </w:r>
      <w:r w:rsidRPr="00820FC0">
        <w:t xml:space="preserve"> de la dispar</w:t>
      </w:r>
      <w:r>
        <w:t xml:space="preserve">ition forcée </w:t>
      </w:r>
      <w:r>
        <w:br/>
      </w:r>
      <w:r w:rsidRPr="00820FC0">
        <w:t>(art.</w:t>
      </w:r>
      <w:r>
        <w:t> </w:t>
      </w:r>
      <w:r w:rsidRPr="00820FC0">
        <w:t>1</w:t>
      </w:r>
      <w:r w:rsidRPr="00E9329D">
        <w:rPr>
          <w:vertAlign w:val="superscript"/>
        </w:rPr>
        <w:t>er</w:t>
      </w:r>
      <w:r w:rsidRPr="00820FC0">
        <w:t xml:space="preserve"> à 7)</w:t>
      </w:r>
    </w:p>
    <w:p w14:paraId="24493393" w14:textId="77777777" w:rsidR="009D734F" w:rsidRDefault="00A04F03" w:rsidP="00A04F03">
      <w:pPr>
        <w:pStyle w:val="SingleTxtG"/>
        <w:rPr>
          <w:rFonts w:eastAsia="Times New Roman"/>
          <w:lang w:eastAsia="es-ES_tradnl"/>
        </w:rPr>
      </w:pPr>
      <w:r>
        <w:rPr>
          <w:rFonts w:eastAsia="Times New Roman"/>
          <w:lang w:eastAsia="es-ES_tradnl"/>
        </w:rPr>
        <w:t>4.</w:t>
      </w:r>
      <w:r>
        <w:rPr>
          <w:rFonts w:eastAsia="Times New Roman"/>
          <w:lang w:eastAsia="es-ES_tradnl"/>
        </w:rPr>
        <w:tab/>
      </w:r>
      <w:r w:rsidR="009D734F">
        <w:rPr>
          <w:rFonts w:eastAsia="Times New Roman"/>
          <w:lang w:eastAsia="es-ES_tradnl"/>
        </w:rPr>
        <w:t>Compte tenu des informations fournies aux paragraphes</w:t>
      </w:r>
      <w:r w:rsidR="00B50270">
        <w:rPr>
          <w:rFonts w:eastAsia="Times New Roman"/>
          <w:lang w:eastAsia="es-ES_tradnl"/>
        </w:rPr>
        <w:t> </w:t>
      </w:r>
      <w:r w:rsidR="009D734F">
        <w:rPr>
          <w:rFonts w:eastAsia="Times New Roman"/>
          <w:lang w:eastAsia="es-ES_tradnl"/>
        </w:rPr>
        <w:t>31 à</w:t>
      </w:r>
      <w:r w:rsidR="00B50270">
        <w:rPr>
          <w:rFonts w:eastAsia="Times New Roman"/>
          <w:lang w:eastAsia="es-ES_tradnl"/>
        </w:rPr>
        <w:t> </w:t>
      </w:r>
      <w:r w:rsidR="009D734F">
        <w:rPr>
          <w:rFonts w:eastAsia="Times New Roman"/>
          <w:lang w:eastAsia="es-ES_tradnl"/>
        </w:rPr>
        <w:t xml:space="preserve">37 du rapport de l’État partie, </w:t>
      </w:r>
      <w:r w:rsidR="009D734F">
        <w:t>i</w:t>
      </w:r>
      <w:r w:rsidR="009D734F" w:rsidRPr="00736953">
        <w:t xml:space="preserve">ndiquer si des mesures juridiques ou administratives spécifiques ont été adoptées dans l’État partie pour garantir qu’il ne </w:t>
      </w:r>
      <w:r w:rsidR="009D734F">
        <w:t>peut</w:t>
      </w:r>
      <w:r w:rsidR="009D734F" w:rsidRPr="00736953">
        <w:t xml:space="preserve"> être</w:t>
      </w:r>
      <w:r w:rsidR="009D734F">
        <w:t xml:space="preserve"> </w:t>
      </w:r>
      <w:r w:rsidR="009D734F" w:rsidRPr="00736953">
        <w:t xml:space="preserve">dérogé au droit de ne pas être soumis à une disparition forcée dans des circonstances exceptionnelles, qu’il s’agisse de l’état de guerre ou de menace de guerre, d’instabilité </w:t>
      </w:r>
      <w:r w:rsidR="009D734F" w:rsidRPr="00BD3B07">
        <w:rPr>
          <w:rFonts w:eastAsia="Times New Roman"/>
          <w:lang w:eastAsia="es-ES_tradnl"/>
        </w:rPr>
        <w:t>politique</w:t>
      </w:r>
      <w:r w:rsidR="009D734F" w:rsidRPr="00736953">
        <w:t xml:space="preserve"> intérieure ou de tout autre état d’exception</w:t>
      </w:r>
      <w:r w:rsidR="009D734F">
        <w:t xml:space="preserve"> tel que la crise résultant de la pandémie de maladie à coronavirus (COVID-19)</w:t>
      </w:r>
      <w:r w:rsidR="009D734F" w:rsidRPr="00736953">
        <w:t xml:space="preserve">. </w:t>
      </w:r>
      <w:r w:rsidR="009D734F" w:rsidRPr="00741119">
        <w:t>Explique</w:t>
      </w:r>
      <w:r w:rsidR="009D734F">
        <w:t>r</w:t>
      </w:r>
      <w:r w:rsidR="009D734F">
        <w:rPr>
          <w:rFonts w:eastAsia="Times New Roman"/>
          <w:lang w:eastAsia="es-ES_tradnl"/>
        </w:rPr>
        <w:t xml:space="preserve"> comment l’État partie assure que les mesures prises dans le cadre de la lutte contre le terrorisme, notamment l’état d’urgence décrété dans les régions d’Agadez, </w:t>
      </w:r>
      <w:bookmarkStart w:id="0" w:name="_GoBack"/>
      <w:bookmarkEnd w:id="0"/>
      <w:r w:rsidR="009D734F">
        <w:rPr>
          <w:rFonts w:eastAsia="Times New Roman"/>
          <w:lang w:eastAsia="es-ES_tradnl"/>
        </w:rPr>
        <w:t xml:space="preserve">de Diffa, </w:t>
      </w:r>
      <w:r w:rsidR="009D734F">
        <w:rPr>
          <w:rFonts w:eastAsia="Times New Roman"/>
          <w:lang w:eastAsia="es-ES_tradnl"/>
        </w:rPr>
        <w:lastRenderedPageBreak/>
        <w:t>de</w:t>
      </w:r>
      <w:r>
        <w:rPr>
          <w:rFonts w:eastAsia="Times New Roman"/>
          <w:lang w:eastAsia="es-ES_tradnl"/>
        </w:rPr>
        <w:t> </w:t>
      </w:r>
      <w:r w:rsidR="009D734F">
        <w:rPr>
          <w:rFonts w:eastAsia="Times New Roman"/>
          <w:lang w:eastAsia="es-ES_tradnl"/>
        </w:rPr>
        <w:t xml:space="preserve">Tahoua et de </w:t>
      </w:r>
      <w:proofErr w:type="spellStart"/>
      <w:r w:rsidR="009D734F">
        <w:rPr>
          <w:rFonts w:eastAsia="Times New Roman"/>
          <w:lang w:eastAsia="es-ES_tradnl"/>
        </w:rPr>
        <w:t>Tillabéri</w:t>
      </w:r>
      <w:proofErr w:type="spellEnd"/>
      <w:r w:rsidR="009D734F">
        <w:rPr>
          <w:rFonts w:eastAsia="Times New Roman"/>
          <w:lang w:eastAsia="es-ES_tradnl"/>
        </w:rPr>
        <w:t>, n’ont aucune incidence sur l’application effective de cette interdiction (art.</w:t>
      </w:r>
      <w:r w:rsidR="00B50270">
        <w:rPr>
          <w:rFonts w:eastAsia="Times New Roman"/>
          <w:lang w:eastAsia="es-ES_tradnl"/>
        </w:rPr>
        <w:t> </w:t>
      </w:r>
      <w:r w:rsidR="009D734F">
        <w:rPr>
          <w:rFonts w:eastAsia="Times New Roman"/>
          <w:lang w:eastAsia="es-ES_tradnl"/>
        </w:rPr>
        <w:t>1</w:t>
      </w:r>
      <w:r w:rsidR="009D734F" w:rsidRPr="00E9329D">
        <w:rPr>
          <w:rFonts w:eastAsia="Times New Roman"/>
          <w:vertAlign w:val="superscript"/>
          <w:lang w:eastAsia="es-ES_tradnl"/>
        </w:rPr>
        <w:t>er</w:t>
      </w:r>
      <w:r w:rsidR="009D734F">
        <w:rPr>
          <w:rFonts w:eastAsia="Times New Roman"/>
          <w:lang w:eastAsia="es-ES_tradnl"/>
        </w:rPr>
        <w:t xml:space="preserve">). </w:t>
      </w:r>
    </w:p>
    <w:p w14:paraId="274C616D" w14:textId="77777777" w:rsidR="009D734F" w:rsidRPr="00C441C8" w:rsidRDefault="00A04F03" w:rsidP="00A04F03">
      <w:pPr>
        <w:pStyle w:val="SingleTxtG"/>
        <w:rPr>
          <w:lang w:val="fr-FR"/>
        </w:rPr>
      </w:pPr>
      <w:r w:rsidRPr="00C441C8">
        <w:rPr>
          <w:lang w:val="fr-FR"/>
        </w:rPr>
        <w:t>5.</w:t>
      </w:r>
      <w:r w:rsidRPr="00C441C8">
        <w:rPr>
          <w:lang w:val="fr-FR"/>
        </w:rPr>
        <w:tab/>
      </w:r>
      <w:r w:rsidR="009D734F">
        <w:t>E</w:t>
      </w:r>
      <w:r w:rsidR="009D734F" w:rsidRPr="003325E4">
        <w:t xml:space="preserve">n l’absence d’une définition de la disparition forcée dans le droit interne, </w:t>
      </w:r>
      <w:r w:rsidR="009D734F">
        <w:t xml:space="preserve">expliquer </w:t>
      </w:r>
      <w:r w:rsidR="009D734F" w:rsidRPr="003325E4">
        <w:t xml:space="preserve">comment les dispositions législatives du </w:t>
      </w:r>
      <w:r w:rsidR="009D734F">
        <w:t>C</w:t>
      </w:r>
      <w:r w:rsidR="009D734F" w:rsidRPr="003325E4">
        <w:t xml:space="preserve">ode pénal, du </w:t>
      </w:r>
      <w:r w:rsidR="009D734F">
        <w:t>C</w:t>
      </w:r>
      <w:r w:rsidR="009D734F" w:rsidRPr="003325E4">
        <w:t xml:space="preserve">ode de procédure pénale et du </w:t>
      </w:r>
      <w:r w:rsidR="009D734F">
        <w:t>C</w:t>
      </w:r>
      <w:r w:rsidR="009D734F" w:rsidRPr="003325E4">
        <w:t xml:space="preserve">ode de </w:t>
      </w:r>
      <w:r w:rsidR="009D734F" w:rsidRPr="00BE3204">
        <w:rPr>
          <w:rFonts w:eastAsia="Times New Roman"/>
          <w:lang w:eastAsia="es-ES_tradnl"/>
        </w:rPr>
        <w:t>justice</w:t>
      </w:r>
      <w:r w:rsidR="009D734F" w:rsidRPr="003325E4">
        <w:t xml:space="preserve"> militaire </w:t>
      </w:r>
      <w:r w:rsidR="009D734F">
        <w:t xml:space="preserve">mentionnées dans le rapport de l’État partie </w:t>
      </w:r>
      <w:r w:rsidR="009D734F" w:rsidRPr="003325E4">
        <w:t>sont appliquées dans les cas de disparitions forcées</w:t>
      </w:r>
      <w:r w:rsidR="009D734F">
        <w:t xml:space="preserve">. </w:t>
      </w:r>
      <w:r w:rsidR="009D734F">
        <w:rPr>
          <w:lang w:val="fr-FR"/>
        </w:rPr>
        <w:t>D</w:t>
      </w:r>
      <w:r w:rsidR="009D734F" w:rsidRPr="00C441C8">
        <w:rPr>
          <w:lang w:val="fr-FR"/>
        </w:rPr>
        <w:t>onner des exemples concrets de leur application (art.</w:t>
      </w:r>
      <w:r>
        <w:rPr>
          <w:lang w:val="fr-FR"/>
        </w:rPr>
        <w:t> </w:t>
      </w:r>
      <w:r w:rsidR="009D734F" w:rsidRPr="00C441C8">
        <w:rPr>
          <w:lang w:val="fr-FR"/>
        </w:rPr>
        <w:t xml:space="preserve">2). </w:t>
      </w:r>
    </w:p>
    <w:p w14:paraId="38424FF7" w14:textId="77777777" w:rsidR="009D734F" w:rsidRDefault="00A04F03" w:rsidP="00A04F03">
      <w:pPr>
        <w:pStyle w:val="SingleTxtG"/>
      </w:pPr>
      <w:r>
        <w:t>6.</w:t>
      </w:r>
      <w:r>
        <w:tab/>
      </w:r>
      <w:r w:rsidR="009D734F" w:rsidRPr="00736953">
        <w:t>Fournir des données statistiques actualisées, ventilées par sexe, âge, nationalité, origine</w:t>
      </w:r>
      <w:r w:rsidR="009D734F">
        <w:t xml:space="preserve"> ethnique,</w:t>
      </w:r>
      <w:r w:rsidR="009D734F" w:rsidRPr="00736953">
        <w:t xml:space="preserve"> appartenance religieuse</w:t>
      </w:r>
      <w:r w:rsidR="009D734F">
        <w:t xml:space="preserve"> et profession</w:t>
      </w:r>
      <w:r w:rsidR="009D734F" w:rsidRPr="00736953">
        <w:t xml:space="preserve"> de la victime, sur le nombre de personnes signalées comme disparues dans l’État partie depuis l’entrée en vigueur de la Convention, en précisant la date et le lieu de leur disparition, et le nombre d’entre elles qui ont été retrouvées</w:t>
      </w:r>
      <w:r w:rsidR="009D734F">
        <w:t>.</w:t>
      </w:r>
      <w:r w:rsidR="009D734F" w:rsidRPr="00736953">
        <w:t xml:space="preserve"> </w:t>
      </w:r>
      <w:r w:rsidR="009D734F">
        <w:t>I</w:t>
      </w:r>
      <w:r w:rsidR="009D734F" w:rsidRPr="00736953">
        <w:t>ndiquer le nombre de cas dans lesquels il y aurait eu, d’une manière ou d’une autre, participation de l’État au sens de l’article 2 de la Convention. Décrire la méthode utilisée pour parvenir à ces chiffres</w:t>
      </w:r>
      <w:r w:rsidR="009D734F">
        <w:t xml:space="preserve"> </w:t>
      </w:r>
      <w:r w:rsidR="009D734F" w:rsidRPr="00C57516">
        <w:rPr>
          <w:rFonts w:eastAsia="PMingLiU"/>
          <w:lang w:eastAsia="zh-TW"/>
        </w:rPr>
        <w:t>(art.</w:t>
      </w:r>
      <w:r>
        <w:rPr>
          <w:rFonts w:eastAsia="PMingLiU"/>
          <w:lang w:eastAsia="zh-TW"/>
        </w:rPr>
        <w:t> </w:t>
      </w:r>
      <w:r w:rsidR="009D734F" w:rsidRPr="00C57516">
        <w:rPr>
          <w:rFonts w:eastAsia="PMingLiU"/>
          <w:lang w:eastAsia="zh-TW"/>
        </w:rPr>
        <w:t>1</w:t>
      </w:r>
      <w:r w:rsidR="009D734F" w:rsidRPr="00E9329D">
        <w:rPr>
          <w:rFonts w:eastAsia="PMingLiU"/>
          <w:vertAlign w:val="superscript"/>
          <w:lang w:eastAsia="zh-TW"/>
        </w:rPr>
        <w:t>er</w:t>
      </w:r>
      <w:r w:rsidR="009D734F" w:rsidRPr="00C57516">
        <w:rPr>
          <w:rFonts w:eastAsia="PMingLiU"/>
          <w:lang w:eastAsia="zh-TW"/>
        </w:rPr>
        <w:t xml:space="preserve"> </w:t>
      </w:r>
      <w:r w:rsidR="009D734F">
        <w:rPr>
          <w:rFonts w:eastAsia="PMingLiU"/>
          <w:lang w:eastAsia="zh-TW"/>
        </w:rPr>
        <w:t>et</w:t>
      </w:r>
      <w:r w:rsidR="00B50270">
        <w:rPr>
          <w:rFonts w:eastAsia="PMingLiU"/>
          <w:lang w:eastAsia="zh-TW"/>
        </w:rPr>
        <w:t> </w:t>
      </w:r>
      <w:r w:rsidR="009D734F" w:rsidRPr="00C57516">
        <w:rPr>
          <w:rFonts w:eastAsia="PMingLiU"/>
          <w:lang w:eastAsia="zh-TW"/>
        </w:rPr>
        <w:t>12)</w:t>
      </w:r>
      <w:r w:rsidR="009D734F">
        <w:rPr>
          <w:rFonts w:eastAsia="PMingLiU"/>
          <w:lang w:eastAsia="zh-TW"/>
        </w:rPr>
        <w:t>.</w:t>
      </w:r>
    </w:p>
    <w:p w14:paraId="63028780" w14:textId="77777777" w:rsidR="009D734F" w:rsidRDefault="00A04F03" w:rsidP="00A04F03">
      <w:pPr>
        <w:pStyle w:val="SingleTxtG"/>
      </w:pPr>
      <w:r>
        <w:t>7.</w:t>
      </w:r>
      <w:r>
        <w:tab/>
      </w:r>
      <w:r w:rsidR="009D734F">
        <w:rPr>
          <w:rFonts w:eastAsia="Times New Roman"/>
          <w:lang w:eastAsia="es-ES_tradnl"/>
        </w:rPr>
        <w:t>Compte tenu des informations fournies aux paragraphes</w:t>
      </w:r>
      <w:r>
        <w:rPr>
          <w:rFonts w:eastAsia="Times New Roman"/>
          <w:lang w:eastAsia="es-ES_tradnl"/>
        </w:rPr>
        <w:t> </w:t>
      </w:r>
      <w:r w:rsidR="009D734F">
        <w:rPr>
          <w:rFonts w:eastAsia="Times New Roman"/>
          <w:lang w:eastAsia="es-ES_tradnl"/>
        </w:rPr>
        <w:t>52 et</w:t>
      </w:r>
      <w:r w:rsidR="00B50270">
        <w:rPr>
          <w:rFonts w:eastAsia="Times New Roman"/>
          <w:lang w:eastAsia="es-ES_tradnl"/>
        </w:rPr>
        <w:t> </w:t>
      </w:r>
      <w:r w:rsidR="009D734F">
        <w:rPr>
          <w:rFonts w:eastAsia="Times New Roman"/>
          <w:lang w:eastAsia="es-ES_tradnl"/>
        </w:rPr>
        <w:t xml:space="preserve">53 du rapport de l’État partie, </w:t>
      </w:r>
      <w:r w:rsidR="009D734F">
        <w:t>indiquer si des plaintes ont été déposées concernant des agissements, au sens de l’article</w:t>
      </w:r>
      <w:r w:rsidR="00B50270">
        <w:t> </w:t>
      </w:r>
      <w:r w:rsidR="009D734F">
        <w:t xml:space="preserve">2 de la Convention, qui étaient l’œuvre de personnes ou de </w:t>
      </w:r>
      <w:r w:rsidR="009D734F" w:rsidRPr="005367F5">
        <w:rPr>
          <w:rFonts w:eastAsia="Times New Roman"/>
          <w:lang w:eastAsia="es-ES_tradnl"/>
        </w:rPr>
        <w:t>groupes</w:t>
      </w:r>
      <w:r w:rsidR="009D734F">
        <w:t xml:space="preserve"> de personnes agissant sans l’autorisation, l’appui ou l’acquiescement de l’État. Dans l’affirmative, fournir des données détaillées concernant les enquêtes menées et leurs résultats, notamment les sanctions infligées aux auteurs et les réparations, y compris la réadaptation, accordées aux victimes. </w:t>
      </w:r>
      <w:r w:rsidR="009D734F" w:rsidRPr="00C57516">
        <w:t>Indiquer également si des plaintes ont été déposées concernant des cas de traite d’être</w:t>
      </w:r>
      <w:r w:rsidR="009D734F">
        <w:t>s</w:t>
      </w:r>
      <w:r w:rsidR="009D734F" w:rsidRPr="00C57516">
        <w:t xml:space="preserve"> humain</w:t>
      </w:r>
      <w:r w:rsidR="009D734F">
        <w:t>s</w:t>
      </w:r>
      <w:r w:rsidR="009D734F" w:rsidRPr="00C57516">
        <w:t xml:space="preserve"> qui pourraient relever des articles 2 et</w:t>
      </w:r>
      <w:r w:rsidR="00B50270">
        <w:t> </w:t>
      </w:r>
      <w:r w:rsidR="009D734F" w:rsidRPr="00C57516">
        <w:t xml:space="preserve">3 de la Convention et, dans l’affirmative, les mesures </w:t>
      </w:r>
      <w:r w:rsidR="009D734F">
        <w:t xml:space="preserve">qui ont été </w:t>
      </w:r>
      <w:r w:rsidR="009D734F" w:rsidRPr="00C57516">
        <w:t>prises pour enquêter</w:t>
      </w:r>
      <w:r w:rsidR="009D734F">
        <w:t>,</w:t>
      </w:r>
      <w:r w:rsidR="009D734F" w:rsidRPr="00C57516">
        <w:t xml:space="preserve"> punir les responsables </w:t>
      </w:r>
      <w:r w:rsidR="009D734F">
        <w:t>et</w:t>
      </w:r>
      <w:r w:rsidR="009D734F" w:rsidRPr="00C57516">
        <w:t xml:space="preserve"> offrir aux victimes les mesures de réparation et de réadaptation adéquates</w:t>
      </w:r>
      <w:r w:rsidR="009D734F">
        <w:t xml:space="preserve"> (art.</w:t>
      </w:r>
      <w:r w:rsidR="00B50270">
        <w:t> </w:t>
      </w:r>
      <w:r w:rsidR="009D734F">
        <w:t>2, 3, 12 et</w:t>
      </w:r>
      <w:r w:rsidR="00B50270">
        <w:t> </w:t>
      </w:r>
      <w:r w:rsidR="009D734F">
        <w:t>24).</w:t>
      </w:r>
    </w:p>
    <w:p w14:paraId="7315325B" w14:textId="77777777" w:rsidR="009D734F" w:rsidRDefault="00A04F03" w:rsidP="00A04F03">
      <w:pPr>
        <w:pStyle w:val="SingleTxtG"/>
        <w:rPr>
          <w:rFonts w:eastAsia="Times New Roman"/>
          <w:lang w:eastAsia="es-ES_tradnl"/>
        </w:rPr>
      </w:pPr>
      <w:r>
        <w:rPr>
          <w:rFonts w:eastAsia="Times New Roman"/>
          <w:lang w:eastAsia="es-ES_tradnl"/>
        </w:rPr>
        <w:t>8.</w:t>
      </w:r>
      <w:r>
        <w:rPr>
          <w:rFonts w:eastAsia="Times New Roman"/>
          <w:lang w:eastAsia="es-ES_tradnl"/>
        </w:rPr>
        <w:tab/>
      </w:r>
      <w:r w:rsidR="009D734F">
        <w:t>F</w:t>
      </w:r>
      <w:r w:rsidR="009D734F" w:rsidRPr="003325E4">
        <w:t>ournir des informations sur</w:t>
      </w:r>
      <w:r w:rsidR="009D734F">
        <w:t xml:space="preserve"> l’état d’avancement du projet de loi sur la disparition forcée, en précisant le calendrier envisagé pour son adoption et son entrée en vigueur. Fournir également des renseignements sur le contenu de ce projet de loi, notamment en ce qui concerne l’inclusion de </w:t>
      </w:r>
      <w:r w:rsidR="009D734F" w:rsidRPr="003325E4">
        <w:t xml:space="preserve">la disparition forcée </w:t>
      </w:r>
      <w:r w:rsidR="009D734F">
        <w:t>en tant qu’</w:t>
      </w:r>
      <w:r w:rsidR="009D734F" w:rsidRPr="003325E4">
        <w:t>infraction autonome</w:t>
      </w:r>
      <w:r w:rsidR="009D734F">
        <w:t xml:space="preserve"> aux</w:t>
      </w:r>
      <w:r w:rsidR="009D734F" w:rsidRPr="003325E4">
        <w:t xml:space="preserve"> termes </w:t>
      </w:r>
      <w:r w:rsidR="009D734F">
        <w:t xml:space="preserve">des </w:t>
      </w:r>
      <w:r w:rsidR="009D734F" w:rsidRPr="003325E4">
        <w:t>article</w:t>
      </w:r>
      <w:r w:rsidR="009D734F">
        <w:t>s</w:t>
      </w:r>
      <w:r w:rsidR="00B50270">
        <w:t> </w:t>
      </w:r>
      <w:r w:rsidR="009D734F" w:rsidRPr="003325E4">
        <w:t xml:space="preserve">2 </w:t>
      </w:r>
      <w:r w:rsidR="009D734F">
        <w:t xml:space="preserve">et 4 </w:t>
      </w:r>
      <w:r w:rsidR="009D734F" w:rsidRPr="003325E4">
        <w:t>de la Convention</w:t>
      </w:r>
      <w:r w:rsidR="009D734F">
        <w:t>, ainsi que sur les sanctions et circonstances aggravantes et atténuantes qui y sont prévues (art.</w:t>
      </w:r>
      <w:r w:rsidR="00B50270">
        <w:t> </w:t>
      </w:r>
      <w:r w:rsidR="009D734F">
        <w:t>2, 4 et 7).</w:t>
      </w:r>
    </w:p>
    <w:p w14:paraId="0F39CCBD" w14:textId="77777777" w:rsidR="009D734F" w:rsidRPr="00BE3204" w:rsidRDefault="00A04F03" w:rsidP="00A04F03">
      <w:pPr>
        <w:pStyle w:val="SingleTxtG"/>
      </w:pPr>
      <w:r w:rsidRPr="00BE3204">
        <w:t>9.</w:t>
      </w:r>
      <w:r w:rsidRPr="00BE3204">
        <w:tab/>
      </w:r>
      <w:r w:rsidR="009D734F" w:rsidRPr="00BE3204">
        <w:t xml:space="preserve">Fournir des informations sur les mesures concrètes </w:t>
      </w:r>
      <w:r w:rsidR="009D734F">
        <w:t xml:space="preserve">prises </w:t>
      </w:r>
      <w:r w:rsidR="009D734F" w:rsidRPr="00BE3204">
        <w:t xml:space="preserve">pour tenir pénalement responsable toute personne qui commet une disparition forcée, l’ordonne ou la commandite, tente de la commettre, en est complice ou y participe, </w:t>
      </w:r>
      <w:r w:rsidR="009D734F" w:rsidRPr="00BD3B07">
        <w:t xml:space="preserve">notamment lorsqu’il s’agit d’un supérieur dans les circonstances décrites </w:t>
      </w:r>
      <w:r w:rsidR="009D734F">
        <w:t>au</w:t>
      </w:r>
      <w:r w:rsidR="009D734F" w:rsidRPr="00BD3B07">
        <w:t xml:space="preserve"> paragraphe</w:t>
      </w:r>
      <w:r w:rsidR="001570F5">
        <w:t> </w:t>
      </w:r>
      <w:r w:rsidR="009D734F" w:rsidRPr="00BD3B07">
        <w:t>1</w:t>
      </w:r>
      <w:r w:rsidR="009D734F">
        <w:t> b)</w:t>
      </w:r>
      <w:r w:rsidR="009D734F" w:rsidRPr="00BD3B07">
        <w:t xml:space="preserve"> de l’article</w:t>
      </w:r>
      <w:r w:rsidR="00B50270">
        <w:t> </w:t>
      </w:r>
      <w:r w:rsidR="009D734F" w:rsidRPr="00BD3B07">
        <w:t xml:space="preserve">6 de la Convention. </w:t>
      </w:r>
      <w:r w:rsidR="009D734F" w:rsidRPr="00BE3204">
        <w:t xml:space="preserve">Préciser également s’il existe des dispositions législatives ou une jurisprudence relatives à l’interdiction d’invoquer un ordre ou une instruction émanant d’une autorité publique pour justifier une infraction de disparition forcée, </w:t>
      </w:r>
      <w:r w:rsidR="009D734F">
        <w:t xml:space="preserve">et </w:t>
      </w:r>
      <w:r w:rsidR="009D734F" w:rsidRPr="00BE3204">
        <w:t>si la législation interne interdit expressément les ordres ou instructions prescrivant, autorisant ou encourageant une disparition forcée</w:t>
      </w:r>
      <w:r w:rsidR="009D734F">
        <w:t>.</w:t>
      </w:r>
      <w:r w:rsidR="009D734F" w:rsidRPr="00BE3204">
        <w:t xml:space="preserve"> </w:t>
      </w:r>
      <w:r w:rsidR="009D734F">
        <w:t>De plus,</w:t>
      </w:r>
      <w:r w:rsidR="009D734F" w:rsidRPr="00BE3204">
        <w:t xml:space="preserve"> indiquer les garanties prévues par la législation interne pour qu’une personne qui refuse de se conformer à un ordre de commettre un acte de disparition forcée ne soit pas sanctionnée (art.</w:t>
      </w:r>
      <w:r w:rsidR="00B50270">
        <w:t> </w:t>
      </w:r>
      <w:r w:rsidR="009D734F" w:rsidRPr="00BE3204">
        <w:t>6).</w:t>
      </w:r>
    </w:p>
    <w:p w14:paraId="377035EB" w14:textId="77777777" w:rsidR="009D734F" w:rsidRPr="00C91AFD" w:rsidRDefault="00A04F03" w:rsidP="00A04F03">
      <w:pPr>
        <w:pStyle w:val="SingleTxtG"/>
      </w:pPr>
      <w:r w:rsidRPr="00C91AFD">
        <w:t>10.</w:t>
      </w:r>
      <w:r w:rsidRPr="00C91AFD">
        <w:tab/>
      </w:r>
      <w:r w:rsidR="009D734F">
        <w:t xml:space="preserve">Indiquer </w:t>
      </w:r>
      <w:r w:rsidR="009D734F" w:rsidRPr="00C91AFD">
        <w:t>si l’ensemble des circonstances atténuantes visées au paragraphe</w:t>
      </w:r>
      <w:r w:rsidR="00B50270">
        <w:t> </w:t>
      </w:r>
      <w:r w:rsidR="009D734F" w:rsidRPr="00C91AFD">
        <w:t>2</w:t>
      </w:r>
      <w:r w:rsidR="009D734F">
        <w:t> </w:t>
      </w:r>
      <w:r w:rsidR="009D734F" w:rsidRPr="00C91AFD">
        <w:t>a) de l’article</w:t>
      </w:r>
      <w:r w:rsidR="00B50270">
        <w:t> </w:t>
      </w:r>
      <w:r w:rsidR="009D734F" w:rsidRPr="00C91AFD">
        <w:t>7 de la Convention et des circonstances aggravantes prévues au paragraphe</w:t>
      </w:r>
      <w:r w:rsidR="00B50270">
        <w:t> </w:t>
      </w:r>
      <w:r w:rsidR="009D734F" w:rsidRPr="00C91AFD">
        <w:t>2</w:t>
      </w:r>
      <w:r w:rsidR="009D734F">
        <w:t> </w:t>
      </w:r>
      <w:r w:rsidR="009D734F" w:rsidRPr="00C91AFD">
        <w:t>b)</w:t>
      </w:r>
      <w:r w:rsidR="009D734F">
        <w:t xml:space="preserve"> du même article</w:t>
      </w:r>
      <w:r w:rsidR="009D734F" w:rsidRPr="00C91AFD">
        <w:t xml:space="preserve"> sont prises en compte dans les cas de disparition forcé</w:t>
      </w:r>
      <w:r w:rsidR="009D734F">
        <w:t>e (</w:t>
      </w:r>
      <w:r w:rsidR="009D734F" w:rsidRPr="00D93568">
        <w:t>art</w:t>
      </w:r>
      <w:r w:rsidR="009D734F">
        <w:t>.</w:t>
      </w:r>
      <w:r w:rsidR="00B50270">
        <w:t> </w:t>
      </w:r>
      <w:r w:rsidR="009D734F">
        <w:t>7</w:t>
      </w:r>
      <w:r w:rsidR="009D734F" w:rsidRPr="00D93568">
        <w:t xml:space="preserve">). </w:t>
      </w:r>
    </w:p>
    <w:p w14:paraId="66D1483E" w14:textId="77777777" w:rsidR="009D734F" w:rsidRPr="00810C30" w:rsidRDefault="009D734F" w:rsidP="009D734F">
      <w:pPr>
        <w:pStyle w:val="HChG"/>
      </w:pPr>
      <w:r>
        <w:tab/>
        <w:t>III.</w:t>
      </w:r>
      <w:r>
        <w:tab/>
      </w:r>
      <w:r w:rsidRPr="00820FC0">
        <w:t xml:space="preserve">Procédure judiciaire et coopération </w:t>
      </w:r>
      <w:r>
        <w:t>en matière pénale</w:t>
      </w:r>
      <w:r w:rsidRPr="00820FC0">
        <w:t xml:space="preserve"> </w:t>
      </w:r>
      <w:r>
        <w:br/>
      </w:r>
      <w:r w:rsidRPr="00820FC0">
        <w:t>(art.</w:t>
      </w:r>
      <w:r>
        <w:t> </w:t>
      </w:r>
      <w:r w:rsidRPr="00820FC0">
        <w:t>8 à 15)</w:t>
      </w:r>
    </w:p>
    <w:p w14:paraId="05CD647E" w14:textId="77777777" w:rsidR="009D734F" w:rsidRDefault="00A04F03" w:rsidP="00A04F03">
      <w:pPr>
        <w:pStyle w:val="SingleTxtG"/>
        <w:rPr>
          <w:rFonts w:eastAsia="Times New Roman"/>
          <w:lang w:eastAsia="es-ES_tradnl"/>
        </w:rPr>
      </w:pPr>
      <w:r>
        <w:rPr>
          <w:rFonts w:eastAsia="Times New Roman"/>
          <w:lang w:eastAsia="es-ES_tradnl"/>
        </w:rPr>
        <w:t>11.</w:t>
      </w:r>
      <w:r>
        <w:rPr>
          <w:rFonts w:eastAsia="Times New Roman"/>
          <w:lang w:eastAsia="es-ES_tradnl"/>
        </w:rPr>
        <w:tab/>
      </w:r>
      <w:r w:rsidR="009D734F">
        <w:rPr>
          <w:rFonts w:eastAsia="Times New Roman"/>
          <w:lang w:eastAsia="es-ES_tradnl"/>
        </w:rPr>
        <w:t>Compte tenu du fait que la disparition forcée n’est pas encore prévue dans le Code pénal comme un crime autonome, donner des renseignements sur la manière dont l’État partie envisage de garantir que le régime de prescription pour l’action pénale et pour la peine, en</w:t>
      </w:r>
      <w:r w:rsidR="001570F5">
        <w:rPr>
          <w:rFonts w:eastAsia="Times New Roman"/>
          <w:lang w:eastAsia="es-ES_tradnl"/>
        </w:rPr>
        <w:t> </w:t>
      </w:r>
      <w:r w:rsidR="009D734F">
        <w:rPr>
          <w:rFonts w:eastAsia="Times New Roman"/>
          <w:lang w:eastAsia="es-ES_tradnl"/>
        </w:rPr>
        <w:t>cas de disparition forcée, soit de longue durée et proportionné à sa gravité, et que le</w:t>
      </w:r>
      <w:r w:rsidR="009D734F" w:rsidRPr="003325E4">
        <w:rPr>
          <w:rFonts w:eastAsia="Times New Roman"/>
          <w:lang w:eastAsia="es-ES_tradnl"/>
        </w:rPr>
        <w:t xml:space="preserve"> caractère continu du crime </w:t>
      </w:r>
      <w:r w:rsidR="009D734F">
        <w:rPr>
          <w:rFonts w:eastAsia="Times New Roman"/>
          <w:lang w:eastAsia="es-ES_tradnl"/>
        </w:rPr>
        <w:t>soit pris en compte</w:t>
      </w:r>
      <w:r w:rsidR="009D734F" w:rsidRPr="003325E4">
        <w:rPr>
          <w:rFonts w:eastAsia="Times New Roman"/>
          <w:lang w:eastAsia="es-ES_tradnl"/>
        </w:rPr>
        <w:t>. Préciser également quelles garanties sont prévues pour que la prescription ne s’applique pas aux actions pénales, civiles ou administratives engagées par les victimes dans le cadre de l’exercice du droit à un recours effectif</w:t>
      </w:r>
      <w:r w:rsidR="009D734F">
        <w:rPr>
          <w:rFonts w:eastAsia="Times New Roman"/>
          <w:lang w:eastAsia="es-ES_tradnl"/>
        </w:rPr>
        <w:t xml:space="preserve"> (art.</w:t>
      </w:r>
      <w:r w:rsidR="00B50270">
        <w:rPr>
          <w:rFonts w:eastAsia="Times New Roman"/>
          <w:lang w:eastAsia="es-ES_tradnl"/>
        </w:rPr>
        <w:t> </w:t>
      </w:r>
      <w:r w:rsidR="009D734F">
        <w:rPr>
          <w:rFonts w:eastAsia="Times New Roman"/>
          <w:lang w:eastAsia="es-ES_tradnl"/>
        </w:rPr>
        <w:t>8).</w:t>
      </w:r>
      <w:r w:rsidR="009D734F" w:rsidRPr="003325E4">
        <w:rPr>
          <w:rFonts w:eastAsia="Times New Roman"/>
          <w:lang w:eastAsia="es-ES_tradnl"/>
        </w:rPr>
        <w:t xml:space="preserve"> </w:t>
      </w:r>
    </w:p>
    <w:p w14:paraId="3394F3D1" w14:textId="77777777" w:rsidR="009D734F" w:rsidRDefault="00A04F03" w:rsidP="00A04F03">
      <w:pPr>
        <w:pStyle w:val="SingleTxtG"/>
        <w:rPr>
          <w:rFonts w:eastAsia="Times New Roman"/>
          <w:lang w:eastAsia="es-ES_tradnl"/>
        </w:rPr>
      </w:pPr>
      <w:r>
        <w:rPr>
          <w:rFonts w:eastAsia="Times New Roman"/>
          <w:lang w:eastAsia="es-ES_tradnl"/>
        </w:rPr>
        <w:lastRenderedPageBreak/>
        <w:t>12.</w:t>
      </w:r>
      <w:r>
        <w:rPr>
          <w:rFonts w:eastAsia="Times New Roman"/>
          <w:lang w:eastAsia="es-ES_tradnl"/>
        </w:rPr>
        <w:tab/>
      </w:r>
      <w:r w:rsidR="009D734F" w:rsidRPr="009E630A">
        <w:rPr>
          <w:rFonts w:eastAsia="Times New Roman"/>
          <w:lang w:eastAsia="es-ES_tradnl"/>
        </w:rPr>
        <w:t xml:space="preserve">Compte tenu des informations fournies </w:t>
      </w:r>
      <w:r w:rsidR="009D734F">
        <w:rPr>
          <w:rFonts w:eastAsia="Times New Roman"/>
          <w:lang w:eastAsia="es-ES_tradnl"/>
        </w:rPr>
        <w:t>au</w:t>
      </w:r>
      <w:r w:rsidR="009D734F" w:rsidRPr="009E630A">
        <w:rPr>
          <w:rFonts w:eastAsia="Times New Roman"/>
          <w:lang w:eastAsia="es-ES_tradnl"/>
        </w:rPr>
        <w:t xml:space="preserve"> paragraphe</w:t>
      </w:r>
      <w:r w:rsidR="001570F5">
        <w:rPr>
          <w:rFonts w:eastAsia="Times New Roman"/>
          <w:lang w:eastAsia="es-ES_tradnl"/>
        </w:rPr>
        <w:t> </w:t>
      </w:r>
      <w:r w:rsidR="009D734F" w:rsidRPr="009E630A">
        <w:rPr>
          <w:rFonts w:eastAsia="Times New Roman"/>
          <w:lang w:eastAsia="es-ES_tradnl"/>
        </w:rPr>
        <w:t>88 du rapport</w:t>
      </w:r>
      <w:r w:rsidR="009D734F">
        <w:rPr>
          <w:rFonts w:eastAsia="Times New Roman"/>
          <w:lang w:eastAsia="es-ES_tradnl"/>
        </w:rPr>
        <w:t xml:space="preserve"> de l’État partie</w:t>
      </w:r>
      <w:r w:rsidR="009D734F" w:rsidRPr="009E630A">
        <w:rPr>
          <w:rFonts w:eastAsia="Times New Roman"/>
          <w:lang w:eastAsia="es-ES_tradnl"/>
        </w:rPr>
        <w:t xml:space="preserve">, </w:t>
      </w:r>
      <w:r w:rsidR="009D734F">
        <w:rPr>
          <w:rFonts w:eastAsia="Times New Roman"/>
          <w:lang w:eastAsia="es-ES_tradnl"/>
        </w:rPr>
        <w:t>donner des informations sur les autorités compétentes et procédures pour</w:t>
      </w:r>
      <w:r w:rsidR="009D734F" w:rsidRPr="009E630A">
        <w:rPr>
          <w:rFonts w:eastAsia="Times New Roman"/>
          <w:lang w:eastAsia="es-ES_tradnl"/>
        </w:rPr>
        <w:t xml:space="preserve"> connaître </w:t>
      </w:r>
      <w:r w:rsidR="009D734F">
        <w:rPr>
          <w:rFonts w:eastAsia="Times New Roman"/>
          <w:lang w:eastAsia="es-ES_tradnl"/>
        </w:rPr>
        <w:t>d’</w:t>
      </w:r>
      <w:r w:rsidR="009D734F" w:rsidRPr="009E630A">
        <w:rPr>
          <w:rFonts w:eastAsia="Times New Roman"/>
          <w:lang w:eastAsia="es-ES_tradnl"/>
        </w:rPr>
        <w:t>un crime de disparition forcée</w:t>
      </w:r>
      <w:r w:rsidR="009D734F">
        <w:rPr>
          <w:rFonts w:eastAsia="Times New Roman"/>
          <w:lang w:eastAsia="es-ES_tradnl"/>
        </w:rPr>
        <w:t>, conformément aux obligations qui découlent de l’article</w:t>
      </w:r>
      <w:r w:rsidR="00B50270">
        <w:rPr>
          <w:rFonts w:eastAsia="Times New Roman"/>
          <w:lang w:eastAsia="es-ES_tradnl"/>
        </w:rPr>
        <w:t> </w:t>
      </w:r>
      <w:r w:rsidR="009D734F">
        <w:rPr>
          <w:rFonts w:eastAsia="Times New Roman"/>
          <w:lang w:eastAsia="es-ES_tradnl"/>
        </w:rPr>
        <w:t xml:space="preserve">9 de la Convention. Si possible, </w:t>
      </w:r>
      <w:r w:rsidR="009D734F" w:rsidRPr="009E630A">
        <w:rPr>
          <w:rFonts w:eastAsia="Times New Roman"/>
          <w:lang w:eastAsia="es-ES_tradnl"/>
        </w:rPr>
        <w:t>donner des exemples de cas précis</w:t>
      </w:r>
      <w:r w:rsidR="009D734F">
        <w:rPr>
          <w:rFonts w:eastAsia="Times New Roman"/>
          <w:lang w:eastAsia="es-ES_tradnl"/>
        </w:rPr>
        <w:t xml:space="preserve"> (art.</w:t>
      </w:r>
      <w:r w:rsidR="00B50270">
        <w:rPr>
          <w:rFonts w:eastAsia="Times New Roman"/>
          <w:lang w:eastAsia="es-ES_tradnl"/>
        </w:rPr>
        <w:t> </w:t>
      </w:r>
      <w:r w:rsidR="009D734F">
        <w:rPr>
          <w:rFonts w:eastAsia="Times New Roman"/>
          <w:lang w:eastAsia="es-ES_tradnl"/>
        </w:rPr>
        <w:t>9).</w:t>
      </w:r>
      <w:r w:rsidR="009D734F" w:rsidRPr="009E630A">
        <w:rPr>
          <w:rFonts w:eastAsia="Times New Roman"/>
          <w:lang w:eastAsia="es-ES_tradnl"/>
        </w:rPr>
        <w:t xml:space="preserve"> </w:t>
      </w:r>
    </w:p>
    <w:p w14:paraId="745A5BAF" w14:textId="77777777" w:rsidR="009D734F" w:rsidRPr="00A0218B" w:rsidRDefault="00A04F03" w:rsidP="00A04F03">
      <w:pPr>
        <w:pStyle w:val="SingleTxtG"/>
        <w:rPr>
          <w:rFonts w:eastAsia="Times New Roman"/>
          <w:lang w:eastAsia="es-ES_tradnl"/>
        </w:rPr>
      </w:pPr>
      <w:r w:rsidRPr="00A0218B">
        <w:rPr>
          <w:rFonts w:eastAsia="Times New Roman"/>
          <w:lang w:eastAsia="es-ES_tradnl"/>
        </w:rPr>
        <w:t>13.</w:t>
      </w:r>
      <w:r w:rsidRPr="00A0218B">
        <w:rPr>
          <w:rFonts w:eastAsia="Times New Roman"/>
          <w:lang w:eastAsia="es-ES_tradnl"/>
        </w:rPr>
        <w:tab/>
      </w:r>
      <w:r w:rsidR="009D734F" w:rsidRPr="00A0218B">
        <w:rPr>
          <w:rFonts w:eastAsia="Times New Roman"/>
          <w:lang w:eastAsia="es-ES_tradnl"/>
        </w:rPr>
        <w:t>Compte tenu des informations fournies au paragraphe</w:t>
      </w:r>
      <w:r w:rsidR="00B50270">
        <w:rPr>
          <w:rFonts w:eastAsia="Times New Roman"/>
          <w:lang w:eastAsia="es-ES_tradnl"/>
        </w:rPr>
        <w:t> </w:t>
      </w:r>
      <w:r w:rsidR="009D734F" w:rsidRPr="00A0218B">
        <w:rPr>
          <w:rFonts w:eastAsia="Times New Roman"/>
          <w:lang w:eastAsia="es-ES_tradnl"/>
        </w:rPr>
        <w:t>90 du rapport</w:t>
      </w:r>
      <w:r w:rsidR="009D734F" w:rsidRPr="00E02A5A">
        <w:rPr>
          <w:rFonts w:eastAsia="Times New Roman"/>
          <w:lang w:eastAsia="es-ES_tradnl"/>
        </w:rPr>
        <w:t xml:space="preserve"> </w:t>
      </w:r>
      <w:r w:rsidR="009D734F">
        <w:rPr>
          <w:rFonts w:eastAsia="Times New Roman"/>
          <w:lang w:eastAsia="es-ES_tradnl"/>
        </w:rPr>
        <w:t>de l’État partie</w:t>
      </w:r>
      <w:r w:rsidR="009D734F" w:rsidRPr="00A0218B">
        <w:rPr>
          <w:rFonts w:eastAsia="Times New Roman"/>
          <w:lang w:eastAsia="es-ES_tradnl"/>
        </w:rPr>
        <w:t xml:space="preserve">, </w:t>
      </w:r>
      <w:r w:rsidR="009D734F">
        <w:rPr>
          <w:rFonts w:eastAsia="Times New Roman"/>
          <w:lang w:eastAsia="es-ES_tradnl"/>
        </w:rPr>
        <w:t xml:space="preserve">préciser si, </w:t>
      </w:r>
      <w:r w:rsidR="009D734F" w:rsidRPr="00A0218B">
        <w:rPr>
          <w:rFonts w:eastAsia="Times New Roman"/>
          <w:lang w:eastAsia="es-ES_tradnl"/>
        </w:rPr>
        <w:t>dans le cas où l’infraction de disparition forcée n’e</w:t>
      </w:r>
      <w:r w:rsidR="009D734F">
        <w:rPr>
          <w:rFonts w:eastAsia="Times New Roman"/>
          <w:lang w:eastAsia="es-ES_tradnl"/>
        </w:rPr>
        <w:t xml:space="preserve">xiste pas en droit interne, </w:t>
      </w:r>
      <w:r w:rsidR="009D734F" w:rsidRPr="00A0218B">
        <w:rPr>
          <w:rFonts w:eastAsia="Times New Roman"/>
          <w:lang w:eastAsia="es-ES_tradnl"/>
        </w:rPr>
        <w:t>l’exercice de la compétence pourrait se fonder sur la Convention</w:t>
      </w:r>
      <w:r w:rsidR="009D734F">
        <w:rPr>
          <w:rFonts w:eastAsia="Times New Roman"/>
          <w:lang w:eastAsia="es-ES_tradnl"/>
        </w:rPr>
        <w:t>.</w:t>
      </w:r>
      <w:r w:rsidR="009D734F" w:rsidRPr="00A0218B">
        <w:rPr>
          <w:rFonts w:eastAsia="Times New Roman"/>
          <w:lang w:eastAsia="es-ES_tradnl"/>
        </w:rPr>
        <w:t xml:space="preserve"> </w:t>
      </w:r>
      <w:r w:rsidR="009D734F">
        <w:rPr>
          <w:rFonts w:eastAsia="Times New Roman"/>
          <w:lang w:eastAsia="es-ES_tradnl"/>
        </w:rPr>
        <w:t>Préciser également</w:t>
      </w:r>
      <w:r w:rsidR="009D734F" w:rsidRPr="00A0218B">
        <w:rPr>
          <w:rFonts w:eastAsia="Times New Roman"/>
          <w:lang w:eastAsia="es-ES_tradnl"/>
        </w:rPr>
        <w:t xml:space="preserve"> quelles dispositions légales permettraient aux tribunaux nationaux d’exercer la compétence </w:t>
      </w:r>
      <w:r w:rsidR="009D734F">
        <w:rPr>
          <w:rFonts w:eastAsia="Times New Roman"/>
          <w:lang w:eastAsia="es-ES_tradnl"/>
        </w:rPr>
        <w:t>extraterritoriale</w:t>
      </w:r>
      <w:r w:rsidR="009D734F" w:rsidRPr="00A0218B">
        <w:rPr>
          <w:rFonts w:eastAsia="Times New Roman"/>
          <w:lang w:eastAsia="es-ES_tradnl"/>
        </w:rPr>
        <w:t xml:space="preserve"> </w:t>
      </w:r>
      <w:r w:rsidR="009D734F">
        <w:rPr>
          <w:rFonts w:eastAsia="Times New Roman"/>
          <w:lang w:eastAsia="es-ES_tradnl"/>
        </w:rPr>
        <w:t>en cas de disparition forcée</w:t>
      </w:r>
      <w:r w:rsidR="009D734F" w:rsidRPr="00A0218B">
        <w:rPr>
          <w:rFonts w:eastAsia="Times New Roman"/>
          <w:lang w:eastAsia="es-ES_tradnl"/>
        </w:rPr>
        <w:t xml:space="preserve">. Indiquer </w:t>
      </w:r>
      <w:r w:rsidR="009D734F">
        <w:rPr>
          <w:rFonts w:eastAsia="Times New Roman"/>
          <w:lang w:eastAsia="es-ES_tradnl"/>
        </w:rPr>
        <w:t>en outre</w:t>
      </w:r>
      <w:r w:rsidR="009D734F" w:rsidRPr="00A0218B">
        <w:rPr>
          <w:rFonts w:eastAsia="Times New Roman"/>
          <w:lang w:eastAsia="es-ES_tradnl"/>
        </w:rPr>
        <w:t xml:space="preserve"> si un refus d’extradition pourrait être fondé sur toute disposition relative à l’immunit</w:t>
      </w:r>
      <w:r w:rsidR="009D734F">
        <w:rPr>
          <w:rFonts w:eastAsia="Times New Roman"/>
          <w:lang w:eastAsia="es-ES_tradnl"/>
        </w:rPr>
        <w:t>é</w:t>
      </w:r>
      <w:r w:rsidR="009D734F" w:rsidRPr="00A0218B">
        <w:rPr>
          <w:rFonts w:eastAsia="Times New Roman"/>
          <w:lang w:eastAsia="es-ES_tradnl"/>
        </w:rPr>
        <w:t xml:space="preserve"> accordée </w:t>
      </w:r>
      <w:r w:rsidR="009D734F">
        <w:rPr>
          <w:rFonts w:eastAsia="Times New Roman"/>
          <w:lang w:eastAsia="es-ES_tradnl"/>
        </w:rPr>
        <w:t>à</w:t>
      </w:r>
      <w:r w:rsidR="009D734F" w:rsidRPr="00A0218B">
        <w:rPr>
          <w:rFonts w:eastAsia="Times New Roman"/>
          <w:lang w:eastAsia="es-ES_tradnl"/>
        </w:rPr>
        <w:t xml:space="preserve"> certaines catégories de personnes ou de responsables (art.</w:t>
      </w:r>
      <w:r w:rsidR="00B50270">
        <w:rPr>
          <w:rFonts w:eastAsia="Times New Roman"/>
          <w:lang w:eastAsia="es-ES_tradnl"/>
        </w:rPr>
        <w:t> </w:t>
      </w:r>
      <w:r w:rsidR="009D734F" w:rsidRPr="00A0218B">
        <w:rPr>
          <w:rFonts w:eastAsia="Times New Roman"/>
          <w:lang w:eastAsia="es-ES_tradnl"/>
        </w:rPr>
        <w:t xml:space="preserve">9, </w:t>
      </w:r>
      <w:r w:rsidR="009D734F">
        <w:rPr>
          <w:rFonts w:eastAsia="Times New Roman"/>
          <w:lang w:eastAsia="es-ES_tradnl"/>
        </w:rPr>
        <w:t xml:space="preserve">10, </w:t>
      </w:r>
      <w:r w:rsidR="009D734F" w:rsidRPr="00A0218B">
        <w:rPr>
          <w:rFonts w:eastAsia="Times New Roman"/>
          <w:lang w:eastAsia="es-ES_tradnl"/>
        </w:rPr>
        <w:t>11 et</w:t>
      </w:r>
      <w:r w:rsidR="001570F5">
        <w:rPr>
          <w:rFonts w:eastAsia="Times New Roman"/>
          <w:lang w:eastAsia="es-ES_tradnl"/>
        </w:rPr>
        <w:t> </w:t>
      </w:r>
      <w:r w:rsidR="009D734F" w:rsidRPr="00A0218B">
        <w:rPr>
          <w:rFonts w:eastAsia="Times New Roman"/>
          <w:lang w:eastAsia="es-ES_tradnl"/>
        </w:rPr>
        <w:t xml:space="preserve">13). </w:t>
      </w:r>
    </w:p>
    <w:p w14:paraId="497C42B5" w14:textId="77777777" w:rsidR="009D734F" w:rsidRPr="008E2AF2" w:rsidRDefault="00A04F03" w:rsidP="00A04F03">
      <w:pPr>
        <w:pStyle w:val="SingleTxtG"/>
        <w:rPr>
          <w:rFonts w:eastAsia="Times New Roman"/>
          <w:lang w:eastAsia="es-ES_tradnl"/>
        </w:rPr>
      </w:pPr>
      <w:r w:rsidRPr="008E2AF2">
        <w:rPr>
          <w:rFonts w:eastAsia="Times New Roman"/>
          <w:lang w:eastAsia="es-ES_tradnl"/>
        </w:rPr>
        <w:t>14.</w:t>
      </w:r>
      <w:r w:rsidRPr="008E2AF2">
        <w:rPr>
          <w:rFonts w:eastAsia="Times New Roman"/>
          <w:lang w:eastAsia="es-ES_tradnl"/>
        </w:rPr>
        <w:tab/>
      </w:r>
      <w:r w:rsidR="009D734F">
        <w:t>F</w:t>
      </w:r>
      <w:r w:rsidR="009D734F" w:rsidRPr="00D93568">
        <w:t xml:space="preserve">ournir de plus amples informations sur la procédure et les mesures mises en place pour examiner rapidement les allégations de disparition forcée, enquêter de manière </w:t>
      </w:r>
      <w:r w:rsidR="009D734F" w:rsidRPr="001E325E">
        <w:rPr>
          <w:rFonts w:eastAsia="Times New Roman"/>
          <w:lang w:eastAsia="es-ES_tradnl"/>
        </w:rPr>
        <w:t>approfondie</w:t>
      </w:r>
      <w:r w:rsidR="009D734F" w:rsidRPr="00D93568">
        <w:t xml:space="preserve"> et impartiale</w:t>
      </w:r>
      <w:r w:rsidR="009D734F">
        <w:t>,</w:t>
      </w:r>
      <w:r w:rsidR="009D734F" w:rsidRPr="00D93568">
        <w:t xml:space="preserve"> et déterminer le sort des personnes disparues. </w:t>
      </w:r>
      <w:r w:rsidR="009D734F">
        <w:t>Indiquer</w:t>
      </w:r>
      <w:r w:rsidR="009D734F" w:rsidRPr="00D93568">
        <w:t xml:space="preserve"> s’il existe une possibilité pour les officiers de </w:t>
      </w:r>
      <w:r w:rsidR="009D734F">
        <w:t>p</w:t>
      </w:r>
      <w:r w:rsidR="009D734F" w:rsidRPr="00D93568">
        <w:t>olice judiciaire d’ouvrir des enquêtes d’office sur des cas de disparition forcée</w:t>
      </w:r>
      <w:r w:rsidR="009D734F">
        <w:t xml:space="preserve"> et</w:t>
      </w:r>
      <w:r w:rsidR="009D734F" w:rsidRPr="00D93568">
        <w:t>, dans l’affirmative</w:t>
      </w:r>
      <w:r w:rsidR="009D734F">
        <w:t>,</w:t>
      </w:r>
      <w:r w:rsidR="009D734F" w:rsidRPr="00D93568">
        <w:t xml:space="preserve"> expliquer la procédure prévue</w:t>
      </w:r>
      <w:r w:rsidR="009D734F">
        <w:t xml:space="preserve"> (art.</w:t>
      </w:r>
      <w:r w:rsidR="00B50270">
        <w:t> </w:t>
      </w:r>
      <w:r w:rsidR="009D734F">
        <w:t xml:space="preserve">12). </w:t>
      </w:r>
    </w:p>
    <w:p w14:paraId="3F17F697" w14:textId="77777777" w:rsidR="009D734F" w:rsidRDefault="00A04F03" w:rsidP="00A04F03">
      <w:pPr>
        <w:pStyle w:val="SingleTxtG"/>
        <w:rPr>
          <w:rFonts w:eastAsia="Times New Roman"/>
          <w:lang w:eastAsia="es-ES_tradnl"/>
        </w:rPr>
      </w:pPr>
      <w:r>
        <w:rPr>
          <w:rFonts w:eastAsia="Times New Roman"/>
          <w:lang w:eastAsia="es-ES_tradnl"/>
        </w:rPr>
        <w:t>15.</w:t>
      </w:r>
      <w:r>
        <w:rPr>
          <w:rFonts w:eastAsia="Times New Roman"/>
          <w:lang w:eastAsia="es-ES_tradnl"/>
        </w:rPr>
        <w:tab/>
      </w:r>
      <w:r w:rsidR="009D734F" w:rsidRPr="001E325E">
        <w:rPr>
          <w:rFonts w:eastAsia="Times New Roman"/>
          <w:lang w:eastAsia="es-ES_tradnl"/>
        </w:rPr>
        <w:t xml:space="preserve">Préciser si le droit interne prévoit des mécanismes pour assurer la protection efficace du plaignant, des </w:t>
      </w:r>
      <w:r w:rsidR="009D734F" w:rsidRPr="00D54FE4">
        <w:t>témoins</w:t>
      </w:r>
      <w:r w:rsidR="009D734F" w:rsidRPr="001E325E">
        <w:rPr>
          <w:rFonts w:eastAsia="Times New Roman"/>
          <w:lang w:eastAsia="es-ES_tradnl"/>
        </w:rPr>
        <w:t xml:space="preserve">, des proches de la personne disparue et de leurs défenseurs, ainsi que de ceux qui participent à l’enquête pour disparition forcée, contre tout mauvais traitement ou toute intimidation </w:t>
      </w:r>
      <w:r w:rsidR="009D734F" w:rsidRPr="00BD3B07">
        <w:t>en</w:t>
      </w:r>
      <w:r w:rsidR="009D734F" w:rsidRPr="001E325E">
        <w:rPr>
          <w:rFonts w:eastAsia="Times New Roman"/>
          <w:lang w:eastAsia="es-ES_tradnl"/>
        </w:rPr>
        <w:t xml:space="preserve"> raison de la plainte déposée ou de tout</w:t>
      </w:r>
      <w:r w:rsidR="009D734F">
        <w:rPr>
          <w:rFonts w:eastAsia="Times New Roman"/>
          <w:lang w:eastAsia="es-ES_tradnl"/>
        </w:rPr>
        <w:t>e</w:t>
      </w:r>
      <w:r w:rsidR="009D734F" w:rsidRPr="001E325E">
        <w:rPr>
          <w:rFonts w:eastAsia="Times New Roman"/>
          <w:lang w:eastAsia="es-ES_tradnl"/>
        </w:rPr>
        <w:t xml:space="preserve"> déposition faite. Préciser également s’il existe des mécanismes permettant d’écarter de l’enquête sur une disparition forcée toute force civile ou militaire chargée d’assurer la sécurit</w:t>
      </w:r>
      <w:r w:rsidR="009D734F">
        <w:rPr>
          <w:rFonts w:eastAsia="Times New Roman"/>
          <w:lang w:eastAsia="es-ES_tradnl"/>
        </w:rPr>
        <w:t>é</w:t>
      </w:r>
      <w:r w:rsidR="009D734F" w:rsidRPr="001E325E">
        <w:rPr>
          <w:rFonts w:eastAsia="Times New Roman"/>
          <w:lang w:eastAsia="es-ES_tradnl"/>
        </w:rPr>
        <w:t xml:space="preserve"> ou le maintien de l’ordre dans le cas où un ou plusieurs de ses membres </w:t>
      </w:r>
      <w:r w:rsidR="009D734F">
        <w:rPr>
          <w:rFonts w:eastAsia="Times New Roman"/>
          <w:lang w:eastAsia="es-ES_tradnl"/>
        </w:rPr>
        <w:t>pourraient être</w:t>
      </w:r>
      <w:r w:rsidR="009D734F" w:rsidRPr="001E325E">
        <w:rPr>
          <w:rFonts w:eastAsia="Times New Roman"/>
          <w:lang w:eastAsia="es-ES_tradnl"/>
        </w:rPr>
        <w:t xml:space="preserve"> impliqués dans l’affaire</w:t>
      </w:r>
      <w:r w:rsidR="009D734F">
        <w:rPr>
          <w:rFonts w:eastAsia="Times New Roman"/>
          <w:lang w:eastAsia="es-ES_tradnl"/>
        </w:rPr>
        <w:t xml:space="preserve"> (art. 12)</w:t>
      </w:r>
      <w:r w:rsidR="009D734F" w:rsidRPr="001E325E">
        <w:rPr>
          <w:rFonts w:eastAsia="Times New Roman"/>
          <w:lang w:eastAsia="es-ES_tradnl"/>
        </w:rPr>
        <w:t xml:space="preserve">. </w:t>
      </w:r>
    </w:p>
    <w:p w14:paraId="155BDAB8" w14:textId="77777777" w:rsidR="009D734F" w:rsidRPr="003325E4" w:rsidRDefault="00A04F03" w:rsidP="00A04F03">
      <w:pPr>
        <w:pStyle w:val="SingleTxtG"/>
      </w:pPr>
      <w:r w:rsidRPr="003325E4">
        <w:t>16.</w:t>
      </w:r>
      <w:r w:rsidRPr="003325E4">
        <w:tab/>
      </w:r>
      <w:r w:rsidR="009D734F">
        <w:t xml:space="preserve">Concernant les allégations reçues par le Comité selon lesquelles des disparitions forcées auraient été </w:t>
      </w:r>
      <w:r w:rsidR="009D734F" w:rsidRPr="003325E4">
        <w:t>commises par les forces de l’ordre nigérienne</w:t>
      </w:r>
      <w:r w:rsidR="009D734F">
        <w:t>s</w:t>
      </w:r>
      <w:r w:rsidR="009D734F" w:rsidRPr="003325E4">
        <w:t xml:space="preserve"> dans le cadre de l’opération </w:t>
      </w:r>
      <w:proofErr w:type="spellStart"/>
      <w:r w:rsidR="009D734F" w:rsidRPr="003325E4">
        <w:t>Almahou</w:t>
      </w:r>
      <w:proofErr w:type="spellEnd"/>
      <w:r w:rsidR="009D734F">
        <w:t>,</w:t>
      </w:r>
      <w:r w:rsidR="009D734F" w:rsidRPr="003325E4">
        <w:t xml:space="preserve"> menée entre le 27</w:t>
      </w:r>
      <w:r w:rsidR="00B50270">
        <w:t> </w:t>
      </w:r>
      <w:r w:rsidR="009D734F" w:rsidRPr="003325E4">
        <w:t>mars et le 2</w:t>
      </w:r>
      <w:r w:rsidR="00B50270">
        <w:t> </w:t>
      </w:r>
      <w:r w:rsidR="009D734F" w:rsidRPr="003325E4">
        <w:t>avril 2020</w:t>
      </w:r>
      <w:r w:rsidR="009D734F" w:rsidRPr="003B0B72">
        <w:rPr>
          <w:sz w:val="18"/>
          <w:szCs w:val="18"/>
        </w:rPr>
        <w:t>,</w:t>
      </w:r>
      <w:r w:rsidR="009D734F">
        <w:t xml:space="preserve"> d</w:t>
      </w:r>
      <w:r w:rsidR="009D734F" w:rsidRPr="003325E4">
        <w:t xml:space="preserve">onner des </w:t>
      </w:r>
      <w:r w:rsidR="009D734F" w:rsidRPr="009E630A">
        <w:rPr>
          <w:rFonts w:eastAsia="Times New Roman"/>
          <w:lang w:eastAsia="es-ES_tradnl"/>
        </w:rPr>
        <w:t>informations</w:t>
      </w:r>
      <w:r w:rsidR="009D734F" w:rsidRPr="003325E4">
        <w:t xml:space="preserve"> sur les mesures prises pour élucider le sort des personnes qui ont été arrêtées et des personnes disparues</w:t>
      </w:r>
      <w:r w:rsidR="009D734F">
        <w:t>. P</w:t>
      </w:r>
      <w:r w:rsidR="009D734F" w:rsidRPr="009D7A71">
        <w:t>réciser</w:t>
      </w:r>
      <w:r w:rsidR="009D734F">
        <w:t xml:space="preserve"> également</w:t>
      </w:r>
      <w:r w:rsidR="009D734F" w:rsidRPr="009D7A71">
        <w:t xml:space="preserve"> si une enquête judiciaire ou administrative a été menée sur ces évènements</w:t>
      </w:r>
      <w:r w:rsidR="009D734F">
        <w:t>,</w:t>
      </w:r>
      <w:r w:rsidR="009D734F" w:rsidRPr="009D7A71">
        <w:t xml:space="preserve"> </w:t>
      </w:r>
      <w:r w:rsidR="009D734F">
        <w:t xml:space="preserve">si </w:t>
      </w:r>
      <w:r w:rsidR="009D734F" w:rsidRPr="009D7A71">
        <w:t xml:space="preserve">des responsabilités ont été établies et, le cas échéant, </w:t>
      </w:r>
      <w:r w:rsidR="009D734F">
        <w:t xml:space="preserve">indiquer </w:t>
      </w:r>
      <w:r w:rsidR="009D734F" w:rsidRPr="009D7A71">
        <w:t>les sanctions qui ont été appliquées</w:t>
      </w:r>
      <w:r w:rsidR="009D734F">
        <w:t xml:space="preserve"> (art.</w:t>
      </w:r>
      <w:r w:rsidR="00B50270">
        <w:t> </w:t>
      </w:r>
      <w:r w:rsidR="009D734F">
        <w:t>12)</w:t>
      </w:r>
      <w:r w:rsidR="009D734F" w:rsidRPr="003325E4">
        <w:t xml:space="preserve">. </w:t>
      </w:r>
    </w:p>
    <w:p w14:paraId="7FE292D7" w14:textId="77777777" w:rsidR="009D734F" w:rsidRPr="00810C30" w:rsidRDefault="009D734F" w:rsidP="009D734F">
      <w:pPr>
        <w:pStyle w:val="HChG"/>
      </w:pPr>
      <w:r>
        <w:tab/>
        <w:t>IV.</w:t>
      </w:r>
      <w:r>
        <w:tab/>
      </w:r>
      <w:r w:rsidRPr="00820FC0">
        <w:t xml:space="preserve">Mesures de prévention des disparitions forcées </w:t>
      </w:r>
      <w:r w:rsidR="00B50270">
        <w:br/>
      </w:r>
      <w:r w:rsidRPr="00820FC0">
        <w:t>(art.</w:t>
      </w:r>
      <w:r w:rsidR="00B50270">
        <w:t> </w:t>
      </w:r>
      <w:r w:rsidRPr="00820FC0">
        <w:t>16 à 23)</w:t>
      </w:r>
    </w:p>
    <w:p w14:paraId="322845AE" w14:textId="77777777" w:rsidR="009D734F" w:rsidRPr="003325E4" w:rsidRDefault="00A04F03" w:rsidP="00A04F03">
      <w:pPr>
        <w:pStyle w:val="SingleTxtG"/>
        <w:rPr>
          <w:rFonts w:eastAsia="Times New Roman"/>
          <w:lang w:eastAsia="es-ES_tradnl"/>
        </w:rPr>
      </w:pPr>
      <w:r w:rsidRPr="003325E4">
        <w:rPr>
          <w:rFonts w:eastAsia="Times New Roman"/>
          <w:lang w:eastAsia="es-ES_tradnl"/>
        </w:rPr>
        <w:t>17.</w:t>
      </w:r>
      <w:r w:rsidRPr="003325E4">
        <w:rPr>
          <w:rFonts w:eastAsia="Times New Roman"/>
          <w:lang w:eastAsia="es-ES_tradnl"/>
        </w:rPr>
        <w:tab/>
      </w:r>
      <w:r w:rsidR="009D734F" w:rsidRPr="003325E4">
        <w:rPr>
          <w:rFonts w:eastAsia="Times New Roman"/>
          <w:lang w:eastAsia="es-ES_tradnl"/>
        </w:rPr>
        <w:t xml:space="preserve">Donner </w:t>
      </w:r>
      <w:r w:rsidR="009D734F" w:rsidRPr="00C95B9C">
        <w:t>des</w:t>
      </w:r>
      <w:r w:rsidR="009D734F" w:rsidRPr="003325E4">
        <w:rPr>
          <w:rFonts w:eastAsia="Times New Roman"/>
          <w:lang w:eastAsia="es-ES_tradnl"/>
        </w:rPr>
        <w:t xml:space="preserve"> renseignements sur les procédures en matière de refoulement et d’expulsion, </w:t>
      </w:r>
      <w:r w:rsidR="009D734F" w:rsidRPr="00BD3B07">
        <w:t>notamment</w:t>
      </w:r>
      <w:r w:rsidR="009D734F" w:rsidRPr="003325E4">
        <w:rPr>
          <w:rFonts w:eastAsia="Times New Roman"/>
          <w:lang w:eastAsia="es-ES_tradnl"/>
        </w:rPr>
        <w:t xml:space="preserve"> sur les autorités habilitées </w:t>
      </w:r>
      <w:r w:rsidR="009D734F">
        <w:rPr>
          <w:rFonts w:eastAsia="Times New Roman"/>
          <w:lang w:eastAsia="es-ES_tradnl"/>
        </w:rPr>
        <w:t>à</w:t>
      </w:r>
      <w:r w:rsidR="009D734F" w:rsidRPr="003325E4">
        <w:rPr>
          <w:rFonts w:eastAsia="Times New Roman"/>
          <w:lang w:eastAsia="es-ES_tradnl"/>
        </w:rPr>
        <w:t xml:space="preserve"> décider de l’expulsion et du refoulement de personnes</w:t>
      </w:r>
      <w:r w:rsidR="009D734F">
        <w:rPr>
          <w:rFonts w:eastAsia="Times New Roman"/>
          <w:lang w:eastAsia="es-ES_tradnl"/>
        </w:rPr>
        <w:t>.</w:t>
      </w:r>
      <w:r w:rsidR="009D734F" w:rsidRPr="003325E4">
        <w:rPr>
          <w:rFonts w:eastAsia="Times New Roman"/>
          <w:lang w:eastAsia="es-ES_tradnl"/>
        </w:rPr>
        <w:t xml:space="preserve"> Indiquer s’il est possible de faire appel d’une décision d’expulsion ou de refoulement. Fournir </w:t>
      </w:r>
      <w:r w:rsidR="009D734F" w:rsidRPr="00D54FE4">
        <w:t>également</w:t>
      </w:r>
      <w:r w:rsidR="009D734F" w:rsidRPr="003325E4">
        <w:rPr>
          <w:rFonts w:eastAsia="Times New Roman"/>
          <w:lang w:eastAsia="es-ES_tradnl"/>
        </w:rPr>
        <w:t xml:space="preserve"> des informations détaillées sur les mécanismes et les critères appliqués, dans le cadre des procédures d’expulsion, de refoulement, de remise ou d’extradition, pour évaluer et vérifier le risque qu’une personne court d’être victime d’une disparition forcée. Enfin, indiquer si l’</w:t>
      </w:r>
      <w:r w:rsidR="009D734F">
        <w:rPr>
          <w:rFonts w:eastAsia="Times New Roman"/>
          <w:lang w:eastAsia="es-ES_tradnl"/>
        </w:rPr>
        <w:t>É</w:t>
      </w:r>
      <w:r w:rsidR="009D734F" w:rsidRPr="003325E4">
        <w:rPr>
          <w:rFonts w:eastAsia="Times New Roman"/>
          <w:lang w:eastAsia="es-ES_tradnl"/>
        </w:rPr>
        <w:t>tat partie envisage d’inscrire expressément dans sa législation interne l’interdiction d’expulser, de refouler, de remettre ou d’extrader une personne lorsqu’il y a des motifs sérieux de croire qu’elle risque d’être victime d’une disparition forcée</w:t>
      </w:r>
      <w:r w:rsidR="009D734F">
        <w:rPr>
          <w:rFonts w:eastAsia="Times New Roman"/>
          <w:lang w:eastAsia="es-ES_tradnl"/>
        </w:rPr>
        <w:t xml:space="preserve"> (art.</w:t>
      </w:r>
      <w:r w:rsidR="00B50270">
        <w:rPr>
          <w:rFonts w:eastAsia="Times New Roman"/>
          <w:lang w:eastAsia="es-ES_tradnl"/>
        </w:rPr>
        <w:t> </w:t>
      </w:r>
      <w:r w:rsidR="009D734F">
        <w:rPr>
          <w:rFonts w:eastAsia="Times New Roman"/>
          <w:lang w:eastAsia="es-ES_tradnl"/>
        </w:rPr>
        <w:t xml:space="preserve">16). </w:t>
      </w:r>
    </w:p>
    <w:p w14:paraId="4E05FC8D" w14:textId="77777777" w:rsidR="009D734F" w:rsidRPr="003325E4" w:rsidRDefault="00A04F03" w:rsidP="00A04F03">
      <w:pPr>
        <w:pStyle w:val="SingleTxtG"/>
      </w:pPr>
      <w:r w:rsidRPr="003325E4">
        <w:t>18.</w:t>
      </w:r>
      <w:r w:rsidRPr="003325E4">
        <w:tab/>
      </w:r>
      <w:r w:rsidR="009D734F">
        <w:t>Préciser, e</w:t>
      </w:r>
      <w:r w:rsidR="009D734F" w:rsidRPr="003325E4">
        <w:t>n pratique</w:t>
      </w:r>
      <w:r w:rsidR="009D734F">
        <w:t>,</w:t>
      </w:r>
      <w:r w:rsidR="009D734F" w:rsidRPr="003325E4">
        <w:t xml:space="preserve"> comment l’État partie </w:t>
      </w:r>
      <w:r w:rsidR="009D734F">
        <w:t>s’</w:t>
      </w:r>
      <w:r w:rsidR="009D734F" w:rsidRPr="003325E4">
        <w:t xml:space="preserve">assure que la détention secrète ou non officielle </w:t>
      </w:r>
      <w:r w:rsidR="009D734F">
        <w:t xml:space="preserve">n’est </w:t>
      </w:r>
      <w:r w:rsidR="009D734F" w:rsidRPr="003325E4">
        <w:t>pas utilisée</w:t>
      </w:r>
      <w:r w:rsidR="009D734F">
        <w:t>, y compris dans le contexte de la crise résultant de la pandémie de COVID-19.</w:t>
      </w:r>
      <w:r w:rsidR="009D734F" w:rsidRPr="003325E4">
        <w:t xml:space="preserve"> </w:t>
      </w:r>
      <w:r w:rsidR="009D734F">
        <w:t>Compte tenu des informations fournies au paragraphe</w:t>
      </w:r>
      <w:r w:rsidR="00B50270">
        <w:t> </w:t>
      </w:r>
      <w:r w:rsidR="009D734F">
        <w:t>148 du rapport de l’État partie, donner de plus amples informations sur le contenu et l’état du projet de loi créant un mécanisme national de prévention de la torture</w:t>
      </w:r>
      <w:r w:rsidR="009D734F" w:rsidRPr="003325E4">
        <w:t xml:space="preserve"> </w:t>
      </w:r>
      <w:r w:rsidR="009D734F">
        <w:t>(art.</w:t>
      </w:r>
      <w:r w:rsidR="00B50270">
        <w:t> </w:t>
      </w:r>
      <w:r w:rsidR="009D734F">
        <w:t>17).</w:t>
      </w:r>
    </w:p>
    <w:p w14:paraId="56B68CFB" w14:textId="77777777" w:rsidR="009D734F" w:rsidRDefault="00A04F03" w:rsidP="00A04F03">
      <w:pPr>
        <w:pStyle w:val="SingleTxtG"/>
      </w:pPr>
      <w:r>
        <w:t>19.</w:t>
      </w:r>
      <w:r>
        <w:tab/>
      </w:r>
      <w:r w:rsidR="009D734F" w:rsidRPr="00736953">
        <w:t xml:space="preserve">Décrire les mesures prises pour garantir </w:t>
      </w:r>
      <w:r w:rsidR="009D734F">
        <w:t>que</w:t>
      </w:r>
      <w:r w:rsidR="009D734F" w:rsidRPr="00736953">
        <w:t xml:space="preserve"> toutes les personnes privées de liberté, dès le début de leur privation de liberté et quelle que soit l’infraction dont </w:t>
      </w:r>
      <w:r w:rsidR="009D734F">
        <w:t>elles sont accusées</w:t>
      </w:r>
      <w:r w:rsidR="009D734F" w:rsidRPr="00736953">
        <w:t xml:space="preserve">, </w:t>
      </w:r>
      <w:r w:rsidR="009D734F">
        <w:t>ont</w:t>
      </w:r>
      <w:r w:rsidR="009D734F" w:rsidRPr="00736953">
        <w:t xml:space="preserve"> accès à un avocat, </w:t>
      </w:r>
      <w:r w:rsidR="009D734F">
        <w:t>peuvent</w:t>
      </w:r>
      <w:r w:rsidR="009D734F" w:rsidRPr="00736953">
        <w:t xml:space="preserve"> informer leur famille ou toute autre personne de leur choix de leur privation de liberté et, </w:t>
      </w:r>
      <w:r w:rsidR="009D734F">
        <w:t xml:space="preserve">dans </w:t>
      </w:r>
      <w:r w:rsidR="009D734F" w:rsidRPr="00736953">
        <w:t xml:space="preserve">le cas des ressortissants étrangers, </w:t>
      </w:r>
      <w:r w:rsidR="009D734F">
        <w:t>peuvent</w:t>
      </w:r>
      <w:r w:rsidR="009D734F" w:rsidRPr="00736953">
        <w:t xml:space="preserve"> communiquer avec leurs autorités consulaires</w:t>
      </w:r>
      <w:r w:rsidR="009D734F">
        <w:t xml:space="preserve">, y compris dans le contexte de la pandémie </w:t>
      </w:r>
      <w:r w:rsidR="009D734F">
        <w:lastRenderedPageBreak/>
        <w:t>de COVID-19. Dans ce contexte, eu égard aux informations concernant des arrestations de journalistes, de défenseurs des droits de l’homme ainsi que de personnes, dont des enfants, soupçonnées d’appartenir à des organisations terroristes, donner des informations sur les mesures concrètes adoptées pour s’assurer que de telles arrestations ou détentions ne sont pas arbitraires et que les personnes détenues ont accès à toutes les garanties prévues aux articles</w:t>
      </w:r>
      <w:r w:rsidR="00B50270">
        <w:t> </w:t>
      </w:r>
      <w:r w:rsidR="009D734F">
        <w:t>17, 18 et 20 de la Convention. Donner également des informations, le cas échéant, sur l’état des enquêtes qui ont été menées concernant ces allégations, les poursuites judiciaires engagées ainsi que les sanctions disciplinaires appliquées.</w:t>
      </w:r>
    </w:p>
    <w:p w14:paraId="344B5845" w14:textId="77777777" w:rsidR="009D734F" w:rsidRDefault="00A04F03" w:rsidP="00A04F03">
      <w:pPr>
        <w:pStyle w:val="SingleTxtG"/>
      </w:pPr>
      <w:r>
        <w:t>20.</w:t>
      </w:r>
      <w:r>
        <w:tab/>
      </w:r>
      <w:r w:rsidR="009D734F" w:rsidRPr="00FF5949">
        <w:t>C</w:t>
      </w:r>
      <w:r w:rsidR="009D734F">
        <w:t>ompte tenu des informations fournies au paragraphe</w:t>
      </w:r>
      <w:r w:rsidR="00B50270">
        <w:t> </w:t>
      </w:r>
      <w:r w:rsidR="009D734F">
        <w:t xml:space="preserve">136 de l’État partie sur la lutte contre le terrorisme, donner des informations sur les conditions dans lesquelles s’applique </w:t>
      </w:r>
      <w:r w:rsidR="009D734F">
        <w:rPr>
          <w:rFonts w:eastAsia="Times New Roman"/>
          <w:lang w:eastAsia="es-ES_tradnl"/>
        </w:rPr>
        <w:t xml:space="preserve">l’article 605, alinéa 5, du Code de procédure pénale, notamment le délai de garde à vue de quinze jours, </w:t>
      </w:r>
      <w:r w:rsidR="009D734F" w:rsidRPr="005125B2">
        <w:rPr>
          <w:rFonts w:eastAsia="Times New Roman"/>
          <w:lang w:eastAsia="es-ES_tradnl"/>
        </w:rPr>
        <w:t>e</w:t>
      </w:r>
      <w:r w:rsidR="009D734F">
        <w:rPr>
          <w:rFonts w:eastAsia="Times New Roman"/>
          <w:lang w:eastAsia="es-ES_tradnl"/>
        </w:rPr>
        <w:t xml:space="preserve">t </w:t>
      </w:r>
      <w:r w:rsidR="009D734F">
        <w:t>i</w:t>
      </w:r>
      <w:r w:rsidR="009D734F" w:rsidRPr="00736953">
        <w:t xml:space="preserve">ndiquer </w:t>
      </w:r>
      <w:r w:rsidR="009D734F">
        <w:t>les conditions ou restrictions auxquelles peut être soumis</w:t>
      </w:r>
      <w:r w:rsidR="009D734F" w:rsidRPr="00736953">
        <w:t xml:space="preserve"> le droit des personnes privées de liberté soupçonnées de terrorisme</w:t>
      </w:r>
      <w:r w:rsidR="009D734F">
        <w:t xml:space="preserve"> (art.</w:t>
      </w:r>
      <w:r w:rsidR="00B50270">
        <w:t> </w:t>
      </w:r>
      <w:r w:rsidR="009D734F">
        <w:t>17).</w:t>
      </w:r>
    </w:p>
    <w:p w14:paraId="498615CC" w14:textId="77777777" w:rsidR="009D734F" w:rsidRPr="003325E4" w:rsidRDefault="009D734F" w:rsidP="009D734F">
      <w:pPr>
        <w:pStyle w:val="SingleTxtG"/>
      </w:pPr>
      <w:r>
        <w:t>21.</w:t>
      </w:r>
      <w:r>
        <w:tab/>
      </w:r>
      <w:r w:rsidRPr="00736953">
        <w:t>Donner des renseignements détaillés sur les mesures prises pour que tous les registres et dossiers officiels des personnes privées de liberté, quelle que soit la nature du lieu de privation de liberté où elles se trouvent, contiennent tous les éléments énumérés au paragraphe 3 de l’article 17 de la Convention et soient dûment complétés et tenus à jour, sans délai. Indiquer si des plaintes ont été déposées concernant des retards dans l’enregistrement, par des fonctionnaires, d’une privation de liberté ou de toute autre information pertinente dans les registres de privation de liberté, ou le non-enregistrement de ces informations</w:t>
      </w:r>
      <w:r>
        <w:t>.</w:t>
      </w:r>
      <w:r w:rsidRPr="00736953">
        <w:t xml:space="preserve"> </w:t>
      </w:r>
      <w:r>
        <w:t>D</w:t>
      </w:r>
      <w:r w:rsidRPr="00736953">
        <w:t>ans l’affirmative, donner des renseignements sur les procédures engagées et, le cas échéant, sur les sanctions infligées ainsi que sur les mesures prises pour éviter que de telles défaillances se reproduisent</w:t>
      </w:r>
      <w:r>
        <w:t xml:space="preserve">. </w:t>
      </w:r>
      <w:r w:rsidRPr="00736953">
        <w:t>Décrire également les mesures prises pour que la remise en liberté d’une personne se déroule selon des modalités qui permettent de vérifier avec certitude qu’elle a été effectivement libérée</w:t>
      </w:r>
      <w:r>
        <w:t>,</w:t>
      </w:r>
      <w:r w:rsidRPr="00736953">
        <w:t xml:space="preserve"> et pour assurer l’intégrité physique et le plein exercice de ses droits à cette personne au moment de sa remise en liberté (art. 17, 21 et</w:t>
      </w:r>
      <w:r w:rsidR="00B50270">
        <w:t> </w:t>
      </w:r>
      <w:r w:rsidRPr="00736953">
        <w:t>22).</w:t>
      </w:r>
    </w:p>
    <w:p w14:paraId="37FF1EEF" w14:textId="77777777" w:rsidR="009D734F" w:rsidRDefault="009D734F" w:rsidP="009D734F">
      <w:pPr>
        <w:pStyle w:val="SingleTxtG"/>
        <w:rPr>
          <w:rFonts w:eastAsia="Times New Roman"/>
          <w:lang w:eastAsia="es-ES_tradnl"/>
        </w:rPr>
      </w:pPr>
      <w:r>
        <w:rPr>
          <w:rFonts w:eastAsia="Times New Roman"/>
          <w:lang w:eastAsia="es-ES_tradnl"/>
        </w:rPr>
        <w:t>22.</w:t>
      </w:r>
      <w:r>
        <w:rPr>
          <w:rFonts w:eastAsia="Times New Roman"/>
          <w:lang w:eastAsia="es-ES_tradnl"/>
        </w:rPr>
        <w:tab/>
      </w:r>
      <w:r w:rsidRPr="003325E4">
        <w:rPr>
          <w:rFonts w:eastAsia="Times New Roman"/>
          <w:lang w:eastAsia="es-ES_tradnl"/>
        </w:rPr>
        <w:t xml:space="preserve">Fournir des </w:t>
      </w:r>
      <w:r w:rsidRPr="00BD3B07">
        <w:t>informations</w:t>
      </w:r>
      <w:r w:rsidRPr="003325E4">
        <w:rPr>
          <w:rFonts w:eastAsia="Times New Roman"/>
          <w:lang w:eastAsia="es-ES_tradnl"/>
        </w:rPr>
        <w:t xml:space="preserve"> sur les recours </w:t>
      </w:r>
      <w:r>
        <w:rPr>
          <w:rFonts w:eastAsia="Times New Roman"/>
          <w:lang w:eastAsia="es-ES_tradnl"/>
        </w:rPr>
        <w:t>dont disposent</w:t>
      </w:r>
      <w:r w:rsidRPr="003325E4">
        <w:rPr>
          <w:rFonts w:eastAsia="Times New Roman"/>
          <w:lang w:eastAsia="es-ES_tradnl"/>
        </w:rPr>
        <w:t xml:space="preserve"> les personnes privées de liberté</w:t>
      </w:r>
      <w:r>
        <w:rPr>
          <w:rFonts w:eastAsia="Times New Roman"/>
          <w:lang w:eastAsia="es-ES_tradnl"/>
        </w:rPr>
        <w:t xml:space="preserve"> </w:t>
      </w:r>
      <w:r w:rsidRPr="003325E4">
        <w:rPr>
          <w:rFonts w:eastAsia="Times New Roman"/>
          <w:lang w:eastAsia="es-ES_tradnl"/>
        </w:rPr>
        <w:t xml:space="preserve">et toute </w:t>
      </w:r>
      <w:r w:rsidRPr="00BD3B07">
        <w:t>personne</w:t>
      </w:r>
      <w:r w:rsidRPr="003325E4">
        <w:rPr>
          <w:rFonts w:eastAsia="Times New Roman"/>
          <w:lang w:eastAsia="es-ES_tradnl"/>
        </w:rPr>
        <w:t xml:space="preserve"> </w:t>
      </w:r>
      <w:r w:rsidRPr="00D54FE4">
        <w:t>ayant</w:t>
      </w:r>
      <w:r w:rsidRPr="003325E4">
        <w:rPr>
          <w:rFonts w:eastAsia="Times New Roman"/>
          <w:lang w:eastAsia="es-ES_tradnl"/>
        </w:rPr>
        <w:t xml:space="preserve"> un intérêt légitime pour contester la légalité de la privation de liberté. </w:t>
      </w:r>
      <w:r>
        <w:rPr>
          <w:rFonts w:eastAsia="Times New Roman"/>
          <w:lang w:eastAsia="es-ES_tradnl"/>
        </w:rPr>
        <w:t>Eu égard aux informations contenues aux paragraphes</w:t>
      </w:r>
      <w:r w:rsidR="00B50270">
        <w:rPr>
          <w:rFonts w:eastAsia="Times New Roman"/>
          <w:lang w:eastAsia="es-ES_tradnl"/>
        </w:rPr>
        <w:t> </w:t>
      </w:r>
      <w:r>
        <w:rPr>
          <w:rFonts w:eastAsia="Times New Roman"/>
          <w:lang w:eastAsia="es-ES_tradnl"/>
        </w:rPr>
        <w:t>161 et 162 du rapport de l’État partie, i</w:t>
      </w:r>
      <w:r w:rsidRPr="003325E4">
        <w:rPr>
          <w:rFonts w:eastAsia="Times New Roman"/>
          <w:lang w:eastAsia="es-ES_tradnl"/>
        </w:rPr>
        <w:t xml:space="preserve">ndiquer </w:t>
      </w:r>
      <w:r>
        <w:rPr>
          <w:rFonts w:eastAsia="Times New Roman"/>
          <w:lang w:eastAsia="es-ES_tradnl"/>
        </w:rPr>
        <w:t xml:space="preserve">de manière </w:t>
      </w:r>
      <w:r w:rsidRPr="00BD3B07">
        <w:t>précise</w:t>
      </w:r>
      <w:r>
        <w:rPr>
          <w:rFonts w:eastAsia="Times New Roman"/>
          <w:lang w:eastAsia="es-ES_tradnl"/>
        </w:rPr>
        <w:t xml:space="preserve"> l</w:t>
      </w:r>
      <w:r w:rsidRPr="003325E4">
        <w:rPr>
          <w:rFonts w:eastAsia="Times New Roman"/>
          <w:lang w:eastAsia="es-ES_tradnl"/>
        </w:rPr>
        <w:t xml:space="preserve">a nature et la durée des restrictions particulières qui s’opposeraient au droit d’accès à </w:t>
      </w:r>
      <w:r w:rsidRPr="00D54FE4">
        <w:t>l’information</w:t>
      </w:r>
      <w:r w:rsidRPr="003325E4">
        <w:rPr>
          <w:rFonts w:eastAsia="Times New Roman"/>
          <w:lang w:eastAsia="es-ES_tradnl"/>
        </w:rPr>
        <w:t xml:space="preserve"> sur les personnes privées de liberté par toute personne ayant un intérêt légitime </w:t>
      </w:r>
      <w:r>
        <w:rPr>
          <w:rFonts w:eastAsia="Times New Roman"/>
          <w:lang w:eastAsia="es-ES_tradnl"/>
        </w:rPr>
        <w:t>pour</w:t>
      </w:r>
      <w:r w:rsidRPr="003325E4">
        <w:rPr>
          <w:rFonts w:eastAsia="Times New Roman"/>
          <w:lang w:eastAsia="es-ES_tradnl"/>
        </w:rPr>
        <w:t xml:space="preserve"> cette information</w:t>
      </w:r>
      <w:r>
        <w:rPr>
          <w:rFonts w:eastAsia="Times New Roman"/>
          <w:lang w:eastAsia="es-ES_tradnl"/>
        </w:rPr>
        <w:t xml:space="preserve"> et</w:t>
      </w:r>
      <w:r w:rsidRPr="003325E4">
        <w:rPr>
          <w:rFonts w:eastAsia="Times New Roman"/>
          <w:lang w:eastAsia="es-ES_tradnl"/>
        </w:rPr>
        <w:t xml:space="preserve">, le cas échéant, les mesures envisagées pour supprimer ces restrictions si elles contreviennent au droit international, aux normes applicables et aux objectifs de la Convention </w:t>
      </w:r>
      <w:r>
        <w:rPr>
          <w:rFonts w:eastAsia="Times New Roman"/>
          <w:lang w:eastAsia="es-ES_tradnl"/>
        </w:rPr>
        <w:t>(art.</w:t>
      </w:r>
      <w:r w:rsidR="00B50270">
        <w:rPr>
          <w:rFonts w:eastAsia="Times New Roman"/>
          <w:lang w:eastAsia="es-ES_tradnl"/>
        </w:rPr>
        <w:t> </w:t>
      </w:r>
      <w:r>
        <w:rPr>
          <w:rFonts w:eastAsia="Times New Roman"/>
          <w:lang w:eastAsia="es-ES_tradnl"/>
        </w:rPr>
        <w:t>17, 18 et 20).</w:t>
      </w:r>
    </w:p>
    <w:p w14:paraId="515278E9" w14:textId="77777777" w:rsidR="009D734F" w:rsidRPr="00810C30" w:rsidRDefault="009D734F" w:rsidP="009D734F">
      <w:pPr>
        <w:pStyle w:val="HChG"/>
      </w:pPr>
      <w:r>
        <w:tab/>
        <w:t>V.</w:t>
      </w:r>
      <w:r>
        <w:tab/>
      </w:r>
      <w:r w:rsidRPr="00820FC0">
        <w:t>Mesure</w:t>
      </w:r>
      <w:r>
        <w:t>s</w:t>
      </w:r>
      <w:r w:rsidRPr="00820FC0">
        <w:t xml:space="preserve"> de réparation et mesure</w:t>
      </w:r>
      <w:r>
        <w:t>s</w:t>
      </w:r>
      <w:r w:rsidRPr="00820FC0">
        <w:t xml:space="preserve"> de protection </w:t>
      </w:r>
      <w:r w:rsidR="00B50270">
        <w:br/>
      </w:r>
      <w:r w:rsidRPr="00820FC0">
        <w:t xml:space="preserve">des enfants </w:t>
      </w:r>
      <w:r w:rsidRPr="00810C30">
        <w:t xml:space="preserve">contre la disparition forcée </w:t>
      </w:r>
      <w:r w:rsidR="00B50270">
        <w:br/>
      </w:r>
      <w:r w:rsidRPr="00810C30">
        <w:t>(art.</w:t>
      </w:r>
      <w:r w:rsidR="00B50270">
        <w:t> </w:t>
      </w:r>
      <w:r w:rsidRPr="00810C30">
        <w:t>24 et 25)</w:t>
      </w:r>
    </w:p>
    <w:p w14:paraId="63F5646D" w14:textId="77777777" w:rsidR="009D734F" w:rsidRDefault="009D734F" w:rsidP="009D734F">
      <w:pPr>
        <w:pStyle w:val="SingleTxtG"/>
      </w:pPr>
      <w:r>
        <w:t>23.</w:t>
      </w:r>
      <w:r>
        <w:tab/>
        <w:t>P</w:t>
      </w:r>
      <w:r w:rsidRPr="00820FC0">
        <w:t xml:space="preserve">réciser si le droit </w:t>
      </w:r>
      <w:r w:rsidRPr="00BD3B07">
        <w:rPr>
          <w:rFonts w:eastAsia="Times New Roman"/>
          <w:lang w:eastAsia="es-ES_tradnl"/>
        </w:rPr>
        <w:t>interne</w:t>
      </w:r>
      <w:r w:rsidRPr="00820FC0">
        <w:t xml:space="preserve"> prévoit toutes les formes de réparation énoncées au paragraphe</w:t>
      </w:r>
      <w:r w:rsidR="00B50270">
        <w:t> </w:t>
      </w:r>
      <w:r w:rsidRPr="00820FC0">
        <w:t>5 de l’article</w:t>
      </w:r>
      <w:r w:rsidR="00B50270">
        <w:t> </w:t>
      </w:r>
      <w:r w:rsidRPr="00820FC0">
        <w:t>24 de la Convention pour les personnes physiques ayant subi un préjudice direct du fait d’une disparition forcée. Préciser également s’il est nécessaire d’engager une procédure pénale pour obtenir une indemnisation ou une réparation en cas de disparition forcée (art.</w:t>
      </w:r>
      <w:r>
        <w:t> </w:t>
      </w:r>
      <w:r w:rsidRPr="00820FC0">
        <w:t>24).</w:t>
      </w:r>
    </w:p>
    <w:p w14:paraId="581A8502" w14:textId="77777777" w:rsidR="009D734F" w:rsidRDefault="009D734F" w:rsidP="009D734F">
      <w:pPr>
        <w:pStyle w:val="SingleTxtG"/>
      </w:pPr>
      <w:r>
        <w:t>24.</w:t>
      </w:r>
      <w:r>
        <w:tab/>
      </w:r>
      <w:r w:rsidRPr="009406CF">
        <w:t>À défaut d’une déclaration d’absence spécifique pour disparition forcée et en l’absence de déclaration de décès, indiquer quels sont les droits dont peuvent bénéficier les proches de la personne disparue afin de régler les questions financières et celles liées à la protection sociale, au droit de la famille et aux droits de propriété. Indiquer si la publication d’une déclaration de décès a un effet sur l’obligation qu’a l’État partie de poursuivre ses recherches jusqu’à ce que le sort de la personne disparue ait été établi (art. 24)</w:t>
      </w:r>
      <w:r>
        <w:t>.</w:t>
      </w:r>
    </w:p>
    <w:p w14:paraId="0C6D8EA6" w14:textId="77777777" w:rsidR="009D734F" w:rsidRDefault="009D734F" w:rsidP="009D734F">
      <w:pPr>
        <w:pStyle w:val="SingleTxtG"/>
      </w:pPr>
      <w:r>
        <w:t>25.</w:t>
      </w:r>
      <w:r>
        <w:tab/>
      </w:r>
      <w:r w:rsidRPr="00736953">
        <w:t xml:space="preserve">Fournir des informations sur la législation applicable </w:t>
      </w:r>
      <w:r>
        <w:t>à</w:t>
      </w:r>
      <w:r w:rsidRPr="0031657F">
        <w:t xml:space="preserve"> </w:t>
      </w:r>
      <w:r w:rsidRPr="00736953">
        <w:t>la soustraction d’enfants visée au paragraphe</w:t>
      </w:r>
      <w:r>
        <w:t> </w:t>
      </w:r>
      <w:r w:rsidRPr="00736953">
        <w:t>1</w:t>
      </w:r>
      <w:r>
        <w:t> </w:t>
      </w:r>
      <w:r w:rsidRPr="00736953">
        <w:t>a) de l’article</w:t>
      </w:r>
      <w:r>
        <w:t> </w:t>
      </w:r>
      <w:r w:rsidRPr="00736953">
        <w:t>25 de la Convention</w:t>
      </w:r>
      <w:r>
        <w:t>. I</w:t>
      </w:r>
      <w:r w:rsidRPr="00736953">
        <w:t xml:space="preserve">ndiquer si des plaintes concernant </w:t>
      </w:r>
      <w:r>
        <w:t>de tels actes ont</w:t>
      </w:r>
      <w:r w:rsidRPr="00736953">
        <w:t xml:space="preserve"> été déposées, et, dans l’affirmative, </w:t>
      </w:r>
      <w:r>
        <w:t>préciser</w:t>
      </w:r>
      <w:r w:rsidRPr="00736953">
        <w:t xml:space="preserve"> les mesures prises pour retrouver ces enfants et poursuivre et punir les auteurs</w:t>
      </w:r>
      <w:r>
        <w:t xml:space="preserve"> de ces soustractions</w:t>
      </w:r>
      <w:r w:rsidRPr="00736953">
        <w:t xml:space="preserve">, </w:t>
      </w:r>
      <w:r>
        <w:t>ainsi que</w:t>
      </w:r>
      <w:r w:rsidRPr="00736953">
        <w:t xml:space="preserve"> </w:t>
      </w:r>
      <w:r w:rsidRPr="00736953">
        <w:lastRenderedPageBreak/>
        <w:t xml:space="preserve">les résultats obtenus. </w:t>
      </w:r>
      <w:r>
        <w:t xml:space="preserve">Indiquer quels sont les mécanismes de surveillance, de prévention et de répression pénale de </w:t>
      </w:r>
      <w:r w:rsidRPr="00820FC0">
        <w:t xml:space="preserve">la falsification, </w:t>
      </w:r>
      <w:r>
        <w:t xml:space="preserve">de la </w:t>
      </w:r>
      <w:r w:rsidRPr="00820FC0">
        <w:t xml:space="preserve">dissimulation ou </w:t>
      </w:r>
      <w:r>
        <w:t xml:space="preserve">de la </w:t>
      </w:r>
      <w:r w:rsidRPr="00820FC0">
        <w:t>destruction de documents attestant la véritable identité des enfants visés au paragraphe</w:t>
      </w:r>
      <w:r>
        <w:t> </w:t>
      </w:r>
      <w:r w:rsidRPr="00820FC0">
        <w:t>1</w:t>
      </w:r>
      <w:r>
        <w:t> </w:t>
      </w:r>
      <w:r w:rsidRPr="00820FC0">
        <w:t>a) de l’article</w:t>
      </w:r>
      <w:r w:rsidR="00B50270">
        <w:t> </w:t>
      </w:r>
      <w:r w:rsidRPr="00820FC0">
        <w:t>25 de la Convention. Indiquer également s’il existe des procédures permettant de réviser et, si nécessaire, d’annuler l’adoption d’un enfant ou son placement lorsque cette mesure est le résultat d’une disparition forcée</w:t>
      </w:r>
      <w:r>
        <w:t xml:space="preserve"> </w:t>
      </w:r>
      <w:r w:rsidRPr="00820FC0">
        <w:t>(art.</w:t>
      </w:r>
      <w:r>
        <w:t> </w:t>
      </w:r>
      <w:r w:rsidRPr="00820FC0">
        <w:t>25).</w:t>
      </w:r>
    </w:p>
    <w:p w14:paraId="62061F83" w14:textId="77777777" w:rsidR="009D734F" w:rsidRPr="001C30C8" w:rsidRDefault="009D734F" w:rsidP="009D734F">
      <w:pPr>
        <w:pStyle w:val="SingleTxtG"/>
        <w:rPr>
          <w:rFonts w:eastAsia="Times New Roman"/>
          <w:lang w:eastAsia="es-ES_tradnl"/>
        </w:rPr>
      </w:pPr>
      <w:r>
        <w:rPr>
          <w:rFonts w:eastAsia="Times New Roman"/>
          <w:lang w:eastAsia="es-ES_tradnl"/>
        </w:rPr>
        <w:t>26.</w:t>
      </w:r>
      <w:r>
        <w:rPr>
          <w:rFonts w:eastAsia="Times New Roman"/>
          <w:lang w:eastAsia="es-ES_tradnl"/>
        </w:rPr>
        <w:tab/>
      </w:r>
      <w:r w:rsidRPr="001C30C8">
        <w:rPr>
          <w:rFonts w:eastAsia="Times New Roman"/>
          <w:lang w:eastAsia="es-ES_tradnl"/>
        </w:rPr>
        <w:t xml:space="preserve">Indiquer les mesures prises pour améliorer le système d’enregistrement des enfants à la </w:t>
      </w:r>
      <w:r w:rsidRPr="00BD3B07">
        <w:t>naissance</w:t>
      </w:r>
      <w:r w:rsidRPr="001C30C8">
        <w:rPr>
          <w:rFonts w:eastAsia="Times New Roman"/>
          <w:lang w:eastAsia="es-ES_tradnl"/>
        </w:rPr>
        <w:t xml:space="preserve">, en </w:t>
      </w:r>
      <w:r w:rsidRPr="009406CF">
        <w:t>particulier</w:t>
      </w:r>
      <w:r w:rsidRPr="001C30C8">
        <w:rPr>
          <w:rFonts w:eastAsia="Times New Roman"/>
          <w:lang w:eastAsia="es-ES_tradnl"/>
        </w:rPr>
        <w:t xml:space="preserve"> en ce qui concerne les enfants en situation vulnérable, afin de prévenir tout risque de disparition forcée en garantissant une protection administrative et juridique de ces enfants dès leur naissance</w:t>
      </w:r>
      <w:r>
        <w:rPr>
          <w:rFonts w:eastAsia="Times New Roman"/>
          <w:lang w:eastAsia="es-ES_tradnl"/>
        </w:rPr>
        <w:t>.</w:t>
      </w:r>
      <w:r w:rsidRPr="001C30C8">
        <w:rPr>
          <w:rFonts w:eastAsia="Times New Roman"/>
          <w:lang w:eastAsia="es-ES_tradnl"/>
        </w:rPr>
        <w:t xml:space="preserve"> </w:t>
      </w:r>
      <w:r>
        <w:rPr>
          <w:rFonts w:eastAsia="Times New Roman"/>
          <w:lang w:eastAsia="es-ES_tradnl"/>
        </w:rPr>
        <w:t>Indiquer</w:t>
      </w:r>
      <w:r w:rsidRPr="001C30C8">
        <w:rPr>
          <w:rFonts w:eastAsia="Times New Roman"/>
          <w:lang w:eastAsia="es-ES_tradnl"/>
        </w:rPr>
        <w:t xml:space="preserve"> également les mesures prises par l</w:t>
      </w:r>
      <w:r w:rsidR="00B50270">
        <w:rPr>
          <w:rFonts w:eastAsia="Times New Roman"/>
          <w:lang w:eastAsia="es-ES_tradnl"/>
        </w:rPr>
        <w:t>’</w:t>
      </w:r>
      <w:r w:rsidRPr="001C30C8">
        <w:rPr>
          <w:rFonts w:eastAsia="Times New Roman"/>
          <w:lang w:eastAsia="es-ES_tradnl"/>
        </w:rPr>
        <w:t>État partie pour protéger les enfants contre les disparitions forcées, en particulier dans le contexte de la migration et de la traite</w:t>
      </w:r>
      <w:r>
        <w:rPr>
          <w:rFonts w:eastAsia="Times New Roman"/>
          <w:lang w:eastAsia="es-ES_tradnl"/>
        </w:rPr>
        <w:t xml:space="preserve"> de personnes</w:t>
      </w:r>
      <w:r w:rsidRPr="001C30C8">
        <w:rPr>
          <w:rFonts w:eastAsia="Times New Roman"/>
          <w:lang w:eastAsia="es-ES_tradnl"/>
        </w:rPr>
        <w:t>, et préciser les mesures prises à cet égard dans le contexte de la pandémie de COVID-19 (art.</w:t>
      </w:r>
      <w:r w:rsidR="00B50270">
        <w:rPr>
          <w:rFonts w:eastAsia="Times New Roman"/>
          <w:lang w:eastAsia="es-ES_tradnl"/>
        </w:rPr>
        <w:t> </w:t>
      </w:r>
      <w:r w:rsidRPr="001C30C8">
        <w:rPr>
          <w:rFonts w:eastAsia="Times New Roman"/>
          <w:lang w:eastAsia="es-ES_tradnl"/>
        </w:rPr>
        <w:t xml:space="preserve">25). </w:t>
      </w:r>
    </w:p>
    <w:p w14:paraId="1FF3E10C" w14:textId="77777777" w:rsidR="00446FE5" w:rsidRPr="00BB4A59" w:rsidRDefault="00BB4A59" w:rsidP="00BB4A59">
      <w:pPr>
        <w:pStyle w:val="SingleTxtG"/>
        <w:spacing w:before="240" w:after="0"/>
        <w:jc w:val="center"/>
        <w:rPr>
          <w:u w:val="single"/>
        </w:rPr>
      </w:pPr>
      <w:r>
        <w:rPr>
          <w:u w:val="single"/>
          <w:lang w:eastAsia="es-ES_tradnl"/>
        </w:rPr>
        <w:tab/>
      </w:r>
      <w:r>
        <w:rPr>
          <w:u w:val="single"/>
          <w:lang w:eastAsia="es-ES_tradnl"/>
        </w:rPr>
        <w:tab/>
      </w:r>
      <w:r>
        <w:rPr>
          <w:u w:val="single"/>
          <w:lang w:eastAsia="es-ES_tradnl"/>
        </w:rPr>
        <w:tab/>
      </w:r>
    </w:p>
    <w:sectPr w:rsidR="00446FE5" w:rsidRPr="00BB4A59" w:rsidSect="009D734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A5D6F" w14:textId="77777777" w:rsidR="00E73328" w:rsidRDefault="00E73328" w:rsidP="00F95C08">
      <w:pPr>
        <w:spacing w:line="240" w:lineRule="auto"/>
      </w:pPr>
    </w:p>
  </w:endnote>
  <w:endnote w:type="continuationSeparator" w:id="0">
    <w:p w14:paraId="20D4CA62" w14:textId="77777777" w:rsidR="00E73328" w:rsidRPr="00AC3823" w:rsidRDefault="00E73328" w:rsidP="00AC3823">
      <w:pPr>
        <w:pStyle w:val="Pieddepage"/>
      </w:pPr>
    </w:p>
  </w:endnote>
  <w:endnote w:type="continuationNotice" w:id="1">
    <w:p w14:paraId="1E81388E" w14:textId="77777777" w:rsidR="00E73328" w:rsidRDefault="00E733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AB72" w14:textId="77777777" w:rsidR="009D734F" w:rsidRPr="009D734F" w:rsidRDefault="009D734F" w:rsidP="009D734F">
    <w:pPr>
      <w:pStyle w:val="Pieddepage"/>
      <w:tabs>
        <w:tab w:val="right" w:pos="9638"/>
      </w:tabs>
    </w:pPr>
    <w:r w:rsidRPr="009D734F">
      <w:rPr>
        <w:b/>
        <w:sz w:val="18"/>
      </w:rPr>
      <w:fldChar w:fldCharType="begin"/>
    </w:r>
    <w:r w:rsidRPr="009D734F">
      <w:rPr>
        <w:b/>
        <w:sz w:val="18"/>
      </w:rPr>
      <w:instrText xml:space="preserve"> PAGE  \* MERGEFORMAT </w:instrText>
    </w:r>
    <w:r w:rsidRPr="009D734F">
      <w:rPr>
        <w:b/>
        <w:sz w:val="18"/>
      </w:rPr>
      <w:fldChar w:fldCharType="separate"/>
    </w:r>
    <w:r w:rsidR="001B2B5E">
      <w:rPr>
        <w:b/>
        <w:noProof/>
        <w:sz w:val="18"/>
      </w:rPr>
      <w:t>2</w:t>
    </w:r>
    <w:r w:rsidRPr="009D734F">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0793" w14:textId="77777777" w:rsidR="009D734F" w:rsidRPr="009D734F" w:rsidRDefault="009D734F" w:rsidP="009D734F">
    <w:pPr>
      <w:pStyle w:val="Pieddepage"/>
      <w:tabs>
        <w:tab w:val="right" w:pos="9638"/>
      </w:tabs>
      <w:rPr>
        <w:b/>
        <w:sz w:val="18"/>
      </w:rPr>
    </w:pPr>
    <w:r>
      <w:tab/>
    </w:r>
    <w:r w:rsidRPr="009D734F">
      <w:rPr>
        <w:b/>
        <w:sz w:val="18"/>
      </w:rPr>
      <w:fldChar w:fldCharType="begin"/>
    </w:r>
    <w:r w:rsidRPr="009D734F">
      <w:rPr>
        <w:b/>
        <w:sz w:val="18"/>
      </w:rPr>
      <w:instrText xml:space="preserve"> PAGE  \* MERGEFORMAT </w:instrText>
    </w:r>
    <w:r w:rsidRPr="009D734F">
      <w:rPr>
        <w:b/>
        <w:sz w:val="18"/>
      </w:rPr>
      <w:fldChar w:fldCharType="separate"/>
    </w:r>
    <w:r w:rsidR="001B2B5E">
      <w:rPr>
        <w:b/>
        <w:noProof/>
        <w:sz w:val="18"/>
      </w:rPr>
      <w:t>5</w:t>
    </w:r>
    <w:r w:rsidRPr="009D73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D88F0" w14:textId="15305978" w:rsidR="00133EDE" w:rsidRPr="00760BD8" w:rsidRDefault="00FB591E" w:rsidP="00760BD8">
    <w:pPr>
      <w:pStyle w:val="Pieddepage"/>
      <w:spacing w:before="120"/>
      <w:rPr>
        <w:sz w:val="20"/>
      </w:rPr>
    </w:pPr>
    <w:r w:rsidRPr="00760BD8">
      <w:rPr>
        <w:rFonts w:ascii="C39T30Lfz" w:hAnsi="C39T30Lfz"/>
        <w:noProof/>
        <w:sz w:val="56"/>
        <w:lang w:eastAsia="fr-CH"/>
      </w:rPr>
      <w:drawing>
        <wp:anchor distT="0" distB="0" distL="114300" distR="114300" simplePos="0" relativeHeight="251657216" behindDoc="0" locked="0" layoutInCell="1" allowOverlap="0" wp14:anchorId="0D5613E1" wp14:editId="00D8537F">
          <wp:simplePos x="0" y="0"/>
          <wp:positionH relativeFrom="margin">
            <wp:posOffset>4328491</wp:posOffset>
          </wp:positionH>
          <wp:positionV relativeFrom="margin">
            <wp:posOffset>9139776</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BD8">
      <w:rPr>
        <w:sz w:val="20"/>
      </w:rPr>
      <w:t>GE.20-12759  (F)</w:t>
    </w:r>
    <w:r w:rsidR="00760BD8">
      <w:rPr>
        <w:sz w:val="20"/>
      </w:rPr>
      <w:br/>
    </w:r>
    <w:r w:rsidR="00760BD8" w:rsidRPr="00760BD8">
      <w:rPr>
        <w:rFonts w:ascii="C39T30Lfz" w:hAnsi="C39T30Lfz"/>
        <w:sz w:val="56"/>
      </w:rPr>
      <w:t>*2012759*</w:t>
    </w:r>
    <w:r w:rsidR="00760BD8">
      <w:rPr>
        <w:noProof/>
        <w:sz w:val="20"/>
      </w:rPr>
      <w:drawing>
        <wp:anchor distT="0" distB="0" distL="114300" distR="114300" simplePos="0" relativeHeight="251658240" behindDoc="0" locked="0" layoutInCell="1" allowOverlap="1" wp14:anchorId="565DB66A" wp14:editId="5B5739CB">
          <wp:simplePos x="0" y="0"/>
          <wp:positionH relativeFrom="margin">
            <wp:posOffset>5489575</wp:posOffset>
          </wp:positionH>
          <wp:positionV relativeFrom="margin">
            <wp:posOffset>8891905</wp:posOffset>
          </wp:positionV>
          <wp:extent cx="561975" cy="561975"/>
          <wp:effectExtent l="0" t="0" r="9525" b="9525"/>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C9470" w14:textId="77777777" w:rsidR="00E73328" w:rsidRPr="00AC3823" w:rsidRDefault="00E73328" w:rsidP="00AC3823">
      <w:pPr>
        <w:pStyle w:val="Pieddepage"/>
        <w:tabs>
          <w:tab w:val="right" w:pos="2155"/>
        </w:tabs>
        <w:spacing w:after="80" w:line="240" w:lineRule="atLeast"/>
        <w:ind w:left="680"/>
        <w:rPr>
          <w:u w:val="single"/>
        </w:rPr>
      </w:pPr>
      <w:r>
        <w:rPr>
          <w:u w:val="single"/>
        </w:rPr>
        <w:tab/>
      </w:r>
    </w:p>
  </w:footnote>
  <w:footnote w:type="continuationSeparator" w:id="0">
    <w:p w14:paraId="67F493EE" w14:textId="77777777" w:rsidR="00E73328" w:rsidRPr="00AC3823" w:rsidRDefault="00E73328" w:rsidP="00AC3823">
      <w:pPr>
        <w:pStyle w:val="Pieddepage"/>
        <w:tabs>
          <w:tab w:val="right" w:pos="2155"/>
        </w:tabs>
        <w:spacing w:after="80" w:line="240" w:lineRule="atLeast"/>
        <w:ind w:left="680"/>
        <w:rPr>
          <w:u w:val="single"/>
        </w:rPr>
      </w:pPr>
      <w:r>
        <w:rPr>
          <w:u w:val="single"/>
        </w:rPr>
        <w:tab/>
      </w:r>
    </w:p>
  </w:footnote>
  <w:footnote w:type="continuationNotice" w:id="1">
    <w:p w14:paraId="11427C92" w14:textId="77777777" w:rsidR="00E73328" w:rsidRPr="00AC3823" w:rsidRDefault="00E73328">
      <w:pPr>
        <w:spacing w:line="240" w:lineRule="auto"/>
        <w:rPr>
          <w:sz w:val="2"/>
          <w:szCs w:val="2"/>
        </w:rPr>
      </w:pPr>
    </w:p>
  </w:footnote>
  <w:footnote w:id="2">
    <w:p w14:paraId="7ABC138F" w14:textId="4DCA77D1" w:rsidR="009D734F" w:rsidRPr="00DA10A8" w:rsidRDefault="009D734F" w:rsidP="009D734F">
      <w:pPr>
        <w:pStyle w:val="Notedebasdepage"/>
        <w:rPr>
          <w:lang w:val="fr-FR"/>
        </w:rPr>
      </w:pPr>
      <w:r>
        <w:rPr>
          <w:rStyle w:val="Appelnotedebasdep"/>
        </w:rPr>
        <w:tab/>
      </w:r>
      <w:r w:rsidRPr="00DA10A8">
        <w:rPr>
          <w:rStyle w:val="Appelnotedebasdep"/>
          <w:sz w:val="20"/>
          <w:vertAlign w:val="baseline"/>
        </w:rPr>
        <w:t>*</w:t>
      </w:r>
      <w:r>
        <w:rPr>
          <w:rStyle w:val="Appelnotedebasdep"/>
          <w:sz w:val="20"/>
          <w:vertAlign w:val="baseline"/>
        </w:rPr>
        <w:tab/>
      </w:r>
      <w:r w:rsidRPr="009D6021">
        <w:rPr>
          <w:lang w:val="fr-FR"/>
        </w:rPr>
        <w:t xml:space="preserve">Adoptée par le </w:t>
      </w:r>
      <w:r>
        <w:rPr>
          <w:lang w:val="fr-FR"/>
        </w:rPr>
        <w:t>C</w:t>
      </w:r>
      <w:r w:rsidRPr="009D6021">
        <w:rPr>
          <w:lang w:val="fr-FR"/>
        </w:rPr>
        <w:t>omité à sa dix-</w:t>
      </w:r>
      <w:r>
        <w:t>neuvième</w:t>
      </w:r>
      <w:r w:rsidRPr="009D6021">
        <w:rPr>
          <w:lang w:val="fr-FR"/>
        </w:rPr>
        <w:t xml:space="preserve"> session (</w:t>
      </w:r>
      <w:r>
        <w:t>7</w:t>
      </w:r>
      <w:r>
        <w:rPr>
          <w:lang w:val="fr-FR"/>
        </w:rPr>
        <w:t>-</w:t>
      </w:r>
      <w:r>
        <w:t>25</w:t>
      </w:r>
      <w:r w:rsidR="00A04F03">
        <w:rPr>
          <w:lang w:val="fr-FR"/>
        </w:rPr>
        <w:t> </w:t>
      </w:r>
      <w:r>
        <w:t>septembre</w:t>
      </w:r>
      <w:r w:rsidRPr="009D6021">
        <w:rPr>
          <w:lang w:val="fr-FR"/>
        </w:rPr>
        <w:t xml:space="preserve"> 20</w:t>
      </w:r>
      <w:r>
        <w:t>20</w:t>
      </w:r>
      <w:r w:rsidRPr="009D6021">
        <w:rPr>
          <w:lang w:val="fr-FR"/>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F5E1" w14:textId="7F4CC817" w:rsidR="009D734F" w:rsidRPr="009D734F" w:rsidRDefault="00E26EC6">
    <w:pPr>
      <w:pStyle w:val="En-tte"/>
    </w:pPr>
    <w:r>
      <w:fldChar w:fldCharType="begin"/>
    </w:r>
    <w:r>
      <w:instrText xml:space="preserve"> TITLE  \* MERGEFORMAT </w:instrText>
    </w:r>
    <w:r>
      <w:fldChar w:fldCharType="separate"/>
    </w:r>
    <w:r>
      <w:t>CED/C/NER/Q/1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CBA96" w14:textId="3D4342E6" w:rsidR="009D734F" w:rsidRPr="009D734F" w:rsidRDefault="00E26EC6" w:rsidP="009D734F">
    <w:pPr>
      <w:pStyle w:val="En-tte"/>
      <w:jc w:val="right"/>
    </w:pPr>
    <w:r>
      <w:fldChar w:fldCharType="begin"/>
    </w:r>
    <w:r>
      <w:instrText xml:space="preserve"> TITLE  \* MERGEFORMAT </w:instrText>
    </w:r>
    <w:r>
      <w:fldChar w:fldCharType="separate"/>
    </w:r>
    <w:r>
      <w:t>CED/C/NER/Q/1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6EC0423"/>
    <w:multiLevelType w:val="hybridMultilevel"/>
    <w:tmpl w:val="F7AABF84"/>
    <w:lvl w:ilvl="0" w:tplc="FF3AF9F0">
      <w:start w:val="1"/>
      <w:numFmt w:val="decimal"/>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3"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21"/>
    <w:rsid w:val="00017F94"/>
    <w:rsid w:val="00022D2E"/>
    <w:rsid w:val="00023842"/>
    <w:rsid w:val="000334F9"/>
    <w:rsid w:val="00067E21"/>
    <w:rsid w:val="0007796D"/>
    <w:rsid w:val="00092630"/>
    <w:rsid w:val="000B7790"/>
    <w:rsid w:val="000E371B"/>
    <w:rsid w:val="00111F2F"/>
    <w:rsid w:val="00133EDE"/>
    <w:rsid w:val="0014365E"/>
    <w:rsid w:val="001570F5"/>
    <w:rsid w:val="00176178"/>
    <w:rsid w:val="001B2B5E"/>
    <w:rsid w:val="001F525A"/>
    <w:rsid w:val="001F53DE"/>
    <w:rsid w:val="00223272"/>
    <w:rsid w:val="0024779E"/>
    <w:rsid w:val="00250D62"/>
    <w:rsid w:val="00340CCA"/>
    <w:rsid w:val="00392B1D"/>
    <w:rsid w:val="00415C13"/>
    <w:rsid w:val="00446FE5"/>
    <w:rsid w:val="00452396"/>
    <w:rsid w:val="00473A4B"/>
    <w:rsid w:val="004C4D99"/>
    <w:rsid w:val="005505B7"/>
    <w:rsid w:val="00573BE5"/>
    <w:rsid w:val="00586ED3"/>
    <w:rsid w:val="00596AA9"/>
    <w:rsid w:val="0071601D"/>
    <w:rsid w:val="00734D5A"/>
    <w:rsid w:val="00735EC6"/>
    <w:rsid w:val="00760BD8"/>
    <w:rsid w:val="0076169B"/>
    <w:rsid w:val="0077586E"/>
    <w:rsid w:val="007A62E6"/>
    <w:rsid w:val="0080684C"/>
    <w:rsid w:val="00871C75"/>
    <w:rsid w:val="008776DC"/>
    <w:rsid w:val="009705C8"/>
    <w:rsid w:val="009A4D29"/>
    <w:rsid w:val="009B38E0"/>
    <w:rsid w:val="009D734F"/>
    <w:rsid w:val="00A04F03"/>
    <w:rsid w:val="00A30353"/>
    <w:rsid w:val="00A822C3"/>
    <w:rsid w:val="00AA16AB"/>
    <w:rsid w:val="00AB3960"/>
    <w:rsid w:val="00AC3823"/>
    <w:rsid w:val="00AE323C"/>
    <w:rsid w:val="00B00181"/>
    <w:rsid w:val="00B02B47"/>
    <w:rsid w:val="00B338DE"/>
    <w:rsid w:val="00B50270"/>
    <w:rsid w:val="00B52C9C"/>
    <w:rsid w:val="00B765F7"/>
    <w:rsid w:val="00B9212A"/>
    <w:rsid w:val="00BA0CA9"/>
    <w:rsid w:val="00BB4A59"/>
    <w:rsid w:val="00BF7BB2"/>
    <w:rsid w:val="00C02897"/>
    <w:rsid w:val="00C0426F"/>
    <w:rsid w:val="00CE2527"/>
    <w:rsid w:val="00CF2BDE"/>
    <w:rsid w:val="00D12B02"/>
    <w:rsid w:val="00D3439C"/>
    <w:rsid w:val="00DB1831"/>
    <w:rsid w:val="00DD3BFD"/>
    <w:rsid w:val="00DF6678"/>
    <w:rsid w:val="00E26EC6"/>
    <w:rsid w:val="00E73328"/>
    <w:rsid w:val="00E73B4E"/>
    <w:rsid w:val="00ED4AC4"/>
    <w:rsid w:val="00F660DF"/>
    <w:rsid w:val="00F95C08"/>
    <w:rsid w:val="00FB591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D63D9D5"/>
  <w15:docId w15:val="{FF8FE7A9-C387-4C82-9CB3-0A96C109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uiPriority w:val="99"/>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uiPriority w:val="99"/>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5</Pages>
  <Words>2636</Words>
  <Characters>14556</Characters>
  <Application>Microsoft Office Word</Application>
  <DocSecurity>0</DocSecurity>
  <Lines>223</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CED/C/NER/Q/1</vt:lpstr>
      <vt:lpstr>CED/C/NER/Q/1</vt:lpstr>
    </vt:vector>
  </TitlesOfParts>
  <Company>DCM</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CED/C/NER/Q/1</dc:title>
  <dc:subject/>
  <dc:creator>Edith BOURION</dc:creator>
  <cp:keywords/>
  <cp:lastModifiedBy>Christine Chautagnat</cp:lastModifiedBy>
  <cp:revision>3</cp:revision>
  <cp:lastPrinted>2020-09-30T13:47:00Z</cp:lastPrinted>
  <dcterms:created xsi:type="dcterms:W3CDTF">2020-09-30T13:47:00Z</dcterms:created>
  <dcterms:modified xsi:type="dcterms:W3CDTF">2020-09-30T13:47:00Z</dcterms:modified>
</cp:coreProperties>
</file>