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1500C2A0" w14:textId="77777777" w:rsidTr="008F3CA0">
        <w:trPr>
          <w:trHeight w:hRule="exact" w:val="851"/>
        </w:trPr>
        <w:tc>
          <w:tcPr>
            <w:tcW w:w="1276" w:type="dxa"/>
            <w:tcBorders>
              <w:bottom w:val="single" w:sz="4" w:space="0" w:color="auto"/>
            </w:tcBorders>
          </w:tcPr>
          <w:p w14:paraId="7681B702" w14:textId="77777777" w:rsidR="000354E9" w:rsidRPr="00DB58B5" w:rsidRDefault="000354E9" w:rsidP="00434CC2"/>
        </w:tc>
        <w:tc>
          <w:tcPr>
            <w:tcW w:w="2268" w:type="dxa"/>
            <w:tcBorders>
              <w:bottom w:val="single" w:sz="4" w:space="0" w:color="auto"/>
            </w:tcBorders>
            <w:vAlign w:val="bottom"/>
          </w:tcPr>
          <w:p w14:paraId="6956B4D2"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E63C81C" w14:textId="5540C6C6" w:rsidR="000354E9" w:rsidRPr="00DB58B5" w:rsidRDefault="00434CC2" w:rsidP="00434CC2">
            <w:pPr>
              <w:jc w:val="right"/>
            </w:pPr>
            <w:r w:rsidRPr="00434CC2">
              <w:rPr>
                <w:sz w:val="40"/>
              </w:rPr>
              <w:t>CRC</w:t>
            </w:r>
            <w:r>
              <w:t>/C/87/D/86/2019</w:t>
            </w:r>
          </w:p>
        </w:tc>
      </w:tr>
      <w:tr w:rsidR="000354E9" w:rsidRPr="00DB58B5" w14:paraId="64B88719" w14:textId="77777777" w:rsidTr="008F3CA0">
        <w:trPr>
          <w:trHeight w:hRule="exact" w:val="2835"/>
        </w:trPr>
        <w:tc>
          <w:tcPr>
            <w:tcW w:w="1276" w:type="dxa"/>
            <w:tcBorders>
              <w:top w:val="single" w:sz="4" w:space="0" w:color="auto"/>
              <w:bottom w:val="single" w:sz="12" w:space="0" w:color="auto"/>
            </w:tcBorders>
          </w:tcPr>
          <w:p w14:paraId="59372F8B" w14:textId="77777777" w:rsidR="000354E9" w:rsidRPr="00DB58B5" w:rsidRDefault="000354E9" w:rsidP="008F3CA0">
            <w:pPr>
              <w:spacing w:before="120"/>
              <w:jc w:val="center"/>
            </w:pPr>
            <w:r>
              <w:rPr>
                <w:noProof/>
                <w:lang w:eastAsia="fr-CH"/>
              </w:rPr>
              <w:drawing>
                <wp:inline distT="0" distB="0" distL="0" distR="0" wp14:anchorId="73FC96A7" wp14:editId="3C2C8CF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27C2E9" w14:textId="6CA388E9"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434CC2">
              <w:rPr>
                <w:b/>
                <w:sz w:val="40"/>
                <w:szCs w:val="40"/>
              </w:rPr>
              <w:t>’</w:t>
            </w:r>
            <w:r w:rsidRPr="00262665">
              <w:rPr>
                <w:b/>
                <w:sz w:val="40"/>
                <w:szCs w:val="40"/>
              </w:rPr>
              <w:t>enfant</w:t>
            </w:r>
          </w:p>
        </w:tc>
        <w:tc>
          <w:tcPr>
            <w:tcW w:w="2835" w:type="dxa"/>
            <w:tcBorders>
              <w:top w:val="single" w:sz="4" w:space="0" w:color="auto"/>
              <w:bottom w:val="single" w:sz="12" w:space="0" w:color="auto"/>
            </w:tcBorders>
          </w:tcPr>
          <w:p w14:paraId="69794C91" w14:textId="77777777" w:rsidR="000354E9" w:rsidRDefault="00434CC2" w:rsidP="008F3CA0">
            <w:pPr>
              <w:spacing w:before="240"/>
            </w:pPr>
            <w:r>
              <w:t>Distr. générale</w:t>
            </w:r>
          </w:p>
          <w:p w14:paraId="39AA83AC" w14:textId="77777777" w:rsidR="00434CC2" w:rsidRDefault="00434CC2" w:rsidP="00434CC2">
            <w:pPr>
              <w:spacing w:line="240" w:lineRule="exact"/>
            </w:pPr>
            <w:r>
              <w:t>16 juin 2021</w:t>
            </w:r>
          </w:p>
          <w:p w14:paraId="010B9DA7" w14:textId="77777777" w:rsidR="00434CC2" w:rsidRDefault="00434CC2" w:rsidP="00434CC2">
            <w:pPr>
              <w:spacing w:line="240" w:lineRule="exact"/>
            </w:pPr>
            <w:r>
              <w:t>Français</w:t>
            </w:r>
          </w:p>
          <w:p w14:paraId="516D2F33" w14:textId="1B921B49" w:rsidR="00434CC2" w:rsidRPr="00DB58B5" w:rsidRDefault="00434CC2" w:rsidP="00434CC2">
            <w:pPr>
              <w:spacing w:line="240" w:lineRule="exact"/>
            </w:pPr>
            <w:r>
              <w:t>Original : anglais</w:t>
            </w:r>
          </w:p>
        </w:tc>
      </w:tr>
    </w:tbl>
    <w:p w14:paraId="1623C68A" w14:textId="17A0A646" w:rsidR="002D14A3" w:rsidRDefault="002D14A3" w:rsidP="002D14A3">
      <w:pPr>
        <w:spacing w:before="120"/>
        <w:rPr>
          <w:b/>
          <w:sz w:val="24"/>
          <w:szCs w:val="24"/>
        </w:rPr>
      </w:pPr>
      <w:r w:rsidRPr="00DA3BE9">
        <w:rPr>
          <w:b/>
          <w:sz w:val="24"/>
          <w:szCs w:val="24"/>
        </w:rPr>
        <w:t>Comité des droits de l</w:t>
      </w:r>
      <w:r w:rsidR="00434CC2">
        <w:rPr>
          <w:b/>
          <w:sz w:val="24"/>
          <w:szCs w:val="24"/>
        </w:rPr>
        <w:t>’</w:t>
      </w:r>
      <w:r w:rsidRPr="00DA3BE9">
        <w:rPr>
          <w:b/>
          <w:sz w:val="24"/>
          <w:szCs w:val="24"/>
        </w:rPr>
        <w:t>enfant</w:t>
      </w:r>
    </w:p>
    <w:p w14:paraId="72802AD2" w14:textId="45630808" w:rsidR="00434CC2" w:rsidRDefault="00434CC2" w:rsidP="007B67EA">
      <w:pPr>
        <w:pStyle w:val="HChG"/>
        <w:rPr>
          <w:b w:val="0"/>
          <w:bCs/>
          <w:sz w:val="20"/>
          <w:szCs w:val="28"/>
        </w:rPr>
      </w:pPr>
      <w:r w:rsidRPr="001075EE">
        <w:tab/>
      </w:r>
      <w:r w:rsidRPr="001075EE">
        <w:tab/>
      </w:r>
      <w:r w:rsidRPr="005F2A40">
        <w:t xml:space="preserve">Constatations adoptées par le Comité au titre du Protocole </w:t>
      </w:r>
      <w:r w:rsidRPr="007B67EA">
        <w:rPr>
          <w:spacing w:val="2"/>
        </w:rPr>
        <w:t>facultatif à la Convention relative aux droits de l’enfant</w:t>
      </w:r>
      <w:r w:rsidRPr="005F2A40">
        <w:t xml:space="preserve"> </w:t>
      </w:r>
      <w:r w:rsidRPr="007B67EA">
        <w:rPr>
          <w:spacing w:val="-2"/>
        </w:rPr>
        <w:t>établissant une procédure de présentation de communications,</w:t>
      </w:r>
      <w:r w:rsidRPr="005F2A40">
        <w:t xml:space="preserve"> concernant la communication </w:t>
      </w:r>
      <w:r w:rsidRPr="00434CC2">
        <w:rPr>
          <w:rFonts w:eastAsia="MS Mincho"/>
          <w:szCs w:val="22"/>
        </w:rPr>
        <w:t>n</w:t>
      </w:r>
      <w:r w:rsidRPr="00434CC2">
        <w:rPr>
          <w:rFonts w:eastAsia="MS Mincho"/>
          <w:szCs w:val="22"/>
          <w:vertAlign w:val="superscript"/>
        </w:rPr>
        <w:t>o</w:t>
      </w:r>
      <w:r>
        <w:rPr>
          <w:szCs w:val="28"/>
        </w:rPr>
        <w:t> 86</w:t>
      </w:r>
      <w:r w:rsidRPr="00A92D13">
        <w:rPr>
          <w:szCs w:val="28"/>
        </w:rPr>
        <w:t>/201</w:t>
      </w:r>
      <w:r>
        <w:rPr>
          <w:szCs w:val="28"/>
        </w:rPr>
        <w:t>9</w:t>
      </w:r>
      <w:r w:rsidRPr="00434CC2">
        <w:rPr>
          <w:rStyle w:val="Appelnotedebasdep"/>
          <w:b w:val="0"/>
          <w:bCs/>
          <w:sz w:val="20"/>
          <w:szCs w:val="28"/>
          <w:vertAlign w:val="baseline"/>
        </w:rPr>
        <w:footnoteReference w:customMarkFollows="1" w:id="2"/>
        <w:t>*</w:t>
      </w:r>
      <w:r w:rsidRPr="00434CC2">
        <w:rPr>
          <w:b w:val="0"/>
          <w:bCs/>
          <w:position w:val="6"/>
          <w:sz w:val="20"/>
          <w:szCs w:val="28"/>
        </w:rPr>
        <w:t>,</w:t>
      </w:r>
      <w:r>
        <w:rPr>
          <w:sz w:val="20"/>
          <w:szCs w:val="28"/>
          <w:vertAlign w:val="superscript"/>
        </w:rPr>
        <w:t xml:space="preserve"> </w:t>
      </w:r>
      <w:r w:rsidRPr="00434CC2">
        <w:rPr>
          <w:rStyle w:val="Appelnotedebasdep"/>
          <w:b w:val="0"/>
          <w:bCs/>
          <w:sz w:val="20"/>
          <w:szCs w:val="28"/>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434CC2" w:rsidRPr="00724E6A" w14:paraId="73CAA9CE" w14:textId="77777777" w:rsidTr="00434CC2">
        <w:tc>
          <w:tcPr>
            <w:tcW w:w="2835" w:type="dxa"/>
            <w:shd w:val="clear" w:color="auto" w:fill="auto"/>
          </w:tcPr>
          <w:p w14:paraId="6B47F8BB" w14:textId="77777777" w:rsidR="00434CC2" w:rsidRPr="006766B8" w:rsidRDefault="00434CC2" w:rsidP="00434CC2">
            <w:pPr>
              <w:pStyle w:val="SingleTxtG"/>
              <w:ind w:left="0" w:right="0"/>
              <w:jc w:val="left"/>
              <w:rPr>
                <w:i/>
              </w:rPr>
            </w:pPr>
            <w:r>
              <w:rPr>
                <w:i/>
                <w:iCs/>
                <w:lang w:val="fr-FR"/>
              </w:rPr>
              <w:t>Communication présentée par</w:t>
            </w:r>
            <w:r w:rsidRPr="001E20F8">
              <w:rPr>
                <w:lang w:val="fr-FR"/>
              </w:rPr>
              <w:t xml:space="preserve"> :</w:t>
            </w:r>
          </w:p>
        </w:tc>
        <w:tc>
          <w:tcPr>
            <w:tcW w:w="3970" w:type="dxa"/>
            <w:shd w:val="clear" w:color="auto" w:fill="auto"/>
          </w:tcPr>
          <w:p w14:paraId="431E12F9" w14:textId="003FF098" w:rsidR="00434CC2" w:rsidRPr="003E33AD" w:rsidRDefault="00434CC2" w:rsidP="00434CC2">
            <w:pPr>
              <w:pStyle w:val="SingleTxtG"/>
              <w:ind w:left="0" w:right="0"/>
              <w:jc w:val="left"/>
              <w:rPr>
                <w:lang w:val="fr-FR"/>
              </w:rPr>
            </w:pPr>
            <w:r>
              <w:rPr>
                <w:lang w:val="fr-FR"/>
              </w:rPr>
              <w:t xml:space="preserve">D. R. (représenté </w:t>
            </w:r>
            <w:r w:rsidRPr="007B7F8C">
              <w:rPr>
                <w:lang w:val="fr-FR"/>
              </w:rPr>
              <w:t xml:space="preserve">par un conseil, </w:t>
            </w:r>
            <w:r>
              <w:rPr>
                <w:lang w:val="fr-FR"/>
              </w:rPr>
              <w:t>Sarah Vincent</w:t>
            </w:r>
            <w:r w:rsidRPr="007B7F8C">
              <w:rPr>
                <w:lang w:val="fr-FR"/>
              </w:rPr>
              <w:t>)</w:t>
            </w:r>
          </w:p>
        </w:tc>
      </w:tr>
      <w:tr w:rsidR="00434CC2" w:rsidRPr="008840DD" w14:paraId="52EC0470" w14:textId="77777777" w:rsidTr="00434CC2">
        <w:tc>
          <w:tcPr>
            <w:tcW w:w="2835" w:type="dxa"/>
            <w:shd w:val="clear" w:color="auto" w:fill="auto"/>
          </w:tcPr>
          <w:p w14:paraId="40E12B63" w14:textId="77777777" w:rsidR="00434CC2" w:rsidRPr="006766B8" w:rsidRDefault="00434CC2" w:rsidP="00434CC2">
            <w:pPr>
              <w:pStyle w:val="SingleTxtG"/>
              <w:ind w:left="0" w:right="0"/>
              <w:jc w:val="left"/>
              <w:rPr>
                <w:i/>
              </w:rPr>
            </w:pPr>
            <w:r>
              <w:rPr>
                <w:i/>
                <w:iCs/>
                <w:lang w:val="fr-FR"/>
              </w:rPr>
              <w:t xml:space="preserve">Victime(s) présumée(s) </w:t>
            </w:r>
            <w:r w:rsidRPr="001E20F8">
              <w:rPr>
                <w:lang w:val="fr-FR"/>
              </w:rPr>
              <w:t>:</w:t>
            </w:r>
          </w:p>
        </w:tc>
        <w:tc>
          <w:tcPr>
            <w:tcW w:w="3970" w:type="dxa"/>
            <w:shd w:val="clear" w:color="auto" w:fill="auto"/>
          </w:tcPr>
          <w:p w14:paraId="194A5001" w14:textId="0645E24E" w:rsidR="00434CC2" w:rsidRPr="00195F3E" w:rsidRDefault="00434CC2" w:rsidP="00434CC2">
            <w:pPr>
              <w:pStyle w:val="SingleTxtG"/>
              <w:ind w:left="0" w:right="0"/>
              <w:jc w:val="left"/>
              <w:rPr>
                <w:lang w:val="fr-FR"/>
              </w:rPr>
            </w:pPr>
            <w:r w:rsidRPr="00195F3E">
              <w:rPr>
                <w:lang w:val="fr-FR"/>
              </w:rPr>
              <w:t>G.</w:t>
            </w:r>
            <w:r>
              <w:rPr>
                <w:lang w:val="fr-FR"/>
              </w:rPr>
              <w:t xml:space="preserve"> </w:t>
            </w:r>
            <w:r w:rsidRPr="00195F3E">
              <w:rPr>
                <w:lang w:val="fr-FR"/>
              </w:rPr>
              <w:t>R., H.</w:t>
            </w:r>
            <w:r>
              <w:rPr>
                <w:lang w:val="fr-FR"/>
              </w:rPr>
              <w:t xml:space="preserve"> </w:t>
            </w:r>
            <w:r w:rsidRPr="00195F3E">
              <w:rPr>
                <w:lang w:val="fr-FR"/>
              </w:rPr>
              <w:t>R</w:t>
            </w:r>
            <w:r w:rsidR="007566D8">
              <w:rPr>
                <w:lang w:val="fr-FR"/>
              </w:rPr>
              <w:t>.</w:t>
            </w:r>
            <w:r w:rsidRPr="00195F3E">
              <w:rPr>
                <w:lang w:val="fr-FR"/>
              </w:rPr>
              <w:t>, V.</w:t>
            </w:r>
            <w:r>
              <w:rPr>
                <w:lang w:val="fr-FR"/>
              </w:rPr>
              <w:t xml:space="preserve"> </w:t>
            </w:r>
            <w:r w:rsidRPr="00195F3E">
              <w:rPr>
                <w:lang w:val="fr-FR"/>
              </w:rPr>
              <w:t>R. et D.</w:t>
            </w:r>
            <w:r>
              <w:rPr>
                <w:lang w:val="fr-FR"/>
              </w:rPr>
              <w:t xml:space="preserve"> </w:t>
            </w:r>
            <w:r w:rsidRPr="00195F3E">
              <w:rPr>
                <w:lang w:val="fr-FR"/>
              </w:rPr>
              <w:t>R</w:t>
            </w:r>
            <w:r w:rsidR="001F5C10">
              <w:rPr>
                <w:lang w:val="fr-FR"/>
              </w:rPr>
              <w:t>.</w:t>
            </w:r>
          </w:p>
        </w:tc>
      </w:tr>
      <w:tr w:rsidR="00434CC2" w:rsidRPr="006766B8" w14:paraId="2680FCC9" w14:textId="77777777" w:rsidTr="00434CC2">
        <w:tc>
          <w:tcPr>
            <w:tcW w:w="2835" w:type="dxa"/>
            <w:shd w:val="clear" w:color="auto" w:fill="auto"/>
          </w:tcPr>
          <w:p w14:paraId="437320DE" w14:textId="77777777" w:rsidR="00434CC2" w:rsidRPr="006766B8" w:rsidRDefault="00434CC2" w:rsidP="00434CC2">
            <w:pPr>
              <w:pStyle w:val="SingleTxtG"/>
              <w:ind w:left="0" w:right="0"/>
              <w:jc w:val="left"/>
              <w:rPr>
                <w:i/>
              </w:rPr>
            </w:pPr>
            <w:r>
              <w:rPr>
                <w:i/>
                <w:iCs/>
                <w:lang w:val="fr-FR"/>
              </w:rPr>
              <w:t xml:space="preserve">État partie </w:t>
            </w:r>
            <w:r w:rsidRPr="001E20F8">
              <w:rPr>
                <w:lang w:val="fr-FR"/>
              </w:rPr>
              <w:t>:</w:t>
            </w:r>
          </w:p>
        </w:tc>
        <w:tc>
          <w:tcPr>
            <w:tcW w:w="3970" w:type="dxa"/>
            <w:shd w:val="clear" w:color="auto" w:fill="auto"/>
          </w:tcPr>
          <w:p w14:paraId="32C0B8DE" w14:textId="77777777" w:rsidR="00434CC2" w:rsidRPr="006766B8" w:rsidRDefault="00434CC2" w:rsidP="00434CC2">
            <w:pPr>
              <w:pStyle w:val="SingleTxtG"/>
              <w:ind w:left="0" w:right="0"/>
              <w:jc w:val="left"/>
            </w:pPr>
            <w:r>
              <w:rPr>
                <w:lang w:val="fr-FR"/>
              </w:rPr>
              <w:t>Suisse</w:t>
            </w:r>
          </w:p>
        </w:tc>
      </w:tr>
      <w:tr w:rsidR="00434CC2" w:rsidRPr="006766B8" w14:paraId="71550512" w14:textId="77777777" w:rsidTr="00434CC2">
        <w:tc>
          <w:tcPr>
            <w:tcW w:w="2835" w:type="dxa"/>
            <w:shd w:val="clear" w:color="auto" w:fill="auto"/>
          </w:tcPr>
          <w:p w14:paraId="3D6E6038" w14:textId="77777777" w:rsidR="00434CC2" w:rsidRPr="006766B8" w:rsidRDefault="00434CC2" w:rsidP="00434CC2">
            <w:pPr>
              <w:pStyle w:val="SingleTxtG"/>
              <w:ind w:left="0" w:right="0"/>
              <w:jc w:val="left"/>
              <w:rPr>
                <w:i/>
              </w:rPr>
            </w:pPr>
            <w:r>
              <w:rPr>
                <w:i/>
                <w:iCs/>
                <w:lang w:val="fr-FR"/>
              </w:rPr>
              <w:t xml:space="preserve">Date de la communication </w:t>
            </w:r>
            <w:r w:rsidRPr="001E20F8">
              <w:rPr>
                <w:lang w:val="fr-FR"/>
              </w:rPr>
              <w:t>:</w:t>
            </w:r>
          </w:p>
        </w:tc>
        <w:tc>
          <w:tcPr>
            <w:tcW w:w="3970" w:type="dxa"/>
            <w:shd w:val="clear" w:color="auto" w:fill="auto"/>
          </w:tcPr>
          <w:p w14:paraId="4E6E1CD5" w14:textId="77777777" w:rsidR="00434CC2" w:rsidRPr="006766B8" w:rsidRDefault="00434CC2" w:rsidP="00434CC2">
            <w:pPr>
              <w:pStyle w:val="SingleTxtG"/>
              <w:ind w:left="0" w:right="0"/>
              <w:jc w:val="left"/>
            </w:pPr>
            <w:r>
              <w:rPr>
                <w:lang w:val="fr-FR"/>
              </w:rPr>
              <w:t>15 mai 2019</w:t>
            </w:r>
          </w:p>
        </w:tc>
      </w:tr>
      <w:tr w:rsidR="00434CC2" w:rsidRPr="006766B8" w14:paraId="4473974C" w14:textId="77777777" w:rsidTr="00434CC2">
        <w:tc>
          <w:tcPr>
            <w:tcW w:w="2835" w:type="dxa"/>
            <w:shd w:val="clear" w:color="auto" w:fill="auto"/>
          </w:tcPr>
          <w:p w14:paraId="65B080BE" w14:textId="77777777" w:rsidR="00434CC2" w:rsidRPr="006766B8" w:rsidRDefault="00434CC2" w:rsidP="00434CC2">
            <w:pPr>
              <w:pStyle w:val="SingleTxtG"/>
              <w:ind w:left="0" w:right="0"/>
              <w:jc w:val="left"/>
              <w:rPr>
                <w:i/>
              </w:rPr>
            </w:pPr>
            <w:r>
              <w:rPr>
                <w:i/>
                <w:iCs/>
                <w:lang w:val="fr-FR"/>
              </w:rPr>
              <w:t>Date des constatations</w:t>
            </w:r>
            <w:r w:rsidRPr="001E20F8">
              <w:rPr>
                <w:lang w:val="fr-FR"/>
              </w:rPr>
              <w:t xml:space="preserve"> :</w:t>
            </w:r>
          </w:p>
        </w:tc>
        <w:tc>
          <w:tcPr>
            <w:tcW w:w="3970" w:type="dxa"/>
            <w:shd w:val="clear" w:color="auto" w:fill="auto"/>
            <w:vAlign w:val="bottom"/>
          </w:tcPr>
          <w:p w14:paraId="3F47E6F2" w14:textId="77777777" w:rsidR="00434CC2" w:rsidRPr="00B2228C" w:rsidRDefault="00434CC2" w:rsidP="00434CC2">
            <w:pPr>
              <w:pStyle w:val="SingleTxtG"/>
              <w:ind w:left="0" w:right="0"/>
              <w:jc w:val="left"/>
            </w:pPr>
            <w:r>
              <w:rPr>
                <w:lang w:val="fr-FR"/>
              </w:rPr>
              <w:t>31 mai 2021</w:t>
            </w:r>
          </w:p>
        </w:tc>
      </w:tr>
      <w:tr w:rsidR="00434CC2" w:rsidRPr="00724E6A" w14:paraId="224FD704" w14:textId="77777777" w:rsidTr="00434CC2">
        <w:tc>
          <w:tcPr>
            <w:tcW w:w="2835" w:type="dxa"/>
            <w:shd w:val="clear" w:color="auto" w:fill="auto"/>
          </w:tcPr>
          <w:p w14:paraId="21802018" w14:textId="77777777" w:rsidR="00434CC2" w:rsidRPr="006766B8" w:rsidRDefault="00434CC2" w:rsidP="00434CC2">
            <w:pPr>
              <w:pStyle w:val="SingleTxtG"/>
              <w:ind w:left="0" w:right="0"/>
              <w:jc w:val="left"/>
              <w:rPr>
                <w:i/>
              </w:rPr>
            </w:pPr>
            <w:r>
              <w:rPr>
                <w:i/>
                <w:iCs/>
                <w:lang w:val="fr-FR"/>
              </w:rPr>
              <w:t xml:space="preserve">Objet </w:t>
            </w:r>
            <w:r w:rsidRPr="001E20F8">
              <w:rPr>
                <w:lang w:val="fr-FR"/>
              </w:rPr>
              <w:t>:</w:t>
            </w:r>
          </w:p>
        </w:tc>
        <w:tc>
          <w:tcPr>
            <w:tcW w:w="3970" w:type="dxa"/>
            <w:shd w:val="clear" w:color="auto" w:fill="auto"/>
            <w:vAlign w:val="bottom"/>
          </w:tcPr>
          <w:p w14:paraId="4B5BF842" w14:textId="4A83BD19" w:rsidR="00434CC2" w:rsidRPr="003E33AD" w:rsidRDefault="00434CC2" w:rsidP="00434CC2">
            <w:pPr>
              <w:pStyle w:val="SingleTxtG"/>
              <w:ind w:left="0" w:right="0"/>
              <w:jc w:val="left"/>
              <w:rPr>
                <w:lang w:val="fr-FR"/>
              </w:rPr>
            </w:pPr>
            <w:r>
              <w:rPr>
                <w:lang w:val="fr-FR"/>
              </w:rPr>
              <w:t>Expulsion vers Sri Lanka ; accès aux soins médicaux</w:t>
            </w:r>
          </w:p>
        </w:tc>
      </w:tr>
      <w:tr w:rsidR="00434CC2" w:rsidRPr="00724E6A" w14:paraId="1CCFB401" w14:textId="77777777" w:rsidTr="00434CC2">
        <w:tc>
          <w:tcPr>
            <w:tcW w:w="2835" w:type="dxa"/>
            <w:shd w:val="clear" w:color="auto" w:fill="auto"/>
          </w:tcPr>
          <w:p w14:paraId="6BF88287" w14:textId="77777777" w:rsidR="00434CC2" w:rsidRPr="00C9732C" w:rsidRDefault="00434CC2" w:rsidP="00434CC2">
            <w:pPr>
              <w:pStyle w:val="SingleTxtG"/>
              <w:ind w:left="0" w:right="0"/>
              <w:jc w:val="left"/>
              <w:rPr>
                <w:lang w:val="fr-FR"/>
              </w:rPr>
            </w:pPr>
            <w:r>
              <w:rPr>
                <w:i/>
                <w:iCs/>
                <w:lang w:val="fr-FR"/>
              </w:rPr>
              <w:t>Questions</w:t>
            </w:r>
            <w:r w:rsidRPr="0018556F">
              <w:rPr>
                <w:i/>
                <w:iCs/>
                <w:lang w:val="fr-FR"/>
              </w:rPr>
              <w:t xml:space="preserve"> de procédure </w:t>
            </w:r>
            <w:r w:rsidRPr="0018556F">
              <w:rPr>
                <w:lang w:val="fr-FR"/>
              </w:rPr>
              <w:t>:</w:t>
            </w:r>
          </w:p>
        </w:tc>
        <w:tc>
          <w:tcPr>
            <w:tcW w:w="3970" w:type="dxa"/>
            <w:shd w:val="clear" w:color="auto" w:fill="auto"/>
            <w:vAlign w:val="bottom"/>
          </w:tcPr>
          <w:p w14:paraId="37B45939" w14:textId="77777777" w:rsidR="00434CC2" w:rsidRPr="00C9732C" w:rsidRDefault="00434CC2" w:rsidP="00434CC2">
            <w:pPr>
              <w:pStyle w:val="SingleTxtG"/>
              <w:ind w:left="0" w:right="0"/>
              <w:jc w:val="left"/>
            </w:pPr>
            <w:r w:rsidRPr="0018556F">
              <w:rPr>
                <w:lang w:val="fr-FR"/>
              </w:rPr>
              <w:t>Non-épuisement des recours internes</w:t>
            </w:r>
            <w:r>
              <w:rPr>
                <w:lang w:val="fr-FR"/>
              </w:rPr>
              <w:t> ;</w:t>
            </w:r>
            <w:r w:rsidRPr="0018556F">
              <w:rPr>
                <w:lang w:val="fr-FR"/>
              </w:rPr>
              <w:t xml:space="preserve"> </w:t>
            </w:r>
            <w:r>
              <w:rPr>
                <w:lang w:val="fr-FR"/>
              </w:rPr>
              <w:t xml:space="preserve">défaut de fondement des griefs ; </w:t>
            </w:r>
            <w:r>
              <w:t>justiciabilité des droits consacrés par la Convention</w:t>
            </w:r>
          </w:p>
        </w:tc>
      </w:tr>
      <w:tr w:rsidR="00434CC2" w:rsidRPr="00724E6A" w14:paraId="39860C55" w14:textId="77777777" w:rsidTr="00434CC2">
        <w:tc>
          <w:tcPr>
            <w:tcW w:w="2835" w:type="dxa"/>
            <w:shd w:val="clear" w:color="auto" w:fill="auto"/>
          </w:tcPr>
          <w:p w14:paraId="67394B19" w14:textId="0558769F" w:rsidR="00434CC2" w:rsidRDefault="00434CC2" w:rsidP="00434CC2">
            <w:pPr>
              <w:pStyle w:val="SingleTxtG"/>
              <w:ind w:left="0" w:right="0"/>
              <w:jc w:val="left"/>
              <w:rPr>
                <w:i/>
                <w:iCs/>
                <w:lang w:val="fr-FR"/>
              </w:rPr>
            </w:pPr>
            <w:r w:rsidRPr="002B027E">
              <w:rPr>
                <w:i/>
                <w:iCs/>
                <w:lang w:val="fr-FR"/>
              </w:rPr>
              <w:t xml:space="preserve">Questions de </w:t>
            </w:r>
            <w:r w:rsidR="002B027E" w:rsidRPr="002B027E">
              <w:rPr>
                <w:i/>
                <w:iCs/>
                <w:lang w:val="fr-FR"/>
              </w:rPr>
              <w:t>fo</w:t>
            </w:r>
            <w:r w:rsidR="002B027E">
              <w:rPr>
                <w:i/>
                <w:iCs/>
                <w:lang w:val="fr-FR"/>
              </w:rPr>
              <w:t>nd</w:t>
            </w:r>
            <w:r>
              <w:rPr>
                <w:lang w:val="fr-FR"/>
              </w:rPr>
              <w:t> :</w:t>
            </w:r>
          </w:p>
        </w:tc>
        <w:tc>
          <w:tcPr>
            <w:tcW w:w="3970" w:type="dxa"/>
            <w:shd w:val="clear" w:color="auto" w:fill="auto"/>
            <w:vAlign w:val="bottom"/>
          </w:tcPr>
          <w:p w14:paraId="1C02FBE4" w14:textId="35D2F7BF" w:rsidR="00434CC2" w:rsidRPr="0018556F" w:rsidRDefault="00434CC2" w:rsidP="00434CC2">
            <w:pPr>
              <w:pStyle w:val="SingleTxtG"/>
              <w:ind w:left="0" w:right="0"/>
              <w:jc w:val="left"/>
              <w:rPr>
                <w:lang w:val="fr-FR"/>
              </w:rPr>
            </w:pPr>
            <w:r>
              <w:rPr>
                <w:lang w:val="fr-FR"/>
              </w:rPr>
              <w:t>Intérêt supérieur de l’enfant ; recours effectif ; droit à la santé ; torture et mauvais traitements</w:t>
            </w:r>
          </w:p>
        </w:tc>
      </w:tr>
      <w:tr w:rsidR="00434CC2" w:rsidRPr="006766B8" w14:paraId="249A5B7D" w14:textId="77777777" w:rsidTr="00434CC2">
        <w:tc>
          <w:tcPr>
            <w:tcW w:w="2835" w:type="dxa"/>
            <w:shd w:val="clear" w:color="auto" w:fill="auto"/>
          </w:tcPr>
          <w:p w14:paraId="6693DCB0" w14:textId="77777777" w:rsidR="00434CC2" w:rsidRPr="0018556F" w:rsidRDefault="00434CC2" w:rsidP="00434CC2">
            <w:pPr>
              <w:pStyle w:val="SingleTxtG"/>
              <w:ind w:left="0" w:right="0"/>
              <w:jc w:val="left"/>
              <w:rPr>
                <w:i/>
                <w:lang w:val="fr-FR"/>
              </w:rPr>
            </w:pPr>
            <w:r w:rsidRPr="0018556F">
              <w:rPr>
                <w:i/>
                <w:iCs/>
                <w:lang w:val="fr-FR"/>
              </w:rPr>
              <w:t xml:space="preserve">Articles de la Convention </w:t>
            </w:r>
            <w:r w:rsidRPr="0018556F">
              <w:rPr>
                <w:lang w:val="fr-FR"/>
              </w:rPr>
              <w:t>:</w:t>
            </w:r>
          </w:p>
        </w:tc>
        <w:tc>
          <w:tcPr>
            <w:tcW w:w="3970" w:type="dxa"/>
            <w:shd w:val="clear" w:color="auto" w:fill="auto"/>
            <w:vAlign w:val="bottom"/>
          </w:tcPr>
          <w:p w14:paraId="51863489" w14:textId="77777777" w:rsidR="00434CC2" w:rsidRPr="0018556F" w:rsidRDefault="00434CC2" w:rsidP="00434CC2">
            <w:pPr>
              <w:pStyle w:val="SingleTxtG"/>
              <w:ind w:left="0" w:right="0"/>
              <w:jc w:val="left"/>
            </w:pPr>
            <w:r w:rsidRPr="0018556F">
              <w:rPr>
                <w:lang w:val="fr-FR"/>
              </w:rPr>
              <w:t xml:space="preserve">3, </w:t>
            </w:r>
            <w:r w:rsidRPr="003632B0">
              <w:rPr>
                <w:lang w:val="fr-FR"/>
              </w:rPr>
              <w:t xml:space="preserve">4, </w:t>
            </w:r>
            <w:r>
              <w:rPr>
                <w:lang w:val="fr-FR"/>
              </w:rPr>
              <w:t xml:space="preserve">6 (par. 2), </w:t>
            </w:r>
            <w:r w:rsidRPr="003632B0">
              <w:rPr>
                <w:lang w:val="fr-FR"/>
              </w:rPr>
              <w:t>24</w:t>
            </w:r>
            <w:r>
              <w:rPr>
                <w:lang w:val="fr-FR"/>
              </w:rPr>
              <w:t xml:space="preserve"> et </w:t>
            </w:r>
            <w:r w:rsidRPr="003632B0">
              <w:rPr>
                <w:lang w:val="fr-FR"/>
              </w:rPr>
              <w:t>37 (</w:t>
            </w:r>
            <w:r>
              <w:rPr>
                <w:lang w:val="fr-FR"/>
              </w:rPr>
              <w:t xml:space="preserve">al. </w:t>
            </w:r>
            <w:r w:rsidRPr="003632B0">
              <w:rPr>
                <w:lang w:val="fr-FR"/>
              </w:rPr>
              <w:t>a)</w:t>
            </w:r>
            <w:r>
              <w:rPr>
                <w:lang w:val="fr-FR"/>
              </w:rPr>
              <w:t>)</w:t>
            </w:r>
          </w:p>
        </w:tc>
      </w:tr>
      <w:tr w:rsidR="00434CC2" w:rsidRPr="006766B8" w14:paraId="0631F2DC" w14:textId="77777777" w:rsidTr="00434CC2">
        <w:tc>
          <w:tcPr>
            <w:tcW w:w="2835" w:type="dxa"/>
            <w:shd w:val="clear" w:color="auto" w:fill="auto"/>
          </w:tcPr>
          <w:p w14:paraId="50B49D94" w14:textId="77777777" w:rsidR="00434CC2" w:rsidRPr="0018556F" w:rsidRDefault="00434CC2" w:rsidP="00434CC2">
            <w:pPr>
              <w:pStyle w:val="SingleTxtG"/>
              <w:ind w:left="0" w:right="0"/>
              <w:jc w:val="left"/>
              <w:rPr>
                <w:i/>
                <w:lang w:val="fr-FR"/>
              </w:rPr>
            </w:pPr>
            <w:r>
              <w:rPr>
                <w:i/>
                <w:iCs/>
                <w:lang w:val="fr-FR"/>
              </w:rPr>
              <w:t>Article</w:t>
            </w:r>
            <w:r w:rsidRPr="0018556F">
              <w:rPr>
                <w:i/>
                <w:iCs/>
                <w:lang w:val="fr-FR"/>
              </w:rPr>
              <w:t xml:space="preserve">s du Protocole facultatif </w:t>
            </w:r>
            <w:r w:rsidRPr="0018556F">
              <w:rPr>
                <w:lang w:val="fr-FR"/>
              </w:rPr>
              <w:t>:</w:t>
            </w:r>
          </w:p>
        </w:tc>
        <w:tc>
          <w:tcPr>
            <w:tcW w:w="3970" w:type="dxa"/>
            <w:shd w:val="clear" w:color="auto" w:fill="auto"/>
            <w:vAlign w:val="bottom"/>
          </w:tcPr>
          <w:p w14:paraId="3C0E286F" w14:textId="77777777" w:rsidR="00434CC2" w:rsidRPr="0018556F" w:rsidRDefault="00434CC2" w:rsidP="00434CC2">
            <w:pPr>
              <w:pStyle w:val="SingleTxtG"/>
              <w:ind w:left="0" w:right="0"/>
              <w:jc w:val="left"/>
            </w:pPr>
            <w:r w:rsidRPr="0018556F">
              <w:rPr>
                <w:lang w:val="fr-FR"/>
              </w:rPr>
              <w:t>7 (</w:t>
            </w:r>
            <w:r>
              <w:rPr>
                <w:lang w:val="fr-FR"/>
              </w:rPr>
              <w:t xml:space="preserve">al. </w:t>
            </w:r>
            <w:r w:rsidRPr="0018556F">
              <w:rPr>
                <w:lang w:val="fr-FR"/>
              </w:rPr>
              <w:t>e</w:t>
            </w:r>
            <w:r>
              <w:rPr>
                <w:lang w:val="fr-FR"/>
              </w:rPr>
              <w:t xml:space="preserve">) et </w:t>
            </w:r>
            <w:r w:rsidRPr="0018556F">
              <w:rPr>
                <w:lang w:val="fr-FR"/>
              </w:rPr>
              <w:t>f)</w:t>
            </w:r>
            <w:r>
              <w:rPr>
                <w:lang w:val="fr-FR"/>
              </w:rPr>
              <w:t>)</w:t>
            </w:r>
          </w:p>
        </w:tc>
      </w:tr>
    </w:tbl>
    <w:p w14:paraId="0BF9471C" w14:textId="1E8AC084" w:rsidR="00434CC2" w:rsidRPr="00AA3502" w:rsidRDefault="00434CC2" w:rsidP="00434CC2">
      <w:pPr>
        <w:pStyle w:val="SingleTxtG"/>
        <w:spacing w:before="120"/>
        <w:rPr>
          <w:lang w:val="fr-FR"/>
        </w:rPr>
      </w:pPr>
      <w:r w:rsidRPr="00AA3502">
        <w:rPr>
          <w:lang w:val="fr-FR"/>
        </w:rPr>
        <w:t>1.1</w:t>
      </w:r>
      <w:r w:rsidRPr="00AA3502">
        <w:rPr>
          <w:lang w:val="fr-FR"/>
        </w:rPr>
        <w:tab/>
        <w:t>L</w:t>
      </w:r>
      <w:r>
        <w:rPr>
          <w:lang w:val="fr-FR"/>
        </w:rPr>
        <w:t>’</w:t>
      </w:r>
      <w:r w:rsidRPr="00AA3502">
        <w:rPr>
          <w:lang w:val="fr-FR"/>
        </w:rPr>
        <w:t>auteur de la communication est D.</w:t>
      </w:r>
      <w:r>
        <w:rPr>
          <w:lang w:val="fr-FR"/>
        </w:rPr>
        <w:t xml:space="preserve"> </w:t>
      </w:r>
      <w:r w:rsidRPr="00AA3502">
        <w:rPr>
          <w:lang w:val="fr-FR"/>
        </w:rPr>
        <w:t>R., né en 1982. Il soumet la communication au nom de ses enfants, G.</w:t>
      </w:r>
      <w:r>
        <w:rPr>
          <w:lang w:val="fr-FR"/>
        </w:rPr>
        <w:t xml:space="preserve"> </w:t>
      </w:r>
      <w:r w:rsidRPr="00AA3502">
        <w:rPr>
          <w:lang w:val="fr-FR"/>
        </w:rPr>
        <w:t>R., et H.</w:t>
      </w:r>
      <w:r>
        <w:rPr>
          <w:lang w:val="fr-FR"/>
        </w:rPr>
        <w:t xml:space="preserve"> </w:t>
      </w:r>
      <w:r w:rsidRPr="00AA3502">
        <w:rPr>
          <w:lang w:val="fr-FR"/>
        </w:rPr>
        <w:t xml:space="preserve">R., nés respectivement en 2019 et en 2014, </w:t>
      </w:r>
      <w:r>
        <w:rPr>
          <w:lang w:val="fr-FR"/>
        </w:rPr>
        <w:t xml:space="preserve">et </w:t>
      </w:r>
      <w:r w:rsidRPr="00AA3502">
        <w:rPr>
          <w:lang w:val="fr-FR"/>
        </w:rPr>
        <w:t>de sa femme, V.</w:t>
      </w:r>
      <w:r w:rsidR="00767569">
        <w:rPr>
          <w:lang w:val="fr-FR"/>
        </w:rPr>
        <w:t> </w:t>
      </w:r>
      <w:r w:rsidRPr="00AA3502">
        <w:rPr>
          <w:lang w:val="fr-FR"/>
        </w:rPr>
        <w:t xml:space="preserve">R., née en 1990, </w:t>
      </w:r>
      <w:r>
        <w:rPr>
          <w:lang w:val="fr-FR"/>
        </w:rPr>
        <w:t>ainsi qu’en son nom propre. Tous sont</w:t>
      </w:r>
      <w:r w:rsidRPr="00AA3502">
        <w:rPr>
          <w:lang w:val="fr-FR"/>
        </w:rPr>
        <w:t xml:space="preserve"> de nationalité sri-lankaise. L</w:t>
      </w:r>
      <w:r>
        <w:rPr>
          <w:lang w:val="fr-FR"/>
        </w:rPr>
        <w:t>’</w:t>
      </w:r>
      <w:r w:rsidRPr="00AA3502">
        <w:rPr>
          <w:lang w:val="fr-FR"/>
        </w:rPr>
        <w:t>auteur et sa famille risquent d</w:t>
      </w:r>
      <w:r>
        <w:rPr>
          <w:lang w:val="fr-FR"/>
        </w:rPr>
        <w:t>’</w:t>
      </w:r>
      <w:r w:rsidRPr="00AA3502">
        <w:rPr>
          <w:lang w:val="fr-FR"/>
        </w:rPr>
        <w:t xml:space="preserve">être renvoyés </w:t>
      </w:r>
      <w:r>
        <w:rPr>
          <w:lang w:val="fr-FR"/>
        </w:rPr>
        <w:t>à</w:t>
      </w:r>
      <w:r w:rsidRPr="00AA3502">
        <w:rPr>
          <w:lang w:val="fr-FR"/>
        </w:rPr>
        <w:t xml:space="preserve"> Sri Lanka. L</w:t>
      </w:r>
      <w:r>
        <w:rPr>
          <w:lang w:val="fr-FR"/>
        </w:rPr>
        <w:t>’</w:t>
      </w:r>
      <w:r w:rsidRPr="00AA3502">
        <w:rPr>
          <w:lang w:val="fr-FR"/>
        </w:rPr>
        <w:t>auteur allègue qu</w:t>
      </w:r>
      <w:r>
        <w:rPr>
          <w:lang w:val="fr-FR"/>
        </w:rPr>
        <w:t>’</w:t>
      </w:r>
      <w:r w:rsidRPr="00AA3502">
        <w:rPr>
          <w:lang w:val="fr-FR"/>
        </w:rPr>
        <w:t xml:space="preserve">un tel renvoi constituerait une violation de leurs droits, notamment des droits </w:t>
      </w:r>
      <w:r>
        <w:rPr>
          <w:lang w:val="fr-FR"/>
        </w:rPr>
        <w:t>reconnus à</w:t>
      </w:r>
      <w:r w:rsidRPr="00AA3502">
        <w:rPr>
          <w:lang w:val="fr-FR"/>
        </w:rPr>
        <w:t xml:space="preserve"> G.</w:t>
      </w:r>
      <w:r w:rsidR="00767569">
        <w:rPr>
          <w:lang w:val="fr-FR"/>
        </w:rPr>
        <w:t> </w:t>
      </w:r>
      <w:r w:rsidRPr="00AA3502">
        <w:rPr>
          <w:lang w:val="fr-FR"/>
        </w:rPr>
        <w:t xml:space="preserve">R. </w:t>
      </w:r>
      <w:r>
        <w:rPr>
          <w:lang w:val="fr-FR"/>
        </w:rPr>
        <w:t>par les</w:t>
      </w:r>
      <w:r w:rsidRPr="00AA3502">
        <w:rPr>
          <w:lang w:val="fr-FR"/>
        </w:rPr>
        <w:t xml:space="preserve"> articles 3 et 4 de la Convention.</w:t>
      </w:r>
      <w:r w:rsidRPr="00AA3502">
        <w:t xml:space="preserve"> </w:t>
      </w:r>
      <w:r>
        <w:t>L</w:t>
      </w:r>
      <w:r w:rsidRPr="00AA3502">
        <w:t xml:space="preserve">a plainte soulève également, </w:t>
      </w:r>
      <w:r>
        <w:t>sur le fond</w:t>
      </w:r>
      <w:r w:rsidRPr="00AA3502">
        <w:t xml:space="preserve">, des questions </w:t>
      </w:r>
      <w:r>
        <w:t>au regard</w:t>
      </w:r>
      <w:r w:rsidRPr="00AA3502">
        <w:t xml:space="preserve"> </w:t>
      </w:r>
      <w:r>
        <w:t xml:space="preserve">des </w:t>
      </w:r>
      <w:r w:rsidRPr="00AA3502">
        <w:t>articles 6 (</w:t>
      </w:r>
      <w:r>
        <w:t xml:space="preserve">par. </w:t>
      </w:r>
      <w:r w:rsidRPr="00AA3502">
        <w:t>2), 24 et 37 (</w:t>
      </w:r>
      <w:r>
        <w:t xml:space="preserve">al. </w:t>
      </w:r>
      <w:r w:rsidRPr="00AA3502">
        <w:t>a</w:t>
      </w:r>
      <w:r>
        <w:t>)</w:t>
      </w:r>
      <w:r w:rsidRPr="00AA3502">
        <w:t>) de la Convention</w:t>
      </w:r>
      <w:r>
        <w:t>, même si ces articles ne sont</w:t>
      </w:r>
      <w:r w:rsidRPr="00AA3502">
        <w:t xml:space="preserve"> pas </w:t>
      </w:r>
      <w:r>
        <w:t>expressément</w:t>
      </w:r>
      <w:r w:rsidRPr="00AA3502">
        <w:t xml:space="preserve"> cité</w:t>
      </w:r>
      <w:r>
        <w:t>s</w:t>
      </w:r>
      <w:r w:rsidRPr="00AA3502">
        <w:t xml:space="preserve"> par l</w:t>
      </w:r>
      <w:r>
        <w:t>’</w:t>
      </w:r>
      <w:r w:rsidRPr="00AA3502">
        <w:t>auteur</w:t>
      </w:r>
      <w:r w:rsidRPr="00AA3502">
        <w:rPr>
          <w:lang w:val="fr-FR"/>
        </w:rPr>
        <w:t>.</w:t>
      </w:r>
      <w:r w:rsidRPr="00AA3502">
        <w:rPr>
          <w:color w:val="000000"/>
        </w:rPr>
        <w:t xml:space="preserve"> Le Protocole facultatif est entré en vigueur pour l</w:t>
      </w:r>
      <w:r>
        <w:rPr>
          <w:color w:val="000000"/>
        </w:rPr>
        <w:t>’</w:t>
      </w:r>
      <w:r w:rsidRPr="00AA3502">
        <w:rPr>
          <w:color w:val="000000"/>
        </w:rPr>
        <w:t>État</w:t>
      </w:r>
      <w:r w:rsidR="00767569">
        <w:rPr>
          <w:color w:val="000000"/>
        </w:rPr>
        <w:t> </w:t>
      </w:r>
      <w:r w:rsidRPr="00AA3502">
        <w:rPr>
          <w:color w:val="000000"/>
        </w:rPr>
        <w:t>partie le 24</w:t>
      </w:r>
      <w:r>
        <w:rPr>
          <w:color w:val="000000"/>
        </w:rPr>
        <w:t> </w:t>
      </w:r>
      <w:r w:rsidRPr="00AA3502">
        <w:rPr>
          <w:color w:val="000000"/>
        </w:rPr>
        <w:t>juillet 2017.</w:t>
      </w:r>
      <w:r w:rsidRPr="00AA3502">
        <w:rPr>
          <w:lang w:val="fr-FR"/>
        </w:rPr>
        <w:t xml:space="preserve"> L</w:t>
      </w:r>
      <w:r>
        <w:rPr>
          <w:lang w:val="fr-FR"/>
        </w:rPr>
        <w:t>’</w:t>
      </w:r>
      <w:r w:rsidRPr="00AA3502">
        <w:rPr>
          <w:lang w:val="fr-FR"/>
        </w:rPr>
        <w:t xml:space="preserve">auteur et sa famille </w:t>
      </w:r>
      <w:r>
        <w:rPr>
          <w:lang w:val="fr-FR"/>
        </w:rPr>
        <w:t>n’étaient pas</w:t>
      </w:r>
      <w:r w:rsidRPr="00AA3502">
        <w:rPr>
          <w:lang w:val="fr-FR"/>
        </w:rPr>
        <w:t xml:space="preserve"> représentés par un conseil</w:t>
      </w:r>
      <w:r>
        <w:rPr>
          <w:lang w:val="fr-FR"/>
        </w:rPr>
        <w:t xml:space="preserve"> au moment de la soumission de la lettre initiale. Ils sont représentés par un conseil depuis le 16</w:t>
      </w:r>
      <w:r>
        <w:t> </w:t>
      </w:r>
      <w:r>
        <w:rPr>
          <w:lang w:val="fr-FR"/>
        </w:rPr>
        <w:t>août 2019.</w:t>
      </w:r>
    </w:p>
    <w:p w14:paraId="7529C194" w14:textId="041D3798" w:rsidR="00434CC2" w:rsidRPr="00AA3502" w:rsidRDefault="00434CC2" w:rsidP="00434CC2">
      <w:pPr>
        <w:pStyle w:val="SingleTxtG"/>
        <w:rPr>
          <w:lang w:val="fr-FR"/>
        </w:rPr>
      </w:pPr>
      <w:r w:rsidRPr="00AA3502">
        <w:rPr>
          <w:lang w:val="fr-FR"/>
        </w:rPr>
        <w:lastRenderedPageBreak/>
        <w:t>1.2</w:t>
      </w:r>
      <w:r w:rsidRPr="00AA3502">
        <w:rPr>
          <w:lang w:val="fr-FR"/>
        </w:rPr>
        <w:tab/>
        <w:t>Le 20</w:t>
      </w:r>
      <w:r>
        <w:rPr>
          <w:lang w:val="fr-FR"/>
        </w:rPr>
        <w:t> </w:t>
      </w:r>
      <w:r w:rsidRPr="00AA3502">
        <w:rPr>
          <w:lang w:val="fr-FR"/>
        </w:rPr>
        <w:t>mai 2019, le Groupe de travail des communications, agissant au nom du Comité et se fondant sur l</w:t>
      </w:r>
      <w:r>
        <w:rPr>
          <w:lang w:val="fr-FR"/>
        </w:rPr>
        <w:t>’</w:t>
      </w:r>
      <w:r w:rsidRPr="00AA3502">
        <w:rPr>
          <w:lang w:val="fr-FR"/>
        </w:rPr>
        <w:t>article 6 du Protocole facultatif, a demandé à l</w:t>
      </w:r>
      <w:r>
        <w:rPr>
          <w:lang w:val="fr-FR"/>
        </w:rPr>
        <w:t>’</w:t>
      </w:r>
      <w:r w:rsidRPr="00AA3502">
        <w:rPr>
          <w:lang w:val="fr-FR"/>
        </w:rPr>
        <w:t xml:space="preserve">État partie de </w:t>
      </w:r>
      <w:r>
        <w:rPr>
          <w:lang w:val="fr-FR"/>
        </w:rPr>
        <w:t>s’abstenir de renvoyer l’auteur et</w:t>
      </w:r>
      <w:r w:rsidRPr="00AA3502">
        <w:rPr>
          <w:lang w:val="fr-FR"/>
        </w:rPr>
        <w:t xml:space="preserve"> sa famille </w:t>
      </w:r>
      <w:r>
        <w:rPr>
          <w:lang w:val="fr-FR"/>
        </w:rPr>
        <w:t xml:space="preserve">à Sri Lanka </w:t>
      </w:r>
      <w:r w:rsidRPr="00AA3502">
        <w:rPr>
          <w:lang w:val="fr-FR"/>
        </w:rPr>
        <w:t>tant que la communication serait à l</w:t>
      </w:r>
      <w:r>
        <w:rPr>
          <w:lang w:val="fr-FR"/>
        </w:rPr>
        <w:t>’</w:t>
      </w:r>
      <w:r w:rsidRPr="00AA3502">
        <w:rPr>
          <w:lang w:val="fr-FR"/>
        </w:rPr>
        <w:t>examen</w:t>
      </w:r>
      <w:r>
        <w:rPr>
          <w:lang w:val="fr-FR"/>
        </w:rPr>
        <w:t>.</w:t>
      </w:r>
    </w:p>
    <w:p w14:paraId="5DF444BF" w14:textId="6BB33BEA" w:rsidR="00434CC2" w:rsidRPr="00AA3502" w:rsidRDefault="00434CC2" w:rsidP="00434CC2">
      <w:pPr>
        <w:pStyle w:val="SingleTxtG"/>
        <w:rPr>
          <w:lang w:val="fr-FR"/>
        </w:rPr>
      </w:pPr>
      <w:r w:rsidRPr="00AA3502">
        <w:rPr>
          <w:color w:val="000000"/>
        </w:rPr>
        <w:t>1.3</w:t>
      </w:r>
      <w:r w:rsidRPr="00AA3502">
        <w:rPr>
          <w:color w:val="000000"/>
        </w:rPr>
        <w:tab/>
        <w:t>Le 22</w:t>
      </w:r>
      <w:r>
        <w:rPr>
          <w:color w:val="000000"/>
        </w:rPr>
        <w:t> </w:t>
      </w:r>
      <w:r w:rsidRPr="00AA3502">
        <w:rPr>
          <w:color w:val="000000"/>
        </w:rPr>
        <w:t>octobre 2019, le Groupe de travail des communications, agissant au nom du Comité, a décidé de ne pas accéder à la demande de l</w:t>
      </w:r>
      <w:r>
        <w:rPr>
          <w:color w:val="000000"/>
        </w:rPr>
        <w:t>’</w:t>
      </w:r>
      <w:r w:rsidRPr="00AA3502">
        <w:rPr>
          <w:color w:val="000000"/>
        </w:rPr>
        <w:t>État partie</w:t>
      </w:r>
      <w:r>
        <w:rPr>
          <w:color w:val="000000"/>
        </w:rPr>
        <w:t xml:space="preserve"> tendant à ce</w:t>
      </w:r>
      <w:r w:rsidRPr="00AA3502">
        <w:rPr>
          <w:color w:val="000000"/>
        </w:rPr>
        <w:t xml:space="preserve"> que la question de la recevabilité soit examinée séparément du fond.</w:t>
      </w:r>
    </w:p>
    <w:p w14:paraId="7EFE487F" w14:textId="26032F1F" w:rsidR="00434CC2" w:rsidRPr="00AA3502" w:rsidRDefault="00434CC2" w:rsidP="00434CC2">
      <w:pPr>
        <w:pStyle w:val="H23G"/>
        <w:rPr>
          <w:lang w:val="fr-FR"/>
        </w:rPr>
      </w:pPr>
      <w:r w:rsidRPr="00AA3502">
        <w:rPr>
          <w:lang w:val="fr-FR"/>
        </w:rPr>
        <w:tab/>
      </w:r>
      <w:r w:rsidRPr="00AA3502">
        <w:rPr>
          <w:lang w:val="fr-FR"/>
        </w:rPr>
        <w:tab/>
        <w:t>Rappel des faits présentés par l</w:t>
      </w:r>
      <w:r>
        <w:rPr>
          <w:lang w:val="fr-FR"/>
        </w:rPr>
        <w:t>’</w:t>
      </w:r>
      <w:r w:rsidRPr="00AA3502">
        <w:rPr>
          <w:lang w:val="fr-FR"/>
        </w:rPr>
        <w:t>auteur</w:t>
      </w:r>
    </w:p>
    <w:p w14:paraId="7C302CAA" w14:textId="2C45B069" w:rsidR="00434CC2" w:rsidRPr="00AA3502" w:rsidRDefault="00434CC2" w:rsidP="00434CC2">
      <w:pPr>
        <w:pStyle w:val="SingleTxtG"/>
        <w:rPr>
          <w:lang w:val="fr-FR"/>
        </w:rPr>
      </w:pPr>
      <w:r w:rsidRPr="00AA3502">
        <w:rPr>
          <w:lang w:val="fr-FR"/>
        </w:rPr>
        <w:t>2.1</w:t>
      </w:r>
      <w:r w:rsidRPr="00AA3502">
        <w:rPr>
          <w:lang w:val="fr-FR"/>
        </w:rPr>
        <w:tab/>
        <w:t>Le 30</w:t>
      </w:r>
      <w:r>
        <w:rPr>
          <w:lang w:val="fr-FR"/>
        </w:rPr>
        <w:t> </w:t>
      </w:r>
      <w:r w:rsidRPr="00AA3502">
        <w:rPr>
          <w:lang w:val="fr-FR"/>
        </w:rPr>
        <w:t>juin 2014, l</w:t>
      </w:r>
      <w:r>
        <w:rPr>
          <w:lang w:val="fr-FR"/>
        </w:rPr>
        <w:t>’</w:t>
      </w:r>
      <w:r w:rsidRPr="00AA3502">
        <w:rPr>
          <w:lang w:val="fr-FR"/>
        </w:rPr>
        <w:t>auteur, V.</w:t>
      </w:r>
      <w:r w:rsidR="00EF6BBB">
        <w:rPr>
          <w:lang w:val="fr-FR"/>
        </w:rPr>
        <w:t> </w:t>
      </w:r>
      <w:r w:rsidRPr="00AA3502">
        <w:rPr>
          <w:lang w:val="fr-FR"/>
        </w:rPr>
        <w:t>R. et H.</w:t>
      </w:r>
      <w:r w:rsidR="00EF6BBB">
        <w:rPr>
          <w:lang w:val="fr-FR"/>
        </w:rPr>
        <w:t> </w:t>
      </w:r>
      <w:r w:rsidRPr="00AA3502">
        <w:rPr>
          <w:lang w:val="fr-FR"/>
        </w:rPr>
        <w:t>R. ont déposé une demande d</w:t>
      </w:r>
      <w:r>
        <w:rPr>
          <w:lang w:val="fr-FR"/>
        </w:rPr>
        <w:t>’</w:t>
      </w:r>
      <w:r w:rsidRPr="00AA3502">
        <w:rPr>
          <w:lang w:val="fr-FR"/>
        </w:rPr>
        <w:t>asile auprès du Secrétariat d</w:t>
      </w:r>
      <w:r>
        <w:rPr>
          <w:lang w:val="fr-FR"/>
        </w:rPr>
        <w:t>’</w:t>
      </w:r>
      <w:r w:rsidRPr="00AA3502">
        <w:rPr>
          <w:lang w:val="fr-FR"/>
        </w:rPr>
        <w:t>État suisse</w:t>
      </w:r>
      <w:r>
        <w:rPr>
          <w:lang w:val="fr-FR"/>
        </w:rPr>
        <w:t xml:space="preserve"> </w:t>
      </w:r>
      <w:r w:rsidRPr="00AA3502">
        <w:rPr>
          <w:lang w:val="fr-FR"/>
        </w:rPr>
        <w:t xml:space="preserve">aux migrations </w:t>
      </w:r>
      <w:r>
        <w:rPr>
          <w:lang w:val="fr-FR"/>
        </w:rPr>
        <w:t>qui,</w:t>
      </w:r>
      <w:r w:rsidRPr="00AA3502">
        <w:rPr>
          <w:lang w:val="fr-FR"/>
        </w:rPr>
        <w:t xml:space="preserve"> </w:t>
      </w:r>
      <w:r>
        <w:rPr>
          <w:lang w:val="fr-FR"/>
        </w:rPr>
        <w:t>l</w:t>
      </w:r>
      <w:r w:rsidRPr="00AA3502">
        <w:rPr>
          <w:lang w:val="fr-FR"/>
        </w:rPr>
        <w:t>e 5</w:t>
      </w:r>
      <w:r>
        <w:rPr>
          <w:lang w:val="fr-FR"/>
        </w:rPr>
        <w:t> </w:t>
      </w:r>
      <w:r w:rsidRPr="00AA3502">
        <w:rPr>
          <w:lang w:val="fr-FR"/>
        </w:rPr>
        <w:t xml:space="preserve">août 2015, a rejeté leur demande et a </w:t>
      </w:r>
      <w:r>
        <w:rPr>
          <w:lang w:val="fr-FR"/>
        </w:rPr>
        <w:t>ordonné</w:t>
      </w:r>
      <w:r w:rsidRPr="00AA3502">
        <w:rPr>
          <w:lang w:val="fr-FR"/>
        </w:rPr>
        <w:t xml:space="preserve"> leur renvoi vers Sri Lanka. Un recours introduit auprès du Tribunal administratif fédéral a été rejeté le 13</w:t>
      </w:r>
      <w:r>
        <w:rPr>
          <w:lang w:val="fr-FR"/>
        </w:rPr>
        <w:t> </w:t>
      </w:r>
      <w:r w:rsidRPr="00AA3502">
        <w:rPr>
          <w:lang w:val="fr-FR"/>
        </w:rPr>
        <w:t>septembre 2016. Le 3</w:t>
      </w:r>
      <w:r>
        <w:rPr>
          <w:lang w:val="fr-FR"/>
        </w:rPr>
        <w:t> </w:t>
      </w:r>
      <w:r w:rsidRPr="00AA3502">
        <w:rPr>
          <w:lang w:val="fr-FR"/>
        </w:rPr>
        <w:t>mars 2017, la Cour européenne des droits de l</w:t>
      </w:r>
      <w:r>
        <w:rPr>
          <w:lang w:val="fr-FR"/>
        </w:rPr>
        <w:t>’</w:t>
      </w:r>
      <w:r w:rsidRPr="00AA3502">
        <w:rPr>
          <w:lang w:val="fr-FR"/>
        </w:rPr>
        <w:t>homme a déclaré la requête de l</w:t>
      </w:r>
      <w:r>
        <w:rPr>
          <w:lang w:val="fr-FR"/>
        </w:rPr>
        <w:t>’</w:t>
      </w:r>
      <w:r w:rsidRPr="00AA3502">
        <w:rPr>
          <w:lang w:val="fr-FR"/>
        </w:rPr>
        <w:t>auteur irrecevable.</w:t>
      </w:r>
    </w:p>
    <w:p w14:paraId="5F2E71C3" w14:textId="2D593D21" w:rsidR="00434CC2" w:rsidRPr="00AA3502" w:rsidRDefault="00434CC2" w:rsidP="00434CC2">
      <w:pPr>
        <w:pStyle w:val="SingleTxtG"/>
        <w:rPr>
          <w:lang w:val="fr-FR"/>
        </w:rPr>
      </w:pPr>
      <w:r w:rsidRPr="00AA3502">
        <w:rPr>
          <w:lang w:val="fr-FR"/>
        </w:rPr>
        <w:t>2.2</w:t>
      </w:r>
      <w:r w:rsidRPr="00AA3502">
        <w:rPr>
          <w:lang w:val="fr-FR"/>
        </w:rPr>
        <w:tab/>
        <w:t>Le 29</w:t>
      </w:r>
      <w:r>
        <w:rPr>
          <w:lang w:val="fr-FR"/>
        </w:rPr>
        <w:t> </w:t>
      </w:r>
      <w:r w:rsidRPr="00AA3502">
        <w:rPr>
          <w:lang w:val="fr-FR"/>
        </w:rPr>
        <w:t>mars 2019, l</w:t>
      </w:r>
      <w:r>
        <w:rPr>
          <w:lang w:val="fr-FR"/>
        </w:rPr>
        <w:t>’</w:t>
      </w:r>
      <w:r w:rsidRPr="00AA3502">
        <w:rPr>
          <w:lang w:val="fr-FR"/>
        </w:rPr>
        <w:t xml:space="preserve">auteur et sa famille ont soumis au </w:t>
      </w:r>
      <w:r>
        <w:rPr>
          <w:lang w:val="fr-FR"/>
        </w:rPr>
        <w:t>Secrétariat d’État aux migrations</w:t>
      </w:r>
      <w:r w:rsidRPr="00AA3502">
        <w:rPr>
          <w:lang w:val="fr-FR"/>
        </w:rPr>
        <w:t xml:space="preserve"> une demande de réexamen de leur demande d</w:t>
      </w:r>
      <w:r>
        <w:rPr>
          <w:lang w:val="fr-FR"/>
        </w:rPr>
        <w:t>’</w:t>
      </w:r>
      <w:r w:rsidRPr="00AA3502">
        <w:rPr>
          <w:lang w:val="fr-FR"/>
        </w:rPr>
        <w:t>asile, faisant valoir que G.</w:t>
      </w:r>
      <w:r w:rsidR="00EF6BBB">
        <w:rPr>
          <w:lang w:val="fr-FR"/>
        </w:rPr>
        <w:t> </w:t>
      </w:r>
      <w:r w:rsidRPr="00AA3502">
        <w:rPr>
          <w:lang w:val="fr-FR"/>
        </w:rPr>
        <w:t xml:space="preserve">R., qui était né deux mois auparavant, subirait un préjudice irréparable à son retour </w:t>
      </w:r>
      <w:r w:rsidR="00105350">
        <w:rPr>
          <w:lang w:val="fr-FR"/>
        </w:rPr>
        <w:t xml:space="preserve">à </w:t>
      </w:r>
      <w:r w:rsidRPr="00AA3502">
        <w:rPr>
          <w:lang w:val="fr-FR"/>
        </w:rPr>
        <w:t>Sri Lanka, en violation des articles</w:t>
      </w:r>
      <w:r w:rsidR="00EF6BBB">
        <w:rPr>
          <w:lang w:val="fr-FR"/>
        </w:rPr>
        <w:t> </w:t>
      </w:r>
      <w:r w:rsidRPr="00AA3502">
        <w:rPr>
          <w:lang w:val="fr-FR"/>
        </w:rPr>
        <w:t>3 et 4 de la Convention. Ils ont soumis un certificat médical daté du 12</w:t>
      </w:r>
      <w:r>
        <w:rPr>
          <w:lang w:val="fr-FR"/>
        </w:rPr>
        <w:t> </w:t>
      </w:r>
      <w:r w:rsidRPr="00AA3502">
        <w:rPr>
          <w:lang w:val="fr-FR"/>
        </w:rPr>
        <w:t>mars 2019</w:t>
      </w:r>
      <w:r>
        <w:rPr>
          <w:lang w:val="fr-FR"/>
        </w:rPr>
        <w:t xml:space="preserve">, établi par </w:t>
      </w:r>
      <w:r w:rsidRPr="00AA3502">
        <w:rPr>
          <w:lang w:val="fr-FR"/>
        </w:rPr>
        <w:t>une pédiatre</w:t>
      </w:r>
      <w:r>
        <w:rPr>
          <w:lang w:val="fr-FR"/>
        </w:rPr>
        <w:t xml:space="preserve">, attestant qu’à la naissance l’enfant présentait </w:t>
      </w:r>
      <w:r w:rsidRPr="00AA3502">
        <w:rPr>
          <w:lang w:val="fr-FR"/>
        </w:rPr>
        <w:t>une incapacité à maintenir une température corporelle suffisante et qu</w:t>
      </w:r>
      <w:r>
        <w:rPr>
          <w:lang w:val="fr-FR"/>
        </w:rPr>
        <w:t>’</w:t>
      </w:r>
      <w:r w:rsidRPr="00AA3502">
        <w:rPr>
          <w:lang w:val="fr-FR"/>
        </w:rPr>
        <w:t>une semaine plus tard, il a</w:t>
      </w:r>
      <w:r>
        <w:rPr>
          <w:lang w:val="fr-FR"/>
        </w:rPr>
        <w:t>vait</w:t>
      </w:r>
      <w:r w:rsidRPr="00AA3502">
        <w:rPr>
          <w:lang w:val="fr-FR"/>
        </w:rPr>
        <w:t xml:space="preserve"> reçu un diagnostic d</w:t>
      </w:r>
      <w:r>
        <w:rPr>
          <w:lang w:val="fr-FR"/>
        </w:rPr>
        <w:t>’</w:t>
      </w:r>
      <w:r w:rsidRPr="00AA3502">
        <w:rPr>
          <w:lang w:val="fr-FR"/>
        </w:rPr>
        <w:t>hypothyroïdie congénitale, conduisant à la mise en place</w:t>
      </w:r>
      <w:r>
        <w:rPr>
          <w:lang w:val="fr-FR"/>
        </w:rPr>
        <w:t>, le jour même,</w:t>
      </w:r>
      <w:r w:rsidRPr="00AA3502">
        <w:rPr>
          <w:lang w:val="fr-FR"/>
        </w:rPr>
        <w:t xml:space="preserve"> d</w:t>
      </w:r>
      <w:r>
        <w:rPr>
          <w:lang w:val="fr-FR"/>
        </w:rPr>
        <w:t>’</w:t>
      </w:r>
      <w:r w:rsidRPr="00AA3502">
        <w:rPr>
          <w:lang w:val="fr-FR"/>
        </w:rPr>
        <w:t>un traitement de substitution</w:t>
      </w:r>
      <w:r>
        <w:rPr>
          <w:lang w:val="fr-FR"/>
        </w:rPr>
        <w:t xml:space="preserve"> hormonale</w:t>
      </w:r>
      <w:r w:rsidRPr="00AA3502">
        <w:rPr>
          <w:lang w:val="fr-FR"/>
        </w:rPr>
        <w:t xml:space="preserve">. Différents examens </w:t>
      </w:r>
      <w:r>
        <w:rPr>
          <w:lang w:val="fr-FR"/>
        </w:rPr>
        <w:t>ont mis en évidence une inactivité totale de la</w:t>
      </w:r>
      <w:r w:rsidRPr="00AA3502">
        <w:rPr>
          <w:lang w:val="fr-FR"/>
        </w:rPr>
        <w:t xml:space="preserve"> gland</w:t>
      </w:r>
      <w:r>
        <w:rPr>
          <w:lang w:val="fr-FR"/>
        </w:rPr>
        <w:t>e</w:t>
      </w:r>
      <w:r w:rsidRPr="00AA3502">
        <w:rPr>
          <w:lang w:val="fr-FR"/>
        </w:rPr>
        <w:t xml:space="preserve"> thyroïde et un retard de </w:t>
      </w:r>
      <w:r>
        <w:rPr>
          <w:lang w:val="fr-FR"/>
        </w:rPr>
        <w:t xml:space="preserve">la </w:t>
      </w:r>
      <w:r w:rsidRPr="00AA3502">
        <w:rPr>
          <w:lang w:val="fr-FR"/>
        </w:rPr>
        <w:t xml:space="preserve">maturation osseuse. </w:t>
      </w:r>
      <w:r>
        <w:rPr>
          <w:lang w:val="fr-FR"/>
        </w:rPr>
        <w:t>Le</w:t>
      </w:r>
      <w:r w:rsidRPr="00AA3502">
        <w:rPr>
          <w:lang w:val="fr-FR"/>
        </w:rPr>
        <w:t xml:space="preserve"> traitement hormonal </w:t>
      </w:r>
      <w:r>
        <w:rPr>
          <w:lang w:val="fr-FR"/>
        </w:rPr>
        <w:t>consiste en une combinaison de</w:t>
      </w:r>
      <w:r w:rsidRPr="00AA3502">
        <w:rPr>
          <w:lang w:val="fr-FR"/>
        </w:rPr>
        <w:t xml:space="preserve"> plusieurs substances </w:t>
      </w:r>
      <w:r>
        <w:rPr>
          <w:lang w:val="fr-FR"/>
        </w:rPr>
        <w:t>que l’enfant devra</w:t>
      </w:r>
      <w:r w:rsidRPr="00AA3502">
        <w:rPr>
          <w:lang w:val="fr-FR"/>
        </w:rPr>
        <w:t xml:space="preserve"> prendre quotidiennement et à vie. </w:t>
      </w:r>
      <w:r>
        <w:rPr>
          <w:lang w:val="fr-FR"/>
        </w:rPr>
        <w:t>D’après</w:t>
      </w:r>
      <w:r w:rsidRPr="00AA3502">
        <w:rPr>
          <w:lang w:val="fr-FR"/>
        </w:rPr>
        <w:t xml:space="preserve"> la pédiatre, il </w:t>
      </w:r>
      <w:r>
        <w:rPr>
          <w:lang w:val="fr-FR"/>
        </w:rPr>
        <w:t>devra faire des analyses</w:t>
      </w:r>
      <w:r w:rsidRPr="00AA3502">
        <w:rPr>
          <w:lang w:val="fr-FR"/>
        </w:rPr>
        <w:t xml:space="preserve"> de sang</w:t>
      </w:r>
      <w:r>
        <w:rPr>
          <w:lang w:val="fr-FR"/>
        </w:rPr>
        <w:t>. Son</w:t>
      </w:r>
      <w:r w:rsidRPr="00AA3502">
        <w:rPr>
          <w:lang w:val="fr-FR"/>
        </w:rPr>
        <w:t xml:space="preserve"> traitement </w:t>
      </w:r>
      <w:r>
        <w:rPr>
          <w:lang w:val="fr-FR"/>
        </w:rPr>
        <w:t>à l’</w:t>
      </w:r>
      <w:r w:rsidRPr="00AA3502">
        <w:rPr>
          <w:lang w:val="fr-FR"/>
        </w:rPr>
        <w:t xml:space="preserve">Euthyrox </w:t>
      </w:r>
      <w:r>
        <w:rPr>
          <w:lang w:val="fr-FR"/>
        </w:rPr>
        <w:t xml:space="preserve">devra être ajusté </w:t>
      </w:r>
      <w:r w:rsidRPr="00AA3502">
        <w:rPr>
          <w:lang w:val="fr-FR"/>
        </w:rPr>
        <w:t xml:space="preserve">tous les trois mois et ce suivi, crucial pour son développement et sa croissance, doit être effectué par un spécialiste en endocrinologie pédiatrique. Si le suivi ne peut pas être </w:t>
      </w:r>
      <w:r>
        <w:rPr>
          <w:lang w:val="fr-FR"/>
        </w:rPr>
        <w:t>correctement assuré</w:t>
      </w:r>
      <w:r w:rsidRPr="00AA3502">
        <w:rPr>
          <w:lang w:val="fr-FR"/>
        </w:rPr>
        <w:t>, soit par manque de ressources médicales soit par manque de ressources financières, G.</w:t>
      </w:r>
      <w:r w:rsidR="00EF6BBB">
        <w:rPr>
          <w:lang w:val="fr-FR"/>
        </w:rPr>
        <w:t> </w:t>
      </w:r>
      <w:r w:rsidRPr="00AA3502">
        <w:rPr>
          <w:lang w:val="fr-FR"/>
        </w:rPr>
        <w:t xml:space="preserve">R. </w:t>
      </w:r>
      <w:r>
        <w:rPr>
          <w:lang w:val="fr-FR"/>
        </w:rPr>
        <w:t>souffrira</w:t>
      </w:r>
      <w:r w:rsidRPr="00AA3502">
        <w:rPr>
          <w:lang w:val="fr-FR"/>
        </w:rPr>
        <w:t xml:space="preserve"> des dommages irréversibles, potentiellement au point de ne pas pouvoir </w:t>
      </w:r>
      <w:r>
        <w:rPr>
          <w:lang w:val="fr-FR"/>
        </w:rPr>
        <w:t>devenir</w:t>
      </w:r>
      <w:r w:rsidRPr="00AA3502">
        <w:rPr>
          <w:lang w:val="fr-FR"/>
        </w:rPr>
        <w:t xml:space="preserve"> autonome</w:t>
      </w:r>
      <w:r>
        <w:rPr>
          <w:lang w:val="fr-FR"/>
        </w:rPr>
        <w:t>.</w:t>
      </w:r>
      <w:r w:rsidRPr="00AA3502">
        <w:rPr>
          <w:lang w:val="fr-FR"/>
        </w:rPr>
        <w:t xml:space="preserve"> Le certificat mentionne également </w:t>
      </w:r>
      <w:r>
        <w:rPr>
          <w:lang w:val="fr-FR"/>
        </w:rPr>
        <w:t>qu’envoyer l’enfant</w:t>
      </w:r>
      <w:r w:rsidRPr="00AA3502">
        <w:rPr>
          <w:lang w:val="fr-FR"/>
        </w:rPr>
        <w:t xml:space="preserve"> </w:t>
      </w:r>
      <w:r>
        <w:rPr>
          <w:lang w:val="fr-FR"/>
        </w:rPr>
        <w:t>dans</w:t>
      </w:r>
      <w:r w:rsidRPr="00AA3502">
        <w:rPr>
          <w:lang w:val="fr-FR"/>
        </w:rPr>
        <w:t xml:space="preserve"> un pays </w:t>
      </w:r>
      <w:r>
        <w:rPr>
          <w:lang w:val="fr-FR"/>
        </w:rPr>
        <w:t>comme</w:t>
      </w:r>
      <w:r w:rsidRPr="00AA3502">
        <w:rPr>
          <w:lang w:val="fr-FR"/>
        </w:rPr>
        <w:t xml:space="preserve"> Sri Lanka sans ressources et </w:t>
      </w:r>
      <w:r>
        <w:rPr>
          <w:lang w:val="fr-FR"/>
        </w:rPr>
        <w:t>sans que le suivi médical ait été organisé à l’avance de manière claire et fiable</w:t>
      </w:r>
      <w:r w:rsidRPr="00AA3502">
        <w:rPr>
          <w:lang w:val="fr-FR"/>
        </w:rPr>
        <w:t xml:space="preserve"> rend quasiment impossible un suivi correct de </w:t>
      </w:r>
      <w:r>
        <w:rPr>
          <w:lang w:val="fr-FR"/>
        </w:rPr>
        <w:t>la</w:t>
      </w:r>
      <w:r w:rsidRPr="00AA3502">
        <w:rPr>
          <w:lang w:val="fr-FR"/>
        </w:rPr>
        <w:t xml:space="preserve"> maladie</w:t>
      </w:r>
      <w:r>
        <w:rPr>
          <w:lang w:val="fr-FR"/>
        </w:rPr>
        <w:t>, « </w:t>
      </w:r>
      <w:r w:rsidRPr="00AA3502">
        <w:rPr>
          <w:lang w:val="fr-FR"/>
        </w:rPr>
        <w:t>extrêmement sévère » si elle n</w:t>
      </w:r>
      <w:r>
        <w:rPr>
          <w:lang w:val="fr-FR"/>
        </w:rPr>
        <w:t>’</w:t>
      </w:r>
      <w:r w:rsidRPr="00AA3502">
        <w:rPr>
          <w:lang w:val="fr-FR"/>
        </w:rPr>
        <w:t xml:space="preserve">est pas traitée correctement. La pédiatre indique que ses collègues pédiatres endocrinologues confirment </w:t>
      </w:r>
      <w:r>
        <w:rPr>
          <w:lang w:val="fr-FR"/>
        </w:rPr>
        <w:t>qu’il serait dangereux, pour l’avenir</w:t>
      </w:r>
      <w:r w:rsidRPr="00AA3502">
        <w:rPr>
          <w:lang w:val="fr-FR"/>
        </w:rPr>
        <w:t xml:space="preserve"> de G.</w:t>
      </w:r>
      <w:r w:rsidR="00EF6BBB">
        <w:rPr>
          <w:lang w:val="fr-FR"/>
        </w:rPr>
        <w:t> </w:t>
      </w:r>
      <w:r w:rsidRPr="00AA3502">
        <w:rPr>
          <w:lang w:val="fr-FR"/>
        </w:rPr>
        <w:t>R.</w:t>
      </w:r>
      <w:r>
        <w:rPr>
          <w:lang w:val="fr-FR"/>
        </w:rPr>
        <w:t>, d’envoyer l’enfant dans un</w:t>
      </w:r>
      <w:r w:rsidRPr="00AA3502">
        <w:rPr>
          <w:lang w:val="fr-FR"/>
        </w:rPr>
        <w:t xml:space="preserve"> pays </w:t>
      </w:r>
      <w:r>
        <w:rPr>
          <w:lang w:val="fr-FR"/>
        </w:rPr>
        <w:t xml:space="preserve">qui présente </w:t>
      </w:r>
      <w:r w:rsidRPr="00AA3502">
        <w:rPr>
          <w:lang w:val="fr-FR"/>
        </w:rPr>
        <w:t>« autant d</w:t>
      </w:r>
      <w:r>
        <w:rPr>
          <w:lang w:val="fr-FR"/>
        </w:rPr>
        <w:t>’</w:t>
      </w:r>
      <w:r w:rsidRPr="00AA3502">
        <w:rPr>
          <w:lang w:val="fr-FR"/>
        </w:rPr>
        <w:t>incertitudes quant au suivi possible ».</w:t>
      </w:r>
    </w:p>
    <w:p w14:paraId="13CF375C" w14:textId="12E27195" w:rsidR="00434CC2" w:rsidRDefault="00434CC2" w:rsidP="00434CC2">
      <w:pPr>
        <w:pStyle w:val="SingleTxtG"/>
      </w:pPr>
      <w:r w:rsidRPr="00AA3502">
        <w:rPr>
          <w:lang w:val="fr-FR"/>
        </w:rPr>
        <w:t>2.3</w:t>
      </w:r>
      <w:r w:rsidRPr="00AA3502">
        <w:rPr>
          <w:lang w:val="fr-FR"/>
        </w:rPr>
        <w:tab/>
      </w:r>
      <w:r>
        <w:rPr>
          <w:lang w:val="fr-FR"/>
        </w:rPr>
        <w:t>La</w:t>
      </w:r>
      <w:r w:rsidRPr="00AA3502">
        <w:rPr>
          <w:lang w:val="fr-FR"/>
        </w:rPr>
        <w:t xml:space="preserve"> demande de réexamen </w:t>
      </w:r>
      <w:r>
        <w:rPr>
          <w:lang w:val="fr-FR"/>
        </w:rPr>
        <w:t>indiquait</w:t>
      </w:r>
      <w:r w:rsidRPr="00AA3502">
        <w:rPr>
          <w:lang w:val="fr-FR"/>
        </w:rPr>
        <w:t xml:space="preserve"> </w:t>
      </w:r>
      <w:r>
        <w:rPr>
          <w:lang w:val="fr-FR"/>
        </w:rPr>
        <w:t xml:space="preserve">aussi </w:t>
      </w:r>
      <w:r w:rsidRPr="00AA3502">
        <w:rPr>
          <w:lang w:val="fr-FR"/>
        </w:rPr>
        <w:t>que V.</w:t>
      </w:r>
      <w:r w:rsidR="00EF6BBB">
        <w:rPr>
          <w:lang w:val="fr-FR"/>
        </w:rPr>
        <w:t> </w:t>
      </w:r>
      <w:r w:rsidRPr="00AA3502">
        <w:rPr>
          <w:lang w:val="fr-FR"/>
        </w:rPr>
        <w:t xml:space="preserve">R. </w:t>
      </w:r>
      <w:r>
        <w:rPr>
          <w:lang w:val="fr-FR"/>
        </w:rPr>
        <w:t xml:space="preserve">devait être traitée pour un </w:t>
      </w:r>
      <w:r w:rsidRPr="00AA3502">
        <w:rPr>
          <w:lang w:val="fr-FR"/>
        </w:rPr>
        <w:t xml:space="preserve">trouble dépressif récurrent accompagné de symptômes psychotiques (hallucinations auditives). </w:t>
      </w:r>
      <w:r>
        <w:rPr>
          <w:lang w:val="fr-FR"/>
        </w:rPr>
        <w:t>Elle faisait aussi référence à</w:t>
      </w:r>
      <w:r w:rsidRPr="00AA3502">
        <w:rPr>
          <w:lang w:val="fr-FR"/>
        </w:rPr>
        <w:t xml:space="preserve"> des informations selon lesquelles l</w:t>
      </w:r>
      <w:r>
        <w:rPr>
          <w:lang w:val="fr-FR"/>
        </w:rPr>
        <w:t>’</w:t>
      </w:r>
      <w:r w:rsidRPr="00AA3502">
        <w:rPr>
          <w:lang w:val="fr-FR"/>
        </w:rPr>
        <w:t xml:space="preserve">accès aux soins de santé </w:t>
      </w:r>
      <w:r>
        <w:rPr>
          <w:lang w:val="fr-FR"/>
        </w:rPr>
        <w:t>n’était</w:t>
      </w:r>
      <w:r w:rsidRPr="00AA3502">
        <w:rPr>
          <w:lang w:val="fr-FR"/>
        </w:rPr>
        <w:t xml:space="preserve"> aucunement garanti </w:t>
      </w:r>
      <w:r w:rsidR="00105350">
        <w:rPr>
          <w:lang w:val="fr-FR"/>
        </w:rPr>
        <w:t>à</w:t>
      </w:r>
      <w:r w:rsidRPr="00AA3502">
        <w:rPr>
          <w:lang w:val="fr-FR"/>
        </w:rPr>
        <w:t xml:space="preserve"> Sri</w:t>
      </w:r>
      <w:r w:rsidR="00EF6BBB">
        <w:rPr>
          <w:lang w:val="fr-FR"/>
        </w:rPr>
        <w:t> </w:t>
      </w:r>
      <w:r w:rsidRPr="00AA3502">
        <w:rPr>
          <w:lang w:val="fr-FR"/>
        </w:rPr>
        <w:t>Lanka</w:t>
      </w:r>
      <w:r>
        <w:rPr>
          <w:lang w:val="fr-FR"/>
        </w:rPr>
        <w:t>, les</w:t>
      </w:r>
      <w:r w:rsidRPr="00AA3502">
        <w:rPr>
          <w:lang w:val="fr-FR"/>
        </w:rPr>
        <w:t xml:space="preserve"> traitements dans les institutions privées </w:t>
      </w:r>
      <w:r>
        <w:rPr>
          <w:lang w:val="fr-FR"/>
        </w:rPr>
        <w:t>étaient</w:t>
      </w:r>
      <w:r w:rsidRPr="00AA3502">
        <w:rPr>
          <w:lang w:val="fr-FR"/>
        </w:rPr>
        <w:t xml:space="preserve"> très chers et </w:t>
      </w:r>
      <w:r>
        <w:rPr>
          <w:lang w:val="fr-FR"/>
        </w:rPr>
        <w:t xml:space="preserve">le coût </w:t>
      </w:r>
      <w:r w:rsidRPr="00AA3502">
        <w:rPr>
          <w:lang w:val="fr-FR"/>
        </w:rPr>
        <w:t xml:space="preserve">presque intégralement à la charge des patients. </w:t>
      </w:r>
      <w:r>
        <w:rPr>
          <w:lang w:val="fr-FR"/>
        </w:rPr>
        <w:t>De plus</w:t>
      </w:r>
      <w:r w:rsidRPr="00AA3502">
        <w:rPr>
          <w:lang w:val="fr-FR"/>
        </w:rPr>
        <w:t xml:space="preserve">, si les </w:t>
      </w:r>
      <w:r>
        <w:rPr>
          <w:lang w:val="fr-FR"/>
        </w:rPr>
        <w:t xml:space="preserve">services </w:t>
      </w:r>
      <w:r w:rsidRPr="00AA3502">
        <w:rPr>
          <w:lang w:val="fr-FR"/>
        </w:rPr>
        <w:t>sont généralement gratuits</w:t>
      </w:r>
      <w:r>
        <w:rPr>
          <w:lang w:val="fr-FR"/>
        </w:rPr>
        <w:t xml:space="preserve"> dans les établissements publics</w:t>
      </w:r>
      <w:r w:rsidRPr="00AA3502">
        <w:rPr>
          <w:lang w:val="fr-FR"/>
        </w:rPr>
        <w:t xml:space="preserve">, toute une série de frais </w:t>
      </w:r>
      <w:r>
        <w:rPr>
          <w:lang w:val="fr-FR"/>
        </w:rPr>
        <w:t>peuvent être à la charge du patient. Il arrive</w:t>
      </w:r>
      <w:r w:rsidRPr="00AA3502">
        <w:rPr>
          <w:lang w:val="fr-FR"/>
        </w:rPr>
        <w:t xml:space="preserve"> souvent</w:t>
      </w:r>
      <w:r>
        <w:rPr>
          <w:lang w:val="fr-FR"/>
        </w:rPr>
        <w:t xml:space="preserve"> que</w:t>
      </w:r>
      <w:r w:rsidRPr="00AA3502">
        <w:rPr>
          <w:lang w:val="fr-FR"/>
        </w:rPr>
        <w:t xml:space="preserve"> les médicaments et le matériel nécessaires ne so</w:t>
      </w:r>
      <w:r>
        <w:rPr>
          <w:lang w:val="fr-FR"/>
        </w:rPr>
        <w:t>ie</w:t>
      </w:r>
      <w:r w:rsidRPr="00AA3502">
        <w:rPr>
          <w:lang w:val="fr-FR"/>
        </w:rPr>
        <w:t xml:space="preserve">nt pas disponibles dans les </w:t>
      </w:r>
      <w:r>
        <w:rPr>
          <w:lang w:val="fr-FR"/>
        </w:rPr>
        <w:t>établissements publics</w:t>
      </w:r>
      <w:r w:rsidRPr="00AA3502">
        <w:rPr>
          <w:lang w:val="fr-FR"/>
        </w:rPr>
        <w:t xml:space="preserve"> et </w:t>
      </w:r>
      <w:r>
        <w:rPr>
          <w:lang w:val="fr-FR"/>
        </w:rPr>
        <w:t xml:space="preserve">que </w:t>
      </w:r>
      <w:r w:rsidRPr="00AA3502">
        <w:rPr>
          <w:lang w:val="fr-FR"/>
        </w:rPr>
        <w:t xml:space="preserve">les patients doivent les acheter dans des pharmacies privées, à un coût très élevé. En outre, le secteur </w:t>
      </w:r>
      <w:r>
        <w:rPr>
          <w:lang w:val="fr-FR"/>
        </w:rPr>
        <w:t xml:space="preserve">public </w:t>
      </w:r>
      <w:r w:rsidRPr="00AA3502">
        <w:rPr>
          <w:lang w:val="fr-FR"/>
        </w:rPr>
        <w:t>de la santé n</w:t>
      </w:r>
      <w:r>
        <w:rPr>
          <w:lang w:val="fr-FR"/>
        </w:rPr>
        <w:t>’</w:t>
      </w:r>
      <w:r w:rsidRPr="00AA3502">
        <w:rPr>
          <w:lang w:val="fr-FR"/>
        </w:rPr>
        <w:t xml:space="preserve">est souvent pas en mesure de fournir un traitement adéquat pour les maladies chroniques non transmissibles. </w:t>
      </w:r>
      <w:r w:rsidRPr="00AA3502">
        <w:t>Seuls les médicaments et traitements bon marché sont généralement disponibles dans les établissements publics. Les listes d</w:t>
      </w:r>
      <w:r>
        <w:t>’</w:t>
      </w:r>
      <w:r w:rsidRPr="00AA3502">
        <w:t>attente pour certains diagnosti</w:t>
      </w:r>
      <w:r>
        <w:t>c</w:t>
      </w:r>
      <w:r w:rsidRPr="00AA3502">
        <w:t xml:space="preserve">s sont souvent très longues. </w:t>
      </w:r>
      <w:r>
        <w:t>Enfin</w:t>
      </w:r>
      <w:r w:rsidRPr="00AA3502">
        <w:t>, l</w:t>
      </w:r>
      <w:r>
        <w:t>’</w:t>
      </w:r>
      <w:r w:rsidRPr="00AA3502">
        <w:t>approvisionnement en médicaments gratuits n</w:t>
      </w:r>
      <w:r>
        <w:t>’</w:t>
      </w:r>
      <w:r w:rsidRPr="00AA3502">
        <w:t>est pas assuré, car les stocks sont souvent épuisés</w:t>
      </w:r>
      <w:r>
        <w:t>.</w:t>
      </w:r>
    </w:p>
    <w:p w14:paraId="0F8B7F05" w14:textId="40FDC77E" w:rsidR="00434CC2" w:rsidRPr="00A47D25" w:rsidRDefault="00434CC2" w:rsidP="00434CC2">
      <w:pPr>
        <w:pStyle w:val="SingleTxtG"/>
        <w:rPr>
          <w:lang w:val="fr-FR"/>
        </w:rPr>
      </w:pPr>
      <w:r w:rsidRPr="00A47D25">
        <w:rPr>
          <w:lang w:val="fr-FR"/>
        </w:rPr>
        <w:t>2.4</w:t>
      </w:r>
      <w:r w:rsidRPr="00A47D25">
        <w:rPr>
          <w:lang w:val="fr-FR"/>
        </w:rPr>
        <w:tab/>
        <w:t>Le 24</w:t>
      </w:r>
      <w:r>
        <w:rPr>
          <w:lang w:val="fr-FR"/>
        </w:rPr>
        <w:t> </w:t>
      </w:r>
      <w:r w:rsidRPr="00A47D25">
        <w:rPr>
          <w:lang w:val="fr-FR"/>
        </w:rPr>
        <w:t xml:space="preserve">avril 2019, le </w:t>
      </w:r>
      <w:bookmarkStart w:id="0" w:name="_Hlk77060172"/>
      <w:r>
        <w:rPr>
          <w:lang w:val="fr-FR"/>
        </w:rPr>
        <w:t xml:space="preserve">Secrétariat d’État aux migrations </w:t>
      </w:r>
      <w:bookmarkEnd w:id="0"/>
      <w:r w:rsidRPr="00A47D25">
        <w:rPr>
          <w:lang w:val="fr-FR"/>
        </w:rPr>
        <w:t xml:space="preserve">a décidé de ne pas </w:t>
      </w:r>
      <w:r>
        <w:rPr>
          <w:lang w:val="fr-FR"/>
        </w:rPr>
        <w:t>donner suite à</w:t>
      </w:r>
      <w:r w:rsidRPr="00A47D25">
        <w:rPr>
          <w:lang w:val="fr-FR"/>
        </w:rPr>
        <w:t xml:space="preserve"> la demande de réexamen au motif que l</w:t>
      </w:r>
      <w:r>
        <w:rPr>
          <w:lang w:val="fr-FR"/>
        </w:rPr>
        <w:t>’</w:t>
      </w:r>
      <w:r w:rsidRPr="00A47D25">
        <w:rPr>
          <w:lang w:val="fr-FR"/>
        </w:rPr>
        <w:t>auteur et sa famille n</w:t>
      </w:r>
      <w:r>
        <w:rPr>
          <w:lang w:val="fr-FR"/>
        </w:rPr>
        <w:t>’</w:t>
      </w:r>
      <w:r w:rsidRPr="00A47D25">
        <w:rPr>
          <w:lang w:val="fr-FR"/>
        </w:rPr>
        <w:t>avaient pas respecté la règle selon laquelle une demande de réexamen doit être déposé</w:t>
      </w:r>
      <w:r>
        <w:rPr>
          <w:lang w:val="fr-FR"/>
        </w:rPr>
        <w:t>e</w:t>
      </w:r>
      <w:r w:rsidRPr="00A47D25">
        <w:rPr>
          <w:lang w:val="fr-FR"/>
        </w:rPr>
        <w:t xml:space="preserve"> dans les </w:t>
      </w:r>
      <w:r>
        <w:rPr>
          <w:lang w:val="fr-FR"/>
        </w:rPr>
        <w:t>trente</w:t>
      </w:r>
      <w:r w:rsidRPr="00A47D25">
        <w:rPr>
          <w:lang w:val="fr-FR"/>
        </w:rPr>
        <w:t xml:space="preserve"> jours </w:t>
      </w:r>
      <w:r>
        <w:rPr>
          <w:lang w:val="fr-FR"/>
        </w:rPr>
        <w:t>à compter de</w:t>
      </w:r>
      <w:r w:rsidRPr="00A47D25">
        <w:rPr>
          <w:lang w:val="fr-FR"/>
        </w:rPr>
        <w:t xml:space="preserve"> la découverte du motif de réexamen, étant donné qu</w:t>
      </w:r>
      <w:r>
        <w:rPr>
          <w:lang w:val="fr-FR"/>
        </w:rPr>
        <w:t>’</w:t>
      </w:r>
      <w:r w:rsidRPr="00A47D25">
        <w:rPr>
          <w:lang w:val="fr-FR"/>
        </w:rPr>
        <w:t>ils avaient appris que G.</w:t>
      </w:r>
      <w:r>
        <w:rPr>
          <w:lang w:val="fr-FR"/>
        </w:rPr>
        <w:t> </w:t>
      </w:r>
      <w:r w:rsidRPr="00A47D25">
        <w:rPr>
          <w:lang w:val="fr-FR"/>
        </w:rPr>
        <w:t>R. souffrait d</w:t>
      </w:r>
      <w:r>
        <w:rPr>
          <w:lang w:val="fr-FR"/>
        </w:rPr>
        <w:t>’</w:t>
      </w:r>
      <w:r w:rsidRPr="00A47D25">
        <w:rPr>
          <w:lang w:val="fr-FR"/>
        </w:rPr>
        <w:t>une hypothyroïdie</w:t>
      </w:r>
      <w:r>
        <w:rPr>
          <w:lang w:val="fr-FR"/>
        </w:rPr>
        <w:t xml:space="preserve"> </w:t>
      </w:r>
      <w:r w:rsidRPr="00A47D25">
        <w:rPr>
          <w:lang w:val="fr-FR"/>
        </w:rPr>
        <w:t>le 24</w:t>
      </w:r>
      <w:r>
        <w:rPr>
          <w:lang w:val="fr-FR"/>
        </w:rPr>
        <w:t> </w:t>
      </w:r>
      <w:r w:rsidRPr="00A47D25">
        <w:rPr>
          <w:lang w:val="fr-FR"/>
        </w:rPr>
        <w:t xml:space="preserve">janvier 2019. </w:t>
      </w:r>
      <w:r>
        <w:rPr>
          <w:lang w:val="fr-FR"/>
        </w:rPr>
        <w:t xml:space="preserve">Il </w:t>
      </w:r>
      <w:r w:rsidRPr="00A47D25">
        <w:rPr>
          <w:lang w:val="fr-FR"/>
        </w:rPr>
        <w:t xml:space="preserve">a également </w:t>
      </w:r>
      <w:r>
        <w:rPr>
          <w:lang w:val="fr-FR"/>
        </w:rPr>
        <w:t>fait valoir</w:t>
      </w:r>
      <w:r w:rsidRPr="00A47D25">
        <w:rPr>
          <w:lang w:val="fr-FR"/>
        </w:rPr>
        <w:t xml:space="preserve"> qu</w:t>
      </w:r>
      <w:r>
        <w:rPr>
          <w:lang w:val="fr-FR"/>
        </w:rPr>
        <w:t>’</w:t>
      </w:r>
      <w:r w:rsidRPr="00A47D25">
        <w:rPr>
          <w:lang w:val="fr-FR"/>
        </w:rPr>
        <w:t>il s</w:t>
      </w:r>
      <w:r>
        <w:rPr>
          <w:lang w:val="fr-FR"/>
        </w:rPr>
        <w:t>’</w:t>
      </w:r>
      <w:r w:rsidRPr="00A47D25">
        <w:rPr>
          <w:lang w:val="fr-FR"/>
        </w:rPr>
        <w:t>était déjà prononcé sur la santé psychique de V.</w:t>
      </w:r>
      <w:r>
        <w:rPr>
          <w:lang w:val="fr-FR"/>
        </w:rPr>
        <w:t> </w:t>
      </w:r>
      <w:r w:rsidRPr="00A47D25">
        <w:rPr>
          <w:lang w:val="fr-FR"/>
        </w:rPr>
        <w:t xml:space="preserve">R. </w:t>
      </w:r>
      <w:r>
        <w:rPr>
          <w:lang w:val="fr-FR"/>
        </w:rPr>
        <w:t>Compte tenu du</w:t>
      </w:r>
      <w:r w:rsidRPr="00A47D25">
        <w:rPr>
          <w:lang w:val="fr-FR"/>
        </w:rPr>
        <w:t xml:space="preserve"> caractère impératif de l</w:t>
      </w:r>
      <w:r>
        <w:rPr>
          <w:lang w:val="fr-FR"/>
        </w:rPr>
        <w:t>’</w:t>
      </w:r>
      <w:r w:rsidRPr="00A47D25">
        <w:rPr>
          <w:lang w:val="fr-FR"/>
        </w:rPr>
        <w:t>article 3 de la Convention de sauvegarde des droits de l</w:t>
      </w:r>
      <w:r>
        <w:rPr>
          <w:lang w:val="fr-FR"/>
        </w:rPr>
        <w:t>’</w:t>
      </w:r>
      <w:r w:rsidRPr="00A47D25">
        <w:rPr>
          <w:lang w:val="fr-FR"/>
        </w:rPr>
        <w:t xml:space="preserve">homme et des libertés fondamentales </w:t>
      </w:r>
      <w:r w:rsidR="009718F9">
        <w:rPr>
          <w:lang w:val="fr-FR"/>
        </w:rPr>
        <w:t>(</w:t>
      </w:r>
      <w:r w:rsidRPr="005205E3">
        <w:rPr>
          <w:lang w:val="fr-FR"/>
        </w:rPr>
        <w:t>Convention européenne des droits de l</w:t>
      </w:r>
      <w:r>
        <w:rPr>
          <w:lang w:val="fr-FR"/>
        </w:rPr>
        <w:t>’</w:t>
      </w:r>
      <w:r w:rsidRPr="005205E3">
        <w:rPr>
          <w:lang w:val="fr-FR"/>
        </w:rPr>
        <w:t>homme</w:t>
      </w:r>
      <w:r w:rsidRPr="00A47D25">
        <w:rPr>
          <w:lang w:val="fr-FR"/>
        </w:rPr>
        <w:t xml:space="preserve">), le </w:t>
      </w:r>
      <w:r>
        <w:rPr>
          <w:lang w:val="fr-FR"/>
        </w:rPr>
        <w:t xml:space="preserve">Secrétariat d’État aux migrations </w:t>
      </w:r>
      <w:r w:rsidRPr="00A47D25">
        <w:rPr>
          <w:lang w:val="fr-FR"/>
        </w:rPr>
        <w:t xml:space="preserve">a procédé à un examen préliminaire </w:t>
      </w:r>
      <w:r>
        <w:rPr>
          <w:lang w:val="fr-FR"/>
        </w:rPr>
        <w:t>pour déterminer</w:t>
      </w:r>
      <w:r w:rsidRPr="00A47D25">
        <w:rPr>
          <w:lang w:val="fr-FR"/>
        </w:rPr>
        <w:t xml:space="preserve"> si la demande contenait des faits ou des motifs de portée significative propres à soulever sérieusement, sous un angle objectif, la question de l</w:t>
      </w:r>
      <w:r>
        <w:rPr>
          <w:lang w:val="fr-FR"/>
        </w:rPr>
        <w:t>’</w:t>
      </w:r>
      <w:r w:rsidRPr="00A47D25">
        <w:rPr>
          <w:lang w:val="fr-FR"/>
        </w:rPr>
        <w:t>existence d</w:t>
      </w:r>
      <w:r>
        <w:rPr>
          <w:lang w:val="fr-FR"/>
        </w:rPr>
        <w:t>’</w:t>
      </w:r>
      <w:r w:rsidRPr="00A47D25">
        <w:rPr>
          <w:lang w:val="fr-FR"/>
        </w:rPr>
        <w:t>obstacles à l</w:t>
      </w:r>
      <w:r>
        <w:rPr>
          <w:lang w:val="fr-FR"/>
        </w:rPr>
        <w:t>’</w:t>
      </w:r>
      <w:r w:rsidRPr="00A47D25">
        <w:rPr>
          <w:lang w:val="fr-FR"/>
        </w:rPr>
        <w:t xml:space="preserve">exécution du renvoi relevant du droit international. </w:t>
      </w:r>
      <w:r w:rsidRPr="009718F9">
        <w:rPr>
          <w:lang w:val="fr-FR"/>
        </w:rPr>
        <w:t xml:space="preserve">Il a rappelé </w:t>
      </w:r>
      <w:r w:rsidRPr="009718F9">
        <w:rPr>
          <w:szCs w:val="18"/>
          <w:lang w:val="fr-FR"/>
        </w:rPr>
        <w:t xml:space="preserve">le cadre établi par la Cour européenne des droits de l’homme dans </w:t>
      </w:r>
      <w:r w:rsidRPr="009718F9">
        <w:rPr>
          <w:i/>
          <w:szCs w:val="18"/>
          <w:lang w:val="fr-FR"/>
        </w:rPr>
        <w:t>N. c. Royaume-Uni</w:t>
      </w:r>
      <w:r w:rsidRPr="009718F9">
        <w:rPr>
          <w:szCs w:val="18"/>
          <w:lang w:val="fr-FR"/>
        </w:rPr>
        <w:t xml:space="preserve"> (requête </w:t>
      </w:r>
      <w:r w:rsidR="00693DE3" w:rsidRPr="009718F9">
        <w:rPr>
          <w:rFonts w:eastAsia="MS Mincho"/>
          <w:szCs w:val="22"/>
          <w:lang w:val="fr-FR"/>
        </w:rPr>
        <w:t>n</w:t>
      </w:r>
      <w:r w:rsidR="00693DE3" w:rsidRPr="009718F9">
        <w:rPr>
          <w:rFonts w:eastAsia="MS Mincho"/>
          <w:szCs w:val="22"/>
          <w:vertAlign w:val="superscript"/>
          <w:lang w:val="fr-FR"/>
        </w:rPr>
        <w:t>o</w:t>
      </w:r>
      <w:r w:rsidR="00693DE3" w:rsidRPr="009718F9">
        <w:rPr>
          <w:szCs w:val="18"/>
          <w:lang w:val="fr-FR"/>
        </w:rPr>
        <w:t> </w:t>
      </w:r>
      <w:r w:rsidRPr="009718F9">
        <w:rPr>
          <w:szCs w:val="18"/>
          <w:lang w:val="fr-FR"/>
        </w:rPr>
        <w:t xml:space="preserve">26565/05), </w:t>
      </w:r>
      <w:r w:rsidRPr="009718F9">
        <w:rPr>
          <w:i/>
          <w:szCs w:val="18"/>
          <w:lang w:val="fr-FR"/>
        </w:rPr>
        <w:t>D. c. Royaume-Uni</w:t>
      </w:r>
      <w:r w:rsidRPr="009718F9">
        <w:rPr>
          <w:szCs w:val="18"/>
          <w:lang w:val="fr-FR"/>
        </w:rPr>
        <w:t xml:space="preserve"> (requête </w:t>
      </w:r>
      <w:r w:rsidR="00693DE3" w:rsidRPr="009718F9">
        <w:rPr>
          <w:rFonts w:eastAsia="MS Mincho"/>
          <w:szCs w:val="22"/>
          <w:lang w:val="fr-FR"/>
        </w:rPr>
        <w:t>n</w:t>
      </w:r>
      <w:r w:rsidR="00693DE3" w:rsidRPr="009718F9">
        <w:rPr>
          <w:rFonts w:eastAsia="MS Mincho"/>
          <w:szCs w:val="22"/>
          <w:vertAlign w:val="superscript"/>
          <w:lang w:val="fr-FR"/>
        </w:rPr>
        <w:t>o</w:t>
      </w:r>
      <w:r w:rsidR="00693DE3" w:rsidRPr="009718F9">
        <w:rPr>
          <w:szCs w:val="18"/>
          <w:lang w:val="fr-FR"/>
        </w:rPr>
        <w:t> </w:t>
      </w:r>
      <w:r w:rsidRPr="009718F9">
        <w:rPr>
          <w:szCs w:val="18"/>
          <w:lang w:val="fr-FR"/>
        </w:rPr>
        <w:t xml:space="preserve">30240/96) et </w:t>
      </w:r>
      <w:r w:rsidRPr="009718F9">
        <w:rPr>
          <w:i/>
          <w:szCs w:val="18"/>
          <w:lang w:val="fr-FR"/>
        </w:rPr>
        <w:t>Paposhvili c. Belgique</w:t>
      </w:r>
      <w:r w:rsidRPr="00A47D25">
        <w:rPr>
          <w:szCs w:val="18"/>
          <w:lang w:val="fr-FR"/>
        </w:rPr>
        <w:t xml:space="preserve"> (requête </w:t>
      </w:r>
      <w:r w:rsidR="00693DE3" w:rsidRPr="00693DE3">
        <w:rPr>
          <w:rFonts w:eastAsia="MS Mincho"/>
          <w:szCs w:val="22"/>
          <w:lang w:val="fr-FR"/>
        </w:rPr>
        <w:t>n</w:t>
      </w:r>
      <w:r w:rsidR="00693DE3" w:rsidRPr="00693DE3">
        <w:rPr>
          <w:rFonts w:eastAsia="MS Mincho"/>
          <w:szCs w:val="22"/>
          <w:vertAlign w:val="superscript"/>
          <w:lang w:val="fr-FR"/>
        </w:rPr>
        <w:t>o</w:t>
      </w:r>
      <w:r w:rsidR="00693DE3">
        <w:rPr>
          <w:szCs w:val="18"/>
          <w:lang w:val="fr-FR"/>
        </w:rPr>
        <w:t> </w:t>
      </w:r>
      <w:r w:rsidRPr="00A47D25">
        <w:rPr>
          <w:szCs w:val="18"/>
          <w:lang w:val="fr-FR"/>
        </w:rPr>
        <w:t xml:space="preserve">41738/10) et a </w:t>
      </w:r>
      <w:r>
        <w:rPr>
          <w:szCs w:val="18"/>
          <w:lang w:val="fr-FR"/>
        </w:rPr>
        <w:t>estimé</w:t>
      </w:r>
      <w:r w:rsidRPr="00A47D25">
        <w:rPr>
          <w:szCs w:val="18"/>
          <w:lang w:val="fr-FR"/>
        </w:rPr>
        <w:t xml:space="preserve"> </w:t>
      </w:r>
      <w:r w:rsidRPr="00A47D25">
        <w:rPr>
          <w:lang w:val="fr-FR"/>
        </w:rPr>
        <w:t>que la ville de Colombo dispos</w:t>
      </w:r>
      <w:r>
        <w:rPr>
          <w:lang w:val="fr-FR"/>
        </w:rPr>
        <w:t>ait</w:t>
      </w:r>
      <w:r w:rsidRPr="00A47D25">
        <w:rPr>
          <w:lang w:val="fr-FR"/>
        </w:rPr>
        <w:t xml:space="preserve"> </w:t>
      </w:r>
      <w:r>
        <w:rPr>
          <w:lang w:val="fr-FR"/>
        </w:rPr>
        <w:t>d’</w:t>
      </w:r>
      <w:r w:rsidRPr="00A47D25">
        <w:rPr>
          <w:lang w:val="fr-FR"/>
        </w:rPr>
        <w:t>infrastructures médicales suffisantes</w:t>
      </w:r>
      <w:r>
        <w:rPr>
          <w:lang w:val="fr-FR"/>
        </w:rPr>
        <w:t>,</w:t>
      </w:r>
      <w:r w:rsidRPr="00A47D25">
        <w:rPr>
          <w:lang w:val="fr-FR"/>
        </w:rPr>
        <w:t xml:space="preserve"> </w:t>
      </w:r>
      <w:r>
        <w:rPr>
          <w:lang w:val="fr-FR"/>
        </w:rPr>
        <w:t>notamment</w:t>
      </w:r>
      <w:r w:rsidRPr="00A47D25">
        <w:rPr>
          <w:lang w:val="fr-FR"/>
        </w:rPr>
        <w:t xml:space="preserve"> des hôpitaux publics et des cliniques privées</w:t>
      </w:r>
      <w:r>
        <w:rPr>
          <w:lang w:val="fr-FR"/>
        </w:rPr>
        <w:t>,</w:t>
      </w:r>
      <w:r w:rsidRPr="00A47D25">
        <w:rPr>
          <w:lang w:val="fr-FR"/>
        </w:rPr>
        <w:t xml:space="preserve"> pour soigner G.</w:t>
      </w:r>
      <w:r w:rsidR="009718F9">
        <w:rPr>
          <w:lang w:val="fr-FR"/>
        </w:rPr>
        <w:t> </w:t>
      </w:r>
      <w:r w:rsidR="00693DE3">
        <w:rPr>
          <w:lang w:val="fr-FR"/>
        </w:rPr>
        <w:t xml:space="preserve"> </w:t>
      </w:r>
      <w:r w:rsidRPr="00A47D25">
        <w:rPr>
          <w:lang w:val="fr-FR"/>
        </w:rPr>
        <w:t>R</w:t>
      </w:r>
      <w:r>
        <w:rPr>
          <w:lang w:val="fr-FR"/>
        </w:rPr>
        <w:t>.</w:t>
      </w:r>
      <w:r w:rsidRPr="00A47D25">
        <w:rPr>
          <w:lang w:val="fr-FR"/>
        </w:rPr>
        <w:t xml:space="preserve"> </w:t>
      </w:r>
      <w:r>
        <w:rPr>
          <w:lang w:val="fr-FR"/>
        </w:rPr>
        <w:t>Le</w:t>
      </w:r>
      <w:r w:rsidRPr="00A47D25">
        <w:rPr>
          <w:lang w:val="fr-FR"/>
        </w:rPr>
        <w:t xml:space="preserve"> </w:t>
      </w:r>
      <w:r>
        <w:rPr>
          <w:lang w:val="fr-FR"/>
        </w:rPr>
        <w:t xml:space="preserve">Secrétariat d’État aux migrations </w:t>
      </w:r>
      <w:r w:rsidRPr="00A47D25">
        <w:rPr>
          <w:lang w:val="fr-FR"/>
        </w:rPr>
        <w:t xml:space="preserve">a </w:t>
      </w:r>
      <w:r>
        <w:rPr>
          <w:lang w:val="fr-FR"/>
        </w:rPr>
        <w:t xml:space="preserve">donc </w:t>
      </w:r>
      <w:r w:rsidRPr="00A47D25">
        <w:rPr>
          <w:lang w:val="fr-FR"/>
        </w:rPr>
        <w:t>conclu qu</w:t>
      </w:r>
      <w:r>
        <w:rPr>
          <w:lang w:val="fr-FR"/>
        </w:rPr>
        <w:t>’</w:t>
      </w:r>
      <w:r w:rsidRPr="00A47D25">
        <w:rPr>
          <w:lang w:val="fr-FR"/>
        </w:rPr>
        <w:t>aucun obstacle ne s</w:t>
      </w:r>
      <w:r>
        <w:rPr>
          <w:lang w:val="fr-FR"/>
        </w:rPr>
        <w:t>’</w:t>
      </w:r>
      <w:r w:rsidRPr="00A47D25">
        <w:rPr>
          <w:lang w:val="fr-FR"/>
        </w:rPr>
        <w:t>opposait à l</w:t>
      </w:r>
      <w:r>
        <w:rPr>
          <w:lang w:val="fr-FR"/>
        </w:rPr>
        <w:t>’</w:t>
      </w:r>
      <w:r w:rsidRPr="00A47D25">
        <w:rPr>
          <w:lang w:val="fr-FR"/>
        </w:rPr>
        <w:t xml:space="preserve">exécution </w:t>
      </w:r>
      <w:r>
        <w:rPr>
          <w:lang w:val="fr-FR"/>
        </w:rPr>
        <w:t>de la décision de</w:t>
      </w:r>
      <w:r w:rsidRPr="00A47D25">
        <w:rPr>
          <w:lang w:val="fr-FR"/>
        </w:rPr>
        <w:t xml:space="preserve"> renvoi.</w:t>
      </w:r>
    </w:p>
    <w:p w14:paraId="759497F0" w14:textId="77777777" w:rsidR="00434CC2" w:rsidRPr="00A47D25" w:rsidRDefault="00434CC2" w:rsidP="00434CC2">
      <w:pPr>
        <w:pStyle w:val="H23G"/>
        <w:rPr>
          <w:lang w:val="fr-FR"/>
        </w:rPr>
      </w:pPr>
      <w:r w:rsidRPr="00A47D25">
        <w:rPr>
          <w:lang w:val="fr-FR"/>
        </w:rPr>
        <w:tab/>
      </w:r>
      <w:r w:rsidRPr="00A47D25">
        <w:rPr>
          <w:lang w:val="fr-FR"/>
        </w:rPr>
        <w:tab/>
        <w:t>Teneur de la plainte</w:t>
      </w:r>
    </w:p>
    <w:p w14:paraId="6095CA12" w14:textId="5F35C4CE" w:rsidR="00434CC2" w:rsidRPr="00A47D25" w:rsidRDefault="00434CC2" w:rsidP="00434CC2">
      <w:pPr>
        <w:tabs>
          <w:tab w:val="left" w:pos="1701"/>
          <w:tab w:val="left" w:pos="2268"/>
          <w:tab w:val="left" w:pos="2835"/>
        </w:tabs>
        <w:spacing w:after="120"/>
        <w:ind w:left="1134" w:right="1134"/>
        <w:jc w:val="both"/>
        <w:rPr>
          <w:rFonts w:eastAsia="Calibri"/>
          <w:lang w:val="fr-FR"/>
        </w:rPr>
      </w:pPr>
      <w:r w:rsidRPr="00A47D25">
        <w:rPr>
          <w:rFonts w:eastAsia="Calibri"/>
          <w:lang w:val="fr-FR"/>
        </w:rPr>
        <w:t>3.1</w:t>
      </w:r>
      <w:r w:rsidRPr="00A47D25">
        <w:rPr>
          <w:rFonts w:eastAsia="Calibri"/>
          <w:lang w:val="fr-FR"/>
        </w:rPr>
        <w:tab/>
        <w:t>L</w:t>
      </w:r>
      <w:r>
        <w:rPr>
          <w:rFonts w:eastAsia="Calibri"/>
          <w:lang w:val="fr-FR"/>
        </w:rPr>
        <w:t>’</w:t>
      </w:r>
      <w:r w:rsidRPr="00A47D25">
        <w:rPr>
          <w:rFonts w:eastAsia="Calibri"/>
          <w:lang w:val="fr-FR"/>
        </w:rPr>
        <w:t xml:space="preserve">auteur </w:t>
      </w:r>
      <w:r>
        <w:rPr>
          <w:rFonts w:eastAsia="Calibri"/>
          <w:lang w:val="fr-FR"/>
        </w:rPr>
        <w:t>soutient</w:t>
      </w:r>
      <w:r w:rsidRPr="00A47D25">
        <w:rPr>
          <w:rFonts w:eastAsia="Calibri"/>
          <w:lang w:val="fr-FR"/>
        </w:rPr>
        <w:t xml:space="preserve"> que G.</w:t>
      </w:r>
      <w:r w:rsidR="009718F9">
        <w:rPr>
          <w:rFonts w:eastAsia="Calibri"/>
          <w:lang w:val="fr-FR"/>
        </w:rPr>
        <w:t> </w:t>
      </w:r>
      <w:r w:rsidRPr="00A47D25">
        <w:rPr>
          <w:rFonts w:eastAsia="Calibri"/>
          <w:lang w:val="fr-FR"/>
        </w:rPr>
        <w:t xml:space="preserve">R. ne pourra pas obtenir le traitement médical nécessaire pour son hypothyroïdie </w:t>
      </w:r>
      <w:r>
        <w:rPr>
          <w:rFonts w:eastAsia="Calibri"/>
          <w:lang w:val="fr-FR"/>
        </w:rPr>
        <w:t>à</w:t>
      </w:r>
      <w:r w:rsidRPr="00A47D25">
        <w:rPr>
          <w:rFonts w:eastAsia="Calibri"/>
          <w:lang w:val="fr-FR"/>
        </w:rPr>
        <w:t xml:space="preserve"> Sri Lanka. Même si ce traitement existe, </w:t>
      </w:r>
      <w:r>
        <w:rPr>
          <w:rFonts w:eastAsia="Calibri"/>
          <w:lang w:val="fr-FR"/>
        </w:rPr>
        <w:t>l’auteur</w:t>
      </w:r>
      <w:r w:rsidRPr="00A47D25">
        <w:rPr>
          <w:rFonts w:eastAsia="Calibri"/>
          <w:lang w:val="fr-FR"/>
        </w:rPr>
        <w:t xml:space="preserve"> ne pourra pas le payer car il sera trop coûteux. Il demande que le droit de G.</w:t>
      </w:r>
      <w:r w:rsidR="009718F9">
        <w:rPr>
          <w:rFonts w:eastAsia="Calibri"/>
          <w:lang w:val="fr-FR"/>
        </w:rPr>
        <w:t> </w:t>
      </w:r>
      <w:r w:rsidRPr="00A47D25">
        <w:rPr>
          <w:rFonts w:eastAsia="Calibri"/>
          <w:lang w:val="fr-FR"/>
        </w:rPr>
        <w:t>R</w:t>
      </w:r>
      <w:r>
        <w:rPr>
          <w:rFonts w:eastAsia="Calibri"/>
          <w:lang w:val="fr-FR"/>
        </w:rPr>
        <w:t>.</w:t>
      </w:r>
      <w:r w:rsidRPr="00A47D25">
        <w:rPr>
          <w:rFonts w:eastAsia="Calibri"/>
          <w:lang w:val="fr-FR"/>
        </w:rPr>
        <w:t xml:space="preserve"> </w:t>
      </w:r>
      <w:r>
        <w:rPr>
          <w:rFonts w:eastAsia="Calibri"/>
          <w:lang w:val="fr-FR"/>
        </w:rPr>
        <w:t>de bénéficier d’un traitement médical</w:t>
      </w:r>
      <w:r w:rsidRPr="00A47D25">
        <w:rPr>
          <w:rFonts w:eastAsia="Calibri"/>
          <w:lang w:val="fr-FR"/>
        </w:rPr>
        <w:t xml:space="preserve"> en Suisse soit respecté. Il fait valoir également que V.</w:t>
      </w:r>
      <w:r w:rsidR="009718F9">
        <w:rPr>
          <w:rFonts w:eastAsia="Calibri"/>
          <w:lang w:val="fr-FR"/>
        </w:rPr>
        <w:t> </w:t>
      </w:r>
      <w:r w:rsidRPr="00A47D25">
        <w:rPr>
          <w:rFonts w:eastAsia="Calibri"/>
          <w:lang w:val="fr-FR"/>
        </w:rPr>
        <w:t>R. a</w:t>
      </w:r>
      <w:r>
        <w:rPr>
          <w:rFonts w:eastAsia="Calibri"/>
          <w:lang w:val="fr-FR"/>
        </w:rPr>
        <w:t>, elle aussi,</w:t>
      </w:r>
      <w:r w:rsidRPr="00A47D25">
        <w:rPr>
          <w:rFonts w:eastAsia="Calibri"/>
          <w:lang w:val="fr-FR"/>
        </w:rPr>
        <w:t xml:space="preserve"> besoin de poursuivre son traitement médical en Suisse</w:t>
      </w:r>
      <w:r>
        <w:rPr>
          <w:rFonts w:eastAsia="Calibri"/>
          <w:lang w:val="fr-FR"/>
        </w:rPr>
        <w:t>,</w:t>
      </w:r>
      <w:r w:rsidRPr="00A47D25">
        <w:rPr>
          <w:rFonts w:eastAsia="Calibri"/>
          <w:lang w:val="fr-FR"/>
        </w:rPr>
        <w:t xml:space="preserve"> et </w:t>
      </w:r>
      <w:r>
        <w:rPr>
          <w:rFonts w:eastAsia="Calibri"/>
          <w:lang w:val="fr-FR"/>
        </w:rPr>
        <w:t xml:space="preserve">il a </w:t>
      </w:r>
      <w:r w:rsidRPr="00A47D25">
        <w:rPr>
          <w:rFonts w:eastAsia="Calibri"/>
          <w:lang w:val="fr-FR"/>
        </w:rPr>
        <w:t xml:space="preserve">fourni un certificat </w:t>
      </w:r>
      <w:r>
        <w:rPr>
          <w:rFonts w:eastAsia="Calibri"/>
          <w:lang w:val="fr-FR"/>
        </w:rPr>
        <w:t>attestant qu’</w:t>
      </w:r>
      <w:r w:rsidRPr="00A47D25">
        <w:rPr>
          <w:rFonts w:eastAsia="Calibri"/>
          <w:lang w:val="fr-FR"/>
        </w:rPr>
        <w:t xml:space="preserve">elle </w:t>
      </w:r>
      <w:r w:rsidRPr="00A47D25">
        <w:rPr>
          <w:rFonts w:eastAsia="Calibri"/>
        </w:rPr>
        <w:t>bénéficie d</w:t>
      </w:r>
      <w:r>
        <w:rPr>
          <w:rFonts w:eastAsia="Calibri"/>
        </w:rPr>
        <w:t>’</w:t>
      </w:r>
      <w:r w:rsidRPr="00A47D25">
        <w:rPr>
          <w:rFonts w:eastAsia="Calibri"/>
        </w:rPr>
        <w:t>une prise en charge psychiatrique et psychothérapeutique. Il</w:t>
      </w:r>
      <w:r w:rsidRPr="00A47D25">
        <w:rPr>
          <w:rFonts w:eastAsia="Calibri"/>
          <w:lang w:val="fr-FR"/>
        </w:rPr>
        <w:t xml:space="preserve"> </w:t>
      </w:r>
      <w:r>
        <w:rPr>
          <w:rFonts w:eastAsia="Calibri"/>
          <w:lang w:val="fr-FR"/>
        </w:rPr>
        <w:t>évoque</w:t>
      </w:r>
      <w:r w:rsidRPr="00A47D25">
        <w:rPr>
          <w:rFonts w:eastAsia="Calibri"/>
          <w:lang w:val="fr-FR"/>
        </w:rPr>
        <w:t xml:space="preserve"> aussi sa propre situation médicale</w:t>
      </w:r>
      <w:r>
        <w:rPr>
          <w:rFonts w:eastAsia="Calibri"/>
          <w:lang w:val="fr-FR"/>
        </w:rPr>
        <w:t xml:space="preserve"> et fait</w:t>
      </w:r>
      <w:r w:rsidRPr="00A47D25">
        <w:rPr>
          <w:rFonts w:eastAsia="Calibri"/>
          <w:lang w:val="fr-FR"/>
        </w:rPr>
        <w:t xml:space="preserve"> référence à un certificat médical qui mentionne un « très vraisemblable » défaut d</w:t>
      </w:r>
      <w:r>
        <w:rPr>
          <w:rFonts w:eastAsia="Calibri"/>
          <w:lang w:val="fr-FR"/>
        </w:rPr>
        <w:t>’</w:t>
      </w:r>
      <w:r w:rsidRPr="00A47D25">
        <w:rPr>
          <w:rFonts w:eastAsia="Calibri"/>
          <w:lang w:val="fr-FR"/>
        </w:rPr>
        <w:t xml:space="preserve">accès, </w:t>
      </w:r>
      <w:r>
        <w:rPr>
          <w:rFonts w:eastAsia="Calibri"/>
          <w:lang w:val="fr-FR"/>
        </w:rPr>
        <w:t>à</w:t>
      </w:r>
      <w:r w:rsidRPr="00A47D25">
        <w:rPr>
          <w:rFonts w:eastAsia="Calibri"/>
          <w:lang w:val="fr-FR"/>
        </w:rPr>
        <w:t xml:space="preserve"> Sri Lanka, aux soins et aux médicaments nécessaires pour son diabète de type 2, son hypertension artérielle, son hypercholestérolémie et ses troubles mictionnels mixtes. De plus, </w:t>
      </w:r>
      <w:r>
        <w:rPr>
          <w:rFonts w:eastAsia="Calibri"/>
          <w:lang w:val="fr-FR"/>
        </w:rPr>
        <w:t xml:space="preserve">quand </w:t>
      </w:r>
      <w:r w:rsidRPr="00A47D25">
        <w:rPr>
          <w:rFonts w:eastAsia="Calibri"/>
          <w:lang w:val="fr-FR"/>
        </w:rPr>
        <w:t>la famille est arrivée en Suisse</w:t>
      </w:r>
      <w:r>
        <w:rPr>
          <w:rFonts w:eastAsia="Calibri"/>
          <w:lang w:val="fr-FR"/>
        </w:rPr>
        <w:t>,</w:t>
      </w:r>
      <w:r w:rsidRPr="00A47D25">
        <w:rPr>
          <w:rFonts w:eastAsia="Calibri"/>
          <w:lang w:val="fr-FR"/>
        </w:rPr>
        <w:t xml:space="preserve"> H.</w:t>
      </w:r>
      <w:r w:rsidR="009718F9">
        <w:rPr>
          <w:rFonts w:eastAsia="Calibri"/>
          <w:lang w:val="fr-FR"/>
        </w:rPr>
        <w:t> </w:t>
      </w:r>
      <w:r w:rsidRPr="00A47D25">
        <w:rPr>
          <w:rFonts w:eastAsia="Calibri"/>
          <w:lang w:val="fr-FR"/>
        </w:rPr>
        <w:t xml:space="preserve">R. avait </w:t>
      </w:r>
      <w:r w:rsidR="009718F9">
        <w:rPr>
          <w:rFonts w:eastAsia="Calibri"/>
          <w:lang w:val="fr-FR"/>
        </w:rPr>
        <w:t>2 </w:t>
      </w:r>
      <w:r w:rsidRPr="00A47D25">
        <w:rPr>
          <w:rFonts w:eastAsia="Calibri"/>
          <w:lang w:val="fr-FR"/>
        </w:rPr>
        <w:t>mois et il est maintenant scolarisé en Suisse</w:t>
      </w:r>
      <w:r>
        <w:rPr>
          <w:rFonts w:eastAsia="Calibri"/>
          <w:lang w:val="fr-FR"/>
        </w:rPr>
        <w:t>.</w:t>
      </w:r>
      <w:r w:rsidRPr="00A47D25">
        <w:rPr>
          <w:rFonts w:eastAsia="Calibri"/>
          <w:lang w:val="fr-FR"/>
        </w:rPr>
        <w:t xml:space="preserve"> </w:t>
      </w:r>
      <w:r>
        <w:rPr>
          <w:rFonts w:eastAsia="Calibri"/>
          <w:lang w:val="fr-FR"/>
        </w:rPr>
        <w:t>La famille</w:t>
      </w:r>
      <w:r w:rsidRPr="00A47D25">
        <w:rPr>
          <w:rFonts w:eastAsia="Calibri"/>
          <w:lang w:val="fr-FR"/>
        </w:rPr>
        <w:t xml:space="preserve"> </w:t>
      </w:r>
      <w:r>
        <w:rPr>
          <w:rFonts w:eastAsia="Calibri"/>
          <w:lang w:val="fr-FR"/>
        </w:rPr>
        <w:t>craint</w:t>
      </w:r>
      <w:r w:rsidRPr="00A47D25">
        <w:rPr>
          <w:rFonts w:eastAsia="Calibri"/>
          <w:lang w:val="fr-FR"/>
        </w:rPr>
        <w:t xml:space="preserve"> toujours de retourner </w:t>
      </w:r>
      <w:r>
        <w:rPr>
          <w:rFonts w:eastAsia="Calibri"/>
          <w:lang w:val="fr-FR"/>
        </w:rPr>
        <w:t>à</w:t>
      </w:r>
      <w:r w:rsidRPr="00A47D25">
        <w:rPr>
          <w:rFonts w:eastAsia="Calibri"/>
          <w:lang w:val="fr-FR"/>
        </w:rPr>
        <w:t xml:space="preserve"> Sri Lanka </w:t>
      </w:r>
      <w:r>
        <w:rPr>
          <w:rFonts w:eastAsia="Calibri"/>
          <w:lang w:val="fr-FR"/>
        </w:rPr>
        <w:t>pour des</w:t>
      </w:r>
      <w:r w:rsidRPr="00A47D25">
        <w:rPr>
          <w:rFonts w:eastAsia="Calibri"/>
          <w:lang w:val="fr-FR"/>
        </w:rPr>
        <w:t xml:space="preserve"> raison</w:t>
      </w:r>
      <w:r>
        <w:rPr>
          <w:rFonts w:eastAsia="Calibri"/>
          <w:lang w:val="fr-FR"/>
        </w:rPr>
        <w:t>s</w:t>
      </w:r>
      <w:r w:rsidRPr="00A47D25">
        <w:rPr>
          <w:rFonts w:eastAsia="Calibri"/>
          <w:lang w:val="fr-FR"/>
        </w:rPr>
        <w:t xml:space="preserve"> politiques.</w:t>
      </w:r>
    </w:p>
    <w:p w14:paraId="6D76065A" w14:textId="26773832" w:rsidR="00434CC2" w:rsidRDefault="00434CC2" w:rsidP="00434CC2">
      <w:pPr>
        <w:pStyle w:val="SingleTxtG"/>
        <w:rPr>
          <w:lang w:val="fr-FR"/>
        </w:rPr>
      </w:pPr>
      <w:r w:rsidRPr="00A47D25">
        <w:rPr>
          <w:lang w:val="fr-FR"/>
        </w:rPr>
        <w:t>3.2</w:t>
      </w:r>
      <w:r w:rsidRPr="00A47D25">
        <w:rPr>
          <w:lang w:val="fr-FR"/>
        </w:rPr>
        <w:tab/>
        <w:t>L</w:t>
      </w:r>
      <w:r>
        <w:rPr>
          <w:lang w:val="fr-FR"/>
        </w:rPr>
        <w:t>’</w:t>
      </w:r>
      <w:r w:rsidRPr="00A47D25">
        <w:rPr>
          <w:lang w:val="fr-FR"/>
        </w:rPr>
        <w:t xml:space="preserve">auteur </w:t>
      </w:r>
      <w:r>
        <w:rPr>
          <w:lang w:val="fr-FR"/>
        </w:rPr>
        <w:t>fait</w:t>
      </w:r>
      <w:r w:rsidRPr="00A47D25">
        <w:rPr>
          <w:lang w:val="fr-FR"/>
        </w:rPr>
        <w:t xml:space="preserve"> valoir </w:t>
      </w:r>
      <w:r>
        <w:rPr>
          <w:lang w:val="fr-FR"/>
        </w:rPr>
        <w:t>que la famille n’a</w:t>
      </w:r>
      <w:r w:rsidRPr="00A47D25">
        <w:rPr>
          <w:lang w:val="fr-FR"/>
        </w:rPr>
        <w:t xml:space="preserve"> pas pu soumettre la demande de réexamen dans les </w:t>
      </w:r>
      <w:r w:rsidR="00693DE3">
        <w:rPr>
          <w:lang w:val="fr-FR"/>
        </w:rPr>
        <w:t>trente</w:t>
      </w:r>
      <w:r w:rsidRPr="00A47D25">
        <w:rPr>
          <w:lang w:val="fr-FR"/>
        </w:rPr>
        <w:t xml:space="preserve"> jours suivant la découverte de l</w:t>
      </w:r>
      <w:r>
        <w:rPr>
          <w:lang w:val="fr-FR"/>
        </w:rPr>
        <w:t>’</w:t>
      </w:r>
      <w:r w:rsidRPr="00A47D25">
        <w:rPr>
          <w:lang w:val="fr-FR"/>
        </w:rPr>
        <w:t>hypothyroïdie congénitale de G.</w:t>
      </w:r>
      <w:r w:rsidR="009718F9">
        <w:rPr>
          <w:lang w:val="fr-FR"/>
        </w:rPr>
        <w:t> </w:t>
      </w:r>
      <w:r w:rsidRPr="00A47D25">
        <w:rPr>
          <w:lang w:val="fr-FR"/>
        </w:rPr>
        <w:t>R. en raison d</w:t>
      </w:r>
      <w:r>
        <w:rPr>
          <w:lang w:val="fr-FR"/>
        </w:rPr>
        <w:t>’</w:t>
      </w:r>
      <w:r w:rsidRPr="00A47D25">
        <w:rPr>
          <w:lang w:val="fr-FR"/>
        </w:rPr>
        <w:t xml:space="preserve">un retard dans la réception du certificat médical et parce </w:t>
      </w:r>
      <w:r>
        <w:rPr>
          <w:lang w:val="fr-FR"/>
        </w:rPr>
        <w:t>que la famille</w:t>
      </w:r>
      <w:r w:rsidRPr="00A47D25">
        <w:rPr>
          <w:lang w:val="fr-FR"/>
        </w:rPr>
        <w:t xml:space="preserve"> avait des difficultés à communiquer avec les médecins en français. Il n</w:t>
      </w:r>
      <w:r>
        <w:rPr>
          <w:lang w:val="fr-FR"/>
        </w:rPr>
        <w:t>’</w:t>
      </w:r>
      <w:r w:rsidRPr="00A47D25">
        <w:rPr>
          <w:lang w:val="fr-FR"/>
        </w:rPr>
        <w:t>a pas introduit de recours contre la décision du 24</w:t>
      </w:r>
      <w:r w:rsidR="00693DE3">
        <w:rPr>
          <w:lang w:val="fr-FR"/>
        </w:rPr>
        <w:t> </w:t>
      </w:r>
      <w:r w:rsidRPr="00A47D25">
        <w:rPr>
          <w:lang w:val="fr-FR"/>
        </w:rPr>
        <w:t>avril 2019 parce qu</w:t>
      </w:r>
      <w:r>
        <w:rPr>
          <w:lang w:val="fr-FR"/>
        </w:rPr>
        <w:t>’</w:t>
      </w:r>
      <w:r w:rsidRPr="00A47D25">
        <w:rPr>
          <w:lang w:val="fr-FR"/>
        </w:rPr>
        <w:t>il n</w:t>
      </w:r>
      <w:r>
        <w:rPr>
          <w:lang w:val="fr-FR"/>
        </w:rPr>
        <w:t>’</w:t>
      </w:r>
      <w:r w:rsidRPr="00A47D25">
        <w:rPr>
          <w:lang w:val="fr-FR"/>
        </w:rPr>
        <w:t>avait pas les moyens de payer un avocat et que l</w:t>
      </w:r>
      <w:r>
        <w:rPr>
          <w:lang w:val="fr-FR"/>
        </w:rPr>
        <w:t>’</w:t>
      </w:r>
      <w:r w:rsidRPr="00A47D25">
        <w:rPr>
          <w:lang w:val="fr-FR"/>
        </w:rPr>
        <w:t>association qui l</w:t>
      </w:r>
      <w:r>
        <w:rPr>
          <w:lang w:val="fr-FR"/>
        </w:rPr>
        <w:t>’</w:t>
      </w:r>
      <w:r w:rsidRPr="00A47D25">
        <w:rPr>
          <w:lang w:val="fr-FR"/>
        </w:rPr>
        <w:t>avait aidé gratuitement a refusé de rédiger un recours.</w:t>
      </w:r>
    </w:p>
    <w:p w14:paraId="63DEA786" w14:textId="4A969F0F" w:rsidR="00434CC2" w:rsidRPr="00A47D25" w:rsidRDefault="00434CC2" w:rsidP="00434CC2">
      <w:pPr>
        <w:pStyle w:val="H23G"/>
        <w:rPr>
          <w:lang w:val="fr-FR"/>
        </w:rPr>
      </w:pPr>
      <w:r w:rsidRPr="00A47D25">
        <w:rPr>
          <w:lang w:val="fr-FR"/>
        </w:rPr>
        <w:tab/>
      </w:r>
      <w:r w:rsidRPr="00A47D25">
        <w:rPr>
          <w:lang w:val="fr-FR"/>
        </w:rPr>
        <w:tab/>
        <w:t>Observations de l</w:t>
      </w:r>
      <w:r>
        <w:rPr>
          <w:lang w:val="fr-FR"/>
        </w:rPr>
        <w:t>’</w:t>
      </w:r>
      <w:r w:rsidRPr="00A47D25">
        <w:rPr>
          <w:lang w:val="fr-FR"/>
        </w:rPr>
        <w:t>État partie sur la recevabilité</w:t>
      </w:r>
    </w:p>
    <w:p w14:paraId="6FCDB132" w14:textId="607BD513" w:rsidR="00434CC2" w:rsidRPr="00A47D25" w:rsidRDefault="00434CC2" w:rsidP="00434CC2">
      <w:pPr>
        <w:pStyle w:val="SingleTxtG"/>
        <w:rPr>
          <w:lang w:val="fr-FR"/>
        </w:rPr>
      </w:pPr>
      <w:r w:rsidRPr="00A47D25">
        <w:rPr>
          <w:lang w:val="fr-FR"/>
        </w:rPr>
        <w:t>4.1</w:t>
      </w:r>
      <w:r w:rsidRPr="00A47D25">
        <w:rPr>
          <w:lang w:val="fr-FR"/>
        </w:rPr>
        <w:tab/>
        <w:t>Dans ses observations du 16</w:t>
      </w:r>
      <w:r w:rsidR="00693DE3">
        <w:rPr>
          <w:lang w:val="fr-FR"/>
        </w:rPr>
        <w:t> </w:t>
      </w:r>
      <w:r w:rsidRPr="00A47D25">
        <w:rPr>
          <w:lang w:val="fr-FR"/>
        </w:rPr>
        <w:t>juillet 2019, l</w:t>
      </w:r>
      <w:r>
        <w:rPr>
          <w:lang w:val="fr-FR"/>
        </w:rPr>
        <w:t>’</w:t>
      </w:r>
      <w:r w:rsidRPr="00A47D25">
        <w:rPr>
          <w:lang w:val="fr-FR"/>
        </w:rPr>
        <w:t xml:space="preserve">État partie </w:t>
      </w:r>
      <w:r>
        <w:rPr>
          <w:lang w:val="fr-FR"/>
        </w:rPr>
        <w:t>indique</w:t>
      </w:r>
      <w:r w:rsidRPr="00A47D25">
        <w:rPr>
          <w:lang w:val="fr-FR"/>
        </w:rPr>
        <w:t xml:space="preserve"> que</w:t>
      </w:r>
      <w:r>
        <w:rPr>
          <w:lang w:val="fr-FR"/>
        </w:rPr>
        <w:t>,</w:t>
      </w:r>
      <w:r w:rsidRPr="00A47D25">
        <w:rPr>
          <w:lang w:val="fr-FR"/>
        </w:rPr>
        <w:t xml:space="preserve"> le 5</w:t>
      </w:r>
      <w:r w:rsidR="009718F9">
        <w:rPr>
          <w:lang w:val="fr-FR"/>
        </w:rPr>
        <w:t> </w:t>
      </w:r>
      <w:r w:rsidRPr="00A47D25">
        <w:rPr>
          <w:lang w:val="fr-FR"/>
        </w:rPr>
        <w:t xml:space="preserve">août 2015, le </w:t>
      </w:r>
      <w:r>
        <w:rPr>
          <w:lang w:val="fr-FR"/>
        </w:rPr>
        <w:t>Secrétariat d’État aux migrations</w:t>
      </w:r>
      <w:r w:rsidRPr="00A47D25">
        <w:rPr>
          <w:lang w:val="fr-FR"/>
        </w:rPr>
        <w:t xml:space="preserve"> a refusé la demande d</w:t>
      </w:r>
      <w:r>
        <w:rPr>
          <w:lang w:val="fr-FR"/>
        </w:rPr>
        <w:t>’</w:t>
      </w:r>
      <w:r w:rsidRPr="00A47D25">
        <w:rPr>
          <w:lang w:val="fr-FR"/>
        </w:rPr>
        <w:t>asile de l</w:t>
      </w:r>
      <w:r>
        <w:rPr>
          <w:lang w:val="fr-FR"/>
        </w:rPr>
        <w:t>’</w:t>
      </w:r>
      <w:r w:rsidRPr="00A47D25">
        <w:rPr>
          <w:lang w:val="fr-FR"/>
        </w:rPr>
        <w:t>auteur, de V.</w:t>
      </w:r>
      <w:r w:rsidR="009718F9">
        <w:rPr>
          <w:lang w:val="fr-FR"/>
        </w:rPr>
        <w:t> </w:t>
      </w:r>
      <w:r w:rsidRPr="00A47D25">
        <w:rPr>
          <w:lang w:val="fr-FR"/>
        </w:rPr>
        <w:t>R. et de H.</w:t>
      </w:r>
      <w:r w:rsidR="00693DE3">
        <w:rPr>
          <w:lang w:val="fr-FR"/>
        </w:rPr>
        <w:t> </w:t>
      </w:r>
      <w:r w:rsidRPr="00A47D25">
        <w:rPr>
          <w:lang w:val="fr-FR"/>
        </w:rPr>
        <w:t>R. au motif que leurs déclarations n</w:t>
      </w:r>
      <w:r>
        <w:rPr>
          <w:lang w:val="fr-FR"/>
        </w:rPr>
        <w:t>’</w:t>
      </w:r>
      <w:r w:rsidRPr="00A47D25">
        <w:rPr>
          <w:lang w:val="fr-FR"/>
        </w:rPr>
        <w:t xml:space="preserve">étaient pas </w:t>
      </w:r>
      <w:r>
        <w:rPr>
          <w:lang w:val="fr-FR"/>
        </w:rPr>
        <w:t>crédibles ; cette</w:t>
      </w:r>
      <w:r w:rsidRPr="00A47D25">
        <w:rPr>
          <w:lang w:val="fr-FR"/>
        </w:rPr>
        <w:t xml:space="preserve"> décision </w:t>
      </w:r>
      <w:r>
        <w:rPr>
          <w:lang w:val="fr-FR"/>
        </w:rPr>
        <w:t xml:space="preserve">a été </w:t>
      </w:r>
      <w:r w:rsidRPr="00A47D25">
        <w:rPr>
          <w:lang w:val="fr-FR"/>
        </w:rPr>
        <w:t xml:space="preserve">confirmée par le </w:t>
      </w:r>
      <w:r>
        <w:rPr>
          <w:lang w:val="fr-FR"/>
        </w:rPr>
        <w:t xml:space="preserve">Tribunal administratif fédéral </w:t>
      </w:r>
      <w:r w:rsidRPr="00A47D25">
        <w:rPr>
          <w:lang w:val="fr-FR"/>
        </w:rPr>
        <w:t>le 13</w:t>
      </w:r>
      <w:r w:rsidR="009718F9">
        <w:rPr>
          <w:lang w:val="fr-FR"/>
        </w:rPr>
        <w:t> </w:t>
      </w:r>
      <w:r w:rsidRPr="00A47D25">
        <w:rPr>
          <w:lang w:val="fr-FR"/>
        </w:rPr>
        <w:t>septembre 2016. Le 17</w:t>
      </w:r>
      <w:r w:rsidR="009718F9">
        <w:rPr>
          <w:lang w:val="fr-FR"/>
        </w:rPr>
        <w:t> </w:t>
      </w:r>
      <w:r w:rsidRPr="00A47D25">
        <w:rPr>
          <w:lang w:val="fr-FR"/>
        </w:rPr>
        <w:t xml:space="preserve">novembre 2016, le </w:t>
      </w:r>
      <w:r>
        <w:rPr>
          <w:lang w:val="fr-FR"/>
        </w:rPr>
        <w:t>Secrétariat d’État aux migrations</w:t>
      </w:r>
      <w:r w:rsidRPr="00A47D25">
        <w:rPr>
          <w:lang w:val="fr-FR"/>
        </w:rPr>
        <w:t xml:space="preserve"> a déclaré irrecevable une première demande de réexamen de la décision a</w:t>
      </w:r>
      <w:r w:rsidRPr="00A47D25">
        <w:t xml:space="preserve">u motif que des documents de la Commission </w:t>
      </w:r>
      <w:r>
        <w:t xml:space="preserve">sri-lankaise </w:t>
      </w:r>
      <w:r w:rsidRPr="00A47D25">
        <w:t>des droits de</w:t>
      </w:r>
      <w:r>
        <w:t xml:space="preserve"> l’homme</w:t>
      </w:r>
      <w:r w:rsidRPr="00A47D25">
        <w:t>, présentés comme constituant des faits nouveaux, n</w:t>
      </w:r>
      <w:r>
        <w:t>’</w:t>
      </w:r>
      <w:r w:rsidRPr="00A47D25">
        <w:t xml:space="preserve">avaient pas été soumis dans le délai légal de </w:t>
      </w:r>
      <w:r w:rsidR="00693DE3">
        <w:t>trente </w:t>
      </w:r>
      <w:r w:rsidRPr="00A47D25">
        <w:t xml:space="preserve">jours </w:t>
      </w:r>
      <w:r>
        <w:t>à compter de</w:t>
      </w:r>
      <w:r w:rsidRPr="00A47D25">
        <w:t xml:space="preserve"> </w:t>
      </w:r>
      <w:r w:rsidRPr="00A47D25">
        <w:rPr>
          <w:lang w:val="fr-FR"/>
        </w:rPr>
        <w:t>la découverte du motif de réexamen</w:t>
      </w:r>
      <w:r w:rsidRPr="00A47D25">
        <w:t>. De plus, un examen préliminaire au titre de l</w:t>
      </w:r>
      <w:r>
        <w:t>’</w:t>
      </w:r>
      <w:r w:rsidRPr="00A47D25">
        <w:t xml:space="preserve">article 3 </w:t>
      </w:r>
      <w:r>
        <w:t>de la Convention européenne des droits de l’homme</w:t>
      </w:r>
      <w:r w:rsidRPr="00A47D25">
        <w:t xml:space="preserve"> n</w:t>
      </w:r>
      <w:r>
        <w:t>’</w:t>
      </w:r>
      <w:r w:rsidRPr="00A47D25">
        <w:t xml:space="preserve">a pas été jugé comme </w:t>
      </w:r>
      <w:r>
        <w:t>faisant</w:t>
      </w:r>
      <w:r w:rsidRPr="00A47D25">
        <w:t xml:space="preserve"> obstacle à l</w:t>
      </w:r>
      <w:r>
        <w:t>’</w:t>
      </w:r>
      <w:r w:rsidRPr="00A47D25">
        <w:t xml:space="preserve">exécution </w:t>
      </w:r>
      <w:r>
        <w:t>de la décision de</w:t>
      </w:r>
      <w:r w:rsidRPr="00A47D25">
        <w:t xml:space="preserve"> renvoi.</w:t>
      </w:r>
      <w:r w:rsidRPr="00A47D25">
        <w:rPr>
          <w:lang w:val="fr-FR"/>
        </w:rPr>
        <w:t xml:space="preserve"> Le 1</w:t>
      </w:r>
      <w:r w:rsidRPr="00195F3E">
        <w:rPr>
          <w:vertAlign w:val="superscript"/>
          <w:lang w:val="fr-FR"/>
        </w:rPr>
        <w:t>er</w:t>
      </w:r>
      <w:r w:rsidR="00693DE3">
        <w:rPr>
          <w:lang w:val="fr-FR"/>
        </w:rPr>
        <w:t> </w:t>
      </w:r>
      <w:r w:rsidRPr="00A47D25">
        <w:rPr>
          <w:lang w:val="fr-FR"/>
        </w:rPr>
        <w:t xml:space="preserve">décembre 2016, le </w:t>
      </w:r>
      <w:r>
        <w:rPr>
          <w:lang w:val="fr-FR"/>
        </w:rPr>
        <w:t xml:space="preserve">Tribunal administratif fédéral </w:t>
      </w:r>
      <w:r w:rsidRPr="00A47D25">
        <w:rPr>
          <w:lang w:val="fr-FR"/>
        </w:rPr>
        <w:t xml:space="preserve">a annulé cette décision au motif que la requête aurait dû être traitée comme une demande de révision, mais a </w:t>
      </w:r>
      <w:r>
        <w:rPr>
          <w:lang w:val="fr-FR"/>
        </w:rPr>
        <w:t>déclaré la</w:t>
      </w:r>
      <w:r w:rsidRPr="00A47D25">
        <w:rPr>
          <w:lang w:val="fr-FR"/>
        </w:rPr>
        <w:t xml:space="preserve"> requête irrecevable compte tenu de l</w:t>
      </w:r>
      <w:r>
        <w:rPr>
          <w:lang w:val="fr-FR"/>
        </w:rPr>
        <w:t>’</w:t>
      </w:r>
      <w:r w:rsidRPr="00A47D25">
        <w:rPr>
          <w:lang w:val="fr-FR"/>
        </w:rPr>
        <w:t>absence d</w:t>
      </w:r>
      <w:r>
        <w:rPr>
          <w:lang w:val="fr-FR"/>
        </w:rPr>
        <w:t>’</w:t>
      </w:r>
      <w:r w:rsidRPr="00A47D25">
        <w:rPr>
          <w:lang w:val="fr-FR"/>
        </w:rPr>
        <w:t>éléments nouveaux.</w:t>
      </w:r>
    </w:p>
    <w:p w14:paraId="4113AC1F" w14:textId="47CEEF53" w:rsidR="00434CC2" w:rsidRPr="00A47D25" w:rsidRDefault="00434CC2" w:rsidP="00434CC2">
      <w:pPr>
        <w:pStyle w:val="SingleTxtG"/>
        <w:rPr>
          <w:lang w:val="fr-FR"/>
        </w:rPr>
      </w:pPr>
      <w:r w:rsidRPr="00A47D25">
        <w:rPr>
          <w:lang w:val="fr-FR"/>
        </w:rPr>
        <w:t>4.2</w:t>
      </w:r>
      <w:r w:rsidRPr="00A47D25">
        <w:rPr>
          <w:lang w:val="fr-FR"/>
        </w:rPr>
        <w:tab/>
        <w:t>L</w:t>
      </w:r>
      <w:r>
        <w:rPr>
          <w:lang w:val="fr-FR"/>
        </w:rPr>
        <w:t>’</w:t>
      </w:r>
      <w:r w:rsidRPr="00A47D25">
        <w:rPr>
          <w:lang w:val="fr-FR"/>
        </w:rPr>
        <w:t>État partie note que</w:t>
      </w:r>
      <w:r>
        <w:rPr>
          <w:lang w:val="fr-FR"/>
        </w:rPr>
        <w:t>,</w:t>
      </w:r>
      <w:r w:rsidRPr="00A47D25">
        <w:rPr>
          <w:lang w:val="fr-FR"/>
        </w:rPr>
        <w:t xml:space="preserve"> le 16</w:t>
      </w:r>
      <w:r w:rsidR="009718F9">
        <w:rPr>
          <w:lang w:val="fr-FR"/>
        </w:rPr>
        <w:t> </w:t>
      </w:r>
      <w:r w:rsidRPr="00A47D25">
        <w:rPr>
          <w:lang w:val="fr-FR"/>
        </w:rPr>
        <w:t xml:space="preserve">novembre 2018, le </w:t>
      </w:r>
      <w:r>
        <w:rPr>
          <w:lang w:val="fr-FR"/>
        </w:rPr>
        <w:t>Secrétariat d’État aux migrations</w:t>
      </w:r>
      <w:r w:rsidRPr="00A47D25">
        <w:rPr>
          <w:lang w:val="fr-FR"/>
        </w:rPr>
        <w:t xml:space="preserve"> a refusé</w:t>
      </w:r>
      <w:r>
        <w:rPr>
          <w:lang w:val="fr-FR"/>
        </w:rPr>
        <w:t>,</w:t>
      </w:r>
      <w:r w:rsidRPr="00A47D25">
        <w:rPr>
          <w:lang w:val="fr-FR"/>
        </w:rPr>
        <w:t xml:space="preserve"> en raison du non-respect du délai de </w:t>
      </w:r>
      <w:r w:rsidR="00693DE3">
        <w:rPr>
          <w:lang w:val="fr-FR"/>
        </w:rPr>
        <w:t>trente</w:t>
      </w:r>
      <w:r w:rsidRPr="00A47D25">
        <w:rPr>
          <w:lang w:val="fr-FR"/>
        </w:rPr>
        <w:t xml:space="preserve"> jours</w:t>
      </w:r>
      <w:r>
        <w:rPr>
          <w:lang w:val="fr-FR"/>
        </w:rPr>
        <w:t>,</w:t>
      </w:r>
      <w:r w:rsidRPr="00A47D25" w:rsidDel="00062B89">
        <w:rPr>
          <w:lang w:val="fr-FR"/>
        </w:rPr>
        <w:t xml:space="preserve"> </w:t>
      </w:r>
      <w:r>
        <w:rPr>
          <w:lang w:val="fr-FR"/>
        </w:rPr>
        <w:t>de donner suite à</w:t>
      </w:r>
      <w:r w:rsidRPr="00A47D25">
        <w:rPr>
          <w:lang w:val="fr-FR"/>
        </w:rPr>
        <w:t xml:space="preserve"> une deuxième demande de réexamen à l</w:t>
      </w:r>
      <w:r>
        <w:rPr>
          <w:lang w:val="fr-FR"/>
        </w:rPr>
        <w:t>’</w:t>
      </w:r>
      <w:r w:rsidRPr="00A47D25">
        <w:rPr>
          <w:lang w:val="fr-FR"/>
        </w:rPr>
        <w:t xml:space="preserve">appui de laquelle </w:t>
      </w:r>
      <w:r>
        <w:rPr>
          <w:lang w:val="fr-FR"/>
        </w:rPr>
        <w:t>étaient</w:t>
      </w:r>
      <w:r w:rsidRPr="00A47D25">
        <w:rPr>
          <w:lang w:val="fr-FR"/>
        </w:rPr>
        <w:t xml:space="preserve"> invoqués notamment les problèmes médicaux de l</w:t>
      </w:r>
      <w:r>
        <w:rPr>
          <w:lang w:val="fr-FR"/>
        </w:rPr>
        <w:t>’</w:t>
      </w:r>
      <w:r w:rsidRPr="00A47D25">
        <w:rPr>
          <w:lang w:val="fr-FR"/>
        </w:rPr>
        <w:t>auteur et de V.</w:t>
      </w:r>
      <w:r w:rsidR="009718F9">
        <w:rPr>
          <w:lang w:val="fr-FR"/>
        </w:rPr>
        <w:t> </w:t>
      </w:r>
      <w:r w:rsidRPr="00A47D25">
        <w:rPr>
          <w:lang w:val="fr-FR"/>
        </w:rPr>
        <w:t>R., ainsi que la grossesse de celle-ci. Le 13</w:t>
      </w:r>
      <w:r w:rsidR="009718F9">
        <w:rPr>
          <w:lang w:val="fr-FR"/>
        </w:rPr>
        <w:t> </w:t>
      </w:r>
      <w:r w:rsidRPr="00A47D25">
        <w:rPr>
          <w:lang w:val="fr-FR"/>
        </w:rPr>
        <w:t xml:space="preserve">décembre 2018, le </w:t>
      </w:r>
      <w:r>
        <w:rPr>
          <w:lang w:val="fr-FR"/>
        </w:rPr>
        <w:t xml:space="preserve">Tribunal administratif fédéral </w:t>
      </w:r>
      <w:r w:rsidRPr="00A47D25">
        <w:rPr>
          <w:lang w:val="fr-FR"/>
        </w:rPr>
        <w:t>a déclaré le recours irrecevable, jugeant d</w:t>
      </w:r>
      <w:r>
        <w:rPr>
          <w:lang w:val="fr-FR"/>
        </w:rPr>
        <w:t>’</w:t>
      </w:r>
      <w:r w:rsidRPr="00A47D25">
        <w:rPr>
          <w:lang w:val="fr-FR"/>
        </w:rPr>
        <w:t>emblée abusi</w:t>
      </w:r>
      <w:r>
        <w:rPr>
          <w:lang w:val="fr-FR"/>
        </w:rPr>
        <w:t>fs</w:t>
      </w:r>
      <w:r w:rsidRPr="00A47D25">
        <w:rPr>
          <w:lang w:val="fr-FR"/>
        </w:rPr>
        <w:t xml:space="preserve"> la demande de réexamen et le recours formé.</w:t>
      </w:r>
    </w:p>
    <w:p w14:paraId="2ABEFCE7" w14:textId="2DF124C4" w:rsidR="00434CC2" w:rsidRPr="00A47D25" w:rsidRDefault="00434CC2" w:rsidP="00434CC2">
      <w:pPr>
        <w:pStyle w:val="SingleTxtG"/>
        <w:rPr>
          <w:lang w:val="fr-FR"/>
        </w:rPr>
      </w:pPr>
      <w:r w:rsidRPr="00A47D25">
        <w:rPr>
          <w:lang w:val="fr-FR"/>
        </w:rPr>
        <w:t>4.3</w:t>
      </w:r>
      <w:r w:rsidRPr="00A47D25">
        <w:rPr>
          <w:lang w:val="fr-FR"/>
        </w:rPr>
        <w:tab/>
        <w:t>L</w:t>
      </w:r>
      <w:r>
        <w:rPr>
          <w:lang w:val="fr-FR"/>
        </w:rPr>
        <w:t>’</w:t>
      </w:r>
      <w:r w:rsidRPr="00A47D25">
        <w:rPr>
          <w:lang w:val="fr-FR"/>
        </w:rPr>
        <w:t xml:space="preserve">État partie </w:t>
      </w:r>
      <w:r>
        <w:rPr>
          <w:lang w:val="fr-FR"/>
        </w:rPr>
        <w:t>fait valoir</w:t>
      </w:r>
      <w:r w:rsidRPr="00A47D25">
        <w:rPr>
          <w:lang w:val="fr-FR"/>
        </w:rPr>
        <w:t xml:space="preserve"> en outre </w:t>
      </w:r>
      <w:r>
        <w:rPr>
          <w:lang w:val="fr-FR"/>
        </w:rPr>
        <w:t xml:space="preserve">qu’à la </w:t>
      </w:r>
      <w:r w:rsidRPr="00A47D25">
        <w:rPr>
          <w:lang w:val="fr-FR"/>
        </w:rPr>
        <w:t xml:space="preserve">suite </w:t>
      </w:r>
      <w:r>
        <w:rPr>
          <w:lang w:val="fr-FR"/>
        </w:rPr>
        <w:t>de</w:t>
      </w:r>
      <w:r w:rsidRPr="00A47D25">
        <w:rPr>
          <w:lang w:val="fr-FR"/>
        </w:rPr>
        <w:t xml:space="preserve"> la soumission de la troisième demande de réexamen et </w:t>
      </w:r>
      <w:r>
        <w:rPr>
          <w:lang w:val="fr-FR"/>
        </w:rPr>
        <w:t xml:space="preserve">de </w:t>
      </w:r>
      <w:r w:rsidRPr="00A47D25">
        <w:rPr>
          <w:lang w:val="fr-FR"/>
        </w:rPr>
        <w:t>la décision d</w:t>
      </w:r>
      <w:r>
        <w:rPr>
          <w:lang w:val="fr-FR"/>
        </w:rPr>
        <w:t>’</w:t>
      </w:r>
      <w:r w:rsidRPr="00A47D25">
        <w:rPr>
          <w:lang w:val="fr-FR"/>
        </w:rPr>
        <w:t xml:space="preserve">irrecevabilité </w:t>
      </w:r>
      <w:r>
        <w:rPr>
          <w:lang w:val="fr-FR"/>
        </w:rPr>
        <w:t>rendue par le Secrétariat d’État aux migrations le</w:t>
      </w:r>
      <w:r w:rsidRPr="00A47D25">
        <w:rPr>
          <w:lang w:val="fr-FR"/>
        </w:rPr>
        <w:t xml:space="preserve"> 24</w:t>
      </w:r>
      <w:r w:rsidR="009718F9">
        <w:rPr>
          <w:lang w:val="fr-FR"/>
        </w:rPr>
        <w:t> </w:t>
      </w:r>
      <w:r w:rsidRPr="00A47D25">
        <w:rPr>
          <w:lang w:val="fr-FR"/>
        </w:rPr>
        <w:t>avril 2019, aucun recours n</w:t>
      </w:r>
      <w:r>
        <w:rPr>
          <w:lang w:val="fr-FR"/>
        </w:rPr>
        <w:t>’</w:t>
      </w:r>
      <w:r w:rsidRPr="00A47D25">
        <w:rPr>
          <w:lang w:val="fr-FR"/>
        </w:rPr>
        <w:t>a été interjeté dans le délai légal de cinq jours.</w:t>
      </w:r>
    </w:p>
    <w:p w14:paraId="7BF8E303" w14:textId="38FDE5C8" w:rsidR="00434CC2" w:rsidRPr="00A47D25" w:rsidRDefault="00434CC2" w:rsidP="00434CC2">
      <w:pPr>
        <w:pStyle w:val="SingleTxtG"/>
        <w:rPr>
          <w:lang w:val="fr-FR"/>
        </w:rPr>
      </w:pPr>
      <w:r w:rsidRPr="00A47D25">
        <w:rPr>
          <w:lang w:val="fr-FR"/>
        </w:rPr>
        <w:t>4.4</w:t>
      </w:r>
      <w:r w:rsidRPr="00A47D25">
        <w:rPr>
          <w:lang w:val="fr-FR"/>
        </w:rPr>
        <w:tab/>
        <w:t>L</w:t>
      </w:r>
      <w:r>
        <w:rPr>
          <w:lang w:val="fr-FR"/>
        </w:rPr>
        <w:t>’</w:t>
      </w:r>
      <w:r w:rsidRPr="00A47D25">
        <w:rPr>
          <w:lang w:val="fr-FR"/>
        </w:rPr>
        <w:t xml:space="preserve">État partie </w:t>
      </w:r>
      <w:r>
        <w:rPr>
          <w:lang w:val="fr-FR"/>
        </w:rPr>
        <w:t>note</w:t>
      </w:r>
      <w:r w:rsidRPr="00A47D25">
        <w:rPr>
          <w:lang w:val="fr-FR"/>
        </w:rPr>
        <w:t xml:space="preserve"> que l</w:t>
      </w:r>
      <w:r>
        <w:rPr>
          <w:lang w:val="fr-FR"/>
        </w:rPr>
        <w:t>’</w:t>
      </w:r>
      <w:r w:rsidRPr="00A47D25">
        <w:rPr>
          <w:lang w:val="fr-FR"/>
        </w:rPr>
        <w:t xml:space="preserve">auteur semble </w:t>
      </w:r>
      <w:r>
        <w:rPr>
          <w:lang w:val="fr-FR"/>
        </w:rPr>
        <w:t>affirmer</w:t>
      </w:r>
      <w:r w:rsidRPr="00A47D25">
        <w:rPr>
          <w:lang w:val="fr-FR"/>
        </w:rPr>
        <w:t xml:space="preserve"> que le renvoi de la famille constituerait une violation des droits de l</w:t>
      </w:r>
      <w:r>
        <w:rPr>
          <w:lang w:val="fr-FR"/>
        </w:rPr>
        <w:t>’</w:t>
      </w:r>
      <w:r w:rsidRPr="00A47D25">
        <w:rPr>
          <w:lang w:val="fr-FR"/>
        </w:rPr>
        <w:t>enfant en raison de l</w:t>
      </w:r>
      <w:r>
        <w:rPr>
          <w:lang w:val="fr-FR"/>
        </w:rPr>
        <w:t>’</w:t>
      </w:r>
      <w:r w:rsidRPr="00A47D25">
        <w:rPr>
          <w:lang w:val="fr-FR"/>
        </w:rPr>
        <w:t>état de santé de G.</w:t>
      </w:r>
      <w:r w:rsidR="009718F9">
        <w:rPr>
          <w:lang w:val="fr-FR"/>
        </w:rPr>
        <w:t> </w:t>
      </w:r>
      <w:r w:rsidRPr="00A47D25">
        <w:rPr>
          <w:lang w:val="fr-FR"/>
        </w:rPr>
        <w:t xml:space="preserve">R. et </w:t>
      </w:r>
      <w:r>
        <w:rPr>
          <w:lang w:val="fr-FR"/>
        </w:rPr>
        <w:t>du fait qu’il va dépendre toute sa vie</w:t>
      </w:r>
      <w:r w:rsidRPr="00A47D25">
        <w:rPr>
          <w:lang w:val="fr-FR"/>
        </w:rPr>
        <w:t xml:space="preserve"> de médicaments et de thérapies spécifiques </w:t>
      </w:r>
      <w:r>
        <w:rPr>
          <w:lang w:val="fr-FR"/>
        </w:rPr>
        <w:t>qui ne sont pas</w:t>
      </w:r>
      <w:r w:rsidRPr="00A47D25">
        <w:rPr>
          <w:lang w:val="fr-FR"/>
        </w:rPr>
        <w:t xml:space="preserve"> disponibles </w:t>
      </w:r>
      <w:r>
        <w:rPr>
          <w:lang w:val="fr-FR"/>
        </w:rPr>
        <w:t>ou financièrement accessibles à</w:t>
      </w:r>
      <w:r w:rsidRPr="00A47D25">
        <w:rPr>
          <w:lang w:val="fr-FR"/>
        </w:rPr>
        <w:t xml:space="preserve"> Sri Lanka. Le reste de la communication </w:t>
      </w:r>
      <w:r>
        <w:rPr>
          <w:lang w:val="fr-FR"/>
        </w:rPr>
        <w:t>fait référence aux</w:t>
      </w:r>
      <w:r w:rsidRPr="00A47D25">
        <w:rPr>
          <w:lang w:val="fr-FR"/>
        </w:rPr>
        <w:t xml:space="preserve"> problèmes de santé de l</w:t>
      </w:r>
      <w:r>
        <w:rPr>
          <w:lang w:val="fr-FR"/>
        </w:rPr>
        <w:t>’</w:t>
      </w:r>
      <w:r w:rsidRPr="00A47D25">
        <w:rPr>
          <w:lang w:val="fr-FR"/>
        </w:rPr>
        <w:t>auteur et de V.</w:t>
      </w:r>
      <w:r w:rsidR="009718F9">
        <w:rPr>
          <w:lang w:val="fr-FR"/>
        </w:rPr>
        <w:t> </w:t>
      </w:r>
      <w:r w:rsidRPr="00A47D25">
        <w:rPr>
          <w:lang w:val="fr-FR"/>
        </w:rPr>
        <w:t>R. ainsi qu</w:t>
      </w:r>
      <w:r>
        <w:rPr>
          <w:lang w:val="fr-FR"/>
        </w:rPr>
        <w:t>’</w:t>
      </w:r>
      <w:r w:rsidRPr="00A47D25">
        <w:rPr>
          <w:lang w:val="fr-FR"/>
        </w:rPr>
        <w:t>à l</w:t>
      </w:r>
      <w:r>
        <w:rPr>
          <w:lang w:val="fr-FR"/>
        </w:rPr>
        <w:t>’</w:t>
      </w:r>
      <w:r w:rsidRPr="00A47D25">
        <w:rPr>
          <w:lang w:val="fr-FR"/>
        </w:rPr>
        <w:t>intégration de H.</w:t>
      </w:r>
      <w:r w:rsidR="009718F9">
        <w:rPr>
          <w:lang w:val="fr-FR"/>
        </w:rPr>
        <w:t> </w:t>
      </w:r>
      <w:r w:rsidRPr="00A47D25">
        <w:rPr>
          <w:lang w:val="fr-FR"/>
        </w:rPr>
        <w:t>R. en Suisse, sans qu</w:t>
      </w:r>
      <w:r>
        <w:rPr>
          <w:lang w:val="fr-FR"/>
        </w:rPr>
        <w:t>’</w:t>
      </w:r>
      <w:r w:rsidRPr="00A47D25">
        <w:rPr>
          <w:lang w:val="fr-FR"/>
        </w:rPr>
        <w:t>il soit possible de mettre ces éléments en relation avec des griefs particuliers sous l</w:t>
      </w:r>
      <w:r>
        <w:rPr>
          <w:lang w:val="fr-FR"/>
        </w:rPr>
        <w:t>’</w:t>
      </w:r>
      <w:r w:rsidRPr="00A47D25">
        <w:rPr>
          <w:lang w:val="fr-FR"/>
        </w:rPr>
        <w:t>angle des droits garantis par la Convention.</w:t>
      </w:r>
    </w:p>
    <w:p w14:paraId="1629D3AB" w14:textId="5701F887" w:rsidR="00434CC2" w:rsidRPr="00A47D25" w:rsidRDefault="00434CC2" w:rsidP="00434CC2">
      <w:pPr>
        <w:pStyle w:val="SingleTxtG"/>
        <w:rPr>
          <w:lang w:val="fr-FR"/>
        </w:rPr>
      </w:pPr>
      <w:r w:rsidRPr="00A47D25">
        <w:rPr>
          <w:lang w:val="fr-FR"/>
        </w:rPr>
        <w:t>4.5</w:t>
      </w:r>
      <w:r w:rsidRPr="00A47D25">
        <w:rPr>
          <w:lang w:val="fr-FR"/>
        </w:rPr>
        <w:tab/>
        <w:t>L</w:t>
      </w:r>
      <w:r>
        <w:rPr>
          <w:lang w:val="fr-FR"/>
        </w:rPr>
        <w:t>’</w:t>
      </w:r>
      <w:r w:rsidRPr="00A47D25">
        <w:rPr>
          <w:lang w:val="fr-FR"/>
        </w:rPr>
        <w:t xml:space="preserve">État partie </w:t>
      </w:r>
      <w:r>
        <w:rPr>
          <w:lang w:val="fr-FR"/>
        </w:rPr>
        <w:t>affirme</w:t>
      </w:r>
      <w:r w:rsidRPr="00A47D25">
        <w:rPr>
          <w:lang w:val="fr-FR"/>
        </w:rPr>
        <w:t xml:space="preserve"> que la communication est irrecevable parce que les voies de recours internes n</w:t>
      </w:r>
      <w:r>
        <w:rPr>
          <w:lang w:val="fr-FR"/>
        </w:rPr>
        <w:t>’</w:t>
      </w:r>
      <w:r w:rsidRPr="00A47D25">
        <w:rPr>
          <w:lang w:val="fr-FR"/>
        </w:rPr>
        <w:t xml:space="preserve">ont pas </w:t>
      </w:r>
      <w:r>
        <w:rPr>
          <w:lang w:val="fr-FR"/>
        </w:rPr>
        <w:t xml:space="preserve">été </w:t>
      </w:r>
      <w:r w:rsidRPr="00A47D25">
        <w:rPr>
          <w:lang w:val="fr-FR"/>
        </w:rPr>
        <w:t>épuisé</w:t>
      </w:r>
      <w:r>
        <w:rPr>
          <w:lang w:val="fr-FR"/>
        </w:rPr>
        <w:t>es</w:t>
      </w:r>
      <w:r w:rsidRPr="00A47D25">
        <w:rPr>
          <w:lang w:val="fr-FR"/>
        </w:rPr>
        <w:t xml:space="preserve">, </w:t>
      </w:r>
      <w:r>
        <w:rPr>
          <w:lang w:val="fr-FR"/>
        </w:rPr>
        <w:t>aucun</w:t>
      </w:r>
      <w:r w:rsidRPr="00A47D25">
        <w:rPr>
          <w:lang w:val="fr-FR"/>
        </w:rPr>
        <w:t xml:space="preserve"> recours </w:t>
      </w:r>
      <w:r>
        <w:rPr>
          <w:lang w:val="fr-FR"/>
        </w:rPr>
        <w:t xml:space="preserve">n’ayant été </w:t>
      </w:r>
      <w:r w:rsidRPr="00A47D25">
        <w:rPr>
          <w:lang w:val="fr-FR"/>
        </w:rPr>
        <w:t xml:space="preserve">introduit contre la décision du </w:t>
      </w:r>
      <w:r w:rsidRPr="00165B5E">
        <w:rPr>
          <w:lang w:val="fr-FR"/>
        </w:rPr>
        <w:t>Secrétariat d</w:t>
      </w:r>
      <w:r>
        <w:rPr>
          <w:lang w:val="fr-FR"/>
        </w:rPr>
        <w:t>’</w:t>
      </w:r>
      <w:r w:rsidRPr="00165B5E">
        <w:rPr>
          <w:lang w:val="fr-FR"/>
        </w:rPr>
        <w:t xml:space="preserve">État aux migrations </w:t>
      </w:r>
      <w:r w:rsidRPr="00A47D25">
        <w:rPr>
          <w:lang w:val="fr-FR"/>
        </w:rPr>
        <w:t>du 24</w:t>
      </w:r>
      <w:r w:rsidR="00693DE3">
        <w:rPr>
          <w:lang w:val="fr-FR"/>
        </w:rPr>
        <w:t> </w:t>
      </w:r>
      <w:r w:rsidRPr="00A47D25">
        <w:rPr>
          <w:lang w:val="fr-FR"/>
        </w:rPr>
        <w:t>avril 2019. L</w:t>
      </w:r>
      <w:r>
        <w:rPr>
          <w:lang w:val="fr-FR"/>
        </w:rPr>
        <w:t>’</w:t>
      </w:r>
      <w:r w:rsidRPr="00A47D25">
        <w:rPr>
          <w:lang w:val="fr-FR"/>
        </w:rPr>
        <w:t>auteur n</w:t>
      </w:r>
      <w:r>
        <w:rPr>
          <w:lang w:val="fr-FR"/>
        </w:rPr>
        <w:t>’</w:t>
      </w:r>
      <w:r w:rsidRPr="00A47D25">
        <w:rPr>
          <w:lang w:val="fr-FR"/>
        </w:rPr>
        <w:t xml:space="preserve">a pas </w:t>
      </w:r>
      <w:r>
        <w:rPr>
          <w:lang w:val="fr-FR"/>
        </w:rPr>
        <w:t>dit avoir été dans l’impossibilité</w:t>
      </w:r>
      <w:r w:rsidRPr="00A47D25">
        <w:rPr>
          <w:lang w:val="fr-FR"/>
        </w:rPr>
        <w:t xml:space="preserve">, pour des </w:t>
      </w:r>
      <w:r>
        <w:rPr>
          <w:lang w:val="fr-FR"/>
        </w:rPr>
        <w:t>raisons valables</w:t>
      </w:r>
      <w:r w:rsidRPr="00A47D25">
        <w:rPr>
          <w:lang w:val="fr-FR"/>
        </w:rPr>
        <w:t xml:space="preserve">, de respecter le délai </w:t>
      </w:r>
      <w:r>
        <w:rPr>
          <w:lang w:val="fr-FR"/>
        </w:rPr>
        <w:t>imparti pour l’introduction d’un</w:t>
      </w:r>
      <w:r w:rsidRPr="00A47D25">
        <w:rPr>
          <w:lang w:val="fr-FR"/>
        </w:rPr>
        <w:t xml:space="preserve"> recours. </w:t>
      </w:r>
      <w:r>
        <w:rPr>
          <w:lang w:val="fr-FR"/>
        </w:rPr>
        <w:t>Il ne prétend pas non plus</w:t>
      </w:r>
      <w:r w:rsidRPr="00A47D25">
        <w:rPr>
          <w:lang w:val="fr-FR"/>
        </w:rPr>
        <w:t xml:space="preserve"> qu</w:t>
      </w:r>
      <w:r>
        <w:rPr>
          <w:lang w:val="fr-FR"/>
        </w:rPr>
        <w:t>’</w:t>
      </w:r>
      <w:r w:rsidRPr="00A47D25">
        <w:rPr>
          <w:lang w:val="fr-FR"/>
        </w:rPr>
        <w:t xml:space="preserve">un recours </w:t>
      </w:r>
      <w:r>
        <w:rPr>
          <w:lang w:val="fr-FR"/>
        </w:rPr>
        <w:t>auprès</w:t>
      </w:r>
      <w:r w:rsidRPr="00A47D25">
        <w:rPr>
          <w:lang w:val="fr-FR"/>
        </w:rPr>
        <w:t xml:space="preserve"> </w:t>
      </w:r>
      <w:r w:rsidR="009718F9" w:rsidRPr="00105350">
        <w:rPr>
          <w:lang w:val="fr-FR"/>
        </w:rPr>
        <w:t>du</w:t>
      </w:r>
      <w:r w:rsidR="009718F9">
        <w:rPr>
          <w:lang w:val="fr-FR"/>
        </w:rPr>
        <w:t xml:space="preserve"> </w:t>
      </w:r>
      <w:r>
        <w:rPr>
          <w:lang w:val="fr-FR"/>
        </w:rPr>
        <w:t>Tribunal administratif fédéral n’aurait pas été utile</w:t>
      </w:r>
      <w:r w:rsidRPr="00A47D25">
        <w:rPr>
          <w:lang w:val="fr-FR"/>
        </w:rPr>
        <w:t xml:space="preserve">. La décision du </w:t>
      </w:r>
      <w:r>
        <w:rPr>
          <w:lang w:val="fr-FR"/>
        </w:rPr>
        <w:t xml:space="preserve">Secrétariat d’État aux migrations </w:t>
      </w:r>
      <w:r w:rsidRPr="00A47D25">
        <w:rPr>
          <w:lang w:val="fr-FR"/>
        </w:rPr>
        <w:t xml:space="preserve">est dûment motivée, ne présente aucun vice de forme et énonce les voies de droit ainsi que le délai de cinq jours et les </w:t>
      </w:r>
      <w:r>
        <w:rPr>
          <w:lang w:val="fr-FR"/>
        </w:rPr>
        <w:t>conditions</w:t>
      </w:r>
      <w:r w:rsidRPr="00A47D25">
        <w:rPr>
          <w:lang w:val="fr-FR"/>
        </w:rPr>
        <w:t xml:space="preserve"> à remplir. En outre, la famille avait déjà interjeté trois recours </w:t>
      </w:r>
      <w:r>
        <w:rPr>
          <w:lang w:val="fr-FR"/>
        </w:rPr>
        <w:t>auprès du</w:t>
      </w:r>
      <w:r w:rsidRPr="00A47D25">
        <w:rPr>
          <w:lang w:val="fr-FR"/>
        </w:rPr>
        <w:t xml:space="preserve"> </w:t>
      </w:r>
      <w:r>
        <w:rPr>
          <w:lang w:val="fr-FR"/>
        </w:rPr>
        <w:t>Tribunal administratif fédéral</w:t>
      </w:r>
      <w:r w:rsidRPr="00A47D25">
        <w:rPr>
          <w:lang w:val="fr-FR"/>
        </w:rPr>
        <w:t xml:space="preserve"> et </w:t>
      </w:r>
      <w:r>
        <w:rPr>
          <w:lang w:val="fr-FR"/>
        </w:rPr>
        <w:t xml:space="preserve">connaissait </w:t>
      </w:r>
      <w:r w:rsidRPr="00A47D25">
        <w:rPr>
          <w:lang w:val="fr-FR"/>
        </w:rPr>
        <w:t xml:space="preserve">donc la </w:t>
      </w:r>
      <w:r>
        <w:rPr>
          <w:lang w:val="fr-FR"/>
        </w:rPr>
        <w:t>procédure</w:t>
      </w:r>
      <w:r w:rsidRPr="00A47D25">
        <w:rPr>
          <w:lang w:val="fr-FR"/>
        </w:rPr>
        <w:t xml:space="preserve"> à suivre.</w:t>
      </w:r>
    </w:p>
    <w:p w14:paraId="5DA9F80C" w14:textId="3678B5D7" w:rsidR="00434CC2" w:rsidRPr="00A47D25" w:rsidRDefault="00434CC2" w:rsidP="00434CC2">
      <w:pPr>
        <w:pStyle w:val="SingleTxtG"/>
        <w:rPr>
          <w:lang w:val="fr-FR"/>
        </w:rPr>
      </w:pPr>
      <w:r w:rsidRPr="00A47D25">
        <w:rPr>
          <w:lang w:val="fr-FR"/>
        </w:rPr>
        <w:t>4.6</w:t>
      </w:r>
      <w:r w:rsidRPr="00A47D25">
        <w:rPr>
          <w:lang w:val="fr-FR"/>
        </w:rPr>
        <w:tab/>
        <w:t>L</w:t>
      </w:r>
      <w:r>
        <w:rPr>
          <w:lang w:val="fr-FR"/>
        </w:rPr>
        <w:t>’</w:t>
      </w:r>
      <w:r w:rsidRPr="00A47D25">
        <w:rPr>
          <w:lang w:val="fr-FR"/>
        </w:rPr>
        <w:t xml:space="preserve">État partie </w:t>
      </w:r>
      <w:r>
        <w:rPr>
          <w:lang w:val="fr-FR"/>
        </w:rPr>
        <w:t>indique</w:t>
      </w:r>
      <w:r w:rsidRPr="00A47D25">
        <w:rPr>
          <w:lang w:val="fr-FR"/>
        </w:rPr>
        <w:t xml:space="preserve"> que le recours </w:t>
      </w:r>
      <w:r>
        <w:rPr>
          <w:lang w:val="fr-FR"/>
        </w:rPr>
        <w:t>formé auprès du Tribunal administratif fédéral</w:t>
      </w:r>
      <w:r w:rsidRPr="00A47D25">
        <w:rPr>
          <w:lang w:val="fr-FR"/>
        </w:rPr>
        <w:t xml:space="preserve"> contre la décision du </w:t>
      </w:r>
      <w:r>
        <w:rPr>
          <w:lang w:val="fr-FR"/>
        </w:rPr>
        <w:t>Secrétariat d’État aux migrations</w:t>
      </w:r>
      <w:r w:rsidRPr="00A47D25">
        <w:rPr>
          <w:lang w:val="fr-FR"/>
        </w:rPr>
        <w:t xml:space="preserve"> du 24</w:t>
      </w:r>
      <w:r w:rsidR="00916954">
        <w:rPr>
          <w:lang w:val="fr-FR"/>
        </w:rPr>
        <w:t> </w:t>
      </w:r>
      <w:r w:rsidRPr="00A47D25">
        <w:rPr>
          <w:lang w:val="fr-FR"/>
        </w:rPr>
        <w:t xml:space="preserve">avril 2019 constituait une voie de recours ordinaire. Le </w:t>
      </w:r>
      <w:r>
        <w:rPr>
          <w:lang w:val="fr-FR"/>
        </w:rPr>
        <w:t>tribunal</w:t>
      </w:r>
      <w:r w:rsidRPr="00A47D25">
        <w:rPr>
          <w:lang w:val="fr-FR"/>
        </w:rPr>
        <w:t xml:space="preserve"> aurait dû </w:t>
      </w:r>
      <w:r>
        <w:rPr>
          <w:lang w:val="fr-FR"/>
        </w:rPr>
        <w:t>trancher la question de la</w:t>
      </w:r>
      <w:r w:rsidRPr="00A47D25">
        <w:rPr>
          <w:lang w:val="fr-FR"/>
        </w:rPr>
        <w:t xml:space="preserve"> recevabilité et </w:t>
      </w:r>
      <w:r>
        <w:rPr>
          <w:lang w:val="fr-FR"/>
        </w:rPr>
        <w:t xml:space="preserve">il </w:t>
      </w:r>
      <w:r w:rsidRPr="00A47D25">
        <w:rPr>
          <w:lang w:val="fr-FR"/>
        </w:rPr>
        <w:t xml:space="preserve">aurait </w:t>
      </w:r>
      <w:r>
        <w:rPr>
          <w:lang w:val="fr-FR"/>
        </w:rPr>
        <w:t xml:space="preserve">pu </w:t>
      </w:r>
      <w:r w:rsidRPr="00A47D25">
        <w:rPr>
          <w:lang w:val="fr-FR"/>
        </w:rPr>
        <w:t xml:space="preserve">annuler la décision et </w:t>
      </w:r>
      <w:r>
        <w:rPr>
          <w:lang w:val="fr-FR"/>
        </w:rPr>
        <w:t>demander au</w:t>
      </w:r>
      <w:r w:rsidRPr="00A47D25">
        <w:rPr>
          <w:lang w:val="fr-FR"/>
        </w:rPr>
        <w:t xml:space="preserve"> </w:t>
      </w:r>
      <w:r>
        <w:rPr>
          <w:lang w:val="fr-FR"/>
        </w:rPr>
        <w:t>Secrétariat d’État aux migrations</w:t>
      </w:r>
      <w:r w:rsidRPr="00A47D25">
        <w:rPr>
          <w:lang w:val="fr-FR"/>
        </w:rPr>
        <w:t xml:space="preserve"> </w:t>
      </w:r>
      <w:r>
        <w:rPr>
          <w:lang w:val="fr-FR"/>
        </w:rPr>
        <w:t>d’examiner</w:t>
      </w:r>
      <w:r w:rsidRPr="00A47D25">
        <w:rPr>
          <w:lang w:val="fr-FR"/>
        </w:rPr>
        <w:t xml:space="preserve"> la demande de réexamen. Cette voie de recours était donc de nature à </w:t>
      </w:r>
      <w:r>
        <w:rPr>
          <w:lang w:val="fr-FR"/>
        </w:rPr>
        <w:t>fournir</w:t>
      </w:r>
      <w:r w:rsidRPr="00A47D25">
        <w:rPr>
          <w:lang w:val="fr-FR"/>
        </w:rPr>
        <w:t xml:space="preserve"> une réparation </w:t>
      </w:r>
      <w:r>
        <w:rPr>
          <w:lang w:val="fr-FR"/>
        </w:rPr>
        <w:t>utile</w:t>
      </w:r>
      <w:r w:rsidRPr="00A47D25">
        <w:rPr>
          <w:lang w:val="fr-FR"/>
        </w:rPr>
        <w:t>. L</w:t>
      </w:r>
      <w:r>
        <w:rPr>
          <w:lang w:val="fr-FR"/>
        </w:rPr>
        <w:t>’</w:t>
      </w:r>
      <w:r w:rsidRPr="00A47D25">
        <w:rPr>
          <w:lang w:val="fr-FR"/>
        </w:rPr>
        <w:t>État partie rappelle que le Comité contre la torture a confirmé que</w:t>
      </w:r>
      <w:r>
        <w:rPr>
          <w:lang w:val="fr-FR"/>
        </w:rPr>
        <w:t>,</w:t>
      </w:r>
      <w:r w:rsidRPr="00A47D25">
        <w:rPr>
          <w:lang w:val="fr-FR"/>
        </w:rPr>
        <w:t xml:space="preserve"> </w:t>
      </w:r>
      <w:r>
        <w:rPr>
          <w:lang w:val="fr-FR"/>
        </w:rPr>
        <w:t>lorsqu’un recours est formé auprès du Tribunal administratif fédéral</w:t>
      </w:r>
      <w:r w:rsidRPr="00A47D25">
        <w:rPr>
          <w:lang w:val="fr-FR"/>
        </w:rPr>
        <w:t xml:space="preserve"> en dehors </w:t>
      </w:r>
      <w:r>
        <w:rPr>
          <w:lang w:val="fr-FR"/>
        </w:rPr>
        <w:t>des</w:t>
      </w:r>
      <w:r w:rsidRPr="00A47D25">
        <w:rPr>
          <w:lang w:val="fr-FR"/>
        </w:rPr>
        <w:t xml:space="preserve"> délai</w:t>
      </w:r>
      <w:r>
        <w:rPr>
          <w:lang w:val="fr-FR"/>
        </w:rPr>
        <w:t>s</w:t>
      </w:r>
      <w:r w:rsidRPr="00A47D25">
        <w:rPr>
          <w:lang w:val="fr-FR"/>
        </w:rPr>
        <w:t xml:space="preserve">, sans </w:t>
      </w:r>
      <w:r>
        <w:rPr>
          <w:lang w:val="fr-FR"/>
        </w:rPr>
        <w:t>justification</w:t>
      </w:r>
      <w:r w:rsidRPr="00A47D25">
        <w:rPr>
          <w:lang w:val="fr-FR"/>
        </w:rPr>
        <w:t>, les voies de recours internes n</w:t>
      </w:r>
      <w:r>
        <w:rPr>
          <w:lang w:val="fr-FR"/>
        </w:rPr>
        <w:t>’</w:t>
      </w:r>
      <w:r w:rsidRPr="00A47D25">
        <w:rPr>
          <w:lang w:val="fr-FR"/>
        </w:rPr>
        <w:t>ont pas été épuisées</w:t>
      </w:r>
      <w:r>
        <w:rPr>
          <w:rStyle w:val="Appelnotedebasdep"/>
        </w:rPr>
        <w:footnoteReference w:id="4"/>
      </w:r>
      <w:r w:rsidRPr="00A47D25">
        <w:rPr>
          <w:lang w:val="fr-FR"/>
        </w:rPr>
        <w:t>. Les motifs d</w:t>
      </w:r>
      <w:r>
        <w:rPr>
          <w:lang w:val="fr-FR"/>
        </w:rPr>
        <w:t>’</w:t>
      </w:r>
      <w:r w:rsidRPr="00A47D25">
        <w:rPr>
          <w:lang w:val="fr-FR"/>
        </w:rPr>
        <w:t>ordre financier ne sont pas admissibles, car l</w:t>
      </w:r>
      <w:r>
        <w:rPr>
          <w:lang w:val="fr-FR"/>
        </w:rPr>
        <w:t>’</w:t>
      </w:r>
      <w:r w:rsidRPr="00A47D25">
        <w:rPr>
          <w:lang w:val="fr-FR"/>
        </w:rPr>
        <w:t>auteur aurait pu déposer une demande d</w:t>
      </w:r>
      <w:r>
        <w:rPr>
          <w:lang w:val="fr-FR"/>
        </w:rPr>
        <w:t>’</w:t>
      </w:r>
      <w:r w:rsidRPr="00A47D25">
        <w:rPr>
          <w:lang w:val="fr-FR"/>
        </w:rPr>
        <w:t xml:space="preserve">assistance </w:t>
      </w:r>
      <w:r>
        <w:rPr>
          <w:lang w:val="fr-FR"/>
        </w:rPr>
        <w:t>judiciaire</w:t>
      </w:r>
      <w:r w:rsidRPr="00A47D25">
        <w:rPr>
          <w:lang w:val="fr-FR"/>
        </w:rPr>
        <w:t xml:space="preserve"> gratuite</w:t>
      </w:r>
      <w:r>
        <w:rPr>
          <w:rStyle w:val="Appelnotedebasdep"/>
        </w:rPr>
        <w:footnoteReference w:id="5"/>
      </w:r>
      <w:r w:rsidRPr="00A47D25">
        <w:t xml:space="preserve"> s</w:t>
      </w:r>
      <w:r>
        <w:t>’</w:t>
      </w:r>
      <w:r w:rsidRPr="00A47D25">
        <w:t>il estimait ne pas pouvoir payer les honoraires de son conseil ni prendre à sa charge les frais de procédure.</w:t>
      </w:r>
      <w:r w:rsidRPr="00A47D25">
        <w:rPr>
          <w:lang w:val="fr-FR"/>
        </w:rPr>
        <w:t xml:space="preserve"> En outre, le </w:t>
      </w:r>
      <w:r>
        <w:rPr>
          <w:lang w:val="fr-FR"/>
        </w:rPr>
        <w:t xml:space="preserve">Tribunal administratif fédéral </w:t>
      </w:r>
      <w:r w:rsidRPr="00A47D25">
        <w:rPr>
          <w:lang w:val="fr-FR"/>
        </w:rPr>
        <w:t>peut, à titre exceptionnel, entièrement remettre les frais de procédure normalement mis à la charge de la partie qui succombe. L</w:t>
      </w:r>
      <w:r>
        <w:rPr>
          <w:lang w:val="fr-FR"/>
        </w:rPr>
        <w:t>’</w:t>
      </w:r>
      <w:r w:rsidRPr="00A47D25">
        <w:rPr>
          <w:lang w:val="fr-FR"/>
        </w:rPr>
        <w:t xml:space="preserve">État partie fait valoir que la question </w:t>
      </w:r>
      <w:r>
        <w:rPr>
          <w:lang w:val="fr-FR"/>
        </w:rPr>
        <w:t xml:space="preserve">de savoir si l’auteur pourrait bénéficier d’une assistance judiciaire en raison de son manque de moyens financiers ou s’il pourrait être dispensé </w:t>
      </w:r>
      <w:r w:rsidRPr="00A47D25">
        <w:rPr>
          <w:lang w:val="fr-FR"/>
        </w:rPr>
        <w:t xml:space="preserve">des frais de procédure </w:t>
      </w:r>
      <w:r>
        <w:rPr>
          <w:lang w:val="fr-FR"/>
        </w:rPr>
        <w:t>doit</w:t>
      </w:r>
      <w:r w:rsidRPr="00A47D25">
        <w:rPr>
          <w:lang w:val="fr-FR"/>
        </w:rPr>
        <w:t xml:space="preserve"> être tranchée par le juge et non pas par l</w:t>
      </w:r>
      <w:r>
        <w:rPr>
          <w:lang w:val="fr-FR"/>
        </w:rPr>
        <w:t>’</w:t>
      </w:r>
      <w:r w:rsidRPr="00A47D25">
        <w:rPr>
          <w:lang w:val="fr-FR"/>
        </w:rPr>
        <w:t xml:space="preserve">auteur lui-même. </w:t>
      </w:r>
      <w:r>
        <w:rPr>
          <w:lang w:val="fr-FR"/>
        </w:rPr>
        <w:t>Il</w:t>
      </w:r>
      <w:r w:rsidRPr="00A47D25">
        <w:rPr>
          <w:lang w:val="fr-FR"/>
        </w:rPr>
        <w:t xml:space="preserve"> ajoute qu</w:t>
      </w:r>
      <w:r>
        <w:rPr>
          <w:lang w:val="fr-FR"/>
        </w:rPr>
        <w:t>’</w:t>
      </w:r>
      <w:r w:rsidRPr="00A47D25">
        <w:rPr>
          <w:lang w:val="fr-FR"/>
        </w:rPr>
        <w:t>en vertu du principe de subsidiarité, il appartient en premier lieu aux autorités nationales de réparer une éventuelle violation de la Convention.</w:t>
      </w:r>
    </w:p>
    <w:p w14:paraId="5C9DD5A6" w14:textId="4FE4BD5D" w:rsidR="00434CC2" w:rsidRPr="00A47D25" w:rsidRDefault="00434CC2" w:rsidP="00434CC2">
      <w:pPr>
        <w:pStyle w:val="SingleTxtG"/>
        <w:rPr>
          <w:lang w:val="fr-FR"/>
        </w:rPr>
      </w:pPr>
      <w:r w:rsidRPr="00A47D25">
        <w:rPr>
          <w:lang w:val="fr-FR"/>
        </w:rPr>
        <w:t>4.7</w:t>
      </w:r>
      <w:r w:rsidRPr="00A47D25">
        <w:rPr>
          <w:lang w:val="fr-FR"/>
        </w:rPr>
        <w:tab/>
        <w:t>L</w:t>
      </w:r>
      <w:r>
        <w:rPr>
          <w:lang w:val="fr-FR"/>
        </w:rPr>
        <w:t>’</w:t>
      </w:r>
      <w:r w:rsidRPr="00A47D25">
        <w:rPr>
          <w:lang w:val="fr-FR"/>
        </w:rPr>
        <w:t xml:space="preserve">État partie </w:t>
      </w:r>
      <w:r>
        <w:rPr>
          <w:lang w:val="fr-FR"/>
        </w:rPr>
        <w:t>soutient</w:t>
      </w:r>
      <w:r w:rsidRPr="00A47D25">
        <w:rPr>
          <w:lang w:val="fr-FR"/>
        </w:rPr>
        <w:t xml:space="preserve"> que la communication est irrecevable également au motif qu</w:t>
      </w:r>
      <w:r>
        <w:rPr>
          <w:lang w:val="fr-FR"/>
        </w:rPr>
        <w:t>’</w:t>
      </w:r>
      <w:r w:rsidRPr="00A47D25">
        <w:rPr>
          <w:lang w:val="fr-FR"/>
        </w:rPr>
        <w:t xml:space="preserve">elle est insuffisamment motivée. Il </w:t>
      </w:r>
      <w:r>
        <w:rPr>
          <w:lang w:val="fr-FR"/>
        </w:rPr>
        <w:t>affirme</w:t>
      </w:r>
      <w:r w:rsidRPr="00A47D25">
        <w:rPr>
          <w:lang w:val="fr-FR"/>
        </w:rPr>
        <w:t xml:space="preserve">, en premier lieu, </w:t>
      </w:r>
      <w:r>
        <w:rPr>
          <w:lang w:val="fr-FR"/>
        </w:rPr>
        <w:t xml:space="preserve">qu’elle </w:t>
      </w:r>
      <w:r w:rsidRPr="00A47D25">
        <w:rPr>
          <w:lang w:val="fr-FR"/>
        </w:rPr>
        <w:t xml:space="preserve">ne précise pas </w:t>
      </w:r>
      <w:r>
        <w:rPr>
          <w:lang w:val="fr-FR"/>
        </w:rPr>
        <w:t>quelle(s) personne(s)</w:t>
      </w:r>
      <w:r w:rsidRPr="00A47D25">
        <w:rPr>
          <w:lang w:val="fr-FR"/>
        </w:rPr>
        <w:t xml:space="preserve"> doit ou doivent être considéré</w:t>
      </w:r>
      <w:r>
        <w:rPr>
          <w:lang w:val="fr-FR"/>
        </w:rPr>
        <w:t>e</w:t>
      </w:r>
      <w:r w:rsidRPr="00A47D25">
        <w:rPr>
          <w:lang w:val="fr-FR"/>
        </w:rPr>
        <w:t>(s) comme l</w:t>
      </w:r>
      <w:r>
        <w:rPr>
          <w:lang w:val="fr-FR"/>
        </w:rPr>
        <w:t>’</w:t>
      </w:r>
      <w:r w:rsidRPr="00A47D25">
        <w:rPr>
          <w:lang w:val="fr-FR"/>
        </w:rPr>
        <w:t>auteur ou les auteurs ni en quoi les griefs emporteraient une éventuelle violation des droits garantis par la Convention. En second lieu, ce n</w:t>
      </w:r>
      <w:r>
        <w:rPr>
          <w:lang w:val="fr-FR"/>
        </w:rPr>
        <w:t>’</w:t>
      </w:r>
      <w:r w:rsidRPr="00A47D25">
        <w:rPr>
          <w:lang w:val="fr-FR"/>
        </w:rPr>
        <w:t>est qu</w:t>
      </w:r>
      <w:r>
        <w:rPr>
          <w:lang w:val="fr-FR"/>
        </w:rPr>
        <w:t>’</w:t>
      </w:r>
      <w:r w:rsidRPr="00A47D25">
        <w:rPr>
          <w:lang w:val="fr-FR"/>
        </w:rPr>
        <w:t>à la lumière du contenu de la troisième demande de réexamen qu</w:t>
      </w:r>
      <w:r>
        <w:rPr>
          <w:lang w:val="fr-FR"/>
        </w:rPr>
        <w:t>’</w:t>
      </w:r>
      <w:r w:rsidRPr="00A47D25">
        <w:rPr>
          <w:lang w:val="fr-FR"/>
        </w:rPr>
        <w:t>il est possible de tenter de comprendre ce que souhaite celui qui a été considéré comme l</w:t>
      </w:r>
      <w:r>
        <w:rPr>
          <w:lang w:val="fr-FR"/>
        </w:rPr>
        <w:t>’</w:t>
      </w:r>
      <w:r w:rsidRPr="00A47D25">
        <w:rPr>
          <w:lang w:val="fr-FR"/>
        </w:rPr>
        <w:t xml:space="preserve">auteur de la communication, bien que </w:t>
      </w:r>
      <w:r>
        <w:rPr>
          <w:lang w:val="fr-FR"/>
        </w:rPr>
        <w:t>la</w:t>
      </w:r>
      <w:r w:rsidRPr="00A47D25">
        <w:rPr>
          <w:lang w:val="fr-FR"/>
        </w:rPr>
        <w:t xml:space="preserve"> demande </w:t>
      </w:r>
      <w:r>
        <w:rPr>
          <w:lang w:val="fr-FR"/>
        </w:rPr>
        <w:t>porte sur un objet</w:t>
      </w:r>
      <w:r w:rsidRPr="00A47D25">
        <w:rPr>
          <w:lang w:val="fr-FR"/>
        </w:rPr>
        <w:t xml:space="preserve"> différent de celui de la présente communication. L</w:t>
      </w:r>
      <w:r>
        <w:rPr>
          <w:lang w:val="fr-FR"/>
        </w:rPr>
        <w:t>’</w:t>
      </w:r>
      <w:r w:rsidRPr="00A47D25">
        <w:rPr>
          <w:lang w:val="fr-FR"/>
        </w:rPr>
        <w:t xml:space="preserve">État partie note </w:t>
      </w:r>
      <w:r>
        <w:rPr>
          <w:lang w:val="fr-FR"/>
        </w:rPr>
        <w:t>que, face à</w:t>
      </w:r>
      <w:r w:rsidRPr="00A47D25">
        <w:rPr>
          <w:lang w:val="fr-FR"/>
        </w:rPr>
        <w:t xml:space="preserve"> la communication</w:t>
      </w:r>
      <w:r>
        <w:rPr>
          <w:lang w:val="fr-FR"/>
        </w:rPr>
        <w:t xml:space="preserve"> à l’examen</w:t>
      </w:r>
      <w:r w:rsidRPr="00A47D25">
        <w:rPr>
          <w:lang w:val="fr-FR"/>
        </w:rPr>
        <w:t>, le Comité a dû adresser un questionnaire à l</w:t>
      </w:r>
      <w:r>
        <w:rPr>
          <w:lang w:val="fr-FR"/>
        </w:rPr>
        <w:t>’</w:t>
      </w:r>
      <w:r w:rsidRPr="00A47D25">
        <w:rPr>
          <w:lang w:val="fr-FR"/>
        </w:rPr>
        <w:t xml:space="preserve">auteur pour en comprendre la motivation et que la réponse « particulièrement laconique » </w:t>
      </w:r>
      <w:r>
        <w:rPr>
          <w:lang w:val="fr-FR"/>
        </w:rPr>
        <w:t xml:space="preserve">qui y a été apportée </w:t>
      </w:r>
      <w:r w:rsidRPr="00A47D25">
        <w:rPr>
          <w:lang w:val="fr-FR"/>
        </w:rPr>
        <w:t xml:space="preserve">ne saurait remédier aux insuffisances de la </w:t>
      </w:r>
      <w:r>
        <w:rPr>
          <w:lang w:val="fr-FR"/>
        </w:rPr>
        <w:t>lettre</w:t>
      </w:r>
      <w:r w:rsidRPr="00A47D25">
        <w:rPr>
          <w:lang w:val="fr-FR"/>
        </w:rPr>
        <w:t xml:space="preserve"> initiale. </w:t>
      </w:r>
      <w:r>
        <w:rPr>
          <w:lang w:val="fr-FR"/>
        </w:rPr>
        <w:t>Enfin</w:t>
      </w:r>
      <w:r w:rsidRPr="00A47D25">
        <w:rPr>
          <w:lang w:val="fr-FR"/>
        </w:rPr>
        <w:t xml:space="preserve">, la communication expose les faits de manière simplifiée et </w:t>
      </w:r>
      <w:r>
        <w:rPr>
          <w:lang w:val="fr-FR"/>
        </w:rPr>
        <w:t xml:space="preserve">renvoie </w:t>
      </w:r>
      <w:r w:rsidRPr="00A47D25">
        <w:rPr>
          <w:lang w:val="fr-FR"/>
        </w:rPr>
        <w:t xml:space="preserve">à des éléments de fait </w:t>
      </w:r>
      <w:r>
        <w:rPr>
          <w:lang w:val="fr-FR"/>
        </w:rPr>
        <w:t>qui ne concernent</w:t>
      </w:r>
      <w:r w:rsidRPr="00A47D25">
        <w:rPr>
          <w:lang w:val="fr-FR"/>
        </w:rPr>
        <w:t xml:space="preserve"> pas G.</w:t>
      </w:r>
      <w:r w:rsidR="00916954">
        <w:rPr>
          <w:lang w:val="fr-FR"/>
        </w:rPr>
        <w:t> </w:t>
      </w:r>
      <w:r w:rsidRPr="00A47D25">
        <w:rPr>
          <w:lang w:val="fr-FR"/>
        </w:rPr>
        <w:t>R. et ses droits.</w:t>
      </w:r>
    </w:p>
    <w:p w14:paraId="2E1A33B9" w14:textId="19D2BE40" w:rsidR="00434CC2" w:rsidRPr="00A47D25" w:rsidRDefault="00434CC2" w:rsidP="00434CC2">
      <w:pPr>
        <w:pStyle w:val="H23G"/>
        <w:rPr>
          <w:lang w:val="fr-FR"/>
        </w:rPr>
      </w:pPr>
      <w:r>
        <w:rPr>
          <w:lang w:val="fr-FR"/>
        </w:rPr>
        <w:tab/>
      </w:r>
      <w:r>
        <w:rPr>
          <w:lang w:val="fr-FR"/>
        </w:rPr>
        <w:tab/>
      </w:r>
      <w:r w:rsidRPr="00A47D25">
        <w:rPr>
          <w:lang w:val="fr-FR"/>
        </w:rPr>
        <w:t>Commentaires de l</w:t>
      </w:r>
      <w:r>
        <w:rPr>
          <w:lang w:val="fr-FR"/>
        </w:rPr>
        <w:t>’</w:t>
      </w:r>
      <w:r w:rsidRPr="00A47D25">
        <w:rPr>
          <w:lang w:val="fr-FR"/>
        </w:rPr>
        <w:t>auteur sur les observations de l</w:t>
      </w:r>
      <w:r>
        <w:rPr>
          <w:lang w:val="fr-FR"/>
        </w:rPr>
        <w:t>’</w:t>
      </w:r>
      <w:r w:rsidRPr="00A47D25">
        <w:rPr>
          <w:lang w:val="fr-FR"/>
        </w:rPr>
        <w:t xml:space="preserve">État partie </w:t>
      </w:r>
      <w:r w:rsidR="00693DE3">
        <w:rPr>
          <w:lang w:val="fr-FR"/>
        </w:rPr>
        <w:br/>
      </w:r>
      <w:r w:rsidRPr="00A47D25">
        <w:rPr>
          <w:lang w:val="fr-FR"/>
        </w:rPr>
        <w:t>concernant la recevabilité</w:t>
      </w:r>
    </w:p>
    <w:p w14:paraId="3E3F01B2" w14:textId="6602B4E1" w:rsidR="00434CC2" w:rsidRPr="00A47D25" w:rsidRDefault="00434CC2" w:rsidP="00434CC2">
      <w:pPr>
        <w:pStyle w:val="SingleTxtG"/>
        <w:rPr>
          <w:lang w:val="fr-FR"/>
        </w:rPr>
      </w:pPr>
      <w:r w:rsidRPr="00A47D25">
        <w:rPr>
          <w:lang w:val="fr-FR"/>
        </w:rPr>
        <w:t>5.1</w:t>
      </w:r>
      <w:r w:rsidRPr="00A47D25">
        <w:rPr>
          <w:lang w:val="fr-FR"/>
        </w:rPr>
        <w:tab/>
        <w:t>Dans ses commentaires du 2</w:t>
      </w:r>
      <w:r w:rsidR="00693DE3">
        <w:rPr>
          <w:lang w:val="fr-FR"/>
        </w:rPr>
        <w:t> </w:t>
      </w:r>
      <w:r w:rsidRPr="00A47D25">
        <w:rPr>
          <w:lang w:val="fr-FR"/>
        </w:rPr>
        <w:t>octobre 2019, l</w:t>
      </w:r>
      <w:r>
        <w:rPr>
          <w:lang w:val="fr-FR"/>
        </w:rPr>
        <w:t>’</w:t>
      </w:r>
      <w:r w:rsidRPr="00A47D25">
        <w:rPr>
          <w:lang w:val="fr-FR"/>
        </w:rPr>
        <w:t xml:space="preserve">auteur conteste </w:t>
      </w:r>
      <w:r>
        <w:rPr>
          <w:lang w:val="fr-FR"/>
        </w:rPr>
        <w:t>l’argument de l’État partie selon lequel</w:t>
      </w:r>
      <w:r w:rsidRPr="00A47D25">
        <w:rPr>
          <w:lang w:val="fr-FR"/>
        </w:rPr>
        <w:t xml:space="preserve"> les voies de recours internes </w:t>
      </w:r>
      <w:r>
        <w:rPr>
          <w:lang w:val="fr-FR"/>
        </w:rPr>
        <w:t>n’ont</w:t>
      </w:r>
      <w:r w:rsidRPr="00A47D25">
        <w:rPr>
          <w:lang w:val="fr-FR"/>
        </w:rPr>
        <w:t xml:space="preserve"> pas </w:t>
      </w:r>
      <w:r>
        <w:rPr>
          <w:lang w:val="fr-FR"/>
        </w:rPr>
        <w:t xml:space="preserve">été </w:t>
      </w:r>
      <w:r w:rsidRPr="00A47D25">
        <w:rPr>
          <w:lang w:val="fr-FR"/>
        </w:rPr>
        <w:t>épuisé</w:t>
      </w:r>
      <w:r>
        <w:rPr>
          <w:lang w:val="fr-FR"/>
        </w:rPr>
        <w:t>e</w:t>
      </w:r>
      <w:r w:rsidRPr="00A47D25">
        <w:rPr>
          <w:lang w:val="fr-FR"/>
        </w:rPr>
        <w:t>s et fait valoir l</w:t>
      </w:r>
      <w:r>
        <w:rPr>
          <w:lang w:val="fr-FR"/>
        </w:rPr>
        <w:t>’</w:t>
      </w:r>
      <w:r w:rsidRPr="00A47D25">
        <w:rPr>
          <w:lang w:val="fr-FR"/>
        </w:rPr>
        <w:t xml:space="preserve">existence de motifs </w:t>
      </w:r>
      <w:r>
        <w:rPr>
          <w:lang w:val="fr-FR"/>
        </w:rPr>
        <w:t>valables</w:t>
      </w:r>
      <w:r w:rsidRPr="00A47D25">
        <w:rPr>
          <w:lang w:val="fr-FR"/>
        </w:rPr>
        <w:t xml:space="preserve"> pour le non-respect du délai de recours contre la décision du </w:t>
      </w:r>
      <w:r>
        <w:rPr>
          <w:lang w:val="fr-FR"/>
        </w:rPr>
        <w:t>Secrétariat d’État aux migrations</w:t>
      </w:r>
      <w:r w:rsidRPr="00A47D25">
        <w:rPr>
          <w:lang w:val="fr-FR"/>
        </w:rPr>
        <w:t xml:space="preserve"> du 24</w:t>
      </w:r>
      <w:r w:rsidR="000D7D50">
        <w:rPr>
          <w:lang w:val="fr-FR"/>
        </w:rPr>
        <w:t> </w:t>
      </w:r>
      <w:r w:rsidRPr="00A47D25">
        <w:rPr>
          <w:lang w:val="fr-FR"/>
        </w:rPr>
        <w:t xml:space="preserve">avril 2019. </w:t>
      </w:r>
      <w:r>
        <w:rPr>
          <w:lang w:val="fr-FR"/>
        </w:rPr>
        <w:t>Après avoir été informé de</w:t>
      </w:r>
      <w:r w:rsidRPr="00A47D25">
        <w:rPr>
          <w:lang w:val="fr-FR"/>
        </w:rPr>
        <w:t xml:space="preserve"> cette décision, il s</w:t>
      </w:r>
      <w:r>
        <w:rPr>
          <w:lang w:val="fr-FR"/>
        </w:rPr>
        <w:t>’</w:t>
      </w:r>
      <w:r w:rsidRPr="00A47D25">
        <w:rPr>
          <w:lang w:val="fr-FR"/>
        </w:rPr>
        <w:t xml:space="preserve">est immédiatement rendu </w:t>
      </w:r>
      <w:r>
        <w:rPr>
          <w:lang w:val="fr-FR"/>
        </w:rPr>
        <w:t>dans une permanence juridique gratuite</w:t>
      </w:r>
      <w:r w:rsidRPr="00A47D25">
        <w:rPr>
          <w:lang w:val="fr-FR"/>
        </w:rPr>
        <w:t>, qui a refusé de rédiger de recours en raison de sa charge de travail. Le délai de cinq jours étant très court, et les horaires de permanence à Genève étant restreints, il n</w:t>
      </w:r>
      <w:r>
        <w:rPr>
          <w:lang w:val="fr-FR"/>
        </w:rPr>
        <w:t>’</w:t>
      </w:r>
      <w:r w:rsidRPr="00A47D25">
        <w:rPr>
          <w:lang w:val="fr-FR"/>
        </w:rPr>
        <w:t>a pas pu s</w:t>
      </w:r>
      <w:r>
        <w:rPr>
          <w:lang w:val="fr-FR"/>
        </w:rPr>
        <w:t>’</w:t>
      </w:r>
      <w:r w:rsidRPr="00A47D25">
        <w:rPr>
          <w:lang w:val="fr-FR"/>
        </w:rPr>
        <w:t xml:space="preserve">adresser à </w:t>
      </w:r>
      <w:r>
        <w:rPr>
          <w:lang w:val="fr-FR"/>
        </w:rPr>
        <w:t>une autre permanence</w:t>
      </w:r>
      <w:r w:rsidRPr="00A47D25">
        <w:rPr>
          <w:lang w:val="fr-FR"/>
        </w:rPr>
        <w:t xml:space="preserve"> à temps. À cette même période, V.</w:t>
      </w:r>
      <w:r w:rsidR="000D7D50">
        <w:rPr>
          <w:lang w:val="fr-FR"/>
        </w:rPr>
        <w:t> </w:t>
      </w:r>
      <w:r w:rsidRPr="00A47D25">
        <w:rPr>
          <w:lang w:val="fr-FR"/>
        </w:rPr>
        <w:t>R. et G.</w:t>
      </w:r>
      <w:r w:rsidR="000D7D50">
        <w:rPr>
          <w:lang w:val="fr-FR"/>
        </w:rPr>
        <w:t> </w:t>
      </w:r>
      <w:r w:rsidRPr="00A47D25">
        <w:rPr>
          <w:lang w:val="fr-FR"/>
        </w:rPr>
        <w:t>R. se trouvaient à l</w:t>
      </w:r>
      <w:r>
        <w:rPr>
          <w:lang w:val="fr-FR"/>
        </w:rPr>
        <w:t>’</w:t>
      </w:r>
      <w:r w:rsidRPr="00A47D25">
        <w:rPr>
          <w:lang w:val="fr-FR"/>
        </w:rPr>
        <w:t>hôpital dans un état critique</w:t>
      </w:r>
      <w:r>
        <w:rPr>
          <w:lang w:val="fr-FR"/>
        </w:rPr>
        <w:t>,</w:t>
      </w:r>
      <w:r w:rsidRPr="00A47D25">
        <w:rPr>
          <w:lang w:val="fr-FR"/>
        </w:rPr>
        <w:t xml:space="preserve"> </w:t>
      </w:r>
      <w:r>
        <w:rPr>
          <w:lang w:val="fr-FR"/>
        </w:rPr>
        <w:t>ce</w:t>
      </w:r>
      <w:r w:rsidR="000D7D50">
        <w:rPr>
          <w:lang w:val="fr-FR"/>
        </w:rPr>
        <w:t> </w:t>
      </w:r>
      <w:r>
        <w:rPr>
          <w:lang w:val="fr-FR"/>
        </w:rPr>
        <w:t>qui signifie que l’auteur</w:t>
      </w:r>
      <w:r w:rsidRPr="00A47D25">
        <w:rPr>
          <w:lang w:val="fr-FR"/>
        </w:rPr>
        <w:t xml:space="preserve"> devait </w:t>
      </w:r>
      <w:r>
        <w:rPr>
          <w:lang w:val="fr-FR"/>
        </w:rPr>
        <w:t xml:space="preserve">en même temps </w:t>
      </w:r>
      <w:r w:rsidRPr="00A47D25">
        <w:rPr>
          <w:lang w:val="fr-FR"/>
        </w:rPr>
        <w:t xml:space="preserve">effectuer ces démarches </w:t>
      </w:r>
      <w:r>
        <w:rPr>
          <w:lang w:val="fr-FR"/>
        </w:rPr>
        <w:t>et rendre visite à sa femme et à son enfant</w:t>
      </w:r>
      <w:r w:rsidRPr="00A47D25">
        <w:rPr>
          <w:lang w:val="fr-FR"/>
        </w:rPr>
        <w:t xml:space="preserve"> à </w:t>
      </w:r>
      <w:r w:rsidRPr="000D7D50">
        <w:rPr>
          <w:lang w:val="fr-FR"/>
        </w:rPr>
        <w:t>l’hôpital. En outre, il n’avait pas les moyens de payer un avocat. De plus, il ne parle pas le français, ne comprenait pas la décision et ne connaît pas la marche à suivre pour rédiger un recours, les recours précédents ayant été rédigés et soumis par un conseil professionnel. Il affirme n’avoir pu</w:t>
      </w:r>
      <w:r w:rsidRPr="00A47D25">
        <w:rPr>
          <w:lang w:val="fr-FR"/>
        </w:rPr>
        <w:t xml:space="preserve"> déposer de demande d</w:t>
      </w:r>
      <w:r>
        <w:rPr>
          <w:lang w:val="fr-FR"/>
        </w:rPr>
        <w:t>’</w:t>
      </w:r>
      <w:r w:rsidRPr="00A47D25">
        <w:rPr>
          <w:lang w:val="fr-FR"/>
        </w:rPr>
        <w:t xml:space="preserve">assistance </w:t>
      </w:r>
      <w:r>
        <w:rPr>
          <w:lang w:val="fr-FR"/>
        </w:rPr>
        <w:t>judiciaire</w:t>
      </w:r>
      <w:r w:rsidRPr="00A47D25">
        <w:rPr>
          <w:lang w:val="fr-FR"/>
        </w:rPr>
        <w:t xml:space="preserve"> gratuite, puisque ce n</w:t>
      </w:r>
      <w:r>
        <w:rPr>
          <w:lang w:val="fr-FR"/>
        </w:rPr>
        <w:t>’</w:t>
      </w:r>
      <w:r w:rsidRPr="00A47D25">
        <w:rPr>
          <w:lang w:val="fr-FR"/>
        </w:rPr>
        <w:t>est qu</w:t>
      </w:r>
      <w:r>
        <w:rPr>
          <w:lang w:val="fr-FR"/>
        </w:rPr>
        <w:t>’</w:t>
      </w:r>
      <w:r w:rsidRPr="00A47D25">
        <w:rPr>
          <w:lang w:val="fr-FR"/>
        </w:rPr>
        <w:t xml:space="preserve">après le dépôt du recours que le </w:t>
      </w:r>
      <w:r>
        <w:rPr>
          <w:lang w:val="fr-FR"/>
        </w:rPr>
        <w:t xml:space="preserve">Tribunal administratif fédéral </w:t>
      </w:r>
      <w:r w:rsidRPr="00A47D25">
        <w:rPr>
          <w:lang w:val="fr-FR"/>
        </w:rPr>
        <w:t>peut trancher la question d</w:t>
      </w:r>
      <w:r>
        <w:rPr>
          <w:lang w:val="fr-FR"/>
        </w:rPr>
        <w:t>’</w:t>
      </w:r>
      <w:r w:rsidRPr="00A47D25">
        <w:rPr>
          <w:lang w:val="fr-FR"/>
        </w:rPr>
        <w:t xml:space="preserve">une éventuelle indigence. </w:t>
      </w:r>
      <w:r>
        <w:rPr>
          <w:lang w:val="fr-FR"/>
        </w:rPr>
        <w:t>Étant donné que</w:t>
      </w:r>
      <w:r w:rsidRPr="00A47D25">
        <w:rPr>
          <w:lang w:val="fr-FR"/>
        </w:rPr>
        <w:t xml:space="preserve"> le Protocole facultatif</w:t>
      </w:r>
      <w:r>
        <w:rPr>
          <w:lang w:val="fr-FR"/>
        </w:rPr>
        <w:t xml:space="preserve"> reconnaît les</w:t>
      </w:r>
      <w:r w:rsidRPr="00A47D25">
        <w:rPr>
          <w:lang w:val="fr-FR"/>
        </w:rPr>
        <w:t xml:space="preserve"> grandes difficultés que peuvent avoir les enfants à se prévaloir des recours disponibles en cas de violation de leurs droits, les exigences quant à l</w:t>
      </w:r>
      <w:r>
        <w:rPr>
          <w:lang w:val="fr-FR"/>
        </w:rPr>
        <w:t>’</w:t>
      </w:r>
      <w:r w:rsidRPr="00A47D25">
        <w:rPr>
          <w:lang w:val="fr-FR"/>
        </w:rPr>
        <w:t>épuisement des voies de recours internes devraient, en l</w:t>
      </w:r>
      <w:r>
        <w:rPr>
          <w:lang w:val="fr-FR"/>
        </w:rPr>
        <w:t>’</w:t>
      </w:r>
      <w:r w:rsidRPr="00A47D25">
        <w:rPr>
          <w:lang w:val="fr-FR"/>
        </w:rPr>
        <w:t>espèce, être assouplies.</w:t>
      </w:r>
    </w:p>
    <w:p w14:paraId="1230DA11" w14:textId="42F6C0DC" w:rsidR="00434CC2" w:rsidRPr="00A47D25" w:rsidRDefault="00434CC2" w:rsidP="00434CC2">
      <w:pPr>
        <w:pStyle w:val="SingleTxtG"/>
        <w:rPr>
          <w:lang w:val="fr-FR"/>
        </w:rPr>
      </w:pPr>
      <w:r w:rsidRPr="00A47D25">
        <w:rPr>
          <w:lang w:val="fr-FR"/>
        </w:rPr>
        <w:t>5.2</w:t>
      </w:r>
      <w:r w:rsidRPr="00A47D25">
        <w:rPr>
          <w:lang w:val="fr-FR"/>
        </w:rPr>
        <w:tab/>
        <w:t>Concernant l</w:t>
      </w:r>
      <w:r>
        <w:rPr>
          <w:lang w:val="fr-FR"/>
        </w:rPr>
        <w:t>’</w:t>
      </w:r>
      <w:r w:rsidRPr="00A47D25">
        <w:rPr>
          <w:lang w:val="fr-FR"/>
        </w:rPr>
        <w:t>observation de l</w:t>
      </w:r>
      <w:r>
        <w:rPr>
          <w:lang w:val="fr-FR"/>
        </w:rPr>
        <w:t>’</w:t>
      </w:r>
      <w:r w:rsidRPr="00A47D25">
        <w:rPr>
          <w:lang w:val="fr-FR"/>
        </w:rPr>
        <w:t>État partie selon laquelle la communication est insuffisamment motivée, l</w:t>
      </w:r>
      <w:r>
        <w:rPr>
          <w:lang w:val="fr-FR"/>
        </w:rPr>
        <w:t>’</w:t>
      </w:r>
      <w:r w:rsidRPr="00A47D25">
        <w:rPr>
          <w:lang w:val="fr-FR"/>
        </w:rPr>
        <w:t>auteur fait valoir qu</w:t>
      </w:r>
      <w:r>
        <w:rPr>
          <w:lang w:val="fr-FR"/>
        </w:rPr>
        <w:t>’</w:t>
      </w:r>
      <w:r w:rsidRPr="00A47D25">
        <w:rPr>
          <w:lang w:val="fr-FR"/>
        </w:rPr>
        <w:t xml:space="preserve">il </w:t>
      </w:r>
      <w:r>
        <w:rPr>
          <w:lang w:val="fr-FR"/>
        </w:rPr>
        <w:t>convient de se rappeler</w:t>
      </w:r>
      <w:r w:rsidRPr="00A47D25">
        <w:rPr>
          <w:lang w:val="fr-FR"/>
        </w:rPr>
        <w:t xml:space="preserve"> qu</w:t>
      </w:r>
      <w:r>
        <w:rPr>
          <w:lang w:val="fr-FR"/>
        </w:rPr>
        <w:t>’</w:t>
      </w:r>
      <w:r w:rsidRPr="00A47D25">
        <w:rPr>
          <w:lang w:val="fr-FR"/>
        </w:rPr>
        <w:t>il a rédigé la soumission initiale et sa réponse aux questions du Comité sans représentation, dans une langue qui n</w:t>
      </w:r>
      <w:r>
        <w:rPr>
          <w:lang w:val="fr-FR"/>
        </w:rPr>
        <w:t>’</w:t>
      </w:r>
      <w:r w:rsidRPr="00A47D25">
        <w:rPr>
          <w:lang w:val="fr-FR"/>
        </w:rPr>
        <w:t xml:space="preserve">est pas sa langue maternelle. Ainsi, les exigences </w:t>
      </w:r>
      <w:r>
        <w:rPr>
          <w:lang w:val="fr-FR"/>
        </w:rPr>
        <w:t>concernant</w:t>
      </w:r>
      <w:r w:rsidRPr="00A47D25">
        <w:rPr>
          <w:lang w:val="fr-FR"/>
        </w:rPr>
        <w:t xml:space="preserve"> la forme, </w:t>
      </w:r>
      <w:r>
        <w:rPr>
          <w:lang w:val="fr-FR"/>
        </w:rPr>
        <w:t>les</w:t>
      </w:r>
      <w:r w:rsidRPr="00A47D25">
        <w:rPr>
          <w:lang w:val="fr-FR"/>
        </w:rPr>
        <w:t xml:space="preserve"> conclusions et la motivation ne devraient pas être trop élevées. En outre, il a été possible pour le Comité et l</w:t>
      </w:r>
      <w:r>
        <w:rPr>
          <w:lang w:val="fr-FR"/>
        </w:rPr>
        <w:t>’</w:t>
      </w:r>
      <w:r w:rsidRPr="00A47D25">
        <w:rPr>
          <w:lang w:val="fr-FR"/>
        </w:rPr>
        <w:t>État partie de comprendre ce qu</w:t>
      </w:r>
      <w:r>
        <w:rPr>
          <w:lang w:val="fr-FR"/>
        </w:rPr>
        <w:t>’</w:t>
      </w:r>
      <w:r w:rsidRPr="00A47D25">
        <w:rPr>
          <w:lang w:val="fr-FR"/>
        </w:rPr>
        <w:t>il demande, d</w:t>
      </w:r>
      <w:r>
        <w:rPr>
          <w:lang w:val="fr-FR"/>
        </w:rPr>
        <w:t>’</w:t>
      </w:r>
      <w:r w:rsidRPr="00A47D25">
        <w:rPr>
          <w:lang w:val="fr-FR"/>
        </w:rPr>
        <w:t>identifier les griefs et de comprendre la motivation. La communication est donc suffisamment motivée.</w:t>
      </w:r>
    </w:p>
    <w:p w14:paraId="772A6DD4" w14:textId="56DD334D" w:rsidR="00434CC2" w:rsidRPr="000D7D50" w:rsidRDefault="00434CC2" w:rsidP="00434CC2">
      <w:pPr>
        <w:keepNext/>
        <w:keepLines/>
        <w:tabs>
          <w:tab w:val="right" w:pos="851"/>
        </w:tabs>
        <w:spacing w:before="240" w:after="120" w:line="240" w:lineRule="exact"/>
        <w:ind w:left="1134" w:right="1134" w:hanging="1134"/>
        <w:outlineLvl w:val="3"/>
        <w:rPr>
          <w:rFonts w:eastAsia="Calibri"/>
          <w:b/>
          <w:lang w:val="fr-FR"/>
        </w:rPr>
      </w:pPr>
      <w:r w:rsidRPr="00A47D25">
        <w:rPr>
          <w:rFonts w:eastAsia="Calibri"/>
          <w:b/>
          <w:lang w:val="fr-FR"/>
        </w:rPr>
        <w:tab/>
      </w:r>
      <w:r w:rsidRPr="00A47D25">
        <w:rPr>
          <w:rFonts w:eastAsia="Calibri"/>
          <w:b/>
          <w:lang w:val="fr-FR"/>
        </w:rPr>
        <w:tab/>
      </w:r>
      <w:r w:rsidRPr="000D7D50">
        <w:rPr>
          <w:rFonts w:eastAsia="Calibri"/>
          <w:b/>
          <w:lang w:val="fr-FR"/>
        </w:rPr>
        <w:t>Observations complémentaires de l’État partie sur la recevabilité et le fond</w:t>
      </w:r>
    </w:p>
    <w:p w14:paraId="31C44BF0" w14:textId="39D3A299" w:rsidR="00434CC2" w:rsidRPr="00A47D25" w:rsidRDefault="00434CC2" w:rsidP="00434CC2">
      <w:pPr>
        <w:pStyle w:val="SingleTxtG"/>
        <w:rPr>
          <w:lang w:val="fr-FR"/>
        </w:rPr>
      </w:pPr>
      <w:r w:rsidRPr="000D7D50">
        <w:rPr>
          <w:lang w:val="fr-FR"/>
        </w:rPr>
        <w:t>6.1</w:t>
      </w:r>
      <w:r w:rsidRPr="000D7D50">
        <w:rPr>
          <w:lang w:val="fr-FR"/>
        </w:rPr>
        <w:tab/>
        <w:t>Dans ses observations du 14</w:t>
      </w:r>
      <w:r w:rsidR="00BD41D7">
        <w:rPr>
          <w:lang w:val="fr-FR"/>
        </w:rPr>
        <w:t> </w:t>
      </w:r>
      <w:r w:rsidRPr="000D7D50">
        <w:rPr>
          <w:lang w:val="fr-FR"/>
        </w:rPr>
        <w:t>février 2020, l’État partie note que le délai de recours contre la décision du Secrétariat d’État aux migrations du 24</w:t>
      </w:r>
      <w:r w:rsidR="00BD41D7">
        <w:rPr>
          <w:lang w:val="fr-FR"/>
        </w:rPr>
        <w:t> </w:t>
      </w:r>
      <w:r w:rsidRPr="000D7D50">
        <w:rPr>
          <w:lang w:val="fr-FR"/>
        </w:rPr>
        <w:t>avril 2019 était de cinq</w:t>
      </w:r>
      <w:r w:rsidR="00BD41D7">
        <w:rPr>
          <w:lang w:val="fr-FR"/>
        </w:rPr>
        <w:t> </w:t>
      </w:r>
      <w:r w:rsidRPr="000D7D50">
        <w:rPr>
          <w:lang w:val="fr-FR"/>
        </w:rPr>
        <w:t>jours ouvrables à compter de la notification. Vu que l’auteur connaissait les démarches à entreprendre, il ne saurait prétendre qu’il n’a pas pu s’adresser à une autre permanence juridique gratuite. L’État partie conteste le fait qu’il ne parle pas le français, étant donné qu’il a précédemment fait valoir qu’il prenait des cours de français intensifs, niveau A1, et que « plusieurs personnes ont confirmé qu’il avait maintenant un très bon niveau de français ». Il réitère ses observations quant à l’absence de moyens financiers</w:t>
      </w:r>
      <w:r w:rsidRPr="00A47D25">
        <w:rPr>
          <w:lang w:val="fr-FR"/>
        </w:rPr>
        <w:t xml:space="preserve"> pour introduire un recours et au principe de subsidiarité, soulignant que les griefs invoqués n</w:t>
      </w:r>
      <w:r>
        <w:rPr>
          <w:lang w:val="fr-FR"/>
        </w:rPr>
        <w:t>’</w:t>
      </w:r>
      <w:r w:rsidRPr="00A47D25">
        <w:rPr>
          <w:lang w:val="fr-FR"/>
        </w:rPr>
        <w:t xml:space="preserve">ont jamais été portés devant le </w:t>
      </w:r>
      <w:r>
        <w:rPr>
          <w:lang w:val="fr-FR"/>
        </w:rPr>
        <w:t>Tribunal administratif fédéral</w:t>
      </w:r>
      <w:r w:rsidRPr="00A47D25">
        <w:rPr>
          <w:lang w:val="fr-FR"/>
        </w:rPr>
        <w:t>. Bien que le Protocole facultatif reconnaisse que les enfants peuvent avoir de grandes difficultés à se prévaloir des recours disponibles, les circonstances du cas d</w:t>
      </w:r>
      <w:r>
        <w:rPr>
          <w:lang w:val="fr-FR"/>
        </w:rPr>
        <w:t>’</w:t>
      </w:r>
      <w:r w:rsidRPr="00A47D25">
        <w:rPr>
          <w:lang w:val="fr-FR"/>
        </w:rPr>
        <w:t>espèce et les motifs mis en avant ne justifient pas un assouplissement des exigences à cet égard. L</w:t>
      </w:r>
      <w:r>
        <w:rPr>
          <w:lang w:val="fr-FR"/>
        </w:rPr>
        <w:t>’</w:t>
      </w:r>
      <w:r w:rsidRPr="00A47D25">
        <w:rPr>
          <w:lang w:val="fr-FR"/>
        </w:rPr>
        <w:t xml:space="preserve">État partie </w:t>
      </w:r>
      <w:r>
        <w:rPr>
          <w:lang w:val="fr-FR"/>
        </w:rPr>
        <w:t>réaffirme</w:t>
      </w:r>
      <w:r w:rsidRPr="00A47D25">
        <w:rPr>
          <w:lang w:val="fr-FR"/>
        </w:rPr>
        <w:t xml:space="preserve"> que la communication est insuffisamment motivée.</w:t>
      </w:r>
    </w:p>
    <w:p w14:paraId="52A1FBA5" w14:textId="1E677757" w:rsidR="00434CC2" w:rsidRPr="00A47D25" w:rsidRDefault="00434CC2" w:rsidP="00434CC2">
      <w:pPr>
        <w:pStyle w:val="SingleTxtG"/>
        <w:rPr>
          <w:lang w:val="fr-FR"/>
        </w:rPr>
      </w:pPr>
      <w:r w:rsidRPr="00A47D25">
        <w:rPr>
          <w:lang w:val="fr-FR"/>
        </w:rPr>
        <w:t>6.2</w:t>
      </w:r>
      <w:r w:rsidRPr="00A47D25">
        <w:rPr>
          <w:lang w:val="fr-FR"/>
        </w:rPr>
        <w:tab/>
        <w:t>L</w:t>
      </w:r>
      <w:r>
        <w:rPr>
          <w:lang w:val="fr-FR"/>
        </w:rPr>
        <w:t>’</w:t>
      </w:r>
      <w:r w:rsidRPr="00A47D25">
        <w:rPr>
          <w:lang w:val="fr-FR"/>
        </w:rPr>
        <w:t>État partie estime que les articles 3 et 4 de la Convention ne fondent aucun droit subjectif et ne sont donc pas directement applicables</w:t>
      </w:r>
      <w:r>
        <w:rPr>
          <w:rStyle w:val="Appelnotedebasdep"/>
        </w:rPr>
        <w:footnoteReference w:id="6"/>
      </w:r>
      <w:r w:rsidRPr="00A47D25">
        <w:rPr>
          <w:lang w:val="fr-FR"/>
        </w:rPr>
        <w:t>. À l</w:t>
      </w:r>
      <w:r>
        <w:rPr>
          <w:lang w:val="fr-FR"/>
        </w:rPr>
        <w:t>’</w:t>
      </w:r>
      <w:r w:rsidRPr="00A47D25">
        <w:rPr>
          <w:lang w:val="fr-FR"/>
        </w:rPr>
        <w:t>exception de l</w:t>
      </w:r>
      <w:r>
        <w:rPr>
          <w:lang w:val="fr-FR"/>
        </w:rPr>
        <w:t>’</w:t>
      </w:r>
      <w:r w:rsidRPr="00A47D25">
        <w:rPr>
          <w:lang w:val="fr-FR"/>
        </w:rPr>
        <w:t xml:space="preserve">interdiction de la torture et des peines et </w:t>
      </w:r>
      <w:r>
        <w:rPr>
          <w:lang w:val="fr-FR"/>
        </w:rPr>
        <w:t xml:space="preserve">autres </w:t>
      </w:r>
      <w:r w:rsidRPr="00A47D25">
        <w:rPr>
          <w:lang w:val="fr-FR"/>
        </w:rPr>
        <w:t>traitements</w:t>
      </w:r>
      <w:r>
        <w:rPr>
          <w:lang w:val="fr-FR"/>
        </w:rPr>
        <w:t xml:space="preserve"> cruels,</w:t>
      </w:r>
      <w:r w:rsidRPr="00A47D25">
        <w:rPr>
          <w:lang w:val="fr-FR"/>
        </w:rPr>
        <w:t xml:space="preserve"> inhumains ou dégradants, l</w:t>
      </w:r>
      <w:r>
        <w:rPr>
          <w:lang w:val="fr-FR"/>
        </w:rPr>
        <w:t>’</w:t>
      </w:r>
      <w:r w:rsidRPr="00A47D25">
        <w:rPr>
          <w:lang w:val="fr-FR"/>
        </w:rPr>
        <w:t xml:space="preserve">État partie ne voit </w:t>
      </w:r>
      <w:r>
        <w:rPr>
          <w:lang w:val="fr-FR"/>
        </w:rPr>
        <w:t>pas quelle</w:t>
      </w:r>
      <w:r w:rsidRPr="00A47D25">
        <w:rPr>
          <w:lang w:val="fr-FR"/>
        </w:rPr>
        <w:t xml:space="preserve"> disposition </w:t>
      </w:r>
      <w:r>
        <w:rPr>
          <w:lang w:val="fr-FR"/>
        </w:rPr>
        <w:t>applicable aux</w:t>
      </w:r>
      <w:r w:rsidRPr="00A47D25">
        <w:rPr>
          <w:lang w:val="fr-FR"/>
        </w:rPr>
        <w:t xml:space="preserve"> griefs</w:t>
      </w:r>
      <w:r>
        <w:rPr>
          <w:lang w:val="fr-FR"/>
        </w:rPr>
        <w:t xml:space="preserve"> soulevés</w:t>
      </w:r>
      <w:r w:rsidRPr="00A47D25">
        <w:rPr>
          <w:lang w:val="fr-FR"/>
        </w:rPr>
        <w:t xml:space="preserve"> accorde</w:t>
      </w:r>
      <w:r>
        <w:rPr>
          <w:lang w:val="fr-FR"/>
        </w:rPr>
        <w:t>rait</w:t>
      </w:r>
      <w:r w:rsidRPr="00A47D25">
        <w:rPr>
          <w:lang w:val="fr-FR"/>
        </w:rPr>
        <w:t xml:space="preserve"> à G.</w:t>
      </w:r>
      <w:r w:rsidR="00BD41D7">
        <w:rPr>
          <w:lang w:val="fr-FR"/>
        </w:rPr>
        <w:t> </w:t>
      </w:r>
      <w:r w:rsidRPr="00A47D25">
        <w:rPr>
          <w:lang w:val="fr-FR"/>
        </w:rPr>
        <w:t xml:space="preserve">R. un droit subjectif et directement applicable. En </w:t>
      </w:r>
      <w:r>
        <w:rPr>
          <w:lang w:val="fr-FR"/>
        </w:rPr>
        <w:t>ce qui concerne</w:t>
      </w:r>
      <w:r w:rsidRPr="00A47D25">
        <w:rPr>
          <w:lang w:val="fr-FR"/>
        </w:rPr>
        <w:t xml:space="preserve"> l</w:t>
      </w:r>
      <w:r>
        <w:rPr>
          <w:lang w:val="fr-FR"/>
        </w:rPr>
        <w:t>’</w:t>
      </w:r>
      <w:r w:rsidRPr="00A47D25">
        <w:rPr>
          <w:lang w:val="fr-FR"/>
        </w:rPr>
        <w:t>article 3 de la Convention, l</w:t>
      </w:r>
      <w:r>
        <w:rPr>
          <w:lang w:val="fr-FR"/>
        </w:rPr>
        <w:t>’</w:t>
      </w:r>
      <w:r w:rsidRPr="00A47D25">
        <w:rPr>
          <w:lang w:val="fr-FR"/>
        </w:rPr>
        <w:t>État partie note que c</w:t>
      </w:r>
      <w:r>
        <w:rPr>
          <w:lang w:val="fr-FR"/>
        </w:rPr>
        <w:t>’</w:t>
      </w:r>
      <w:r w:rsidRPr="00A47D25">
        <w:rPr>
          <w:lang w:val="fr-FR"/>
        </w:rPr>
        <w:t xml:space="preserve">est le non-respect du délai légal de </w:t>
      </w:r>
      <w:r w:rsidR="00693DE3">
        <w:rPr>
          <w:lang w:val="fr-FR"/>
        </w:rPr>
        <w:t>trente</w:t>
      </w:r>
      <w:r w:rsidRPr="00A47D25">
        <w:rPr>
          <w:lang w:val="fr-FR"/>
        </w:rPr>
        <w:t xml:space="preserve"> jours qui a empêché le </w:t>
      </w:r>
      <w:r>
        <w:rPr>
          <w:lang w:val="fr-FR"/>
        </w:rPr>
        <w:t xml:space="preserve">Secrétariat d’État aux migrations </w:t>
      </w:r>
      <w:r w:rsidRPr="00A47D25">
        <w:rPr>
          <w:lang w:val="fr-FR"/>
        </w:rPr>
        <w:t>d</w:t>
      </w:r>
      <w:r>
        <w:rPr>
          <w:lang w:val="fr-FR"/>
        </w:rPr>
        <w:t>’</w:t>
      </w:r>
      <w:r w:rsidRPr="00A47D25">
        <w:rPr>
          <w:lang w:val="fr-FR"/>
        </w:rPr>
        <w:t xml:space="preserve">entrer en matière sur la demande de réexamen. Le </w:t>
      </w:r>
      <w:r>
        <w:rPr>
          <w:lang w:val="fr-FR"/>
        </w:rPr>
        <w:t xml:space="preserve">Secrétariat </w:t>
      </w:r>
      <w:r w:rsidRPr="00A47D25">
        <w:rPr>
          <w:lang w:val="fr-FR"/>
        </w:rPr>
        <w:t>a toutefois examiné, à titre préjudiciel, si la demande contenait des faits ou des moti</w:t>
      </w:r>
      <w:r>
        <w:rPr>
          <w:lang w:val="fr-FR"/>
        </w:rPr>
        <w:t>f</w:t>
      </w:r>
      <w:r w:rsidRPr="00A47D25">
        <w:rPr>
          <w:lang w:val="fr-FR"/>
        </w:rPr>
        <w:t xml:space="preserve">s de portée significative </w:t>
      </w:r>
      <w:r>
        <w:rPr>
          <w:lang w:val="fr-FR"/>
        </w:rPr>
        <w:t xml:space="preserve">qui pourraient </w:t>
      </w:r>
      <w:r w:rsidRPr="00A47D25">
        <w:rPr>
          <w:lang w:val="fr-FR"/>
        </w:rPr>
        <w:t xml:space="preserve">sérieusement soulever, </w:t>
      </w:r>
      <w:r>
        <w:rPr>
          <w:lang w:val="fr-FR"/>
        </w:rPr>
        <w:t>d’un point de vue</w:t>
      </w:r>
      <w:r w:rsidRPr="00A47D25">
        <w:rPr>
          <w:lang w:val="fr-FR"/>
        </w:rPr>
        <w:t xml:space="preserve"> objectif, la question de l</w:t>
      </w:r>
      <w:r>
        <w:rPr>
          <w:lang w:val="fr-FR"/>
        </w:rPr>
        <w:t>’</w:t>
      </w:r>
      <w:r w:rsidRPr="00A47D25">
        <w:rPr>
          <w:lang w:val="fr-FR"/>
        </w:rPr>
        <w:t>existence d</w:t>
      </w:r>
      <w:r>
        <w:rPr>
          <w:lang w:val="fr-FR"/>
        </w:rPr>
        <w:t>’</w:t>
      </w:r>
      <w:r w:rsidRPr="00A47D25">
        <w:rPr>
          <w:lang w:val="fr-FR"/>
        </w:rPr>
        <w:t>obstacles à l</w:t>
      </w:r>
      <w:r>
        <w:rPr>
          <w:lang w:val="fr-FR"/>
        </w:rPr>
        <w:t>’</w:t>
      </w:r>
      <w:r w:rsidRPr="00A47D25">
        <w:rPr>
          <w:lang w:val="fr-FR"/>
        </w:rPr>
        <w:t xml:space="preserve">exécution </w:t>
      </w:r>
      <w:r>
        <w:rPr>
          <w:lang w:val="fr-FR"/>
        </w:rPr>
        <w:t>de la décision de</w:t>
      </w:r>
      <w:r w:rsidRPr="00A47D25">
        <w:rPr>
          <w:lang w:val="fr-FR"/>
        </w:rPr>
        <w:t xml:space="preserve"> renvoi. Concernant les problèmes médicaux invoqués, le </w:t>
      </w:r>
      <w:r>
        <w:rPr>
          <w:lang w:val="fr-FR"/>
        </w:rPr>
        <w:t>Secrétariat d’État aux migrations</w:t>
      </w:r>
      <w:r w:rsidRPr="00A47D25">
        <w:rPr>
          <w:lang w:val="fr-FR"/>
        </w:rPr>
        <w:t xml:space="preserve"> a conclu que la ville de Colombo dispos</w:t>
      </w:r>
      <w:r>
        <w:rPr>
          <w:lang w:val="fr-FR"/>
        </w:rPr>
        <w:t>ait</w:t>
      </w:r>
      <w:r w:rsidRPr="00A47D25">
        <w:rPr>
          <w:lang w:val="fr-FR"/>
        </w:rPr>
        <w:t xml:space="preserve"> </w:t>
      </w:r>
      <w:r>
        <w:rPr>
          <w:lang w:val="fr-FR"/>
        </w:rPr>
        <w:t>d’</w:t>
      </w:r>
      <w:r w:rsidRPr="00A47D25">
        <w:rPr>
          <w:lang w:val="fr-FR"/>
        </w:rPr>
        <w:t>infrastructures médicales suffisantes</w:t>
      </w:r>
      <w:r>
        <w:rPr>
          <w:lang w:val="fr-FR"/>
        </w:rPr>
        <w:t>,</w:t>
      </w:r>
      <w:r w:rsidRPr="00A47D25">
        <w:rPr>
          <w:lang w:val="fr-FR"/>
        </w:rPr>
        <w:t xml:space="preserve"> dont des hôpitaux publics et des cliniques privées</w:t>
      </w:r>
      <w:r>
        <w:rPr>
          <w:lang w:val="fr-FR"/>
        </w:rPr>
        <w:t>,</w:t>
      </w:r>
      <w:r w:rsidRPr="00A47D25">
        <w:rPr>
          <w:lang w:val="fr-FR"/>
        </w:rPr>
        <w:t xml:space="preserve"> pour soigner G.</w:t>
      </w:r>
      <w:r w:rsidR="00BD41D7">
        <w:rPr>
          <w:lang w:val="fr-FR"/>
        </w:rPr>
        <w:t> </w:t>
      </w:r>
      <w:r w:rsidRPr="00A47D25">
        <w:rPr>
          <w:lang w:val="fr-FR"/>
        </w:rPr>
        <w:t xml:space="preserve">R. </w:t>
      </w:r>
      <w:r>
        <w:rPr>
          <w:lang w:val="fr-FR"/>
        </w:rPr>
        <w:t>Il a donc</w:t>
      </w:r>
      <w:r w:rsidRPr="00A47D25">
        <w:rPr>
          <w:lang w:val="fr-FR"/>
        </w:rPr>
        <w:t xml:space="preserve"> dûment déterminé et apprécié </w:t>
      </w:r>
      <w:r>
        <w:rPr>
          <w:lang w:val="fr-FR"/>
        </w:rPr>
        <w:t>l’</w:t>
      </w:r>
      <w:r w:rsidRPr="00A47D25">
        <w:rPr>
          <w:lang w:val="fr-FR"/>
        </w:rPr>
        <w:t>intérêt supérieur</w:t>
      </w:r>
      <w:r>
        <w:rPr>
          <w:lang w:val="fr-FR"/>
        </w:rPr>
        <w:t xml:space="preserve"> de l’enfant</w:t>
      </w:r>
      <w:r w:rsidRPr="00A47D25">
        <w:rPr>
          <w:lang w:val="fr-FR"/>
        </w:rPr>
        <w:t>. Quant à l</w:t>
      </w:r>
      <w:r>
        <w:rPr>
          <w:lang w:val="fr-FR"/>
        </w:rPr>
        <w:t>’</w:t>
      </w:r>
      <w:r w:rsidRPr="00A47D25">
        <w:rPr>
          <w:lang w:val="fr-FR"/>
        </w:rPr>
        <w:t>article 4 de la Convention, l</w:t>
      </w:r>
      <w:r>
        <w:rPr>
          <w:lang w:val="fr-FR"/>
        </w:rPr>
        <w:t>’</w:t>
      </w:r>
      <w:r w:rsidRPr="00A47D25">
        <w:rPr>
          <w:lang w:val="fr-FR"/>
        </w:rPr>
        <w:t>État partie estime que, dans le cas d</w:t>
      </w:r>
      <w:r>
        <w:rPr>
          <w:lang w:val="fr-FR"/>
        </w:rPr>
        <w:t>’</w:t>
      </w:r>
      <w:r w:rsidRPr="00A47D25">
        <w:rPr>
          <w:lang w:val="fr-FR"/>
        </w:rPr>
        <w:t xml:space="preserve">espèce, </w:t>
      </w:r>
      <w:r>
        <w:rPr>
          <w:lang w:val="fr-FR"/>
        </w:rPr>
        <w:t>les</w:t>
      </w:r>
      <w:r w:rsidRPr="00A47D25">
        <w:rPr>
          <w:lang w:val="fr-FR"/>
        </w:rPr>
        <w:t xml:space="preserve"> autorités ont pris les mesures nécessaires pour mettre en œuvre les droits conventionnels. Dans la mesure où la communication concerne des droits économiques, sociaux et culturels, l</w:t>
      </w:r>
      <w:r>
        <w:rPr>
          <w:lang w:val="fr-FR"/>
        </w:rPr>
        <w:t>’</w:t>
      </w:r>
      <w:r w:rsidRPr="00A47D25">
        <w:rPr>
          <w:lang w:val="fr-FR"/>
        </w:rPr>
        <w:t xml:space="preserve">État partie </w:t>
      </w:r>
      <w:r>
        <w:rPr>
          <w:lang w:val="fr-FR"/>
        </w:rPr>
        <w:t>renvoie</w:t>
      </w:r>
      <w:r w:rsidRPr="00A47D25">
        <w:rPr>
          <w:lang w:val="fr-FR"/>
        </w:rPr>
        <w:t xml:space="preserve"> à l</w:t>
      </w:r>
      <w:r>
        <w:rPr>
          <w:lang w:val="fr-FR"/>
        </w:rPr>
        <w:t>’</w:t>
      </w:r>
      <w:r w:rsidRPr="00A47D25">
        <w:rPr>
          <w:lang w:val="fr-FR"/>
        </w:rPr>
        <w:t>article 10 (</w:t>
      </w:r>
      <w:r>
        <w:rPr>
          <w:lang w:val="fr-FR"/>
        </w:rPr>
        <w:t xml:space="preserve">par. </w:t>
      </w:r>
      <w:r w:rsidRPr="00A47D25">
        <w:rPr>
          <w:lang w:val="fr-FR"/>
        </w:rPr>
        <w:t>4) du Protocole facultatif.</w:t>
      </w:r>
    </w:p>
    <w:p w14:paraId="2B3FD165" w14:textId="50B46D9E" w:rsidR="00434CC2" w:rsidRDefault="00434CC2" w:rsidP="00434CC2">
      <w:pPr>
        <w:pStyle w:val="SingleTxtG"/>
        <w:rPr>
          <w:rFonts w:eastAsia="Calibri"/>
          <w:lang w:val="fr-FR"/>
        </w:rPr>
      </w:pPr>
      <w:r w:rsidRPr="00A47D25">
        <w:rPr>
          <w:rFonts w:eastAsia="Calibri"/>
          <w:lang w:val="fr-FR"/>
        </w:rPr>
        <w:t>6.3</w:t>
      </w:r>
      <w:r w:rsidRPr="00A47D25">
        <w:rPr>
          <w:rFonts w:eastAsia="Calibri"/>
          <w:lang w:val="fr-FR"/>
        </w:rPr>
        <w:tab/>
        <w:t>S</w:t>
      </w:r>
      <w:r>
        <w:rPr>
          <w:rFonts w:eastAsia="Calibri"/>
          <w:lang w:val="fr-FR"/>
        </w:rPr>
        <w:t>’</w:t>
      </w:r>
      <w:r w:rsidRPr="00A47D25">
        <w:rPr>
          <w:rFonts w:eastAsia="Calibri"/>
          <w:lang w:val="fr-FR"/>
        </w:rPr>
        <w:t>agissant des griefs de nature générale</w:t>
      </w:r>
      <w:r>
        <w:rPr>
          <w:rFonts w:eastAsia="Calibri"/>
          <w:lang w:val="fr-FR"/>
        </w:rPr>
        <w:t xml:space="preserve"> formulés par l’auteur</w:t>
      </w:r>
      <w:r w:rsidRPr="00A47D25">
        <w:rPr>
          <w:rFonts w:eastAsia="Calibri"/>
          <w:lang w:val="fr-FR"/>
        </w:rPr>
        <w:t>, l</w:t>
      </w:r>
      <w:r>
        <w:rPr>
          <w:rFonts w:eastAsia="Calibri"/>
          <w:lang w:val="fr-FR"/>
        </w:rPr>
        <w:t>’</w:t>
      </w:r>
      <w:r w:rsidRPr="00A47D25">
        <w:rPr>
          <w:rFonts w:eastAsia="Calibri"/>
          <w:lang w:val="fr-FR"/>
        </w:rPr>
        <w:t>État partie fait valoir que l</w:t>
      </w:r>
      <w:r>
        <w:rPr>
          <w:rFonts w:eastAsia="Calibri"/>
          <w:lang w:val="fr-FR"/>
        </w:rPr>
        <w:t>’</w:t>
      </w:r>
      <w:r w:rsidRPr="00A47D25">
        <w:rPr>
          <w:rFonts w:eastAsia="Calibri"/>
          <w:lang w:val="fr-FR"/>
        </w:rPr>
        <w:t>auteur ne démontre en aucune manière qu</w:t>
      </w:r>
      <w:r>
        <w:rPr>
          <w:rFonts w:eastAsia="Calibri"/>
          <w:lang w:val="fr-FR"/>
        </w:rPr>
        <w:t>’</w:t>
      </w:r>
      <w:r w:rsidRPr="00A47D25">
        <w:rPr>
          <w:rFonts w:eastAsia="Calibri"/>
          <w:lang w:val="fr-FR"/>
        </w:rPr>
        <w:t>il ne serait pas possible d</w:t>
      </w:r>
      <w:r>
        <w:rPr>
          <w:rFonts w:eastAsia="Calibri"/>
          <w:lang w:val="fr-FR"/>
        </w:rPr>
        <w:t>’</w:t>
      </w:r>
      <w:r w:rsidRPr="00A47D25">
        <w:rPr>
          <w:rFonts w:eastAsia="Calibri"/>
          <w:lang w:val="fr-FR"/>
        </w:rPr>
        <w:t>obtenir les traitements médicaux nécessaires pour G.</w:t>
      </w:r>
      <w:r w:rsidR="00BD41D7">
        <w:rPr>
          <w:rFonts w:eastAsia="Calibri"/>
          <w:lang w:val="fr-FR"/>
        </w:rPr>
        <w:t> </w:t>
      </w:r>
      <w:r w:rsidRPr="00A47D25">
        <w:rPr>
          <w:rFonts w:eastAsia="Calibri"/>
          <w:lang w:val="fr-FR"/>
        </w:rPr>
        <w:t xml:space="preserve">R. et </w:t>
      </w:r>
      <w:r>
        <w:rPr>
          <w:rFonts w:eastAsia="Calibri"/>
          <w:lang w:val="fr-FR"/>
        </w:rPr>
        <w:t>affirme qu’au contraire</w:t>
      </w:r>
      <w:r w:rsidRPr="00A47D25">
        <w:rPr>
          <w:rFonts w:eastAsia="Calibri"/>
          <w:lang w:val="fr-FR"/>
        </w:rPr>
        <w:t>, l</w:t>
      </w:r>
      <w:r>
        <w:rPr>
          <w:rFonts w:eastAsia="Calibri"/>
          <w:lang w:val="fr-FR"/>
        </w:rPr>
        <w:t>’</w:t>
      </w:r>
      <w:r w:rsidRPr="00A47D25">
        <w:rPr>
          <w:rFonts w:eastAsia="Calibri"/>
          <w:lang w:val="fr-FR"/>
        </w:rPr>
        <w:t xml:space="preserve">hypothyroïdie est une maladie </w:t>
      </w:r>
      <w:r>
        <w:rPr>
          <w:rFonts w:eastAsia="Calibri"/>
          <w:lang w:val="fr-FR"/>
        </w:rPr>
        <w:t>courante</w:t>
      </w:r>
      <w:r w:rsidRPr="00A47D25">
        <w:rPr>
          <w:rFonts w:eastAsia="Calibri"/>
          <w:lang w:val="fr-FR"/>
        </w:rPr>
        <w:t xml:space="preserve"> et les traitements médicaux nécessaires sont disponibles et accessibles </w:t>
      </w:r>
      <w:r>
        <w:rPr>
          <w:rFonts w:eastAsia="Calibri"/>
          <w:lang w:val="fr-FR"/>
        </w:rPr>
        <w:t>à</w:t>
      </w:r>
      <w:r w:rsidRPr="00A47D25">
        <w:rPr>
          <w:rFonts w:eastAsia="Calibri"/>
          <w:lang w:val="fr-FR"/>
        </w:rPr>
        <w:t xml:space="preserve"> Sri Lanka. Selon les informations disponibles, les autorités sri-lankaises sont parfaitement conscientes que l</w:t>
      </w:r>
      <w:r>
        <w:rPr>
          <w:rFonts w:eastAsia="Calibri"/>
          <w:lang w:val="fr-FR"/>
        </w:rPr>
        <w:t>’</w:t>
      </w:r>
      <w:r w:rsidRPr="00A47D25">
        <w:rPr>
          <w:rFonts w:eastAsia="Calibri"/>
          <w:lang w:val="fr-FR"/>
        </w:rPr>
        <w:t xml:space="preserve">hypothyroïdie congénitale est la </w:t>
      </w:r>
      <w:r>
        <w:rPr>
          <w:rFonts w:eastAsia="Calibri"/>
          <w:lang w:val="fr-FR"/>
        </w:rPr>
        <w:t xml:space="preserve">première </w:t>
      </w:r>
      <w:r w:rsidRPr="00A47D25">
        <w:rPr>
          <w:rFonts w:eastAsia="Calibri"/>
          <w:lang w:val="fr-FR"/>
        </w:rPr>
        <w:t xml:space="preserve">cause </w:t>
      </w:r>
      <w:r>
        <w:rPr>
          <w:rFonts w:eastAsia="Calibri"/>
          <w:lang w:val="fr-FR"/>
        </w:rPr>
        <w:t>de handicap intellectuel chez les</w:t>
      </w:r>
      <w:r w:rsidRPr="00A47D25">
        <w:rPr>
          <w:rFonts w:eastAsia="Calibri"/>
          <w:lang w:val="fr-FR"/>
        </w:rPr>
        <w:t xml:space="preserve"> enfants</w:t>
      </w:r>
      <w:r>
        <w:rPr>
          <w:rStyle w:val="Appelnotedebasdep"/>
          <w:rFonts w:eastAsia="Calibri"/>
        </w:rPr>
        <w:footnoteReference w:id="7"/>
      </w:r>
      <w:r w:rsidRPr="00A47D25">
        <w:rPr>
          <w:rFonts w:eastAsia="Calibri"/>
          <w:lang w:val="fr-FR"/>
        </w:rPr>
        <w:t xml:space="preserve">. Elles ont </w:t>
      </w:r>
      <w:r>
        <w:rPr>
          <w:rFonts w:eastAsia="Calibri"/>
          <w:lang w:val="fr-FR"/>
        </w:rPr>
        <w:t>lancé</w:t>
      </w:r>
      <w:r w:rsidRPr="00A47D25">
        <w:rPr>
          <w:rFonts w:eastAsia="Calibri"/>
          <w:lang w:val="fr-FR"/>
        </w:rPr>
        <w:t xml:space="preserve"> un programme national </w:t>
      </w:r>
      <w:r>
        <w:rPr>
          <w:rFonts w:eastAsia="Calibri"/>
          <w:lang w:val="fr-FR"/>
        </w:rPr>
        <w:t>de dépistage de</w:t>
      </w:r>
      <w:r w:rsidRPr="00A47D25">
        <w:rPr>
          <w:rFonts w:eastAsia="Calibri"/>
          <w:lang w:val="fr-FR"/>
        </w:rPr>
        <w:t xml:space="preserve"> l</w:t>
      </w:r>
      <w:r>
        <w:rPr>
          <w:rFonts w:eastAsia="Calibri"/>
          <w:lang w:val="fr-FR"/>
        </w:rPr>
        <w:t>’</w:t>
      </w:r>
      <w:r w:rsidRPr="00A47D25">
        <w:rPr>
          <w:rFonts w:eastAsia="Calibri"/>
          <w:lang w:val="fr-FR"/>
        </w:rPr>
        <w:t xml:space="preserve">hypothyroïdie congénitale </w:t>
      </w:r>
      <w:r>
        <w:rPr>
          <w:rFonts w:eastAsia="Calibri"/>
          <w:lang w:val="fr-FR"/>
        </w:rPr>
        <w:t xml:space="preserve">chez les </w:t>
      </w:r>
      <w:r w:rsidRPr="00A47D25">
        <w:rPr>
          <w:rFonts w:eastAsia="Calibri"/>
          <w:lang w:val="fr-FR"/>
        </w:rPr>
        <w:t>nouveau-nés et</w:t>
      </w:r>
      <w:r>
        <w:rPr>
          <w:rFonts w:eastAsia="Calibri"/>
          <w:lang w:val="fr-FR"/>
        </w:rPr>
        <w:t xml:space="preserve"> publié</w:t>
      </w:r>
      <w:r w:rsidRPr="00A47D25">
        <w:rPr>
          <w:rFonts w:eastAsia="Calibri"/>
          <w:lang w:val="fr-FR"/>
        </w:rPr>
        <w:t xml:space="preserve"> des lignes directrices pour le traitement de l</w:t>
      </w:r>
      <w:r>
        <w:rPr>
          <w:rFonts w:eastAsia="Calibri"/>
          <w:lang w:val="fr-FR"/>
        </w:rPr>
        <w:t>’</w:t>
      </w:r>
      <w:r w:rsidRPr="00A47D25">
        <w:rPr>
          <w:rFonts w:eastAsia="Calibri"/>
          <w:lang w:val="fr-FR"/>
        </w:rPr>
        <w:t>hypothyroïdie</w:t>
      </w:r>
      <w:r>
        <w:rPr>
          <w:rStyle w:val="Appelnotedebasdep"/>
          <w:rFonts w:eastAsia="Calibri"/>
        </w:rPr>
        <w:footnoteReference w:id="8"/>
      </w:r>
      <w:r w:rsidRPr="00A47D25">
        <w:rPr>
          <w:rFonts w:eastAsia="Calibri"/>
          <w:lang w:val="fr-FR"/>
        </w:rPr>
        <w:t xml:space="preserve">. </w:t>
      </w:r>
      <w:r>
        <w:rPr>
          <w:rFonts w:eastAsia="Calibri"/>
          <w:lang w:val="fr-FR"/>
        </w:rPr>
        <w:t>En outre</w:t>
      </w:r>
      <w:r w:rsidRPr="00A47D25">
        <w:rPr>
          <w:rFonts w:eastAsia="Calibri"/>
          <w:lang w:val="fr-FR"/>
        </w:rPr>
        <w:t xml:space="preserve">, la communauté médicale </w:t>
      </w:r>
      <w:r>
        <w:rPr>
          <w:rFonts w:eastAsia="Calibri"/>
          <w:lang w:val="fr-FR"/>
        </w:rPr>
        <w:t>sri-lankaise</w:t>
      </w:r>
      <w:r w:rsidRPr="00A47D25">
        <w:rPr>
          <w:rFonts w:eastAsia="Calibri"/>
          <w:lang w:val="fr-FR"/>
        </w:rPr>
        <w:t xml:space="preserve"> </w:t>
      </w:r>
      <w:r>
        <w:rPr>
          <w:rFonts w:eastAsia="Calibri"/>
          <w:lang w:val="fr-FR"/>
        </w:rPr>
        <w:t>a publié</w:t>
      </w:r>
      <w:r w:rsidRPr="00A47D25">
        <w:rPr>
          <w:rFonts w:eastAsia="Calibri"/>
          <w:lang w:val="fr-FR"/>
        </w:rPr>
        <w:t xml:space="preserve"> plusieurs études sur le sujet. L</w:t>
      </w:r>
      <w:r>
        <w:rPr>
          <w:rFonts w:eastAsia="Calibri"/>
          <w:lang w:val="fr-FR"/>
        </w:rPr>
        <w:t>’</w:t>
      </w:r>
      <w:r w:rsidRPr="00A47D25">
        <w:rPr>
          <w:rFonts w:eastAsia="Calibri"/>
          <w:lang w:val="fr-FR"/>
        </w:rPr>
        <w:t>État partie conclut que le traitement de l</w:t>
      </w:r>
      <w:r>
        <w:rPr>
          <w:rFonts w:eastAsia="Calibri"/>
          <w:lang w:val="fr-FR"/>
        </w:rPr>
        <w:t>’</w:t>
      </w:r>
      <w:r w:rsidRPr="00A47D25">
        <w:rPr>
          <w:rFonts w:eastAsia="Calibri"/>
          <w:lang w:val="fr-FR"/>
        </w:rPr>
        <w:t>hypothyroïdie est disponible</w:t>
      </w:r>
      <w:r>
        <w:rPr>
          <w:rFonts w:eastAsia="Calibri"/>
          <w:lang w:val="fr-FR"/>
        </w:rPr>
        <w:t xml:space="preserve"> à Sri</w:t>
      </w:r>
      <w:r w:rsidR="00693DE3">
        <w:rPr>
          <w:rFonts w:eastAsia="Calibri"/>
          <w:lang w:val="fr-FR"/>
        </w:rPr>
        <w:t> </w:t>
      </w:r>
      <w:r>
        <w:rPr>
          <w:rFonts w:eastAsia="Calibri"/>
          <w:lang w:val="fr-FR"/>
        </w:rPr>
        <w:t>Lanka</w:t>
      </w:r>
      <w:r w:rsidRPr="00A47D25">
        <w:rPr>
          <w:rFonts w:eastAsia="Calibri"/>
          <w:lang w:val="fr-FR"/>
        </w:rPr>
        <w:t>.</w:t>
      </w:r>
    </w:p>
    <w:p w14:paraId="4A50CB1C" w14:textId="2B9B4927" w:rsidR="00434CC2" w:rsidRPr="00A47D25" w:rsidRDefault="00434CC2" w:rsidP="00434CC2">
      <w:pPr>
        <w:pStyle w:val="SingleTxtG"/>
        <w:rPr>
          <w:lang w:val="fr-FR"/>
        </w:rPr>
      </w:pPr>
      <w:r w:rsidRPr="00A47D25">
        <w:rPr>
          <w:lang w:val="fr-FR"/>
        </w:rPr>
        <w:t>6.4</w:t>
      </w:r>
      <w:r w:rsidRPr="00A47D25">
        <w:rPr>
          <w:lang w:val="fr-FR"/>
        </w:rPr>
        <w:tab/>
        <w:t>Concernant l</w:t>
      </w:r>
      <w:r>
        <w:rPr>
          <w:lang w:val="fr-FR"/>
        </w:rPr>
        <w:t>’</w:t>
      </w:r>
      <w:r w:rsidRPr="00A47D25">
        <w:rPr>
          <w:lang w:val="fr-FR"/>
        </w:rPr>
        <w:t xml:space="preserve">argument selon lequel les traitements médicaux ne seraient pas financièrement </w:t>
      </w:r>
      <w:r>
        <w:rPr>
          <w:lang w:val="fr-FR"/>
        </w:rPr>
        <w:t>accessibles</w:t>
      </w:r>
      <w:r w:rsidRPr="00A47D25">
        <w:rPr>
          <w:lang w:val="fr-FR"/>
        </w:rPr>
        <w:t>, l</w:t>
      </w:r>
      <w:r>
        <w:rPr>
          <w:lang w:val="fr-FR"/>
        </w:rPr>
        <w:t>’</w:t>
      </w:r>
      <w:r w:rsidRPr="00A47D25">
        <w:rPr>
          <w:lang w:val="fr-FR"/>
        </w:rPr>
        <w:t xml:space="preserve">État partie </w:t>
      </w:r>
      <w:r>
        <w:rPr>
          <w:lang w:val="fr-FR"/>
        </w:rPr>
        <w:t>indique</w:t>
      </w:r>
      <w:r w:rsidRPr="00A47D25">
        <w:rPr>
          <w:lang w:val="fr-FR"/>
        </w:rPr>
        <w:t xml:space="preserve"> que </w:t>
      </w:r>
      <w:r>
        <w:rPr>
          <w:lang w:val="fr-FR"/>
        </w:rPr>
        <w:t>la gratuité des</w:t>
      </w:r>
      <w:r w:rsidRPr="00A47D25">
        <w:rPr>
          <w:lang w:val="fr-FR"/>
        </w:rPr>
        <w:t xml:space="preserve"> soins est une priorité pour le </w:t>
      </w:r>
      <w:r w:rsidR="00BD41D7">
        <w:rPr>
          <w:lang w:val="fr-FR"/>
        </w:rPr>
        <w:t>G</w:t>
      </w:r>
      <w:r w:rsidRPr="00A47D25">
        <w:rPr>
          <w:lang w:val="fr-FR"/>
        </w:rPr>
        <w:t>ouvernement sri-lankais</w:t>
      </w:r>
      <w:r>
        <w:rPr>
          <w:rStyle w:val="Appelnotedebasdep"/>
        </w:rPr>
        <w:footnoteReference w:id="9"/>
      </w:r>
      <w:r w:rsidRPr="00A47D25">
        <w:rPr>
          <w:lang w:val="fr-FR"/>
        </w:rPr>
        <w:t>. En outre, l</w:t>
      </w:r>
      <w:r>
        <w:rPr>
          <w:lang w:val="fr-FR"/>
        </w:rPr>
        <w:t>’</w:t>
      </w:r>
      <w:r w:rsidRPr="00A47D25">
        <w:rPr>
          <w:lang w:val="fr-FR"/>
        </w:rPr>
        <w:t xml:space="preserve">auteur </w:t>
      </w:r>
      <w:r>
        <w:rPr>
          <w:lang w:val="fr-FR"/>
        </w:rPr>
        <w:t>a indiqué aux</w:t>
      </w:r>
      <w:r w:rsidRPr="00A47D25">
        <w:rPr>
          <w:lang w:val="fr-FR"/>
        </w:rPr>
        <w:t xml:space="preserve"> autorités suisses qu</w:t>
      </w:r>
      <w:r>
        <w:rPr>
          <w:lang w:val="fr-FR"/>
        </w:rPr>
        <w:t>’</w:t>
      </w:r>
      <w:r w:rsidRPr="00A47D25">
        <w:rPr>
          <w:lang w:val="fr-FR"/>
        </w:rPr>
        <w:t xml:space="preserve">il souhaiterait pouvoir travailler et être financièrement indépendant. </w:t>
      </w:r>
      <w:r>
        <w:rPr>
          <w:lang w:val="fr-FR"/>
        </w:rPr>
        <w:t>L’État partie note que l’auteur</w:t>
      </w:r>
      <w:r w:rsidRPr="00A47D25">
        <w:rPr>
          <w:lang w:val="fr-FR"/>
        </w:rPr>
        <w:t xml:space="preserve"> a vécu et travaillé à Colombo avant de quitter le pays, </w:t>
      </w:r>
      <w:r>
        <w:rPr>
          <w:lang w:val="fr-FR"/>
        </w:rPr>
        <w:t>qu’il a reçu une</w:t>
      </w:r>
      <w:r w:rsidRPr="00A47D25">
        <w:rPr>
          <w:lang w:val="fr-FR"/>
        </w:rPr>
        <w:t xml:space="preserve"> formation scolaire et professionnelle et </w:t>
      </w:r>
      <w:r>
        <w:rPr>
          <w:lang w:val="fr-FR"/>
        </w:rPr>
        <w:t xml:space="preserve">qu’il </w:t>
      </w:r>
      <w:r w:rsidRPr="00A47D25">
        <w:rPr>
          <w:lang w:val="fr-FR"/>
        </w:rPr>
        <w:t xml:space="preserve">parle le cinghalais. Il est donc en mesure de gagner sa vie </w:t>
      </w:r>
      <w:r>
        <w:rPr>
          <w:lang w:val="fr-FR"/>
        </w:rPr>
        <w:t>à</w:t>
      </w:r>
      <w:r w:rsidRPr="00A47D25">
        <w:rPr>
          <w:lang w:val="fr-FR"/>
        </w:rPr>
        <w:t xml:space="preserve"> Sri Lanka et de subvenir aux besoins de G.</w:t>
      </w:r>
      <w:r w:rsidR="00693DE3">
        <w:rPr>
          <w:lang w:val="fr-FR"/>
        </w:rPr>
        <w:t> </w:t>
      </w:r>
      <w:r w:rsidRPr="00A47D25">
        <w:rPr>
          <w:lang w:val="fr-FR"/>
        </w:rPr>
        <w:t>R. De plus, l</w:t>
      </w:r>
      <w:r>
        <w:rPr>
          <w:lang w:val="fr-FR"/>
        </w:rPr>
        <w:t>’</w:t>
      </w:r>
      <w:r w:rsidRPr="00A47D25">
        <w:rPr>
          <w:lang w:val="fr-FR"/>
        </w:rPr>
        <w:t>auteur et sa famille peuvent demander une aide au retour de 1</w:t>
      </w:r>
      <w:r>
        <w:rPr>
          <w:lang w:val="fr-FR"/>
        </w:rPr>
        <w:t> </w:t>
      </w:r>
      <w:r w:rsidRPr="00A47D25">
        <w:rPr>
          <w:lang w:val="fr-FR"/>
        </w:rPr>
        <w:t>000 francs suisses par adulte et 500</w:t>
      </w:r>
      <w:r w:rsidR="00693DE3">
        <w:rPr>
          <w:lang w:val="fr-FR"/>
        </w:rPr>
        <w:t> </w:t>
      </w:r>
      <w:r w:rsidRPr="00A47D25">
        <w:rPr>
          <w:lang w:val="fr-FR"/>
        </w:rPr>
        <w:t>francs suisses par mineur, ainsi qu</w:t>
      </w:r>
      <w:r>
        <w:rPr>
          <w:lang w:val="fr-FR"/>
        </w:rPr>
        <w:t>’</w:t>
      </w:r>
      <w:r w:rsidRPr="00A47D25">
        <w:rPr>
          <w:lang w:val="fr-FR"/>
        </w:rPr>
        <w:t>une aide additionnelle matérielle pouvant atteindre 3</w:t>
      </w:r>
      <w:r>
        <w:rPr>
          <w:lang w:val="fr-FR"/>
        </w:rPr>
        <w:t> </w:t>
      </w:r>
      <w:r w:rsidRPr="00A47D25">
        <w:rPr>
          <w:lang w:val="fr-FR"/>
        </w:rPr>
        <w:t xml:space="preserve">000 francs suisses pour financer un projet individuel de réintégration. Pour des besoins spéciaux de réintégration, </w:t>
      </w:r>
      <w:r>
        <w:rPr>
          <w:lang w:val="fr-FR"/>
        </w:rPr>
        <w:t xml:space="preserve">il est possible d’obtenir </w:t>
      </w:r>
      <w:r w:rsidRPr="00A47D25">
        <w:rPr>
          <w:lang w:val="fr-FR"/>
        </w:rPr>
        <w:t xml:space="preserve">une aide complémentaire majorée </w:t>
      </w:r>
      <w:r>
        <w:rPr>
          <w:lang w:val="fr-FR"/>
        </w:rPr>
        <w:t xml:space="preserve">allant </w:t>
      </w:r>
      <w:r w:rsidRPr="00A47D25">
        <w:rPr>
          <w:lang w:val="fr-FR"/>
        </w:rPr>
        <w:t>jusqu</w:t>
      </w:r>
      <w:r>
        <w:rPr>
          <w:lang w:val="fr-FR"/>
        </w:rPr>
        <w:t>’</w:t>
      </w:r>
      <w:r w:rsidRPr="00A47D25">
        <w:rPr>
          <w:lang w:val="fr-FR"/>
        </w:rPr>
        <w:t>à 5</w:t>
      </w:r>
      <w:r w:rsidR="00BD41D7">
        <w:rPr>
          <w:lang w:val="fr-FR"/>
        </w:rPr>
        <w:t> </w:t>
      </w:r>
      <w:r w:rsidRPr="00A47D25">
        <w:rPr>
          <w:lang w:val="fr-FR"/>
        </w:rPr>
        <w:t xml:space="preserve">000 francs suisses et, en cas de problèmes </w:t>
      </w:r>
      <w:r>
        <w:rPr>
          <w:lang w:val="fr-FR"/>
        </w:rPr>
        <w:t>de santé</w:t>
      </w:r>
      <w:r w:rsidRPr="00A47D25">
        <w:rPr>
          <w:lang w:val="fr-FR"/>
        </w:rPr>
        <w:t>, une aide médicale au retour</w:t>
      </w:r>
      <w:r>
        <w:rPr>
          <w:rStyle w:val="Appelnotedebasdep"/>
        </w:rPr>
        <w:footnoteReference w:id="10"/>
      </w:r>
      <w:r w:rsidRPr="00A47D25">
        <w:rPr>
          <w:lang w:val="fr-FR"/>
        </w:rPr>
        <w:t>. L</w:t>
      </w:r>
      <w:r>
        <w:rPr>
          <w:lang w:val="fr-FR"/>
        </w:rPr>
        <w:t>’</w:t>
      </w:r>
      <w:r w:rsidRPr="00A47D25">
        <w:rPr>
          <w:lang w:val="fr-FR"/>
        </w:rPr>
        <w:t>auteur pourra également se tourner vers les autorités sri-lankaises en cas de besoin. L</w:t>
      </w:r>
      <w:r>
        <w:rPr>
          <w:lang w:val="fr-FR"/>
        </w:rPr>
        <w:t>’</w:t>
      </w:r>
      <w:r w:rsidRPr="00A47D25">
        <w:rPr>
          <w:lang w:val="fr-FR"/>
        </w:rPr>
        <w:t>État partie conclut que le renvoi de G.</w:t>
      </w:r>
      <w:r w:rsidR="00BD41D7">
        <w:rPr>
          <w:lang w:val="fr-FR"/>
        </w:rPr>
        <w:t> </w:t>
      </w:r>
      <w:r w:rsidRPr="00A47D25">
        <w:rPr>
          <w:lang w:val="fr-FR"/>
        </w:rPr>
        <w:t xml:space="preserve">R. ne constituerait pas </w:t>
      </w:r>
      <w:r>
        <w:rPr>
          <w:lang w:val="fr-FR"/>
        </w:rPr>
        <w:t>une</w:t>
      </w:r>
      <w:r w:rsidRPr="00A47D25">
        <w:rPr>
          <w:lang w:val="fr-FR"/>
        </w:rPr>
        <w:t xml:space="preserve"> violation de la Convention.</w:t>
      </w:r>
    </w:p>
    <w:p w14:paraId="188CCC96" w14:textId="156777E0" w:rsidR="00434CC2" w:rsidRPr="00A47D25" w:rsidRDefault="00434CC2" w:rsidP="00434CC2">
      <w:pPr>
        <w:pStyle w:val="SingleTxtG"/>
        <w:rPr>
          <w:lang w:val="fr-FR"/>
        </w:rPr>
      </w:pPr>
      <w:r w:rsidRPr="00A47D25">
        <w:rPr>
          <w:lang w:val="fr-FR"/>
        </w:rPr>
        <w:t>6.5</w:t>
      </w:r>
      <w:r w:rsidRPr="00A47D25">
        <w:rPr>
          <w:lang w:val="fr-FR"/>
        </w:rPr>
        <w:tab/>
        <w:t>Rappelant le principe de non-refoulement</w:t>
      </w:r>
      <w:r>
        <w:rPr>
          <w:rStyle w:val="Appelnotedebasdep"/>
        </w:rPr>
        <w:footnoteReference w:id="11"/>
      </w:r>
      <w:r w:rsidRPr="00A47D25">
        <w:rPr>
          <w:lang w:val="fr-FR"/>
        </w:rPr>
        <w:t>, l</w:t>
      </w:r>
      <w:r>
        <w:rPr>
          <w:lang w:val="fr-FR"/>
        </w:rPr>
        <w:t>’</w:t>
      </w:r>
      <w:r w:rsidRPr="00A47D25">
        <w:rPr>
          <w:lang w:val="fr-FR"/>
        </w:rPr>
        <w:t xml:space="preserve">État partie fait valoir que le </w:t>
      </w:r>
      <w:r>
        <w:rPr>
          <w:lang w:val="fr-FR"/>
        </w:rPr>
        <w:t>Secrétariat d’État aux migrations</w:t>
      </w:r>
      <w:r w:rsidRPr="00A47D25">
        <w:rPr>
          <w:lang w:val="fr-FR"/>
        </w:rPr>
        <w:t xml:space="preserve"> a examiné, sous l</w:t>
      </w:r>
      <w:r>
        <w:rPr>
          <w:lang w:val="fr-FR"/>
        </w:rPr>
        <w:t>’</w:t>
      </w:r>
      <w:r w:rsidRPr="00A47D25">
        <w:rPr>
          <w:lang w:val="fr-FR"/>
        </w:rPr>
        <w:t>angle de l</w:t>
      </w:r>
      <w:r>
        <w:rPr>
          <w:lang w:val="fr-FR"/>
        </w:rPr>
        <w:t>’</w:t>
      </w:r>
      <w:r w:rsidRPr="00A47D25">
        <w:rPr>
          <w:lang w:val="fr-FR"/>
        </w:rPr>
        <w:t xml:space="preserve">article 3 </w:t>
      </w:r>
      <w:r>
        <w:rPr>
          <w:lang w:val="fr-FR"/>
        </w:rPr>
        <w:t>de la Convention européenne des droits de l’homme</w:t>
      </w:r>
      <w:r w:rsidRPr="00A47D25">
        <w:rPr>
          <w:lang w:val="fr-FR"/>
        </w:rPr>
        <w:t xml:space="preserve">, </w:t>
      </w:r>
      <w:r>
        <w:rPr>
          <w:lang w:val="fr-FR"/>
        </w:rPr>
        <w:t xml:space="preserve">la question de savoir </w:t>
      </w:r>
      <w:r w:rsidRPr="00A47D25">
        <w:rPr>
          <w:lang w:val="fr-FR"/>
        </w:rPr>
        <w:t>si les problèmes médicaux de G.</w:t>
      </w:r>
      <w:r w:rsidR="00693DE3">
        <w:rPr>
          <w:lang w:val="fr-FR"/>
        </w:rPr>
        <w:t xml:space="preserve"> </w:t>
      </w:r>
      <w:r w:rsidRPr="00A47D25">
        <w:rPr>
          <w:lang w:val="fr-FR"/>
        </w:rPr>
        <w:t>R</w:t>
      </w:r>
      <w:r w:rsidR="00693DE3">
        <w:rPr>
          <w:lang w:val="fr-FR"/>
        </w:rPr>
        <w:t>.</w:t>
      </w:r>
      <w:r w:rsidRPr="00A47D25" w:rsidDel="007A30CD">
        <w:rPr>
          <w:lang w:val="fr-FR"/>
        </w:rPr>
        <w:t xml:space="preserve"> </w:t>
      </w:r>
      <w:r>
        <w:rPr>
          <w:lang w:val="fr-FR"/>
        </w:rPr>
        <w:t>faisaient</w:t>
      </w:r>
      <w:r w:rsidRPr="00A47D25">
        <w:rPr>
          <w:lang w:val="fr-FR"/>
        </w:rPr>
        <w:t xml:space="preserve"> obstacle </w:t>
      </w:r>
      <w:r>
        <w:rPr>
          <w:lang w:val="fr-FR"/>
        </w:rPr>
        <w:t>à son</w:t>
      </w:r>
      <w:r w:rsidRPr="00A47D25">
        <w:rPr>
          <w:lang w:val="fr-FR"/>
        </w:rPr>
        <w:t xml:space="preserve"> renvoi. Il s</w:t>
      </w:r>
      <w:r>
        <w:rPr>
          <w:lang w:val="fr-FR"/>
        </w:rPr>
        <w:t>’</w:t>
      </w:r>
      <w:r w:rsidRPr="00A47D25">
        <w:rPr>
          <w:lang w:val="fr-FR"/>
        </w:rPr>
        <w:t>est référé à la jurisprudence de la Cour européenne des droits de l</w:t>
      </w:r>
      <w:r>
        <w:rPr>
          <w:lang w:val="fr-FR"/>
        </w:rPr>
        <w:t>’</w:t>
      </w:r>
      <w:r w:rsidRPr="00A47D25">
        <w:rPr>
          <w:lang w:val="fr-FR"/>
        </w:rPr>
        <w:t xml:space="preserve">homme et a conclu que les cas très exceptionnels pouvant soulever </w:t>
      </w:r>
      <w:r>
        <w:rPr>
          <w:lang w:val="fr-FR"/>
        </w:rPr>
        <w:t>des questions</w:t>
      </w:r>
      <w:r w:rsidRPr="00A47D25">
        <w:rPr>
          <w:lang w:val="fr-FR"/>
        </w:rPr>
        <w:t xml:space="preserve"> au regard de l</w:t>
      </w:r>
      <w:r>
        <w:rPr>
          <w:lang w:val="fr-FR"/>
        </w:rPr>
        <w:t>’</w:t>
      </w:r>
      <w:r w:rsidRPr="00A47D25">
        <w:rPr>
          <w:lang w:val="fr-FR"/>
        </w:rPr>
        <w:t>article</w:t>
      </w:r>
      <w:r w:rsidR="00693DE3">
        <w:rPr>
          <w:lang w:val="fr-FR"/>
        </w:rPr>
        <w:t> </w:t>
      </w:r>
      <w:r w:rsidRPr="00A47D25">
        <w:rPr>
          <w:lang w:val="fr-FR"/>
        </w:rPr>
        <w:t xml:space="preserve">3 </w:t>
      </w:r>
      <w:r>
        <w:rPr>
          <w:lang w:val="fr-FR"/>
        </w:rPr>
        <w:t>de la Convention européenne des droits de l’homme</w:t>
      </w:r>
      <w:r w:rsidRPr="00A47D25" w:rsidDel="009E3A03">
        <w:rPr>
          <w:lang w:val="fr-FR"/>
        </w:rPr>
        <w:t xml:space="preserve"> </w:t>
      </w:r>
      <w:r w:rsidRPr="00A47D25">
        <w:rPr>
          <w:lang w:val="fr-FR"/>
        </w:rPr>
        <w:t>correspondent à un seuil élevé pour l</w:t>
      </w:r>
      <w:r>
        <w:rPr>
          <w:lang w:val="fr-FR"/>
        </w:rPr>
        <w:t>’</w:t>
      </w:r>
      <w:r w:rsidRPr="00A47D25">
        <w:rPr>
          <w:lang w:val="fr-FR"/>
        </w:rPr>
        <w:t>application de cette disposition dans les affaires relatives à l</w:t>
      </w:r>
      <w:r>
        <w:rPr>
          <w:lang w:val="fr-FR"/>
        </w:rPr>
        <w:t>’</w:t>
      </w:r>
      <w:r w:rsidRPr="00A47D25">
        <w:rPr>
          <w:lang w:val="fr-FR"/>
        </w:rPr>
        <w:t>éloignement d</w:t>
      </w:r>
      <w:r>
        <w:rPr>
          <w:lang w:val="fr-FR"/>
        </w:rPr>
        <w:t>’</w:t>
      </w:r>
      <w:r w:rsidRPr="00A47D25">
        <w:rPr>
          <w:lang w:val="fr-FR"/>
        </w:rPr>
        <w:t xml:space="preserve">étrangers gravement malades. Enfin, le </w:t>
      </w:r>
      <w:r>
        <w:rPr>
          <w:lang w:val="fr-FR"/>
        </w:rPr>
        <w:t>Secrétariat d’État aux migrations</w:t>
      </w:r>
      <w:r w:rsidRPr="00A47D25">
        <w:rPr>
          <w:lang w:val="fr-FR"/>
        </w:rPr>
        <w:t xml:space="preserve"> a conclu que Colombo dispos</w:t>
      </w:r>
      <w:r>
        <w:rPr>
          <w:lang w:val="fr-FR"/>
        </w:rPr>
        <w:t>ait</w:t>
      </w:r>
      <w:r w:rsidRPr="00A47D25">
        <w:rPr>
          <w:lang w:val="fr-FR"/>
        </w:rPr>
        <w:t xml:space="preserve"> </w:t>
      </w:r>
      <w:r>
        <w:rPr>
          <w:lang w:val="fr-FR"/>
        </w:rPr>
        <w:t>d’</w:t>
      </w:r>
      <w:r w:rsidRPr="00A47D25">
        <w:rPr>
          <w:lang w:val="fr-FR"/>
        </w:rPr>
        <w:t xml:space="preserve">infrastructures médicales suffisantes. Considérant que les soins médicaux nécessaires sont disponibles et </w:t>
      </w:r>
      <w:r>
        <w:rPr>
          <w:lang w:val="fr-FR"/>
        </w:rPr>
        <w:t>financièrement accessibles</w:t>
      </w:r>
      <w:r w:rsidRPr="00A47D25">
        <w:rPr>
          <w:lang w:val="fr-FR"/>
        </w:rPr>
        <w:t xml:space="preserve"> </w:t>
      </w:r>
      <w:r>
        <w:rPr>
          <w:lang w:val="fr-FR"/>
        </w:rPr>
        <w:t>à</w:t>
      </w:r>
      <w:r w:rsidRPr="00A47D25">
        <w:rPr>
          <w:lang w:val="fr-FR"/>
        </w:rPr>
        <w:t xml:space="preserve"> Sri Lanka, et qu</w:t>
      </w:r>
      <w:r>
        <w:rPr>
          <w:lang w:val="fr-FR"/>
        </w:rPr>
        <w:t>’</w:t>
      </w:r>
      <w:r w:rsidRPr="00A47D25">
        <w:rPr>
          <w:lang w:val="fr-FR"/>
        </w:rPr>
        <w:t xml:space="preserve">il </w:t>
      </w:r>
      <w:r>
        <w:rPr>
          <w:lang w:val="fr-FR"/>
        </w:rPr>
        <w:t>n’existe aucun</w:t>
      </w:r>
      <w:r w:rsidRPr="00A47D25">
        <w:rPr>
          <w:lang w:val="fr-FR"/>
        </w:rPr>
        <w:t xml:space="preserve"> risque réel, sérieux et concret </w:t>
      </w:r>
      <w:r>
        <w:rPr>
          <w:lang w:val="fr-FR"/>
        </w:rPr>
        <w:t>pour</w:t>
      </w:r>
      <w:r w:rsidRPr="00A47D25">
        <w:rPr>
          <w:lang w:val="fr-FR"/>
        </w:rPr>
        <w:t xml:space="preserve"> la santé de G.</w:t>
      </w:r>
      <w:r w:rsidR="00693DE3">
        <w:rPr>
          <w:lang w:val="fr-FR"/>
        </w:rPr>
        <w:t> </w:t>
      </w:r>
      <w:r w:rsidRPr="00A47D25">
        <w:rPr>
          <w:lang w:val="fr-FR"/>
        </w:rPr>
        <w:t>R., l</w:t>
      </w:r>
      <w:r>
        <w:rPr>
          <w:lang w:val="fr-FR"/>
        </w:rPr>
        <w:t>’</w:t>
      </w:r>
      <w:r w:rsidRPr="00A47D25">
        <w:rPr>
          <w:lang w:val="fr-FR"/>
        </w:rPr>
        <w:t xml:space="preserve">État partie estime que </w:t>
      </w:r>
      <w:r>
        <w:rPr>
          <w:lang w:val="fr-FR"/>
        </w:rPr>
        <w:t>le</w:t>
      </w:r>
      <w:r w:rsidRPr="00A47D25">
        <w:rPr>
          <w:lang w:val="fr-FR"/>
        </w:rPr>
        <w:t xml:space="preserve"> renvoi </w:t>
      </w:r>
      <w:r>
        <w:rPr>
          <w:lang w:val="fr-FR"/>
        </w:rPr>
        <w:t xml:space="preserve">de l’enfant </w:t>
      </w:r>
      <w:r w:rsidRPr="00A47D25">
        <w:rPr>
          <w:lang w:val="fr-FR"/>
        </w:rPr>
        <w:t>ne violerait pas le principe de non-refoulement. Enfin, Sri Lanka est aussi partie à la Convention et</w:t>
      </w:r>
      <w:r>
        <w:rPr>
          <w:lang w:val="fr-FR"/>
        </w:rPr>
        <w:t>,</w:t>
      </w:r>
      <w:r w:rsidRPr="00A47D25">
        <w:rPr>
          <w:lang w:val="fr-FR"/>
        </w:rPr>
        <w:t xml:space="preserve"> si l</w:t>
      </w:r>
      <w:r>
        <w:rPr>
          <w:lang w:val="fr-FR"/>
        </w:rPr>
        <w:t>’</w:t>
      </w:r>
      <w:r w:rsidRPr="00A47D25">
        <w:rPr>
          <w:lang w:val="fr-FR"/>
        </w:rPr>
        <w:t>auteur estim</w:t>
      </w:r>
      <w:r>
        <w:rPr>
          <w:lang w:val="fr-FR"/>
        </w:rPr>
        <w:t>e</w:t>
      </w:r>
      <w:r w:rsidRPr="00A47D25">
        <w:rPr>
          <w:lang w:val="fr-FR"/>
        </w:rPr>
        <w:t xml:space="preserve"> que Sri Lanka viole ses obligations à </w:t>
      </w:r>
      <w:r>
        <w:rPr>
          <w:lang w:val="fr-FR"/>
        </w:rPr>
        <w:t>l’égard</w:t>
      </w:r>
      <w:r w:rsidRPr="00A47D25">
        <w:rPr>
          <w:lang w:val="fr-FR"/>
        </w:rPr>
        <w:t xml:space="preserve"> de G.</w:t>
      </w:r>
      <w:r w:rsidR="00693DE3">
        <w:rPr>
          <w:lang w:val="fr-FR"/>
        </w:rPr>
        <w:t> </w:t>
      </w:r>
      <w:r w:rsidRPr="00A47D25">
        <w:rPr>
          <w:lang w:val="fr-FR"/>
        </w:rPr>
        <w:t>R., il pourra faire valoir ses griefs auprès des autorités sri-lankaises.</w:t>
      </w:r>
    </w:p>
    <w:p w14:paraId="6C91610B" w14:textId="0FC51A4D" w:rsidR="00434CC2" w:rsidRPr="002764A9" w:rsidRDefault="00434CC2" w:rsidP="00434CC2">
      <w:pPr>
        <w:pStyle w:val="H23G"/>
        <w:rPr>
          <w:lang w:val="fr-FR"/>
        </w:rPr>
      </w:pPr>
      <w:r>
        <w:rPr>
          <w:lang w:val="fr-FR"/>
        </w:rPr>
        <w:tab/>
      </w:r>
      <w:r>
        <w:rPr>
          <w:lang w:val="fr-FR"/>
        </w:rPr>
        <w:tab/>
      </w:r>
      <w:r w:rsidRPr="002764A9">
        <w:rPr>
          <w:lang w:val="fr-FR"/>
        </w:rPr>
        <w:t>Commentaires complémentaires de l’auteur sur les observations de l’État partie</w:t>
      </w:r>
    </w:p>
    <w:p w14:paraId="2044D8EF" w14:textId="3D93453B" w:rsidR="00434CC2" w:rsidRPr="00A47D25" w:rsidRDefault="00434CC2" w:rsidP="00434CC2">
      <w:pPr>
        <w:pStyle w:val="SingleTxtG"/>
        <w:rPr>
          <w:lang w:val="fr-FR"/>
        </w:rPr>
      </w:pPr>
      <w:r w:rsidRPr="002764A9">
        <w:rPr>
          <w:lang w:val="fr-FR"/>
        </w:rPr>
        <w:t>7.1</w:t>
      </w:r>
      <w:r w:rsidRPr="002764A9">
        <w:rPr>
          <w:lang w:val="fr-FR"/>
        </w:rPr>
        <w:tab/>
        <w:t>Dans ses commentaires du 16</w:t>
      </w:r>
      <w:r w:rsidR="00A31839" w:rsidRPr="002764A9">
        <w:rPr>
          <w:lang w:val="fr-FR"/>
        </w:rPr>
        <w:t> </w:t>
      </w:r>
      <w:r w:rsidRPr="002764A9">
        <w:rPr>
          <w:lang w:val="fr-FR"/>
        </w:rPr>
        <w:t>juin 2020, l’auteur allègue que le fait d’avoir suivi des cours de français de niveau A1 ne lui permettait pas de comprendre seul une décision juridique, et encore moins de rédiger un</w:t>
      </w:r>
      <w:r w:rsidRPr="00A47D25">
        <w:rPr>
          <w:lang w:val="fr-FR"/>
        </w:rPr>
        <w:t xml:space="preserve"> recours. Par ailleurs, </w:t>
      </w:r>
      <w:r>
        <w:rPr>
          <w:lang w:val="fr-FR"/>
        </w:rPr>
        <w:t>dans sa</w:t>
      </w:r>
      <w:r w:rsidRPr="00A47D25">
        <w:rPr>
          <w:lang w:val="fr-FR"/>
        </w:rPr>
        <w:t xml:space="preserve"> décision du 24</w:t>
      </w:r>
      <w:r w:rsidR="002764A9">
        <w:rPr>
          <w:lang w:val="fr-FR"/>
        </w:rPr>
        <w:t> </w:t>
      </w:r>
      <w:r w:rsidRPr="00A47D25">
        <w:rPr>
          <w:lang w:val="fr-FR"/>
        </w:rPr>
        <w:t>avril 2019</w:t>
      </w:r>
      <w:r>
        <w:rPr>
          <w:lang w:val="fr-FR"/>
        </w:rPr>
        <w:t>, le</w:t>
      </w:r>
      <w:r w:rsidRPr="00A47D25">
        <w:rPr>
          <w:lang w:val="fr-FR"/>
        </w:rPr>
        <w:t xml:space="preserve"> </w:t>
      </w:r>
      <w:r>
        <w:rPr>
          <w:lang w:val="fr-FR"/>
        </w:rPr>
        <w:t>Secrétariat d’État aux migrations</w:t>
      </w:r>
      <w:r w:rsidRPr="00A47D25">
        <w:rPr>
          <w:lang w:val="fr-FR"/>
        </w:rPr>
        <w:t xml:space="preserve"> </w:t>
      </w:r>
      <w:r>
        <w:rPr>
          <w:lang w:val="fr-FR"/>
        </w:rPr>
        <w:t>précise</w:t>
      </w:r>
      <w:r w:rsidRPr="00A47D25">
        <w:rPr>
          <w:lang w:val="fr-FR"/>
        </w:rPr>
        <w:t xml:space="preserve"> que l</w:t>
      </w:r>
      <w:r>
        <w:rPr>
          <w:lang w:val="fr-FR"/>
        </w:rPr>
        <w:t>’</w:t>
      </w:r>
      <w:r w:rsidRPr="00A47D25">
        <w:rPr>
          <w:lang w:val="fr-FR"/>
        </w:rPr>
        <w:t>usage d</w:t>
      </w:r>
      <w:r>
        <w:rPr>
          <w:lang w:val="fr-FR"/>
        </w:rPr>
        <w:t>’</w:t>
      </w:r>
      <w:r w:rsidRPr="00A47D25">
        <w:rPr>
          <w:lang w:val="fr-FR"/>
        </w:rPr>
        <w:t xml:space="preserve">une voie de recours </w:t>
      </w:r>
      <w:r>
        <w:rPr>
          <w:lang w:val="fr-FR"/>
        </w:rPr>
        <w:t>n’aura</w:t>
      </w:r>
      <w:r w:rsidRPr="00A47D25">
        <w:rPr>
          <w:lang w:val="fr-FR"/>
        </w:rPr>
        <w:t xml:space="preserve"> pas d</w:t>
      </w:r>
      <w:r>
        <w:rPr>
          <w:lang w:val="fr-FR"/>
        </w:rPr>
        <w:t>’</w:t>
      </w:r>
      <w:r w:rsidRPr="00A47D25">
        <w:rPr>
          <w:lang w:val="fr-FR"/>
        </w:rPr>
        <w:t>effet suspensif. Selon la jurisprudence du Comité, tout recours qui ne suspendrait pas l</w:t>
      </w:r>
      <w:r>
        <w:rPr>
          <w:lang w:val="fr-FR"/>
        </w:rPr>
        <w:t>’</w:t>
      </w:r>
      <w:r w:rsidRPr="00A47D25">
        <w:rPr>
          <w:lang w:val="fr-FR"/>
        </w:rPr>
        <w:t>exécution de la décision de renvoi ne saurait être considéré comme utile</w:t>
      </w:r>
      <w:r>
        <w:rPr>
          <w:rStyle w:val="Appelnotedebasdep"/>
        </w:rPr>
        <w:footnoteReference w:id="12"/>
      </w:r>
      <w:r w:rsidRPr="00A47D25">
        <w:rPr>
          <w:lang w:val="fr-FR"/>
        </w:rPr>
        <w:t>. L</w:t>
      </w:r>
      <w:r>
        <w:rPr>
          <w:lang w:val="fr-FR"/>
        </w:rPr>
        <w:t>’</w:t>
      </w:r>
      <w:r w:rsidRPr="00A47D25">
        <w:rPr>
          <w:lang w:val="fr-FR"/>
        </w:rPr>
        <w:t>article</w:t>
      </w:r>
      <w:r w:rsidR="002764A9">
        <w:rPr>
          <w:lang w:val="fr-FR"/>
        </w:rPr>
        <w:t> </w:t>
      </w:r>
      <w:r w:rsidRPr="00A47D25">
        <w:rPr>
          <w:lang w:val="fr-FR"/>
        </w:rPr>
        <w:t>7 (</w:t>
      </w:r>
      <w:r>
        <w:rPr>
          <w:lang w:val="fr-FR"/>
        </w:rPr>
        <w:t xml:space="preserve">al. </w:t>
      </w:r>
      <w:r w:rsidRPr="00A47D25">
        <w:rPr>
          <w:lang w:val="fr-FR"/>
        </w:rPr>
        <w:t>e</w:t>
      </w:r>
      <w:r>
        <w:rPr>
          <w:lang w:val="fr-FR"/>
        </w:rPr>
        <w:t>)</w:t>
      </w:r>
      <w:r w:rsidRPr="00A47D25">
        <w:rPr>
          <w:lang w:val="fr-FR"/>
        </w:rPr>
        <w:t>) du Protocole facultatif ne fait donc pas obstacle à la recevabilité de la communication.</w:t>
      </w:r>
    </w:p>
    <w:p w14:paraId="0C431F12" w14:textId="1A8772FB" w:rsidR="00434CC2" w:rsidRPr="00A47D25" w:rsidRDefault="00434CC2" w:rsidP="00434CC2">
      <w:pPr>
        <w:pStyle w:val="SingleTxtG"/>
        <w:rPr>
          <w:lang w:val="fr-FR"/>
        </w:rPr>
      </w:pPr>
      <w:r w:rsidRPr="00A47D25">
        <w:rPr>
          <w:lang w:val="fr-FR"/>
        </w:rPr>
        <w:t>7.2</w:t>
      </w:r>
      <w:r w:rsidRPr="00A47D25">
        <w:rPr>
          <w:lang w:val="fr-FR"/>
        </w:rPr>
        <w:tab/>
        <w:t>L</w:t>
      </w:r>
      <w:r>
        <w:rPr>
          <w:lang w:val="fr-FR"/>
        </w:rPr>
        <w:t>’</w:t>
      </w:r>
      <w:r w:rsidRPr="00A47D25">
        <w:rPr>
          <w:lang w:val="fr-FR"/>
        </w:rPr>
        <w:t xml:space="preserve">auteur note que, selon </w:t>
      </w:r>
      <w:r>
        <w:rPr>
          <w:lang w:val="fr-FR"/>
        </w:rPr>
        <w:t>le Comité</w:t>
      </w:r>
      <w:r w:rsidRPr="00A47D25">
        <w:rPr>
          <w:lang w:val="fr-FR"/>
        </w:rPr>
        <w:t>, l</w:t>
      </w:r>
      <w:r>
        <w:rPr>
          <w:lang w:val="fr-FR"/>
        </w:rPr>
        <w:t>’</w:t>
      </w:r>
      <w:r w:rsidRPr="00A47D25">
        <w:rPr>
          <w:lang w:val="fr-FR"/>
        </w:rPr>
        <w:t>article 3 (</w:t>
      </w:r>
      <w:r>
        <w:rPr>
          <w:lang w:val="fr-FR"/>
        </w:rPr>
        <w:t xml:space="preserve">par. </w:t>
      </w:r>
      <w:r w:rsidRPr="00A47D25">
        <w:rPr>
          <w:lang w:val="fr-FR"/>
        </w:rPr>
        <w:t>1) de la Convention est directement applicable et peut être invoqué devant un tribunal</w:t>
      </w:r>
      <w:r>
        <w:rPr>
          <w:rStyle w:val="Appelnotedebasdep"/>
        </w:rPr>
        <w:footnoteReference w:id="13"/>
      </w:r>
      <w:r w:rsidRPr="00A47D25">
        <w:rPr>
          <w:lang w:val="fr-FR"/>
        </w:rPr>
        <w:t>.</w:t>
      </w:r>
    </w:p>
    <w:p w14:paraId="060BABA4" w14:textId="2EF06063" w:rsidR="00434CC2" w:rsidRPr="00A47D25" w:rsidRDefault="00434CC2" w:rsidP="00434CC2">
      <w:pPr>
        <w:pStyle w:val="SingleTxtG"/>
        <w:rPr>
          <w:lang w:val="fr-FR"/>
        </w:rPr>
      </w:pPr>
      <w:r w:rsidRPr="00A47D25">
        <w:rPr>
          <w:lang w:val="fr-FR"/>
        </w:rPr>
        <w:t>7.3</w:t>
      </w:r>
      <w:r w:rsidRPr="00A47D25">
        <w:rPr>
          <w:lang w:val="fr-FR"/>
        </w:rPr>
        <w:tab/>
        <w:t>L</w:t>
      </w:r>
      <w:r>
        <w:rPr>
          <w:lang w:val="fr-FR"/>
        </w:rPr>
        <w:t>’</w:t>
      </w:r>
      <w:r w:rsidRPr="00A47D25">
        <w:rPr>
          <w:lang w:val="fr-FR"/>
        </w:rPr>
        <w:t xml:space="preserve">auteur </w:t>
      </w:r>
      <w:r>
        <w:rPr>
          <w:lang w:val="fr-FR"/>
        </w:rPr>
        <w:t>conteste</w:t>
      </w:r>
      <w:r w:rsidRPr="00A47D25">
        <w:rPr>
          <w:lang w:val="fr-FR"/>
        </w:rPr>
        <w:t xml:space="preserve"> que </w:t>
      </w:r>
      <w:r>
        <w:rPr>
          <w:lang w:val="fr-FR"/>
        </w:rPr>
        <w:t>ce soit</w:t>
      </w:r>
      <w:r w:rsidRPr="00A47D25">
        <w:rPr>
          <w:lang w:val="fr-FR"/>
        </w:rPr>
        <w:t xml:space="preserve"> le non-respect du délai légal de </w:t>
      </w:r>
      <w:r w:rsidR="002764A9">
        <w:rPr>
          <w:lang w:val="fr-FR"/>
        </w:rPr>
        <w:t>trente</w:t>
      </w:r>
      <w:r w:rsidRPr="00A47D25">
        <w:rPr>
          <w:lang w:val="fr-FR"/>
        </w:rPr>
        <w:t xml:space="preserve"> jour</w:t>
      </w:r>
      <w:r w:rsidR="002764A9">
        <w:rPr>
          <w:lang w:val="fr-FR"/>
        </w:rPr>
        <w:t>s</w:t>
      </w:r>
      <w:r w:rsidRPr="00A47D25">
        <w:rPr>
          <w:lang w:val="fr-FR"/>
        </w:rPr>
        <w:t xml:space="preserve"> </w:t>
      </w:r>
      <w:r>
        <w:rPr>
          <w:lang w:val="fr-FR"/>
        </w:rPr>
        <w:t>à compter de</w:t>
      </w:r>
      <w:r w:rsidRPr="00A47D25">
        <w:rPr>
          <w:lang w:val="fr-FR"/>
        </w:rPr>
        <w:t xml:space="preserve"> la découverte </w:t>
      </w:r>
      <w:r>
        <w:rPr>
          <w:lang w:val="fr-FR"/>
        </w:rPr>
        <w:t>du</w:t>
      </w:r>
      <w:r w:rsidRPr="00A47D25">
        <w:rPr>
          <w:lang w:val="fr-FR"/>
        </w:rPr>
        <w:t xml:space="preserve"> motif de réexamen qui a empêché le </w:t>
      </w:r>
      <w:r>
        <w:rPr>
          <w:lang w:val="fr-FR"/>
        </w:rPr>
        <w:t>Secrétariat d’État aux migrations</w:t>
      </w:r>
      <w:r w:rsidRPr="00A47D25">
        <w:rPr>
          <w:lang w:val="fr-FR"/>
        </w:rPr>
        <w:t xml:space="preserve"> </w:t>
      </w:r>
      <w:r>
        <w:rPr>
          <w:lang w:val="fr-FR"/>
        </w:rPr>
        <w:t>d’examiner</w:t>
      </w:r>
      <w:r w:rsidRPr="00A47D25">
        <w:rPr>
          <w:lang w:val="fr-FR"/>
        </w:rPr>
        <w:t xml:space="preserve"> la demande de réexamen. Il relève que</w:t>
      </w:r>
      <w:r>
        <w:rPr>
          <w:lang w:val="fr-FR"/>
        </w:rPr>
        <w:t>,</w:t>
      </w:r>
      <w:r w:rsidRPr="00A47D25">
        <w:rPr>
          <w:lang w:val="fr-FR"/>
        </w:rPr>
        <w:t xml:space="preserve"> </w:t>
      </w:r>
      <w:r>
        <w:rPr>
          <w:lang w:val="fr-FR"/>
        </w:rPr>
        <w:t>d’après</w:t>
      </w:r>
      <w:r w:rsidRPr="00A47D25">
        <w:rPr>
          <w:lang w:val="fr-FR"/>
        </w:rPr>
        <w:t xml:space="preserve"> la jurisprudence du </w:t>
      </w:r>
      <w:r>
        <w:rPr>
          <w:lang w:val="fr-FR"/>
        </w:rPr>
        <w:t>Tribunal administratif fédéral</w:t>
      </w:r>
      <w:r w:rsidRPr="00A47D25">
        <w:rPr>
          <w:lang w:val="fr-FR"/>
        </w:rPr>
        <w:t xml:space="preserve">, la découverte </w:t>
      </w:r>
      <w:r>
        <w:rPr>
          <w:lang w:val="fr-FR"/>
        </w:rPr>
        <w:t>de</w:t>
      </w:r>
      <w:r w:rsidRPr="00A47D25">
        <w:rPr>
          <w:lang w:val="fr-FR"/>
        </w:rPr>
        <w:t xml:space="preserve"> motif</w:t>
      </w:r>
      <w:r>
        <w:rPr>
          <w:lang w:val="fr-FR"/>
        </w:rPr>
        <w:t>s</w:t>
      </w:r>
      <w:r w:rsidRPr="00A47D25">
        <w:rPr>
          <w:lang w:val="fr-FR"/>
        </w:rPr>
        <w:t xml:space="preserve"> de réexamen implique que le requérant ait une connaissance suffisamment sûre du fait nouveau et des problèmes médicaux pour pouvoir les invoquer et il faut pouvoir offrir la preuve </w:t>
      </w:r>
      <w:r>
        <w:rPr>
          <w:lang w:val="fr-FR"/>
        </w:rPr>
        <w:t xml:space="preserve">de ces problèmes en produisant </w:t>
      </w:r>
      <w:r w:rsidRPr="00A47D25">
        <w:rPr>
          <w:lang w:val="fr-FR"/>
        </w:rPr>
        <w:t>un certificat médical. Le diagnostic d</w:t>
      </w:r>
      <w:r>
        <w:rPr>
          <w:lang w:val="fr-FR"/>
        </w:rPr>
        <w:t>’</w:t>
      </w:r>
      <w:r w:rsidRPr="00A47D25">
        <w:rPr>
          <w:lang w:val="fr-FR"/>
        </w:rPr>
        <w:t>hypothyroïdie a été posé le 24</w:t>
      </w:r>
      <w:r w:rsidR="009718F9">
        <w:rPr>
          <w:lang w:val="fr-FR"/>
        </w:rPr>
        <w:t> </w:t>
      </w:r>
      <w:r w:rsidRPr="00A47D25">
        <w:rPr>
          <w:lang w:val="fr-FR"/>
        </w:rPr>
        <w:t>janvier 2019 mais</w:t>
      </w:r>
      <w:r>
        <w:rPr>
          <w:lang w:val="fr-FR"/>
        </w:rPr>
        <w:t>,</w:t>
      </w:r>
      <w:r w:rsidRPr="00A47D25">
        <w:rPr>
          <w:lang w:val="fr-FR"/>
        </w:rPr>
        <w:t xml:space="preserve"> à ce moment-là, les parents ne pouvaient se rendre compte de toutes les implications. Un certificat médical était nécessaire pour apporter une preuve de ce fait nouveau. </w:t>
      </w:r>
      <w:r>
        <w:rPr>
          <w:lang w:val="fr-FR"/>
        </w:rPr>
        <w:t>Étant donné que le</w:t>
      </w:r>
      <w:r w:rsidRPr="00A47D25">
        <w:rPr>
          <w:lang w:val="fr-FR"/>
        </w:rPr>
        <w:t xml:space="preserve"> certificat du 12</w:t>
      </w:r>
      <w:r w:rsidR="009718F9">
        <w:rPr>
          <w:lang w:val="fr-FR"/>
        </w:rPr>
        <w:t> </w:t>
      </w:r>
      <w:r w:rsidRPr="00A47D25">
        <w:rPr>
          <w:lang w:val="fr-FR"/>
        </w:rPr>
        <w:t>mars 2019</w:t>
      </w:r>
      <w:r>
        <w:rPr>
          <w:lang w:val="fr-FR"/>
        </w:rPr>
        <w:t xml:space="preserve"> a été soumis </w:t>
      </w:r>
      <w:r w:rsidRPr="00A47D25">
        <w:rPr>
          <w:lang w:val="fr-FR"/>
        </w:rPr>
        <w:t>le 29</w:t>
      </w:r>
      <w:r w:rsidR="009718F9">
        <w:rPr>
          <w:lang w:val="fr-FR"/>
        </w:rPr>
        <w:t> </w:t>
      </w:r>
      <w:r w:rsidRPr="00A47D25">
        <w:rPr>
          <w:lang w:val="fr-FR"/>
        </w:rPr>
        <w:t xml:space="preserve">mars 2019, le </w:t>
      </w:r>
      <w:r>
        <w:rPr>
          <w:lang w:val="fr-FR"/>
        </w:rPr>
        <w:t xml:space="preserve">Secrétariat d’État aux migrations </w:t>
      </w:r>
      <w:r w:rsidRPr="00A47D25">
        <w:rPr>
          <w:lang w:val="fr-FR"/>
        </w:rPr>
        <w:t xml:space="preserve">aurait dû </w:t>
      </w:r>
      <w:r>
        <w:rPr>
          <w:lang w:val="fr-FR"/>
        </w:rPr>
        <w:t>examiner</w:t>
      </w:r>
      <w:r w:rsidRPr="00A47D25">
        <w:rPr>
          <w:lang w:val="fr-FR"/>
        </w:rPr>
        <w:t xml:space="preserve"> la demande.</w:t>
      </w:r>
    </w:p>
    <w:p w14:paraId="08C46B9A" w14:textId="7CFBA69E" w:rsidR="00434CC2" w:rsidRPr="00A47D25" w:rsidRDefault="00434CC2" w:rsidP="00434CC2">
      <w:pPr>
        <w:pStyle w:val="SingleTxtG"/>
        <w:rPr>
          <w:lang w:val="fr-FR"/>
        </w:rPr>
      </w:pPr>
      <w:r w:rsidRPr="00A47D25">
        <w:rPr>
          <w:lang w:val="fr-FR"/>
        </w:rPr>
        <w:t>7.4</w:t>
      </w:r>
      <w:r w:rsidRPr="00A47D25">
        <w:rPr>
          <w:lang w:val="fr-FR"/>
        </w:rPr>
        <w:tab/>
        <w:t>L</w:t>
      </w:r>
      <w:r>
        <w:rPr>
          <w:lang w:val="fr-FR"/>
        </w:rPr>
        <w:t>’</w:t>
      </w:r>
      <w:r w:rsidRPr="00A47D25">
        <w:rPr>
          <w:lang w:val="fr-FR"/>
        </w:rPr>
        <w:t>auteur fait valoir qu</w:t>
      </w:r>
      <w:r>
        <w:rPr>
          <w:lang w:val="fr-FR"/>
        </w:rPr>
        <w:t>’</w:t>
      </w:r>
      <w:r w:rsidRPr="00A47D25">
        <w:rPr>
          <w:lang w:val="fr-FR"/>
        </w:rPr>
        <w:t>au vu de la vulnérabilité de G.</w:t>
      </w:r>
      <w:r w:rsidR="002764A9">
        <w:rPr>
          <w:lang w:val="fr-FR"/>
        </w:rPr>
        <w:t> </w:t>
      </w:r>
      <w:r w:rsidRPr="00A47D25">
        <w:rPr>
          <w:lang w:val="fr-FR"/>
        </w:rPr>
        <w:t xml:space="preserve">R., enfant migrant </w:t>
      </w:r>
      <w:r>
        <w:rPr>
          <w:lang w:val="fr-FR"/>
        </w:rPr>
        <w:t xml:space="preserve">malade pour qui </w:t>
      </w:r>
      <w:r w:rsidRPr="00A47D25">
        <w:rPr>
          <w:lang w:val="fr-FR"/>
        </w:rPr>
        <w:t>l</w:t>
      </w:r>
      <w:r>
        <w:rPr>
          <w:lang w:val="fr-FR"/>
        </w:rPr>
        <w:t>’</w:t>
      </w:r>
      <w:r w:rsidRPr="00A47D25">
        <w:rPr>
          <w:lang w:val="fr-FR"/>
        </w:rPr>
        <w:t xml:space="preserve">interruption </w:t>
      </w:r>
      <w:r>
        <w:rPr>
          <w:lang w:val="fr-FR"/>
        </w:rPr>
        <w:t>de son</w:t>
      </w:r>
      <w:r w:rsidRPr="00A47D25">
        <w:rPr>
          <w:lang w:val="fr-FR"/>
        </w:rPr>
        <w:t xml:space="preserve"> traitement </w:t>
      </w:r>
      <w:r>
        <w:rPr>
          <w:lang w:val="fr-FR"/>
        </w:rPr>
        <w:t>aurait</w:t>
      </w:r>
      <w:r w:rsidRPr="00A47D25">
        <w:rPr>
          <w:lang w:val="fr-FR"/>
        </w:rPr>
        <w:t xml:space="preserve"> des conséquences irréversibles, </w:t>
      </w:r>
      <w:r>
        <w:rPr>
          <w:lang w:val="fr-FR"/>
        </w:rPr>
        <w:t>arguer simplement de</w:t>
      </w:r>
      <w:r w:rsidRPr="00A47D25">
        <w:rPr>
          <w:lang w:val="fr-FR"/>
        </w:rPr>
        <w:t xml:space="preserve"> l</w:t>
      </w:r>
      <w:r>
        <w:rPr>
          <w:lang w:val="fr-FR"/>
        </w:rPr>
        <w:t>’</w:t>
      </w:r>
      <w:r w:rsidRPr="00A47D25">
        <w:rPr>
          <w:lang w:val="fr-FR"/>
        </w:rPr>
        <w:t>existence d</w:t>
      </w:r>
      <w:r>
        <w:rPr>
          <w:lang w:val="fr-FR"/>
        </w:rPr>
        <w:t>’</w:t>
      </w:r>
      <w:r w:rsidRPr="00A47D25">
        <w:rPr>
          <w:lang w:val="fr-FR"/>
        </w:rPr>
        <w:t xml:space="preserve">infrastructures médicales à Colombo ne </w:t>
      </w:r>
      <w:r>
        <w:rPr>
          <w:lang w:val="fr-FR"/>
        </w:rPr>
        <w:t>suffit pas</w:t>
      </w:r>
      <w:r w:rsidRPr="00A47D25">
        <w:rPr>
          <w:lang w:val="fr-FR"/>
        </w:rPr>
        <w:t xml:space="preserve"> au regard de l</w:t>
      </w:r>
      <w:r>
        <w:rPr>
          <w:lang w:val="fr-FR"/>
        </w:rPr>
        <w:t>’</w:t>
      </w:r>
      <w:r w:rsidRPr="00A47D25">
        <w:rPr>
          <w:lang w:val="fr-FR"/>
        </w:rPr>
        <w:t>article 3 de la Convention.</w:t>
      </w:r>
    </w:p>
    <w:p w14:paraId="7260AF2F" w14:textId="696A2A22" w:rsidR="00434CC2" w:rsidRPr="00A47D25" w:rsidRDefault="00434CC2" w:rsidP="00434CC2">
      <w:pPr>
        <w:pStyle w:val="SingleTxtG"/>
        <w:rPr>
          <w:lang w:val="fr-FR"/>
        </w:rPr>
      </w:pPr>
      <w:r w:rsidRPr="00A47D25">
        <w:rPr>
          <w:lang w:val="fr-FR"/>
        </w:rPr>
        <w:t>7.5</w:t>
      </w:r>
      <w:r w:rsidRPr="00A47D25">
        <w:rPr>
          <w:lang w:val="fr-FR"/>
        </w:rPr>
        <w:tab/>
        <w:t>L</w:t>
      </w:r>
      <w:r>
        <w:rPr>
          <w:lang w:val="fr-FR"/>
        </w:rPr>
        <w:t>’</w:t>
      </w:r>
      <w:r w:rsidRPr="00A47D25">
        <w:rPr>
          <w:lang w:val="fr-FR"/>
        </w:rPr>
        <w:t>auteur fait remarquer qu</w:t>
      </w:r>
      <w:r>
        <w:rPr>
          <w:lang w:val="fr-FR"/>
        </w:rPr>
        <w:t>’</w:t>
      </w:r>
      <w:r w:rsidRPr="00A47D25">
        <w:rPr>
          <w:lang w:val="fr-FR"/>
        </w:rPr>
        <w:t xml:space="preserve">aucun des documents </w:t>
      </w:r>
      <w:r>
        <w:rPr>
          <w:lang w:val="fr-FR"/>
        </w:rPr>
        <w:t>cités</w:t>
      </w:r>
      <w:r w:rsidRPr="00A47D25">
        <w:rPr>
          <w:lang w:val="fr-FR"/>
        </w:rPr>
        <w:t xml:space="preserve"> par l</w:t>
      </w:r>
      <w:r>
        <w:rPr>
          <w:lang w:val="fr-FR"/>
        </w:rPr>
        <w:t>’</w:t>
      </w:r>
      <w:r w:rsidRPr="00A47D25">
        <w:rPr>
          <w:lang w:val="fr-FR"/>
        </w:rPr>
        <w:t xml:space="preserve">État partie ne </w:t>
      </w:r>
      <w:r>
        <w:rPr>
          <w:lang w:val="fr-FR"/>
        </w:rPr>
        <w:t>fait référence à</w:t>
      </w:r>
      <w:r w:rsidRPr="00A47D25">
        <w:rPr>
          <w:lang w:val="fr-FR"/>
        </w:rPr>
        <w:t xml:space="preserve"> l</w:t>
      </w:r>
      <w:r>
        <w:rPr>
          <w:lang w:val="fr-FR"/>
        </w:rPr>
        <w:t>’</w:t>
      </w:r>
      <w:r w:rsidRPr="00A47D25">
        <w:rPr>
          <w:lang w:val="fr-FR"/>
        </w:rPr>
        <w:t>accès</w:t>
      </w:r>
      <w:r>
        <w:rPr>
          <w:lang w:val="fr-FR"/>
        </w:rPr>
        <w:t xml:space="preserve"> effectif</w:t>
      </w:r>
      <w:r w:rsidRPr="00A47D25">
        <w:rPr>
          <w:lang w:val="fr-FR"/>
        </w:rPr>
        <w:t xml:space="preserve"> </w:t>
      </w:r>
      <w:r>
        <w:rPr>
          <w:lang w:val="fr-FR"/>
        </w:rPr>
        <w:t>à un</w:t>
      </w:r>
      <w:r w:rsidRPr="00A47D25">
        <w:rPr>
          <w:lang w:val="fr-FR"/>
        </w:rPr>
        <w:t xml:space="preserve"> traitement pour l</w:t>
      </w:r>
      <w:r>
        <w:rPr>
          <w:lang w:val="fr-FR"/>
        </w:rPr>
        <w:t>’</w:t>
      </w:r>
      <w:r w:rsidRPr="00A47D25">
        <w:rPr>
          <w:lang w:val="fr-FR"/>
        </w:rPr>
        <w:t xml:space="preserve">hypothyroïdie congénitale </w:t>
      </w:r>
      <w:r>
        <w:rPr>
          <w:lang w:val="fr-FR"/>
        </w:rPr>
        <w:t>à</w:t>
      </w:r>
      <w:r w:rsidRPr="00A47D25">
        <w:rPr>
          <w:lang w:val="fr-FR"/>
        </w:rPr>
        <w:t xml:space="preserve"> Sri Lanka. Il fait valoir que l</w:t>
      </w:r>
      <w:r>
        <w:rPr>
          <w:lang w:val="fr-FR"/>
        </w:rPr>
        <w:t>’</w:t>
      </w:r>
      <w:r w:rsidRPr="00A47D25">
        <w:rPr>
          <w:lang w:val="fr-FR"/>
        </w:rPr>
        <w:t>État partie fait dépendre l</w:t>
      </w:r>
      <w:r>
        <w:rPr>
          <w:lang w:val="fr-FR"/>
        </w:rPr>
        <w:t>’</w:t>
      </w:r>
      <w:r w:rsidRPr="00A47D25">
        <w:rPr>
          <w:lang w:val="fr-FR"/>
        </w:rPr>
        <w:t xml:space="preserve">accès </w:t>
      </w:r>
      <w:r>
        <w:rPr>
          <w:lang w:val="fr-FR"/>
        </w:rPr>
        <w:t>de</w:t>
      </w:r>
      <w:r w:rsidRPr="00A47D25">
        <w:rPr>
          <w:lang w:val="fr-FR"/>
        </w:rPr>
        <w:t xml:space="preserve"> G.</w:t>
      </w:r>
      <w:r w:rsidR="00693DE3">
        <w:rPr>
          <w:lang w:val="fr-FR"/>
        </w:rPr>
        <w:t> </w:t>
      </w:r>
      <w:r w:rsidRPr="00A47D25">
        <w:rPr>
          <w:lang w:val="fr-FR"/>
        </w:rPr>
        <w:t xml:space="preserve">R. </w:t>
      </w:r>
      <w:r>
        <w:rPr>
          <w:lang w:val="fr-FR"/>
        </w:rPr>
        <w:t>aux soins</w:t>
      </w:r>
      <w:r w:rsidRPr="00A47D25">
        <w:rPr>
          <w:lang w:val="fr-FR"/>
        </w:rPr>
        <w:t xml:space="preserve"> de</w:t>
      </w:r>
      <w:r>
        <w:rPr>
          <w:lang w:val="fr-FR"/>
        </w:rPr>
        <w:t xml:space="preserve"> la capacité de</w:t>
      </w:r>
      <w:r w:rsidRPr="00A47D25">
        <w:rPr>
          <w:lang w:val="fr-FR"/>
        </w:rPr>
        <w:t xml:space="preserve"> l</w:t>
      </w:r>
      <w:r>
        <w:rPr>
          <w:lang w:val="fr-FR"/>
        </w:rPr>
        <w:t>’</w:t>
      </w:r>
      <w:r w:rsidRPr="00A47D25">
        <w:rPr>
          <w:lang w:val="fr-FR"/>
        </w:rPr>
        <w:t xml:space="preserve">auteur </w:t>
      </w:r>
      <w:r>
        <w:rPr>
          <w:lang w:val="fr-FR"/>
        </w:rPr>
        <w:t>de</w:t>
      </w:r>
      <w:r w:rsidRPr="00A47D25">
        <w:rPr>
          <w:lang w:val="fr-FR"/>
        </w:rPr>
        <w:t xml:space="preserve"> financer </w:t>
      </w:r>
      <w:r>
        <w:rPr>
          <w:lang w:val="fr-FR"/>
        </w:rPr>
        <w:t>ces soins</w:t>
      </w:r>
      <w:r w:rsidRPr="00A47D25">
        <w:rPr>
          <w:lang w:val="fr-FR"/>
        </w:rPr>
        <w:t>. Aucune garantie n</w:t>
      </w:r>
      <w:r>
        <w:rPr>
          <w:lang w:val="fr-FR"/>
        </w:rPr>
        <w:t>’</w:t>
      </w:r>
      <w:r w:rsidRPr="00A47D25">
        <w:rPr>
          <w:lang w:val="fr-FR"/>
        </w:rPr>
        <w:t xml:space="preserve">a été </w:t>
      </w:r>
      <w:r>
        <w:rPr>
          <w:lang w:val="fr-FR"/>
        </w:rPr>
        <w:t>donnée concernant la capacité de</w:t>
      </w:r>
      <w:r w:rsidRPr="00A47D25">
        <w:rPr>
          <w:lang w:val="fr-FR"/>
        </w:rPr>
        <w:t xml:space="preserve"> G.</w:t>
      </w:r>
      <w:r w:rsidR="00693DE3">
        <w:rPr>
          <w:lang w:val="fr-FR"/>
        </w:rPr>
        <w:t> </w:t>
      </w:r>
      <w:r w:rsidRPr="00A47D25">
        <w:rPr>
          <w:lang w:val="fr-FR"/>
        </w:rPr>
        <w:t xml:space="preserve">R. </w:t>
      </w:r>
      <w:r>
        <w:rPr>
          <w:lang w:val="fr-FR"/>
        </w:rPr>
        <w:t>d’</w:t>
      </w:r>
      <w:r w:rsidRPr="00A47D25">
        <w:rPr>
          <w:lang w:val="fr-FR"/>
        </w:rPr>
        <w:t xml:space="preserve">avoir accès </w:t>
      </w:r>
      <w:r>
        <w:rPr>
          <w:lang w:val="fr-FR"/>
        </w:rPr>
        <w:t>à un</w:t>
      </w:r>
      <w:r w:rsidRPr="00A47D25">
        <w:rPr>
          <w:lang w:val="fr-FR"/>
        </w:rPr>
        <w:t xml:space="preserve"> suivi médical pour une durée indéterminée. </w:t>
      </w:r>
      <w:r w:rsidRPr="00195F3E">
        <w:rPr>
          <w:caps/>
          <w:lang w:val="fr-FR"/>
        </w:rPr>
        <w:t>à</w:t>
      </w:r>
      <w:r w:rsidRPr="00A47D25">
        <w:rPr>
          <w:lang w:val="fr-FR"/>
        </w:rPr>
        <w:t xml:space="preserve"> Sri Lanka</w:t>
      </w:r>
      <w:r>
        <w:rPr>
          <w:lang w:val="fr-FR"/>
        </w:rPr>
        <w:t>,</w:t>
      </w:r>
      <w:r w:rsidRPr="00A47D25">
        <w:rPr>
          <w:lang w:val="fr-FR"/>
        </w:rPr>
        <w:t xml:space="preserve"> </w:t>
      </w:r>
      <w:r>
        <w:rPr>
          <w:lang w:val="fr-FR"/>
        </w:rPr>
        <w:t>u</w:t>
      </w:r>
      <w:r w:rsidRPr="00A47D25">
        <w:rPr>
          <w:lang w:val="fr-FR"/>
        </w:rPr>
        <w:t xml:space="preserve">ne part élevée des coûts </w:t>
      </w:r>
      <w:r>
        <w:rPr>
          <w:lang w:val="fr-FR"/>
        </w:rPr>
        <w:t>de santé</w:t>
      </w:r>
      <w:r w:rsidRPr="00A47D25">
        <w:rPr>
          <w:lang w:val="fr-FR"/>
        </w:rPr>
        <w:t xml:space="preserve"> est à la charge des patients et les assurances maladie </w:t>
      </w:r>
      <w:r>
        <w:rPr>
          <w:lang w:val="fr-FR"/>
        </w:rPr>
        <w:t>ne</w:t>
      </w:r>
      <w:r w:rsidRPr="00A47D25">
        <w:rPr>
          <w:lang w:val="fr-FR"/>
        </w:rPr>
        <w:t xml:space="preserve"> jouent quasi</w:t>
      </w:r>
      <w:r>
        <w:rPr>
          <w:lang w:val="fr-FR"/>
        </w:rPr>
        <w:t>ment</w:t>
      </w:r>
      <w:r w:rsidRPr="00A47D25">
        <w:rPr>
          <w:lang w:val="fr-FR"/>
        </w:rPr>
        <w:t xml:space="preserve"> aucun rôle. Un certificat médical </w:t>
      </w:r>
      <w:r>
        <w:rPr>
          <w:lang w:val="fr-FR"/>
        </w:rPr>
        <w:t xml:space="preserve">daté </w:t>
      </w:r>
      <w:r w:rsidRPr="00A47D25">
        <w:rPr>
          <w:lang w:val="fr-FR"/>
        </w:rPr>
        <w:t>du 11</w:t>
      </w:r>
      <w:r w:rsidR="00693DE3">
        <w:rPr>
          <w:lang w:val="fr-FR"/>
        </w:rPr>
        <w:t> </w:t>
      </w:r>
      <w:r w:rsidRPr="00A47D25">
        <w:rPr>
          <w:lang w:val="fr-FR"/>
        </w:rPr>
        <w:t>juin 2020 indique que le coût annuel du suivi médical de G.</w:t>
      </w:r>
      <w:r w:rsidR="00693DE3">
        <w:rPr>
          <w:lang w:val="fr-FR"/>
        </w:rPr>
        <w:t> </w:t>
      </w:r>
      <w:r w:rsidRPr="00A47D25">
        <w:rPr>
          <w:lang w:val="fr-FR"/>
        </w:rPr>
        <w:t xml:space="preserve">R. </w:t>
      </w:r>
      <w:r>
        <w:rPr>
          <w:lang w:val="fr-FR"/>
        </w:rPr>
        <w:t>s’élève à</w:t>
      </w:r>
      <w:r w:rsidRPr="00A47D25">
        <w:rPr>
          <w:lang w:val="fr-FR"/>
        </w:rPr>
        <w:t xml:space="preserve"> 2</w:t>
      </w:r>
      <w:r>
        <w:rPr>
          <w:lang w:val="fr-FR"/>
        </w:rPr>
        <w:t> </w:t>
      </w:r>
      <w:r w:rsidRPr="00A47D25">
        <w:rPr>
          <w:lang w:val="fr-FR"/>
        </w:rPr>
        <w:t>500 francs suisses</w:t>
      </w:r>
      <w:r>
        <w:rPr>
          <w:rStyle w:val="Appelnotedebasdep"/>
        </w:rPr>
        <w:footnoteReference w:id="14"/>
      </w:r>
      <w:r w:rsidRPr="00A47D25">
        <w:rPr>
          <w:lang w:val="fr-FR"/>
        </w:rPr>
        <w:t xml:space="preserve">. </w:t>
      </w:r>
      <w:r>
        <w:rPr>
          <w:lang w:val="fr-FR"/>
        </w:rPr>
        <w:t>Il est peu probable que</w:t>
      </w:r>
      <w:r w:rsidRPr="00A47D25">
        <w:rPr>
          <w:lang w:val="fr-FR"/>
        </w:rPr>
        <w:t xml:space="preserve"> l</w:t>
      </w:r>
      <w:r>
        <w:rPr>
          <w:lang w:val="fr-FR"/>
        </w:rPr>
        <w:t>’</w:t>
      </w:r>
      <w:r w:rsidRPr="00A47D25">
        <w:rPr>
          <w:lang w:val="fr-FR"/>
        </w:rPr>
        <w:t xml:space="preserve">auteur, qui travaillait dans la restauration, </w:t>
      </w:r>
      <w:r>
        <w:rPr>
          <w:lang w:val="fr-FR"/>
        </w:rPr>
        <w:t>puisse</w:t>
      </w:r>
      <w:r w:rsidRPr="00A47D25">
        <w:rPr>
          <w:lang w:val="fr-FR"/>
        </w:rPr>
        <w:t xml:space="preserve"> subvenir aux besoins de sa famille et payer pour le traitement de G.</w:t>
      </w:r>
      <w:r w:rsidR="00693DE3">
        <w:rPr>
          <w:lang w:val="fr-FR"/>
        </w:rPr>
        <w:t> </w:t>
      </w:r>
      <w:r w:rsidRPr="00A47D25">
        <w:rPr>
          <w:lang w:val="fr-FR"/>
        </w:rPr>
        <w:t xml:space="preserve">R. </w:t>
      </w:r>
      <w:r>
        <w:rPr>
          <w:lang w:val="fr-FR"/>
        </w:rPr>
        <w:t>à</w:t>
      </w:r>
      <w:r w:rsidRPr="00A47D25">
        <w:rPr>
          <w:lang w:val="fr-FR"/>
        </w:rPr>
        <w:t xml:space="preserve"> Sri Lanka. En </w:t>
      </w:r>
      <w:r>
        <w:rPr>
          <w:lang w:val="fr-FR"/>
        </w:rPr>
        <w:t>outre</w:t>
      </w:r>
      <w:r w:rsidRPr="00A47D25">
        <w:rPr>
          <w:lang w:val="fr-FR"/>
        </w:rPr>
        <w:t xml:space="preserve">, lui-même </w:t>
      </w:r>
      <w:r>
        <w:rPr>
          <w:lang w:val="fr-FR"/>
        </w:rPr>
        <w:t>a besoin d’</w:t>
      </w:r>
      <w:r w:rsidRPr="00A47D25">
        <w:rPr>
          <w:lang w:val="fr-FR"/>
        </w:rPr>
        <w:t xml:space="preserve">un traitement médical. </w:t>
      </w:r>
      <w:r>
        <w:rPr>
          <w:lang w:val="fr-FR"/>
        </w:rPr>
        <w:t>L’obtention d’</w:t>
      </w:r>
      <w:r w:rsidRPr="00A47D25">
        <w:rPr>
          <w:lang w:val="fr-FR"/>
        </w:rPr>
        <w:t xml:space="preserve">une aide au retour ne donne aucune garantie sur le long terme. </w:t>
      </w:r>
      <w:r>
        <w:rPr>
          <w:lang w:val="fr-FR"/>
        </w:rPr>
        <w:t>De</w:t>
      </w:r>
      <w:r w:rsidRPr="00A47D25">
        <w:rPr>
          <w:lang w:val="fr-FR"/>
        </w:rPr>
        <w:t xml:space="preserve"> plus, l</w:t>
      </w:r>
      <w:r>
        <w:rPr>
          <w:lang w:val="fr-FR"/>
        </w:rPr>
        <w:t>’</w:t>
      </w:r>
      <w:r w:rsidRPr="00A47D25">
        <w:rPr>
          <w:lang w:val="fr-FR"/>
        </w:rPr>
        <w:t>aide au retour n</w:t>
      </w:r>
      <w:r>
        <w:rPr>
          <w:lang w:val="fr-FR"/>
        </w:rPr>
        <w:t>’</w:t>
      </w:r>
      <w:r w:rsidRPr="00A47D25">
        <w:rPr>
          <w:lang w:val="fr-FR"/>
        </w:rPr>
        <w:t>est pas censée servir exclusivement à couvrir des besoins médicaux. En outre, G.</w:t>
      </w:r>
      <w:r w:rsidR="00693DE3">
        <w:rPr>
          <w:lang w:val="fr-FR"/>
        </w:rPr>
        <w:t> </w:t>
      </w:r>
      <w:r w:rsidRPr="00A47D25">
        <w:rPr>
          <w:lang w:val="fr-FR"/>
        </w:rPr>
        <w:t>R. pourrait être mis en danger par</w:t>
      </w:r>
      <w:r w:rsidR="00693DE3">
        <w:rPr>
          <w:lang w:val="fr-FR"/>
        </w:rPr>
        <w:t xml:space="preserve"> </w:t>
      </w:r>
      <w:r w:rsidRPr="00A47D25">
        <w:rPr>
          <w:lang w:val="fr-FR"/>
        </w:rPr>
        <w:t>la fragilité émotionnelle de V.</w:t>
      </w:r>
      <w:r w:rsidR="00693DE3">
        <w:rPr>
          <w:lang w:val="fr-FR"/>
        </w:rPr>
        <w:t> </w:t>
      </w:r>
      <w:r w:rsidRPr="00A47D25">
        <w:rPr>
          <w:lang w:val="fr-FR"/>
        </w:rPr>
        <w:t>R. Selon l</w:t>
      </w:r>
      <w:r>
        <w:rPr>
          <w:lang w:val="fr-FR"/>
        </w:rPr>
        <w:t>’</w:t>
      </w:r>
      <w:r w:rsidRPr="00A47D25">
        <w:rPr>
          <w:lang w:val="fr-FR"/>
        </w:rPr>
        <w:t>auteur, l</w:t>
      </w:r>
      <w:r>
        <w:rPr>
          <w:lang w:val="fr-FR"/>
        </w:rPr>
        <w:t>’</w:t>
      </w:r>
      <w:r w:rsidRPr="00A47D25">
        <w:rPr>
          <w:lang w:val="fr-FR"/>
        </w:rPr>
        <w:t>État partie</w:t>
      </w:r>
      <w:r>
        <w:rPr>
          <w:lang w:val="fr-FR"/>
        </w:rPr>
        <w:t>,</w:t>
      </w:r>
      <w:r w:rsidRPr="00A47D25">
        <w:rPr>
          <w:lang w:val="fr-FR"/>
        </w:rPr>
        <w:t xml:space="preserve"> en </w:t>
      </w:r>
      <w:r>
        <w:rPr>
          <w:lang w:val="fr-FR"/>
        </w:rPr>
        <w:t>jugeant</w:t>
      </w:r>
      <w:r w:rsidRPr="00A47D25">
        <w:rPr>
          <w:lang w:val="fr-FR"/>
        </w:rPr>
        <w:t xml:space="preserve"> que G.</w:t>
      </w:r>
      <w:r w:rsidR="00693DE3">
        <w:rPr>
          <w:lang w:val="fr-FR"/>
        </w:rPr>
        <w:t> </w:t>
      </w:r>
      <w:r w:rsidRPr="00A47D25">
        <w:rPr>
          <w:lang w:val="fr-FR"/>
        </w:rPr>
        <w:t xml:space="preserve">R. pouvait être renvoyé </w:t>
      </w:r>
      <w:r>
        <w:rPr>
          <w:lang w:val="fr-FR"/>
        </w:rPr>
        <w:t>à</w:t>
      </w:r>
      <w:r w:rsidRPr="00A47D25">
        <w:rPr>
          <w:lang w:val="fr-FR"/>
        </w:rPr>
        <w:t xml:space="preserve"> Sri Lanka</w:t>
      </w:r>
      <w:r>
        <w:rPr>
          <w:lang w:val="fr-FR"/>
        </w:rPr>
        <w:t>,</w:t>
      </w:r>
      <w:r w:rsidRPr="00ED772A">
        <w:rPr>
          <w:lang w:val="fr-FR"/>
        </w:rPr>
        <w:t xml:space="preserve"> </w:t>
      </w:r>
      <w:r w:rsidRPr="00A47D25">
        <w:rPr>
          <w:lang w:val="fr-FR"/>
        </w:rPr>
        <w:t>a violé l</w:t>
      </w:r>
      <w:r>
        <w:rPr>
          <w:lang w:val="fr-FR"/>
        </w:rPr>
        <w:t>’</w:t>
      </w:r>
      <w:r w:rsidRPr="00A47D25">
        <w:rPr>
          <w:lang w:val="fr-FR"/>
        </w:rPr>
        <w:t>article 3 de la Convention.</w:t>
      </w:r>
    </w:p>
    <w:p w14:paraId="022D9FC7" w14:textId="19E778F7" w:rsidR="00434CC2" w:rsidRPr="00A47D25" w:rsidRDefault="00434CC2" w:rsidP="00434CC2">
      <w:pPr>
        <w:pStyle w:val="SingleTxtG"/>
        <w:rPr>
          <w:lang w:val="fr-FR"/>
        </w:rPr>
      </w:pPr>
      <w:r w:rsidRPr="00A47D25">
        <w:rPr>
          <w:lang w:val="fr-FR"/>
        </w:rPr>
        <w:t>7.6</w:t>
      </w:r>
      <w:r w:rsidRPr="00A47D25">
        <w:rPr>
          <w:lang w:val="fr-FR"/>
        </w:rPr>
        <w:tab/>
        <w:t>En l</w:t>
      </w:r>
      <w:r>
        <w:rPr>
          <w:lang w:val="fr-FR"/>
        </w:rPr>
        <w:t>’</w:t>
      </w:r>
      <w:r w:rsidRPr="00A47D25">
        <w:rPr>
          <w:lang w:val="fr-FR"/>
        </w:rPr>
        <w:t xml:space="preserve">absence de toute garantie claire et </w:t>
      </w:r>
      <w:r>
        <w:rPr>
          <w:lang w:val="fr-FR"/>
        </w:rPr>
        <w:t>solide</w:t>
      </w:r>
      <w:r w:rsidRPr="00A47D25">
        <w:rPr>
          <w:lang w:val="fr-FR"/>
        </w:rPr>
        <w:t xml:space="preserve"> de la part de l</w:t>
      </w:r>
      <w:r>
        <w:rPr>
          <w:lang w:val="fr-FR"/>
        </w:rPr>
        <w:t>’</w:t>
      </w:r>
      <w:r w:rsidRPr="00A47D25">
        <w:rPr>
          <w:lang w:val="fr-FR"/>
        </w:rPr>
        <w:t>État partie concernant la poursuite du traitement de G.</w:t>
      </w:r>
      <w:r w:rsidR="00693DE3">
        <w:rPr>
          <w:lang w:val="fr-FR"/>
        </w:rPr>
        <w:t> </w:t>
      </w:r>
      <w:r w:rsidRPr="00A47D25">
        <w:rPr>
          <w:lang w:val="fr-FR"/>
        </w:rPr>
        <w:t xml:space="preserve">R. </w:t>
      </w:r>
      <w:r>
        <w:rPr>
          <w:lang w:val="fr-FR"/>
        </w:rPr>
        <w:t>à</w:t>
      </w:r>
      <w:r w:rsidRPr="00A47D25">
        <w:rPr>
          <w:lang w:val="fr-FR"/>
        </w:rPr>
        <w:t xml:space="preserve"> Sri Lanka, et </w:t>
      </w:r>
      <w:r>
        <w:rPr>
          <w:lang w:val="fr-FR"/>
        </w:rPr>
        <w:t>étant donné que G.</w:t>
      </w:r>
      <w:r w:rsidR="00693DE3">
        <w:rPr>
          <w:lang w:val="fr-FR"/>
        </w:rPr>
        <w:t> </w:t>
      </w:r>
      <w:r>
        <w:rPr>
          <w:lang w:val="fr-FR"/>
        </w:rPr>
        <w:t>R.</w:t>
      </w:r>
      <w:r w:rsidRPr="00A47D25">
        <w:rPr>
          <w:lang w:val="fr-FR"/>
        </w:rPr>
        <w:t xml:space="preserve"> a déjà </w:t>
      </w:r>
      <w:r>
        <w:rPr>
          <w:lang w:val="fr-FR"/>
        </w:rPr>
        <w:t>commencé</w:t>
      </w:r>
      <w:r w:rsidRPr="00A47D25">
        <w:rPr>
          <w:lang w:val="fr-FR"/>
        </w:rPr>
        <w:t xml:space="preserve"> ce traitement</w:t>
      </w:r>
      <w:r>
        <w:rPr>
          <w:lang w:val="fr-FR"/>
        </w:rPr>
        <w:t>, qui est</w:t>
      </w:r>
      <w:r w:rsidRPr="00A47D25">
        <w:rPr>
          <w:lang w:val="fr-FR"/>
        </w:rPr>
        <w:t xml:space="preserve"> supportable économiquement pour la Suisse, l</w:t>
      </w:r>
      <w:r>
        <w:rPr>
          <w:lang w:val="fr-FR"/>
        </w:rPr>
        <w:t>’</w:t>
      </w:r>
      <w:r w:rsidRPr="00A47D25">
        <w:rPr>
          <w:lang w:val="fr-FR"/>
        </w:rPr>
        <w:t xml:space="preserve">État partie aurait dû permettre </w:t>
      </w:r>
      <w:r>
        <w:rPr>
          <w:lang w:val="fr-FR"/>
        </w:rPr>
        <w:t>à G.</w:t>
      </w:r>
      <w:r w:rsidR="00693DE3">
        <w:rPr>
          <w:lang w:val="fr-FR"/>
        </w:rPr>
        <w:t> </w:t>
      </w:r>
      <w:r>
        <w:rPr>
          <w:lang w:val="fr-FR"/>
        </w:rPr>
        <w:t xml:space="preserve">R. </w:t>
      </w:r>
      <w:r w:rsidRPr="00A47D25">
        <w:rPr>
          <w:lang w:val="fr-FR"/>
        </w:rPr>
        <w:t>de poursuivre son traitement en Suisse pour mettre en œuvre le</w:t>
      </w:r>
      <w:r>
        <w:rPr>
          <w:lang w:val="fr-FR"/>
        </w:rPr>
        <w:t>s</w:t>
      </w:r>
      <w:r w:rsidRPr="00A47D25">
        <w:rPr>
          <w:lang w:val="fr-FR"/>
        </w:rPr>
        <w:t xml:space="preserve"> principe</w:t>
      </w:r>
      <w:r>
        <w:rPr>
          <w:lang w:val="fr-FR"/>
        </w:rPr>
        <w:t>s</w:t>
      </w:r>
      <w:r w:rsidRPr="00A47D25">
        <w:rPr>
          <w:lang w:val="fr-FR"/>
        </w:rPr>
        <w:t xml:space="preserve"> de l</w:t>
      </w:r>
      <w:r>
        <w:rPr>
          <w:lang w:val="fr-FR"/>
        </w:rPr>
        <w:t>’</w:t>
      </w:r>
      <w:r w:rsidRPr="00A47D25">
        <w:rPr>
          <w:lang w:val="fr-FR"/>
        </w:rPr>
        <w:t>intérêt supérieur de l</w:t>
      </w:r>
      <w:r>
        <w:rPr>
          <w:lang w:val="fr-FR"/>
        </w:rPr>
        <w:t>’</w:t>
      </w:r>
      <w:r w:rsidRPr="00A47D25">
        <w:rPr>
          <w:lang w:val="fr-FR"/>
        </w:rPr>
        <w:t>enfant et l</w:t>
      </w:r>
      <w:r>
        <w:rPr>
          <w:lang w:val="fr-FR"/>
        </w:rPr>
        <w:t>’</w:t>
      </w:r>
      <w:r w:rsidRPr="00A47D25">
        <w:rPr>
          <w:lang w:val="fr-FR"/>
        </w:rPr>
        <w:t xml:space="preserve">interdiction de la torture. </w:t>
      </w:r>
      <w:r>
        <w:rPr>
          <w:lang w:val="fr-FR"/>
        </w:rPr>
        <w:t>L’auteur</w:t>
      </w:r>
      <w:r w:rsidRPr="00A47D25">
        <w:rPr>
          <w:lang w:val="fr-FR"/>
        </w:rPr>
        <w:t xml:space="preserve"> affirme que l</w:t>
      </w:r>
      <w:r>
        <w:rPr>
          <w:lang w:val="fr-FR"/>
        </w:rPr>
        <w:t>’</w:t>
      </w:r>
      <w:r w:rsidRPr="00A47D25">
        <w:rPr>
          <w:lang w:val="fr-FR"/>
        </w:rPr>
        <w:t xml:space="preserve">État partie a </w:t>
      </w:r>
      <w:r>
        <w:rPr>
          <w:lang w:val="fr-FR"/>
        </w:rPr>
        <w:t>donc</w:t>
      </w:r>
      <w:r w:rsidRPr="00A47D25">
        <w:rPr>
          <w:lang w:val="fr-FR"/>
        </w:rPr>
        <w:t xml:space="preserve"> violé l</w:t>
      </w:r>
      <w:r>
        <w:rPr>
          <w:lang w:val="fr-FR"/>
        </w:rPr>
        <w:t>’</w:t>
      </w:r>
      <w:r w:rsidRPr="00A47D25">
        <w:rPr>
          <w:lang w:val="fr-FR"/>
        </w:rPr>
        <w:t>article 4 de la Convention.</w:t>
      </w:r>
    </w:p>
    <w:p w14:paraId="2B5758F4" w14:textId="0024D07F" w:rsidR="00434CC2" w:rsidRPr="00A47D25" w:rsidRDefault="00434CC2" w:rsidP="00434CC2">
      <w:pPr>
        <w:pStyle w:val="SingleTxtG"/>
        <w:rPr>
          <w:lang w:val="fr-FR"/>
        </w:rPr>
      </w:pPr>
      <w:r w:rsidRPr="00A47D25">
        <w:rPr>
          <w:lang w:val="fr-FR"/>
        </w:rPr>
        <w:t>7.7</w:t>
      </w:r>
      <w:r w:rsidRPr="00A47D25">
        <w:rPr>
          <w:lang w:val="fr-FR"/>
        </w:rPr>
        <w:tab/>
        <w:t>L</w:t>
      </w:r>
      <w:r>
        <w:rPr>
          <w:lang w:val="fr-FR"/>
        </w:rPr>
        <w:t>’</w:t>
      </w:r>
      <w:r w:rsidRPr="00A47D25">
        <w:rPr>
          <w:lang w:val="fr-FR"/>
        </w:rPr>
        <w:t>auteur soutient que</w:t>
      </w:r>
      <w:r>
        <w:rPr>
          <w:lang w:val="fr-FR"/>
        </w:rPr>
        <w:t>,</w:t>
      </w:r>
      <w:r w:rsidRPr="00A47D25">
        <w:rPr>
          <w:lang w:val="fr-FR"/>
        </w:rPr>
        <w:t xml:space="preserve"> si le suivi médical de G.</w:t>
      </w:r>
      <w:r w:rsidR="00693DE3">
        <w:rPr>
          <w:lang w:val="fr-FR"/>
        </w:rPr>
        <w:t> </w:t>
      </w:r>
      <w:r w:rsidRPr="00A47D25">
        <w:rPr>
          <w:lang w:val="fr-FR"/>
        </w:rPr>
        <w:t xml:space="preserve">R. </w:t>
      </w:r>
      <w:r>
        <w:rPr>
          <w:lang w:val="fr-FR"/>
        </w:rPr>
        <w:t>n’était pas assuré</w:t>
      </w:r>
      <w:r w:rsidRPr="00A47D25">
        <w:rPr>
          <w:lang w:val="fr-FR"/>
        </w:rPr>
        <w:t xml:space="preserve"> correctement, il en résulterait un préjudice irréparable</w:t>
      </w:r>
      <w:r w:rsidRPr="002141AA">
        <w:rPr>
          <w:lang w:val="fr-FR"/>
        </w:rPr>
        <w:t xml:space="preserve"> </w:t>
      </w:r>
      <w:r w:rsidRPr="00A47D25">
        <w:rPr>
          <w:lang w:val="fr-FR"/>
        </w:rPr>
        <w:t xml:space="preserve">pour </w:t>
      </w:r>
      <w:r>
        <w:rPr>
          <w:lang w:val="fr-FR"/>
        </w:rPr>
        <w:t>l’enfant</w:t>
      </w:r>
      <w:r w:rsidRPr="00A47D25">
        <w:rPr>
          <w:lang w:val="fr-FR"/>
        </w:rPr>
        <w:t xml:space="preserve">. </w:t>
      </w:r>
      <w:r>
        <w:rPr>
          <w:lang w:val="fr-FR"/>
        </w:rPr>
        <w:t>Étant donné qu’il n’est pas possible de</w:t>
      </w:r>
      <w:r w:rsidRPr="00A47D25">
        <w:rPr>
          <w:lang w:val="fr-FR"/>
        </w:rPr>
        <w:t xml:space="preserve"> garantir un suivi correct de l</w:t>
      </w:r>
      <w:r>
        <w:rPr>
          <w:lang w:val="fr-FR"/>
        </w:rPr>
        <w:t>’</w:t>
      </w:r>
      <w:r w:rsidRPr="00A47D25">
        <w:rPr>
          <w:lang w:val="fr-FR"/>
        </w:rPr>
        <w:t xml:space="preserve">hypothyroïdie congénitale </w:t>
      </w:r>
      <w:r>
        <w:rPr>
          <w:lang w:val="fr-FR"/>
        </w:rPr>
        <w:t>à</w:t>
      </w:r>
      <w:r w:rsidRPr="00A47D25">
        <w:rPr>
          <w:lang w:val="fr-FR"/>
        </w:rPr>
        <w:t xml:space="preserve"> Sri Lanka, le renvoi de G.</w:t>
      </w:r>
      <w:r w:rsidR="00693DE3">
        <w:rPr>
          <w:lang w:val="fr-FR"/>
        </w:rPr>
        <w:t> </w:t>
      </w:r>
      <w:r w:rsidRPr="00A47D25">
        <w:rPr>
          <w:lang w:val="fr-FR"/>
        </w:rPr>
        <w:t>R. violerait le principe de non-refoulement. L</w:t>
      </w:r>
      <w:r>
        <w:rPr>
          <w:lang w:val="fr-FR"/>
        </w:rPr>
        <w:t>’</w:t>
      </w:r>
      <w:r w:rsidRPr="00A47D25">
        <w:rPr>
          <w:lang w:val="fr-FR"/>
        </w:rPr>
        <w:t xml:space="preserve">auteur ajoute que </w:t>
      </w:r>
      <w:r>
        <w:rPr>
          <w:lang w:val="fr-FR"/>
        </w:rPr>
        <w:t xml:space="preserve">l’objet de </w:t>
      </w:r>
      <w:r w:rsidRPr="00A47D25">
        <w:rPr>
          <w:lang w:val="fr-FR"/>
        </w:rPr>
        <w:t xml:space="preserve">ce principe </w:t>
      </w:r>
      <w:r>
        <w:rPr>
          <w:lang w:val="fr-FR"/>
        </w:rPr>
        <w:t>est d’</w:t>
      </w:r>
      <w:r w:rsidRPr="00A47D25">
        <w:rPr>
          <w:lang w:val="fr-FR"/>
        </w:rPr>
        <w:t>éviter qu</w:t>
      </w:r>
      <w:r>
        <w:rPr>
          <w:lang w:val="fr-FR"/>
        </w:rPr>
        <w:t>’</w:t>
      </w:r>
      <w:r w:rsidRPr="00A47D25">
        <w:rPr>
          <w:lang w:val="fr-FR"/>
        </w:rPr>
        <w:t>il doive faire valoir ses griefs devant les autorités sri-lankaises.</w:t>
      </w:r>
    </w:p>
    <w:p w14:paraId="50FC634E" w14:textId="4094D8CA" w:rsidR="00434CC2" w:rsidRPr="00A47D25" w:rsidRDefault="00434CC2" w:rsidP="00434CC2">
      <w:pPr>
        <w:pStyle w:val="H23G"/>
        <w:rPr>
          <w:lang w:val="fr-FR"/>
        </w:rPr>
      </w:pPr>
      <w:r w:rsidRPr="00A47D25">
        <w:rPr>
          <w:lang w:val="fr-FR"/>
        </w:rPr>
        <w:tab/>
      </w:r>
      <w:r w:rsidRPr="00A47D25">
        <w:rPr>
          <w:lang w:val="fr-FR"/>
        </w:rPr>
        <w:tab/>
        <w:t>Observations complémentaires de l</w:t>
      </w:r>
      <w:r>
        <w:rPr>
          <w:lang w:val="fr-FR"/>
        </w:rPr>
        <w:t>’</w:t>
      </w:r>
      <w:r w:rsidRPr="00A47D25">
        <w:rPr>
          <w:lang w:val="fr-FR"/>
        </w:rPr>
        <w:t>État partie</w:t>
      </w:r>
    </w:p>
    <w:p w14:paraId="7D7A8FEF" w14:textId="6400F488" w:rsidR="00434CC2" w:rsidRPr="00A47D25" w:rsidRDefault="00434CC2" w:rsidP="00434CC2">
      <w:pPr>
        <w:tabs>
          <w:tab w:val="left" w:pos="1701"/>
          <w:tab w:val="left" w:pos="2268"/>
          <w:tab w:val="left" w:pos="2835"/>
        </w:tabs>
        <w:spacing w:after="120"/>
        <w:ind w:left="1134" w:right="1134"/>
        <w:jc w:val="both"/>
        <w:rPr>
          <w:rFonts w:eastAsia="Calibri"/>
          <w:lang w:val="fr-FR"/>
        </w:rPr>
      </w:pPr>
      <w:r w:rsidRPr="00A47D25">
        <w:rPr>
          <w:rFonts w:eastAsia="Calibri"/>
          <w:lang w:val="fr-FR"/>
        </w:rPr>
        <w:t>8.1</w:t>
      </w:r>
      <w:r w:rsidRPr="00A47D25">
        <w:rPr>
          <w:rFonts w:eastAsia="Calibri"/>
          <w:lang w:val="fr-FR"/>
        </w:rPr>
        <w:tab/>
        <w:t>Dans ses observations du 23</w:t>
      </w:r>
      <w:r w:rsidR="00693DE3">
        <w:rPr>
          <w:rFonts w:eastAsia="Calibri"/>
          <w:lang w:val="fr-FR"/>
        </w:rPr>
        <w:t> </w:t>
      </w:r>
      <w:r w:rsidRPr="00A47D25">
        <w:rPr>
          <w:rFonts w:eastAsia="Calibri"/>
          <w:lang w:val="fr-FR"/>
        </w:rPr>
        <w:t>juin 2020, l</w:t>
      </w:r>
      <w:r>
        <w:rPr>
          <w:rFonts w:eastAsia="Calibri"/>
          <w:lang w:val="fr-FR"/>
        </w:rPr>
        <w:t>’</w:t>
      </w:r>
      <w:r w:rsidRPr="00A47D25">
        <w:rPr>
          <w:rFonts w:eastAsia="Calibri"/>
          <w:lang w:val="fr-FR"/>
        </w:rPr>
        <w:t xml:space="preserve">État partie </w:t>
      </w:r>
      <w:r>
        <w:rPr>
          <w:rFonts w:eastAsia="Calibri"/>
          <w:lang w:val="fr-FR"/>
        </w:rPr>
        <w:t>fait valoir</w:t>
      </w:r>
      <w:r w:rsidRPr="00A47D25">
        <w:rPr>
          <w:rFonts w:eastAsia="Calibri"/>
          <w:lang w:val="fr-FR"/>
        </w:rPr>
        <w:t xml:space="preserve"> que l</w:t>
      </w:r>
      <w:r>
        <w:rPr>
          <w:rFonts w:eastAsia="Calibri"/>
          <w:lang w:val="fr-FR"/>
        </w:rPr>
        <w:t>’</w:t>
      </w:r>
      <w:r w:rsidRPr="00A47D25">
        <w:rPr>
          <w:rFonts w:eastAsia="Calibri"/>
          <w:lang w:val="fr-FR"/>
        </w:rPr>
        <w:t xml:space="preserve">auteur aurait pu demander au </w:t>
      </w:r>
      <w:r>
        <w:rPr>
          <w:rFonts w:eastAsia="Calibri"/>
          <w:lang w:val="fr-FR"/>
        </w:rPr>
        <w:t xml:space="preserve">Tribunal administratif fédéral </w:t>
      </w:r>
      <w:r w:rsidRPr="00A47D25">
        <w:rPr>
          <w:rFonts w:eastAsia="Calibri"/>
          <w:lang w:val="fr-FR"/>
        </w:rPr>
        <w:t xml:space="preserve">de </w:t>
      </w:r>
      <w:r>
        <w:rPr>
          <w:rFonts w:eastAsia="Calibri"/>
          <w:lang w:val="fr-FR"/>
        </w:rPr>
        <w:t>rétablir</w:t>
      </w:r>
      <w:r w:rsidRPr="00A47D25">
        <w:rPr>
          <w:rFonts w:eastAsia="Calibri"/>
          <w:lang w:val="fr-FR"/>
        </w:rPr>
        <w:t xml:space="preserve"> l</w:t>
      </w:r>
      <w:r>
        <w:rPr>
          <w:rFonts w:eastAsia="Calibri"/>
          <w:lang w:val="fr-FR"/>
        </w:rPr>
        <w:t>’</w:t>
      </w:r>
      <w:r w:rsidRPr="00A47D25">
        <w:rPr>
          <w:rFonts w:eastAsia="Calibri"/>
          <w:lang w:val="fr-FR"/>
        </w:rPr>
        <w:t xml:space="preserve">effet suspensif </w:t>
      </w:r>
      <w:r>
        <w:rPr>
          <w:rFonts w:eastAsia="Calibri"/>
          <w:lang w:val="fr-FR"/>
        </w:rPr>
        <w:t>de</w:t>
      </w:r>
      <w:r w:rsidRPr="00A47D25">
        <w:rPr>
          <w:rFonts w:eastAsia="Calibri"/>
          <w:lang w:val="fr-FR"/>
        </w:rPr>
        <w:t xml:space="preserve"> son recours ou, à titre de mesures provisoires, </w:t>
      </w:r>
      <w:r>
        <w:rPr>
          <w:rFonts w:eastAsia="Calibri"/>
          <w:lang w:val="fr-FR"/>
        </w:rPr>
        <w:t>de suspendre</w:t>
      </w:r>
      <w:r w:rsidRPr="00A47D25">
        <w:rPr>
          <w:rFonts w:eastAsia="Calibri"/>
          <w:lang w:val="fr-FR"/>
        </w:rPr>
        <w:t xml:space="preserve"> l</w:t>
      </w:r>
      <w:r>
        <w:rPr>
          <w:rFonts w:eastAsia="Calibri"/>
          <w:lang w:val="fr-FR"/>
        </w:rPr>
        <w:t>’</w:t>
      </w:r>
      <w:r w:rsidRPr="00A47D25">
        <w:rPr>
          <w:rFonts w:eastAsia="Calibri"/>
          <w:lang w:val="fr-FR"/>
        </w:rPr>
        <w:t>exécution du renvoi</w:t>
      </w:r>
      <w:r>
        <w:rPr>
          <w:rStyle w:val="Appelnotedebasdep"/>
          <w:rFonts w:eastAsia="Calibri"/>
        </w:rPr>
        <w:footnoteReference w:id="15"/>
      </w:r>
      <w:r w:rsidRPr="00A47D25">
        <w:rPr>
          <w:rFonts w:eastAsia="Calibri"/>
          <w:lang w:val="fr-FR"/>
        </w:rPr>
        <w:t xml:space="preserve">. </w:t>
      </w:r>
      <w:r>
        <w:rPr>
          <w:rFonts w:eastAsia="Calibri"/>
          <w:lang w:val="fr-FR"/>
        </w:rPr>
        <w:t>S’il l’avait fait</w:t>
      </w:r>
      <w:r w:rsidRPr="00A47D25">
        <w:rPr>
          <w:rFonts w:eastAsia="Calibri"/>
          <w:lang w:val="fr-FR"/>
        </w:rPr>
        <w:t xml:space="preserve">, aucune mesure </w:t>
      </w:r>
      <w:r>
        <w:rPr>
          <w:rFonts w:eastAsia="Calibri"/>
          <w:lang w:val="fr-FR"/>
        </w:rPr>
        <w:t>de</w:t>
      </w:r>
      <w:r w:rsidRPr="00A47D25">
        <w:rPr>
          <w:rFonts w:eastAsia="Calibri"/>
          <w:lang w:val="fr-FR"/>
        </w:rPr>
        <w:t xml:space="preserve"> renvoi n</w:t>
      </w:r>
      <w:r>
        <w:rPr>
          <w:rFonts w:eastAsia="Calibri"/>
          <w:lang w:val="fr-FR"/>
        </w:rPr>
        <w:t>’</w:t>
      </w:r>
      <w:r w:rsidRPr="00A47D25">
        <w:rPr>
          <w:rFonts w:eastAsia="Calibri"/>
          <w:lang w:val="fr-FR"/>
        </w:rPr>
        <w:t xml:space="preserve">aurait été </w:t>
      </w:r>
      <w:r>
        <w:rPr>
          <w:rFonts w:eastAsia="Calibri"/>
          <w:lang w:val="fr-FR"/>
        </w:rPr>
        <w:t>prise</w:t>
      </w:r>
      <w:r w:rsidRPr="00A47D25">
        <w:rPr>
          <w:rFonts w:eastAsia="Calibri"/>
          <w:lang w:val="fr-FR"/>
        </w:rPr>
        <w:t xml:space="preserve"> avant que le </w:t>
      </w:r>
      <w:r>
        <w:rPr>
          <w:rFonts w:eastAsia="Calibri"/>
          <w:lang w:val="fr-FR"/>
        </w:rPr>
        <w:t>Tribunal administratif fédéral</w:t>
      </w:r>
      <w:r w:rsidRPr="00A47D25">
        <w:rPr>
          <w:rFonts w:eastAsia="Calibri"/>
          <w:lang w:val="fr-FR"/>
        </w:rPr>
        <w:t xml:space="preserve"> ne statue, ce </w:t>
      </w:r>
      <w:r>
        <w:rPr>
          <w:rFonts w:eastAsia="Calibri"/>
          <w:lang w:val="fr-FR"/>
        </w:rPr>
        <w:t>qu’il</w:t>
      </w:r>
      <w:r w:rsidRPr="00A47D25">
        <w:rPr>
          <w:rFonts w:eastAsia="Calibri"/>
          <w:lang w:val="fr-FR"/>
        </w:rPr>
        <w:t xml:space="preserve"> aurait été tenu de faire sans délai.</w:t>
      </w:r>
    </w:p>
    <w:p w14:paraId="61F0B38A" w14:textId="6D98DACD" w:rsidR="00434CC2" w:rsidRPr="00A47D25" w:rsidRDefault="00434CC2" w:rsidP="00434CC2">
      <w:pPr>
        <w:pStyle w:val="SingleTxtG"/>
        <w:rPr>
          <w:lang w:val="fr-FR"/>
        </w:rPr>
      </w:pPr>
      <w:r w:rsidRPr="00A47D25">
        <w:rPr>
          <w:lang w:val="fr-FR"/>
        </w:rPr>
        <w:t>8.2</w:t>
      </w:r>
      <w:r w:rsidRPr="00A47D25">
        <w:rPr>
          <w:lang w:val="fr-FR"/>
        </w:rPr>
        <w:tab/>
        <w:t>L</w:t>
      </w:r>
      <w:r>
        <w:rPr>
          <w:lang w:val="fr-FR"/>
        </w:rPr>
        <w:t>’</w:t>
      </w:r>
      <w:r w:rsidRPr="00A47D25">
        <w:rPr>
          <w:lang w:val="fr-FR"/>
        </w:rPr>
        <w:t xml:space="preserve">État partie </w:t>
      </w:r>
      <w:r>
        <w:rPr>
          <w:lang w:val="fr-FR"/>
        </w:rPr>
        <w:t>réaffirme</w:t>
      </w:r>
      <w:r w:rsidRPr="00A47D25">
        <w:rPr>
          <w:lang w:val="fr-FR"/>
        </w:rPr>
        <w:t xml:space="preserve"> que l</w:t>
      </w:r>
      <w:r>
        <w:rPr>
          <w:lang w:val="fr-FR"/>
        </w:rPr>
        <w:t>’</w:t>
      </w:r>
      <w:r w:rsidRPr="00A47D25">
        <w:rPr>
          <w:lang w:val="fr-FR"/>
        </w:rPr>
        <w:t xml:space="preserve">hypothyroïdie est une maladie </w:t>
      </w:r>
      <w:r>
        <w:rPr>
          <w:lang w:val="fr-FR"/>
        </w:rPr>
        <w:t>courante</w:t>
      </w:r>
      <w:r w:rsidRPr="00A47D25">
        <w:rPr>
          <w:lang w:val="fr-FR"/>
        </w:rPr>
        <w:t xml:space="preserve"> et qu</w:t>
      </w:r>
      <w:r>
        <w:rPr>
          <w:lang w:val="fr-FR"/>
        </w:rPr>
        <w:t>’</w:t>
      </w:r>
      <w:r w:rsidRPr="00A47D25">
        <w:rPr>
          <w:lang w:val="fr-FR"/>
        </w:rPr>
        <w:t xml:space="preserve">elle peut tout à fait être soignée </w:t>
      </w:r>
      <w:r>
        <w:rPr>
          <w:lang w:val="fr-FR"/>
        </w:rPr>
        <w:t>à</w:t>
      </w:r>
      <w:r w:rsidRPr="00A47D25">
        <w:rPr>
          <w:lang w:val="fr-FR"/>
        </w:rPr>
        <w:t xml:space="preserve"> Sri Lanka puisque les traitements médicaux nécessaires y sont disponibles et accessibles. Il </w:t>
      </w:r>
      <w:r>
        <w:rPr>
          <w:lang w:val="fr-FR"/>
        </w:rPr>
        <w:t>réaffirme</w:t>
      </w:r>
      <w:r w:rsidRPr="00A47D25">
        <w:rPr>
          <w:lang w:val="fr-FR"/>
        </w:rPr>
        <w:t xml:space="preserve"> également que </w:t>
      </w:r>
      <w:r>
        <w:rPr>
          <w:lang w:val="fr-FR"/>
        </w:rPr>
        <w:t xml:space="preserve">la gratuité des soins </w:t>
      </w:r>
      <w:r w:rsidRPr="00A47D25">
        <w:rPr>
          <w:lang w:val="fr-FR"/>
        </w:rPr>
        <w:t xml:space="preserve">est une priorité pour le </w:t>
      </w:r>
      <w:r w:rsidR="001A2076">
        <w:rPr>
          <w:lang w:val="fr-FR"/>
        </w:rPr>
        <w:t>G</w:t>
      </w:r>
      <w:r w:rsidRPr="00A47D25">
        <w:rPr>
          <w:lang w:val="fr-FR"/>
        </w:rPr>
        <w:t>ouvernement sri-lankais et que l</w:t>
      </w:r>
      <w:r>
        <w:rPr>
          <w:lang w:val="fr-FR"/>
        </w:rPr>
        <w:t>’</w:t>
      </w:r>
      <w:r w:rsidRPr="00A47D25">
        <w:rPr>
          <w:lang w:val="fr-FR"/>
        </w:rPr>
        <w:t xml:space="preserve">auteur </w:t>
      </w:r>
      <w:r>
        <w:rPr>
          <w:lang w:val="fr-FR"/>
        </w:rPr>
        <w:t>sera à même de</w:t>
      </w:r>
      <w:r w:rsidRPr="00A47D25">
        <w:rPr>
          <w:lang w:val="fr-FR"/>
        </w:rPr>
        <w:t xml:space="preserve"> gagner sa vie et </w:t>
      </w:r>
      <w:r>
        <w:rPr>
          <w:lang w:val="fr-FR"/>
        </w:rPr>
        <w:t xml:space="preserve">de </w:t>
      </w:r>
      <w:r w:rsidRPr="00A47D25">
        <w:rPr>
          <w:lang w:val="fr-FR"/>
        </w:rPr>
        <w:t>demander une aide au retour individuelle. En outre, l</w:t>
      </w:r>
      <w:r>
        <w:rPr>
          <w:lang w:val="fr-FR"/>
        </w:rPr>
        <w:t>’</w:t>
      </w:r>
      <w:r w:rsidRPr="00A47D25">
        <w:rPr>
          <w:lang w:val="fr-FR"/>
        </w:rPr>
        <w:t>auteur ne démontre nullement que G.</w:t>
      </w:r>
      <w:r w:rsidR="00932AA1">
        <w:rPr>
          <w:lang w:val="fr-FR"/>
        </w:rPr>
        <w:t> </w:t>
      </w:r>
      <w:r w:rsidRPr="00A47D25">
        <w:rPr>
          <w:lang w:val="fr-FR"/>
        </w:rPr>
        <w:t xml:space="preserve">R. serait privé des traitements nécessaires </w:t>
      </w:r>
      <w:r>
        <w:rPr>
          <w:lang w:val="fr-FR"/>
        </w:rPr>
        <w:t>à</w:t>
      </w:r>
      <w:r w:rsidRPr="00A47D25">
        <w:rPr>
          <w:lang w:val="fr-FR"/>
        </w:rPr>
        <w:t xml:space="preserve"> Sri Lanka et n</w:t>
      </w:r>
      <w:r>
        <w:rPr>
          <w:lang w:val="fr-FR"/>
        </w:rPr>
        <w:t>’</w:t>
      </w:r>
      <w:r w:rsidRPr="00A47D25">
        <w:rPr>
          <w:lang w:val="fr-FR"/>
        </w:rPr>
        <w:t xml:space="preserve">apporte pas le moindre élément concret </w:t>
      </w:r>
      <w:r>
        <w:rPr>
          <w:lang w:val="fr-FR"/>
        </w:rPr>
        <w:t>à l’appui de ses dires</w:t>
      </w:r>
      <w:r w:rsidRPr="00A47D25">
        <w:rPr>
          <w:lang w:val="fr-FR"/>
        </w:rPr>
        <w:t xml:space="preserve">. En particulier, il </w:t>
      </w:r>
      <w:r>
        <w:rPr>
          <w:lang w:val="fr-FR"/>
        </w:rPr>
        <w:t>ne dit</w:t>
      </w:r>
      <w:r w:rsidRPr="00A47D25">
        <w:rPr>
          <w:lang w:val="fr-FR"/>
        </w:rPr>
        <w:t xml:space="preserve"> pas </w:t>
      </w:r>
      <w:r>
        <w:rPr>
          <w:lang w:val="fr-FR"/>
        </w:rPr>
        <w:t>qu’il a</w:t>
      </w:r>
      <w:r w:rsidRPr="00A47D25">
        <w:rPr>
          <w:lang w:val="fr-FR"/>
        </w:rPr>
        <w:t xml:space="preserve"> cherché à obtenir un traitement médical </w:t>
      </w:r>
      <w:r>
        <w:rPr>
          <w:lang w:val="fr-FR"/>
        </w:rPr>
        <w:t>à</w:t>
      </w:r>
      <w:r w:rsidRPr="00A47D25">
        <w:rPr>
          <w:lang w:val="fr-FR"/>
        </w:rPr>
        <w:t xml:space="preserve"> Sri Lanka et que </w:t>
      </w:r>
      <w:r>
        <w:rPr>
          <w:lang w:val="fr-FR"/>
        </w:rPr>
        <w:t>cela lui a</w:t>
      </w:r>
      <w:r w:rsidRPr="00A47D25">
        <w:rPr>
          <w:lang w:val="fr-FR"/>
        </w:rPr>
        <w:t xml:space="preserve"> été refusé. L</w:t>
      </w:r>
      <w:r>
        <w:rPr>
          <w:lang w:val="fr-FR"/>
        </w:rPr>
        <w:t>’</w:t>
      </w:r>
      <w:r w:rsidRPr="00A47D25">
        <w:rPr>
          <w:lang w:val="fr-FR"/>
        </w:rPr>
        <w:t xml:space="preserve">État partie </w:t>
      </w:r>
      <w:r>
        <w:rPr>
          <w:lang w:val="fr-FR"/>
        </w:rPr>
        <w:t>fait valoir</w:t>
      </w:r>
      <w:r w:rsidRPr="00A47D25">
        <w:rPr>
          <w:lang w:val="fr-FR"/>
        </w:rPr>
        <w:t xml:space="preserve"> que, dans ces circonstances, des garanties ne sont pas nécessaires. En outre, il n</w:t>
      </w:r>
      <w:r>
        <w:rPr>
          <w:lang w:val="fr-FR"/>
        </w:rPr>
        <w:t>’</w:t>
      </w:r>
      <w:r w:rsidRPr="00A47D25">
        <w:rPr>
          <w:lang w:val="fr-FR"/>
        </w:rPr>
        <w:t xml:space="preserve">est pas pertinent de comparer </w:t>
      </w:r>
      <w:r>
        <w:rPr>
          <w:lang w:val="fr-FR"/>
        </w:rPr>
        <w:t>le</w:t>
      </w:r>
      <w:r w:rsidRPr="00A47D25">
        <w:rPr>
          <w:lang w:val="fr-FR"/>
        </w:rPr>
        <w:t xml:space="preserve"> coût du traitement médical en Suisse avec </w:t>
      </w:r>
      <w:r>
        <w:rPr>
          <w:lang w:val="fr-FR"/>
        </w:rPr>
        <w:t>le coût à</w:t>
      </w:r>
      <w:r w:rsidRPr="00A47D25">
        <w:rPr>
          <w:lang w:val="fr-FR"/>
        </w:rPr>
        <w:t xml:space="preserve"> Sri Lanka</w:t>
      </w:r>
      <w:r>
        <w:rPr>
          <w:lang w:val="fr-FR"/>
        </w:rPr>
        <w:t>,</w:t>
      </w:r>
      <w:r w:rsidRPr="00A47D25">
        <w:rPr>
          <w:lang w:val="fr-FR"/>
        </w:rPr>
        <w:t xml:space="preserve"> et la question </w:t>
      </w:r>
      <w:r>
        <w:rPr>
          <w:lang w:val="fr-FR"/>
        </w:rPr>
        <w:t>du</w:t>
      </w:r>
      <w:r w:rsidRPr="00A47D25">
        <w:rPr>
          <w:lang w:val="fr-FR"/>
        </w:rPr>
        <w:t xml:space="preserve"> coût n</w:t>
      </w:r>
      <w:r>
        <w:rPr>
          <w:lang w:val="fr-FR"/>
        </w:rPr>
        <w:t>’</w:t>
      </w:r>
      <w:r w:rsidRPr="00A47D25">
        <w:rPr>
          <w:lang w:val="fr-FR"/>
        </w:rPr>
        <w:t>est pas déterminant</w:t>
      </w:r>
      <w:r>
        <w:rPr>
          <w:lang w:val="fr-FR"/>
        </w:rPr>
        <w:t>e</w:t>
      </w:r>
      <w:r w:rsidRPr="00A47D25">
        <w:rPr>
          <w:lang w:val="fr-FR"/>
        </w:rPr>
        <w:t xml:space="preserve"> puisqu</w:t>
      </w:r>
      <w:r>
        <w:rPr>
          <w:lang w:val="fr-FR"/>
        </w:rPr>
        <w:t>’</w:t>
      </w:r>
      <w:r w:rsidRPr="00A47D25">
        <w:rPr>
          <w:lang w:val="fr-FR"/>
        </w:rPr>
        <w:t>aucune obligation de prise en charge de ces coûts ne peut être déduite de la Convention.</w:t>
      </w:r>
    </w:p>
    <w:p w14:paraId="6A24AEBD" w14:textId="751503B5" w:rsidR="00434CC2" w:rsidRPr="00A47D25" w:rsidRDefault="00434CC2" w:rsidP="00434CC2">
      <w:pPr>
        <w:pStyle w:val="H23G"/>
        <w:rPr>
          <w:lang w:val="fr-FR"/>
        </w:rPr>
      </w:pPr>
      <w:r w:rsidRPr="00A47D25">
        <w:rPr>
          <w:lang w:val="fr-FR"/>
        </w:rPr>
        <w:tab/>
      </w:r>
      <w:r w:rsidRPr="00A47D25">
        <w:rPr>
          <w:lang w:val="fr-FR"/>
        </w:rPr>
        <w:tab/>
        <w:t>Commentaires de l</w:t>
      </w:r>
      <w:r>
        <w:rPr>
          <w:lang w:val="fr-FR"/>
        </w:rPr>
        <w:t>’</w:t>
      </w:r>
      <w:r w:rsidRPr="00A47D25">
        <w:rPr>
          <w:lang w:val="fr-FR"/>
        </w:rPr>
        <w:t>auteur sur les observations complémentaires de l</w:t>
      </w:r>
      <w:r>
        <w:rPr>
          <w:lang w:val="fr-FR"/>
        </w:rPr>
        <w:t>’</w:t>
      </w:r>
      <w:r w:rsidRPr="00A47D25">
        <w:rPr>
          <w:lang w:val="fr-FR"/>
        </w:rPr>
        <w:t>État partie</w:t>
      </w:r>
    </w:p>
    <w:p w14:paraId="1C50814C" w14:textId="0281C0C9" w:rsidR="00434CC2" w:rsidRPr="00A47D25" w:rsidRDefault="00434CC2" w:rsidP="00434CC2">
      <w:pPr>
        <w:pStyle w:val="SingleTxtG"/>
        <w:rPr>
          <w:lang w:val="fr-FR"/>
        </w:rPr>
      </w:pPr>
      <w:r w:rsidRPr="00A47D25">
        <w:rPr>
          <w:lang w:val="fr-FR"/>
        </w:rPr>
        <w:t>9.1</w:t>
      </w:r>
      <w:r w:rsidRPr="00A47D25">
        <w:rPr>
          <w:lang w:val="fr-FR"/>
        </w:rPr>
        <w:tab/>
        <w:t>Dans ses commentaires du 22</w:t>
      </w:r>
      <w:r w:rsidR="001A2076">
        <w:rPr>
          <w:lang w:val="fr-FR"/>
        </w:rPr>
        <w:t> </w:t>
      </w:r>
      <w:r w:rsidRPr="00A47D25">
        <w:rPr>
          <w:lang w:val="fr-FR"/>
        </w:rPr>
        <w:t>juillet 2020, l</w:t>
      </w:r>
      <w:r>
        <w:rPr>
          <w:lang w:val="fr-FR"/>
        </w:rPr>
        <w:t>’</w:t>
      </w:r>
      <w:r w:rsidRPr="00A47D25">
        <w:rPr>
          <w:lang w:val="fr-FR"/>
        </w:rPr>
        <w:t xml:space="preserve">auteur </w:t>
      </w:r>
      <w:r>
        <w:rPr>
          <w:lang w:val="fr-FR"/>
        </w:rPr>
        <w:t>fait remarquer</w:t>
      </w:r>
      <w:r w:rsidRPr="00A47D25">
        <w:rPr>
          <w:lang w:val="fr-FR"/>
        </w:rPr>
        <w:t xml:space="preserve"> que l</w:t>
      </w:r>
      <w:r>
        <w:rPr>
          <w:lang w:val="fr-FR"/>
        </w:rPr>
        <w:t>’</w:t>
      </w:r>
      <w:r w:rsidRPr="00A47D25">
        <w:rPr>
          <w:lang w:val="fr-FR"/>
        </w:rPr>
        <w:t xml:space="preserve">article 55 de la </w:t>
      </w:r>
      <w:r>
        <w:rPr>
          <w:lang w:val="fr-FR"/>
        </w:rPr>
        <w:t>l</w:t>
      </w:r>
      <w:r w:rsidRPr="00A47D25">
        <w:rPr>
          <w:lang w:val="fr-FR"/>
        </w:rPr>
        <w:t xml:space="preserve">oi fédérale sur la procédure administrative ne précise pas </w:t>
      </w:r>
      <w:r>
        <w:rPr>
          <w:lang w:val="fr-FR"/>
        </w:rPr>
        <w:t>les</w:t>
      </w:r>
      <w:r w:rsidRPr="00A47D25">
        <w:rPr>
          <w:lang w:val="fr-FR"/>
        </w:rPr>
        <w:t xml:space="preserve"> motifs </w:t>
      </w:r>
      <w:r>
        <w:rPr>
          <w:lang w:val="fr-FR"/>
        </w:rPr>
        <w:t>pour lesquels</w:t>
      </w:r>
      <w:r w:rsidRPr="00A47D25">
        <w:rPr>
          <w:lang w:val="fr-FR"/>
        </w:rPr>
        <w:t xml:space="preserve"> l</w:t>
      </w:r>
      <w:r>
        <w:rPr>
          <w:lang w:val="fr-FR"/>
        </w:rPr>
        <w:t>’</w:t>
      </w:r>
      <w:r w:rsidRPr="00A47D25">
        <w:rPr>
          <w:lang w:val="fr-FR"/>
        </w:rPr>
        <w:t>autorité</w:t>
      </w:r>
      <w:r>
        <w:rPr>
          <w:lang w:val="fr-FR"/>
        </w:rPr>
        <w:t xml:space="preserve"> de recours</w:t>
      </w:r>
      <w:r w:rsidRPr="00A47D25">
        <w:rPr>
          <w:lang w:val="fr-FR"/>
        </w:rPr>
        <w:t xml:space="preserve"> </w:t>
      </w:r>
      <w:r>
        <w:rPr>
          <w:lang w:val="fr-FR"/>
        </w:rPr>
        <w:t>peut rétablir</w:t>
      </w:r>
      <w:r w:rsidRPr="00A47D25">
        <w:rPr>
          <w:lang w:val="fr-FR"/>
        </w:rPr>
        <w:t xml:space="preserve"> l</w:t>
      </w:r>
      <w:r>
        <w:rPr>
          <w:lang w:val="fr-FR"/>
        </w:rPr>
        <w:t>’</w:t>
      </w:r>
      <w:r w:rsidRPr="00A47D25">
        <w:rPr>
          <w:lang w:val="fr-FR"/>
        </w:rPr>
        <w:t xml:space="preserve">effet suspensif </w:t>
      </w:r>
      <w:r>
        <w:rPr>
          <w:lang w:val="fr-FR"/>
        </w:rPr>
        <w:t>d’</w:t>
      </w:r>
      <w:r w:rsidRPr="00A47D25">
        <w:rPr>
          <w:lang w:val="fr-FR"/>
        </w:rPr>
        <w:t xml:space="preserve">un recours, et </w:t>
      </w:r>
      <w:r>
        <w:rPr>
          <w:lang w:val="fr-FR"/>
        </w:rPr>
        <w:t>que l’autorité</w:t>
      </w:r>
      <w:r w:rsidRPr="00A47D25">
        <w:rPr>
          <w:lang w:val="fr-FR"/>
        </w:rPr>
        <w:t xml:space="preserve"> doit procéder à une </w:t>
      </w:r>
      <w:r>
        <w:rPr>
          <w:lang w:val="fr-FR"/>
        </w:rPr>
        <w:t>évaluation</w:t>
      </w:r>
      <w:r w:rsidRPr="00A47D25">
        <w:rPr>
          <w:lang w:val="fr-FR"/>
        </w:rPr>
        <w:t xml:space="preserve"> des intérêts</w:t>
      </w:r>
      <w:r>
        <w:rPr>
          <w:lang w:val="fr-FR"/>
        </w:rPr>
        <w:t xml:space="preserve"> en jeu</w:t>
      </w:r>
      <w:r w:rsidRPr="00A47D25">
        <w:rPr>
          <w:lang w:val="fr-FR"/>
        </w:rPr>
        <w:t>, pour laquelle elle dispose d</w:t>
      </w:r>
      <w:r>
        <w:rPr>
          <w:lang w:val="fr-FR"/>
        </w:rPr>
        <w:t>’</w:t>
      </w:r>
      <w:r w:rsidRPr="00A47D25">
        <w:rPr>
          <w:lang w:val="fr-FR"/>
        </w:rPr>
        <w:t xml:space="preserve">une large marge de manœuvre. Elle ne </w:t>
      </w:r>
      <w:r>
        <w:rPr>
          <w:lang w:val="fr-FR"/>
        </w:rPr>
        <w:t>rétablit</w:t>
      </w:r>
      <w:r w:rsidRPr="00A47D25">
        <w:rPr>
          <w:lang w:val="fr-FR"/>
        </w:rPr>
        <w:t xml:space="preserve"> l</w:t>
      </w:r>
      <w:r>
        <w:rPr>
          <w:lang w:val="fr-FR"/>
        </w:rPr>
        <w:t>’</w:t>
      </w:r>
      <w:r w:rsidRPr="00A47D25">
        <w:rPr>
          <w:lang w:val="fr-FR"/>
        </w:rPr>
        <w:t>effet suspensif que s</w:t>
      </w:r>
      <w:r>
        <w:rPr>
          <w:lang w:val="fr-FR"/>
        </w:rPr>
        <w:t>’</w:t>
      </w:r>
      <w:r w:rsidRPr="00A47D25">
        <w:rPr>
          <w:lang w:val="fr-FR"/>
        </w:rPr>
        <w:t>il s</w:t>
      </w:r>
      <w:r>
        <w:rPr>
          <w:lang w:val="fr-FR"/>
        </w:rPr>
        <w:t>’</w:t>
      </w:r>
      <w:r w:rsidRPr="00A47D25">
        <w:rPr>
          <w:lang w:val="fr-FR"/>
        </w:rPr>
        <w:t xml:space="preserve">avère </w:t>
      </w:r>
      <w:r w:rsidRPr="00A47D25">
        <w:rPr>
          <w:i/>
          <w:lang w:val="fr-FR"/>
        </w:rPr>
        <w:t>prima facie</w:t>
      </w:r>
      <w:r w:rsidRPr="00A47D25">
        <w:rPr>
          <w:lang w:val="fr-FR"/>
        </w:rPr>
        <w:t xml:space="preserve"> que la première autorité n</w:t>
      </w:r>
      <w:r>
        <w:rPr>
          <w:lang w:val="fr-FR"/>
        </w:rPr>
        <w:t>’</w:t>
      </w:r>
      <w:r w:rsidRPr="00A47D25">
        <w:rPr>
          <w:lang w:val="fr-FR"/>
        </w:rPr>
        <w:t xml:space="preserve">a pas </w:t>
      </w:r>
      <w:r>
        <w:rPr>
          <w:lang w:val="fr-FR"/>
        </w:rPr>
        <w:t>pris en considération</w:t>
      </w:r>
      <w:r w:rsidRPr="00A47D25">
        <w:rPr>
          <w:lang w:val="fr-FR"/>
        </w:rPr>
        <w:t xml:space="preserve"> ou a manifestement mal évalué des intérêts prépondérants</w:t>
      </w:r>
      <w:r>
        <w:rPr>
          <w:lang w:val="fr-FR"/>
        </w:rPr>
        <w:t>,</w:t>
      </w:r>
      <w:r w:rsidRPr="00A47D25">
        <w:rPr>
          <w:lang w:val="fr-FR"/>
        </w:rPr>
        <w:t xml:space="preserve"> ou si la solution retenue préjuge de manière inadmissible </w:t>
      </w:r>
      <w:r>
        <w:rPr>
          <w:lang w:val="fr-FR"/>
        </w:rPr>
        <w:t>de la décision finale</w:t>
      </w:r>
      <w:r w:rsidRPr="00A47D25">
        <w:rPr>
          <w:lang w:val="fr-FR"/>
        </w:rPr>
        <w:t xml:space="preserve"> et </w:t>
      </w:r>
      <w:r>
        <w:rPr>
          <w:lang w:val="fr-FR"/>
        </w:rPr>
        <w:t>contourne</w:t>
      </w:r>
      <w:r w:rsidRPr="00A47D25">
        <w:rPr>
          <w:lang w:val="fr-FR"/>
        </w:rPr>
        <w:t xml:space="preserve"> ainsi le droit fédéral. </w:t>
      </w:r>
      <w:r>
        <w:rPr>
          <w:lang w:val="fr-FR"/>
        </w:rPr>
        <w:t>Concrètement, i</w:t>
      </w:r>
      <w:r w:rsidRPr="00A47D25">
        <w:rPr>
          <w:lang w:val="fr-FR"/>
        </w:rPr>
        <w:t xml:space="preserve">l faut que </w:t>
      </w:r>
      <w:r>
        <w:rPr>
          <w:lang w:val="fr-FR"/>
        </w:rPr>
        <w:t>l’</w:t>
      </w:r>
      <w:r w:rsidRPr="00A47D25">
        <w:rPr>
          <w:lang w:val="fr-FR"/>
        </w:rPr>
        <w:t>exécution immédiate de la décision</w:t>
      </w:r>
      <w:r>
        <w:rPr>
          <w:lang w:val="fr-FR"/>
        </w:rPr>
        <w:t xml:space="preserve"> soit justifiée par des raisons impérieuses</w:t>
      </w:r>
      <w:r w:rsidRPr="00A47D25">
        <w:rPr>
          <w:lang w:val="fr-FR"/>
        </w:rPr>
        <w:t xml:space="preserve">, </w:t>
      </w:r>
      <w:r>
        <w:rPr>
          <w:lang w:val="fr-FR"/>
        </w:rPr>
        <w:t>comme</w:t>
      </w:r>
      <w:r w:rsidRPr="00A47D25">
        <w:rPr>
          <w:lang w:val="fr-FR"/>
        </w:rPr>
        <w:t xml:space="preserve"> </w:t>
      </w:r>
      <w:r>
        <w:rPr>
          <w:lang w:val="fr-FR"/>
        </w:rPr>
        <w:t>le risque</w:t>
      </w:r>
      <w:r w:rsidRPr="00A47D25">
        <w:rPr>
          <w:lang w:val="fr-FR"/>
        </w:rPr>
        <w:t xml:space="preserve"> d</w:t>
      </w:r>
      <w:r>
        <w:rPr>
          <w:lang w:val="fr-FR"/>
        </w:rPr>
        <w:t>’</w:t>
      </w:r>
      <w:r w:rsidRPr="00A47D25">
        <w:rPr>
          <w:lang w:val="fr-FR"/>
        </w:rPr>
        <w:t>un préjudice important, sans que des circonstances extraordinaires</w:t>
      </w:r>
      <w:r>
        <w:rPr>
          <w:lang w:val="fr-FR"/>
        </w:rPr>
        <w:t xml:space="preserve"> </w:t>
      </w:r>
      <w:r w:rsidRPr="00A47D25">
        <w:rPr>
          <w:lang w:val="fr-FR"/>
        </w:rPr>
        <w:t xml:space="preserve">soient </w:t>
      </w:r>
      <w:r>
        <w:rPr>
          <w:lang w:val="fr-FR"/>
        </w:rPr>
        <w:t>nécessaires</w:t>
      </w:r>
      <w:r w:rsidRPr="00A47D25">
        <w:rPr>
          <w:lang w:val="fr-FR"/>
        </w:rPr>
        <w:t>. Par ailleurs, le retrait de l</w:t>
      </w:r>
      <w:r>
        <w:rPr>
          <w:lang w:val="fr-FR"/>
        </w:rPr>
        <w:t>’</w:t>
      </w:r>
      <w:r w:rsidRPr="00A47D25">
        <w:rPr>
          <w:lang w:val="fr-FR"/>
        </w:rPr>
        <w:t>effet suspensif doit être proportionnel. L</w:t>
      </w:r>
      <w:r>
        <w:rPr>
          <w:lang w:val="fr-FR"/>
        </w:rPr>
        <w:t>’</w:t>
      </w:r>
      <w:r w:rsidRPr="00A47D25">
        <w:rPr>
          <w:lang w:val="fr-FR"/>
        </w:rPr>
        <w:t>auteur affirme que, dans le cas d</w:t>
      </w:r>
      <w:r>
        <w:rPr>
          <w:lang w:val="fr-FR"/>
        </w:rPr>
        <w:t>’</w:t>
      </w:r>
      <w:r w:rsidRPr="00A47D25">
        <w:rPr>
          <w:lang w:val="fr-FR"/>
        </w:rPr>
        <w:t xml:space="preserve">espèce, il est hypocrite </w:t>
      </w:r>
      <w:r>
        <w:rPr>
          <w:lang w:val="fr-FR"/>
        </w:rPr>
        <w:t>de la part de</w:t>
      </w:r>
      <w:r w:rsidRPr="00A47D25">
        <w:rPr>
          <w:lang w:val="fr-FR"/>
        </w:rPr>
        <w:t xml:space="preserve"> l</w:t>
      </w:r>
      <w:r>
        <w:rPr>
          <w:lang w:val="fr-FR"/>
        </w:rPr>
        <w:t>’</w:t>
      </w:r>
      <w:r w:rsidRPr="00A47D25">
        <w:rPr>
          <w:lang w:val="fr-FR"/>
        </w:rPr>
        <w:t>État partie de soutenir que l</w:t>
      </w:r>
      <w:r>
        <w:rPr>
          <w:lang w:val="fr-FR"/>
        </w:rPr>
        <w:t>’</w:t>
      </w:r>
      <w:r w:rsidRPr="00A47D25">
        <w:rPr>
          <w:lang w:val="fr-FR"/>
        </w:rPr>
        <w:t>auteur n</w:t>
      </w:r>
      <w:r>
        <w:rPr>
          <w:lang w:val="fr-FR"/>
        </w:rPr>
        <w:t>’</w:t>
      </w:r>
      <w:r w:rsidRPr="00A47D25">
        <w:rPr>
          <w:lang w:val="fr-FR"/>
        </w:rPr>
        <w:t>avait qu</w:t>
      </w:r>
      <w:r>
        <w:rPr>
          <w:lang w:val="fr-FR"/>
        </w:rPr>
        <w:t>’</w:t>
      </w:r>
      <w:r w:rsidRPr="00A47D25">
        <w:rPr>
          <w:lang w:val="fr-FR"/>
        </w:rPr>
        <w:t>à demander l</w:t>
      </w:r>
      <w:r>
        <w:rPr>
          <w:lang w:val="fr-FR"/>
        </w:rPr>
        <w:t>’</w:t>
      </w:r>
      <w:r w:rsidRPr="00A47D25">
        <w:rPr>
          <w:lang w:val="fr-FR"/>
        </w:rPr>
        <w:t xml:space="preserve">effet suspensif, </w:t>
      </w:r>
      <w:r>
        <w:rPr>
          <w:lang w:val="fr-FR"/>
        </w:rPr>
        <w:t>sachant qu’il n’avait aucune garantie que cela lui serait accordé</w:t>
      </w:r>
      <w:r w:rsidRPr="00A47D25">
        <w:rPr>
          <w:lang w:val="fr-FR"/>
        </w:rPr>
        <w:t xml:space="preserve">. </w:t>
      </w:r>
      <w:r>
        <w:rPr>
          <w:lang w:val="fr-FR"/>
        </w:rPr>
        <w:t>Il</w:t>
      </w:r>
      <w:r w:rsidRPr="00A47D25">
        <w:rPr>
          <w:lang w:val="fr-FR"/>
        </w:rPr>
        <w:t xml:space="preserve"> note que le </w:t>
      </w:r>
      <w:r>
        <w:rPr>
          <w:lang w:val="fr-FR"/>
        </w:rPr>
        <w:t xml:space="preserve">Secrétariat d’État aux migrations </w:t>
      </w:r>
      <w:r w:rsidRPr="00A47D25">
        <w:rPr>
          <w:lang w:val="fr-FR"/>
        </w:rPr>
        <w:t>considère que</w:t>
      </w:r>
      <w:r>
        <w:rPr>
          <w:lang w:val="fr-FR"/>
        </w:rPr>
        <w:t>,</w:t>
      </w:r>
      <w:r w:rsidRPr="00A47D25">
        <w:rPr>
          <w:lang w:val="fr-FR"/>
        </w:rPr>
        <w:t xml:space="preserve"> dans la jurisprudence de la Cour européenne des droits de l</w:t>
      </w:r>
      <w:r>
        <w:rPr>
          <w:lang w:val="fr-FR"/>
        </w:rPr>
        <w:t>’</w:t>
      </w:r>
      <w:r w:rsidRPr="00A47D25">
        <w:rPr>
          <w:lang w:val="fr-FR"/>
        </w:rPr>
        <w:t>homme, les recours en matière d</w:t>
      </w:r>
      <w:r>
        <w:rPr>
          <w:lang w:val="fr-FR"/>
        </w:rPr>
        <w:t>’</w:t>
      </w:r>
      <w:r w:rsidRPr="00A47D25">
        <w:rPr>
          <w:lang w:val="fr-FR"/>
        </w:rPr>
        <w:t>asile n</w:t>
      </w:r>
      <w:r>
        <w:rPr>
          <w:lang w:val="fr-FR"/>
        </w:rPr>
        <w:t>’</w:t>
      </w:r>
      <w:r w:rsidRPr="00A47D25">
        <w:rPr>
          <w:lang w:val="fr-FR"/>
        </w:rPr>
        <w:t xml:space="preserve">offrent pas de protection efficace contre une expulsion </w:t>
      </w:r>
      <w:r>
        <w:rPr>
          <w:lang w:val="fr-FR"/>
        </w:rPr>
        <w:t>s’ils n’ont pas</w:t>
      </w:r>
      <w:r w:rsidRPr="00A47D25">
        <w:rPr>
          <w:lang w:val="fr-FR"/>
        </w:rPr>
        <w:t xml:space="preserve"> d</w:t>
      </w:r>
      <w:r>
        <w:rPr>
          <w:lang w:val="fr-FR"/>
        </w:rPr>
        <w:t>’</w:t>
      </w:r>
      <w:r w:rsidRPr="00A47D25">
        <w:rPr>
          <w:lang w:val="fr-FR"/>
        </w:rPr>
        <w:t>effet suspensif</w:t>
      </w:r>
      <w:r>
        <w:rPr>
          <w:rStyle w:val="Appelnotedebasdep"/>
        </w:rPr>
        <w:footnoteReference w:id="16"/>
      </w:r>
      <w:r w:rsidRPr="00A47D25">
        <w:rPr>
          <w:lang w:val="fr-FR"/>
        </w:rPr>
        <w:t>.</w:t>
      </w:r>
    </w:p>
    <w:p w14:paraId="577D0505" w14:textId="5FC6FE05" w:rsidR="00434CC2" w:rsidRDefault="00434CC2" w:rsidP="00434CC2">
      <w:pPr>
        <w:pStyle w:val="SingleTxtG"/>
        <w:rPr>
          <w:rFonts w:eastAsia="Calibri"/>
          <w:lang w:val="fr-FR"/>
        </w:rPr>
      </w:pPr>
      <w:r w:rsidRPr="00A47D25">
        <w:rPr>
          <w:rFonts w:eastAsia="Calibri"/>
          <w:lang w:val="fr-FR"/>
        </w:rPr>
        <w:t>9.2</w:t>
      </w:r>
      <w:r w:rsidRPr="00A47D25">
        <w:rPr>
          <w:rFonts w:eastAsia="Calibri"/>
          <w:lang w:val="fr-FR"/>
        </w:rPr>
        <w:tab/>
        <w:t>L</w:t>
      </w:r>
      <w:r>
        <w:rPr>
          <w:rFonts w:eastAsia="Calibri"/>
          <w:lang w:val="fr-FR"/>
        </w:rPr>
        <w:t>’</w:t>
      </w:r>
      <w:r w:rsidRPr="00A47D25">
        <w:rPr>
          <w:rFonts w:eastAsia="Calibri"/>
          <w:lang w:val="fr-FR"/>
        </w:rPr>
        <w:t>auteur affirme qu</w:t>
      </w:r>
      <w:r>
        <w:rPr>
          <w:rFonts w:eastAsia="Calibri"/>
          <w:lang w:val="fr-FR"/>
        </w:rPr>
        <w:t>’</w:t>
      </w:r>
      <w:r w:rsidRPr="00A47D25">
        <w:rPr>
          <w:rFonts w:eastAsia="Calibri"/>
          <w:lang w:val="fr-FR"/>
        </w:rPr>
        <w:t>il était pertinent de présenter le coût annuel du traitement de G.</w:t>
      </w:r>
      <w:r w:rsidR="00932AA1">
        <w:rPr>
          <w:rFonts w:eastAsia="Calibri"/>
          <w:lang w:val="fr-FR"/>
        </w:rPr>
        <w:t> </w:t>
      </w:r>
      <w:r w:rsidRPr="00A47D25">
        <w:rPr>
          <w:rFonts w:eastAsia="Calibri"/>
          <w:lang w:val="fr-FR"/>
        </w:rPr>
        <w:t>R. puisque les considérations économiques sont au cœur de la question de l</w:t>
      </w:r>
      <w:r>
        <w:rPr>
          <w:rFonts w:eastAsia="Calibri"/>
          <w:lang w:val="fr-FR"/>
        </w:rPr>
        <w:t>’</w:t>
      </w:r>
      <w:r w:rsidRPr="00A47D25">
        <w:rPr>
          <w:rFonts w:eastAsia="Calibri"/>
          <w:lang w:val="fr-FR"/>
        </w:rPr>
        <w:t xml:space="preserve">accessibilité </w:t>
      </w:r>
      <w:r>
        <w:rPr>
          <w:rFonts w:eastAsia="Calibri"/>
          <w:lang w:val="fr-FR"/>
        </w:rPr>
        <w:t>du</w:t>
      </w:r>
      <w:r w:rsidRPr="00A47D25">
        <w:rPr>
          <w:rFonts w:eastAsia="Calibri"/>
          <w:lang w:val="fr-FR"/>
        </w:rPr>
        <w:t xml:space="preserve"> traitement. Il </w:t>
      </w:r>
      <w:r>
        <w:rPr>
          <w:rFonts w:eastAsia="Calibri"/>
          <w:lang w:val="fr-FR"/>
        </w:rPr>
        <w:t>réaffirme</w:t>
      </w:r>
      <w:r w:rsidRPr="00A47D25">
        <w:rPr>
          <w:rFonts w:eastAsia="Calibri"/>
          <w:lang w:val="fr-FR"/>
        </w:rPr>
        <w:t xml:space="preserve"> qu</w:t>
      </w:r>
      <w:r>
        <w:rPr>
          <w:rFonts w:eastAsia="Calibri"/>
          <w:lang w:val="fr-FR"/>
        </w:rPr>
        <w:t>’</w:t>
      </w:r>
      <w:r w:rsidRPr="00A47D25">
        <w:rPr>
          <w:rFonts w:eastAsia="Calibri"/>
          <w:lang w:val="fr-FR"/>
        </w:rPr>
        <w:t xml:space="preserve">au vu des risques graves et irrémédiables </w:t>
      </w:r>
      <w:r>
        <w:rPr>
          <w:rFonts w:eastAsia="Calibri"/>
          <w:lang w:val="fr-FR"/>
        </w:rPr>
        <w:t>pour</w:t>
      </w:r>
      <w:r w:rsidRPr="00A47D25">
        <w:rPr>
          <w:rFonts w:eastAsia="Calibri"/>
          <w:lang w:val="fr-FR"/>
        </w:rPr>
        <w:t xml:space="preserve"> la santé de G.</w:t>
      </w:r>
      <w:r w:rsidR="00932AA1">
        <w:rPr>
          <w:rFonts w:eastAsia="Calibri"/>
          <w:lang w:val="fr-FR"/>
        </w:rPr>
        <w:t> </w:t>
      </w:r>
      <w:r w:rsidRPr="00A47D25">
        <w:rPr>
          <w:rFonts w:eastAsia="Calibri"/>
          <w:lang w:val="fr-FR"/>
        </w:rPr>
        <w:t>R., l</w:t>
      </w:r>
      <w:r>
        <w:rPr>
          <w:rFonts w:eastAsia="Calibri"/>
          <w:lang w:val="fr-FR"/>
        </w:rPr>
        <w:t>’</w:t>
      </w:r>
      <w:r w:rsidRPr="00A47D25">
        <w:rPr>
          <w:rFonts w:eastAsia="Calibri"/>
          <w:lang w:val="fr-FR"/>
        </w:rPr>
        <w:t>absence de toute garantie concernant l</w:t>
      </w:r>
      <w:r>
        <w:rPr>
          <w:rFonts w:eastAsia="Calibri"/>
          <w:lang w:val="fr-FR"/>
        </w:rPr>
        <w:t>’</w:t>
      </w:r>
      <w:r w:rsidRPr="00A47D25">
        <w:rPr>
          <w:rFonts w:eastAsia="Calibri"/>
          <w:lang w:val="fr-FR"/>
        </w:rPr>
        <w:t xml:space="preserve">accès </w:t>
      </w:r>
      <w:r>
        <w:rPr>
          <w:rFonts w:eastAsia="Calibri"/>
          <w:lang w:val="fr-FR"/>
        </w:rPr>
        <w:t>de</w:t>
      </w:r>
      <w:r w:rsidRPr="00A47D25">
        <w:rPr>
          <w:rFonts w:eastAsia="Calibri"/>
          <w:lang w:val="fr-FR"/>
        </w:rPr>
        <w:t xml:space="preserve"> G.</w:t>
      </w:r>
      <w:r w:rsidR="00932AA1">
        <w:rPr>
          <w:rFonts w:eastAsia="Calibri"/>
          <w:lang w:val="fr-FR"/>
        </w:rPr>
        <w:t> </w:t>
      </w:r>
      <w:r w:rsidRPr="00A47D25">
        <w:rPr>
          <w:rFonts w:eastAsia="Calibri"/>
          <w:lang w:val="fr-FR"/>
        </w:rPr>
        <w:t xml:space="preserve">R. </w:t>
      </w:r>
      <w:r>
        <w:rPr>
          <w:rFonts w:eastAsia="Calibri"/>
          <w:lang w:val="fr-FR"/>
        </w:rPr>
        <w:t>à un</w:t>
      </w:r>
      <w:r w:rsidRPr="00A47D25">
        <w:rPr>
          <w:rFonts w:eastAsia="Calibri"/>
          <w:lang w:val="fr-FR"/>
        </w:rPr>
        <w:t xml:space="preserve"> traitement médical constitue une violation de l</w:t>
      </w:r>
      <w:r>
        <w:rPr>
          <w:rFonts w:eastAsia="Calibri"/>
          <w:lang w:val="fr-FR"/>
        </w:rPr>
        <w:t>’</w:t>
      </w:r>
      <w:r w:rsidRPr="00A47D25">
        <w:rPr>
          <w:rFonts w:eastAsia="Calibri"/>
          <w:lang w:val="fr-FR"/>
        </w:rPr>
        <w:t>article 3 de la Convention et du principe de non-refoulement.</w:t>
      </w:r>
    </w:p>
    <w:p w14:paraId="7236646F" w14:textId="77777777" w:rsidR="00434CC2" w:rsidRPr="00580A15" w:rsidRDefault="00434CC2" w:rsidP="00434CC2">
      <w:pPr>
        <w:keepNext/>
        <w:keepLines/>
        <w:tabs>
          <w:tab w:val="right" w:pos="851"/>
        </w:tabs>
        <w:spacing w:before="240" w:after="120" w:line="240" w:lineRule="exact"/>
        <w:ind w:left="1134" w:right="1134" w:hanging="1134"/>
        <w:outlineLvl w:val="3"/>
        <w:rPr>
          <w:rFonts w:eastAsia="Calibri"/>
          <w:b/>
          <w:lang w:val="fr-FR"/>
        </w:rPr>
      </w:pPr>
      <w:r>
        <w:rPr>
          <w:rFonts w:eastAsia="Calibri"/>
          <w:b/>
          <w:bCs/>
          <w:lang w:val="fr-FR"/>
        </w:rPr>
        <w:tab/>
      </w:r>
      <w:r>
        <w:rPr>
          <w:rFonts w:eastAsia="Calibri"/>
          <w:b/>
          <w:bCs/>
          <w:lang w:val="fr-FR"/>
        </w:rPr>
        <w:tab/>
      </w:r>
      <w:r w:rsidRPr="00580A15">
        <w:rPr>
          <w:rFonts w:eastAsia="Calibri"/>
          <w:b/>
          <w:bCs/>
          <w:lang w:val="fr-FR"/>
        </w:rPr>
        <w:t>Délibérations du Comité</w:t>
      </w:r>
    </w:p>
    <w:p w14:paraId="2BB7EB70" w14:textId="77777777" w:rsidR="00434CC2" w:rsidRPr="00580A15" w:rsidRDefault="00434CC2" w:rsidP="00434CC2">
      <w:pPr>
        <w:keepNext/>
        <w:keepLines/>
        <w:tabs>
          <w:tab w:val="right" w:pos="851"/>
        </w:tabs>
        <w:spacing w:before="240" w:after="120" w:line="240" w:lineRule="exact"/>
        <w:ind w:left="1134" w:right="1134" w:hanging="1134"/>
        <w:rPr>
          <w:rFonts w:eastAsia="Calibri"/>
          <w:i/>
          <w:lang w:val="fr-FR"/>
        </w:rPr>
      </w:pPr>
      <w:r w:rsidRPr="00580A15">
        <w:rPr>
          <w:rFonts w:eastAsia="Calibri"/>
          <w:lang w:val="fr-FR"/>
        </w:rPr>
        <w:tab/>
      </w:r>
      <w:r w:rsidRPr="00580A15">
        <w:rPr>
          <w:rFonts w:eastAsia="Calibri"/>
          <w:lang w:val="fr-FR"/>
        </w:rPr>
        <w:tab/>
      </w:r>
      <w:r w:rsidRPr="00580A15">
        <w:rPr>
          <w:rFonts w:eastAsia="Calibri"/>
          <w:i/>
          <w:iCs/>
          <w:lang w:val="fr-FR"/>
        </w:rPr>
        <w:t>Examen de la recevabilité</w:t>
      </w:r>
    </w:p>
    <w:p w14:paraId="49CFFDEE" w14:textId="07F8C127" w:rsidR="00434CC2" w:rsidRPr="00580A15" w:rsidRDefault="00434CC2" w:rsidP="00434CC2">
      <w:pPr>
        <w:pStyle w:val="SingleTxtG"/>
        <w:rPr>
          <w:lang w:val="fr-FR"/>
        </w:rPr>
      </w:pPr>
      <w:r w:rsidRPr="00580A15">
        <w:rPr>
          <w:lang w:val="fr-FR"/>
        </w:rPr>
        <w:t>10.1</w:t>
      </w:r>
      <w:r w:rsidRPr="00580A15">
        <w:rPr>
          <w:lang w:val="fr-FR"/>
        </w:rPr>
        <w:tab/>
        <w:t>Avant d</w:t>
      </w:r>
      <w:r>
        <w:rPr>
          <w:lang w:val="fr-FR"/>
        </w:rPr>
        <w:t>’</w:t>
      </w:r>
      <w:r w:rsidRPr="00580A15">
        <w:rPr>
          <w:lang w:val="fr-FR"/>
        </w:rPr>
        <w:t>examiner tout grief formulé dans une communication, le Comité doit, conformément à l</w:t>
      </w:r>
      <w:r>
        <w:rPr>
          <w:lang w:val="fr-FR"/>
        </w:rPr>
        <w:t>’</w:t>
      </w:r>
      <w:r w:rsidRPr="00580A15">
        <w:rPr>
          <w:lang w:val="fr-FR"/>
        </w:rPr>
        <w:t>article 20 de son règlement intérieur, déterminer si la communication est recevable au regard du Protocole facultatif à la Convention relative aux droits de l</w:t>
      </w:r>
      <w:r>
        <w:rPr>
          <w:lang w:val="fr-FR"/>
        </w:rPr>
        <w:t>’</w:t>
      </w:r>
      <w:r w:rsidRPr="00580A15">
        <w:rPr>
          <w:lang w:val="fr-FR"/>
        </w:rPr>
        <w:t>enfant établissant une procédure de présentation de communications.</w:t>
      </w:r>
    </w:p>
    <w:p w14:paraId="4B4D6FEC" w14:textId="611839AC" w:rsidR="00434CC2" w:rsidRPr="00580A15" w:rsidRDefault="00434CC2" w:rsidP="00434CC2">
      <w:pPr>
        <w:pStyle w:val="SingleTxtG"/>
        <w:rPr>
          <w:lang w:val="fr-FR"/>
        </w:rPr>
      </w:pPr>
      <w:r w:rsidRPr="00580A15">
        <w:rPr>
          <w:lang w:val="fr-FR"/>
        </w:rPr>
        <w:t>10.2</w:t>
      </w:r>
      <w:r w:rsidRPr="00580A15">
        <w:rPr>
          <w:lang w:val="fr-FR"/>
        </w:rPr>
        <w:tab/>
        <w:t>Le Comité prend note de l</w:t>
      </w:r>
      <w:r>
        <w:rPr>
          <w:lang w:val="fr-FR"/>
        </w:rPr>
        <w:t>’</w:t>
      </w:r>
      <w:r w:rsidRPr="00580A15">
        <w:rPr>
          <w:lang w:val="fr-FR"/>
        </w:rPr>
        <w:t>argument de l</w:t>
      </w:r>
      <w:r>
        <w:rPr>
          <w:lang w:val="fr-FR"/>
        </w:rPr>
        <w:t>’</w:t>
      </w:r>
      <w:r w:rsidRPr="00580A15">
        <w:rPr>
          <w:lang w:val="fr-FR"/>
        </w:rPr>
        <w:t xml:space="preserve">État partie selon lequel la communication est irrecevable </w:t>
      </w:r>
      <w:r>
        <w:rPr>
          <w:lang w:val="fr-FR"/>
        </w:rPr>
        <w:t>au regard</w:t>
      </w:r>
      <w:r w:rsidRPr="00580A15">
        <w:rPr>
          <w:lang w:val="fr-FR"/>
        </w:rPr>
        <w:t xml:space="preserve"> de l</w:t>
      </w:r>
      <w:r>
        <w:rPr>
          <w:lang w:val="fr-FR"/>
        </w:rPr>
        <w:t>’</w:t>
      </w:r>
      <w:r w:rsidRPr="00580A15">
        <w:rPr>
          <w:lang w:val="fr-FR"/>
        </w:rPr>
        <w:t>article 7 (</w:t>
      </w:r>
      <w:r>
        <w:rPr>
          <w:lang w:val="fr-FR"/>
        </w:rPr>
        <w:t xml:space="preserve">al. </w:t>
      </w:r>
      <w:r w:rsidRPr="00580A15">
        <w:rPr>
          <w:lang w:val="fr-FR"/>
        </w:rPr>
        <w:t>e)</w:t>
      </w:r>
      <w:r>
        <w:rPr>
          <w:lang w:val="fr-FR"/>
        </w:rPr>
        <w:t>)</w:t>
      </w:r>
      <w:r w:rsidRPr="00580A15">
        <w:rPr>
          <w:lang w:val="fr-FR"/>
        </w:rPr>
        <w:t xml:space="preserve"> du Protocole facultatif </w:t>
      </w:r>
      <w:r>
        <w:rPr>
          <w:lang w:val="fr-FR"/>
        </w:rPr>
        <w:t>car aucun</w:t>
      </w:r>
      <w:r w:rsidRPr="00580A15">
        <w:rPr>
          <w:lang w:val="fr-FR"/>
        </w:rPr>
        <w:t xml:space="preserve"> recours </w:t>
      </w:r>
      <w:r>
        <w:rPr>
          <w:lang w:val="fr-FR"/>
        </w:rPr>
        <w:t>n’a été soumis au</w:t>
      </w:r>
      <w:r w:rsidRPr="00580A15">
        <w:rPr>
          <w:lang w:val="fr-FR"/>
        </w:rPr>
        <w:t xml:space="preserve"> </w:t>
      </w:r>
      <w:r>
        <w:rPr>
          <w:lang w:val="fr-FR"/>
        </w:rPr>
        <w:t xml:space="preserve">Tribunal administratif fédéral </w:t>
      </w:r>
      <w:r w:rsidRPr="00580A15">
        <w:rPr>
          <w:lang w:val="fr-FR"/>
        </w:rPr>
        <w:t xml:space="preserve">contre la décision du </w:t>
      </w:r>
      <w:r>
        <w:rPr>
          <w:lang w:val="fr-FR"/>
        </w:rPr>
        <w:t>Secrétariat d’État aux migrations</w:t>
      </w:r>
      <w:r w:rsidRPr="00580A15">
        <w:rPr>
          <w:lang w:val="fr-FR"/>
        </w:rPr>
        <w:t xml:space="preserve"> du 24</w:t>
      </w:r>
      <w:r w:rsidR="000B70FF">
        <w:rPr>
          <w:lang w:val="fr-FR"/>
        </w:rPr>
        <w:t> </w:t>
      </w:r>
      <w:r w:rsidRPr="00580A15">
        <w:rPr>
          <w:lang w:val="fr-FR"/>
        </w:rPr>
        <w:t xml:space="preserve">avril 2019. </w:t>
      </w:r>
      <w:r>
        <w:rPr>
          <w:lang w:val="fr-FR"/>
        </w:rPr>
        <w:t>Il note</w:t>
      </w:r>
      <w:r w:rsidRPr="00580A15">
        <w:rPr>
          <w:lang w:val="fr-FR"/>
        </w:rPr>
        <w:t xml:space="preserve"> que l</w:t>
      </w:r>
      <w:r>
        <w:rPr>
          <w:lang w:val="fr-FR"/>
        </w:rPr>
        <w:t>’</w:t>
      </w:r>
      <w:r w:rsidRPr="00580A15">
        <w:rPr>
          <w:lang w:val="fr-FR"/>
        </w:rPr>
        <w:t>introduction d</w:t>
      </w:r>
      <w:r>
        <w:rPr>
          <w:lang w:val="fr-FR"/>
        </w:rPr>
        <w:t>’</w:t>
      </w:r>
      <w:r w:rsidRPr="00580A15">
        <w:rPr>
          <w:lang w:val="fr-FR"/>
        </w:rPr>
        <w:t>un tel recours n</w:t>
      </w:r>
      <w:r>
        <w:rPr>
          <w:lang w:val="fr-FR"/>
        </w:rPr>
        <w:t>’</w:t>
      </w:r>
      <w:r w:rsidRPr="00580A15">
        <w:rPr>
          <w:lang w:val="fr-FR"/>
        </w:rPr>
        <w:t>aurait pas suspendu automatiquement l</w:t>
      </w:r>
      <w:r>
        <w:rPr>
          <w:lang w:val="fr-FR"/>
        </w:rPr>
        <w:t>’</w:t>
      </w:r>
      <w:r w:rsidRPr="00580A15">
        <w:rPr>
          <w:lang w:val="fr-FR"/>
        </w:rPr>
        <w:t xml:space="preserve">exécution de la décision du </w:t>
      </w:r>
      <w:r>
        <w:rPr>
          <w:lang w:val="fr-FR"/>
        </w:rPr>
        <w:t>Secrétariat d’État aux migrations</w:t>
      </w:r>
      <w:r w:rsidRPr="00580A15">
        <w:rPr>
          <w:lang w:val="fr-FR"/>
        </w:rPr>
        <w:t xml:space="preserve">. Il note </w:t>
      </w:r>
      <w:r>
        <w:rPr>
          <w:lang w:val="fr-FR"/>
        </w:rPr>
        <w:t xml:space="preserve">également </w:t>
      </w:r>
      <w:r w:rsidRPr="00580A15">
        <w:rPr>
          <w:lang w:val="fr-FR"/>
        </w:rPr>
        <w:t>que, selon l</w:t>
      </w:r>
      <w:r>
        <w:rPr>
          <w:lang w:val="fr-FR"/>
        </w:rPr>
        <w:t>’</w:t>
      </w:r>
      <w:r w:rsidRPr="00580A15">
        <w:rPr>
          <w:lang w:val="fr-FR"/>
        </w:rPr>
        <w:t>État partie, l</w:t>
      </w:r>
      <w:r>
        <w:rPr>
          <w:lang w:val="fr-FR"/>
        </w:rPr>
        <w:t>’</w:t>
      </w:r>
      <w:r w:rsidRPr="00580A15">
        <w:rPr>
          <w:lang w:val="fr-FR"/>
        </w:rPr>
        <w:t xml:space="preserve">auteur et sa famille auraient pu demander au </w:t>
      </w:r>
      <w:r>
        <w:rPr>
          <w:lang w:val="fr-FR"/>
        </w:rPr>
        <w:t>Tribunal administratif fédéral</w:t>
      </w:r>
      <w:r w:rsidRPr="00580A15">
        <w:rPr>
          <w:lang w:val="fr-FR"/>
        </w:rPr>
        <w:t xml:space="preserve"> d</w:t>
      </w:r>
      <w:r>
        <w:rPr>
          <w:lang w:val="fr-FR"/>
        </w:rPr>
        <w:t>’</w:t>
      </w:r>
      <w:r w:rsidRPr="00580A15">
        <w:rPr>
          <w:lang w:val="fr-FR"/>
        </w:rPr>
        <w:t>accorder un effet suspensif à un tel recours</w:t>
      </w:r>
      <w:r>
        <w:rPr>
          <w:lang w:val="fr-FR"/>
        </w:rPr>
        <w:t xml:space="preserve"> ou de suspendre</w:t>
      </w:r>
      <w:r w:rsidRPr="00580A15">
        <w:rPr>
          <w:lang w:val="fr-FR"/>
        </w:rPr>
        <w:t xml:space="preserve"> l</w:t>
      </w:r>
      <w:r>
        <w:rPr>
          <w:lang w:val="fr-FR"/>
        </w:rPr>
        <w:t>’</w:t>
      </w:r>
      <w:r w:rsidRPr="00580A15">
        <w:rPr>
          <w:lang w:val="fr-FR"/>
        </w:rPr>
        <w:t xml:space="preserve">exécution </w:t>
      </w:r>
      <w:r>
        <w:rPr>
          <w:lang w:val="fr-FR"/>
        </w:rPr>
        <w:t>de la décision de</w:t>
      </w:r>
      <w:r w:rsidRPr="00580A15">
        <w:rPr>
          <w:lang w:val="fr-FR"/>
        </w:rPr>
        <w:t xml:space="preserve"> renvoi. Cependant, il découle des informations soumises par l</w:t>
      </w:r>
      <w:r>
        <w:rPr>
          <w:lang w:val="fr-FR"/>
        </w:rPr>
        <w:t>’</w:t>
      </w:r>
      <w:r w:rsidRPr="00580A15">
        <w:rPr>
          <w:lang w:val="fr-FR"/>
        </w:rPr>
        <w:t>auteur</w:t>
      </w:r>
      <w:r>
        <w:rPr>
          <w:lang w:val="fr-FR"/>
        </w:rPr>
        <w:t>,</w:t>
      </w:r>
      <w:r w:rsidRPr="00580A15">
        <w:rPr>
          <w:lang w:val="fr-FR"/>
        </w:rPr>
        <w:t xml:space="preserve"> </w:t>
      </w:r>
      <w:r>
        <w:rPr>
          <w:lang w:val="fr-FR"/>
        </w:rPr>
        <w:t>qui n’ont pas été</w:t>
      </w:r>
      <w:r w:rsidRPr="00580A15">
        <w:rPr>
          <w:lang w:val="fr-FR"/>
        </w:rPr>
        <w:t xml:space="preserve"> réfutées par l</w:t>
      </w:r>
      <w:r>
        <w:rPr>
          <w:lang w:val="fr-FR"/>
        </w:rPr>
        <w:t>’É</w:t>
      </w:r>
      <w:r w:rsidRPr="00580A15">
        <w:rPr>
          <w:lang w:val="fr-FR"/>
        </w:rPr>
        <w:t xml:space="preserve">tat partie, que le </w:t>
      </w:r>
      <w:r>
        <w:rPr>
          <w:lang w:val="fr-FR"/>
        </w:rPr>
        <w:t>Tribunal administratif fédéral</w:t>
      </w:r>
      <w:r w:rsidRPr="00580A15">
        <w:rPr>
          <w:lang w:val="fr-FR"/>
        </w:rPr>
        <w:t xml:space="preserve"> dispose d</w:t>
      </w:r>
      <w:r>
        <w:rPr>
          <w:lang w:val="fr-FR"/>
        </w:rPr>
        <w:t>’</w:t>
      </w:r>
      <w:r w:rsidRPr="00580A15">
        <w:rPr>
          <w:lang w:val="fr-FR"/>
        </w:rPr>
        <w:t>une marge d</w:t>
      </w:r>
      <w:r>
        <w:rPr>
          <w:lang w:val="fr-FR"/>
        </w:rPr>
        <w:t>’</w:t>
      </w:r>
      <w:r w:rsidRPr="00580A15">
        <w:rPr>
          <w:lang w:val="fr-FR"/>
        </w:rPr>
        <w:t>appréciation pour statuer sur une telle demande. En outre, le Comité constate que l</w:t>
      </w:r>
      <w:r>
        <w:rPr>
          <w:lang w:val="fr-FR"/>
        </w:rPr>
        <w:t>’</w:t>
      </w:r>
      <w:r w:rsidRPr="00580A15">
        <w:rPr>
          <w:lang w:val="fr-FR"/>
        </w:rPr>
        <w:t>État partie n</w:t>
      </w:r>
      <w:r>
        <w:rPr>
          <w:lang w:val="fr-FR"/>
        </w:rPr>
        <w:t>’</w:t>
      </w:r>
      <w:r w:rsidRPr="00580A15">
        <w:rPr>
          <w:lang w:val="fr-FR"/>
        </w:rPr>
        <w:t>a pas fourni d</w:t>
      </w:r>
      <w:r>
        <w:rPr>
          <w:lang w:val="fr-FR"/>
        </w:rPr>
        <w:t>’</w:t>
      </w:r>
      <w:r w:rsidRPr="00580A15">
        <w:rPr>
          <w:lang w:val="fr-FR"/>
        </w:rPr>
        <w:t>éléments concrets indiquant qu</w:t>
      </w:r>
      <w:r>
        <w:rPr>
          <w:lang w:val="fr-FR"/>
        </w:rPr>
        <w:t>’</w:t>
      </w:r>
      <w:r w:rsidRPr="00580A15">
        <w:rPr>
          <w:lang w:val="fr-FR"/>
        </w:rPr>
        <w:t xml:space="preserve">une telle demande aurait pu être </w:t>
      </w:r>
      <w:r>
        <w:rPr>
          <w:lang w:val="fr-FR"/>
        </w:rPr>
        <w:t>approuvée</w:t>
      </w:r>
      <w:r w:rsidRPr="00580A15">
        <w:rPr>
          <w:lang w:val="fr-FR"/>
        </w:rPr>
        <w:t xml:space="preserve"> en l</w:t>
      </w:r>
      <w:r>
        <w:rPr>
          <w:lang w:val="fr-FR"/>
        </w:rPr>
        <w:t>’</w:t>
      </w:r>
      <w:r w:rsidRPr="00580A15">
        <w:rPr>
          <w:lang w:val="fr-FR"/>
        </w:rPr>
        <w:t xml:space="preserve">espèce. </w:t>
      </w:r>
      <w:r>
        <w:rPr>
          <w:lang w:val="fr-FR"/>
        </w:rPr>
        <w:t>De</w:t>
      </w:r>
      <w:r w:rsidRPr="00580A15">
        <w:rPr>
          <w:lang w:val="fr-FR"/>
        </w:rPr>
        <w:t xml:space="preserve"> plus, l</w:t>
      </w:r>
      <w:r>
        <w:rPr>
          <w:lang w:val="fr-FR"/>
        </w:rPr>
        <w:t>’</w:t>
      </w:r>
      <w:r w:rsidRPr="00580A15">
        <w:rPr>
          <w:lang w:val="fr-FR"/>
        </w:rPr>
        <w:t xml:space="preserve">État partie fait valoir que la décision du </w:t>
      </w:r>
      <w:r>
        <w:rPr>
          <w:lang w:val="fr-FR"/>
        </w:rPr>
        <w:t>Secrétariat d’État aux migrations</w:t>
      </w:r>
      <w:r w:rsidRPr="00580A15">
        <w:rPr>
          <w:lang w:val="fr-FR"/>
        </w:rPr>
        <w:t xml:space="preserve"> est dûment motivée et qu</w:t>
      </w:r>
      <w:r>
        <w:rPr>
          <w:lang w:val="fr-FR"/>
        </w:rPr>
        <w:t>’</w:t>
      </w:r>
      <w:r w:rsidRPr="00580A15">
        <w:rPr>
          <w:lang w:val="fr-FR"/>
        </w:rPr>
        <w:t xml:space="preserve">elle ne présente aucun vice de forme. </w:t>
      </w:r>
      <w:r>
        <w:rPr>
          <w:lang w:val="fr-FR"/>
        </w:rPr>
        <w:t>Le</w:t>
      </w:r>
      <w:r w:rsidRPr="00580A15">
        <w:rPr>
          <w:lang w:val="fr-FR"/>
        </w:rPr>
        <w:t xml:space="preserve"> Comité considère</w:t>
      </w:r>
      <w:r>
        <w:rPr>
          <w:lang w:val="fr-FR"/>
        </w:rPr>
        <w:t xml:space="preserve"> par conséquent</w:t>
      </w:r>
      <w:r w:rsidRPr="00580A15">
        <w:rPr>
          <w:lang w:val="fr-FR"/>
        </w:rPr>
        <w:t xml:space="preserve"> que rien n</w:t>
      </w:r>
      <w:r>
        <w:rPr>
          <w:lang w:val="fr-FR"/>
        </w:rPr>
        <w:t>’</w:t>
      </w:r>
      <w:r w:rsidRPr="00580A15">
        <w:rPr>
          <w:lang w:val="fr-FR"/>
        </w:rPr>
        <w:t>indique concrètement que l</w:t>
      </w:r>
      <w:r>
        <w:rPr>
          <w:lang w:val="fr-FR"/>
        </w:rPr>
        <w:t>’</w:t>
      </w:r>
      <w:r w:rsidRPr="00580A15">
        <w:rPr>
          <w:lang w:val="fr-FR"/>
        </w:rPr>
        <w:t>introduction d</w:t>
      </w:r>
      <w:r>
        <w:rPr>
          <w:lang w:val="fr-FR"/>
        </w:rPr>
        <w:t>’</w:t>
      </w:r>
      <w:r w:rsidRPr="00580A15">
        <w:rPr>
          <w:lang w:val="fr-FR"/>
        </w:rPr>
        <w:t>un recours contre une telle décision, prise pour un motif formel, aurait pu conduire à la suspension de l</w:t>
      </w:r>
      <w:r>
        <w:rPr>
          <w:lang w:val="fr-FR"/>
        </w:rPr>
        <w:t>’</w:t>
      </w:r>
      <w:r w:rsidRPr="00580A15">
        <w:rPr>
          <w:lang w:val="fr-FR"/>
        </w:rPr>
        <w:t xml:space="preserve">exécution de la décision de renvoi. Un tel recours </w:t>
      </w:r>
      <w:r w:rsidRPr="00580A15">
        <w:rPr>
          <w:color w:val="000000"/>
        </w:rPr>
        <w:t>ne saurait donc être considéré comme utile</w:t>
      </w:r>
      <w:r>
        <w:rPr>
          <w:rStyle w:val="Appelnotedebasdep"/>
          <w:color w:val="000000"/>
        </w:rPr>
        <w:footnoteReference w:id="17"/>
      </w:r>
      <w:r w:rsidRPr="00580A15">
        <w:rPr>
          <w:color w:val="000000"/>
        </w:rPr>
        <w:t>. En outre, le Comité note que, dans l</w:t>
      </w:r>
      <w:r>
        <w:rPr>
          <w:color w:val="000000"/>
        </w:rPr>
        <w:t>’</w:t>
      </w:r>
      <w:r w:rsidRPr="00580A15">
        <w:rPr>
          <w:color w:val="000000"/>
        </w:rPr>
        <w:t xml:space="preserve">affaire </w:t>
      </w:r>
      <w:r>
        <w:rPr>
          <w:color w:val="000000"/>
        </w:rPr>
        <w:t xml:space="preserve">soumise au Comité contre la torture qui est </w:t>
      </w:r>
      <w:r w:rsidRPr="00580A15">
        <w:rPr>
          <w:color w:val="000000"/>
        </w:rPr>
        <w:t>invoqué</w:t>
      </w:r>
      <w:r>
        <w:rPr>
          <w:color w:val="000000"/>
        </w:rPr>
        <w:t>e</w:t>
      </w:r>
      <w:r w:rsidRPr="00580A15">
        <w:rPr>
          <w:color w:val="000000"/>
        </w:rPr>
        <w:t xml:space="preserve"> par l</w:t>
      </w:r>
      <w:r>
        <w:rPr>
          <w:color w:val="000000"/>
        </w:rPr>
        <w:t>’É</w:t>
      </w:r>
      <w:r w:rsidRPr="00580A15">
        <w:rPr>
          <w:color w:val="000000"/>
        </w:rPr>
        <w:t>tat partie, l</w:t>
      </w:r>
      <w:r>
        <w:rPr>
          <w:color w:val="000000"/>
        </w:rPr>
        <w:t>’</w:t>
      </w:r>
      <w:r w:rsidRPr="00580A15">
        <w:rPr>
          <w:color w:val="000000"/>
        </w:rPr>
        <w:t>auteur n</w:t>
      </w:r>
      <w:r>
        <w:rPr>
          <w:color w:val="000000"/>
        </w:rPr>
        <w:t>’</w:t>
      </w:r>
      <w:r w:rsidRPr="00580A15">
        <w:rPr>
          <w:color w:val="000000"/>
        </w:rPr>
        <w:t>avai</w:t>
      </w:r>
      <w:r>
        <w:rPr>
          <w:color w:val="000000"/>
        </w:rPr>
        <w:t>t</w:t>
      </w:r>
      <w:r w:rsidRPr="00580A15">
        <w:rPr>
          <w:color w:val="000000"/>
        </w:rPr>
        <w:t xml:space="preserve"> nullement justifié la non</w:t>
      </w:r>
      <w:r>
        <w:rPr>
          <w:color w:val="000000"/>
        </w:rPr>
        <w:t>-</w:t>
      </w:r>
      <w:r w:rsidRPr="00580A15">
        <w:rPr>
          <w:color w:val="000000"/>
        </w:rPr>
        <w:t xml:space="preserve">saisine du </w:t>
      </w:r>
      <w:r>
        <w:rPr>
          <w:color w:val="000000"/>
        </w:rPr>
        <w:t>Tribunal administratif fédéral</w:t>
      </w:r>
      <w:r w:rsidRPr="00580A15">
        <w:rPr>
          <w:color w:val="000000"/>
        </w:rPr>
        <w:t>, ce qui n</w:t>
      </w:r>
      <w:r>
        <w:rPr>
          <w:color w:val="000000"/>
        </w:rPr>
        <w:t>’</w:t>
      </w:r>
      <w:r w:rsidRPr="00580A15">
        <w:rPr>
          <w:color w:val="000000"/>
        </w:rPr>
        <w:t xml:space="preserve">est pas le cas </w:t>
      </w:r>
      <w:r>
        <w:rPr>
          <w:color w:val="000000"/>
        </w:rPr>
        <w:t>en</w:t>
      </w:r>
      <w:r w:rsidRPr="00580A15">
        <w:rPr>
          <w:color w:val="000000"/>
        </w:rPr>
        <w:t xml:space="preserve"> l</w:t>
      </w:r>
      <w:r>
        <w:rPr>
          <w:color w:val="000000"/>
        </w:rPr>
        <w:t>’</w:t>
      </w:r>
      <w:r w:rsidRPr="00580A15">
        <w:rPr>
          <w:color w:val="000000"/>
        </w:rPr>
        <w:t xml:space="preserve">espèce, </w:t>
      </w:r>
      <w:r>
        <w:rPr>
          <w:color w:val="000000"/>
        </w:rPr>
        <w:t>puisque</w:t>
      </w:r>
      <w:r w:rsidRPr="00580A15">
        <w:rPr>
          <w:color w:val="000000"/>
        </w:rPr>
        <w:t xml:space="preserve"> l</w:t>
      </w:r>
      <w:r>
        <w:rPr>
          <w:color w:val="000000"/>
        </w:rPr>
        <w:t>’</w:t>
      </w:r>
      <w:r w:rsidRPr="00580A15">
        <w:rPr>
          <w:color w:val="000000"/>
        </w:rPr>
        <w:t xml:space="preserve">auteur a justifié </w:t>
      </w:r>
      <w:r>
        <w:rPr>
          <w:color w:val="000000"/>
        </w:rPr>
        <w:t xml:space="preserve">son incapacité à </w:t>
      </w:r>
      <w:r w:rsidRPr="00580A15">
        <w:rPr>
          <w:color w:val="000000"/>
        </w:rPr>
        <w:t xml:space="preserve">introduire ce recours dans le délai de </w:t>
      </w:r>
      <w:r w:rsidR="009718F9">
        <w:rPr>
          <w:color w:val="000000"/>
        </w:rPr>
        <w:t>cinq</w:t>
      </w:r>
      <w:r w:rsidRPr="00580A15">
        <w:rPr>
          <w:color w:val="000000"/>
        </w:rPr>
        <w:t xml:space="preserve"> jours </w:t>
      </w:r>
      <w:r>
        <w:rPr>
          <w:color w:val="000000"/>
        </w:rPr>
        <w:t>par le fait qu’il n’avait pas les</w:t>
      </w:r>
      <w:r w:rsidRPr="00580A15">
        <w:rPr>
          <w:color w:val="000000"/>
        </w:rPr>
        <w:t xml:space="preserve"> moyens </w:t>
      </w:r>
      <w:r>
        <w:rPr>
          <w:color w:val="000000"/>
        </w:rPr>
        <w:t>de</w:t>
      </w:r>
      <w:r w:rsidRPr="00580A15">
        <w:rPr>
          <w:color w:val="000000"/>
        </w:rPr>
        <w:t xml:space="preserve"> payer un avocat et </w:t>
      </w:r>
      <w:r>
        <w:rPr>
          <w:color w:val="000000"/>
        </w:rPr>
        <w:t xml:space="preserve">que la permanence juridique gratuite à laquelle il s’était adressé avait refusé </w:t>
      </w:r>
      <w:r w:rsidRPr="00580A15">
        <w:rPr>
          <w:color w:val="000000"/>
        </w:rPr>
        <w:t xml:space="preserve">de rédiger une demande </w:t>
      </w:r>
      <w:r>
        <w:rPr>
          <w:color w:val="000000"/>
        </w:rPr>
        <w:t>d’assistance</w:t>
      </w:r>
      <w:r w:rsidRPr="00580A15">
        <w:rPr>
          <w:color w:val="000000"/>
        </w:rPr>
        <w:t xml:space="preserve"> judic</w:t>
      </w:r>
      <w:r>
        <w:rPr>
          <w:color w:val="000000"/>
        </w:rPr>
        <w:t>i</w:t>
      </w:r>
      <w:r w:rsidRPr="00580A15">
        <w:rPr>
          <w:color w:val="000000"/>
        </w:rPr>
        <w:t>aire. Au vu de tout ce qui précède, le Comité considère que l</w:t>
      </w:r>
      <w:r>
        <w:rPr>
          <w:color w:val="000000"/>
        </w:rPr>
        <w:t>’</w:t>
      </w:r>
      <w:r w:rsidRPr="00580A15">
        <w:rPr>
          <w:color w:val="000000"/>
        </w:rPr>
        <w:t>article 7 (</w:t>
      </w:r>
      <w:r>
        <w:rPr>
          <w:color w:val="000000"/>
        </w:rPr>
        <w:t xml:space="preserve">al. </w:t>
      </w:r>
      <w:r w:rsidRPr="00580A15">
        <w:rPr>
          <w:color w:val="000000"/>
        </w:rPr>
        <w:t>e)</w:t>
      </w:r>
      <w:r>
        <w:rPr>
          <w:color w:val="000000"/>
        </w:rPr>
        <w:t>)</w:t>
      </w:r>
      <w:r w:rsidRPr="00580A15">
        <w:rPr>
          <w:color w:val="000000"/>
        </w:rPr>
        <w:t xml:space="preserve"> du Protocole facultatif ne fait pas obstacle à la recevabilité de la communication.</w:t>
      </w:r>
    </w:p>
    <w:p w14:paraId="74CB901D" w14:textId="04E4E7DC" w:rsidR="00434CC2" w:rsidRPr="00580A15" w:rsidRDefault="00434CC2" w:rsidP="00434CC2">
      <w:pPr>
        <w:pStyle w:val="SingleTxtG"/>
      </w:pPr>
      <w:r w:rsidRPr="00580A15">
        <w:t>10.3</w:t>
      </w:r>
      <w:r w:rsidRPr="00580A15">
        <w:tab/>
        <w:t xml:space="preserve">En ce qui concerne les allégations </w:t>
      </w:r>
      <w:r>
        <w:t>selon lesquelles les</w:t>
      </w:r>
      <w:r w:rsidRPr="00580A15">
        <w:t xml:space="preserve"> droits de l</w:t>
      </w:r>
      <w:r>
        <w:t>’</w:t>
      </w:r>
      <w:r w:rsidRPr="00580A15">
        <w:t>auteur et de son épouse</w:t>
      </w:r>
      <w:r>
        <w:t xml:space="preserve"> seraient violés, compte tenu </w:t>
      </w:r>
      <w:r w:rsidRPr="00580A15">
        <w:t xml:space="preserve">des conséquences que leur renvoi aurait </w:t>
      </w:r>
      <w:r>
        <w:t>pour</w:t>
      </w:r>
      <w:r w:rsidRPr="00580A15">
        <w:t xml:space="preserve"> leur santé, le Comité rappelle que la Convention protège les droits des enfants et non ceux des adultes, et considère que cette partie de la communication est incompatible avec les dispositions de la Convention</w:t>
      </w:r>
      <w:r>
        <w:rPr>
          <w:rStyle w:val="Appelnotedebasdep"/>
        </w:rPr>
        <w:footnoteReference w:id="18"/>
      </w:r>
      <w:r w:rsidRPr="00580A15">
        <w:t xml:space="preserve">. </w:t>
      </w:r>
      <w:r>
        <w:t>Il</w:t>
      </w:r>
      <w:r w:rsidRPr="00580A15">
        <w:t xml:space="preserve"> déclare donc cette partie de la communication irrecevable </w:t>
      </w:r>
      <w:r>
        <w:t>au regard</w:t>
      </w:r>
      <w:r w:rsidRPr="00580A15">
        <w:t xml:space="preserve"> de l</w:t>
      </w:r>
      <w:r>
        <w:t>’</w:t>
      </w:r>
      <w:r w:rsidRPr="00580A15">
        <w:t>article 7 (</w:t>
      </w:r>
      <w:r>
        <w:t xml:space="preserve">al. </w:t>
      </w:r>
      <w:r w:rsidRPr="00580A15">
        <w:t>c)</w:t>
      </w:r>
      <w:r>
        <w:t>)</w:t>
      </w:r>
      <w:r w:rsidRPr="00580A15">
        <w:t xml:space="preserve"> du Protocole facultatif.</w:t>
      </w:r>
    </w:p>
    <w:p w14:paraId="4064B181" w14:textId="70B89FF7" w:rsidR="00434CC2" w:rsidRPr="00580A15" w:rsidRDefault="00434CC2" w:rsidP="00434CC2">
      <w:pPr>
        <w:pStyle w:val="SingleTxtG"/>
      </w:pPr>
      <w:r w:rsidRPr="00580A15">
        <w:t>10.4</w:t>
      </w:r>
      <w:r w:rsidRPr="00580A15">
        <w:tab/>
      </w:r>
      <w:r>
        <w:t xml:space="preserve">En ce qui concerne </w:t>
      </w:r>
      <w:r w:rsidRPr="00580A15">
        <w:t>l</w:t>
      </w:r>
      <w:r>
        <w:t>’</w:t>
      </w:r>
      <w:r w:rsidRPr="00580A15">
        <w:t>invocation de l</w:t>
      </w:r>
      <w:r>
        <w:t>’</w:t>
      </w:r>
      <w:r w:rsidRPr="00580A15">
        <w:t>article 4 de la Convention, le Comité rappelle que cet article énonce des obligations générales qui ne peuvent être invoquées que conjointement avec d</w:t>
      </w:r>
      <w:r>
        <w:t>’</w:t>
      </w:r>
      <w:r w:rsidRPr="00580A15">
        <w:t>autres droits garantis par la Convention dans le cadre de la procédure de présentation de communications au titre du Protocole facultatif</w:t>
      </w:r>
      <w:r>
        <w:rPr>
          <w:rStyle w:val="Appelnotedebasdep"/>
        </w:rPr>
        <w:footnoteReference w:id="19"/>
      </w:r>
      <w:r w:rsidRPr="00580A15">
        <w:t xml:space="preserve">. </w:t>
      </w:r>
      <w:r>
        <w:t>Il</w:t>
      </w:r>
      <w:r w:rsidRPr="00580A15">
        <w:t xml:space="preserve"> considère que</w:t>
      </w:r>
      <w:r>
        <w:t>,</w:t>
      </w:r>
      <w:r w:rsidRPr="00580A15">
        <w:t xml:space="preserve"> dans la présente communication, </w:t>
      </w:r>
      <w:r>
        <w:t xml:space="preserve">les griefs soulevés au titre </w:t>
      </w:r>
      <w:r w:rsidRPr="00580A15">
        <w:t xml:space="preserve">de cet article </w:t>
      </w:r>
      <w:r>
        <w:t>sont</w:t>
      </w:r>
      <w:r w:rsidRPr="00580A15">
        <w:t xml:space="preserve"> insuffisamment </w:t>
      </w:r>
      <w:r>
        <w:t>étayés</w:t>
      </w:r>
      <w:r w:rsidRPr="00580A15">
        <w:t xml:space="preserve"> aux fins de la recevabilité. En outre, </w:t>
      </w:r>
      <w:r>
        <w:t>il</w:t>
      </w:r>
      <w:r w:rsidRPr="00580A15">
        <w:t xml:space="preserve"> note qu</w:t>
      </w:r>
      <w:r>
        <w:t>’</w:t>
      </w:r>
      <w:r w:rsidRPr="00580A15">
        <w:t>aucune plainte particulière n</w:t>
      </w:r>
      <w:r>
        <w:t>’</w:t>
      </w:r>
      <w:r w:rsidRPr="00580A15">
        <w:t>a été formulée concernant la scolarisation de H.</w:t>
      </w:r>
      <w:r w:rsidR="005428FF">
        <w:t> </w:t>
      </w:r>
      <w:r w:rsidRPr="00580A15">
        <w:t>R</w:t>
      </w:r>
      <w:r>
        <w:t>.</w:t>
      </w:r>
      <w:r w:rsidRPr="00851F2F">
        <w:t xml:space="preserve"> </w:t>
      </w:r>
      <w:r w:rsidRPr="00580A15">
        <w:t>en Suisse. De même, l</w:t>
      </w:r>
      <w:r>
        <w:t>’</w:t>
      </w:r>
      <w:r w:rsidRPr="00580A15">
        <w:t xml:space="preserve">auteur </w:t>
      </w:r>
      <w:r>
        <w:t>dit</w:t>
      </w:r>
      <w:r w:rsidRPr="00580A15">
        <w:t xml:space="preserve"> brièvement </w:t>
      </w:r>
      <w:r>
        <w:t>craindre d’être renvoyé à</w:t>
      </w:r>
      <w:r w:rsidRPr="00580A15">
        <w:t xml:space="preserve"> Sri Lanka pour des raisons politiques, mais il n</w:t>
      </w:r>
      <w:r>
        <w:t>’</w:t>
      </w:r>
      <w:r w:rsidRPr="00580A15">
        <w:t xml:space="preserve">étaye pas </w:t>
      </w:r>
      <w:r>
        <w:t>ses dires</w:t>
      </w:r>
      <w:r w:rsidRPr="00580A15">
        <w:t xml:space="preserve">. Le Comité considère que ces éléments ne sont pas suffisamment </w:t>
      </w:r>
      <w:r>
        <w:t>étayés</w:t>
      </w:r>
      <w:r w:rsidRPr="00580A15">
        <w:t xml:space="preserve"> aux fins de la recevabilité </w:t>
      </w:r>
      <w:r>
        <w:t>au regard</w:t>
      </w:r>
      <w:r w:rsidRPr="00580A15">
        <w:t xml:space="preserve"> de l</w:t>
      </w:r>
      <w:r>
        <w:t>’</w:t>
      </w:r>
      <w:r w:rsidRPr="00580A15">
        <w:t>article 7 (</w:t>
      </w:r>
      <w:r>
        <w:t xml:space="preserve">al. </w:t>
      </w:r>
      <w:r w:rsidRPr="00580A15">
        <w:t>f)</w:t>
      </w:r>
      <w:r>
        <w:t>)</w:t>
      </w:r>
      <w:r w:rsidRPr="00580A15">
        <w:t xml:space="preserve"> du Protocole facultatif, et les déclare irrecevables.</w:t>
      </w:r>
    </w:p>
    <w:p w14:paraId="71FA7D33" w14:textId="79697803" w:rsidR="00434CC2" w:rsidRPr="00580A15" w:rsidRDefault="00434CC2" w:rsidP="00434CC2">
      <w:pPr>
        <w:pStyle w:val="SingleTxtG"/>
      </w:pPr>
      <w:r w:rsidRPr="00580A15">
        <w:t>10.5</w:t>
      </w:r>
      <w:r w:rsidRPr="00580A15">
        <w:tab/>
        <w:t xml:space="preserve">Le Comité considère toutefois que la communication semble soulever des questions de fond au regard de la Convention </w:t>
      </w:r>
      <w:r>
        <w:t>en ce qu’elle</w:t>
      </w:r>
      <w:r w:rsidRPr="00580A15">
        <w:t xml:space="preserve"> concerne la décision d</w:t>
      </w:r>
      <w:r>
        <w:t>’</w:t>
      </w:r>
      <w:r w:rsidRPr="00580A15">
        <w:t>expulser la famille vers Sri Lanka dans le contexte du traitement médical de G.</w:t>
      </w:r>
      <w:r w:rsidR="005428FF">
        <w:t> </w:t>
      </w:r>
      <w:r w:rsidRPr="00580A15">
        <w:t xml:space="preserve">R. </w:t>
      </w:r>
      <w:r>
        <w:t xml:space="preserve">Il </w:t>
      </w:r>
      <w:r w:rsidRPr="00580A15">
        <w:t xml:space="preserve">estime que cette partie de la communication est suffisamment </w:t>
      </w:r>
      <w:r>
        <w:t>étayée</w:t>
      </w:r>
      <w:r w:rsidRPr="00580A15">
        <w:t xml:space="preserve">, aux fins de la recevabilité, au vu des </w:t>
      </w:r>
      <w:r>
        <w:t>griefs soulevés au titre</w:t>
      </w:r>
      <w:r w:rsidRPr="00580A15">
        <w:t xml:space="preserve"> de l</w:t>
      </w:r>
      <w:r>
        <w:t>’</w:t>
      </w:r>
      <w:r w:rsidRPr="00580A15">
        <w:t>article 3 de la Convention, pour autant que l</w:t>
      </w:r>
      <w:r>
        <w:t>’</w:t>
      </w:r>
      <w:r w:rsidRPr="00580A15">
        <w:t>invocation par l</w:t>
      </w:r>
      <w:r>
        <w:t>’</w:t>
      </w:r>
      <w:r w:rsidRPr="00580A15">
        <w:t xml:space="preserve">auteur du </w:t>
      </w:r>
      <w:r>
        <w:t xml:space="preserve">droit </w:t>
      </w:r>
      <w:r w:rsidRPr="00580A15">
        <w:t>de G.</w:t>
      </w:r>
      <w:r w:rsidR="005428FF">
        <w:t> </w:t>
      </w:r>
      <w:r w:rsidRPr="00580A15">
        <w:t>R.</w:t>
      </w:r>
      <w:r w:rsidRPr="005B0641">
        <w:t xml:space="preserve"> </w:t>
      </w:r>
      <w:r>
        <w:t xml:space="preserve">au </w:t>
      </w:r>
      <w:r w:rsidRPr="00580A15">
        <w:t>développement, de son droit à la médication et du principe de non</w:t>
      </w:r>
      <w:r w:rsidR="005428FF">
        <w:noBreakHyphen/>
      </w:r>
      <w:r w:rsidRPr="00580A15">
        <w:t xml:space="preserve">refoulement </w:t>
      </w:r>
      <w:r>
        <w:t>s’entendent comme faisant référence</w:t>
      </w:r>
      <w:r w:rsidRPr="00580A15">
        <w:t>, respectivement, aux articles 6 (</w:t>
      </w:r>
      <w:r>
        <w:t>par.</w:t>
      </w:r>
      <w:r w:rsidR="005428FF">
        <w:t> </w:t>
      </w:r>
      <w:r w:rsidRPr="00580A15">
        <w:t>2)</w:t>
      </w:r>
      <w:r>
        <w:t>)</w:t>
      </w:r>
      <w:r w:rsidRPr="00580A15">
        <w:t>, 24 et 37 (</w:t>
      </w:r>
      <w:r>
        <w:t xml:space="preserve">al. </w:t>
      </w:r>
      <w:r w:rsidRPr="00580A15">
        <w:t>a)</w:t>
      </w:r>
      <w:r>
        <w:t>)</w:t>
      </w:r>
      <w:r w:rsidRPr="00580A15">
        <w:t xml:space="preserve"> de la Convention.</w:t>
      </w:r>
    </w:p>
    <w:p w14:paraId="31A1F77A" w14:textId="0A5C8E44" w:rsidR="00434CC2" w:rsidRPr="00580A15" w:rsidRDefault="00434CC2" w:rsidP="00434CC2">
      <w:pPr>
        <w:pStyle w:val="SingleTxtG"/>
      </w:pPr>
      <w:r w:rsidRPr="00580A15">
        <w:t>10.6</w:t>
      </w:r>
      <w:r w:rsidRPr="00580A15">
        <w:tab/>
        <w:t>Le Comité prend note également de l</w:t>
      </w:r>
      <w:r>
        <w:t>’</w:t>
      </w:r>
      <w:r w:rsidRPr="00580A15">
        <w:t>argument de l</w:t>
      </w:r>
      <w:r>
        <w:t>’</w:t>
      </w:r>
      <w:r w:rsidRPr="00580A15">
        <w:t xml:space="preserve">État partie selon lequel </w:t>
      </w:r>
      <w:r w:rsidRPr="00580A15">
        <w:rPr>
          <w:lang w:val="fr-FR"/>
        </w:rPr>
        <w:t>les articles</w:t>
      </w:r>
      <w:r w:rsidR="005428FF">
        <w:rPr>
          <w:lang w:val="fr-FR"/>
        </w:rPr>
        <w:t> </w:t>
      </w:r>
      <w:r w:rsidRPr="00580A15">
        <w:rPr>
          <w:lang w:val="fr-FR"/>
        </w:rPr>
        <w:t xml:space="preserve">3 et 4 de la Convention ne fondent aucun droit subjectif </w:t>
      </w:r>
      <w:r w:rsidRPr="00580A15">
        <w:t xml:space="preserve">dont la violation peut être </w:t>
      </w:r>
      <w:r>
        <w:t>dénoncée</w:t>
      </w:r>
      <w:r w:rsidRPr="00580A15">
        <w:t xml:space="preserve"> devant le Comité. À cet égard, </w:t>
      </w:r>
      <w:r>
        <w:t>il</w:t>
      </w:r>
      <w:r w:rsidRPr="00580A15">
        <w:t xml:space="preserve"> rappelle que l</w:t>
      </w:r>
      <w:r>
        <w:t>’</w:t>
      </w:r>
      <w:r w:rsidRPr="00580A15">
        <w:t>intérêt supérieur de l</w:t>
      </w:r>
      <w:r>
        <w:t>’</w:t>
      </w:r>
      <w:r w:rsidRPr="00580A15">
        <w:t>enfant, consacré à l</w:t>
      </w:r>
      <w:r>
        <w:t>’</w:t>
      </w:r>
      <w:r w:rsidRPr="00580A15">
        <w:t xml:space="preserve">article 3 de la Convention, </w:t>
      </w:r>
      <w:r>
        <w:t>est</w:t>
      </w:r>
      <w:r w:rsidRPr="00580A15">
        <w:t xml:space="preserve"> un triple concept qui est à la fois un droit de fond, un principe interprétatif et une règle de procédure.</w:t>
      </w:r>
      <w:r w:rsidRPr="00580A15">
        <w:rPr>
          <w:sz w:val="18"/>
          <w:vertAlign w:val="superscript"/>
        </w:rPr>
        <w:t xml:space="preserve"> </w:t>
      </w:r>
      <w:r>
        <w:t>Il</w:t>
      </w:r>
      <w:r w:rsidRPr="00580A15">
        <w:t xml:space="preserve"> note qu</w:t>
      </w:r>
      <w:r>
        <w:t>’</w:t>
      </w:r>
      <w:r w:rsidRPr="00580A15">
        <w:t>aux termes de l</w:t>
      </w:r>
      <w:r>
        <w:t>’</w:t>
      </w:r>
      <w:r w:rsidRPr="00580A15">
        <w:t xml:space="preserve">article 5 </w:t>
      </w:r>
      <w:r>
        <w:t>(par.</w:t>
      </w:r>
      <w:r w:rsidR="005428FF">
        <w:t> </w:t>
      </w:r>
      <w:r w:rsidRPr="00580A15">
        <w:t>1</w:t>
      </w:r>
      <w:r w:rsidR="005428FF">
        <w:t> </w:t>
      </w:r>
      <w:r w:rsidRPr="00580A15">
        <w:t>a)</w:t>
      </w:r>
      <w:r>
        <w:t>)</w:t>
      </w:r>
      <w:r w:rsidRPr="00580A15">
        <w:t xml:space="preserve"> du Protocole facultatif, </w:t>
      </w:r>
      <w:r>
        <w:t>des</w:t>
      </w:r>
      <w:r w:rsidRPr="00580A15">
        <w:t xml:space="preserve"> communications peuvent être présentées contre un État partie à la </w:t>
      </w:r>
      <w:r w:rsidRPr="002B027E">
        <w:t>Convention par des particuliers ou des groupes de particuliers ou au nom de particuliers ou de groupes de particuliers qui</w:t>
      </w:r>
      <w:r w:rsidRPr="00580A15">
        <w:t xml:space="preserve"> affirment être victimes d</w:t>
      </w:r>
      <w:r>
        <w:t>’</w:t>
      </w:r>
      <w:r w:rsidRPr="00580A15">
        <w:t>une violation par cet État partie de l</w:t>
      </w:r>
      <w:r>
        <w:t>’</w:t>
      </w:r>
      <w:r w:rsidRPr="00580A15">
        <w:t>un quelconque des droits énoncés dans la Convention. De ce fait, le Comité estime que rien dans l</w:t>
      </w:r>
      <w:r>
        <w:t>’</w:t>
      </w:r>
      <w:r w:rsidRPr="00580A15">
        <w:t xml:space="preserve">article 5 </w:t>
      </w:r>
      <w:r>
        <w:t>(par.</w:t>
      </w:r>
      <w:r w:rsidRPr="00580A15">
        <w:t xml:space="preserve"> 1 a)</w:t>
      </w:r>
      <w:r>
        <w:t>)</w:t>
      </w:r>
      <w:r w:rsidRPr="00580A15">
        <w:t xml:space="preserve"> du Protocole facultatif ne permet de conclure à une approche limitée </w:t>
      </w:r>
      <w:r>
        <w:t>des</w:t>
      </w:r>
      <w:r w:rsidRPr="00580A15">
        <w:t xml:space="preserve"> droits dont la violation peut être </w:t>
      </w:r>
      <w:r>
        <w:t>dénoncée</w:t>
      </w:r>
      <w:r w:rsidRPr="00580A15">
        <w:t xml:space="preserve"> </w:t>
      </w:r>
      <w:r>
        <w:t>dans le cadre de la procédure de présentation de communications</w:t>
      </w:r>
      <w:r w:rsidRPr="00580A15">
        <w:t xml:space="preserve">. </w:t>
      </w:r>
      <w:r>
        <w:t>Il</w:t>
      </w:r>
      <w:r w:rsidRPr="00580A15">
        <w:t xml:space="preserve"> rappelle qu</w:t>
      </w:r>
      <w:r>
        <w:t>’</w:t>
      </w:r>
      <w:r w:rsidRPr="00580A15">
        <w:t>il a</w:t>
      </w:r>
      <w:r>
        <w:t xml:space="preserve"> déjà</w:t>
      </w:r>
      <w:r w:rsidRPr="00580A15">
        <w:t xml:space="preserve"> eu l</w:t>
      </w:r>
      <w:r>
        <w:t>’</w:t>
      </w:r>
      <w:r w:rsidRPr="00580A15">
        <w:t xml:space="preserve">occasion de se prononcer sur des violations </w:t>
      </w:r>
      <w:r>
        <w:t>alléguées de l’</w:t>
      </w:r>
      <w:r w:rsidRPr="00580A15">
        <w:t xml:space="preserve">article 3 de la Convention dans le cadre </w:t>
      </w:r>
      <w:r>
        <w:t>de ce</w:t>
      </w:r>
      <w:r w:rsidRPr="00580A15">
        <w:t xml:space="preserve"> mécanisme</w:t>
      </w:r>
      <w:r>
        <w:rPr>
          <w:rStyle w:val="Appelnotedebasdep"/>
        </w:rPr>
        <w:footnoteReference w:id="20"/>
      </w:r>
      <w:r w:rsidRPr="00580A15">
        <w:t xml:space="preserve">. </w:t>
      </w:r>
      <w:r>
        <w:t>Par conséquent, il</w:t>
      </w:r>
      <w:r w:rsidRPr="00580A15">
        <w:t xml:space="preserve"> déclare la communication recevable dans la mesure où elle est suffisamment </w:t>
      </w:r>
      <w:r>
        <w:t>étayée</w:t>
      </w:r>
      <w:r w:rsidRPr="00580A15">
        <w:t xml:space="preserve">, et </w:t>
      </w:r>
      <w:r>
        <w:t>passe à son examen au</w:t>
      </w:r>
      <w:r w:rsidRPr="00580A15">
        <w:t xml:space="preserve"> fond.</w:t>
      </w:r>
    </w:p>
    <w:p w14:paraId="2D9FD72B" w14:textId="77777777" w:rsidR="00434CC2" w:rsidRPr="00580A15" w:rsidRDefault="00434CC2" w:rsidP="00434CC2">
      <w:pPr>
        <w:pStyle w:val="H4G"/>
        <w:rPr>
          <w:lang w:val="fr-FR"/>
        </w:rPr>
      </w:pPr>
      <w:r>
        <w:rPr>
          <w:lang w:val="fr-FR"/>
        </w:rPr>
        <w:tab/>
      </w:r>
      <w:r>
        <w:rPr>
          <w:lang w:val="fr-FR"/>
        </w:rPr>
        <w:tab/>
      </w:r>
      <w:r w:rsidRPr="00580A15">
        <w:rPr>
          <w:lang w:val="fr-FR"/>
        </w:rPr>
        <w:t>Examen au fond</w:t>
      </w:r>
    </w:p>
    <w:p w14:paraId="680E49E9" w14:textId="2E9F2A18" w:rsidR="00434CC2" w:rsidRPr="00580A15" w:rsidRDefault="00434CC2" w:rsidP="00434CC2">
      <w:pPr>
        <w:pStyle w:val="SingleTxtG"/>
        <w:rPr>
          <w:lang w:val="fr-FR" w:eastAsia="en-GB"/>
        </w:rPr>
      </w:pPr>
      <w:r w:rsidRPr="00580A15">
        <w:rPr>
          <w:lang w:val="fr-FR" w:eastAsia="en-GB"/>
        </w:rPr>
        <w:t>11.1</w:t>
      </w:r>
      <w:r w:rsidRPr="00580A15">
        <w:rPr>
          <w:lang w:val="fr-FR" w:eastAsia="en-GB"/>
        </w:rPr>
        <w:tab/>
        <w:t>Conformément</w:t>
      </w:r>
      <w:r>
        <w:rPr>
          <w:lang w:val="fr-FR" w:eastAsia="en-GB"/>
        </w:rPr>
        <w:t xml:space="preserve"> à</w:t>
      </w:r>
      <w:r w:rsidRPr="00580A15">
        <w:rPr>
          <w:lang w:val="fr-FR" w:eastAsia="en-GB"/>
        </w:rPr>
        <w:t xml:space="preserve"> l</w:t>
      </w:r>
      <w:r>
        <w:rPr>
          <w:lang w:val="fr-FR" w:eastAsia="en-GB"/>
        </w:rPr>
        <w:t>’</w:t>
      </w:r>
      <w:r w:rsidRPr="00580A15">
        <w:rPr>
          <w:lang w:val="fr-FR" w:eastAsia="en-GB"/>
        </w:rPr>
        <w:t xml:space="preserve">article 10 </w:t>
      </w:r>
      <w:r>
        <w:rPr>
          <w:lang w:val="fr-FR" w:eastAsia="en-GB"/>
        </w:rPr>
        <w:t xml:space="preserve">(par. </w:t>
      </w:r>
      <w:r w:rsidRPr="00580A15">
        <w:rPr>
          <w:lang w:val="fr-FR" w:eastAsia="en-GB"/>
        </w:rPr>
        <w:t>1</w:t>
      </w:r>
      <w:r>
        <w:rPr>
          <w:lang w:val="fr-FR" w:eastAsia="en-GB"/>
        </w:rPr>
        <w:t>)</w:t>
      </w:r>
      <w:r w:rsidRPr="00580A15">
        <w:rPr>
          <w:lang w:val="fr-FR" w:eastAsia="en-GB"/>
        </w:rPr>
        <w:t xml:space="preserve"> du Protocole facultatif, le Comité a examiné la présente communication en tenant compte de toutes les informations que lui ont communiquées les parties.</w:t>
      </w:r>
    </w:p>
    <w:p w14:paraId="07365FD1" w14:textId="66756696" w:rsidR="00434CC2" w:rsidRPr="00580A15" w:rsidRDefault="00434CC2" w:rsidP="00434CC2">
      <w:pPr>
        <w:pStyle w:val="SingleTxtG"/>
        <w:rPr>
          <w:lang w:val="fr-FR"/>
        </w:rPr>
      </w:pPr>
      <w:r w:rsidRPr="00580A15">
        <w:rPr>
          <w:lang w:val="fr-FR"/>
        </w:rPr>
        <w:t>11.2</w:t>
      </w:r>
      <w:r w:rsidRPr="00580A15">
        <w:rPr>
          <w:lang w:val="fr-FR"/>
        </w:rPr>
        <w:tab/>
        <w:t xml:space="preserve">Le Comité </w:t>
      </w:r>
      <w:r>
        <w:rPr>
          <w:lang w:val="fr-FR"/>
        </w:rPr>
        <w:t>prend note de</w:t>
      </w:r>
      <w:r w:rsidRPr="00580A15">
        <w:rPr>
          <w:lang w:val="fr-FR"/>
        </w:rPr>
        <w:t xml:space="preserve"> l</w:t>
      </w:r>
      <w:r>
        <w:rPr>
          <w:lang w:val="fr-FR"/>
        </w:rPr>
        <w:t>’</w:t>
      </w:r>
      <w:r w:rsidRPr="00580A15">
        <w:rPr>
          <w:lang w:val="fr-FR"/>
        </w:rPr>
        <w:t>argument de l</w:t>
      </w:r>
      <w:r>
        <w:rPr>
          <w:lang w:val="fr-FR"/>
        </w:rPr>
        <w:t>’</w:t>
      </w:r>
      <w:r w:rsidRPr="00580A15">
        <w:rPr>
          <w:lang w:val="fr-FR"/>
        </w:rPr>
        <w:t xml:space="preserve">auteur selon lequel la décision de renvoyer sa famille </w:t>
      </w:r>
      <w:r>
        <w:rPr>
          <w:lang w:val="fr-FR"/>
        </w:rPr>
        <w:t>à</w:t>
      </w:r>
      <w:r w:rsidRPr="00580A15">
        <w:rPr>
          <w:lang w:val="fr-FR"/>
        </w:rPr>
        <w:t xml:space="preserve"> Sri Lanka constitue une violation du principe de non-refoulement parce que G.</w:t>
      </w:r>
      <w:r w:rsidR="005428FF">
        <w:rPr>
          <w:lang w:val="fr-FR"/>
        </w:rPr>
        <w:t> </w:t>
      </w:r>
      <w:r w:rsidRPr="00580A15">
        <w:rPr>
          <w:lang w:val="fr-FR"/>
        </w:rPr>
        <w:t>R. ne pourra</w:t>
      </w:r>
      <w:r>
        <w:rPr>
          <w:lang w:val="fr-FR"/>
        </w:rPr>
        <w:t xml:space="preserve"> pas bénéficier d’un</w:t>
      </w:r>
      <w:r w:rsidRPr="00580A15">
        <w:rPr>
          <w:lang w:val="fr-FR"/>
        </w:rPr>
        <w:t xml:space="preserve"> traitement </w:t>
      </w:r>
      <w:r>
        <w:rPr>
          <w:lang w:val="fr-FR"/>
        </w:rPr>
        <w:t>pour</w:t>
      </w:r>
      <w:r w:rsidRPr="00580A15">
        <w:rPr>
          <w:lang w:val="fr-FR"/>
        </w:rPr>
        <w:t xml:space="preserve"> l</w:t>
      </w:r>
      <w:r>
        <w:rPr>
          <w:lang w:val="fr-FR"/>
        </w:rPr>
        <w:t>’</w:t>
      </w:r>
      <w:r w:rsidRPr="00580A15">
        <w:rPr>
          <w:lang w:val="fr-FR"/>
        </w:rPr>
        <w:t xml:space="preserve">hypothyroïdie congénitale, </w:t>
      </w:r>
      <w:r>
        <w:rPr>
          <w:lang w:val="fr-FR"/>
        </w:rPr>
        <w:t>ce</w:t>
      </w:r>
      <w:r w:rsidRPr="00580A15">
        <w:rPr>
          <w:lang w:val="fr-FR"/>
        </w:rPr>
        <w:t xml:space="preserve"> qui n</w:t>
      </w:r>
      <w:r>
        <w:rPr>
          <w:lang w:val="fr-FR"/>
        </w:rPr>
        <w:t>’</w:t>
      </w:r>
      <w:r w:rsidRPr="00580A15">
        <w:rPr>
          <w:lang w:val="fr-FR"/>
        </w:rPr>
        <w:t>aurait</w:t>
      </w:r>
      <w:r>
        <w:rPr>
          <w:lang w:val="fr-FR"/>
        </w:rPr>
        <w:t xml:space="preserve"> pas</w:t>
      </w:r>
      <w:r w:rsidRPr="00580A15">
        <w:rPr>
          <w:lang w:val="fr-FR"/>
        </w:rPr>
        <w:t xml:space="preserve"> été dûment pris en compte par le </w:t>
      </w:r>
      <w:r>
        <w:rPr>
          <w:lang w:val="fr-FR"/>
        </w:rPr>
        <w:t>Secrétariat d’État aux migrations</w:t>
      </w:r>
      <w:r w:rsidRPr="00580A15">
        <w:rPr>
          <w:lang w:val="fr-FR"/>
        </w:rPr>
        <w:t>. Il note également que l</w:t>
      </w:r>
      <w:r>
        <w:rPr>
          <w:lang w:val="fr-FR"/>
        </w:rPr>
        <w:t>’</w:t>
      </w:r>
      <w:r w:rsidRPr="00580A15">
        <w:rPr>
          <w:lang w:val="fr-FR"/>
        </w:rPr>
        <w:t>État partie fait valoir que l</w:t>
      </w:r>
      <w:r>
        <w:rPr>
          <w:lang w:val="fr-FR"/>
        </w:rPr>
        <w:t>’</w:t>
      </w:r>
      <w:r w:rsidRPr="00580A15">
        <w:rPr>
          <w:lang w:val="fr-FR"/>
        </w:rPr>
        <w:t xml:space="preserve">hypothyroïdie est une maladie </w:t>
      </w:r>
      <w:r>
        <w:rPr>
          <w:lang w:val="fr-FR"/>
        </w:rPr>
        <w:t>courante</w:t>
      </w:r>
      <w:r w:rsidRPr="00580A15">
        <w:rPr>
          <w:lang w:val="fr-FR"/>
        </w:rPr>
        <w:t>, que, selon les informations disponibles, le traitement de l</w:t>
      </w:r>
      <w:r>
        <w:rPr>
          <w:lang w:val="fr-FR"/>
        </w:rPr>
        <w:t>’</w:t>
      </w:r>
      <w:r w:rsidRPr="00580A15">
        <w:rPr>
          <w:lang w:val="fr-FR"/>
        </w:rPr>
        <w:t xml:space="preserve">hypothyroïdie est disponible </w:t>
      </w:r>
      <w:r>
        <w:rPr>
          <w:lang w:val="fr-FR"/>
        </w:rPr>
        <w:t>à</w:t>
      </w:r>
      <w:r w:rsidRPr="00580A15">
        <w:rPr>
          <w:lang w:val="fr-FR"/>
        </w:rPr>
        <w:t xml:space="preserve"> Sri Lanka et que l</w:t>
      </w:r>
      <w:r>
        <w:rPr>
          <w:lang w:val="fr-FR"/>
        </w:rPr>
        <w:t>’</w:t>
      </w:r>
      <w:r w:rsidRPr="00580A15">
        <w:rPr>
          <w:lang w:val="fr-FR"/>
        </w:rPr>
        <w:t xml:space="preserve">auteur pourra subvenir aux besoins de sa famille </w:t>
      </w:r>
      <w:r>
        <w:rPr>
          <w:lang w:val="fr-FR"/>
        </w:rPr>
        <w:t>en exerçant</w:t>
      </w:r>
      <w:r w:rsidRPr="00580A15">
        <w:rPr>
          <w:lang w:val="fr-FR"/>
        </w:rPr>
        <w:t xml:space="preserve"> une activité rémunérée et</w:t>
      </w:r>
      <w:r>
        <w:rPr>
          <w:lang w:val="fr-FR"/>
        </w:rPr>
        <w:t>, possiblement, grâce à l’</w:t>
      </w:r>
      <w:r w:rsidRPr="00580A15">
        <w:rPr>
          <w:lang w:val="fr-FR"/>
        </w:rPr>
        <w:t>aide financière ou matérielle</w:t>
      </w:r>
      <w:r>
        <w:rPr>
          <w:lang w:val="fr-FR"/>
        </w:rPr>
        <w:t xml:space="preserve"> dont il pourrait bénéficier</w:t>
      </w:r>
      <w:r w:rsidRPr="00580A15">
        <w:rPr>
          <w:lang w:val="fr-FR"/>
        </w:rPr>
        <w:t>. De plus, l</w:t>
      </w:r>
      <w:r>
        <w:rPr>
          <w:lang w:val="fr-FR"/>
        </w:rPr>
        <w:t>’</w:t>
      </w:r>
      <w:r w:rsidRPr="00580A15">
        <w:rPr>
          <w:lang w:val="fr-FR"/>
        </w:rPr>
        <w:t>auteur ne démontre pas, selon l</w:t>
      </w:r>
      <w:r>
        <w:rPr>
          <w:lang w:val="fr-FR"/>
        </w:rPr>
        <w:t>’</w:t>
      </w:r>
      <w:r w:rsidRPr="00580A15">
        <w:rPr>
          <w:lang w:val="fr-FR"/>
        </w:rPr>
        <w:t>État partie, qu</w:t>
      </w:r>
      <w:r>
        <w:rPr>
          <w:lang w:val="fr-FR"/>
        </w:rPr>
        <w:t>’</w:t>
      </w:r>
      <w:r w:rsidRPr="00580A15">
        <w:rPr>
          <w:lang w:val="fr-FR"/>
        </w:rPr>
        <w:t>il ne serait pas possible pour G.</w:t>
      </w:r>
      <w:r w:rsidR="005428FF">
        <w:rPr>
          <w:lang w:val="fr-FR"/>
        </w:rPr>
        <w:t> </w:t>
      </w:r>
      <w:r w:rsidRPr="00580A15">
        <w:rPr>
          <w:lang w:val="fr-FR"/>
        </w:rPr>
        <w:t xml:space="preserve">R. </w:t>
      </w:r>
      <w:r>
        <w:rPr>
          <w:lang w:val="fr-FR"/>
        </w:rPr>
        <w:t>d’être traité à Sri Lanka</w:t>
      </w:r>
      <w:r w:rsidRPr="00580A15">
        <w:rPr>
          <w:lang w:val="fr-FR"/>
        </w:rPr>
        <w:t>.</w:t>
      </w:r>
    </w:p>
    <w:p w14:paraId="4C06852E" w14:textId="4218E539" w:rsidR="00434CC2" w:rsidRPr="00580A15" w:rsidRDefault="00434CC2" w:rsidP="00434CC2">
      <w:pPr>
        <w:pStyle w:val="SingleTxtG"/>
      </w:pPr>
      <w:r w:rsidRPr="00580A15">
        <w:t>11.3</w:t>
      </w:r>
      <w:r w:rsidRPr="00580A15">
        <w:tab/>
        <w:t xml:space="preserve">Le Comité rappelle que les États sont tenus de ne pas renvoyer un enfant dans un pays </w:t>
      </w:r>
      <w:r>
        <w:t xml:space="preserve">où </w:t>
      </w:r>
      <w:r w:rsidRPr="00580A15">
        <w:t xml:space="preserve">il y a des motifs sérieux de croire que cet enfant sera exposé à un risque réel de dommage irréparable, comme ceux, </w:t>
      </w:r>
      <w:r>
        <w:t>entre autres</w:t>
      </w:r>
      <w:r w:rsidRPr="00580A15">
        <w:t xml:space="preserve">, envisagés </w:t>
      </w:r>
      <w:r>
        <w:t>aux</w:t>
      </w:r>
      <w:r w:rsidRPr="00580A15">
        <w:t xml:space="preserve"> articles 6 et 37 de la Convention. Le risque de violation grave devrait être apprécié eu égard à l</w:t>
      </w:r>
      <w:r>
        <w:t>’</w:t>
      </w:r>
      <w:r w:rsidRPr="00580A15">
        <w:t>âge et au sexe de l</w:t>
      </w:r>
      <w:r>
        <w:t>’</w:t>
      </w:r>
      <w:r w:rsidRPr="00580A15">
        <w:t xml:space="preserve">intéressé, par exemple compte </w:t>
      </w:r>
      <w:r>
        <w:t xml:space="preserve">tenu </w:t>
      </w:r>
      <w:r w:rsidRPr="00580A15">
        <w:t>des conséquences particulièrement graves pour les enfants d</w:t>
      </w:r>
      <w:r>
        <w:t>’</w:t>
      </w:r>
      <w:r w:rsidRPr="00580A15">
        <w:t>une alimentation insuffisante ou d</w:t>
      </w:r>
      <w:r>
        <w:t>’</w:t>
      </w:r>
      <w:r w:rsidRPr="00580A15">
        <w:t>une carence des services de santé</w:t>
      </w:r>
      <w:r>
        <w:rPr>
          <w:rStyle w:val="Appelnotedebasdep"/>
        </w:rPr>
        <w:footnoteReference w:id="21"/>
      </w:r>
      <w:r w:rsidRPr="00580A15">
        <w:t>. Le risque de violation grave devrait être évalué conformément au principe de précaution et</w:t>
      </w:r>
      <w:r>
        <w:t>,</w:t>
      </w:r>
      <w:r w:rsidRPr="00580A15">
        <w:t xml:space="preserve"> lorsqu</w:t>
      </w:r>
      <w:r>
        <w:t>’</w:t>
      </w:r>
      <w:r w:rsidRPr="00580A15">
        <w:t xml:space="preserve">il existe des doutes raisonnables quant </w:t>
      </w:r>
      <w:r>
        <w:t>à la protection que</w:t>
      </w:r>
      <w:r w:rsidRPr="00580A15">
        <w:t xml:space="preserve"> l</w:t>
      </w:r>
      <w:r>
        <w:t>’</w:t>
      </w:r>
      <w:r w:rsidRPr="00580A15">
        <w:t xml:space="preserve">État de destination </w:t>
      </w:r>
      <w:r>
        <w:t>peut assurer à</w:t>
      </w:r>
      <w:r w:rsidRPr="00580A15">
        <w:t xml:space="preserve"> l</w:t>
      </w:r>
      <w:r>
        <w:t>’</w:t>
      </w:r>
      <w:r w:rsidRPr="00580A15">
        <w:t>enfant contre ce risque, les États parties devraient s</w:t>
      </w:r>
      <w:r>
        <w:t>’</w:t>
      </w:r>
      <w:r w:rsidRPr="00580A15">
        <w:t>abstenir d</w:t>
      </w:r>
      <w:r>
        <w:t>’</w:t>
      </w:r>
      <w:r w:rsidRPr="00580A15">
        <w:t>expulser l</w:t>
      </w:r>
      <w:r>
        <w:t>’</w:t>
      </w:r>
      <w:r w:rsidRPr="00580A15">
        <w:t>enfant</w:t>
      </w:r>
      <w:r>
        <w:rPr>
          <w:rStyle w:val="Appelnotedebasdep"/>
        </w:rPr>
        <w:footnoteReference w:id="22"/>
      </w:r>
      <w:r w:rsidRPr="00580A15">
        <w:t>. L</w:t>
      </w:r>
      <w:r>
        <w:t>’</w:t>
      </w:r>
      <w:r w:rsidRPr="00580A15">
        <w:t>intérêt supérieur de l</w:t>
      </w:r>
      <w:r>
        <w:t>’</w:t>
      </w:r>
      <w:r w:rsidRPr="00580A15">
        <w:t>enfant devrait être une considération primordiale dans les décisions concernant l</w:t>
      </w:r>
      <w:r>
        <w:t>’</w:t>
      </w:r>
      <w:r w:rsidRPr="00580A15">
        <w:t>expulsion d</w:t>
      </w:r>
      <w:r>
        <w:t>’</w:t>
      </w:r>
      <w:r w:rsidRPr="00580A15">
        <w:t>un enfant et ces décisions devraient donner l</w:t>
      </w:r>
      <w:r>
        <w:t>’</w:t>
      </w:r>
      <w:r w:rsidRPr="00580A15">
        <w:t>assurance − selon une procédure prévoyant des garanties appropriées − que l</w:t>
      </w:r>
      <w:r>
        <w:t>’</w:t>
      </w:r>
      <w:r w:rsidRPr="00580A15">
        <w:t>enfant sera en sécurité, sera correctement pris en charge et jouira de ses droits.</w:t>
      </w:r>
    </w:p>
    <w:p w14:paraId="31300EA7" w14:textId="1EE435C0" w:rsidR="00434CC2" w:rsidRDefault="00434CC2" w:rsidP="00434CC2">
      <w:pPr>
        <w:pStyle w:val="SingleTxtG"/>
        <w:rPr>
          <w:lang w:val="fr-FR"/>
        </w:rPr>
      </w:pPr>
      <w:r w:rsidRPr="00580A15">
        <w:rPr>
          <w:lang w:val="fr-FR"/>
        </w:rPr>
        <w:t>11.4</w:t>
      </w:r>
      <w:r w:rsidRPr="00580A15">
        <w:rPr>
          <w:lang w:val="fr-FR"/>
        </w:rPr>
        <w:tab/>
        <w:t>Le Comité rappelle également qu</w:t>
      </w:r>
      <w:r>
        <w:rPr>
          <w:lang w:val="fr-FR"/>
        </w:rPr>
        <w:t>’</w:t>
      </w:r>
      <w:r w:rsidRPr="00580A15">
        <w:rPr>
          <w:lang w:val="fr-FR"/>
        </w:rPr>
        <w:t>il appartient aux autorités nationales d</w:t>
      </w:r>
      <w:r>
        <w:rPr>
          <w:lang w:val="fr-FR"/>
        </w:rPr>
        <w:t>’</w:t>
      </w:r>
      <w:r w:rsidRPr="00580A15">
        <w:rPr>
          <w:lang w:val="fr-FR"/>
        </w:rPr>
        <w:t>examiner les faits et les éléments de preuve, ainsi que d</w:t>
      </w:r>
      <w:r>
        <w:rPr>
          <w:lang w:val="fr-FR"/>
        </w:rPr>
        <w:t>’</w:t>
      </w:r>
      <w:r w:rsidRPr="00580A15">
        <w:rPr>
          <w:lang w:val="fr-FR"/>
        </w:rPr>
        <w:t>interpréter et d</w:t>
      </w:r>
      <w:r>
        <w:rPr>
          <w:lang w:val="fr-FR"/>
        </w:rPr>
        <w:t>’</w:t>
      </w:r>
      <w:r w:rsidRPr="00580A15">
        <w:rPr>
          <w:lang w:val="fr-FR"/>
        </w:rPr>
        <w:t>appliquer la loi nationale, à moins que l</w:t>
      </w:r>
      <w:r>
        <w:rPr>
          <w:lang w:val="fr-FR"/>
        </w:rPr>
        <w:t>’</w:t>
      </w:r>
      <w:r w:rsidRPr="00580A15">
        <w:rPr>
          <w:lang w:val="fr-FR"/>
        </w:rPr>
        <w:t>appréciation faite par ces autorités ait été manifestement arbitraire ou ait constitué un déni de justice. Il n</w:t>
      </w:r>
      <w:r>
        <w:rPr>
          <w:lang w:val="fr-FR"/>
        </w:rPr>
        <w:t>’</w:t>
      </w:r>
      <w:r w:rsidRPr="00580A15">
        <w:rPr>
          <w:lang w:val="fr-FR"/>
        </w:rPr>
        <w:t>appartient donc pas au Comité de se substituer aux autorités nationales dans l</w:t>
      </w:r>
      <w:r>
        <w:rPr>
          <w:lang w:val="fr-FR"/>
        </w:rPr>
        <w:t>’</w:t>
      </w:r>
      <w:r w:rsidRPr="00580A15">
        <w:rPr>
          <w:lang w:val="fr-FR"/>
        </w:rPr>
        <w:t>interprétation de la loi nationale et l</w:t>
      </w:r>
      <w:r>
        <w:rPr>
          <w:lang w:val="fr-FR"/>
        </w:rPr>
        <w:t>’</w:t>
      </w:r>
      <w:r w:rsidRPr="00580A15">
        <w:rPr>
          <w:lang w:val="fr-FR"/>
        </w:rPr>
        <w:t>appréciation des faits et des preuves, mais de vérifier l</w:t>
      </w:r>
      <w:r>
        <w:rPr>
          <w:lang w:val="fr-FR"/>
        </w:rPr>
        <w:t>’</w:t>
      </w:r>
      <w:r w:rsidRPr="00580A15">
        <w:rPr>
          <w:lang w:val="fr-FR"/>
        </w:rPr>
        <w:t>absence de caractère arbitraire ou de déni de justice dans l</w:t>
      </w:r>
      <w:r>
        <w:rPr>
          <w:lang w:val="fr-FR"/>
        </w:rPr>
        <w:t>’</w:t>
      </w:r>
      <w:r w:rsidRPr="00580A15">
        <w:rPr>
          <w:lang w:val="fr-FR"/>
        </w:rPr>
        <w:t>appréciation des autorités, et de s</w:t>
      </w:r>
      <w:r>
        <w:rPr>
          <w:lang w:val="fr-FR"/>
        </w:rPr>
        <w:t>’</w:t>
      </w:r>
      <w:r w:rsidRPr="00580A15">
        <w:rPr>
          <w:lang w:val="fr-FR"/>
        </w:rPr>
        <w:t>assurer que l</w:t>
      </w:r>
      <w:r>
        <w:rPr>
          <w:lang w:val="fr-FR"/>
        </w:rPr>
        <w:t>’</w:t>
      </w:r>
      <w:r w:rsidRPr="00580A15">
        <w:rPr>
          <w:lang w:val="fr-FR"/>
        </w:rPr>
        <w:t xml:space="preserve">intérêt supérieur </w:t>
      </w:r>
      <w:r>
        <w:rPr>
          <w:lang w:val="fr-FR"/>
        </w:rPr>
        <w:t>de l’enfant</w:t>
      </w:r>
      <w:r w:rsidRPr="00580A15">
        <w:rPr>
          <w:lang w:val="fr-FR"/>
        </w:rPr>
        <w:t xml:space="preserve"> </w:t>
      </w:r>
      <w:r>
        <w:rPr>
          <w:lang w:val="fr-FR"/>
        </w:rPr>
        <w:t>a</w:t>
      </w:r>
      <w:r w:rsidRPr="00580A15">
        <w:rPr>
          <w:lang w:val="fr-FR"/>
        </w:rPr>
        <w:t xml:space="preserve"> été une considération primordiale dans cette appréciation</w:t>
      </w:r>
      <w:r>
        <w:rPr>
          <w:rStyle w:val="Appelnotedebasdep"/>
        </w:rPr>
        <w:footnoteReference w:id="23"/>
      </w:r>
      <w:r w:rsidRPr="00580A15">
        <w:rPr>
          <w:lang w:val="fr-FR"/>
        </w:rPr>
        <w:t>.</w:t>
      </w:r>
      <w:r w:rsidRPr="0097255C">
        <w:t xml:space="preserve"> </w:t>
      </w:r>
      <w:r>
        <w:rPr>
          <w:lang w:val="fr-FR"/>
        </w:rPr>
        <w:t>Dans le cas d’espèc</w:t>
      </w:r>
      <w:r w:rsidRPr="0097255C">
        <w:rPr>
          <w:lang w:val="fr-FR"/>
        </w:rPr>
        <w:t>e</w:t>
      </w:r>
      <w:r>
        <w:rPr>
          <w:lang w:val="fr-FR"/>
        </w:rPr>
        <w:t>, le</w:t>
      </w:r>
      <w:r w:rsidRPr="0097255C">
        <w:rPr>
          <w:lang w:val="fr-FR"/>
        </w:rPr>
        <w:t xml:space="preserve"> Comité note que</w:t>
      </w:r>
      <w:r>
        <w:rPr>
          <w:lang w:val="fr-FR"/>
        </w:rPr>
        <w:t>,</w:t>
      </w:r>
      <w:r w:rsidRPr="0097255C">
        <w:rPr>
          <w:lang w:val="fr-FR"/>
        </w:rPr>
        <w:t xml:space="preserve"> dans sa décision du </w:t>
      </w:r>
      <w:r>
        <w:rPr>
          <w:lang w:val="fr-FR"/>
        </w:rPr>
        <w:t>24</w:t>
      </w:r>
      <w:r w:rsidR="005428FF">
        <w:rPr>
          <w:lang w:val="fr-FR"/>
        </w:rPr>
        <w:t> </w:t>
      </w:r>
      <w:r>
        <w:rPr>
          <w:lang w:val="fr-FR"/>
        </w:rPr>
        <w:t>avril 2019, le Secrétariat d’État aux migrations</w:t>
      </w:r>
      <w:r w:rsidRPr="0097255C">
        <w:rPr>
          <w:lang w:val="fr-FR"/>
        </w:rPr>
        <w:t xml:space="preserve"> a examiné les circonstances particulières dans lesquelles l</w:t>
      </w:r>
      <w:r>
        <w:rPr>
          <w:lang w:val="fr-FR"/>
        </w:rPr>
        <w:t>’</w:t>
      </w:r>
      <w:r w:rsidRPr="0097255C">
        <w:rPr>
          <w:lang w:val="fr-FR"/>
        </w:rPr>
        <w:t>auteur</w:t>
      </w:r>
      <w:r>
        <w:rPr>
          <w:lang w:val="fr-FR"/>
        </w:rPr>
        <w:t xml:space="preserve"> et sa famille</w:t>
      </w:r>
      <w:r w:rsidRPr="0097255C">
        <w:rPr>
          <w:lang w:val="fr-FR"/>
        </w:rPr>
        <w:t xml:space="preserve"> devai</w:t>
      </w:r>
      <w:r>
        <w:rPr>
          <w:lang w:val="fr-FR"/>
        </w:rPr>
        <w:t>en</w:t>
      </w:r>
      <w:r w:rsidRPr="0097255C">
        <w:rPr>
          <w:lang w:val="fr-FR"/>
        </w:rPr>
        <w:t>t être renvoyé</w:t>
      </w:r>
      <w:r>
        <w:rPr>
          <w:lang w:val="fr-FR"/>
        </w:rPr>
        <w:t>s</w:t>
      </w:r>
      <w:r w:rsidRPr="0097255C">
        <w:rPr>
          <w:lang w:val="fr-FR"/>
        </w:rPr>
        <w:t xml:space="preserve"> à Colombo. À cet égard,</w:t>
      </w:r>
      <w:r>
        <w:rPr>
          <w:lang w:val="fr-FR"/>
        </w:rPr>
        <w:t xml:space="preserve"> il a relevé que Colombo</w:t>
      </w:r>
      <w:r w:rsidRPr="0097255C">
        <w:rPr>
          <w:lang w:val="fr-FR"/>
        </w:rPr>
        <w:t xml:space="preserve"> dispos</w:t>
      </w:r>
      <w:r>
        <w:rPr>
          <w:lang w:val="fr-FR"/>
        </w:rPr>
        <w:t>ait</w:t>
      </w:r>
      <w:r w:rsidRPr="0097255C">
        <w:rPr>
          <w:lang w:val="fr-FR"/>
        </w:rPr>
        <w:t xml:space="preserve"> </w:t>
      </w:r>
      <w:r>
        <w:rPr>
          <w:lang w:val="fr-FR"/>
        </w:rPr>
        <w:t>d’infrastructures médicales</w:t>
      </w:r>
      <w:r w:rsidRPr="0097255C">
        <w:rPr>
          <w:lang w:val="fr-FR"/>
        </w:rPr>
        <w:t xml:space="preserve"> suffisa</w:t>
      </w:r>
      <w:r>
        <w:rPr>
          <w:lang w:val="fr-FR"/>
        </w:rPr>
        <w:t>ntes, notamment d’</w:t>
      </w:r>
      <w:r w:rsidRPr="0097255C">
        <w:rPr>
          <w:lang w:val="fr-FR"/>
        </w:rPr>
        <w:t>hôpitaux publics et de clinique</w:t>
      </w:r>
      <w:r>
        <w:rPr>
          <w:lang w:val="fr-FR"/>
        </w:rPr>
        <w:t xml:space="preserve">s privées, pour traiter </w:t>
      </w:r>
      <w:r w:rsidRPr="0097255C">
        <w:rPr>
          <w:lang w:val="fr-FR"/>
        </w:rPr>
        <w:t>G.</w:t>
      </w:r>
      <w:r w:rsidR="005428FF">
        <w:rPr>
          <w:lang w:val="fr-FR"/>
        </w:rPr>
        <w:t> </w:t>
      </w:r>
      <w:r w:rsidRPr="0097255C">
        <w:rPr>
          <w:lang w:val="fr-FR"/>
        </w:rPr>
        <w:t>R. Le Comité considère que, compte tenu des informations figurant dans le dossier, il ne peut pas conclure que cette évaluation était manifestement arbitraire ou équivalente</w:t>
      </w:r>
      <w:r>
        <w:rPr>
          <w:lang w:val="fr-FR"/>
        </w:rPr>
        <w:t xml:space="preserve"> à un déni de justice, ou que l’</w:t>
      </w:r>
      <w:r w:rsidRPr="0097255C">
        <w:rPr>
          <w:lang w:val="fr-FR"/>
        </w:rPr>
        <w:t>intérêt supérie</w:t>
      </w:r>
      <w:r>
        <w:rPr>
          <w:lang w:val="fr-FR"/>
        </w:rPr>
        <w:t>ur de G.</w:t>
      </w:r>
      <w:r w:rsidR="005428FF">
        <w:rPr>
          <w:lang w:val="fr-FR"/>
        </w:rPr>
        <w:t> </w:t>
      </w:r>
      <w:r>
        <w:rPr>
          <w:lang w:val="fr-FR"/>
        </w:rPr>
        <w:t>R. en tant qu’enfant n’</w:t>
      </w:r>
      <w:r w:rsidRPr="0097255C">
        <w:rPr>
          <w:lang w:val="fr-FR"/>
        </w:rPr>
        <w:t>était pas une considération prim</w:t>
      </w:r>
      <w:r>
        <w:rPr>
          <w:lang w:val="fr-FR"/>
        </w:rPr>
        <w:t>ordiale dans cette évaluation.</w:t>
      </w:r>
    </w:p>
    <w:p w14:paraId="1BAEE773" w14:textId="33EECEFB" w:rsidR="00434CC2" w:rsidRPr="00580A15" w:rsidRDefault="00434CC2" w:rsidP="00434CC2">
      <w:pPr>
        <w:pStyle w:val="SingleTxtG"/>
      </w:pPr>
      <w:r w:rsidRPr="00580A15">
        <w:rPr>
          <w:lang w:val="fr-FR"/>
        </w:rPr>
        <w:t>11.5</w:t>
      </w:r>
      <w:r w:rsidRPr="00580A15">
        <w:rPr>
          <w:lang w:val="fr-FR"/>
        </w:rPr>
        <w:tab/>
      </w:r>
      <w:r>
        <w:rPr>
          <w:lang w:val="fr-FR"/>
        </w:rPr>
        <w:t>L</w:t>
      </w:r>
      <w:r w:rsidRPr="00580A15">
        <w:rPr>
          <w:lang w:val="fr-FR"/>
        </w:rPr>
        <w:t>e Comité note</w:t>
      </w:r>
      <w:r>
        <w:rPr>
          <w:lang w:val="fr-FR"/>
        </w:rPr>
        <w:t xml:space="preserve"> en outre</w:t>
      </w:r>
      <w:r w:rsidRPr="00580A15">
        <w:rPr>
          <w:lang w:val="fr-FR"/>
        </w:rPr>
        <w:t xml:space="preserve"> que, lors de l</w:t>
      </w:r>
      <w:r>
        <w:rPr>
          <w:lang w:val="fr-FR"/>
        </w:rPr>
        <w:t>’</w:t>
      </w:r>
      <w:r w:rsidRPr="00580A15">
        <w:rPr>
          <w:lang w:val="fr-FR"/>
        </w:rPr>
        <w:t>examen du risque qu</w:t>
      </w:r>
      <w:r>
        <w:rPr>
          <w:lang w:val="fr-FR"/>
        </w:rPr>
        <w:t>’</w:t>
      </w:r>
      <w:r w:rsidRPr="00580A15">
        <w:rPr>
          <w:lang w:val="fr-FR"/>
        </w:rPr>
        <w:t>encourrait G.</w:t>
      </w:r>
      <w:r w:rsidR="005428FF">
        <w:rPr>
          <w:lang w:val="fr-FR"/>
        </w:rPr>
        <w:t> </w:t>
      </w:r>
      <w:r w:rsidRPr="00580A15">
        <w:rPr>
          <w:lang w:val="fr-FR"/>
        </w:rPr>
        <w:t xml:space="preserve">R. en cas de renvoi </w:t>
      </w:r>
      <w:r>
        <w:rPr>
          <w:lang w:val="fr-FR"/>
        </w:rPr>
        <w:t>à</w:t>
      </w:r>
      <w:r w:rsidRPr="00580A15">
        <w:rPr>
          <w:lang w:val="fr-FR"/>
        </w:rPr>
        <w:t xml:space="preserve"> Sri Lanka, le </w:t>
      </w:r>
      <w:r>
        <w:rPr>
          <w:lang w:val="fr-FR"/>
        </w:rPr>
        <w:t>Secrétariat d’État aux migrations</w:t>
      </w:r>
      <w:r w:rsidRPr="00580A15">
        <w:rPr>
          <w:lang w:val="fr-FR"/>
        </w:rPr>
        <w:t xml:space="preserve"> s</w:t>
      </w:r>
      <w:r>
        <w:rPr>
          <w:lang w:val="fr-FR"/>
        </w:rPr>
        <w:t>’</w:t>
      </w:r>
      <w:r w:rsidRPr="00580A15">
        <w:rPr>
          <w:lang w:val="fr-FR"/>
        </w:rPr>
        <w:t xml:space="preserve">est </w:t>
      </w:r>
      <w:r>
        <w:rPr>
          <w:lang w:val="fr-FR"/>
        </w:rPr>
        <w:t>fondé</w:t>
      </w:r>
      <w:r w:rsidRPr="00580A15">
        <w:rPr>
          <w:lang w:val="fr-FR"/>
        </w:rPr>
        <w:t xml:space="preserve"> sur des informations qui montrent que les autorités sri-lankaises sont conscientes que l</w:t>
      </w:r>
      <w:r>
        <w:rPr>
          <w:lang w:val="fr-FR"/>
        </w:rPr>
        <w:t>’</w:t>
      </w:r>
      <w:r w:rsidRPr="00580A15">
        <w:rPr>
          <w:lang w:val="fr-FR"/>
        </w:rPr>
        <w:t xml:space="preserve">hypothyroïdie congénitale cause des </w:t>
      </w:r>
      <w:r>
        <w:rPr>
          <w:lang w:val="fr-FR"/>
        </w:rPr>
        <w:t>déficiences mentales</w:t>
      </w:r>
      <w:r w:rsidRPr="00580A15">
        <w:rPr>
          <w:lang w:val="fr-FR"/>
        </w:rPr>
        <w:t>, et qu</w:t>
      </w:r>
      <w:r>
        <w:rPr>
          <w:lang w:val="fr-FR"/>
        </w:rPr>
        <w:t>’</w:t>
      </w:r>
      <w:r w:rsidRPr="00580A15">
        <w:rPr>
          <w:lang w:val="fr-FR"/>
        </w:rPr>
        <w:t xml:space="preserve">elles ont </w:t>
      </w:r>
      <w:r>
        <w:rPr>
          <w:lang w:val="fr-FR"/>
        </w:rPr>
        <w:t>lancé</w:t>
      </w:r>
      <w:r w:rsidRPr="00580A15">
        <w:rPr>
          <w:lang w:val="fr-FR"/>
        </w:rPr>
        <w:t xml:space="preserve"> un programme national </w:t>
      </w:r>
      <w:r>
        <w:rPr>
          <w:lang w:val="fr-FR"/>
        </w:rPr>
        <w:t>de</w:t>
      </w:r>
      <w:r w:rsidRPr="00580A15">
        <w:rPr>
          <w:lang w:val="fr-FR"/>
        </w:rPr>
        <w:t xml:space="preserve"> </w:t>
      </w:r>
      <w:r>
        <w:rPr>
          <w:lang w:val="fr-FR"/>
        </w:rPr>
        <w:t>dépistage</w:t>
      </w:r>
      <w:r w:rsidRPr="00580A15">
        <w:rPr>
          <w:lang w:val="fr-FR"/>
        </w:rPr>
        <w:t xml:space="preserve"> </w:t>
      </w:r>
      <w:r>
        <w:rPr>
          <w:lang w:val="fr-FR"/>
        </w:rPr>
        <w:t>et publié</w:t>
      </w:r>
      <w:r w:rsidRPr="00580A15">
        <w:rPr>
          <w:lang w:val="fr-FR"/>
        </w:rPr>
        <w:t xml:space="preserve"> des lignes directrices pour le traitement de cette maladie. L</w:t>
      </w:r>
      <w:r>
        <w:rPr>
          <w:lang w:val="fr-FR"/>
        </w:rPr>
        <w:t>’</w:t>
      </w:r>
      <w:r w:rsidRPr="00580A15">
        <w:rPr>
          <w:lang w:val="fr-FR"/>
        </w:rPr>
        <w:t xml:space="preserve">État partie renvoie également à des informations publiées par le Ministère sri-lankais de la santé, de la nutrition et de la médecine indigène. Ces informations ne fournissent pas seulement des directives aux différentes institutions de santé </w:t>
      </w:r>
      <w:r>
        <w:rPr>
          <w:lang w:val="fr-FR"/>
        </w:rPr>
        <w:t>sri-lankaises</w:t>
      </w:r>
      <w:r w:rsidRPr="00580A15">
        <w:rPr>
          <w:lang w:val="fr-FR"/>
        </w:rPr>
        <w:t xml:space="preserve"> sur le </w:t>
      </w:r>
      <w:r>
        <w:rPr>
          <w:lang w:val="fr-FR"/>
        </w:rPr>
        <w:t>dépistage</w:t>
      </w:r>
      <w:r w:rsidRPr="00580A15">
        <w:rPr>
          <w:lang w:val="fr-FR"/>
        </w:rPr>
        <w:t xml:space="preserve"> de l</w:t>
      </w:r>
      <w:r>
        <w:rPr>
          <w:lang w:val="fr-FR"/>
        </w:rPr>
        <w:t>’</w:t>
      </w:r>
      <w:r w:rsidRPr="00580A15">
        <w:rPr>
          <w:lang w:val="fr-FR"/>
        </w:rPr>
        <w:t>hypothyroïdie congénitale, mais elles indiquent également que le traitement est simple, peu coûteux, efficace et disponible dans les systèmes de santé public et privé.</w:t>
      </w:r>
    </w:p>
    <w:p w14:paraId="1FF1E4E5" w14:textId="41382A20" w:rsidR="00434CC2" w:rsidRPr="00580A15" w:rsidRDefault="00434CC2" w:rsidP="00434CC2">
      <w:pPr>
        <w:pStyle w:val="SingleTxtG"/>
        <w:rPr>
          <w:lang w:val="fr-FR"/>
        </w:rPr>
      </w:pPr>
      <w:r w:rsidRPr="00580A15">
        <w:t>11.</w:t>
      </w:r>
      <w:r w:rsidRPr="00580A15">
        <w:rPr>
          <w:lang w:val="fr-FR"/>
        </w:rPr>
        <w:t>6</w:t>
      </w:r>
      <w:r w:rsidRPr="00580A15">
        <w:rPr>
          <w:lang w:val="fr-FR"/>
        </w:rPr>
        <w:tab/>
        <w:t>Le Comité considère que le principe du non</w:t>
      </w:r>
      <w:r w:rsidR="008E1B97">
        <w:rPr>
          <w:lang w:val="fr-FR"/>
        </w:rPr>
        <w:t>-</w:t>
      </w:r>
      <w:r w:rsidRPr="00580A15">
        <w:rPr>
          <w:lang w:val="fr-FR"/>
        </w:rPr>
        <w:t xml:space="preserve">refoulement ne confère </w:t>
      </w:r>
      <w:r>
        <w:rPr>
          <w:lang w:val="fr-FR"/>
        </w:rPr>
        <w:t xml:space="preserve">pas </w:t>
      </w:r>
      <w:r w:rsidRPr="00580A15">
        <w:rPr>
          <w:lang w:val="fr-FR"/>
        </w:rPr>
        <w:t>un droit à rester dans un pays sur la seule base d</w:t>
      </w:r>
      <w:r>
        <w:rPr>
          <w:lang w:val="fr-FR"/>
        </w:rPr>
        <w:t>’</w:t>
      </w:r>
      <w:r w:rsidRPr="00580A15">
        <w:rPr>
          <w:lang w:val="fr-FR"/>
        </w:rPr>
        <w:t xml:space="preserve">une </w:t>
      </w:r>
      <w:r>
        <w:rPr>
          <w:lang w:val="fr-FR"/>
        </w:rPr>
        <w:t xml:space="preserve">possible </w:t>
      </w:r>
      <w:r w:rsidRPr="00580A15">
        <w:rPr>
          <w:lang w:val="fr-FR"/>
        </w:rPr>
        <w:t>différence entre l</w:t>
      </w:r>
      <w:r>
        <w:rPr>
          <w:lang w:val="fr-FR"/>
        </w:rPr>
        <w:t>’</w:t>
      </w:r>
      <w:r w:rsidRPr="00580A15">
        <w:rPr>
          <w:lang w:val="fr-FR"/>
        </w:rPr>
        <w:t>État d</w:t>
      </w:r>
      <w:r>
        <w:rPr>
          <w:lang w:val="fr-FR"/>
        </w:rPr>
        <w:t>’</w:t>
      </w:r>
      <w:r w:rsidRPr="00580A15">
        <w:rPr>
          <w:lang w:val="fr-FR"/>
        </w:rPr>
        <w:t>origine et l</w:t>
      </w:r>
      <w:r>
        <w:rPr>
          <w:lang w:val="fr-FR"/>
        </w:rPr>
        <w:t>’</w:t>
      </w:r>
      <w:r w:rsidRPr="00580A15">
        <w:rPr>
          <w:lang w:val="fr-FR"/>
        </w:rPr>
        <w:t>État d</w:t>
      </w:r>
      <w:r>
        <w:rPr>
          <w:lang w:val="fr-FR"/>
        </w:rPr>
        <w:t>’</w:t>
      </w:r>
      <w:r w:rsidRPr="00580A15">
        <w:rPr>
          <w:lang w:val="fr-FR"/>
        </w:rPr>
        <w:t>asile</w:t>
      </w:r>
      <w:r>
        <w:rPr>
          <w:lang w:val="fr-FR"/>
        </w:rPr>
        <w:t xml:space="preserve"> en matière de services de santé</w:t>
      </w:r>
      <w:r w:rsidRPr="00580A15">
        <w:rPr>
          <w:lang w:val="fr-FR"/>
        </w:rPr>
        <w:t xml:space="preserve">, ou pour </w:t>
      </w:r>
      <w:r>
        <w:rPr>
          <w:lang w:val="fr-FR"/>
        </w:rPr>
        <w:t>poursuivre</w:t>
      </w:r>
      <w:r w:rsidRPr="00580A15">
        <w:rPr>
          <w:lang w:val="fr-FR"/>
        </w:rPr>
        <w:t xml:space="preserve"> un traitement médical dans l</w:t>
      </w:r>
      <w:r>
        <w:rPr>
          <w:lang w:val="fr-FR"/>
        </w:rPr>
        <w:t>’</w:t>
      </w:r>
      <w:r w:rsidRPr="00580A15">
        <w:rPr>
          <w:lang w:val="fr-FR"/>
        </w:rPr>
        <w:t>État d</w:t>
      </w:r>
      <w:r>
        <w:rPr>
          <w:lang w:val="fr-FR"/>
        </w:rPr>
        <w:t>’</w:t>
      </w:r>
      <w:r w:rsidRPr="00580A15">
        <w:rPr>
          <w:lang w:val="fr-FR"/>
        </w:rPr>
        <w:t>asile, sauf si ce traitement est e</w:t>
      </w:r>
      <w:r>
        <w:rPr>
          <w:lang w:val="fr-FR"/>
        </w:rPr>
        <w:t>ssentiel pour la vie et le bon</w:t>
      </w:r>
      <w:r w:rsidRPr="00580A15">
        <w:rPr>
          <w:lang w:val="fr-FR"/>
        </w:rPr>
        <w:t xml:space="preserve"> développement de l</w:t>
      </w:r>
      <w:r>
        <w:rPr>
          <w:lang w:val="fr-FR"/>
        </w:rPr>
        <w:t>’</w:t>
      </w:r>
      <w:r w:rsidRPr="00580A15">
        <w:rPr>
          <w:lang w:val="fr-FR"/>
        </w:rPr>
        <w:t>enfant et ne serait</w:t>
      </w:r>
      <w:r>
        <w:rPr>
          <w:lang w:val="fr-FR"/>
        </w:rPr>
        <w:t xml:space="preserve"> pas</w:t>
      </w:r>
      <w:r w:rsidRPr="00580A15">
        <w:rPr>
          <w:lang w:val="fr-FR"/>
        </w:rPr>
        <w:t xml:space="preserve"> disponible et accessible dans l</w:t>
      </w:r>
      <w:r>
        <w:rPr>
          <w:lang w:val="fr-FR"/>
        </w:rPr>
        <w:t>’É</w:t>
      </w:r>
      <w:r w:rsidRPr="00580A15">
        <w:rPr>
          <w:lang w:val="fr-FR"/>
        </w:rPr>
        <w:t xml:space="preserve">tat de renvoi. </w:t>
      </w:r>
      <w:r>
        <w:rPr>
          <w:lang w:val="fr-FR"/>
        </w:rPr>
        <w:t>En</w:t>
      </w:r>
      <w:r w:rsidRPr="00580A15">
        <w:rPr>
          <w:lang w:val="fr-FR"/>
        </w:rPr>
        <w:t xml:space="preserve"> l</w:t>
      </w:r>
      <w:r>
        <w:rPr>
          <w:lang w:val="fr-FR"/>
        </w:rPr>
        <w:t>’</w:t>
      </w:r>
      <w:r w:rsidRPr="00580A15">
        <w:rPr>
          <w:lang w:val="fr-FR"/>
        </w:rPr>
        <w:t xml:space="preserve">espèce, le Comité observe que, sur la base des informations </w:t>
      </w:r>
      <w:r>
        <w:rPr>
          <w:lang w:val="fr-FR"/>
        </w:rPr>
        <w:t xml:space="preserve">figurant </w:t>
      </w:r>
      <w:r w:rsidRPr="00580A15">
        <w:rPr>
          <w:lang w:val="fr-FR"/>
        </w:rPr>
        <w:t>dans le dossier, le traitement de G.</w:t>
      </w:r>
      <w:r w:rsidR="005428FF">
        <w:rPr>
          <w:lang w:val="fr-FR"/>
        </w:rPr>
        <w:t> </w:t>
      </w:r>
      <w:r w:rsidRPr="00580A15">
        <w:rPr>
          <w:lang w:val="fr-FR"/>
        </w:rPr>
        <w:t xml:space="preserve">R., qui est essentiel pour son développement, est disponible et accessible </w:t>
      </w:r>
      <w:r>
        <w:rPr>
          <w:lang w:val="fr-FR"/>
        </w:rPr>
        <w:t>à</w:t>
      </w:r>
      <w:r w:rsidRPr="00580A15">
        <w:rPr>
          <w:lang w:val="fr-FR"/>
        </w:rPr>
        <w:t xml:space="preserve"> Sri Lanka. Ainsi, le Comité conclut que le renvoi de G.</w:t>
      </w:r>
      <w:r w:rsidR="005428FF">
        <w:rPr>
          <w:lang w:val="fr-FR"/>
        </w:rPr>
        <w:t> </w:t>
      </w:r>
      <w:r w:rsidRPr="00580A15">
        <w:rPr>
          <w:lang w:val="fr-FR"/>
        </w:rPr>
        <w:t xml:space="preserve">R. </w:t>
      </w:r>
      <w:r>
        <w:rPr>
          <w:lang w:val="fr-FR"/>
        </w:rPr>
        <w:t>à</w:t>
      </w:r>
      <w:r w:rsidRPr="00580A15">
        <w:rPr>
          <w:lang w:val="fr-FR"/>
        </w:rPr>
        <w:t xml:space="preserve"> Sri Lanka </w:t>
      </w:r>
      <w:r>
        <w:rPr>
          <w:lang w:val="fr-FR"/>
        </w:rPr>
        <w:t>ne créerait pas d’</w:t>
      </w:r>
      <w:r w:rsidRPr="00580A15">
        <w:rPr>
          <w:lang w:val="fr-FR"/>
        </w:rPr>
        <w:t>obstacles à l</w:t>
      </w:r>
      <w:r>
        <w:rPr>
          <w:lang w:val="fr-FR"/>
        </w:rPr>
        <w:t>’</w:t>
      </w:r>
      <w:r w:rsidRPr="00580A15">
        <w:rPr>
          <w:lang w:val="fr-FR"/>
        </w:rPr>
        <w:t xml:space="preserve">accès </w:t>
      </w:r>
      <w:r>
        <w:rPr>
          <w:lang w:val="fr-FR"/>
        </w:rPr>
        <w:t xml:space="preserve">de l’enfant </w:t>
      </w:r>
      <w:r w:rsidRPr="00580A15">
        <w:rPr>
          <w:lang w:val="fr-FR"/>
        </w:rPr>
        <w:t xml:space="preserve">au traitement </w:t>
      </w:r>
      <w:r>
        <w:rPr>
          <w:lang w:val="fr-FR"/>
        </w:rPr>
        <w:t>dont</w:t>
      </w:r>
      <w:r w:rsidRPr="00580A15">
        <w:rPr>
          <w:lang w:val="fr-FR"/>
        </w:rPr>
        <w:t xml:space="preserve"> il a besoin et ne constituerait </w:t>
      </w:r>
      <w:r>
        <w:rPr>
          <w:lang w:val="fr-FR"/>
        </w:rPr>
        <w:t xml:space="preserve">pas </w:t>
      </w:r>
      <w:r w:rsidRPr="00580A15">
        <w:rPr>
          <w:lang w:val="fr-FR"/>
        </w:rPr>
        <w:t xml:space="preserve">une violation, </w:t>
      </w:r>
      <w:r>
        <w:rPr>
          <w:lang w:val="fr-FR"/>
        </w:rPr>
        <w:t>de la part de</w:t>
      </w:r>
      <w:r w:rsidRPr="00580A15">
        <w:rPr>
          <w:lang w:val="fr-FR"/>
        </w:rPr>
        <w:t xml:space="preserve"> l</w:t>
      </w:r>
      <w:r>
        <w:rPr>
          <w:lang w:val="fr-FR"/>
        </w:rPr>
        <w:t>’</w:t>
      </w:r>
      <w:r w:rsidRPr="00580A15">
        <w:rPr>
          <w:lang w:val="fr-FR"/>
        </w:rPr>
        <w:t>État partie, de ses droits au titre des articles 3, 6 (</w:t>
      </w:r>
      <w:r>
        <w:rPr>
          <w:lang w:val="fr-FR"/>
        </w:rPr>
        <w:t xml:space="preserve">par. </w:t>
      </w:r>
      <w:r w:rsidRPr="00580A15">
        <w:rPr>
          <w:lang w:val="fr-FR"/>
        </w:rPr>
        <w:t>2), 24 ou 37 (</w:t>
      </w:r>
      <w:r>
        <w:rPr>
          <w:lang w:val="fr-FR"/>
        </w:rPr>
        <w:t xml:space="preserve">al. </w:t>
      </w:r>
      <w:r w:rsidRPr="00580A15">
        <w:rPr>
          <w:lang w:val="fr-FR"/>
        </w:rPr>
        <w:t>a)</w:t>
      </w:r>
      <w:r>
        <w:rPr>
          <w:lang w:val="fr-FR"/>
        </w:rPr>
        <w:t>)</w:t>
      </w:r>
      <w:r w:rsidRPr="00580A15">
        <w:rPr>
          <w:lang w:val="fr-FR"/>
        </w:rPr>
        <w:t xml:space="preserve"> de la Convention. </w:t>
      </w:r>
      <w:r>
        <w:rPr>
          <w:lang w:val="fr-FR"/>
        </w:rPr>
        <w:t>Il rappelle toutefois que, lorsque des enfant sont renvoyés dans leur pays d’origine, des mesures effectives de réinsertion, y compris des mesures immédiates de protection, en particulier pour assurer un accès effectif aux soins de santé, devraient être prises</w:t>
      </w:r>
      <w:r>
        <w:rPr>
          <w:rStyle w:val="Appelnotedebasdep"/>
        </w:rPr>
        <w:footnoteReference w:id="24"/>
      </w:r>
      <w:r>
        <w:rPr>
          <w:lang w:val="fr-FR"/>
        </w:rPr>
        <w:t>.</w:t>
      </w:r>
    </w:p>
    <w:p w14:paraId="1DFB5A55" w14:textId="13767701" w:rsidR="007341B7" w:rsidRDefault="00434CC2" w:rsidP="00434CC2">
      <w:pPr>
        <w:pStyle w:val="SingleTxtG"/>
      </w:pPr>
      <w:r w:rsidRPr="00580A15">
        <w:rPr>
          <w:lang w:val="fr-FR"/>
        </w:rPr>
        <w:t>11.</w:t>
      </w:r>
      <w:r>
        <w:rPr>
          <w:lang w:val="fr-FR"/>
        </w:rPr>
        <w:t>7</w:t>
      </w:r>
      <w:r w:rsidRPr="00580A15">
        <w:rPr>
          <w:lang w:val="fr-FR"/>
        </w:rPr>
        <w:tab/>
      </w:r>
      <w:r w:rsidRPr="00580A15">
        <w:t>Le Comité, agissant en vertu de l</w:t>
      </w:r>
      <w:r>
        <w:t>’</w:t>
      </w:r>
      <w:r w:rsidRPr="00580A15">
        <w:t xml:space="preserve">article 10 </w:t>
      </w:r>
      <w:r>
        <w:t>(par.</w:t>
      </w:r>
      <w:r w:rsidRPr="00580A15">
        <w:t xml:space="preserve"> 5</w:t>
      </w:r>
      <w:r>
        <w:t>)</w:t>
      </w:r>
      <w:r w:rsidRPr="00580A15">
        <w:t xml:space="preserve"> du Protocole facultatif, constate que les faits dont il est saisi ne font </w:t>
      </w:r>
      <w:r>
        <w:t xml:space="preserve">pas </w:t>
      </w:r>
      <w:r w:rsidRPr="00580A15">
        <w:t>apparaître de violation des articles 3, 6 (</w:t>
      </w:r>
      <w:r>
        <w:t xml:space="preserve">par. </w:t>
      </w:r>
      <w:r w:rsidRPr="00580A15">
        <w:t>2), 24</w:t>
      </w:r>
      <w:r w:rsidR="008E1B97">
        <w:t xml:space="preserve"> </w:t>
      </w:r>
      <w:r w:rsidRPr="00580A15">
        <w:t>ou 37 (</w:t>
      </w:r>
      <w:r>
        <w:t xml:space="preserve">al. </w:t>
      </w:r>
      <w:r w:rsidRPr="00580A15">
        <w:t>a) de la Convention.</w:t>
      </w:r>
    </w:p>
    <w:p w14:paraId="0A5CAEFF" w14:textId="6799D02B" w:rsidR="00434CC2" w:rsidRPr="00434CC2" w:rsidRDefault="00434CC2" w:rsidP="00434CC2">
      <w:pPr>
        <w:pStyle w:val="SingleTxtG"/>
        <w:spacing w:before="240" w:after="0"/>
        <w:jc w:val="center"/>
        <w:rPr>
          <w:u w:val="single"/>
        </w:rPr>
      </w:pPr>
      <w:r>
        <w:rPr>
          <w:u w:val="single"/>
        </w:rPr>
        <w:tab/>
      </w:r>
      <w:r>
        <w:rPr>
          <w:u w:val="single"/>
        </w:rPr>
        <w:tab/>
      </w:r>
      <w:r>
        <w:rPr>
          <w:u w:val="single"/>
        </w:rPr>
        <w:tab/>
      </w:r>
    </w:p>
    <w:sectPr w:rsidR="00434CC2" w:rsidRPr="00434CC2" w:rsidSect="00434CC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5E8C0" w14:textId="77777777" w:rsidR="00434CC2" w:rsidRDefault="00434CC2" w:rsidP="00F95C08">
      <w:pPr>
        <w:spacing w:line="240" w:lineRule="auto"/>
      </w:pPr>
    </w:p>
  </w:endnote>
  <w:endnote w:type="continuationSeparator" w:id="0">
    <w:p w14:paraId="0412099D" w14:textId="77777777" w:rsidR="00434CC2" w:rsidRPr="00AC3823" w:rsidRDefault="00434CC2" w:rsidP="00AC3823">
      <w:pPr>
        <w:pStyle w:val="Pieddepage"/>
      </w:pPr>
    </w:p>
  </w:endnote>
  <w:endnote w:type="continuationNotice" w:id="1">
    <w:p w14:paraId="1442F8C7" w14:textId="77777777" w:rsidR="00434CC2" w:rsidRDefault="00434C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035FE" w14:textId="472FE012" w:rsidR="00434CC2" w:rsidRPr="00434CC2" w:rsidRDefault="00434CC2" w:rsidP="00434CC2">
    <w:pPr>
      <w:pStyle w:val="Pieddepage"/>
      <w:tabs>
        <w:tab w:val="right" w:pos="9638"/>
      </w:tabs>
    </w:pPr>
    <w:r w:rsidRPr="00434CC2">
      <w:rPr>
        <w:b/>
        <w:sz w:val="18"/>
      </w:rPr>
      <w:fldChar w:fldCharType="begin"/>
    </w:r>
    <w:r w:rsidRPr="00434CC2">
      <w:rPr>
        <w:b/>
        <w:sz w:val="18"/>
      </w:rPr>
      <w:instrText xml:space="preserve"> PAGE  \* MERGEFORMAT </w:instrText>
    </w:r>
    <w:r w:rsidRPr="00434CC2">
      <w:rPr>
        <w:b/>
        <w:sz w:val="18"/>
      </w:rPr>
      <w:fldChar w:fldCharType="separate"/>
    </w:r>
    <w:r w:rsidRPr="00434CC2">
      <w:rPr>
        <w:b/>
        <w:noProof/>
        <w:sz w:val="18"/>
      </w:rPr>
      <w:t>2</w:t>
    </w:r>
    <w:r w:rsidRPr="00434CC2">
      <w:rPr>
        <w:b/>
        <w:sz w:val="18"/>
      </w:rPr>
      <w:fldChar w:fldCharType="end"/>
    </w:r>
    <w:r>
      <w:rPr>
        <w:b/>
        <w:sz w:val="18"/>
      </w:rPr>
      <w:tab/>
    </w:r>
    <w:r>
      <w:t>GE.21-08042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9B911" w14:textId="1DA062CF" w:rsidR="00434CC2" w:rsidRPr="00434CC2" w:rsidRDefault="00434CC2" w:rsidP="00434CC2">
    <w:pPr>
      <w:pStyle w:val="Pieddepage"/>
      <w:tabs>
        <w:tab w:val="right" w:pos="9638"/>
      </w:tabs>
      <w:rPr>
        <w:b/>
        <w:sz w:val="18"/>
      </w:rPr>
    </w:pPr>
    <w:r>
      <w:t>GE.21-08042</w:t>
    </w:r>
    <w:r>
      <w:tab/>
    </w:r>
    <w:r w:rsidRPr="00434CC2">
      <w:rPr>
        <w:b/>
        <w:sz w:val="18"/>
      </w:rPr>
      <w:fldChar w:fldCharType="begin"/>
    </w:r>
    <w:r w:rsidRPr="00434CC2">
      <w:rPr>
        <w:b/>
        <w:sz w:val="18"/>
      </w:rPr>
      <w:instrText xml:space="preserve"> PAGE  \* MERGEFORMAT </w:instrText>
    </w:r>
    <w:r w:rsidRPr="00434CC2">
      <w:rPr>
        <w:b/>
        <w:sz w:val="18"/>
      </w:rPr>
      <w:fldChar w:fldCharType="separate"/>
    </w:r>
    <w:r w:rsidRPr="00434CC2">
      <w:rPr>
        <w:b/>
        <w:noProof/>
        <w:sz w:val="18"/>
      </w:rPr>
      <w:t>3</w:t>
    </w:r>
    <w:r w:rsidRPr="00434C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17F64" w14:textId="01DB1FA5" w:rsidR="00434CC2" w:rsidRPr="00434CC2" w:rsidRDefault="00434CC2" w:rsidP="00434CC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0B30F42" wp14:editId="68CD399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21-08042  (F)</w:t>
    </w:r>
    <w:r>
      <w:rPr>
        <w:noProof/>
        <w:sz w:val="20"/>
      </w:rPr>
      <w:drawing>
        <wp:anchor distT="0" distB="0" distL="114300" distR="114300" simplePos="0" relativeHeight="251660288" behindDoc="0" locked="0" layoutInCell="1" allowOverlap="1" wp14:anchorId="09C98C95" wp14:editId="49530503">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569">
      <w:rPr>
        <w:sz w:val="20"/>
      </w:rPr>
      <w:t xml:space="preserve">    190721    </w:t>
    </w:r>
    <w:r w:rsidR="002B027E">
      <w:rPr>
        <w:sz w:val="20"/>
      </w:rPr>
      <w:t>210721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8A2CB" w14:textId="77777777" w:rsidR="00434CC2" w:rsidRPr="00AC3823" w:rsidRDefault="00434CC2" w:rsidP="00AC3823">
      <w:pPr>
        <w:pStyle w:val="Pieddepage"/>
        <w:tabs>
          <w:tab w:val="right" w:pos="2155"/>
        </w:tabs>
        <w:spacing w:after="80" w:line="240" w:lineRule="atLeast"/>
        <w:ind w:left="680"/>
        <w:rPr>
          <w:u w:val="single"/>
        </w:rPr>
      </w:pPr>
      <w:r>
        <w:rPr>
          <w:u w:val="single"/>
        </w:rPr>
        <w:tab/>
      </w:r>
    </w:p>
  </w:footnote>
  <w:footnote w:type="continuationSeparator" w:id="0">
    <w:p w14:paraId="151F4BBF" w14:textId="77777777" w:rsidR="00434CC2" w:rsidRPr="00AC3823" w:rsidRDefault="00434CC2" w:rsidP="00AC3823">
      <w:pPr>
        <w:pStyle w:val="Pieddepage"/>
        <w:tabs>
          <w:tab w:val="right" w:pos="2155"/>
        </w:tabs>
        <w:spacing w:after="80" w:line="240" w:lineRule="atLeast"/>
        <w:ind w:left="680"/>
        <w:rPr>
          <w:u w:val="single"/>
        </w:rPr>
      </w:pPr>
      <w:r>
        <w:rPr>
          <w:u w:val="single"/>
        </w:rPr>
        <w:tab/>
      </w:r>
    </w:p>
  </w:footnote>
  <w:footnote w:type="continuationNotice" w:id="1">
    <w:p w14:paraId="4480AC97" w14:textId="77777777" w:rsidR="00434CC2" w:rsidRPr="00AC3823" w:rsidRDefault="00434CC2">
      <w:pPr>
        <w:spacing w:line="240" w:lineRule="auto"/>
        <w:rPr>
          <w:sz w:val="2"/>
          <w:szCs w:val="2"/>
        </w:rPr>
      </w:pPr>
    </w:p>
  </w:footnote>
  <w:footnote w:id="2">
    <w:p w14:paraId="3F68A362" w14:textId="77777777" w:rsidR="00434CC2" w:rsidRPr="00195F3E" w:rsidRDefault="00434CC2" w:rsidP="00434CC2">
      <w:pPr>
        <w:pStyle w:val="Notedebasdepage"/>
        <w:rPr>
          <w:szCs w:val="18"/>
          <w:lang w:val="fr-FR"/>
        </w:rPr>
      </w:pPr>
      <w:r w:rsidRPr="00195F3E">
        <w:rPr>
          <w:rStyle w:val="Appelnotedebasdep"/>
          <w:szCs w:val="18"/>
          <w:lang w:val="fr-FR"/>
        </w:rPr>
        <w:tab/>
      </w:r>
      <w:r w:rsidRPr="00434CC2">
        <w:rPr>
          <w:rStyle w:val="Appelnotedebasdep"/>
          <w:sz w:val="20"/>
          <w:vertAlign w:val="baseline"/>
          <w:lang w:val="fr-FR"/>
        </w:rPr>
        <w:t>*</w:t>
      </w:r>
      <w:r w:rsidRPr="00195F3E">
        <w:rPr>
          <w:rStyle w:val="Appelnotedebasdep"/>
          <w:szCs w:val="18"/>
          <w:vertAlign w:val="baseline"/>
          <w:lang w:val="fr-FR"/>
        </w:rPr>
        <w:tab/>
        <w:t>Adoptées par le Comité à sa quatre-vingt-s</w:t>
      </w:r>
      <w:r w:rsidRPr="00195F3E">
        <w:rPr>
          <w:szCs w:val="18"/>
          <w:lang w:val="fr-FR"/>
        </w:rPr>
        <w:t>eptième</w:t>
      </w:r>
      <w:r w:rsidRPr="00195F3E">
        <w:rPr>
          <w:rStyle w:val="Appelnotedebasdep"/>
          <w:szCs w:val="18"/>
          <w:vertAlign w:val="baseline"/>
          <w:lang w:val="fr-FR"/>
        </w:rPr>
        <w:t xml:space="preserve"> session (1</w:t>
      </w:r>
      <w:r w:rsidRPr="00195F3E">
        <w:rPr>
          <w:szCs w:val="18"/>
          <w:lang w:val="fr-FR"/>
        </w:rPr>
        <w:t>7</w:t>
      </w:r>
      <w:r w:rsidRPr="00195F3E">
        <w:rPr>
          <w:rStyle w:val="Appelnotedebasdep"/>
          <w:szCs w:val="18"/>
          <w:vertAlign w:val="baseline"/>
          <w:lang w:val="fr-FR"/>
        </w:rPr>
        <w:t xml:space="preserve"> mai</w:t>
      </w:r>
      <w:r w:rsidRPr="00195F3E">
        <w:rPr>
          <w:szCs w:val="18"/>
          <w:lang w:val="fr-FR"/>
        </w:rPr>
        <w:t>-4 juin</w:t>
      </w:r>
      <w:r w:rsidRPr="00195F3E">
        <w:rPr>
          <w:rStyle w:val="Appelnotedebasdep"/>
          <w:szCs w:val="18"/>
          <w:vertAlign w:val="baseline"/>
          <w:lang w:val="fr-FR"/>
        </w:rPr>
        <w:t xml:space="preserve"> 2</w:t>
      </w:r>
      <w:r w:rsidRPr="00195F3E">
        <w:rPr>
          <w:szCs w:val="18"/>
          <w:lang w:val="fr-FR"/>
        </w:rPr>
        <w:t>021</w:t>
      </w:r>
      <w:r w:rsidRPr="00195F3E">
        <w:rPr>
          <w:rStyle w:val="Appelnotedebasdep"/>
          <w:szCs w:val="18"/>
          <w:vertAlign w:val="baseline"/>
          <w:lang w:val="fr-FR"/>
        </w:rPr>
        <w:t>)</w:t>
      </w:r>
      <w:r w:rsidRPr="00195F3E">
        <w:rPr>
          <w:szCs w:val="18"/>
          <w:lang w:val="fr-FR"/>
        </w:rPr>
        <w:t>.</w:t>
      </w:r>
    </w:p>
  </w:footnote>
  <w:footnote w:id="3">
    <w:p w14:paraId="2C50C3AA" w14:textId="4B153607" w:rsidR="00434CC2" w:rsidRPr="00195F3E" w:rsidRDefault="00434CC2" w:rsidP="00434CC2">
      <w:pPr>
        <w:pStyle w:val="Notedebasdepage"/>
        <w:rPr>
          <w:szCs w:val="18"/>
          <w:lang w:val="de-CH"/>
        </w:rPr>
      </w:pPr>
      <w:r w:rsidRPr="00434CC2">
        <w:rPr>
          <w:rStyle w:val="Appelnotedebasdep"/>
          <w:sz w:val="20"/>
        </w:rPr>
        <w:tab/>
      </w:r>
      <w:r w:rsidRPr="00434CC2">
        <w:rPr>
          <w:rStyle w:val="Appelnotedebasdep"/>
          <w:sz w:val="20"/>
          <w:vertAlign w:val="baseline"/>
        </w:rPr>
        <w:t>**</w:t>
      </w:r>
      <w:r w:rsidRPr="00195F3E">
        <w:rPr>
          <w:rStyle w:val="Appelnotedebasdep"/>
          <w:szCs w:val="18"/>
          <w:vertAlign w:val="baseline"/>
        </w:rPr>
        <w:tab/>
      </w:r>
      <w:r w:rsidRPr="00195F3E">
        <w:rPr>
          <w:szCs w:val="18"/>
        </w:rPr>
        <w:t xml:space="preserve">Les </w:t>
      </w:r>
      <w:r w:rsidRPr="00195F3E">
        <w:rPr>
          <w:rStyle w:val="Appelnotedebasdep"/>
          <w:szCs w:val="18"/>
          <w:vertAlign w:val="baseline"/>
        </w:rPr>
        <w:t>membres du Comité dont le nom suit ont participé à l’examen de la communication</w:t>
      </w:r>
      <w:r w:rsidRPr="00195F3E">
        <w:rPr>
          <w:szCs w:val="18"/>
        </w:rPr>
        <w:t> :</w:t>
      </w:r>
      <w:r w:rsidRPr="009569E3">
        <w:rPr>
          <w:szCs w:val="18"/>
        </w:rPr>
        <w:t xml:space="preserve"> </w:t>
      </w:r>
      <w:r w:rsidRPr="00AA53A9">
        <w:rPr>
          <w:szCs w:val="18"/>
        </w:rPr>
        <w:t xml:space="preserve">Suzanne Aho Assouma, Hynd Ayoubi Idrissi, </w:t>
      </w:r>
      <w:hyperlink r:id="rId1" w:history="1">
        <w:r w:rsidRPr="00AA53A9">
          <w:rPr>
            <w:szCs w:val="18"/>
          </w:rPr>
          <w:t>Rinchen Chophel</w:t>
        </w:r>
      </w:hyperlink>
      <w:r w:rsidRPr="00AA53A9">
        <w:rPr>
          <w:szCs w:val="18"/>
        </w:rPr>
        <w:t xml:space="preserve">, </w:t>
      </w:r>
      <w:hyperlink r:id="rId2" w:history="1">
        <w:r w:rsidRPr="00AA53A9">
          <w:rPr>
            <w:szCs w:val="18"/>
          </w:rPr>
          <w:t>Bragi Gudbrandsson</w:t>
        </w:r>
      </w:hyperlink>
      <w:r w:rsidRPr="00AA53A9">
        <w:rPr>
          <w:szCs w:val="18"/>
        </w:rPr>
        <w:t xml:space="preserve">, Philip Jaffé, Sopio Kiladze, Gehad Madi, Faith Marshall-Harris, Benyam Dawit Mezmur, Otani Mikiko, Luis Ernesto Pedernera Reyna, Zara Ratou, Aïssatou Alassane Sidikou, Ann Marie Skelton, Velina Todorova </w:t>
      </w:r>
      <w:r>
        <w:rPr>
          <w:szCs w:val="18"/>
        </w:rPr>
        <w:t>et</w:t>
      </w:r>
      <w:r w:rsidRPr="00AA53A9">
        <w:rPr>
          <w:szCs w:val="18"/>
        </w:rPr>
        <w:t xml:space="preserve"> Benoit Van Keirsbilck</w:t>
      </w:r>
      <w:r w:rsidR="00767569">
        <w:rPr>
          <w:szCs w:val="18"/>
        </w:rPr>
        <w:t>.</w:t>
      </w:r>
    </w:p>
  </w:footnote>
  <w:footnote w:id="4">
    <w:p w14:paraId="316F1B2A" w14:textId="183C2DF1" w:rsidR="00434CC2" w:rsidRPr="00262CE3" w:rsidRDefault="00434CC2" w:rsidP="00434CC2">
      <w:pPr>
        <w:pStyle w:val="Notedebasdepage"/>
        <w:widowControl w:val="0"/>
        <w:tabs>
          <w:tab w:val="clear" w:pos="1021"/>
          <w:tab w:val="right" w:pos="1020"/>
        </w:tabs>
      </w:pPr>
      <w:r>
        <w:tab/>
      </w:r>
      <w:r>
        <w:rPr>
          <w:rStyle w:val="Appelnotedebasdep"/>
        </w:rPr>
        <w:footnoteRef/>
      </w:r>
      <w:r>
        <w:tab/>
      </w:r>
      <w:r w:rsidRPr="00CE54A6">
        <w:rPr>
          <w:i/>
          <w:szCs w:val="18"/>
          <w:lang w:val="fr-FR"/>
        </w:rPr>
        <w:t>D.</w:t>
      </w:r>
      <w:r w:rsidR="00693DE3">
        <w:rPr>
          <w:i/>
          <w:szCs w:val="18"/>
          <w:lang w:val="fr-FR"/>
        </w:rPr>
        <w:t xml:space="preserve"> </w:t>
      </w:r>
      <w:r w:rsidRPr="00CE54A6">
        <w:rPr>
          <w:i/>
          <w:szCs w:val="18"/>
          <w:lang w:val="fr-FR"/>
        </w:rPr>
        <w:t>B. c. Suisse</w:t>
      </w:r>
      <w:r w:rsidRPr="00CE54A6">
        <w:rPr>
          <w:szCs w:val="18"/>
          <w:lang w:val="fr-FR"/>
        </w:rPr>
        <w:t xml:space="preserve"> (CAT/C/66/D/820/2017), par. 6.2</w:t>
      </w:r>
      <w:r>
        <w:rPr>
          <w:szCs w:val="18"/>
          <w:lang w:val="fr-FR"/>
        </w:rPr>
        <w:t xml:space="preserve"> et </w:t>
      </w:r>
      <w:r w:rsidRPr="00CE54A6">
        <w:rPr>
          <w:szCs w:val="18"/>
          <w:lang w:val="fr-FR"/>
        </w:rPr>
        <w:t>6.3.</w:t>
      </w:r>
    </w:p>
  </w:footnote>
  <w:footnote w:id="5">
    <w:p w14:paraId="0E71DBE6" w14:textId="262E1BA8" w:rsidR="00434CC2" w:rsidRPr="00262CE3" w:rsidRDefault="00434CC2" w:rsidP="00434CC2">
      <w:pPr>
        <w:pStyle w:val="Notedebasdepage"/>
        <w:widowControl w:val="0"/>
        <w:tabs>
          <w:tab w:val="clear" w:pos="1021"/>
          <w:tab w:val="right" w:pos="1020"/>
        </w:tabs>
      </w:pPr>
      <w:r>
        <w:tab/>
      </w:r>
      <w:r>
        <w:rPr>
          <w:rStyle w:val="Appelnotedebasdep"/>
        </w:rPr>
        <w:footnoteRef/>
      </w:r>
      <w:r>
        <w:tab/>
      </w:r>
      <w:r w:rsidRPr="00CE54A6">
        <w:rPr>
          <w:szCs w:val="18"/>
          <w:lang w:val="fr-FR"/>
        </w:rPr>
        <w:t xml:space="preserve">L’État partie </w:t>
      </w:r>
      <w:r>
        <w:rPr>
          <w:szCs w:val="18"/>
          <w:lang w:val="fr-FR"/>
        </w:rPr>
        <w:t>renvoie</w:t>
      </w:r>
      <w:r w:rsidRPr="00CE54A6">
        <w:rPr>
          <w:szCs w:val="18"/>
          <w:lang w:val="fr-FR"/>
        </w:rPr>
        <w:t xml:space="preserve"> à l’article 65 de la loi fédérale </w:t>
      </w:r>
      <w:r>
        <w:rPr>
          <w:szCs w:val="18"/>
          <w:lang w:val="fr-FR"/>
        </w:rPr>
        <w:t xml:space="preserve">du </w:t>
      </w:r>
      <w:r w:rsidRPr="00CE54A6">
        <w:rPr>
          <w:szCs w:val="18"/>
          <w:lang w:val="fr-FR"/>
        </w:rPr>
        <w:t>20</w:t>
      </w:r>
      <w:r w:rsidR="00693DE3">
        <w:rPr>
          <w:szCs w:val="18"/>
          <w:lang w:val="fr-FR"/>
        </w:rPr>
        <w:t> </w:t>
      </w:r>
      <w:r w:rsidRPr="00CE54A6">
        <w:rPr>
          <w:szCs w:val="18"/>
          <w:lang w:val="fr-FR"/>
        </w:rPr>
        <w:t>décembre 1968</w:t>
      </w:r>
      <w:r w:rsidRPr="00F46EC2">
        <w:rPr>
          <w:szCs w:val="18"/>
          <w:lang w:val="fr-FR"/>
        </w:rPr>
        <w:t xml:space="preserve"> </w:t>
      </w:r>
      <w:r w:rsidRPr="00CE54A6">
        <w:rPr>
          <w:szCs w:val="18"/>
          <w:lang w:val="fr-FR"/>
        </w:rPr>
        <w:t>sur la procédure administrative.</w:t>
      </w:r>
    </w:p>
  </w:footnote>
  <w:footnote w:id="6">
    <w:p w14:paraId="410DBE87" w14:textId="34DE36F2" w:rsidR="00434CC2" w:rsidRPr="00262CE3" w:rsidRDefault="00434CC2" w:rsidP="00434CC2">
      <w:pPr>
        <w:pStyle w:val="Notedebasdepage"/>
        <w:widowControl w:val="0"/>
        <w:tabs>
          <w:tab w:val="clear" w:pos="1021"/>
          <w:tab w:val="right" w:pos="1020"/>
        </w:tabs>
      </w:pPr>
      <w:r>
        <w:tab/>
      </w:r>
      <w:r>
        <w:rPr>
          <w:rStyle w:val="Appelnotedebasdep"/>
        </w:rPr>
        <w:footnoteRef/>
      </w:r>
      <w:r>
        <w:tab/>
      </w:r>
      <w:r w:rsidRPr="00CE54A6">
        <w:rPr>
          <w:szCs w:val="18"/>
        </w:rPr>
        <w:t xml:space="preserve">L’État partie </w:t>
      </w:r>
      <w:r>
        <w:rPr>
          <w:szCs w:val="18"/>
        </w:rPr>
        <w:t>renvoie de manière</w:t>
      </w:r>
      <w:r w:rsidRPr="00CE54A6">
        <w:rPr>
          <w:szCs w:val="18"/>
        </w:rPr>
        <w:t xml:space="preserve"> générale à la jurisprudence du Tribunal fédéral suisse.</w:t>
      </w:r>
    </w:p>
  </w:footnote>
  <w:footnote w:id="7">
    <w:p w14:paraId="47530ED2" w14:textId="55D3BD8D" w:rsidR="00434CC2" w:rsidRPr="00262CE3" w:rsidRDefault="00434CC2" w:rsidP="00434CC2">
      <w:pPr>
        <w:pStyle w:val="Notedebasdepage"/>
        <w:widowControl w:val="0"/>
        <w:tabs>
          <w:tab w:val="clear" w:pos="1021"/>
          <w:tab w:val="right" w:pos="1020"/>
        </w:tabs>
        <w:rPr>
          <w:lang w:val="en-GB"/>
        </w:rPr>
      </w:pPr>
      <w:r>
        <w:tab/>
      </w:r>
      <w:r>
        <w:rPr>
          <w:rStyle w:val="Appelnotedebasdep"/>
        </w:rPr>
        <w:footnoteRef/>
      </w:r>
      <w:r w:rsidRPr="00262CE3">
        <w:rPr>
          <w:lang w:val="en-GB"/>
        </w:rPr>
        <w:tab/>
        <w:t>G</w:t>
      </w:r>
      <w:r>
        <w:rPr>
          <w:lang w:val="en-GB"/>
        </w:rPr>
        <w:t>erard</w:t>
      </w:r>
      <w:r w:rsidRPr="00262CE3">
        <w:rPr>
          <w:lang w:val="en-GB"/>
        </w:rPr>
        <w:t xml:space="preserve"> Lucas, </w:t>
      </w:r>
      <w:r w:rsidRPr="0045335E">
        <w:rPr>
          <w:lang w:val="en-GB"/>
        </w:rPr>
        <w:t xml:space="preserve">« </w:t>
      </w:r>
      <w:r w:rsidRPr="00262CE3">
        <w:rPr>
          <w:lang w:val="en-GB"/>
        </w:rPr>
        <w:t>Guidelines on management of congenital hypothyroidism in Sri Lanka</w:t>
      </w:r>
      <w:r>
        <w:rPr>
          <w:lang w:val="en-GB"/>
        </w:rPr>
        <w:t xml:space="preserve"> </w:t>
      </w:r>
      <w:r w:rsidRPr="0045335E">
        <w:rPr>
          <w:lang w:val="en-GB"/>
        </w:rPr>
        <w:t>»</w:t>
      </w:r>
      <w:r w:rsidRPr="00262CE3">
        <w:rPr>
          <w:lang w:val="en-GB"/>
        </w:rPr>
        <w:t xml:space="preserve">, </w:t>
      </w:r>
      <w:r w:rsidRPr="00195F3E">
        <w:rPr>
          <w:i/>
          <w:iCs/>
          <w:lang w:val="en-GB"/>
        </w:rPr>
        <w:t>Sri Lanka Journal</w:t>
      </w:r>
      <w:r>
        <w:rPr>
          <w:i/>
          <w:iCs/>
          <w:lang w:val="en-GB"/>
        </w:rPr>
        <w:t xml:space="preserve"> </w:t>
      </w:r>
      <w:r w:rsidRPr="00195F3E">
        <w:rPr>
          <w:i/>
          <w:iCs/>
          <w:lang w:val="en-GB"/>
        </w:rPr>
        <w:t>of Child Health</w:t>
      </w:r>
      <w:r w:rsidRPr="00262CE3">
        <w:rPr>
          <w:lang w:val="en-GB"/>
        </w:rPr>
        <w:t>, ,</w:t>
      </w:r>
      <w:r>
        <w:rPr>
          <w:lang w:val="en-GB"/>
        </w:rPr>
        <w:t xml:space="preserve"> vol.</w:t>
      </w:r>
      <w:r w:rsidRPr="00262CE3">
        <w:rPr>
          <w:lang w:val="en-GB"/>
        </w:rPr>
        <w:t xml:space="preserve"> 44</w:t>
      </w:r>
      <w:r>
        <w:rPr>
          <w:lang w:val="en-GB"/>
        </w:rPr>
        <w:t xml:space="preserve">, </w:t>
      </w:r>
      <w:r w:rsidR="00693DE3" w:rsidRPr="00693DE3">
        <w:rPr>
          <w:rFonts w:eastAsia="MS Mincho"/>
          <w:szCs w:val="22"/>
          <w:lang w:val="en-GB"/>
        </w:rPr>
        <w:t>n</w:t>
      </w:r>
      <w:r w:rsidR="00693DE3" w:rsidRPr="00693DE3">
        <w:rPr>
          <w:rFonts w:eastAsia="MS Mincho"/>
          <w:szCs w:val="22"/>
          <w:vertAlign w:val="superscript"/>
          <w:lang w:val="en-GB"/>
        </w:rPr>
        <w:t>o</w:t>
      </w:r>
      <w:r w:rsidR="00693DE3">
        <w:rPr>
          <w:lang w:val="en-GB"/>
        </w:rPr>
        <w:t> </w:t>
      </w:r>
      <w:r w:rsidRPr="00262CE3">
        <w:rPr>
          <w:lang w:val="en-GB"/>
        </w:rPr>
        <w:t xml:space="preserve">2 </w:t>
      </w:r>
      <w:r>
        <w:rPr>
          <w:lang w:val="en-GB"/>
        </w:rPr>
        <w:t>(</w:t>
      </w:r>
      <w:r w:rsidRPr="00262CE3">
        <w:rPr>
          <w:lang w:val="en-GB"/>
        </w:rPr>
        <w:t>2015</w:t>
      </w:r>
      <w:r>
        <w:rPr>
          <w:lang w:val="en-GB"/>
        </w:rPr>
        <w:t>), p.</w:t>
      </w:r>
      <w:r w:rsidR="002764A9">
        <w:rPr>
          <w:lang w:val="en-GB"/>
        </w:rPr>
        <w:t> </w:t>
      </w:r>
      <w:r w:rsidRPr="00262CE3">
        <w:rPr>
          <w:lang w:val="en-GB"/>
        </w:rPr>
        <w:t>75</w:t>
      </w:r>
      <w:r>
        <w:rPr>
          <w:lang w:val="en-GB"/>
        </w:rPr>
        <w:t xml:space="preserve"> et </w:t>
      </w:r>
      <w:r w:rsidRPr="00262CE3">
        <w:rPr>
          <w:lang w:val="en-GB"/>
        </w:rPr>
        <w:t>76.</w:t>
      </w:r>
    </w:p>
  </w:footnote>
  <w:footnote w:id="8">
    <w:p w14:paraId="586C5698" w14:textId="07C68150" w:rsidR="00434CC2" w:rsidRPr="00262CE3" w:rsidRDefault="00434CC2" w:rsidP="00434CC2">
      <w:pPr>
        <w:pStyle w:val="Notedebasdepage"/>
        <w:widowControl w:val="0"/>
        <w:tabs>
          <w:tab w:val="clear" w:pos="1021"/>
          <w:tab w:val="right" w:pos="1020"/>
        </w:tabs>
        <w:rPr>
          <w:lang w:val="en-GB"/>
        </w:rPr>
      </w:pPr>
      <w:r w:rsidRPr="00372D63">
        <w:rPr>
          <w:lang w:val="en-GB"/>
        </w:rPr>
        <w:tab/>
      </w:r>
      <w:r>
        <w:rPr>
          <w:rStyle w:val="Appelnotedebasdep"/>
        </w:rPr>
        <w:footnoteRef/>
      </w:r>
      <w:r w:rsidRPr="00262CE3">
        <w:rPr>
          <w:lang w:val="en-GB"/>
        </w:rPr>
        <w:tab/>
        <w:t>S</w:t>
      </w:r>
      <w:r>
        <w:rPr>
          <w:lang w:val="en-GB"/>
        </w:rPr>
        <w:t>ujeewa</w:t>
      </w:r>
      <w:r w:rsidRPr="00262CE3">
        <w:rPr>
          <w:lang w:val="en-GB"/>
        </w:rPr>
        <w:t xml:space="preserve"> Amarasena et M</w:t>
      </w:r>
      <w:r>
        <w:rPr>
          <w:lang w:val="en-GB"/>
        </w:rPr>
        <w:t>anjula</w:t>
      </w:r>
      <w:r w:rsidRPr="00262CE3">
        <w:rPr>
          <w:lang w:val="en-GB"/>
        </w:rPr>
        <w:t xml:space="preserve"> Hettiarachchi, </w:t>
      </w:r>
      <w:r w:rsidRPr="0045335E">
        <w:rPr>
          <w:lang w:val="en-GB"/>
        </w:rPr>
        <w:t>«</w:t>
      </w:r>
      <w:r w:rsidRPr="00262CE3" w:rsidDel="006A1492">
        <w:rPr>
          <w:lang w:val="en-GB"/>
        </w:rPr>
        <w:t xml:space="preserve"> </w:t>
      </w:r>
      <w:r w:rsidRPr="00262CE3">
        <w:rPr>
          <w:lang w:val="en-GB"/>
        </w:rPr>
        <w:t xml:space="preserve">Establishment of </w:t>
      </w:r>
      <w:r>
        <w:rPr>
          <w:lang w:val="en-GB"/>
        </w:rPr>
        <w:t>n</w:t>
      </w:r>
      <w:r w:rsidRPr="00262CE3">
        <w:rPr>
          <w:lang w:val="en-GB"/>
        </w:rPr>
        <w:t>ational programme on newborn screening for congenital hypothyroidism</w:t>
      </w:r>
      <w:r w:rsidRPr="0045335E">
        <w:rPr>
          <w:lang w:val="en-GB"/>
        </w:rPr>
        <w:t>»</w:t>
      </w:r>
      <w:r w:rsidRPr="00262CE3">
        <w:rPr>
          <w:lang w:val="en-GB"/>
        </w:rPr>
        <w:t xml:space="preserve">, </w:t>
      </w:r>
      <w:r w:rsidRPr="00262CE3">
        <w:rPr>
          <w:i/>
          <w:lang w:val="en-GB"/>
        </w:rPr>
        <w:t>Sri Lanka Journal of Diabetes, Endocrinology and Metabolism</w:t>
      </w:r>
      <w:r w:rsidRPr="00262CE3">
        <w:rPr>
          <w:lang w:val="en-GB"/>
        </w:rPr>
        <w:t xml:space="preserve">, </w:t>
      </w:r>
      <w:r>
        <w:rPr>
          <w:lang w:val="en-GB"/>
        </w:rPr>
        <w:t>vol.</w:t>
      </w:r>
      <w:r w:rsidR="00693DE3">
        <w:rPr>
          <w:lang w:val="en-GB"/>
        </w:rPr>
        <w:t> </w:t>
      </w:r>
      <w:r w:rsidRPr="00195F3E">
        <w:rPr>
          <w:lang w:val="en-US"/>
        </w:rPr>
        <w:t xml:space="preserve">8, </w:t>
      </w:r>
      <w:r w:rsidR="00693DE3" w:rsidRPr="00693DE3">
        <w:rPr>
          <w:rFonts w:eastAsia="MS Mincho"/>
          <w:szCs w:val="22"/>
          <w:lang w:val="en-US"/>
        </w:rPr>
        <w:t>n</w:t>
      </w:r>
      <w:r w:rsidR="00693DE3" w:rsidRPr="00693DE3">
        <w:rPr>
          <w:rFonts w:eastAsia="MS Mincho"/>
          <w:szCs w:val="22"/>
          <w:vertAlign w:val="superscript"/>
          <w:lang w:val="en-US"/>
        </w:rPr>
        <w:t>o</w:t>
      </w:r>
      <w:r w:rsidR="00693DE3" w:rsidRPr="00693DE3">
        <w:rPr>
          <w:szCs w:val="18"/>
          <w:lang w:val="en-US"/>
        </w:rPr>
        <w:t> </w:t>
      </w:r>
      <w:r w:rsidRPr="00195F3E">
        <w:rPr>
          <w:lang w:val="en-US"/>
        </w:rPr>
        <w:t xml:space="preserve">2 (2008), p. 13 à 18 ; </w:t>
      </w:r>
      <w:hyperlink r:id="rId3" w:history="1">
        <w:r w:rsidR="00693DE3" w:rsidRPr="00693DE3">
          <w:rPr>
            <w:rStyle w:val="Lienhypertexte"/>
            <w:lang w:val="en-US"/>
          </w:rPr>
          <w:t>https://old.slcp.lk/management-of-congenital-hypothyroidism/</w:t>
        </w:r>
      </w:hyperlink>
      <w:r w:rsidRPr="00195F3E">
        <w:rPr>
          <w:lang w:val="en-US"/>
        </w:rPr>
        <w:t>.</w:t>
      </w:r>
    </w:p>
  </w:footnote>
  <w:footnote w:id="9">
    <w:p w14:paraId="4F42E9EC" w14:textId="3381A223" w:rsidR="00434CC2" w:rsidRPr="00665F82" w:rsidRDefault="00434CC2" w:rsidP="00434CC2">
      <w:pPr>
        <w:pStyle w:val="Notedebasdepage"/>
        <w:widowControl w:val="0"/>
        <w:tabs>
          <w:tab w:val="clear" w:pos="1021"/>
          <w:tab w:val="right" w:pos="1020"/>
        </w:tabs>
        <w:rPr>
          <w:lang w:val="en-GB"/>
        </w:rPr>
      </w:pPr>
      <w:r w:rsidRPr="00A60BAB">
        <w:rPr>
          <w:lang w:val="en-GB"/>
        </w:rPr>
        <w:tab/>
      </w:r>
      <w:r>
        <w:rPr>
          <w:rStyle w:val="Appelnotedebasdep"/>
        </w:rPr>
        <w:footnoteRef/>
      </w:r>
      <w:r w:rsidRPr="00665F82">
        <w:rPr>
          <w:lang w:val="en-GB"/>
        </w:rPr>
        <w:tab/>
      </w:r>
      <w:r w:rsidRPr="002764A9">
        <w:rPr>
          <w:spacing w:val="-2"/>
          <w:szCs w:val="18"/>
          <w:lang w:val="en-GB"/>
        </w:rPr>
        <w:t xml:space="preserve">World Health Organisation, </w:t>
      </w:r>
      <w:r w:rsidRPr="002764A9">
        <w:rPr>
          <w:spacing w:val="-2"/>
          <w:lang w:val="en-GB"/>
        </w:rPr>
        <w:t>«</w:t>
      </w:r>
      <w:r w:rsidRPr="002764A9" w:rsidDel="006A1492">
        <w:rPr>
          <w:spacing w:val="-2"/>
          <w:szCs w:val="18"/>
          <w:lang w:val="en-GB"/>
        </w:rPr>
        <w:t xml:space="preserve"> </w:t>
      </w:r>
      <w:r w:rsidRPr="002764A9">
        <w:rPr>
          <w:spacing w:val="-2"/>
          <w:szCs w:val="18"/>
          <w:lang w:val="en-GB"/>
        </w:rPr>
        <w:t>Primary health care systems (PRIMASYS): case study from Sri Lanka</w:t>
      </w:r>
      <w:r w:rsidR="00693DE3" w:rsidRPr="002764A9">
        <w:rPr>
          <w:spacing w:val="-2"/>
          <w:szCs w:val="18"/>
          <w:lang w:val="en-GB"/>
        </w:rPr>
        <w:t> </w:t>
      </w:r>
      <w:r w:rsidRPr="002764A9">
        <w:rPr>
          <w:spacing w:val="-2"/>
          <w:lang w:val="en-GB"/>
        </w:rPr>
        <w:t>»</w:t>
      </w:r>
      <w:r w:rsidRPr="002764A9">
        <w:rPr>
          <w:spacing w:val="-2"/>
          <w:szCs w:val="18"/>
          <w:lang w:val="en-GB"/>
        </w:rPr>
        <w:t>,</w:t>
      </w:r>
      <w:r w:rsidRPr="00CE54A6">
        <w:rPr>
          <w:szCs w:val="18"/>
          <w:lang w:val="en-GB"/>
        </w:rPr>
        <w:t xml:space="preserve"> version</w:t>
      </w:r>
      <w:r>
        <w:rPr>
          <w:szCs w:val="18"/>
          <w:lang w:val="en-GB"/>
        </w:rPr>
        <w:t xml:space="preserve"> abrégée (</w:t>
      </w:r>
      <w:r w:rsidRPr="00CE54A6">
        <w:rPr>
          <w:szCs w:val="18"/>
          <w:lang w:val="en-GB"/>
        </w:rPr>
        <w:t>2017</w:t>
      </w:r>
      <w:r>
        <w:rPr>
          <w:szCs w:val="18"/>
          <w:lang w:val="en-GB"/>
        </w:rPr>
        <w:t>)</w:t>
      </w:r>
      <w:r w:rsidRPr="00CE54A6">
        <w:rPr>
          <w:szCs w:val="18"/>
          <w:lang w:val="en-GB"/>
        </w:rPr>
        <w:t>, p. 3.</w:t>
      </w:r>
    </w:p>
  </w:footnote>
  <w:footnote w:id="10">
    <w:p w14:paraId="5514E15E" w14:textId="655B9A93" w:rsidR="00434CC2" w:rsidRPr="00195F3E" w:rsidRDefault="00434CC2" w:rsidP="00434CC2">
      <w:pPr>
        <w:pStyle w:val="Notedebasdepage"/>
        <w:widowControl w:val="0"/>
        <w:tabs>
          <w:tab w:val="clear" w:pos="1021"/>
          <w:tab w:val="right" w:pos="1020"/>
        </w:tabs>
        <w:rPr>
          <w:lang w:val="fr-FR"/>
        </w:rPr>
      </w:pPr>
      <w:r w:rsidRPr="00A60BAB">
        <w:rPr>
          <w:lang w:val="en-GB"/>
        </w:rPr>
        <w:tab/>
      </w:r>
      <w:r>
        <w:rPr>
          <w:rStyle w:val="Appelnotedebasdep"/>
        </w:rPr>
        <w:footnoteRef/>
      </w:r>
      <w:r w:rsidRPr="00195F3E">
        <w:rPr>
          <w:lang w:val="fr-FR"/>
        </w:rPr>
        <w:tab/>
      </w:r>
      <w:r w:rsidRPr="00E27DBA">
        <w:rPr>
          <w:color w:val="100F12"/>
          <w:szCs w:val="18"/>
          <w:lang w:val="fr-FR"/>
        </w:rPr>
        <w:t>Vo</w:t>
      </w:r>
      <w:r w:rsidRPr="00195F3E">
        <w:rPr>
          <w:color w:val="100F12"/>
          <w:szCs w:val="18"/>
          <w:lang w:val="fr-FR"/>
        </w:rPr>
        <w:t>ir</w:t>
      </w:r>
      <w:r w:rsidRPr="00E27DBA">
        <w:rPr>
          <w:color w:val="100F12"/>
          <w:szCs w:val="18"/>
          <w:lang w:val="fr-FR"/>
        </w:rPr>
        <w:t xml:space="preserve"> </w:t>
      </w:r>
      <w:hyperlink r:id="rId4" w:history="1">
        <w:r w:rsidRPr="00693DE3">
          <w:rPr>
            <w:rStyle w:val="Lienhypertexte"/>
            <w:szCs w:val="18"/>
            <w:lang w:val="fr-FR"/>
          </w:rPr>
          <w:t>www.sem.admin.ch/sem/fr/home/international-rueckkehr/rueckkehrhilfe/individuelle-rkh.html</w:t>
        </w:r>
      </w:hyperlink>
      <w:r w:rsidRPr="00E27DBA">
        <w:rPr>
          <w:color w:val="100F12"/>
          <w:szCs w:val="18"/>
          <w:lang w:val="fr-FR"/>
        </w:rPr>
        <w:t>.</w:t>
      </w:r>
    </w:p>
  </w:footnote>
  <w:footnote w:id="11">
    <w:p w14:paraId="1D16BCCD" w14:textId="214A8B04" w:rsidR="00434CC2" w:rsidRPr="005351E2" w:rsidRDefault="00434CC2" w:rsidP="00434CC2">
      <w:pPr>
        <w:pStyle w:val="Notedebasdepage"/>
        <w:widowControl w:val="0"/>
        <w:tabs>
          <w:tab w:val="clear" w:pos="1021"/>
          <w:tab w:val="right" w:pos="1020"/>
        </w:tabs>
      </w:pPr>
      <w:r w:rsidRPr="00195F3E">
        <w:rPr>
          <w:lang w:val="fr-FR"/>
        </w:rPr>
        <w:tab/>
      </w:r>
      <w:r>
        <w:rPr>
          <w:rStyle w:val="Appelnotedebasdep"/>
        </w:rPr>
        <w:footnoteRef/>
      </w:r>
      <w:r>
        <w:tab/>
      </w:r>
      <w:r w:rsidRPr="00CE54A6">
        <w:rPr>
          <w:szCs w:val="18"/>
          <w:lang w:val="fr-FR"/>
        </w:rPr>
        <w:t xml:space="preserve">L’État partie </w:t>
      </w:r>
      <w:r>
        <w:rPr>
          <w:szCs w:val="18"/>
          <w:lang w:val="fr-FR"/>
        </w:rPr>
        <w:t>renvoie</w:t>
      </w:r>
      <w:r w:rsidRPr="00CE54A6">
        <w:rPr>
          <w:szCs w:val="18"/>
          <w:lang w:val="fr-FR"/>
        </w:rPr>
        <w:t xml:space="preserve"> </w:t>
      </w:r>
      <w:r>
        <w:rPr>
          <w:szCs w:val="18"/>
          <w:lang w:val="fr-FR"/>
        </w:rPr>
        <w:t>à l’</w:t>
      </w:r>
      <w:r w:rsidRPr="00E84876">
        <w:rPr>
          <w:szCs w:val="18"/>
          <w:lang w:val="fr-FR"/>
        </w:rPr>
        <w:t xml:space="preserve">observation générale conjointe </w:t>
      </w:r>
      <w:r w:rsidR="00693DE3" w:rsidRPr="00693DE3">
        <w:rPr>
          <w:rFonts w:eastAsia="MS Mincho"/>
          <w:szCs w:val="22"/>
        </w:rPr>
        <w:t>n</w:t>
      </w:r>
      <w:r w:rsidR="00693DE3" w:rsidRPr="00693DE3">
        <w:rPr>
          <w:rFonts w:eastAsia="MS Mincho"/>
          <w:szCs w:val="22"/>
          <w:vertAlign w:val="superscript"/>
        </w:rPr>
        <w:t>o</w:t>
      </w:r>
      <w:r w:rsidR="00693DE3" w:rsidRPr="00693DE3">
        <w:t> </w:t>
      </w:r>
      <w:r w:rsidRPr="00E84876">
        <w:rPr>
          <w:szCs w:val="18"/>
          <w:lang w:val="fr-FR"/>
        </w:rPr>
        <w:t xml:space="preserve">3 du Comité pour la protection des droits de tous les travailleurs migrants et des membres de leur famille et </w:t>
      </w:r>
      <w:r w:rsidR="00693DE3" w:rsidRPr="00693DE3">
        <w:rPr>
          <w:rFonts w:eastAsia="MS Mincho"/>
          <w:szCs w:val="22"/>
        </w:rPr>
        <w:t>n</w:t>
      </w:r>
      <w:r w:rsidR="00693DE3" w:rsidRPr="00693DE3">
        <w:rPr>
          <w:rFonts w:eastAsia="MS Mincho"/>
          <w:szCs w:val="22"/>
          <w:vertAlign w:val="superscript"/>
        </w:rPr>
        <w:t>o</w:t>
      </w:r>
      <w:r w:rsidR="00693DE3" w:rsidRPr="00693DE3">
        <w:t> </w:t>
      </w:r>
      <w:r w:rsidRPr="00E84876">
        <w:rPr>
          <w:szCs w:val="18"/>
          <w:lang w:val="fr-FR"/>
        </w:rPr>
        <w:t>22 du Comité des droits de l’enfant (2017)</w:t>
      </w:r>
      <w:r w:rsidRPr="00CE54A6">
        <w:rPr>
          <w:rFonts w:eastAsia="Times New Roman"/>
          <w:bCs/>
          <w:szCs w:val="18"/>
          <w:lang w:val="fr-FR" w:eastAsia="en-GB"/>
        </w:rPr>
        <w:t>, par. 45, et à l’</w:t>
      </w:r>
      <w:r>
        <w:rPr>
          <w:rFonts w:eastAsia="Times New Roman"/>
          <w:bCs/>
          <w:szCs w:val="18"/>
          <w:lang w:val="fr-FR" w:eastAsia="en-GB"/>
        </w:rPr>
        <w:t>o</w:t>
      </w:r>
      <w:r w:rsidRPr="00CE54A6">
        <w:rPr>
          <w:rFonts w:eastAsia="Times New Roman"/>
          <w:bCs/>
          <w:szCs w:val="18"/>
          <w:lang w:val="fr-FR" w:eastAsia="en-GB"/>
        </w:rPr>
        <w:t xml:space="preserve">bservation générale </w:t>
      </w:r>
      <w:r w:rsidR="00693DE3" w:rsidRPr="00693DE3">
        <w:rPr>
          <w:rFonts w:eastAsia="MS Mincho"/>
          <w:szCs w:val="22"/>
        </w:rPr>
        <w:t>n</w:t>
      </w:r>
      <w:r w:rsidR="00693DE3" w:rsidRPr="00693DE3">
        <w:rPr>
          <w:rFonts w:eastAsia="MS Mincho"/>
          <w:szCs w:val="22"/>
          <w:vertAlign w:val="superscript"/>
        </w:rPr>
        <w:t>o</w:t>
      </w:r>
      <w:r w:rsidR="00693DE3" w:rsidRPr="00693DE3">
        <w:t> </w:t>
      </w:r>
      <w:r w:rsidRPr="00CE54A6">
        <w:rPr>
          <w:rFonts w:eastAsia="Times New Roman"/>
          <w:bCs/>
          <w:szCs w:val="18"/>
          <w:lang w:val="fr-FR" w:eastAsia="en-GB"/>
        </w:rPr>
        <w:t>6 (2005) du Comité des droits de l’enfant, par.</w:t>
      </w:r>
      <w:r w:rsidR="00693DE3">
        <w:rPr>
          <w:rFonts w:eastAsia="Times New Roman"/>
          <w:bCs/>
          <w:szCs w:val="18"/>
          <w:lang w:val="fr-FR" w:eastAsia="en-GB"/>
        </w:rPr>
        <w:t> </w:t>
      </w:r>
      <w:r w:rsidRPr="00CE54A6">
        <w:rPr>
          <w:rFonts w:eastAsia="Times New Roman"/>
          <w:bCs/>
          <w:szCs w:val="18"/>
          <w:lang w:val="fr-FR" w:eastAsia="en-GB"/>
        </w:rPr>
        <w:t>27.</w:t>
      </w:r>
    </w:p>
  </w:footnote>
  <w:footnote w:id="12">
    <w:p w14:paraId="0C55BC4C" w14:textId="11E43B7F" w:rsidR="00434CC2" w:rsidRPr="005351E2" w:rsidRDefault="00434CC2" w:rsidP="00434CC2">
      <w:pPr>
        <w:pStyle w:val="Notedebasdepage"/>
        <w:widowControl w:val="0"/>
        <w:tabs>
          <w:tab w:val="clear" w:pos="1021"/>
          <w:tab w:val="right" w:pos="1020"/>
        </w:tabs>
      </w:pPr>
      <w:r>
        <w:tab/>
      </w:r>
      <w:r>
        <w:rPr>
          <w:rStyle w:val="Appelnotedebasdep"/>
        </w:rPr>
        <w:footnoteRef/>
      </w:r>
      <w:r>
        <w:tab/>
      </w:r>
      <w:r w:rsidRPr="00CE54A6">
        <w:rPr>
          <w:i/>
          <w:szCs w:val="18"/>
          <w:lang w:val="fr-FR"/>
        </w:rPr>
        <w:t>N.</w:t>
      </w:r>
      <w:r w:rsidR="00693DE3">
        <w:rPr>
          <w:i/>
          <w:szCs w:val="18"/>
          <w:lang w:val="fr-FR"/>
        </w:rPr>
        <w:t> </w:t>
      </w:r>
      <w:r w:rsidRPr="00CE54A6">
        <w:rPr>
          <w:i/>
          <w:szCs w:val="18"/>
          <w:lang w:val="fr-FR"/>
        </w:rPr>
        <w:t>B.</w:t>
      </w:r>
      <w:r w:rsidR="00693DE3">
        <w:rPr>
          <w:i/>
          <w:szCs w:val="18"/>
          <w:lang w:val="fr-FR"/>
        </w:rPr>
        <w:t> </w:t>
      </w:r>
      <w:r w:rsidRPr="00CE54A6">
        <w:rPr>
          <w:i/>
          <w:szCs w:val="18"/>
          <w:lang w:val="fr-FR"/>
        </w:rPr>
        <w:t>F. c. Espagne</w:t>
      </w:r>
      <w:r w:rsidRPr="00CE54A6">
        <w:rPr>
          <w:szCs w:val="18"/>
          <w:lang w:val="fr-FR"/>
        </w:rPr>
        <w:t xml:space="preserve"> (CRC/C/79/D/11/2017), par. 11.3.</w:t>
      </w:r>
    </w:p>
  </w:footnote>
  <w:footnote w:id="13">
    <w:p w14:paraId="50256F73" w14:textId="2C2FB77C" w:rsidR="00434CC2" w:rsidRPr="005351E2" w:rsidRDefault="00434CC2" w:rsidP="00434CC2">
      <w:pPr>
        <w:pStyle w:val="Notedebasdepage"/>
        <w:widowControl w:val="0"/>
        <w:tabs>
          <w:tab w:val="clear" w:pos="1021"/>
          <w:tab w:val="right" w:pos="1020"/>
        </w:tabs>
      </w:pPr>
      <w:r>
        <w:tab/>
      </w:r>
      <w:r>
        <w:rPr>
          <w:rStyle w:val="Appelnotedebasdep"/>
        </w:rPr>
        <w:footnoteRef/>
      </w:r>
      <w:r>
        <w:tab/>
      </w:r>
      <w:r w:rsidRPr="00CE54A6">
        <w:rPr>
          <w:szCs w:val="18"/>
          <w:lang w:val="fr-FR"/>
        </w:rPr>
        <w:t>Observation générale n</w:t>
      </w:r>
      <w:r w:rsidRPr="00195F3E">
        <w:rPr>
          <w:szCs w:val="18"/>
          <w:vertAlign w:val="superscript"/>
          <w:lang w:val="fr-FR"/>
        </w:rPr>
        <w:t>o</w:t>
      </w:r>
      <w:r w:rsidRPr="00CE54A6">
        <w:rPr>
          <w:szCs w:val="18"/>
          <w:lang w:val="fr-FR"/>
        </w:rPr>
        <w:t> 14 (2013)</w:t>
      </w:r>
      <w:r>
        <w:rPr>
          <w:szCs w:val="18"/>
          <w:lang w:val="fr-FR"/>
        </w:rPr>
        <w:t>, par. 6 (al. a))</w:t>
      </w:r>
      <w:r w:rsidRPr="00CE54A6">
        <w:rPr>
          <w:szCs w:val="18"/>
          <w:lang w:val="fr-FR"/>
        </w:rPr>
        <w:t>.</w:t>
      </w:r>
    </w:p>
  </w:footnote>
  <w:footnote w:id="14">
    <w:p w14:paraId="47315F53" w14:textId="3D9ECF5D" w:rsidR="00434CC2" w:rsidRPr="001D3AD0" w:rsidRDefault="00434CC2" w:rsidP="00434CC2">
      <w:pPr>
        <w:pStyle w:val="Notedebasdepage"/>
        <w:widowControl w:val="0"/>
        <w:tabs>
          <w:tab w:val="clear" w:pos="1021"/>
          <w:tab w:val="right" w:pos="1020"/>
        </w:tabs>
      </w:pPr>
      <w:r>
        <w:tab/>
      </w:r>
      <w:r>
        <w:rPr>
          <w:rStyle w:val="Appelnotedebasdep"/>
        </w:rPr>
        <w:footnoteRef/>
      </w:r>
      <w:r>
        <w:tab/>
      </w:r>
      <w:r w:rsidRPr="00CE54A6">
        <w:rPr>
          <w:szCs w:val="18"/>
          <w:lang w:val="fr-FR"/>
        </w:rPr>
        <w:t xml:space="preserve">Le certificat indique également qu’en cas d’interruption du traitement et du suivi, </w:t>
      </w:r>
      <w:r>
        <w:rPr>
          <w:szCs w:val="18"/>
          <w:lang w:val="fr-FR"/>
        </w:rPr>
        <w:t>le</w:t>
      </w:r>
      <w:r w:rsidRPr="00CE54A6">
        <w:rPr>
          <w:szCs w:val="18"/>
          <w:lang w:val="fr-FR"/>
        </w:rPr>
        <w:t xml:space="preserve"> risque de développer </w:t>
      </w:r>
      <w:r>
        <w:rPr>
          <w:szCs w:val="18"/>
          <w:lang w:val="fr-FR"/>
        </w:rPr>
        <w:t>une déficience mentale</w:t>
      </w:r>
      <w:r w:rsidRPr="00CE54A6">
        <w:rPr>
          <w:szCs w:val="18"/>
          <w:lang w:val="fr-FR"/>
        </w:rPr>
        <w:t xml:space="preserve"> sévère </w:t>
      </w:r>
      <w:r>
        <w:rPr>
          <w:szCs w:val="18"/>
          <w:lang w:val="fr-FR"/>
        </w:rPr>
        <w:t>entraînant l’</w:t>
      </w:r>
      <w:r w:rsidRPr="00CE54A6">
        <w:rPr>
          <w:szCs w:val="18"/>
          <w:lang w:val="fr-FR"/>
        </w:rPr>
        <w:t xml:space="preserve">incapacité de suivre une formation professionnelle est élevé. </w:t>
      </w:r>
      <w:r>
        <w:rPr>
          <w:szCs w:val="18"/>
          <w:lang w:val="fr-FR"/>
        </w:rPr>
        <w:t xml:space="preserve">Des problèmes de croissance se traduisant par l’impossibilité d’atteindre une taille adulte normale ainsi que </w:t>
      </w:r>
      <w:r w:rsidRPr="00CE54A6">
        <w:rPr>
          <w:szCs w:val="18"/>
          <w:lang w:val="fr-FR"/>
        </w:rPr>
        <w:t xml:space="preserve">des problèmes osseux, musculaires et cardiaques </w:t>
      </w:r>
      <w:r>
        <w:rPr>
          <w:szCs w:val="18"/>
          <w:lang w:val="fr-FR"/>
        </w:rPr>
        <w:t>sont</w:t>
      </w:r>
      <w:r w:rsidRPr="00CE54A6">
        <w:rPr>
          <w:szCs w:val="18"/>
          <w:lang w:val="fr-FR"/>
        </w:rPr>
        <w:t xml:space="preserve"> à prévoir.</w:t>
      </w:r>
    </w:p>
  </w:footnote>
  <w:footnote w:id="15">
    <w:p w14:paraId="4C22D71B" w14:textId="77777777" w:rsidR="00434CC2" w:rsidRPr="001D3AD0" w:rsidRDefault="00434CC2" w:rsidP="00434CC2">
      <w:pPr>
        <w:pStyle w:val="Notedebasdepage"/>
        <w:widowControl w:val="0"/>
        <w:tabs>
          <w:tab w:val="clear" w:pos="1021"/>
          <w:tab w:val="right" w:pos="1020"/>
        </w:tabs>
      </w:pPr>
      <w:r>
        <w:tab/>
      </w:r>
      <w:r>
        <w:rPr>
          <w:rStyle w:val="Appelnotedebasdep"/>
        </w:rPr>
        <w:footnoteRef/>
      </w:r>
      <w:r>
        <w:tab/>
      </w:r>
      <w:r w:rsidRPr="00CE54A6">
        <w:rPr>
          <w:szCs w:val="18"/>
          <w:lang w:val="fr-FR"/>
        </w:rPr>
        <w:t xml:space="preserve">L’État partie </w:t>
      </w:r>
      <w:r>
        <w:rPr>
          <w:szCs w:val="18"/>
          <w:lang w:val="fr-FR"/>
        </w:rPr>
        <w:t>renvoie</w:t>
      </w:r>
      <w:r w:rsidRPr="00CE54A6">
        <w:rPr>
          <w:szCs w:val="18"/>
          <w:lang w:val="fr-FR"/>
        </w:rPr>
        <w:t xml:space="preserve"> aux articles 55 (</w:t>
      </w:r>
      <w:r>
        <w:rPr>
          <w:szCs w:val="18"/>
          <w:lang w:val="fr-FR"/>
        </w:rPr>
        <w:t xml:space="preserve">par. </w:t>
      </w:r>
      <w:r w:rsidRPr="00CE54A6">
        <w:rPr>
          <w:szCs w:val="18"/>
          <w:lang w:val="fr-FR"/>
        </w:rPr>
        <w:t xml:space="preserve">3) et 56 de la </w:t>
      </w:r>
      <w:r>
        <w:rPr>
          <w:szCs w:val="18"/>
          <w:lang w:val="fr-FR"/>
        </w:rPr>
        <w:t>l</w:t>
      </w:r>
      <w:r w:rsidRPr="00CE54A6">
        <w:rPr>
          <w:szCs w:val="18"/>
          <w:lang w:val="fr-FR"/>
        </w:rPr>
        <w:t>oi fédérale du 20 décembre 1968</w:t>
      </w:r>
      <w:r>
        <w:rPr>
          <w:szCs w:val="18"/>
          <w:lang w:val="fr-FR"/>
        </w:rPr>
        <w:t xml:space="preserve"> </w:t>
      </w:r>
      <w:r w:rsidRPr="00CE54A6">
        <w:rPr>
          <w:szCs w:val="18"/>
          <w:lang w:val="fr-FR"/>
        </w:rPr>
        <w:t>sur la procédure administrative.</w:t>
      </w:r>
      <w:r>
        <w:t xml:space="preserve"> </w:t>
      </w:r>
    </w:p>
  </w:footnote>
  <w:footnote w:id="16">
    <w:p w14:paraId="6FA30C7C" w14:textId="3511BF4E" w:rsidR="00434CC2" w:rsidRPr="00A904EF" w:rsidRDefault="00434CC2" w:rsidP="00434CC2">
      <w:pPr>
        <w:pStyle w:val="Notedebasdepage"/>
        <w:widowControl w:val="0"/>
        <w:tabs>
          <w:tab w:val="clear" w:pos="1021"/>
          <w:tab w:val="right" w:pos="1020"/>
        </w:tabs>
      </w:pPr>
      <w:r>
        <w:tab/>
      </w:r>
      <w:r>
        <w:rPr>
          <w:rStyle w:val="Appelnotedebasdep"/>
        </w:rPr>
        <w:footnoteRef/>
      </w:r>
      <w:r>
        <w:tab/>
      </w:r>
      <w:r>
        <w:rPr>
          <w:szCs w:val="18"/>
          <w:lang w:val="fr-FR"/>
        </w:rPr>
        <w:t>Secrétariat d’État aux migrations</w:t>
      </w:r>
      <w:r w:rsidRPr="00CE54A6">
        <w:rPr>
          <w:szCs w:val="18"/>
          <w:lang w:val="fr-FR"/>
        </w:rPr>
        <w:t>, « Le recours contre les décisions négatives en matière d’asile », p.</w:t>
      </w:r>
      <w:r w:rsidR="005428FF">
        <w:rPr>
          <w:szCs w:val="18"/>
          <w:lang w:val="fr-FR"/>
        </w:rPr>
        <w:t> </w:t>
      </w:r>
      <w:r w:rsidRPr="00CE54A6">
        <w:rPr>
          <w:szCs w:val="18"/>
          <w:lang w:val="fr-FR"/>
        </w:rPr>
        <w:t>14.</w:t>
      </w:r>
    </w:p>
  </w:footnote>
  <w:footnote w:id="17">
    <w:p w14:paraId="5D22DD8B" w14:textId="6161A013" w:rsidR="00434CC2" w:rsidRPr="00A904EF" w:rsidRDefault="00434CC2" w:rsidP="00434CC2">
      <w:pPr>
        <w:pStyle w:val="Notedebasdepage"/>
        <w:widowControl w:val="0"/>
        <w:tabs>
          <w:tab w:val="clear" w:pos="1021"/>
          <w:tab w:val="right" w:pos="1020"/>
        </w:tabs>
      </w:pPr>
      <w:r>
        <w:tab/>
      </w:r>
      <w:r>
        <w:rPr>
          <w:rStyle w:val="Appelnotedebasdep"/>
        </w:rPr>
        <w:footnoteRef/>
      </w:r>
      <w:r>
        <w:tab/>
      </w:r>
      <w:r w:rsidRPr="00CE54A6">
        <w:rPr>
          <w:i/>
          <w:szCs w:val="18"/>
          <w:lang w:val="fr-FR"/>
        </w:rPr>
        <w:t>N.</w:t>
      </w:r>
      <w:r w:rsidR="005428FF">
        <w:rPr>
          <w:i/>
          <w:szCs w:val="18"/>
          <w:lang w:val="fr-FR"/>
        </w:rPr>
        <w:t> </w:t>
      </w:r>
      <w:r w:rsidRPr="00CE54A6">
        <w:rPr>
          <w:i/>
          <w:szCs w:val="18"/>
          <w:lang w:val="fr-FR"/>
        </w:rPr>
        <w:t>B.</w:t>
      </w:r>
      <w:r w:rsidR="005428FF">
        <w:rPr>
          <w:i/>
          <w:szCs w:val="18"/>
          <w:lang w:val="fr-FR"/>
        </w:rPr>
        <w:t> </w:t>
      </w:r>
      <w:r w:rsidRPr="00CE54A6">
        <w:rPr>
          <w:i/>
          <w:szCs w:val="18"/>
          <w:lang w:val="fr-FR"/>
        </w:rPr>
        <w:t>F. c. Espagne</w:t>
      </w:r>
      <w:r w:rsidRPr="00CE54A6">
        <w:rPr>
          <w:szCs w:val="18"/>
          <w:lang w:val="fr-FR"/>
        </w:rPr>
        <w:t xml:space="preserve"> (CRC/C/79/D/11/2017), par. 11.3 ; </w:t>
      </w:r>
      <w:r w:rsidRPr="00CE54A6">
        <w:rPr>
          <w:i/>
          <w:szCs w:val="18"/>
          <w:lang w:val="fr-FR"/>
        </w:rPr>
        <w:t>A.</w:t>
      </w:r>
      <w:r w:rsidR="005428FF">
        <w:rPr>
          <w:i/>
          <w:szCs w:val="18"/>
          <w:lang w:val="fr-FR"/>
        </w:rPr>
        <w:t> </w:t>
      </w:r>
      <w:r w:rsidRPr="00CE54A6">
        <w:rPr>
          <w:i/>
          <w:szCs w:val="18"/>
          <w:lang w:val="fr-FR"/>
        </w:rPr>
        <w:t xml:space="preserve">D. c. Espagne </w:t>
      </w:r>
      <w:r w:rsidRPr="00CE54A6">
        <w:rPr>
          <w:szCs w:val="18"/>
          <w:lang w:val="fr-FR"/>
        </w:rPr>
        <w:t>(</w:t>
      </w:r>
      <w:r w:rsidRPr="00CE54A6">
        <w:rPr>
          <w:color w:val="000000"/>
          <w:szCs w:val="18"/>
        </w:rPr>
        <w:t>CRC/C/83/D/21/2017), par.</w:t>
      </w:r>
      <w:r w:rsidR="005428FF">
        <w:rPr>
          <w:color w:val="000000"/>
          <w:szCs w:val="18"/>
        </w:rPr>
        <w:t> </w:t>
      </w:r>
      <w:r w:rsidRPr="00CE54A6">
        <w:rPr>
          <w:color w:val="000000"/>
          <w:szCs w:val="18"/>
        </w:rPr>
        <w:t>10.3.</w:t>
      </w:r>
    </w:p>
  </w:footnote>
  <w:footnote w:id="18">
    <w:p w14:paraId="1D99F7F0" w14:textId="09E5A9AA" w:rsidR="00434CC2" w:rsidRPr="00A904EF" w:rsidRDefault="00434CC2" w:rsidP="00434CC2">
      <w:pPr>
        <w:pStyle w:val="Notedebasdepage"/>
        <w:widowControl w:val="0"/>
        <w:tabs>
          <w:tab w:val="clear" w:pos="1021"/>
          <w:tab w:val="right" w:pos="1020"/>
        </w:tabs>
      </w:pPr>
      <w:r>
        <w:tab/>
      </w:r>
      <w:r>
        <w:rPr>
          <w:rStyle w:val="Appelnotedebasdep"/>
        </w:rPr>
        <w:footnoteRef/>
      </w:r>
      <w:r>
        <w:tab/>
      </w:r>
      <w:r>
        <w:rPr>
          <w:i/>
          <w:szCs w:val="18"/>
        </w:rPr>
        <w:t>U.</w:t>
      </w:r>
      <w:r w:rsidR="005428FF">
        <w:rPr>
          <w:i/>
          <w:szCs w:val="18"/>
        </w:rPr>
        <w:t> </w:t>
      </w:r>
      <w:r>
        <w:rPr>
          <w:i/>
          <w:szCs w:val="18"/>
        </w:rPr>
        <w:t>A.</w:t>
      </w:r>
      <w:r w:rsidR="005428FF">
        <w:rPr>
          <w:i/>
          <w:szCs w:val="18"/>
        </w:rPr>
        <w:t> </w:t>
      </w:r>
      <w:r>
        <w:rPr>
          <w:i/>
          <w:szCs w:val="18"/>
        </w:rPr>
        <w:t xml:space="preserve">I. </w:t>
      </w:r>
      <w:r w:rsidRPr="00CE54A6">
        <w:rPr>
          <w:i/>
          <w:szCs w:val="18"/>
        </w:rPr>
        <w:t>c. Espagne</w:t>
      </w:r>
      <w:r w:rsidRPr="00CE54A6">
        <w:rPr>
          <w:szCs w:val="18"/>
        </w:rPr>
        <w:t xml:space="preserve"> (</w:t>
      </w:r>
      <w:r w:rsidRPr="00CE54A6">
        <w:rPr>
          <w:color w:val="000000"/>
          <w:szCs w:val="18"/>
        </w:rPr>
        <w:t>CRC/C/73/D/2/2015</w:t>
      </w:r>
      <w:r w:rsidRPr="00CE54A6">
        <w:rPr>
          <w:szCs w:val="18"/>
        </w:rPr>
        <w:t xml:space="preserve">), par. 4.4 ; </w:t>
      </w:r>
      <w:r>
        <w:rPr>
          <w:i/>
          <w:szCs w:val="18"/>
        </w:rPr>
        <w:t>Y et Z</w:t>
      </w:r>
      <w:r w:rsidRPr="00CE54A6">
        <w:rPr>
          <w:i/>
          <w:szCs w:val="18"/>
        </w:rPr>
        <w:t xml:space="preserve"> c. Finlande</w:t>
      </w:r>
      <w:r w:rsidRPr="00CE54A6">
        <w:rPr>
          <w:szCs w:val="18"/>
        </w:rPr>
        <w:t xml:space="preserve"> (</w:t>
      </w:r>
      <w:r w:rsidRPr="00CE54A6">
        <w:rPr>
          <w:color w:val="000000"/>
          <w:szCs w:val="18"/>
        </w:rPr>
        <w:t>CRC/C/81/D/6/2016</w:t>
      </w:r>
      <w:r w:rsidRPr="00CE54A6">
        <w:rPr>
          <w:szCs w:val="18"/>
        </w:rPr>
        <w:t>) par. 9.3.</w:t>
      </w:r>
    </w:p>
  </w:footnote>
  <w:footnote w:id="19">
    <w:p w14:paraId="36C96EE1" w14:textId="4AAA9814" w:rsidR="00434CC2" w:rsidRPr="00A904EF" w:rsidRDefault="00434CC2" w:rsidP="00434CC2">
      <w:pPr>
        <w:pStyle w:val="Notedebasdepage"/>
        <w:widowControl w:val="0"/>
        <w:tabs>
          <w:tab w:val="clear" w:pos="1021"/>
          <w:tab w:val="right" w:pos="1020"/>
        </w:tabs>
      </w:pPr>
      <w:r>
        <w:tab/>
      </w:r>
      <w:r>
        <w:rPr>
          <w:rStyle w:val="Appelnotedebasdep"/>
        </w:rPr>
        <w:footnoteRef/>
      </w:r>
      <w:r>
        <w:tab/>
      </w:r>
      <w:r w:rsidRPr="00CE54A6">
        <w:rPr>
          <w:i/>
          <w:szCs w:val="18"/>
        </w:rPr>
        <w:t>A.</w:t>
      </w:r>
      <w:r w:rsidR="005428FF">
        <w:rPr>
          <w:i/>
          <w:szCs w:val="18"/>
        </w:rPr>
        <w:t> </w:t>
      </w:r>
      <w:r w:rsidRPr="00CE54A6">
        <w:rPr>
          <w:i/>
          <w:szCs w:val="18"/>
        </w:rPr>
        <w:t>S. c. Danemark</w:t>
      </w:r>
      <w:r w:rsidRPr="00CE54A6">
        <w:rPr>
          <w:szCs w:val="18"/>
        </w:rPr>
        <w:t xml:space="preserve"> (CRC/C/82/D/36/2017), par. 9.9.</w:t>
      </w:r>
    </w:p>
  </w:footnote>
  <w:footnote w:id="20">
    <w:p w14:paraId="68AF8C85" w14:textId="51691F1C" w:rsidR="00434CC2" w:rsidRPr="00A904EF" w:rsidRDefault="00434CC2" w:rsidP="00434CC2">
      <w:pPr>
        <w:pStyle w:val="Notedebasdepage"/>
        <w:widowControl w:val="0"/>
        <w:tabs>
          <w:tab w:val="clear" w:pos="1021"/>
          <w:tab w:val="right" w:pos="1020"/>
        </w:tabs>
      </w:pPr>
      <w:r>
        <w:tab/>
      </w:r>
      <w:r>
        <w:rPr>
          <w:rStyle w:val="Appelnotedebasdep"/>
        </w:rPr>
        <w:footnoteRef/>
      </w:r>
      <w:r>
        <w:tab/>
      </w:r>
      <w:r w:rsidRPr="00CE54A6">
        <w:rPr>
          <w:i/>
          <w:szCs w:val="18"/>
        </w:rPr>
        <w:t>M. T. c. Espagne</w:t>
      </w:r>
      <w:r w:rsidRPr="00CE54A6">
        <w:rPr>
          <w:szCs w:val="18"/>
        </w:rPr>
        <w:t xml:space="preserve"> (CRC/C/82/D/17/2017), par. 12.5 ; </w:t>
      </w:r>
      <w:r w:rsidRPr="00CE54A6">
        <w:rPr>
          <w:i/>
          <w:szCs w:val="18"/>
        </w:rPr>
        <w:t>C. R. c. Paraguay</w:t>
      </w:r>
      <w:r w:rsidRPr="00CE54A6">
        <w:rPr>
          <w:szCs w:val="18"/>
        </w:rPr>
        <w:t xml:space="preserve"> (CRC/C/83/D/30/2017), par.</w:t>
      </w:r>
      <w:r w:rsidR="005428FF">
        <w:rPr>
          <w:szCs w:val="18"/>
        </w:rPr>
        <w:t> </w:t>
      </w:r>
      <w:r w:rsidRPr="00CE54A6">
        <w:rPr>
          <w:szCs w:val="18"/>
        </w:rPr>
        <w:t xml:space="preserve">7.5 ; </w:t>
      </w:r>
      <w:r w:rsidRPr="00CE54A6">
        <w:rPr>
          <w:i/>
          <w:szCs w:val="18"/>
        </w:rPr>
        <w:t>J. A. B. c. Espagne</w:t>
      </w:r>
      <w:r w:rsidRPr="00CE54A6">
        <w:rPr>
          <w:szCs w:val="18"/>
        </w:rPr>
        <w:t xml:space="preserve"> (CRC/C/81/D/22/2017), par. 12.5 ; </w:t>
      </w:r>
      <w:r>
        <w:rPr>
          <w:i/>
          <w:szCs w:val="18"/>
        </w:rPr>
        <w:t>E.</w:t>
      </w:r>
      <w:r w:rsidR="005428FF">
        <w:rPr>
          <w:i/>
          <w:szCs w:val="18"/>
        </w:rPr>
        <w:t> </w:t>
      </w:r>
      <w:r>
        <w:rPr>
          <w:i/>
          <w:szCs w:val="18"/>
        </w:rPr>
        <w:t>A. et U.</w:t>
      </w:r>
      <w:r w:rsidR="005428FF">
        <w:rPr>
          <w:i/>
          <w:szCs w:val="18"/>
        </w:rPr>
        <w:t> </w:t>
      </w:r>
      <w:r>
        <w:rPr>
          <w:i/>
          <w:szCs w:val="18"/>
        </w:rPr>
        <w:t>A.</w:t>
      </w:r>
      <w:r w:rsidRPr="00CE54A6">
        <w:rPr>
          <w:i/>
          <w:szCs w:val="18"/>
        </w:rPr>
        <w:t xml:space="preserve"> c. Suisse </w:t>
      </w:r>
      <w:r w:rsidRPr="00CE54A6">
        <w:rPr>
          <w:szCs w:val="18"/>
        </w:rPr>
        <w:t>(CRC/C/85/D/56/2018), par. 6.7.</w:t>
      </w:r>
    </w:p>
  </w:footnote>
  <w:footnote w:id="21">
    <w:p w14:paraId="31AEC1E7" w14:textId="213D7325" w:rsidR="00434CC2" w:rsidRPr="00A904EF" w:rsidRDefault="00434CC2" w:rsidP="00434CC2">
      <w:pPr>
        <w:pStyle w:val="Notedebasdepage"/>
        <w:widowControl w:val="0"/>
        <w:tabs>
          <w:tab w:val="clear" w:pos="1021"/>
          <w:tab w:val="right" w:pos="1020"/>
        </w:tabs>
      </w:pPr>
      <w:r>
        <w:tab/>
      </w:r>
      <w:r>
        <w:rPr>
          <w:rStyle w:val="Appelnotedebasdep"/>
        </w:rPr>
        <w:footnoteRef/>
      </w:r>
      <w:r>
        <w:tab/>
        <w:t xml:space="preserve">Observation générale </w:t>
      </w:r>
      <w:r w:rsidR="005428FF" w:rsidRPr="002D76F4">
        <w:rPr>
          <w:rFonts w:eastAsia="MS Mincho"/>
          <w:szCs w:val="22"/>
        </w:rPr>
        <w:t>n</w:t>
      </w:r>
      <w:r w:rsidR="005428FF" w:rsidRPr="002D76F4">
        <w:rPr>
          <w:rFonts w:eastAsia="MS Mincho"/>
          <w:szCs w:val="22"/>
          <w:vertAlign w:val="superscript"/>
        </w:rPr>
        <w:t>o</w:t>
      </w:r>
      <w:r w:rsidR="005428FF">
        <w:t> </w:t>
      </w:r>
      <w:r>
        <w:t>6 (2005), par. 27.</w:t>
      </w:r>
    </w:p>
  </w:footnote>
  <w:footnote w:id="22">
    <w:p w14:paraId="185190DD" w14:textId="4579E097" w:rsidR="00434CC2" w:rsidRPr="00A904EF" w:rsidRDefault="00434CC2" w:rsidP="00434CC2">
      <w:pPr>
        <w:pStyle w:val="Notedebasdepage"/>
        <w:widowControl w:val="0"/>
        <w:tabs>
          <w:tab w:val="clear" w:pos="1021"/>
          <w:tab w:val="right" w:pos="1020"/>
        </w:tabs>
      </w:pPr>
      <w:r>
        <w:tab/>
      </w:r>
      <w:r>
        <w:rPr>
          <w:rStyle w:val="Appelnotedebasdep"/>
        </w:rPr>
        <w:footnoteRef/>
      </w:r>
      <w:r>
        <w:tab/>
      </w:r>
      <w:r>
        <w:rPr>
          <w:i/>
          <w:szCs w:val="18"/>
        </w:rPr>
        <w:t>K.</w:t>
      </w:r>
      <w:r w:rsidR="005428FF">
        <w:rPr>
          <w:i/>
          <w:szCs w:val="18"/>
        </w:rPr>
        <w:t> </w:t>
      </w:r>
      <w:r>
        <w:rPr>
          <w:i/>
          <w:szCs w:val="18"/>
        </w:rPr>
        <w:t>Y.</w:t>
      </w:r>
      <w:r w:rsidR="005428FF">
        <w:rPr>
          <w:i/>
          <w:szCs w:val="18"/>
        </w:rPr>
        <w:t> </w:t>
      </w:r>
      <w:r>
        <w:rPr>
          <w:i/>
          <w:szCs w:val="18"/>
        </w:rPr>
        <w:t>M.</w:t>
      </w:r>
      <w:r w:rsidRPr="00CE54A6">
        <w:rPr>
          <w:i/>
          <w:szCs w:val="18"/>
        </w:rPr>
        <w:t xml:space="preserve"> c. Danemark </w:t>
      </w:r>
      <w:r w:rsidRPr="00CE54A6">
        <w:rPr>
          <w:szCs w:val="18"/>
        </w:rPr>
        <w:t xml:space="preserve">(CRC/C/77/D/3/2016), par. 11.8 ; </w:t>
      </w:r>
      <w:r>
        <w:rPr>
          <w:i/>
          <w:szCs w:val="18"/>
        </w:rPr>
        <w:t>X.</w:t>
      </w:r>
      <w:r w:rsidR="005428FF">
        <w:rPr>
          <w:i/>
          <w:szCs w:val="18"/>
        </w:rPr>
        <w:t> </w:t>
      </w:r>
      <w:r>
        <w:rPr>
          <w:i/>
          <w:szCs w:val="18"/>
        </w:rPr>
        <w:t>C., L</w:t>
      </w:r>
      <w:r w:rsidR="005428FF">
        <w:rPr>
          <w:i/>
          <w:szCs w:val="18"/>
        </w:rPr>
        <w:t> </w:t>
      </w:r>
      <w:r>
        <w:rPr>
          <w:i/>
          <w:szCs w:val="18"/>
        </w:rPr>
        <w:t>.G. et W.</w:t>
      </w:r>
      <w:r w:rsidR="005428FF">
        <w:rPr>
          <w:i/>
          <w:szCs w:val="18"/>
        </w:rPr>
        <w:t> </w:t>
      </w:r>
      <w:r>
        <w:rPr>
          <w:i/>
          <w:szCs w:val="18"/>
        </w:rPr>
        <w:t>G.</w:t>
      </w:r>
      <w:r w:rsidRPr="00CE54A6">
        <w:rPr>
          <w:i/>
          <w:szCs w:val="18"/>
        </w:rPr>
        <w:t xml:space="preserve"> c. Danemark</w:t>
      </w:r>
      <w:r w:rsidRPr="00CE54A6">
        <w:rPr>
          <w:szCs w:val="18"/>
        </w:rPr>
        <w:t xml:space="preserve"> (CRC/C/85/D/31/2017), par. 8.3.</w:t>
      </w:r>
    </w:p>
  </w:footnote>
  <w:footnote w:id="23">
    <w:p w14:paraId="0C2F2EE0" w14:textId="63D05FCB" w:rsidR="00434CC2" w:rsidRPr="00A904EF" w:rsidRDefault="00434CC2" w:rsidP="00434CC2">
      <w:pPr>
        <w:pStyle w:val="Notedebasdepage"/>
        <w:widowControl w:val="0"/>
        <w:tabs>
          <w:tab w:val="clear" w:pos="1021"/>
          <w:tab w:val="right" w:pos="1020"/>
        </w:tabs>
      </w:pPr>
      <w:r>
        <w:tab/>
      </w:r>
      <w:r>
        <w:rPr>
          <w:rStyle w:val="Appelnotedebasdep"/>
        </w:rPr>
        <w:footnoteRef/>
      </w:r>
      <w:r>
        <w:tab/>
      </w:r>
      <w:r w:rsidRPr="00CE54A6">
        <w:rPr>
          <w:i/>
          <w:iCs/>
          <w:szCs w:val="18"/>
        </w:rPr>
        <w:t xml:space="preserve">C. E. c. Belgique </w:t>
      </w:r>
      <w:r w:rsidRPr="00CE54A6">
        <w:rPr>
          <w:szCs w:val="18"/>
        </w:rPr>
        <w:t xml:space="preserve">(CRC/C/79/D/12/2017), par. 8.4 ; </w:t>
      </w:r>
      <w:r>
        <w:rPr>
          <w:i/>
          <w:szCs w:val="18"/>
        </w:rPr>
        <w:t>E.</w:t>
      </w:r>
      <w:r w:rsidR="005428FF">
        <w:rPr>
          <w:i/>
          <w:szCs w:val="18"/>
        </w:rPr>
        <w:t> </w:t>
      </w:r>
      <w:r>
        <w:rPr>
          <w:i/>
          <w:szCs w:val="18"/>
        </w:rPr>
        <w:t>A. et U.</w:t>
      </w:r>
      <w:r w:rsidR="005428FF">
        <w:rPr>
          <w:i/>
          <w:szCs w:val="18"/>
        </w:rPr>
        <w:t> </w:t>
      </w:r>
      <w:r>
        <w:rPr>
          <w:i/>
          <w:szCs w:val="18"/>
        </w:rPr>
        <w:t>A.</w:t>
      </w:r>
      <w:r w:rsidRPr="00CE54A6">
        <w:rPr>
          <w:i/>
          <w:szCs w:val="18"/>
        </w:rPr>
        <w:t xml:space="preserve"> c. Suisse</w:t>
      </w:r>
      <w:r w:rsidRPr="00CE54A6">
        <w:rPr>
          <w:szCs w:val="18"/>
        </w:rPr>
        <w:t>, par. 7.2.</w:t>
      </w:r>
    </w:p>
  </w:footnote>
  <w:footnote w:id="24">
    <w:p w14:paraId="092610E2" w14:textId="05FC47CE" w:rsidR="00434CC2" w:rsidRPr="00195F3E" w:rsidRDefault="00434CC2" w:rsidP="00434CC2">
      <w:pPr>
        <w:pStyle w:val="Notedebasdepage"/>
        <w:rPr>
          <w:lang w:val="fr-FR"/>
        </w:rPr>
      </w:pPr>
      <w:r>
        <w:tab/>
      </w:r>
      <w:r>
        <w:rPr>
          <w:rStyle w:val="Appelnotedebasdep"/>
        </w:rPr>
        <w:footnoteRef/>
      </w:r>
      <w:r>
        <w:tab/>
        <w:t>O</w:t>
      </w:r>
      <w:r w:rsidRPr="00C06EC6">
        <w:t xml:space="preserve">bservation générale conjointe </w:t>
      </w:r>
      <w:r w:rsidR="003435C9" w:rsidRPr="002D76F4">
        <w:rPr>
          <w:rFonts w:eastAsia="MS Mincho"/>
          <w:szCs w:val="22"/>
        </w:rPr>
        <w:t>n</w:t>
      </w:r>
      <w:r w:rsidR="003435C9" w:rsidRPr="002D76F4">
        <w:rPr>
          <w:rFonts w:eastAsia="MS Mincho"/>
          <w:szCs w:val="22"/>
          <w:vertAlign w:val="superscript"/>
        </w:rPr>
        <w:t>o</w:t>
      </w:r>
      <w:r w:rsidR="003435C9">
        <w:rPr>
          <w:rFonts w:eastAsia="MS Mincho"/>
          <w:szCs w:val="22"/>
          <w:vertAlign w:val="superscript"/>
        </w:rPr>
        <w:t>s</w:t>
      </w:r>
      <w:r w:rsidR="003435C9">
        <w:t> </w:t>
      </w:r>
      <w:r w:rsidRPr="00C06EC6">
        <w:t xml:space="preserve">3 du Comité pour la protection des droits de tous les travailleurs migrants et des membres de leur famille et </w:t>
      </w:r>
      <w:r w:rsidR="003435C9" w:rsidRPr="002D76F4">
        <w:rPr>
          <w:rFonts w:eastAsia="MS Mincho"/>
          <w:szCs w:val="22"/>
        </w:rPr>
        <w:t>n</w:t>
      </w:r>
      <w:r w:rsidR="003435C9" w:rsidRPr="002D76F4">
        <w:rPr>
          <w:rFonts w:eastAsia="MS Mincho"/>
          <w:szCs w:val="22"/>
          <w:vertAlign w:val="superscript"/>
        </w:rPr>
        <w:t>o</w:t>
      </w:r>
      <w:r w:rsidR="003435C9">
        <w:t> </w:t>
      </w:r>
      <w:r w:rsidRPr="00C06EC6">
        <w:t>22 du Comité des droits de l’enfant (2017)</w:t>
      </w:r>
      <w:r>
        <w:t>, par.</w:t>
      </w:r>
      <w:r w:rsidR="003435C9">
        <w:t> </w:t>
      </w:r>
      <w:r>
        <w:t>32</w:t>
      </w:r>
      <w:r w:rsidR="003435C9">
        <w:t> </w:t>
      </w:r>
      <w:r>
        <w:t>(al.</w:t>
      </w:r>
      <w:r w:rsidR="003435C9">
        <w:t> </w:t>
      </w:r>
      <w:r>
        <w:t>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414A" w14:textId="4A62C9E9" w:rsidR="00434CC2" w:rsidRPr="00434CC2" w:rsidRDefault="007566D8">
    <w:pPr>
      <w:pStyle w:val="En-tte"/>
    </w:pPr>
    <w:r>
      <w:fldChar w:fldCharType="begin"/>
    </w:r>
    <w:r>
      <w:instrText xml:space="preserve"> TITLE  \* MERGEFORMAT </w:instrText>
    </w:r>
    <w:r>
      <w:fldChar w:fldCharType="separate"/>
    </w:r>
    <w:r>
      <w:t>CRC/C/87/D/86/2019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0DE4D" w14:textId="62CAE615" w:rsidR="00434CC2" w:rsidRPr="00434CC2" w:rsidRDefault="007566D8" w:rsidP="00434CC2">
    <w:pPr>
      <w:pStyle w:val="En-tte"/>
      <w:jc w:val="right"/>
    </w:pPr>
    <w:r>
      <w:fldChar w:fldCharType="begin"/>
    </w:r>
    <w:r>
      <w:instrText xml:space="preserve"> TITLE  \* MERGEFORMAT </w:instrText>
    </w:r>
    <w:r>
      <w:fldChar w:fldCharType="separate"/>
    </w:r>
    <w:r>
      <w:t>CRC/C/87/D/86/2019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7520BB"/>
    <w:multiLevelType w:val="multilevel"/>
    <w:tmpl w:val="9F48F4F6"/>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43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440" w:hanging="1440"/>
      </w:pPr>
      <w:rPr>
        <w:rFonts w:ascii="Times New Roman" w:hAnsi="Times New Roman" w:cs="Times New Roman" w:hint="default"/>
        <w:sz w:val="24"/>
      </w:rPr>
    </w:lvl>
    <w:lvl w:ilvl="5">
      <w:start w:val="1"/>
      <w:numFmt w:val="decimal"/>
      <w:lvlText w:val="%1.%2.%3.%4.%5.%6"/>
      <w:lvlJc w:val="left"/>
      <w:pPr>
        <w:ind w:left="1800" w:hanging="180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2160" w:hanging="2160"/>
      </w:pPr>
      <w:rPr>
        <w:rFonts w:ascii="Times New Roman" w:hAnsi="Times New Roman" w:cs="Times New Roman" w:hint="default"/>
        <w:sz w:val="24"/>
      </w:rPr>
    </w:lvl>
    <w:lvl w:ilvl="8">
      <w:start w:val="1"/>
      <w:numFmt w:val="decimal"/>
      <w:lvlText w:val="%1.%2.%3.%4.%5.%6.%7.%8.%9"/>
      <w:lvlJc w:val="left"/>
      <w:pPr>
        <w:ind w:left="2520" w:hanging="2520"/>
      </w:pPr>
      <w:rPr>
        <w:rFonts w:ascii="Times New Roman" w:hAnsi="Times New Roman" w:cs="Times New Roman" w:hint="default"/>
        <w:sz w:val="24"/>
      </w:rPr>
    </w:lvl>
  </w:abstractNum>
  <w:abstractNum w:abstractNumId="12" w15:restartNumberingAfterBreak="0">
    <w:nsid w:val="15BA34C5"/>
    <w:multiLevelType w:val="hybridMultilevel"/>
    <w:tmpl w:val="2FD21A8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8BE411C"/>
    <w:multiLevelType w:val="hybridMultilevel"/>
    <w:tmpl w:val="7FE620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4"/>
  </w:num>
  <w:num w:numId="16">
    <w:abstractNumId w:val="10"/>
  </w:num>
  <w:num w:numId="17">
    <w:abstractNumId w:val="15"/>
  </w:num>
  <w:num w:numId="18">
    <w:abstractNumId w:val="14"/>
  </w:num>
  <w:num w:numId="19">
    <w:abstractNumId w:val="10"/>
  </w:num>
  <w:num w:numId="20">
    <w:abstractNumId w:val="11"/>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A1"/>
    <w:rsid w:val="00017F94"/>
    <w:rsid w:val="00023842"/>
    <w:rsid w:val="000334F9"/>
    <w:rsid w:val="000354E9"/>
    <w:rsid w:val="0007796D"/>
    <w:rsid w:val="000B70FF"/>
    <w:rsid w:val="000B7790"/>
    <w:rsid w:val="000D7D50"/>
    <w:rsid w:val="00105350"/>
    <w:rsid w:val="00111F2F"/>
    <w:rsid w:val="0014365E"/>
    <w:rsid w:val="00176178"/>
    <w:rsid w:val="001A2076"/>
    <w:rsid w:val="001F525A"/>
    <w:rsid w:val="001F5C10"/>
    <w:rsid w:val="00223272"/>
    <w:rsid w:val="0024779E"/>
    <w:rsid w:val="00260A30"/>
    <w:rsid w:val="002764A9"/>
    <w:rsid w:val="002B027E"/>
    <w:rsid w:val="002D14A3"/>
    <w:rsid w:val="00311E81"/>
    <w:rsid w:val="00340ED0"/>
    <w:rsid w:val="003435C9"/>
    <w:rsid w:val="00411C8E"/>
    <w:rsid w:val="00434CC2"/>
    <w:rsid w:val="00436724"/>
    <w:rsid w:val="00446FE5"/>
    <w:rsid w:val="00452396"/>
    <w:rsid w:val="00485B35"/>
    <w:rsid w:val="004D7A2C"/>
    <w:rsid w:val="005428FF"/>
    <w:rsid w:val="005505B7"/>
    <w:rsid w:val="00573BE5"/>
    <w:rsid w:val="00586ED3"/>
    <w:rsid w:val="00596AA9"/>
    <w:rsid w:val="00653FA1"/>
    <w:rsid w:val="00693DE3"/>
    <w:rsid w:val="0071601D"/>
    <w:rsid w:val="007341B7"/>
    <w:rsid w:val="007566D8"/>
    <w:rsid w:val="00760CBC"/>
    <w:rsid w:val="00767569"/>
    <w:rsid w:val="007A62E6"/>
    <w:rsid w:val="007B67EA"/>
    <w:rsid w:val="007F61AD"/>
    <w:rsid w:val="0080684C"/>
    <w:rsid w:val="00840413"/>
    <w:rsid w:val="00871C75"/>
    <w:rsid w:val="008776DC"/>
    <w:rsid w:val="008C54BD"/>
    <w:rsid w:val="008E1B97"/>
    <w:rsid w:val="008F3CA0"/>
    <w:rsid w:val="00916954"/>
    <w:rsid w:val="00932AA1"/>
    <w:rsid w:val="009705C8"/>
    <w:rsid w:val="009718F9"/>
    <w:rsid w:val="009869B7"/>
    <w:rsid w:val="00A30353"/>
    <w:rsid w:val="00A31839"/>
    <w:rsid w:val="00AC3823"/>
    <w:rsid w:val="00AE323C"/>
    <w:rsid w:val="00B00181"/>
    <w:rsid w:val="00B24A9B"/>
    <w:rsid w:val="00B765F7"/>
    <w:rsid w:val="00BA0CA9"/>
    <w:rsid w:val="00BD41D7"/>
    <w:rsid w:val="00C02897"/>
    <w:rsid w:val="00D3439C"/>
    <w:rsid w:val="00DB1831"/>
    <w:rsid w:val="00DD3BFD"/>
    <w:rsid w:val="00DF6678"/>
    <w:rsid w:val="00EF6BB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07C0A"/>
  <w15:docId w15:val="{41B63CBB-AA38-45F5-82F7-604ADB23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character" w:customStyle="1" w:styleId="SingleTxtGChar">
    <w:name w:val="_ Single Txt_G Char"/>
    <w:link w:val="SingleTxtG"/>
    <w:rsid w:val="00434CC2"/>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Footnote Refernece,Ref"/>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fn"/>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fn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paragraph" w:styleId="Commentaire">
    <w:name w:val="annotation text"/>
    <w:basedOn w:val="Normal"/>
    <w:link w:val="CommentaireCar"/>
    <w:uiPriority w:val="99"/>
    <w:unhideWhenUsed/>
    <w:rsid w:val="00434CC2"/>
    <w:pPr>
      <w:spacing w:line="240" w:lineRule="auto"/>
    </w:pPr>
  </w:style>
  <w:style w:type="character" w:customStyle="1" w:styleId="CommentaireCar">
    <w:name w:val="Commentaire Car"/>
    <w:basedOn w:val="Policepardfaut"/>
    <w:link w:val="Commentaire"/>
    <w:uiPriority w:val="99"/>
    <w:rsid w:val="00434CC2"/>
    <w:rPr>
      <w:rFonts w:ascii="Times New Roman" w:eastAsiaTheme="minorHAnsi" w:hAnsi="Times New Roman" w:cs="Times New Roman"/>
      <w:sz w:val="20"/>
      <w:szCs w:val="20"/>
      <w:lang w:eastAsia="en-US"/>
    </w:rPr>
  </w:style>
  <w:style w:type="character" w:customStyle="1" w:styleId="ObjetducommentaireCar">
    <w:name w:val="Objet du commentaire Car"/>
    <w:basedOn w:val="CommentaireCar"/>
    <w:link w:val="Objetducommentaire"/>
    <w:uiPriority w:val="99"/>
    <w:semiHidden/>
    <w:rsid w:val="00434CC2"/>
    <w:rPr>
      <w:rFonts w:ascii="Times New Roman" w:eastAsiaTheme="minorHAnsi" w:hAnsi="Times New Roman" w:cs="Times New Roman"/>
      <w:b/>
      <w:bCs/>
      <w:sz w:val="20"/>
      <w:szCs w:val="20"/>
      <w:lang w:eastAsia="en-US"/>
    </w:rPr>
  </w:style>
  <w:style w:type="paragraph" w:styleId="Objetducommentaire">
    <w:name w:val="annotation subject"/>
    <w:basedOn w:val="Commentaire"/>
    <w:next w:val="Commentaire"/>
    <w:link w:val="ObjetducommentaireCar"/>
    <w:uiPriority w:val="99"/>
    <w:semiHidden/>
    <w:unhideWhenUsed/>
    <w:rsid w:val="00434CC2"/>
    <w:rPr>
      <w:b/>
      <w:bCs/>
    </w:rPr>
  </w:style>
  <w:style w:type="paragraph" w:styleId="NormalWeb">
    <w:name w:val="Normal (Web)"/>
    <w:basedOn w:val="Normal"/>
    <w:uiPriority w:val="99"/>
    <w:unhideWhenUsed/>
    <w:rsid w:val="00434CC2"/>
    <w:pPr>
      <w:suppressAutoHyphens w:val="0"/>
      <w:kinsoku/>
      <w:overflowPunct/>
      <w:autoSpaceDE/>
      <w:autoSpaceDN/>
      <w:adjustRightInd/>
      <w:snapToGrid/>
      <w:spacing w:after="165" w:line="240" w:lineRule="auto"/>
    </w:pPr>
    <w:rPr>
      <w:rFonts w:eastAsia="Times New Roman"/>
      <w:sz w:val="26"/>
      <w:szCs w:val="26"/>
      <w:lang w:val="de-CH" w:eastAsia="de-CH"/>
    </w:rPr>
  </w:style>
  <w:style w:type="paragraph" w:styleId="Paragraphedeliste">
    <w:name w:val="List Paragraph"/>
    <w:basedOn w:val="Normal"/>
    <w:uiPriority w:val="34"/>
    <w:qFormat/>
    <w:rsid w:val="00434CC2"/>
    <w:pPr>
      <w:suppressAutoHyphens w:val="0"/>
      <w:kinsoku/>
      <w:overflowPunct/>
      <w:autoSpaceDE/>
      <w:autoSpaceDN/>
      <w:adjustRightInd/>
      <w:snapToGrid/>
      <w:spacing w:line="240" w:lineRule="auto"/>
      <w:ind w:left="720"/>
      <w:contextualSpacing/>
    </w:pPr>
    <w:rPr>
      <w:rFonts w:asciiTheme="minorHAnsi" w:hAnsiTheme="minorHAnsi" w:cstheme="minorBidi"/>
      <w:sz w:val="22"/>
      <w:szCs w:val="22"/>
      <w:lang w:val="de-CH"/>
    </w:rPr>
  </w:style>
  <w:style w:type="paragraph" w:customStyle="1" w:styleId="Default">
    <w:name w:val="Default"/>
    <w:rsid w:val="00434CC2"/>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Mentionnonrsolue">
    <w:name w:val="Unresolved Mention"/>
    <w:basedOn w:val="Policepardfaut"/>
    <w:uiPriority w:val="99"/>
    <w:semiHidden/>
    <w:unhideWhenUsed/>
    <w:rsid w:val="00693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old.slcp.lk/management-of-congenital-hypothyroidism/" TargetMode="External"/><Relationship Id="rId2" Type="http://schemas.openxmlformats.org/officeDocument/2006/relationships/hyperlink" Target="https://www.ohchr.org/Documents/HRBodies/CRC/CVMembers/CV_BragiGudbrandsson.docx" TargetMode="External"/><Relationship Id="rId1" Type="http://schemas.openxmlformats.org/officeDocument/2006/relationships/hyperlink" Target="https://www.ohchr.org/Documents/HRBodies/CRC/Elections2020/CV_RinchenCHOPHEL.docx" TargetMode="External"/><Relationship Id="rId4" Type="http://schemas.openxmlformats.org/officeDocument/2006/relationships/hyperlink" Target="https://www.sem.admin.ch/sem/fr/home/international-rueckkehr/rueckkehrhilfe/individuelle-rk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11</Pages>
  <Words>6485</Words>
  <Characters>36966</Characters>
  <Application>Microsoft Office Word</Application>
  <DocSecurity>0</DocSecurity>
  <Lines>308</Lines>
  <Paragraphs>86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CRC/C/87/D/86/2019</vt:lpstr>
      <vt:lpstr>    Constatations adoptées par le Comité au titre du Protocole facultatif à la Con</vt:lpstr>
    </vt:vector>
  </TitlesOfParts>
  <Company>DCM</Company>
  <LinksUpToDate>false</LinksUpToDate>
  <CharactersWithSpaces>43365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CRC/C/87/D/86/2019</dc:title>
  <dc:subject/>
  <dc:creator>Corinne ROBERT</dc:creator>
  <cp:keywords/>
  <cp:lastModifiedBy>Corinne ROBERT</cp:lastModifiedBy>
  <cp:revision>3</cp:revision>
  <cp:lastPrinted>2021-07-21T07:14:00Z</cp:lastPrinted>
  <dcterms:created xsi:type="dcterms:W3CDTF">2021-07-21T07:14:00Z</dcterms:created>
  <dcterms:modified xsi:type="dcterms:W3CDTF">2021-07-21T07:14:00Z</dcterms:modified>
</cp:coreProperties>
</file>