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A0AF5" w:rsidRPr="006A0AF5" w14:paraId="022A7FF6" w14:textId="77777777" w:rsidTr="008F3CA0">
        <w:trPr>
          <w:trHeight w:hRule="exact" w:val="851"/>
        </w:trPr>
        <w:tc>
          <w:tcPr>
            <w:tcW w:w="1276" w:type="dxa"/>
            <w:tcBorders>
              <w:bottom w:val="single" w:sz="4" w:space="0" w:color="auto"/>
            </w:tcBorders>
          </w:tcPr>
          <w:p w14:paraId="15B00208" w14:textId="77777777" w:rsidR="000354E9" w:rsidRPr="006A0AF5" w:rsidRDefault="000354E9" w:rsidP="00EB0FF2">
            <w:pPr>
              <w:rPr>
                <w:color w:val="000000" w:themeColor="text1"/>
              </w:rPr>
            </w:pPr>
          </w:p>
        </w:tc>
        <w:tc>
          <w:tcPr>
            <w:tcW w:w="2268" w:type="dxa"/>
            <w:tcBorders>
              <w:bottom w:val="single" w:sz="4" w:space="0" w:color="auto"/>
            </w:tcBorders>
            <w:vAlign w:val="bottom"/>
          </w:tcPr>
          <w:p w14:paraId="1C4AB8F6" w14:textId="77777777" w:rsidR="000354E9" w:rsidRPr="006A0AF5" w:rsidRDefault="000354E9" w:rsidP="008F3CA0">
            <w:pPr>
              <w:spacing w:after="80" w:line="300" w:lineRule="exact"/>
              <w:rPr>
                <w:color w:val="000000" w:themeColor="text1"/>
                <w:sz w:val="28"/>
              </w:rPr>
            </w:pPr>
            <w:r w:rsidRPr="006A0AF5">
              <w:rPr>
                <w:color w:val="000000" w:themeColor="text1"/>
                <w:sz w:val="28"/>
              </w:rPr>
              <w:t>Nations Unies</w:t>
            </w:r>
          </w:p>
        </w:tc>
        <w:tc>
          <w:tcPr>
            <w:tcW w:w="6095" w:type="dxa"/>
            <w:gridSpan w:val="2"/>
            <w:tcBorders>
              <w:bottom w:val="single" w:sz="4" w:space="0" w:color="auto"/>
            </w:tcBorders>
            <w:vAlign w:val="bottom"/>
          </w:tcPr>
          <w:p w14:paraId="79A676DA" w14:textId="5D7BDBA3" w:rsidR="000354E9" w:rsidRPr="006A0AF5" w:rsidRDefault="00EB0FF2" w:rsidP="00EB0FF2">
            <w:pPr>
              <w:jc w:val="right"/>
              <w:rPr>
                <w:color w:val="000000" w:themeColor="text1"/>
              </w:rPr>
            </w:pPr>
            <w:r w:rsidRPr="006A0AF5">
              <w:rPr>
                <w:color w:val="000000" w:themeColor="text1"/>
                <w:sz w:val="40"/>
              </w:rPr>
              <w:t>CRC</w:t>
            </w:r>
            <w:r w:rsidRPr="006A0AF5">
              <w:rPr>
                <w:color w:val="000000" w:themeColor="text1"/>
              </w:rPr>
              <w:t>/C/87/1</w:t>
            </w:r>
          </w:p>
        </w:tc>
      </w:tr>
      <w:tr w:rsidR="006A0AF5" w:rsidRPr="006A0AF5" w14:paraId="35AB4CFA" w14:textId="77777777" w:rsidTr="008F3CA0">
        <w:trPr>
          <w:trHeight w:hRule="exact" w:val="2835"/>
        </w:trPr>
        <w:tc>
          <w:tcPr>
            <w:tcW w:w="1276" w:type="dxa"/>
            <w:tcBorders>
              <w:top w:val="single" w:sz="4" w:space="0" w:color="auto"/>
              <w:bottom w:val="single" w:sz="12" w:space="0" w:color="auto"/>
            </w:tcBorders>
          </w:tcPr>
          <w:p w14:paraId="337BB019" w14:textId="77777777" w:rsidR="000354E9" w:rsidRPr="006A0AF5" w:rsidRDefault="000354E9" w:rsidP="008F3CA0">
            <w:pPr>
              <w:spacing w:before="120"/>
              <w:jc w:val="center"/>
              <w:rPr>
                <w:color w:val="000000" w:themeColor="text1"/>
              </w:rPr>
            </w:pPr>
            <w:r w:rsidRPr="006A0AF5">
              <w:rPr>
                <w:noProof/>
                <w:color w:val="000000" w:themeColor="text1"/>
                <w:lang w:eastAsia="fr-CH"/>
              </w:rPr>
              <w:drawing>
                <wp:inline distT="0" distB="0" distL="0" distR="0" wp14:anchorId="1B5A40CB" wp14:editId="70745C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1F7D9C" w14:textId="77777777" w:rsidR="000354E9" w:rsidRPr="006A0AF5" w:rsidRDefault="000354E9" w:rsidP="008F3CA0">
            <w:pPr>
              <w:spacing w:before="120" w:line="460" w:lineRule="exact"/>
              <w:rPr>
                <w:b/>
                <w:color w:val="000000" w:themeColor="text1"/>
                <w:sz w:val="40"/>
                <w:szCs w:val="40"/>
              </w:rPr>
            </w:pPr>
            <w:r w:rsidRPr="006A0AF5">
              <w:rPr>
                <w:b/>
                <w:color w:val="000000" w:themeColor="text1"/>
                <w:sz w:val="40"/>
                <w:szCs w:val="40"/>
              </w:rPr>
              <w:t>Convention relative</w:t>
            </w:r>
            <w:r w:rsidRPr="006A0AF5">
              <w:rPr>
                <w:b/>
                <w:color w:val="000000" w:themeColor="text1"/>
                <w:sz w:val="40"/>
                <w:szCs w:val="40"/>
              </w:rPr>
              <w:br/>
              <w:t>aux droits de l’enfant</w:t>
            </w:r>
          </w:p>
        </w:tc>
        <w:tc>
          <w:tcPr>
            <w:tcW w:w="2835" w:type="dxa"/>
            <w:tcBorders>
              <w:top w:val="single" w:sz="4" w:space="0" w:color="auto"/>
              <w:bottom w:val="single" w:sz="12" w:space="0" w:color="auto"/>
            </w:tcBorders>
          </w:tcPr>
          <w:p w14:paraId="38F2202E" w14:textId="77777777" w:rsidR="000354E9" w:rsidRPr="006A0AF5" w:rsidRDefault="00EB0FF2" w:rsidP="008F3CA0">
            <w:pPr>
              <w:spacing w:before="240"/>
              <w:rPr>
                <w:color w:val="000000" w:themeColor="text1"/>
              </w:rPr>
            </w:pPr>
            <w:r w:rsidRPr="006A0AF5">
              <w:rPr>
                <w:color w:val="000000" w:themeColor="text1"/>
              </w:rPr>
              <w:t>Distr. générale</w:t>
            </w:r>
          </w:p>
          <w:p w14:paraId="4C3A07E2" w14:textId="77777777" w:rsidR="00EB0FF2" w:rsidRPr="006A0AF5" w:rsidRDefault="00EB0FF2" w:rsidP="00EB0FF2">
            <w:pPr>
              <w:spacing w:line="240" w:lineRule="exact"/>
              <w:rPr>
                <w:color w:val="000000" w:themeColor="text1"/>
              </w:rPr>
            </w:pPr>
            <w:r w:rsidRPr="006A0AF5">
              <w:rPr>
                <w:color w:val="000000" w:themeColor="text1"/>
              </w:rPr>
              <w:t>9 avril 2021</w:t>
            </w:r>
          </w:p>
          <w:p w14:paraId="5DFFFE9D" w14:textId="77777777" w:rsidR="00EB0FF2" w:rsidRPr="006A0AF5" w:rsidRDefault="00EB0FF2" w:rsidP="00EB0FF2">
            <w:pPr>
              <w:spacing w:line="240" w:lineRule="exact"/>
              <w:rPr>
                <w:color w:val="000000" w:themeColor="text1"/>
              </w:rPr>
            </w:pPr>
            <w:r w:rsidRPr="006A0AF5">
              <w:rPr>
                <w:color w:val="000000" w:themeColor="text1"/>
              </w:rPr>
              <w:t>Français</w:t>
            </w:r>
          </w:p>
          <w:p w14:paraId="6A9A796E" w14:textId="5F0B3C34" w:rsidR="00EB0FF2" w:rsidRPr="006A0AF5" w:rsidRDefault="00EB0FF2" w:rsidP="00EB0FF2">
            <w:pPr>
              <w:spacing w:line="240" w:lineRule="exact"/>
              <w:rPr>
                <w:color w:val="000000" w:themeColor="text1"/>
              </w:rPr>
            </w:pPr>
            <w:r w:rsidRPr="006A0AF5">
              <w:rPr>
                <w:color w:val="000000" w:themeColor="text1"/>
              </w:rPr>
              <w:t>Original</w:t>
            </w:r>
            <w:r w:rsidR="002C5F8F" w:rsidRPr="006A0AF5">
              <w:rPr>
                <w:color w:val="000000" w:themeColor="text1"/>
              </w:rPr>
              <w:t> :</w:t>
            </w:r>
            <w:r w:rsidRPr="006A0AF5">
              <w:rPr>
                <w:color w:val="000000" w:themeColor="text1"/>
              </w:rPr>
              <w:t xml:space="preserve"> anglais</w:t>
            </w:r>
          </w:p>
          <w:p w14:paraId="7222A1EF" w14:textId="14E9B638" w:rsidR="00EB0FF2" w:rsidRPr="006A0AF5" w:rsidRDefault="00EB0FF2" w:rsidP="00EB0FF2">
            <w:pPr>
              <w:spacing w:line="240" w:lineRule="exact"/>
              <w:rPr>
                <w:color w:val="000000" w:themeColor="text1"/>
              </w:rPr>
            </w:pPr>
            <w:r w:rsidRPr="006A0AF5">
              <w:rPr>
                <w:color w:val="000000" w:themeColor="text1"/>
              </w:rPr>
              <w:t>Anglais, espagnol et français seulement</w:t>
            </w:r>
          </w:p>
        </w:tc>
      </w:tr>
    </w:tbl>
    <w:p w14:paraId="07B4F61B" w14:textId="77777777" w:rsidR="002D14A3" w:rsidRPr="006A0AF5" w:rsidRDefault="002D14A3" w:rsidP="002D14A3">
      <w:pPr>
        <w:spacing w:before="120"/>
        <w:rPr>
          <w:b/>
          <w:color w:val="000000" w:themeColor="text1"/>
          <w:sz w:val="24"/>
          <w:szCs w:val="24"/>
        </w:rPr>
      </w:pPr>
      <w:r w:rsidRPr="006A0AF5">
        <w:rPr>
          <w:b/>
          <w:color w:val="000000" w:themeColor="text1"/>
          <w:sz w:val="24"/>
          <w:szCs w:val="24"/>
        </w:rPr>
        <w:t>Comité des droits de l’enfant</w:t>
      </w:r>
    </w:p>
    <w:p w14:paraId="4AFA4B64" w14:textId="77777777" w:rsidR="002C5F8F" w:rsidRPr="006A0AF5" w:rsidRDefault="002C5F8F" w:rsidP="002C5F8F">
      <w:pPr>
        <w:rPr>
          <w:b/>
          <w:bCs/>
          <w:color w:val="000000" w:themeColor="text1"/>
          <w:lang w:val="fr-FR"/>
        </w:rPr>
      </w:pPr>
      <w:r w:rsidRPr="006A0AF5">
        <w:rPr>
          <w:b/>
          <w:bCs/>
          <w:color w:val="000000" w:themeColor="text1"/>
          <w:lang w:val="fr-FR"/>
        </w:rPr>
        <w:t>Quatre-vingt-septième session</w:t>
      </w:r>
    </w:p>
    <w:p w14:paraId="7F2B13E4" w14:textId="77777777" w:rsidR="002C5F8F" w:rsidRPr="006A0AF5" w:rsidRDefault="002C5F8F" w:rsidP="002C5F8F">
      <w:pPr>
        <w:rPr>
          <w:color w:val="000000" w:themeColor="text1"/>
          <w:lang w:val="fr-FR"/>
        </w:rPr>
      </w:pPr>
      <w:r w:rsidRPr="006A0AF5">
        <w:rPr>
          <w:color w:val="000000" w:themeColor="text1"/>
          <w:lang w:val="fr-FR"/>
        </w:rPr>
        <w:t>17 mai-4 juin 2021</w:t>
      </w:r>
    </w:p>
    <w:p w14:paraId="32A714E1" w14:textId="77777777" w:rsidR="002C5F8F" w:rsidRPr="006A0AF5" w:rsidRDefault="002C5F8F" w:rsidP="002C5F8F">
      <w:pPr>
        <w:rPr>
          <w:color w:val="000000" w:themeColor="text1"/>
          <w:lang w:val="fr-FR"/>
        </w:rPr>
      </w:pPr>
      <w:r w:rsidRPr="006A0AF5">
        <w:rPr>
          <w:color w:val="000000" w:themeColor="text1"/>
          <w:lang w:val="fr-FR"/>
        </w:rPr>
        <w:t>Point 1 de l’ordre du jour provisoire</w:t>
      </w:r>
    </w:p>
    <w:p w14:paraId="4ED8C9BD" w14:textId="77777777" w:rsidR="002C5F8F" w:rsidRPr="006A0AF5" w:rsidRDefault="002C5F8F" w:rsidP="002C5F8F">
      <w:pPr>
        <w:rPr>
          <w:b/>
          <w:bCs/>
          <w:color w:val="000000" w:themeColor="text1"/>
          <w:lang w:val="fr-FR"/>
        </w:rPr>
      </w:pPr>
      <w:r w:rsidRPr="006A0AF5">
        <w:rPr>
          <w:b/>
          <w:bCs/>
          <w:color w:val="000000" w:themeColor="text1"/>
          <w:lang w:val="fr-FR"/>
        </w:rPr>
        <w:t>Adoption de l’ordre du jour</w:t>
      </w:r>
    </w:p>
    <w:p w14:paraId="6DC034DE" w14:textId="77777777" w:rsidR="002C5F8F" w:rsidRPr="006A0AF5" w:rsidRDefault="002C5F8F" w:rsidP="006A0AF5">
      <w:pPr>
        <w:pStyle w:val="HChG"/>
        <w:rPr>
          <w:color w:val="000000" w:themeColor="text1"/>
          <w:lang w:val="fr-FR"/>
        </w:rPr>
      </w:pPr>
      <w:r w:rsidRPr="006A0AF5">
        <w:rPr>
          <w:color w:val="000000" w:themeColor="text1"/>
          <w:lang w:val="fr-FR"/>
        </w:rPr>
        <w:tab/>
      </w:r>
      <w:r w:rsidRPr="006A0AF5">
        <w:rPr>
          <w:color w:val="000000" w:themeColor="text1"/>
          <w:lang w:val="fr-FR"/>
        </w:rPr>
        <w:tab/>
        <w:t>Ordre du jour provisoire annoté</w:t>
      </w:r>
      <w:r w:rsidRPr="006A0AF5">
        <w:rPr>
          <w:rStyle w:val="Appelnotedebasdep"/>
          <w:b w:val="0"/>
          <w:bCs/>
          <w:color w:val="000000" w:themeColor="text1"/>
          <w:sz w:val="20"/>
          <w:vertAlign w:val="baseline"/>
        </w:rPr>
        <w:footnoteReference w:customMarkFollows="1" w:id="2"/>
        <w:t>*</w:t>
      </w:r>
    </w:p>
    <w:p w14:paraId="01B9275B" w14:textId="77777777" w:rsidR="002C5F8F" w:rsidRPr="006A0AF5" w:rsidRDefault="002C5F8F" w:rsidP="006A0AF5">
      <w:pPr>
        <w:pStyle w:val="H1G"/>
        <w:rPr>
          <w:color w:val="000000" w:themeColor="text1"/>
          <w:lang w:val="fr-FR"/>
        </w:rPr>
      </w:pPr>
      <w:r w:rsidRPr="006A0AF5">
        <w:rPr>
          <w:color w:val="000000" w:themeColor="text1"/>
          <w:lang w:val="fr-FR"/>
        </w:rPr>
        <w:tab/>
      </w:r>
      <w:bookmarkStart w:id="0" w:name="_Hlk58850847"/>
      <w:r w:rsidRPr="006A0AF5">
        <w:rPr>
          <w:color w:val="000000" w:themeColor="text1"/>
          <w:lang w:val="fr-FR"/>
        </w:rPr>
        <w:tab/>
        <w:t>Ordre du jour provisoire</w:t>
      </w:r>
      <w:bookmarkStart w:id="1" w:name="_Toc15985910"/>
      <w:bookmarkEnd w:id="1"/>
    </w:p>
    <w:p w14:paraId="37278788" w14:textId="77777777" w:rsidR="002C5F8F" w:rsidRPr="006A0AF5" w:rsidRDefault="002C5F8F" w:rsidP="002C5F8F">
      <w:pPr>
        <w:pStyle w:val="SingleTxtG"/>
        <w:tabs>
          <w:tab w:val="clear" w:pos="1701"/>
          <w:tab w:val="clear" w:pos="2268"/>
          <w:tab w:val="clear" w:pos="2835"/>
        </w:tabs>
        <w:ind w:left="1701" w:hanging="567"/>
        <w:jc w:val="left"/>
        <w:rPr>
          <w:color w:val="000000" w:themeColor="text1"/>
          <w:lang w:val="fr-FR"/>
        </w:rPr>
      </w:pPr>
      <w:r w:rsidRPr="006A0AF5">
        <w:rPr>
          <w:color w:val="000000" w:themeColor="text1"/>
          <w:lang w:val="fr-FR"/>
        </w:rPr>
        <w:t>1.</w:t>
      </w:r>
      <w:r w:rsidRPr="006A0AF5">
        <w:rPr>
          <w:color w:val="000000" w:themeColor="text1"/>
          <w:lang w:val="fr-FR"/>
        </w:rPr>
        <w:tab/>
        <w:t>Adoption de l’ordre du jour.</w:t>
      </w:r>
    </w:p>
    <w:p w14:paraId="02872C1A"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2.</w:t>
      </w:r>
      <w:r w:rsidRPr="006A0AF5">
        <w:rPr>
          <w:color w:val="000000" w:themeColor="text1"/>
          <w:lang w:val="fr-FR"/>
        </w:rPr>
        <w:tab/>
        <w:t>Questions d’organisation.</w:t>
      </w:r>
    </w:p>
    <w:p w14:paraId="16B394B3"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3.</w:t>
      </w:r>
      <w:r w:rsidRPr="006A0AF5">
        <w:rPr>
          <w:color w:val="000000" w:themeColor="text1"/>
          <w:lang w:val="fr-FR"/>
        </w:rPr>
        <w:tab/>
        <w:t>Soumission de rapports par les États parties.</w:t>
      </w:r>
    </w:p>
    <w:p w14:paraId="025C53CD"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4.</w:t>
      </w:r>
      <w:r w:rsidRPr="006A0AF5">
        <w:rPr>
          <w:color w:val="000000" w:themeColor="text1"/>
          <w:lang w:val="fr-FR"/>
        </w:rPr>
        <w:tab/>
        <w:t>Examen des rapports des États parties.</w:t>
      </w:r>
    </w:p>
    <w:p w14:paraId="2B078F81"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5.</w:t>
      </w:r>
      <w:r w:rsidRPr="006A0AF5">
        <w:rPr>
          <w:color w:val="000000" w:themeColor="text1"/>
          <w:lang w:val="fr-FR"/>
        </w:rPr>
        <w:tab/>
        <w:t>Coopération avec d’autres organismes des Nations Unies, les institutions spécialisées et d’autres organismes compétents.</w:t>
      </w:r>
    </w:p>
    <w:p w14:paraId="5C190BE6"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6.</w:t>
      </w:r>
      <w:r w:rsidRPr="006A0AF5">
        <w:rPr>
          <w:color w:val="000000" w:themeColor="text1"/>
          <w:lang w:val="fr-FR"/>
        </w:rPr>
        <w:tab/>
        <w:t>Méthodes de travail du Comité et processus de renforcement des organes conventionnels.</w:t>
      </w:r>
    </w:p>
    <w:p w14:paraId="47EA64B3" w14:textId="4D1DA7B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7.</w:t>
      </w:r>
      <w:r w:rsidRPr="006A0AF5">
        <w:rPr>
          <w:color w:val="000000" w:themeColor="text1"/>
          <w:lang w:val="fr-FR"/>
        </w:rPr>
        <w:tab/>
        <w:t>Activités menées par le Comité au titre du Protocole facultatif à la Convention relative aux droits de l’enfant établissant une procédure de présentation de</w:t>
      </w:r>
      <w:r w:rsidR="006A0AF5" w:rsidRPr="006A0AF5">
        <w:rPr>
          <w:color w:val="000000" w:themeColor="text1"/>
          <w:lang w:val="fr-FR"/>
        </w:rPr>
        <w:t> </w:t>
      </w:r>
      <w:r w:rsidRPr="006A0AF5">
        <w:rPr>
          <w:color w:val="000000" w:themeColor="text1"/>
          <w:lang w:val="fr-FR"/>
        </w:rPr>
        <w:t>communications.</w:t>
      </w:r>
    </w:p>
    <w:p w14:paraId="06260152"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8.</w:t>
      </w:r>
      <w:r w:rsidRPr="006A0AF5">
        <w:rPr>
          <w:color w:val="000000" w:themeColor="text1"/>
          <w:lang w:val="fr-FR"/>
        </w:rPr>
        <w:tab/>
        <w:t>Journée de débat général.</w:t>
      </w:r>
    </w:p>
    <w:p w14:paraId="7B0D558B"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9.</w:t>
      </w:r>
      <w:r w:rsidRPr="006A0AF5">
        <w:rPr>
          <w:color w:val="000000" w:themeColor="text1"/>
          <w:lang w:val="fr-FR"/>
        </w:rPr>
        <w:tab/>
        <w:t>Observations générales.</w:t>
      </w:r>
    </w:p>
    <w:p w14:paraId="49979C86"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10.</w:t>
      </w:r>
      <w:r w:rsidRPr="006A0AF5">
        <w:rPr>
          <w:color w:val="000000" w:themeColor="text1"/>
          <w:lang w:val="fr-FR"/>
        </w:rPr>
        <w:tab/>
        <w:t>Sessions futures.</w:t>
      </w:r>
    </w:p>
    <w:p w14:paraId="585C913A" w14:textId="77777777" w:rsidR="002C5F8F" w:rsidRPr="006A0AF5" w:rsidRDefault="002C5F8F" w:rsidP="002C5F8F">
      <w:pPr>
        <w:pStyle w:val="SingleTxtG"/>
        <w:ind w:left="1701" w:hanging="567"/>
        <w:jc w:val="left"/>
        <w:rPr>
          <w:color w:val="000000" w:themeColor="text1"/>
          <w:lang w:val="fr-FR"/>
        </w:rPr>
      </w:pPr>
      <w:r w:rsidRPr="006A0AF5">
        <w:rPr>
          <w:color w:val="000000" w:themeColor="text1"/>
          <w:lang w:val="fr-FR"/>
        </w:rPr>
        <w:t>11.</w:t>
      </w:r>
      <w:r w:rsidRPr="006A0AF5">
        <w:rPr>
          <w:color w:val="000000" w:themeColor="text1"/>
          <w:lang w:val="fr-FR"/>
        </w:rPr>
        <w:tab/>
        <w:t>Questions diverses.</w:t>
      </w:r>
    </w:p>
    <w:bookmarkEnd w:id="0"/>
    <w:p w14:paraId="723C4206" w14:textId="77777777" w:rsidR="002C5F8F" w:rsidRPr="006A0AF5" w:rsidRDefault="002C5F8F" w:rsidP="006A0AF5">
      <w:pPr>
        <w:pStyle w:val="H1G"/>
        <w:rPr>
          <w:color w:val="000000" w:themeColor="text1"/>
          <w:lang w:val="fr-FR"/>
        </w:rPr>
      </w:pPr>
      <w:r w:rsidRPr="006A0AF5">
        <w:rPr>
          <w:color w:val="000000" w:themeColor="text1"/>
          <w:lang w:val="fr-FR"/>
        </w:rPr>
        <w:tab/>
      </w:r>
      <w:r w:rsidRPr="006A0AF5">
        <w:rPr>
          <w:color w:val="000000" w:themeColor="text1"/>
          <w:lang w:val="fr-FR"/>
        </w:rPr>
        <w:tab/>
        <w:t>Annotations</w:t>
      </w:r>
      <w:bookmarkStart w:id="2" w:name="_Toc15985911"/>
      <w:bookmarkEnd w:id="2"/>
    </w:p>
    <w:p w14:paraId="0CBDC5DC" w14:textId="77777777" w:rsidR="002C5F8F" w:rsidRPr="006A0AF5" w:rsidRDefault="002C5F8F" w:rsidP="006A0AF5">
      <w:pPr>
        <w:pStyle w:val="H23G"/>
        <w:rPr>
          <w:color w:val="000000" w:themeColor="text1"/>
          <w:lang w:val="fr-FR"/>
        </w:rPr>
      </w:pPr>
      <w:r w:rsidRPr="006A0AF5">
        <w:rPr>
          <w:color w:val="000000" w:themeColor="text1"/>
          <w:lang w:val="fr-FR"/>
        </w:rPr>
        <w:tab/>
        <w:t>1.</w:t>
      </w:r>
      <w:r w:rsidRPr="006A0AF5">
        <w:rPr>
          <w:color w:val="000000" w:themeColor="text1"/>
          <w:lang w:val="fr-FR"/>
        </w:rPr>
        <w:tab/>
        <w:t>Adoption de l’ordre du jour</w:t>
      </w:r>
      <w:bookmarkStart w:id="3" w:name="_Toc15985912"/>
      <w:bookmarkEnd w:id="3"/>
    </w:p>
    <w:p w14:paraId="675C4F21" w14:textId="5D01AB66" w:rsidR="002C5F8F" w:rsidRPr="006A0AF5" w:rsidRDefault="002C5F8F" w:rsidP="002C5F8F">
      <w:pPr>
        <w:pStyle w:val="SingleTxtG"/>
        <w:ind w:firstLine="567"/>
        <w:rPr>
          <w:color w:val="000000" w:themeColor="text1"/>
          <w:lang w:val="fr-FR"/>
        </w:rPr>
      </w:pPr>
      <w:r w:rsidRPr="006A0AF5">
        <w:rPr>
          <w:color w:val="000000" w:themeColor="text1"/>
          <w:lang w:val="fr-FR"/>
        </w:rPr>
        <w:t>Conformément à l’article</w:t>
      </w:r>
      <w:r w:rsidR="006A0AF5" w:rsidRPr="006A0AF5">
        <w:rPr>
          <w:color w:val="000000" w:themeColor="text1"/>
          <w:lang w:val="fr-FR"/>
        </w:rPr>
        <w:t xml:space="preserve"> </w:t>
      </w:r>
      <w:r w:rsidRPr="006A0AF5">
        <w:rPr>
          <w:color w:val="000000" w:themeColor="text1"/>
          <w:lang w:val="fr-FR"/>
        </w:rPr>
        <w:t>9 de son règlement intérieur, le Comité des droits de l’enfant peut réviser l’ordre du jour et, s’il y a lieu, ajouter, ajourner ou supprimer des points. Seuls</w:t>
      </w:r>
      <w:r w:rsidR="006A0AF5" w:rsidRPr="006A0AF5">
        <w:rPr>
          <w:color w:val="000000" w:themeColor="text1"/>
          <w:lang w:val="fr-FR"/>
        </w:rPr>
        <w:t xml:space="preserve"> </w:t>
      </w:r>
      <w:r w:rsidRPr="006A0AF5">
        <w:rPr>
          <w:color w:val="000000" w:themeColor="text1"/>
          <w:lang w:val="fr-FR"/>
        </w:rPr>
        <w:t>des points urgents peuvent être ajoutés à l’ordre du jour.</w:t>
      </w:r>
    </w:p>
    <w:p w14:paraId="5B548665" w14:textId="78243E4F" w:rsidR="002C5F8F" w:rsidRPr="006A0AF5" w:rsidRDefault="002C5F8F" w:rsidP="002C5F8F">
      <w:pPr>
        <w:pStyle w:val="SingleTxtG"/>
        <w:ind w:firstLine="567"/>
        <w:rPr>
          <w:color w:val="000000" w:themeColor="text1"/>
          <w:lang w:val="fr-FR"/>
        </w:rPr>
      </w:pPr>
      <w:r w:rsidRPr="006A0AF5">
        <w:rPr>
          <w:color w:val="000000" w:themeColor="text1"/>
          <w:lang w:val="fr-FR"/>
        </w:rPr>
        <w:t>L’ordre du jour provisoire de la quatre-vingt-septième session, qui se tiendra en ligne et sera réduite, a été établi par le Secrétaire général, en concertation avec la présidence du Comité, conformément à l’article</w:t>
      </w:r>
      <w:r w:rsidR="006A0AF5" w:rsidRPr="006A0AF5">
        <w:rPr>
          <w:color w:val="000000" w:themeColor="text1"/>
          <w:lang w:val="fr-FR"/>
        </w:rPr>
        <w:t xml:space="preserve"> </w:t>
      </w:r>
      <w:r w:rsidRPr="006A0AF5">
        <w:rPr>
          <w:color w:val="000000" w:themeColor="text1"/>
          <w:lang w:val="fr-FR"/>
        </w:rPr>
        <w:t>6 du règlement intérieur.</w:t>
      </w:r>
    </w:p>
    <w:p w14:paraId="54B4AFA0" w14:textId="77777777" w:rsidR="002C5F8F" w:rsidRPr="006A0AF5" w:rsidRDefault="002C5F8F" w:rsidP="002C5F8F">
      <w:pPr>
        <w:pStyle w:val="H23G"/>
        <w:rPr>
          <w:color w:val="000000" w:themeColor="text1"/>
          <w:lang w:val="fr-FR"/>
        </w:rPr>
      </w:pPr>
      <w:r w:rsidRPr="006A0AF5">
        <w:rPr>
          <w:color w:val="000000" w:themeColor="text1"/>
          <w:lang w:val="fr-FR"/>
        </w:rPr>
        <w:lastRenderedPageBreak/>
        <w:tab/>
        <w:t>2.</w:t>
      </w:r>
      <w:r w:rsidRPr="006A0AF5">
        <w:rPr>
          <w:color w:val="000000" w:themeColor="text1"/>
          <w:lang w:val="fr-FR"/>
        </w:rPr>
        <w:tab/>
        <w:t>Questions d’organisation</w:t>
      </w:r>
      <w:bookmarkStart w:id="4" w:name="_Toc15985913"/>
      <w:bookmarkEnd w:id="4"/>
    </w:p>
    <w:p w14:paraId="32C26C49" w14:textId="79792F94" w:rsidR="002C5F8F" w:rsidRPr="006A0AF5" w:rsidRDefault="002C5F8F" w:rsidP="002C5F8F">
      <w:pPr>
        <w:pStyle w:val="SingleTxtG"/>
        <w:ind w:firstLine="567"/>
        <w:rPr>
          <w:color w:val="000000" w:themeColor="text1"/>
          <w:spacing w:val="-1"/>
          <w:lang w:val="fr-FR"/>
        </w:rPr>
      </w:pPr>
      <w:r w:rsidRPr="006A0AF5">
        <w:rPr>
          <w:color w:val="000000" w:themeColor="text1"/>
          <w:spacing w:val="-1"/>
          <w:lang w:val="fr-FR"/>
        </w:rPr>
        <w:t>La session se tiendra exceptionnellement en ligne, du 17</w:t>
      </w:r>
      <w:r w:rsidR="006A0AF5" w:rsidRPr="006A0AF5">
        <w:rPr>
          <w:color w:val="000000" w:themeColor="text1"/>
          <w:spacing w:val="-1"/>
          <w:lang w:val="fr-FR"/>
        </w:rPr>
        <w:t> </w:t>
      </w:r>
      <w:r w:rsidRPr="006A0AF5">
        <w:rPr>
          <w:color w:val="000000" w:themeColor="text1"/>
          <w:spacing w:val="-1"/>
          <w:lang w:val="fr-FR"/>
        </w:rPr>
        <w:t>mai au 4</w:t>
      </w:r>
      <w:r w:rsidR="006A0AF5" w:rsidRPr="006A0AF5">
        <w:rPr>
          <w:color w:val="000000" w:themeColor="text1"/>
          <w:spacing w:val="-1"/>
          <w:lang w:val="fr-FR"/>
        </w:rPr>
        <w:t> </w:t>
      </w:r>
      <w:r w:rsidRPr="006A0AF5">
        <w:rPr>
          <w:color w:val="000000" w:themeColor="text1"/>
          <w:spacing w:val="-1"/>
          <w:lang w:val="fr-FR"/>
        </w:rPr>
        <w:t>juin 2021. Le</w:t>
      </w:r>
      <w:r w:rsidR="006A0AF5" w:rsidRPr="006A0AF5">
        <w:rPr>
          <w:color w:val="000000" w:themeColor="text1"/>
          <w:spacing w:val="-1"/>
          <w:lang w:val="fr-FR"/>
        </w:rPr>
        <w:t xml:space="preserve"> </w:t>
      </w:r>
      <w:r w:rsidRPr="006A0AF5">
        <w:rPr>
          <w:color w:val="000000" w:themeColor="text1"/>
          <w:spacing w:val="-1"/>
          <w:lang w:val="fr-FR"/>
        </w:rPr>
        <w:t>Comité tient à souligner que la tenue en ligne d’une session réduite, en raison des circonstances extraordinaires dues à la pandémie de maladie à coronavirus (COVID</w:t>
      </w:r>
      <w:r w:rsidRPr="006A0AF5">
        <w:rPr>
          <w:color w:val="000000" w:themeColor="text1"/>
          <w:spacing w:val="-1"/>
          <w:lang w:val="fr-FR"/>
        </w:rPr>
        <w:noBreakHyphen/>
        <w:t>19), revêt un caractère exceptionnel et que les sessions en ligne ne devraient pas devenir la norme. La session s’ouvrira le lundi 17</w:t>
      </w:r>
      <w:r w:rsidR="006A0AF5" w:rsidRPr="006A0AF5">
        <w:rPr>
          <w:color w:val="000000" w:themeColor="text1"/>
          <w:spacing w:val="-1"/>
          <w:lang w:val="fr-FR"/>
        </w:rPr>
        <w:t> </w:t>
      </w:r>
      <w:r w:rsidRPr="006A0AF5">
        <w:rPr>
          <w:color w:val="000000" w:themeColor="text1"/>
          <w:spacing w:val="-1"/>
          <w:lang w:val="fr-FR"/>
        </w:rPr>
        <w:t>mai à 12 h 30, heure de Genève.</w:t>
      </w:r>
    </w:p>
    <w:p w14:paraId="67C0FA38" w14:textId="353D7825" w:rsidR="002C5F8F" w:rsidRPr="006A0AF5" w:rsidRDefault="002C5F8F" w:rsidP="002C5F8F">
      <w:pPr>
        <w:pStyle w:val="SingleTxtG"/>
        <w:ind w:firstLine="567"/>
        <w:rPr>
          <w:color w:val="000000" w:themeColor="text1"/>
          <w:lang w:val="fr-FR"/>
        </w:rPr>
      </w:pPr>
      <w:r w:rsidRPr="006A0AF5">
        <w:rPr>
          <w:color w:val="000000" w:themeColor="text1"/>
          <w:lang w:val="fr-FR"/>
        </w:rPr>
        <w:t>Conformément à l’article 16 du Règlement intérieur, les membres nouvellement élus du Comité prendront en séance publique l’engagement solennel ci-après</w:t>
      </w:r>
      <w:r w:rsidRPr="006A0AF5">
        <w:rPr>
          <w:color w:val="000000" w:themeColor="text1"/>
          <w:lang w:val="fr-FR"/>
        </w:rPr>
        <w:t> :</w:t>
      </w:r>
    </w:p>
    <w:p w14:paraId="714C1E0B" w14:textId="472891F1" w:rsidR="002C5F8F" w:rsidRPr="006A0AF5" w:rsidRDefault="002C5F8F" w:rsidP="006A0AF5">
      <w:pPr>
        <w:pStyle w:val="SingleTxtG"/>
        <w:ind w:left="1701" w:firstLine="567"/>
        <w:rPr>
          <w:color w:val="000000" w:themeColor="text1"/>
          <w:spacing w:val="-1"/>
        </w:rPr>
      </w:pPr>
      <w:r w:rsidRPr="006A0AF5">
        <w:rPr>
          <w:color w:val="000000" w:themeColor="text1"/>
          <w:spacing w:val="-1"/>
        </w:rPr>
        <w:t>«</w:t>
      </w:r>
      <w:r w:rsidR="006A0AF5" w:rsidRPr="006A0AF5">
        <w:rPr>
          <w:color w:val="000000" w:themeColor="text1"/>
          <w:spacing w:val="-1"/>
        </w:rPr>
        <w:t> </w:t>
      </w:r>
      <w:r w:rsidRPr="006A0AF5">
        <w:rPr>
          <w:color w:val="000000" w:themeColor="text1"/>
          <w:spacing w:val="-1"/>
        </w:rPr>
        <w:t>Je m’engage solennellement à exercer mes fonctions et attributions de membre du Comité des droits de l’enfant en tout honneur et dévouement et en toute conscience, et à respecter les principes d’indépendance et d’impartialité des organes créés en vertu d’instruments relatifs aux droits de l’homme que le Comité a fait siens.</w:t>
      </w:r>
      <w:r w:rsidR="006A0AF5" w:rsidRPr="006A0AF5">
        <w:rPr>
          <w:color w:val="000000" w:themeColor="text1"/>
          <w:spacing w:val="-1"/>
        </w:rPr>
        <w:t> </w:t>
      </w:r>
      <w:r w:rsidRPr="006A0AF5">
        <w:rPr>
          <w:color w:val="000000" w:themeColor="text1"/>
          <w:spacing w:val="-1"/>
        </w:rPr>
        <w:t>».</w:t>
      </w:r>
    </w:p>
    <w:p w14:paraId="102974D3" w14:textId="61803305" w:rsidR="002C5F8F" w:rsidRPr="006A0AF5" w:rsidRDefault="002C5F8F" w:rsidP="002C5F8F">
      <w:pPr>
        <w:pStyle w:val="SingleTxtG"/>
        <w:ind w:firstLine="567"/>
        <w:rPr>
          <w:color w:val="000000" w:themeColor="text1"/>
        </w:rPr>
      </w:pPr>
      <w:r w:rsidRPr="006A0AF5">
        <w:rPr>
          <w:color w:val="000000" w:themeColor="text1"/>
        </w:rPr>
        <w:t>Conformément à l’article 43 (par.</w:t>
      </w:r>
      <w:r w:rsidR="006A0AF5" w:rsidRPr="006A0AF5">
        <w:rPr>
          <w:color w:val="000000" w:themeColor="text1"/>
        </w:rPr>
        <w:t> </w:t>
      </w:r>
      <w:r w:rsidRPr="006A0AF5">
        <w:rPr>
          <w:color w:val="000000" w:themeColor="text1"/>
        </w:rPr>
        <w:t xml:space="preserve">9) de la Convention relative aux droits de l’enfant et aux articles 17 et 20 du </w:t>
      </w:r>
      <w:r w:rsidR="006A0AF5" w:rsidRPr="006A0AF5">
        <w:rPr>
          <w:color w:val="000000" w:themeColor="text1"/>
        </w:rPr>
        <w:t>r</w:t>
      </w:r>
      <w:r w:rsidRPr="006A0AF5">
        <w:rPr>
          <w:color w:val="000000" w:themeColor="text1"/>
        </w:rPr>
        <w:t>èglement intérieur, le Comité élira son bureau parmi ses membres pour une période de deux ans.</w:t>
      </w:r>
    </w:p>
    <w:p w14:paraId="21737AA0" w14:textId="1154A702" w:rsidR="002C5F8F" w:rsidRPr="006A0AF5" w:rsidRDefault="002C5F8F" w:rsidP="002C5F8F">
      <w:pPr>
        <w:pStyle w:val="SingleTxtG"/>
        <w:ind w:firstLine="567"/>
        <w:rPr>
          <w:color w:val="000000" w:themeColor="text1"/>
          <w:lang w:val="fr-FR"/>
        </w:rPr>
      </w:pPr>
      <w:r w:rsidRPr="006A0AF5">
        <w:rPr>
          <w:color w:val="000000" w:themeColor="text1"/>
          <w:lang w:val="fr-FR"/>
        </w:rPr>
        <w:t>Conformément à l’article</w:t>
      </w:r>
      <w:r w:rsidRPr="006A0AF5">
        <w:rPr>
          <w:color w:val="000000" w:themeColor="text1"/>
          <w:lang w:val="fr-FR"/>
        </w:rPr>
        <w:t xml:space="preserve"> </w:t>
      </w:r>
      <w:r w:rsidRPr="006A0AF5">
        <w:rPr>
          <w:color w:val="000000" w:themeColor="text1"/>
          <w:lang w:val="fr-FR"/>
        </w:rPr>
        <w:t xml:space="preserve">39 du </w:t>
      </w:r>
      <w:r w:rsidR="006A0AF5" w:rsidRPr="006A0AF5">
        <w:rPr>
          <w:color w:val="000000" w:themeColor="text1"/>
          <w:lang w:val="fr-FR"/>
        </w:rPr>
        <w:t>r</w:t>
      </w:r>
      <w:r w:rsidRPr="006A0AF5">
        <w:rPr>
          <w:color w:val="000000" w:themeColor="text1"/>
          <w:lang w:val="fr-FR"/>
        </w:rPr>
        <w:t>èglement intérieur, les séances du Comité sont publiques, à moins que le Comité n’en décide autrement. En raison des circonstances extraordinaires, toutes les séances seront privées, sauf pour l’ouverture et la clôture de la session et l’examen en ligne concernant deux États parties (diffusés sur le site</w:t>
      </w:r>
      <w:r w:rsidRPr="006A0AF5">
        <w:rPr>
          <w:color w:val="000000" w:themeColor="text1"/>
          <w:lang w:val="fr-FR"/>
        </w:rPr>
        <w:t> :</w:t>
      </w:r>
      <w:r w:rsidRPr="006A0AF5">
        <w:rPr>
          <w:color w:val="000000" w:themeColor="text1"/>
          <w:lang w:val="fr-FR"/>
        </w:rPr>
        <w:t xml:space="preserve"> </w:t>
      </w:r>
      <w:hyperlink r:id="rId8" w:history="1">
        <w:r w:rsidRPr="006A0AF5">
          <w:rPr>
            <w:rStyle w:val="Lienhypertexte"/>
            <w:color w:val="000000" w:themeColor="text1"/>
          </w:rPr>
          <w:t>webtv.un.org</w:t>
        </w:r>
      </w:hyperlink>
      <w:r w:rsidRPr="006A0AF5">
        <w:rPr>
          <w:color w:val="000000" w:themeColor="text1"/>
        </w:rPr>
        <w:t>)</w:t>
      </w:r>
      <w:r w:rsidRPr="006A0AF5">
        <w:rPr>
          <w:color w:val="000000" w:themeColor="text1"/>
          <w:lang w:val="fr-FR"/>
        </w:rPr>
        <w:t>.</w:t>
      </w:r>
    </w:p>
    <w:p w14:paraId="663419E6" w14:textId="77777777" w:rsidR="002C5F8F" w:rsidRPr="006A0AF5" w:rsidRDefault="002C5F8F" w:rsidP="002C5F8F">
      <w:pPr>
        <w:pStyle w:val="SingleTxtG"/>
        <w:ind w:firstLine="567"/>
        <w:rPr>
          <w:color w:val="000000" w:themeColor="text1"/>
          <w:lang w:val="fr-FR"/>
        </w:rPr>
      </w:pPr>
      <w:r w:rsidRPr="006A0AF5">
        <w:rPr>
          <w:color w:val="000000" w:themeColor="text1"/>
          <w:lang w:val="fr-FR"/>
        </w:rPr>
        <w:t>Au titre du présent point, le Comité examinera le programme de travail de la session ainsi que toute autre question concernant l’accomplissement des fonctions qui lui sont assignées en vertu de la Convention.</w:t>
      </w:r>
    </w:p>
    <w:p w14:paraId="77D27B38" w14:textId="77777777" w:rsidR="002C5F8F" w:rsidRPr="006A0AF5" w:rsidRDefault="002C5F8F" w:rsidP="002C5F8F">
      <w:pPr>
        <w:pStyle w:val="H23G"/>
        <w:rPr>
          <w:color w:val="000000" w:themeColor="text1"/>
          <w:lang w:val="fr-FR"/>
        </w:rPr>
      </w:pPr>
      <w:r w:rsidRPr="006A0AF5">
        <w:rPr>
          <w:color w:val="000000" w:themeColor="text1"/>
          <w:lang w:val="fr-FR"/>
        </w:rPr>
        <w:tab/>
        <w:t>3.</w:t>
      </w:r>
      <w:r w:rsidRPr="006A0AF5">
        <w:rPr>
          <w:color w:val="000000" w:themeColor="text1"/>
          <w:lang w:val="fr-FR"/>
        </w:rPr>
        <w:tab/>
        <w:t>Soumission de rapports par les États parties</w:t>
      </w:r>
      <w:bookmarkStart w:id="5" w:name="_Toc15985914"/>
      <w:bookmarkEnd w:id="5"/>
    </w:p>
    <w:p w14:paraId="60CE1E69" w14:textId="77777777" w:rsidR="002C5F8F" w:rsidRPr="006A0AF5" w:rsidRDefault="002C5F8F" w:rsidP="002C5F8F">
      <w:pPr>
        <w:pStyle w:val="H23G"/>
        <w:rPr>
          <w:color w:val="000000" w:themeColor="text1"/>
          <w:lang w:val="fr-FR"/>
        </w:rPr>
      </w:pPr>
      <w:r w:rsidRPr="006A0AF5">
        <w:rPr>
          <w:color w:val="000000" w:themeColor="text1"/>
          <w:lang w:val="fr-FR"/>
        </w:rPr>
        <w:tab/>
      </w:r>
      <w:r w:rsidRPr="006A0AF5">
        <w:rPr>
          <w:color w:val="000000" w:themeColor="text1"/>
          <w:lang w:val="fr-FR"/>
        </w:rPr>
        <w:tab/>
        <w:t>Rapports reçus</w:t>
      </w:r>
      <w:bookmarkStart w:id="6" w:name="_Toc15985915"/>
      <w:bookmarkEnd w:id="6"/>
    </w:p>
    <w:p w14:paraId="5E7180C7" w14:textId="69FE90CA" w:rsidR="002C5F8F" w:rsidRPr="006A0AF5" w:rsidRDefault="002C5F8F" w:rsidP="002C5F8F">
      <w:pPr>
        <w:pStyle w:val="SingleTxtG"/>
        <w:ind w:firstLine="567"/>
        <w:rPr>
          <w:color w:val="000000" w:themeColor="text1"/>
          <w:lang w:val="fr-FR"/>
        </w:rPr>
      </w:pPr>
      <w:r w:rsidRPr="006A0AF5">
        <w:rPr>
          <w:color w:val="000000" w:themeColor="text1"/>
          <w:lang w:val="fr-FR"/>
        </w:rPr>
        <w:t>Les rapports qui devaient être examinés à la présente session le seront au cours de sessions futures. Outre ces rapports et ceux mentionnés dans l’ordre du jour provisoire de la session précédente (CRC/C/86/1), le Secrétaire général a reçu les rapports suivants sur la mise en œuvre de la Convention</w:t>
      </w:r>
      <w:r w:rsidRPr="006A0AF5">
        <w:rPr>
          <w:color w:val="000000" w:themeColor="text1"/>
          <w:lang w:val="fr-FR"/>
        </w:rPr>
        <w:t> :</w:t>
      </w:r>
    </w:p>
    <w:p w14:paraId="43663BF1" w14:textId="77777777" w:rsidR="002C5F8F" w:rsidRPr="006A0AF5" w:rsidRDefault="002C5F8F" w:rsidP="002C5F8F">
      <w:pPr>
        <w:pStyle w:val="H23G"/>
        <w:rPr>
          <w:color w:val="000000" w:themeColor="text1"/>
          <w:sz w:val="28"/>
          <w:szCs w:val="28"/>
          <w:lang w:val="fr-FR"/>
        </w:rPr>
      </w:pPr>
      <w:r w:rsidRPr="006A0AF5">
        <w:rPr>
          <w:color w:val="000000" w:themeColor="text1"/>
          <w:lang w:val="fr-FR"/>
        </w:rPr>
        <w:tab/>
      </w:r>
      <w:r w:rsidRPr="006A0AF5">
        <w:rPr>
          <w:color w:val="000000" w:themeColor="text1"/>
          <w:lang w:val="fr-FR"/>
        </w:rPr>
        <w:tab/>
        <w:t>Convention relative aux droits de l’enfant</w:t>
      </w:r>
      <w:bookmarkStart w:id="7" w:name="_Toc15985916"/>
      <w:bookmarkEnd w:id="7"/>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6A0AF5" w:rsidRPr="006A0AF5" w14:paraId="2992C30D" w14:textId="77777777" w:rsidTr="002C5F8F">
        <w:trPr>
          <w:cantSplit/>
          <w:tblHeader/>
        </w:trPr>
        <w:tc>
          <w:tcPr>
            <w:tcW w:w="3685" w:type="dxa"/>
            <w:tcBorders>
              <w:top w:val="single" w:sz="4" w:space="0" w:color="auto"/>
              <w:bottom w:val="single" w:sz="12" w:space="0" w:color="auto"/>
            </w:tcBorders>
            <w:shd w:val="clear" w:color="auto" w:fill="auto"/>
            <w:vAlign w:val="bottom"/>
            <w:hideMark/>
          </w:tcPr>
          <w:p w14:paraId="44166ABC" w14:textId="77777777" w:rsidR="002C5F8F" w:rsidRPr="006A0AF5" w:rsidRDefault="002C5F8F" w:rsidP="002C5F8F">
            <w:pPr>
              <w:spacing w:before="80" w:after="80" w:line="200" w:lineRule="exact"/>
              <w:ind w:right="113"/>
              <w:rPr>
                <w:i/>
                <w:color w:val="000000" w:themeColor="text1"/>
                <w:sz w:val="16"/>
                <w:lang w:val="fr-FR"/>
              </w:rPr>
            </w:pPr>
            <w:r w:rsidRPr="006A0AF5">
              <w:rPr>
                <w:i/>
                <w:color w:val="000000" w:themeColor="text1"/>
                <w:sz w:val="16"/>
                <w:lang w:val="fr-FR"/>
              </w:rPr>
              <w:t>État partie</w:t>
            </w:r>
          </w:p>
        </w:tc>
        <w:tc>
          <w:tcPr>
            <w:tcW w:w="3685" w:type="dxa"/>
            <w:tcBorders>
              <w:top w:val="single" w:sz="4" w:space="0" w:color="auto"/>
              <w:bottom w:val="single" w:sz="12" w:space="0" w:color="auto"/>
            </w:tcBorders>
            <w:shd w:val="clear" w:color="auto" w:fill="auto"/>
            <w:vAlign w:val="bottom"/>
            <w:hideMark/>
          </w:tcPr>
          <w:p w14:paraId="2B099480" w14:textId="77777777" w:rsidR="002C5F8F" w:rsidRPr="006A0AF5" w:rsidRDefault="002C5F8F" w:rsidP="006A0AF5">
            <w:pPr>
              <w:spacing w:before="80" w:after="80" w:line="200" w:lineRule="exact"/>
              <w:jc w:val="right"/>
              <w:rPr>
                <w:i/>
                <w:color w:val="000000" w:themeColor="text1"/>
                <w:sz w:val="16"/>
                <w:lang w:val="fr-FR"/>
              </w:rPr>
            </w:pPr>
            <w:r w:rsidRPr="006A0AF5">
              <w:rPr>
                <w:i/>
                <w:color w:val="000000" w:themeColor="text1"/>
                <w:sz w:val="16"/>
                <w:lang w:val="fr-FR"/>
              </w:rPr>
              <w:t>Attendu en</w:t>
            </w:r>
          </w:p>
        </w:tc>
      </w:tr>
      <w:tr w:rsidR="006A0AF5" w:rsidRPr="006A0AF5" w14:paraId="1899D352" w14:textId="77777777" w:rsidTr="002C5F8F">
        <w:trPr>
          <w:cantSplit/>
          <w:trHeight w:hRule="exact" w:val="113"/>
          <w:tblHeader/>
        </w:trPr>
        <w:tc>
          <w:tcPr>
            <w:tcW w:w="3685" w:type="dxa"/>
            <w:tcBorders>
              <w:top w:val="single" w:sz="12" w:space="0" w:color="auto"/>
            </w:tcBorders>
            <w:shd w:val="clear" w:color="auto" w:fill="auto"/>
          </w:tcPr>
          <w:p w14:paraId="0A3C3EB2" w14:textId="77777777" w:rsidR="002C5F8F" w:rsidRPr="006A0AF5" w:rsidRDefault="002C5F8F" w:rsidP="002C5F8F">
            <w:pPr>
              <w:spacing w:before="40" w:after="120"/>
              <w:ind w:right="113"/>
              <w:rPr>
                <w:color w:val="000000" w:themeColor="text1"/>
                <w:lang w:val="fr-FR"/>
              </w:rPr>
            </w:pPr>
          </w:p>
        </w:tc>
        <w:tc>
          <w:tcPr>
            <w:tcW w:w="3685" w:type="dxa"/>
            <w:tcBorders>
              <w:top w:val="single" w:sz="12" w:space="0" w:color="auto"/>
            </w:tcBorders>
            <w:shd w:val="clear" w:color="auto" w:fill="auto"/>
          </w:tcPr>
          <w:p w14:paraId="443DF982" w14:textId="77777777" w:rsidR="002C5F8F" w:rsidRPr="006A0AF5" w:rsidRDefault="002C5F8F" w:rsidP="006A0AF5">
            <w:pPr>
              <w:spacing w:before="40" w:after="120"/>
              <w:jc w:val="right"/>
              <w:rPr>
                <w:color w:val="000000" w:themeColor="text1"/>
                <w:lang w:val="fr-FR"/>
              </w:rPr>
            </w:pPr>
          </w:p>
        </w:tc>
      </w:tr>
      <w:tr w:rsidR="006A0AF5" w:rsidRPr="006A0AF5" w14:paraId="23367963" w14:textId="77777777" w:rsidTr="002C5F8F">
        <w:trPr>
          <w:cantSplit/>
        </w:trPr>
        <w:tc>
          <w:tcPr>
            <w:tcW w:w="3685" w:type="dxa"/>
            <w:shd w:val="clear" w:color="auto" w:fill="auto"/>
          </w:tcPr>
          <w:p w14:paraId="7E7262DA" w14:textId="6DB72D1B" w:rsidR="002C5F8F" w:rsidRPr="006A0AF5" w:rsidRDefault="002C5F8F" w:rsidP="002C5F8F">
            <w:pPr>
              <w:spacing w:before="40" w:after="120"/>
              <w:ind w:right="113"/>
              <w:rPr>
                <w:color w:val="000000" w:themeColor="text1"/>
                <w:lang w:val="fr-FR"/>
              </w:rPr>
            </w:pPr>
            <w:r w:rsidRPr="006A0AF5">
              <w:rPr>
                <w:color w:val="000000" w:themeColor="text1"/>
                <w:lang w:val="fr-FR"/>
              </w:rPr>
              <w:t>Éthiopie</w:t>
            </w:r>
          </w:p>
        </w:tc>
        <w:tc>
          <w:tcPr>
            <w:tcW w:w="3685" w:type="dxa"/>
            <w:shd w:val="clear" w:color="auto" w:fill="auto"/>
          </w:tcPr>
          <w:p w14:paraId="64080862" w14:textId="274A5C8C" w:rsidR="002C5F8F" w:rsidRPr="006A0AF5" w:rsidRDefault="002C5F8F" w:rsidP="006A0AF5">
            <w:pPr>
              <w:spacing w:before="40" w:after="120"/>
              <w:jc w:val="right"/>
              <w:rPr>
                <w:color w:val="000000" w:themeColor="text1"/>
                <w:lang w:val="fr-FR"/>
              </w:rPr>
            </w:pPr>
            <w:r w:rsidRPr="006A0AF5">
              <w:rPr>
                <w:color w:val="000000" w:themeColor="text1"/>
                <w:lang w:val="fr-FR"/>
              </w:rPr>
              <w:t>2020</w:t>
            </w:r>
          </w:p>
        </w:tc>
      </w:tr>
      <w:tr w:rsidR="006A0AF5" w:rsidRPr="006A0AF5" w14:paraId="3899F060" w14:textId="77777777" w:rsidTr="002C5F8F">
        <w:trPr>
          <w:cantSplit/>
        </w:trPr>
        <w:tc>
          <w:tcPr>
            <w:tcW w:w="3685" w:type="dxa"/>
            <w:shd w:val="clear" w:color="auto" w:fill="auto"/>
          </w:tcPr>
          <w:p w14:paraId="7BDB8003" w14:textId="6ACD2486" w:rsidR="002C5F8F" w:rsidRPr="006A0AF5" w:rsidRDefault="002C5F8F" w:rsidP="002C5F8F">
            <w:pPr>
              <w:spacing w:before="40" w:after="120"/>
              <w:ind w:right="113"/>
              <w:rPr>
                <w:color w:val="000000" w:themeColor="text1"/>
                <w:lang w:val="fr-FR"/>
              </w:rPr>
            </w:pPr>
            <w:r w:rsidRPr="006A0AF5">
              <w:rPr>
                <w:color w:val="000000" w:themeColor="text1"/>
                <w:lang w:val="fr-FR"/>
              </w:rPr>
              <w:t>Indonésie</w:t>
            </w:r>
          </w:p>
        </w:tc>
        <w:tc>
          <w:tcPr>
            <w:tcW w:w="3685" w:type="dxa"/>
            <w:shd w:val="clear" w:color="auto" w:fill="auto"/>
          </w:tcPr>
          <w:p w14:paraId="2ECAE402" w14:textId="5AFF1553" w:rsidR="002C5F8F" w:rsidRPr="006A0AF5" w:rsidRDefault="002C5F8F" w:rsidP="006A0AF5">
            <w:pPr>
              <w:spacing w:before="40" w:after="120"/>
              <w:jc w:val="right"/>
              <w:rPr>
                <w:color w:val="000000" w:themeColor="text1"/>
                <w:lang w:val="fr-FR"/>
              </w:rPr>
            </w:pPr>
            <w:r w:rsidRPr="006A0AF5">
              <w:rPr>
                <w:color w:val="000000" w:themeColor="text1"/>
                <w:lang w:val="fr-FR"/>
              </w:rPr>
              <w:t>2019</w:t>
            </w:r>
          </w:p>
        </w:tc>
      </w:tr>
      <w:tr w:rsidR="006A0AF5" w:rsidRPr="006A0AF5" w14:paraId="4DE8CCDB" w14:textId="77777777" w:rsidTr="002C5F8F">
        <w:trPr>
          <w:cantSplit/>
        </w:trPr>
        <w:tc>
          <w:tcPr>
            <w:tcW w:w="3685" w:type="dxa"/>
            <w:shd w:val="clear" w:color="auto" w:fill="auto"/>
          </w:tcPr>
          <w:p w14:paraId="04A76FF1" w14:textId="06E1F9AE" w:rsidR="002C5F8F" w:rsidRPr="006A0AF5" w:rsidRDefault="002C5F8F" w:rsidP="002C5F8F">
            <w:pPr>
              <w:spacing w:before="40" w:after="120"/>
              <w:ind w:right="113"/>
              <w:rPr>
                <w:color w:val="000000" w:themeColor="text1"/>
                <w:lang w:val="fr-FR"/>
              </w:rPr>
            </w:pPr>
            <w:r w:rsidRPr="006A0AF5">
              <w:rPr>
                <w:color w:val="000000" w:themeColor="text1"/>
                <w:lang w:val="fr-FR"/>
              </w:rPr>
              <w:t>Mexique</w:t>
            </w:r>
          </w:p>
        </w:tc>
        <w:tc>
          <w:tcPr>
            <w:tcW w:w="3685" w:type="dxa"/>
            <w:shd w:val="clear" w:color="auto" w:fill="auto"/>
          </w:tcPr>
          <w:p w14:paraId="267E1498" w14:textId="26344A99" w:rsidR="002C5F8F" w:rsidRPr="006A0AF5" w:rsidRDefault="002C5F8F" w:rsidP="006A0AF5">
            <w:pPr>
              <w:spacing w:before="40" w:after="120"/>
              <w:jc w:val="right"/>
              <w:rPr>
                <w:color w:val="000000" w:themeColor="text1"/>
                <w:lang w:val="fr-FR"/>
              </w:rPr>
            </w:pPr>
            <w:r w:rsidRPr="006A0AF5">
              <w:rPr>
                <w:color w:val="000000" w:themeColor="text1"/>
                <w:lang w:val="fr-FR"/>
              </w:rPr>
              <w:t>2020</w:t>
            </w:r>
          </w:p>
        </w:tc>
      </w:tr>
      <w:tr w:rsidR="006A0AF5" w:rsidRPr="006A0AF5" w14:paraId="24C13B8D" w14:textId="77777777" w:rsidTr="002C5F8F">
        <w:trPr>
          <w:cantSplit/>
        </w:trPr>
        <w:tc>
          <w:tcPr>
            <w:tcW w:w="3685" w:type="dxa"/>
            <w:tcBorders>
              <w:bottom w:val="single" w:sz="12" w:space="0" w:color="auto"/>
            </w:tcBorders>
            <w:shd w:val="clear" w:color="auto" w:fill="auto"/>
          </w:tcPr>
          <w:p w14:paraId="7707CBE4" w14:textId="3F1EA6E0" w:rsidR="002C5F8F" w:rsidRPr="006A0AF5" w:rsidRDefault="002C5F8F" w:rsidP="002C5F8F">
            <w:pPr>
              <w:spacing w:before="40" w:after="120"/>
              <w:ind w:right="113"/>
              <w:rPr>
                <w:color w:val="000000" w:themeColor="text1"/>
                <w:lang w:val="fr-FR"/>
              </w:rPr>
            </w:pPr>
            <w:r w:rsidRPr="006A0AF5">
              <w:rPr>
                <w:color w:val="000000" w:themeColor="text1"/>
                <w:lang w:val="fr-FR"/>
              </w:rPr>
              <w:t>Suisse</w:t>
            </w:r>
          </w:p>
        </w:tc>
        <w:tc>
          <w:tcPr>
            <w:tcW w:w="3685" w:type="dxa"/>
            <w:tcBorders>
              <w:bottom w:val="single" w:sz="12" w:space="0" w:color="auto"/>
            </w:tcBorders>
            <w:shd w:val="clear" w:color="auto" w:fill="auto"/>
          </w:tcPr>
          <w:p w14:paraId="0125DDF9" w14:textId="15F4AA4E" w:rsidR="002C5F8F" w:rsidRPr="006A0AF5" w:rsidRDefault="002C5F8F" w:rsidP="006A0AF5">
            <w:pPr>
              <w:spacing w:before="40" w:after="120"/>
              <w:jc w:val="right"/>
              <w:rPr>
                <w:color w:val="000000" w:themeColor="text1"/>
                <w:lang w:val="fr-FR"/>
              </w:rPr>
            </w:pPr>
            <w:r w:rsidRPr="006A0AF5">
              <w:rPr>
                <w:color w:val="000000" w:themeColor="text1"/>
                <w:lang w:val="fr-FR"/>
              </w:rPr>
              <w:t>2020</w:t>
            </w:r>
          </w:p>
        </w:tc>
      </w:tr>
    </w:tbl>
    <w:p w14:paraId="2440FE07" w14:textId="5AEA776D" w:rsidR="002C5F8F" w:rsidRPr="006A0AF5" w:rsidRDefault="002C5F8F" w:rsidP="002C5F8F">
      <w:pPr>
        <w:pStyle w:val="H23G"/>
        <w:rPr>
          <w:color w:val="000000" w:themeColor="text1"/>
          <w:lang w:val="fr-FR"/>
        </w:rPr>
      </w:pPr>
      <w:r w:rsidRPr="006A0AF5">
        <w:rPr>
          <w:color w:val="000000" w:themeColor="text1"/>
          <w:lang w:val="fr-FR"/>
        </w:rPr>
        <w:tab/>
      </w:r>
      <w:r w:rsidRPr="006A0AF5">
        <w:rPr>
          <w:color w:val="000000" w:themeColor="text1"/>
          <w:lang w:val="fr-FR"/>
        </w:rPr>
        <w:tab/>
      </w:r>
      <w:r w:rsidRPr="006A0AF5">
        <w:rPr>
          <w:color w:val="000000" w:themeColor="text1"/>
          <w:lang w:val="fr-FR"/>
        </w:rPr>
        <w:tab/>
        <w:t>Rapports en retard</w:t>
      </w:r>
      <w:bookmarkStart w:id="8" w:name="_Toc15985918"/>
      <w:bookmarkEnd w:id="8"/>
    </w:p>
    <w:p w14:paraId="6C5E270F" w14:textId="506A63D1" w:rsidR="002C5F8F" w:rsidRPr="006A0AF5" w:rsidRDefault="002C5F8F" w:rsidP="002C5F8F">
      <w:pPr>
        <w:pStyle w:val="SingleTxtG"/>
        <w:ind w:firstLine="567"/>
        <w:rPr>
          <w:color w:val="000000" w:themeColor="text1"/>
          <w:lang w:val="fr-FR"/>
        </w:rPr>
      </w:pPr>
      <w:r w:rsidRPr="006A0AF5">
        <w:rPr>
          <w:color w:val="000000" w:themeColor="text1"/>
          <w:lang w:val="fr-FR"/>
        </w:rPr>
        <w:t>Conformément à l’article</w:t>
      </w:r>
      <w:r w:rsidRPr="006A0AF5">
        <w:rPr>
          <w:color w:val="000000" w:themeColor="text1"/>
          <w:lang w:val="fr-FR"/>
        </w:rPr>
        <w:t xml:space="preserve"> </w:t>
      </w:r>
      <w:r w:rsidRPr="006A0AF5">
        <w:rPr>
          <w:color w:val="000000" w:themeColor="text1"/>
          <w:lang w:val="fr-FR"/>
        </w:rPr>
        <w:t xml:space="preserve">71 du </w:t>
      </w:r>
      <w:r w:rsidRPr="006A0AF5">
        <w:rPr>
          <w:color w:val="000000" w:themeColor="text1"/>
          <w:lang w:val="fr-FR"/>
        </w:rPr>
        <w:t>r</w:t>
      </w:r>
      <w:r w:rsidRPr="006A0AF5">
        <w:rPr>
          <w:color w:val="000000" w:themeColor="text1"/>
          <w:lang w:val="fr-FR"/>
        </w:rPr>
        <w:t>èglement intérieur, le Secrétaire général est tenu de faire part au Comité, à chaque session, de tous les cas de non</w:t>
      </w:r>
      <w:r w:rsidRPr="006A0AF5">
        <w:rPr>
          <w:color w:val="000000" w:themeColor="text1"/>
          <w:lang w:val="fr-FR"/>
        </w:rPr>
        <w:noBreakHyphen/>
        <w:t xml:space="preserve">soumission de rapports. La liste complète des rapports initiaux et périodiques attendus au titre de la Convention, du Protocole facultatif concernant l’implication d’enfants dans les conflits armés et du Protocole facultatif concernant la vente d’enfants, la prostitution des enfants et la pornographie mettant en scène des enfants est disponible à l’adresse </w:t>
      </w:r>
      <w:hyperlink r:id="rId9" w:history="1">
        <w:r w:rsidRPr="006A0AF5">
          <w:rPr>
            <w:rStyle w:val="Lienhypertexte"/>
            <w:color w:val="000000" w:themeColor="text1"/>
            <w:lang w:val="fr-FR"/>
          </w:rPr>
          <w:t>http</w:t>
        </w:r>
        <w:r w:rsidRPr="006A0AF5">
          <w:rPr>
            <w:rStyle w:val="Lienhypertexte"/>
            <w:color w:val="000000" w:themeColor="text1"/>
            <w:lang w:val="fr-FR"/>
          </w:rPr>
          <w:t>:</w:t>
        </w:r>
        <w:r w:rsidRPr="006A0AF5">
          <w:rPr>
            <w:rStyle w:val="Lienhypertexte"/>
            <w:color w:val="000000" w:themeColor="text1"/>
            <w:lang w:val="fr-FR"/>
          </w:rPr>
          <w:t>//tbinternet.ohchr.org/_layouts/</w:t>
        </w:r>
        <w:r w:rsidR="006A0AF5">
          <w:rPr>
            <w:rStyle w:val="Lienhypertexte"/>
            <w:color w:val="000000" w:themeColor="text1"/>
            <w:lang w:val="fr-FR"/>
          </w:rPr>
          <w:t xml:space="preserve"> </w:t>
        </w:r>
        <w:proofErr w:type="spellStart"/>
        <w:r w:rsidRPr="006A0AF5">
          <w:rPr>
            <w:rStyle w:val="Lienhypertexte"/>
            <w:color w:val="000000" w:themeColor="text1"/>
            <w:lang w:val="fr-FR"/>
          </w:rPr>
          <w:t>TreatyBodyExternal</w:t>
        </w:r>
        <w:proofErr w:type="spellEnd"/>
        <w:r w:rsidRPr="006A0AF5">
          <w:rPr>
            <w:rStyle w:val="Lienhypertexte"/>
            <w:color w:val="000000" w:themeColor="text1"/>
            <w:lang w:val="fr-FR"/>
          </w:rPr>
          <w:t>/Countries.aspx</w:t>
        </w:r>
      </w:hyperlink>
      <w:r w:rsidRPr="006A0AF5">
        <w:rPr>
          <w:color w:val="000000" w:themeColor="text1"/>
          <w:lang w:val="fr-FR"/>
        </w:rPr>
        <w:t>.</w:t>
      </w:r>
    </w:p>
    <w:p w14:paraId="730D6674" w14:textId="77777777" w:rsidR="002C5F8F" w:rsidRPr="006A0AF5" w:rsidRDefault="002C5F8F" w:rsidP="002C5F8F">
      <w:pPr>
        <w:pStyle w:val="H23G"/>
        <w:rPr>
          <w:bCs/>
          <w:color w:val="000000" w:themeColor="text1"/>
          <w:lang w:val="fr-FR"/>
        </w:rPr>
      </w:pPr>
      <w:r w:rsidRPr="006A0AF5">
        <w:rPr>
          <w:color w:val="000000" w:themeColor="text1"/>
          <w:lang w:val="fr-FR"/>
        </w:rPr>
        <w:lastRenderedPageBreak/>
        <w:tab/>
        <w:t>4.</w:t>
      </w:r>
      <w:r w:rsidRPr="006A0AF5">
        <w:rPr>
          <w:color w:val="000000" w:themeColor="text1"/>
          <w:lang w:val="fr-FR"/>
        </w:rPr>
        <w:tab/>
      </w:r>
      <w:r w:rsidRPr="006A0AF5">
        <w:rPr>
          <w:bCs/>
          <w:color w:val="000000" w:themeColor="text1"/>
          <w:lang w:val="fr-FR"/>
        </w:rPr>
        <w:t>Examen des rapports des États parties</w:t>
      </w:r>
      <w:bookmarkStart w:id="9" w:name="_Toc15985919"/>
      <w:bookmarkEnd w:id="9"/>
    </w:p>
    <w:p w14:paraId="642061A8" w14:textId="22D5B958" w:rsidR="002C5F8F" w:rsidRPr="006A0AF5" w:rsidRDefault="002C5F8F" w:rsidP="002C5F8F">
      <w:pPr>
        <w:pStyle w:val="SingleTxtG"/>
        <w:ind w:firstLine="567"/>
        <w:rPr>
          <w:color w:val="000000" w:themeColor="text1"/>
        </w:rPr>
      </w:pPr>
      <w:r w:rsidRPr="006A0AF5">
        <w:rPr>
          <w:color w:val="000000" w:themeColor="text1"/>
        </w:rPr>
        <w:t>On trouvera dans le tableau ci-dessous un calendrier provisoire de l’examen des rapports en ligne à la quatre-vingt-septième session, établi par le Secrétaire général en concertation avec la présidence et soumis à l’approbation du Comité</w:t>
      </w:r>
      <w:r w:rsidRPr="006A0AF5">
        <w:rPr>
          <w:color w:val="000000" w:themeColor="text1"/>
        </w:rPr>
        <w:t> :</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2409"/>
        <w:gridCol w:w="2976"/>
      </w:tblGrid>
      <w:tr w:rsidR="006A0AF5" w:rsidRPr="006A0AF5" w14:paraId="2E0A4B2F" w14:textId="77777777" w:rsidTr="002C5F8F">
        <w:trPr>
          <w:tblHeader/>
        </w:trPr>
        <w:tc>
          <w:tcPr>
            <w:tcW w:w="1985" w:type="dxa"/>
            <w:tcBorders>
              <w:top w:val="single" w:sz="4" w:space="0" w:color="auto"/>
              <w:bottom w:val="single" w:sz="12" w:space="0" w:color="auto"/>
            </w:tcBorders>
            <w:shd w:val="clear" w:color="auto" w:fill="auto"/>
            <w:vAlign w:val="bottom"/>
            <w:hideMark/>
          </w:tcPr>
          <w:p w14:paraId="01FF8746" w14:textId="7C8DB5B5" w:rsidR="002C5F8F" w:rsidRPr="006A0AF5" w:rsidRDefault="002C5F8F" w:rsidP="002C5F8F">
            <w:pPr>
              <w:spacing w:before="80" w:after="80" w:line="200" w:lineRule="exact"/>
              <w:ind w:right="113"/>
              <w:rPr>
                <w:rFonts w:eastAsiaTheme="minorEastAsia"/>
                <w:i/>
                <w:color w:val="000000" w:themeColor="text1"/>
                <w:sz w:val="16"/>
                <w:lang w:eastAsia="zh-CN"/>
              </w:rPr>
            </w:pPr>
            <w:r w:rsidRPr="006A0AF5">
              <w:rPr>
                <w:i/>
                <w:color w:val="000000" w:themeColor="text1"/>
                <w:sz w:val="16"/>
                <w:lang w:val="fr-FR"/>
              </w:rPr>
              <w:t>État</w:t>
            </w:r>
          </w:p>
        </w:tc>
        <w:tc>
          <w:tcPr>
            <w:tcW w:w="2409" w:type="dxa"/>
            <w:tcBorders>
              <w:top w:val="single" w:sz="4" w:space="0" w:color="auto"/>
              <w:bottom w:val="single" w:sz="12" w:space="0" w:color="auto"/>
            </w:tcBorders>
            <w:shd w:val="clear" w:color="auto" w:fill="auto"/>
            <w:vAlign w:val="bottom"/>
            <w:hideMark/>
          </w:tcPr>
          <w:p w14:paraId="42F52F78" w14:textId="77777777" w:rsidR="002C5F8F" w:rsidRPr="006A0AF5" w:rsidRDefault="002C5F8F" w:rsidP="002C5F8F">
            <w:pPr>
              <w:spacing w:before="80" w:after="80" w:line="200" w:lineRule="exact"/>
              <w:ind w:right="113"/>
              <w:rPr>
                <w:rFonts w:eastAsiaTheme="minorEastAsia"/>
                <w:i/>
                <w:color w:val="000000" w:themeColor="text1"/>
                <w:sz w:val="16"/>
                <w:lang w:eastAsia="zh-CN"/>
              </w:rPr>
            </w:pPr>
            <w:r w:rsidRPr="006A0AF5">
              <w:rPr>
                <w:rFonts w:eastAsiaTheme="minorEastAsia"/>
                <w:i/>
                <w:color w:val="000000" w:themeColor="text1"/>
                <w:sz w:val="16"/>
                <w:lang w:eastAsia="zh-CN"/>
              </w:rPr>
              <w:t>Rapport</w:t>
            </w:r>
          </w:p>
        </w:tc>
        <w:tc>
          <w:tcPr>
            <w:tcW w:w="2976" w:type="dxa"/>
            <w:tcBorders>
              <w:top w:val="single" w:sz="4" w:space="0" w:color="auto"/>
              <w:bottom w:val="single" w:sz="12" w:space="0" w:color="auto"/>
            </w:tcBorders>
            <w:shd w:val="clear" w:color="auto" w:fill="auto"/>
            <w:vAlign w:val="bottom"/>
            <w:hideMark/>
          </w:tcPr>
          <w:p w14:paraId="532ADA6C" w14:textId="77777777" w:rsidR="002C5F8F" w:rsidRPr="006A0AF5" w:rsidRDefault="002C5F8F" w:rsidP="002C5F8F">
            <w:pPr>
              <w:spacing w:before="80" w:after="80" w:line="200" w:lineRule="exact"/>
              <w:rPr>
                <w:rFonts w:eastAsiaTheme="minorEastAsia"/>
                <w:i/>
                <w:color w:val="000000" w:themeColor="text1"/>
                <w:sz w:val="16"/>
                <w:lang w:eastAsia="zh-CN"/>
              </w:rPr>
            </w:pPr>
            <w:r w:rsidRPr="006A0AF5">
              <w:rPr>
                <w:rFonts w:eastAsiaTheme="minorEastAsia"/>
                <w:i/>
                <w:color w:val="000000" w:themeColor="text1"/>
                <w:sz w:val="16"/>
                <w:lang w:eastAsia="zh-CN"/>
              </w:rPr>
              <w:t>Date</w:t>
            </w:r>
          </w:p>
        </w:tc>
      </w:tr>
      <w:tr w:rsidR="006A0AF5" w:rsidRPr="006A0AF5" w14:paraId="0C456C99" w14:textId="77777777" w:rsidTr="002C5F8F">
        <w:trPr>
          <w:trHeight w:hRule="exact" w:val="113"/>
          <w:tblHeader/>
        </w:trPr>
        <w:tc>
          <w:tcPr>
            <w:tcW w:w="1985" w:type="dxa"/>
            <w:tcBorders>
              <w:top w:val="single" w:sz="12" w:space="0" w:color="auto"/>
            </w:tcBorders>
            <w:shd w:val="clear" w:color="auto" w:fill="auto"/>
          </w:tcPr>
          <w:p w14:paraId="6BF5815D" w14:textId="77777777" w:rsidR="002C5F8F" w:rsidRPr="006A0AF5" w:rsidRDefault="002C5F8F" w:rsidP="002C5F8F">
            <w:pPr>
              <w:spacing w:before="40" w:after="120"/>
              <w:ind w:right="113"/>
              <w:rPr>
                <w:color w:val="000000" w:themeColor="text1"/>
                <w:lang w:val="fr-FR"/>
              </w:rPr>
            </w:pPr>
          </w:p>
        </w:tc>
        <w:tc>
          <w:tcPr>
            <w:tcW w:w="2409" w:type="dxa"/>
            <w:tcBorders>
              <w:top w:val="single" w:sz="12" w:space="0" w:color="auto"/>
            </w:tcBorders>
            <w:shd w:val="clear" w:color="auto" w:fill="auto"/>
          </w:tcPr>
          <w:p w14:paraId="4470CB90" w14:textId="77777777" w:rsidR="002C5F8F" w:rsidRPr="006A0AF5" w:rsidRDefault="002C5F8F" w:rsidP="002C5F8F">
            <w:pPr>
              <w:spacing w:before="40" w:after="120"/>
              <w:ind w:right="113"/>
              <w:rPr>
                <w:rFonts w:eastAsiaTheme="minorEastAsia"/>
                <w:color w:val="000000" w:themeColor="text1"/>
                <w:lang w:eastAsia="zh-CN"/>
              </w:rPr>
            </w:pPr>
          </w:p>
        </w:tc>
        <w:tc>
          <w:tcPr>
            <w:tcW w:w="2976" w:type="dxa"/>
            <w:tcBorders>
              <w:top w:val="single" w:sz="12" w:space="0" w:color="auto"/>
            </w:tcBorders>
            <w:shd w:val="clear" w:color="auto" w:fill="auto"/>
          </w:tcPr>
          <w:p w14:paraId="363E3A0A" w14:textId="77777777" w:rsidR="002C5F8F" w:rsidRPr="006A0AF5" w:rsidRDefault="002C5F8F" w:rsidP="002C5F8F">
            <w:pPr>
              <w:spacing w:before="40" w:after="120"/>
              <w:rPr>
                <w:rFonts w:eastAsiaTheme="minorEastAsia"/>
                <w:color w:val="000000" w:themeColor="text1"/>
                <w:lang w:eastAsia="zh-CN"/>
              </w:rPr>
            </w:pPr>
          </w:p>
        </w:tc>
      </w:tr>
      <w:tr w:rsidR="006A0AF5" w:rsidRPr="006A0AF5" w14:paraId="6CDA2F2A" w14:textId="77777777" w:rsidTr="002C5F8F">
        <w:tc>
          <w:tcPr>
            <w:tcW w:w="1985" w:type="dxa"/>
            <w:shd w:val="clear" w:color="auto" w:fill="auto"/>
          </w:tcPr>
          <w:p w14:paraId="4802CA7B" w14:textId="2AF3F218" w:rsidR="002C5F8F" w:rsidRPr="006A0AF5" w:rsidRDefault="002C5F8F" w:rsidP="002C5F8F">
            <w:pPr>
              <w:spacing w:before="40" w:after="120"/>
              <w:ind w:right="113"/>
              <w:rPr>
                <w:rFonts w:eastAsiaTheme="minorEastAsia"/>
                <w:color w:val="000000" w:themeColor="text1"/>
                <w:lang w:eastAsia="zh-CN"/>
              </w:rPr>
            </w:pPr>
            <w:r w:rsidRPr="006A0AF5">
              <w:rPr>
                <w:rFonts w:eastAsiaTheme="minorEastAsia"/>
                <w:color w:val="000000" w:themeColor="text1"/>
                <w:lang w:eastAsia="zh-CN"/>
              </w:rPr>
              <w:t>Luxembourg</w:t>
            </w:r>
          </w:p>
        </w:tc>
        <w:tc>
          <w:tcPr>
            <w:tcW w:w="2409" w:type="dxa"/>
            <w:shd w:val="clear" w:color="auto" w:fill="auto"/>
          </w:tcPr>
          <w:p w14:paraId="2E1E9E50" w14:textId="77777777" w:rsidR="002C5F8F" w:rsidRPr="006A0AF5" w:rsidRDefault="002C5F8F" w:rsidP="002C5F8F">
            <w:pPr>
              <w:spacing w:before="40" w:after="120"/>
              <w:ind w:right="113"/>
              <w:rPr>
                <w:rFonts w:eastAsiaTheme="minorEastAsia"/>
                <w:color w:val="000000" w:themeColor="text1"/>
                <w:lang w:eastAsia="zh-CN"/>
              </w:rPr>
            </w:pPr>
            <w:r w:rsidRPr="006A0AF5">
              <w:rPr>
                <w:rFonts w:eastAsiaTheme="minorEastAsia"/>
                <w:color w:val="000000" w:themeColor="text1"/>
                <w:lang w:eastAsia="zh-CN"/>
              </w:rPr>
              <w:t>Cinquième et sixième rapports périodiques</w:t>
            </w:r>
            <w:r w:rsidRPr="006A0AF5">
              <w:rPr>
                <w:rFonts w:eastAsiaTheme="minorEastAsia"/>
                <w:color w:val="000000" w:themeColor="text1"/>
                <w:lang w:eastAsia="zh-CN"/>
              </w:rPr>
              <w:br/>
              <w:t>(CRC/C/LUX/5-6)</w:t>
            </w:r>
          </w:p>
        </w:tc>
        <w:tc>
          <w:tcPr>
            <w:tcW w:w="2976" w:type="dxa"/>
            <w:shd w:val="clear" w:color="auto" w:fill="auto"/>
          </w:tcPr>
          <w:p w14:paraId="50F1F1E8" w14:textId="5A09CB63" w:rsidR="002C5F8F" w:rsidRPr="006A0AF5" w:rsidRDefault="002C5F8F" w:rsidP="002C5F8F">
            <w:pPr>
              <w:spacing w:before="40" w:after="120"/>
              <w:rPr>
                <w:rFonts w:eastAsiaTheme="minorEastAsia"/>
                <w:color w:val="000000" w:themeColor="text1"/>
                <w:lang w:eastAsia="zh-CN"/>
              </w:rPr>
            </w:pPr>
            <w:r w:rsidRPr="006A0AF5">
              <w:rPr>
                <w:rFonts w:eastAsiaTheme="minorEastAsia"/>
                <w:color w:val="000000" w:themeColor="text1"/>
                <w:lang w:eastAsia="zh-CN"/>
              </w:rPr>
              <w:t>Mercredi 19 mai, après-midi</w:t>
            </w:r>
            <w:r w:rsidRPr="006A0AF5">
              <w:rPr>
                <w:rFonts w:eastAsiaTheme="minorEastAsia"/>
                <w:color w:val="000000" w:themeColor="text1"/>
                <w:lang w:eastAsia="zh-CN"/>
              </w:rPr>
              <w:br/>
            </w:r>
            <w:r w:rsidRPr="006A0AF5">
              <w:rPr>
                <w:rFonts w:eastAsiaTheme="minorEastAsia"/>
                <w:color w:val="000000" w:themeColor="text1"/>
                <w:lang w:eastAsia="zh-CN"/>
              </w:rPr>
              <w:t>Jeudi 20 mai, après-midi</w:t>
            </w:r>
            <w:r w:rsidRPr="006A0AF5">
              <w:rPr>
                <w:rFonts w:eastAsiaTheme="minorEastAsia"/>
                <w:color w:val="000000" w:themeColor="text1"/>
                <w:lang w:eastAsia="zh-CN"/>
              </w:rPr>
              <w:br/>
            </w:r>
            <w:r w:rsidRPr="006A0AF5">
              <w:rPr>
                <w:rFonts w:eastAsiaTheme="minorEastAsia"/>
                <w:color w:val="000000" w:themeColor="text1"/>
                <w:lang w:eastAsia="zh-CN"/>
              </w:rPr>
              <w:t>Vendredi 21 mai, après-midi</w:t>
            </w:r>
          </w:p>
        </w:tc>
      </w:tr>
      <w:tr w:rsidR="006A0AF5" w:rsidRPr="006A0AF5" w14:paraId="071869F0" w14:textId="77777777" w:rsidTr="002C5F8F">
        <w:tc>
          <w:tcPr>
            <w:tcW w:w="1985" w:type="dxa"/>
            <w:tcBorders>
              <w:bottom w:val="single" w:sz="12" w:space="0" w:color="auto"/>
            </w:tcBorders>
            <w:shd w:val="clear" w:color="auto" w:fill="auto"/>
          </w:tcPr>
          <w:p w14:paraId="09504EF4" w14:textId="77777777" w:rsidR="002C5F8F" w:rsidRPr="006A0AF5" w:rsidRDefault="002C5F8F" w:rsidP="002C5F8F">
            <w:pPr>
              <w:spacing w:before="40" w:after="120"/>
              <w:ind w:right="113"/>
              <w:rPr>
                <w:rFonts w:eastAsiaTheme="minorEastAsia"/>
                <w:color w:val="000000" w:themeColor="text1"/>
                <w:lang w:eastAsia="zh-CN"/>
              </w:rPr>
            </w:pPr>
            <w:r w:rsidRPr="006A0AF5">
              <w:rPr>
                <w:rFonts w:eastAsiaTheme="minorEastAsia"/>
                <w:color w:val="000000" w:themeColor="text1"/>
                <w:lang w:eastAsia="zh-CN"/>
              </w:rPr>
              <w:t>Cambodge</w:t>
            </w:r>
          </w:p>
        </w:tc>
        <w:tc>
          <w:tcPr>
            <w:tcW w:w="2409" w:type="dxa"/>
            <w:tcBorders>
              <w:bottom w:val="single" w:sz="12" w:space="0" w:color="auto"/>
            </w:tcBorders>
            <w:shd w:val="clear" w:color="auto" w:fill="auto"/>
          </w:tcPr>
          <w:p w14:paraId="68F1A14F" w14:textId="77777777" w:rsidR="002C5F8F" w:rsidRPr="006A0AF5" w:rsidRDefault="002C5F8F" w:rsidP="002C5F8F">
            <w:pPr>
              <w:spacing w:before="40" w:after="120"/>
              <w:ind w:right="113"/>
              <w:rPr>
                <w:rFonts w:eastAsiaTheme="minorEastAsia"/>
                <w:color w:val="000000" w:themeColor="text1"/>
                <w:lang w:eastAsia="zh-CN"/>
              </w:rPr>
            </w:pPr>
            <w:r w:rsidRPr="006A0AF5">
              <w:rPr>
                <w:rFonts w:eastAsiaTheme="minorEastAsia"/>
                <w:color w:val="000000" w:themeColor="text1"/>
                <w:lang w:eastAsia="zh-CN"/>
              </w:rPr>
              <w:t>Quatrième à sixième rapports périodiques</w:t>
            </w:r>
            <w:r w:rsidRPr="006A0AF5">
              <w:rPr>
                <w:rFonts w:eastAsiaTheme="minorEastAsia"/>
                <w:color w:val="000000" w:themeColor="text1"/>
                <w:lang w:eastAsia="zh-CN"/>
              </w:rPr>
              <w:br/>
              <w:t>(CRC/C/KHM/4-6)</w:t>
            </w:r>
          </w:p>
        </w:tc>
        <w:tc>
          <w:tcPr>
            <w:tcW w:w="2976" w:type="dxa"/>
            <w:tcBorders>
              <w:bottom w:val="single" w:sz="12" w:space="0" w:color="auto"/>
            </w:tcBorders>
            <w:shd w:val="clear" w:color="auto" w:fill="auto"/>
          </w:tcPr>
          <w:p w14:paraId="18C63628" w14:textId="77777777" w:rsidR="002C5F8F" w:rsidRPr="006A0AF5" w:rsidRDefault="002C5F8F" w:rsidP="002C5F8F">
            <w:pPr>
              <w:spacing w:before="40" w:after="120"/>
              <w:rPr>
                <w:rFonts w:eastAsiaTheme="minorEastAsia"/>
                <w:color w:val="000000" w:themeColor="text1"/>
                <w:lang w:eastAsia="zh-CN"/>
              </w:rPr>
            </w:pPr>
            <w:r w:rsidRPr="006A0AF5">
              <w:rPr>
                <w:rFonts w:eastAsiaTheme="minorEastAsia"/>
                <w:color w:val="000000" w:themeColor="text1"/>
                <w:lang w:eastAsia="zh-CN"/>
              </w:rPr>
              <w:t>Mardi 25 mai, matin</w:t>
            </w:r>
            <w:r w:rsidRPr="006A0AF5">
              <w:rPr>
                <w:rFonts w:eastAsiaTheme="minorEastAsia"/>
                <w:color w:val="000000" w:themeColor="text1"/>
                <w:lang w:eastAsia="zh-CN"/>
              </w:rPr>
              <w:br/>
              <w:t>Mercredi 26 mai, matin</w:t>
            </w:r>
            <w:r w:rsidRPr="006A0AF5">
              <w:rPr>
                <w:rFonts w:eastAsiaTheme="minorEastAsia"/>
                <w:color w:val="000000" w:themeColor="text1"/>
                <w:lang w:eastAsia="zh-CN"/>
              </w:rPr>
              <w:br/>
              <w:t>Jeudi 27 mai, matin</w:t>
            </w:r>
          </w:p>
        </w:tc>
      </w:tr>
    </w:tbl>
    <w:p w14:paraId="21A5F69E" w14:textId="77777777" w:rsidR="002C5F8F" w:rsidRPr="006A0AF5" w:rsidRDefault="002C5F8F" w:rsidP="002C5F8F">
      <w:pPr>
        <w:pStyle w:val="SingleTxtG"/>
        <w:spacing w:before="120"/>
        <w:ind w:firstLine="567"/>
        <w:rPr>
          <w:color w:val="000000" w:themeColor="text1"/>
          <w:lang w:val="fr-FR"/>
        </w:rPr>
      </w:pPr>
      <w:r w:rsidRPr="006A0AF5">
        <w:rPr>
          <w:color w:val="000000" w:themeColor="text1"/>
          <w:lang w:val="fr-FR"/>
        </w:rPr>
        <w:t>Étant donné qu’il n’y aura pas de séances en présentiel pendant la session, en raison des restrictions rendues nécessaires par l’actuelle pandémie de COVID-19, et que le Comité ne peut pas examiner la situation de plus de deux États parties en ligne, faute de temps, le Comité a modifié l’ordre du jour provisoire de la session, en application de l’article 9 de son règlement intérieur.</w:t>
      </w:r>
    </w:p>
    <w:p w14:paraId="76F2C1CB" w14:textId="40C39327" w:rsidR="002C5F8F" w:rsidRPr="006A0AF5" w:rsidRDefault="002C5F8F" w:rsidP="002C5F8F">
      <w:pPr>
        <w:pStyle w:val="SingleTxtG"/>
        <w:ind w:firstLine="567"/>
        <w:rPr>
          <w:color w:val="000000" w:themeColor="text1"/>
          <w:lang w:val="fr-FR"/>
        </w:rPr>
      </w:pPr>
      <w:r w:rsidRPr="006A0AF5">
        <w:rPr>
          <w:color w:val="000000" w:themeColor="text1"/>
          <w:lang w:val="fr-FR"/>
        </w:rPr>
        <w:t>L’examen des rapports des autres États parties qui devaient être examinés à la quatre</w:t>
      </w:r>
      <w:r w:rsidR="00553F5C">
        <w:rPr>
          <w:color w:val="000000" w:themeColor="text1"/>
          <w:lang w:val="fr-FR"/>
        </w:rPr>
        <w:noBreakHyphen/>
      </w:r>
      <w:r w:rsidRPr="006A0AF5">
        <w:rPr>
          <w:color w:val="000000" w:themeColor="text1"/>
          <w:lang w:val="fr-FR"/>
        </w:rPr>
        <w:t>vingt-septième session (Chypre, Eswatini, Pologne, Tchéquie et Tunisie) est renvoyé à des sessions futures du Comité.</w:t>
      </w:r>
    </w:p>
    <w:p w14:paraId="5A018400" w14:textId="6F947823" w:rsidR="002C5F8F" w:rsidRPr="006A0AF5" w:rsidRDefault="002C5F8F" w:rsidP="002C5F8F">
      <w:pPr>
        <w:pStyle w:val="H23G"/>
        <w:rPr>
          <w:color w:val="000000" w:themeColor="text1"/>
          <w:lang w:val="fr-FR"/>
        </w:rPr>
      </w:pPr>
      <w:r w:rsidRPr="006A0AF5">
        <w:rPr>
          <w:color w:val="000000" w:themeColor="text1"/>
          <w:lang w:val="fr-FR"/>
        </w:rPr>
        <w:tab/>
        <w:t>5.</w:t>
      </w:r>
      <w:r w:rsidRPr="006A0AF5">
        <w:rPr>
          <w:color w:val="000000" w:themeColor="text1"/>
          <w:lang w:val="fr-FR"/>
        </w:rPr>
        <w:tab/>
      </w:r>
      <w:r w:rsidRPr="006A0AF5">
        <w:rPr>
          <w:bCs/>
          <w:color w:val="000000" w:themeColor="text1"/>
          <w:lang w:val="fr-FR"/>
        </w:rPr>
        <w:t>Coopération avec d’autres organismes des Nations Unies, les institutions spécialisées et d’autres organismes compétents</w:t>
      </w:r>
      <w:bookmarkStart w:id="10" w:name="_Toc15985921"/>
      <w:bookmarkEnd w:id="10"/>
    </w:p>
    <w:p w14:paraId="0731EC90" w14:textId="77777777" w:rsidR="002C5F8F" w:rsidRPr="006A0AF5" w:rsidRDefault="002C5F8F" w:rsidP="002C5F8F">
      <w:pPr>
        <w:pStyle w:val="SingleTxtG"/>
        <w:ind w:firstLine="567"/>
        <w:rPr>
          <w:color w:val="000000" w:themeColor="text1"/>
          <w:lang w:val="fr-FR"/>
        </w:rPr>
      </w:pPr>
      <w:r w:rsidRPr="006A0AF5">
        <w:rPr>
          <w:color w:val="000000" w:themeColor="text1"/>
          <w:lang w:val="fr-FR"/>
        </w:rPr>
        <w:t>Le Comité continuera d’examiner de quelle manière il pourrait renforcer encore sa coopération avec divers organismes compétents en vue d’améliorer la promotion et la protection des droits de l’enfant.</w:t>
      </w:r>
    </w:p>
    <w:p w14:paraId="214D0DC2" w14:textId="2BB88856" w:rsidR="002C5F8F" w:rsidRPr="006A0AF5" w:rsidRDefault="002C5F8F" w:rsidP="002C5F8F">
      <w:pPr>
        <w:pStyle w:val="H23G"/>
        <w:rPr>
          <w:rFonts w:ascii="Times New Roman Gras" w:hAnsi="Times New Roman Gras"/>
          <w:color w:val="000000" w:themeColor="text1"/>
          <w:spacing w:val="-2"/>
          <w:lang w:val="fr-FR"/>
        </w:rPr>
      </w:pPr>
      <w:r w:rsidRPr="006A0AF5">
        <w:rPr>
          <w:color w:val="000000" w:themeColor="text1"/>
          <w:lang w:val="fr-FR"/>
        </w:rPr>
        <w:tab/>
        <w:t>6.</w:t>
      </w:r>
      <w:r w:rsidRPr="006A0AF5">
        <w:rPr>
          <w:color w:val="000000" w:themeColor="text1"/>
          <w:lang w:val="fr-FR"/>
        </w:rPr>
        <w:tab/>
      </w:r>
      <w:r w:rsidRPr="006A0AF5">
        <w:rPr>
          <w:rFonts w:ascii="Times New Roman Gras" w:hAnsi="Times New Roman Gras"/>
          <w:color w:val="000000" w:themeColor="text1"/>
          <w:spacing w:val="-2"/>
          <w:lang w:val="fr-FR"/>
        </w:rPr>
        <w:t>Méthodes de travail du Comité et processus de renforcement des organes conventionnels</w:t>
      </w:r>
      <w:bookmarkStart w:id="11" w:name="_Toc15985922"/>
      <w:bookmarkEnd w:id="11"/>
    </w:p>
    <w:p w14:paraId="24157CDB" w14:textId="200602A9" w:rsidR="002C5F8F" w:rsidRPr="006A0AF5" w:rsidRDefault="002C5F8F" w:rsidP="002C5F8F">
      <w:pPr>
        <w:pStyle w:val="SingleTxtG"/>
        <w:ind w:firstLine="567"/>
        <w:rPr>
          <w:color w:val="000000" w:themeColor="text1"/>
          <w:lang w:val="fr-FR"/>
        </w:rPr>
      </w:pPr>
      <w:r w:rsidRPr="006A0AF5">
        <w:rPr>
          <w:color w:val="000000" w:themeColor="text1"/>
          <w:lang w:val="fr-FR"/>
        </w:rPr>
        <w:t>Le Comité poursuivra sa discussion sur l’organisation de ses travaux futurs et sur la procédure à suivre pour l’examen et le suivi des rapports des États parties. En particulier, il</w:t>
      </w:r>
      <w:r w:rsidR="00553F5C">
        <w:rPr>
          <w:color w:val="000000" w:themeColor="text1"/>
          <w:lang w:val="fr-FR"/>
        </w:rPr>
        <w:t xml:space="preserve"> </w:t>
      </w:r>
      <w:r w:rsidRPr="006A0AF5">
        <w:rPr>
          <w:color w:val="000000" w:themeColor="text1"/>
          <w:lang w:val="fr-FR"/>
        </w:rPr>
        <w:t>débattra de questions liées à ses méthodes de travail, y compris en ce qui concerne ses travaux en ligne, et poursuivra sa discussion sur le suivi du processus de renforcement des organes conventionnels et l’examen de 2020.</w:t>
      </w:r>
    </w:p>
    <w:p w14:paraId="6763ABEE" w14:textId="4F813AC5" w:rsidR="002C5F8F" w:rsidRPr="006A0AF5" w:rsidRDefault="002C5F8F" w:rsidP="002C5F8F">
      <w:pPr>
        <w:pStyle w:val="H23G"/>
        <w:rPr>
          <w:color w:val="000000" w:themeColor="text1"/>
          <w:lang w:val="fr-FR"/>
        </w:rPr>
      </w:pPr>
      <w:r w:rsidRPr="006A0AF5">
        <w:rPr>
          <w:color w:val="000000" w:themeColor="text1"/>
          <w:lang w:val="fr-FR"/>
        </w:rPr>
        <w:tab/>
        <w:t>7.</w:t>
      </w:r>
      <w:r w:rsidRPr="006A0AF5">
        <w:rPr>
          <w:color w:val="000000" w:themeColor="text1"/>
          <w:lang w:val="fr-FR"/>
        </w:rPr>
        <w:tab/>
      </w:r>
      <w:r w:rsidRPr="006A0AF5">
        <w:rPr>
          <w:bCs/>
          <w:color w:val="000000" w:themeColor="text1"/>
          <w:lang w:val="fr-FR"/>
        </w:rPr>
        <w:t>Activités menées par le Comité au titre du Protocole facultatif à la Convention relative aux droits de l’enfant établissant une procédure de présentation de communications</w:t>
      </w:r>
      <w:bookmarkStart w:id="12" w:name="_Toc15985923"/>
      <w:bookmarkEnd w:id="12"/>
    </w:p>
    <w:p w14:paraId="75C7C983" w14:textId="77777777" w:rsidR="002C5F8F" w:rsidRPr="006A0AF5" w:rsidRDefault="002C5F8F" w:rsidP="002C5F8F">
      <w:pPr>
        <w:pStyle w:val="SingleTxtG"/>
        <w:ind w:firstLine="567"/>
        <w:rPr>
          <w:color w:val="000000" w:themeColor="text1"/>
          <w:lang w:val="fr-FR"/>
        </w:rPr>
      </w:pPr>
      <w:r w:rsidRPr="006A0AF5">
        <w:rPr>
          <w:color w:val="000000" w:themeColor="text1"/>
          <w:lang w:val="fr-FR"/>
        </w:rPr>
        <w:t>Le Comité examinera toute communication et tout renseignement qu’il aura reçus concernant le Protocole facultatif.</w:t>
      </w:r>
    </w:p>
    <w:p w14:paraId="0C8A90B1" w14:textId="77777777" w:rsidR="002C5F8F" w:rsidRPr="006A0AF5" w:rsidRDefault="002C5F8F" w:rsidP="002C5F8F">
      <w:pPr>
        <w:pStyle w:val="H23G"/>
        <w:rPr>
          <w:color w:val="000000" w:themeColor="text1"/>
          <w:lang w:val="fr-FR"/>
        </w:rPr>
      </w:pPr>
      <w:r w:rsidRPr="006A0AF5">
        <w:rPr>
          <w:color w:val="000000" w:themeColor="text1"/>
          <w:lang w:val="fr-FR"/>
        </w:rPr>
        <w:tab/>
        <w:t>8.</w:t>
      </w:r>
      <w:r w:rsidRPr="006A0AF5">
        <w:rPr>
          <w:color w:val="000000" w:themeColor="text1"/>
          <w:lang w:val="fr-FR"/>
        </w:rPr>
        <w:tab/>
      </w:r>
      <w:r w:rsidRPr="006A0AF5">
        <w:rPr>
          <w:bCs/>
          <w:color w:val="000000" w:themeColor="text1"/>
          <w:lang w:val="fr-FR"/>
        </w:rPr>
        <w:t>Journée de débat général</w:t>
      </w:r>
      <w:bookmarkStart w:id="13" w:name="_Toc15985924"/>
      <w:bookmarkEnd w:id="13"/>
    </w:p>
    <w:p w14:paraId="3ADD9192" w14:textId="76D6D0DB" w:rsidR="002C5F8F" w:rsidRPr="006A0AF5" w:rsidRDefault="002C5F8F" w:rsidP="002C5F8F">
      <w:pPr>
        <w:pStyle w:val="SingleTxtG"/>
        <w:ind w:firstLine="567"/>
        <w:rPr>
          <w:color w:val="000000" w:themeColor="text1"/>
          <w:lang w:val="fr-FR"/>
        </w:rPr>
      </w:pPr>
      <w:r w:rsidRPr="006A0AF5">
        <w:rPr>
          <w:color w:val="000000" w:themeColor="text1"/>
          <w:lang w:val="fr-FR"/>
        </w:rPr>
        <w:t>À sa quatre-vingt-unième session, le Comité a décidé que sa prochaine journée de débat général porterait sur les droits des enfants dans le contexte d’une protection de remplacement. Le débat se déroulera sur deux demi-journées, les 16 et 17</w:t>
      </w:r>
      <w:r w:rsidRPr="006A0AF5">
        <w:rPr>
          <w:color w:val="000000" w:themeColor="text1"/>
          <w:lang w:val="fr-FR"/>
        </w:rPr>
        <w:t> </w:t>
      </w:r>
      <w:r w:rsidRPr="006A0AF5">
        <w:rPr>
          <w:color w:val="000000" w:themeColor="text1"/>
          <w:lang w:val="fr-FR"/>
        </w:rPr>
        <w:t>septembre 2021, pendant la quatre-vingt-huitième session du Comité, à l’Office des Nations Unies à Genève. De plus amples informations sur les horaires et le format de la journée de débat général (hybride ou entièrement en ligne) seront affichées en temps utile sur la page Web du Haut</w:t>
      </w:r>
      <w:r w:rsidRPr="006A0AF5">
        <w:rPr>
          <w:color w:val="000000" w:themeColor="text1"/>
          <w:lang w:val="fr-FR"/>
        </w:rPr>
        <w:noBreakHyphen/>
      </w:r>
      <w:r w:rsidRPr="006A0AF5">
        <w:rPr>
          <w:color w:val="000000" w:themeColor="text1"/>
          <w:lang w:val="fr-FR"/>
        </w:rPr>
        <w:t>Commissariat consacrée à ce sujet</w:t>
      </w:r>
      <w:r w:rsidRPr="006A0AF5">
        <w:rPr>
          <w:color w:val="000000" w:themeColor="text1"/>
        </w:rPr>
        <w:t xml:space="preserve"> (</w:t>
      </w:r>
      <w:hyperlink r:id="rId10" w:history="1">
        <w:r w:rsidRPr="00553F5C">
          <w:rPr>
            <w:rStyle w:val="Lienhypertexte"/>
          </w:rPr>
          <w:t>OHCHR | Day of General Discussion</w:t>
        </w:r>
        <w:r w:rsidRPr="00553F5C">
          <w:rPr>
            <w:rStyle w:val="Lienhypertexte"/>
          </w:rPr>
          <w:t> :</w:t>
        </w:r>
        <w:r w:rsidRPr="00553F5C">
          <w:rPr>
            <w:rStyle w:val="Lienhypertexte"/>
          </w:rPr>
          <w:t xml:space="preserve"> </w:t>
        </w:r>
        <w:proofErr w:type="spellStart"/>
        <w:r w:rsidRPr="00553F5C">
          <w:rPr>
            <w:rStyle w:val="Lienhypertexte"/>
          </w:rPr>
          <w:t>Children’s</w:t>
        </w:r>
        <w:proofErr w:type="spellEnd"/>
        <w:r w:rsidRPr="00553F5C">
          <w:rPr>
            <w:rStyle w:val="Lienhypertexte"/>
          </w:rPr>
          <w:t xml:space="preserve"> </w:t>
        </w:r>
        <w:proofErr w:type="spellStart"/>
        <w:r w:rsidRPr="00553F5C">
          <w:rPr>
            <w:rStyle w:val="Lienhypertexte"/>
          </w:rPr>
          <w:t>rights</w:t>
        </w:r>
        <w:proofErr w:type="spellEnd"/>
        <w:r w:rsidRPr="00553F5C">
          <w:rPr>
            <w:rStyle w:val="Lienhypertexte"/>
          </w:rPr>
          <w:t xml:space="preserve"> and alternative care</w:t>
        </w:r>
      </w:hyperlink>
      <w:r w:rsidRPr="006A0AF5">
        <w:rPr>
          <w:color w:val="000000" w:themeColor="text1"/>
        </w:rPr>
        <w:t>)</w:t>
      </w:r>
      <w:r w:rsidRPr="006A0AF5">
        <w:rPr>
          <w:color w:val="000000" w:themeColor="text1"/>
          <w:shd w:val="clear" w:color="auto" w:fill="FFFFFF"/>
        </w:rPr>
        <w:t>.</w:t>
      </w:r>
    </w:p>
    <w:p w14:paraId="61265B83" w14:textId="77777777" w:rsidR="002C5F8F" w:rsidRPr="006A0AF5" w:rsidRDefault="002C5F8F" w:rsidP="002C5F8F">
      <w:pPr>
        <w:pStyle w:val="H23G"/>
        <w:rPr>
          <w:color w:val="000000" w:themeColor="text1"/>
          <w:lang w:val="fr-FR"/>
        </w:rPr>
      </w:pPr>
      <w:r w:rsidRPr="006A0AF5">
        <w:rPr>
          <w:color w:val="000000" w:themeColor="text1"/>
          <w:lang w:val="fr-FR"/>
        </w:rPr>
        <w:tab/>
        <w:t>9.</w:t>
      </w:r>
      <w:r w:rsidRPr="006A0AF5">
        <w:rPr>
          <w:color w:val="000000" w:themeColor="text1"/>
          <w:lang w:val="fr-FR"/>
        </w:rPr>
        <w:tab/>
        <w:t>Observations générales</w:t>
      </w:r>
      <w:bookmarkStart w:id="14" w:name="_Toc15985925"/>
      <w:bookmarkEnd w:id="14"/>
    </w:p>
    <w:p w14:paraId="1791A9C0" w14:textId="5ADCE8AA" w:rsidR="002C5F8F" w:rsidRPr="006A0AF5" w:rsidRDefault="002C5F8F" w:rsidP="002C5F8F">
      <w:pPr>
        <w:pStyle w:val="SingleTxtG"/>
        <w:ind w:firstLine="567"/>
        <w:rPr>
          <w:color w:val="000000" w:themeColor="text1"/>
          <w:lang w:val="fr-FR"/>
        </w:rPr>
      </w:pPr>
      <w:r w:rsidRPr="006A0AF5">
        <w:rPr>
          <w:color w:val="000000" w:themeColor="text1"/>
          <w:lang w:val="fr-FR"/>
        </w:rPr>
        <w:t>À</w:t>
      </w:r>
      <w:r w:rsidRPr="006A0AF5">
        <w:rPr>
          <w:color w:val="000000" w:themeColor="text1"/>
          <w:lang w:val="fr-FR"/>
        </w:rPr>
        <w:t xml:space="preserve"> sa quatre-vingt-sixième session, le Comité a adopté sa nouvelle observation générale, consacrée aux droits de l’enfant en relation avec l’environnement numérique.</w:t>
      </w:r>
    </w:p>
    <w:p w14:paraId="4A29F993" w14:textId="77777777" w:rsidR="002C5F8F" w:rsidRPr="006A0AF5" w:rsidRDefault="002C5F8F" w:rsidP="002C5F8F">
      <w:pPr>
        <w:pStyle w:val="H23G"/>
        <w:rPr>
          <w:color w:val="000000" w:themeColor="text1"/>
          <w:lang w:val="fr-FR"/>
        </w:rPr>
      </w:pPr>
      <w:r w:rsidRPr="006A0AF5">
        <w:rPr>
          <w:color w:val="000000" w:themeColor="text1"/>
          <w:lang w:val="fr-FR"/>
        </w:rPr>
        <w:lastRenderedPageBreak/>
        <w:tab/>
        <w:t>10.</w:t>
      </w:r>
      <w:r w:rsidRPr="006A0AF5">
        <w:rPr>
          <w:color w:val="000000" w:themeColor="text1"/>
          <w:lang w:val="fr-FR"/>
        </w:rPr>
        <w:tab/>
        <w:t>Sessions futures</w:t>
      </w:r>
      <w:bookmarkStart w:id="15" w:name="_Toc15985926"/>
      <w:bookmarkEnd w:id="15"/>
    </w:p>
    <w:p w14:paraId="4758598A" w14:textId="77777777" w:rsidR="002C5F8F" w:rsidRPr="006A0AF5" w:rsidRDefault="002C5F8F" w:rsidP="002C5F8F">
      <w:pPr>
        <w:pStyle w:val="SingleTxtG"/>
        <w:ind w:firstLine="567"/>
        <w:rPr>
          <w:color w:val="000000" w:themeColor="text1"/>
          <w:lang w:val="fr-FR"/>
        </w:rPr>
      </w:pPr>
      <w:r w:rsidRPr="006A0AF5">
        <w:rPr>
          <w:color w:val="000000" w:themeColor="text1"/>
          <w:lang w:val="fr-FR"/>
        </w:rPr>
        <w:t>Le Comité sera informé de tout fait récent ayant une incidence sur le calendrier de ses sessions à venir.</w:t>
      </w:r>
    </w:p>
    <w:p w14:paraId="236FD482" w14:textId="77777777" w:rsidR="002C5F8F" w:rsidRPr="006A0AF5" w:rsidRDefault="002C5F8F" w:rsidP="002C5F8F">
      <w:pPr>
        <w:pStyle w:val="H23G"/>
        <w:rPr>
          <w:color w:val="000000" w:themeColor="text1"/>
          <w:lang w:val="fr-FR"/>
        </w:rPr>
      </w:pPr>
      <w:r w:rsidRPr="006A0AF5">
        <w:rPr>
          <w:color w:val="000000" w:themeColor="text1"/>
          <w:lang w:val="fr-FR"/>
        </w:rPr>
        <w:tab/>
        <w:t>11.</w:t>
      </w:r>
      <w:r w:rsidRPr="006A0AF5">
        <w:rPr>
          <w:color w:val="000000" w:themeColor="text1"/>
          <w:lang w:val="fr-FR"/>
        </w:rPr>
        <w:tab/>
        <w:t>Questions diverses</w:t>
      </w:r>
      <w:bookmarkStart w:id="16" w:name="_Toc15985927"/>
      <w:bookmarkEnd w:id="16"/>
    </w:p>
    <w:p w14:paraId="14383CBF" w14:textId="77777777" w:rsidR="002C5F8F" w:rsidRPr="006A0AF5" w:rsidRDefault="002C5F8F" w:rsidP="002C5F8F">
      <w:pPr>
        <w:pStyle w:val="SingleTxtG"/>
        <w:ind w:firstLine="567"/>
        <w:rPr>
          <w:color w:val="000000" w:themeColor="text1"/>
          <w:lang w:val="fr-FR"/>
        </w:rPr>
      </w:pPr>
      <w:r w:rsidRPr="006A0AF5">
        <w:rPr>
          <w:color w:val="000000" w:themeColor="text1"/>
          <w:lang w:val="fr-FR"/>
        </w:rPr>
        <w:t>Les membres examineront, si nécessaire, toute autre question intéressant les travaux du Comité.</w:t>
      </w:r>
    </w:p>
    <w:p w14:paraId="1D0DB1E5" w14:textId="6B3E2077" w:rsidR="007341B7" w:rsidRPr="006A0AF5" w:rsidRDefault="002C5F8F" w:rsidP="002C5F8F">
      <w:pPr>
        <w:pStyle w:val="SingleTxtG"/>
        <w:spacing w:before="240" w:after="0"/>
        <w:jc w:val="center"/>
        <w:rPr>
          <w:color w:val="000000" w:themeColor="text1"/>
          <w:u w:val="single"/>
        </w:rPr>
      </w:pPr>
      <w:r w:rsidRPr="006A0AF5">
        <w:rPr>
          <w:color w:val="000000" w:themeColor="text1"/>
          <w:u w:val="single"/>
        </w:rPr>
        <w:tab/>
      </w:r>
      <w:r w:rsidRPr="006A0AF5">
        <w:rPr>
          <w:color w:val="000000" w:themeColor="text1"/>
          <w:u w:val="single"/>
        </w:rPr>
        <w:tab/>
      </w:r>
      <w:r w:rsidRPr="006A0AF5">
        <w:rPr>
          <w:color w:val="000000" w:themeColor="text1"/>
          <w:u w:val="single"/>
        </w:rPr>
        <w:tab/>
      </w:r>
    </w:p>
    <w:sectPr w:rsidR="007341B7" w:rsidRPr="006A0AF5" w:rsidSect="00EB0FF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D8D6" w14:textId="77777777" w:rsidR="0083209E" w:rsidRDefault="0083209E" w:rsidP="00F95C08">
      <w:pPr>
        <w:spacing w:line="240" w:lineRule="auto"/>
      </w:pPr>
    </w:p>
  </w:endnote>
  <w:endnote w:type="continuationSeparator" w:id="0">
    <w:p w14:paraId="7EF8CAD6" w14:textId="77777777" w:rsidR="0083209E" w:rsidRPr="00AC3823" w:rsidRDefault="0083209E" w:rsidP="00AC3823">
      <w:pPr>
        <w:pStyle w:val="Pieddepage"/>
      </w:pPr>
    </w:p>
  </w:endnote>
  <w:endnote w:type="continuationNotice" w:id="1">
    <w:p w14:paraId="40E20D67" w14:textId="77777777" w:rsidR="0083209E" w:rsidRDefault="008320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D1F9" w14:textId="2B42BB01" w:rsidR="00EB0FF2" w:rsidRPr="00EB0FF2" w:rsidRDefault="00EB0FF2" w:rsidP="00EB0FF2">
    <w:pPr>
      <w:pStyle w:val="Pieddepage"/>
      <w:tabs>
        <w:tab w:val="right" w:pos="9638"/>
      </w:tabs>
    </w:pPr>
    <w:r w:rsidRPr="00EB0FF2">
      <w:rPr>
        <w:b/>
        <w:sz w:val="18"/>
      </w:rPr>
      <w:fldChar w:fldCharType="begin"/>
    </w:r>
    <w:r w:rsidRPr="00EB0FF2">
      <w:rPr>
        <w:b/>
        <w:sz w:val="18"/>
      </w:rPr>
      <w:instrText xml:space="preserve"> PAGE  \* MERGEFORMAT </w:instrText>
    </w:r>
    <w:r w:rsidRPr="00EB0FF2">
      <w:rPr>
        <w:b/>
        <w:sz w:val="18"/>
      </w:rPr>
      <w:fldChar w:fldCharType="separate"/>
    </w:r>
    <w:r w:rsidRPr="00EB0FF2">
      <w:rPr>
        <w:b/>
        <w:noProof/>
        <w:sz w:val="18"/>
      </w:rPr>
      <w:t>2</w:t>
    </w:r>
    <w:r w:rsidRPr="00EB0FF2">
      <w:rPr>
        <w:b/>
        <w:sz w:val="18"/>
      </w:rPr>
      <w:fldChar w:fldCharType="end"/>
    </w:r>
    <w:r>
      <w:rPr>
        <w:b/>
        <w:sz w:val="18"/>
      </w:rPr>
      <w:tab/>
    </w:r>
    <w:r>
      <w:t>GE.21-04696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F0EF" w14:textId="14EE02F3" w:rsidR="00EB0FF2" w:rsidRPr="00EB0FF2" w:rsidRDefault="00EB0FF2" w:rsidP="00EB0FF2">
    <w:pPr>
      <w:pStyle w:val="Pieddepage"/>
      <w:tabs>
        <w:tab w:val="right" w:pos="9638"/>
      </w:tabs>
      <w:rPr>
        <w:b/>
        <w:sz w:val="18"/>
      </w:rPr>
    </w:pPr>
    <w:r>
      <w:t>GE.21-04696</w:t>
    </w:r>
    <w:r>
      <w:tab/>
    </w:r>
    <w:r w:rsidRPr="00EB0FF2">
      <w:rPr>
        <w:b/>
        <w:sz w:val="18"/>
      </w:rPr>
      <w:fldChar w:fldCharType="begin"/>
    </w:r>
    <w:r w:rsidRPr="00EB0FF2">
      <w:rPr>
        <w:b/>
        <w:sz w:val="18"/>
      </w:rPr>
      <w:instrText xml:space="preserve"> PAGE  \* MERGEFORMAT </w:instrText>
    </w:r>
    <w:r w:rsidRPr="00EB0FF2">
      <w:rPr>
        <w:b/>
        <w:sz w:val="18"/>
      </w:rPr>
      <w:fldChar w:fldCharType="separate"/>
    </w:r>
    <w:r w:rsidRPr="00EB0FF2">
      <w:rPr>
        <w:b/>
        <w:noProof/>
        <w:sz w:val="18"/>
      </w:rPr>
      <w:t>3</w:t>
    </w:r>
    <w:r w:rsidRPr="00EB0F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F125" w14:textId="4120B128" w:rsidR="002D14A3" w:rsidRPr="00EB0FF2" w:rsidRDefault="00EB0FF2" w:rsidP="00EB0FF2">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513DD016" wp14:editId="53E7ED7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21-04696  (F)</w:t>
    </w:r>
    <w:r>
      <w:rPr>
        <w:noProof/>
        <w:sz w:val="20"/>
      </w:rPr>
      <w:drawing>
        <wp:anchor distT="0" distB="0" distL="114300" distR="114300" simplePos="0" relativeHeight="251660288" behindDoc="0" locked="0" layoutInCell="1" allowOverlap="1" wp14:anchorId="5341DBC8" wp14:editId="409C0D5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130421    130421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842A" w14:textId="77777777" w:rsidR="0083209E" w:rsidRPr="00AC3823" w:rsidRDefault="0083209E" w:rsidP="00AC3823">
      <w:pPr>
        <w:pStyle w:val="Pieddepage"/>
        <w:tabs>
          <w:tab w:val="right" w:pos="2155"/>
        </w:tabs>
        <w:spacing w:after="80" w:line="240" w:lineRule="atLeast"/>
        <w:ind w:left="680"/>
        <w:rPr>
          <w:u w:val="single"/>
        </w:rPr>
      </w:pPr>
      <w:r>
        <w:rPr>
          <w:u w:val="single"/>
        </w:rPr>
        <w:tab/>
      </w:r>
    </w:p>
  </w:footnote>
  <w:footnote w:type="continuationSeparator" w:id="0">
    <w:p w14:paraId="20CDE815" w14:textId="77777777" w:rsidR="0083209E" w:rsidRPr="00AC3823" w:rsidRDefault="0083209E" w:rsidP="00AC3823">
      <w:pPr>
        <w:pStyle w:val="Pieddepage"/>
        <w:tabs>
          <w:tab w:val="right" w:pos="2155"/>
        </w:tabs>
        <w:spacing w:after="80" w:line="240" w:lineRule="atLeast"/>
        <w:ind w:left="680"/>
        <w:rPr>
          <w:u w:val="single"/>
        </w:rPr>
      </w:pPr>
      <w:r>
        <w:rPr>
          <w:u w:val="single"/>
        </w:rPr>
        <w:tab/>
      </w:r>
    </w:p>
  </w:footnote>
  <w:footnote w:type="continuationNotice" w:id="1">
    <w:p w14:paraId="2D489D71" w14:textId="77777777" w:rsidR="0083209E" w:rsidRPr="00AC3823" w:rsidRDefault="0083209E">
      <w:pPr>
        <w:spacing w:line="240" w:lineRule="auto"/>
        <w:rPr>
          <w:sz w:val="2"/>
          <w:szCs w:val="2"/>
        </w:rPr>
      </w:pPr>
    </w:p>
  </w:footnote>
  <w:footnote w:id="2">
    <w:p w14:paraId="4C7F23BB" w14:textId="77777777" w:rsidR="002C5F8F" w:rsidRPr="006A0AF5" w:rsidRDefault="002C5F8F" w:rsidP="002C5F8F">
      <w:pPr>
        <w:pStyle w:val="Notedebasdepage"/>
        <w:rPr>
          <w:color w:val="000000" w:themeColor="text1"/>
        </w:rPr>
      </w:pPr>
      <w:r w:rsidRPr="006A0AF5">
        <w:rPr>
          <w:rStyle w:val="Appelnotedebasdep"/>
          <w:color w:val="000000" w:themeColor="text1"/>
          <w:vertAlign w:val="baseline"/>
        </w:rPr>
        <w:tab/>
      </w:r>
      <w:r w:rsidRPr="006A0AF5">
        <w:rPr>
          <w:rStyle w:val="Appelnotedebasdep"/>
          <w:color w:val="000000" w:themeColor="text1"/>
          <w:sz w:val="20"/>
          <w:vertAlign w:val="baseline"/>
        </w:rPr>
        <w:t>*</w:t>
      </w:r>
      <w:r w:rsidRPr="006A0AF5">
        <w:rPr>
          <w:rStyle w:val="Appelnotedebasdep"/>
          <w:color w:val="000000" w:themeColor="text1"/>
          <w:sz w:val="20"/>
          <w:vertAlign w:val="baseline"/>
        </w:rPr>
        <w:tab/>
      </w:r>
      <w:r w:rsidRPr="006A0AF5">
        <w:rPr>
          <w:color w:val="000000" w:themeColor="text1"/>
          <w:shd w:val="clear" w:color="auto" w:fill="FFFFFF" w:themeFill="background1"/>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4A88" w14:textId="006340C2" w:rsidR="00EB0FF2" w:rsidRPr="00EB0FF2" w:rsidRDefault="00EB0FF2">
    <w:pPr>
      <w:pStyle w:val="En-tte"/>
    </w:pPr>
    <w:fldSimple w:instr=" TITLE  \* MERGEFORMAT ">
      <w:r>
        <w:t>CRC/C/87/1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E3F7" w14:textId="2A832018" w:rsidR="00EB0FF2" w:rsidRPr="00EB0FF2" w:rsidRDefault="00EB0FF2" w:rsidP="00EB0FF2">
    <w:pPr>
      <w:pStyle w:val="En-tte"/>
      <w:jc w:val="right"/>
    </w:pPr>
    <w:fldSimple w:instr=" TITLE  \* MERGEFORMAT ">
      <w:r>
        <w:t>CRC/C/87/1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9E"/>
    <w:rsid w:val="00017F94"/>
    <w:rsid w:val="00023842"/>
    <w:rsid w:val="000334F9"/>
    <w:rsid w:val="000354E9"/>
    <w:rsid w:val="0007796D"/>
    <w:rsid w:val="000B7790"/>
    <w:rsid w:val="00111F2F"/>
    <w:rsid w:val="0014365E"/>
    <w:rsid w:val="00176178"/>
    <w:rsid w:val="001F525A"/>
    <w:rsid w:val="00223272"/>
    <w:rsid w:val="0024779E"/>
    <w:rsid w:val="00260A30"/>
    <w:rsid w:val="002C5F8F"/>
    <w:rsid w:val="002D14A3"/>
    <w:rsid w:val="00311E81"/>
    <w:rsid w:val="00340ED0"/>
    <w:rsid w:val="00411C8E"/>
    <w:rsid w:val="00446FE5"/>
    <w:rsid w:val="00452396"/>
    <w:rsid w:val="00485B35"/>
    <w:rsid w:val="004D7A2C"/>
    <w:rsid w:val="005505B7"/>
    <w:rsid w:val="00553F5C"/>
    <w:rsid w:val="00573BE5"/>
    <w:rsid w:val="00586ED3"/>
    <w:rsid w:val="00596AA9"/>
    <w:rsid w:val="006A0AF5"/>
    <w:rsid w:val="0071601D"/>
    <w:rsid w:val="007341B7"/>
    <w:rsid w:val="00760CBC"/>
    <w:rsid w:val="007A62E6"/>
    <w:rsid w:val="007F61AD"/>
    <w:rsid w:val="0080684C"/>
    <w:rsid w:val="0083209E"/>
    <w:rsid w:val="00840413"/>
    <w:rsid w:val="00871C75"/>
    <w:rsid w:val="008776DC"/>
    <w:rsid w:val="008C54BD"/>
    <w:rsid w:val="008F3CA0"/>
    <w:rsid w:val="009705C8"/>
    <w:rsid w:val="00A30353"/>
    <w:rsid w:val="00AC3823"/>
    <w:rsid w:val="00AE323C"/>
    <w:rsid w:val="00B00181"/>
    <w:rsid w:val="00B24A9B"/>
    <w:rsid w:val="00B765F7"/>
    <w:rsid w:val="00BA0CA9"/>
    <w:rsid w:val="00C02897"/>
    <w:rsid w:val="00D3439C"/>
    <w:rsid w:val="00DB1831"/>
    <w:rsid w:val="00DD3BFD"/>
    <w:rsid w:val="00DF6678"/>
    <w:rsid w:val="00EB0FF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7017F1"/>
  <w15:docId w15:val="{CCA38E25-92CB-4B48-98A9-22BF4C33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2C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f-share1\LS\FRA\COMMON\FINAL\webtv.u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ohchr.org/EN/HRBodies/CRC/Pages/Discussion2020.aspx" TargetMode="External"/><Relationship Id="rId4" Type="http://schemas.openxmlformats.org/officeDocument/2006/relationships/webSettings" Target="webSettings.xml"/><Relationship Id="rId9" Type="http://schemas.openxmlformats.org/officeDocument/2006/relationships/hyperlink" Target="http://tbinternet.ohchr.org/_layouts/TreatyBodyExternal/Countries.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4</Pages>
  <Words>1188</Words>
  <Characters>6765</Characters>
  <Application>Microsoft Office Word</Application>
  <DocSecurity>0</DocSecurity>
  <Lines>751</Lines>
  <Paragraphs>318</Paragraphs>
  <ScaleCrop>false</ScaleCrop>
  <HeadingPairs>
    <vt:vector size="2" baseType="variant">
      <vt:variant>
        <vt:lpstr>Titre</vt:lpstr>
      </vt:variant>
      <vt:variant>
        <vt:i4>1</vt:i4>
      </vt:variant>
    </vt:vector>
  </HeadingPairs>
  <TitlesOfParts>
    <vt:vector size="1" baseType="lpstr">
      <vt:lpstr>CRC/C/87/1</vt:lpstr>
    </vt:vector>
  </TitlesOfParts>
  <Company>DCM</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CRC/C/87/1</dc:title>
  <dc:subject/>
  <dc:creator>Nicolas MORIN</dc:creator>
  <cp:keywords/>
  <cp:lastModifiedBy>Nicolas Morin</cp:lastModifiedBy>
  <cp:revision>2</cp:revision>
  <cp:lastPrinted>2014-05-14T10:59:00Z</cp:lastPrinted>
  <dcterms:created xsi:type="dcterms:W3CDTF">2021-04-13T13:20:00Z</dcterms:created>
  <dcterms:modified xsi:type="dcterms:W3CDTF">2021-04-13T13:20:00Z</dcterms:modified>
</cp:coreProperties>
</file>