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4816FEB6" w14:textId="77777777" w:rsidTr="008F3CA0">
        <w:trPr>
          <w:trHeight w:hRule="exact" w:val="851"/>
        </w:trPr>
        <w:tc>
          <w:tcPr>
            <w:tcW w:w="1276" w:type="dxa"/>
            <w:tcBorders>
              <w:bottom w:val="single" w:sz="4" w:space="0" w:color="auto"/>
            </w:tcBorders>
          </w:tcPr>
          <w:p w14:paraId="5983B4E4" w14:textId="77777777" w:rsidR="000354E9" w:rsidRPr="00DB58B5" w:rsidRDefault="000354E9" w:rsidP="00FE0FC1"/>
        </w:tc>
        <w:tc>
          <w:tcPr>
            <w:tcW w:w="2268" w:type="dxa"/>
            <w:tcBorders>
              <w:bottom w:val="single" w:sz="4" w:space="0" w:color="auto"/>
            </w:tcBorders>
            <w:vAlign w:val="bottom"/>
          </w:tcPr>
          <w:p w14:paraId="2CBF80F2"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C28FE4" w14:textId="77777777" w:rsidR="000354E9" w:rsidRPr="00DB58B5" w:rsidRDefault="00FE0FC1" w:rsidP="00FE0FC1">
            <w:pPr>
              <w:jc w:val="right"/>
            </w:pPr>
            <w:r w:rsidRPr="00FE0FC1">
              <w:rPr>
                <w:sz w:val="40"/>
              </w:rPr>
              <w:t>CRC</w:t>
            </w:r>
            <w:r>
              <w:t>/C/KWT/Q/3-6</w:t>
            </w:r>
          </w:p>
        </w:tc>
      </w:tr>
      <w:tr w:rsidR="000354E9" w:rsidRPr="00DB58B5" w14:paraId="500AD65E" w14:textId="77777777" w:rsidTr="008F3CA0">
        <w:trPr>
          <w:trHeight w:hRule="exact" w:val="2835"/>
        </w:trPr>
        <w:tc>
          <w:tcPr>
            <w:tcW w:w="1276" w:type="dxa"/>
            <w:tcBorders>
              <w:top w:val="single" w:sz="4" w:space="0" w:color="auto"/>
              <w:bottom w:val="single" w:sz="12" w:space="0" w:color="auto"/>
            </w:tcBorders>
          </w:tcPr>
          <w:p w14:paraId="353660A3" w14:textId="77777777" w:rsidR="000354E9" w:rsidRPr="00DB58B5" w:rsidRDefault="000354E9" w:rsidP="008F3CA0">
            <w:pPr>
              <w:spacing w:before="120"/>
              <w:jc w:val="center"/>
            </w:pPr>
            <w:r>
              <w:rPr>
                <w:noProof/>
                <w:lang w:eastAsia="fr-CH"/>
              </w:rPr>
              <w:drawing>
                <wp:inline distT="0" distB="0" distL="0" distR="0" wp14:anchorId="4C7B154E" wp14:editId="28ED33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2622D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0C141D01" w14:textId="77777777" w:rsidR="000354E9" w:rsidRDefault="00FE0FC1" w:rsidP="008F3CA0">
            <w:pPr>
              <w:spacing w:before="240"/>
            </w:pPr>
            <w:proofErr w:type="spellStart"/>
            <w:r>
              <w:t>Distr</w:t>
            </w:r>
            <w:proofErr w:type="spellEnd"/>
            <w:r w:rsidR="00943EFC" w:rsidRPr="00943EFC">
              <w:t>.</w:t>
            </w:r>
            <w:r>
              <w:t xml:space="preserve"> générale</w:t>
            </w:r>
          </w:p>
          <w:p w14:paraId="7AA962FD" w14:textId="77777777" w:rsidR="00FE0FC1" w:rsidRDefault="00FE0FC1" w:rsidP="00FE0FC1">
            <w:pPr>
              <w:spacing w:line="240" w:lineRule="exact"/>
            </w:pPr>
            <w:r>
              <w:t>17 novembre 2020</w:t>
            </w:r>
          </w:p>
          <w:p w14:paraId="4F477A83" w14:textId="77777777" w:rsidR="00FE0FC1" w:rsidRDefault="00FE0FC1" w:rsidP="00FE0FC1">
            <w:pPr>
              <w:spacing w:line="240" w:lineRule="exact"/>
            </w:pPr>
            <w:r>
              <w:t>Français</w:t>
            </w:r>
          </w:p>
          <w:p w14:paraId="0433D2D4" w14:textId="77777777" w:rsidR="00FE0FC1" w:rsidRDefault="00FE0FC1" w:rsidP="00FE0FC1">
            <w:pPr>
              <w:spacing w:line="240" w:lineRule="exact"/>
            </w:pPr>
            <w:r>
              <w:t>Original : anglais</w:t>
            </w:r>
          </w:p>
          <w:p w14:paraId="532BBD52" w14:textId="77777777" w:rsidR="00FE0FC1" w:rsidRPr="00DB58B5" w:rsidRDefault="00FE0FC1" w:rsidP="00FE0FC1">
            <w:pPr>
              <w:spacing w:line="240" w:lineRule="exact"/>
            </w:pPr>
            <w:r>
              <w:t>Anglais, arabe, espagnol et français seulement</w:t>
            </w:r>
          </w:p>
        </w:tc>
      </w:tr>
    </w:tbl>
    <w:p w14:paraId="4ACEBD59" w14:textId="77777777" w:rsidR="002D14A3" w:rsidRDefault="002D14A3" w:rsidP="002D14A3">
      <w:pPr>
        <w:spacing w:before="120"/>
        <w:rPr>
          <w:b/>
          <w:sz w:val="24"/>
          <w:szCs w:val="24"/>
        </w:rPr>
      </w:pPr>
      <w:r w:rsidRPr="00DA3BE9">
        <w:rPr>
          <w:b/>
          <w:sz w:val="24"/>
          <w:szCs w:val="24"/>
        </w:rPr>
        <w:t>Comité des droits de l’enfant</w:t>
      </w:r>
    </w:p>
    <w:p w14:paraId="7842DA11" w14:textId="77777777" w:rsidR="00FE0FC1" w:rsidRPr="002D4A4D" w:rsidRDefault="00FE0FC1" w:rsidP="00FE0FC1">
      <w:pPr>
        <w:pStyle w:val="HChG"/>
        <w:rPr>
          <w:lang w:val="fr-FR"/>
        </w:rPr>
      </w:pPr>
      <w:r>
        <w:rPr>
          <w:lang w:val="fr-FR"/>
        </w:rPr>
        <w:tab/>
      </w:r>
      <w:r>
        <w:rPr>
          <w:lang w:val="fr-FR"/>
        </w:rPr>
        <w:tab/>
        <w:t xml:space="preserve">Liste de points concernant le rapport du Koweït </w:t>
      </w:r>
      <w:r>
        <w:rPr>
          <w:lang w:val="fr-FR"/>
        </w:rPr>
        <w:br/>
      </w:r>
      <w:r>
        <w:rPr>
          <w:lang w:val="fr-FR"/>
        </w:rPr>
        <w:t>valant troisième à sixième rapports périodiques</w:t>
      </w:r>
      <w:r w:rsidRPr="00FE0FC1">
        <w:rPr>
          <w:b w:val="0"/>
          <w:bCs/>
          <w:sz w:val="20"/>
          <w:szCs w:val="14"/>
          <w:lang w:val="fr-FR"/>
        </w:rPr>
        <w:footnoteReference w:customMarkFollows="1" w:id="2"/>
        <w:t>*</w:t>
      </w:r>
    </w:p>
    <w:p w14:paraId="37B4BD1B" w14:textId="77777777" w:rsidR="00FE0FC1" w:rsidRPr="002D4A4D" w:rsidRDefault="00FE0FC1" w:rsidP="00FE0FC1">
      <w:pPr>
        <w:pStyle w:val="SingleTxtG"/>
        <w:rPr>
          <w:lang w:val="fr-FR"/>
        </w:rPr>
      </w:pPr>
      <w:r>
        <w:rPr>
          <w:lang w:val="fr-FR"/>
        </w:rPr>
        <w:tab/>
        <w:t>L’État partie est invité à soumettre par écrit des informations complémentaires et actualisées (10 700 mots maximum), si possible avant le 15 juin 2021</w:t>
      </w:r>
      <w:r w:rsidR="00943EFC" w:rsidRPr="00943EFC">
        <w:rPr>
          <w:lang w:val="fr-FR"/>
        </w:rPr>
        <w:t>.</w:t>
      </w:r>
      <w:r>
        <w:rPr>
          <w:lang w:val="fr-FR"/>
        </w:rPr>
        <w:t xml:space="preserve"> Le Comité pourra aborder tous les aspects des droits de l’enfant énoncés dans la Convention au cours du dialogue avec l’État partie</w:t>
      </w:r>
      <w:r w:rsidR="00943EFC" w:rsidRPr="00943EFC">
        <w:rPr>
          <w:lang w:val="fr-FR"/>
        </w:rPr>
        <w:t>.</w:t>
      </w:r>
    </w:p>
    <w:p w14:paraId="2BC78343" w14:textId="77777777" w:rsidR="00FE0FC1" w:rsidRPr="002D4A4D" w:rsidRDefault="00FE0FC1" w:rsidP="00FE0FC1">
      <w:pPr>
        <w:pStyle w:val="HChG"/>
        <w:rPr>
          <w:lang w:val="fr-FR"/>
        </w:rPr>
      </w:pPr>
      <w:r>
        <w:rPr>
          <w:lang w:val="fr-FR"/>
        </w:rPr>
        <w:tab/>
      </w:r>
      <w:r>
        <w:rPr>
          <w:lang w:val="fr-FR"/>
        </w:rPr>
        <w:tab/>
      </w:r>
      <w:r>
        <w:rPr>
          <w:bCs/>
          <w:lang w:val="fr-FR"/>
        </w:rPr>
        <w:t>Première partie</w:t>
      </w:r>
    </w:p>
    <w:p w14:paraId="20035BA3" w14:textId="77777777" w:rsidR="00FE0FC1" w:rsidRPr="002D4A4D" w:rsidRDefault="00FE0FC1" w:rsidP="00FE0FC1">
      <w:pPr>
        <w:pStyle w:val="SingleTxtG"/>
        <w:rPr>
          <w:lang w:val="fr-FR"/>
        </w:rPr>
      </w:pPr>
      <w:r>
        <w:rPr>
          <w:lang w:val="fr-FR"/>
        </w:rPr>
        <w:t>1</w:t>
      </w:r>
      <w:r w:rsidR="00943EFC" w:rsidRPr="00943EFC">
        <w:rPr>
          <w:lang w:val="fr-FR"/>
        </w:rPr>
        <w:t>.</w:t>
      </w:r>
      <w:r>
        <w:rPr>
          <w:lang w:val="fr-FR"/>
        </w:rPr>
        <w:tab/>
        <w:t>Exposer les mesures prises</w:t>
      </w:r>
      <w:r>
        <w:rPr>
          <w:lang w:val="fr-FR"/>
        </w:rPr>
        <w:t> :</w:t>
      </w:r>
    </w:p>
    <w:p w14:paraId="3BDF3BD4" w14:textId="77777777" w:rsidR="00FE0FC1" w:rsidRPr="002D4A4D" w:rsidRDefault="00FE0FC1" w:rsidP="00FE0FC1">
      <w:pPr>
        <w:pStyle w:val="SingleTxtG"/>
        <w:rPr>
          <w:lang w:val="fr-FR"/>
        </w:rPr>
      </w:pPr>
      <w:r>
        <w:rPr>
          <w:lang w:val="fr-FR"/>
        </w:rPr>
        <w:tab/>
        <w:t>a)</w:t>
      </w:r>
      <w:r>
        <w:rPr>
          <w:lang w:val="fr-FR"/>
        </w:rPr>
        <w:tab/>
        <w:t xml:space="preserve">Pour réexaminer, à la suite de l’adoption de la loi </w:t>
      </w:r>
      <w:r w:rsidRPr="00FE0FC1">
        <w:rPr>
          <w:rFonts w:eastAsia="MS Mincho"/>
          <w:lang w:val="fr-FR"/>
        </w:rPr>
        <w:t>n</w:t>
      </w:r>
      <w:r w:rsidRPr="00FE0FC1">
        <w:rPr>
          <w:rFonts w:eastAsia="MS Mincho"/>
          <w:vertAlign w:val="superscript"/>
          <w:lang w:val="fr-FR"/>
        </w:rPr>
        <w:t>o</w:t>
      </w:r>
      <w:r>
        <w:rPr>
          <w:lang w:val="fr-FR"/>
        </w:rPr>
        <w:t> </w:t>
      </w:r>
      <w:r>
        <w:rPr>
          <w:lang w:val="fr-FR"/>
        </w:rPr>
        <w:t>21 de 2015, les lois existantes relatives à l’enfance, afin de les mettre en conformité avec la Convention et les Protocoles facultatifs s’y rapportant</w:t>
      </w:r>
      <w:r>
        <w:rPr>
          <w:lang w:val="fr-FR"/>
        </w:rPr>
        <w:t> </w:t>
      </w:r>
      <w:r w:rsidR="00943EFC" w:rsidRPr="00943EFC">
        <w:rPr>
          <w:lang w:val="fr-FR"/>
        </w:rPr>
        <w:t>;</w:t>
      </w:r>
    </w:p>
    <w:p w14:paraId="7E071605" w14:textId="77777777" w:rsidR="00FE0FC1" w:rsidRPr="002D4A4D" w:rsidRDefault="00FE0FC1" w:rsidP="00FE0FC1">
      <w:pPr>
        <w:pStyle w:val="SingleTxtG"/>
        <w:rPr>
          <w:lang w:val="fr-FR"/>
        </w:rPr>
      </w:pPr>
      <w:r>
        <w:rPr>
          <w:lang w:val="fr-FR"/>
        </w:rPr>
        <w:tab/>
        <w:t>b)</w:t>
      </w:r>
      <w:r>
        <w:rPr>
          <w:lang w:val="fr-FR"/>
        </w:rPr>
        <w:tab/>
        <w:t>Pour élaborer une politique globale sur les droits de l’enfant visant à mettre en application la Convention et les Protocoles facultatifs s’y rapportant</w:t>
      </w:r>
      <w:r>
        <w:rPr>
          <w:lang w:val="fr-FR"/>
        </w:rPr>
        <w:t> </w:t>
      </w:r>
      <w:r w:rsidR="00943EFC" w:rsidRPr="00943EFC">
        <w:rPr>
          <w:lang w:val="fr-FR"/>
        </w:rPr>
        <w:t>;</w:t>
      </w:r>
    </w:p>
    <w:p w14:paraId="70E4AE22" w14:textId="77777777" w:rsidR="00FE0FC1" w:rsidRPr="002D4A4D" w:rsidRDefault="00FE0FC1" w:rsidP="00FE0FC1">
      <w:pPr>
        <w:pStyle w:val="SingleTxtG"/>
        <w:rPr>
          <w:lang w:val="fr-FR"/>
        </w:rPr>
      </w:pPr>
      <w:r>
        <w:rPr>
          <w:lang w:val="fr-FR"/>
        </w:rPr>
        <w:tab/>
        <w:t>c)</w:t>
      </w:r>
      <w:r>
        <w:rPr>
          <w:lang w:val="fr-FR"/>
        </w:rPr>
        <w:tab/>
        <w:t>Par le Conseil supérieur des affaires familiales en vue de l’élaboration d’une stratégie concrète en faveur des enfants</w:t>
      </w:r>
      <w:r>
        <w:rPr>
          <w:lang w:val="fr-FR"/>
        </w:rPr>
        <w:t> </w:t>
      </w:r>
      <w:r w:rsidR="00943EFC" w:rsidRPr="00943EFC">
        <w:rPr>
          <w:lang w:val="fr-FR"/>
        </w:rPr>
        <w:t>;</w:t>
      </w:r>
      <w:r>
        <w:rPr>
          <w:lang w:val="fr-FR"/>
        </w:rPr>
        <w:t xml:space="preserve"> préciser le rôle que joue le Conseil </w:t>
      </w:r>
      <w:r w:rsidRPr="004B7703">
        <w:rPr>
          <w:lang w:val="fr-FR"/>
        </w:rPr>
        <w:t>dans la coordination des activités liées à l</w:t>
      </w:r>
      <w:r>
        <w:rPr>
          <w:lang w:val="fr-FR"/>
        </w:rPr>
        <w:t>’</w:t>
      </w:r>
      <w:r w:rsidRPr="004B7703">
        <w:rPr>
          <w:lang w:val="fr-FR"/>
        </w:rPr>
        <w:t>application de la Convention et des Protocoles</w:t>
      </w:r>
      <w:r>
        <w:rPr>
          <w:lang w:val="fr-FR"/>
        </w:rPr>
        <w:t xml:space="preserve"> facultatifs s’y rapportant</w:t>
      </w:r>
      <w:r w:rsidR="00943EFC" w:rsidRPr="00943EFC">
        <w:rPr>
          <w:lang w:val="fr-FR"/>
        </w:rPr>
        <w:t>.</w:t>
      </w:r>
    </w:p>
    <w:p w14:paraId="0FF932FC" w14:textId="77777777" w:rsidR="00FE0FC1" w:rsidRPr="002D4A4D" w:rsidRDefault="00FE0FC1" w:rsidP="00FE0FC1">
      <w:pPr>
        <w:pStyle w:val="SingleTxtG"/>
        <w:rPr>
          <w:lang w:val="fr-FR"/>
        </w:rPr>
      </w:pPr>
      <w:r>
        <w:rPr>
          <w:lang w:val="fr-FR"/>
        </w:rPr>
        <w:t>2</w:t>
      </w:r>
      <w:r w:rsidR="00943EFC" w:rsidRPr="00943EFC">
        <w:rPr>
          <w:lang w:val="fr-FR"/>
        </w:rPr>
        <w:t>.</w:t>
      </w:r>
      <w:r>
        <w:rPr>
          <w:lang w:val="fr-FR"/>
        </w:rPr>
        <w:tab/>
        <w:t>Décrire les mesures prises pour</w:t>
      </w:r>
      <w:r>
        <w:rPr>
          <w:lang w:val="fr-FR"/>
        </w:rPr>
        <w:t> :</w:t>
      </w:r>
    </w:p>
    <w:p w14:paraId="66259EEC" w14:textId="77777777" w:rsidR="00FE0FC1" w:rsidRPr="002D4A4D" w:rsidRDefault="00FE0FC1" w:rsidP="00FE0FC1">
      <w:pPr>
        <w:pStyle w:val="SingleTxtG"/>
        <w:rPr>
          <w:lang w:val="fr-FR"/>
        </w:rPr>
      </w:pPr>
      <w:r>
        <w:rPr>
          <w:lang w:val="fr-FR"/>
        </w:rPr>
        <w:tab/>
        <w:t>a)</w:t>
      </w:r>
      <w:r>
        <w:rPr>
          <w:lang w:val="fr-FR"/>
        </w:rPr>
        <w:tab/>
        <w:t>Assurer la protection des droits de l’enfant dans le contexte de la pandémie de maladie à coronavirus (COVID-19) et atténuer les incidences négatives de la pandémie</w:t>
      </w:r>
      <w:r>
        <w:rPr>
          <w:lang w:val="fr-FR"/>
        </w:rPr>
        <w:t> </w:t>
      </w:r>
      <w:r w:rsidR="00943EFC" w:rsidRPr="00943EFC">
        <w:rPr>
          <w:lang w:val="fr-FR"/>
        </w:rPr>
        <w:t>;</w:t>
      </w:r>
    </w:p>
    <w:p w14:paraId="4C4EB879" w14:textId="77777777" w:rsidR="00FE0FC1" w:rsidRPr="002D4A4D" w:rsidRDefault="00FE0FC1" w:rsidP="00FE0FC1">
      <w:pPr>
        <w:pStyle w:val="SingleTxtG"/>
        <w:rPr>
          <w:lang w:val="fr-FR"/>
        </w:rPr>
      </w:pPr>
      <w:r>
        <w:rPr>
          <w:lang w:val="fr-FR"/>
        </w:rPr>
        <w:tab/>
        <w:t>b)</w:t>
      </w:r>
      <w:r>
        <w:rPr>
          <w:lang w:val="fr-FR"/>
        </w:rPr>
        <w:tab/>
        <w:t xml:space="preserve">Utiliser de façon plus efficiente les ressources budgétaires consacrées aux enfants, y compris les enfants non koweïtiens et les enfants </w:t>
      </w:r>
      <w:proofErr w:type="spellStart"/>
      <w:r>
        <w:rPr>
          <w:lang w:val="fr-FR"/>
        </w:rPr>
        <w:t>bidouns</w:t>
      </w:r>
      <w:proofErr w:type="spellEnd"/>
      <w:r>
        <w:rPr>
          <w:lang w:val="fr-FR"/>
        </w:rPr>
        <w:t> </w:t>
      </w:r>
      <w:r w:rsidR="00943EFC" w:rsidRPr="00943EFC">
        <w:rPr>
          <w:lang w:val="fr-FR"/>
        </w:rPr>
        <w:t>;</w:t>
      </w:r>
    </w:p>
    <w:p w14:paraId="0307D3A6" w14:textId="77777777" w:rsidR="00FE0FC1" w:rsidRPr="002D4A4D" w:rsidRDefault="00FE0FC1" w:rsidP="00FE0FC1">
      <w:pPr>
        <w:pStyle w:val="SingleTxtG"/>
        <w:rPr>
          <w:lang w:val="fr-FR"/>
        </w:rPr>
      </w:pPr>
      <w:r>
        <w:rPr>
          <w:lang w:val="fr-FR"/>
        </w:rPr>
        <w:tab/>
        <w:t>c)</w:t>
      </w:r>
      <w:r>
        <w:rPr>
          <w:lang w:val="fr-FR"/>
        </w:rPr>
        <w:tab/>
        <w:t xml:space="preserve">Améliorer l’accès aux données portant sur l’ensemble des enfants de l’État partie et sur tous les domaines relevant de la Convention, et </w:t>
      </w:r>
      <w:r w:rsidRPr="00CF7846">
        <w:rPr>
          <w:lang w:val="fr-FR"/>
        </w:rPr>
        <w:t>améliorer</w:t>
      </w:r>
      <w:r>
        <w:rPr>
          <w:lang w:val="fr-FR"/>
        </w:rPr>
        <w:t xml:space="preserve"> la qualité de ces données</w:t>
      </w:r>
      <w:r>
        <w:rPr>
          <w:lang w:val="fr-FR"/>
        </w:rPr>
        <w:t> </w:t>
      </w:r>
      <w:r w:rsidR="00943EFC" w:rsidRPr="00943EFC">
        <w:rPr>
          <w:lang w:val="fr-FR"/>
        </w:rPr>
        <w:t>;</w:t>
      </w:r>
    </w:p>
    <w:p w14:paraId="5E4F4B0A" w14:textId="77777777" w:rsidR="00FE0FC1" w:rsidRPr="002D4A4D" w:rsidRDefault="00FE0FC1" w:rsidP="00FE0FC1">
      <w:pPr>
        <w:pStyle w:val="SingleTxtG"/>
        <w:rPr>
          <w:lang w:val="fr-FR"/>
        </w:rPr>
      </w:pPr>
      <w:r>
        <w:rPr>
          <w:lang w:val="fr-FR"/>
        </w:rPr>
        <w:tab/>
        <w:t>d)</w:t>
      </w:r>
      <w:r>
        <w:rPr>
          <w:lang w:val="fr-FR"/>
        </w:rPr>
        <w:tab/>
        <w:t>Rendre opérationnel l’Office national des droits de l’homme et lui confier un mandat spécifique de surveillance des droits de l’enfant</w:t>
      </w:r>
      <w:r w:rsidR="00943EFC" w:rsidRPr="00943EFC">
        <w:rPr>
          <w:lang w:val="fr-FR"/>
        </w:rPr>
        <w:t>.</w:t>
      </w:r>
    </w:p>
    <w:p w14:paraId="22FEA045" w14:textId="77777777" w:rsidR="00FE0FC1" w:rsidRPr="002D4A4D" w:rsidRDefault="00FE0FC1" w:rsidP="00FE0FC1">
      <w:pPr>
        <w:pStyle w:val="SingleTxtG"/>
        <w:rPr>
          <w:lang w:val="fr-FR"/>
        </w:rPr>
      </w:pPr>
      <w:r>
        <w:rPr>
          <w:lang w:val="fr-FR"/>
        </w:rPr>
        <w:t>3</w:t>
      </w:r>
      <w:r w:rsidR="00943EFC" w:rsidRPr="00943EFC">
        <w:rPr>
          <w:lang w:val="fr-FR"/>
        </w:rPr>
        <w:t>.</w:t>
      </w:r>
      <w:r>
        <w:rPr>
          <w:lang w:val="fr-FR"/>
        </w:rPr>
        <w:tab/>
        <w:t>Exposer les mesures prises pour</w:t>
      </w:r>
      <w:r>
        <w:rPr>
          <w:lang w:val="fr-FR"/>
        </w:rPr>
        <w:t> :</w:t>
      </w:r>
    </w:p>
    <w:p w14:paraId="1D57352F" w14:textId="77777777" w:rsidR="00FE0FC1" w:rsidRPr="002D4A4D" w:rsidRDefault="00FE0FC1" w:rsidP="00FE0FC1">
      <w:pPr>
        <w:pStyle w:val="SingleTxtG"/>
        <w:rPr>
          <w:lang w:val="fr-FR"/>
        </w:rPr>
      </w:pPr>
      <w:r>
        <w:rPr>
          <w:lang w:val="fr-FR"/>
        </w:rPr>
        <w:tab/>
        <w:t>a)</w:t>
      </w:r>
      <w:r>
        <w:rPr>
          <w:lang w:val="fr-FR"/>
        </w:rPr>
        <w:tab/>
        <w:t>Dispenser une formation sur les droits de l’enfant et la Convention aux professionnels qui travaillent avec et pour des enfants</w:t>
      </w:r>
      <w:r>
        <w:rPr>
          <w:lang w:val="fr-FR"/>
        </w:rPr>
        <w:t> </w:t>
      </w:r>
      <w:r w:rsidR="00943EFC" w:rsidRPr="00943EFC">
        <w:rPr>
          <w:lang w:val="fr-FR"/>
        </w:rPr>
        <w:t>;</w:t>
      </w:r>
    </w:p>
    <w:p w14:paraId="35A015CE" w14:textId="77777777" w:rsidR="00FE0FC1" w:rsidRPr="002D4A4D" w:rsidRDefault="00FE0FC1" w:rsidP="00FE0FC1">
      <w:pPr>
        <w:pStyle w:val="SingleTxtG"/>
        <w:rPr>
          <w:lang w:val="fr-FR"/>
        </w:rPr>
      </w:pPr>
      <w:r>
        <w:rPr>
          <w:lang w:val="fr-FR"/>
        </w:rPr>
        <w:lastRenderedPageBreak/>
        <w:tab/>
        <w:t>b)</w:t>
      </w:r>
      <w:r>
        <w:rPr>
          <w:lang w:val="fr-FR"/>
        </w:rPr>
        <w:tab/>
        <w:t>Renforcer la participation de la société civile à la planification, à l’application, au suivi et à l’évaluation des lois, politiques, plans et programmes relatifs à la Convention</w:t>
      </w:r>
      <w:r w:rsidR="00943EFC" w:rsidRPr="00943EFC">
        <w:rPr>
          <w:lang w:val="fr-FR"/>
        </w:rPr>
        <w:t>.</w:t>
      </w:r>
    </w:p>
    <w:p w14:paraId="59714F7C" w14:textId="77777777" w:rsidR="00FE0FC1" w:rsidRPr="002D4A4D" w:rsidRDefault="00FE0FC1" w:rsidP="00FE0FC1">
      <w:pPr>
        <w:pStyle w:val="SingleTxtG"/>
        <w:rPr>
          <w:lang w:val="fr-FR"/>
        </w:rPr>
      </w:pPr>
      <w:r>
        <w:rPr>
          <w:lang w:val="fr-FR"/>
        </w:rPr>
        <w:t>4</w:t>
      </w:r>
      <w:r w:rsidR="00943EFC" w:rsidRPr="00943EFC">
        <w:rPr>
          <w:lang w:val="fr-FR"/>
        </w:rPr>
        <w:t>.</w:t>
      </w:r>
      <w:r>
        <w:rPr>
          <w:lang w:val="fr-FR"/>
        </w:rPr>
        <w:tab/>
        <w:t>Indiquer les mesures prises pour</w:t>
      </w:r>
      <w:r>
        <w:rPr>
          <w:lang w:val="fr-FR"/>
        </w:rPr>
        <w:t> :</w:t>
      </w:r>
    </w:p>
    <w:p w14:paraId="6B03251B" w14:textId="77777777" w:rsidR="00FE0FC1" w:rsidRPr="002D4A4D" w:rsidRDefault="00FE0FC1" w:rsidP="00FE0FC1">
      <w:pPr>
        <w:pStyle w:val="SingleTxtG"/>
        <w:rPr>
          <w:lang w:val="fr-FR"/>
        </w:rPr>
      </w:pPr>
      <w:r>
        <w:rPr>
          <w:lang w:val="fr-FR"/>
        </w:rPr>
        <w:tab/>
        <w:t>a)</w:t>
      </w:r>
      <w:r>
        <w:rPr>
          <w:lang w:val="fr-FR"/>
        </w:rPr>
        <w:tab/>
        <w:t>Relever à 18 ans l’âge minimum du mariage pour les garçons comme pour les filles</w:t>
      </w:r>
      <w:r>
        <w:rPr>
          <w:lang w:val="fr-FR"/>
        </w:rPr>
        <w:t> </w:t>
      </w:r>
      <w:r w:rsidR="00943EFC" w:rsidRPr="00943EFC">
        <w:rPr>
          <w:lang w:val="fr-FR"/>
        </w:rPr>
        <w:t>;</w:t>
      </w:r>
    </w:p>
    <w:p w14:paraId="72B36D93" w14:textId="77777777" w:rsidR="00FE0FC1" w:rsidRPr="002D4A4D" w:rsidRDefault="00FE0FC1" w:rsidP="00FE0FC1">
      <w:pPr>
        <w:pStyle w:val="SingleTxtG"/>
        <w:rPr>
          <w:lang w:val="fr-FR"/>
        </w:rPr>
      </w:pPr>
      <w:r>
        <w:rPr>
          <w:lang w:val="fr-FR"/>
        </w:rPr>
        <w:tab/>
        <w:t>b)</w:t>
      </w:r>
      <w:r>
        <w:rPr>
          <w:lang w:val="fr-FR"/>
        </w:rPr>
        <w:tab/>
        <w:t>Interdire la discrimination, quels qu’en soient les motifs, conformément à la Convention</w:t>
      </w:r>
      <w:r>
        <w:rPr>
          <w:lang w:val="fr-FR"/>
        </w:rPr>
        <w:t> </w:t>
      </w:r>
      <w:r w:rsidR="00943EFC" w:rsidRPr="00943EFC">
        <w:rPr>
          <w:lang w:val="fr-FR"/>
        </w:rPr>
        <w:t>;</w:t>
      </w:r>
    </w:p>
    <w:p w14:paraId="687F887A" w14:textId="77777777" w:rsidR="00FE0FC1" w:rsidRPr="002D4A4D" w:rsidRDefault="00FE0FC1" w:rsidP="00FE0FC1">
      <w:pPr>
        <w:pStyle w:val="SingleTxtG"/>
        <w:rPr>
          <w:lang w:val="fr-FR"/>
        </w:rPr>
      </w:pPr>
      <w:r>
        <w:rPr>
          <w:lang w:val="fr-FR"/>
        </w:rPr>
        <w:tab/>
        <w:t>c)</w:t>
      </w:r>
      <w:r>
        <w:rPr>
          <w:lang w:val="fr-FR"/>
        </w:rPr>
        <w:tab/>
        <w:t>Faire en sorte ce que tous les enfants, y compris les enfants non koweïtiens (</w:t>
      </w:r>
      <w:proofErr w:type="spellStart"/>
      <w:r>
        <w:rPr>
          <w:lang w:val="fr-FR"/>
        </w:rPr>
        <w:t>bidouns</w:t>
      </w:r>
      <w:proofErr w:type="spellEnd"/>
      <w:r>
        <w:rPr>
          <w:lang w:val="fr-FR"/>
        </w:rPr>
        <w:t xml:space="preserve"> et migrants) et les enfants homosexuels, bisexuels et transgenres, puissent jouir des droits qu’ils tiennent de la Convention, sans discrimination, et aient accès à tous les services, y compris ceux liés à la santé et à l’éducation</w:t>
      </w:r>
      <w:r>
        <w:rPr>
          <w:lang w:val="fr-FR"/>
        </w:rPr>
        <w:t> </w:t>
      </w:r>
      <w:r w:rsidR="00943EFC" w:rsidRPr="00943EFC">
        <w:rPr>
          <w:lang w:val="fr-FR"/>
        </w:rPr>
        <w:t>;</w:t>
      </w:r>
    </w:p>
    <w:p w14:paraId="7FA395B2" w14:textId="77777777" w:rsidR="00FE0FC1" w:rsidRPr="002D4A4D" w:rsidRDefault="00FE0FC1" w:rsidP="00FE0FC1">
      <w:pPr>
        <w:pStyle w:val="SingleTxtG"/>
        <w:rPr>
          <w:lang w:val="fr-FR"/>
        </w:rPr>
      </w:pPr>
      <w:r>
        <w:rPr>
          <w:lang w:val="fr-FR"/>
        </w:rPr>
        <w:tab/>
        <w:t>d)</w:t>
      </w:r>
      <w:r>
        <w:rPr>
          <w:lang w:val="fr-FR"/>
        </w:rPr>
        <w:tab/>
        <w:t>Supprimer du Code du statut personnel toutes les dispositions qui sont discriminatoires à l’égard des filles</w:t>
      </w:r>
      <w:r w:rsidR="00943EFC" w:rsidRPr="00943EFC">
        <w:rPr>
          <w:lang w:val="fr-FR"/>
        </w:rPr>
        <w:t>.</w:t>
      </w:r>
      <w:r>
        <w:rPr>
          <w:lang w:val="fr-FR"/>
        </w:rPr>
        <w:t xml:space="preserve"> </w:t>
      </w:r>
    </w:p>
    <w:p w14:paraId="41B2C4A7" w14:textId="77777777" w:rsidR="00FE0FC1" w:rsidRPr="002D4A4D" w:rsidRDefault="00FE0FC1" w:rsidP="00FE0FC1">
      <w:pPr>
        <w:pStyle w:val="SingleTxtG"/>
        <w:rPr>
          <w:lang w:val="fr-FR"/>
        </w:rPr>
      </w:pPr>
      <w:r>
        <w:rPr>
          <w:lang w:val="fr-FR"/>
        </w:rPr>
        <w:t>5</w:t>
      </w:r>
      <w:r w:rsidR="00943EFC" w:rsidRPr="00943EFC">
        <w:rPr>
          <w:lang w:val="fr-FR"/>
        </w:rPr>
        <w:t>.</w:t>
      </w:r>
      <w:r>
        <w:rPr>
          <w:lang w:val="fr-FR"/>
        </w:rPr>
        <w:tab/>
        <w:t>Expliquer, à l’aide d’exemples</w:t>
      </w:r>
      <w:r>
        <w:rPr>
          <w:lang w:val="fr-FR"/>
        </w:rPr>
        <w:t> :</w:t>
      </w:r>
    </w:p>
    <w:p w14:paraId="022EFF3B" w14:textId="77777777" w:rsidR="00FE0FC1" w:rsidRPr="002D4A4D" w:rsidRDefault="00FE0FC1" w:rsidP="00FE0FC1">
      <w:pPr>
        <w:pStyle w:val="SingleTxtG"/>
        <w:rPr>
          <w:lang w:val="fr-FR"/>
        </w:rPr>
      </w:pPr>
      <w:r>
        <w:rPr>
          <w:lang w:val="fr-FR"/>
        </w:rPr>
        <w:tab/>
        <w:t>a)</w:t>
      </w:r>
      <w:r>
        <w:rPr>
          <w:lang w:val="fr-FR"/>
        </w:rPr>
        <w:tab/>
        <w:t>Comment la nécessité de prendre en considération l’intérêt supérieur de l’enfant est intégrée dans la législation, en tant que droit de fond, principe juridique interprétatif fondamental et règle de procédure</w:t>
      </w:r>
      <w:r>
        <w:rPr>
          <w:lang w:val="fr-FR"/>
        </w:rPr>
        <w:t> </w:t>
      </w:r>
      <w:r w:rsidR="00943EFC" w:rsidRPr="00943EFC">
        <w:rPr>
          <w:lang w:val="fr-FR"/>
        </w:rPr>
        <w:t>;</w:t>
      </w:r>
    </w:p>
    <w:p w14:paraId="600235A0" w14:textId="77777777" w:rsidR="00FE0FC1" w:rsidRPr="002D4A4D" w:rsidRDefault="00FE0FC1" w:rsidP="00FE0FC1">
      <w:pPr>
        <w:pStyle w:val="SingleTxtG"/>
        <w:rPr>
          <w:lang w:val="fr-FR"/>
        </w:rPr>
      </w:pPr>
      <w:r>
        <w:rPr>
          <w:lang w:val="fr-FR"/>
        </w:rPr>
        <w:tab/>
        <w:t>b)</w:t>
      </w:r>
      <w:r>
        <w:rPr>
          <w:lang w:val="fr-FR"/>
        </w:rPr>
        <w:tab/>
        <w:t>Comment les parlements d’élèves permettent aux enfants, y compris ceux qui sont issus de populations marginalisées et défavorisées, de participer aux processus de prise de décisions</w:t>
      </w:r>
      <w:r>
        <w:rPr>
          <w:lang w:val="fr-FR"/>
        </w:rPr>
        <w:t> </w:t>
      </w:r>
      <w:r w:rsidR="00943EFC" w:rsidRPr="00943EFC">
        <w:rPr>
          <w:lang w:val="fr-FR"/>
        </w:rPr>
        <w:t>;</w:t>
      </w:r>
    </w:p>
    <w:p w14:paraId="4FD027FF" w14:textId="77777777" w:rsidR="00FE0FC1" w:rsidRPr="002D4A4D" w:rsidRDefault="00FE0FC1" w:rsidP="00FE0FC1">
      <w:pPr>
        <w:pStyle w:val="SingleTxtG"/>
        <w:rPr>
          <w:lang w:val="fr-FR"/>
        </w:rPr>
      </w:pPr>
      <w:r>
        <w:rPr>
          <w:lang w:val="fr-FR"/>
        </w:rPr>
        <w:tab/>
        <w:t>c)</w:t>
      </w:r>
      <w:r>
        <w:rPr>
          <w:lang w:val="fr-FR"/>
        </w:rPr>
        <w:tab/>
        <w:t>Quelles mesures sont prises pour associer les enfants à la prise de décisions au sein de la famille et de la collectivité</w:t>
      </w:r>
      <w:r>
        <w:rPr>
          <w:lang w:val="fr-FR"/>
        </w:rPr>
        <w:t> </w:t>
      </w:r>
      <w:r w:rsidR="00943EFC" w:rsidRPr="00943EFC">
        <w:rPr>
          <w:lang w:val="fr-FR"/>
        </w:rPr>
        <w:t>;</w:t>
      </w:r>
    </w:p>
    <w:p w14:paraId="7F9B4F8E" w14:textId="77777777" w:rsidR="00FE0FC1" w:rsidRPr="002D4A4D" w:rsidRDefault="00FE0FC1" w:rsidP="00FE0FC1">
      <w:pPr>
        <w:pStyle w:val="SingleTxtG"/>
        <w:rPr>
          <w:lang w:val="fr-FR"/>
        </w:rPr>
      </w:pPr>
      <w:r>
        <w:rPr>
          <w:lang w:val="fr-FR"/>
        </w:rPr>
        <w:tab/>
        <w:t>d)</w:t>
      </w:r>
      <w:r>
        <w:rPr>
          <w:lang w:val="fr-FR"/>
        </w:rPr>
        <w:tab/>
        <w:t>Quel type d’aide est apportée, le cas échéant, aux fins de la création d’organisations dirigées par des enfants</w:t>
      </w:r>
      <w:r w:rsidR="00943EFC" w:rsidRPr="00943EFC">
        <w:rPr>
          <w:lang w:val="fr-FR"/>
        </w:rPr>
        <w:t>.</w:t>
      </w:r>
    </w:p>
    <w:p w14:paraId="0447E656" w14:textId="77777777" w:rsidR="00FE0FC1" w:rsidRPr="002D4A4D" w:rsidRDefault="00FE0FC1" w:rsidP="00FE0FC1">
      <w:pPr>
        <w:pStyle w:val="SingleTxtG"/>
        <w:rPr>
          <w:lang w:val="fr-FR"/>
        </w:rPr>
      </w:pPr>
      <w:r>
        <w:rPr>
          <w:lang w:val="fr-FR"/>
        </w:rPr>
        <w:t>6</w:t>
      </w:r>
      <w:r w:rsidR="00943EFC" w:rsidRPr="00943EFC">
        <w:rPr>
          <w:lang w:val="fr-FR"/>
        </w:rPr>
        <w:t>.</w:t>
      </w:r>
      <w:r>
        <w:rPr>
          <w:lang w:val="fr-FR"/>
        </w:rPr>
        <w:tab/>
        <w:t>Décrire les mesures prises pour</w:t>
      </w:r>
      <w:r>
        <w:rPr>
          <w:lang w:val="fr-FR"/>
        </w:rPr>
        <w:t> :</w:t>
      </w:r>
    </w:p>
    <w:p w14:paraId="555C2C82" w14:textId="77777777" w:rsidR="00FE0FC1" w:rsidRPr="002D4A4D" w:rsidRDefault="00FE0FC1" w:rsidP="00FE0FC1">
      <w:pPr>
        <w:pStyle w:val="SingleTxtG"/>
        <w:rPr>
          <w:lang w:val="fr-FR"/>
        </w:rPr>
      </w:pPr>
      <w:r>
        <w:rPr>
          <w:lang w:val="fr-FR"/>
        </w:rPr>
        <w:tab/>
        <w:t>a)</w:t>
      </w:r>
      <w:r>
        <w:rPr>
          <w:lang w:val="fr-FR"/>
        </w:rPr>
        <w:tab/>
        <w:t xml:space="preserve">Garantir le droit de tous les enfants, en particulier les enfants </w:t>
      </w:r>
      <w:proofErr w:type="spellStart"/>
      <w:r>
        <w:rPr>
          <w:lang w:val="fr-FR"/>
        </w:rPr>
        <w:t>bidouns</w:t>
      </w:r>
      <w:proofErr w:type="spellEnd"/>
      <w:r>
        <w:rPr>
          <w:lang w:val="fr-FR"/>
        </w:rPr>
        <w:t>, d’être enregistrés à la naissance et d’acquérir une nationalité, sans discrimination</w:t>
      </w:r>
      <w:r>
        <w:rPr>
          <w:lang w:val="fr-FR"/>
        </w:rPr>
        <w:t> </w:t>
      </w:r>
      <w:r w:rsidR="00943EFC" w:rsidRPr="00943EFC">
        <w:rPr>
          <w:lang w:val="fr-FR"/>
        </w:rPr>
        <w:t>;</w:t>
      </w:r>
    </w:p>
    <w:p w14:paraId="4C246B11" w14:textId="77777777" w:rsidR="00FE0FC1" w:rsidRPr="002D4A4D" w:rsidRDefault="00FE0FC1" w:rsidP="00FE0FC1">
      <w:pPr>
        <w:pStyle w:val="SingleTxtG"/>
        <w:rPr>
          <w:lang w:val="fr-FR"/>
        </w:rPr>
      </w:pPr>
      <w:r>
        <w:rPr>
          <w:lang w:val="fr-FR"/>
        </w:rPr>
        <w:tab/>
        <w:t>b)</w:t>
      </w:r>
      <w:r>
        <w:rPr>
          <w:lang w:val="fr-FR"/>
        </w:rPr>
        <w:tab/>
        <w:t>Réviser la loi sur la nationalité afin d’en éliminer les dispositions discriminatoires, de prévenir l’apatridie et d’accorder aux Koweïtiennes le droit de transmettre leur nationalité à leurs enfants, quelle que soit la nationalité du père</w:t>
      </w:r>
      <w:r w:rsidR="00943EFC" w:rsidRPr="00943EFC">
        <w:rPr>
          <w:lang w:val="fr-FR"/>
        </w:rPr>
        <w:t>.</w:t>
      </w:r>
      <w:r>
        <w:rPr>
          <w:lang w:val="fr-FR"/>
        </w:rPr>
        <w:t xml:space="preserve"> Donner également des informations sur l’état d’avancement et le contenu précis du projet de loi sur la nationalité et la citoyenneté qu’a présenté le Président de l’Assemblée nationale</w:t>
      </w:r>
      <w:r w:rsidR="00943EFC" w:rsidRPr="00943EFC">
        <w:rPr>
          <w:lang w:val="fr-FR"/>
        </w:rPr>
        <w:t>.</w:t>
      </w:r>
    </w:p>
    <w:p w14:paraId="2C2C3DF9" w14:textId="77777777" w:rsidR="00FE0FC1" w:rsidRPr="002D4A4D" w:rsidRDefault="00FE0FC1" w:rsidP="00FE0FC1">
      <w:pPr>
        <w:pStyle w:val="SingleTxtG"/>
        <w:rPr>
          <w:lang w:val="fr-FR"/>
        </w:rPr>
      </w:pPr>
      <w:r>
        <w:rPr>
          <w:lang w:val="fr-FR"/>
        </w:rPr>
        <w:t>7</w:t>
      </w:r>
      <w:r w:rsidR="00943EFC" w:rsidRPr="00943EFC">
        <w:rPr>
          <w:lang w:val="fr-FR"/>
        </w:rPr>
        <w:t>.</w:t>
      </w:r>
      <w:r>
        <w:rPr>
          <w:lang w:val="fr-FR"/>
        </w:rPr>
        <w:tab/>
        <w:t>Expliquer la disposition relative au droit des personnes ayant la garde d’un enfant «</w:t>
      </w:r>
      <w:r>
        <w:rPr>
          <w:lang w:val="fr-FR"/>
        </w:rPr>
        <w:t> </w:t>
      </w:r>
      <w:r>
        <w:rPr>
          <w:lang w:val="fr-FR"/>
        </w:rPr>
        <w:t>de lui infliger une correction légère et non nocive</w:t>
      </w:r>
      <w:r>
        <w:rPr>
          <w:lang w:val="fr-FR"/>
        </w:rPr>
        <w:t> </w:t>
      </w:r>
      <w:r>
        <w:rPr>
          <w:lang w:val="fr-FR"/>
        </w:rPr>
        <w:t>», qui figure dans l’article 6 de la loi n</w:t>
      </w:r>
      <w:r>
        <w:rPr>
          <w:vertAlign w:val="superscript"/>
          <w:lang w:val="fr-FR"/>
        </w:rPr>
        <w:t>o</w:t>
      </w:r>
      <w:r>
        <w:rPr>
          <w:lang w:val="fr-FR"/>
        </w:rPr>
        <w:t> </w:t>
      </w:r>
      <w:r>
        <w:rPr>
          <w:lang w:val="fr-FR"/>
        </w:rPr>
        <w:t>21 de 2015 relative aux droits de l’enfant</w:t>
      </w:r>
      <w:r w:rsidR="00943EFC" w:rsidRPr="00943EFC">
        <w:rPr>
          <w:lang w:val="fr-FR"/>
        </w:rPr>
        <w:t>.</w:t>
      </w:r>
      <w:r>
        <w:rPr>
          <w:lang w:val="fr-FR"/>
        </w:rPr>
        <w:t xml:space="preserve"> Décrire les mesures prises pour</w:t>
      </w:r>
      <w:r>
        <w:rPr>
          <w:lang w:val="fr-FR"/>
        </w:rPr>
        <w:t> :</w:t>
      </w:r>
    </w:p>
    <w:p w14:paraId="38524848" w14:textId="77777777" w:rsidR="00FE0FC1" w:rsidRPr="002D4A4D" w:rsidRDefault="00FE0FC1" w:rsidP="00FE0FC1">
      <w:pPr>
        <w:pStyle w:val="SingleTxtG"/>
        <w:rPr>
          <w:lang w:val="fr-FR"/>
        </w:rPr>
      </w:pPr>
      <w:r>
        <w:rPr>
          <w:lang w:val="fr-FR"/>
        </w:rPr>
        <w:tab/>
        <w:t>a)</w:t>
      </w:r>
      <w:r>
        <w:rPr>
          <w:lang w:val="fr-FR"/>
        </w:rPr>
        <w:tab/>
        <w:t>Interdire les châtiments corporels en toutes circonstances</w:t>
      </w:r>
      <w:r>
        <w:rPr>
          <w:lang w:val="fr-FR"/>
        </w:rPr>
        <w:t> </w:t>
      </w:r>
      <w:r w:rsidR="00943EFC" w:rsidRPr="00943EFC">
        <w:rPr>
          <w:lang w:val="fr-FR"/>
        </w:rPr>
        <w:t>;</w:t>
      </w:r>
    </w:p>
    <w:p w14:paraId="47ABCF4B" w14:textId="77777777" w:rsidR="00FE0FC1" w:rsidRPr="002D4A4D" w:rsidRDefault="00FE0FC1" w:rsidP="00FE0FC1">
      <w:pPr>
        <w:pStyle w:val="SingleTxtG"/>
        <w:rPr>
          <w:lang w:val="fr-FR"/>
        </w:rPr>
      </w:pPr>
      <w:r>
        <w:rPr>
          <w:lang w:val="fr-FR"/>
        </w:rPr>
        <w:tab/>
        <w:t>b)</w:t>
      </w:r>
      <w:r>
        <w:rPr>
          <w:lang w:val="fr-FR"/>
        </w:rPr>
        <w:tab/>
        <w:t>Ériger en infractions pénales toutes les formes de maltraitance, de négligence et de violence à l’égard de tous les enfants, y compris la violence domestique, le viol conjugal et les abus sexuels</w:t>
      </w:r>
      <w:r>
        <w:rPr>
          <w:lang w:val="fr-FR"/>
        </w:rPr>
        <w:t> </w:t>
      </w:r>
      <w:r w:rsidR="00943EFC" w:rsidRPr="00943EFC">
        <w:rPr>
          <w:lang w:val="fr-FR"/>
        </w:rPr>
        <w:t>;</w:t>
      </w:r>
    </w:p>
    <w:p w14:paraId="253C419F" w14:textId="77777777" w:rsidR="00FE0FC1" w:rsidRPr="002D4A4D" w:rsidRDefault="00FE0FC1" w:rsidP="00FE0FC1">
      <w:pPr>
        <w:pStyle w:val="SingleTxtG"/>
        <w:rPr>
          <w:lang w:val="fr-FR"/>
        </w:rPr>
      </w:pPr>
      <w:r>
        <w:rPr>
          <w:lang w:val="fr-FR"/>
        </w:rPr>
        <w:tab/>
        <w:t>c)</w:t>
      </w:r>
      <w:r>
        <w:rPr>
          <w:lang w:val="fr-FR"/>
        </w:rPr>
        <w:tab/>
        <w:t>Abroger l’article 182 du Code pénal (CRC/C/KWT/CO/2, par</w:t>
      </w:r>
      <w:r w:rsidR="00943EFC" w:rsidRPr="00943EFC">
        <w:rPr>
          <w:lang w:val="fr-FR"/>
        </w:rPr>
        <w:t>.</w:t>
      </w:r>
      <w:r>
        <w:rPr>
          <w:lang w:val="fr-FR"/>
        </w:rPr>
        <w:t xml:space="preserve"> 48)</w:t>
      </w:r>
      <w:r>
        <w:rPr>
          <w:lang w:val="fr-FR"/>
        </w:rPr>
        <w:t> </w:t>
      </w:r>
      <w:r w:rsidR="00943EFC" w:rsidRPr="00943EFC">
        <w:rPr>
          <w:lang w:val="fr-FR"/>
        </w:rPr>
        <w:t>;</w:t>
      </w:r>
    </w:p>
    <w:p w14:paraId="13AE2E48" w14:textId="77777777" w:rsidR="00FE0FC1" w:rsidRPr="002D4A4D" w:rsidRDefault="00FE0FC1" w:rsidP="00FE0FC1">
      <w:pPr>
        <w:pStyle w:val="SingleTxtG"/>
        <w:rPr>
          <w:lang w:val="fr-FR"/>
        </w:rPr>
      </w:pPr>
      <w:r>
        <w:rPr>
          <w:lang w:val="fr-FR"/>
        </w:rPr>
        <w:tab/>
        <w:t>d)</w:t>
      </w:r>
      <w:r>
        <w:rPr>
          <w:lang w:val="fr-FR"/>
        </w:rPr>
        <w:tab/>
        <w:t>Mettre en place des procédures de signalement adaptées aux enfants et donner aux enfants victimes d’atteintes l’accès à des services de soutien, de réadaptation et de réinsertion adaptés à leurs besoins</w:t>
      </w:r>
      <w:r>
        <w:rPr>
          <w:lang w:val="fr-FR"/>
        </w:rPr>
        <w:t> </w:t>
      </w:r>
      <w:r w:rsidR="00943EFC" w:rsidRPr="00943EFC">
        <w:rPr>
          <w:lang w:val="fr-FR"/>
        </w:rPr>
        <w:t>;</w:t>
      </w:r>
    </w:p>
    <w:p w14:paraId="1C323881" w14:textId="77777777" w:rsidR="00FE0FC1" w:rsidRPr="002D4A4D" w:rsidRDefault="00FE0FC1" w:rsidP="00FE0FC1">
      <w:pPr>
        <w:pStyle w:val="SingleTxtG"/>
        <w:rPr>
          <w:lang w:val="fr-FR"/>
        </w:rPr>
      </w:pPr>
      <w:r>
        <w:rPr>
          <w:lang w:val="fr-FR"/>
        </w:rPr>
        <w:tab/>
        <w:t>e)</w:t>
      </w:r>
      <w:r>
        <w:rPr>
          <w:lang w:val="fr-FR"/>
        </w:rPr>
        <w:tab/>
        <w:t>Prévenir et combattre les pratiques préjudiciables, notamment les mariages d’enfants, les mutilations génitales féminines, la polygamie et les crimes dits « d’honneur »</w:t>
      </w:r>
      <w:r w:rsidR="00943EFC" w:rsidRPr="00943EFC">
        <w:rPr>
          <w:lang w:val="fr-FR"/>
        </w:rPr>
        <w:t>.</w:t>
      </w:r>
    </w:p>
    <w:p w14:paraId="4DAE771E" w14:textId="77777777" w:rsidR="00FE0FC1" w:rsidRPr="002D4A4D" w:rsidRDefault="00FE0FC1" w:rsidP="00FE0FC1">
      <w:pPr>
        <w:pStyle w:val="SingleTxtG"/>
        <w:rPr>
          <w:lang w:val="fr-FR"/>
        </w:rPr>
      </w:pPr>
      <w:r>
        <w:rPr>
          <w:lang w:val="fr-FR"/>
        </w:rPr>
        <w:t>8</w:t>
      </w:r>
      <w:r w:rsidR="00943EFC" w:rsidRPr="00943EFC">
        <w:rPr>
          <w:lang w:val="fr-FR"/>
        </w:rPr>
        <w:t>.</w:t>
      </w:r>
      <w:r>
        <w:rPr>
          <w:lang w:val="fr-FR"/>
        </w:rPr>
        <w:tab/>
        <w:t>Décrire toute mesure prise pour</w:t>
      </w:r>
      <w:r>
        <w:rPr>
          <w:lang w:val="fr-FR"/>
        </w:rPr>
        <w:t> :</w:t>
      </w:r>
    </w:p>
    <w:p w14:paraId="391C93F7" w14:textId="77777777" w:rsidR="00FE0FC1" w:rsidRPr="002D4A4D" w:rsidRDefault="00FE0FC1" w:rsidP="00FE0FC1">
      <w:pPr>
        <w:pStyle w:val="SingleTxtG"/>
        <w:rPr>
          <w:lang w:val="fr-FR"/>
        </w:rPr>
      </w:pPr>
      <w:r>
        <w:rPr>
          <w:lang w:val="fr-FR"/>
        </w:rPr>
        <w:tab/>
        <w:t>a)</w:t>
      </w:r>
      <w:r>
        <w:rPr>
          <w:lang w:val="fr-FR"/>
        </w:rPr>
        <w:tab/>
        <w:t>Réviser la législation relative à la garde des enfants</w:t>
      </w:r>
      <w:r>
        <w:rPr>
          <w:lang w:val="fr-FR"/>
        </w:rPr>
        <w:t> </w:t>
      </w:r>
      <w:r w:rsidR="00943EFC" w:rsidRPr="00943EFC">
        <w:rPr>
          <w:lang w:val="fr-FR"/>
        </w:rPr>
        <w:t>;</w:t>
      </w:r>
    </w:p>
    <w:p w14:paraId="18652AF2" w14:textId="77777777" w:rsidR="00FE0FC1" w:rsidRPr="002D4A4D" w:rsidRDefault="00FE0FC1" w:rsidP="00FE0FC1">
      <w:pPr>
        <w:pStyle w:val="SingleTxtG"/>
        <w:rPr>
          <w:lang w:val="fr-FR"/>
        </w:rPr>
      </w:pPr>
      <w:r>
        <w:rPr>
          <w:lang w:val="fr-FR"/>
        </w:rPr>
        <w:lastRenderedPageBreak/>
        <w:tab/>
        <w:t>b)</w:t>
      </w:r>
      <w:r>
        <w:rPr>
          <w:lang w:val="fr-FR"/>
        </w:rPr>
        <w:tab/>
        <w:t>Apporter un soutien aux mères célibataires et aux couples non mariés avec enfants</w:t>
      </w:r>
      <w:r>
        <w:rPr>
          <w:lang w:val="fr-FR"/>
        </w:rPr>
        <w:t> </w:t>
      </w:r>
      <w:r w:rsidR="00943EFC" w:rsidRPr="00943EFC">
        <w:rPr>
          <w:lang w:val="fr-FR"/>
        </w:rPr>
        <w:t>;</w:t>
      </w:r>
    </w:p>
    <w:p w14:paraId="7C2D52F0" w14:textId="77777777" w:rsidR="00FE0FC1" w:rsidRPr="002D4A4D" w:rsidRDefault="00FE0FC1" w:rsidP="00FE0FC1">
      <w:pPr>
        <w:pStyle w:val="SingleTxtG"/>
        <w:rPr>
          <w:lang w:val="fr-FR"/>
        </w:rPr>
      </w:pPr>
      <w:r>
        <w:rPr>
          <w:lang w:val="fr-FR"/>
        </w:rPr>
        <w:tab/>
        <w:t>c)</w:t>
      </w:r>
      <w:r>
        <w:rPr>
          <w:lang w:val="fr-FR"/>
        </w:rPr>
        <w:tab/>
        <w:t xml:space="preserve">Faire appliquer la loi </w:t>
      </w:r>
      <w:r w:rsidRPr="00FE0FC1">
        <w:rPr>
          <w:rFonts w:eastAsia="MS Mincho"/>
          <w:lang w:val="fr-FR"/>
        </w:rPr>
        <w:t>n</w:t>
      </w:r>
      <w:r w:rsidRPr="00FE0FC1">
        <w:rPr>
          <w:rFonts w:eastAsia="MS Mincho"/>
          <w:vertAlign w:val="superscript"/>
          <w:lang w:val="fr-FR"/>
        </w:rPr>
        <w:t>o</w:t>
      </w:r>
      <w:r>
        <w:rPr>
          <w:lang w:val="fr-FR"/>
        </w:rPr>
        <w:t> </w:t>
      </w:r>
      <w:r>
        <w:rPr>
          <w:lang w:val="fr-FR"/>
        </w:rPr>
        <w:t>80 de 2015 sur le placement familial afin d’offrir des formes de protection de remplacement aux enfants privés de leur milieu familial</w:t>
      </w:r>
      <w:r>
        <w:rPr>
          <w:lang w:val="fr-FR"/>
        </w:rPr>
        <w:t> </w:t>
      </w:r>
      <w:r w:rsidR="00943EFC" w:rsidRPr="00943EFC">
        <w:rPr>
          <w:lang w:val="fr-FR"/>
        </w:rPr>
        <w:t>;</w:t>
      </w:r>
    </w:p>
    <w:p w14:paraId="71D3B6E6" w14:textId="77777777" w:rsidR="00FE0FC1" w:rsidRPr="002D4A4D" w:rsidRDefault="00FE0FC1" w:rsidP="00FE0FC1">
      <w:pPr>
        <w:pStyle w:val="SingleTxtG"/>
        <w:rPr>
          <w:lang w:val="fr-FR"/>
        </w:rPr>
      </w:pPr>
      <w:r>
        <w:rPr>
          <w:lang w:val="fr-FR"/>
        </w:rPr>
        <w:tab/>
        <w:t>d)</w:t>
      </w:r>
      <w:r>
        <w:rPr>
          <w:lang w:val="fr-FR"/>
        </w:rPr>
        <w:tab/>
        <w:t>Instituer des mécanismes de suivi et de contrôle des dispositifs de protection de remplacement pour les enfants, en particulier en ce qui concerne les foyers et les familles d’accueil</w:t>
      </w:r>
      <w:r w:rsidR="00943EFC" w:rsidRPr="00943EFC">
        <w:rPr>
          <w:lang w:val="fr-FR"/>
        </w:rPr>
        <w:t>.</w:t>
      </w:r>
      <w:r>
        <w:rPr>
          <w:lang w:val="fr-FR"/>
        </w:rPr>
        <w:t xml:space="preserve"> Indiquer également si les enfants qui ont besoin d’une prise en charge familiale peuvent être placés dans une famille koweïtienne dans le cadre du système de la kafala et, dans l’affirmative, comment ce système est réglementé</w:t>
      </w:r>
      <w:r w:rsidR="00943EFC" w:rsidRPr="00943EFC">
        <w:rPr>
          <w:lang w:val="fr-FR"/>
        </w:rPr>
        <w:t>.</w:t>
      </w:r>
      <w:r>
        <w:rPr>
          <w:lang w:val="fr-FR"/>
        </w:rPr>
        <w:t xml:space="preserve"> </w:t>
      </w:r>
    </w:p>
    <w:p w14:paraId="621C7D2E" w14:textId="77777777" w:rsidR="00FE0FC1" w:rsidRPr="002D4A4D" w:rsidRDefault="00FE0FC1" w:rsidP="00FE0FC1">
      <w:pPr>
        <w:pStyle w:val="SingleTxtG"/>
        <w:rPr>
          <w:lang w:val="fr-FR"/>
        </w:rPr>
      </w:pPr>
      <w:r>
        <w:rPr>
          <w:lang w:val="fr-FR"/>
        </w:rPr>
        <w:t>9</w:t>
      </w:r>
      <w:r w:rsidR="00943EFC" w:rsidRPr="00943EFC">
        <w:rPr>
          <w:lang w:val="fr-FR"/>
        </w:rPr>
        <w:t>.</w:t>
      </w:r>
      <w:r>
        <w:rPr>
          <w:lang w:val="fr-FR"/>
        </w:rPr>
        <w:tab/>
        <w:t>Décrire les mesures prises pour</w:t>
      </w:r>
      <w:r>
        <w:rPr>
          <w:lang w:val="fr-FR"/>
        </w:rPr>
        <w:t> :</w:t>
      </w:r>
    </w:p>
    <w:p w14:paraId="79FB2FA4" w14:textId="77777777" w:rsidR="00FE0FC1" w:rsidRPr="002D4A4D" w:rsidRDefault="00FE0FC1" w:rsidP="00FE0FC1">
      <w:pPr>
        <w:pStyle w:val="SingleTxtG"/>
        <w:rPr>
          <w:lang w:val="fr-FR"/>
        </w:rPr>
      </w:pPr>
      <w:r>
        <w:rPr>
          <w:lang w:val="fr-FR"/>
        </w:rPr>
        <w:tab/>
        <w:t>a)</w:t>
      </w:r>
      <w:r>
        <w:rPr>
          <w:lang w:val="fr-FR"/>
        </w:rPr>
        <w:tab/>
        <w:t xml:space="preserve">Permettre à tous les enfants handicapés, y compris les non-Koweïtiens et les </w:t>
      </w:r>
      <w:proofErr w:type="spellStart"/>
      <w:r>
        <w:rPr>
          <w:lang w:val="fr-FR"/>
        </w:rPr>
        <w:t>bidouns</w:t>
      </w:r>
      <w:proofErr w:type="spellEnd"/>
      <w:r>
        <w:rPr>
          <w:lang w:val="fr-FR"/>
        </w:rPr>
        <w:t>, de revendiquer leurs droits et d’en jouir sans discrimination, conformément à l’approche du handicap fondée sur les droits de l’homme, et protéger ces enfants contre toutes formes de discrimination fondée sur le handicap</w:t>
      </w:r>
      <w:r>
        <w:rPr>
          <w:lang w:val="fr-FR"/>
        </w:rPr>
        <w:t> </w:t>
      </w:r>
      <w:r w:rsidR="00943EFC" w:rsidRPr="00943EFC">
        <w:rPr>
          <w:lang w:val="fr-FR"/>
        </w:rPr>
        <w:t>;</w:t>
      </w:r>
    </w:p>
    <w:p w14:paraId="345F8FEE" w14:textId="77777777" w:rsidR="00FE0FC1" w:rsidRPr="002D4A4D" w:rsidRDefault="00FE0FC1" w:rsidP="00FE0FC1">
      <w:pPr>
        <w:pStyle w:val="SingleTxtG"/>
        <w:rPr>
          <w:lang w:val="fr-FR"/>
        </w:rPr>
      </w:pPr>
      <w:r>
        <w:rPr>
          <w:lang w:val="fr-FR"/>
        </w:rPr>
        <w:tab/>
        <w:t>b)</w:t>
      </w:r>
      <w:r>
        <w:rPr>
          <w:lang w:val="fr-FR"/>
        </w:rPr>
        <w:tab/>
        <w:t>Améliorer le dépistage précoce des handicaps chez les enfants et développer l’éducation inclusive pour tous les enfants handicapés</w:t>
      </w:r>
      <w:r>
        <w:rPr>
          <w:lang w:val="fr-FR"/>
        </w:rPr>
        <w:t> </w:t>
      </w:r>
      <w:r w:rsidR="00943EFC" w:rsidRPr="00943EFC">
        <w:rPr>
          <w:lang w:val="fr-FR"/>
        </w:rPr>
        <w:t>;</w:t>
      </w:r>
    </w:p>
    <w:p w14:paraId="51215FEC" w14:textId="77777777" w:rsidR="00FE0FC1" w:rsidRPr="002D4A4D" w:rsidRDefault="00FE0FC1" w:rsidP="00FE0FC1">
      <w:pPr>
        <w:pStyle w:val="SingleTxtG"/>
        <w:rPr>
          <w:lang w:val="fr-FR"/>
        </w:rPr>
      </w:pPr>
      <w:r>
        <w:rPr>
          <w:lang w:val="fr-FR"/>
        </w:rPr>
        <w:tab/>
        <w:t>c)</w:t>
      </w:r>
      <w:r>
        <w:rPr>
          <w:lang w:val="fr-FR"/>
        </w:rPr>
        <w:tab/>
        <w:t>Rendre accessibles aux enfants handicapés les espaces, bâtiments, services et supports d’information publics</w:t>
      </w:r>
      <w:r w:rsidR="00943EFC" w:rsidRPr="00943EFC">
        <w:rPr>
          <w:lang w:val="fr-FR"/>
        </w:rPr>
        <w:t>.</w:t>
      </w:r>
    </w:p>
    <w:p w14:paraId="0869BEFF" w14:textId="77777777" w:rsidR="00FE0FC1" w:rsidRPr="002D4A4D" w:rsidRDefault="00FE0FC1" w:rsidP="00FE0FC1">
      <w:pPr>
        <w:pStyle w:val="SingleTxtG"/>
        <w:rPr>
          <w:lang w:val="fr-FR"/>
        </w:rPr>
      </w:pPr>
      <w:r>
        <w:rPr>
          <w:lang w:val="fr-FR"/>
        </w:rPr>
        <w:t>10</w:t>
      </w:r>
      <w:r w:rsidR="00943EFC" w:rsidRPr="00943EFC">
        <w:rPr>
          <w:lang w:val="fr-FR"/>
        </w:rPr>
        <w:t>.</w:t>
      </w:r>
      <w:r>
        <w:rPr>
          <w:lang w:val="fr-FR"/>
        </w:rPr>
        <w:tab/>
        <w:t>Expliquer quelles mesures ont été adoptées pour</w:t>
      </w:r>
      <w:r>
        <w:rPr>
          <w:lang w:val="fr-FR"/>
        </w:rPr>
        <w:t> :</w:t>
      </w:r>
    </w:p>
    <w:p w14:paraId="5BD10371" w14:textId="77777777" w:rsidR="00FE0FC1" w:rsidRPr="002D4A4D" w:rsidRDefault="00FE0FC1" w:rsidP="00FE0FC1">
      <w:pPr>
        <w:pStyle w:val="SingleTxtG"/>
        <w:rPr>
          <w:lang w:val="fr-FR"/>
        </w:rPr>
      </w:pPr>
      <w:r>
        <w:rPr>
          <w:lang w:val="fr-FR"/>
        </w:rPr>
        <w:tab/>
        <w:t>a)</w:t>
      </w:r>
      <w:r>
        <w:rPr>
          <w:lang w:val="fr-FR"/>
        </w:rPr>
        <w:tab/>
        <w:t>Réduire la prévalence de l’obésité et du diabète de type 2</w:t>
      </w:r>
      <w:r>
        <w:rPr>
          <w:lang w:val="fr-FR"/>
        </w:rPr>
        <w:t> </w:t>
      </w:r>
      <w:r w:rsidR="00943EFC" w:rsidRPr="00943EFC">
        <w:rPr>
          <w:lang w:val="fr-FR"/>
        </w:rPr>
        <w:t>;</w:t>
      </w:r>
    </w:p>
    <w:p w14:paraId="7C7DF8D6" w14:textId="77777777" w:rsidR="00FE0FC1" w:rsidRPr="002D4A4D" w:rsidRDefault="00FE0FC1" w:rsidP="00FE0FC1">
      <w:pPr>
        <w:pStyle w:val="SingleTxtG"/>
        <w:rPr>
          <w:lang w:val="fr-FR"/>
        </w:rPr>
      </w:pPr>
      <w:r>
        <w:rPr>
          <w:lang w:val="fr-FR"/>
        </w:rPr>
        <w:tab/>
        <w:t>b)</w:t>
      </w:r>
      <w:r>
        <w:rPr>
          <w:lang w:val="fr-FR"/>
        </w:rPr>
        <w:tab/>
        <w:t>Réduire la forte prévalence de l’asthme chez les enfants, qui est liée à la pollution atmosphérique</w:t>
      </w:r>
      <w:r>
        <w:rPr>
          <w:lang w:val="fr-FR"/>
        </w:rPr>
        <w:t> </w:t>
      </w:r>
      <w:r w:rsidR="00943EFC" w:rsidRPr="00943EFC">
        <w:rPr>
          <w:lang w:val="fr-FR"/>
        </w:rPr>
        <w:t>;</w:t>
      </w:r>
    </w:p>
    <w:p w14:paraId="07C03470" w14:textId="77777777" w:rsidR="00FE0FC1" w:rsidRPr="002D4A4D" w:rsidRDefault="00FE0FC1" w:rsidP="00FE0FC1">
      <w:pPr>
        <w:pStyle w:val="SingleTxtG"/>
        <w:rPr>
          <w:lang w:val="fr-FR"/>
        </w:rPr>
      </w:pPr>
      <w:r>
        <w:rPr>
          <w:lang w:val="fr-FR"/>
        </w:rPr>
        <w:tab/>
        <w:t>c)</w:t>
      </w:r>
      <w:r>
        <w:rPr>
          <w:lang w:val="fr-FR"/>
        </w:rPr>
        <w:tab/>
        <w:t>Sensibiliser la population à l’importance de l’allaitement maternel</w:t>
      </w:r>
      <w:r>
        <w:rPr>
          <w:lang w:val="fr-FR"/>
        </w:rPr>
        <w:t> </w:t>
      </w:r>
      <w:r w:rsidR="00943EFC" w:rsidRPr="00943EFC">
        <w:rPr>
          <w:lang w:val="fr-FR"/>
        </w:rPr>
        <w:t>;</w:t>
      </w:r>
    </w:p>
    <w:p w14:paraId="73A8688D" w14:textId="77777777" w:rsidR="00FE0FC1" w:rsidRPr="002D4A4D" w:rsidRDefault="00FE0FC1" w:rsidP="00FE0FC1">
      <w:pPr>
        <w:pStyle w:val="SingleTxtG"/>
        <w:rPr>
          <w:lang w:val="fr-FR"/>
        </w:rPr>
      </w:pPr>
      <w:r>
        <w:rPr>
          <w:lang w:val="fr-FR"/>
        </w:rPr>
        <w:tab/>
        <w:t>d)</w:t>
      </w:r>
      <w:r>
        <w:rPr>
          <w:lang w:val="fr-FR"/>
        </w:rPr>
        <w:tab/>
        <w:t>Mettre la loi sur la santé mentale en conformité avec la Convention, y compris ses dispositions concernant l’admission libre ou sous contrainte des enfants dans les établissements de santé mentale</w:t>
      </w:r>
      <w:r w:rsidR="00943EFC" w:rsidRPr="00943EFC">
        <w:rPr>
          <w:lang w:val="fr-FR"/>
        </w:rPr>
        <w:t>.</w:t>
      </w:r>
    </w:p>
    <w:p w14:paraId="1EBFEE73" w14:textId="77777777" w:rsidR="00FE0FC1" w:rsidRPr="002D4A4D" w:rsidRDefault="00FE0FC1" w:rsidP="00FE0FC1">
      <w:pPr>
        <w:pStyle w:val="SingleTxtG"/>
        <w:rPr>
          <w:lang w:val="fr-FR"/>
        </w:rPr>
      </w:pPr>
      <w:r>
        <w:rPr>
          <w:lang w:val="fr-FR"/>
        </w:rPr>
        <w:t>11</w:t>
      </w:r>
      <w:r w:rsidR="00943EFC" w:rsidRPr="00943EFC">
        <w:rPr>
          <w:lang w:val="fr-FR"/>
        </w:rPr>
        <w:t>.</w:t>
      </w:r>
      <w:r>
        <w:rPr>
          <w:lang w:val="fr-FR"/>
        </w:rPr>
        <w:tab/>
        <w:t>Expliquer quelles mesures ont été adoptées pour</w:t>
      </w:r>
      <w:r>
        <w:rPr>
          <w:lang w:val="fr-FR"/>
        </w:rPr>
        <w:t> :</w:t>
      </w:r>
    </w:p>
    <w:p w14:paraId="442B63C1" w14:textId="77777777" w:rsidR="00FE0FC1" w:rsidRPr="002D4A4D" w:rsidRDefault="00FE0FC1" w:rsidP="00FE0FC1">
      <w:pPr>
        <w:pStyle w:val="SingleTxtG"/>
        <w:rPr>
          <w:lang w:val="fr-FR"/>
        </w:rPr>
      </w:pPr>
      <w:r>
        <w:rPr>
          <w:lang w:val="fr-FR"/>
        </w:rPr>
        <w:tab/>
        <w:t>a)</w:t>
      </w:r>
      <w:r>
        <w:rPr>
          <w:lang w:val="fr-FR"/>
        </w:rPr>
        <w:tab/>
        <w:t xml:space="preserve">Dispenser un enseignement obligatoire, gratuit et de bonne qualité à tous les enfants (y compris les enfants non koweïtiens et </w:t>
      </w:r>
      <w:proofErr w:type="spellStart"/>
      <w:r>
        <w:rPr>
          <w:lang w:val="fr-FR"/>
        </w:rPr>
        <w:t>bidouns</w:t>
      </w:r>
      <w:proofErr w:type="spellEnd"/>
      <w:r>
        <w:rPr>
          <w:lang w:val="fr-FR"/>
        </w:rPr>
        <w:t>) dans l’État partie</w:t>
      </w:r>
      <w:r>
        <w:rPr>
          <w:lang w:val="fr-FR"/>
        </w:rPr>
        <w:t> </w:t>
      </w:r>
      <w:r w:rsidR="00943EFC" w:rsidRPr="00943EFC">
        <w:rPr>
          <w:lang w:val="fr-FR"/>
        </w:rPr>
        <w:t>;</w:t>
      </w:r>
    </w:p>
    <w:p w14:paraId="4F9EC2DF" w14:textId="77777777" w:rsidR="00FE0FC1" w:rsidRPr="002D4A4D" w:rsidRDefault="00FE0FC1" w:rsidP="00FE0FC1">
      <w:pPr>
        <w:pStyle w:val="SingleTxtG"/>
        <w:rPr>
          <w:lang w:val="fr-FR"/>
        </w:rPr>
      </w:pPr>
      <w:r>
        <w:rPr>
          <w:lang w:val="fr-FR"/>
        </w:rPr>
        <w:tab/>
        <w:t>b)</w:t>
      </w:r>
      <w:r>
        <w:rPr>
          <w:lang w:val="fr-FR"/>
        </w:rPr>
        <w:tab/>
        <w:t>Abroger les dispositions qui empêchent les filles mariées de fréquenter les établissements scolaires ordinaires</w:t>
      </w:r>
      <w:r>
        <w:rPr>
          <w:lang w:val="fr-FR"/>
        </w:rPr>
        <w:t> </w:t>
      </w:r>
      <w:r w:rsidR="00943EFC" w:rsidRPr="00943EFC">
        <w:rPr>
          <w:lang w:val="fr-FR"/>
        </w:rPr>
        <w:t>;</w:t>
      </w:r>
    </w:p>
    <w:p w14:paraId="18A6C419" w14:textId="77777777" w:rsidR="00FE0FC1" w:rsidRPr="002D4A4D" w:rsidRDefault="00FE0FC1" w:rsidP="00FE0FC1">
      <w:pPr>
        <w:pStyle w:val="SingleTxtG"/>
        <w:rPr>
          <w:lang w:val="fr-FR"/>
        </w:rPr>
      </w:pPr>
      <w:r>
        <w:rPr>
          <w:lang w:val="fr-FR"/>
        </w:rPr>
        <w:tab/>
        <w:t>c)</w:t>
      </w:r>
      <w:r>
        <w:rPr>
          <w:lang w:val="fr-FR"/>
        </w:rPr>
        <w:tab/>
        <w:t>S’attaquer aux problèmes du harcèlement, du harcèlement sexuel et de la violence à l’école</w:t>
      </w:r>
      <w:r>
        <w:rPr>
          <w:lang w:val="fr-FR"/>
        </w:rPr>
        <w:t> </w:t>
      </w:r>
      <w:r w:rsidR="00943EFC" w:rsidRPr="00943EFC">
        <w:rPr>
          <w:lang w:val="fr-FR"/>
        </w:rPr>
        <w:t>;</w:t>
      </w:r>
    </w:p>
    <w:p w14:paraId="50BDB9D0" w14:textId="77777777" w:rsidR="00FE0FC1" w:rsidRPr="002D4A4D" w:rsidRDefault="00FE0FC1" w:rsidP="00FE0FC1">
      <w:pPr>
        <w:pStyle w:val="SingleTxtG"/>
        <w:rPr>
          <w:lang w:val="fr-FR"/>
        </w:rPr>
      </w:pPr>
      <w:r>
        <w:rPr>
          <w:lang w:val="fr-FR"/>
        </w:rPr>
        <w:tab/>
        <w:t>d)</w:t>
      </w:r>
      <w:r>
        <w:rPr>
          <w:lang w:val="fr-FR"/>
        </w:rPr>
        <w:tab/>
        <w:t>Inclure dans les programmes scolaires des cours sur les droits de l’enfant, ainsi que sur la protection et la gestion durable de l’environnement</w:t>
      </w:r>
      <w:r w:rsidR="00943EFC">
        <w:rPr>
          <w:lang w:val="fr-FR"/>
        </w:rPr>
        <w:t> </w:t>
      </w:r>
      <w:r w:rsidR="00943EFC" w:rsidRPr="00943EFC">
        <w:rPr>
          <w:lang w:val="fr-FR"/>
        </w:rPr>
        <w:t>;</w:t>
      </w:r>
    </w:p>
    <w:p w14:paraId="198E4C63" w14:textId="77777777" w:rsidR="00FE0FC1" w:rsidRPr="002D4A4D" w:rsidRDefault="00FE0FC1" w:rsidP="00FE0FC1">
      <w:pPr>
        <w:pStyle w:val="SingleTxtG"/>
        <w:rPr>
          <w:lang w:val="fr-FR"/>
        </w:rPr>
      </w:pPr>
      <w:r>
        <w:rPr>
          <w:lang w:val="fr-FR"/>
        </w:rPr>
        <w:t>12</w:t>
      </w:r>
      <w:r w:rsidR="00943EFC" w:rsidRPr="00943EFC">
        <w:rPr>
          <w:lang w:val="fr-FR"/>
        </w:rPr>
        <w:t>.</w:t>
      </w:r>
      <w:r>
        <w:rPr>
          <w:lang w:val="fr-FR"/>
        </w:rPr>
        <w:tab/>
        <w:t>Indiquer les mesures prises pour</w:t>
      </w:r>
      <w:r>
        <w:rPr>
          <w:lang w:val="fr-FR"/>
        </w:rPr>
        <w:t> :</w:t>
      </w:r>
    </w:p>
    <w:p w14:paraId="0315340E" w14:textId="77777777" w:rsidR="00FE0FC1" w:rsidRPr="002D4A4D" w:rsidRDefault="00FE0FC1" w:rsidP="00FE0FC1">
      <w:pPr>
        <w:pStyle w:val="SingleTxtG"/>
        <w:rPr>
          <w:lang w:val="fr-FR"/>
        </w:rPr>
      </w:pPr>
      <w:r>
        <w:rPr>
          <w:lang w:val="fr-FR"/>
        </w:rPr>
        <w:tab/>
        <w:t>a)</w:t>
      </w:r>
      <w:r>
        <w:rPr>
          <w:lang w:val="fr-FR"/>
        </w:rPr>
        <w:tab/>
        <w:t>Mettre en place des mesures de substitution à la détention d’enfants immigrants et de familles d’immigrants avec enfants</w:t>
      </w:r>
      <w:r>
        <w:rPr>
          <w:lang w:val="fr-FR"/>
        </w:rPr>
        <w:t> </w:t>
      </w:r>
      <w:r w:rsidR="00943EFC" w:rsidRPr="00943EFC">
        <w:rPr>
          <w:lang w:val="fr-FR"/>
        </w:rPr>
        <w:t>;</w:t>
      </w:r>
    </w:p>
    <w:p w14:paraId="5F7AB881" w14:textId="77777777" w:rsidR="00FE0FC1" w:rsidRPr="002D4A4D" w:rsidRDefault="00FE0FC1" w:rsidP="00FE0FC1">
      <w:pPr>
        <w:pStyle w:val="SingleTxtG"/>
        <w:rPr>
          <w:lang w:val="fr-FR"/>
        </w:rPr>
      </w:pPr>
      <w:r>
        <w:rPr>
          <w:lang w:val="fr-FR"/>
        </w:rPr>
        <w:tab/>
        <w:t>b)</w:t>
      </w:r>
      <w:r>
        <w:rPr>
          <w:lang w:val="fr-FR"/>
        </w:rPr>
        <w:tab/>
        <w:t>Veiller à ce que l’intérêt supérieur de l’enfant soit une considération primordiale dans les procédures liées à la migration qui concernent des enfants, notamment les procédures d’expulsion</w:t>
      </w:r>
      <w:r>
        <w:rPr>
          <w:lang w:val="fr-FR"/>
        </w:rPr>
        <w:t> </w:t>
      </w:r>
      <w:r w:rsidR="00943EFC" w:rsidRPr="00943EFC">
        <w:rPr>
          <w:lang w:val="fr-FR"/>
        </w:rPr>
        <w:t>;</w:t>
      </w:r>
    </w:p>
    <w:p w14:paraId="02050848" w14:textId="77777777" w:rsidR="00FE0FC1" w:rsidRPr="002D4A4D" w:rsidRDefault="00FE0FC1" w:rsidP="00FE0FC1">
      <w:pPr>
        <w:pStyle w:val="SingleTxtG"/>
        <w:rPr>
          <w:lang w:val="fr-FR"/>
        </w:rPr>
      </w:pPr>
      <w:r>
        <w:rPr>
          <w:lang w:val="fr-FR"/>
        </w:rPr>
        <w:tab/>
        <w:t>c)</w:t>
      </w:r>
      <w:r>
        <w:rPr>
          <w:lang w:val="fr-FR"/>
        </w:rPr>
        <w:tab/>
        <w:t xml:space="preserve">Faire appliquer la législation visant à protéger les enfants, en particulier les enfants </w:t>
      </w:r>
      <w:proofErr w:type="spellStart"/>
      <w:r>
        <w:rPr>
          <w:lang w:val="fr-FR"/>
        </w:rPr>
        <w:t>bidouns</w:t>
      </w:r>
      <w:proofErr w:type="spellEnd"/>
      <w:r>
        <w:rPr>
          <w:lang w:val="fr-FR"/>
        </w:rPr>
        <w:t xml:space="preserve"> et les enfants migrants, contre l’exploitation économique, y compris dans le secteur informel et dans celui du travail domestique</w:t>
      </w:r>
      <w:r w:rsidR="00943EFC">
        <w:rPr>
          <w:lang w:val="fr-FR"/>
        </w:rPr>
        <w:t> </w:t>
      </w:r>
      <w:r w:rsidR="00943EFC" w:rsidRPr="00943EFC">
        <w:rPr>
          <w:lang w:val="fr-FR"/>
        </w:rPr>
        <w:t>;</w:t>
      </w:r>
    </w:p>
    <w:p w14:paraId="161B6D5A" w14:textId="77777777" w:rsidR="00FE0FC1" w:rsidRPr="002D4A4D" w:rsidRDefault="00FE0FC1" w:rsidP="00FE0FC1">
      <w:pPr>
        <w:pStyle w:val="SingleTxtG"/>
        <w:rPr>
          <w:lang w:val="fr-FR"/>
        </w:rPr>
      </w:pPr>
      <w:r>
        <w:rPr>
          <w:lang w:val="fr-FR"/>
        </w:rPr>
        <w:tab/>
        <w:t>d)</w:t>
      </w:r>
      <w:r>
        <w:rPr>
          <w:lang w:val="fr-FR"/>
        </w:rPr>
        <w:tab/>
        <w:t>Relever l’âge de la responsabilité pénale</w:t>
      </w:r>
      <w:r>
        <w:rPr>
          <w:lang w:val="fr-FR"/>
        </w:rPr>
        <w:t> </w:t>
      </w:r>
      <w:r w:rsidR="00943EFC" w:rsidRPr="00943EFC">
        <w:rPr>
          <w:lang w:val="fr-FR"/>
        </w:rPr>
        <w:t>;</w:t>
      </w:r>
    </w:p>
    <w:p w14:paraId="353EDC35" w14:textId="77777777" w:rsidR="00FE0FC1" w:rsidRPr="002D4A4D" w:rsidRDefault="00FE0FC1" w:rsidP="00FE0FC1">
      <w:pPr>
        <w:pStyle w:val="SingleTxtG"/>
        <w:rPr>
          <w:lang w:val="fr-FR"/>
        </w:rPr>
      </w:pPr>
      <w:r>
        <w:rPr>
          <w:lang w:val="fr-FR"/>
        </w:rPr>
        <w:tab/>
        <w:t>e)</w:t>
      </w:r>
      <w:r>
        <w:rPr>
          <w:lang w:val="fr-FR"/>
        </w:rPr>
        <w:tab/>
        <w:t>Promouvoir le recours à des mesures de déjudiciarisation dans le cadre de l’article 16 de la loi n</w:t>
      </w:r>
      <w:r w:rsidRPr="008E2F0F">
        <w:rPr>
          <w:vertAlign w:val="superscript"/>
          <w:lang w:val="fr-FR"/>
        </w:rPr>
        <w:t>o</w:t>
      </w:r>
      <w:r>
        <w:rPr>
          <w:lang w:val="fr-FR"/>
        </w:rPr>
        <w:t> 111 de 2015 sur les mineurs</w:t>
      </w:r>
      <w:r w:rsidR="00943EFC" w:rsidRPr="00943EFC">
        <w:rPr>
          <w:lang w:val="fr-FR"/>
        </w:rPr>
        <w:t>.</w:t>
      </w:r>
    </w:p>
    <w:p w14:paraId="4792A4CF" w14:textId="77777777" w:rsidR="00FE0FC1" w:rsidRPr="002D4A4D" w:rsidRDefault="00FE0FC1" w:rsidP="00943EFC">
      <w:pPr>
        <w:pStyle w:val="SingleTxtG"/>
        <w:keepNext/>
        <w:rPr>
          <w:lang w:val="fr-FR"/>
        </w:rPr>
      </w:pPr>
      <w:r>
        <w:rPr>
          <w:lang w:val="fr-FR"/>
        </w:rPr>
        <w:lastRenderedPageBreak/>
        <w:t>13</w:t>
      </w:r>
      <w:r w:rsidR="00943EFC" w:rsidRPr="00943EFC">
        <w:rPr>
          <w:lang w:val="fr-FR"/>
        </w:rPr>
        <w:t>.</w:t>
      </w:r>
      <w:r>
        <w:rPr>
          <w:lang w:val="fr-FR"/>
        </w:rPr>
        <w:tab/>
        <w:t>Indiquer les mesures prises pour</w:t>
      </w:r>
      <w:r>
        <w:rPr>
          <w:lang w:val="fr-FR"/>
        </w:rPr>
        <w:t> :</w:t>
      </w:r>
    </w:p>
    <w:p w14:paraId="5FC984F2" w14:textId="77777777" w:rsidR="00FE0FC1" w:rsidRPr="002D4A4D" w:rsidRDefault="00FE0FC1" w:rsidP="00FE0FC1">
      <w:pPr>
        <w:pStyle w:val="SingleTxtG"/>
        <w:rPr>
          <w:lang w:val="fr-FR"/>
        </w:rPr>
      </w:pPr>
      <w:r>
        <w:rPr>
          <w:lang w:val="fr-FR"/>
        </w:rPr>
        <w:tab/>
        <w:t>a)</w:t>
      </w:r>
      <w:r>
        <w:rPr>
          <w:lang w:val="fr-FR"/>
        </w:rPr>
        <w:tab/>
        <w:t>Réviser le Code pénal afin d’ériger expressément en infraction pénale l’enrôlement d’enfants de moins de 18 ans et leur utilisation dans des hostilités, y compris par des groupes armés non étatiques</w:t>
      </w:r>
      <w:r>
        <w:rPr>
          <w:lang w:val="fr-FR"/>
        </w:rPr>
        <w:t> </w:t>
      </w:r>
      <w:r w:rsidR="00943EFC" w:rsidRPr="00943EFC">
        <w:rPr>
          <w:lang w:val="fr-FR"/>
        </w:rPr>
        <w:t>;</w:t>
      </w:r>
    </w:p>
    <w:p w14:paraId="50FE1965" w14:textId="77777777" w:rsidR="00FE0FC1" w:rsidRPr="002D4A4D" w:rsidRDefault="00FE0FC1" w:rsidP="00FE0FC1">
      <w:pPr>
        <w:pStyle w:val="SingleTxtG"/>
        <w:rPr>
          <w:lang w:val="fr-FR"/>
        </w:rPr>
      </w:pPr>
      <w:r>
        <w:rPr>
          <w:lang w:val="fr-FR"/>
        </w:rPr>
        <w:tab/>
        <w:t>b)</w:t>
      </w:r>
      <w:r>
        <w:rPr>
          <w:lang w:val="fr-FR"/>
        </w:rPr>
        <w:tab/>
        <w:t>Empêcher que des enfants, en particulier des enfants marginalisés et défavorisés, soient radicalisés par des groupes extrémistes, et s’attaquer aux causes profondes de l’enrôlement d’enfants et de la participation d’enfants à des conflits armés</w:t>
      </w:r>
      <w:r w:rsidR="00943EFC" w:rsidRPr="00943EFC">
        <w:rPr>
          <w:lang w:val="fr-FR"/>
        </w:rPr>
        <w:t>.</w:t>
      </w:r>
    </w:p>
    <w:p w14:paraId="3F211D98" w14:textId="77777777" w:rsidR="00FE0FC1" w:rsidRPr="002D4A4D" w:rsidRDefault="00FE0FC1" w:rsidP="00FE0FC1">
      <w:pPr>
        <w:pStyle w:val="SingleTxtG"/>
        <w:rPr>
          <w:lang w:val="fr-FR"/>
        </w:rPr>
      </w:pPr>
      <w:r>
        <w:rPr>
          <w:lang w:val="fr-FR"/>
        </w:rPr>
        <w:t>14</w:t>
      </w:r>
      <w:r w:rsidR="00943EFC" w:rsidRPr="00943EFC">
        <w:rPr>
          <w:lang w:val="fr-FR"/>
        </w:rPr>
        <w:t>.</w:t>
      </w:r>
      <w:r>
        <w:rPr>
          <w:lang w:val="fr-FR"/>
        </w:rPr>
        <w:tab/>
        <w:t>Indiquer les mesures prises pour</w:t>
      </w:r>
      <w:r>
        <w:rPr>
          <w:lang w:val="fr-FR"/>
        </w:rPr>
        <w:t> :</w:t>
      </w:r>
    </w:p>
    <w:p w14:paraId="74792B41" w14:textId="77777777" w:rsidR="00FE0FC1" w:rsidRPr="002D4A4D" w:rsidRDefault="00FE0FC1" w:rsidP="00FE0FC1">
      <w:pPr>
        <w:pStyle w:val="SingleTxtG"/>
        <w:rPr>
          <w:lang w:val="fr-FR"/>
        </w:rPr>
      </w:pPr>
      <w:r>
        <w:rPr>
          <w:lang w:val="fr-FR"/>
        </w:rPr>
        <w:tab/>
        <w:t>a)</w:t>
      </w:r>
      <w:r>
        <w:rPr>
          <w:lang w:val="fr-FR"/>
        </w:rPr>
        <w:tab/>
        <w:t>Ériger en infraction pénale la vente d’enfants et la possession de matériel pornographique mettant en scène des enfants (CRC/C/OPSC/KWT/CO/1, par</w:t>
      </w:r>
      <w:r w:rsidR="00943EFC" w:rsidRPr="00943EFC">
        <w:rPr>
          <w:lang w:val="fr-FR"/>
        </w:rPr>
        <w:t>.</w:t>
      </w:r>
      <w:r>
        <w:rPr>
          <w:lang w:val="fr-FR"/>
        </w:rPr>
        <w:t xml:space="preserve"> 18)</w:t>
      </w:r>
      <w:r>
        <w:rPr>
          <w:lang w:val="fr-FR"/>
        </w:rPr>
        <w:t> </w:t>
      </w:r>
      <w:r w:rsidR="00943EFC" w:rsidRPr="00943EFC">
        <w:rPr>
          <w:lang w:val="fr-FR"/>
        </w:rPr>
        <w:t>;</w:t>
      </w:r>
    </w:p>
    <w:p w14:paraId="677D510D" w14:textId="77777777" w:rsidR="00FE0FC1" w:rsidRPr="002D4A4D" w:rsidRDefault="00FE0FC1" w:rsidP="00FE0FC1">
      <w:pPr>
        <w:pStyle w:val="SingleTxtG"/>
        <w:rPr>
          <w:lang w:val="fr-FR"/>
        </w:rPr>
      </w:pPr>
      <w:r>
        <w:rPr>
          <w:lang w:val="fr-FR"/>
        </w:rPr>
        <w:tab/>
        <w:t>b)</w:t>
      </w:r>
      <w:r>
        <w:rPr>
          <w:lang w:val="fr-FR"/>
        </w:rPr>
        <w:tab/>
        <w:t>Garantir l’accès à la justice des victimes d’actes interdits par le Protocole facultatif à la Convention relative aux droits de l’enfant, concernant la vente d’enfants, la prostitution des enfants et la pornographie mettant en scène des enfants</w:t>
      </w:r>
      <w:r w:rsidR="00943EFC">
        <w:rPr>
          <w:lang w:val="fr-FR"/>
        </w:rPr>
        <w:t> ;</w:t>
      </w:r>
    </w:p>
    <w:p w14:paraId="4D9B440D" w14:textId="77777777" w:rsidR="00FE0FC1" w:rsidRPr="002D4A4D" w:rsidRDefault="00FE0FC1" w:rsidP="00FE0FC1">
      <w:pPr>
        <w:pStyle w:val="SingleTxtG"/>
        <w:rPr>
          <w:lang w:val="fr-FR"/>
        </w:rPr>
      </w:pPr>
      <w:r>
        <w:rPr>
          <w:lang w:val="fr-FR"/>
        </w:rPr>
        <w:tab/>
        <w:t>c)</w:t>
      </w:r>
      <w:r>
        <w:rPr>
          <w:lang w:val="fr-FR"/>
        </w:rPr>
        <w:tab/>
        <w:t>Empêcher que des enfants, en particulier ceux qui sont marginalisés et défavorisés, ne deviennent victimes d’infractions relevant de la vente d’enfants, de la prostitution d’enfants et de la pornographie mettant en scène des enfants</w:t>
      </w:r>
      <w:r>
        <w:rPr>
          <w:lang w:val="fr-FR"/>
        </w:rPr>
        <w:t> </w:t>
      </w:r>
      <w:r w:rsidR="00943EFC" w:rsidRPr="00943EFC">
        <w:rPr>
          <w:lang w:val="fr-FR"/>
        </w:rPr>
        <w:t>;</w:t>
      </w:r>
    </w:p>
    <w:p w14:paraId="588E88E1" w14:textId="77777777" w:rsidR="00FE0FC1" w:rsidRPr="002D4A4D" w:rsidRDefault="00FE0FC1" w:rsidP="00FE0FC1">
      <w:pPr>
        <w:pStyle w:val="SingleTxtG"/>
        <w:rPr>
          <w:lang w:val="fr-FR"/>
        </w:rPr>
      </w:pPr>
      <w:r>
        <w:rPr>
          <w:lang w:val="fr-FR"/>
        </w:rPr>
        <w:tab/>
        <w:t>d)</w:t>
      </w:r>
      <w:r>
        <w:rPr>
          <w:lang w:val="fr-FR"/>
        </w:rPr>
        <w:tab/>
        <w:t>Renforcer le contrôle des procédures de recrutement des travailleurs domestiques</w:t>
      </w:r>
      <w:r w:rsidR="00943EFC" w:rsidRPr="00943EFC">
        <w:rPr>
          <w:lang w:val="fr-FR"/>
        </w:rPr>
        <w:t>.</w:t>
      </w:r>
    </w:p>
    <w:p w14:paraId="6F25F7A0" w14:textId="77777777" w:rsidR="00FE0FC1" w:rsidRPr="002D4A4D" w:rsidRDefault="00FE0FC1" w:rsidP="00FE0FC1">
      <w:pPr>
        <w:pStyle w:val="HChG"/>
        <w:rPr>
          <w:lang w:val="fr-FR"/>
        </w:rPr>
      </w:pPr>
      <w:r>
        <w:rPr>
          <w:lang w:val="fr-FR"/>
        </w:rPr>
        <w:tab/>
      </w:r>
      <w:r>
        <w:rPr>
          <w:lang w:val="fr-FR"/>
        </w:rPr>
        <w:tab/>
      </w:r>
      <w:r>
        <w:rPr>
          <w:bCs/>
          <w:lang w:val="fr-FR"/>
        </w:rPr>
        <w:t>Deuxième partie</w:t>
      </w:r>
    </w:p>
    <w:p w14:paraId="1E99B7CD" w14:textId="77777777" w:rsidR="00FE0FC1" w:rsidRPr="002D4A4D" w:rsidRDefault="00FE0FC1" w:rsidP="00FE0FC1">
      <w:pPr>
        <w:pStyle w:val="SingleTxtG"/>
        <w:rPr>
          <w:lang w:val="fr-FR"/>
        </w:rPr>
      </w:pPr>
      <w:r>
        <w:rPr>
          <w:lang w:val="fr-FR"/>
        </w:rPr>
        <w:t>15</w:t>
      </w:r>
      <w:r w:rsidR="00943EFC" w:rsidRPr="00943EFC">
        <w:rPr>
          <w:lang w:val="fr-FR"/>
        </w:rPr>
        <w:t>.</w:t>
      </w:r>
      <w:r>
        <w:rPr>
          <w:lang w:val="fr-FR"/>
        </w:rPr>
        <w:tab/>
        <w:t>L’État partie est invité à mettre à jour brièvement (en trois pages maximum) les renseignements fournis dans son rapport en ce qui concerne</w:t>
      </w:r>
      <w:r>
        <w:rPr>
          <w:lang w:val="fr-FR"/>
        </w:rPr>
        <w:t> :</w:t>
      </w:r>
    </w:p>
    <w:p w14:paraId="0A2D04EC" w14:textId="77777777" w:rsidR="00FE0FC1" w:rsidRPr="002D4A4D" w:rsidRDefault="00FE0FC1" w:rsidP="00FE0FC1">
      <w:pPr>
        <w:pStyle w:val="SingleTxtG"/>
        <w:rPr>
          <w:lang w:val="fr-FR"/>
        </w:rPr>
      </w:pPr>
      <w:r>
        <w:rPr>
          <w:lang w:val="fr-FR"/>
        </w:rPr>
        <w:tab/>
        <w:t>a)</w:t>
      </w:r>
      <w:r>
        <w:rPr>
          <w:lang w:val="fr-FR"/>
        </w:rPr>
        <w:tab/>
        <w:t>Les nouveaux projets ou textes de loi et leurs règlements d’application respectifs</w:t>
      </w:r>
      <w:r>
        <w:rPr>
          <w:lang w:val="fr-FR"/>
        </w:rPr>
        <w:t> </w:t>
      </w:r>
      <w:r w:rsidR="00943EFC" w:rsidRPr="00943EFC">
        <w:rPr>
          <w:lang w:val="fr-FR"/>
        </w:rPr>
        <w:t>;</w:t>
      </w:r>
    </w:p>
    <w:p w14:paraId="7C229637" w14:textId="77777777" w:rsidR="00FE0FC1" w:rsidRPr="002D4A4D" w:rsidRDefault="00FE0FC1" w:rsidP="00FE0FC1">
      <w:pPr>
        <w:pStyle w:val="SingleTxtG"/>
        <w:rPr>
          <w:lang w:val="fr-FR"/>
        </w:rPr>
      </w:pPr>
      <w:r>
        <w:rPr>
          <w:lang w:val="fr-FR"/>
        </w:rPr>
        <w:tab/>
        <w:t>b)</w:t>
      </w:r>
      <w:r>
        <w:rPr>
          <w:lang w:val="fr-FR"/>
        </w:rPr>
        <w:tab/>
        <w:t>Les nouvelles institutions (et leur mandat) et les réformes institutionnelles</w:t>
      </w:r>
      <w:r>
        <w:rPr>
          <w:lang w:val="fr-FR"/>
        </w:rPr>
        <w:t> </w:t>
      </w:r>
      <w:r w:rsidR="00943EFC" w:rsidRPr="00943EFC">
        <w:rPr>
          <w:lang w:val="fr-FR"/>
        </w:rPr>
        <w:t>;</w:t>
      </w:r>
      <w:r>
        <w:rPr>
          <w:lang w:val="fr-FR"/>
        </w:rPr>
        <w:t xml:space="preserve"> </w:t>
      </w:r>
    </w:p>
    <w:p w14:paraId="55E9BCEE" w14:textId="77777777" w:rsidR="00FE0FC1" w:rsidRPr="002D4A4D" w:rsidRDefault="00FE0FC1" w:rsidP="00FE0FC1">
      <w:pPr>
        <w:pStyle w:val="SingleTxtG"/>
        <w:rPr>
          <w:lang w:val="fr-FR"/>
        </w:rPr>
      </w:pPr>
      <w:r>
        <w:rPr>
          <w:lang w:val="fr-FR"/>
        </w:rPr>
        <w:tab/>
        <w:t>c)</w:t>
      </w:r>
      <w:r>
        <w:rPr>
          <w:lang w:val="fr-FR"/>
        </w:rPr>
        <w:tab/>
        <w:t>Les politiques, programmes et plans d’action récemment adoptés, ainsi que leur champ d’application et leur financement</w:t>
      </w:r>
      <w:r>
        <w:rPr>
          <w:lang w:val="fr-FR"/>
        </w:rPr>
        <w:t> </w:t>
      </w:r>
      <w:r w:rsidR="00943EFC" w:rsidRPr="00943EFC">
        <w:rPr>
          <w:lang w:val="fr-FR"/>
        </w:rPr>
        <w:t>;</w:t>
      </w:r>
    </w:p>
    <w:p w14:paraId="0301E788" w14:textId="77777777" w:rsidR="00FE0FC1" w:rsidRPr="002D4A4D" w:rsidRDefault="00FE0FC1" w:rsidP="00FE0FC1">
      <w:pPr>
        <w:pStyle w:val="SingleTxtG"/>
        <w:rPr>
          <w:lang w:val="fr-FR"/>
        </w:rPr>
      </w:pPr>
      <w:r>
        <w:rPr>
          <w:lang w:val="fr-FR"/>
        </w:rPr>
        <w:tab/>
        <w:t>d)</w:t>
      </w:r>
      <w:r>
        <w:rPr>
          <w:lang w:val="fr-FR"/>
        </w:rPr>
        <w:tab/>
        <w:t>Les instruments relatifs aux droits de l’homme récemment ratifiés</w:t>
      </w:r>
      <w:r w:rsidR="00943EFC" w:rsidRPr="00943EFC">
        <w:rPr>
          <w:lang w:val="fr-FR"/>
        </w:rPr>
        <w:t>.</w:t>
      </w:r>
    </w:p>
    <w:p w14:paraId="7B1C038D" w14:textId="77777777" w:rsidR="00FE0FC1" w:rsidRPr="002D4A4D" w:rsidRDefault="00FE0FC1" w:rsidP="00FE0FC1">
      <w:pPr>
        <w:pStyle w:val="HChG"/>
        <w:rPr>
          <w:lang w:val="fr-FR"/>
        </w:rPr>
      </w:pPr>
      <w:r>
        <w:rPr>
          <w:lang w:val="fr-FR"/>
        </w:rPr>
        <w:tab/>
      </w:r>
      <w:r>
        <w:rPr>
          <w:lang w:val="fr-FR"/>
        </w:rPr>
        <w:tab/>
      </w:r>
      <w:r>
        <w:rPr>
          <w:bCs/>
          <w:lang w:val="fr-FR"/>
        </w:rPr>
        <w:t>Troisième partie</w:t>
      </w:r>
    </w:p>
    <w:p w14:paraId="7CC12C6F" w14:textId="77777777" w:rsidR="00FE0FC1" w:rsidRPr="002D4A4D" w:rsidRDefault="00FE0FC1" w:rsidP="00943EFC">
      <w:pPr>
        <w:pStyle w:val="H23G"/>
        <w:rPr>
          <w:lang w:val="fr-FR"/>
        </w:rPr>
      </w:pPr>
      <w:r>
        <w:rPr>
          <w:lang w:val="fr-FR"/>
        </w:rPr>
        <w:tab/>
      </w:r>
      <w:r>
        <w:rPr>
          <w:lang w:val="fr-FR"/>
        </w:rPr>
        <w:tab/>
        <w:t>Données, statistiques et autres informations, si disponibles</w:t>
      </w:r>
    </w:p>
    <w:p w14:paraId="19D2AAF8" w14:textId="77777777" w:rsidR="00FE0FC1" w:rsidRPr="002D4A4D" w:rsidRDefault="00FE0FC1" w:rsidP="00FE0FC1">
      <w:pPr>
        <w:pStyle w:val="SingleTxtG"/>
        <w:rPr>
          <w:lang w:val="fr-FR"/>
        </w:rPr>
      </w:pPr>
      <w:r>
        <w:rPr>
          <w:lang w:val="fr-FR"/>
        </w:rPr>
        <w:t>16</w:t>
      </w:r>
      <w:r w:rsidR="00943EFC" w:rsidRPr="00943EFC">
        <w:rPr>
          <w:lang w:val="fr-FR"/>
        </w:rPr>
        <w:t>.</w:t>
      </w:r>
      <w:r>
        <w:rPr>
          <w:lang w:val="fr-FR"/>
        </w:rPr>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w:t>
      </w:r>
      <w:r w:rsidR="00943EFC" w:rsidRPr="00943EFC">
        <w:rPr>
          <w:lang w:val="fr-FR"/>
        </w:rPr>
        <w:t>.</w:t>
      </w:r>
      <w:r>
        <w:rPr>
          <w:lang w:val="fr-FR"/>
        </w:rPr>
        <w:t xml:space="preserve"> Donner également des informations sur la répartition géographique de ces ressources</w:t>
      </w:r>
      <w:r w:rsidR="00943EFC" w:rsidRPr="00943EFC">
        <w:rPr>
          <w:lang w:val="fr-FR"/>
        </w:rPr>
        <w:t>.</w:t>
      </w:r>
      <w:r>
        <w:rPr>
          <w:lang w:val="fr-FR"/>
        </w:rPr>
        <w:t xml:space="preserve"> </w:t>
      </w:r>
    </w:p>
    <w:p w14:paraId="41F59D52" w14:textId="77777777" w:rsidR="00FE0FC1" w:rsidRPr="002D4A4D" w:rsidRDefault="00FE0FC1" w:rsidP="00FE0FC1">
      <w:pPr>
        <w:pStyle w:val="SingleTxtG"/>
        <w:rPr>
          <w:lang w:val="fr-FR"/>
        </w:rPr>
      </w:pPr>
      <w:r>
        <w:rPr>
          <w:lang w:val="fr-FR"/>
        </w:rPr>
        <w:t>17</w:t>
      </w:r>
      <w:r w:rsidR="00943EFC" w:rsidRPr="00943EFC">
        <w:rPr>
          <w:lang w:val="fr-FR"/>
        </w:rPr>
        <w:t>.</w:t>
      </w:r>
      <w:r>
        <w:rPr>
          <w:lang w:val="fr-FR"/>
        </w:rPr>
        <w:tab/>
        <w:t xml:space="preserve">Fournir, si possible, pour les trois dernières années, des données statistiques à jour, ventilées par âge, sexe, origine ethnique, origine nationale, zone géographique et situation </w:t>
      </w:r>
      <w:proofErr w:type="spellStart"/>
      <w:r>
        <w:rPr>
          <w:lang w:val="fr-FR"/>
        </w:rPr>
        <w:t>socioéconomique</w:t>
      </w:r>
      <w:proofErr w:type="spellEnd"/>
      <w:r>
        <w:rPr>
          <w:lang w:val="fr-FR"/>
        </w:rPr>
        <w:t>, concernant</w:t>
      </w:r>
      <w:r>
        <w:rPr>
          <w:lang w:val="fr-FR"/>
        </w:rPr>
        <w:t> :</w:t>
      </w:r>
    </w:p>
    <w:p w14:paraId="06A13998" w14:textId="77777777" w:rsidR="00FE0FC1" w:rsidRPr="002D4A4D" w:rsidRDefault="00FE0FC1" w:rsidP="00FE0FC1">
      <w:pPr>
        <w:pStyle w:val="SingleTxtG"/>
        <w:rPr>
          <w:lang w:val="fr-FR"/>
        </w:rPr>
      </w:pPr>
      <w:r>
        <w:rPr>
          <w:lang w:val="fr-FR"/>
        </w:rPr>
        <w:tab/>
        <w:t>a)</w:t>
      </w:r>
      <w:r>
        <w:rPr>
          <w:lang w:val="fr-FR"/>
        </w:rPr>
        <w:tab/>
        <w:t xml:space="preserve">Les enfants enregistrés à la naissance ou ultérieurement, y compris les enfants </w:t>
      </w:r>
      <w:proofErr w:type="spellStart"/>
      <w:r>
        <w:rPr>
          <w:lang w:val="fr-FR"/>
        </w:rPr>
        <w:t>bidouns</w:t>
      </w:r>
      <w:proofErr w:type="spellEnd"/>
      <w:r>
        <w:rPr>
          <w:lang w:val="fr-FR"/>
        </w:rPr>
        <w:t> </w:t>
      </w:r>
      <w:r w:rsidR="00943EFC" w:rsidRPr="00943EFC">
        <w:rPr>
          <w:lang w:val="fr-FR"/>
        </w:rPr>
        <w:t>;</w:t>
      </w:r>
    </w:p>
    <w:p w14:paraId="722B37C9" w14:textId="77777777" w:rsidR="00FE0FC1" w:rsidRPr="002D4A4D" w:rsidRDefault="00FE0FC1" w:rsidP="00FE0FC1">
      <w:pPr>
        <w:pStyle w:val="SingleTxtG"/>
        <w:rPr>
          <w:lang w:val="fr-FR"/>
        </w:rPr>
      </w:pPr>
      <w:r>
        <w:rPr>
          <w:lang w:val="fr-FR"/>
        </w:rPr>
        <w:tab/>
        <w:t>b)</w:t>
      </w:r>
      <w:r>
        <w:rPr>
          <w:lang w:val="fr-FR"/>
        </w:rPr>
        <w:tab/>
        <w:t>Les enfants de moins de 18 ans qui sont mariés</w:t>
      </w:r>
      <w:r>
        <w:rPr>
          <w:lang w:val="fr-FR"/>
        </w:rPr>
        <w:t> </w:t>
      </w:r>
      <w:r w:rsidR="00943EFC" w:rsidRPr="00943EFC">
        <w:rPr>
          <w:lang w:val="fr-FR"/>
        </w:rPr>
        <w:t>;</w:t>
      </w:r>
    </w:p>
    <w:p w14:paraId="7F08035D" w14:textId="77777777" w:rsidR="00FE0FC1" w:rsidRPr="002D4A4D" w:rsidRDefault="00FE0FC1" w:rsidP="00FE0FC1">
      <w:pPr>
        <w:pStyle w:val="SingleTxtG"/>
        <w:rPr>
          <w:lang w:val="fr-FR"/>
        </w:rPr>
      </w:pPr>
      <w:r>
        <w:rPr>
          <w:lang w:val="fr-FR"/>
        </w:rPr>
        <w:tab/>
        <w:t>c)</w:t>
      </w:r>
      <w:r>
        <w:rPr>
          <w:lang w:val="fr-FR"/>
        </w:rPr>
        <w:tab/>
        <w:t>Les cas de mutilations génitales féminines et d’autres pratiques préjudiciables</w:t>
      </w:r>
      <w:r>
        <w:rPr>
          <w:lang w:val="fr-FR"/>
        </w:rPr>
        <w:t> </w:t>
      </w:r>
      <w:r w:rsidR="00943EFC" w:rsidRPr="00943EFC">
        <w:rPr>
          <w:lang w:val="fr-FR"/>
        </w:rPr>
        <w:t>;</w:t>
      </w:r>
    </w:p>
    <w:p w14:paraId="717615F8" w14:textId="77777777" w:rsidR="00FE0FC1" w:rsidRPr="002D4A4D" w:rsidRDefault="00FE0FC1" w:rsidP="00943EFC">
      <w:pPr>
        <w:pStyle w:val="SingleTxtG"/>
        <w:keepNext/>
        <w:keepLines/>
        <w:rPr>
          <w:lang w:val="fr-FR"/>
        </w:rPr>
      </w:pPr>
      <w:r>
        <w:rPr>
          <w:lang w:val="fr-FR"/>
        </w:rPr>
        <w:lastRenderedPageBreak/>
        <w:tab/>
        <w:t>d)</w:t>
      </w:r>
      <w:r>
        <w:rPr>
          <w:lang w:val="fr-FR"/>
        </w:rPr>
        <w:tab/>
        <w:t>Les cas de maltraitance et de violence visant des enfants, y compris la violence domestique, les châtiments corporels et les abus sexuels, les enquêtes menées dans de telles affaires et l’issue des procès, notamment les peines prononcées contre les auteurs des faits et les réparations accordées aux victimes</w:t>
      </w:r>
      <w:r>
        <w:rPr>
          <w:lang w:val="fr-FR"/>
        </w:rPr>
        <w:t> </w:t>
      </w:r>
      <w:r w:rsidR="00943EFC" w:rsidRPr="00943EFC">
        <w:rPr>
          <w:lang w:val="fr-FR"/>
        </w:rPr>
        <w:t>;</w:t>
      </w:r>
    </w:p>
    <w:p w14:paraId="5A35CFCA" w14:textId="77777777" w:rsidR="00FE0FC1" w:rsidRPr="002D4A4D" w:rsidRDefault="00FE0FC1" w:rsidP="00FE0FC1">
      <w:pPr>
        <w:pStyle w:val="SingleTxtG"/>
        <w:rPr>
          <w:lang w:val="fr-FR"/>
        </w:rPr>
      </w:pPr>
      <w:r>
        <w:rPr>
          <w:lang w:val="fr-FR"/>
        </w:rPr>
        <w:tab/>
        <w:t>e)</w:t>
      </w:r>
      <w:r>
        <w:rPr>
          <w:lang w:val="fr-FR"/>
        </w:rPr>
        <w:tab/>
        <w:t>La couverture vaccinale</w:t>
      </w:r>
      <w:r>
        <w:rPr>
          <w:lang w:val="fr-FR"/>
        </w:rPr>
        <w:t> </w:t>
      </w:r>
      <w:r w:rsidR="00943EFC" w:rsidRPr="00943EFC">
        <w:rPr>
          <w:lang w:val="fr-FR"/>
        </w:rPr>
        <w:t>;</w:t>
      </w:r>
      <w:r>
        <w:rPr>
          <w:lang w:val="fr-FR"/>
        </w:rPr>
        <w:t xml:space="preserve"> </w:t>
      </w:r>
    </w:p>
    <w:p w14:paraId="5D716C98" w14:textId="77777777" w:rsidR="00FE0FC1" w:rsidRPr="002D4A4D" w:rsidRDefault="00FE0FC1" w:rsidP="00FE0FC1">
      <w:pPr>
        <w:pStyle w:val="SingleTxtG"/>
        <w:rPr>
          <w:lang w:val="fr-FR"/>
        </w:rPr>
      </w:pPr>
      <w:r>
        <w:rPr>
          <w:lang w:val="fr-FR"/>
        </w:rPr>
        <w:tab/>
        <w:t>f)</w:t>
      </w:r>
      <w:r>
        <w:rPr>
          <w:lang w:val="fr-FR"/>
        </w:rPr>
        <w:tab/>
        <w:t>Les taux de scolarisation et d’achèvement des études</w:t>
      </w:r>
      <w:r>
        <w:rPr>
          <w:lang w:val="fr-FR"/>
        </w:rPr>
        <w:t> </w:t>
      </w:r>
      <w:r w:rsidR="00943EFC" w:rsidRPr="00943EFC">
        <w:rPr>
          <w:lang w:val="fr-FR"/>
        </w:rPr>
        <w:t>;</w:t>
      </w:r>
      <w:r>
        <w:rPr>
          <w:lang w:val="fr-FR"/>
        </w:rPr>
        <w:t xml:space="preserve"> </w:t>
      </w:r>
    </w:p>
    <w:p w14:paraId="635FF8DB" w14:textId="77777777" w:rsidR="00FE0FC1" w:rsidRPr="002D4A4D" w:rsidRDefault="00FE0FC1" w:rsidP="00FE0FC1">
      <w:pPr>
        <w:pStyle w:val="SingleTxtG"/>
        <w:rPr>
          <w:lang w:val="fr-FR"/>
        </w:rPr>
      </w:pPr>
      <w:r>
        <w:rPr>
          <w:lang w:val="fr-FR"/>
        </w:rPr>
        <w:tab/>
        <w:t>g)</w:t>
      </w:r>
      <w:r>
        <w:rPr>
          <w:lang w:val="fr-FR"/>
        </w:rPr>
        <w:tab/>
        <w:t>Les enfants souffrant de malnutrition, de retards de croissance, d’obésité, de diabète de type 2 et de maladies respiratoires chroniques</w:t>
      </w:r>
      <w:r>
        <w:rPr>
          <w:lang w:val="fr-FR"/>
        </w:rPr>
        <w:t> </w:t>
      </w:r>
      <w:r w:rsidR="00943EFC" w:rsidRPr="00943EFC">
        <w:rPr>
          <w:lang w:val="fr-FR"/>
        </w:rPr>
        <w:t>;</w:t>
      </w:r>
    </w:p>
    <w:p w14:paraId="73DACA23" w14:textId="77777777" w:rsidR="00FE0FC1" w:rsidRPr="002D4A4D" w:rsidRDefault="00FE0FC1" w:rsidP="00FE0FC1">
      <w:pPr>
        <w:pStyle w:val="SingleTxtG"/>
        <w:rPr>
          <w:lang w:val="fr-FR"/>
        </w:rPr>
      </w:pPr>
      <w:r>
        <w:rPr>
          <w:lang w:val="fr-FR"/>
        </w:rPr>
        <w:tab/>
        <w:t>h)</w:t>
      </w:r>
      <w:r>
        <w:rPr>
          <w:lang w:val="fr-FR"/>
        </w:rPr>
        <w:tab/>
        <w:t>La consommation de drogues et d’autres substances psychoactives</w:t>
      </w:r>
      <w:r>
        <w:rPr>
          <w:lang w:val="fr-FR"/>
        </w:rPr>
        <w:t> </w:t>
      </w:r>
      <w:r w:rsidR="00943EFC" w:rsidRPr="00943EFC">
        <w:rPr>
          <w:lang w:val="fr-FR"/>
        </w:rPr>
        <w:t>;</w:t>
      </w:r>
    </w:p>
    <w:p w14:paraId="2B89A617" w14:textId="77777777" w:rsidR="00FE0FC1" w:rsidRPr="002D4A4D" w:rsidRDefault="00FE0FC1" w:rsidP="00FE0FC1">
      <w:pPr>
        <w:pStyle w:val="SingleTxtG"/>
        <w:rPr>
          <w:lang w:val="fr-FR"/>
        </w:rPr>
      </w:pPr>
      <w:r>
        <w:rPr>
          <w:lang w:val="fr-FR"/>
        </w:rPr>
        <w:tab/>
        <w:t>i)</w:t>
      </w:r>
      <w:r>
        <w:rPr>
          <w:lang w:val="fr-FR"/>
        </w:rPr>
        <w:tab/>
        <w:t>Les enfants touchés par la pollution liée à l’industrie pétrolière</w:t>
      </w:r>
      <w:r w:rsidR="00943EFC" w:rsidRPr="00943EFC">
        <w:rPr>
          <w:lang w:val="fr-FR"/>
        </w:rPr>
        <w:t>.</w:t>
      </w:r>
    </w:p>
    <w:p w14:paraId="5AB5801E" w14:textId="77777777" w:rsidR="00FE0FC1" w:rsidRPr="002D4A4D" w:rsidRDefault="00FE0FC1" w:rsidP="00FE0FC1">
      <w:pPr>
        <w:pStyle w:val="SingleTxtG"/>
        <w:rPr>
          <w:lang w:val="fr-FR"/>
        </w:rPr>
      </w:pPr>
      <w:r>
        <w:rPr>
          <w:lang w:val="fr-FR"/>
        </w:rPr>
        <w:t>18</w:t>
      </w:r>
      <w:r w:rsidR="00943EFC" w:rsidRPr="00943EFC">
        <w:rPr>
          <w:lang w:val="fr-FR"/>
        </w:rPr>
        <w:t>.</w:t>
      </w:r>
      <w:r>
        <w:rPr>
          <w:lang w:val="fr-FR"/>
        </w:rPr>
        <w:tab/>
        <w:t xml:space="preserve">Fournir, pour les trois dernières années, des données ventilées par âge, sexe, milieu </w:t>
      </w:r>
      <w:proofErr w:type="spellStart"/>
      <w:r>
        <w:rPr>
          <w:lang w:val="fr-FR"/>
        </w:rPr>
        <w:t>socioéconomique</w:t>
      </w:r>
      <w:proofErr w:type="spellEnd"/>
      <w:r>
        <w:rPr>
          <w:lang w:val="fr-FR"/>
        </w:rPr>
        <w:t>, origine ethnique et zone géographique concernant la situation des enfants privés de milieu familial, en indiquant le nombre d’enfants</w:t>
      </w:r>
      <w:r>
        <w:rPr>
          <w:lang w:val="fr-FR"/>
        </w:rPr>
        <w:t> :</w:t>
      </w:r>
    </w:p>
    <w:p w14:paraId="0000EED8" w14:textId="77777777" w:rsidR="00FE0FC1" w:rsidRPr="002D4A4D" w:rsidRDefault="00FE0FC1" w:rsidP="00FE0FC1">
      <w:pPr>
        <w:pStyle w:val="SingleTxtG"/>
        <w:rPr>
          <w:lang w:val="fr-FR"/>
        </w:rPr>
      </w:pPr>
      <w:r>
        <w:rPr>
          <w:lang w:val="fr-FR"/>
        </w:rPr>
        <w:tab/>
        <w:t>a)</w:t>
      </w:r>
      <w:r>
        <w:rPr>
          <w:lang w:val="fr-FR"/>
        </w:rPr>
        <w:tab/>
        <w:t>Séparés de leurs parents</w:t>
      </w:r>
      <w:r>
        <w:rPr>
          <w:lang w:val="fr-FR"/>
        </w:rPr>
        <w:t> </w:t>
      </w:r>
      <w:r w:rsidR="00943EFC" w:rsidRPr="00943EFC">
        <w:rPr>
          <w:lang w:val="fr-FR"/>
        </w:rPr>
        <w:t>;</w:t>
      </w:r>
    </w:p>
    <w:p w14:paraId="3ED7962E" w14:textId="77777777" w:rsidR="00FE0FC1" w:rsidRPr="002D4A4D" w:rsidRDefault="00FE0FC1" w:rsidP="00FE0FC1">
      <w:pPr>
        <w:pStyle w:val="SingleTxtG"/>
        <w:rPr>
          <w:lang w:val="fr-FR"/>
        </w:rPr>
      </w:pPr>
      <w:r>
        <w:rPr>
          <w:lang w:val="fr-FR"/>
        </w:rPr>
        <w:tab/>
        <w:t>b)</w:t>
      </w:r>
      <w:r>
        <w:rPr>
          <w:lang w:val="fr-FR"/>
        </w:rPr>
        <w:tab/>
        <w:t>Placés en institution (en ventilant les données selon la durée du placement)</w:t>
      </w:r>
      <w:r>
        <w:rPr>
          <w:lang w:val="fr-FR"/>
        </w:rPr>
        <w:t> </w:t>
      </w:r>
      <w:r w:rsidR="00943EFC" w:rsidRPr="00943EFC">
        <w:rPr>
          <w:lang w:val="fr-FR"/>
        </w:rPr>
        <w:t>;</w:t>
      </w:r>
    </w:p>
    <w:p w14:paraId="6FA94803" w14:textId="77777777" w:rsidR="00FE0FC1" w:rsidRPr="002D4A4D" w:rsidRDefault="00FE0FC1" w:rsidP="00FE0FC1">
      <w:pPr>
        <w:pStyle w:val="SingleTxtG"/>
        <w:rPr>
          <w:lang w:val="fr-FR"/>
        </w:rPr>
      </w:pPr>
      <w:r>
        <w:rPr>
          <w:lang w:val="fr-FR"/>
        </w:rPr>
        <w:tab/>
        <w:t>c)</w:t>
      </w:r>
      <w:r>
        <w:rPr>
          <w:lang w:val="fr-FR"/>
        </w:rPr>
        <w:tab/>
        <w:t>Placés en famille d’accueil</w:t>
      </w:r>
      <w:r w:rsidR="00943EFC" w:rsidRPr="00943EFC">
        <w:rPr>
          <w:lang w:val="fr-FR"/>
        </w:rPr>
        <w:t>.</w:t>
      </w:r>
    </w:p>
    <w:p w14:paraId="4C3C98E5" w14:textId="77777777" w:rsidR="00FE0FC1" w:rsidRPr="002D4A4D" w:rsidRDefault="00FE0FC1" w:rsidP="00FE0FC1">
      <w:pPr>
        <w:pStyle w:val="SingleTxtG"/>
        <w:rPr>
          <w:lang w:val="fr-FR"/>
        </w:rPr>
      </w:pPr>
      <w:r>
        <w:rPr>
          <w:lang w:val="fr-FR"/>
        </w:rPr>
        <w:t>19</w:t>
      </w:r>
      <w:r w:rsidR="00943EFC" w:rsidRPr="00943EFC">
        <w:rPr>
          <w:lang w:val="fr-FR"/>
        </w:rPr>
        <w:t>.</w:t>
      </w:r>
      <w:r>
        <w:rPr>
          <w:lang w:val="fr-FR"/>
        </w:rPr>
        <w:tab/>
        <w:t>Fournir, pour les trois dernières années, des données ventilées par âge, sexe, type de handicap, origine ethnique et zone géographique, concernant le nombre d’enfants handicapés</w:t>
      </w:r>
      <w:r>
        <w:rPr>
          <w:lang w:val="fr-FR"/>
        </w:rPr>
        <w:t> :</w:t>
      </w:r>
    </w:p>
    <w:p w14:paraId="4BC26222" w14:textId="77777777" w:rsidR="00FE0FC1" w:rsidRPr="002D4A4D" w:rsidRDefault="00FE0FC1" w:rsidP="00FE0FC1">
      <w:pPr>
        <w:pStyle w:val="SingleTxtG"/>
        <w:rPr>
          <w:lang w:val="fr-FR"/>
        </w:rPr>
      </w:pPr>
      <w:r>
        <w:rPr>
          <w:lang w:val="fr-FR"/>
        </w:rPr>
        <w:tab/>
        <w:t>a)</w:t>
      </w:r>
      <w:r>
        <w:rPr>
          <w:lang w:val="fr-FR"/>
        </w:rPr>
        <w:tab/>
        <w:t>Vivant dans leur famille</w:t>
      </w:r>
      <w:r>
        <w:rPr>
          <w:lang w:val="fr-FR"/>
        </w:rPr>
        <w:t> </w:t>
      </w:r>
      <w:r w:rsidR="00943EFC" w:rsidRPr="00943EFC">
        <w:rPr>
          <w:lang w:val="fr-FR"/>
        </w:rPr>
        <w:t>;</w:t>
      </w:r>
    </w:p>
    <w:p w14:paraId="7B3B7D20" w14:textId="77777777" w:rsidR="00FE0FC1" w:rsidRPr="002D4A4D" w:rsidRDefault="00FE0FC1" w:rsidP="00FE0FC1">
      <w:pPr>
        <w:pStyle w:val="SingleTxtG"/>
        <w:rPr>
          <w:lang w:val="fr-FR"/>
        </w:rPr>
      </w:pPr>
      <w:r>
        <w:rPr>
          <w:lang w:val="fr-FR"/>
        </w:rPr>
        <w:tab/>
        <w:t>b)</w:t>
      </w:r>
      <w:r>
        <w:rPr>
          <w:lang w:val="fr-FR"/>
        </w:rPr>
        <w:tab/>
        <w:t>Vivant en institution</w:t>
      </w:r>
      <w:r>
        <w:rPr>
          <w:lang w:val="fr-FR"/>
        </w:rPr>
        <w:t> </w:t>
      </w:r>
      <w:r w:rsidR="00943EFC" w:rsidRPr="00943EFC">
        <w:rPr>
          <w:lang w:val="fr-FR"/>
        </w:rPr>
        <w:t>;</w:t>
      </w:r>
    </w:p>
    <w:p w14:paraId="343C3F78" w14:textId="77777777" w:rsidR="00FE0FC1" w:rsidRPr="002D4A4D" w:rsidRDefault="00FE0FC1" w:rsidP="00FE0FC1">
      <w:pPr>
        <w:pStyle w:val="SingleTxtG"/>
        <w:rPr>
          <w:lang w:val="fr-FR"/>
        </w:rPr>
      </w:pPr>
      <w:r>
        <w:rPr>
          <w:lang w:val="fr-FR"/>
        </w:rPr>
        <w:tab/>
        <w:t>c)</w:t>
      </w:r>
      <w:r>
        <w:rPr>
          <w:lang w:val="fr-FR"/>
        </w:rPr>
        <w:tab/>
        <w:t>Fréquentant une école primaire ou secondaire ordinaire</w:t>
      </w:r>
      <w:r>
        <w:rPr>
          <w:lang w:val="fr-FR"/>
        </w:rPr>
        <w:t> </w:t>
      </w:r>
      <w:r w:rsidR="00943EFC" w:rsidRPr="00943EFC">
        <w:rPr>
          <w:lang w:val="fr-FR"/>
        </w:rPr>
        <w:t>;</w:t>
      </w:r>
    </w:p>
    <w:p w14:paraId="065BA867" w14:textId="77777777" w:rsidR="00FE0FC1" w:rsidRPr="002D4A4D" w:rsidRDefault="00FE0FC1" w:rsidP="00FE0FC1">
      <w:pPr>
        <w:pStyle w:val="SingleTxtG"/>
        <w:rPr>
          <w:lang w:val="fr-FR"/>
        </w:rPr>
      </w:pPr>
      <w:r>
        <w:rPr>
          <w:lang w:val="fr-FR"/>
        </w:rPr>
        <w:tab/>
        <w:t>d)</w:t>
      </w:r>
      <w:r>
        <w:rPr>
          <w:lang w:val="fr-FR"/>
        </w:rPr>
        <w:tab/>
        <w:t>Fréquentant une école spécialisée</w:t>
      </w:r>
      <w:r>
        <w:rPr>
          <w:lang w:val="fr-FR"/>
        </w:rPr>
        <w:t> </w:t>
      </w:r>
      <w:r w:rsidR="00943EFC" w:rsidRPr="00943EFC">
        <w:rPr>
          <w:lang w:val="fr-FR"/>
        </w:rPr>
        <w:t>;</w:t>
      </w:r>
    </w:p>
    <w:p w14:paraId="055827AD" w14:textId="77777777" w:rsidR="00FE0FC1" w:rsidRPr="002D4A4D" w:rsidRDefault="00FE0FC1" w:rsidP="00FE0FC1">
      <w:pPr>
        <w:pStyle w:val="SingleTxtG"/>
        <w:rPr>
          <w:lang w:val="fr-FR"/>
        </w:rPr>
      </w:pPr>
      <w:r>
        <w:rPr>
          <w:lang w:val="fr-FR"/>
        </w:rPr>
        <w:tab/>
        <w:t>e)</w:t>
      </w:r>
      <w:r>
        <w:rPr>
          <w:lang w:val="fr-FR"/>
        </w:rPr>
        <w:tab/>
        <w:t>Non scolarisés</w:t>
      </w:r>
      <w:r>
        <w:rPr>
          <w:lang w:val="fr-FR"/>
        </w:rPr>
        <w:t> </w:t>
      </w:r>
      <w:r w:rsidR="00943EFC" w:rsidRPr="00943EFC">
        <w:rPr>
          <w:lang w:val="fr-FR"/>
        </w:rPr>
        <w:t>;</w:t>
      </w:r>
      <w:r>
        <w:rPr>
          <w:lang w:val="fr-FR"/>
        </w:rPr>
        <w:t xml:space="preserve"> </w:t>
      </w:r>
    </w:p>
    <w:p w14:paraId="21F6CA6D" w14:textId="77777777" w:rsidR="00FE0FC1" w:rsidRPr="002D4A4D" w:rsidRDefault="00FE0FC1" w:rsidP="00FE0FC1">
      <w:pPr>
        <w:pStyle w:val="SingleTxtG"/>
        <w:rPr>
          <w:lang w:val="fr-FR"/>
        </w:rPr>
      </w:pPr>
      <w:r>
        <w:rPr>
          <w:lang w:val="fr-FR"/>
        </w:rPr>
        <w:tab/>
        <w:t>f)</w:t>
      </w:r>
      <w:r>
        <w:rPr>
          <w:lang w:val="fr-FR"/>
        </w:rPr>
        <w:tab/>
        <w:t>Abandonnés par leur famille</w:t>
      </w:r>
      <w:r w:rsidR="00943EFC" w:rsidRPr="00943EFC">
        <w:rPr>
          <w:lang w:val="fr-FR"/>
        </w:rPr>
        <w:t>.</w:t>
      </w:r>
    </w:p>
    <w:p w14:paraId="13C08261" w14:textId="77777777" w:rsidR="00FE0FC1" w:rsidRPr="002D4A4D" w:rsidRDefault="00FE0FC1" w:rsidP="00FE0FC1">
      <w:pPr>
        <w:pStyle w:val="SingleTxtG"/>
        <w:rPr>
          <w:lang w:val="fr-FR"/>
        </w:rPr>
      </w:pPr>
      <w:r>
        <w:rPr>
          <w:lang w:val="fr-FR"/>
        </w:rPr>
        <w:t>20</w:t>
      </w:r>
      <w:r w:rsidR="00943EFC" w:rsidRPr="00943EFC">
        <w:rPr>
          <w:lang w:val="fr-FR"/>
        </w:rPr>
        <w:t>.</w:t>
      </w:r>
      <w:r>
        <w:rPr>
          <w:lang w:val="fr-FR"/>
        </w:rPr>
        <w:tab/>
        <w:t xml:space="preserve">Fournir, si possible, pour les trois dernières années, des données statistiques à jour, ventilées par âge, sexe, type d’infraction, origine ethnique, origine nationale, zone géographique et situation </w:t>
      </w:r>
      <w:proofErr w:type="spellStart"/>
      <w:r>
        <w:rPr>
          <w:lang w:val="fr-FR"/>
        </w:rPr>
        <w:t>socioéconomique</w:t>
      </w:r>
      <w:proofErr w:type="spellEnd"/>
      <w:r>
        <w:rPr>
          <w:lang w:val="fr-FR"/>
        </w:rPr>
        <w:t xml:space="preserve"> concernant les enfants en conflit avec la loi qui</w:t>
      </w:r>
      <w:r>
        <w:rPr>
          <w:lang w:val="fr-FR"/>
        </w:rPr>
        <w:t> :</w:t>
      </w:r>
    </w:p>
    <w:p w14:paraId="5B56815A" w14:textId="77777777" w:rsidR="00FE0FC1" w:rsidRPr="002D4A4D" w:rsidRDefault="00FE0FC1" w:rsidP="00FE0FC1">
      <w:pPr>
        <w:pStyle w:val="SingleTxtG"/>
        <w:rPr>
          <w:lang w:val="fr-FR"/>
        </w:rPr>
      </w:pPr>
      <w:r>
        <w:rPr>
          <w:lang w:val="fr-FR"/>
        </w:rPr>
        <w:tab/>
        <w:t>a)</w:t>
      </w:r>
      <w:r>
        <w:rPr>
          <w:lang w:val="fr-FR"/>
        </w:rPr>
        <w:tab/>
        <w:t>Ont été arrêtés</w:t>
      </w:r>
      <w:r>
        <w:rPr>
          <w:lang w:val="fr-FR"/>
        </w:rPr>
        <w:t> </w:t>
      </w:r>
      <w:r w:rsidR="00943EFC" w:rsidRPr="00943EFC">
        <w:rPr>
          <w:lang w:val="fr-FR"/>
        </w:rPr>
        <w:t>;</w:t>
      </w:r>
    </w:p>
    <w:p w14:paraId="20AD49CA" w14:textId="77777777" w:rsidR="00FE0FC1" w:rsidRPr="002D4A4D" w:rsidRDefault="00FE0FC1" w:rsidP="00FE0FC1">
      <w:pPr>
        <w:pStyle w:val="SingleTxtG"/>
        <w:rPr>
          <w:lang w:val="fr-FR"/>
        </w:rPr>
      </w:pPr>
      <w:r>
        <w:rPr>
          <w:lang w:val="fr-FR"/>
        </w:rPr>
        <w:tab/>
        <w:t>b)</w:t>
      </w:r>
      <w:r>
        <w:rPr>
          <w:lang w:val="fr-FR"/>
        </w:rPr>
        <w:tab/>
        <w:t>Ont bénéficié de programmes de déjudiciarisation</w:t>
      </w:r>
      <w:r>
        <w:rPr>
          <w:lang w:val="fr-FR"/>
        </w:rPr>
        <w:t> </w:t>
      </w:r>
      <w:r w:rsidR="00943EFC" w:rsidRPr="00943EFC">
        <w:rPr>
          <w:lang w:val="fr-FR"/>
        </w:rPr>
        <w:t>;</w:t>
      </w:r>
      <w:r>
        <w:rPr>
          <w:lang w:val="fr-FR"/>
        </w:rPr>
        <w:t xml:space="preserve"> </w:t>
      </w:r>
    </w:p>
    <w:p w14:paraId="32F49A08" w14:textId="77777777" w:rsidR="00FE0FC1" w:rsidRPr="002D4A4D" w:rsidRDefault="00FE0FC1" w:rsidP="00FE0FC1">
      <w:pPr>
        <w:pStyle w:val="SingleTxtG"/>
        <w:rPr>
          <w:lang w:val="fr-FR"/>
        </w:rPr>
      </w:pPr>
      <w:r>
        <w:rPr>
          <w:lang w:val="fr-FR"/>
        </w:rPr>
        <w:tab/>
        <w:t>c)</w:t>
      </w:r>
      <w:r>
        <w:rPr>
          <w:lang w:val="fr-FR"/>
        </w:rPr>
        <w:tab/>
        <w:t>Ont été placés en détention provisoire</w:t>
      </w:r>
      <w:r>
        <w:rPr>
          <w:lang w:val="fr-FR"/>
        </w:rPr>
        <w:t> </w:t>
      </w:r>
      <w:r w:rsidR="00943EFC" w:rsidRPr="00943EFC">
        <w:rPr>
          <w:lang w:val="fr-FR"/>
        </w:rPr>
        <w:t>;</w:t>
      </w:r>
    </w:p>
    <w:p w14:paraId="6CC601F7" w14:textId="77777777" w:rsidR="00FE0FC1" w:rsidRPr="002D4A4D" w:rsidRDefault="00FE0FC1" w:rsidP="00FE0FC1">
      <w:pPr>
        <w:pStyle w:val="SingleTxtG"/>
        <w:rPr>
          <w:lang w:val="fr-FR"/>
        </w:rPr>
      </w:pPr>
      <w:r>
        <w:rPr>
          <w:lang w:val="fr-FR"/>
        </w:rPr>
        <w:tab/>
        <w:t>d)</w:t>
      </w:r>
      <w:r>
        <w:rPr>
          <w:lang w:val="fr-FR"/>
        </w:rPr>
        <w:tab/>
        <w:t>Exécutent leur peine en détention (préciser la durée de la peine)</w:t>
      </w:r>
      <w:r w:rsidR="00943EFC" w:rsidRPr="00943EFC">
        <w:rPr>
          <w:lang w:val="fr-FR"/>
        </w:rPr>
        <w:t>.</w:t>
      </w:r>
    </w:p>
    <w:p w14:paraId="03465180" w14:textId="77777777" w:rsidR="00FE0FC1" w:rsidRPr="002D4A4D" w:rsidRDefault="00FE0FC1" w:rsidP="00FE0FC1">
      <w:pPr>
        <w:pStyle w:val="SingleTxtG"/>
        <w:rPr>
          <w:lang w:val="fr-FR"/>
        </w:rPr>
      </w:pPr>
      <w:r>
        <w:rPr>
          <w:lang w:val="fr-FR"/>
        </w:rPr>
        <w:t>21</w:t>
      </w:r>
      <w:r w:rsidR="00943EFC" w:rsidRPr="00943EFC">
        <w:rPr>
          <w:lang w:val="fr-FR"/>
        </w:rPr>
        <w:t>.</w:t>
      </w:r>
      <w:r>
        <w:rPr>
          <w:lang w:val="fr-FR"/>
        </w:rPr>
        <w:tab/>
        <w:t>D</w:t>
      </w:r>
      <w:r w:rsidRPr="00E21FB9">
        <w:rPr>
          <w:lang w:val="fr-FR"/>
        </w:rPr>
        <w:t>onner des informations sur la mesure dans laquelle une approche fondée sur les droits de l</w:t>
      </w:r>
      <w:r>
        <w:rPr>
          <w:lang w:val="fr-FR"/>
        </w:rPr>
        <w:t>’</w:t>
      </w:r>
      <w:r w:rsidRPr="00E21FB9">
        <w:rPr>
          <w:lang w:val="fr-FR"/>
        </w:rPr>
        <w:t>enfant est intégrée à la planification, à la mise en œuvre et au suivi des mesures visant à atteindre les objectifs de développement, notamment en ce qui concerne la participation des enfants et la collecte de données, et sur la manière dont ces mesures favorisent la réalisation des droits de l</w:t>
      </w:r>
      <w:r>
        <w:rPr>
          <w:lang w:val="fr-FR"/>
        </w:rPr>
        <w:t>’</w:t>
      </w:r>
      <w:r w:rsidRPr="00E21FB9">
        <w:rPr>
          <w:lang w:val="fr-FR"/>
        </w:rPr>
        <w:t>enfant consacrés par la Convention et les Protocoles facultatifs s</w:t>
      </w:r>
      <w:r>
        <w:rPr>
          <w:lang w:val="fr-FR"/>
        </w:rPr>
        <w:t>’</w:t>
      </w:r>
      <w:r w:rsidRPr="00E21FB9">
        <w:rPr>
          <w:lang w:val="fr-FR"/>
        </w:rPr>
        <w:t>y rapportant</w:t>
      </w:r>
      <w:r w:rsidR="00943EFC">
        <w:rPr>
          <w:lang w:val="fr-FR"/>
        </w:rPr>
        <w:t>.</w:t>
      </w:r>
      <w:bookmarkStart w:id="0" w:name="_GoBack"/>
      <w:bookmarkEnd w:id="0"/>
    </w:p>
    <w:p w14:paraId="3BB15D36" w14:textId="77777777" w:rsidR="00FE0FC1" w:rsidRPr="002D4A4D" w:rsidRDefault="00FE0FC1" w:rsidP="00FE0FC1">
      <w:pPr>
        <w:pStyle w:val="SingleTxtG"/>
        <w:rPr>
          <w:lang w:val="fr-FR"/>
        </w:rPr>
      </w:pPr>
      <w:r>
        <w:rPr>
          <w:lang w:val="fr-FR"/>
        </w:rPr>
        <w:t>22</w:t>
      </w:r>
      <w:r w:rsidR="00943EFC" w:rsidRPr="00943EFC">
        <w:rPr>
          <w:lang w:val="fr-FR"/>
        </w:rPr>
        <w:t>.</w:t>
      </w:r>
      <w:r>
        <w:rPr>
          <w:lang w:val="fr-FR"/>
        </w:rPr>
        <w:tab/>
        <w:t>Mettre à jour toutes les données figurant dans le rapport qui seraient obsolètes ou ne tiendraient pas compte de faits nouveaux</w:t>
      </w:r>
      <w:r w:rsidR="00943EFC" w:rsidRPr="00943EFC">
        <w:rPr>
          <w:lang w:val="fr-FR"/>
        </w:rPr>
        <w:t>.</w:t>
      </w:r>
    </w:p>
    <w:p w14:paraId="1E51C5ED" w14:textId="77777777" w:rsidR="007341B7" w:rsidRDefault="00FE0FC1" w:rsidP="00FE0FC1">
      <w:pPr>
        <w:pStyle w:val="SingleTxtG"/>
        <w:rPr>
          <w:lang w:val="fr-FR"/>
        </w:rPr>
      </w:pPr>
      <w:r>
        <w:rPr>
          <w:lang w:val="fr-FR"/>
        </w:rPr>
        <w:t>23</w:t>
      </w:r>
      <w:r w:rsidR="00943EFC" w:rsidRPr="00943EFC">
        <w:rPr>
          <w:lang w:val="fr-FR"/>
        </w:rPr>
        <w:t>.</w:t>
      </w:r>
      <w:r>
        <w:rPr>
          <w:lang w:val="fr-FR"/>
        </w:rPr>
        <w:tab/>
        <w:t>En outre, l’État partie voudra peut-être dresser la liste des domaines liés à l’enfance qu’il estime prioritaires au regard de la mise en œuvre de la Convention</w:t>
      </w:r>
      <w:r w:rsidR="00943EFC" w:rsidRPr="00943EFC">
        <w:rPr>
          <w:lang w:val="fr-FR"/>
        </w:rPr>
        <w:t>.</w:t>
      </w:r>
    </w:p>
    <w:p w14:paraId="4222CF64" w14:textId="77777777" w:rsidR="00FE0FC1" w:rsidRPr="00FE0FC1" w:rsidRDefault="00FE0FC1" w:rsidP="00FE0FC1">
      <w:pPr>
        <w:pStyle w:val="SingleTxtG"/>
        <w:spacing w:before="240" w:after="0"/>
        <w:jc w:val="center"/>
        <w:rPr>
          <w:u w:val="single"/>
        </w:rPr>
      </w:pPr>
      <w:r>
        <w:rPr>
          <w:u w:val="single"/>
        </w:rPr>
        <w:tab/>
      </w:r>
      <w:r>
        <w:rPr>
          <w:u w:val="single"/>
        </w:rPr>
        <w:tab/>
      </w:r>
      <w:r>
        <w:rPr>
          <w:u w:val="single"/>
        </w:rPr>
        <w:tab/>
      </w:r>
    </w:p>
    <w:sectPr w:rsidR="00FE0FC1" w:rsidRPr="00FE0FC1" w:rsidSect="00FE0F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34A0" w14:textId="77777777" w:rsidR="00F2750C" w:rsidRDefault="00F2750C" w:rsidP="00F95C08">
      <w:pPr>
        <w:spacing w:line="240" w:lineRule="auto"/>
      </w:pPr>
    </w:p>
  </w:endnote>
  <w:endnote w:type="continuationSeparator" w:id="0">
    <w:p w14:paraId="25A98FA1" w14:textId="77777777" w:rsidR="00F2750C" w:rsidRPr="00AC3823" w:rsidRDefault="00F2750C" w:rsidP="00AC3823">
      <w:pPr>
        <w:pStyle w:val="Pieddepage"/>
      </w:pPr>
    </w:p>
  </w:endnote>
  <w:endnote w:type="continuationNotice" w:id="1">
    <w:p w14:paraId="6292ACA4" w14:textId="77777777" w:rsidR="00F2750C" w:rsidRDefault="00F27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20F3" w14:textId="77777777" w:rsidR="00FE0FC1" w:rsidRPr="00FE0FC1" w:rsidRDefault="00FE0FC1" w:rsidP="00FE0FC1">
    <w:pPr>
      <w:pStyle w:val="Pieddepage"/>
      <w:tabs>
        <w:tab w:val="right" w:pos="9638"/>
      </w:tabs>
    </w:pPr>
    <w:r w:rsidRPr="00FE0FC1">
      <w:rPr>
        <w:b/>
        <w:sz w:val="18"/>
      </w:rPr>
      <w:fldChar w:fldCharType="begin"/>
    </w:r>
    <w:r w:rsidRPr="00FE0FC1">
      <w:rPr>
        <w:b/>
        <w:sz w:val="18"/>
      </w:rPr>
      <w:instrText xml:space="preserve"> PAGE  \* MERGEFORMAT </w:instrText>
    </w:r>
    <w:r w:rsidRPr="00FE0FC1">
      <w:rPr>
        <w:b/>
        <w:sz w:val="18"/>
      </w:rPr>
      <w:fldChar w:fldCharType="separate"/>
    </w:r>
    <w:r w:rsidRPr="00FE0FC1">
      <w:rPr>
        <w:b/>
        <w:noProof/>
        <w:sz w:val="18"/>
      </w:rPr>
      <w:t>2</w:t>
    </w:r>
    <w:r w:rsidRPr="00FE0FC1">
      <w:rPr>
        <w:b/>
        <w:sz w:val="18"/>
      </w:rPr>
      <w:fldChar w:fldCharType="end"/>
    </w:r>
    <w:r>
      <w:rPr>
        <w:b/>
        <w:sz w:val="18"/>
      </w:rPr>
      <w:tab/>
    </w:r>
    <w:r>
      <w:t>GE</w:t>
    </w:r>
    <w:r w:rsidR="00943EFC" w:rsidRPr="00943EFC">
      <w:t>.</w:t>
    </w:r>
    <w:r>
      <w:t>20-15442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10CC" w14:textId="77777777" w:rsidR="00FE0FC1" w:rsidRPr="00FE0FC1" w:rsidRDefault="00FE0FC1" w:rsidP="00FE0FC1">
    <w:pPr>
      <w:pStyle w:val="Pieddepage"/>
      <w:tabs>
        <w:tab w:val="right" w:pos="9638"/>
      </w:tabs>
      <w:rPr>
        <w:b/>
        <w:sz w:val="18"/>
      </w:rPr>
    </w:pPr>
    <w:r>
      <w:t>GE</w:t>
    </w:r>
    <w:r w:rsidR="00943EFC" w:rsidRPr="00943EFC">
      <w:t>.</w:t>
    </w:r>
    <w:r>
      <w:t>20-15442</w:t>
    </w:r>
    <w:r>
      <w:tab/>
    </w:r>
    <w:r w:rsidRPr="00FE0FC1">
      <w:rPr>
        <w:b/>
        <w:sz w:val="18"/>
      </w:rPr>
      <w:fldChar w:fldCharType="begin"/>
    </w:r>
    <w:r w:rsidRPr="00FE0FC1">
      <w:rPr>
        <w:b/>
        <w:sz w:val="18"/>
      </w:rPr>
      <w:instrText xml:space="preserve"> PAGE  \* MERGEFORMAT </w:instrText>
    </w:r>
    <w:r w:rsidRPr="00FE0FC1">
      <w:rPr>
        <w:b/>
        <w:sz w:val="18"/>
      </w:rPr>
      <w:fldChar w:fldCharType="separate"/>
    </w:r>
    <w:r w:rsidRPr="00FE0FC1">
      <w:rPr>
        <w:b/>
        <w:noProof/>
        <w:sz w:val="18"/>
      </w:rPr>
      <w:t>3</w:t>
    </w:r>
    <w:r w:rsidRPr="00FE0F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FAEB" w14:textId="77777777" w:rsidR="002D14A3" w:rsidRPr="00FE0FC1" w:rsidRDefault="00FE0FC1" w:rsidP="00FE0FC1">
    <w:pPr>
      <w:pStyle w:val="Pieddepage"/>
      <w:spacing w:before="120"/>
      <w:rPr>
        <w:sz w:val="20"/>
      </w:rPr>
    </w:pPr>
    <w:r>
      <w:rPr>
        <w:sz w:val="20"/>
      </w:rPr>
      <w:t>GE</w:t>
    </w:r>
    <w:r w:rsidR="00943EFC" w:rsidRPr="00943EFC">
      <w:rPr>
        <w:sz w:val="20"/>
      </w:rPr>
      <w:t>.</w:t>
    </w:r>
    <w:r w:rsidR="002D14A3">
      <w:rPr>
        <w:noProof/>
        <w:lang w:eastAsia="fr-CH"/>
      </w:rPr>
      <w:drawing>
        <wp:anchor distT="0" distB="0" distL="114300" distR="114300" simplePos="0" relativeHeight="251660288" behindDoc="0" locked="0" layoutInCell="1" allowOverlap="0" wp14:anchorId="77B3F754" wp14:editId="350930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20-15442  (F)    231120    231020</w:t>
    </w:r>
    <w:r>
      <w:rPr>
        <w:sz w:val="20"/>
      </w:rPr>
      <w:br/>
    </w:r>
    <w:r w:rsidRPr="00FE0FC1">
      <w:rPr>
        <w:rFonts w:ascii="C39T30Lfz" w:hAnsi="C39T30Lfz"/>
        <w:sz w:val="56"/>
      </w:rPr>
      <w:t>*2015442*</w:t>
    </w:r>
    <w:r>
      <w:rPr>
        <w:noProof/>
        <w:sz w:val="20"/>
      </w:rPr>
      <w:drawing>
        <wp:anchor distT="0" distB="0" distL="114300" distR="114300" simplePos="0" relativeHeight="251658240" behindDoc="0" locked="0" layoutInCell="1" allowOverlap="1" wp14:anchorId="5391CF57" wp14:editId="3C95502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927" w14:textId="77777777" w:rsidR="00F2750C" w:rsidRPr="00AC3823" w:rsidRDefault="00F2750C" w:rsidP="00AC3823">
      <w:pPr>
        <w:pStyle w:val="Pieddepage"/>
        <w:tabs>
          <w:tab w:val="right" w:pos="2155"/>
        </w:tabs>
        <w:spacing w:after="80" w:line="240" w:lineRule="atLeast"/>
        <w:ind w:left="680"/>
        <w:rPr>
          <w:u w:val="single"/>
        </w:rPr>
      </w:pPr>
      <w:r>
        <w:rPr>
          <w:u w:val="single"/>
        </w:rPr>
        <w:tab/>
      </w:r>
    </w:p>
  </w:footnote>
  <w:footnote w:type="continuationSeparator" w:id="0">
    <w:p w14:paraId="048DBC28" w14:textId="77777777" w:rsidR="00F2750C" w:rsidRPr="00AC3823" w:rsidRDefault="00F2750C" w:rsidP="00AC3823">
      <w:pPr>
        <w:pStyle w:val="Pieddepage"/>
        <w:tabs>
          <w:tab w:val="right" w:pos="2155"/>
        </w:tabs>
        <w:spacing w:after="80" w:line="240" w:lineRule="atLeast"/>
        <w:ind w:left="680"/>
        <w:rPr>
          <w:u w:val="single"/>
        </w:rPr>
      </w:pPr>
      <w:r>
        <w:rPr>
          <w:u w:val="single"/>
        </w:rPr>
        <w:tab/>
      </w:r>
    </w:p>
  </w:footnote>
  <w:footnote w:type="continuationNotice" w:id="1">
    <w:p w14:paraId="2FDA411C" w14:textId="77777777" w:rsidR="00F2750C" w:rsidRPr="00AC3823" w:rsidRDefault="00F2750C">
      <w:pPr>
        <w:spacing w:line="240" w:lineRule="auto"/>
        <w:rPr>
          <w:sz w:val="2"/>
          <w:szCs w:val="2"/>
        </w:rPr>
      </w:pPr>
    </w:p>
  </w:footnote>
  <w:footnote w:id="2">
    <w:p w14:paraId="0082D9B6" w14:textId="77777777" w:rsidR="00FE0FC1" w:rsidRPr="002D4A4D" w:rsidRDefault="00FE0FC1" w:rsidP="00FE0FC1">
      <w:pPr>
        <w:pStyle w:val="Notedebasdepage"/>
        <w:rPr>
          <w:lang w:val="fr-FR"/>
        </w:rPr>
      </w:pPr>
      <w:r>
        <w:rPr>
          <w:lang w:val="fr-FR"/>
        </w:rPr>
        <w:tab/>
      </w:r>
      <w:r w:rsidRPr="00FE0FC1">
        <w:rPr>
          <w:sz w:val="20"/>
          <w:lang w:val="fr-FR"/>
        </w:rPr>
        <w:t>*</w:t>
      </w:r>
      <w:r>
        <w:rPr>
          <w:lang w:val="fr-FR"/>
        </w:rPr>
        <w:tab/>
        <w:t>Adoptée par le Groupe de travail de présession le 8 octobre 2020</w:t>
      </w:r>
      <w:r w:rsidR="00943EFC" w:rsidRPr="00943EF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F9DB" w14:textId="6F5DD5A3" w:rsidR="00FE0FC1" w:rsidRPr="00FE0FC1" w:rsidRDefault="00FE0FC1">
    <w:pPr>
      <w:pStyle w:val="En-tte"/>
    </w:pPr>
    <w:fldSimple w:instr=" TITLE  \* MERGEFORMAT ">
      <w:r w:rsidR="008F2F43">
        <w:t>CRC/C/KWT/Q/3-6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2B9C" w14:textId="24DF9281" w:rsidR="00FE0FC1" w:rsidRPr="00FE0FC1" w:rsidRDefault="00FE0FC1" w:rsidP="00FE0FC1">
    <w:pPr>
      <w:pStyle w:val="En-tte"/>
      <w:jc w:val="right"/>
    </w:pPr>
    <w:fldSimple w:instr=" TITLE  \* MERGEFORMAT ">
      <w:r w:rsidR="008F2F43">
        <w:t>CRC/C/KWT/Q/3-6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750C"/>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40ED0"/>
    <w:rsid w:val="00446FE5"/>
    <w:rsid w:val="00452396"/>
    <w:rsid w:val="00485B35"/>
    <w:rsid w:val="004D7A2C"/>
    <w:rsid w:val="005505B7"/>
    <w:rsid w:val="00573BE5"/>
    <w:rsid w:val="00586ED3"/>
    <w:rsid w:val="00596AA9"/>
    <w:rsid w:val="0071601D"/>
    <w:rsid w:val="007341B7"/>
    <w:rsid w:val="00760CBC"/>
    <w:rsid w:val="007A62E6"/>
    <w:rsid w:val="007C2127"/>
    <w:rsid w:val="0080684C"/>
    <w:rsid w:val="00840413"/>
    <w:rsid w:val="00871C75"/>
    <w:rsid w:val="008776DC"/>
    <w:rsid w:val="008C54BD"/>
    <w:rsid w:val="008F2F43"/>
    <w:rsid w:val="008F3CA0"/>
    <w:rsid w:val="00943EFC"/>
    <w:rsid w:val="009705C8"/>
    <w:rsid w:val="00A30353"/>
    <w:rsid w:val="00AC3823"/>
    <w:rsid w:val="00AE323C"/>
    <w:rsid w:val="00B00181"/>
    <w:rsid w:val="00B24A9B"/>
    <w:rsid w:val="00B765F7"/>
    <w:rsid w:val="00BA0CA9"/>
    <w:rsid w:val="00C02897"/>
    <w:rsid w:val="00D3439C"/>
    <w:rsid w:val="00DB1831"/>
    <w:rsid w:val="00DD3BFD"/>
    <w:rsid w:val="00DF6678"/>
    <w:rsid w:val="00F2750C"/>
    <w:rsid w:val="00F660DF"/>
    <w:rsid w:val="00F95C08"/>
    <w:rsid w:val="00FE0F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B1156C"/>
  <w15:docId w15:val="{FC429ADE-5DB5-4D11-B6C6-4AF135F5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5</Pages>
  <Words>2085</Words>
  <Characters>11864</Characters>
  <Application>Microsoft Office Word</Application>
  <DocSecurity>0</DocSecurity>
  <Lines>1318</Lines>
  <Paragraphs>557</Paragraphs>
  <ScaleCrop>false</ScaleCrop>
  <HeadingPairs>
    <vt:vector size="2" baseType="variant">
      <vt:variant>
        <vt:lpstr>Titre</vt:lpstr>
      </vt:variant>
      <vt:variant>
        <vt:i4>1</vt:i4>
      </vt:variant>
    </vt:vector>
  </HeadingPairs>
  <TitlesOfParts>
    <vt:vector size="1" baseType="lpstr">
      <vt:lpstr>CRC/C/KWT/Q/3-6</vt:lpstr>
    </vt:vector>
  </TitlesOfParts>
  <Company>DCM</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CRC/C/KWT/Q/3-6</dc:title>
  <dc:subject/>
  <dc:creator>Maud DARICHE</dc:creator>
  <cp:keywords/>
  <cp:lastModifiedBy>Maud Dariche</cp:lastModifiedBy>
  <cp:revision>3</cp:revision>
  <cp:lastPrinted>2020-11-23T09:57:00Z</cp:lastPrinted>
  <dcterms:created xsi:type="dcterms:W3CDTF">2020-11-23T09:57:00Z</dcterms:created>
  <dcterms:modified xsi:type="dcterms:W3CDTF">2020-11-23T09:59:00Z</dcterms:modified>
</cp:coreProperties>
</file>