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5104"/>
        <w:gridCol w:w="3261"/>
      </w:tblGrid>
      <w:tr w:rsidR="006B3E27" w:rsidRPr="00DB7679" w14:paraId="2380D812" w14:textId="77777777" w:rsidTr="006E444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14:paraId="5C1749B1" w14:textId="77777777" w:rsidR="006B3E27" w:rsidRPr="00983870" w:rsidRDefault="006B3E27" w:rsidP="006E444F">
            <w:pPr>
              <w:bidi w:val="0"/>
              <w:jc w:val="right"/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14:paraId="0472F029" w14:textId="13E00579" w:rsidR="006B3E27" w:rsidRPr="00DB7679" w:rsidRDefault="006B3E27" w:rsidP="006E444F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</w:t>
            </w:r>
            <w:r w:rsidR="00952628">
              <w:rPr>
                <w:rFonts w:hint="cs"/>
                <w:szCs w:val="40"/>
                <w:rtl/>
              </w:rPr>
              <w:t xml:space="preserve"> </w:t>
            </w:r>
            <w:r w:rsidRPr="00DB7679">
              <w:rPr>
                <w:rFonts w:hint="cs"/>
                <w:szCs w:val="40"/>
                <w:rtl/>
              </w:rPr>
              <w:t>المتحدة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873F4BD" w14:textId="77777777" w:rsidR="006B3E27" w:rsidRPr="00243C8A" w:rsidRDefault="0017104F" w:rsidP="00952628">
            <w:pPr>
              <w:bidi w:val="0"/>
              <w:spacing w:after="20"/>
              <w:jc w:val="left"/>
              <w:rPr>
                <w:szCs w:val="20"/>
              </w:rPr>
            </w:pPr>
            <w:r w:rsidRPr="0017104F">
              <w:rPr>
                <w:sz w:val="40"/>
                <w:szCs w:val="20"/>
              </w:rPr>
              <w:t>CRC</w:t>
            </w:r>
            <w:r>
              <w:rPr>
                <w:szCs w:val="20"/>
              </w:rPr>
              <w:t>/C/KWT/Q/</w:t>
            </w:r>
            <w:r w:rsidRPr="00952628">
              <w:rPr>
                <w:szCs w:val="20"/>
              </w:rPr>
              <w:t>3</w:t>
            </w:r>
            <w:r>
              <w:rPr>
                <w:szCs w:val="20"/>
              </w:rPr>
              <w:t>-</w:t>
            </w:r>
            <w:r w:rsidRPr="00952628">
              <w:rPr>
                <w:szCs w:val="20"/>
              </w:rPr>
              <w:t>6</w:t>
            </w:r>
          </w:p>
        </w:tc>
      </w:tr>
      <w:tr w:rsidR="006B3E27" w:rsidRPr="00DB7679" w14:paraId="61080123" w14:textId="77777777" w:rsidTr="006E444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14:paraId="20EDE31D" w14:textId="77777777" w:rsidR="006B3E27" w:rsidRPr="00DB7679" w:rsidRDefault="0059622A" w:rsidP="006E444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B07CF30" wp14:editId="75A46CF4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tcBorders>
              <w:top w:val="single" w:sz="4" w:space="0" w:color="auto"/>
              <w:bottom w:val="single" w:sz="12" w:space="0" w:color="auto"/>
            </w:tcBorders>
          </w:tcPr>
          <w:p w14:paraId="612E8854" w14:textId="4ED49770" w:rsidR="006B3E27" w:rsidRPr="00A65558" w:rsidRDefault="001E1CAD" w:rsidP="006E444F">
            <w:pPr>
              <w:spacing w:before="240" w:after="40" w:line="640" w:lineRule="exact"/>
              <w:jc w:val="left"/>
              <w:rPr>
                <w:b/>
                <w:bCs/>
                <w:sz w:val="60"/>
                <w:szCs w:val="60"/>
                <w:rtl/>
              </w:rPr>
            </w:pPr>
            <w:r w:rsidRPr="00A65558">
              <w:rPr>
                <w:rFonts w:hint="cs"/>
                <w:b/>
                <w:bCs/>
                <w:sz w:val="60"/>
                <w:szCs w:val="60"/>
                <w:rtl/>
              </w:rPr>
              <w:t>ا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تفاقي</w:t>
            </w:r>
            <w:r w:rsidR="00523BAE" w:rsidRPr="00A65558">
              <w:rPr>
                <w:rFonts w:hint="cs"/>
                <w:b/>
                <w:bCs/>
                <w:sz w:val="60"/>
                <w:szCs w:val="60"/>
                <w:rtl/>
              </w:rPr>
              <w:t>ـ</w:t>
            </w:r>
            <w:r w:rsidR="004A14A6" w:rsidRPr="00A65558">
              <w:rPr>
                <w:rFonts w:hint="cs"/>
                <w:b/>
                <w:bCs/>
                <w:sz w:val="60"/>
                <w:szCs w:val="60"/>
                <w:rtl/>
              </w:rPr>
              <w:t>ة</w:t>
            </w:r>
            <w:r w:rsidR="00952628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45649E" w:rsidRPr="00A65558">
              <w:rPr>
                <w:rFonts w:hint="cs"/>
                <w:b/>
                <w:bCs/>
                <w:sz w:val="60"/>
                <w:szCs w:val="60"/>
                <w:rtl/>
              </w:rPr>
              <w:t>حقوق</w:t>
            </w:r>
            <w:r w:rsidR="00952628">
              <w:rPr>
                <w:rFonts w:hint="cs"/>
                <w:b/>
                <w:bCs/>
                <w:sz w:val="60"/>
                <w:szCs w:val="60"/>
                <w:rtl/>
              </w:rPr>
              <w:t xml:space="preserve"> </w:t>
            </w:r>
            <w:r w:rsidR="00A65558" w:rsidRPr="00A65558">
              <w:rPr>
                <w:rFonts w:hint="cs"/>
                <w:b/>
                <w:bCs/>
                <w:sz w:val="60"/>
                <w:szCs w:val="60"/>
                <w:rtl/>
              </w:rPr>
              <w:t>الطفل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</w:tcPr>
          <w:p w14:paraId="5130F294" w14:textId="5AC6E7B1" w:rsidR="006B3E27" w:rsidRDefault="00952628" w:rsidP="00952628">
            <w:pPr>
              <w:bidi w:val="0"/>
              <w:spacing w:before="240"/>
              <w:jc w:val="left"/>
            </w:pPr>
            <w:r>
              <w:t>Distr.: General</w:t>
            </w:r>
          </w:p>
          <w:p w14:paraId="5DD6FF77" w14:textId="0AD4FAFE" w:rsidR="00952628" w:rsidRDefault="00952628" w:rsidP="00952628">
            <w:pPr>
              <w:bidi w:val="0"/>
              <w:jc w:val="left"/>
            </w:pPr>
            <w:r w:rsidRPr="00952628">
              <w:rPr>
                <w:szCs w:val="20"/>
              </w:rPr>
              <w:t>17</w:t>
            </w:r>
            <w:r>
              <w:t xml:space="preserve"> November </w:t>
            </w:r>
            <w:r w:rsidRPr="00952628">
              <w:rPr>
                <w:szCs w:val="20"/>
              </w:rPr>
              <w:t>2020</w:t>
            </w:r>
          </w:p>
          <w:p w14:paraId="1C13610F" w14:textId="77777777" w:rsidR="00952628" w:rsidRDefault="00952628" w:rsidP="00952628">
            <w:pPr>
              <w:bidi w:val="0"/>
              <w:jc w:val="left"/>
            </w:pPr>
            <w:r>
              <w:t>Arabic</w:t>
            </w:r>
          </w:p>
          <w:p w14:paraId="49CEF02A" w14:textId="4B9E3E2B" w:rsidR="00952628" w:rsidRDefault="00952628" w:rsidP="00952628">
            <w:pPr>
              <w:bidi w:val="0"/>
              <w:jc w:val="left"/>
            </w:pPr>
            <w:r>
              <w:t>Original: English</w:t>
            </w:r>
          </w:p>
          <w:p w14:paraId="2E7F3459" w14:textId="0AD70374" w:rsidR="00952628" w:rsidRPr="008B4BC6" w:rsidRDefault="00952628" w:rsidP="00952628">
            <w:pPr>
              <w:bidi w:val="0"/>
              <w:jc w:val="left"/>
            </w:pPr>
            <w:r w:rsidRPr="003149A3">
              <w:t>Arabic,</w:t>
            </w:r>
            <w:r>
              <w:t xml:space="preserve"> </w:t>
            </w:r>
            <w:r w:rsidRPr="003149A3">
              <w:t>English,</w:t>
            </w:r>
            <w:r>
              <w:t xml:space="preserve"> </w:t>
            </w:r>
            <w:r w:rsidRPr="003149A3">
              <w:t>French</w:t>
            </w:r>
            <w:r>
              <w:t xml:space="preserve"> </w:t>
            </w:r>
            <w:r w:rsidRPr="003149A3">
              <w:t>and</w:t>
            </w:r>
            <w:r>
              <w:t xml:space="preserve"> </w:t>
            </w:r>
            <w:r>
              <w:br/>
            </w:r>
            <w:r w:rsidRPr="003149A3">
              <w:t>Spanish</w:t>
            </w:r>
            <w:r>
              <w:t xml:space="preserve"> </w:t>
            </w:r>
            <w:r w:rsidRPr="003149A3">
              <w:t>only</w:t>
            </w:r>
          </w:p>
        </w:tc>
      </w:tr>
    </w:tbl>
    <w:p w14:paraId="6A582A5F" w14:textId="1AC2C6BF" w:rsidR="00952628" w:rsidRPr="00952628" w:rsidRDefault="00952628" w:rsidP="00952628">
      <w:pPr>
        <w:pStyle w:val="SingleTxtGA"/>
        <w:spacing w:before="120" w:after="0" w:line="360" w:lineRule="exact"/>
        <w:ind w:left="0" w:right="1253"/>
        <w:rPr>
          <w:b/>
          <w:bCs/>
          <w:sz w:val="26"/>
          <w:szCs w:val="36"/>
          <w:lang w:val="en-GB"/>
        </w:rPr>
      </w:pPr>
      <w:r w:rsidRPr="00952628">
        <w:rPr>
          <w:b/>
          <w:bCs/>
          <w:sz w:val="26"/>
          <w:szCs w:val="36"/>
          <w:rtl/>
          <w:lang w:val="en-GB"/>
        </w:rPr>
        <w:t>لجنة</w:t>
      </w:r>
      <w:r>
        <w:rPr>
          <w:b/>
          <w:bCs/>
          <w:sz w:val="26"/>
          <w:szCs w:val="36"/>
          <w:rtl/>
          <w:lang w:val="en-GB"/>
        </w:rPr>
        <w:t xml:space="preserve"> </w:t>
      </w:r>
      <w:r w:rsidRPr="00952628">
        <w:rPr>
          <w:b/>
          <w:bCs/>
          <w:sz w:val="26"/>
          <w:szCs w:val="36"/>
          <w:rtl/>
          <w:lang w:val="en-GB"/>
        </w:rPr>
        <w:t>حقوق</w:t>
      </w:r>
      <w:r>
        <w:rPr>
          <w:b/>
          <w:bCs/>
          <w:sz w:val="26"/>
          <w:szCs w:val="36"/>
          <w:rtl/>
          <w:lang w:val="en-GB"/>
        </w:rPr>
        <w:t xml:space="preserve"> </w:t>
      </w:r>
      <w:r w:rsidRPr="00952628">
        <w:rPr>
          <w:b/>
          <w:bCs/>
          <w:sz w:val="26"/>
          <w:szCs w:val="36"/>
          <w:rtl/>
          <w:lang w:val="en-GB"/>
        </w:rPr>
        <w:t>الطفل‏</w:t>
      </w:r>
    </w:p>
    <w:p w14:paraId="470F59CD" w14:textId="316719DF" w:rsidR="00952628" w:rsidRPr="00952628" w:rsidRDefault="00952628" w:rsidP="00952628">
      <w:pPr>
        <w:pStyle w:val="HChGA"/>
        <w:rPr>
          <w:lang w:val="en-GB"/>
        </w:rPr>
      </w:pPr>
      <w:r w:rsidRPr="00952628">
        <w:rPr>
          <w:rtl/>
          <w:lang w:val="en-GB"/>
        </w:rPr>
        <w:tab/>
      </w:r>
      <w:r w:rsidRPr="00952628">
        <w:rPr>
          <w:rtl/>
          <w:lang w:val="en-GB"/>
        </w:rPr>
        <w:tab/>
        <w:t>قائمة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المسائل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المتصلة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بالتقرير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الجامع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للتقارير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الدورية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الثالث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السادس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للكويت</w:t>
      </w:r>
      <w:r w:rsidRPr="00952628">
        <w:rPr>
          <w:rStyle w:val="FootnoteReference"/>
          <w:b/>
          <w:bCs w:val="0"/>
          <w:sz w:val="30"/>
          <w:szCs w:val="38"/>
          <w:vertAlign w:val="baseline"/>
          <w:rtl/>
          <w:lang w:val="en-GB"/>
        </w:rPr>
        <w:footnoteReference w:customMarkFollows="1" w:id="1"/>
        <w:t>*</w:t>
      </w:r>
    </w:p>
    <w:p w14:paraId="32F4DC26" w14:textId="56AE64DC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يُطلب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الدولة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الطرف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كتابةً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معلومات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إضافية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محدثة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(</w:t>
      </w:r>
      <w:r w:rsidR="00BD2609">
        <w:rPr>
          <w:rFonts w:hint="cs"/>
          <w:szCs w:val="20"/>
          <w:rtl/>
          <w:lang w:val="en-GB"/>
        </w:rPr>
        <w:t>700 10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كلمة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كحد</w:t>
      </w:r>
      <w:r>
        <w:rPr>
          <w:rFonts w:hint="cs"/>
          <w:rtl/>
          <w:lang w:val="en-GB"/>
        </w:rPr>
        <w:t> </w:t>
      </w:r>
      <w:r w:rsidRPr="00952628">
        <w:rPr>
          <w:rtl/>
          <w:lang w:val="en-GB"/>
        </w:rPr>
        <w:t>أقصى)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قبل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15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حزيران/يونيه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2021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أمكن.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وقد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تتناول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اللجنة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حوارها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الدولة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الطرف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جوانب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المنصوص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عليها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الاتفاقية.</w:t>
      </w:r>
    </w:p>
    <w:p w14:paraId="76AE7877" w14:textId="57EA455A" w:rsidR="00952628" w:rsidRPr="00952628" w:rsidRDefault="00952628" w:rsidP="00952628">
      <w:pPr>
        <w:pStyle w:val="HChGA"/>
        <w:rPr>
          <w:lang w:val="en-GB"/>
        </w:rPr>
      </w:pPr>
      <w:r w:rsidRPr="00952628">
        <w:rPr>
          <w:rtl/>
          <w:lang w:val="en-GB"/>
        </w:rPr>
        <w:tab/>
      </w:r>
      <w:r w:rsidRPr="00952628">
        <w:rPr>
          <w:rtl/>
          <w:lang w:val="en-GB"/>
        </w:rPr>
        <w:tab/>
        <w:t>الجزء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الأول</w:t>
      </w:r>
    </w:p>
    <w:p w14:paraId="1E506531" w14:textId="7FC33CA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توضيح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0D46DB4D" w14:textId="0537F7F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مواصلة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مراجعة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القوانين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القائمة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بعد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اعتماد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رقم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21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لسنة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2015</w:t>
      </w:r>
      <w:r w:rsidRPr="00952628">
        <w:rPr>
          <w:rtl/>
          <w:lang w:val="en-GB"/>
        </w:rPr>
        <w:t>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لجعلها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متوافقة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والبروتوكولات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الاختيارية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الملحقة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بها؛</w:t>
      </w:r>
    </w:p>
    <w:p w14:paraId="7257CBEC" w14:textId="74E432AB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وضع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سياسة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شاملة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مجال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لتنفيذ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والبروتوكولات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الاختيارية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الملحقة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بها؛</w:t>
      </w:r>
    </w:p>
    <w:p w14:paraId="2D370A5B" w14:textId="42FEB0C3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</w:r>
      <w:r w:rsidRPr="00952628">
        <w:rPr>
          <w:spacing w:val="-3"/>
          <w:rtl/>
          <w:lang w:val="en-GB"/>
        </w:rPr>
        <w:t>(ج)</w:t>
      </w:r>
      <w:r w:rsidRPr="00952628">
        <w:rPr>
          <w:spacing w:val="-3"/>
          <w:rtl/>
          <w:lang w:val="en-GB"/>
        </w:rPr>
        <w:tab/>
        <w:t xml:space="preserve">قيام المجلس الأعلى لشؤون الأسرة بوضع استراتيجية ملموسة للطفولة، تحدد دور </w:t>
      </w:r>
      <w:r w:rsidRPr="00952628">
        <w:rPr>
          <w:rtl/>
          <w:lang w:val="en-GB"/>
        </w:rPr>
        <w:t>المجلس الأعلى في تنسيق الأنشطة المتعلقة بتنفيذ الاتفاقية والبروتوكولات الاختيارية الملحقة بها.</w:t>
      </w:r>
    </w:p>
    <w:p w14:paraId="33951502" w14:textId="5F7E21E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2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وصف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7953C04B" w14:textId="3A3B7F1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حماية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سياق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جائحة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فيروس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كورونا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(كوفيد-</w:t>
      </w:r>
      <w:r w:rsidRPr="00952628">
        <w:rPr>
          <w:szCs w:val="20"/>
          <w:rtl/>
          <w:lang w:val="en-GB"/>
        </w:rPr>
        <w:t>19</w:t>
      </w:r>
      <w:r w:rsidRPr="00952628">
        <w:rPr>
          <w:rtl/>
          <w:lang w:val="en-GB"/>
        </w:rPr>
        <w:t>)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والتخفيف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الآثار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الوخيمة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للجائحة؛</w:t>
      </w:r>
    </w:p>
    <w:p w14:paraId="1D0503E5" w14:textId="516C6CF6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رفع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كفاءة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مخصصات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الميزانية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الكويتيين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البدون؛</w:t>
      </w:r>
    </w:p>
    <w:p w14:paraId="64732B66" w14:textId="00DEB764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تحسين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إمكانية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الحصول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الدولة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الطرف،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تغطي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مجالات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وتحسين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نوعيتها؛</w:t>
      </w:r>
    </w:p>
    <w:p w14:paraId="3154E5A3" w14:textId="11BDB43E" w:rsidR="00952628" w:rsidRPr="00952628" w:rsidRDefault="00952628" w:rsidP="00952628">
      <w:pPr>
        <w:pStyle w:val="SingleTxtGA"/>
        <w:rPr>
          <w:spacing w:val="-4"/>
          <w:lang w:val="en-GB"/>
        </w:rPr>
      </w:pPr>
      <w:r w:rsidRPr="00952628">
        <w:rPr>
          <w:rtl/>
          <w:lang w:val="en-GB"/>
        </w:rPr>
        <w:tab/>
      </w:r>
      <w:r w:rsidRPr="00952628">
        <w:rPr>
          <w:spacing w:val="-4"/>
          <w:rtl/>
          <w:lang w:val="en-GB"/>
        </w:rPr>
        <w:t>(د)</w:t>
      </w:r>
      <w:r w:rsidRPr="00952628">
        <w:rPr>
          <w:spacing w:val="-4"/>
          <w:rtl/>
          <w:lang w:val="en-GB"/>
        </w:rPr>
        <w:tab/>
        <w:t>تفعيل اللجنة الوطنية لحقوق الإنسان وتزويدها بولاية محددة لرصد حقوق الطفل.</w:t>
      </w:r>
    </w:p>
    <w:p w14:paraId="20FA622D" w14:textId="7157EE8E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3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توضيح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40952885" w14:textId="4A31B711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توفير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التدريب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مجال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والاتفاقية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للمهنيين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العاملين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لصالح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ومعهم؛</w:t>
      </w:r>
    </w:p>
    <w:p w14:paraId="35405DCB" w14:textId="23B60A6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تحسين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مشاركة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المجتمع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المدني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تخطيط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وتنفيذ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ورصد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وتقييم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القوانين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والسياسات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والخطط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والبرامج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بالاتفاقية.</w:t>
      </w:r>
    </w:p>
    <w:p w14:paraId="015B08AC" w14:textId="3D7E91D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4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1C684C62" w14:textId="444906E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رفع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الحد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الأدنى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الزواج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18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للذكور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والإناث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سواء؛</w:t>
      </w:r>
    </w:p>
    <w:p w14:paraId="68471149" w14:textId="4067F53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حظر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التمييز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لأي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سبب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كان،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وفقاً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للاتفاقية؛</w:t>
      </w:r>
    </w:p>
    <w:p w14:paraId="096F0004" w14:textId="061C65F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تمتع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الكويتيين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(البدون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والمهاجرون)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والمثليات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والمثليون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ومزدوجو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الميل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ومغايرو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الهوية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الجنسانية،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بحقوقهم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بموجب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دون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تمييز،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وإمكانية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حصولهم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الخدمات،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الخدمات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بالصحة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والتعليم؛</w:t>
      </w:r>
    </w:p>
    <w:p w14:paraId="02605733" w14:textId="12937CF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إلغاء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الأحكام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تميز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ضد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الفتيات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الأحوال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الشخصية.</w:t>
      </w:r>
      <w:r>
        <w:rPr>
          <w:rtl/>
          <w:lang w:val="en-GB"/>
        </w:rPr>
        <w:t xml:space="preserve"> </w:t>
      </w:r>
    </w:p>
    <w:p w14:paraId="44FDE66A" w14:textId="4A46C3E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5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توضيح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أمثلة:</w:t>
      </w:r>
    </w:p>
    <w:p w14:paraId="5B7D54C3" w14:textId="1B916E1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كيف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تُدرَج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مصالح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الفضلى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التشريع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باعتبارها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جوهرياً،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ومبدأ</w:t>
      </w:r>
      <w:r w:rsidR="00EE0244">
        <w:rPr>
          <w:rFonts w:hint="cs"/>
          <w:rtl/>
          <w:lang w:val="en-GB"/>
        </w:rPr>
        <w:t>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قانونياً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تفسيرياً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أساسياً،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وقاعدةً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إجرائية؛</w:t>
      </w:r>
    </w:p>
    <w:p w14:paraId="7229AF07" w14:textId="067DCF6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كيف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تشرِك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البرلمانات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الطلابية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المجتمعات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المهمشة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والمحرومة،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لتمكينهم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المشاركة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عمليات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صنع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القرار؛</w:t>
      </w:r>
    </w:p>
    <w:p w14:paraId="442C98DA" w14:textId="7266BB4D" w:rsidR="00952628" w:rsidRPr="00952628" w:rsidRDefault="00952628" w:rsidP="00952628">
      <w:pPr>
        <w:pStyle w:val="SingleTxtGA"/>
        <w:rPr>
          <w:spacing w:val="-7"/>
          <w:lang w:val="en-GB"/>
        </w:rPr>
      </w:pPr>
      <w:r w:rsidRPr="00952628">
        <w:rPr>
          <w:rtl/>
          <w:lang w:val="en-GB"/>
        </w:rPr>
        <w:tab/>
      </w:r>
      <w:r w:rsidRPr="00952628">
        <w:rPr>
          <w:spacing w:val="-7"/>
          <w:rtl/>
          <w:lang w:val="en-GB"/>
        </w:rPr>
        <w:t>(ج)</w:t>
      </w:r>
      <w:r w:rsidRPr="00952628">
        <w:rPr>
          <w:spacing w:val="-7"/>
          <w:rtl/>
          <w:lang w:val="en-GB"/>
        </w:rPr>
        <w:tab/>
        <w:t>التدابير المتخذة لضمان مشاركة الأطفال في عمليات صنع القرار في الأسرة والمجتمع؛</w:t>
      </w:r>
    </w:p>
    <w:p w14:paraId="7DF0C007" w14:textId="6EF9728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نوع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الدعم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المقدم،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وُجد،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لتشكيل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منظمات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يقودها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أطفال.</w:t>
      </w:r>
    </w:p>
    <w:p w14:paraId="1803CEC5" w14:textId="63C00EE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6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وصف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652029B7" w14:textId="44395F7C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التسجيل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الولادة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واكتساب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جنسية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دون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تمييز،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ولا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سيما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البدون؛</w:t>
      </w:r>
    </w:p>
    <w:p w14:paraId="1DED3CA1" w14:textId="5850548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مراجعة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لإلغاء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الأحكام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التمييزية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ومنع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انعدام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ومنح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المرأة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الكويتية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الحق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نقل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جنسيتها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بغض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النظر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جنسية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الأب.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أيضاً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معلومات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حالة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وتفاصيل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مشروع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طرحه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رئيس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مجلس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الأمة.</w:t>
      </w:r>
    </w:p>
    <w:p w14:paraId="313BBC96" w14:textId="05AB211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7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توضيح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النص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"بحق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متولي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رعاية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التأديب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البسيط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المؤذي"،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بموجب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المادة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6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رقم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21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لسنة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2015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بشأن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الطفل.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وصف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5BBEA700" w14:textId="53436C7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حظر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العقوبة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البيئات؛</w:t>
      </w:r>
      <w:r w:rsidRPr="00952628">
        <w:rPr>
          <w:rFonts w:cs="Times New Roman" w:hint="cs"/>
          <w:rtl/>
          <w:lang w:val="en-GB"/>
        </w:rPr>
        <w:t>‬</w:t>
      </w:r>
    </w:p>
    <w:p w14:paraId="3C19830B" w14:textId="0DE7D1E1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تجريم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أشكال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الإساءة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والإهمال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والعنف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ضد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العنف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العائلي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والاغتصاب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الزوجي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والاعتداء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الجنسي؛</w:t>
      </w:r>
    </w:p>
    <w:p w14:paraId="39C500E2" w14:textId="19C03A80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إلغاء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المادة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182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الجزاء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(</w:t>
      </w:r>
      <w:r w:rsidRPr="00952628">
        <w:rPr>
          <w:lang w:val="en-GB"/>
        </w:rPr>
        <w:t>CRC/C/KWT/CO/</w:t>
      </w:r>
      <w:r w:rsidRPr="00952628">
        <w:rPr>
          <w:szCs w:val="20"/>
          <w:lang w:val="en-GB"/>
        </w:rPr>
        <w:t>2</w:t>
      </w:r>
      <w:r w:rsidRPr="00952628">
        <w:rPr>
          <w:rtl/>
          <w:lang w:val="en-GB"/>
        </w:rPr>
        <w:t>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الفقرة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48</w:t>
      </w:r>
      <w:r w:rsidRPr="00952628">
        <w:rPr>
          <w:rtl/>
          <w:lang w:val="en-GB"/>
        </w:rPr>
        <w:t>)؛</w:t>
      </w:r>
    </w:p>
    <w:p w14:paraId="55BFA74E" w14:textId="629E35A1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وضع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إجراءات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إبلاغ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ملائمة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وتزويد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الضحايا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بسبل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الحصول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الدعم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والخدمات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الملائمة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وإعادة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تأهيلهم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وإدماجهم؛</w:t>
      </w:r>
    </w:p>
    <w:p w14:paraId="348246EF" w14:textId="3C5223B9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(هـ)</w:t>
      </w:r>
      <w:r w:rsidRPr="00952628">
        <w:rPr>
          <w:rtl/>
          <w:lang w:val="en-GB"/>
        </w:rPr>
        <w:tab/>
        <w:t>منع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ومكافحة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الممارسات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الضارة،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زواج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وتشويه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الأعضاء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التناسلية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الأنثوية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وتعدد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الزوجات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يسمى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"جرائم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الشرف".</w:t>
      </w:r>
    </w:p>
    <w:p w14:paraId="04E81260" w14:textId="2DA5A630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8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56158E4B" w14:textId="02164CE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مراجعة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التشريعات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بحضانة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الأطفال؛</w:t>
      </w:r>
    </w:p>
    <w:p w14:paraId="1400AD8A" w14:textId="4B74A24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الدعم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للأمهات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العازبات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وللقرينين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المتزوجين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أطفال؛</w:t>
      </w:r>
    </w:p>
    <w:p w14:paraId="790E35E3" w14:textId="0D17E494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إنفاذ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رقم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80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لسنة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2015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بالحضانة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العائلية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لتوفير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أشكال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بديلة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الرعاية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المحرومين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بيئة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أسرية؛</w:t>
      </w:r>
    </w:p>
    <w:p w14:paraId="31362C7E" w14:textId="4A11C0F6" w:rsidR="00952628" w:rsidRPr="00952628" w:rsidRDefault="00952628" w:rsidP="00952628">
      <w:pPr>
        <w:pStyle w:val="SingleTxtGA"/>
        <w:rPr>
          <w:lang w:val="en-GB"/>
        </w:rPr>
      </w:pPr>
      <w:r w:rsidRPr="00EE0244">
        <w:rPr>
          <w:spacing w:val="-2"/>
          <w:rtl/>
          <w:lang w:val="en-GB"/>
        </w:rPr>
        <w:tab/>
        <w:t>(د)</w:t>
      </w:r>
      <w:r w:rsidRPr="00EE0244">
        <w:rPr>
          <w:spacing w:val="-2"/>
          <w:rtl/>
          <w:lang w:val="en-GB"/>
        </w:rPr>
        <w:tab/>
        <w:t>إنشاء آليات لرصد ترتيبات الرعاية البديلة للأطفال والإشراف عليها، ولا سيما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الرعاية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المؤسسية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الحضانة.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أيضاً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توضيح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إذا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يمكن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وضع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يحتاجون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رعاية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أسرية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تحت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الكفالة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أسرة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كويتية،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وإذا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الأمر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هي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ضوابط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هذا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النظام.</w:t>
      </w:r>
      <w:r>
        <w:rPr>
          <w:rtl/>
          <w:lang w:val="en-GB"/>
        </w:rPr>
        <w:t xml:space="preserve"> </w:t>
      </w:r>
    </w:p>
    <w:p w14:paraId="0655AE53" w14:textId="0B14E294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9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وصف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الجهود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المبذولة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200D63BF" w14:textId="1A3834D1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تمكين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ذوي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الكويتيين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البدون،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المطالبة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بحقوقهم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والحصول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عليها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دون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تمييز،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وفقاً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للنهج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القائم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الإنسان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المتبع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إزاء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وحمايتهم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أشكال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التمييز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أساس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الإعاقة؛</w:t>
      </w:r>
    </w:p>
    <w:p w14:paraId="3CB855B4" w14:textId="79F97CC9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تدعيم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التحديد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المبكر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ذوي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وتوسيع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نطاق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التعليم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الشامل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ذوي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الإعاقة؛</w:t>
      </w:r>
    </w:p>
    <w:p w14:paraId="06BCA087" w14:textId="57A2FC1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إمكانية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الوصول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الأماكن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العامة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والمباني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والخدمات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والمعلومات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ذوي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الإعاقة.</w:t>
      </w:r>
    </w:p>
    <w:p w14:paraId="0D670F1F" w14:textId="5680363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10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توضيح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اتُخذت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45BBD4F4" w14:textId="5F0D54E1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الحد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انتشار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السمنة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وداء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السكري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النوع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الثاني؛</w:t>
      </w:r>
    </w:p>
    <w:p w14:paraId="51E5736D" w14:textId="1386BFA3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الحد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ارتفاع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معدل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انتشار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الربو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المرتبط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بتلوث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الهواء؛</w:t>
      </w:r>
    </w:p>
    <w:p w14:paraId="6A89EDD1" w14:textId="43013DD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التوعية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بأهمية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الرضاعة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الطبيعية؛</w:t>
      </w:r>
    </w:p>
    <w:p w14:paraId="4875673B" w14:textId="6B8FA38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امتثال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الصحة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النفسية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نص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أحكامه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بالدخول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الإرادي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الإلزامي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المرضى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منشآت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الصحة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النفسية.</w:t>
      </w:r>
    </w:p>
    <w:p w14:paraId="5B062962" w14:textId="3F59376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11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توضيح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اتُخذت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166E8479" w14:textId="287AE69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التعليم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الإلزامي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والمجاني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والجيد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لجميع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(بمن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الكويتيين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البدون)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الدولة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الطرف؛</w:t>
      </w:r>
    </w:p>
    <w:p w14:paraId="28DCD0B4" w14:textId="2E839B0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إلغاء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الأحكام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تمنع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الفتيات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المتزوجات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الالتحاق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بالمدارس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العادية؛</w:t>
      </w:r>
    </w:p>
    <w:p w14:paraId="3A3F4C74" w14:textId="7A8E0987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معالجة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مسألة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التحرش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والعنف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والتنمر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المدارس؛</w:t>
      </w:r>
    </w:p>
    <w:p w14:paraId="2964C76C" w14:textId="394013F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إدراج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فصول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دراسية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وكذلك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الحفاظ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البيئة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والاستدامة.</w:t>
      </w:r>
    </w:p>
    <w:p w14:paraId="1A434670" w14:textId="0F5ED47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12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21F2061D" w14:textId="42732FA6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وضع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بدائل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لاحتجاز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المهاجرين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والأسر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لديها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أطفال؛</w:t>
      </w:r>
      <w:r>
        <w:rPr>
          <w:rtl/>
          <w:lang w:val="en-GB"/>
        </w:rPr>
        <w:t xml:space="preserve"> </w:t>
      </w:r>
      <w:r w:rsidRPr="00952628">
        <w:rPr>
          <w:rFonts w:cs="Times New Roman" w:hint="cs"/>
          <w:rtl/>
          <w:lang w:val="en-GB"/>
        </w:rPr>
        <w:t>‬</w:t>
      </w:r>
    </w:p>
    <w:p w14:paraId="5CE14EB1" w14:textId="14C53807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إعطاء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مصالح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الفضلى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الاعتبارَ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إجراءات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الهجرة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تشمل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إجراءات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الترحيل؛</w:t>
      </w:r>
    </w:p>
    <w:p w14:paraId="4A94B311" w14:textId="7E36AB6C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إنفاذ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التشريعات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المتعلقة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بحماية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الاستغلال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الاقتصادي،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القطاع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الرسمي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العمل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المنزلي،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ولا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سيما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المهاجرين؛</w:t>
      </w:r>
    </w:p>
    <w:p w14:paraId="45A67A0D" w14:textId="0AAF91F3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رفع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الدنيا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للمسؤولية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الجنائية؛</w:t>
      </w:r>
    </w:p>
    <w:p w14:paraId="1EA52DA0" w14:textId="07788027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(هـ)</w:t>
      </w:r>
      <w:r w:rsidRPr="00952628">
        <w:rPr>
          <w:rtl/>
          <w:lang w:val="en-GB"/>
        </w:rPr>
        <w:tab/>
        <w:t>تشجيع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التحويل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خارج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النظام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القضائي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بموجب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المادة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16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الأحداث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رقم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111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لسنة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2015</w:t>
      </w:r>
      <w:r w:rsidRPr="00952628">
        <w:rPr>
          <w:rtl/>
          <w:lang w:val="en-GB"/>
        </w:rPr>
        <w:t>.</w:t>
      </w:r>
    </w:p>
    <w:p w14:paraId="41D411FD" w14:textId="14732CD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13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7FC2FFF5" w14:textId="289AF70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تنقيح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الجزاء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وتضمينه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نصاً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صريحاً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بتجريم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تجنيد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يتمّوا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الثامنة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عشرة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واستخدامهم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أعمال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القتال،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تجنيدهم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الجماعات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المسلحة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التابعة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للدولة؛</w:t>
      </w:r>
    </w:p>
    <w:p w14:paraId="76E24D2A" w14:textId="11137D3B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وقاية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سيما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يعانون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التهميش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والحرمان،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الفكر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المتشدد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تروجه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الجماعات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المتطرفة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ومعالجة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الأسباب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الجذرية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لتجنيد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ومشاركتهم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النزاعات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المسلحة.</w:t>
      </w:r>
    </w:p>
    <w:p w14:paraId="62B74B80" w14:textId="1F0A806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14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المتخذة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أجل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2CD86875" w14:textId="63F38126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</w:r>
      <w:r w:rsidRPr="00EE0244">
        <w:rPr>
          <w:rtl/>
          <w:lang w:val="en-GB"/>
        </w:rPr>
        <w:t>(أ)</w:t>
      </w:r>
      <w:r w:rsidRPr="00EE0244">
        <w:rPr>
          <w:rtl/>
          <w:lang w:val="en-GB"/>
        </w:rPr>
        <w:tab/>
        <w:t>تجريم بيع الأطفال وحيازة المواد الإباحية عن الأطفال (</w:t>
      </w:r>
      <w:r w:rsidRPr="00EE0244">
        <w:rPr>
          <w:lang w:val="en-GB"/>
        </w:rPr>
        <w:t>CRC/C/OPSC/KWT/CO/</w:t>
      </w:r>
      <w:r w:rsidRPr="00EE0244">
        <w:rPr>
          <w:szCs w:val="20"/>
          <w:lang w:val="en-GB"/>
        </w:rPr>
        <w:t>1</w:t>
      </w:r>
      <w:r w:rsidRPr="00952628">
        <w:rPr>
          <w:rtl/>
          <w:lang w:val="en-GB"/>
        </w:rPr>
        <w:t>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الفقرة</w:t>
      </w:r>
      <w:r>
        <w:rPr>
          <w:rtl/>
          <w:lang w:val="en-GB"/>
        </w:rPr>
        <w:t xml:space="preserve"> </w:t>
      </w:r>
      <w:r w:rsidRPr="00952628">
        <w:rPr>
          <w:szCs w:val="20"/>
          <w:rtl/>
          <w:lang w:val="en-GB"/>
        </w:rPr>
        <w:t>18</w:t>
      </w:r>
      <w:r w:rsidRPr="00952628">
        <w:rPr>
          <w:rtl/>
          <w:lang w:val="en-GB"/>
        </w:rPr>
        <w:t>)؛</w:t>
      </w:r>
    </w:p>
    <w:p w14:paraId="052C2D1F" w14:textId="33098029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ضمان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إمكانية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اللجوء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القضاء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لضحايا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الجرائم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المحظورة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بموجب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البروتوكول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الاختياري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الملحق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باتفاقية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والمتعلق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ببيع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واستغلال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البغاء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المواد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الإباحية؛</w:t>
      </w:r>
    </w:p>
    <w:p w14:paraId="0ACB9EDC" w14:textId="0E6825C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حماية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ولا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سيما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يعانون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التهميش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والحرمان،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يصبحوا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ضحايا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لجرائم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وبغاء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والتصوير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الإباحي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للأطفال؛</w:t>
      </w:r>
    </w:p>
    <w:p w14:paraId="409A11EC" w14:textId="6787611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زيادة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رصد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عملية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استقدام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خدم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المنازل.</w:t>
      </w:r>
    </w:p>
    <w:p w14:paraId="71AE66D2" w14:textId="1960BF88" w:rsidR="00952628" w:rsidRPr="00952628" w:rsidRDefault="00952628" w:rsidP="00952628">
      <w:pPr>
        <w:pStyle w:val="HChGA"/>
        <w:rPr>
          <w:lang w:val="en-GB"/>
        </w:rPr>
      </w:pPr>
      <w:r w:rsidRPr="00952628">
        <w:rPr>
          <w:rtl/>
          <w:lang w:val="en-GB"/>
        </w:rPr>
        <w:tab/>
      </w:r>
      <w:r w:rsidRPr="00952628">
        <w:rPr>
          <w:rtl/>
          <w:lang w:val="en-GB"/>
        </w:rPr>
        <w:tab/>
        <w:t>الجزء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الثاني</w:t>
      </w:r>
    </w:p>
    <w:p w14:paraId="4AAB6932" w14:textId="674B8679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15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تدعو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اللجنة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الدولة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الطرف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تحديث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موجز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(لا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يزيد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ثلاث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صفحات)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للمعلومات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المقدّمة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تقريرها،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تتناول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2CEF7403" w14:textId="64FF69A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مشاريع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القوانين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الجديدة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القوانين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الجديدة،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ولوائحها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التنظيمية؛</w:t>
      </w:r>
    </w:p>
    <w:p w14:paraId="7942708D" w14:textId="3F63C91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المؤسسات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الجديدة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(وولاياتها)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الإصلاحات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المؤسسية؛</w:t>
      </w:r>
      <w:r>
        <w:rPr>
          <w:rtl/>
          <w:lang w:val="en-GB"/>
        </w:rPr>
        <w:t xml:space="preserve"> </w:t>
      </w:r>
    </w:p>
    <w:p w14:paraId="04E4CCC9" w14:textId="5724B18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السياسات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والبرامج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وخطط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العمل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المستحدثة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مؤخّراً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ونطاقها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وتمويلها؛</w:t>
      </w:r>
    </w:p>
    <w:p w14:paraId="5890DC5D" w14:textId="398EDD8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التصديقات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الأخيرة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صكوك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الإنسان.</w:t>
      </w:r>
    </w:p>
    <w:p w14:paraId="4862AF1B" w14:textId="7B8B4B79" w:rsidR="00952628" w:rsidRPr="00952628" w:rsidRDefault="00952628" w:rsidP="00952628">
      <w:pPr>
        <w:pStyle w:val="HChGA"/>
        <w:rPr>
          <w:lang w:val="en-GB"/>
        </w:rPr>
      </w:pPr>
      <w:r w:rsidRPr="00952628">
        <w:rPr>
          <w:rtl/>
          <w:lang w:val="en-GB"/>
        </w:rPr>
        <w:tab/>
      </w:r>
      <w:r w:rsidRPr="00952628">
        <w:rPr>
          <w:rtl/>
          <w:lang w:val="en-GB"/>
        </w:rPr>
        <w:tab/>
        <w:t>الجزء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الثالث</w:t>
      </w:r>
    </w:p>
    <w:p w14:paraId="0CE4780D" w14:textId="7A101AC2" w:rsidR="00952628" w:rsidRPr="00952628" w:rsidRDefault="00952628" w:rsidP="00952628">
      <w:pPr>
        <w:pStyle w:val="H1GA"/>
        <w:rPr>
          <w:lang w:val="en-GB"/>
        </w:rPr>
      </w:pPr>
      <w:r w:rsidRPr="00952628">
        <w:rPr>
          <w:rtl/>
          <w:lang w:val="en-GB"/>
        </w:rPr>
        <w:tab/>
      </w:r>
      <w:r w:rsidRPr="00952628">
        <w:rPr>
          <w:rtl/>
          <w:lang w:val="en-GB"/>
        </w:rPr>
        <w:tab/>
        <w:t>البيانات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والإحصاءات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وغيرها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المعلومات،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توافرت</w:t>
      </w:r>
    </w:p>
    <w:p w14:paraId="33DE4B03" w14:textId="5DC3EEF0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16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معلومات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موحّدة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البنود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الخاصة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والقطاعات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الاجتماعية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ميزانيات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السنوات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الثلاث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الماضية،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ببيان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النسبة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المئوية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المخصّصة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لكل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بند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بنود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الميزانية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بالنسبة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الميزانية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الوطنية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الكلية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والناتج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القومي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الإجمالي.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أيضاً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معلومات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التوزيع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الجغرافي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لتلك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الموارد.</w:t>
      </w:r>
      <w:r>
        <w:rPr>
          <w:rtl/>
          <w:lang w:val="en-GB"/>
        </w:rPr>
        <w:t xml:space="preserve"> </w:t>
      </w:r>
    </w:p>
    <w:p w14:paraId="71F08615" w14:textId="3FE34156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17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إحصائية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محدّثة،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توافرت،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مصنّفة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بحسب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والجنس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والأصل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الإثني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والأصل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القومي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والموقع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الجغرافي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والوضع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الاجتماعي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-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الاقتصادي،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تغطي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السنوات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الثلاث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الماضية،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بشأن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يلي:</w:t>
      </w:r>
    </w:p>
    <w:p w14:paraId="3354C539" w14:textId="7B119F50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المسجلون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الولادة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وقت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لاحق،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البدون؛</w:t>
      </w:r>
    </w:p>
    <w:p w14:paraId="561EDD45" w14:textId="2E4CC91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المتزوجون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ولم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يتمّوا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الثامنة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عشرة؛</w:t>
      </w:r>
    </w:p>
    <w:p w14:paraId="791B776E" w14:textId="483BA116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حالات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تشويه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الأعضاء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التناسلية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الأنثوية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وغيرها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الممارسات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الضارة؛</w:t>
      </w:r>
    </w:p>
    <w:p w14:paraId="2DC1AF39" w14:textId="3E175506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حالات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الإساءة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والعنف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ضد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العنف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العائلي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والعقوبة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البدنية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والاعتداء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الجنسي؛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والتحقيقات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أُجريت؛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ونتائج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المحاكمات،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الأحكام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الصادرة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الجناة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والتعويض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قُدم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للضحايا؛</w:t>
      </w:r>
    </w:p>
    <w:p w14:paraId="7A6BE5B6" w14:textId="28154D9A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(هـ)</w:t>
      </w:r>
      <w:r w:rsidRPr="00952628">
        <w:rPr>
          <w:rtl/>
          <w:lang w:val="en-GB"/>
        </w:rPr>
        <w:tab/>
        <w:t>تغطية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التحصين؛</w:t>
      </w:r>
      <w:r>
        <w:rPr>
          <w:rtl/>
          <w:lang w:val="en-GB"/>
        </w:rPr>
        <w:t xml:space="preserve"> </w:t>
      </w:r>
    </w:p>
    <w:p w14:paraId="18586650" w14:textId="65F3281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(و)</w:t>
      </w:r>
      <w:r w:rsidRPr="00952628">
        <w:rPr>
          <w:rtl/>
          <w:lang w:val="en-GB"/>
        </w:rPr>
        <w:tab/>
        <w:t>معدلات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الالتحاق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بالمدارس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وإتمام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الدراسة؛</w:t>
      </w:r>
      <w:r>
        <w:rPr>
          <w:rtl/>
          <w:lang w:val="en-GB"/>
        </w:rPr>
        <w:t xml:space="preserve"> </w:t>
      </w:r>
    </w:p>
    <w:p w14:paraId="1259D3D2" w14:textId="293AFC16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(ز)</w:t>
      </w:r>
      <w:r w:rsidRPr="00952628">
        <w:rPr>
          <w:rtl/>
          <w:lang w:val="en-GB"/>
        </w:rPr>
        <w:tab/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يعانون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سوء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التغذية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والتقزم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والسمنة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وداء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السكري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النوع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الثاني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والأمراض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التنفسية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المزمنة؛</w:t>
      </w:r>
    </w:p>
    <w:p w14:paraId="1B1FE114" w14:textId="02A47DDF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(ح)</w:t>
      </w:r>
      <w:r w:rsidRPr="00952628">
        <w:rPr>
          <w:rtl/>
          <w:lang w:val="en-GB"/>
        </w:rPr>
        <w:tab/>
        <w:t>تعاطي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المخدرات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والمواد؛</w:t>
      </w:r>
    </w:p>
    <w:p w14:paraId="310A822D" w14:textId="048BCFEE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(ط)</w:t>
      </w:r>
      <w:r w:rsidRPr="00952628">
        <w:rPr>
          <w:rtl/>
          <w:lang w:val="en-GB"/>
        </w:rPr>
        <w:tab/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المتضررون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التلوث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المرتبط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بصناعة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النفط.</w:t>
      </w:r>
    </w:p>
    <w:p w14:paraId="7B30BDE1" w14:textId="27F46794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18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مصنّفة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بحسب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والجنس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والخلفية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الاجتماعية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-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الاقتصادية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والأصل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الإثني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والموقع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الجغرافي،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تغطي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السنوات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الثلاث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الماضية،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بشأن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حالة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المحرومين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بيئة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أسرية،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تشمل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عدد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الأطفال:</w:t>
      </w:r>
    </w:p>
    <w:p w14:paraId="17F15029" w14:textId="3DC5AC1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المنفصلين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والديهم؛</w:t>
      </w:r>
    </w:p>
    <w:p w14:paraId="1F9CEC45" w14:textId="702DB73B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المودعين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مؤسسات،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مصنفين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بحسب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الإيداع؛</w:t>
      </w:r>
      <w:r w:rsidRPr="00952628">
        <w:rPr>
          <w:rFonts w:cs="Times New Roman" w:hint="cs"/>
          <w:rtl/>
          <w:lang w:val="en-GB"/>
        </w:rPr>
        <w:t>‬</w:t>
      </w:r>
    </w:p>
    <w:p w14:paraId="6220CF75" w14:textId="10E1D98E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المودعين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لدى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حاضنة.</w:t>
      </w:r>
    </w:p>
    <w:p w14:paraId="1FC3A4C8" w14:textId="7D1BBC9B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19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مصنّفة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بحسب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والجنس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ونوع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والأصل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الإثني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والموقع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الجغرافي،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تغطي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السنوات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الثلاث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الماضية،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بشأن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عدد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ذوي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الإعاقة:</w:t>
      </w:r>
    </w:p>
    <w:p w14:paraId="2F954800" w14:textId="119E81F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يعيشون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أسرهم؛</w:t>
      </w:r>
    </w:p>
    <w:p w14:paraId="0CF7FC73" w14:textId="1FAA61C9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يعيشون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مؤسسات؛</w:t>
      </w:r>
    </w:p>
    <w:p w14:paraId="209C7017" w14:textId="19CDC6E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الملتحقين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بمدارس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ابتدائية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وثانوية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عادية؛</w:t>
      </w:r>
    </w:p>
    <w:p w14:paraId="2C84F18E" w14:textId="5CADC7C8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الملتحقين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بمدارس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خاصة؛</w:t>
      </w:r>
    </w:p>
    <w:p w14:paraId="0333AE34" w14:textId="5DCBCF7B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(هـ)</w:t>
      </w:r>
      <w:r w:rsidRPr="00952628">
        <w:rPr>
          <w:rtl/>
          <w:lang w:val="en-GB"/>
        </w:rPr>
        <w:tab/>
        <w:t>غير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الملتحقين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بمدارس؛</w:t>
      </w:r>
      <w:r>
        <w:rPr>
          <w:rtl/>
          <w:lang w:val="en-GB"/>
        </w:rPr>
        <w:t xml:space="preserve"> </w:t>
      </w:r>
    </w:p>
    <w:p w14:paraId="70AEBDA8" w14:textId="3FEB6B69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(و)</w:t>
      </w:r>
      <w:r w:rsidRPr="00952628">
        <w:rPr>
          <w:rtl/>
          <w:lang w:val="en-GB"/>
        </w:rPr>
        <w:tab/>
        <w:t>الذين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هجرتهم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أسر</w:t>
      </w:r>
      <w:bookmarkStart w:id="0" w:name="_GoBack"/>
      <w:bookmarkEnd w:id="0"/>
      <w:r w:rsidRPr="00952628">
        <w:rPr>
          <w:rtl/>
          <w:lang w:val="en-GB"/>
        </w:rPr>
        <w:t>هم.</w:t>
      </w:r>
    </w:p>
    <w:p w14:paraId="7AAEBBC8" w14:textId="1E3710B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20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إحصائية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محدّثة،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توافرت،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مصنّفة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بحسب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والجنس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ونوع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الجريمة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والأصل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الإثني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والقومي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والموقع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الجغرافي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والوضع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الاجتماعي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-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الاقتصادي،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تغطي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السنوات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الثلاث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الماضية،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بشأن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المخالفين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للقانون:</w:t>
      </w:r>
    </w:p>
    <w:p w14:paraId="1C66F233" w14:textId="208C082D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(أ)</w:t>
      </w:r>
      <w:r w:rsidRPr="00952628">
        <w:rPr>
          <w:rtl/>
          <w:lang w:val="en-GB"/>
        </w:rPr>
        <w:tab/>
        <w:t>المقبوض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عليهم؛</w:t>
      </w:r>
    </w:p>
    <w:p w14:paraId="346662D3" w14:textId="7481AA72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(ب)</w:t>
      </w:r>
      <w:r w:rsidRPr="00952628">
        <w:rPr>
          <w:rtl/>
          <w:lang w:val="en-GB"/>
        </w:rPr>
        <w:tab/>
        <w:t>المحولين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برامج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خارج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النظام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القضائي؛</w:t>
      </w:r>
      <w:r>
        <w:rPr>
          <w:rtl/>
          <w:lang w:val="en-GB"/>
        </w:rPr>
        <w:t xml:space="preserve"> </w:t>
      </w:r>
    </w:p>
    <w:p w14:paraId="56E9F964" w14:textId="52CFA2FB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(ج)</w:t>
      </w:r>
      <w:r w:rsidRPr="00952628">
        <w:rPr>
          <w:rtl/>
          <w:lang w:val="en-GB"/>
        </w:rPr>
        <w:tab/>
        <w:t>المحتجزين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رهن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المحاكمة؛</w:t>
      </w:r>
    </w:p>
    <w:p w14:paraId="691148C4" w14:textId="78C9A3D7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rtl/>
          <w:lang w:val="en-GB"/>
        </w:rPr>
        <w:tab/>
        <w:t>(د)</w:t>
      </w:r>
      <w:r w:rsidRPr="00952628">
        <w:rPr>
          <w:rtl/>
          <w:lang w:val="en-GB"/>
        </w:rPr>
        <w:tab/>
        <w:t>المحكوم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عليهم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بالسجن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ومدة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العقوبة.</w:t>
      </w:r>
    </w:p>
    <w:p w14:paraId="5721866E" w14:textId="5853EF41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21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تقديم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معلومات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كيفية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إدماج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نهج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قائم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على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تخطيط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وتنفيذ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ورصد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الرامية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تحقيق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أهداف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التنمية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المستدامة،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يتعلق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بمشاركة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وجمع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البيانات،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وكيف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تعزز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هذه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التدابير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إعمال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حقوق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الطفل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بموجب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والبروتوكولات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الاختيارية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الملحقة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بها.</w:t>
      </w:r>
    </w:p>
    <w:p w14:paraId="3C2F1423" w14:textId="6D4152F5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22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يرجى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موافاة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اللجنة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بتحديثٍ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لأي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التقرير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يمكن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تكون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تقادمت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بسبب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جمع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بيانات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أحدث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أو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بسبب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حدوث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تطورات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جديدة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أخرى.</w:t>
      </w:r>
    </w:p>
    <w:p w14:paraId="752444F3" w14:textId="5007603B" w:rsidR="00952628" w:rsidRPr="00952628" w:rsidRDefault="00952628" w:rsidP="00952628">
      <w:pPr>
        <w:pStyle w:val="SingleTxtGA"/>
        <w:rPr>
          <w:lang w:val="en-GB"/>
        </w:rPr>
      </w:pPr>
      <w:r w:rsidRPr="00952628">
        <w:rPr>
          <w:szCs w:val="20"/>
          <w:rtl/>
          <w:lang w:val="en-GB"/>
        </w:rPr>
        <w:t>23</w:t>
      </w:r>
      <w:r w:rsidRPr="00952628">
        <w:rPr>
          <w:rtl/>
          <w:lang w:val="en-GB"/>
        </w:rPr>
        <w:t>-</w:t>
      </w:r>
      <w:r w:rsidRPr="00952628">
        <w:rPr>
          <w:rtl/>
          <w:lang w:val="en-GB"/>
        </w:rPr>
        <w:tab/>
        <w:t>وبالإضافة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إلى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ذلك،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يمكن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للدولة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الطرف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أن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تذكر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مجالات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تؤثّر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الأطفال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وتعدّها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ذات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أولوية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فيما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يتعلّق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بتنفيذ</w:t>
      </w:r>
      <w:r>
        <w:rPr>
          <w:rtl/>
          <w:lang w:val="en-GB"/>
        </w:rPr>
        <w:t xml:space="preserve"> </w:t>
      </w:r>
      <w:r w:rsidRPr="00952628">
        <w:rPr>
          <w:rtl/>
          <w:lang w:val="en-GB"/>
        </w:rPr>
        <w:t>الاتفاقية.</w:t>
      </w:r>
    </w:p>
    <w:p w14:paraId="73B41DC9" w14:textId="7BFF6551" w:rsidR="00952628" w:rsidRPr="00952628" w:rsidRDefault="00952628" w:rsidP="00952628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952628" w:rsidRPr="00952628" w:rsidSect="0017104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8122" w14:textId="77777777" w:rsidR="00BD2609" w:rsidRPr="002901D9" w:rsidRDefault="00BD260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066C7E9E" w14:textId="77777777" w:rsidR="00BD2609" w:rsidRDefault="00BD260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F7BB" w14:textId="77777777" w:rsidR="00BD2609" w:rsidRPr="00952628" w:rsidRDefault="00BD2609" w:rsidP="00952628">
    <w:pPr>
      <w:pStyle w:val="Footer"/>
      <w:tabs>
        <w:tab w:val="right" w:pos="9598"/>
      </w:tabs>
      <w:rPr>
        <w:sz w:val="17"/>
      </w:rPr>
    </w:pPr>
    <w:r>
      <w:rPr>
        <w:sz w:val="17"/>
      </w:rPr>
      <w:t>GE.20-15442</w:t>
    </w:r>
    <w:r>
      <w:rPr>
        <w:sz w:val="17"/>
      </w:rPr>
      <w:tab/>
    </w:r>
    <w:r w:rsidRPr="00952628">
      <w:rPr>
        <w:b/>
        <w:sz w:val="18"/>
      </w:rPr>
      <w:fldChar w:fldCharType="begin"/>
    </w:r>
    <w:r w:rsidRPr="00952628">
      <w:rPr>
        <w:b/>
        <w:sz w:val="18"/>
      </w:rPr>
      <w:instrText xml:space="preserve"> PAGE  \* MERGEFORMAT </w:instrText>
    </w:r>
    <w:r w:rsidRPr="00952628">
      <w:rPr>
        <w:b/>
        <w:sz w:val="18"/>
      </w:rPr>
      <w:fldChar w:fldCharType="separate"/>
    </w:r>
    <w:r>
      <w:rPr>
        <w:b/>
        <w:sz w:val="18"/>
      </w:rPr>
      <w:t>2</w:t>
    </w:r>
    <w:r w:rsidRPr="0095262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BA18" w14:textId="77777777" w:rsidR="00BD2609" w:rsidRPr="00952628" w:rsidRDefault="00BD2609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952628">
      <w:rPr>
        <w:b/>
        <w:sz w:val="18"/>
        <w:lang w:val="en-US"/>
      </w:rPr>
      <w:fldChar w:fldCharType="begin"/>
    </w:r>
    <w:r w:rsidRPr="00952628">
      <w:rPr>
        <w:b/>
        <w:sz w:val="18"/>
        <w:lang w:val="en-US"/>
      </w:rPr>
      <w:instrText xml:space="preserve"> PAGE  \* MERGEFORMAT </w:instrText>
    </w:r>
    <w:r w:rsidRPr="00952628">
      <w:rPr>
        <w:b/>
        <w:sz w:val="18"/>
        <w:lang w:val="en-US"/>
      </w:rPr>
      <w:fldChar w:fldCharType="separate"/>
    </w:r>
    <w:r w:rsidRPr="00952628">
      <w:rPr>
        <w:b/>
        <w:noProof/>
        <w:sz w:val="18"/>
        <w:lang w:val="en-US"/>
      </w:rPr>
      <w:t>3</w:t>
    </w:r>
    <w:r w:rsidRPr="00952628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GE.20-15442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48E4" w14:textId="77777777" w:rsidR="00BD2609" w:rsidRDefault="00BD2609" w:rsidP="006E444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GE.20-15442</w:t>
    </w:r>
    <w:r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7895D226" wp14:editId="26ABE408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286">
      <w:rPr>
        <w:sz w:val="20"/>
        <w:szCs w:val="20"/>
      </w:rPr>
      <w:t>(A)</w:t>
    </w:r>
  </w:p>
  <w:p w14:paraId="24750914" w14:textId="77777777" w:rsidR="00BD2609" w:rsidRPr="0017104F" w:rsidRDefault="00BD2609" w:rsidP="0017104F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*2015442*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6432" behindDoc="0" locked="0" layoutInCell="1" allowOverlap="1" wp14:anchorId="1C1FBEC2" wp14:editId="08E5CB95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6F07" w14:textId="638B8F25" w:rsidR="00BD2609" w:rsidRPr="00CB28F9" w:rsidRDefault="00BD2609" w:rsidP="0095262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05C00FDB" w14:textId="77777777" w:rsidR="00BD2609" w:rsidRDefault="00BD2609" w:rsidP="00656392">
      <w:pPr>
        <w:spacing w:line="240" w:lineRule="auto"/>
      </w:pPr>
      <w:r>
        <w:continuationSeparator/>
      </w:r>
    </w:p>
  </w:footnote>
  <w:footnote w:id="1">
    <w:p w14:paraId="4E01C1AC" w14:textId="65D816E8" w:rsidR="00BD2609" w:rsidRPr="00952628" w:rsidRDefault="00BD2609" w:rsidP="00952628">
      <w:pPr>
        <w:pStyle w:val="FootnoteText1"/>
        <w:rPr>
          <w:rFonts w:hint="cs"/>
        </w:rPr>
      </w:pPr>
      <w:r>
        <w:rPr>
          <w:rtl/>
        </w:rPr>
        <w:t>*</w:t>
      </w:r>
      <w:r>
        <w:rPr>
          <w:rtl/>
        </w:rPr>
        <w:tab/>
      </w:r>
      <w:r w:rsidRPr="00952628">
        <w:rPr>
          <w:rtl/>
        </w:rPr>
        <w:t>اعتمدها</w:t>
      </w:r>
      <w:r>
        <w:rPr>
          <w:rtl/>
        </w:rPr>
        <w:t xml:space="preserve"> </w:t>
      </w:r>
      <w:r w:rsidRPr="00952628">
        <w:rPr>
          <w:rtl/>
        </w:rPr>
        <w:t>الفريق</w:t>
      </w:r>
      <w:r>
        <w:rPr>
          <w:rtl/>
        </w:rPr>
        <w:t xml:space="preserve"> </w:t>
      </w:r>
      <w:r w:rsidRPr="00952628">
        <w:rPr>
          <w:rtl/>
        </w:rPr>
        <w:t>العامل</w:t>
      </w:r>
      <w:r>
        <w:rPr>
          <w:rtl/>
        </w:rPr>
        <w:t xml:space="preserve"> </w:t>
      </w:r>
      <w:r w:rsidRPr="00952628">
        <w:rPr>
          <w:rtl/>
        </w:rPr>
        <w:t>لما</w:t>
      </w:r>
      <w:r>
        <w:rPr>
          <w:rtl/>
        </w:rPr>
        <w:t xml:space="preserve"> </w:t>
      </w:r>
      <w:r w:rsidRPr="00952628">
        <w:rPr>
          <w:rtl/>
        </w:rPr>
        <w:t>قبل</w:t>
      </w:r>
      <w:r>
        <w:rPr>
          <w:rtl/>
        </w:rPr>
        <w:t xml:space="preserve"> </w:t>
      </w:r>
      <w:r w:rsidRPr="00952628">
        <w:rPr>
          <w:rtl/>
        </w:rPr>
        <w:t>الدورة</w:t>
      </w:r>
      <w:r>
        <w:rPr>
          <w:rtl/>
        </w:rPr>
        <w:t xml:space="preserve"> </w:t>
      </w:r>
      <w:r w:rsidRPr="00952628">
        <w:rPr>
          <w:rtl/>
        </w:rPr>
        <w:t>في</w:t>
      </w:r>
      <w:r>
        <w:rPr>
          <w:rtl/>
        </w:rPr>
        <w:t xml:space="preserve"> </w:t>
      </w:r>
      <w:r w:rsidRPr="00952628">
        <w:rPr>
          <w:szCs w:val="18"/>
          <w:rtl/>
        </w:rPr>
        <w:t>8</w:t>
      </w:r>
      <w:r>
        <w:rPr>
          <w:rtl/>
        </w:rPr>
        <w:t xml:space="preserve"> </w:t>
      </w:r>
      <w:r w:rsidRPr="00952628">
        <w:rPr>
          <w:rtl/>
        </w:rPr>
        <w:t>تشرين</w:t>
      </w:r>
      <w:r>
        <w:rPr>
          <w:rtl/>
        </w:rPr>
        <w:t xml:space="preserve"> </w:t>
      </w:r>
      <w:r w:rsidRPr="00952628">
        <w:rPr>
          <w:rtl/>
        </w:rPr>
        <w:t>الأول/أكتوبر</w:t>
      </w:r>
      <w:r>
        <w:rPr>
          <w:rtl/>
        </w:rPr>
        <w:t xml:space="preserve"> </w:t>
      </w:r>
      <w:r w:rsidRPr="00952628">
        <w:rPr>
          <w:szCs w:val="18"/>
          <w:rtl/>
        </w:rPr>
        <w:t>2020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A08" w14:textId="77777777" w:rsidR="00BD2609" w:rsidRPr="00952628" w:rsidRDefault="00BD2609" w:rsidP="00952628">
    <w:pPr>
      <w:pStyle w:val="Header"/>
      <w:jc w:val="right"/>
    </w:pPr>
    <w:r w:rsidRPr="00952628">
      <w:t>CRC/C/KWT/Q/3-6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C212" w14:textId="77777777" w:rsidR="00BD2609" w:rsidRPr="00952628" w:rsidRDefault="00BD2609" w:rsidP="00952628">
    <w:pPr>
      <w:pStyle w:val="Header"/>
      <w:jc w:val="left"/>
    </w:pPr>
    <w:r w:rsidRPr="00952628">
      <w:t>CRC/C/KWT/Q/3-6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6700F0"/>
    <w:rsid w:val="000076D5"/>
    <w:rsid w:val="00043663"/>
    <w:rsid w:val="000505CF"/>
    <w:rsid w:val="00086FDB"/>
    <w:rsid w:val="000D701C"/>
    <w:rsid w:val="000E2A71"/>
    <w:rsid w:val="00160263"/>
    <w:rsid w:val="0017104F"/>
    <w:rsid w:val="00181F96"/>
    <w:rsid w:val="001A1371"/>
    <w:rsid w:val="001B346A"/>
    <w:rsid w:val="001D5AC0"/>
    <w:rsid w:val="001E1CAD"/>
    <w:rsid w:val="001E290D"/>
    <w:rsid w:val="002144FA"/>
    <w:rsid w:val="0023469A"/>
    <w:rsid w:val="00243C8A"/>
    <w:rsid w:val="00267A0E"/>
    <w:rsid w:val="002901D9"/>
    <w:rsid w:val="002976C2"/>
    <w:rsid w:val="002D2D42"/>
    <w:rsid w:val="003260FF"/>
    <w:rsid w:val="00343D95"/>
    <w:rsid w:val="00374341"/>
    <w:rsid w:val="003C50EA"/>
    <w:rsid w:val="003D1062"/>
    <w:rsid w:val="00420D7B"/>
    <w:rsid w:val="00450B21"/>
    <w:rsid w:val="00453B63"/>
    <w:rsid w:val="00455780"/>
    <w:rsid w:val="0045649E"/>
    <w:rsid w:val="004A14A6"/>
    <w:rsid w:val="004B0A1C"/>
    <w:rsid w:val="004D298E"/>
    <w:rsid w:val="004E3D0E"/>
    <w:rsid w:val="00523BAE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700F0"/>
    <w:rsid w:val="0068781D"/>
    <w:rsid w:val="006959B0"/>
    <w:rsid w:val="006B3E27"/>
    <w:rsid w:val="006B6507"/>
    <w:rsid w:val="006C104C"/>
    <w:rsid w:val="006E444F"/>
    <w:rsid w:val="00733704"/>
    <w:rsid w:val="0078071A"/>
    <w:rsid w:val="00852A9A"/>
    <w:rsid w:val="00875833"/>
    <w:rsid w:val="008F49E1"/>
    <w:rsid w:val="0090370F"/>
    <w:rsid w:val="009269D2"/>
    <w:rsid w:val="00942135"/>
    <w:rsid w:val="009521B0"/>
    <w:rsid w:val="00952628"/>
    <w:rsid w:val="00994130"/>
    <w:rsid w:val="009A7E9F"/>
    <w:rsid w:val="009E5018"/>
    <w:rsid w:val="00A12B37"/>
    <w:rsid w:val="00A65558"/>
    <w:rsid w:val="00AB6758"/>
    <w:rsid w:val="00B13763"/>
    <w:rsid w:val="00B142DF"/>
    <w:rsid w:val="00B477A4"/>
    <w:rsid w:val="00B54045"/>
    <w:rsid w:val="00BD2609"/>
    <w:rsid w:val="00C438D7"/>
    <w:rsid w:val="00C81B50"/>
    <w:rsid w:val="00CB28F9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6499"/>
    <w:rsid w:val="00EC05A7"/>
    <w:rsid w:val="00EC4B6B"/>
    <w:rsid w:val="00EE0244"/>
    <w:rsid w:val="00EF1EE5"/>
    <w:rsid w:val="00F763B4"/>
    <w:rsid w:val="00F900C3"/>
    <w:rsid w:val="00FD2424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57D3DC"/>
  <w15:docId w15:val="{0A3AFCB8-E6AB-495B-A175-A14BEB46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900C3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994130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12CF-2570-4CDB-9157-9F443AD7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CRC/C/KWT/Q/3-6</vt:lpstr>
    </vt:vector>
  </TitlesOfParts>
  <Company>DCM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CRC/C/KWT/Q/3-6</dc:title>
  <dc:subject>2015442A</dc:subject>
  <dc:creator>Jamela CHEDAD/WDH</dc:creator>
  <cp:keywords>2031042A</cp:keywords>
  <dc:description>17 November 2020_x000d_
Distr.: General_x000d_
Original: English</dc:description>
  <cp:lastModifiedBy>Jamela CHEDAD</cp:lastModifiedBy>
  <cp:revision>2</cp:revision>
  <dcterms:created xsi:type="dcterms:W3CDTF">2020-11-23T07:53:00Z</dcterms:created>
  <dcterms:modified xsi:type="dcterms:W3CDTF">2020-11-23T07:53:00Z</dcterms:modified>
</cp:coreProperties>
</file>