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43234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040806   070806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4294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CAT/C/GEO/CO/3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25 July 2006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КОМИТЕТ ПРОТИВ ПЫТОК</w:t>
      </w:r>
    </w:p>
    <w:p w:rsidR="00000000" w:rsidRDefault="00000000">
      <w:r>
        <w:t>Тридцать шестая сессия</w:t>
      </w:r>
    </w:p>
    <w:p w:rsidR="00000000" w:rsidRDefault="00000000">
      <w:r>
        <w:t>1-19 мая 2006 года</w:t>
      </w:r>
    </w:p>
    <w:p w:rsidR="00000000" w:rsidRDefault="00000000"/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Выводы и рекомендации Комитета против пыток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spacing w:line="240" w:lineRule="auto"/>
        <w:jc w:val="center"/>
      </w:pPr>
      <w:r>
        <w:rPr>
          <w:b/>
          <w:bCs/>
        </w:rPr>
        <w:t>ГРУЗИЯ</w:t>
      </w:r>
    </w:p>
    <w:p w:rsidR="00000000" w:rsidRDefault="00000000">
      <w:pPr>
        <w:spacing w:line="240" w:lineRule="auto"/>
        <w:jc w:val="center"/>
      </w:pPr>
    </w:p>
    <w:p w:rsidR="00000000" w:rsidRDefault="00000000">
      <w:r>
        <w:t>1.</w:t>
      </w:r>
      <w:r>
        <w:tab/>
        <w:t>Комитет рассмотрел третий доклад Республики Грузии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/73/</w:t>
      </w:r>
      <w:r>
        <w:rPr>
          <w:lang w:val="en-US"/>
        </w:rPr>
        <w:t>Add</w:t>
      </w:r>
      <w:r>
        <w:t>.1) на своих 699-м и 702-м заседаниях (САТ/С/</w:t>
      </w:r>
      <w:r>
        <w:rPr>
          <w:lang w:val="en-US"/>
        </w:rPr>
        <w:t>SR</w:t>
      </w:r>
      <w:r>
        <w:t xml:space="preserve">.699 и 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.702), состоявшихся 3 и 4 мая 2006 года, и на своем 716-м заседании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.716) принял нижеследующие выводы и рекомендации.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jc w:val="center"/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spacing w:line="240" w:lineRule="auto"/>
      </w:pPr>
    </w:p>
    <w:p w:rsidR="00000000" w:rsidRDefault="00000000">
      <w:r>
        <w:t>2.</w:t>
      </w:r>
      <w:r>
        <w:tab/>
        <w:t>Комитет приветствует своевременное представление третьего периодического доклада Грузии и содержащуюся в нем информацию.  Комитет выражает свою признательность за присутствие многочисленной делегации высокого уровня, которое облегчило конструктивный устный обмен мнениями в ходе рассмотрения доклада.  Комитет с признательностью отмечает также исчерпывающие письменные и устные ответы на вопросы, поднятые в ходе этого диалога.</w:t>
      </w:r>
    </w:p>
    <w:p w:rsidR="00000000" w:rsidRDefault="00000000"/>
    <w:p w:rsidR="00000000" w:rsidRDefault="00000000">
      <w:r>
        <w:t>3.</w:t>
      </w:r>
      <w:r>
        <w:tab/>
        <w:t>Комитет отмечает, что после обретения государством-участником независимости в 1991 году на части его территории продолжался внутренний конфликт.  В частности, вызывает серьезную обеспокоенность ситуация в самопровозглашенных автономных республиках Абхазии и Южной Осетии с учетом того, что в последнем случае создавшееся положение привело к появлению более чем 215 000 внутренне перемещенных лиц.  Принимая во внимание вышесказанное, Комитет хотел бы напомнить государству-участнику о том, что полное запрещение пыток не допускает ссылок ни на какие исключительные обстоятельства.</w:t>
      </w:r>
    </w:p>
    <w:p w:rsidR="00000000" w:rsidRDefault="00000000"/>
    <w:p w:rsidR="00000000" w:rsidRDefault="00000000">
      <w:pPr>
        <w:keepNext/>
        <w:jc w:val="center"/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/>
    <w:p w:rsidR="00000000" w:rsidRDefault="00000000">
      <w:r>
        <w:t>4.</w:t>
      </w:r>
      <w:r>
        <w:tab/>
        <w:t>Комитет приветствует присоединение государства-участника 9 августа 2005 года к Факультативному протоколу к Конвенции против пыток и других жестоких, бесчеловечных или унижающих достоинство видов обращения и наказания, а также заявления, сделанные в соответствии со статьями 21 и 22 Конвенции, и рекомендует государству-участнику проинформировать практикующих специалистов и широкую общественность о доступности этих мер.</w:t>
      </w:r>
    </w:p>
    <w:p w:rsidR="00000000" w:rsidRDefault="00000000"/>
    <w:p w:rsidR="00000000" w:rsidRDefault="00000000">
      <w:r>
        <w:t>5.</w:t>
      </w:r>
      <w:r>
        <w:tab/>
        <w:t>Комитет отмечает также, что за период, прошедший после рассмотрения последнего доклада, государство-участник ратифицировало Факультативный протокол к Конвенции о ликвидации всех форм дискриминации в отношении женщин, Факультативный протокол к Конвенции о правах ребенка, касающийся торговли детьми, детской проституции и детской порнографии, и Римский статут Международного уголовного суда.</w:t>
      </w:r>
    </w:p>
    <w:p w:rsidR="00000000" w:rsidRDefault="00000000"/>
    <w:p w:rsidR="00000000" w:rsidRDefault="00000000">
      <w:r>
        <w:t>6.</w:t>
      </w:r>
      <w:r>
        <w:tab/>
        <w:t>Комитет отмечает далее присоединение государства-участника к региональным договорам, в частности к Европейской конвенции о предупреждении пыток и бесчеловечного или унижающего достоинство обращения или наказания, Европейской конвенции о выдаче и Европейской конвенции о передаче судопроизводства по уголовным делам, или их ратификацию.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 предпринимаемые на государственном уровне усилия по реформированию законодательства, политики и процедур в целях усиления защиты прав человека, включая право не подвергаться пыткам и другим жестоким, бесчеловечным или унижающим достоинство видам обращения и наказания, в частности:</w:t>
      </w:r>
    </w:p>
    <w:p w:rsidR="00000000" w:rsidRDefault="00000000"/>
    <w:p w:rsidR="00000000" w:rsidRDefault="00000000">
      <w:r>
        <w:tab/>
        <w:t>а)</w:t>
      </w:r>
      <w:r>
        <w:tab/>
        <w:t>пересмотр Уголовно-процессуального кодекса, в частности статьи 144, в результате которого грузинское законодательство приведено в соответствие с международными нормами в отношении определения пыток;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разработку Плана действий по борьбе против пыток в Грузии, Плана мероприятий по реформированию и развитию системы исполнения наказаний, а также национального плана действий против торговли людьми (треффикинга) и усилия по укреплению государственных учреждений, включая создание следственного департамента в министерстве юстиции в 2005 году;</w:t>
      </w:r>
    </w:p>
    <w:p w:rsidR="00000000" w:rsidRDefault="00000000">
      <w:pPr>
        <w:ind w:left="1134" w:hanging="1134"/>
      </w:pPr>
    </w:p>
    <w:p w:rsidR="00000000" w:rsidRDefault="00000000">
      <w:r>
        <w:tab/>
        <w:t>с)</w:t>
      </w:r>
      <w:r>
        <w:tab/>
        <w:t>принятие новых законов, таких, как Закон о насилии в семье в апреле 2006 года, и разработку проекта нового закона о торговле людьми, а также нового Уголовно-исполнительного кодекса для рассмотрения парламентом в 2006 году;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проведение структурных и экономических реформ, которые позволили государству выделить дополнительные ресурсы на улучшение условий содержания в местах заключения;</w:t>
      </w:r>
    </w:p>
    <w:p w:rsidR="00000000" w:rsidRDefault="00000000">
      <w:pPr>
        <w:ind w:left="1134" w:hanging="1134"/>
      </w:pPr>
    </w:p>
    <w:p w:rsidR="00000000" w:rsidRDefault="00000000">
      <w:r>
        <w:tab/>
        <w:t>е)</w:t>
      </w:r>
      <w:r>
        <w:tab/>
        <w:t>подписание в 2004 году меморандума о понимании между министерством внутренних дел и аппаратом Народного защитника (омбудсмена), позволяющего аппарату Народного защитника уполномочивать группы по мониторингу, в состав которых входят представители неправительственных организаций, без предупреждения посещать любые места содержания под стражей, подведомственные министерству внутренних дел.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>8.</w:t>
      </w:r>
      <w:r>
        <w:tab/>
        <w:t>Комитет с удовлетворением принимает к сведению существование круглосуточной</w:t>
      </w:r>
    </w:p>
    <w:p w:rsidR="00000000" w:rsidRDefault="00000000">
      <w:pPr>
        <w:ind w:left="1134" w:hanging="1134"/>
      </w:pPr>
      <w:r>
        <w:t>"горячей линии" для направления жалоб на применение пыток и призывает государство-</w:t>
      </w:r>
    </w:p>
    <w:p w:rsidR="00000000" w:rsidRDefault="00000000">
      <w:pPr>
        <w:ind w:left="1134" w:hanging="1134"/>
      </w:pPr>
      <w:r>
        <w:t>участник обеспечить более широкое распространение информации о наличии такой</w:t>
      </w:r>
    </w:p>
    <w:p w:rsidR="00000000" w:rsidRDefault="00000000">
      <w:pPr>
        <w:ind w:left="1134" w:hanging="1134"/>
      </w:pPr>
      <w:r>
        <w:t>линии.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  <w:jc w:val="center"/>
      </w:pPr>
      <w:r>
        <w:rPr>
          <w:b/>
          <w:bCs/>
        </w:rPr>
        <w:t>С.</w:t>
      </w:r>
      <w:r>
        <w:rPr>
          <w:b/>
          <w:bCs/>
        </w:rPr>
        <w:tab/>
        <w:t>Основные вопросы, вызывающие обеспокоенность, и рекомендации</w:t>
      </w:r>
    </w:p>
    <w:p w:rsidR="00000000" w:rsidRDefault="00000000">
      <w:pPr>
        <w:ind w:left="1134" w:hanging="1134"/>
      </w:pPr>
    </w:p>
    <w:p w:rsidR="00000000" w:rsidRDefault="00000000">
      <w:r>
        <w:t>9.</w:t>
      </w:r>
      <w:r>
        <w:tab/>
        <w:t>Комитет по</w:t>
      </w:r>
      <w:r>
        <w:noBreakHyphen/>
        <w:t>прежнему обеспокоен тем, что, несмотря на широкомасштабные реформы законодательства, в государстве-участнике сохраняется обстановка безнаказанности и запугивания, в частности в отношении применения чрезмерной силы, включая пытки и другие формы жестокого обращения со стороны сотрудников правоохранительных органов, особенно до ареста и в ходе задержания, во время беспорядков в тюрьмах и в ходе борьбы с организованной преступностью (статья 2).</w:t>
      </w:r>
    </w:p>
    <w:p w:rsidR="00000000" w:rsidRDefault="00000000"/>
    <w:p w:rsidR="00000000" w:rsidRDefault="00000000">
      <w:pPr>
        <w:ind w:left="567"/>
        <w:rPr>
          <w:b/>
          <w:bCs/>
          <w:lang w:val="en-US"/>
        </w:rPr>
      </w:pPr>
      <w:r>
        <w:rPr>
          <w:b/>
          <w:bCs/>
        </w:rPr>
        <w:t>Государству-участнику следует уделять более пристальное внимание усилиям по формированию культуры прав человека путем разработки и осуществления политики полной недопустимости злоупотреблений на всех уровнях органов полиции, а также со стороны всех сотрудников пенитенциарных учреждений.  В рамках такой политики следует выявить проблемы и принять меры к их решению, а также разработать кодекс поведения для всех должностных лиц, в том числе участвующих в борьбе с организованной преступностью, и предусмотреть регулярный мониторинг со стороны независимого надзорного органа.</w:t>
      </w:r>
    </w:p>
    <w:p w:rsidR="00000000" w:rsidRDefault="00000000">
      <w:pPr>
        <w:ind w:left="567"/>
        <w:rPr>
          <w:lang w:val="en-US"/>
        </w:rPr>
      </w:pPr>
    </w:p>
    <w:p w:rsidR="00000000" w:rsidRDefault="00000000">
      <w:r>
        <w:t>10.</w:t>
      </w:r>
      <w:r>
        <w:tab/>
        <w:t>Комитет отмечает, что в настоящее время существует очевидное противоречие между статьями 17 и 18(4) Конституции:  если в первой из этих статей право на защиту от пыток признается не допускающим отступлений, то в статье 18(4) допускается отступление от определенных прав (статья 2).</w:t>
      </w:r>
    </w:p>
    <w:p w:rsidR="00000000" w:rsidRDefault="00000000">
      <w:pPr>
        <w:spacing w:line="216" w:lineRule="auto"/>
      </w:pPr>
    </w:p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привести статью 18 (4) своей Конституции в соответствие с Конвенцией.  Комитет рекомендует также, чтобы принятие исключительных мер в условиях чрезвычайного положения соответствовало положениям Конвенции.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11.</w:t>
      </w:r>
      <w:r>
        <w:tab/>
        <w:t>Комитет обеспокоен степенью соблюдения государством-участником статьи 3 Конвенции, в частности использованием дипломатических заверений при рассмотрении ходатайств о высылке, возвращении или выдаче лиц, обвиняемых в преступной деятельности (статья 3).</w:t>
      </w:r>
    </w:p>
    <w:p w:rsidR="00000000" w:rsidRDefault="00000000"/>
    <w:p w:rsidR="00000000" w:rsidRDefault="00000000">
      <w:pPr>
        <w:ind w:left="567"/>
      </w:pPr>
      <w:r>
        <w:rPr>
          <w:b/>
          <w:bCs/>
        </w:rPr>
        <w:t>Государству-участнику следует рассматривать каждое дело в индивидуальном порядке и использовать практику запрашивания дипломатических заверений крайне осмотрительно.  Государству-участнику надлежит представить Комитету подробные сведения о том, сколько с 2002 года было отмечено случаев высылки, возвращения и выдачи после получения дипломатических заверений и гарантий, каким, по мнению государства-участника, должно быть минимальное содержание таких заверений и гарантий и какие меры по последующему мониторингу оно принимает в подобных случаях.</w:t>
      </w:r>
    </w:p>
    <w:p w:rsidR="00000000" w:rsidRDefault="00000000">
      <w:pPr>
        <w:spacing w:line="216" w:lineRule="auto"/>
        <w:ind w:left="567"/>
      </w:pPr>
    </w:p>
    <w:p w:rsidR="00000000" w:rsidRDefault="00000000">
      <w:r>
        <w:t>12.</w:t>
      </w:r>
      <w:r>
        <w:tab/>
        <w:t>Комитет обеспокоен также относительно незначительным числом обвинительных приговоров и дисциплинарных мер в отношении должностных лиц правоохранительных органов в свете многочисленных и широко распространенных утверждений о применении пыток и других видов жестокого и бесчеловечного или унижающего достоинство обращения, а также отсутствием практики широкого освещения таких дел (статья 4).</w:t>
      </w:r>
    </w:p>
    <w:p w:rsidR="00000000" w:rsidRDefault="00000000">
      <w:pPr>
        <w:spacing w:line="240" w:lineRule="auto"/>
      </w:pPr>
    </w:p>
    <w:p w:rsidR="00000000" w:rsidRDefault="00000000">
      <w:pPr>
        <w:ind w:left="567"/>
      </w:pPr>
      <w:r>
        <w:rPr>
          <w:b/>
          <w:bCs/>
        </w:rPr>
        <w:t>Государству-участнику следует укрепить свои следственные органы, включая органы Генеральной прокуратуры, в целях оперативного и тщательного расследования всех утверждений о применении пыток и недозволенных методов обращения, а также обеспечить регулярную публикацию и доступность для населения статистических данных об осуждениях и дисциплинарных мерах.</w:t>
      </w:r>
    </w:p>
    <w:p w:rsidR="00000000" w:rsidRDefault="00000000">
      <w:pPr>
        <w:ind w:left="567"/>
      </w:pPr>
    </w:p>
    <w:p w:rsidR="00000000" w:rsidRDefault="00000000">
      <w:r>
        <w:t>13.</w:t>
      </w:r>
      <w:r>
        <w:tab/>
        <w:t>Комитет обеспокоен также поступившей от неправительственных организаций информацией о том, что в некоторых случаях задержанные должным образом не уведомляются об их праве на помощь защитника или об их праве на обследование врачом по их собственному выбору (статья 6).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предпринять все необходимые шаги для обеспечения должного уведомления всех задержанных лиц об их правах сразу же после ареста и проинформировать Комитет о конкретных мерах, принятых в этой связи.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 xml:space="preserve">14. </w:t>
      </w:r>
      <w:r>
        <w:tab/>
        <w:t>Комитет обеспокоен информацией о существовании соглашений, согласно которым граждане некоторых государств, находящиеся на территории Грузии, не могут быть выданы Международному Суду в целях их судебного преследования за военные преступления или преступления против человечности (статьи 6 и 8).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Согласно</w:t>
      </w:r>
      <w:r>
        <w:t xml:space="preserve"> </w:t>
      </w:r>
      <w:r>
        <w:rPr>
          <w:b/>
          <w:bCs/>
        </w:rPr>
        <w:t>статьям 6 и 8 Конвенции, государству-участнику следует принять все необходимые меры для пересмотра соответствующих положений тех соглашений, которые запрещают выдавать Международному Суду находящихся на территории Грузии граждан некоторых государств.</w:t>
      </w:r>
    </w:p>
    <w:p w:rsidR="00000000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00000">
      <w:r>
        <w:t>15.</w:t>
      </w:r>
      <w:r>
        <w:tab/>
        <w:t>Комитет обеспокоен отсутствием конкретной доступной информации об отдаче от профессиональной подготовки должностных лиц правоохранительных органов и о степени эффективности программ подготовки в деле уменьшения числа случаев насилия и жестокого обращения в учреждениях системы исполнения наказаний (статья 10).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продолжать свое сотрудничество с Организацией по безопасности и сотрудничеству в Европе, Организацией Объединенных Наций и другими международными и национальными организациями в деле разработки учебных программ для должностных лиц правоохранительных органов и пенитенциарных учреждений, а также разработать и использовать методологию оценки эффективности и влияния таких программ на сокращение случаев насилия, жестокого обращения и пыток.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16.</w:t>
      </w:r>
      <w:r>
        <w:tab/>
        <w:t>Комитет обеспокоен большим числом жалоб, поступающих от заключенных, а также сообщениями о том, что должностные лица носят маски в ходе рейдов и не имеют удостоверяющих их личность жетонов, что делает невозможным установление их личности в случае подачи заключенным жалобы на применение пыток или жестокое обращение (статьи 2 и 11).</w:t>
      </w:r>
    </w:p>
    <w:p w:rsidR="00000000" w:rsidRDefault="00000000"/>
    <w:p w:rsidR="00000000" w:rsidRDefault="00000000">
      <w:pPr>
        <w:ind w:left="567"/>
      </w:pPr>
      <w:r>
        <w:rPr>
          <w:b/>
          <w:bCs/>
        </w:rPr>
        <w:t>Государству-участнику следует снабдить всех сотрудников учреждений системы исполнения наказаний, включая специальные силы, постоянно носимыми на видном месте жетонами, удостоверяющими личность, для обеспечения защиты заключенных от актов, совершаемых в нарушение Конвенции.</w:t>
      </w:r>
      <w:r>
        <w:t xml:space="preserve"> </w:t>
      </w:r>
    </w:p>
    <w:p w:rsidR="00000000" w:rsidRDefault="00000000">
      <w:pPr>
        <w:ind w:left="567"/>
      </w:pPr>
    </w:p>
    <w:p w:rsidR="00000000" w:rsidRDefault="00000000">
      <w:r>
        <w:t>17.</w:t>
      </w:r>
      <w:r>
        <w:tab/>
        <w:t>Комитет особенно обеспокоен большим числом внезапных смертей в условиях содержания под стражей и отсутствием подробной информации о причинах смерти в каждом случае.  Комитет обеспокоен также высокой смертностью от туберкулеза (статьи</w:t>
      </w:r>
      <w:r>
        <w:rPr>
          <w:lang w:val="en-US"/>
        </w:rPr>
        <w:t> </w:t>
      </w:r>
      <w:r>
        <w:t>6 и12).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представить подробную информацию о причинах и обстоятельствах всех внезапных смертей в местах содержания под стражей, а также информацию о проведении в этой связи независимых расследований.  Комитет далее призывает государство-участника продолжать  сотрудничать с Международным комитетом Красного Креста и неправительственными организациями в деле осуществления программ, связанных с лечением туберкулеза, с распространением и с контролем за использованием лекарств в пенитенциарных учреждениях на всей его территории.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18.</w:t>
      </w:r>
      <w:r>
        <w:tab/>
        <w:t>Комитет обеспокоен плохими условиями содержания во многих пенитенциарных учреждениях, особенно в регионах, а также переполненностью многих центров временного содержания под стражей, особенно камер предварительного содержания (статья 11).</w:t>
      </w:r>
    </w:p>
    <w:p w:rsidR="00000000" w:rsidRDefault="00000000">
      <w:r>
        <w:tab/>
      </w:r>
    </w:p>
    <w:p w:rsidR="00000000" w:rsidRDefault="00000000">
      <w:pPr>
        <w:ind w:left="567"/>
        <w:rPr>
          <w:b/>
          <w:bCs/>
        </w:rPr>
      </w:pPr>
      <w:r>
        <w:rPr>
          <w:b/>
          <w:bCs/>
        </w:rPr>
        <w:t xml:space="preserve">Государству-участнику следует рассмотреть:  а)  вопрос о дальнейшем сокращении срока предварительного содержания под стражей;  </w:t>
      </w:r>
      <w:r>
        <w:rPr>
          <w:b/>
          <w:bCs/>
          <w:lang w:val="en-US"/>
        </w:rPr>
        <w:t>b</w:t>
      </w:r>
      <w:r>
        <w:rPr>
          <w:b/>
          <w:bCs/>
        </w:rPr>
        <w:t>)  вопрос об ускорении заполнения вакантных должностей в судебной системе;  и  с)  вопрос о принятии альтернативных мер в тех случаях, когда обвиняемый не представляет угрозы для общества.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19.</w:t>
      </w:r>
      <w:r>
        <w:tab/>
        <w:t>Комитет обеспокоен также тем, что женщинам в местах содержания под стражей может не обеспечиваться надлежащая защита, и тем, что у него нет информации о насилии в отношении женщин в условиях содержания под стражей или о существующих процедурах подачи жалобы (статья 11).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следует обеспечить защиту женщин в местах содержания под стражей и установить четкие процедуры подачи жалоб.</w:t>
      </w:r>
    </w:p>
    <w:p w:rsidR="00000000" w:rsidRDefault="00000000">
      <w:pPr>
        <w:keepNext/>
        <w:ind w:left="567"/>
        <w:rPr>
          <w:b/>
          <w:bCs/>
        </w:rPr>
      </w:pPr>
    </w:p>
    <w:p w:rsidR="00000000" w:rsidRDefault="00000000">
      <w:pPr>
        <w:keepNext/>
      </w:pPr>
      <w:r>
        <w:br w:type="page"/>
        <w:t>20.</w:t>
      </w:r>
      <w:r>
        <w:tab/>
        <w:t>Комитет отмечает, что, хотя Конституция и Уголовно-процессуальный кодекс содержат положения, касающиеся права жертв на компенсацию, отдельный закон, предусматривающий возмещение ущерба, отсутствует.  Комитет обеспокоен также отсутствием доступной информации о числе жертв, которые, возможно, получили ту или иную форму помощи или были реабилитированы (статья 14).</w:t>
      </w:r>
    </w:p>
    <w:p w:rsidR="00000000" w:rsidRDefault="00000000">
      <w:pPr>
        <w:keepNext/>
      </w:pPr>
    </w:p>
    <w:p w:rsidR="00000000" w:rsidRDefault="00000000">
      <w:pPr>
        <w:keepNext/>
        <w:ind w:left="567"/>
        <w:rPr>
          <w:b/>
          <w:bCs/>
        </w:rPr>
      </w:pPr>
      <w:r>
        <w:rPr>
          <w:b/>
          <w:bCs/>
        </w:rPr>
        <w:t>Государству-участнику следует  рассмотреть вопрос о принятии конкретного законодательства о компенсации, возмещении и реституции и тем временем принять практические меры для обеспечения жертвам восстановления их прав, а также справедливой и адекватной компенсации, включая средства для достижения как можно более полной реабилитации.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21.</w:t>
      </w:r>
      <w:r>
        <w:tab/>
        <w:t>Государству-участнику следует включить в свой следующий периодический доклад подробные статистические данные в разбивке по типам преступлений, этническому и гендерному признакам о жалобах, касающихся актов пыток и жестокого обращения, предположительно совершенных должностными лицами правоохранительных органов, и о соответствующих расследованиях, судебных преследованиях и мерах уголовного и дисциплинарного характера.  Предлагается также представить информацию о любых компенсациях и мерах реабилитации, предоставленных жертвам.</w:t>
      </w:r>
    </w:p>
    <w:p w:rsidR="00000000" w:rsidRDefault="00000000"/>
    <w:p w:rsidR="00000000" w:rsidRDefault="00000000">
      <w:r>
        <w:t>22.</w:t>
      </w:r>
      <w:r>
        <w:tab/>
        <w:t>Государству-участнику рекомендуется широко распространить доклады, представленные Грузией, а также выводы и рекомендации Комитета на соответствующих языках, используя с этой целью официальные вебсайты, средства массовой информации и неправительственные организации.  Кроме того, Комитет призывает государство-участник широко обсудить выводы и рекомендации, в том числе с аппаратом Народного защитника и неправительственными организациями, особенно с теми, кто представил государству-участнику информацию и участвовал в подготовке доклада.</w:t>
      </w:r>
    </w:p>
    <w:p w:rsidR="00000000" w:rsidRDefault="00000000"/>
    <w:p w:rsidR="00000000" w:rsidRDefault="00000000">
      <w:r>
        <w:t>23.</w:t>
      </w:r>
      <w:r>
        <w:tab/>
        <w:t>Комитет просит государство-участник представить в течение одного года информацию о принятых им мерах по реализации рекомендаций Комитета, изложенных  в пунктах 9, 13, 16, 17 и 19 выше.</w:t>
      </w:r>
    </w:p>
    <w:p w:rsidR="00000000" w:rsidRDefault="00000000"/>
    <w:p w:rsidR="00000000" w:rsidRDefault="00000000">
      <w:r>
        <w:t>24.</w:t>
      </w:r>
      <w:r>
        <w:tab/>
        <w:t>Государству-участнику предлагается представить свой следующий периодический доклад, который будет считаться его пятым докладом, к 24 ноября 2011 года.</w:t>
      </w:r>
    </w:p>
    <w:p w:rsidR="00000000" w:rsidRDefault="00000000"/>
    <w:p w:rsidR="00000000" w:rsidRDefault="00000000">
      <w:pPr>
        <w:jc w:val="center"/>
        <w:rPr>
          <w:lang w:val="en-US"/>
        </w:rPr>
      </w:pPr>
      <w:r>
        <w:t>-----</w:t>
      </w:r>
      <w:r>
        <w:rPr>
          <w:lang w:val="en-US"/>
        </w:rPr>
        <w:t>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CAT/C/GEO/CO/3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8306"/>
        <w:tab w:val="left" w:pos="708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CAT/C/GEO/CO/3</w:t>
    </w:r>
  </w:p>
  <w:p w:rsidR="00000000" w:rsidRDefault="00000000">
    <w:pPr>
      <w:pStyle w:val="Header"/>
      <w:tabs>
        <w:tab w:val="clear" w:pos="8306"/>
        <w:tab w:val="left" w:pos="6521"/>
        <w:tab w:val="left" w:pos="7083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8306"/>
        <w:tab w:val="left" w:pos="6521"/>
        <w:tab w:val="left" w:pos="7083"/>
      </w:tabs>
      <w:rPr>
        <w:rStyle w:val="PageNumber"/>
        <w:lang w:val="en-US"/>
      </w:rPr>
    </w:pPr>
  </w:p>
  <w:p w:rsidR="00000000" w:rsidRDefault="00000000">
    <w:pPr>
      <w:pStyle w:val="Header"/>
      <w:tabs>
        <w:tab w:val="clear" w:pos="8306"/>
        <w:tab w:val="left" w:pos="708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2103</Words>
  <Characters>11991</Characters>
  <Application>Microsoft Office Word</Application>
  <DocSecurity>4</DocSecurity>
  <Lines>99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0643234.</vt:lpstr>
    </vt:vector>
  </TitlesOfParts>
  <Company> 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0643234.</dc:title>
  <dc:subject/>
  <dc:creator>Argounova</dc:creator>
  <cp:keywords/>
  <dc:description/>
  <cp:lastModifiedBy>Аргунова</cp:lastModifiedBy>
  <cp:revision>3</cp:revision>
  <cp:lastPrinted>2006-08-07T05:25:00Z</cp:lastPrinted>
  <dcterms:created xsi:type="dcterms:W3CDTF">2006-08-07T05:25:00Z</dcterms:created>
  <dcterms:modified xsi:type="dcterms:W3CDTF">2006-08-07T05:25:00Z</dcterms:modified>
</cp:coreProperties>
</file>