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E65C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E65CD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EB4BEA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8E26A0" w:rsidP="00E65CDD">
            <w:pPr>
              <w:jc w:val="right"/>
            </w:pPr>
            <w:r w:rsidRPr="008E26A0">
              <w:rPr>
                <w:sz w:val="40"/>
              </w:rPr>
              <w:t>CRC</w:t>
            </w:r>
            <w:r>
              <w:t>/C/GEO/CO/4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E65CDD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CD9BE2" wp14:editId="76E232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E65CDD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</w:t>
            </w:r>
            <w:r w:rsidR="00EB4BEA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relative</w:t>
            </w:r>
            <w:r w:rsidRPr="00262665">
              <w:rPr>
                <w:b/>
                <w:sz w:val="40"/>
                <w:szCs w:val="40"/>
              </w:rPr>
              <w:br/>
              <w:t>aux</w:t>
            </w:r>
            <w:r w:rsidR="00EB4BEA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droits</w:t>
            </w:r>
            <w:r w:rsidR="00EB4BEA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de</w:t>
            </w:r>
            <w:r w:rsidR="00EB4BEA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l</w:t>
            </w:r>
            <w:r w:rsidR="008E26A0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8E26A0" w:rsidP="00E65CDD">
            <w:pPr>
              <w:spacing w:before="240"/>
            </w:pPr>
            <w:r>
              <w:t>Distr.</w:t>
            </w:r>
            <w:r w:rsidR="00EB4BEA">
              <w:t xml:space="preserve"> </w:t>
            </w:r>
            <w:r>
              <w:t>générale</w:t>
            </w:r>
          </w:p>
          <w:p w:rsidR="008E26A0" w:rsidRDefault="008E26A0" w:rsidP="00E65CDD">
            <w:pPr>
              <w:spacing w:line="240" w:lineRule="exact"/>
            </w:pPr>
            <w:r>
              <w:t>9</w:t>
            </w:r>
            <w:r w:rsidR="00EB4BEA">
              <w:t xml:space="preserve"> </w:t>
            </w:r>
            <w:r>
              <w:t>mars</w:t>
            </w:r>
            <w:r w:rsidR="00EB4BEA">
              <w:t xml:space="preserve"> </w:t>
            </w:r>
            <w:r>
              <w:t>2017</w:t>
            </w:r>
          </w:p>
          <w:p w:rsidR="008E26A0" w:rsidRDefault="008E26A0" w:rsidP="00E65CDD">
            <w:pPr>
              <w:spacing w:line="240" w:lineRule="exact"/>
            </w:pPr>
            <w:r>
              <w:t>Français</w:t>
            </w:r>
          </w:p>
          <w:p w:rsidR="008E26A0" w:rsidRPr="00DB58B5" w:rsidRDefault="008E26A0" w:rsidP="00E65CDD">
            <w:pPr>
              <w:spacing w:line="240" w:lineRule="exact"/>
            </w:pPr>
            <w:r>
              <w:t>Original</w:t>
            </w:r>
            <w:r w:rsidR="00EB4BEA">
              <w:t xml:space="preserve"> : </w:t>
            </w:r>
            <w:r>
              <w:t>anglais</w:t>
            </w:r>
          </w:p>
        </w:tc>
      </w:tr>
    </w:tbl>
    <w:p w:rsidR="002D14A3" w:rsidRDefault="002D14A3" w:rsidP="00E65CDD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</w:t>
      </w:r>
      <w:r w:rsidR="00EB4BEA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des</w:t>
      </w:r>
      <w:r w:rsidR="00EB4BEA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droits</w:t>
      </w:r>
      <w:r w:rsidR="00EB4BEA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</w:t>
      </w:r>
      <w:r w:rsidR="00EB4BEA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l</w:t>
      </w:r>
      <w:r w:rsidR="008E26A0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8E26A0" w:rsidRPr="00FB6D70" w:rsidRDefault="008E26A0" w:rsidP="00E65CDD">
      <w:pPr>
        <w:pStyle w:val="HChG"/>
        <w:keepLines w:val="0"/>
        <w:rPr>
          <w:bCs/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Observat</w:t>
      </w:r>
      <w:bookmarkStart w:id="0" w:name="_GoBack"/>
      <w:bookmarkEnd w:id="0"/>
      <w:r w:rsidRPr="00FB6D70">
        <w:rPr>
          <w:lang w:val="fr-FR"/>
        </w:rPr>
        <w:t>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finales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concernant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quatrième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rapport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périodique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Géorgie</w:t>
      </w:r>
      <w:r w:rsidR="008736EB" w:rsidRPr="008736E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8E26A0" w:rsidRPr="00FB6D70" w:rsidRDefault="008E26A0" w:rsidP="00E65CDD">
      <w:pPr>
        <w:pStyle w:val="HChG"/>
        <w:keepLines w:val="0"/>
        <w:rPr>
          <w:lang w:val="fr-FR"/>
        </w:rPr>
      </w:pPr>
      <w:r w:rsidRPr="00FB6D70">
        <w:rPr>
          <w:lang w:val="fr-FR"/>
        </w:rPr>
        <w:tab/>
        <w:t>I.</w:t>
      </w:r>
      <w:r w:rsidRPr="00FB6D70">
        <w:rPr>
          <w:lang w:val="fr-FR"/>
        </w:rPr>
        <w:tab/>
        <w:t>Introduction</w:t>
      </w:r>
    </w:p>
    <w:p w:rsidR="008E26A0" w:rsidRPr="00FB6D70" w:rsidRDefault="008E26A0" w:rsidP="00E65CDD">
      <w:pPr>
        <w:pStyle w:val="ParNoG"/>
        <w:rPr>
          <w:lang w:val="fr-FR"/>
        </w:rPr>
      </w:pP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examiné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quatrième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rapport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périodique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Gé</w:t>
      </w:r>
      <w:r w:rsidR="00EB4BEA">
        <w:rPr>
          <w:lang w:val="fr-FR"/>
        </w:rPr>
        <w:t>orgie (CRC/C/GEO/4) à ses 2178</w:t>
      </w:r>
      <w:r w:rsidR="00EB4BEA" w:rsidRPr="00EB4BEA">
        <w:rPr>
          <w:vertAlign w:val="superscript"/>
          <w:lang w:val="fr-FR"/>
        </w:rPr>
        <w:t>e</w:t>
      </w:r>
      <w:r w:rsidR="00EB4BEA">
        <w:rPr>
          <w:lang w:val="fr-FR"/>
        </w:rPr>
        <w:t xml:space="preserve"> et 2179</w:t>
      </w:r>
      <w:r w:rsidR="00EB4BEA" w:rsidRPr="00EB4BEA">
        <w:rPr>
          <w:vertAlign w:val="superscript"/>
          <w:lang w:val="fr-FR"/>
        </w:rPr>
        <w:t>e</w:t>
      </w:r>
      <w:r w:rsidR="00EB4BEA">
        <w:rPr>
          <w:lang w:val="fr-FR"/>
        </w:rPr>
        <w:t> </w:t>
      </w:r>
      <w:r w:rsidRPr="00FB6D70">
        <w:rPr>
          <w:lang w:val="fr-FR"/>
        </w:rPr>
        <w:t>séances</w:t>
      </w:r>
      <w:r w:rsidR="00EB4BEA">
        <w:rPr>
          <w:lang w:val="fr-FR"/>
        </w:rPr>
        <w:t xml:space="preserve"> (CRC/C/SR.2178 et 2179), le 25 </w:t>
      </w:r>
      <w:r w:rsidRPr="00FB6D70">
        <w:rPr>
          <w:lang w:val="fr-FR"/>
        </w:rPr>
        <w:t>janvier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2017,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adopté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présentes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observations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finales</w:t>
      </w:r>
      <w:r w:rsidR="00EB4BEA">
        <w:rPr>
          <w:lang w:val="fr-FR"/>
        </w:rPr>
        <w:t xml:space="preserve"> à sa 2193</w:t>
      </w:r>
      <w:r w:rsidR="00EB4BEA" w:rsidRPr="00EB4BEA">
        <w:rPr>
          <w:vertAlign w:val="superscript"/>
          <w:lang w:val="fr-FR"/>
        </w:rPr>
        <w:t>e</w:t>
      </w:r>
      <w:r w:rsidR="00EB4BEA">
        <w:rPr>
          <w:lang w:val="fr-FR"/>
        </w:rPr>
        <w:t> séance, le 3 </w:t>
      </w:r>
      <w:r w:rsidRPr="00FB6D70">
        <w:rPr>
          <w:lang w:val="fr-FR"/>
        </w:rPr>
        <w:t>février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2017.</w:t>
      </w:r>
      <w:r w:rsidR="00EB4BEA">
        <w:rPr>
          <w:lang w:val="fr-FR"/>
        </w:rPr>
        <w:t xml:space="preserve"> </w:t>
      </w:r>
    </w:p>
    <w:p w:rsidR="008E26A0" w:rsidRPr="00FB6D70" w:rsidRDefault="008E26A0" w:rsidP="00E65CDD">
      <w:pPr>
        <w:pStyle w:val="ParNoG"/>
        <w:rPr>
          <w:rFonts w:eastAsia="Malgun Gothic"/>
          <w:lang w:val="fr-FR"/>
        </w:rPr>
      </w:pP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accueille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avec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satisfaction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quatrième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rapport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périodique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Géorgie,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ainsi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réponses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écrites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liste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points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(CRC/C/GEO/Q/4/Add.1),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lui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permis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mieux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appréhender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situation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droits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partie.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félicite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dialogue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constructif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</w:t>
      </w:r>
      <w:r>
        <w:rPr>
          <w:lang w:val="fr-FR"/>
        </w:rPr>
        <w:t>’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avec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délégation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multisectorielle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haut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niveau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partie.</w:t>
      </w:r>
      <w:r w:rsidR="00EB4BEA">
        <w:rPr>
          <w:lang w:val="fr-FR"/>
        </w:rPr>
        <w:t xml:space="preserve"> </w:t>
      </w:r>
    </w:p>
    <w:p w:rsidR="008E26A0" w:rsidRPr="00FB6D70" w:rsidRDefault="008736EB" w:rsidP="00E65CDD">
      <w:pPr>
        <w:pStyle w:val="HChG"/>
        <w:keepLines w:val="0"/>
        <w:rPr>
          <w:rFonts w:eastAsia="Malgun Gothic"/>
          <w:lang w:val="fr-FR"/>
        </w:rPr>
      </w:pPr>
      <w:r>
        <w:rPr>
          <w:lang w:val="fr-FR"/>
        </w:rPr>
        <w:tab/>
      </w:r>
      <w:r w:rsidR="008E26A0" w:rsidRPr="00FB6D70">
        <w:rPr>
          <w:lang w:val="fr-FR"/>
        </w:rPr>
        <w:t>II.</w:t>
      </w:r>
      <w:r w:rsidR="008E26A0" w:rsidRPr="00FB6D70">
        <w:rPr>
          <w:lang w:val="fr-FR"/>
        </w:rPr>
        <w:tab/>
        <w:t>Mesures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suivi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adoptées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progrès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réalisés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par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l</w:t>
      </w:r>
      <w:r w:rsidR="008E26A0">
        <w:rPr>
          <w:lang w:val="fr-FR"/>
        </w:rPr>
        <w:t>’</w:t>
      </w:r>
      <w:r w:rsidR="008E26A0"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="008E26A0" w:rsidRPr="00FB6D70">
        <w:rPr>
          <w:lang w:val="fr-FR"/>
        </w:rPr>
        <w:t>partie</w:t>
      </w:r>
    </w:p>
    <w:p w:rsidR="008E26A0" w:rsidRPr="00FB6D70" w:rsidRDefault="008E26A0" w:rsidP="00E65CDD">
      <w:pPr>
        <w:pStyle w:val="ParNoG"/>
        <w:rPr>
          <w:lang w:val="fr-FR"/>
        </w:rPr>
      </w:pP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salue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progrès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accomplis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nombreux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domaines,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notamment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ratification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plusieurs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instruments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internationaux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adhésion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instruments,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particulier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ratification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Protocole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facultatif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Convention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relative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droits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établissant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une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procédure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présentation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communications,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2016.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accueille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également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avec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satisfaction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adoption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nombreuses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mesures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législatives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ainsi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mesures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institutionnelles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politiques,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notamment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révision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système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</w:t>
      </w:r>
      <w:r>
        <w:rPr>
          <w:lang w:val="fr-FR"/>
        </w:rPr>
        <w:t>’</w:t>
      </w:r>
      <w:r w:rsidRPr="00FB6D70">
        <w:rPr>
          <w:lang w:val="fr-FR"/>
        </w:rPr>
        <w:t>assistance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sociale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pour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rendre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mieux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adapté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spécificités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adoption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justice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pour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mineurs,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une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autre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juin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2015,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révision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civil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décembre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2015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afin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supprimer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exceptions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âge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minimu</w:t>
      </w:r>
      <w:r w:rsidR="00EB4BEA">
        <w:rPr>
          <w:lang w:val="fr-FR"/>
        </w:rPr>
        <w:t>m du mariage, qui est fixé à 18 </w:t>
      </w:r>
      <w:r w:rsidRPr="00FB6D70">
        <w:rPr>
          <w:lang w:val="fr-FR"/>
        </w:rPr>
        <w:t>ans.</w:t>
      </w:r>
    </w:p>
    <w:p w:rsidR="008E26A0" w:rsidRPr="00FB6D70" w:rsidRDefault="008E26A0" w:rsidP="00E65CDD">
      <w:pPr>
        <w:pStyle w:val="HChG"/>
        <w:keepLines w:val="0"/>
        <w:rPr>
          <w:rFonts w:eastAsia="Malgun Gothic"/>
          <w:lang w:val="fr-FR"/>
        </w:rPr>
      </w:pPr>
      <w:r>
        <w:rPr>
          <w:lang w:val="fr-FR"/>
        </w:rPr>
        <w:tab/>
      </w:r>
      <w:r w:rsidRPr="00FB6D70">
        <w:rPr>
          <w:lang w:val="fr-FR"/>
        </w:rPr>
        <w:t>III.</w:t>
      </w:r>
      <w:r w:rsidRPr="00FB6D70">
        <w:rPr>
          <w:lang w:val="fr-FR"/>
        </w:rPr>
        <w:tab/>
        <w:t>Facteurs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difficultés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entravant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mise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œuvre</w:t>
      </w:r>
      <w:r w:rsidR="00EB4BEA">
        <w:rPr>
          <w:lang w:val="fr-FR"/>
        </w:rPr>
        <w:t xml:space="preserve"> </w:t>
      </w:r>
      <w:r w:rsidR="00EB4BEA">
        <w:rPr>
          <w:lang w:val="fr-FR"/>
        </w:rPr>
        <w:br/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Convention</w:t>
      </w:r>
    </w:p>
    <w:p w:rsidR="008E26A0" w:rsidRPr="00FB6D70" w:rsidRDefault="008E26A0" w:rsidP="00E65CDD">
      <w:pPr>
        <w:pStyle w:val="ParNoG"/>
        <w:rPr>
          <w:lang w:val="fr-FR"/>
        </w:rPr>
      </w:pP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note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n</w:t>
      </w:r>
      <w:r>
        <w:rPr>
          <w:lang w:val="fr-FR"/>
        </w:rPr>
        <w:t>’</w:t>
      </w:r>
      <w:r w:rsidRPr="00FB6D70">
        <w:rPr>
          <w:lang w:val="fr-FR"/>
        </w:rPr>
        <w:t>exerce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toujours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contrôle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effectif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Abkhazie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(Géorgie)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région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Tskhinvali</w:t>
      </w:r>
      <w:r w:rsidR="00EB4BEA">
        <w:rPr>
          <w:lang w:val="fr-FR"/>
        </w:rPr>
        <w:t>/</w:t>
      </w:r>
      <w:r w:rsidRPr="00FB6D70">
        <w:rPr>
          <w:lang w:val="fr-FR"/>
        </w:rPr>
        <w:t>Ossétie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Sud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(Géorgie),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constitue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un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obstacle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majeur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application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Convention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territoires.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félicite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efforts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entrepris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pour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appuyer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services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</w:t>
      </w:r>
      <w:r>
        <w:rPr>
          <w:lang w:val="fr-FR"/>
        </w:rPr>
        <w:t>’</w:t>
      </w:r>
      <w:r w:rsidRPr="00FB6D70">
        <w:rPr>
          <w:lang w:val="fr-FR"/>
        </w:rPr>
        <w:t>éducation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régions.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est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toutefois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préoccupé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restrictions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été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imposées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régions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concerne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liberté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circulation,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accès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services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qualité,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droit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recevoir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un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enseignement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langue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maternelle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droits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enfants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déplacés,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ainsi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persistance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</w:t>
      </w:r>
      <w:r>
        <w:rPr>
          <w:lang w:val="fr-FR"/>
        </w:rPr>
        <w:t>’</w:t>
      </w:r>
      <w:r w:rsidRPr="00FB6D70">
        <w:rPr>
          <w:lang w:val="fr-FR"/>
        </w:rPr>
        <w:t>une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discrimination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fondée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origine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ethnique.</w:t>
      </w:r>
    </w:p>
    <w:p w:rsidR="008E26A0" w:rsidRPr="00FB6D70" w:rsidRDefault="008E26A0" w:rsidP="00E65CDD">
      <w:pPr>
        <w:pStyle w:val="HChG"/>
        <w:keepLines w:val="0"/>
        <w:rPr>
          <w:rFonts w:eastAsia="Malgun Gothic"/>
          <w:lang w:val="fr-FR"/>
        </w:rPr>
      </w:pPr>
      <w:r>
        <w:rPr>
          <w:lang w:val="fr-FR"/>
        </w:rPr>
        <w:lastRenderedPageBreak/>
        <w:tab/>
      </w:r>
      <w:r w:rsidRPr="00FB6D70">
        <w:rPr>
          <w:lang w:val="fr-FR"/>
        </w:rPr>
        <w:t>IV.</w:t>
      </w:r>
      <w:r w:rsidRPr="00FB6D70">
        <w:rPr>
          <w:lang w:val="fr-FR"/>
        </w:rPr>
        <w:tab/>
        <w:t>Principaux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sujets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préoccupation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recommandations</w:t>
      </w:r>
    </w:p>
    <w:p w:rsidR="008E26A0" w:rsidRPr="00FB6D70" w:rsidRDefault="008E26A0" w:rsidP="00E65CDD">
      <w:pPr>
        <w:pStyle w:val="ParNoG"/>
        <w:rPr>
          <w:lang w:val="fr-FR"/>
        </w:rPr>
      </w:pP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Comité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rappelle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caractère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indivisible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interdépendant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tous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droits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consacrés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Convention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souligne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importance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toutes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recommandations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figurant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présentes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observations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finales.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appelle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attention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État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partie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recommandations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concernant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domaines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ci-après,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dans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lesquels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est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urgent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prendre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mesures</w:t>
      </w:r>
      <w:r w:rsidR="00EB4BEA">
        <w:rPr>
          <w:lang w:val="fr-FR"/>
        </w:rPr>
        <w:t xml:space="preserve"> : </w:t>
      </w:r>
      <w:r w:rsidRPr="00FB6D70">
        <w:rPr>
          <w:lang w:val="fr-FR"/>
        </w:rPr>
        <w:t>châtiments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corporels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maltraitance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> </w:t>
      </w:r>
      <w:r w:rsidRPr="00FB6D70">
        <w:rPr>
          <w:lang w:val="fr-FR"/>
        </w:rPr>
        <w:t>21</w:t>
      </w:r>
      <w:r w:rsidR="00EB4BEA">
        <w:rPr>
          <w:lang w:val="fr-FR"/>
        </w:rPr>
        <w:t xml:space="preserve"> et </w:t>
      </w:r>
      <w:r w:rsidRPr="00FB6D70">
        <w:rPr>
          <w:lang w:val="fr-FR"/>
        </w:rPr>
        <w:t>22),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exploitation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sexuelle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violences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sexuelles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 xml:space="preserve"> 23 et </w:t>
      </w:r>
      <w:r w:rsidRPr="00FB6D70">
        <w:rPr>
          <w:lang w:val="fr-FR"/>
        </w:rPr>
        <w:t>24),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milieu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familial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 xml:space="preserve"> 26 et </w:t>
      </w:r>
      <w:r w:rsidRPr="00FB6D70">
        <w:rPr>
          <w:lang w:val="fr-FR"/>
        </w:rPr>
        <w:t>27),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enfants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handicapés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 xml:space="preserve"> 29 et </w:t>
      </w:r>
      <w:r w:rsidRPr="00FB6D70">
        <w:rPr>
          <w:lang w:val="fr-FR"/>
        </w:rPr>
        <w:t>30),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services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> </w:t>
      </w:r>
      <w:r w:rsidRPr="00FB6D70">
        <w:rPr>
          <w:lang w:val="fr-FR"/>
        </w:rPr>
        <w:t>31</w:t>
      </w:r>
      <w:r w:rsidR="00EB4BEA">
        <w:rPr>
          <w:lang w:val="fr-FR"/>
        </w:rPr>
        <w:t xml:space="preserve"> et </w:t>
      </w:r>
      <w:r w:rsidRPr="00FB6D70">
        <w:rPr>
          <w:lang w:val="fr-FR"/>
        </w:rPr>
        <w:t>32)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enfants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déplacés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 xml:space="preserve"> 38 et </w:t>
      </w:r>
      <w:r w:rsidRPr="00FB6D70">
        <w:rPr>
          <w:lang w:val="fr-FR"/>
        </w:rPr>
        <w:t>39).</w:t>
      </w:r>
      <w:r w:rsidR="00EB4BEA">
        <w:rPr>
          <w:lang w:val="fr-FR"/>
        </w:rPr>
        <w:t xml:space="preserve"> </w:t>
      </w:r>
    </w:p>
    <w:p w:rsidR="008E26A0" w:rsidRPr="00FB6D70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tab/>
      </w:r>
      <w:r w:rsidRPr="00FB6D70">
        <w:rPr>
          <w:lang w:val="fr-FR"/>
        </w:rPr>
        <w:t>A.</w:t>
      </w:r>
      <w:r w:rsidRPr="00FB6D70">
        <w:rPr>
          <w:lang w:val="fr-FR"/>
        </w:rPr>
        <w:tab/>
        <w:t>Mesures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</w:t>
      </w:r>
      <w:r>
        <w:rPr>
          <w:lang w:val="fr-FR"/>
        </w:rPr>
        <w:t>’</w:t>
      </w:r>
      <w:r w:rsidRPr="00FB6D70">
        <w:rPr>
          <w:lang w:val="fr-FR"/>
        </w:rPr>
        <w:t>application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générales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(art.</w:t>
      </w:r>
      <w:r w:rsidR="00EB4BEA">
        <w:rPr>
          <w:lang w:val="fr-FR"/>
        </w:rPr>
        <w:t> </w:t>
      </w:r>
      <w:r w:rsidRPr="00FB6D70">
        <w:rPr>
          <w:lang w:val="fr-FR"/>
        </w:rPr>
        <w:t>4,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42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44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(par.</w:t>
      </w:r>
      <w:r w:rsidR="00EB4BEA">
        <w:rPr>
          <w:lang w:val="fr-FR"/>
        </w:rPr>
        <w:t> </w:t>
      </w:r>
      <w:r w:rsidRPr="00FB6D70">
        <w:rPr>
          <w:lang w:val="fr-FR"/>
        </w:rPr>
        <w:t>6)</w:t>
      </w:r>
      <w:r w:rsidR="00EB4BEA">
        <w:rPr>
          <w:lang w:val="fr-FR"/>
        </w:rPr>
        <w:t xml:space="preserve"> </w:t>
      </w:r>
      <w:r w:rsidR="00EB4BEA">
        <w:rPr>
          <w:lang w:val="fr-FR"/>
        </w:rPr>
        <w:br/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Convention)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Législation</w:t>
      </w:r>
    </w:p>
    <w:p w:rsidR="008E26A0" w:rsidRPr="008E26A0" w:rsidRDefault="008E26A0" w:rsidP="00E65CDD">
      <w:pPr>
        <w:pStyle w:val="ParNoG"/>
        <w:rPr>
          <w:b/>
          <w:bCs/>
          <w:lang w:val="fr-FR"/>
        </w:rPr>
      </w:pP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encourage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poursuivre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efforts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adopter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relative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transposer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l’ensemble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dispositions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ses</w:t>
      </w:r>
      <w:r w:rsidR="00EB4BEA">
        <w:rPr>
          <w:b/>
          <w:bCs/>
          <w:lang w:val="fr-FR"/>
        </w:rPr>
        <w:t xml:space="preserve"> </w:t>
      </w:r>
      <w:r w:rsidR="00A3346E" w:rsidRPr="008E26A0">
        <w:rPr>
          <w:b/>
          <w:bCs/>
          <w:lang w:val="fr-FR"/>
        </w:rPr>
        <w:t>Protocoles</w:t>
      </w:r>
      <w:r w:rsidR="00A3346E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facultatifs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faire,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solliciter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l’assistance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technique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Fonds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Unies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(UNICEF),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Politique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stratégie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globales</w:t>
      </w:r>
      <w:r w:rsidR="00EB4BEA">
        <w:rPr>
          <w:lang w:val="fr-FR"/>
        </w:rPr>
        <w:t xml:space="preserve"> </w:t>
      </w:r>
    </w:p>
    <w:p w:rsidR="008E26A0" w:rsidRPr="00EB4BEA" w:rsidRDefault="008E26A0" w:rsidP="00E65CDD">
      <w:pPr>
        <w:pStyle w:val="ParNoG"/>
        <w:keepNext/>
        <w:rPr>
          <w:b/>
          <w:bCs/>
          <w:lang w:val="fr-FR"/>
        </w:rPr>
      </w:pPr>
      <w:r w:rsidRPr="00EB4BEA">
        <w:rPr>
          <w:b/>
          <w:bCs/>
          <w:lang w:val="fr-FR"/>
        </w:rPr>
        <w:t>Le</w:t>
      </w:r>
      <w:r w:rsidR="00EB4BEA" w:rsidRPr="00EB4BEA">
        <w:rPr>
          <w:b/>
          <w:bCs/>
          <w:lang w:val="fr-FR"/>
        </w:rPr>
        <w:t xml:space="preserve"> </w:t>
      </w:r>
      <w:r w:rsidRPr="00EB4BEA">
        <w:rPr>
          <w:b/>
          <w:bCs/>
          <w:lang w:val="fr-FR"/>
        </w:rPr>
        <w:t>Comité</w:t>
      </w:r>
      <w:r w:rsidR="00EB4BEA" w:rsidRPr="00EB4BEA">
        <w:rPr>
          <w:b/>
          <w:bCs/>
          <w:lang w:val="fr-FR"/>
        </w:rPr>
        <w:t xml:space="preserve"> </w:t>
      </w:r>
      <w:r w:rsidRPr="00EB4BEA">
        <w:rPr>
          <w:b/>
          <w:bCs/>
          <w:lang w:val="fr-FR"/>
        </w:rPr>
        <w:t>recommande</w:t>
      </w:r>
      <w:r w:rsidR="00EB4BEA" w:rsidRPr="00EB4BEA">
        <w:rPr>
          <w:b/>
          <w:bCs/>
          <w:lang w:val="fr-FR"/>
        </w:rPr>
        <w:t xml:space="preserve"> </w:t>
      </w:r>
      <w:r w:rsidRPr="00EB4BEA">
        <w:rPr>
          <w:b/>
          <w:bCs/>
          <w:lang w:val="fr-FR"/>
        </w:rPr>
        <w:t>à</w:t>
      </w:r>
      <w:r w:rsidR="00EB4BEA" w:rsidRPr="00EB4BEA">
        <w:rPr>
          <w:b/>
          <w:bCs/>
          <w:lang w:val="fr-FR"/>
        </w:rPr>
        <w:t xml:space="preserve"> </w:t>
      </w:r>
      <w:r w:rsidRPr="00EB4BEA">
        <w:rPr>
          <w:b/>
          <w:bCs/>
          <w:lang w:val="fr-FR"/>
        </w:rPr>
        <w:t>l’État</w:t>
      </w:r>
      <w:r w:rsidR="00EB4BEA" w:rsidRPr="00EB4BEA">
        <w:rPr>
          <w:b/>
          <w:bCs/>
          <w:lang w:val="fr-FR"/>
        </w:rPr>
        <w:t xml:space="preserve"> </w:t>
      </w:r>
      <w:r w:rsidRPr="00EB4BEA">
        <w:rPr>
          <w:b/>
          <w:bCs/>
          <w:lang w:val="fr-FR"/>
        </w:rPr>
        <w:t>partie</w:t>
      </w:r>
      <w:r w:rsidR="00EB4BEA" w:rsidRPr="00EB4BEA">
        <w:rPr>
          <w:b/>
          <w:bCs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procéder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l’évaluation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nécessaire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progrès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accomplis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trois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afin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détecter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déficiences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éventuelles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définir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indicateurs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cibles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mesurables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surveiller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chapitre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national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protection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l’homme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période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2016-2017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consacré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mobiliser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suffisamment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moyens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humains,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financiers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techniques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national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d’action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D’élaborer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global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distinct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protection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centré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prévention,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coordonné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mesures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générales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faveur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minorités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complète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mesures.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Coordination</w:t>
      </w:r>
    </w:p>
    <w:p w:rsidR="008E26A0" w:rsidRPr="008E26A0" w:rsidRDefault="008E26A0" w:rsidP="00E65CDD">
      <w:pPr>
        <w:pStyle w:val="ParNoG"/>
        <w:rPr>
          <w:b/>
          <w:bCs/>
          <w:lang w:val="fr-FR"/>
        </w:rPr>
      </w:pP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prend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efforts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établir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conseil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coordination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chargé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national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d’action.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recommande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confier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organe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interministériel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haut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niveau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unique,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mandat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clair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autorité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suffisante,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responsabilité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principale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coordination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l’évaluation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l’échelon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intersectoriel,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national,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régional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local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aspects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stratégies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s’y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rapportant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l’enfance.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devrait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également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veiller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l’organe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coordination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ressources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humaines,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techniques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financières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requises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fonctionner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efficacement.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lastRenderedPageBreak/>
        <w:tab/>
      </w:r>
      <w:r w:rsidRPr="00FB6D70">
        <w:rPr>
          <w:lang w:val="fr-FR"/>
        </w:rPr>
        <w:tab/>
        <w:t>Allocation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ressources</w:t>
      </w:r>
    </w:p>
    <w:p w:rsidR="008E26A0" w:rsidRPr="00260F65" w:rsidRDefault="008E26A0" w:rsidP="002C3283">
      <w:pPr>
        <w:pStyle w:val="ParNoG"/>
        <w:rPr>
          <w:b/>
          <w:bCs/>
          <w:lang w:val="fr-FR"/>
        </w:rPr>
      </w:pPr>
      <w:r w:rsidRPr="00260F65">
        <w:rPr>
          <w:b/>
          <w:bCs/>
          <w:lang w:val="fr-FR"/>
        </w:rPr>
        <w:t>À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la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lumière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son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observation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générale</w:t>
      </w:r>
      <w:r w:rsidR="00EB4BEA" w:rsidRPr="00260F65">
        <w:rPr>
          <w:b/>
          <w:bCs/>
          <w:lang w:val="fr-FR"/>
        </w:rPr>
        <w:t xml:space="preserve"> </w:t>
      </w:r>
      <w:r w:rsidR="00260F65" w:rsidRPr="00260F65">
        <w:rPr>
          <w:rFonts w:eastAsia="MS Mincho"/>
          <w:b/>
          <w:bCs/>
          <w:lang w:val="fr-FR"/>
        </w:rPr>
        <w:t>n</w:t>
      </w:r>
      <w:r w:rsidR="00260F65" w:rsidRPr="00260F65">
        <w:rPr>
          <w:rFonts w:eastAsia="MS Mincho"/>
          <w:b/>
          <w:bCs/>
          <w:vertAlign w:val="superscript"/>
          <w:lang w:val="fr-FR"/>
        </w:rPr>
        <w:t>o</w:t>
      </w:r>
      <w:r w:rsidR="00260F65" w:rsidRPr="00260F65">
        <w:rPr>
          <w:b/>
          <w:bCs/>
          <w:lang w:val="fr-FR"/>
        </w:rPr>
        <w:t> </w:t>
      </w:r>
      <w:r w:rsidRPr="00260F65">
        <w:rPr>
          <w:b/>
          <w:bCs/>
          <w:lang w:val="fr-FR"/>
        </w:rPr>
        <w:t>19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(2016)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concernant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l’élaboration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budgets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publics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aux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fins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la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réalisation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droits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l’enfant,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Comité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recommande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à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l’État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partie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mettre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place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une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procédure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budgétaire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tenant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compte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droits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l’enfant,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indiquant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clairement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crédits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destinés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à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l’action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faveur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enfants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dans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secteurs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organismes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pertinents,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prévoyant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indicateurs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spécifiques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un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système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suivi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d’évaluation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l’adéquation,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l’efficacité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et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l’équité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la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répartition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ressources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allouées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à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la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mise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en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œuvre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de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la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Convention,</w:t>
      </w:r>
      <w:r w:rsidR="00EB4BEA" w:rsidRPr="00260F65">
        <w:rPr>
          <w:b/>
          <w:bCs/>
          <w:lang w:val="fr-FR"/>
        </w:rPr>
        <w:t xml:space="preserve"> </w:t>
      </w:r>
      <w:r w:rsidRPr="00260F65">
        <w:rPr>
          <w:b/>
          <w:bCs/>
          <w:lang w:val="fr-FR"/>
        </w:rPr>
        <w:t>notamment</w:t>
      </w:r>
      <w:r w:rsidR="00EB4BEA" w:rsidRPr="00260F65">
        <w:rPr>
          <w:b/>
          <w:bCs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allouant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crédits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suffisants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défavorisés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vulnérables,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conformément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l’article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4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veillant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fluctuations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réductions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crédits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alloués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fourniture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services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n’entraînent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régression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l’exercice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créant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lignes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budgétaires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détaillés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dépenses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prévues,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votées,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révisées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effectives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concernant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directement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l’enfance</w:t>
      </w:r>
      <w:r w:rsidR="00EB4BEA">
        <w:rPr>
          <w:b/>
          <w:bCs/>
          <w:lang w:val="fr-FR"/>
        </w:rPr>
        <w:t xml:space="preserve"> ; 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définissant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objectifs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performance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établissent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lien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buts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poursuivis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moyen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programmes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faveur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allocations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budgétaires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dépenses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effectives,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d’évaluer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résultats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programmes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effets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 ; 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d)</w:t>
      </w:r>
      <w:r w:rsidRPr="008E26A0">
        <w:rPr>
          <w:b/>
          <w:bCs/>
          <w:lang w:val="fr-FR"/>
        </w:rPr>
        <w:tab/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renforçant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activités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d’audit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afin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d’améliorer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transparence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d’obliger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davantage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responsables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publics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rendre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dépenses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faites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domaines,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mobiliser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maximum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ressources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disponibles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Collecte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données</w:t>
      </w:r>
    </w:p>
    <w:p w:rsidR="008E26A0" w:rsidRPr="00746196" w:rsidRDefault="008E26A0" w:rsidP="00E65CDD">
      <w:pPr>
        <w:pStyle w:val="ParNoG"/>
        <w:keepNext/>
        <w:rPr>
          <w:rFonts w:ascii="Times New Roman Gras" w:hAnsi="Times New Roman Gras"/>
          <w:b/>
          <w:bCs/>
          <w:spacing w:val="-1"/>
        </w:rPr>
      </w:pPr>
      <w:r w:rsidRPr="00746196">
        <w:rPr>
          <w:rFonts w:ascii="Times New Roman Gras" w:hAnsi="Times New Roman Gras"/>
          <w:b/>
          <w:bCs/>
          <w:spacing w:val="-1"/>
        </w:rPr>
        <w:t>Tout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en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notant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avec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satisfaction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collecte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données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dans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plusieurs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domaines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couverts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par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Convention,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notamment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à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travers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recensement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national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2014,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et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à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lumière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son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observation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générale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="00260F65" w:rsidRPr="00746196">
        <w:rPr>
          <w:rFonts w:ascii="Times New Roman Gras" w:hAnsi="Times New Roman Gras"/>
          <w:b/>
          <w:bCs/>
          <w:spacing w:val="-1"/>
          <w:lang w:val="fr-FR"/>
        </w:rPr>
        <w:t>n</w:t>
      </w:r>
      <w:r w:rsidR="00260F65" w:rsidRPr="00746196">
        <w:rPr>
          <w:rFonts w:ascii="Times New Roman Gras" w:hAnsi="Times New Roman Gras"/>
          <w:b/>
          <w:bCs/>
          <w:spacing w:val="-1"/>
          <w:vertAlign w:val="superscript"/>
          <w:lang w:val="fr-FR"/>
        </w:rPr>
        <w:t>o</w:t>
      </w:r>
      <w:r w:rsidR="00260F65" w:rsidRPr="00746196">
        <w:rPr>
          <w:rFonts w:ascii="Times New Roman Gras" w:hAnsi="Times New Roman Gras"/>
          <w:b/>
          <w:bCs/>
          <w:spacing w:val="-1"/>
        </w:rPr>
        <w:t> </w:t>
      </w:r>
      <w:r w:rsidRPr="00746196">
        <w:rPr>
          <w:rFonts w:ascii="Times New Roman Gras" w:hAnsi="Times New Roman Gras"/>
          <w:b/>
          <w:bCs/>
          <w:spacing w:val="-1"/>
        </w:rPr>
        <w:t>5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(2003)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sur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mesures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générales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mise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en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œuvre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Convention,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Comité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rappelle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ses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précédentes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observations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finales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(voir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CRC/C/GEO/CO/3,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par.</w:t>
      </w:r>
      <w:r w:rsidR="00260F65" w:rsidRPr="00746196">
        <w:rPr>
          <w:rFonts w:ascii="Times New Roman Gras" w:hAnsi="Times New Roman Gras"/>
          <w:b/>
          <w:bCs/>
          <w:spacing w:val="-1"/>
        </w:rPr>
        <w:t> </w:t>
      </w:r>
      <w:r w:rsidRPr="00746196">
        <w:rPr>
          <w:rFonts w:ascii="Times New Roman Gras" w:hAnsi="Times New Roman Gras"/>
          <w:b/>
          <w:bCs/>
          <w:spacing w:val="-1"/>
        </w:rPr>
        <w:t>16),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et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recommande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à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l’État</w:t>
      </w:r>
      <w:r w:rsidR="00EB4BEA" w:rsidRPr="00746196">
        <w:rPr>
          <w:rFonts w:ascii="Times New Roman Gras" w:hAnsi="Times New Roman Gras"/>
          <w:b/>
          <w:bCs/>
          <w:spacing w:val="-1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</w:rPr>
        <w:t>partie</w:t>
      </w:r>
      <w:r w:rsidR="00EB4BEA" w:rsidRPr="00746196">
        <w:rPr>
          <w:rFonts w:ascii="Times New Roman Gras" w:hAnsi="Times New Roman Gras"/>
          <w:b/>
          <w:bCs/>
          <w:spacing w:val="-1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poursuivre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redoubler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efforts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système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complet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collecte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l’application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niveau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communes,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couvre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l’ensemble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régions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pays.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devraient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être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ventilées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âge,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sexe,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type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handicap,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localisation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géographique,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origine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ethnique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situation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socioéconomique,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afin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faciliter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l’étude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situation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particulièrement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vulnérables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victimes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sévices,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négligence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d’exploitation,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sexuelle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vivent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rue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veiller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système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collecte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permette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recueillir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ventilées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domaines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couverts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concerne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victimes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sévices,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négligence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d’exploitation,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sexuelle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rues</w:t>
      </w:r>
      <w:r w:rsidR="00EB4BEA">
        <w:rPr>
          <w:b/>
          <w:bCs/>
          <w:lang w:val="fr-FR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rFonts w:ascii="Times New Roman Gras" w:hAnsi="Times New Roman Gras"/>
          <w:b/>
          <w:bCs/>
          <w:spacing w:val="-1"/>
          <w:lang w:val="fr-FR"/>
        </w:rPr>
      </w:pPr>
      <w:r w:rsidRPr="00746196">
        <w:rPr>
          <w:rFonts w:ascii="Times New Roman Gras" w:hAnsi="Times New Roman Gras"/>
          <w:b/>
          <w:bCs/>
          <w:spacing w:val="-1"/>
          <w:lang w:val="fr-FR"/>
        </w:rPr>
        <w:t>c)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ab/>
        <w:t>De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tenir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compte,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pour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définition,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collecte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et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diffusion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l’information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statistique,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du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cadre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conceptuel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et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méthodologique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présenté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dans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la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publication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du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Haut-Commissariat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des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Nations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Unies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aux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droits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l’homme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intitulée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«</w:t>
      </w:r>
      <w:r w:rsidR="00746196" w:rsidRPr="00746196">
        <w:rPr>
          <w:rFonts w:ascii="Times New Roman Gras" w:hAnsi="Times New Roman Gras"/>
          <w:b/>
          <w:bCs/>
          <w:spacing w:val="-1"/>
          <w:lang w:val="fr-FR"/>
        </w:rPr>
        <w:t> 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Les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indicateurs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des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droits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de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l’homme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 :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Un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guide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pour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mesurer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et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mettre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en</w:t>
      </w:r>
      <w:r w:rsidR="00EB4BEA" w:rsidRPr="00746196">
        <w:rPr>
          <w:rFonts w:ascii="Times New Roman Gras" w:hAnsi="Times New Roman Gras"/>
          <w:b/>
          <w:bCs/>
          <w:spacing w:val="-1"/>
          <w:lang w:val="fr-FR"/>
        </w:rPr>
        <w:t xml:space="preserve"> 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œuvre</w:t>
      </w:r>
      <w:r w:rsidR="00746196" w:rsidRPr="00746196">
        <w:rPr>
          <w:rFonts w:ascii="Times New Roman Gras" w:hAnsi="Times New Roman Gras"/>
          <w:b/>
          <w:bCs/>
          <w:spacing w:val="-1"/>
          <w:lang w:val="fr-FR"/>
        </w:rPr>
        <w:t> </w:t>
      </w:r>
      <w:r w:rsidRPr="00746196">
        <w:rPr>
          <w:rFonts w:ascii="Times New Roman Gras" w:hAnsi="Times New Roman Gras"/>
          <w:b/>
          <w:bCs/>
          <w:spacing w:val="-1"/>
          <w:lang w:val="fr-FR"/>
        </w:rPr>
        <w:t>».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lastRenderedPageBreak/>
        <w:tab/>
      </w:r>
      <w:r w:rsidRPr="00FB6D70">
        <w:rPr>
          <w:lang w:val="fr-FR"/>
        </w:rPr>
        <w:tab/>
        <w:t>Mécanisme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suivi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indépendant</w:t>
      </w:r>
    </w:p>
    <w:p w:rsidR="008E26A0" w:rsidRPr="00746196" w:rsidRDefault="008E26A0" w:rsidP="00E65CDD">
      <w:pPr>
        <w:pStyle w:val="ParNoG"/>
        <w:keepNext/>
        <w:rPr>
          <w:b/>
          <w:bCs/>
          <w:lang w:val="fr-FR"/>
        </w:rPr>
      </w:pPr>
      <w:r w:rsidRPr="00746196">
        <w:rPr>
          <w:b/>
          <w:bCs/>
          <w:lang w:val="fr-FR"/>
        </w:rPr>
        <w:t>Tout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accueillant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avec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satisfaction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activités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du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Centre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pour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droits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l’enfant,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Comité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rappelle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recommandation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antérieure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(voir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CRC/C/GEO/CO/3,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par.</w:t>
      </w:r>
      <w:r w:rsidR="00746196">
        <w:rPr>
          <w:b/>
          <w:bCs/>
          <w:lang w:val="fr-FR"/>
        </w:rPr>
        <w:t> </w:t>
      </w:r>
      <w:r w:rsidRPr="00746196">
        <w:rPr>
          <w:b/>
          <w:bCs/>
          <w:lang w:val="fr-FR"/>
        </w:rPr>
        <w:t>13)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et,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conformément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à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observation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générale</w:t>
      </w:r>
      <w:r w:rsidR="00EB4BEA" w:rsidRPr="00746196">
        <w:rPr>
          <w:b/>
          <w:bCs/>
          <w:lang w:val="fr-FR"/>
        </w:rPr>
        <w:t xml:space="preserve"> </w:t>
      </w:r>
      <w:r w:rsidR="00746196" w:rsidRPr="00746196">
        <w:rPr>
          <w:rFonts w:eastAsia="MS Mincho"/>
          <w:b/>
          <w:bCs/>
          <w:lang w:val="fr-FR"/>
        </w:rPr>
        <w:t>n</w:t>
      </w:r>
      <w:r w:rsidR="00746196" w:rsidRPr="00746196">
        <w:rPr>
          <w:rFonts w:eastAsia="MS Mincho"/>
          <w:b/>
          <w:bCs/>
          <w:vertAlign w:val="superscript"/>
          <w:lang w:val="fr-FR"/>
        </w:rPr>
        <w:t>o</w:t>
      </w:r>
      <w:r w:rsidR="00746196">
        <w:rPr>
          <w:b/>
          <w:bCs/>
          <w:lang w:val="fr-FR"/>
        </w:rPr>
        <w:t> </w:t>
      </w:r>
      <w:r w:rsidRPr="00746196">
        <w:rPr>
          <w:b/>
          <w:bCs/>
          <w:lang w:val="fr-FR"/>
        </w:rPr>
        <w:t>2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(2002)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rôle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institutions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nationales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indépendantes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défense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droits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l’homme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dans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protection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promotion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droits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l’enfant,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recommande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à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l’État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partie</w:t>
      </w:r>
      <w:r w:rsidR="00EB4BEA" w:rsidRPr="00746196">
        <w:rPr>
          <w:b/>
          <w:bCs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D’allouer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moyens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humains,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techniques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financiers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suffisants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d’exercer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correctement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mission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pays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d’accéder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restriction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institutions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s’occupant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d’enfants,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y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compris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celles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dirigées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groupes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religieux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développer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capacités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rendre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même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recevoir,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instruire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traiter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efficacement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manière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adaptée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spécificités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plaintes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émanant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derniers.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Diffusion,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sensibilisation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formation</w:t>
      </w:r>
    </w:p>
    <w:p w:rsidR="008E26A0" w:rsidRPr="008E26A0" w:rsidRDefault="008E26A0" w:rsidP="00E65CDD">
      <w:pPr>
        <w:pStyle w:val="ParNoG"/>
        <w:rPr>
          <w:b/>
          <w:bCs/>
          <w:lang w:val="fr-FR"/>
        </w:rPr>
      </w:pP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recommande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d’étendre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catégories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professionnels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travaillant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dispositifs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systématiques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existants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formation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initiale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continue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</w:t>
      </w:r>
      <w:r w:rsidRPr="008E26A0">
        <w:rPr>
          <w:b/>
          <w:bCs/>
          <w:lang w:val="fr-FR"/>
        </w:rPr>
        <w:t>t/ou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programmes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sensibilisation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destinés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personnel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judiciaire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dispensés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l’École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supérieure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magistrature.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Coopération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avec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société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civile</w:t>
      </w:r>
    </w:p>
    <w:p w:rsidR="008E26A0" w:rsidRPr="008E26A0" w:rsidRDefault="008E26A0" w:rsidP="00E65CDD">
      <w:pPr>
        <w:pStyle w:val="ParNoG"/>
        <w:rPr>
          <w:b/>
          <w:bCs/>
          <w:lang w:val="fr-FR"/>
        </w:rPr>
      </w:pP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rappelle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recommandation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antérieure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(voir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CRC/C/GEO/CO/3,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par.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19),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laquelle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avait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encouragé</w:t>
      </w:r>
      <w:r w:rsidR="00EB4BEA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collaborer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soutenue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société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civile,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organisations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gouvernementales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organisations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représentatives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planification,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œuvre,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suivi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l’évaluation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politiques,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programmes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rapportant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promotion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Droits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entreprises</w:t>
      </w:r>
    </w:p>
    <w:p w:rsidR="008E26A0" w:rsidRPr="00746196" w:rsidRDefault="008E26A0" w:rsidP="00E65CDD">
      <w:pPr>
        <w:pStyle w:val="ParNoG"/>
        <w:keepNext/>
        <w:rPr>
          <w:b/>
          <w:bCs/>
          <w:lang w:val="fr-FR"/>
        </w:rPr>
      </w:pPr>
      <w:r w:rsidRPr="00746196">
        <w:rPr>
          <w:b/>
          <w:bCs/>
          <w:lang w:val="fr-FR"/>
        </w:rPr>
        <w:t>Compte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tenu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observation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générale</w:t>
      </w:r>
      <w:r w:rsidR="00EB4BEA" w:rsidRPr="00746196">
        <w:rPr>
          <w:b/>
          <w:bCs/>
          <w:lang w:val="fr-FR"/>
        </w:rPr>
        <w:t xml:space="preserve"> </w:t>
      </w:r>
      <w:r w:rsidR="00746196" w:rsidRPr="00746196">
        <w:rPr>
          <w:rFonts w:eastAsia="MS Mincho"/>
          <w:b/>
          <w:bCs/>
          <w:lang w:val="fr-FR"/>
        </w:rPr>
        <w:t>n</w:t>
      </w:r>
      <w:r w:rsidR="00746196" w:rsidRPr="00746196">
        <w:rPr>
          <w:rFonts w:eastAsia="MS Mincho"/>
          <w:b/>
          <w:bCs/>
          <w:vertAlign w:val="superscript"/>
          <w:lang w:val="fr-FR"/>
        </w:rPr>
        <w:t>o</w:t>
      </w:r>
      <w:r w:rsidR="00746196" w:rsidRPr="00746196">
        <w:rPr>
          <w:b/>
          <w:bCs/>
          <w:lang w:val="fr-FR"/>
        </w:rPr>
        <w:t> </w:t>
      </w:r>
      <w:r w:rsidRPr="00746196">
        <w:rPr>
          <w:b/>
          <w:bCs/>
          <w:lang w:val="fr-FR"/>
        </w:rPr>
        <w:t>16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(2003)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obligations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États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concernant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incidences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du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secteur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entreprises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droits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l’enfant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préoccupations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exprimées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par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Rapporteuse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spéciale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sur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vente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d’enfants,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prostitution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enfants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la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pornographie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mettant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en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scène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des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enfants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(voir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A/HRC/34/55/Add.1,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par.</w:t>
      </w:r>
      <w:r w:rsidR="00746196" w:rsidRPr="00746196">
        <w:rPr>
          <w:b/>
          <w:bCs/>
          <w:lang w:val="fr-FR"/>
        </w:rPr>
        <w:t> </w:t>
      </w:r>
      <w:r w:rsidRPr="00746196">
        <w:rPr>
          <w:b/>
          <w:bCs/>
          <w:lang w:val="fr-FR"/>
        </w:rPr>
        <w:t>30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et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76),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Comité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recommande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à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l’État</w:t>
      </w:r>
      <w:r w:rsidR="00EB4BEA" w:rsidRPr="00746196">
        <w:rPr>
          <w:b/>
          <w:bCs/>
          <w:lang w:val="fr-FR"/>
        </w:rPr>
        <w:t xml:space="preserve"> </w:t>
      </w:r>
      <w:r w:rsidRPr="00746196">
        <w:rPr>
          <w:b/>
          <w:bCs/>
          <w:lang w:val="fr-FR"/>
        </w:rPr>
        <w:t>partie</w:t>
      </w:r>
      <w:r w:rsidR="00EB4BEA" w:rsidRPr="00746196">
        <w:rPr>
          <w:b/>
          <w:bCs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D’examiner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d’adapter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législatif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(civil,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pénal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administratif)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soumettre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entreprises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filiales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opérant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territoire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gérées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depuis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territoire,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particulier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secteur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l’obligation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rendre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comptes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D’établir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mécanismes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surveillance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violations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fassent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l’objet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d’enquêtes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lieu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réparations,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améliorer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responsabilisation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transparence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mener,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l’intention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secteur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population,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campagnes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sensibilisation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prévention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sexuel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pédophile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diffuser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largement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mondial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d’éthique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l’Organisation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mondiale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auprès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agences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voyages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secteur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d)</w:t>
      </w:r>
      <w:r w:rsidRPr="008E26A0">
        <w:rPr>
          <w:b/>
          <w:bCs/>
          <w:lang w:val="fr-FR"/>
        </w:rPr>
        <w:tab/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renforcer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coopération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internationale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domaine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lutte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tourisme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pédophile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moyen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d’accords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multilatéraux,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régionaux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bilatéraux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prévention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l’élimination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phénomène.</w:t>
      </w:r>
      <w:r w:rsidR="00EB4BEA">
        <w:rPr>
          <w:b/>
          <w:bCs/>
          <w:lang w:val="fr-FR"/>
        </w:rPr>
        <w:t xml:space="preserve"> </w:t>
      </w:r>
    </w:p>
    <w:p w:rsidR="008E26A0" w:rsidRPr="00FB6D70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lastRenderedPageBreak/>
        <w:tab/>
      </w:r>
      <w:r w:rsidRPr="00FB6D70">
        <w:rPr>
          <w:lang w:val="fr-FR"/>
        </w:rPr>
        <w:t>B.</w:t>
      </w:r>
      <w:r w:rsidRPr="00FB6D70">
        <w:rPr>
          <w:lang w:val="fr-FR"/>
        </w:rPr>
        <w:tab/>
        <w:t>Principes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généraux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(art.</w:t>
      </w:r>
      <w:r w:rsidR="00746196">
        <w:rPr>
          <w:lang w:val="fr-FR"/>
        </w:rPr>
        <w:t> </w:t>
      </w:r>
      <w:r w:rsidRPr="00FB6D70">
        <w:rPr>
          <w:lang w:val="fr-FR"/>
        </w:rPr>
        <w:t>2,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3,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6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12)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Non-discrimination</w:t>
      </w:r>
    </w:p>
    <w:p w:rsidR="008E26A0" w:rsidRPr="008E26A0" w:rsidRDefault="008E26A0" w:rsidP="00E65CDD">
      <w:pPr>
        <w:pStyle w:val="ParNoG"/>
        <w:keepNext/>
        <w:rPr>
          <w:b/>
          <w:bCs/>
          <w:lang w:val="fr-FR"/>
        </w:rPr>
      </w:pPr>
      <w:r w:rsidRPr="008E26A0">
        <w:rPr>
          <w:b/>
          <w:bCs/>
          <w:lang w:val="fr-FR"/>
        </w:rPr>
        <w:t>Tout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satisfaction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l’adoption,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2014,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l’élimination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formes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rappelle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précédentes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observations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(voir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CRC/C/GEO/CO/3,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par.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22)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engage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Allouer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moyens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humains,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techniques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financiers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nécessaires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institutions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chargées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surveiller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l’application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l’élimination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formes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particulier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Bureau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Défenseur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public,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collecter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données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ventilées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l’égard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handicapés,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rues,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système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justice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mineurs,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appartenant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minorités,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issues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familles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défavorisées,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vivant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zones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rurales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reculées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réfugiés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déplacés,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façon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pouvoir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élaborer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stratégies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globales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destinées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formes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Veiller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intégrée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manière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appropriée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interprétée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appliquée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cohérence,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prendre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sanctions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suffisantes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l’encontre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auteurs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offrir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victimes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discrimination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voies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efficaces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appropriées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Lutter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pratique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avortements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sélectifs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fonction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sexe,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traitant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causes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profondes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répercussions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long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terme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phénomène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société,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développant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services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planification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familiale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activités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sensibilisation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effets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délétères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cette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pratique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valeur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égale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filles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garçons,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conformément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recommandations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antérieures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l’homme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(voir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CCPR/C/GEO/CO/4,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par.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7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f)).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Intérêt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supérieur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</w:p>
    <w:p w:rsidR="008E26A0" w:rsidRPr="008E26A0" w:rsidRDefault="008E26A0" w:rsidP="00E65CDD">
      <w:pPr>
        <w:pStyle w:val="ParNoG"/>
        <w:rPr>
          <w:b/>
          <w:bCs/>
          <w:lang w:val="fr-FR"/>
        </w:rPr>
      </w:pP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prend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satisfaction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l’inclusion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définition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l’intérêt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supérieur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justice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mineurs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civil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révisé.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Toutefois,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lumière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observation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générale</w:t>
      </w:r>
      <w:r w:rsidR="00EB4BEA">
        <w:rPr>
          <w:b/>
          <w:bCs/>
          <w:lang w:val="fr-FR"/>
        </w:rPr>
        <w:t xml:space="preserve"> </w:t>
      </w:r>
      <w:r w:rsidR="00746196" w:rsidRPr="00746196">
        <w:rPr>
          <w:rFonts w:eastAsia="MS Mincho"/>
          <w:b/>
          <w:bCs/>
          <w:lang w:val="fr-FR"/>
        </w:rPr>
        <w:t>n</w:t>
      </w:r>
      <w:r w:rsidR="00746196" w:rsidRPr="00746196">
        <w:rPr>
          <w:rFonts w:eastAsia="MS Mincho"/>
          <w:b/>
          <w:bCs/>
          <w:vertAlign w:val="superscript"/>
          <w:lang w:val="fr-FR"/>
        </w:rPr>
        <w:t>o</w:t>
      </w:r>
      <w:r w:rsidR="00746196">
        <w:rPr>
          <w:b/>
          <w:bCs/>
          <w:lang w:val="fr-FR"/>
        </w:rPr>
        <w:t> </w:t>
      </w:r>
      <w:r w:rsidRPr="008E26A0">
        <w:rPr>
          <w:b/>
          <w:bCs/>
          <w:lang w:val="fr-FR"/>
        </w:rPr>
        <w:t>14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(2013)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intérêt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supérieur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considération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primordiale,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recommande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redoubler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d’efforts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droit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soit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convenablement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intégré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puis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interprété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appliqué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manière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cohérente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procédures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décisions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législatives,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administratives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judiciaires,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ainsi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que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politiques,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programmes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projets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concernant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ayant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eux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effet,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y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compris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procédures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concernant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demandeurs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d’asile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accompagnés.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égard,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Comité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encourage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l’État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mettre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au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point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procédures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critères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propres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aider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toutes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personnes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position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d’autorité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déterminer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l’intérêt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supérieur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l’enfant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tous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domaines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à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faire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une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considération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primordiale.</w:t>
      </w:r>
    </w:p>
    <w:p w:rsidR="008E26A0" w:rsidRPr="00FB6D70" w:rsidRDefault="008E26A0" w:rsidP="00E65CDD">
      <w:pPr>
        <w:pStyle w:val="H23G"/>
        <w:keepLines w:val="0"/>
        <w:rPr>
          <w:lang w:val="fr-FR"/>
        </w:rPr>
      </w:pPr>
      <w:r w:rsidRPr="00FB6D70">
        <w:rPr>
          <w:lang w:val="fr-FR"/>
        </w:rPr>
        <w:tab/>
      </w:r>
      <w:r w:rsidRPr="00FB6D70">
        <w:rPr>
          <w:lang w:val="fr-FR"/>
        </w:rPr>
        <w:tab/>
        <w:t>Respect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opinion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FB6D70">
        <w:rPr>
          <w:lang w:val="fr-FR"/>
        </w:rPr>
        <w:t>l</w:t>
      </w:r>
      <w:r>
        <w:rPr>
          <w:lang w:val="fr-FR"/>
        </w:rPr>
        <w:t>’</w:t>
      </w:r>
      <w:r w:rsidRPr="00FB6D70">
        <w:rPr>
          <w:lang w:val="fr-FR"/>
        </w:rPr>
        <w:t>enfant</w:t>
      </w:r>
    </w:p>
    <w:p w:rsidR="008E26A0" w:rsidRPr="00347FDE" w:rsidRDefault="008E26A0" w:rsidP="00E65CDD">
      <w:pPr>
        <w:pStyle w:val="ParNoG"/>
        <w:keepNext/>
        <w:rPr>
          <w:rFonts w:ascii="Times New Roman Gras" w:hAnsi="Times New Roman Gras"/>
          <w:b/>
          <w:bCs/>
          <w:spacing w:val="-2"/>
          <w:lang w:val="fr-FR"/>
        </w:rPr>
      </w:pPr>
      <w:r w:rsidRPr="00347FDE">
        <w:rPr>
          <w:rFonts w:ascii="Times New Roman Gras" w:hAnsi="Times New Roman Gras"/>
          <w:b/>
          <w:bCs/>
          <w:spacing w:val="-2"/>
          <w:lang w:val="fr-FR"/>
        </w:rPr>
        <w:t>Tout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prenant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note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la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création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prétoires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adaptés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aux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spécificités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enfants,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Comité,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conformité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avec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son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observation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générale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="00746196" w:rsidRPr="00347FDE">
        <w:rPr>
          <w:rFonts w:ascii="Times New Roman Gras" w:eastAsia="MS Mincho" w:hAnsi="Times New Roman Gras"/>
          <w:b/>
          <w:bCs/>
          <w:spacing w:val="-2"/>
          <w:lang w:val="fr-FR"/>
        </w:rPr>
        <w:t>n</w:t>
      </w:r>
      <w:r w:rsidR="00746196" w:rsidRPr="00347FDE">
        <w:rPr>
          <w:rFonts w:ascii="Times New Roman Gras" w:eastAsia="MS Mincho" w:hAnsi="Times New Roman Gras"/>
          <w:b/>
          <w:bCs/>
          <w:spacing w:val="-2"/>
          <w:vertAlign w:val="superscript"/>
          <w:lang w:val="fr-FR"/>
        </w:rPr>
        <w:t>o</w:t>
      </w:r>
      <w:r w:rsidR="00746196" w:rsidRPr="00347FDE">
        <w:rPr>
          <w:rFonts w:ascii="Times New Roman Gras" w:hAnsi="Times New Roman Gras"/>
          <w:b/>
          <w:bCs/>
          <w:spacing w:val="-2"/>
          <w:lang w:val="fr-FR"/>
        </w:rPr>
        <w:t> 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12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(2009)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sur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droit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l’enfant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d’être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entendu,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encourage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l’État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partie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à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développer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pratiques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visant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à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faire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sorte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que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opinion</w:t>
      </w:r>
      <w:r w:rsidR="00347FDE" w:rsidRPr="00347FDE">
        <w:rPr>
          <w:rFonts w:ascii="Times New Roman Gras" w:hAnsi="Times New Roman Gras"/>
          <w:b/>
          <w:bCs/>
          <w:spacing w:val="-2"/>
          <w:lang w:val="fr-FR"/>
        </w:rPr>
        <w:t>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enfants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soient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dûment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prise</w:t>
      </w:r>
      <w:r w:rsidR="00347FDE" w:rsidRPr="00347FDE">
        <w:rPr>
          <w:rFonts w:ascii="Times New Roman Gras" w:hAnsi="Times New Roman Gras"/>
          <w:b/>
          <w:bCs/>
          <w:spacing w:val="-2"/>
          <w:lang w:val="fr-FR"/>
        </w:rPr>
        <w:t>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considération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dans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la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famille,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à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l’école,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à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l’échelon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local,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dans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institutions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et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dans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cadre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des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procédures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administratives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qui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concernent,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y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compris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par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les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moyens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 xml:space="preserve"> </w:t>
      </w:r>
      <w:r w:rsidRPr="00347FDE">
        <w:rPr>
          <w:rFonts w:ascii="Times New Roman Gras" w:hAnsi="Times New Roman Gras"/>
          <w:b/>
          <w:bCs/>
          <w:spacing w:val="-2"/>
          <w:lang w:val="fr-FR"/>
        </w:rPr>
        <w:t>suivants</w:t>
      </w:r>
      <w:r w:rsidR="00EB4BEA" w:rsidRPr="00347FDE">
        <w:rPr>
          <w:rFonts w:ascii="Times New Roman Gras" w:hAnsi="Times New Roman Gras"/>
          <w:b/>
          <w:bCs/>
          <w:spacing w:val="-2"/>
          <w:lang w:val="fr-FR"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a)</w:t>
      </w:r>
      <w:r w:rsidRPr="008E26A0">
        <w:rPr>
          <w:b/>
          <w:bCs/>
          <w:lang w:val="fr-FR"/>
        </w:rPr>
        <w:tab/>
        <w:t>Amélioration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législation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pertinente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b)</w:t>
      </w:r>
      <w:r w:rsidRPr="008E26A0">
        <w:rPr>
          <w:b/>
          <w:bCs/>
          <w:lang w:val="fr-FR"/>
        </w:rPr>
        <w:tab/>
        <w:t>Formation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continue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professionnels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c)</w:t>
      </w:r>
      <w:r w:rsidRPr="008E26A0">
        <w:rPr>
          <w:b/>
          <w:bCs/>
          <w:lang w:val="fr-FR"/>
        </w:rPr>
        <w:tab/>
        <w:t>Promotion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diverses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formes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participation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</w:t>
      </w:r>
      <w:r w:rsidR="00EB4BEA">
        <w:rPr>
          <w:b/>
          <w:bCs/>
          <w:lang w:val="fr-FR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  <w:lang w:val="fr-FR"/>
        </w:rPr>
      </w:pPr>
      <w:r w:rsidRPr="008E26A0">
        <w:rPr>
          <w:b/>
          <w:bCs/>
          <w:lang w:val="fr-FR"/>
        </w:rPr>
        <w:t>d)</w:t>
      </w:r>
      <w:r w:rsidRPr="008E26A0">
        <w:rPr>
          <w:b/>
          <w:bCs/>
          <w:lang w:val="fr-FR"/>
        </w:rPr>
        <w:tab/>
        <w:t>Collaboration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avec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organisations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la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société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civile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afin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d’accroître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possibilités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participation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enfants,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notamment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dans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les</w:t>
      </w:r>
      <w:r w:rsidR="00EB4BEA">
        <w:rPr>
          <w:b/>
          <w:bCs/>
          <w:lang w:val="fr-FR"/>
        </w:rPr>
        <w:t xml:space="preserve"> </w:t>
      </w:r>
      <w:r w:rsidRPr="008E26A0">
        <w:rPr>
          <w:b/>
          <w:bCs/>
          <w:lang w:val="fr-FR"/>
        </w:rPr>
        <w:t>médias.</w:t>
      </w:r>
    </w:p>
    <w:p w:rsidR="008E26A0" w:rsidRPr="00583D4A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lastRenderedPageBreak/>
        <w:tab/>
      </w:r>
      <w:r w:rsidRPr="00583D4A">
        <w:rPr>
          <w:lang w:val="fr-FR"/>
        </w:rPr>
        <w:t>C.</w:t>
      </w:r>
      <w:r>
        <w:rPr>
          <w:lang w:val="fr-FR"/>
        </w:rPr>
        <w:tab/>
      </w:r>
      <w:r w:rsidRPr="00583D4A">
        <w:rPr>
          <w:lang w:val="fr-FR"/>
        </w:rPr>
        <w:t>Libertés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droits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civils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(art.</w:t>
      </w:r>
      <w:r w:rsidR="00746196">
        <w:rPr>
          <w:lang w:val="fr-FR"/>
        </w:rPr>
        <w:t> </w:t>
      </w:r>
      <w:r w:rsidRPr="00583D4A">
        <w:rPr>
          <w:lang w:val="fr-FR"/>
        </w:rPr>
        <w:t>7,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8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13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17)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Enregistrement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naissances</w:t>
      </w:r>
    </w:p>
    <w:p w:rsidR="008E26A0" w:rsidRPr="00746196" w:rsidRDefault="008E26A0" w:rsidP="00E65CDD">
      <w:pPr>
        <w:pStyle w:val="ParNoG"/>
        <w:keepNext/>
        <w:rPr>
          <w:b/>
          <w:bCs/>
        </w:rPr>
      </w:pPr>
      <w:r w:rsidRPr="00746196">
        <w:rPr>
          <w:b/>
          <w:bCs/>
        </w:rPr>
        <w:t>Compte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tenu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l’adoption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décret</w:t>
      </w:r>
      <w:r w:rsidR="00EB4BEA" w:rsidRPr="00746196">
        <w:rPr>
          <w:b/>
          <w:bCs/>
        </w:rPr>
        <w:t xml:space="preserve"> </w:t>
      </w:r>
      <w:r w:rsidR="00746196" w:rsidRPr="00746196">
        <w:rPr>
          <w:rFonts w:eastAsia="MS Mincho"/>
          <w:b/>
          <w:bCs/>
        </w:rPr>
        <w:t>n</w:t>
      </w:r>
      <w:r w:rsidR="00746196" w:rsidRPr="00746196">
        <w:rPr>
          <w:rFonts w:eastAsia="MS Mincho"/>
          <w:b/>
          <w:bCs/>
          <w:vertAlign w:val="superscript"/>
        </w:rPr>
        <w:t>o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18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Ministre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justice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portant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approbation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règlement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l’enregistrement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actes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civil,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janvier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2012,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fait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représentants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font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porte-à-porte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établir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documents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d’identité,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prenant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note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cible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16.9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objectifs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développement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durable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(«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Garantir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tous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une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identité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juridique,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notamment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grâce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l’enregistrement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naissances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»),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recommande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a)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fixer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calendrier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réaliste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l’enregistrement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effectif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naissances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l’ensemble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territoire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d’éliminer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obstacles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administratifs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enregistrement,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prêtant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attention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particulière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groupes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minoritaires,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réfugiés,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apatrides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vivant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zones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haute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montagne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b)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poursuivre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d’accentuer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efforts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engagés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créer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structures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institutionnelles,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prenant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forme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exemple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centres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d’enregistrement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itinérants,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Comité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l’avait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déjà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recommandé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précédentes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observations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finales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(voir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CRC/C/GEO/CO/3,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par.</w:t>
      </w:r>
      <w:r w:rsidR="00746196">
        <w:rPr>
          <w:b/>
          <w:bCs/>
        </w:rPr>
        <w:t> </w:t>
      </w:r>
      <w:r w:rsidRPr="008E26A0">
        <w:rPr>
          <w:b/>
          <w:bCs/>
        </w:rPr>
        <w:t>28),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afin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d’enregistrement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naissances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mêmes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groupes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minoritaires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reste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population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c)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solliciter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l’assistance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technique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Haut-Commissariat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réfugiés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(HCR)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l’UNICEF,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autres,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œuvre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recommandations.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Nom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nationalité</w:t>
      </w:r>
    </w:p>
    <w:p w:rsidR="008E26A0" w:rsidRPr="00746196" w:rsidRDefault="008E26A0" w:rsidP="00E65CDD">
      <w:pPr>
        <w:pStyle w:val="ParNoG"/>
        <w:keepNext/>
        <w:rPr>
          <w:b/>
          <w:bCs/>
        </w:rPr>
      </w:pPr>
      <w:r w:rsidRPr="00746196">
        <w:rPr>
          <w:b/>
          <w:bCs/>
        </w:rPr>
        <w:t>Notant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l’enregistrement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naissances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enfants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nés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Géorgie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d’une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gestation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autrui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est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encadré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  <w:lang w:val="fr-FR"/>
        </w:rPr>
        <w:t>l’article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19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décret</w:t>
      </w:r>
      <w:r w:rsidR="00EB4BEA" w:rsidRPr="00746196">
        <w:rPr>
          <w:b/>
          <w:bCs/>
        </w:rPr>
        <w:t xml:space="preserve"> </w:t>
      </w:r>
      <w:r w:rsidR="00746196" w:rsidRPr="00746196">
        <w:rPr>
          <w:rFonts w:eastAsia="MS Mincho"/>
          <w:b/>
          <w:bCs/>
        </w:rPr>
        <w:t>n</w:t>
      </w:r>
      <w:r w:rsidR="00746196" w:rsidRPr="00746196">
        <w:rPr>
          <w:rFonts w:eastAsia="MS Mincho"/>
          <w:b/>
          <w:bCs/>
          <w:vertAlign w:val="superscript"/>
        </w:rPr>
        <w:t>o</w:t>
      </w:r>
      <w:r w:rsidR="00746196">
        <w:rPr>
          <w:b/>
          <w:bCs/>
        </w:rPr>
        <w:t> </w:t>
      </w:r>
      <w:r w:rsidRPr="00746196">
        <w:rPr>
          <w:b/>
          <w:bCs/>
        </w:rPr>
        <w:t>18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Ministre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justice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portant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approbation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règlement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l’enregistrement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actes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civil,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recommande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a)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lever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éventuels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obstacles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œuvre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décret,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concerne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gestations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autrui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s’inscrivant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cadre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contrats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internationaux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b)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sorte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gestation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autrui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aient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possibilité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accès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informations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concernant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origine</w:t>
      </w:r>
      <w:r w:rsidR="00EB4BEA">
        <w:rPr>
          <w:b/>
          <w:bCs/>
        </w:rPr>
        <w:t> ;</w:t>
      </w:r>
    </w:p>
    <w:p w:rsidR="008E26A0" w:rsidRPr="001F4E8A" w:rsidRDefault="008E26A0" w:rsidP="00E65CDD">
      <w:pPr>
        <w:pStyle w:val="SingleTxtG"/>
        <w:ind w:firstLine="567"/>
        <w:rPr>
          <w:rFonts w:ascii="Times New Roman Gras" w:hAnsi="Times New Roman Gras"/>
          <w:b/>
          <w:bCs/>
          <w:spacing w:val="-2"/>
        </w:rPr>
      </w:pPr>
      <w:r w:rsidRPr="001F4E8A">
        <w:rPr>
          <w:rFonts w:ascii="Times New Roman Gras" w:hAnsi="Times New Roman Gras"/>
          <w:b/>
          <w:bCs/>
          <w:spacing w:val="-2"/>
        </w:rPr>
        <w:t>c)</w:t>
      </w:r>
      <w:r w:rsidRPr="001F4E8A">
        <w:rPr>
          <w:rFonts w:ascii="Times New Roman Gras" w:hAnsi="Times New Roman Gras"/>
          <w:b/>
          <w:bCs/>
          <w:spacing w:val="-2"/>
        </w:rPr>
        <w:tab/>
        <w:t>De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réviser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la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loi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sur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statut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juridique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des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étrangers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pour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la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mettre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en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pleine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conformité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avec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les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dispositions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de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la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Convention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relative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au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statut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des</w:t>
      </w:r>
      <w:r w:rsidR="00EB4BEA" w:rsidRPr="001F4E8A">
        <w:rPr>
          <w:rFonts w:ascii="Times New Roman Gras" w:hAnsi="Times New Roman Gras"/>
          <w:b/>
          <w:bCs/>
          <w:spacing w:val="-2"/>
        </w:rPr>
        <w:t xml:space="preserve"> </w:t>
      </w:r>
      <w:r w:rsidRPr="001F4E8A">
        <w:rPr>
          <w:rFonts w:ascii="Times New Roman Gras" w:hAnsi="Times New Roman Gras"/>
          <w:b/>
          <w:bCs/>
          <w:spacing w:val="-2"/>
        </w:rPr>
        <w:t>apatrides</w:t>
      </w:r>
      <w:r w:rsidR="00EB4BEA" w:rsidRPr="001F4E8A">
        <w:rPr>
          <w:rFonts w:ascii="Times New Roman Gras" w:hAnsi="Times New Roman Gras"/>
          <w:b/>
          <w:bCs/>
          <w:spacing w:val="-2"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d)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mettre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pied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mécanisme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efficace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d’identification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d’orientation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papiers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exposés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risque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d’apatridie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e)</w:t>
      </w:r>
      <w:r w:rsidRPr="008E26A0">
        <w:rPr>
          <w:b/>
          <w:bCs/>
        </w:rPr>
        <w:tab/>
        <w:t>D’adhérer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Convention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européenne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1997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nationalité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ainsi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qu’à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Convention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2006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Conseil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l’Europe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prévention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d’apatridie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relation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avec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succession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d’États.</w:t>
      </w:r>
      <w:r w:rsidR="00EB4BEA">
        <w:rPr>
          <w:b/>
          <w:bCs/>
        </w:rPr>
        <w:t xml:space="preserve"> </w:t>
      </w:r>
    </w:p>
    <w:p w:rsidR="008E26A0" w:rsidRPr="00583D4A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tab/>
      </w:r>
      <w:r w:rsidRPr="00583D4A">
        <w:rPr>
          <w:lang w:val="fr-FR"/>
        </w:rPr>
        <w:t>D.</w:t>
      </w:r>
      <w:r>
        <w:rPr>
          <w:lang w:val="fr-FR"/>
        </w:rPr>
        <w:tab/>
      </w:r>
      <w:r w:rsidRPr="00583D4A">
        <w:rPr>
          <w:lang w:val="fr-FR"/>
        </w:rPr>
        <w:t>Violence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l</w:t>
      </w:r>
      <w:r>
        <w:rPr>
          <w:lang w:val="fr-FR"/>
        </w:rPr>
        <w:t>’</w:t>
      </w:r>
      <w:r w:rsidRPr="00583D4A">
        <w:rPr>
          <w:lang w:val="fr-FR"/>
        </w:rPr>
        <w:t>égard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enfants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(art.</w:t>
      </w:r>
      <w:r w:rsidR="00746196">
        <w:rPr>
          <w:lang w:val="fr-FR"/>
        </w:rPr>
        <w:t> </w:t>
      </w:r>
      <w:r w:rsidRPr="00583D4A">
        <w:rPr>
          <w:lang w:val="fr-FR"/>
        </w:rPr>
        <w:t>19,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24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(par.</w:t>
      </w:r>
      <w:r w:rsidR="00746196">
        <w:rPr>
          <w:lang w:val="fr-FR"/>
        </w:rPr>
        <w:t> </w:t>
      </w:r>
      <w:r w:rsidRPr="00583D4A">
        <w:rPr>
          <w:lang w:val="fr-FR"/>
        </w:rPr>
        <w:t>3),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28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(par.</w:t>
      </w:r>
      <w:r w:rsidR="00746196">
        <w:rPr>
          <w:lang w:val="fr-FR"/>
        </w:rPr>
        <w:t> </w:t>
      </w:r>
      <w:r w:rsidRPr="00583D4A">
        <w:rPr>
          <w:lang w:val="fr-FR"/>
        </w:rPr>
        <w:t>2),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34,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37</w:t>
      </w:r>
      <w:r w:rsidR="00746196">
        <w:rPr>
          <w:lang w:val="fr-FR"/>
        </w:rPr>
        <w:t> </w:t>
      </w:r>
      <w:r w:rsidRPr="00583D4A">
        <w:rPr>
          <w:lang w:val="fr-FR"/>
        </w:rPr>
        <w:t>a)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39)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Torture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autres</w:t>
      </w:r>
      <w:r w:rsidR="00EB4BEA">
        <w:t xml:space="preserve"> </w:t>
      </w:r>
      <w:r w:rsidRPr="00583D4A">
        <w:t>peines</w:t>
      </w:r>
      <w:r w:rsidR="00EB4BEA">
        <w:t xml:space="preserve"> </w:t>
      </w:r>
      <w:r w:rsidRPr="00583D4A">
        <w:t>ou</w:t>
      </w:r>
      <w:r w:rsidR="00EB4BEA">
        <w:t xml:space="preserve"> </w:t>
      </w:r>
      <w:r w:rsidRPr="00583D4A">
        <w:t>traitements</w:t>
      </w:r>
      <w:r w:rsidR="00EB4BEA">
        <w:t xml:space="preserve"> </w:t>
      </w:r>
      <w:r w:rsidRPr="00583D4A">
        <w:t>cruels,</w:t>
      </w:r>
      <w:r w:rsidR="00EB4BEA">
        <w:t xml:space="preserve"> </w:t>
      </w:r>
      <w:r w:rsidRPr="00583D4A">
        <w:t>inhumains</w:t>
      </w:r>
      <w:r w:rsidR="00EB4BEA">
        <w:t xml:space="preserve"> </w:t>
      </w:r>
      <w:r w:rsidRPr="00583D4A">
        <w:t>ou</w:t>
      </w:r>
      <w:r w:rsidR="00EB4BEA">
        <w:t xml:space="preserve"> </w:t>
      </w:r>
      <w:r w:rsidRPr="00583D4A">
        <w:t>dégradants</w:t>
      </w:r>
    </w:p>
    <w:p w:rsidR="008E26A0" w:rsidRPr="00746196" w:rsidRDefault="008E26A0" w:rsidP="00251350">
      <w:pPr>
        <w:pStyle w:val="ParNoG"/>
        <w:rPr>
          <w:b/>
          <w:bCs/>
        </w:rPr>
      </w:pP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s’inquiète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d’informations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faisant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cas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détention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arbitraire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torture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mauvais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traitements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personne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d’enfants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dans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postes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police,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notamment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d’enfants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soustraits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système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judiciaire,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ainsi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dans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rares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cas,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dans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centres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détention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mineurs.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Il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rappelle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observations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finales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précédentes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(voir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CRC/C/GEO/CO/3,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par.</w:t>
      </w:r>
      <w:r w:rsidR="00746196">
        <w:rPr>
          <w:b/>
          <w:bCs/>
        </w:rPr>
        <w:t> </w:t>
      </w:r>
      <w:r w:rsidRPr="00746196">
        <w:rPr>
          <w:b/>
          <w:bCs/>
        </w:rPr>
        <w:t>30)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recommande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a)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mener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enquêtes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approfondies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allégations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torture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sévices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mettant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cause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fonctionnaires,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policiers,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veiller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rapidement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traduits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justice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jugés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lastRenderedPageBreak/>
        <w:t>b)</w:t>
      </w:r>
      <w:r w:rsidRPr="008E26A0">
        <w:rPr>
          <w:b/>
          <w:bCs/>
        </w:rPr>
        <w:tab/>
        <w:t>D’offrir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programmes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adéquats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réparation,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réadaptation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réinsertion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victimes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violences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c)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renforcer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surveillance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indépendante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assurée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société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civile,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Défenseur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public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(médiateur)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Brigade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chargée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surveillance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ainsi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coordination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entités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d’intensifier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actions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centres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détention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mineurs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d)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rendre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accessibles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mécanismes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existants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recevoir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plaintes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déposées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nom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concernant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mauvais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traitements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sévices.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Châtiments</w:t>
      </w:r>
      <w:r w:rsidR="00EB4BEA">
        <w:t xml:space="preserve"> </w:t>
      </w:r>
      <w:r w:rsidRPr="00583D4A">
        <w:t>corporels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maltraitance</w:t>
      </w:r>
      <w:r w:rsidR="00EB4BEA">
        <w:t xml:space="preserve"> </w:t>
      </w:r>
    </w:p>
    <w:p w:rsidR="008E26A0" w:rsidRPr="00583D4A" w:rsidRDefault="008E26A0" w:rsidP="002C3283">
      <w:pPr>
        <w:pStyle w:val="ParNoG"/>
        <w:keepNext/>
        <w:keepLines/>
      </w:pPr>
      <w:r w:rsidRPr="00583D4A">
        <w:t>Le</w:t>
      </w:r>
      <w:r w:rsidR="00EB4BEA">
        <w:t xml:space="preserve"> </w:t>
      </w:r>
      <w:r w:rsidRPr="00583D4A">
        <w:t>Comité</w:t>
      </w:r>
      <w:r w:rsidR="00EB4BEA">
        <w:t xml:space="preserve"> </w:t>
      </w:r>
      <w:r w:rsidRPr="00583D4A">
        <w:t>salue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efforts</w:t>
      </w:r>
      <w:r w:rsidR="00EB4BEA">
        <w:t xml:space="preserve"> </w:t>
      </w:r>
      <w:r w:rsidRPr="00583D4A">
        <w:t>déployés</w:t>
      </w:r>
      <w:r w:rsidR="00EB4BEA">
        <w:t xml:space="preserve"> </w:t>
      </w:r>
      <w:r w:rsidRPr="00583D4A">
        <w:t>par</w:t>
      </w:r>
      <w:r w:rsidR="00EB4BEA">
        <w:t xml:space="preserve"> </w:t>
      </w:r>
      <w:r w:rsidRPr="00583D4A">
        <w:t>l</w:t>
      </w:r>
      <w:r>
        <w:t>’</w:t>
      </w:r>
      <w:r w:rsidRPr="00583D4A">
        <w:t>État</w:t>
      </w:r>
      <w:r w:rsidR="00EB4BEA">
        <w:t xml:space="preserve"> </w:t>
      </w:r>
      <w:r w:rsidRPr="00583D4A">
        <w:t>partie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lutter</w:t>
      </w:r>
      <w:r w:rsidR="00EB4BEA">
        <w:t xml:space="preserve"> </w:t>
      </w:r>
      <w:r w:rsidRPr="00583D4A">
        <w:t>contre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violence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famille,</w:t>
      </w:r>
      <w:r w:rsidR="00EB4BEA">
        <w:t xml:space="preserve"> </w:t>
      </w:r>
      <w:r w:rsidRPr="00583D4A">
        <w:t>notamment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modifications</w:t>
      </w:r>
      <w:r w:rsidR="00EB4BEA">
        <w:t xml:space="preserve"> </w:t>
      </w:r>
      <w:r w:rsidRPr="00583D4A">
        <w:t>apportées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loi</w:t>
      </w:r>
      <w:r w:rsidR="00EB4BEA">
        <w:t xml:space="preserve"> </w:t>
      </w:r>
      <w:r w:rsidRPr="00583D4A">
        <w:t>sur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lutte</w:t>
      </w:r>
      <w:r w:rsidR="00EB4BEA">
        <w:t xml:space="preserve"> </w:t>
      </w:r>
      <w:r w:rsidRPr="00583D4A">
        <w:t>contre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violence</w:t>
      </w:r>
      <w:r w:rsidR="00EB4BEA">
        <w:t xml:space="preserve"> </w:t>
      </w:r>
      <w:r w:rsidRPr="00583D4A">
        <w:t>familiale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nouveau</w:t>
      </w:r>
      <w:r w:rsidR="00EB4BEA">
        <w:t xml:space="preserve"> </w:t>
      </w:r>
      <w:r w:rsidRPr="00583D4A">
        <w:t>mécanisme</w:t>
      </w:r>
      <w:r w:rsidR="00EB4BEA">
        <w:t xml:space="preserve"> </w:t>
      </w:r>
      <w:r w:rsidRPr="00EB4BEA">
        <w:rPr>
          <w:lang w:val="fr-FR"/>
        </w:rPr>
        <w:t>d’orientation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matière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enfance</w:t>
      </w:r>
      <w:r w:rsidR="00EB4BEA">
        <w:t xml:space="preserve"> </w:t>
      </w:r>
      <w:r w:rsidRPr="00583D4A">
        <w:t>adopté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2016,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programme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repérage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prévention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troubles</w:t>
      </w:r>
      <w:r w:rsidR="00EB4BEA">
        <w:t xml:space="preserve"> </w:t>
      </w:r>
      <w:r w:rsidRPr="00583D4A">
        <w:t>violents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comportementaux,</w:t>
      </w:r>
      <w:r w:rsidR="00EB4BEA">
        <w:t xml:space="preserve"> </w:t>
      </w:r>
      <w:r w:rsidRPr="00583D4A">
        <w:t>appliqué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titre</w:t>
      </w:r>
      <w:r w:rsidR="00EB4BEA">
        <w:t xml:space="preserve"> </w:t>
      </w:r>
      <w:r w:rsidRPr="00583D4A">
        <w:t>pilote</w:t>
      </w:r>
      <w:r w:rsidR="00EB4BEA">
        <w:t xml:space="preserve"> </w:t>
      </w:r>
      <w:r w:rsidRPr="00583D4A">
        <w:t>depuis</w:t>
      </w:r>
      <w:r w:rsidR="00EB4BEA">
        <w:t xml:space="preserve"> </w:t>
      </w:r>
      <w:r w:rsidRPr="00583D4A">
        <w:t>2016,</w:t>
      </w:r>
      <w:r w:rsidR="00EB4BEA">
        <w:t xml:space="preserve"> </w:t>
      </w:r>
      <w:r w:rsidRPr="00583D4A">
        <w:t>ainsi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programme</w:t>
      </w:r>
      <w:r w:rsidR="00EB4BEA">
        <w:t xml:space="preserve"> </w:t>
      </w:r>
      <w:r w:rsidRPr="00583D4A">
        <w:t>permanent</w:t>
      </w:r>
      <w:r w:rsidR="00EB4BEA">
        <w:t xml:space="preserve"> </w:t>
      </w:r>
      <w:r w:rsidRPr="00583D4A">
        <w:t>concernant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violence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</w:t>
      </w:r>
      <w:r>
        <w:t>’</w:t>
      </w:r>
      <w:r w:rsidRPr="00583D4A">
        <w:t>égard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procédures</w:t>
      </w:r>
      <w:r w:rsidR="00EB4BEA">
        <w:t xml:space="preserve"> </w:t>
      </w:r>
      <w:r w:rsidRPr="00583D4A">
        <w:t>d</w:t>
      </w:r>
      <w:r>
        <w:t>’</w:t>
      </w:r>
      <w:r w:rsidRPr="00583D4A">
        <w:t>orientation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cas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besoin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protection,</w:t>
      </w:r>
      <w:r w:rsidR="00EB4BEA">
        <w:t xml:space="preserve"> </w:t>
      </w:r>
      <w:r w:rsidRPr="00583D4A">
        <w:t>mis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œuvre</w:t>
      </w:r>
      <w:r w:rsidR="00EB4BEA">
        <w:t xml:space="preserve"> </w:t>
      </w:r>
      <w:r w:rsidRPr="00583D4A">
        <w:t>depuis</w:t>
      </w:r>
      <w:r w:rsidR="00EB4BEA">
        <w:t xml:space="preserve"> </w:t>
      </w:r>
      <w:r w:rsidRPr="00583D4A">
        <w:t>2015.</w:t>
      </w:r>
      <w:r w:rsidR="00EB4BEA">
        <w:t xml:space="preserve"> </w:t>
      </w:r>
      <w:r w:rsidRPr="00583D4A">
        <w:t>Il</w:t>
      </w:r>
      <w:r w:rsidR="00EB4BEA">
        <w:t xml:space="preserve"> </w:t>
      </w:r>
      <w:r w:rsidRPr="00583D4A">
        <w:t>est</w:t>
      </w:r>
      <w:r w:rsidR="00EB4BEA">
        <w:t xml:space="preserve"> </w:t>
      </w:r>
      <w:r w:rsidRPr="00583D4A">
        <w:t>cependant</w:t>
      </w:r>
      <w:r w:rsidR="00EB4BEA">
        <w:t xml:space="preserve"> </w:t>
      </w:r>
      <w:r w:rsidRPr="00583D4A">
        <w:t>vivement</w:t>
      </w:r>
      <w:r w:rsidR="00EB4BEA">
        <w:t xml:space="preserve"> </w:t>
      </w:r>
      <w:r w:rsidRPr="00583D4A">
        <w:t>préoccupé</w:t>
      </w:r>
      <w:r w:rsidR="00EB4BEA">
        <w:t xml:space="preserve"> </w:t>
      </w:r>
      <w:r w:rsidRPr="00583D4A">
        <w:t>par</w:t>
      </w:r>
      <w:r w:rsidR="00EB4BEA">
        <w:t> :</w:t>
      </w:r>
    </w:p>
    <w:p w:rsidR="008E26A0" w:rsidRPr="00583D4A" w:rsidRDefault="008E26A0" w:rsidP="00E65CDD">
      <w:pPr>
        <w:pStyle w:val="SingleTxtG"/>
        <w:ind w:firstLine="567"/>
      </w:pPr>
      <w:r w:rsidRPr="00583D4A">
        <w:t>a)</w:t>
      </w:r>
      <w:r w:rsidRPr="00583D4A">
        <w:tab/>
        <w:t>La</w:t>
      </w:r>
      <w:r w:rsidR="00EB4BEA">
        <w:t xml:space="preserve"> </w:t>
      </w:r>
      <w:r w:rsidRPr="00583D4A">
        <w:t>fréquence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châtiments</w:t>
      </w:r>
      <w:r w:rsidR="00EB4BEA">
        <w:t xml:space="preserve"> </w:t>
      </w:r>
      <w:r w:rsidRPr="00583D4A">
        <w:t>corporels,</w:t>
      </w:r>
      <w:r w:rsidR="00EB4BEA">
        <w:t xml:space="preserve"> </w:t>
      </w:r>
      <w:r w:rsidRPr="00583D4A">
        <w:t>aussi</w:t>
      </w:r>
      <w:r w:rsidR="00EB4BEA">
        <w:t xml:space="preserve"> </w:t>
      </w:r>
      <w:r w:rsidRPr="00583D4A">
        <w:t>bien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maison</w:t>
      </w:r>
      <w:r w:rsidR="00EB4BEA">
        <w:t xml:space="preserve"> </w:t>
      </w:r>
      <w:r w:rsidRPr="00583D4A">
        <w:t>qu</w:t>
      </w:r>
      <w:r>
        <w:t>’</w:t>
      </w:r>
      <w:r w:rsidRPr="00583D4A">
        <w:t>à</w:t>
      </w:r>
      <w:r w:rsidR="00EB4BEA">
        <w:t xml:space="preserve"> </w:t>
      </w:r>
      <w:r w:rsidRPr="00583D4A">
        <w:t>l</w:t>
      </w:r>
      <w:r>
        <w:t>’</w:t>
      </w:r>
      <w:r w:rsidRPr="00583D4A">
        <w:t>école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institutions</w:t>
      </w:r>
      <w:r w:rsidR="00EB4BEA">
        <w:t> ;</w:t>
      </w:r>
    </w:p>
    <w:p w:rsidR="008E26A0" w:rsidRPr="00583D4A" w:rsidRDefault="008E26A0" w:rsidP="00347FDE">
      <w:pPr>
        <w:pStyle w:val="SingleTxtG"/>
        <w:ind w:firstLine="567"/>
      </w:pPr>
      <w:r w:rsidRPr="00583D4A">
        <w:t>b)</w:t>
      </w:r>
      <w:r w:rsidRPr="00583D4A">
        <w:tab/>
        <w:t>L</w:t>
      </w:r>
      <w:r>
        <w:t>’</w:t>
      </w:r>
      <w:r w:rsidRPr="00583D4A">
        <w:t>absence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législation</w:t>
      </w:r>
      <w:r w:rsidR="00EB4BEA">
        <w:t xml:space="preserve"> </w:t>
      </w:r>
      <w:r w:rsidRPr="00583D4A">
        <w:t>incriminant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châtiments</w:t>
      </w:r>
      <w:r w:rsidR="00EB4BEA">
        <w:t xml:space="preserve"> </w:t>
      </w:r>
      <w:r w:rsidRPr="00583D4A">
        <w:t>corporels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</w:t>
      </w:r>
      <w:r>
        <w:t>’</w:t>
      </w:r>
      <w:r w:rsidRPr="00583D4A">
        <w:t>activités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sensibilisation</w:t>
      </w:r>
      <w:r w:rsidR="00EB4BEA">
        <w:t xml:space="preserve"> </w:t>
      </w:r>
      <w:r w:rsidRPr="00583D4A">
        <w:t>visant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combattre</w:t>
      </w:r>
      <w:r w:rsidR="00EB4BEA">
        <w:t xml:space="preserve"> </w:t>
      </w:r>
      <w:r w:rsidRPr="00583D4A">
        <w:t>cette</w:t>
      </w:r>
      <w:r w:rsidR="00EB4BEA">
        <w:t xml:space="preserve"> </w:t>
      </w:r>
      <w:r w:rsidRPr="00583D4A">
        <w:t>pratique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c)</w:t>
      </w:r>
      <w:r w:rsidRPr="00583D4A">
        <w:tab/>
        <w:t>La</w:t>
      </w:r>
      <w:r w:rsidR="00EB4BEA">
        <w:t xml:space="preserve"> </w:t>
      </w:r>
      <w:r w:rsidRPr="00583D4A">
        <w:t>mise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œuvre</w:t>
      </w:r>
      <w:r w:rsidR="00EB4BEA">
        <w:t xml:space="preserve"> </w:t>
      </w:r>
      <w:r w:rsidRPr="00583D4A">
        <w:t>limitée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mécanisme</w:t>
      </w:r>
      <w:r w:rsidR="00EB4BEA">
        <w:t xml:space="preserve"> </w:t>
      </w:r>
      <w:r w:rsidRPr="00583D4A">
        <w:t>d</w:t>
      </w:r>
      <w:r>
        <w:t>’</w:t>
      </w:r>
      <w:r w:rsidRPr="00583D4A">
        <w:t>orientation</w:t>
      </w:r>
      <w:r w:rsidR="00EB4BEA">
        <w:t xml:space="preserve"> </w:t>
      </w:r>
      <w:r w:rsidRPr="00583D4A">
        <w:t>vers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enfance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crèches,</w:t>
      </w:r>
      <w:r w:rsidR="00EB4BEA">
        <w:t xml:space="preserve"> </w:t>
      </w:r>
      <w:r w:rsidRPr="00583D4A">
        <w:t>parmi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professionnels</w:t>
      </w:r>
      <w:r w:rsidR="00EB4BEA">
        <w:t xml:space="preserve"> </w:t>
      </w:r>
      <w:r w:rsidRPr="00583D4A">
        <w:t>travaillant</w:t>
      </w:r>
      <w:r w:rsidR="00EB4BEA">
        <w:t xml:space="preserve"> </w:t>
      </w:r>
      <w:r w:rsidRPr="00583D4A">
        <w:t>avec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familles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enfants,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milieu</w:t>
      </w:r>
      <w:r w:rsidR="00EB4BEA">
        <w:t xml:space="preserve"> </w:t>
      </w:r>
      <w:r w:rsidRPr="00583D4A">
        <w:t>scolaire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d)</w:t>
      </w:r>
      <w:r w:rsidRPr="00583D4A">
        <w:tab/>
        <w:t>Le</w:t>
      </w:r>
      <w:r w:rsidR="00EB4BEA">
        <w:t xml:space="preserve"> </w:t>
      </w:r>
      <w:r w:rsidRPr="00583D4A">
        <w:t>rôle</w:t>
      </w:r>
      <w:r w:rsidR="00EB4BEA">
        <w:t xml:space="preserve"> </w:t>
      </w:r>
      <w:r w:rsidRPr="00583D4A">
        <w:t>prépondérant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police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mise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œuvre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mécanisme</w:t>
      </w:r>
      <w:r w:rsidR="00EB4BEA">
        <w:t xml:space="preserve"> </w:t>
      </w:r>
      <w:r w:rsidRPr="00583D4A">
        <w:t>d</w:t>
      </w:r>
      <w:r>
        <w:t>’</w:t>
      </w:r>
      <w:r w:rsidRPr="00583D4A">
        <w:t>orientation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> ;</w:t>
      </w:r>
    </w:p>
    <w:p w:rsidR="008E26A0" w:rsidRPr="00583D4A" w:rsidRDefault="008E26A0" w:rsidP="00347FDE">
      <w:pPr>
        <w:pStyle w:val="SingleTxtG"/>
        <w:ind w:firstLine="567"/>
      </w:pPr>
      <w:r w:rsidRPr="00583D4A">
        <w:t>e)</w:t>
      </w:r>
      <w:r w:rsidRPr="00583D4A">
        <w:tab/>
        <w:t>Le</w:t>
      </w:r>
      <w:r w:rsidR="00EB4BEA">
        <w:t xml:space="preserve"> </w:t>
      </w:r>
      <w:r w:rsidRPr="00583D4A">
        <w:t>fait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peu</w:t>
      </w:r>
      <w:r w:rsidR="00EB4BEA">
        <w:t xml:space="preserve"> </w:t>
      </w:r>
      <w:r w:rsidRPr="00583D4A">
        <w:t>d</w:t>
      </w:r>
      <w:r>
        <w:t>’</w:t>
      </w:r>
      <w:r w:rsidRPr="00583D4A">
        <w:t>établissements</w:t>
      </w:r>
      <w:r w:rsidR="00EB4BEA">
        <w:t xml:space="preserve"> </w:t>
      </w:r>
      <w:r w:rsidRPr="00583D4A">
        <w:t>scolaires</w:t>
      </w:r>
      <w:r w:rsidR="00EB4BEA">
        <w:t xml:space="preserve"> </w:t>
      </w:r>
      <w:r w:rsidRPr="00583D4A">
        <w:t>proposent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conseil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parents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matière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prévention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violence</w:t>
      </w:r>
      <w:r w:rsidR="00EB4BEA">
        <w:t> ;</w:t>
      </w:r>
    </w:p>
    <w:p w:rsidR="008E26A0" w:rsidRPr="00583D4A" w:rsidRDefault="008E26A0" w:rsidP="00347FDE">
      <w:pPr>
        <w:pStyle w:val="SingleTxtG"/>
        <w:ind w:firstLine="567"/>
      </w:pPr>
      <w:r w:rsidRPr="00583D4A">
        <w:t>f)</w:t>
      </w:r>
      <w:r w:rsidRPr="00583D4A">
        <w:tab/>
        <w:t>Le</w:t>
      </w:r>
      <w:r w:rsidR="00EB4BEA">
        <w:t xml:space="preserve"> </w:t>
      </w:r>
      <w:r w:rsidRPr="00583D4A">
        <w:t>fait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centres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psychologiques</w:t>
      </w:r>
      <w:r w:rsidR="00EB4BEA">
        <w:t xml:space="preserve"> </w:t>
      </w:r>
      <w:r w:rsidRPr="00583D4A">
        <w:t>n</w:t>
      </w:r>
      <w:r>
        <w:t>’</w:t>
      </w:r>
      <w:r w:rsidRPr="00583D4A">
        <w:t>existent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sept</w:t>
      </w:r>
      <w:r w:rsidR="00EB4BEA">
        <w:t xml:space="preserve"> </w:t>
      </w:r>
      <w:r w:rsidRPr="00583D4A">
        <w:t>villes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peu</w:t>
      </w:r>
      <w:r w:rsidR="00EB4BEA">
        <w:t xml:space="preserve"> </w:t>
      </w:r>
      <w:r w:rsidRPr="00583D4A">
        <w:t>d</w:t>
      </w:r>
      <w:r>
        <w:t>’</w:t>
      </w:r>
      <w:r w:rsidRPr="00583D4A">
        <w:t>écoles</w:t>
      </w:r>
      <w:r w:rsidR="00EB4BEA">
        <w:t xml:space="preserve"> </w:t>
      </w:r>
      <w:r w:rsidRPr="00583D4A">
        <w:t>soient</w:t>
      </w:r>
      <w:r w:rsidR="00EB4BEA">
        <w:t xml:space="preserve"> </w:t>
      </w:r>
      <w:r w:rsidRPr="00583D4A">
        <w:t>couvertes</w:t>
      </w:r>
      <w:r w:rsidR="00EB4BEA">
        <w:t xml:space="preserve"> </w:t>
      </w:r>
      <w:r w:rsidRPr="00583D4A">
        <w:t>par</w:t>
      </w:r>
      <w:r w:rsidR="00EB4BEA">
        <w:t xml:space="preserve"> </w:t>
      </w:r>
      <w:r w:rsidRPr="00583D4A">
        <w:t>les</w:t>
      </w:r>
      <w:r w:rsidR="00EB4BEA">
        <w:t xml:space="preserve"> </w:t>
      </w:r>
      <w:proofErr w:type="spellStart"/>
      <w:r w:rsidRPr="00583D4A">
        <w:rPr>
          <w:i/>
        </w:rPr>
        <w:t>mandaturi</w:t>
      </w:r>
      <w:proofErr w:type="spellEnd"/>
      <w:r w:rsidR="00EB4BEA">
        <w:t xml:space="preserve"> </w:t>
      </w:r>
      <w:r w:rsidRPr="00583D4A">
        <w:t>(agents</w:t>
      </w:r>
      <w:r w:rsidR="00EB4BEA">
        <w:t xml:space="preserve"> </w:t>
      </w:r>
      <w:r w:rsidRPr="00583D4A">
        <w:t>scolaires)</w:t>
      </w:r>
      <w:r w:rsidR="00EB4BEA">
        <w:t> ;</w:t>
      </w:r>
    </w:p>
    <w:p w:rsidR="008E26A0" w:rsidRPr="00583D4A" w:rsidRDefault="008E26A0" w:rsidP="00347FDE">
      <w:pPr>
        <w:pStyle w:val="SingleTxtG"/>
        <w:ind w:firstLine="567"/>
      </w:pPr>
      <w:r w:rsidRPr="00583D4A">
        <w:t>g)</w:t>
      </w:r>
      <w:r w:rsidRPr="00583D4A">
        <w:tab/>
        <w:t>La</w:t>
      </w:r>
      <w:r w:rsidR="00EB4BEA">
        <w:t xml:space="preserve"> </w:t>
      </w:r>
      <w:r w:rsidRPr="00583D4A">
        <w:t>méconnaissance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procédures</w:t>
      </w:r>
      <w:r w:rsidR="00EB4BEA">
        <w:t xml:space="preserve"> </w:t>
      </w:r>
      <w:r w:rsidRPr="00583D4A">
        <w:t>d</w:t>
      </w:r>
      <w:r>
        <w:t>’</w:t>
      </w:r>
      <w:r w:rsidRPr="00583D4A">
        <w:t>orientation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matière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enfance</w:t>
      </w:r>
      <w:r w:rsidR="00EB4BEA">
        <w:t xml:space="preserve"> </w:t>
      </w:r>
      <w:r w:rsidRPr="00583D4A">
        <w:t>parmi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population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système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enfance</w:t>
      </w:r>
      <w:r w:rsidR="00EB4BEA">
        <w:t xml:space="preserve"> </w:t>
      </w:r>
      <w:r w:rsidRPr="00583D4A">
        <w:t>parmi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professionnels,</w:t>
      </w:r>
      <w:r w:rsidR="00EB4BEA">
        <w:t xml:space="preserve"> </w:t>
      </w:r>
      <w:r w:rsidRPr="00583D4A">
        <w:t>l</w:t>
      </w:r>
      <w:r>
        <w:t>’</w:t>
      </w:r>
      <w:r w:rsidRPr="00583D4A">
        <w:t>absence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directives</w:t>
      </w:r>
      <w:r w:rsidR="00EB4BEA">
        <w:t xml:space="preserve"> </w:t>
      </w:r>
      <w:r w:rsidRPr="00583D4A">
        <w:t>concernant</w:t>
      </w:r>
      <w:r w:rsidR="00EB4BEA">
        <w:t xml:space="preserve"> </w:t>
      </w:r>
      <w:r w:rsidRPr="00583D4A">
        <w:t>l</w:t>
      </w:r>
      <w:r>
        <w:t>’</w:t>
      </w:r>
      <w:r w:rsidRPr="00583D4A">
        <w:t>application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ces</w:t>
      </w:r>
      <w:r w:rsidR="00EB4BEA">
        <w:t xml:space="preserve"> </w:t>
      </w:r>
      <w:r w:rsidRPr="00583D4A">
        <w:t>procédures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</w:t>
      </w:r>
      <w:r>
        <w:t>’</w:t>
      </w:r>
      <w:r w:rsidRPr="00583D4A">
        <w:t>usage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tous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professionnels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santé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éducation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système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enfance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</w:t>
      </w:r>
      <w:r>
        <w:t>’</w:t>
      </w:r>
      <w:r w:rsidRPr="00583D4A">
        <w:t>usage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agents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force</w:t>
      </w:r>
      <w:r w:rsidR="00EB4BEA">
        <w:t xml:space="preserve"> </w:t>
      </w:r>
      <w:r w:rsidRPr="00583D4A">
        <w:t>publique</w:t>
      </w:r>
      <w:r w:rsidR="00EB4BEA">
        <w:t xml:space="preserve"> </w:t>
      </w:r>
      <w:r w:rsidRPr="00583D4A">
        <w:t>concernés,</w:t>
      </w:r>
      <w:r w:rsidR="00EB4BEA">
        <w:t xml:space="preserve"> </w:t>
      </w:r>
      <w:r w:rsidRPr="00583D4A">
        <w:t>ainsi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réticence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chargés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application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lois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mettre</w:t>
      </w:r>
      <w:r w:rsidR="00EB4BEA">
        <w:t xml:space="preserve"> </w:t>
      </w:r>
      <w:r w:rsidRPr="00583D4A">
        <w:t>ces</w:t>
      </w:r>
      <w:r w:rsidR="00EB4BEA">
        <w:t xml:space="preserve"> </w:t>
      </w:r>
      <w:r w:rsidRPr="00583D4A">
        <w:t>procédures</w:t>
      </w:r>
      <w:r w:rsidR="00EB4BEA">
        <w:t xml:space="preserve"> </w:t>
      </w:r>
      <w:r w:rsidRPr="00583D4A">
        <w:t>effectivement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œuvre.</w:t>
      </w:r>
    </w:p>
    <w:p w:rsidR="008E26A0" w:rsidRPr="00746196" w:rsidRDefault="008E26A0" w:rsidP="00E65CDD">
      <w:pPr>
        <w:pStyle w:val="ParNoG"/>
        <w:keepNext/>
        <w:rPr>
          <w:b/>
          <w:bCs/>
        </w:rPr>
      </w:pP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lumière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observations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générales</w:t>
      </w:r>
      <w:r w:rsidR="00EB4BEA" w:rsidRPr="00746196">
        <w:rPr>
          <w:b/>
          <w:bCs/>
        </w:rPr>
        <w:t xml:space="preserve"> </w:t>
      </w:r>
      <w:r w:rsidR="00746196" w:rsidRPr="00746196">
        <w:rPr>
          <w:rFonts w:eastAsia="MS Mincho"/>
          <w:b/>
          <w:bCs/>
        </w:rPr>
        <w:t>n</w:t>
      </w:r>
      <w:r w:rsidR="00746196" w:rsidRPr="00746196">
        <w:rPr>
          <w:rFonts w:eastAsia="MS Mincho"/>
          <w:b/>
          <w:bCs/>
          <w:vertAlign w:val="superscript"/>
        </w:rPr>
        <w:t>o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8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(2006)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droit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l’enfant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une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protection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contre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châtiments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corporels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autres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formes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cruelles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dégradantes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châtiments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="00746196" w:rsidRPr="00746196">
        <w:rPr>
          <w:rFonts w:eastAsia="MS Mincho"/>
          <w:b/>
          <w:bCs/>
        </w:rPr>
        <w:t>n</w:t>
      </w:r>
      <w:r w:rsidR="00746196" w:rsidRPr="00746196">
        <w:rPr>
          <w:rFonts w:eastAsia="MS Mincho"/>
          <w:b/>
          <w:bCs/>
          <w:vertAlign w:val="superscript"/>
        </w:rPr>
        <w:t>o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13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(2011)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droit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l’enfant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d’être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protégé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contre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toutes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formes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violence,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compte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tenu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cible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16.2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objectifs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développement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durable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(«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Mettre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un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terme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maltraitance,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l’exploitation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traite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toutes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formes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violence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dont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sont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victimes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enfants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»),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prie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instamment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a)</w:t>
      </w:r>
      <w:r w:rsidRPr="008E26A0">
        <w:rPr>
          <w:b/>
          <w:bCs/>
        </w:rPr>
        <w:tab/>
        <w:t>D’adopter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législation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interdisant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expressément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formes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châtiments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corporels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infligés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contextes,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y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compris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établissements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d’enseignement,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institutions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protection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remplacement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maison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b)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renforcer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encore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programmes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politiques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lutte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l’égard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y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compris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programmes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campagnes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communautaires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visant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prévenir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combattre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maltraitance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défaut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soins,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d’associer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anciennes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victimes,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bénévoles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membres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communautés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œuvre,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manière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lastRenderedPageBreak/>
        <w:t>promouvoir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formes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positives,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participatives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d’éducation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discipline</w:t>
      </w:r>
      <w:r w:rsidR="00EB4BEA">
        <w:rPr>
          <w:b/>
          <w:bCs/>
        </w:rPr>
        <w:t> ;</w:t>
      </w:r>
    </w:p>
    <w:p w:rsidR="008E26A0" w:rsidRPr="008E26A0" w:rsidRDefault="008E26A0" w:rsidP="00347FDE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c)</w:t>
      </w:r>
      <w:r w:rsidRPr="008E26A0">
        <w:rPr>
          <w:b/>
          <w:bCs/>
        </w:rPr>
        <w:tab/>
        <w:t>D’améliorer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œuvre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mécanisme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d’orientation,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augmentant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nombre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professionnels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avec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="00347FDE">
        <w:rPr>
          <w:b/>
          <w:bCs/>
        </w:rPr>
        <w:t>−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personnel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chargé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l’application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lois,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prestataires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particulier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d)</w:t>
      </w:r>
      <w:r w:rsidRPr="008E26A0">
        <w:rPr>
          <w:b/>
          <w:bCs/>
        </w:rPr>
        <w:tab/>
        <w:t>D’aider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sorte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l’intérêt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supérieur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l’enfant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mécanisme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d’orientation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réadaptation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réinsertion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victimes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l’objectif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ultime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fournis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e)</w:t>
      </w:r>
      <w:r w:rsidRPr="008E26A0">
        <w:rPr>
          <w:b/>
          <w:bCs/>
        </w:rPr>
        <w:tab/>
        <w:t>D’étendre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couverture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conseil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fins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prévention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d’augmenter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nombre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centres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psychologiques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accessibles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> ;</w:t>
      </w:r>
    </w:p>
    <w:p w:rsidR="008E26A0" w:rsidRPr="008E26A0" w:rsidRDefault="008E26A0" w:rsidP="002C3283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f)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veiller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proofErr w:type="spellStart"/>
      <w:r w:rsidRPr="008E26A0">
        <w:rPr>
          <w:b/>
          <w:bCs/>
          <w:i/>
        </w:rPr>
        <w:t>mandaturi</w:t>
      </w:r>
      <w:proofErr w:type="spellEnd"/>
      <w:r w:rsidR="00EB4BEA">
        <w:rPr>
          <w:b/>
          <w:bCs/>
        </w:rPr>
        <w:t xml:space="preserve"> </w:t>
      </w:r>
      <w:r w:rsidRPr="008E26A0">
        <w:rPr>
          <w:b/>
          <w:bCs/>
        </w:rPr>
        <w:t>interviennent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écoles,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d’élargir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mandat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crèches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structures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garde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renforcer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capacités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qu’ils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soient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même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repérer,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signaler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gérer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sévices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écoles,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adoptant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approche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pluridisciplinaire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plurisectorielle</w:t>
      </w:r>
      <w:r w:rsidR="00EB4BEA">
        <w:rPr>
          <w:b/>
          <w:bCs/>
        </w:rPr>
        <w:t> ;</w:t>
      </w:r>
    </w:p>
    <w:p w:rsidR="008E26A0" w:rsidRPr="008E26A0" w:rsidRDefault="008E26A0" w:rsidP="002C3283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g)</w:t>
      </w:r>
      <w:r w:rsidRPr="008E26A0">
        <w:rPr>
          <w:b/>
          <w:bCs/>
        </w:rPr>
        <w:tab/>
        <w:t>D’élaborer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directives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nécessaires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bonne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œuvre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procédures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d’orientation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l’intention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professionnels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système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protection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l’enfance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(y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compris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enseignants,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personnel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crèches,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professions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médicales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membres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police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magistrature)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veiller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qu’ils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reçoivent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formation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portant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procédures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directives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correspondantes,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ainsi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l’obligation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est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dénoncer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cas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présumé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familiale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concernant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prendre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mesures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voulues</w:t>
      </w:r>
      <w:r w:rsidR="00EB4BEA">
        <w:rPr>
          <w:b/>
          <w:bCs/>
        </w:rPr>
        <w:t> ;</w:t>
      </w:r>
    </w:p>
    <w:p w:rsidR="008E26A0" w:rsidRPr="008E26A0" w:rsidRDefault="008E26A0" w:rsidP="002C3283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h)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coopérer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avec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Représentant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spécial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Secrétaire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général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chargé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question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violence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l’encontre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avec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autres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organismes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compétents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Unies.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Exploitation</w:t>
      </w:r>
      <w:r w:rsidR="00EB4BEA">
        <w:t xml:space="preserve"> </w:t>
      </w:r>
      <w:r w:rsidRPr="00583D4A">
        <w:t>sexuelle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violences</w:t>
      </w:r>
      <w:r w:rsidR="00EB4BEA">
        <w:t xml:space="preserve"> </w:t>
      </w:r>
      <w:r w:rsidRPr="00583D4A">
        <w:t>sexuelles</w:t>
      </w:r>
    </w:p>
    <w:p w:rsidR="008E26A0" w:rsidRPr="00583D4A" w:rsidRDefault="008E26A0" w:rsidP="00E65CDD">
      <w:pPr>
        <w:pStyle w:val="ParNoG"/>
        <w:keepNext/>
      </w:pPr>
      <w:r w:rsidRPr="00583D4A">
        <w:t>Le</w:t>
      </w:r>
      <w:r w:rsidR="00EB4BEA">
        <w:t xml:space="preserve"> </w:t>
      </w:r>
      <w:r w:rsidRPr="00583D4A">
        <w:t>Comité</w:t>
      </w:r>
      <w:r w:rsidR="00EB4BEA">
        <w:t xml:space="preserve"> </w:t>
      </w:r>
      <w:r w:rsidRPr="00583D4A">
        <w:t>constate</w:t>
      </w:r>
      <w:r w:rsidR="00EB4BEA">
        <w:t xml:space="preserve"> </w:t>
      </w:r>
      <w:r w:rsidRPr="00583D4A">
        <w:t>avec</w:t>
      </w:r>
      <w:r w:rsidR="00EB4BEA">
        <w:t xml:space="preserve"> </w:t>
      </w:r>
      <w:r w:rsidRPr="00583D4A">
        <w:t>une</w:t>
      </w:r>
      <w:r w:rsidR="00EB4BEA">
        <w:t xml:space="preserve"> </w:t>
      </w:r>
      <w:r w:rsidRPr="00583D4A">
        <w:t>profonde</w:t>
      </w:r>
      <w:r w:rsidR="00EB4BEA">
        <w:t xml:space="preserve"> </w:t>
      </w:r>
      <w:r w:rsidRPr="00583D4A">
        <w:t>préoccupation</w:t>
      </w:r>
      <w:r w:rsidR="00EB4BEA">
        <w:t> :</w:t>
      </w:r>
    </w:p>
    <w:p w:rsidR="008E26A0" w:rsidRPr="00583D4A" w:rsidRDefault="008E26A0" w:rsidP="002C3283">
      <w:pPr>
        <w:pStyle w:val="SingleTxtG"/>
        <w:ind w:firstLine="567"/>
      </w:pPr>
      <w:r w:rsidRPr="00583D4A">
        <w:t>a)</w:t>
      </w:r>
      <w:r w:rsidRPr="00583D4A">
        <w:tab/>
        <w:t>Qu</w:t>
      </w:r>
      <w:r>
        <w:t>’</w:t>
      </w:r>
      <w:r w:rsidRPr="00583D4A">
        <w:t>il</w:t>
      </w:r>
      <w:r w:rsidR="00EB4BEA">
        <w:t xml:space="preserve"> </w:t>
      </w:r>
      <w:r w:rsidRPr="00583D4A">
        <w:t>n</w:t>
      </w:r>
      <w:r>
        <w:t>’</w:t>
      </w:r>
      <w:r w:rsidRPr="00583D4A">
        <w:t>existe</w:t>
      </w:r>
      <w:r w:rsidR="00EB4BEA">
        <w:t xml:space="preserve"> </w:t>
      </w:r>
      <w:r w:rsidRPr="00583D4A">
        <w:t>pas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législation</w:t>
      </w:r>
      <w:r w:rsidR="00EB4BEA">
        <w:t xml:space="preserve"> </w:t>
      </w:r>
      <w:r w:rsidRPr="00583D4A">
        <w:t>détaillée</w:t>
      </w:r>
      <w:r w:rsidR="00EB4BEA">
        <w:t xml:space="preserve"> </w:t>
      </w:r>
      <w:r w:rsidRPr="00583D4A">
        <w:t>incriminant</w:t>
      </w:r>
      <w:r w:rsidR="00EB4BEA">
        <w:t xml:space="preserve"> </w:t>
      </w:r>
      <w:r w:rsidRPr="00583D4A">
        <w:t>l</w:t>
      </w:r>
      <w:r>
        <w:t>’</w:t>
      </w:r>
      <w:r w:rsidRPr="00583D4A">
        <w:t>exploitation</w:t>
      </w:r>
      <w:r w:rsidR="00EB4BEA">
        <w:t xml:space="preserve"> </w:t>
      </w:r>
      <w:r w:rsidRPr="00583D4A">
        <w:t>sexuelle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visant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prévenir,</w:t>
      </w:r>
      <w:r w:rsidR="00EB4BEA">
        <w:t xml:space="preserve"> </w:t>
      </w:r>
      <w:r w:rsidRPr="00583D4A">
        <w:t>ni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stratégie</w:t>
      </w:r>
      <w:r w:rsidR="00EB4BEA">
        <w:t xml:space="preserve"> </w:t>
      </w:r>
      <w:r w:rsidRPr="00583D4A">
        <w:t>correspondante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</w:t>
      </w:r>
      <w:r>
        <w:t>’</w:t>
      </w:r>
      <w:r w:rsidRPr="00583D4A">
        <w:t>organe</w:t>
      </w:r>
      <w:r w:rsidR="00EB4BEA">
        <w:t xml:space="preserve"> </w:t>
      </w:r>
      <w:r w:rsidRPr="00583D4A">
        <w:t>chargé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coordonner</w:t>
      </w:r>
      <w:r w:rsidR="00EB4BEA">
        <w:t xml:space="preserve"> </w:t>
      </w:r>
      <w:r w:rsidRPr="00583D4A">
        <w:t>sa</w:t>
      </w:r>
      <w:r w:rsidR="00EB4BEA">
        <w:t xml:space="preserve"> </w:t>
      </w:r>
      <w:r w:rsidRPr="00583D4A">
        <w:t>mise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œuvre</w:t>
      </w:r>
      <w:r w:rsidR="00EB4BEA">
        <w:t> ;</w:t>
      </w:r>
    </w:p>
    <w:p w:rsidR="008E26A0" w:rsidRPr="00583D4A" w:rsidRDefault="008E26A0" w:rsidP="003910D6">
      <w:pPr>
        <w:pStyle w:val="SingleTxtG"/>
        <w:ind w:firstLine="567"/>
      </w:pPr>
      <w:r w:rsidRPr="00583D4A">
        <w:t>b)</w:t>
      </w:r>
      <w:r w:rsidRPr="00583D4A">
        <w:tab/>
        <w:t>Que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données</w:t>
      </w:r>
      <w:r w:rsidR="00EB4BEA">
        <w:t xml:space="preserve"> </w:t>
      </w:r>
      <w:r w:rsidRPr="00583D4A">
        <w:t>manquent</w:t>
      </w:r>
      <w:r w:rsidR="00EB4BEA">
        <w:t xml:space="preserve"> </w:t>
      </w:r>
      <w:r w:rsidRPr="00583D4A">
        <w:t>quant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l</w:t>
      </w:r>
      <w:r>
        <w:t>’</w:t>
      </w:r>
      <w:r w:rsidRPr="00583D4A">
        <w:t>ampleur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différentes</w:t>
      </w:r>
      <w:r w:rsidR="00EB4BEA">
        <w:t xml:space="preserve"> </w:t>
      </w:r>
      <w:r w:rsidRPr="00583D4A">
        <w:t>formes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exploitation</w:t>
      </w:r>
      <w:r w:rsidR="00EB4BEA">
        <w:t xml:space="preserve"> </w:t>
      </w:r>
      <w:r w:rsidRPr="00583D4A">
        <w:t>sexuelle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violences</w:t>
      </w:r>
      <w:r w:rsidR="00EB4BEA">
        <w:t xml:space="preserve"> </w:t>
      </w:r>
      <w:r w:rsidRPr="00583D4A">
        <w:t>sexuelles,</w:t>
      </w:r>
      <w:r w:rsidR="00EB4BEA">
        <w:t xml:space="preserve"> </w:t>
      </w:r>
      <w:r w:rsidRPr="00583D4A">
        <w:t>y</w:t>
      </w:r>
      <w:r w:rsidR="00EB4BEA">
        <w:t xml:space="preserve"> </w:t>
      </w:r>
      <w:r w:rsidRPr="00583D4A">
        <w:t>compris</w:t>
      </w:r>
      <w:r w:rsidR="00EB4BEA">
        <w:t xml:space="preserve"> </w:t>
      </w:r>
      <w:r w:rsidRPr="00583D4A">
        <w:t>dans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famille,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études</w:t>
      </w:r>
      <w:r w:rsidR="00EB4BEA">
        <w:t xml:space="preserve"> </w:t>
      </w:r>
      <w:r w:rsidRPr="00583D4A">
        <w:t>font</w:t>
      </w:r>
      <w:r w:rsidR="00EB4BEA">
        <w:t xml:space="preserve"> </w:t>
      </w:r>
      <w:r w:rsidRPr="00583D4A">
        <w:t>défaut</w:t>
      </w:r>
      <w:r w:rsidR="00EB4BEA">
        <w:t xml:space="preserve"> </w:t>
      </w:r>
      <w:r w:rsidRPr="00583D4A">
        <w:t>concernant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causes</w:t>
      </w:r>
      <w:r w:rsidR="00EB4BEA">
        <w:t xml:space="preserve"> </w:t>
      </w:r>
      <w:r w:rsidRPr="00583D4A">
        <w:t>profondes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ces</w:t>
      </w:r>
      <w:r w:rsidR="00EB4BEA">
        <w:t xml:space="preserve"> </w:t>
      </w:r>
      <w:r w:rsidRPr="00583D4A">
        <w:t>phénomènes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</w:t>
      </w:r>
      <w:r>
        <w:t>’</w:t>
      </w:r>
      <w:r w:rsidRPr="00583D4A">
        <w:t>impact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technologies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information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communication</w:t>
      </w:r>
      <w:r w:rsidR="00EB4BEA">
        <w:t xml:space="preserve"> </w:t>
      </w:r>
      <w:r w:rsidRPr="00583D4A">
        <w:t>sur</w:t>
      </w:r>
      <w:r w:rsidR="00EB4BEA">
        <w:t xml:space="preserve"> </w:t>
      </w:r>
      <w:r w:rsidRPr="00583D4A">
        <w:t>l</w:t>
      </w:r>
      <w:r>
        <w:t>’</w:t>
      </w:r>
      <w:r w:rsidRPr="00583D4A">
        <w:t>exploitation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violences</w:t>
      </w:r>
      <w:r w:rsidR="00EB4BEA">
        <w:t xml:space="preserve"> </w:t>
      </w:r>
      <w:r w:rsidRPr="00583D4A">
        <w:t>sexuelles</w:t>
      </w:r>
      <w:r w:rsidR="00EB4BEA">
        <w:t xml:space="preserve"> </w:t>
      </w:r>
      <w:r w:rsidRPr="00583D4A">
        <w:t>visant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enfants</w:t>
      </w:r>
      <w:r w:rsidR="00EB4BEA">
        <w:t> ;</w:t>
      </w:r>
    </w:p>
    <w:p w:rsidR="008E26A0" w:rsidRPr="00583D4A" w:rsidRDefault="008E26A0" w:rsidP="003910D6">
      <w:pPr>
        <w:pStyle w:val="SingleTxtG"/>
        <w:ind w:firstLine="567"/>
      </w:pPr>
      <w:r w:rsidRPr="00583D4A">
        <w:t>c)</w:t>
      </w:r>
      <w:r w:rsidRPr="00583D4A">
        <w:tab/>
        <w:t>Que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enquêtes</w:t>
      </w:r>
      <w:r w:rsidR="00EB4BEA">
        <w:t xml:space="preserve"> </w:t>
      </w:r>
      <w:r w:rsidRPr="00583D4A">
        <w:t>sur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cas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violences</w:t>
      </w:r>
      <w:r w:rsidR="00EB4BEA">
        <w:t xml:space="preserve"> </w:t>
      </w:r>
      <w:r w:rsidRPr="00583D4A">
        <w:t>sexuelles</w:t>
      </w:r>
      <w:r w:rsidR="00EB4BEA">
        <w:t xml:space="preserve"> </w:t>
      </w:r>
      <w:r w:rsidRPr="00583D4A">
        <w:t>commises</w:t>
      </w:r>
      <w:r w:rsidR="00EB4BEA">
        <w:t xml:space="preserve"> </w:t>
      </w:r>
      <w:r w:rsidRPr="00583D4A">
        <w:t>sur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repérage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victimes</w:t>
      </w:r>
      <w:r w:rsidR="00EB4BEA">
        <w:t xml:space="preserve"> </w:t>
      </w:r>
      <w:r w:rsidRPr="00583D4A">
        <w:t>se</w:t>
      </w:r>
      <w:r w:rsidR="00EB4BEA">
        <w:t xml:space="preserve"> </w:t>
      </w:r>
      <w:r w:rsidRPr="00583D4A">
        <w:t>heurtent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obstacles,</w:t>
      </w:r>
      <w:r w:rsidR="00EB4BEA">
        <w:t xml:space="preserve"> </w:t>
      </w:r>
      <w:r w:rsidRPr="00583D4A">
        <w:t>notamment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fait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l</w:t>
      </w:r>
      <w:r>
        <w:t>’</w:t>
      </w:r>
      <w:r w:rsidRPr="00583D4A">
        <w:t>unité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recherche</w:t>
      </w:r>
      <w:r w:rsidR="00EB4BEA">
        <w:t xml:space="preserve"> </w:t>
      </w:r>
      <w:r w:rsidRPr="00583D4A">
        <w:t>sur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preuves</w:t>
      </w:r>
      <w:r w:rsidR="00EB4BEA">
        <w:t xml:space="preserve"> </w:t>
      </w:r>
      <w:r w:rsidRPr="00583D4A">
        <w:t>numériques</w:t>
      </w:r>
      <w:r w:rsidR="00EB4BEA">
        <w:t xml:space="preserve"> </w:t>
      </w:r>
      <w:r w:rsidRPr="00583D4A">
        <w:t>qu</w:t>
      </w:r>
      <w:r>
        <w:t>’</w:t>
      </w:r>
      <w:r w:rsidRPr="00583D4A">
        <w:t>il</w:t>
      </w:r>
      <w:r w:rsidR="00EB4BEA">
        <w:t xml:space="preserve"> </w:t>
      </w:r>
      <w:r w:rsidRPr="00583D4A">
        <w:t>était</w:t>
      </w:r>
      <w:r w:rsidR="00EB4BEA">
        <w:t xml:space="preserve"> </w:t>
      </w:r>
      <w:r w:rsidRPr="00583D4A">
        <w:t>prévu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créer</w:t>
      </w:r>
      <w:r w:rsidR="00EB4BEA">
        <w:t xml:space="preserve"> </w:t>
      </w:r>
      <w:r w:rsidRPr="00583D4A">
        <w:t>n</w:t>
      </w:r>
      <w:r>
        <w:t>’</w:t>
      </w:r>
      <w:r w:rsidRPr="00583D4A">
        <w:t>a</w:t>
      </w:r>
      <w:r w:rsidR="00EB4BEA">
        <w:t xml:space="preserve"> </w:t>
      </w:r>
      <w:r w:rsidRPr="00583D4A">
        <w:t>pas</w:t>
      </w:r>
      <w:r w:rsidR="00EB4BEA">
        <w:t xml:space="preserve"> </w:t>
      </w:r>
      <w:r w:rsidRPr="00583D4A">
        <w:t>vu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jour,</w:t>
      </w:r>
      <w:r w:rsidR="00EB4BEA">
        <w:t xml:space="preserve"> </w:t>
      </w:r>
      <w:r w:rsidRPr="00583D4A">
        <w:t>l</w:t>
      </w:r>
      <w:r>
        <w:t>’</w:t>
      </w:r>
      <w:r w:rsidRPr="00583D4A">
        <w:t>activité</w:t>
      </w:r>
      <w:r w:rsidR="00EB4BEA">
        <w:t xml:space="preserve"> </w:t>
      </w:r>
      <w:r w:rsidRPr="00583D4A">
        <w:t>limitée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unité</w:t>
      </w:r>
      <w:r w:rsidR="00EB4BEA">
        <w:t xml:space="preserve"> </w:t>
      </w:r>
      <w:r w:rsidRPr="00583D4A">
        <w:t>cybercriminalité,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couverture</w:t>
      </w:r>
      <w:r w:rsidR="00EB4BEA">
        <w:t xml:space="preserve"> </w:t>
      </w:r>
      <w:r w:rsidRPr="00583D4A">
        <w:t>géographique</w:t>
      </w:r>
      <w:r w:rsidR="00EB4BEA">
        <w:t xml:space="preserve"> </w:t>
      </w:r>
      <w:r w:rsidRPr="00583D4A">
        <w:t>insuffisante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permanence</w:t>
      </w:r>
      <w:r w:rsidR="00EB4BEA">
        <w:t xml:space="preserve"> </w:t>
      </w:r>
      <w:r w:rsidRPr="00583D4A">
        <w:t>téléphonique</w:t>
      </w:r>
      <w:r w:rsidR="00EB4BEA">
        <w:t xml:space="preserve"> </w:t>
      </w:r>
      <w:r w:rsidRPr="00583D4A">
        <w:t>gratuite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longueur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numéro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composer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avoir</w:t>
      </w:r>
      <w:r w:rsidR="00EB4BEA">
        <w:t xml:space="preserve"> </w:t>
      </w:r>
      <w:r w:rsidRPr="00583D4A">
        <w:t>accès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cette</w:t>
      </w:r>
      <w:r w:rsidR="00EB4BEA">
        <w:t xml:space="preserve"> </w:t>
      </w:r>
      <w:r w:rsidRPr="00583D4A">
        <w:t>assistance</w:t>
      </w:r>
      <w:r w:rsidR="00EB4BEA">
        <w:t xml:space="preserve"> </w:t>
      </w:r>
      <w:r w:rsidRPr="00583D4A">
        <w:t>téléphonique</w:t>
      </w:r>
      <w:r w:rsidR="00EB4BEA">
        <w:t> ;</w:t>
      </w:r>
    </w:p>
    <w:p w:rsidR="008E26A0" w:rsidRPr="00583D4A" w:rsidRDefault="008E26A0" w:rsidP="003910D6">
      <w:pPr>
        <w:pStyle w:val="SingleTxtG"/>
        <w:ind w:firstLine="567"/>
      </w:pPr>
      <w:r w:rsidRPr="00583D4A">
        <w:t>d)</w:t>
      </w:r>
      <w:r w:rsidRPr="00583D4A">
        <w:tab/>
        <w:t>Que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population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général,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particulier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enfants,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parents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professionnels,</w:t>
      </w:r>
      <w:r w:rsidR="00EB4BEA">
        <w:t xml:space="preserve"> </w:t>
      </w:r>
      <w:r w:rsidRPr="00583D4A">
        <w:t>ne</w:t>
      </w:r>
      <w:r w:rsidR="00EB4BEA">
        <w:t xml:space="preserve"> </w:t>
      </w:r>
      <w:r w:rsidRPr="00583D4A">
        <w:t>connaissent</w:t>
      </w:r>
      <w:r w:rsidR="00EB4BEA">
        <w:t xml:space="preserve"> </w:t>
      </w:r>
      <w:r w:rsidRPr="00583D4A">
        <w:t>pas</w:t>
      </w:r>
      <w:r w:rsidR="00EB4BEA">
        <w:t xml:space="preserve"> </w:t>
      </w:r>
      <w:r w:rsidRPr="00583D4A">
        <w:t>suffisamment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mécanismes</w:t>
      </w:r>
      <w:r w:rsidR="00EB4BEA">
        <w:t xml:space="preserve"> </w:t>
      </w:r>
      <w:r w:rsidRPr="00583D4A">
        <w:t>d</w:t>
      </w:r>
      <w:r>
        <w:t>’</w:t>
      </w:r>
      <w:r w:rsidRPr="00583D4A">
        <w:t>orientation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signalement</w:t>
      </w:r>
      <w:r w:rsidR="00EB4BEA">
        <w:t xml:space="preserve"> </w:t>
      </w:r>
      <w:r w:rsidRPr="00583D4A">
        <w:t>prévus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cas</w:t>
      </w:r>
      <w:r w:rsidR="00EB4BEA">
        <w:t xml:space="preserve"> </w:t>
      </w:r>
      <w:r w:rsidRPr="00583D4A">
        <w:t>d</w:t>
      </w:r>
      <w:r>
        <w:t>’</w:t>
      </w:r>
      <w:r w:rsidRPr="00583D4A">
        <w:t>exploitation</w:t>
      </w:r>
      <w:r w:rsidR="00EB4BEA">
        <w:t xml:space="preserve"> </w:t>
      </w:r>
      <w:r w:rsidRPr="00583D4A">
        <w:t>sexuelle,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dangers</w:t>
      </w:r>
      <w:r w:rsidR="00EB4BEA">
        <w:t xml:space="preserve"> </w:t>
      </w:r>
      <w:r w:rsidRPr="00583D4A">
        <w:t>potentiels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certains</w:t>
      </w:r>
      <w:r w:rsidR="00EB4BEA">
        <w:t xml:space="preserve"> </w:t>
      </w:r>
      <w:r w:rsidRPr="00583D4A">
        <w:t>comportements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ligne,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</w:t>
      </w:r>
      <w:r>
        <w:t>’</w:t>
      </w:r>
      <w:r w:rsidRPr="00583D4A">
        <w:t>existence</w:t>
      </w:r>
      <w:r w:rsidR="00EB4BEA">
        <w:t xml:space="preserve"> </w:t>
      </w:r>
      <w:r w:rsidRPr="00583D4A">
        <w:t>d</w:t>
      </w:r>
      <w:r>
        <w:t>’</w:t>
      </w:r>
      <w:r w:rsidRPr="00583D4A">
        <w:t>une</w:t>
      </w:r>
      <w:r w:rsidR="00EB4BEA">
        <w:t xml:space="preserve"> </w:t>
      </w:r>
      <w:r w:rsidRPr="00583D4A">
        <w:t>permanence</w:t>
      </w:r>
      <w:r w:rsidR="00EB4BEA">
        <w:t xml:space="preserve"> </w:t>
      </w:r>
      <w:r w:rsidRPr="00583D4A">
        <w:t>téléphonique</w:t>
      </w:r>
      <w:r w:rsidR="00EB4BEA">
        <w:t xml:space="preserve"> </w:t>
      </w:r>
      <w:r w:rsidRPr="00583D4A">
        <w:t>gratuite</w:t>
      </w:r>
      <w:r w:rsidR="00EB4BEA">
        <w:t xml:space="preserve"> </w:t>
      </w:r>
      <w:r w:rsidRPr="00583D4A">
        <w:t>destinée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enfants</w:t>
      </w:r>
      <w:r w:rsidR="00EB4BEA">
        <w:t> ;</w:t>
      </w:r>
    </w:p>
    <w:p w:rsidR="008E26A0" w:rsidRPr="00583D4A" w:rsidRDefault="008E26A0" w:rsidP="003910D6">
      <w:pPr>
        <w:pStyle w:val="SingleTxtG"/>
        <w:ind w:firstLine="567"/>
      </w:pPr>
      <w:r w:rsidRPr="00583D4A">
        <w:lastRenderedPageBreak/>
        <w:t>e)</w:t>
      </w:r>
      <w:r w:rsidR="00EB4BEA">
        <w:t xml:space="preserve"> </w:t>
      </w:r>
      <w:r w:rsidRPr="00583D4A">
        <w:tab/>
        <w:t>Qu</w:t>
      </w:r>
      <w:r>
        <w:t>’</w:t>
      </w:r>
      <w:r w:rsidRPr="00583D4A">
        <w:t>aucun</w:t>
      </w:r>
      <w:r w:rsidR="00EB4BEA">
        <w:t xml:space="preserve"> </w:t>
      </w:r>
      <w:r w:rsidRPr="00583D4A">
        <w:t>protocole</w:t>
      </w:r>
      <w:r w:rsidR="00EB4BEA">
        <w:t xml:space="preserve"> </w:t>
      </w:r>
      <w:r w:rsidRPr="00583D4A">
        <w:t>n</w:t>
      </w:r>
      <w:r>
        <w:t>’</w:t>
      </w:r>
      <w:r w:rsidRPr="00583D4A">
        <w:t>a</w:t>
      </w:r>
      <w:r w:rsidR="00EB4BEA">
        <w:t xml:space="preserve"> </w:t>
      </w:r>
      <w:r w:rsidRPr="00583D4A">
        <w:t>été</w:t>
      </w:r>
      <w:r w:rsidR="00EB4BEA">
        <w:t xml:space="preserve"> </w:t>
      </w:r>
      <w:r w:rsidRPr="00583D4A">
        <w:t>établi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réglementer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renforcer</w:t>
      </w:r>
      <w:r w:rsidR="00EB4BEA">
        <w:t xml:space="preserve"> </w:t>
      </w:r>
      <w:r w:rsidRPr="00583D4A">
        <w:t>la</w:t>
      </w:r>
      <w:r w:rsidR="00EB4BEA">
        <w:t xml:space="preserve"> </w:t>
      </w:r>
      <w:proofErr w:type="spellStart"/>
      <w:r w:rsidR="002C3283">
        <w:t>coopérat</w:t>
      </w:r>
      <w:r w:rsidRPr="00583D4A">
        <w:t>on</w:t>
      </w:r>
      <w:proofErr w:type="spellEnd"/>
      <w:r w:rsidR="00EB4BEA">
        <w:t xml:space="preserve"> </w:t>
      </w:r>
      <w:r w:rsidRPr="00583D4A">
        <w:t>entre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secteurs</w:t>
      </w:r>
      <w:r w:rsidR="00EB4BEA">
        <w:t xml:space="preserve"> </w:t>
      </w:r>
      <w:r w:rsidRPr="00583D4A">
        <w:t>public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privé</w:t>
      </w:r>
      <w:r w:rsidR="00EB4BEA">
        <w:t xml:space="preserve"> </w:t>
      </w:r>
      <w:r w:rsidRPr="00583D4A">
        <w:t>ni</w:t>
      </w:r>
      <w:r w:rsidR="00EB4BEA">
        <w:t xml:space="preserve"> </w:t>
      </w:r>
      <w:r w:rsidRPr="00583D4A">
        <w:t>aucune</w:t>
      </w:r>
      <w:r w:rsidR="00EB4BEA">
        <w:t xml:space="preserve"> </w:t>
      </w:r>
      <w:r w:rsidRPr="00583D4A">
        <w:t>coopération</w:t>
      </w:r>
      <w:r w:rsidR="00EB4BEA">
        <w:t xml:space="preserve"> </w:t>
      </w:r>
      <w:r w:rsidRPr="00583D4A">
        <w:t>mise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place</w:t>
      </w:r>
      <w:r w:rsidR="00EB4BEA">
        <w:t xml:space="preserve"> </w:t>
      </w:r>
      <w:r w:rsidRPr="00583D4A">
        <w:t>au</w:t>
      </w:r>
      <w:r w:rsidR="00EB4BEA">
        <w:t xml:space="preserve"> </w:t>
      </w:r>
      <w:r w:rsidRPr="00583D4A">
        <w:t>niveau</w:t>
      </w:r>
      <w:r w:rsidR="00EB4BEA">
        <w:t xml:space="preserve"> </w:t>
      </w:r>
      <w:r w:rsidRPr="00583D4A">
        <w:t>international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lutter</w:t>
      </w:r>
      <w:r w:rsidR="00EB4BEA">
        <w:t xml:space="preserve"> </w:t>
      </w:r>
      <w:r w:rsidRPr="00583D4A">
        <w:t>contre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maltraitance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</w:t>
      </w:r>
      <w:r>
        <w:t>’</w:t>
      </w:r>
      <w:r w:rsidRPr="00583D4A">
        <w:t>exploitation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ligne</w:t>
      </w:r>
      <w:r w:rsidR="00EB4BEA">
        <w:t> ;</w:t>
      </w:r>
    </w:p>
    <w:p w:rsidR="008E26A0" w:rsidRPr="00583D4A" w:rsidRDefault="008E26A0" w:rsidP="003910D6">
      <w:pPr>
        <w:pStyle w:val="SingleTxtG"/>
        <w:ind w:firstLine="567"/>
      </w:pPr>
      <w:r w:rsidRPr="00583D4A">
        <w:t>f)</w:t>
      </w:r>
      <w:r w:rsidRPr="00583D4A">
        <w:tab/>
        <w:t>Que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réadaptation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victimes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négligence,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violences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</w:t>
      </w:r>
      <w:r>
        <w:t>’</w:t>
      </w:r>
      <w:r w:rsidRPr="00583D4A">
        <w:t>exploitation,</w:t>
      </w:r>
      <w:r w:rsidR="00EB4BEA">
        <w:t xml:space="preserve"> </w:t>
      </w:r>
      <w:r w:rsidRPr="00583D4A">
        <w:t>y</w:t>
      </w:r>
      <w:r w:rsidR="00EB4BEA">
        <w:t xml:space="preserve"> </w:t>
      </w:r>
      <w:r w:rsidRPr="00583D4A">
        <w:t>compris</w:t>
      </w:r>
      <w:r w:rsidR="00EB4BEA">
        <w:t xml:space="preserve"> </w:t>
      </w:r>
      <w:r w:rsidRPr="00583D4A">
        <w:t>d</w:t>
      </w:r>
      <w:r>
        <w:t>’</w:t>
      </w:r>
      <w:r w:rsidRPr="00583D4A">
        <w:t>exploitation</w:t>
      </w:r>
      <w:r w:rsidR="00EB4BEA">
        <w:t xml:space="preserve"> </w:t>
      </w:r>
      <w:r w:rsidRPr="00583D4A">
        <w:t>sexuelle,</w:t>
      </w:r>
      <w:r w:rsidR="00EB4BEA">
        <w:t xml:space="preserve"> </w:t>
      </w:r>
      <w:r w:rsidRPr="00583D4A">
        <w:t>ont</w:t>
      </w:r>
      <w:r w:rsidR="00EB4BEA">
        <w:t xml:space="preserve"> </w:t>
      </w:r>
      <w:r w:rsidRPr="00583D4A">
        <w:t>été</w:t>
      </w:r>
      <w:r w:rsidR="00EB4BEA">
        <w:t xml:space="preserve"> </w:t>
      </w:r>
      <w:r w:rsidRPr="00583D4A">
        <w:t>externalisés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que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ressources</w:t>
      </w:r>
      <w:r w:rsidR="00EB4BEA">
        <w:t xml:space="preserve"> </w:t>
      </w:r>
      <w:r w:rsidRPr="00583D4A">
        <w:t>financières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ces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ne</w:t>
      </w:r>
      <w:r w:rsidR="00EB4BEA">
        <w:t xml:space="preserve"> </w:t>
      </w:r>
      <w:r w:rsidRPr="00583D4A">
        <w:t>sont</w:t>
      </w:r>
      <w:r w:rsidR="00EB4BEA">
        <w:t xml:space="preserve"> </w:t>
      </w:r>
      <w:r w:rsidRPr="00583D4A">
        <w:t>pas</w:t>
      </w:r>
      <w:r w:rsidR="00EB4BEA">
        <w:t xml:space="preserve"> </w:t>
      </w:r>
      <w:r w:rsidRPr="00583D4A">
        <w:t>suffisantes.</w:t>
      </w:r>
    </w:p>
    <w:p w:rsidR="008E26A0" w:rsidRPr="00746196" w:rsidRDefault="008E26A0" w:rsidP="00E65CDD">
      <w:pPr>
        <w:pStyle w:val="ParNoG"/>
        <w:keepNext/>
        <w:rPr>
          <w:b/>
          <w:bCs/>
        </w:rPr>
      </w:pPr>
      <w:r w:rsidRPr="00746196">
        <w:rPr>
          <w:b/>
          <w:bCs/>
          <w:szCs w:val="24"/>
        </w:rPr>
        <w:t>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Comité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réitère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observations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finales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précédentes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</w:rPr>
        <w:t>(voir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CRC/C/GEO/</w:t>
      </w:r>
      <w:r w:rsidR="00746196" w:rsidRPr="00746196">
        <w:rPr>
          <w:b/>
          <w:bCs/>
        </w:rPr>
        <w:br/>
      </w:r>
      <w:r w:rsidRPr="00746196">
        <w:rPr>
          <w:b/>
          <w:bCs/>
        </w:rPr>
        <w:t>CO/3,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par.</w:t>
      </w:r>
      <w:r w:rsidR="00746196" w:rsidRPr="00746196">
        <w:rPr>
          <w:b/>
          <w:bCs/>
        </w:rPr>
        <w:t> </w:t>
      </w:r>
      <w:r w:rsidRPr="00746196">
        <w:rPr>
          <w:b/>
          <w:bCs/>
        </w:rPr>
        <w:t>67)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engage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vivement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> :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</w:rPr>
        <w:t>a)</w:t>
      </w:r>
      <w:r w:rsidRPr="00746196">
        <w:rPr>
          <w:b/>
          <w:bCs/>
        </w:rPr>
        <w:tab/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créer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une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base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données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nationale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tous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cas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violences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dont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sont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victimes,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y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compris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cas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violences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ligne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qui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ont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lieu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sein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famille,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entreprendre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une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étude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complète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afin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déterminer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l’ampleur,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causes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nature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phénomènes,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s’intéressant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tout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particulièrement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l’impact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technologies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l’information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communication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violence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touchant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b)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renforcer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processus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détection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victimes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sévices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notamment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adoptant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stratégies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proactives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d’enquête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poursuites,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allouer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ressources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humaines,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techniques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financières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nécessaires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l’unité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spécialisée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chargée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cybercriminalité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mettre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pied,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comme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prévu,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l’unité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recherche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preuves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numériques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c)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dispenser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acteurs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qui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peuvent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être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amenés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repérer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susceptibles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d’avoir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été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victimes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ou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violences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une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formation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portant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normes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internationales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relatives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droits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l’enfant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applicables,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procédures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protection,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signalement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d’orientation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l’approche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respectueuse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l’âge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qui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doit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être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suivie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dans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ces</w:t>
      </w:r>
      <w:r w:rsidR="00746196">
        <w:rPr>
          <w:b/>
          <w:bCs/>
          <w:szCs w:val="24"/>
        </w:rPr>
        <w:t> </w:t>
      </w:r>
      <w:r w:rsidRPr="00746196">
        <w:rPr>
          <w:b/>
          <w:bCs/>
          <w:szCs w:val="24"/>
        </w:rPr>
        <w:t>procédures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d)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modifier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numéro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ligne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d’assistance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gratuite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qu’il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n’ait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trois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chiffres,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manière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faciliter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utilisation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garantir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l’accès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cette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ligne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d’assistance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dans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toutes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régions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pays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e)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faire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mieux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connaître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parents,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enseignants,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</w:rPr>
        <w:t>responsables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questions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santé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autres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professionnels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travaillant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avec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particulier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particulièrement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vulnérables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procédures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signalement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d’orientation,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ainsi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moyens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limiter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risques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courus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par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du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fait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comportement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ligne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f)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élaborer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protocoles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secteurs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public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privé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renforcer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la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coopération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internationale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organes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chargés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l’application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lois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lutter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contre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l’exploitation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sexuelle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ligne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g)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renforcer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financements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soutien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accordés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l’aide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victimes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mauvais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traitements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négligence,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afin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que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enfants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aient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accès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dispositifs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rétablissement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physique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psychologique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d’autres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modalités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réadaptation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pour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satisfaire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aux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normes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définies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en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août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2012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matière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prise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charge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enfants</w:t>
      </w:r>
      <w:r w:rsidR="00EB4BEA" w:rsidRPr="00746196">
        <w:rPr>
          <w:b/>
          <w:bCs/>
          <w:szCs w:val="24"/>
        </w:rPr>
        <w:t> ;</w:t>
      </w:r>
    </w:p>
    <w:p w:rsidR="008E26A0" w:rsidRPr="00746196" w:rsidRDefault="008E26A0" w:rsidP="00E65CDD">
      <w:pPr>
        <w:pStyle w:val="SingleTxtG"/>
        <w:ind w:firstLine="567"/>
        <w:rPr>
          <w:b/>
          <w:bCs/>
          <w:szCs w:val="24"/>
        </w:rPr>
      </w:pPr>
      <w:r w:rsidRPr="00746196">
        <w:rPr>
          <w:b/>
          <w:bCs/>
          <w:szCs w:val="24"/>
        </w:rPr>
        <w:t>h)</w:t>
      </w:r>
      <w:r w:rsidRPr="00746196">
        <w:rPr>
          <w:b/>
          <w:bCs/>
          <w:szCs w:val="24"/>
        </w:rPr>
        <w:tab/>
        <w:t>À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continuer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  <w:szCs w:val="24"/>
        </w:rPr>
        <w:t>de</w:t>
      </w:r>
      <w:r w:rsidR="00EB4BEA" w:rsidRPr="00746196">
        <w:rPr>
          <w:b/>
          <w:bCs/>
          <w:szCs w:val="24"/>
        </w:rPr>
        <w:t xml:space="preserve"> </w:t>
      </w:r>
      <w:r w:rsidRPr="00746196">
        <w:rPr>
          <w:b/>
          <w:bCs/>
        </w:rPr>
        <w:t>collaborer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avec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organisations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gouvernementales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(ONG)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compétentes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solliciter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l’assistance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technique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l’UNICEF,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autres.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Pratiques</w:t>
      </w:r>
      <w:r w:rsidR="00EB4BEA">
        <w:t xml:space="preserve"> </w:t>
      </w:r>
      <w:r w:rsidRPr="00583D4A">
        <w:t>préjudiciables</w:t>
      </w:r>
    </w:p>
    <w:p w:rsidR="008E26A0" w:rsidRPr="00746196" w:rsidRDefault="008E26A0" w:rsidP="00E65CDD">
      <w:pPr>
        <w:pStyle w:val="ParNoG"/>
        <w:rPr>
          <w:b/>
          <w:bCs/>
        </w:rPr>
      </w:pP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félicite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dispositions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qui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autorisaient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mariage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enfants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avant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l’âge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18</w:t>
      </w:r>
      <w:r w:rsidR="00746196">
        <w:rPr>
          <w:b/>
          <w:bCs/>
        </w:rPr>
        <w:t> </w:t>
      </w:r>
      <w:r w:rsidRPr="00746196">
        <w:rPr>
          <w:b/>
          <w:bCs/>
        </w:rPr>
        <w:t>ans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aient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été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abrogées,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avec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effet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1</w:t>
      </w:r>
      <w:r w:rsidRPr="00746196">
        <w:rPr>
          <w:b/>
          <w:bCs/>
          <w:vertAlign w:val="superscript"/>
        </w:rPr>
        <w:t>er</w:t>
      </w:r>
      <w:r w:rsidR="00746196">
        <w:rPr>
          <w:b/>
          <w:bCs/>
        </w:rPr>
        <w:t> </w:t>
      </w:r>
      <w:r w:rsidRPr="00746196">
        <w:rPr>
          <w:b/>
          <w:bCs/>
        </w:rPr>
        <w:t>janvier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2017,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recommande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mettre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point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campagnes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programmes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sensibilisation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pour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renforcer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l’application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loi.</w:t>
      </w:r>
    </w:p>
    <w:p w:rsidR="008E26A0" w:rsidRPr="00583D4A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lastRenderedPageBreak/>
        <w:tab/>
      </w:r>
      <w:r w:rsidRPr="00583D4A">
        <w:rPr>
          <w:lang w:val="fr-FR"/>
        </w:rPr>
        <w:t>E.</w:t>
      </w:r>
      <w:r>
        <w:rPr>
          <w:lang w:val="fr-FR"/>
        </w:rPr>
        <w:tab/>
      </w:r>
      <w:r w:rsidRPr="00583D4A">
        <w:rPr>
          <w:lang w:val="fr-FR"/>
        </w:rPr>
        <w:t>Milieu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familial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protection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remplacement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(art.</w:t>
      </w:r>
      <w:r w:rsidR="00746196">
        <w:rPr>
          <w:lang w:val="fr-FR"/>
        </w:rPr>
        <w:t> </w:t>
      </w:r>
      <w:r w:rsidRPr="00583D4A">
        <w:rPr>
          <w:lang w:val="fr-FR"/>
        </w:rPr>
        <w:t>5,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9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11,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18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(par.</w:t>
      </w:r>
      <w:r w:rsidR="00746196">
        <w:rPr>
          <w:lang w:val="fr-FR"/>
        </w:rPr>
        <w:t> </w:t>
      </w:r>
      <w:r w:rsidRPr="00583D4A">
        <w:rPr>
          <w:lang w:val="fr-FR"/>
        </w:rPr>
        <w:t>1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2),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20,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21,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25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27</w:t>
      </w:r>
      <w:r w:rsidR="00EB4BEA">
        <w:rPr>
          <w:lang w:val="fr-FR"/>
        </w:rPr>
        <w:t xml:space="preserve"> </w:t>
      </w:r>
      <w:r w:rsidRPr="00583D4A">
        <w:rPr>
          <w:lang w:val="fr-FR"/>
        </w:rPr>
        <w:t>(par.</w:t>
      </w:r>
      <w:r w:rsidR="00746196">
        <w:rPr>
          <w:lang w:val="fr-FR"/>
        </w:rPr>
        <w:t> </w:t>
      </w:r>
      <w:r w:rsidRPr="00583D4A">
        <w:rPr>
          <w:lang w:val="fr-FR"/>
        </w:rPr>
        <w:t>4))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Milieu</w:t>
      </w:r>
      <w:r w:rsidR="00EB4BEA">
        <w:t xml:space="preserve"> </w:t>
      </w:r>
      <w:r w:rsidRPr="00583D4A">
        <w:t>familial</w:t>
      </w:r>
      <w:r w:rsidR="00EB4BEA">
        <w:t xml:space="preserve"> </w:t>
      </w:r>
    </w:p>
    <w:p w:rsidR="008E26A0" w:rsidRPr="00583D4A" w:rsidRDefault="008E26A0" w:rsidP="00E65CDD">
      <w:pPr>
        <w:pStyle w:val="ParNoG"/>
        <w:keepNext/>
      </w:pPr>
      <w:r w:rsidRPr="00583D4A">
        <w:t>Le</w:t>
      </w:r>
      <w:r w:rsidR="00EB4BEA">
        <w:t xml:space="preserve"> </w:t>
      </w:r>
      <w:r w:rsidRPr="00583D4A">
        <w:t>Comité</w:t>
      </w:r>
      <w:r w:rsidR="00EB4BEA">
        <w:t xml:space="preserve"> </w:t>
      </w:r>
      <w:r w:rsidRPr="00583D4A">
        <w:t>prend</w:t>
      </w:r>
      <w:r w:rsidR="00EB4BEA">
        <w:t xml:space="preserve"> </w:t>
      </w:r>
      <w:r w:rsidRPr="00583D4A">
        <w:t>note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réforme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système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prise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charge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processus</w:t>
      </w:r>
      <w:r w:rsidR="00EB4BEA">
        <w:t xml:space="preserve"> </w:t>
      </w:r>
      <w:r w:rsidRPr="00583D4A">
        <w:t>engagé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réduire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nombre</w:t>
      </w:r>
      <w:r w:rsidR="00EB4BEA">
        <w:t xml:space="preserve"> </w:t>
      </w:r>
      <w:r w:rsidRPr="00583D4A">
        <w:t>d</w:t>
      </w:r>
      <w:r>
        <w:t>’</w:t>
      </w:r>
      <w:r w:rsidRPr="00583D4A">
        <w:t>enfants</w:t>
      </w:r>
      <w:r w:rsidR="00EB4BEA">
        <w:t xml:space="preserve"> </w:t>
      </w:r>
      <w:r w:rsidRPr="00583D4A">
        <w:t>placés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institution,</w:t>
      </w:r>
      <w:r w:rsidR="00EB4BEA">
        <w:t xml:space="preserve"> </w:t>
      </w:r>
      <w:r w:rsidRPr="00583D4A">
        <w:t>mais</w:t>
      </w:r>
      <w:r w:rsidR="00EB4BEA">
        <w:t xml:space="preserve"> </w:t>
      </w:r>
      <w:r w:rsidRPr="00583D4A">
        <w:t>reste</w:t>
      </w:r>
      <w:r w:rsidR="00EB4BEA">
        <w:t xml:space="preserve"> </w:t>
      </w:r>
      <w:r w:rsidRPr="00583D4A">
        <w:t>gravement</w:t>
      </w:r>
      <w:r w:rsidR="00EB4BEA">
        <w:t xml:space="preserve"> </w:t>
      </w:r>
      <w:r w:rsidRPr="00583D4A">
        <w:t>préoccupé</w:t>
      </w:r>
      <w:r w:rsidR="00EB4BEA">
        <w:t xml:space="preserve"> </w:t>
      </w:r>
      <w:r w:rsidRPr="00583D4A">
        <w:t>par</w:t>
      </w:r>
      <w:r w:rsidR="00EB4BEA">
        <w:t> :</w:t>
      </w:r>
    </w:p>
    <w:p w:rsidR="008E26A0" w:rsidRPr="00583D4A" w:rsidRDefault="008E26A0" w:rsidP="00E65CDD">
      <w:pPr>
        <w:pStyle w:val="SingleTxtG"/>
        <w:ind w:firstLine="567"/>
      </w:pPr>
      <w:r w:rsidRPr="00583D4A">
        <w:t>a)</w:t>
      </w:r>
      <w:r w:rsidRPr="00583D4A">
        <w:tab/>
        <w:t>L</w:t>
      </w:r>
      <w:r>
        <w:t>’</w:t>
      </w:r>
      <w:r w:rsidRPr="00583D4A">
        <w:t>insuffisance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ressources</w:t>
      </w:r>
      <w:r w:rsidR="00EB4BEA">
        <w:t xml:space="preserve"> </w:t>
      </w:r>
      <w:r w:rsidRPr="00583D4A">
        <w:t>humaines,</w:t>
      </w:r>
      <w:r w:rsidR="00EB4BEA">
        <w:t xml:space="preserve"> </w:t>
      </w:r>
      <w:r w:rsidRPr="00583D4A">
        <w:t>techniques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financières</w:t>
      </w:r>
      <w:r w:rsidR="00EB4BEA">
        <w:t xml:space="preserve"> </w:t>
      </w:r>
      <w:r w:rsidRPr="00583D4A">
        <w:t>allouées</w:t>
      </w:r>
      <w:r w:rsidR="00EB4BEA">
        <w:t xml:space="preserve"> </w:t>
      </w:r>
      <w:r w:rsidRPr="00583D4A">
        <w:t>au</w:t>
      </w:r>
      <w:r w:rsidR="00EB4BEA">
        <w:t xml:space="preserve"> </w:t>
      </w:r>
      <w:r w:rsidRPr="00583D4A">
        <w:t>système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sociale,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particulier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ce</w:t>
      </w:r>
      <w:r w:rsidR="00EB4BEA">
        <w:t xml:space="preserve"> </w:t>
      </w:r>
      <w:r w:rsidRPr="00583D4A">
        <w:t>qui</w:t>
      </w:r>
      <w:r w:rsidR="00EB4BEA">
        <w:t xml:space="preserve"> </w:t>
      </w:r>
      <w:r w:rsidRPr="00583D4A">
        <w:t>concerne</w:t>
      </w:r>
      <w:r w:rsidR="00EB4BEA">
        <w:t xml:space="preserve"> </w:t>
      </w:r>
      <w:r w:rsidRPr="00583D4A">
        <w:t>le</w:t>
      </w:r>
      <w:r w:rsidR="00EB4BEA">
        <w:t xml:space="preserve"> </w:t>
      </w:r>
      <w:r w:rsidRPr="00583D4A">
        <w:t>soutien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familles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remplacement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b)</w:t>
      </w:r>
      <w:r w:rsidRPr="00583D4A">
        <w:tab/>
        <w:t>La</w:t>
      </w:r>
      <w:r w:rsidR="00EB4BEA">
        <w:t xml:space="preserve"> </w:t>
      </w:r>
      <w:r w:rsidRPr="00583D4A">
        <w:t>couverture</w:t>
      </w:r>
      <w:r w:rsidR="00EB4BEA">
        <w:t xml:space="preserve"> </w:t>
      </w:r>
      <w:r w:rsidRPr="00583D4A">
        <w:t>géographique</w:t>
      </w:r>
      <w:r w:rsidR="00EB4BEA">
        <w:t xml:space="preserve"> </w:t>
      </w:r>
      <w:r w:rsidRPr="00583D4A">
        <w:t>limitée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système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protection</w:t>
      </w:r>
      <w:r w:rsidR="00EB4BEA">
        <w:t xml:space="preserve"> </w:t>
      </w:r>
      <w:r w:rsidRPr="00583D4A">
        <w:t>sociale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c)</w:t>
      </w:r>
      <w:r w:rsidRPr="00583D4A">
        <w:tab/>
        <w:t>L</w:t>
      </w:r>
      <w:r>
        <w:t>’</w:t>
      </w:r>
      <w:r w:rsidRPr="00583D4A">
        <w:t>inadéquation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initiatives</w:t>
      </w:r>
      <w:r w:rsidR="00EB4BEA">
        <w:t xml:space="preserve"> </w:t>
      </w:r>
      <w:r w:rsidRPr="00583D4A">
        <w:t>prises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repérer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besoins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y</w:t>
      </w:r>
      <w:r w:rsidR="00746196">
        <w:t> </w:t>
      </w:r>
      <w:r w:rsidRPr="00583D4A">
        <w:t>répondre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un</w:t>
      </w:r>
      <w:r w:rsidR="00EB4BEA">
        <w:t xml:space="preserve"> </w:t>
      </w:r>
      <w:r w:rsidRPr="00583D4A">
        <w:t>stade</w:t>
      </w:r>
      <w:r w:rsidR="00EB4BEA">
        <w:t xml:space="preserve"> </w:t>
      </w:r>
      <w:r w:rsidRPr="00583D4A">
        <w:t>précoce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d)</w:t>
      </w:r>
      <w:r w:rsidRPr="00583D4A">
        <w:tab/>
        <w:t>L</w:t>
      </w:r>
      <w:r>
        <w:t>’</w:t>
      </w:r>
      <w:r w:rsidRPr="00583D4A">
        <w:t>insuffisance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mesures</w:t>
      </w:r>
      <w:r w:rsidR="00EB4BEA">
        <w:t xml:space="preserve"> </w:t>
      </w:r>
      <w:r w:rsidRPr="00583D4A">
        <w:t>destinées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aider</w:t>
      </w:r>
      <w:r w:rsidR="00EB4BEA">
        <w:t xml:space="preserve"> </w:t>
      </w:r>
      <w:r w:rsidRPr="00583D4A">
        <w:t>les</w:t>
      </w:r>
      <w:r w:rsidR="00EB4BEA">
        <w:t xml:space="preserve"> </w:t>
      </w:r>
      <w:r w:rsidRPr="00583D4A">
        <w:t>parents</w:t>
      </w:r>
      <w:r w:rsidR="00EB4BEA">
        <w:t xml:space="preserve"> </w:t>
      </w:r>
      <w:r w:rsidRPr="00583D4A">
        <w:t>qui</w:t>
      </w:r>
      <w:r w:rsidR="00EB4BEA">
        <w:t xml:space="preserve"> </w:t>
      </w:r>
      <w:r w:rsidRPr="00583D4A">
        <w:t>travaillent</w:t>
      </w:r>
      <w:r w:rsidR="00EB4BEA">
        <w:t xml:space="preserve"> </w:t>
      </w:r>
      <w:r w:rsidRPr="00583D4A">
        <w:t>à</w:t>
      </w:r>
      <w:r w:rsidR="00EB4BEA">
        <w:t xml:space="preserve"> </w:t>
      </w:r>
      <w:r w:rsidRPr="00583D4A">
        <w:t>concilier</w:t>
      </w:r>
      <w:r w:rsidR="00EB4BEA">
        <w:t xml:space="preserve"> </w:t>
      </w:r>
      <w:r w:rsidRPr="00583D4A">
        <w:t>vie</w:t>
      </w:r>
      <w:r w:rsidR="00EB4BEA">
        <w:t xml:space="preserve"> </w:t>
      </w:r>
      <w:r w:rsidRPr="00583D4A">
        <w:t>professionnelle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vie</w:t>
      </w:r>
      <w:r w:rsidR="00EB4BEA">
        <w:t xml:space="preserve"> </w:t>
      </w:r>
      <w:r w:rsidRPr="00583D4A">
        <w:t>familiale</w:t>
      </w:r>
      <w:r w:rsidR="00EB4BEA">
        <w:t xml:space="preserve"> </w:t>
      </w:r>
      <w:r w:rsidRPr="00583D4A">
        <w:t>en</w:t>
      </w:r>
      <w:r w:rsidR="00EB4BEA">
        <w:t xml:space="preserve"> </w:t>
      </w:r>
      <w:r w:rsidRPr="00583D4A">
        <w:t>offrant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services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qualité</w:t>
      </w:r>
      <w:r w:rsidR="00EB4BEA">
        <w:t xml:space="preserve"> </w:t>
      </w:r>
      <w:r w:rsidRPr="00583D4A">
        <w:t>pour</w:t>
      </w:r>
      <w:r w:rsidR="00EB4BEA">
        <w:t xml:space="preserve"> </w:t>
      </w:r>
      <w:r w:rsidRPr="00583D4A">
        <w:t>la</w:t>
      </w:r>
      <w:r w:rsidR="00EB4BEA">
        <w:t xml:space="preserve"> </w:t>
      </w:r>
      <w:r w:rsidRPr="00583D4A">
        <w:t>garde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enfants</w:t>
      </w:r>
      <w:r w:rsidR="00EB4BEA">
        <w:t> ;</w:t>
      </w:r>
    </w:p>
    <w:p w:rsidR="008E26A0" w:rsidRPr="00583D4A" w:rsidRDefault="008E26A0" w:rsidP="00E65CDD">
      <w:pPr>
        <w:pStyle w:val="SingleTxtG"/>
        <w:ind w:firstLine="567"/>
      </w:pPr>
      <w:r w:rsidRPr="00583D4A">
        <w:t>e)</w:t>
      </w:r>
      <w:r w:rsidRPr="00583D4A">
        <w:tab/>
        <w:t>L</w:t>
      </w:r>
      <w:r>
        <w:t>’</w:t>
      </w:r>
      <w:r w:rsidRPr="00583D4A">
        <w:t>accès</w:t>
      </w:r>
      <w:r w:rsidR="00EB4BEA">
        <w:t xml:space="preserve"> </w:t>
      </w:r>
      <w:r w:rsidRPr="00583D4A">
        <w:t>limité</w:t>
      </w:r>
      <w:r w:rsidR="00EB4BEA">
        <w:t xml:space="preserve"> </w:t>
      </w:r>
      <w:r w:rsidRPr="00583D4A">
        <w:t>du</w:t>
      </w:r>
      <w:r w:rsidR="00EB4BEA">
        <w:t xml:space="preserve"> </w:t>
      </w:r>
      <w:r w:rsidRPr="00583D4A">
        <w:t>Centre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droits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l</w:t>
      </w:r>
      <w:r>
        <w:t>’</w:t>
      </w:r>
      <w:r w:rsidRPr="00583D4A">
        <w:t>enfant</w:t>
      </w:r>
      <w:r w:rsidR="00EB4BEA">
        <w:t xml:space="preserve"> </w:t>
      </w:r>
      <w:r w:rsidRPr="00583D4A">
        <w:t>aux</w:t>
      </w:r>
      <w:r w:rsidR="00EB4BEA">
        <w:t xml:space="preserve"> </w:t>
      </w:r>
      <w:r w:rsidRPr="00583D4A">
        <w:t>établissements</w:t>
      </w:r>
      <w:r w:rsidR="00EB4BEA">
        <w:t xml:space="preserve"> </w:t>
      </w:r>
      <w:r w:rsidRPr="00583D4A">
        <w:t>de</w:t>
      </w:r>
      <w:r w:rsidR="00EB4BEA">
        <w:t xml:space="preserve"> </w:t>
      </w:r>
      <w:r w:rsidRPr="00583D4A">
        <w:t>garde</w:t>
      </w:r>
      <w:r w:rsidR="00EB4BEA">
        <w:t xml:space="preserve"> </w:t>
      </w:r>
      <w:r w:rsidRPr="00583D4A">
        <w:t>d</w:t>
      </w:r>
      <w:r>
        <w:t>’</w:t>
      </w:r>
      <w:r w:rsidRPr="00583D4A">
        <w:t>enfants</w:t>
      </w:r>
      <w:r w:rsidR="00EB4BEA">
        <w:t xml:space="preserve"> </w:t>
      </w:r>
      <w:r w:rsidRPr="00583D4A">
        <w:t>gérés</w:t>
      </w:r>
      <w:r w:rsidR="00EB4BEA">
        <w:t xml:space="preserve"> </w:t>
      </w:r>
      <w:r w:rsidRPr="00583D4A">
        <w:t>par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organisations</w:t>
      </w:r>
      <w:r w:rsidR="00EB4BEA">
        <w:t xml:space="preserve"> </w:t>
      </w:r>
      <w:r w:rsidRPr="00583D4A">
        <w:t>religieuses</w:t>
      </w:r>
      <w:r w:rsidR="00EB4BEA">
        <w:t xml:space="preserve"> </w:t>
      </w:r>
      <w:r w:rsidRPr="00583D4A">
        <w:t>et</w:t>
      </w:r>
      <w:r w:rsidR="00EB4BEA">
        <w:t xml:space="preserve"> </w:t>
      </w:r>
      <w:r w:rsidRPr="00583D4A">
        <w:t>des</w:t>
      </w:r>
      <w:r w:rsidR="00EB4BEA">
        <w:t xml:space="preserve"> </w:t>
      </w:r>
      <w:r w:rsidRPr="00583D4A">
        <w:t>particuliers.</w:t>
      </w:r>
    </w:p>
    <w:p w:rsidR="008E26A0" w:rsidRPr="008E26A0" w:rsidRDefault="008E26A0" w:rsidP="00E65CDD">
      <w:pPr>
        <w:pStyle w:val="ParNoG"/>
        <w:keepNext/>
        <w:rPr>
          <w:b/>
          <w:bCs/>
        </w:rPr>
      </w:pP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Comité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rappelle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précédentes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observations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finales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(voir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CRC/C/GEO/</w:t>
      </w:r>
      <w:r w:rsidR="00746196">
        <w:rPr>
          <w:b/>
          <w:bCs/>
        </w:rPr>
        <w:br/>
      </w:r>
      <w:r w:rsidRPr="008E26A0">
        <w:rPr>
          <w:b/>
          <w:bCs/>
        </w:rPr>
        <w:t>CO/3,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par.</w:t>
      </w:r>
      <w:r w:rsidR="00746196">
        <w:rPr>
          <w:b/>
          <w:bCs/>
        </w:rPr>
        <w:t> </w:t>
      </w:r>
      <w:r w:rsidRPr="008E26A0">
        <w:rPr>
          <w:b/>
          <w:bCs/>
        </w:rPr>
        <w:t>35)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prie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instamment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l’État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partie</w:t>
      </w:r>
      <w:r w:rsidR="00EB4BEA">
        <w:rPr>
          <w:b/>
          <w:bCs/>
        </w:rPr>
        <w:t> :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a)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renforcer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système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protection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politiques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programmes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faveur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l’éducation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la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allouer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moyens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humains,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techniques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financiers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nécessaires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plus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particulièrement,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d’augmenter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sensiblement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nombre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d’améliorer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formation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d’accroître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rémunération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b)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garantir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l’accès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particulier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zones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rurales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c)</w:t>
      </w:r>
      <w:r w:rsidRPr="008E26A0">
        <w:rPr>
          <w:b/>
          <w:bCs/>
        </w:rPr>
        <w:tab/>
        <w:t>D’établir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mécanismes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procédures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permettant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d’identifier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stade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précoce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familles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besoin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système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protection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sociale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d)</w:t>
      </w:r>
      <w:r w:rsidRPr="008E26A0">
        <w:rPr>
          <w:b/>
          <w:bCs/>
        </w:rPr>
        <w:tab/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développer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encore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l’assistance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services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d’appui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fournis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tuteurs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légaux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aider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assumer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leurs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responsabilités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éducatives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promouvoir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mesures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soutien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parents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qui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travaillent,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y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compris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envisageant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collaboration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avec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entreprises</w:t>
      </w:r>
      <w:r w:rsidR="00EB4BEA">
        <w:rPr>
          <w:b/>
          <w:bCs/>
        </w:rPr>
        <w:t> ;</w:t>
      </w:r>
    </w:p>
    <w:p w:rsidR="008E26A0" w:rsidRPr="008E26A0" w:rsidRDefault="008E26A0" w:rsidP="00E65CDD">
      <w:pPr>
        <w:pStyle w:val="SingleTxtG"/>
        <w:ind w:firstLine="567"/>
        <w:rPr>
          <w:b/>
          <w:bCs/>
        </w:rPr>
      </w:pPr>
      <w:r w:rsidRPr="008E26A0">
        <w:rPr>
          <w:b/>
          <w:bCs/>
        </w:rPr>
        <w:t>e)</w:t>
      </w:r>
      <w:r w:rsidRPr="008E26A0">
        <w:rPr>
          <w:b/>
          <w:bCs/>
        </w:rPr>
        <w:tab/>
        <w:t>D’instaurer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une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obligation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d’enregistrement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pour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établissements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accueillant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enfants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faire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appliquer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cette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mesure,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d’ériger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infraction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pénale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fait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tenir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type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d’établissement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sans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avoir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obtenu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licence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veiller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à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que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tous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les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établissements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conforment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aux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normes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prise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en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charge</w:t>
      </w:r>
      <w:r w:rsidR="00EB4BEA">
        <w:rPr>
          <w:b/>
          <w:bCs/>
        </w:rPr>
        <w:t xml:space="preserve"> </w:t>
      </w:r>
      <w:r w:rsidRPr="008E26A0">
        <w:rPr>
          <w:b/>
          <w:bCs/>
        </w:rPr>
        <w:t>des</w:t>
      </w:r>
      <w:r w:rsidR="00746196">
        <w:rPr>
          <w:b/>
          <w:bCs/>
        </w:rPr>
        <w:t> </w:t>
      </w:r>
      <w:r w:rsidRPr="008E26A0">
        <w:rPr>
          <w:b/>
          <w:bCs/>
        </w:rPr>
        <w:t>enfants.</w:t>
      </w:r>
    </w:p>
    <w:p w:rsidR="008E26A0" w:rsidRPr="00583D4A" w:rsidRDefault="008E26A0" w:rsidP="00E65CDD">
      <w:pPr>
        <w:pStyle w:val="H23G"/>
        <w:keepLines w:val="0"/>
      </w:pPr>
      <w:r>
        <w:tab/>
      </w:r>
      <w:r>
        <w:tab/>
      </w:r>
      <w:r w:rsidRPr="00583D4A">
        <w:t>Adoption</w:t>
      </w:r>
    </w:p>
    <w:p w:rsidR="008E26A0" w:rsidRPr="00746196" w:rsidRDefault="008E26A0" w:rsidP="00E65CDD">
      <w:pPr>
        <w:pStyle w:val="ParNoG"/>
        <w:rPr>
          <w:b/>
          <w:bCs/>
        </w:rPr>
      </w:pP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Comité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recommande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l’État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partie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d’accélérer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l’adoption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du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projet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loi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sur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l’adoption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placement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familial,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qui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interdira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notamment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l’adoption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directe,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mettra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place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programmes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renforcement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capacités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à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l’intention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parents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adoptifs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familles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d’accueil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et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permettra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respecter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toutes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garanties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en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matière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d’adoption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prévues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par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la</w:t>
      </w:r>
      <w:r w:rsidR="00EB4BEA" w:rsidRPr="00746196">
        <w:rPr>
          <w:b/>
          <w:bCs/>
        </w:rPr>
        <w:t xml:space="preserve"> </w:t>
      </w:r>
      <w:r w:rsidRPr="00746196">
        <w:rPr>
          <w:b/>
          <w:bCs/>
        </w:rPr>
        <w:t>Convention.</w:t>
      </w:r>
    </w:p>
    <w:p w:rsidR="008E26A0" w:rsidRPr="00E05301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lastRenderedPageBreak/>
        <w:tab/>
      </w:r>
      <w:r w:rsidRPr="00E05301">
        <w:rPr>
          <w:lang w:val="fr-FR"/>
        </w:rPr>
        <w:t>F.</w:t>
      </w:r>
      <w:r w:rsidRPr="00E05301">
        <w:rPr>
          <w:lang w:val="fr-FR"/>
        </w:rPr>
        <w:tab/>
        <w:t>Handicap,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base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bien-être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(art.</w:t>
      </w:r>
      <w:r w:rsidR="00746196">
        <w:rPr>
          <w:lang w:val="fr-FR"/>
        </w:rPr>
        <w:t> </w:t>
      </w:r>
      <w:r w:rsidRPr="00E05301">
        <w:rPr>
          <w:lang w:val="fr-FR"/>
        </w:rPr>
        <w:t>6,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18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(par.</w:t>
      </w:r>
      <w:r w:rsidR="00746196">
        <w:rPr>
          <w:lang w:val="fr-FR"/>
        </w:rPr>
        <w:t> </w:t>
      </w:r>
      <w:r w:rsidRPr="00E05301">
        <w:rPr>
          <w:lang w:val="fr-FR"/>
        </w:rPr>
        <w:t>3),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23,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24,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26,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27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(par.</w:t>
      </w:r>
      <w:r w:rsidR="00746196">
        <w:rPr>
          <w:lang w:val="fr-FR"/>
        </w:rPr>
        <w:t> </w:t>
      </w:r>
      <w:r w:rsidRPr="00E05301">
        <w:rPr>
          <w:lang w:val="fr-FR"/>
        </w:rPr>
        <w:t>1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3)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33)</w:t>
      </w:r>
    </w:p>
    <w:p w:rsidR="008E26A0" w:rsidRPr="00E05301" w:rsidRDefault="008E26A0" w:rsidP="00E65CDD">
      <w:pPr>
        <w:pStyle w:val="H23G"/>
        <w:keepLines w:val="0"/>
        <w:rPr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Enfants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handicapés</w:t>
      </w:r>
      <w:r w:rsidR="00EB4BEA">
        <w:rPr>
          <w:lang w:val="fr-FR"/>
        </w:rPr>
        <w:t xml:space="preserve"> </w:t>
      </w:r>
    </w:p>
    <w:p w:rsidR="008E26A0" w:rsidRPr="00E05301" w:rsidRDefault="008E26A0" w:rsidP="00E65CDD">
      <w:pPr>
        <w:pStyle w:val="ParNoG"/>
        <w:keepNext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Comité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félicite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efforts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déployés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faveur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intégration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dans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activités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sociales,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B4BEA">
        <w:rPr>
          <w:lang w:val="fr-FR"/>
        </w:rPr>
        <w:t>récréatives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culturelles,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mais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est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vivement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préoccupé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</w:t>
      </w:r>
      <w:r w:rsidR="00EB4BEA">
        <w:rPr>
          <w:rFonts w:asciiTheme="majorBidi" w:hAnsiTheme="majorBidi" w:cstheme="majorBidi"/>
          <w:lang w:val="fr-FR"/>
        </w:rPr>
        <w:t> :</w:t>
      </w:r>
    </w:p>
    <w:p w:rsidR="008E26A0" w:rsidRPr="00E05301" w:rsidRDefault="008E26A0" w:rsidP="00E65CDD">
      <w:pPr>
        <w:pStyle w:val="SingleTxtG"/>
        <w:ind w:firstLine="567"/>
        <w:rPr>
          <w:lang w:val="fr-FR"/>
        </w:rPr>
      </w:pPr>
      <w:r w:rsidRPr="00E05301">
        <w:rPr>
          <w:lang w:val="fr-FR"/>
        </w:rPr>
        <w:t>a)</w:t>
      </w:r>
      <w:r w:rsidRPr="00E05301">
        <w:rPr>
          <w:lang w:val="fr-FR"/>
        </w:rPr>
        <w:tab/>
        <w:t>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nombre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limité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B4BEA">
        <w:rPr>
          <w:lang w:val="fr-FR"/>
        </w:rPr>
        <w:t>programmes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dépistage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</w:t>
      </w:r>
      <w:r>
        <w:rPr>
          <w:lang w:val="fr-FR"/>
        </w:rPr>
        <w:t>’</w:t>
      </w:r>
      <w:r w:rsidRPr="00E05301">
        <w:rPr>
          <w:lang w:val="fr-FR"/>
        </w:rPr>
        <w:t>intervention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précoces,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fait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que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système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définition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statut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personne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handicapée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est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exclusivement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fondé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sur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besoins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matière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santé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ne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prend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pas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compte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certains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troubles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du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développement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chez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nourrissons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jeunes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enfants,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</w:t>
      </w:r>
      <w:r>
        <w:rPr>
          <w:lang w:val="fr-FR"/>
        </w:rPr>
        <w:t>’</w:t>
      </w:r>
      <w:r w:rsidRPr="00E05301">
        <w:rPr>
          <w:lang w:val="fr-FR"/>
        </w:rPr>
        <w:t>absence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</w:t>
      </w:r>
      <w:r>
        <w:rPr>
          <w:lang w:val="fr-FR"/>
        </w:rPr>
        <w:t>’</w:t>
      </w:r>
      <w:r w:rsidRPr="00E05301">
        <w:rPr>
          <w:lang w:val="fr-FR"/>
        </w:rPr>
        <w:t>un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système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</w:t>
      </w:r>
      <w:r>
        <w:rPr>
          <w:lang w:val="fr-FR"/>
        </w:rPr>
        <w:t>’</w:t>
      </w:r>
      <w:r w:rsidRPr="00E05301">
        <w:rPr>
          <w:lang w:val="fr-FR"/>
        </w:rPr>
        <w:t>orientation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efficace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reposant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sur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la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coopération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entre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personnel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médical,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travailleurs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sociaux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prestataires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services</w:t>
      </w:r>
      <w:r w:rsidR="00EB4BEA">
        <w:rPr>
          <w:lang w:val="fr-FR"/>
        </w:rPr>
        <w:t> ;</w:t>
      </w:r>
    </w:p>
    <w:p w:rsidR="008E26A0" w:rsidRPr="00E05301" w:rsidRDefault="008E26A0" w:rsidP="00E65CDD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b)</w:t>
      </w:r>
      <w:r w:rsidRPr="00E05301">
        <w:rPr>
          <w:rFonts w:asciiTheme="majorBidi" w:hAnsiTheme="majorBidi" w:cstheme="majorBidi"/>
          <w:lang w:val="fr-FR"/>
        </w:rPr>
        <w:tab/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lenteur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progrès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matière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désinstitutionalisation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dans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zones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rurales</w:t>
      </w:r>
      <w:r w:rsidR="00EB4BEA">
        <w:rPr>
          <w:rFonts w:asciiTheme="majorBidi" w:hAnsiTheme="majorBidi" w:cstheme="majorBidi"/>
          <w:lang w:val="fr-FR"/>
        </w:rPr>
        <w:t> ;</w:t>
      </w:r>
    </w:p>
    <w:p w:rsidR="008E26A0" w:rsidRPr="00E05301" w:rsidRDefault="008E26A0" w:rsidP="00E65CDD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c)</w:t>
      </w:r>
      <w:r w:rsidRPr="00E05301">
        <w:rPr>
          <w:rFonts w:asciiTheme="majorBidi" w:hAnsiTheme="majorBidi" w:cstheme="majorBidi"/>
          <w:lang w:val="fr-FR"/>
        </w:rPr>
        <w:tab/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caractère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incomplet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données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handicapés</w:t>
      </w:r>
      <w:r w:rsidR="00EB4BEA">
        <w:rPr>
          <w:rFonts w:asciiTheme="majorBidi" w:hAnsiTheme="majorBidi" w:cstheme="majorBidi"/>
          <w:lang w:val="fr-FR"/>
        </w:rPr>
        <w:t> ;</w:t>
      </w:r>
    </w:p>
    <w:p w:rsidR="008E26A0" w:rsidRPr="00E05301" w:rsidRDefault="008E26A0" w:rsidP="002C3283">
      <w:pPr>
        <w:pStyle w:val="SingleTxtG"/>
        <w:keepLines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d)</w:t>
      </w:r>
      <w:r w:rsidRPr="00E05301">
        <w:rPr>
          <w:rFonts w:asciiTheme="majorBidi" w:hAnsiTheme="majorBidi" w:cstheme="majorBidi"/>
          <w:lang w:val="fr-FR"/>
        </w:rPr>
        <w:tab/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méconnaissance,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parmi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familles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handicapés,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services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disponibles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accès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limité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à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à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éducation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services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handicapés,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particulier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ceux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atteints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autisme,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trisomie</w:t>
      </w:r>
      <w:r w:rsidR="006A2A97">
        <w:rPr>
          <w:rFonts w:asciiTheme="majorBidi" w:hAnsiTheme="majorBidi" w:cstheme="majorBidi"/>
          <w:lang w:val="fr-FR"/>
        </w:rPr>
        <w:t> </w:t>
      </w:r>
      <w:r w:rsidRPr="00E05301">
        <w:rPr>
          <w:rFonts w:asciiTheme="majorBidi" w:hAnsiTheme="majorBidi" w:cstheme="majorBidi"/>
          <w:lang w:val="fr-FR"/>
        </w:rPr>
        <w:t>21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handicaps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graves,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ainsi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que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zones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rurales.</w:t>
      </w:r>
    </w:p>
    <w:p w:rsidR="008E26A0" w:rsidRPr="006A2A97" w:rsidRDefault="006A2A97" w:rsidP="00E65CDD">
      <w:pPr>
        <w:pStyle w:val="ParNoG"/>
        <w:keepNext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eastAsia="MS Mincho" w:hAnsiTheme="majorBidi" w:cstheme="majorBidi"/>
          <w:b/>
          <w:bCs/>
          <w:lang w:val="fr-FR"/>
        </w:rPr>
        <w:t>n</w:t>
      </w:r>
      <w:r w:rsidRPr="006A2A97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Pr="006A2A97">
        <w:rPr>
          <w:rFonts w:asciiTheme="majorBidi" w:hAnsiTheme="majorBidi" w:cstheme="majorBidi"/>
          <w:b/>
          <w:bCs/>
          <w:lang w:val="fr-FR"/>
        </w:rPr>
        <w:t> 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9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(2006)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handicapés,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prie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instamment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d’adopter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approche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handicap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fondée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l’homme,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doter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b/>
          <w:bCs/>
          <w:lang w:val="fr-FR"/>
        </w:rPr>
        <w:t>d’une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stratégie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globale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l’intégration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handicapés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8E26A0"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place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évaluations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fonctionnelles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individuelles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fondées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Classification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fonctionnement,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s’appuyant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approche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biopsychosociale,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former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prestataires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conduite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évaluations,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d’assurer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coopération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efficace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interventions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médicales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temps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voulu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orientation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adéquats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d’éducation,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d’établir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mécanismes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d’identification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d’orientation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précoces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vulnérables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D’accélérer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désinstitutionalisation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zones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rurales,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privés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milieu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familial,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handicapés,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solutions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charge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alternative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d’accueil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communauté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renforcer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réinsertion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0B75EF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spacing w:val="-2"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De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collecter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des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données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ventilées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sur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la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situation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des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enfants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0B75EF">
        <w:rPr>
          <w:rFonts w:asciiTheme="majorBidi" w:hAnsiTheme="majorBidi" w:cstheme="majorBidi"/>
          <w:b/>
          <w:bCs/>
          <w:spacing w:val="-2"/>
          <w:lang w:val="fr-FR"/>
        </w:rPr>
        <w:t>handicapés</w:t>
      </w:r>
      <w:r w:rsidR="00EB4BEA" w:rsidRPr="000B75EF">
        <w:rPr>
          <w:rFonts w:asciiTheme="majorBidi" w:hAnsiTheme="majorBidi" w:cstheme="majorBidi"/>
          <w:b/>
          <w:bCs/>
          <w:spacing w:val="-2"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place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système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suivi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favoriser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participation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systèmes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e)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mener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campagnes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sensibilisation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ciblant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fonctionnaires,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population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combattre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stigmatisation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préjugés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dont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victimes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promouvoir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image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positive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ces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6A2A97">
        <w:rPr>
          <w:rFonts w:asciiTheme="majorBidi" w:hAnsiTheme="majorBidi" w:cstheme="majorBidi"/>
          <w:b/>
          <w:bCs/>
          <w:lang w:val="fr-FR"/>
        </w:rPr>
        <w:t>.</w:t>
      </w:r>
    </w:p>
    <w:p w:rsidR="008E26A0" w:rsidRPr="00E05301" w:rsidRDefault="008E26A0" w:rsidP="00E65CDD">
      <w:pPr>
        <w:pStyle w:val="H23G"/>
        <w:keepLines w:val="0"/>
        <w:rPr>
          <w:rFonts w:eastAsia="Malgun Gothic"/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Santé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services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santé</w:t>
      </w:r>
    </w:p>
    <w:p w:rsidR="008E26A0" w:rsidRPr="00E05301" w:rsidRDefault="008E26A0" w:rsidP="00E65CDD">
      <w:pPr>
        <w:pStyle w:val="ParNoG"/>
        <w:keepNext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Comité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pris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note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lancement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programme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universels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2013,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création,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même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année,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un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programme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un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conseil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coordination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maternelle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infantile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sein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B4BEA">
        <w:rPr>
          <w:lang w:val="fr-FR"/>
        </w:rPr>
        <w:t>Ministère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travail,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affaires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sociales,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adoption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une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politique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régionalisation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mères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nouveau-nés,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avec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mise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="006A2A97">
        <w:rPr>
          <w:rFonts w:asciiTheme="majorBidi" w:hAnsiTheme="majorBidi" w:cstheme="majorBidi"/>
          <w:lang w:val="fr-FR"/>
        </w:rPr>
        <w:t>œuvre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un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programme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pilote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2015,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mais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demeure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néanmoins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préoccupé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</w:t>
      </w:r>
      <w:r w:rsidR="00EB4BEA">
        <w:rPr>
          <w:rFonts w:asciiTheme="majorBidi" w:hAnsiTheme="majorBidi" w:cstheme="majorBidi"/>
          <w:lang w:val="fr-FR"/>
        </w:rPr>
        <w:t xml:space="preserve"> : </w:t>
      </w:r>
    </w:p>
    <w:p w:rsidR="008E26A0" w:rsidRPr="00E05301" w:rsidRDefault="008E26A0" w:rsidP="00E65CDD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a)</w:t>
      </w:r>
      <w:r w:rsidRPr="00E05301">
        <w:rPr>
          <w:rFonts w:asciiTheme="majorBidi" w:hAnsiTheme="majorBidi" w:cstheme="majorBidi"/>
          <w:lang w:val="fr-FR"/>
        </w:rPr>
        <w:tab/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taux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élevés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mortalité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infantile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mortinatalité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capacités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technologiques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limitées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matière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prénataux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05301">
        <w:rPr>
          <w:rFonts w:asciiTheme="majorBidi" w:hAnsiTheme="majorBidi" w:cstheme="majorBidi"/>
          <w:lang w:val="fr-FR"/>
        </w:rPr>
        <w:t>postnataux</w:t>
      </w:r>
      <w:proofErr w:type="spellEnd"/>
      <w:r w:rsidR="00EB4BEA">
        <w:rPr>
          <w:rFonts w:asciiTheme="majorBidi" w:hAnsiTheme="majorBidi" w:cstheme="majorBidi"/>
          <w:lang w:val="fr-FR"/>
        </w:rPr>
        <w:t> ;</w:t>
      </w:r>
    </w:p>
    <w:p w:rsidR="008E26A0" w:rsidRPr="00E05301" w:rsidRDefault="008E26A0" w:rsidP="00E65CDD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lastRenderedPageBreak/>
        <w:t>b)</w:t>
      </w:r>
      <w:r w:rsidRPr="00E05301">
        <w:rPr>
          <w:rFonts w:asciiTheme="majorBidi" w:hAnsiTheme="majorBidi" w:cstheme="majorBidi"/>
          <w:lang w:val="fr-FR"/>
        </w:rPr>
        <w:tab/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rapports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faisant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état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persistance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malnutrition,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anémie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autres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carences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micronutriments,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ainsi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que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obésité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chez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faible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couverture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visites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à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visée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éducative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effectuées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professionnels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santé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primaires,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qui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traduit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pratiques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inadaptées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dans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soins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donnés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aux</w:t>
      </w:r>
      <w:r w:rsidR="006A2A97">
        <w:rPr>
          <w:rFonts w:asciiTheme="majorBidi" w:hAnsiTheme="majorBidi" w:cstheme="majorBidi"/>
          <w:lang w:val="fr-FR"/>
        </w:rPr>
        <w:t> </w:t>
      </w:r>
      <w:r w:rsidRPr="00E05301">
        <w:rPr>
          <w:rFonts w:asciiTheme="majorBidi" w:hAnsiTheme="majorBidi" w:cstheme="majorBidi"/>
          <w:lang w:val="fr-FR"/>
        </w:rPr>
        <w:t>enfants.</w:t>
      </w:r>
    </w:p>
    <w:p w:rsidR="008E26A0" w:rsidRPr="006A2A97" w:rsidRDefault="008E26A0" w:rsidP="00E65CDD">
      <w:pPr>
        <w:pStyle w:val="ParNoG"/>
        <w:keepNext/>
        <w:rPr>
          <w:rFonts w:asciiTheme="majorBidi" w:hAnsiTheme="majorBidi" w:cstheme="majorBidi"/>
          <w:b/>
          <w:bCs/>
          <w:spacing w:val="-1"/>
          <w:lang w:val="fr-FR"/>
        </w:rPr>
      </w:pP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spacing w:val="-1"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spacing w:val="-1"/>
          <w:vertAlign w:val="superscript"/>
          <w:lang w:val="fr-FR"/>
        </w:rPr>
        <w:t>o</w:t>
      </w:r>
      <w:r w:rsidR="006A2A97" w:rsidRPr="006A2A97">
        <w:rPr>
          <w:rFonts w:asciiTheme="majorBidi" w:hAnsiTheme="majorBidi" w:cstheme="majorBidi"/>
          <w:b/>
          <w:bCs/>
          <w:spacing w:val="-1"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15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(2013)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droit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l’enfant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jouir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meilleur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état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possible,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compte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tenu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cible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3.2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objectifs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durable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b/>
          <w:bCs/>
          <w:spacing w:val="-1"/>
          <w:lang w:val="fr-FR"/>
        </w:rPr>
        <w:t>consistant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éliminer,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d’ici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2030,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décès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évitables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nouveau-nés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d’enfants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moins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5</w:t>
      </w:r>
      <w:r w:rsidR="006A2A97" w:rsidRPr="006A2A97">
        <w:rPr>
          <w:rFonts w:asciiTheme="majorBidi" w:hAnsiTheme="majorBidi" w:cstheme="majorBidi"/>
          <w:b/>
          <w:bCs/>
          <w:spacing w:val="-1"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ans,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rappelle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ses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précédentes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observations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finales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(CRC/C/GEO/CO/3,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par.</w:t>
      </w:r>
      <w:r w:rsidR="006A2A97" w:rsidRPr="006A2A97">
        <w:rPr>
          <w:rFonts w:asciiTheme="majorBidi" w:hAnsiTheme="majorBidi" w:cstheme="majorBidi"/>
          <w:b/>
          <w:bCs/>
          <w:spacing w:val="-1"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45)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invite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instamment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1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1"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Intensifier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efforts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réduire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mortalité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infantile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mortinatalité,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améliorant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prénataux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6A2A97">
        <w:rPr>
          <w:rFonts w:asciiTheme="majorBidi" w:hAnsiTheme="majorBidi" w:cstheme="majorBidi"/>
          <w:b/>
          <w:bCs/>
          <w:lang w:val="fr-FR"/>
        </w:rPr>
        <w:t>postnataux</w:t>
      </w:r>
      <w:proofErr w:type="spellEnd"/>
      <w:r w:rsidRPr="006A2A97">
        <w:rPr>
          <w:rFonts w:asciiTheme="majorBidi" w:hAnsiTheme="majorBidi" w:cstheme="majorBidi"/>
          <w:b/>
          <w:bCs/>
          <w:lang w:val="fr-FR"/>
        </w:rPr>
        <w:t>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renforcer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capacités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prestataires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l’ensemble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pays,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pratique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Guide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HCDH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concernant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l’application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approche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fondée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l’homme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politiques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éliminer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mortalité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morbidité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évitables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5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(A/HRC/27/31)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Allouer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ressources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humaines,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systématiser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principe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visites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éducatives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professionnels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primaires,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définir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périodicité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visites,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étendre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femmes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enceintes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communiquer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informations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différentes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catégories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obstétricaux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institutions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périnatales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délivrent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S’attaquer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problèmes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malnutrition,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d’anémie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d’autres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carences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micronutriments,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ainsi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qu’au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problème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l’obésité,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promotion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pratiques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alimentaires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saines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Solliciter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assistance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auprès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l’UNICEF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l’Organisation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mondiale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(OMS),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autres.</w:t>
      </w:r>
    </w:p>
    <w:p w:rsidR="008E26A0" w:rsidRPr="00E05301" w:rsidRDefault="008E26A0" w:rsidP="00E65CDD">
      <w:pPr>
        <w:pStyle w:val="H23G"/>
        <w:keepLines w:val="0"/>
        <w:rPr>
          <w:rFonts w:eastAsia="Malgun Gothic"/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Santé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adolescents</w:t>
      </w:r>
    </w:p>
    <w:p w:rsidR="008E26A0" w:rsidRPr="006A2A97" w:rsidRDefault="008E26A0" w:rsidP="00E65CDD">
      <w:pPr>
        <w:pStyle w:val="ParNoG"/>
        <w:keepNext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élevé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grossesses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précoces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l’absence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matière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procréative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scolaires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4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(2003)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l’adolescent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contexte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Convention,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stratégie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relative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procréative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comporte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volet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spécifique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adolescents,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d’accélérer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adoption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D’élaborer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politique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protéger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adolescentes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enceintes,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adolescentes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lutter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discrimination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égard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 ; </w:t>
      </w:r>
    </w:p>
    <w:p w:rsid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matière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procréative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inscrite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scolaire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obligatoire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adolescents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adolescentes,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accordant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attention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prévention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grossesses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précoces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maladies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sexuellement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transmissibles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renforcer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sensibiliser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population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parentalité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comportements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responsables,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prêtant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attention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garçons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hommes.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8E26A0" w:rsidRPr="00E05301" w:rsidRDefault="008E26A0" w:rsidP="00E65CDD">
      <w:pPr>
        <w:pStyle w:val="H23G"/>
        <w:keepLines w:val="0"/>
        <w:rPr>
          <w:rFonts w:eastAsia="Malgun Gothic"/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VIH/sida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3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(2003)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VIH/sida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l’enfant,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rappelle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précédentes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(CRC/C/GEO/CO/3,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par.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52)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 : 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D’élaborer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directives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conseil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révélation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séropositivité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lastRenderedPageBreak/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suivi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médical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séropositives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nourrissons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d’assurer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diagnostic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précoce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maladie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traitement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meilleurs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délais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qualité,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adaptés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l’âge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patients,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domaines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procréative,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VIH/sida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 ; </w:t>
      </w:r>
    </w:p>
    <w:p w:rsidR="008E26A0" w:rsidRPr="006A2A97" w:rsidRDefault="008E26A0" w:rsidP="00E65CDD">
      <w:pPr>
        <w:pStyle w:val="SingleTxtG"/>
        <w:ind w:firstLine="567"/>
        <w:rPr>
          <w:rFonts w:asciiTheme="majorBidi" w:eastAsia="Malgun Gothic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solliciter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l’assistance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autres,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commun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Unies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VIH/sida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l’UNICEF.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8E26A0" w:rsidRPr="00E05301" w:rsidRDefault="008E26A0" w:rsidP="00E65CDD">
      <w:pPr>
        <w:pStyle w:val="H23G"/>
        <w:keepLines w:val="0"/>
        <w:rPr>
          <w:rFonts w:eastAsia="Malgun Gothic"/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Niveau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vie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l’appui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social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fourni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vivant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pauvreté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l’attention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cible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1.3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objectifs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durable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concernant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place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systèmes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sociale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adaptés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contexte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national,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réitère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antérieure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CRC/C/GEO/CO/3,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</w:t>
      </w:r>
      <w:r w:rsidR="007522A8">
        <w:rPr>
          <w:rFonts w:asciiTheme="majorBidi" w:hAnsiTheme="majorBidi" w:cstheme="majorBidi"/>
          <w:b/>
          <w:bCs/>
          <w:lang w:val="fr-FR"/>
        </w:rPr>
        <w:t>.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54)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laquelle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titre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prioritaire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niveau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prêtant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attention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logement,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l’approvisionnement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l’assainissement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D’allouer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fonds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combattre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inégalités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persistantes,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réduire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effectivement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disparités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niveau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extrêmement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faible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nombreuses,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réfugiées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déplacées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vivant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zones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rurales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reculées,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titre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prioritaire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base,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y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compris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courante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salubre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l’évacuation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usées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solliciter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coopération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l’UNICEF,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régulièrement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situation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vivant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pauvreté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urgentes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redresser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indicateurs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négatifs.</w:t>
      </w:r>
    </w:p>
    <w:p w:rsidR="008E26A0" w:rsidRPr="00E05301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tab/>
      </w:r>
      <w:r w:rsidRPr="00E05301">
        <w:rPr>
          <w:lang w:val="fr-FR"/>
        </w:rPr>
        <w:t>G.</w:t>
      </w:r>
      <w:r w:rsidRPr="00E05301">
        <w:rPr>
          <w:lang w:val="fr-FR"/>
        </w:rPr>
        <w:tab/>
        <w:t>Éducation,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loisirs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activités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culturelles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(art.</w:t>
      </w:r>
      <w:r w:rsidR="006A2A97">
        <w:rPr>
          <w:lang w:val="fr-FR"/>
        </w:rPr>
        <w:t> </w:t>
      </w:r>
      <w:r w:rsidRPr="00E05301">
        <w:rPr>
          <w:lang w:val="fr-FR"/>
        </w:rPr>
        <w:t>28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31)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1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(2001)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buts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égard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cible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4.1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objectifs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durable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concernant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nécessité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sorte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garçons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suivent,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pied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d’égalité,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cycle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complet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d’enseignement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primaire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secondaire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gratuit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dotant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d’acquis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véritablement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utiles,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 : 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nécessaires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s’attacher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créer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conditions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voulues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accroître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groupes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vulnérables,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situation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pauvreté,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issus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minorités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ethniques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handicapés,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ainsi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jeunes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après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naissance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7522A8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nécessaires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l’enseignement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mieux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former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enseignants,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accordant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attention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particulière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zones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rurales,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conformément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précédentes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CRC/C/GEO/CO/3,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</w:t>
      </w:r>
      <w:r w:rsidR="007522A8">
        <w:rPr>
          <w:rFonts w:asciiTheme="majorBidi" w:hAnsiTheme="majorBidi" w:cstheme="majorBidi"/>
          <w:b/>
          <w:bCs/>
          <w:lang w:val="fr-FR"/>
        </w:rPr>
        <w:t>. </w:t>
      </w:r>
      <w:r w:rsidRPr="006A2A97">
        <w:rPr>
          <w:rFonts w:asciiTheme="majorBidi" w:hAnsiTheme="majorBidi" w:cstheme="majorBidi"/>
          <w:b/>
          <w:bCs/>
          <w:lang w:val="fr-FR"/>
        </w:rPr>
        <w:t>57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b))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promouvoir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davantage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enseignement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professionnel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d’améliorer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compétences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d’offrir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ainsi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solution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alternative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quittent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prématurément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l’école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nécessaires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projet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l’apprentissage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initial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préscolaire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d’allouer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ressources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l’expansion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préscolaire,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base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politique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globale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complète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charge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petite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lastRenderedPageBreak/>
        <w:t>e)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D’adopter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normes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règlements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concernant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l’eau,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l’assainissement,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l’hygiène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nutrition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établissements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préscolaires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créer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mécanismes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surveillance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outils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appliquer,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d’éliminer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disparités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régionales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observées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matière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qualité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d’installations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d’assainissement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établissements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préscolaires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écoles,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continuent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effet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préjudiciable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santé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zones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rurales.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8E26A0" w:rsidRPr="00E05301" w:rsidRDefault="008E26A0" w:rsidP="00E65CDD">
      <w:pPr>
        <w:pStyle w:val="H1G"/>
        <w:keepLines w:val="0"/>
        <w:rPr>
          <w:lang w:val="fr-FR"/>
        </w:rPr>
      </w:pPr>
      <w:r>
        <w:rPr>
          <w:lang w:val="fr-FR"/>
        </w:rPr>
        <w:tab/>
      </w:r>
      <w:r w:rsidRPr="00E05301">
        <w:rPr>
          <w:lang w:val="fr-FR"/>
        </w:rPr>
        <w:t>H.</w:t>
      </w:r>
      <w:r w:rsidRPr="00E05301">
        <w:rPr>
          <w:lang w:val="fr-FR"/>
        </w:rPr>
        <w:tab/>
        <w:t>Mesures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protection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spéciales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(art.</w:t>
      </w:r>
      <w:r w:rsidR="006A2A97">
        <w:rPr>
          <w:lang w:val="fr-FR"/>
        </w:rPr>
        <w:t> </w:t>
      </w:r>
      <w:r w:rsidRPr="00E05301">
        <w:rPr>
          <w:lang w:val="fr-FR"/>
        </w:rPr>
        <w:t>22,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30,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32,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33,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35,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36,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37</w:t>
      </w:r>
      <w:r w:rsidR="006A2A97">
        <w:rPr>
          <w:lang w:val="fr-FR"/>
        </w:rPr>
        <w:t> </w:t>
      </w:r>
      <w:r w:rsidRPr="00E05301">
        <w:rPr>
          <w:lang w:val="fr-FR"/>
        </w:rPr>
        <w:t>b)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d)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38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à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40)</w:t>
      </w:r>
    </w:p>
    <w:p w:rsidR="008E26A0" w:rsidRPr="00E05301" w:rsidRDefault="008E26A0" w:rsidP="00E65CDD">
      <w:pPr>
        <w:pStyle w:val="H23G"/>
        <w:keepLines w:val="0"/>
        <w:rPr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Enfants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demandeurs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</w:t>
      </w:r>
      <w:r>
        <w:rPr>
          <w:lang w:val="fr-FR"/>
        </w:rPr>
        <w:t>’</w:t>
      </w:r>
      <w:r w:rsidRPr="00E05301">
        <w:rPr>
          <w:lang w:val="fr-FR"/>
        </w:rPr>
        <w:t>asile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réfugiés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Prenant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réforme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réfugiés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actuellement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l’observation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6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(2005)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traitement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accompagnés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séparés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dehors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pays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d’origine,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D’accélérer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l’adoption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projet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faciliter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demandeurs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d’asile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système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d’asile,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y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compris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ayant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besoin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internationale,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mettre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législation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conformité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avec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Convention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relative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statut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réfugiés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 ; 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D’allouer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ressources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humaines,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œuvre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stratégie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matière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migration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plan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période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2016-2020,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faciliter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l’intégration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locale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réfugiés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demandeurs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d’asile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ainsi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naturalisation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collaborer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avec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ONG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compétentes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solliciter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l’assistance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HCR,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notamment.</w:t>
      </w:r>
    </w:p>
    <w:p w:rsidR="008E26A0" w:rsidRPr="00E05301" w:rsidRDefault="008E26A0" w:rsidP="00E65CDD">
      <w:pPr>
        <w:pStyle w:val="H23G"/>
        <w:keepLines w:val="0"/>
        <w:rPr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Enfants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déplacés</w:t>
      </w:r>
    </w:p>
    <w:p w:rsidR="008E26A0" w:rsidRPr="00E05301" w:rsidRDefault="008E26A0" w:rsidP="00E65CDD">
      <w:pPr>
        <w:pStyle w:val="ParNoG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Comité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prend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note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B4BEA">
        <w:rPr>
          <w:lang w:val="fr-FR"/>
        </w:rPr>
        <w:t>révision</w:t>
      </w:r>
      <w:r w:rsidRPr="00E05301">
        <w:rPr>
          <w:rFonts w:asciiTheme="majorBidi" w:hAnsiTheme="majorBidi" w:cstheme="majorBidi"/>
          <w:lang w:val="fr-FR"/>
        </w:rPr>
        <w:t>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février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2014,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loi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personnes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déplacées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adoption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la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stratégie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personnes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déplacées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du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plan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action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connexe.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Cependant,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Comité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est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préoccupé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</w:t>
      </w:r>
      <w:r w:rsidR="00EB4BEA">
        <w:rPr>
          <w:rFonts w:asciiTheme="majorBidi" w:hAnsiTheme="majorBidi" w:cstheme="majorBidi"/>
          <w:lang w:val="fr-FR"/>
        </w:rPr>
        <w:t xml:space="preserve"> : </w:t>
      </w:r>
    </w:p>
    <w:p w:rsidR="008E26A0" w:rsidRPr="007522A8" w:rsidRDefault="008E26A0" w:rsidP="00E65CDD">
      <w:pPr>
        <w:pStyle w:val="SingleTxtG"/>
        <w:ind w:firstLine="567"/>
        <w:rPr>
          <w:rFonts w:asciiTheme="majorBidi" w:hAnsiTheme="majorBidi" w:cstheme="majorBidi"/>
          <w:spacing w:val="-1"/>
          <w:lang w:val="fr-FR"/>
        </w:rPr>
      </w:pPr>
      <w:r w:rsidRPr="007522A8">
        <w:rPr>
          <w:rFonts w:asciiTheme="majorBidi" w:hAnsiTheme="majorBidi" w:cstheme="majorBidi"/>
          <w:spacing w:val="-1"/>
          <w:lang w:val="fr-FR"/>
        </w:rPr>
        <w:t>a)</w:t>
      </w:r>
      <w:r w:rsidRPr="007522A8">
        <w:rPr>
          <w:rFonts w:asciiTheme="majorBidi" w:hAnsiTheme="majorBidi" w:cstheme="majorBidi"/>
          <w:spacing w:val="-1"/>
          <w:lang w:val="fr-FR"/>
        </w:rPr>
        <w:tab/>
        <w:t>La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faible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prise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en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compte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besoins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spécifiques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enfants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déplacés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dans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la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définition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modalités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d’assistance,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et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la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bCs/>
          <w:spacing w:val="-1"/>
          <w:lang w:val="fr-FR"/>
        </w:rPr>
        <w:t>transmission</w:t>
      </w:r>
      <w:r w:rsidR="00EB4BEA" w:rsidRPr="007522A8">
        <w:rPr>
          <w:rFonts w:asciiTheme="majorBidi" w:hAnsiTheme="majorBidi" w:cstheme="majorBidi"/>
          <w:b/>
          <w:bCs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du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statut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de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personnes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 xml:space="preserve"> </w:t>
      </w:r>
      <w:r w:rsidRPr="007522A8">
        <w:rPr>
          <w:rFonts w:asciiTheme="majorBidi" w:hAnsiTheme="majorBidi" w:cstheme="majorBidi"/>
          <w:spacing w:val="-1"/>
          <w:lang w:val="fr-FR"/>
        </w:rPr>
        <w:t>déplacées</w:t>
      </w:r>
      <w:r w:rsidR="00EB4BEA" w:rsidRPr="007522A8">
        <w:rPr>
          <w:rFonts w:asciiTheme="majorBidi" w:hAnsiTheme="majorBidi" w:cstheme="majorBidi"/>
          <w:spacing w:val="-1"/>
          <w:lang w:val="fr-FR"/>
        </w:rPr>
        <w:t> ;</w:t>
      </w:r>
    </w:p>
    <w:p w:rsidR="008E26A0" w:rsidRPr="00E05301" w:rsidRDefault="008E26A0" w:rsidP="00E65CDD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E05301">
        <w:rPr>
          <w:rFonts w:asciiTheme="majorBidi" w:hAnsiTheme="majorBidi" w:cstheme="majorBidi"/>
          <w:lang w:val="fr-FR"/>
        </w:rPr>
        <w:t>b)</w:t>
      </w:r>
      <w:r w:rsidRPr="00E05301">
        <w:rPr>
          <w:rFonts w:asciiTheme="majorBidi" w:hAnsiTheme="majorBidi" w:cstheme="majorBidi"/>
          <w:lang w:val="fr-FR"/>
        </w:rPr>
        <w:tab/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informations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concernant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conditions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vie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inadéquates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enfants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déplacés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dans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État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partie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fait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que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services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éducation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et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possibilités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</w:t>
      </w:r>
      <w:r>
        <w:rPr>
          <w:rFonts w:asciiTheme="majorBidi" w:hAnsiTheme="majorBidi" w:cstheme="majorBidi"/>
          <w:lang w:val="fr-FR"/>
        </w:rPr>
        <w:t>’</w:t>
      </w:r>
      <w:r w:rsidRPr="00E05301">
        <w:rPr>
          <w:rFonts w:asciiTheme="majorBidi" w:hAnsiTheme="majorBidi" w:cstheme="majorBidi"/>
          <w:lang w:val="fr-FR"/>
        </w:rPr>
        <w:t>intégration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sont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limités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pour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familles</w:t>
      </w:r>
      <w:r w:rsidR="00EB4BEA">
        <w:rPr>
          <w:rFonts w:asciiTheme="majorBidi" w:hAnsiTheme="majorBidi" w:cstheme="majorBidi"/>
          <w:lang w:val="fr-FR"/>
        </w:rPr>
        <w:t xml:space="preserve"> </w:t>
      </w:r>
      <w:r w:rsidRPr="00E05301">
        <w:rPr>
          <w:rFonts w:asciiTheme="majorBidi" w:hAnsiTheme="majorBidi" w:cstheme="majorBidi"/>
          <w:lang w:val="fr-FR"/>
        </w:rPr>
        <w:t>déplacées.</w:t>
      </w:r>
    </w:p>
    <w:p w:rsidR="008E26A0" w:rsidRPr="006A2A97" w:rsidRDefault="008E26A0" w:rsidP="00E65CDD">
      <w:pPr>
        <w:pStyle w:val="ParNoG"/>
        <w:keepNext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rappelle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antérieure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CRC/C/GEO/CO/3,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par.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61),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laquelle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invité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accorder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priorité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absolue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déplacés,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D’intégrer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systèmes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sociale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plans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développement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nationaux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assistance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déplacés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fondée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besoins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l’inclusion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professionnels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prévoir,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fermeture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centres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collectifs,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d’autres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formes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d’hébergement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appropriées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résidents,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avec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recherchant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solutions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long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terme,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renforcer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l’appui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initiatives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locales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visant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moyens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subsistance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emplois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personnes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déplacées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347FDE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continuer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appliquer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Représentant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Secrétaire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général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l’homme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personnes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déplacées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propre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pays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(E/CN.4/2006/71/Add.7).</w:t>
      </w:r>
    </w:p>
    <w:p w:rsidR="008E26A0" w:rsidRPr="00E05301" w:rsidRDefault="008E26A0" w:rsidP="00E65CDD">
      <w:pPr>
        <w:pStyle w:val="H23G"/>
        <w:keepLines w:val="0"/>
        <w:rPr>
          <w:lang w:val="fr-FR"/>
        </w:rPr>
      </w:pPr>
      <w:r w:rsidRPr="00E05301">
        <w:rPr>
          <w:lang w:val="fr-FR"/>
        </w:rPr>
        <w:lastRenderedPageBreak/>
        <w:tab/>
      </w:r>
      <w:r w:rsidRPr="00E05301">
        <w:rPr>
          <w:lang w:val="fr-FR"/>
        </w:rPr>
        <w:tab/>
        <w:t>Exploitation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économique,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notamment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le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travail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des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enfants</w:t>
      </w:r>
    </w:p>
    <w:p w:rsidR="008E26A0" w:rsidRPr="006A2A97" w:rsidRDefault="008E26A0" w:rsidP="00E65CDD">
      <w:pPr>
        <w:pStyle w:val="ParNoG"/>
        <w:rPr>
          <w:b/>
          <w:bCs/>
          <w:lang w:val="fr-FR"/>
        </w:rPr>
      </w:pP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recommande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prendre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toutes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mesures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nécessaires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lutter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toutes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formes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travail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y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compris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secteur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informel,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engage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vivement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rétablir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l’inspection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travail,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renforçant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ainsi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mécanismes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permettant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surveiller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respect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interdictions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matière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travail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prévues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loi.</w:t>
      </w:r>
    </w:p>
    <w:p w:rsidR="008E26A0" w:rsidRPr="006A2A97" w:rsidRDefault="008E26A0" w:rsidP="00E65CDD">
      <w:pPr>
        <w:pStyle w:val="H23G"/>
        <w:keepLines w:val="0"/>
        <w:rPr>
          <w:rFonts w:eastAsia="Malgun Gothic"/>
          <w:bCs/>
          <w:lang w:val="fr-FR"/>
        </w:rPr>
      </w:pPr>
      <w:r w:rsidRPr="006A2A97">
        <w:rPr>
          <w:bCs/>
          <w:lang w:val="fr-FR"/>
        </w:rPr>
        <w:tab/>
      </w:r>
      <w:r w:rsidRPr="006A2A97">
        <w:rPr>
          <w:bCs/>
          <w:lang w:val="fr-FR"/>
        </w:rPr>
        <w:tab/>
        <w:t>Enfants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des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rues</w:t>
      </w:r>
    </w:p>
    <w:p w:rsidR="008E26A0" w:rsidRPr="006A2A97" w:rsidRDefault="008E26A0" w:rsidP="00E65CDD">
      <w:pPr>
        <w:pStyle w:val="ParNoG"/>
        <w:keepNext/>
        <w:rPr>
          <w:b/>
          <w:bCs/>
          <w:lang w:val="fr-FR"/>
        </w:rPr>
      </w:pPr>
      <w:r w:rsidRPr="006A2A97">
        <w:rPr>
          <w:b/>
          <w:bCs/>
          <w:lang w:val="fr-FR"/>
        </w:rPr>
        <w:t>Compte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tenu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l’adoption,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22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juin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2016,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l’ensemble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réformes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législatives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concernant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dispositif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complet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réinsertion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société,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engage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a)</w:t>
      </w:r>
      <w:r w:rsidRPr="006A2A97">
        <w:rPr>
          <w:b/>
          <w:bCs/>
          <w:lang w:val="fr-FR"/>
        </w:rPr>
        <w:tab/>
        <w:t>Renforcer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œuvre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d’action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protection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droits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l’enfant,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y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incorporant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objectif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distinct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visant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prévenir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vente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l’exploitation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lutter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pratiques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remédier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situation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l’ensemble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pays</w:t>
      </w:r>
      <w:r w:rsidR="00EB4BEA" w:rsidRPr="006A2A97">
        <w:rPr>
          <w:b/>
          <w:bCs/>
          <w:lang w:val="fr-FR"/>
        </w:rPr>
        <w:t xml:space="preserve"> ; </w:t>
      </w:r>
    </w:p>
    <w:p w:rsidR="008E26A0" w:rsidRPr="006A2A97" w:rsidRDefault="008E26A0" w:rsidP="002C3283">
      <w:pPr>
        <w:pStyle w:val="SingleTxtG"/>
        <w:keepLines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b)</w:t>
      </w:r>
      <w:r w:rsidRPr="006A2A97">
        <w:rPr>
          <w:b/>
          <w:bCs/>
          <w:lang w:val="fr-FR"/>
        </w:rPr>
        <w:tab/>
        <w:t>Prévoir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mécanismes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d’identification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d’orientation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efficaces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cadre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programmes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globaux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long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terme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prise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charge,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réadaptation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réinsertion,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ainsi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qu’un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suivi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mesures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soutien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familles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347FDE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communautés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c)</w:t>
      </w:r>
      <w:r w:rsidRPr="006A2A97">
        <w:rPr>
          <w:b/>
          <w:bCs/>
          <w:lang w:val="fr-FR"/>
        </w:rPr>
        <w:tab/>
        <w:t>Effectuer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étude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globale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évaluer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l’ampleur,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nature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causes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profondes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phénomène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pays,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d’élaborer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politique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nationale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prévention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d)</w:t>
      </w:r>
      <w:r w:rsidRPr="006A2A97">
        <w:rPr>
          <w:b/>
          <w:bCs/>
          <w:lang w:val="fr-FR"/>
        </w:rPr>
        <w:tab/>
        <w:t>Envisager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mettre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mécanisme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collaboration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avec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pays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voisins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assurer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protection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e)</w:t>
      </w:r>
      <w:r w:rsidRPr="006A2A97">
        <w:rPr>
          <w:b/>
          <w:bCs/>
          <w:lang w:val="fr-FR"/>
        </w:rPr>
        <w:tab/>
        <w:t>Mener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campagnes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sensibilisation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lutter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stigmatisation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rues.</w:t>
      </w:r>
    </w:p>
    <w:p w:rsidR="008E26A0" w:rsidRPr="00E05301" w:rsidRDefault="008E26A0" w:rsidP="00E65CDD">
      <w:pPr>
        <w:pStyle w:val="H23G"/>
        <w:keepLines w:val="0"/>
        <w:rPr>
          <w:rFonts w:eastAsia="Malgun Gothic"/>
          <w:lang w:val="fr-FR"/>
        </w:rPr>
      </w:pPr>
      <w:r w:rsidRPr="00E05301">
        <w:rPr>
          <w:lang w:val="fr-FR"/>
        </w:rPr>
        <w:tab/>
      </w:r>
      <w:r w:rsidRPr="00E05301">
        <w:rPr>
          <w:lang w:val="fr-FR"/>
        </w:rPr>
        <w:tab/>
        <w:t>Vente,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traite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et</w:t>
      </w:r>
      <w:r w:rsidR="00EB4BEA">
        <w:rPr>
          <w:lang w:val="fr-FR"/>
        </w:rPr>
        <w:t xml:space="preserve"> </w:t>
      </w:r>
      <w:r w:rsidRPr="00E05301">
        <w:rPr>
          <w:lang w:val="fr-FR"/>
        </w:rPr>
        <w:t>enlèvement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Rappelant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précédentes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observations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(CRC/C/GEO/CO/3,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par.</w:t>
      </w:r>
      <w:r w:rsidR="006A2A97" w:rsidRP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69),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a)</w:t>
      </w:r>
      <w:r w:rsidRPr="006A2A97">
        <w:rPr>
          <w:b/>
          <w:bCs/>
          <w:lang w:val="fr-FR"/>
        </w:rPr>
        <w:tab/>
        <w:t>D’inclure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perspective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globale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droits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l’enfant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prochain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d’action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lutte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personnes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développer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davantage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mesures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prévention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protection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faciliter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poursuites,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afin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lutter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l’exploitation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sexuelle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l’exploitation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travail,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vente,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l’enlèvement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b)</w:t>
      </w:r>
      <w:r w:rsidRPr="006A2A97">
        <w:rPr>
          <w:b/>
          <w:bCs/>
          <w:lang w:val="fr-FR"/>
        </w:rPr>
        <w:tab/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veiller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d’action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cible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spécifiquement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vulnérables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marginalisés,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notamment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issus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minorités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ethniques,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placés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institution,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rues,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handicapés,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touchés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migrations,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demandeurs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d’asile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réfugiés,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enfants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nationalité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étrangère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filles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victimes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violence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familiale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b/>
          <w:bCs/>
          <w:lang w:val="fr-FR"/>
        </w:rPr>
      </w:pPr>
      <w:r w:rsidRPr="006A2A97">
        <w:rPr>
          <w:b/>
          <w:bCs/>
          <w:lang w:val="fr-FR"/>
        </w:rPr>
        <w:t>c)</w:t>
      </w:r>
      <w:r w:rsidRPr="006A2A97">
        <w:rPr>
          <w:b/>
          <w:bCs/>
          <w:lang w:val="fr-FR"/>
        </w:rPr>
        <w:tab/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veiller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tous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cas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d’exploitation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sexuelle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d’exploitation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travail,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vente,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d’enlèvement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fassent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l’objet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d’enquêtes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auteurs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tels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actes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soient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accusation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punis</w:t>
      </w:r>
      <w:r w:rsidR="00EB4BEA" w:rsidRPr="006A2A97">
        <w:rPr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d)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victimes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d’exploitation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sexuelle,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vente,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d’enlèvement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traite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protégés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qu’ils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bénéficient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services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programmes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réadaptation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réinsertion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sociale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appropriés.</w:t>
      </w:r>
    </w:p>
    <w:p w:rsidR="008E26A0" w:rsidRPr="006A2A97" w:rsidRDefault="008E26A0" w:rsidP="00E65CDD">
      <w:pPr>
        <w:pStyle w:val="H23G"/>
        <w:keepLines w:val="0"/>
        <w:rPr>
          <w:rFonts w:eastAsia="Malgun Gothic"/>
          <w:bCs/>
          <w:lang w:val="fr-FR"/>
        </w:rPr>
      </w:pPr>
      <w:r w:rsidRPr="006A2A97">
        <w:rPr>
          <w:bCs/>
          <w:lang w:val="fr-FR"/>
        </w:rPr>
        <w:lastRenderedPageBreak/>
        <w:tab/>
      </w:r>
      <w:r w:rsidRPr="006A2A97">
        <w:rPr>
          <w:bCs/>
          <w:lang w:val="fr-FR"/>
        </w:rPr>
        <w:tab/>
        <w:t>Administration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de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la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justice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pour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mineurs</w:t>
      </w:r>
      <w:r w:rsidR="00EB4BEA" w:rsidRPr="006A2A97">
        <w:rPr>
          <w:bCs/>
          <w:lang w:val="fr-FR"/>
        </w:rPr>
        <w:t xml:space="preserve"> </w:t>
      </w:r>
    </w:p>
    <w:p w:rsidR="008E26A0" w:rsidRPr="006A2A97" w:rsidRDefault="008E26A0" w:rsidP="00E65CDD">
      <w:pPr>
        <w:pStyle w:val="ParNoG"/>
        <w:keepNext/>
        <w:rPr>
          <w:rFonts w:asciiTheme="majorBidi" w:hAnsiTheme="majorBidi" w:cstheme="majorBidi"/>
          <w:b/>
          <w:bCs/>
          <w:spacing w:val="-2"/>
          <w:lang w:val="fr-FR"/>
        </w:rPr>
      </w:pP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lumière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son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b/>
          <w:bCs/>
          <w:spacing w:val="-2"/>
          <w:lang w:val="fr-FR"/>
        </w:rPr>
        <w:t>observation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générale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="006A2A97" w:rsidRPr="006A2A97">
        <w:rPr>
          <w:rFonts w:asciiTheme="majorBidi" w:eastAsia="MS Mincho" w:hAnsiTheme="majorBidi" w:cstheme="majorBidi"/>
          <w:b/>
          <w:bCs/>
          <w:spacing w:val="-2"/>
          <w:lang w:val="fr-FR"/>
        </w:rPr>
        <w:t>n</w:t>
      </w:r>
      <w:r w:rsidR="006A2A97" w:rsidRPr="006A2A97">
        <w:rPr>
          <w:rFonts w:asciiTheme="majorBidi" w:eastAsia="MS Mincho" w:hAnsiTheme="majorBidi" w:cstheme="majorBidi"/>
          <w:b/>
          <w:bCs/>
          <w:spacing w:val="-2"/>
          <w:vertAlign w:val="superscript"/>
          <w:lang w:val="fr-FR"/>
        </w:rPr>
        <w:t>o</w:t>
      </w:r>
      <w:r w:rsidR="006A2A97" w:rsidRPr="006A2A97">
        <w:rPr>
          <w:rFonts w:asciiTheme="majorBidi" w:hAnsiTheme="majorBidi" w:cstheme="majorBidi"/>
          <w:b/>
          <w:bCs/>
          <w:spacing w:val="-2"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10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(2007)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relative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l’enfant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système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justice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mineurs,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spacing w:val="-2"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spacing w:val="-2"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garantir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tribunaux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spécialisés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mineurs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ressources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humaines,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financières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adéquates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veiller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professionnels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spécialisés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reçoivent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éducation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formation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continues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continuer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promouvoir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mesures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substitution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détention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d’offrir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possibilités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matière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travail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communautaire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6A2A97">
        <w:rPr>
          <w:rFonts w:asciiTheme="majorBidi" w:hAnsiTheme="majorBidi" w:cstheme="majorBidi"/>
          <w:b/>
          <w:bCs/>
          <w:lang w:val="fr-FR"/>
        </w:rPr>
        <w:t> </w:t>
      </w:r>
      <w:r w:rsidRPr="006A2A97">
        <w:rPr>
          <w:rFonts w:asciiTheme="majorBidi" w:hAnsiTheme="majorBidi" w:cstheme="majorBidi"/>
          <w:b/>
          <w:bCs/>
          <w:lang w:val="fr-FR"/>
        </w:rPr>
        <w:t>médiation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solliciter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l’assistance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technique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l’UNICEF,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notamment.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8E26A0" w:rsidRPr="006A2A97" w:rsidRDefault="008E26A0" w:rsidP="00E65CDD">
      <w:pPr>
        <w:pStyle w:val="H23G"/>
        <w:keepLines w:val="0"/>
        <w:rPr>
          <w:rFonts w:eastAsia="Malgun Gothic"/>
          <w:bCs/>
          <w:lang w:val="fr-FR"/>
        </w:rPr>
      </w:pPr>
      <w:r w:rsidRPr="006A2A97">
        <w:rPr>
          <w:bCs/>
          <w:lang w:val="fr-FR"/>
        </w:rPr>
        <w:tab/>
      </w:r>
      <w:r w:rsidRPr="006A2A97">
        <w:rPr>
          <w:bCs/>
          <w:lang w:val="fr-FR"/>
        </w:rPr>
        <w:tab/>
        <w:t>Enfants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victimes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ou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témoins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d’infractions</w:t>
      </w:r>
    </w:p>
    <w:p w:rsidR="008E26A0" w:rsidRPr="006A2A97" w:rsidRDefault="008E26A0" w:rsidP="00E65CDD">
      <w:pPr>
        <w:pStyle w:val="ParNoG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faire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sorte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que,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dans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pratique,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un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personnel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spécialisé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suffisant,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notamment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6A2A97">
        <w:rPr>
          <w:rFonts w:asciiTheme="majorBidi" w:hAnsiTheme="majorBidi" w:cstheme="majorBidi"/>
          <w:b/>
          <w:bCs/>
          <w:lang w:val="fr-FR"/>
        </w:rPr>
        <w:t>pédopsychologues</w:t>
      </w:r>
      <w:proofErr w:type="spellEnd"/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pédopsychiatres,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soit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disponible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prendre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charge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enfants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victimes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ou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témoins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d’infractions.</w:t>
      </w:r>
    </w:p>
    <w:p w:rsidR="008E26A0" w:rsidRPr="006A2A97" w:rsidRDefault="008E26A0" w:rsidP="00E65CDD">
      <w:pPr>
        <w:pStyle w:val="H1G"/>
        <w:keepLines w:val="0"/>
        <w:rPr>
          <w:bCs/>
          <w:lang w:val="fr-FR"/>
        </w:rPr>
      </w:pPr>
      <w:r w:rsidRPr="006A2A97">
        <w:rPr>
          <w:bCs/>
          <w:lang w:val="fr-FR"/>
        </w:rPr>
        <w:tab/>
        <w:t>I.</w:t>
      </w:r>
      <w:r w:rsidRPr="006A2A97">
        <w:rPr>
          <w:bCs/>
          <w:lang w:val="fr-FR"/>
        </w:rPr>
        <w:tab/>
        <w:t>Ratification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d’instruments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internationaux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relatifs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aux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droits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de</w:t>
      </w:r>
      <w:r w:rsidR="006A2A97">
        <w:rPr>
          <w:bCs/>
          <w:lang w:val="fr-FR"/>
        </w:rPr>
        <w:t> </w:t>
      </w:r>
      <w:r w:rsidRPr="006A2A97">
        <w:rPr>
          <w:bCs/>
          <w:lang w:val="fr-FR"/>
        </w:rPr>
        <w:t>l’homme</w:t>
      </w:r>
    </w:p>
    <w:p w:rsidR="008E26A0" w:rsidRPr="006A2A97" w:rsidRDefault="008E26A0" w:rsidP="00E65CDD">
      <w:pPr>
        <w:pStyle w:val="ParNoG"/>
        <w:keepNext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Comité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recommande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l’État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d’envisager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ratifier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instruments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relatifs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l’homme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fondamentaux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ci-après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auxquels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il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n’est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encore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partie,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afin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renforcer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encore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respect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l’enfant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: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a)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Convention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travailleurs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migrants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et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membres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famille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b)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Convention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internationale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pour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protection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toutes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personnes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contre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disparitions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forcées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> ;</w:t>
      </w:r>
    </w:p>
    <w:p w:rsidR="008E26A0" w:rsidRPr="006A2A97" w:rsidRDefault="008E26A0" w:rsidP="00E65CDD">
      <w:pPr>
        <w:pStyle w:val="SingleTxtG"/>
        <w:ind w:firstLine="567"/>
        <w:rPr>
          <w:rFonts w:asciiTheme="majorBidi" w:hAnsiTheme="majorBidi" w:cstheme="majorBidi"/>
          <w:b/>
          <w:bCs/>
          <w:lang w:val="fr-FR"/>
        </w:rPr>
      </w:pPr>
      <w:r w:rsidRPr="006A2A97">
        <w:rPr>
          <w:rFonts w:asciiTheme="majorBidi" w:hAnsiTheme="majorBidi" w:cstheme="majorBidi"/>
          <w:b/>
          <w:bCs/>
          <w:lang w:val="fr-FR"/>
        </w:rPr>
        <w:t>c)</w:t>
      </w:r>
      <w:r w:rsidRPr="006A2A97">
        <w:rPr>
          <w:rFonts w:asciiTheme="majorBidi" w:hAnsiTheme="majorBidi" w:cstheme="majorBidi"/>
          <w:b/>
          <w:bCs/>
          <w:lang w:val="fr-FR"/>
        </w:rPr>
        <w:tab/>
        <w:t>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Protocole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facultatif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se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rapportant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à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la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Convention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relative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aux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droits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des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personnes</w:t>
      </w:r>
      <w:r w:rsidR="00EB4BEA" w:rsidRPr="006A2A9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A2A97">
        <w:rPr>
          <w:rFonts w:asciiTheme="majorBidi" w:hAnsiTheme="majorBidi" w:cstheme="majorBidi"/>
          <w:b/>
          <w:bCs/>
          <w:lang w:val="fr-FR"/>
        </w:rPr>
        <w:t>handicapées.</w:t>
      </w:r>
    </w:p>
    <w:p w:rsidR="008E26A0" w:rsidRPr="006A2A97" w:rsidRDefault="008E26A0" w:rsidP="00E65CDD">
      <w:pPr>
        <w:pStyle w:val="HChG"/>
        <w:keepLines w:val="0"/>
        <w:rPr>
          <w:bCs/>
          <w:lang w:val="fr-FR"/>
        </w:rPr>
      </w:pPr>
      <w:r w:rsidRPr="006A2A97">
        <w:rPr>
          <w:bCs/>
          <w:lang w:val="fr-FR"/>
        </w:rPr>
        <w:tab/>
        <w:t>V.</w:t>
      </w:r>
      <w:r w:rsidRPr="006A2A97">
        <w:rPr>
          <w:bCs/>
          <w:lang w:val="fr-FR"/>
        </w:rPr>
        <w:tab/>
        <w:t>Mise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en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œuvre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et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soumission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de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rapports</w:t>
      </w:r>
    </w:p>
    <w:p w:rsidR="008E26A0" w:rsidRPr="006A2A97" w:rsidRDefault="008E26A0" w:rsidP="00E65CDD">
      <w:pPr>
        <w:pStyle w:val="H1G"/>
        <w:keepLines w:val="0"/>
        <w:rPr>
          <w:bCs/>
          <w:lang w:val="fr-FR"/>
        </w:rPr>
      </w:pPr>
      <w:r w:rsidRPr="006A2A97">
        <w:rPr>
          <w:bCs/>
          <w:lang w:val="fr-FR"/>
        </w:rPr>
        <w:tab/>
        <w:t>A.</w:t>
      </w:r>
      <w:r w:rsidRPr="006A2A97">
        <w:rPr>
          <w:bCs/>
          <w:lang w:val="fr-FR"/>
        </w:rPr>
        <w:tab/>
        <w:t>Suivi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et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diffusion</w:t>
      </w:r>
    </w:p>
    <w:p w:rsidR="008E26A0" w:rsidRPr="006A2A97" w:rsidRDefault="008E26A0" w:rsidP="00E65CDD">
      <w:pPr>
        <w:pStyle w:val="ParNoG"/>
        <w:rPr>
          <w:b/>
          <w:bCs/>
          <w:lang w:val="fr-FR"/>
        </w:rPr>
      </w:pP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recommande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prendre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toutes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mesures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voulues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recommandations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figurant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présentes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observations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finales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soient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pleinement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mises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œuvre.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Il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recommande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également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quatrième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périodique,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réponses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écrites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présentes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observations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finales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soient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largement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diffusés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langues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pays.</w:t>
      </w:r>
    </w:p>
    <w:p w:rsidR="008E26A0" w:rsidRPr="006A2A97" w:rsidRDefault="008E26A0" w:rsidP="00E65CDD">
      <w:pPr>
        <w:pStyle w:val="H1G"/>
        <w:keepLines w:val="0"/>
        <w:rPr>
          <w:rFonts w:eastAsia="Malgun Gothic"/>
          <w:bCs/>
          <w:lang w:val="fr-FR"/>
        </w:rPr>
      </w:pPr>
      <w:r w:rsidRPr="006A2A97">
        <w:rPr>
          <w:bCs/>
          <w:lang w:val="fr-FR"/>
        </w:rPr>
        <w:tab/>
        <w:t>B.</w:t>
      </w:r>
      <w:r w:rsidRPr="006A2A97">
        <w:rPr>
          <w:bCs/>
          <w:lang w:val="fr-FR"/>
        </w:rPr>
        <w:tab/>
        <w:t>Prochain</w:t>
      </w:r>
      <w:r w:rsidR="00EB4BEA" w:rsidRPr="006A2A97">
        <w:rPr>
          <w:bCs/>
          <w:lang w:val="fr-FR"/>
        </w:rPr>
        <w:t xml:space="preserve"> </w:t>
      </w:r>
      <w:r w:rsidRPr="006A2A97">
        <w:rPr>
          <w:bCs/>
          <w:lang w:val="fr-FR"/>
        </w:rPr>
        <w:t>rapport</w:t>
      </w:r>
      <w:r w:rsidR="00EB4BEA" w:rsidRPr="006A2A97">
        <w:rPr>
          <w:bCs/>
          <w:lang w:val="fr-FR"/>
        </w:rPr>
        <w:t xml:space="preserve"> </w:t>
      </w:r>
    </w:p>
    <w:p w:rsidR="008E26A0" w:rsidRPr="006A2A97" w:rsidRDefault="008E26A0" w:rsidP="00E65CDD">
      <w:pPr>
        <w:pStyle w:val="ParNoG"/>
        <w:rPr>
          <w:b/>
          <w:bCs/>
          <w:lang w:val="fr-FR"/>
        </w:rPr>
      </w:pP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invite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soumettre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valant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cinquième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sixième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périodiques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1</w:t>
      </w:r>
      <w:r w:rsidR="006A2A97" w:rsidRPr="006A2A97">
        <w:rPr>
          <w:b/>
          <w:bCs/>
          <w:vertAlign w:val="superscript"/>
          <w:lang w:val="fr-FR"/>
        </w:rPr>
        <w:t>er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juillet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2022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plus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tard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y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faire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figurer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renseignements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donnée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présentes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observations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finales.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devra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être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conforme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directives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spécifiques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l’instrument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(CRC/C/58/Rev.3),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que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adoptées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31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janvier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2014,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dépasser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21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200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mots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(voir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résolution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68/268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l’Assemblée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générale,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par.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16).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Si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soumet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nombre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mots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excède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limite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fixée,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il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sera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invité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réduire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longueur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manière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conformer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résolution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susmentionnée.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S’il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n’est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mesure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remanier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soumettre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nouveau,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traduction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d’examen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pourra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être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garantie.</w:t>
      </w:r>
      <w:r w:rsidR="00EB4BEA" w:rsidRPr="006A2A97">
        <w:rPr>
          <w:b/>
          <w:bCs/>
          <w:lang w:val="fr-FR"/>
        </w:rPr>
        <w:t xml:space="preserve"> </w:t>
      </w:r>
    </w:p>
    <w:p w:rsidR="008E26A0" w:rsidRPr="006A2A97" w:rsidRDefault="008E26A0" w:rsidP="00E65CDD">
      <w:pPr>
        <w:pStyle w:val="ParNoG"/>
        <w:rPr>
          <w:b/>
          <w:bCs/>
          <w:lang w:val="fr-FR"/>
        </w:rPr>
      </w:pPr>
      <w:r w:rsidRPr="006A2A97">
        <w:rPr>
          <w:b/>
          <w:bCs/>
          <w:lang w:val="fr-FR"/>
        </w:rPr>
        <w:lastRenderedPageBreak/>
        <w:t>Le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Comité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invite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outre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partie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soumettre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un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document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base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actualisé,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n’excédant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42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400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mots,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conforme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prescriptions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applicables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documents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base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figurant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dans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directives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harmonisées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concernant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l’établissement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rapports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présenter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vertu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instruments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internationaux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relatifs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droits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l’homme,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notamment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directives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relatives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document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base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aux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documents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spécifiques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à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l’instrument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(HRI/GEN/2/Rev.6,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chap.</w:t>
      </w:r>
      <w:r w:rsidR="006A2A97">
        <w:rPr>
          <w:b/>
          <w:bCs/>
          <w:lang w:val="fr-FR"/>
        </w:rPr>
        <w:t> </w:t>
      </w:r>
      <w:r w:rsidRPr="006A2A97">
        <w:rPr>
          <w:b/>
          <w:bCs/>
          <w:lang w:val="fr-FR"/>
        </w:rPr>
        <w:t>I),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et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au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paragraphe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16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la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résolution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68/268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de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l’Assemblée</w:t>
      </w:r>
      <w:r w:rsidR="00EB4BEA" w:rsidRPr="006A2A97">
        <w:rPr>
          <w:b/>
          <w:bCs/>
          <w:lang w:val="fr-FR"/>
        </w:rPr>
        <w:t xml:space="preserve"> </w:t>
      </w:r>
      <w:r w:rsidRPr="006A2A97">
        <w:rPr>
          <w:b/>
          <w:bCs/>
          <w:lang w:val="fr-FR"/>
        </w:rPr>
        <w:t>générale.</w:t>
      </w:r>
    </w:p>
    <w:p w:rsidR="008E26A0" w:rsidRPr="006A2A97" w:rsidRDefault="008E26A0" w:rsidP="00E65CDD">
      <w:pPr>
        <w:pStyle w:val="SingleTxtG"/>
        <w:spacing w:before="240" w:after="0"/>
        <w:jc w:val="center"/>
        <w:rPr>
          <w:b/>
          <w:bCs/>
          <w:u w:val="single"/>
        </w:rPr>
      </w:pPr>
      <w:r w:rsidRPr="006A2A97">
        <w:rPr>
          <w:b/>
          <w:bCs/>
          <w:u w:val="single"/>
        </w:rPr>
        <w:tab/>
      </w:r>
      <w:r w:rsidRPr="006A2A97">
        <w:rPr>
          <w:b/>
          <w:bCs/>
          <w:u w:val="single"/>
        </w:rPr>
        <w:tab/>
      </w:r>
      <w:r w:rsidRPr="006A2A97">
        <w:rPr>
          <w:b/>
          <w:bCs/>
          <w:u w:val="single"/>
        </w:rPr>
        <w:tab/>
      </w:r>
    </w:p>
    <w:sectPr w:rsidR="008E26A0" w:rsidRPr="006A2A97" w:rsidSect="008E26A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EA" w:rsidRDefault="00EB4BEA" w:rsidP="00F95C08">
      <w:pPr>
        <w:spacing w:line="240" w:lineRule="auto"/>
      </w:pPr>
    </w:p>
  </w:endnote>
  <w:endnote w:type="continuationSeparator" w:id="0">
    <w:p w:rsidR="00EB4BEA" w:rsidRPr="00AC3823" w:rsidRDefault="00EB4BEA" w:rsidP="00AC3823">
      <w:pPr>
        <w:pStyle w:val="Pieddepage"/>
      </w:pPr>
    </w:p>
  </w:endnote>
  <w:endnote w:type="continuationNotice" w:id="1">
    <w:p w:rsidR="00EB4BEA" w:rsidRDefault="00EB4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EA" w:rsidRPr="008E26A0" w:rsidRDefault="00EB4BEA" w:rsidP="008E26A0">
    <w:pPr>
      <w:pStyle w:val="Pieddepage"/>
      <w:tabs>
        <w:tab w:val="right" w:pos="9638"/>
      </w:tabs>
    </w:pPr>
    <w:r w:rsidRPr="008E26A0">
      <w:rPr>
        <w:b/>
        <w:sz w:val="18"/>
      </w:rPr>
      <w:fldChar w:fldCharType="begin"/>
    </w:r>
    <w:r w:rsidRPr="008E26A0">
      <w:rPr>
        <w:b/>
        <w:sz w:val="18"/>
      </w:rPr>
      <w:instrText xml:space="preserve"> PAGE  \* MERGEFORMAT </w:instrText>
    </w:r>
    <w:r w:rsidRPr="008E26A0">
      <w:rPr>
        <w:b/>
        <w:sz w:val="18"/>
      </w:rPr>
      <w:fldChar w:fldCharType="separate"/>
    </w:r>
    <w:r w:rsidR="002C3283">
      <w:rPr>
        <w:b/>
        <w:noProof/>
        <w:sz w:val="18"/>
      </w:rPr>
      <w:t>14</w:t>
    </w:r>
    <w:r w:rsidRPr="008E26A0">
      <w:rPr>
        <w:b/>
        <w:sz w:val="18"/>
      </w:rPr>
      <w:fldChar w:fldCharType="end"/>
    </w:r>
    <w:r>
      <w:rPr>
        <w:b/>
        <w:sz w:val="18"/>
      </w:rPr>
      <w:tab/>
    </w:r>
    <w:r>
      <w:t>GE.17-03873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EA" w:rsidRPr="008E26A0" w:rsidRDefault="00EB4BEA" w:rsidP="008E26A0">
    <w:pPr>
      <w:pStyle w:val="Pieddepage"/>
      <w:tabs>
        <w:tab w:val="right" w:pos="9638"/>
      </w:tabs>
      <w:rPr>
        <w:b/>
        <w:sz w:val="18"/>
      </w:rPr>
    </w:pPr>
    <w:r>
      <w:t>GE.17-03873</w:t>
    </w:r>
    <w:r>
      <w:tab/>
    </w:r>
    <w:r w:rsidRPr="008E26A0">
      <w:rPr>
        <w:b/>
        <w:sz w:val="18"/>
      </w:rPr>
      <w:fldChar w:fldCharType="begin"/>
    </w:r>
    <w:r w:rsidRPr="008E26A0">
      <w:rPr>
        <w:b/>
        <w:sz w:val="18"/>
      </w:rPr>
      <w:instrText xml:space="preserve"> PAGE  \* MERGEFORMAT </w:instrText>
    </w:r>
    <w:r w:rsidRPr="008E26A0">
      <w:rPr>
        <w:b/>
        <w:sz w:val="18"/>
      </w:rPr>
      <w:fldChar w:fldCharType="separate"/>
    </w:r>
    <w:r w:rsidR="002C3283">
      <w:rPr>
        <w:b/>
        <w:noProof/>
        <w:sz w:val="18"/>
      </w:rPr>
      <w:t>15</w:t>
    </w:r>
    <w:r w:rsidRPr="008E26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EA" w:rsidRPr="008E26A0" w:rsidRDefault="00EB4BEA" w:rsidP="008E26A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27BD85" wp14:editId="0D9E56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17-03873  (F)    120417    130417</w:t>
    </w:r>
    <w:r>
      <w:rPr>
        <w:sz w:val="20"/>
      </w:rPr>
      <w:br/>
    </w:r>
    <w:r w:rsidRPr="008E26A0">
      <w:rPr>
        <w:rFonts w:ascii="C39T30Lfz" w:hAnsi="C39T30Lfz"/>
        <w:sz w:val="56"/>
      </w:rPr>
      <w:t></w:t>
    </w:r>
    <w:r w:rsidRPr="008E26A0">
      <w:rPr>
        <w:rFonts w:ascii="C39T30Lfz" w:hAnsi="C39T30Lfz"/>
        <w:sz w:val="56"/>
      </w:rPr>
      <w:t></w:t>
    </w:r>
    <w:r w:rsidRPr="008E26A0">
      <w:rPr>
        <w:rFonts w:ascii="C39T30Lfz" w:hAnsi="C39T30Lfz"/>
        <w:sz w:val="56"/>
      </w:rPr>
      <w:t></w:t>
    </w:r>
    <w:r w:rsidRPr="008E26A0">
      <w:rPr>
        <w:rFonts w:ascii="C39T30Lfz" w:hAnsi="C39T30Lfz"/>
        <w:sz w:val="56"/>
      </w:rPr>
      <w:t></w:t>
    </w:r>
    <w:r w:rsidRPr="008E26A0">
      <w:rPr>
        <w:rFonts w:ascii="C39T30Lfz" w:hAnsi="C39T30Lfz"/>
        <w:sz w:val="56"/>
      </w:rPr>
      <w:t></w:t>
    </w:r>
    <w:r w:rsidRPr="008E26A0">
      <w:rPr>
        <w:rFonts w:ascii="C39T30Lfz" w:hAnsi="C39T30Lfz"/>
        <w:sz w:val="56"/>
      </w:rPr>
      <w:t></w:t>
    </w:r>
    <w:r w:rsidRPr="008E26A0">
      <w:rPr>
        <w:rFonts w:ascii="C39T30Lfz" w:hAnsi="C39T30Lfz"/>
        <w:sz w:val="56"/>
      </w:rPr>
      <w:t></w:t>
    </w:r>
    <w:r w:rsidRPr="008E26A0">
      <w:rPr>
        <w:rFonts w:ascii="C39T30Lfz" w:hAnsi="C39T30Lfz"/>
        <w:sz w:val="56"/>
      </w:rPr>
      <w:t></w:t>
    </w:r>
    <w:r w:rsidRPr="008E26A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0E5FEBA2" wp14:editId="10DF6E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CRC/C/GEO/CO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GEO/CO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EA" w:rsidRPr="00AC3823" w:rsidRDefault="00EB4B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4BEA" w:rsidRPr="00AC3823" w:rsidRDefault="00EB4B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4BEA" w:rsidRPr="00AC3823" w:rsidRDefault="00EB4BEA">
      <w:pPr>
        <w:spacing w:line="240" w:lineRule="auto"/>
        <w:rPr>
          <w:sz w:val="2"/>
          <w:szCs w:val="2"/>
        </w:rPr>
      </w:pPr>
    </w:p>
  </w:footnote>
  <w:footnote w:id="2">
    <w:p w:rsidR="00EB4BEA" w:rsidRPr="008736EB" w:rsidRDefault="00EB4BEA">
      <w:pPr>
        <w:pStyle w:val="Notedebasdepage"/>
      </w:pPr>
      <w:r>
        <w:rPr>
          <w:rStyle w:val="Appelnotedebasdep"/>
        </w:rPr>
        <w:tab/>
      </w:r>
      <w:r w:rsidRPr="008736E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83FA6">
        <w:rPr>
          <w:lang w:val="fr-FR"/>
        </w:rPr>
        <w:t>Adoptées</w:t>
      </w:r>
      <w:r>
        <w:rPr>
          <w:lang w:val="fr-FR"/>
        </w:rPr>
        <w:t xml:space="preserve"> </w:t>
      </w:r>
      <w:r w:rsidRPr="00183FA6">
        <w:rPr>
          <w:lang w:val="fr-FR"/>
        </w:rPr>
        <w:t>par</w:t>
      </w:r>
      <w:r>
        <w:rPr>
          <w:lang w:val="fr-FR"/>
        </w:rPr>
        <w:t xml:space="preserve"> </w:t>
      </w:r>
      <w:r w:rsidRPr="00183FA6">
        <w:rPr>
          <w:lang w:val="fr-FR"/>
        </w:rPr>
        <w:t>le</w:t>
      </w:r>
      <w:r>
        <w:rPr>
          <w:lang w:val="fr-FR"/>
        </w:rPr>
        <w:t xml:space="preserve"> </w:t>
      </w:r>
      <w:r w:rsidRPr="00183FA6">
        <w:rPr>
          <w:lang w:val="fr-FR"/>
        </w:rPr>
        <w:t>Comité</w:t>
      </w:r>
      <w:r>
        <w:rPr>
          <w:lang w:val="fr-FR"/>
        </w:rPr>
        <w:t xml:space="preserve"> </w:t>
      </w:r>
      <w:r w:rsidRPr="00183FA6">
        <w:rPr>
          <w:lang w:val="fr-FR"/>
        </w:rPr>
        <w:t>à</w:t>
      </w:r>
      <w:r>
        <w:rPr>
          <w:lang w:val="fr-FR"/>
        </w:rPr>
        <w:t xml:space="preserve"> </w:t>
      </w:r>
      <w:r w:rsidRPr="00183FA6">
        <w:rPr>
          <w:lang w:val="fr-FR"/>
        </w:rPr>
        <w:t>sa</w:t>
      </w:r>
      <w:r>
        <w:rPr>
          <w:lang w:val="fr-FR"/>
        </w:rPr>
        <w:t xml:space="preserve"> </w:t>
      </w:r>
      <w:r w:rsidRPr="00183FA6">
        <w:rPr>
          <w:lang w:val="fr-FR"/>
        </w:rPr>
        <w:t>soixante-quatorzième</w:t>
      </w:r>
      <w:r>
        <w:rPr>
          <w:lang w:val="fr-FR"/>
        </w:rPr>
        <w:t xml:space="preserve"> </w:t>
      </w:r>
      <w:r w:rsidRPr="00183FA6">
        <w:rPr>
          <w:lang w:val="fr-FR"/>
        </w:rPr>
        <w:t>session</w:t>
      </w:r>
      <w:r>
        <w:rPr>
          <w:lang w:val="fr-FR"/>
        </w:rPr>
        <w:t xml:space="preserve"> </w:t>
      </w:r>
      <w:r w:rsidRPr="00183FA6">
        <w:rPr>
          <w:lang w:val="fr-FR"/>
        </w:rPr>
        <w:t>(16</w:t>
      </w:r>
      <w:r>
        <w:rPr>
          <w:lang w:val="fr-FR"/>
        </w:rPr>
        <w:t xml:space="preserve"> janvier</w:t>
      </w:r>
      <w:r w:rsidRPr="00183FA6">
        <w:rPr>
          <w:lang w:val="fr-FR"/>
        </w:rPr>
        <w:t>-3</w:t>
      </w:r>
      <w:r>
        <w:rPr>
          <w:lang w:val="fr-FR"/>
        </w:rPr>
        <w:t xml:space="preserve"> février </w:t>
      </w:r>
      <w:r w:rsidRPr="00183FA6">
        <w:rPr>
          <w:lang w:val="fr-FR"/>
        </w:rPr>
        <w:t>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EA" w:rsidRPr="008E26A0" w:rsidRDefault="00EB4BEA">
    <w:pPr>
      <w:pStyle w:val="En-tte"/>
    </w:pPr>
    <w:fldSimple w:instr=" TITLE  \* MERGEFORMAT ">
      <w:r w:rsidR="00472751">
        <w:t>CRC/C/GEO/CO/4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EA" w:rsidRPr="008E26A0" w:rsidRDefault="00EB4BEA" w:rsidP="008E26A0">
    <w:pPr>
      <w:pStyle w:val="En-tte"/>
      <w:jc w:val="right"/>
    </w:pPr>
    <w:fldSimple w:instr=" TITLE  \* MERGEFORMAT ">
      <w:r w:rsidR="00472751">
        <w:t>CRC/C/GEO/CO/4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2"/>
    <w:rsid w:val="00017F94"/>
    <w:rsid w:val="00023842"/>
    <w:rsid w:val="000334F9"/>
    <w:rsid w:val="000354E9"/>
    <w:rsid w:val="0007796D"/>
    <w:rsid w:val="000B75EF"/>
    <w:rsid w:val="000B7790"/>
    <w:rsid w:val="00111F2F"/>
    <w:rsid w:val="0014365E"/>
    <w:rsid w:val="00176178"/>
    <w:rsid w:val="001F4E8A"/>
    <w:rsid w:val="001F525A"/>
    <w:rsid w:val="00223272"/>
    <w:rsid w:val="0024779E"/>
    <w:rsid w:val="00251350"/>
    <w:rsid w:val="00260F65"/>
    <w:rsid w:val="002C3283"/>
    <w:rsid w:val="002D14A3"/>
    <w:rsid w:val="00340ED0"/>
    <w:rsid w:val="00347FDE"/>
    <w:rsid w:val="003910D6"/>
    <w:rsid w:val="00446FE5"/>
    <w:rsid w:val="00452396"/>
    <w:rsid w:val="00472751"/>
    <w:rsid w:val="00485B35"/>
    <w:rsid w:val="004D7A2C"/>
    <w:rsid w:val="005505B7"/>
    <w:rsid w:val="00573BE5"/>
    <w:rsid w:val="00586ED3"/>
    <w:rsid w:val="00596AA9"/>
    <w:rsid w:val="006A2A97"/>
    <w:rsid w:val="0071601D"/>
    <w:rsid w:val="007341B7"/>
    <w:rsid w:val="00746196"/>
    <w:rsid w:val="007522A8"/>
    <w:rsid w:val="00760CBC"/>
    <w:rsid w:val="007A62E6"/>
    <w:rsid w:val="0080684C"/>
    <w:rsid w:val="00840413"/>
    <w:rsid w:val="00871C75"/>
    <w:rsid w:val="008736EB"/>
    <w:rsid w:val="00875756"/>
    <w:rsid w:val="008776DC"/>
    <w:rsid w:val="008C54BD"/>
    <w:rsid w:val="008E26A0"/>
    <w:rsid w:val="008F3CA0"/>
    <w:rsid w:val="009705C8"/>
    <w:rsid w:val="00A30353"/>
    <w:rsid w:val="00A3346E"/>
    <w:rsid w:val="00AC3823"/>
    <w:rsid w:val="00AE323C"/>
    <w:rsid w:val="00B00181"/>
    <w:rsid w:val="00B24A9B"/>
    <w:rsid w:val="00B765F7"/>
    <w:rsid w:val="00B844E2"/>
    <w:rsid w:val="00BA0CA9"/>
    <w:rsid w:val="00C02897"/>
    <w:rsid w:val="00D3439C"/>
    <w:rsid w:val="00DB1831"/>
    <w:rsid w:val="00DD3BFD"/>
    <w:rsid w:val="00DF6678"/>
    <w:rsid w:val="00E65CDD"/>
    <w:rsid w:val="00EB4BE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B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C54B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C54B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C54B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C54B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C54B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54B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C54B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C54B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C54B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C54B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C54B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C54B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C54B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C54BD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C54BD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8C54B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8C54B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8C54B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C54B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C54B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C54B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C54B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C54BD"/>
  </w:style>
  <w:style w:type="character" w:customStyle="1" w:styleId="NotedefinCar">
    <w:name w:val="Note de fin Car"/>
    <w:aliases w:val="2_G Car"/>
    <w:basedOn w:val="Policepardfaut"/>
    <w:link w:val="Notedefin"/>
    <w:rsid w:val="008C54B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8C54B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8E26A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8E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B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C54B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C54B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C54B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C54B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C54B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54B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C54B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54B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C54B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C54B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C54B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C54B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C54B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C54B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C54BD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C54BD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8C54B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8C54B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8C54B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C54B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C54B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C54B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C54B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C54BD"/>
  </w:style>
  <w:style w:type="character" w:customStyle="1" w:styleId="NotedefinCar">
    <w:name w:val="Note de fin Car"/>
    <w:aliases w:val="2_G Car"/>
    <w:basedOn w:val="Policepardfaut"/>
    <w:link w:val="Notedefin"/>
    <w:rsid w:val="008C54B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8C54B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8E26A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8E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16</Pages>
  <Words>7971</Words>
  <Characters>45357</Characters>
  <Application>Microsoft Office Word</Application>
  <DocSecurity>0</DocSecurity>
  <Lines>5039</Lines>
  <Paragraphs>2133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CRC/C/GEO/CO/4</vt:lpstr>
    </vt:vector>
  </TitlesOfParts>
  <Company>DCM</Company>
  <LinksUpToDate>false</LinksUpToDate>
  <CharactersWithSpaces>51195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CRC/C/GEO/CO/4</dc:title>
  <dc:subject/>
  <dc:creator>Morin</dc:creator>
  <cp:keywords/>
  <cp:lastModifiedBy>Morin</cp:lastModifiedBy>
  <cp:revision>2</cp:revision>
  <cp:lastPrinted>2017-04-13T10:58:00Z</cp:lastPrinted>
  <dcterms:created xsi:type="dcterms:W3CDTF">2017-04-13T13:50:00Z</dcterms:created>
  <dcterms:modified xsi:type="dcterms:W3CDTF">2017-04-13T13:50:00Z</dcterms:modified>
</cp:coreProperties>
</file>