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D4628D"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w:t>
            </w:r>
            <w:r w:rsidR="003F3175">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D4628D" w:rsidP="003F3175">
            <w:pPr>
              <w:bidi w:val="0"/>
              <w:spacing w:after="20"/>
              <w:jc w:val="left"/>
              <w:rPr>
                <w:szCs w:val="20"/>
              </w:rPr>
            </w:pPr>
            <w:r w:rsidRPr="00D4628D">
              <w:rPr>
                <w:sz w:val="40"/>
                <w:szCs w:val="20"/>
              </w:rPr>
              <w:t>CCPR</w:t>
            </w:r>
            <w:r>
              <w:rPr>
                <w:szCs w:val="20"/>
              </w:rPr>
              <w:t>/C/EST/CO/4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w:t>
            </w:r>
            <w:r w:rsidR="003F3175">
              <w:rPr>
                <w:rFonts w:hint="cs"/>
                <w:b/>
                <w:bCs/>
                <w:sz w:val="56"/>
                <w:szCs w:val="56"/>
                <w:rtl/>
              </w:rPr>
              <w:t xml:space="preserve"> </w:t>
            </w:r>
            <w:r w:rsidRPr="00ED7442">
              <w:rPr>
                <w:rFonts w:hint="cs"/>
                <w:b/>
                <w:bCs/>
                <w:sz w:val="56"/>
                <w:szCs w:val="56"/>
                <w:rtl/>
              </w:rPr>
              <w:t>الدولي</w:t>
            </w:r>
            <w:r w:rsidR="003F3175">
              <w:rPr>
                <w:rFonts w:hint="cs"/>
                <w:b/>
                <w:bCs/>
                <w:sz w:val="56"/>
                <w:szCs w:val="56"/>
                <w:rtl/>
              </w:rPr>
              <w:t xml:space="preserve"> </w:t>
            </w:r>
            <w:r w:rsidRPr="00ED7442">
              <w:rPr>
                <w:rFonts w:hint="cs"/>
                <w:b/>
                <w:bCs/>
                <w:sz w:val="56"/>
                <w:szCs w:val="56"/>
                <w:rtl/>
              </w:rPr>
              <w:t>الخاص</w:t>
            </w:r>
            <w:r w:rsidR="003F3175">
              <w:rPr>
                <w:rFonts w:hint="cs"/>
                <w:b/>
                <w:bCs/>
                <w:sz w:val="56"/>
                <w:szCs w:val="56"/>
                <w:rtl/>
              </w:rPr>
              <w:t xml:space="preserve"> </w:t>
            </w:r>
            <w:r w:rsidRPr="00ED7442">
              <w:rPr>
                <w:rFonts w:hint="cs"/>
                <w:b/>
                <w:bCs/>
                <w:sz w:val="56"/>
                <w:szCs w:val="56"/>
                <w:rtl/>
              </w:rPr>
              <w:t>بالحقوق</w:t>
            </w:r>
            <w:r w:rsidR="003F3175">
              <w:rPr>
                <w:rFonts w:hint="cs"/>
                <w:b/>
                <w:bCs/>
                <w:sz w:val="56"/>
                <w:szCs w:val="56"/>
                <w:rtl/>
              </w:rPr>
              <w:t xml:space="preserve"> </w:t>
            </w:r>
            <w:r w:rsidRPr="00ED7442">
              <w:rPr>
                <w:rFonts w:hint="cs"/>
                <w:b/>
                <w:bCs/>
                <w:sz w:val="56"/>
                <w:szCs w:val="56"/>
                <w:rtl/>
              </w:rPr>
              <w:t>المدنية</w:t>
            </w:r>
            <w:r w:rsidR="003F3175">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6B3E27" w:rsidRDefault="003F3175" w:rsidP="003F3175">
            <w:pPr>
              <w:bidi w:val="0"/>
              <w:spacing w:before="240"/>
              <w:jc w:val="left"/>
              <w:rPr>
                <w:szCs w:val="20"/>
              </w:rPr>
            </w:pPr>
            <w:r>
              <w:rPr>
                <w:szCs w:val="20"/>
              </w:rPr>
              <w:t>Distr.: General</w:t>
            </w:r>
          </w:p>
          <w:p w:rsidR="003F3175" w:rsidRDefault="003F3175" w:rsidP="003F3175">
            <w:pPr>
              <w:bidi w:val="0"/>
              <w:jc w:val="left"/>
              <w:rPr>
                <w:szCs w:val="20"/>
              </w:rPr>
            </w:pPr>
            <w:r>
              <w:rPr>
                <w:szCs w:val="20"/>
              </w:rPr>
              <w:t>18 April 2019</w:t>
            </w:r>
          </w:p>
          <w:p w:rsidR="003F3175" w:rsidRDefault="003F3175" w:rsidP="003F3175">
            <w:pPr>
              <w:bidi w:val="0"/>
              <w:jc w:val="left"/>
              <w:rPr>
                <w:szCs w:val="20"/>
              </w:rPr>
            </w:pPr>
            <w:r>
              <w:rPr>
                <w:szCs w:val="20"/>
              </w:rPr>
              <w:t>Arabic</w:t>
            </w:r>
          </w:p>
          <w:p w:rsidR="003F3175" w:rsidRPr="00CB6622" w:rsidRDefault="003F3175" w:rsidP="003F3175">
            <w:pPr>
              <w:bidi w:val="0"/>
              <w:jc w:val="left"/>
              <w:rPr>
                <w:szCs w:val="20"/>
              </w:rPr>
            </w:pPr>
            <w:r>
              <w:rPr>
                <w:szCs w:val="20"/>
              </w:rPr>
              <w:t>Original: English</w:t>
            </w:r>
          </w:p>
        </w:tc>
      </w:tr>
    </w:tbl>
    <w:p w:rsidR="003F3175" w:rsidRPr="00756C84" w:rsidRDefault="003F3175" w:rsidP="003F3175">
      <w:pPr>
        <w:spacing w:before="120" w:line="380" w:lineRule="exact"/>
        <w:rPr>
          <w:b/>
          <w:bCs/>
          <w:sz w:val="26"/>
          <w:szCs w:val="36"/>
          <w:rtl/>
        </w:rPr>
      </w:pPr>
      <w:r w:rsidRPr="00756C84">
        <w:rPr>
          <w:rFonts w:hint="cs"/>
          <w:b/>
          <w:bCs/>
          <w:sz w:val="26"/>
          <w:szCs w:val="36"/>
          <w:rtl/>
        </w:rPr>
        <w:t>اللجنة</w:t>
      </w:r>
      <w:r>
        <w:rPr>
          <w:rFonts w:hint="cs"/>
          <w:b/>
          <w:bCs/>
          <w:sz w:val="26"/>
          <w:szCs w:val="36"/>
          <w:rtl/>
        </w:rPr>
        <w:t xml:space="preserve"> </w:t>
      </w:r>
      <w:r w:rsidRPr="00756C84">
        <w:rPr>
          <w:rFonts w:hint="cs"/>
          <w:b/>
          <w:bCs/>
          <w:sz w:val="26"/>
          <w:szCs w:val="36"/>
          <w:rtl/>
        </w:rPr>
        <w:t>المعنية</w:t>
      </w:r>
      <w:r>
        <w:rPr>
          <w:rFonts w:hint="cs"/>
          <w:b/>
          <w:bCs/>
          <w:sz w:val="26"/>
          <w:szCs w:val="36"/>
          <w:rtl/>
        </w:rPr>
        <w:t xml:space="preserve"> </w:t>
      </w:r>
      <w:r w:rsidRPr="00756C84">
        <w:rPr>
          <w:rFonts w:hint="cs"/>
          <w:b/>
          <w:bCs/>
          <w:sz w:val="26"/>
          <w:szCs w:val="36"/>
          <w:rtl/>
        </w:rPr>
        <w:t>بحقوق</w:t>
      </w:r>
      <w:r>
        <w:rPr>
          <w:rFonts w:hint="cs"/>
          <w:b/>
          <w:bCs/>
          <w:sz w:val="26"/>
          <w:szCs w:val="36"/>
          <w:rtl/>
        </w:rPr>
        <w:t xml:space="preserve"> </w:t>
      </w:r>
      <w:r w:rsidRPr="00756C84">
        <w:rPr>
          <w:rFonts w:hint="cs"/>
          <w:b/>
          <w:bCs/>
          <w:sz w:val="26"/>
          <w:szCs w:val="36"/>
          <w:rtl/>
        </w:rPr>
        <w:t>الإنسان</w:t>
      </w:r>
    </w:p>
    <w:p w:rsidR="003F3175" w:rsidRPr="00EF61E8" w:rsidRDefault="003F3175" w:rsidP="003F3175">
      <w:pPr>
        <w:pStyle w:val="HChGA"/>
        <w:rPr>
          <w:rtl/>
          <w:lang w:bidi="ar-DZ"/>
        </w:rPr>
      </w:pPr>
      <w:r>
        <w:rPr>
          <w:rFonts w:hint="cs"/>
          <w:rtl/>
        </w:rPr>
        <w:tab/>
      </w:r>
      <w:r>
        <w:rPr>
          <w:rFonts w:hint="cs"/>
          <w:rtl/>
        </w:rPr>
        <w:tab/>
      </w:r>
      <w:r w:rsidRPr="001372D8">
        <w:rPr>
          <w:rFonts w:hint="cs"/>
          <w:rtl/>
        </w:rPr>
        <w:t>الملاحظات</w:t>
      </w:r>
      <w:r>
        <w:rPr>
          <w:rFonts w:hint="cs"/>
          <w:rtl/>
        </w:rPr>
        <w:t xml:space="preserve"> </w:t>
      </w:r>
      <w:r w:rsidRPr="001372D8">
        <w:rPr>
          <w:rFonts w:hint="cs"/>
          <w:rtl/>
        </w:rPr>
        <w:t>الختامية</w:t>
      </w:r>
      <w:r>
        <w:rPr>
          <w:rFonts w:hint="cs"/>
          <w:rtl/>
        </w:rPr>
        <w:t xml:space="preserve"> </w:t>
      </w:r>
      <w:r w:rsidRPr="008856D3">
        <w:rPr>
          <w:rtl/>
        </w:rPr>
        <w:t>بشأن</w:t>
      </w:r>
      <w:r>
        <w:rPr>
          <w:rtl/>
        </w:rPr>
        <w:t xml:space="preserve"> </w:t>
      </w:r>
      <w:r w:rsidRPr="008856D3">
        <w:rPr>
          <w:rtl/>
        </w:rPr>
        <w:t>التقرير</w:t>
      </w:r>
      <w:r>
        <w:rPr>
          <w:rtl/>
        </w:rPr>
        <w:t xml:space="preserve"> </w:t>
      </w:r>
      <w:r w:rsidRPr="008856D3">
        <w:rPr>
          <w:rtl/>
        </w:rPr>
        <w:t>الدوري</w:t>
      </w:r>
      <w:r>
        <w:rPr>
          <w:rFonts w:hint="cs"/>
          <w:rtl/>
        </w:rPr>
        <w:t xml:space="preserve"> الرابع لإستونيا</w:t>
      </w:r>
      <w:r w:rsidRPr="003F3175">
        <w:rPr>
          <w:rStyle w:val="FootnoteReference"/>
          <w:sz w:val="22"/>
          <w:szCs w:val="30"/>
          <w:vertAlign w:val="baseline"/>
          <w:rtl/>
          <w:lang w:bidi="ar-DZ"/>
        </w:rPr>
        <w:footnoteReference w:customMarkFollows="1" w:id="1"/>
        <w:t>*</w:t>
      </w:r>
    </w:p>
    <w:p w:rsidR="003F3175" w:rsidRDefault="003F3175" w:rsidP="003F3175">
      <w:pPr>
        <w:pStyle w:val="SingleTxtGA"/>
        <w:rPr>
          <w:rtl/>
          <w:lang w:bidi="ar-DZ"/>
        </w:rPr>
      </w:pPr>
      <w:r>
        <w:rPr>
          <w:rFonts w:hint="cs"/>
          <w:rtl/>
        </w:rPr>
        <w:t>1</w:t>
      </w:r>
      <w:r w:rsidRPr="003F3175">
        <w:rPr>
          <w:rFonts w:hint="cs"/>
          <w:spacing w:val="-10"/>
          <w:rtl/>
        </w:rPr>
        <w:t>-</w:t>
      </w:r>
      <w:r w:rsidRPr="003F3175">
        <w:rPr>
          <w:rFonts w:hint="cs"/>
          <w:spacing w:val="-10"/>
          <w:rtl/>
        </w:rPr>
        <w:tab/>
      </w:r>
      <w:r w:rsidRPr="003F3175">
        <w:rPr>
          <w:rFonts w:hint="cs"/>
          <w:rtl/>
        </w:rPr>
        <w:t>نظرت</w:t>
      </w:r>
      <w:r>
        <w:rPr>
          <w:rFonts w:hint="cs"/>
          <w:rtl/>
        </w:rPr>
        <w:t xml:space="preserve"> </w:t>
      </w:r>
      <w:r w:rsidRPr="003F3175">
        <w:rPr>
          <w:rFonts w:hint="cs"/>
          <w:rtl/>
        </w:rPr>
        <w:t>اللجنة</w:t>
      </w:r>
      <w:r>
        <w:rPr>
          <w:rFonts w:hint="cs"/>
          <w:rtl/>
        </w:rPr>
        <w:t xml:space="preserve"> </w:t>
      </w:r>
      <w:r w:rsidRPr="003F3175">
        <w:rPr>
          <w:rFonts w:hint="cs"/>
          <w:rtl/>
        </w:rPr>
        <w:t>في</w:t>
      </w:r>
      <w:r>
        <w:rPr>
          <w:rFonts w:hint="cs"/>
          <w:rtl/>
        </w:rPr>
        <w:t xml:space="preserve"> </w:t>
      </w:r>
      <w:r w:rsidRPr="003F3175">
        <w:rPr>
          <w:rFonts w:hint="cs"/>
          <w:rtl/>
        </w:rPr>
        <w:t>التقرير</w:t>
      </w:r>
      <w:r>
        <w:rPr>
          <w:rFonts w:hint="cs"/>
          <w:rtl/>
        </w:rPr>
        <w:t xml:space="preserve"> </w:t>
      </w:r>
      <w:r w:rsidRPr="003F3175">
        <w:rPr>
          <w:rFonts w:hint="cs"/>
          <w:rtl/>
        </w:rPr>
        <w:t>الدوري</w:t>
      </w:r>
      <w:r>
        <w:rPr>
          <w:rFonts w:hint="cs"/>
          <w:rtl/>
        </w:rPr>
        <w:t xml:space="preserve"> </w:t>
      </w:r>
      <w:r w:rsidRPr="003F3175">
        <w:rPr>
          <w:rFonts w:hint="cs"/>
          <w:rtl/>
        </w:rPr>
        <w:t>الرابع</w:t>
      </w:r>
      <w:r>
        <w:rPr>
          <w:rFonts w:hint="cs"/>
          <w:rtl/>
        </w:rPr>
        <w:t xml:space="preserve"> </w:t>
      </w:r>
      <w:r w:rsidRPr="003F3175">
        <w:rPr>
          <w:rFonts w:hint="cs"/>
          <w:rtl/>
        </w:rPr>
        <w:t>المقدم</w:t>
      </w:r>
      <w:r>
        <w:rPr>
          <w:rFonts w:hint="cs"/>
          <w:rtl/>
        </w:rPr>
        <w:t xml:space="preserve"> </w:t>
      </w:r>
      <w:r w:rsidRPr="003F3175">
        <w:rPr>
          <w:rFonts w:hint="cs"/>
          <w:rtl/>
        </w:rPr>
        <w:t>مـن</w:t>
      </w:r>
      <w:r>
        <w:rPr>
          <w:rFonts w:hint="cs"/>
          <w:rtl/>
        </w:rPr>
        <w:t xml:space="preserve"> </w:t>
      </w:r>
      <w:r w:rsidRPr="003F3175">
        <w:rPr>
          <w:rFonts w:hint="cs"/>
          <w:rtl/>
        </w:rPr>
        <w:t>إستونيا</w:t>
      </w:r>
      <w:r>
        <w:rPr>
          <w:rFonts w:hint="cs"/>
          <w:rtl/>
        </w:rPr>
        <w:t xml:space="preserve"> </w:t>
      </w:r>
      <w:r w:rsidRPr="003F3175">
        <w:rPr>
          <w:rFonts w:hint="cs"/>
          <w:rtl/>
        </w:rPr>
        <w:t>(</w:t>
      </w:r>
      <w:r w:rsidRPr="003F3175">
        <w:t>CCPR/C/EST/4</w:t>
      </w:r>
      <w:r w:rsidRPr="003F3175">
        <w:rPr>
          <w:rFonts w:hint="cs"/>
          <w:rtl/>
        </w:rPr>
        <w:t>)</w:t>
      </w:r>
      <w:r>
        <w:rPr>
          <w:rFonts w:hint="cs"/>
          <w:rtl/>
        </w:rPr>
        <w:t xml:space="preserve"> </w:t>
      </w:r>
      <w:r w:rsidRPr="003F3175">
        <w:rPr>
          <w:rFonts w:hint="cs"/>
          <w:rtl/>
        </w:rPr>
        <w:t>في</w:t>
      </w:r>
      <w:r>
        <w:rPr>
          <w:rFonts w:hint="cs"/>
          <w:rtl/>
        </w:rPr>
        <w:t xml:space="preserve"> </w:t>
      </w:r>
      <w:r w:rsidRPr="003F3175">
        <w:rPr>
          <w:rFonts w:hint="cs"/>
          <w:rtl/>
        </w:rPr>
        <w:t>جلستيها</w:t>
      </w:r>
      <w:r>
        <w:rPr>
          <w:rFonts w:hint="cs"/>
          <w:rtl/>
          <w:lang w:bidi="ar-DZ"/>
        </w:rPr>
        <w:t xml:space="preserve"> </w:t>
      </w:r>
      <w:r w:rsidRPr="003F3175">
        <w:rPr>
          <w:rFonts w:hint="cs"/>
          <w:rtl/>
          <w:lang w:bidi="ar-DZ"/>
        </w:rPr>
        <w:t>3570</w:t>
      </w:r>
      <w:r>
        <w:rPr>
          <w:rFonts w:hint="cs"/>
          <w:rtl/>
        </w:rPr>
        <w:t xml:space="preserve"> </w:t>
      </w:r>
      <w:r w:rsidRPr="003F3175">
        <w:rPr>
          <w:rFonts w:hint="cs"/>
          <w:rtl/>
        </w:rPr>
        <w:t>و3571</w:t>
      </w:r>
      <w:r>
        <w:rPr>
          <w:rFonts w:hint="cs"/>
          <w:rtl/>
        </w:rPr>
        <w:t xml:space="preserve"> </w:t>
      </w:r>
      <w:r w:rsidRPr="003F3175">
        <w:rPr>
          <w:rFonts w:hint="cs"/>
          <w:rtl/>
        </w:rPr>
        <w:t>(</w:t>
      </w:r>
      <w:r w:rsidRPr="003F3175">
        <w:rPr>
          <w:rFonts w:hint="cs"/>
          <w:spacing w:val="2"/>
          <w:rtl/>
        </w:rPr>
        <w:t>انظر</w:t>
      </w:r>
      <w:r>
        <w:rPr>
          <w:rFonts w:hint="cs"/>
          <w:spacing w:val="2"/>
          <w:rtl/>
        </w:rPr>
        <w:t xml:space="preserve"> </w:t>
      </w:r>
      <w:r w:rsidRPr="003F3175">
        <w:rPr>
          <w:spacing w:val="2"/>
        </w:rPr>
        <w:t>CCPR/C/SR.3570</w:t>
      </w:r>
      <w:r>
        <w:rPr>
          <w:rFonts w:hint="cs"/>
          <w:spacing w:val="2"/>
          <w:rtl/>
        </w:rPr>
        <w:t xml:space="preserve"> </w:t>
      </w:r>
      <w:r w:rsidRPr="003F3175">
        <w:rPr>
          <w:rFonts w:hint="cs"/>
          <w:spacing w:val="2"/>
          <w:rtl/>
        </w:rPr>
        <w:t>و</w:t>
      </w:r>
      <w:r w:rsidRPr="003F3175">
        <w:rPr>
          <w:spacing w:val="2"/>
        </w:rPr>
        <w:t>3571</w:t>
      </w:r>
      <w:r w:rsidRPr="003F3175">
        <w:rPr>
          <w:rFonts w:hint="cs"/>
          <w:spacing w:val="-8"/>
          <w:rtl/>
        </w:rPr>
        <w:t>)،</w:t>
      </w:r>
      <w:r>
        <w:rPr>
          <w:rFonts w:hint="cs"/>
          <w:spacing w:val="-8"/>
          <w:rtl/>
        </w:rPr>
        <w:t xml:space="preserve"> </w:t>
      </w:r>
      <w:r w:rsidRPr="003F3175">
        <w:rPr>
          <w:rFonts w:hint="cs"/>
          <w:spacing w:val="-8"/>
          <w:rtl/>
        </w:rPr>
        <w:t>المعقودتين</w:t>
      </w:r>
      <w:r>
        <w:rPr>
          <w:rFonts w:hint="cs"/>
          <w:spacing w:val="-8"/>
          <w:rtl/>
        </w:rPr>
        <w:t xml:space="preserve"> </w:t>
      </w:r>
      <w:r w:rsidRPr="003F3175">
        <w:rPr>
          <w:rFonts w:hint="cs"/>
          <w:spacing w:val="-8"/>
          <w:rtl/>
        </w:rPr>
        <w:t>في</w:t>
      </w:r>
      <w:r>
        <w:rPr>
          <w:rFonts w:hint="cs"/>
          <w:spacing w:val="-8"/>
          <w:rtl/>
        </w:rPr>
        <w:t xml:space="preserve"> </w:t>
      </w:r>
      <w:r w:rsidRPr="003F3175">
        <w:rPr>
          <w:rFonts w:hint="cs"/>
          <w:spacing w:val="-8"/>
          <w:rtl/>
        </w:rPr>
        <w:t>4</w:t>
      </w:r>
      <w:r>
        <w:rPr>
          <w:rFonts w:hint="cs"/>
          <w:spacing w:val="-8"/>
          <w:rtl/>
        </w:rPr>
        <w:t xml:space="preserve"> </w:t>
      </w:r>
      <w:r w:rsidRPr="003F3175">
        <w:rPr>
          <w:rFonts w:hint="cs"/>
          <w:spacing w:val="-8"/>
          <w:rtl/>
        </w:rPr>
        <w:t>و5</w:t>
      </w:r>
      <w:r>
        <w:rPr>
          <w:rFonts w:hint="cs"/>
          <w:spacing w:val="-8"/>
          <w:rtl/>
        </w:rPr>
        <w:t xml:space="preserve"> </w:t>
      </w:r>
      <w:r w:rsidRPr="003F3175">
        <w:rPr>
          <w:rFonts w:hint="cs"/>
          <w:spacing w:val="-8"/>
          <w:rtl/>
        </w:rPr>
        <w:t>آذار</w:t>
      </w:r>
      <w:proofErr w:type="gramStart"/>
      <w:r w:rsidRPr="003F3175">
        <w:rPr>
          <w:rFonts w:hint="cs"/>
          <w:spacing w:val="-8"/>
          <w:rtl/>
        </w:rPr>
        <w:t>/</w:t>
      </w:r>
      <w:r>
        <w:rPr>
          <w:rFonts w:hint="cs"/>
          <w:spacing w:val="-8"/>
          <w:rtl/>
        </w:rPr>
        <w:t xml:space="preserve">  </w:t>
      </w:r>
      <w:r w:rsidRPr="003F3175">
        <w:rPr>
          <w:rFonts w:hint="cs"/>
          <w:spacing w:val="-8"/>
          <w:rtl/>
        </w:rPr>
        <w:t>مارس</w:t>
      </w:r>
      <w:proofErr w:type="gramEnd"/>
      <w:r>
        <w:rPr>
          <w:rFonts w:hint="cs"/>
          <w:spacing w:val="-8"/>
          <w:rtl/>
        </w:rPr>
        <w:t xml:space="preserve"> </w:t>
      </w:r>
      <w:r w:rsidRPr="003F3175">
        <w:rPr>
          <w:rFonts w:hint="cs"/>
          <w:spacing w:val="-8"/>
          <w:rtl/>
        </w:rPr>
        <w:t>2019.</w:t>
      </w:r>
      <w:r>
        <w:rPr>
          <w:rFonts w:hint="cs"/>
          <w:spacing w:val="-4"/>
          <w:rtl/>
        </w:rPr>
        <w:t xml:space="preserve"> </w:t>
      </w:r>
      <w:r w:rsidRPr="003F3175">
        <w:rPr>
          <w:rFonts w:hint="cs"/>
          <w:spacing w:val="-4"/>
          <w:rtl/>
        </w:rPr>
        <w:t>واعتمدت</w:t>
      </w:r>
      <w:r>
        <w:rPr>
          <w:rFonts w:hint="cs"/>
          <w:spacing w:val="-4"/>
          <w:rtl/>
        </w:rPr>
        <w:t xml:space="preserve"> </w:t>
      </w:r>
      <w:r w:rsidRPr="003F3175">
        <w:rPr>
          <w:rFonts w:hint="cs"/>
          <w:spacing w:val="-4"/>
          <w:rtl/>
        </w:rPr>
        <w:t>هذه</w:t>
      </w:r>
      <w:r>
        <w:rPr>
          <w:rFonts w:hint="cs"/>
          <w:spacing w:val="-4"/>
          <w:rtl/>
        </w:rPr>
        <w:t xml:space="preserve"> </w:t>
      </w:r>
      <w:r w:rsidRPr="003F3175">
        <w:rPr>
          <w:rFonts w:hint="cs"/>
          <w:spacing w:val="-4"/>
          <w:rtl/>
        </w:rPr>
        <w:t>الملاحظات</w:t>
      </w:r>
      <w:r>
        <w:rPr>
          <w:rFonts w:hint="cs"/>
          <w:spacing w:val="-4"/>
          <w:rtl/>
        </w:rPr>
        <w:t xml:space="preserve"> </w:t>
      </w:r>
      <w:r w:rsidRPr="003F3175">
        <w:rPr>
          <w:rFonts w:hint="cs"/>
          <w:spacing w:val="-4"/>
          <w:rtl/>
        </w:rPr>
        <w:t>الختامية</w:t>
      </w:r>
      <w:r>
        <w:rPr>
          <w:rFonts w:hint="cs"/>
          <w:spacing w:val="-4"/>
          <w:rtl/>
        </w:rPr>
        <w:t xml:space="preserve"> </w:t>
      </w:r>
      <w:r w:rsidRPr="003F3175">
        <w:rPr>
          <w:rFonts w:hint="cs"/>
          <w:spacing w:val="-4"/>
          <w:rtl/>
        </w:rPr>
        <w:t>في</w:t>
      </w:r>
      <w:r>
        <w:rPr>
          <w:rFonts w:hint="cs"/>
          <w:spacing w:val="-4"/>
          <w:rtl/>
        </w:rPr>
        <w:t xml:space="preserve"> </w:t>
      </w:r>
      <w:r w:rsidRPr="003F3175">
        <w:rPr>
          <w:rFonts w:hint="cs"/>
          <w:spacing w:val="-4"/>
          <w:rtl/>
        </w:rPr>
        <w:t>جلستها</w:t>
      </w:r>
      <w:r>
        <w:rPr>
          <w:rFonts w:hint="cs"/>
          <w:spacing w:val="-4"/>
          <w:rtl/>
        </w:rPr>
        <w:t xml:space="preserve"> </w:t>
      </w:r>
      <w:r w:rsidRPr="003F3175">
        <w:rPr>
          <w:rFonts w:hint="cs"/>
          <w:spacing w:val="-4"/>
          <w:rtl/>
        </w:rPr>
        <w:t>3596،</w:t>
      </w:r>
      <w:r>
        <w:rPr>
          <w:rFonts w:hint="cs"/>
          <w:spacing w:val="-4"/>
          <w:rtl/>
        </w:rPr>
        <w:t xml:space="preserve"> </w:t>
      </w:r>
      <w:r w:rsidRPr="003F3175">
        <w:rPr>
          <w:rFonts w:hint="cs"/>
          <w:spacing w:val="-4"/>
          <w:rtl/>
        </w:rPr>
        <w:t>المعقودة</w:t>
      </w:r>
      <w:r>
        <w:rPr>
          <w:rFonts w:hint="cs"/>
          <w:spacing w:val="-4"/>
          <w:rtl/>
        </w:rPr>
        <w:t xml:space="preserve"> </w:t>
      </w:r>
      <w:r w:rsidRPr="003F3175">
        <w:rPr>
          <w:rFonts w:hint="cs"/>
          <w:spacing w:val="-4"/>
          <w:rtl/>
        </w:rPr>
        <w:t>في</w:t>
      </w:r>
      <w:r>
        <w:rPr>
          <w:rFonts w:hint="cs"/>
          <w:spacing w:val="-4"/>
          <w:rtl/>
        </w:rPr>
        <w:t xml:space="preserve"> </w:t>
      </w:r>
      <w:r w:rsidRPr="003F3175">
        <w:rPr>
          <w:rFonts w:hint="cs"/>
          <w:spacing w:val="-4"/>
          <w:rtl/>
        </w:rPr>
        <w:t>21</w:t>
      </w:r>
      <w:r>
        <w:rPr>
          <w:rFonts w:hint="cs"/>
          <w:spacing w:val="-4"/>
          <w:rtl/>
        </w:rPr>
        <w:t xml:space="preserve"> </w:t>
      </w:r>
      <w:r w:rsidRPr="003F3175">
        <w:rPr>
          <w:rFonts w:hint="cs"/>
          <w:spacing w:val="-4"/>
          <w:rtl/>
        </w:rPr>
        <w:t>آذار/</w:t>
      </w:r>
      <w:r w:rsidR="008C6ADA">
        <w:rPr>
          <w:rFonts w:hint="cs"/>
          <w:spacing w:val="-4"/>
          <w:rtl/>
        </w:rPr>
        <w:t xml:space="preserve"> </w:t>
      </w:r>
      <w:r w:rsidRPr="003F3175">
        <w:rPr>
          <w:rFonts w:hint="cs"/>
          <w:spacing w:val="-4"/>
          <w:rtl/>
        </w:rPr>
        <w:t>مارس</w:t>
      </w:r>
      <w:r>
        <w:rPr>
          <w:rFonts w:hint="cs"/>
          <w:spacing w:val="-4"/>
          <w:rtl/>
        </w:rPr>
        <w:t xml:space="preserve"> </w:t>
      </w:r>
      <w:r w:rsidRPr="003F3175">
        <w:rPr>
          <w:rFonts w:hint="cs"/>
          <w:spacing w:val="-4"/>
          <w:rtl/>
        </w:rPr>
        <w:t>2019.</w:t>
      </w:r>
    </w:p>
    <w:p w:rsidR="003F3175" w:rsidRPr="00EF61E8" w:rsidRDefault="003F3175" w:rsidP="003F3175">
      <w:pPr>
        <w:pStyle w:val="H1GA"/>
        <w:rPr>
          <w:rtl/>
        </w:rPr>
      </w:pPr>
      <w:r w:rsidRPr="00EF61E8">
        <w:rPr>
          <w:rFonts w:hint="cs"/>
          <w:rtl/>
        </w:rPr>
        <w:tab/>
        <w:t>ألف-</w:t>
      </w:r>
      <w:r w:rsidRPr="00EF61E8">
        <w:rPr>
          <w:rFonts w:hint="cs"/>
          <w:rtl/>
        </w:rPr>
        <w:tab/>
        <w:t>مقدمة</w:t>
      </w:r>
    </w:p>
    <w:p w:rsidR="003F3175" w:rsidRPr="00EF61E8" w:rsidRDefault="003F3175" w:rsidP="003F3175">
      <w:pPr>
        <w:pStyle w:val="SingleTxtGA"/>
        <w:rPr>
          <w:rtl/>
        </w:rPr>
      </w:pPr>
      <w:r w:rsidRPr="00EF61E8">
        <w:rPr>
          <w:rFonts w:hint="cs"/>
          <w:rtl/>
        </w:rPr>
        <w:t>2-</w:t>
      </w:r>
      <w:r w:rsidRPr="00EF61E8">
        <w:rPr>
          <w:rFonts w:hint="cs"/>
          <w:rtl/>
        </w:rPr>
        <w:tab/>
        <w:t>تعرب</w:t>
      </w:r>
      <w:r>
        <w:rPr>
          <w:rFonts w:hint="cs"/>
          <w:rtl/>
        </w:rPr>
        <w:t xml:space="preserve"> </w:t>
      </w:r>
      <w:r w:rsidRPr="00EF61E8">
        <w:rPr>
          <w:rFonts w:hint="cs"/>
          <w:rtl/>
        </w:rPr>
        <w:t>اللجنة</w:t>
      </w:r>
      <w:r>
        <w:rPr>
          <w:rFonts w:hint="cs"/>
          <w:rtl/>
        </w:rPr>
        <w:t xml:space="preserve"> </w:t>
      </w:r>
      <w:r w:rsidRPr="00EF61E8">
        <w:rPr>
          <w:rFonts w:hint="cs"/>
          <w:rtl/>
        </w:rPr>
        <w:t>عن</w:t>
      </w:r>
      <w:r>
        <w:rPr>
          <w:rFonts w:hint="cs"/>
          <w:rtl/>
        </w:rPr>
        <w:t xml:space="preserve"> </w:t>
      </w:r>
      <w:r w:rsidRPr="00EF61E8">
        <w:rPr>
          <w:rFonts w:hint="cs"/>
          <w:rtl/>
        </w:rPr>
        <w:t>امتنانها</w:t>
      </w:r>
      <w:r>
        <w:rPr>
          <w:rFonts w:hint="cs"/>
          <w:rtl/>
        </w:rPr>
        <w:t xml:space="preserve"> </w:t>
      </w:r>
      <w:r w:rsidRPr="00EF61E8">
        <w:rPr>
          <w:rFonts w:hint="cs"/>
          <w:rtl/>
        </w:rPr>
        <w:t>للدولة</w:t>
      </w:r>
      <w:r>
        <w:rPr>
          <w:rFonts w:hint="cs"/>
          <w:rtl/>
        </w:rPr>
        <w:t xml:space="preserve"> </w:t>
      </w:r>
      <w:r w:rsidRPr="00EF61E8">
        <w:rPr>
          <w:rFonts w:hint="cs"/>
          <w:rtl/>
        </w:rPr>
        <w:t>الطرف</w:t>
      </w:r>
      <w:r>
        <w:rPr>
          <w:rFonts w:hint="cs"/>
          <w:rtl/>
        </w:rPr>
        <w:t xml:space="preserve"> لقبولها الإ</w:t>
      </w:r>
      <w:r w:rsidRPr="00B10BFB">
        <w:rPr>
          <w:rtl/>
        </w:rPr>
        <w:t>جراء</w:t>
      </w:r>
      <w:r>
        <w:rPr>
          <w:rtl/>
        </w:rPr>
        <w:t xml:space="preserve"> </w:t>
      </w:r>
      <w:r>
        <w:rPr>
          <w:rFonts w:hint="cs"/>
          <w:rtl/>
        </w:rPr>
        <w:t>ال</w:t>
      </w:r>
      <w:r w:rsidRPr="00B10BFB">
        <w:rPr>
          <w:rtl/>
        </w:rPr>
        <w:t>مبسط</w:t>
      </w:r>
      <w:r>
        <w:rPr>
          <w:rtl/>
        </w:rPr>
        <w:t xml:space="preserve"> </w:t>
      </w:r>
      <w:r w:rsidRPr="00B10BFB">
        <w:rPr>
          <w:rtl/>
        </w:rPr>
        <w:t>لتقديم</w:t>
      </w:r>
      <w:r>
        <w:rPr>
          <w:rtl/>
        </w:rPr>
        <w:t xml:space="preserve"> </w:t>
      </w:r>
      <w:r w:rsidRPr="00B10BFB">
        <w:rPr>
          <w:rtl/>
        </w:rPr>
        <w:t>التقارير</w:t>
      </w:r>
      <w:r>
        <w:rPr>
          <w:rFonts w:hint="cs"/>
          <w:rtl/>
        </w:rPr>
        <w:t xml:space="preserve"> ولتقديم </w:t>
      </w:r>
      <w:r w:rsidRPr="00B10BFB">
        <w:rPr>
          <w:rFonts w:hint="cs"/>
          <w:rtl/>
        </w:rPr>
        <w:t>تقرير</w:t>
      </w:r>
      <w:r>
        <w:rPr>
          <w:rFonts w:hint="cs"/>
          <w:rtl/>
        </w:rPr>
        <w:t xml:space="preserve">ها </w:t>
      </w:r>
      <w:r w:rsidRPr="00B10BFB">
        <w:rPr>
          <w:rFonts w:hint="cs"/>
          <w:rtl/>
        </w:rPr>
        <w:t>الدوري</w:t>
      </w:r>
      <w:r>
        <w:rPr>
          <w:rFonts w:hint="cs"/>
          <w:rtl/>
        </w:rPr>
        <w:t xml:space="preserve"> </w:t>
      </w:r>
      <w:r w:rsidRPr="00B10BFB">
        <w:rPr>
          <w:rFonts w:hint="cs"/>
          <w:rtl/>
        </w:rPr>
        <w:t>الرابع</w:t>
      </w:r>
      <w:r>
        <w:rPr>
          <w:rFonts w:hint="cs"/>
          <w:rtl/>
        </w:rPr>
        <w:t xml:space="preserve"> رداً على قائمة </w:t>
      </w:r>
      <w:r w:rsidRPr="00962503">
        <w:rPr>
          <w:rtl/>
        </w:rPr>
        <w:t>المسائل</w:t>
      </w:r>
      <w:r>
        <w:rPr>
          <w:rtl/>
        </w:rPr>
        <w:t xml:space="preserve"> </w:t>
      </w:r>
      <w:r w:rsidRPr="00962503">
        <w:rPr>
          <w:rtl/>
        </w:rPr>
        <w:t>السابقة</w:t>
      </w:r>
      <w:r>
        <w:rPr>
          <w:rtl/>
        </w:rPr>
        <w:t xml:space="preserve"> </w:t>
      </w:r>
      <w:r w:rsidRPr="00962503">
        <w:rPr>
          <w:rtl/>
        </w:rPr>
        <w:t>لتقديم</w:t>
      </w:r>
      <w:r>
        <w:rPr>
          <w:rtl/>
        </w:rPr>
        <w:t xml:space="preserve"> </w:t>
      </w:r>
      <w:r w:rsidRPr="00962503">
        <w:rPr>
          <w:rtl/>
        </w:rPr>
        <w:t>التقارير</w:t>
      </w:r>
      <w:r>
        <w:rPr>
          <w:rtl/>
        </w:rPr>
        <w:t xml:space="preserve"> </w:t>
      </w:r>
      <w:r w:rsidRPr="00962503">
        <w:rPr>
          <w:rtl/>
        </w:rPr>
        <w:t>التي</w:t>
      </w:r>
      <w:r>
        <w:rPr>
          <w:rtl/>
        </w:rPr>
        <w:t xml:space="preserve"> </w:t>
      </w:r>
      <w:r w:rsidRPr="00962503">
        <w:rPr>
          <w:rtl/>
        </w:rPr>
        <w:t>أُعدت</w:t>
      </w:r>
      <w:r>
        <w:rPr>
          <w:rtl/>
        </w:rPr>
        <w:t xml:space="preserve"> </w:t>
      </w:r>
      <w:r w:rsidRPr="00962503">
        <w:rPr>
          <w:rtl/>
        </w:rPr>
        <w:t>في</w:t>
      </w:r>
      <w:r>
        <w:rPr>
          <w:rtl/>
        </w:rPr>
        <w:t xml:space="preserve"> </w:t>
      </w:r>
      <w:r w:rsidRPr="00962503">
        <w:rPr>
          <w:rtl/>
        </w:rPr>
        <w:t>إطار</w:t>
      </w:r>
      <w:r>
        <w:rPr>
          <w:rtl/>
        </w:rPr>
        <w:t xml:space="preserve"> </w:t>
      </w:r>
      <w:r w:rsidRPr="00962503">
        <w:rPr>
          <w:rtl/>
        </w:rPr>
        <w:t>هذا</w:t>
      </w:r>
      <w:r>
        <w:rPr>
          <w:rtl/>
        </w:rPr>
        <w:t xml:space="preserve"> </w:t>
      </w:r>
      <w:r w:rsidRPr="00962503">
        <w:rPr>
          <w:rtl/>
        </w:rPr>
        <w:t>الإجراء</w:t>
      </w:r>
      <w:r>
        <w:rPr>
          <w:rFonts w:hint="cs"/>
          <w:rtl/>
        </w:rPr>
        <w:t xml:space="preserve"> (</w:t>
      </w:r>
      <w:r w:rsidRPr="00962503">
        <w:t>CCPR/C/EST/QPR/4</w:t>
      </w:r>
      <w:r>
        <w:rPr>
          <w:rFonts w:hint="cs"/>
          <w:rtl/>
        </w:rPr>
        <w:t>).</w:t>
      </w:r>
      <w:r>
        <w:rPr>
          <w:rtl/>
        </w:rPr>
        <w:t xml:space="preserve"> </w:t>
      </w:r>
      <w:r w:rsidRPr="00962503">
        <w:rPr>
          <w:rtl/>
        </w:rPr>
        <w:t>وتعرب</w:t>
      </w:r>
      <w:r>
        <w:rPr>
          <w:rtl/>
        </w:rPr>
        <w:t xml:space="preserve"> </w:t>
      </w:r>
      <w:r w:rsidRPr="00962503">
        <w:rPr>
          <w:rtl/>
        </w:rPr>
        <w:t>اللجنة</w:t>
      </w:r>
      <w:r>
        <w:rPr>
          <w:rtl/>
        </w:rPr>
        <w:t xml:space="preserve"> </w:t>
      </w:r>
      <w:r w:rsidRPr="00962503">
        <w:rPr>
          <w:rtl/>
        </w:rPr>
        <w:t>عن</w:t>
      </w:r>
      <w:r>
        <w:rPr>
          <w:rtl/>
        </w:rPr>
        <w:t xml:space="preserve"> </w:t>
      </w:r>
      <w:r w:rsidRPr="00962503">
        <w:rPr>
          <w:rtl/>
        </w:rPr>
        <w:t>تقديرها</w:t>
      </w:r>
      <w:r>
        <w:rPr>
          <w:rtl/>
        </w:rPr>
        <w:t xml:space="preserve"> </w:t>
      </w:r>
      <w:r w:rsidRPr="00962503">
        <w:rPr>
          <w:rtl/>
        </w:rPr>
        <w:t>للفرصة</w:t>
      </w:r>
      <w:r>
        <w:rPr>
          <w:rtl/>
        </w:rPr>
        <w:t xml:space="preserve"> </w:t>
      </w:r>
      <w:r w:rsidRPr="00962503">
        <w:rPr>
          <w:rtl/>
        </w:rPr>
        <w:t>المتاحة</w:t>
      </w:r>
      <w:r>
        <w:rPr>
          <w:rtl/>
        </w:rPr>
        <w:t xml:space="preserve"> </w:t>
      </w:r>
      <w:r w:rsidRPr="00962503">
        <w:rPr>
          <w:rtl/>
        </w:rPr>
        <w:t>لاستئناف</w:t>
      </w:r>
      <w:r>
        <w:rPr>
          <w:rtl/>
        </w:rPr>
        <w:t xml:space="preserve"> </w:t>
      </w:r>
      <w:r w:rsidRPr="00962503">
        <w:rPr>
          <w:rtl/>
        </w:rPr>
        <w:t>حوارها</w:t>
      </w:r>
      <w:r>
        <w:rPr>
          <w:rtl/>
        </w:rPr>
        <w:t xml:space="preserve"> </w:t>
      </w:r>
      <w:r w:rsidRPr="00962503">
        <w:rPr>
          <w:rtl/>
        </w:rPr>
        <w:t>البنّاء</w:t>
      </w:r>
      <w:r>
        <w:rPr>
          <w:rtl/>
        </w:rPr>
        <w:t xml:space="preserve"> </w:t>
      </w:r>
      <w:r w:rsidRPr="00962503">
        <w:rPr>
          <w:rtl/>
        </w:rPr>
        <w:t>مع</w:t>
      </w:r>
      <w:r>
        <w:rPr>
          <w:rtl/>
        </w:rPr>
        <w:t xml:space="preserve"> </w:t>
      </w:r>
      <w:r w:rsidRPr="00962503">
        <w:rPr>
          <w:rtl/>
        </w:rPr>
        <w:t>وفد</w:t>
      </w:r>
      <w:r>
        <w:rPr>
          <w:rtl/>
        </w:rPr>
        <w:t xml:space="preserve"> </w:t>
      </w:r>
      <w:r w:rsidRPr="00962503">
        <w:rPr>
          <w:rtl/>
        </w:rPr>
        <w:t>الدولة</w:t>
      </w:r>
      <w:r>
        <w:rPr>
          <w:rtl/>
        </w:rPr>
        <w:t xml:space="preserve"> </w:t>
      </w:r>
      <w:r w:rsidRPr="00962503">
        <w:rPr>
          <w:rtl/>
        </w:rPr>
        <w:t>الطرف</w:t>
      </w:r>
      <w:r>
        <w:rPr>
          <w:rtl/>
        </w:rPr>
        <w:t xml:space="preserve"> </w:t>
      </w:r>
      <w:r w:rsidRPr="00962503">
        <w:rPr>
          <w:rtl/>
        </w:rPr>
        <w:t>بشأن</w:t>
      </w:r>
      <w:r>
        <w:rPr>
          <w:rtl/>
        </w:rPr>
        <w:t xml:space="preserve"> </w:t>
      </w:r>
      <w:r w:rsidRPr="00962503">
        <w:rPr>
          <w:rtl/>
        </w:rPr>
        <w:t>التدابير</w:t>
      </w:r>
      <w:r>
        <w:rPr>
          <w:rtl/>
        </w:rPr>
        <w:t xml:space="preserve"> </w:t>
      </w:r>
      <w:r>
        <w:rPr>
          <w:rFonts w:hint="cs"/>
          <w:rtl/>
        </w:rPr>
        <w:t>المتخذة</w:t>
      </w:r>
      <w:r>
        <w:rPr>
          <w:rtl/>
        </w:rPr>
        <w:t xml:space="preserve"> </w:t>
      </w:r>
      <w:r w:rsidRPr="00962503">
        <w:rPr>
          <w:rtl/>
        </w:rPr>
        <w:t>خلال</w:t>
      </w:r>
      <w:r>
        <w:rPr>
          <w:rtl/>
        </w:rPr>
        <w:t xml:space="preserve"> </w:t>
      </w:r>
      <w:r w:rsidRPr="00962503">
        <w:rPr>
          <w:rtl/>
        </w:rPr>
        <w:t>الفترة</w:t>
      </w:r>
      <w:r>
        <w:rPr>
          <w:rtl/>
        </w:rPr>
        <w:t xml:space="preserve"> </w:t>
      </w:r>
      <w:r w:rsidRPr="00962503">
        <w:rPr>
          <w:rtl/>
        </w:rPr>
        <w:t>المشمولة</w:t>
      </w:r>
      <w:r>
        <w:rPr>
          <w:rtl/>
        </w:rPr>
        <w:t xml:space="preserve"> </w:t>
      </w:r>
      <w:r w:rsidRPr="00962503">
        <w:rPr>
          <w:rtl/>
        </w:rPr>
        <w:t>بالتقرير</w:t>
      </w:r>
      <w:r>
        <w:rPr>
          <w:rtl/>
        </w:rPr>
        <w:t xml:space="preserve"> </w:t>
      </w:r>
      <w:r w:rsidRPr="00962503">
        <w:rPr>
          <w:rtl/>
        </w:rPr>
        <w:t>من</w:t>
      </w:r>
      <w:r>
        <w:rPr>
          <w:rtl/>
        </w:rPr>
        <w:t xml:space="preserve"> </w:t>
      </w:r>
      <w:r w:rsidRPr="00962503">
        <w:rPr>
          <w:rtl/>
        </w:rPr>
        <w:t>أجل</w:t>
      </w:r>
      <w:r>
        <w:rPr>
          <w:rtl/>
        </w:rPr>
        <w:t xml:space="preserve"> </w:t>
      </w:r>
      <w:r w:rsidRPr="00962503">
        <w:rPr>
          <w:rtl/>
        </w:rPr>
        <w:t>تنفيذ</w:t>
      </w:r>
      <w:r>
        <w:rPr>
          <w:rtl/>
        </w:rPr>
        <w:t xml:space="preserve"> </w:t>
      </w:r>
      <w:r w:rsidRPr="00962503">
        <w:rPr>
          <w:rtl/>
        </w:rPr>
        <w:t>أحكام</w:t>
      </w:r>
      <w:r>
        <w:rPr>
          <w:rtl/>
        </w:rPr>
        <w:t xml:space="preserve"> </w:t>
      </w:r>
      <w:r w:rsidRPr="00962503">
        <w:rPr>
          <w:rtl/>
        </w:rPr>
        <w:t>العهد.</w:t>
      </w:r>
      <w:r>
        <w:rPr>
          <w:rFonts w:hint="cs"/>
          <w:rtl/>
        </w:rPr>
        <w:t xml:space="preserve"> </w:t>
      </w:r>
      <w:r w:rsidRPr="00962503">
        <w:rPr>
          <w:rtl/>
        </w:rPr>
        <w:t>وتشكر</w:t>
      </w:r>
      <w:r>
        <w:rPr>
          <w:rtl/>
        </w:rPr>
        <w:t xml:space="preserve"> </w:t>
      </w:r>
      <w:r w:rsidRPr="00962503">
        <w:rPr>
          <w:rtl/>
        </w:rPr>
        <w:t>اللجنة</w:t>
      </w:r>
      <w:r>
        <w:rPr>
          <w:rtl/>
        </w:rPr>
        <w:t xml:space="preserve"> </w:t>
      </w:r>
      <w:r w:rsidRPr="00962503">
        <w:rPr>
          <w:rtl/>
        </w:rPr>
        <w:t>الدولة</w:t>
      </w:r>
      <w:r>
        <w:rPr>
          <w:rtl/>
        </w:rPr>
        <w:t xml:space="preserve"> </w:t>
      </w:r>
      <w:r w:rsidRPr="00962503">
        <w:rPr>
          <w:rtl/>
        </w:rPr>
        <w:t>الطرف</w:t>
      </w:r>
      <w:r>
        <w:rPr>
          <w:rtl/>
        </w:rPr>
        <w:t xml:space="preserve"> </w:t>
      </w:r>
      <w:r w:rsidRPr="00962503">
        <w:rPr>
          <w:rtl/>
        </w:rPr>
        <w:t>على</w:t>
      </w:r>
      <w:r>
        <w:rPr>
          <w:rtl/>
        </w:rPr>
        <w:t xml:space="preserve"> </w:t>
      </w:r>
      <w:r w:rsidRPr="00962503">
        <w:rPr>
          <w:rtl/>
        </w:rPr>
        <w:t>الردود</w:t>
      </w:r>
      <w:r>
        <w:rPr>
          <w:rtl/>
        </w:rPr>
        <w:t xml:space="preserve"> </w:t>
      </w:r>
      <w:r w:rsidRPr="00962503">
        <w:rPr>
          <w:rtl/>
        </w:rPr>
        <w:t>التي</w:t>
      </w:r>
      <w:r>
        <w:rPr>
          <w:rtl/>
        </w:rPr>
        <w:t xml:space="preserve"> </w:t>
      </w:r>
      <w:r w:rsidRPr="00962503">
        <w:rPr>
          <w:rtl/>
        </w:rPr>
        <w:t>قدمها</w:t>
      </w:r>
      <w:r>
        <w:rPr>
          <w:rtl/>
        </w:rPr>
        <w:t xml:space="preserve"> </w:t>
      </w:r>
      <w:r w:rsidRPr="00962503">
        <w:rPr>
          <w:rtl/>
        </w:rPr>
        <w:t>الوفد</w:t>
      </w:r>
      <w:r>
        <w:rPr>
          <w:rtl/>
        </w:rPr>
        <w:t xml:space="preserve"> </w:t>
      </w:r>
      <w:r w:rsidRPr="00962503">
        <w:rPr>
          <w:rtl/>
        </w:rPr>
        <w:t>شفوياً</w:t>
      </w:r>
      <w:r>
        <w:rPr>
          <w:rtl/>
        </w:rPr>
        <w:t xml:space="preserve"> </w:t>
      </w:r>
      <w:r w:rsidRPr="00962503">
        <w:rPr>
          <w:rtl/>
        </w:rPr>
        <w:t>وعلى</w:t>
      </w:r>
      <w:r>
        <w:rPr>
          <w:rtl/>
        </w:rPr>
        <w:t xml:space="preserve"> </w:t>
      </w:r>
      <w:r w:rsidRPr="00962503">
        <w:rPr>
          <w:rtl/>
        </w:rPr>
        <w:t>المعلو</w:t>
      </w:r>
      <w:r>
        <w:rPr>
          <w:rtl/>
        </w:rPr>
        <w:t>مات التكميلية المقدمة إليها خط</w:t>
      </w:r>
      <w:r>
        <w:rPr>
          <w:rFonts w:hint="cs"/>
          <w:rtl/>
        </w:rPr>
        <w:t>ي</w:t>
      </w:r>
      <w:r w:rsidRPr="00962503">
        <w:rPr>
          <w:rtl/>
        </w:rPr>
        <w:t>اً</w:t>
      </w:r>
      <w:r>
        <w:rPr>
          <w:rFonts w:hint="cs"/>
          <w:rtl/>
        </w:rPr>
        <w:t>.</w:t>
      </w:r>
    </w:p>
    <w:p w:rsidR="003F3175" w:rsidRPr="00EF61E8" w:rsidRDefault="003F3175" w:rsidP="003F3175">
      <w:pPr>
        <w:pStyle w:val="H1GA"/>
        <w:rPr>
          <w:rtl/>
        </w:rPr>
      </w:pPr>
      <w:r w:rsidRPr="00EF61E8">
        <w:rPr>
          <w:rFonts w:hint="cs"/>
          <w:rtl/>
        </w:rPr>
        <w:tab/>
        <w:t>باء</w:t>
      </w:r>
      <w:r>
        <w:rPr>
          <w:rFonts w:hint="cs"/>
          <w:rtl/>
        </w:rPr>
        <w:t xml:space="preserve"> </w:t>
      </w:r>
      <w:r w:rsidRPr="00EF61E8">
        <w:rPr>
          <w:rFonts w:hint="cs"/>
          <w:rtl/>
        </w:rPr>
        <w:t>-</w:t>
      </w:r>
      <w:r w:rsidRPr="00EF61E8">
        <w:rPr>
          <w:rFonts w:hint="cs"/>
          <w:rtl/>
        </w:rPr>
        <w:tab/>
        <w:t>الجوانب</w:t>
      </w:r>
      <w:r>
        <w:rPr>
          <w:rFonts w:hint="cs"/>
          <w:rtl/>
        </w:rPr>
        <w:t xml:space="preserve"> </w:t>
      </w:r>
      <w:r w:rsidRPr="00EF61E8">
        <w:rPr>
          <w:rFonts w:hint="cs"/>
          <w:rtl/>
        </w:rPr>
        <w:t>الإيجابية</w:t>
      </w:r>
    </w:p>
    <w:p w:rsidR="003F3175" w:rsidRDefault="003F3175" w:rsidP="003F3175">
      <w:pPr>
        <w:pStyle w:val="SingleTxtGA"/>
        <w:rPr>
          <w:rtl/>
        </w:rPr>
      </w:pPr>
      <w:r>
        <w:rPr>
          <w:rFonts w:hint="cs"/>
          <w:rtl/>
        </w:rPr>
        <w:t>3</w:t>
      </w:r>
      <w:r w:rsidRPr="003A7BC5">
        <w:rPr>
          <w:rFonts w:hint="cs"/>
          <w:spacing w:val="-4"/>
          <w:rtl/>
        </w:rPr>
        <w:t>-</w:t>
      </w:r>
      <w:r w:rsidRPr="003A7BC5">
        <w:rPr>
          <w:rFonts w:hint="cs"/>
          <w:spacing w:val="-4"/>
          <w:rtl/>
        </w:rPr>
        <w:tab/>
      </w:r>
      <w:r w:rsidRPr="003A7BC5">
        <w:rPr>
          <w:spacing w:val="-4"/>
          <w:rtl/>
        </w:rPr>
        <w:t>ترحب اللجنة بالتدابير التشريعية والمؤسسية</w:t>
      </w:r>
      <w:r w:rsidRPr="003A7BC5">
        <w:rPr>
          <w:rFonts w:hint="cs"/>
          <w:spacing w:val="-4"/>
          <w:rtl/>
        </w:rPr>
        <w:t xml:space="preserve"> والسياساتية</w:t>
      </w:r>
      <w:r w:rsidRPr="003A7BC5">
        <w:rPr>
          <w:spacing w:val="-4"/>
          <w:rtl/>
        </w:rPr>
        <w:t xml:space="preserve"> التالية التي اتخذتها الدولة الطرف:</w:t>
      </w:r>
    </w:p>
    <w:p w:rsidR="003F3175" w:rsidRPr="00471C88" w:rsidRDefault="003F3175" w:rsidP="003F3175">
      <w:pPr>
        <w:pStyle w:val="SingleTxtGA"/>
        <w:rPr>
          <w:rtl/>
          <w:lang w:eastAsia="zh-TW"/>
        </w:rPr>
      </w:pPr>
      <w:r>
        <w:rPr>
          <w:rtl/>
          <w:lang w:eastAsia="zh-TW"/>
        </w:rPr>
        <w:tab/>
      </w:r>
      <w:r>
        <w:rPr>
          <w:rFonts w:hint="cs"/>
          <w:rtl/>
          <w:lang w:eastAsia="zh-TW"/>
        </w:rPr>
        <w:t>(أ)</w:t>
      </w:r>
      <w:r>
        <w:rPr>
          <w:rtl/>
          <w:lang w:eastAsia="zh-TW"/>
        </w:rPr>
        <w:tab/>
        <w:t>التعديلات التي أُدخلت على قانون دعم الضحايا في ١ كانون الثاني/</w:t>
      </w:r>
      <w:r w:rsidR="003A7BC5">
        <w:rPr>
          <w:rFonts w:hint="cs"/>
          <w:rtl/>
          <w:lang w:eastAsia="zh-TW"/>
        </w:rPr>
        <w:t xml:space="preserve">     </w:t>
      </w:r>
      <w:r>
        <w:rPr>
          <w:rtl/>
          <w:lang w:eastAsia="zh-TW"/>
        </w:rPr>
        <w:t>يناير ٢٠١٧؛</w:t>
      </w:r>
    </w:p>
    <w:p w:rsidR="003F3175" w:rsidRPr="00471C88" w:rsidRDefault="003F3175" w:rsidP="003F3175">
      <w:pPr>
        <w:pStyle w:val="SingleTxtGA"/>
        <w:rPr>
          <w:rtl/>
          <w:lang w:eastAsia="zh-TW"/>
        </w:rPr>
      </w:pPr>
      <w:r>
        <w:rPr>
          <w:rtl/>
          <w:lang w:eastAsia="zh-TW"/>
        </w:rPr>
        <w:tab/>
        <w:t>(ب)</w:t>
      </w:r>
      <w:r>
        <w:rPr>
          <w:rtl/>
          <w:lang w:eastAsia="zh-TW"/>
        </w:rPr>
        <w:tab/>
        <w:t>اعتماد خطة العمل الوطنية لتنفيذ خطط الاتحاد الأوروبي</w:t>
      </w:r>
      <w:r>
        <w:rPr>
          <w:rtl/>
        </w:rPr>
        <w:t xml:space="preserve"> ل</w:t>
      </w:r>
      <w:r>
        <w:rPr>
          <w:rtl/>
          <w:lang w:eastAsia="zh-TW" w:bidi="ar-DZ"/>
        </w:rPr>
        <w:t>لنقل و</w:t>
      </w:r>
      <w:r w:rsidRPr="00946188">
        <w:rPr>
          <w:rtl/>
          <w:lang w:eastAsia="zh-TW"/>
        </w:rPr>
        <w:t>إعادة</w:t>
      </w:r>
      <w:r>
        <w:rPr>
          <w:rtl/>
          <w:lang w:eastAsia="zh-TW"/>
        </w:rPr>
        <w:t xml:space="preserve"> </w:t>
      </w:r>
      <w:r w:rsidRPr="00946188">
        <w:rPr>
          <w:rtl/>
          <w:lang w:eastAsia="zh-TW"/>
        </w:rPr>
        <w:t>التوطين</w:t>
      </w:r>
      <w:r>
        <w:rPr>
          <w:rtl/>
          <w:lang w:eastAsia="zh-TW"/>
        </w:rPr>
        <w:t xml:space="preserve"> </w:t>
      </w:r>
      <w:r w:rsidRPr="00946188">
        <w:rPr>
          <w:rtl/>
          <w:lang w:eastAsia="zh-TW"/>
        </w:rPr>
        <w:t>في</w:t>
      </w:r>
      <w:r>
        <w:rPr>
          <w:rtl/>
          <w:lang w:eastAsia="zh-TW"/>
        </w:rPr>
        <w:t xml:space="preserve"> </w:t>
      </w:r>
      <w:r w:rsidRPr="00946188">
        <w:rPr>
          <w:rtl/>
          <w:lang w:eastAsia="zh-TW"/>
        </w:rPr>
        <w:t>حالات</w:t>
      </w:r>
      <w:r>
        <w:rPr>
          <w:rtl/>
          <w:lang w:eastAsia="zh-TW"/>
        </w:rPr>
        <w:t xml:space="preserve"> </w:t>
      </w:r>
      <w:r w:rsidRPr="00946188">
        <w:rPr>
          <w:rtl/>
          <w:lang w:eastAsia="zh-TW"/>
        </w:rPr>
        <w:t>الطوارئ</w:t>
      </w:r>
      <w:r>
        <w:rPr>
          <w:rtl/>
          <w:lang w:eastAsia="zh-TW"/>
        </w:rPr>
        <w:t xml:space="preserve">؛ </w:t>
      </w:r>
    </w:p>
    <w:p w:rsidR="003F3175" w:rsidRPr="00471C88" w:rsidRDefault="003F3175" w:rsidP="003F3175">
      <w:pPr>
        <w:pStyle w:val="SingleTxtGA"/>
        <w:rPr>
          <w:rtl/>
          <w:lang w:eastAsia="zh-TW"/>
        </w:rPr>
      </w:pPr>
      <w:r>
        <w:rPr>
          <w:rtl/>
          <w:lang w:eastAsia="zh-TW"/>
        </w:rPr>
        <w:tab/>
        <w:t>(ج</w:t>
      </w:r>
      <w:r>
        <w:rPr>
          <w:rFonts w:hint="cs"/>
          <w:rtl/>
          <w:lang w:eastAsia="zh-TW"/>
        </w:rPr>
        <w:t>)</w:t>
      </w:r>
      <w:r>
        <w:rPr>
          <w:rtl/>
          <w:lang w:eastAsia="zh-TW"/>
        </w:rPr>
        <w:tab/>
        <w:t>اعتماد خطة تنمية الرعاية الاجتماعية للفترة ٢٠١٦</w:t>
      </w:r>
      <w:r w:rsidR="005775BD">
        <w:rPr>
          <w:rFonts w:hint="cs"/>
          <w:rtl/>
          <w:lang w:eastAsia="zh-TW"/>
        </w:rPr>
        <w:t>-</w:t>
      </w:r>
      <w:r>
        <w:rPr>
          <w:rtl/>
          <w:lang w:eastAsia="zh-TW"/>
        </w:rPr>
        <w:t xml:space="preserve">٢٠٢٣. </w:t>
      </w:r>
    </w:p>
    <w:p w:rsidR="003F3175" w:rsidRPr="00471C88" w:rsidRDefault="003F3175" w:rsidP="006815D7">
      <w:pPr>
        <w:pStyle w:val="SingleTxtGA"/>
        <w:pageBreakBefore/>
        <w:rPr>
          <w:rtl/>
          <w:lang w:eastAsia="zh-TW"/>
        </w:rPr>
      </w:pPr>
      <w:r>
        <w:rPr>
          <w:rtl/>
          <w:lang w:eastAsia="zh-TW"/>
        </w:rPr>
        <w:lastRenderedPageBreak/>
        <w:t>٤</w:t>
      </w:r>
      <w:r w:rsidRPr="003A7BC5">
        <w:rPr>
          <w:rFonts w:hint="cs"/>
          <w:spacing w:val="-4"/>
          <w:rtl/>
          <w:lang w:eastAsia="zh-TW"/>
        </w:rPr>
        <w:t>-</w:t>
      </w:r>
      <w:r w:rsidRPr="003A7BC5">
        <w:rPr>
          <w:spacing w:val="-4"/>
          <w:rtl/>
          <w:lang w:eastAsia="zh-TW"/>
        </w:rPr>
        <w:tab/>
        <w:t>وترحب اللجنة بتصديق الدولة الطرف على الصكوك الدولية التالية أو بانضمامها إليها:</w:t>
      </w:r>
    </w:p>
    <w:p w:rsidR="003F3175" w:rsidRPr="00471C88" w:rsidRDefault="003F3175" w:rsidP="003F3175">
      <w:pPr>
        <w:pStyle w:val="SingleTxtGA"/>
        <w:rPr>
          <w:rtl/>
          <w:lang w:eastAsia="zh-TW"/>
        </w:rPr>
      </w:pPr>
      <w:r>
        <w:rPr>
          <w:rtl/>
          <w:lang w:eastAsia="zh-TW"/>
        </w:rPr>
        <w:tab/>
        <w:t>(أ)</w:t>
      </w:r>
      <w:r>
        <w:rPr>
          <w:rtl/>
          <w:lang w:eastAsia="zh-TW"/>
        </w:rPr>
        <w:tab/>
        <w:t>البروتوكول الاختياري لاتفاقية حقوق الطفل بشأن اشتراك الأطفال في المنازعات المسلحة، في ١٢ شباط/فبراير ٢٠١٤؛</w:t>
      </w:r>
    </w:p>
    <w:p w:rsidR="003F3175" w:rsidRPr="00471C88" w:rsidRDefault="003F3175" w:rsidP="003F3175">
      <w:pPr>
        <w:pStyle w:val="SingleTxtGA"/>
        <w:rPr>
          <w:rtl/>
          <w:lang w:eastAsia="zh-TW"/>
        </w:rPr>
      </w:pPr>
      <w:r>
        <w:rPr>
          <w:rtl/>
          <w:lang w:eastAsia="zh-TW"/>
        </w:rPr>
        <w:tab/>
        <w:t>(ب)</w:t>
      </w:r>
      <w:r>
        <w:rPr>
          <w:rtl/>
          <w:lang w:eastAsia="zh-TW"/>
        </w:rPr>
        <w:tab/>
        <w:t>اتفاقية حقوق الأشخاص ذوي الإعاقة والبروتوكول الاختياري الملحق بها، في</w:t>
      </w:r>
      <w:r>
        <w:rPr>
          <w:rFonts w:hint="cs"/>
          <w:rtl/>
          <w:lang w:eastAsia="zh-TW"/>
        </w:rPr>
        <w:t> </w:t>
      </w:r>
      <w:r>
        <w:rPr>
          <w:rtl/>
          <w:lang w:eastAsia="zh-TW"/>
        </w:rPr>
        <w:t>٣٠ أيار/مايو ٢٠١٢.</w:t>
      </w:r>
    </w:p>
    <w:p w:rsidR="003F3175" w:rsidRPr="004473F4" w:rsidRDefault="003F3175" w:rsidP="003F3175">
      <w:pPr>
        <w:pStyle w:val="H1GA"/>
        <w:rPr>
          <w:rtl/>
          <w:lang w:eastAsia="zh-TW"/>
        </w:rPr>
      </w:pPr>
      <w:r>
        <w:rPr>
          <w:rtl/>
          <w:lang w:eastAsia="zh-TW"/>
        </w:rPr>
        <w:tab/>
      </w:r>
      <w:r w:rsidRPr="004473F4">
        <w:rPr>
          <w:rtl/>
          <w:lang w:eastAsia="zh-TW"/>
        </w:rPr>
        <w:t>جيم</w:t>
      </w:r>
      <w:r>
        <w:rPr>
          <w:rtl/>
          <w:lang w:eastAsia="zh-TW"/>
        </w:rPr>
        <w:t>-</w:t>
      </w:r>
      <w:r>
        <w:rPr>
          <w:rtl/>
          <w:lang w:eastAsia="zh-TW"/>
        </w:rPr>
        <w:tab/>
      </w:r>
      <w:r w:rsidRPr="004473F4">
        <w:rPr>
          <w:rtl/>
          <w:lang w:eastAsia="zh-TW"/>
        </w:rPr>
        <w:t>دواعي</w:t>
      </w:r>
      <w:r>
        <w:rPr>
          <w:rtl/>
          <w:lang w:eastAsia="zh-TW"/>
        </w:rPr>
        <w:t xml:space="preserve"> </w:t>
      </w:r>
      <w:r w:rsidRPr="004473F4">
        <w:rPr>
          <w:rtl/>
          <w:lang w:eastAsia="zh-TW"/>
        </w:rPr>
        <w:t>القلق</w:t>
      </w:r>
      <w:r>
        <w:rPr>
          <w:rtl/>
          <w:lang w:eastAsia="zh-TW"/>
        </w:rPr>
        <w:t xml:space="preserve"> </w:t>
      </w:r>
      <w:r w:rsidRPr="004473F4">
        <w:rPr>
          <w:rtl/>
          <w:lang w:eastAsia="zh-TW"/>
        </w:rPr>
        <w:t>الرئيسية</w:t>
      </w:r>
      <w:r>
        <w:rPr>
          <w:rtl/>
          <w:lang w:eastAsia="zh-TW"/>
        </w:rPr>
        <w:t xml:space="preserve"> </w:t>
      </w:r>
      <w:r w:rsidRPr="004473F4">
        <w:rPr>
          <w:rtl/>
          <w:lang w:eastAsia="zh-TW"/>
        </w:rPr>
        <w:t>والتوصيات</w:t>
      </w:r>
      <w:bookmarkStart w:id="0" w:name="_Toc6392587"/>
      <w:bookmarkEnd w:id="0"/>
    </w:p>
    <w:p w:rsidR="003F3175" w:rsidRPr="00471C88" w:rsidRDefault="003F3175" w:rsidP="003F3175">
      <w:pPr>
        <w:pStyle w:val="H23GA"/>
        <w:rPr>
          <w:rtl/>
        </w:rPr>
      </w:pPr>
      <w:r>
        <w:rPr>
          <w:rtl/>
        </w:rPr>
        <w:tab/>
      </w:r>
      <w:r>
        <w:rPr>
          <w:rtl/>
        </w:rPr>
        <w:tab/>
        <w:t xml:space="preserve">تنفيذ العهد والبروتوكول الاختياري الملحق </w:t>
      </w:r>
      <w:bookmarkStart w:id="1" w:name="_Toc6392588"/>
      <w:bookmarkEnd w:id="1"/>
      <w:r>
        <w:rPr>
          <w:rtl/>
        </w:rPr>
        <w:t>به</w:t>
      </w:r>
    </w:p>
    <w:p w:rsidR="003F3175" w:rsidRPr="006D2B39" w:rsidRDefault="003F3175" w:rsidP="003F3175">
      <w:pPr>
        <w:pStyle w:val="SingleTxtGA"/>
        <w:rPr>
          <w:rtl/>
          <w:lang w:eastAsia="zh-TW"/>
        </w:rPr>
      </w:pPr>
      <w:r>
        <w:rPr>
          <w:rtl/>
          <w:lang w:eastAsia="zh-TW"/>
        </w:rPr>
        <w:t>٥-</w:t>
      </w:r>
      <w:r>
        <w:rPr>
          <w:rtl/>
          <w:lang w:eastAsia="zh-TW"/>
        </w:rPr>
        <w:tab/>
        <w:t xml:space="preserve">يساور اللجنة القلق لعدم توافر معلومات عن وجود آلية وطنية لرصد تنفيذ توصياتها وعدم وجود آليات فعالة وإجراءات </w:t>
      </w:r>
      <w:r w:rsidRPr="006D2B39">
        <w:rPr>
          <w:rtl/>
          <w:lang w:eastAsia="zh-TW"/>
        </w:rPr>
        <w:t>قانونية</w:t>
      </w:r>
      <w:r>
        <w:rPr>
          <w:rtl/>
          <w:lang w:eastAsia="zh-TW"/>
        </w:rPr>
        <w:t xml:space="preserve"> </w:t>
      </w:r>
      <w:r w:rsidRPr="006D2B39">
        <w:rPr>
          <w:rtl/>
          <w:lang w:eastAsia="zh-TW"/>
        </w:rPr>
        <w:t>تسمح</w:t>
      </w:r>
      <w:r>
        <w:rPr>
          <w:rtl/>
          <w:lang w:eastAsia="zh-TW"/>
        </w:rPr>
        <w:t xml:space="preserve"> </w:t>
      </w:r>
      <w:r w:rsidRPr="006D2B39">
        <w:rPr>
          <w:rtl/>
          <w:lang w:eastAsia="zh-TW"/>
        </w:rPr>
        <w:t>لأصحاب</w:t>
      </w:r>
      <w:r>
        <w:rPr>
          <w:rtl/>
          <w:lang w:eastAsia="zh-TW"/>
        </w:rPr>
        <w:t xml:space="preserve"> </w:t>
      </w:r>
      <w:r w:rsidRPr="006D2B39">
        <w:rPr>
          <w:rtl/>
          <w:lang w:eastAsia="zh-TW"/>
        </w:rPr>
        <w:t>البلاغات</w:t>
      </w:r>
      <w:r>
        <w:rPr>
          <w:rtl/>
          <w:lang w:eastAsia="zh-TW"/>
        </w:rPr>
        <w:t xml:space="preserve"> الفردية</w:t>
      </w:r>
      <w:r w:rsidRPr="006D2B39">
        <w:rPr>
          <w:rtl/>
          <w:lang w:eastAsia="zh-TW"/>
        </w:rPr>
        <w:t>،</w:t>
      </w:r>
      <w:r>
        <w:rPr>
          <w:rtl/>
          <w:lang w:eastAsia="zh-TW"/>
        </w:rPr>
        <w:t xml:space="preserve"> سواء </w:t>
      </w:r>
      <w:r w:rsidRPr="006D2B39">
        <w:rPr>
          <w:rtl/>
          <w:lang w:eastAsia="zh-TW"/>
        </w:rPr>
        <w:t>في</w:t>
      </w:r>
      <w:r>
        <w:rPr>
          <w:rtl/>
          <w:lang w:eastAsia="zh-TW"/>
        </w:rPr>
        <w:t xml:space="preserve"> </w:t>
      </w:r>
      <w:r w:rsidRPr="006D2B39">
        <w:rPr>
          <w:rtl/>
          <w:lang w:eastAsia="zh-TW"/>
        </w:rPr>
        <w:t>القانون</w:t>
      </w:r>
      <w:r>
        <w:rPr>
          <w:rtl/>
          <w:lang w:eastAsia="zh-TW"/>
        </w:rPr>
        <w:t xml:space="preserve"> أو </w:t>
      </w:r>
      <w:r w:rsidRPr="006D2B39">
        <w:rPr>
          <w:rtl/>
          <w:lang w:eastAsia="zh-TW"/>
        </w:rPr>
        <w:t>في</w:t>
      </w:r>
      <w:r>
        <w:rPr>
          <w:rtl/>
          <w:lang w:eastAsia="zh-TW"/>
        </w:rPr>
        <w:t xml:space="preserve"> </w:t>
      </w:r>
      <w:r w:rsidRPr="006D2B39">
        <w:rPr>
          <w:rtl/>
          <w:lang w:eastAsia="zh-TW"/>
        </w:rPr>
        <w:t>الممارسة</w:t>
      </w:r>
      <w:r>
        <w:rPr>
          <w:rtl/>
          <w:lang w:eastAsia="zh-TW"/>
        </w:rPr>
        <w:t xml:space="preserve"> العملية</w:t>
      </w:r>
      <w:r w:rsidRPr="006D2B39">
        <w:rPr>
          <w:rtl/>
          <w:lang w:eastAsia="zh-TW"/>
        </w:rPr>
        <w:t>،</w:t>
      </w:r>
      <w:r>
        <w:rPr>
          <w:rtl/>
          <w:lang w:eastAsia="zh-TW"/>
        </w:rPr>
        <w:t xml:space="preserve"> </w:t>
      </w:r>
      <w:r w:rsidRPr="006D2B39">
        <w:rPr>
          <w:rtl/>
          <w:lang w:eastAsia="zh-TW"/>
        </w:rPr>
        <w:t>بالتماس</w:t>
      </w:r>
      <w:r>
        <w:rPr>
          <w:rtl/>
          <w:lang w:eastAsia="zh-TW"/>
        </w:rPr>
        <w:t xml:space="preserve"> </w:t>
      </w:r>
      <w:r w:rsidRPr="006D2B39">
        <w:rPr>
          <w:rtl/>
          <w:lang w:eastAsia="zh-TW"/>
        </w:rPr>
        <w:t>التنفيذ</w:t>
      </w:r>
      <w:r>
        <w:rPr>
          <w:rtl/>
          <w:lang w:eastAsia="zh-TW"/>
        </w:rPr>
        <w:t xml:space="preserve"> </w:t>
      </w:r>
      <w:r w:rsidRPr="006D2B39">
        <w:rPr>
          <w:rtl/>
          <w:lang w:eastAsia="zh-TW"/>
        </w:rPr>
        <w:t>الكامل</w:t>
      </w:r>
      <w:r>
        <w:rPr>
          <w:rtl/>
          <w:lang w:eastAsia="zh-TW"/>
        </w:rPr>
        <w:t xml:space="preserve"> </w:t>
      </w:r>
      <w:r w:rsidRPr="006D2B39">
        <w:rPr>
          <w:rtl/>
          <w:lang w:eastAsia="zh-TW"/>
        </w:rPr>
        <w:t>ل</w:t>
      </w:r>
      <w:r>
        <w:rPr>
          <w:rtl/>
          <w:lang w:eastAsia="zh-TW"/>
        </w:rPr>
        <w:t xml:space="preserve">لآراء المعتمدة بموجب البروتوكول الاختياري. </w:t>
      </w:r>
      <w:r w:rsidRPr="006D2B39">
        <w:rPr>
          <w:rtl/>
          <w:lang w:eastAsia="zh-TW"/>
        </w:rPr>
        <w:t>كما</w:t>
      </w:r>
      <w:r>
        <w:rPr>
          <w:rtl/>
          <w:lang w:eastAsia="zh-TW"/>
        </w:rPr>
        <w:t xml:space="preserve"> </w:t>
      </w:r>
      <w:r w:rsidRPr="006D2B39">
        <w:rPr>
          <w:rtl/>
          <w:lang w:eastAsia="zh-TW"/>
        </w:rPr>
        <w:t>تلاحظ</w:t>
      </w:r>
      <w:r>
        <w:rPr>
          <w:rtl/>
          <w:lang w:eastAsia="zh-TW"/>
        </w:rPr>
        <w:t xml:space="preserve"> </w:t>
      </w:r>
      <w:r w:rsidRPr="006D2B39">
        <w:rPr>
          <w:rtl/>
          <w:lang w:eastAsia="zh-TW"/>
        </w:rPr>
        <w:t>اللجنة</w:t>
      </w:r>
      <w:r>
        <w:rPr>
          <w:rtl/>
          <w:lang w:eastAsia="zh-TW"/>
        </w:rPr>
        <w:t xml:space="preserve"> </w:t>
      </w:r>
      <w:r w:rsidRPr="006D2B39">
        <w:rPr>
          <w:rtl/>
          <w:lang w:eastAsia="zh-TW"/>
        </w:rPr>
        <w:t>أن</w:t>
      </w:r>
      <w:r>
        <w:rPr>
          <w:rtl/>
          <w:lang w:eastAsia="zh-TW"/>
        </w:rPr>
        <w:t xml:space="preserve"> المحاكم المحلية نادراً ما تستند إلى العهد </w:t>
      </w:r>
      <w:r w:rsidRPr="006D2B39">
        <w:rPr>
          <w:rtl/>
          <w:lang w:eastAsia="zh-TW"/>
        </w:rPr>
        <w:t>(المادة</w:t>
      </w:r>
      <w:r>
        <w:rPr>
          <w:rtl/>
          <w:lang w:eastAsia="zh-TW"/>
        </w:rPr>
        <w:t xml:space="preserve"> </w:t>
      </w:r>
      <w:r w:rsidRPr="006D2B39">
        <w:rPr>
          <w:rtl/>
          <w:lang w:eastAsia="zh-TW"/>
        </w:rPr>
        <w:t>2).</w:t>
      </w:r>
      <w:r w:rsidRPr="006D2B39">
        <w:rPr>
          <w:rFonts w:cs="Times New Roman"/>
          <w:rtl/>
          <w:lang w:eastAsia="zh-TW"/>
        </w:rPr>
        <w:t>‬</w:t>
      </w:r>
    </w:p>
    <w:p w:rsidR="003F3175" w:rsidRPr="006D2B39" w:rsidRDefault="003F3175" w:rsidP="003F3175">
      <w:pPr>
        <w:pStyle w:val="SingleTxtGA"/>
        <w:rPr>
          <w:b/>
          <w:bCs/>
          <w:rtl/>
          <w:lang w:eastAsia="zh-TW"/>
        </w:rPr>
      </w:pPr>
      <w:r w:rsidRPr="003F3175">
        <w:rPr>
          <w:rtl/>
          <w:lang w:eastAsia="zh-TW"/>
        </w:rPr>
        <w:t>٦-</w:t>
      </w:r>
      <w:r w:rsidRPr="003F3175">
        <w:rPr>
          <w:rtl/>
          <w:lang w:eastAsia="zh-TW"/>
        </w:rPr>
        <w:tab/>
      </w:r>
      <w:r>
        <w:rPr>
          <w:b/>
          <w:bCs/>
          <w:rtl/>
          <w:lang w:eastAsia="zh-TW"/>
        </w:rPr>
        <w:t xml:space="preserve">ينبغي للدولة الطرف أن تكفل </w:t>
      </w:r>
      <w:r w:rsidRPr="006D2B39">
        <w:rPr>
          <w:b/>
          <w:bCs/>
          <w:rtl/>
          <w:lang w:eastAsia="zh-TW"/>
        </w:rPr>
        <w:t>التنفيذ</w:t>
      </w:r>
      <w:r>
        <w:rPr>
          <w:b/>
          <w:bCs/>
          <w:rtl/>
          <w:lang w:eastAsia="zh-TW"/>
        </w:rPr>
        <w:t xml:space="preserve"> </w:t>
      </w:r>
      <w:r w:rsidRPr="006D2B39">
        <w:rPr>
          <w:b/>
          <w:bCs/>
          <w:rtl/>
          <w:lang w:eastAsia="zh-TW"/>
        </w:rPr>
        <w:t>الكامل</w:t>
      </w:r>
      <w:r>
        <w:rPr>
          <w:b/>
          <w:bCs/>
          <w:rtl/>
          <w:lang w:eastAsia="zh-TW"/>
        </w:rPr>
        <w:t xml:space="preserve"> </w:t>
      </w:r>
      <w:r w:rsidRPr="006D2B39">
        <w:rPr>
          <w:b/>
          <w:bCs/>
          <w:rtl/>
          <w:lang w:eastAsia="zh-TW"/>
        </w:rPr>
        <w:t>للملاحظات</w:t>
      </w:r>
      <w:r>
        <w:rPr>
          <w:b/>
          <w:bCs/>
          <w:rtl/>
          <w:lang w:eastAsia="zh-TW"/>
        </w:rPr>
        <w:t xml:space="preserve"> </w:t>
      </w:r>
      <w:r w:rsidRPr="006D2B39">
        <w:rPr>
          <w:b/>
          <w:bCs/>
          <w:rtl/>
          <w:lang w:eastAsia="zh-TW"/>
        </w:rPr>
        <w:t>الختامية</w:t>
      </w:r>
      <w:r>
        <w:rPr>
          <w:b/>
          <w:bCs/>
          <w:rtl/>
          <w:lang w:eastAsia="zh-TW"/>
        </w:rPr>
        <w:t xml:space="preserve"> </w:t>
      </w:r>
      <w:r w:rsidRPr="006D2B39">
        <w:rPr>
          <w:b/>
          <w:bCs/>
          <w:rtl/>
          <w:lang w:eastAsia="zh-TW"/>
        </w:rPr>
        <w:t>و</w:t>
      </w:r>
      <w:r>
        <w:rPr>
          <w:b/>
          <w:bCs/>
          <w:rtl/>
          <w:lang w:eastAsia="zh-TW"/>
        </w:rPr>
        <w:t xml:space="preserve">الآراء التي تعتمدها اللجنة وأن تضمن </w:t>
      </w:r>
      <w:r w:rsidRPr="006D2B39">
        <w:rPr>
          <w:b/>
          <w:bCs/>
          <w:rtl/>
          <w:lang w:eastAsia="zh-TW"/>
        </w:rPr>
        <w:t>حق</w:t>
      </w:r>
      <w:r>
        <w:rPr>
          <w:b/>
          <w:bCs/>
          <w:rtl/>
          <w:lang w:eastAsia="zh-TW"/>
        </w:rPr>
        <w:t xml:space="preserve"> </w:t>
      </w:r>
      <w:r w:rsidRPr="006D2B39">
        <w:rPr>
          <w:b/>
          <w:bCs/>
          <w:rtl/>
          <w:lang w:eastAsia="zh-TW"/>
        </w:rPr>
        <w:t>الضحايا</w:t>
      </w:r>
      <w:r>
        <w:rPr>
          <w:b/>
          <w:bCs/>
          <w:rtl/>
          <w:lang w:eastAsia="zh-TW"/>
        </w:rPr>
        <w:t xml:space="preserve"> </w:t>
      </w:r>
      <w:r w:rsidRPr="006D2B39">
        <w:rPr>
          <w:b/>
          <w:bCs/>
          <w:rtl/>
          <w:lang w:eastAsia="zh-TW"/>
        </w:rPr>
        <w:t>في</w:t>
      </w:r>
      <w:r>
        <w:rPr>
          <w:b/>
          <w:bCs/>
          <w:rtl/>
          <w:lang w:eastAsia="zh-TW"/>
        </w:rPr>
        <w:t xml:space="preserve"> </w:t>
      </w:r>
      <w:r>
        <w:rPr>
          <w:b/>
          <w:bCs/>
          <w:rtl/>
          <w:lang w:eastAsia="zh-TW" w:bidi="ar-DZ"/>
        </w:rPr>
        <w:t xml:space="preserve">الحصول على سبيل </w:t>
      </w:r>
      <w:r>
        <w:rPr>
          <w:b/>
          <w:bCs/>
          <w:rtl/>
          <w:lang w:eastAsia="zh-TW"/>
        </w:rPr>
        <w:t xml:space="preserve">انتصاف فعال في حال انتهاك </w:t>
      </w:r>
      <w:r w:rsidRPr="006D2B39">
        <w:rPr>
          <w:b/>
          <w:bCs/>
          <w:rtl/>
          <w:lang w:eastAsia="zh-TW"/>
        </w:rPr>
        <w:t>أحكام</w:t>
      </w:r>
      <w:r>
        <w:rPr>
          <w:b/>
          <w:bCs/>
          <w:rtl/>
          <w:lang w:eastAsia="zh-TW"/>
        </w:rPr>
        <w:t xml:space="preserve"> </w:t>
      </w:r>
      <w:r w:rsidRPr="006D2B39">
        <w:rPr>
          <w:b/>
          <w:bCs/>
          <w:rtl/>
          <w:lang w:eastAsia="zh-TW"/>
        </w:rPr>
        <w:t>العهد،</w:t>
      </w:r>
      <w:r>
        <w:rPr>
          <w:b/>
          <w:bCs/>
          <w:rtl/>
          <w:lang w:eastAsia="zh-TW"/>
        </w:rPr>
        <w:t xml:space="preserve"> </w:t>
      </w:r>
      <w:r w:rsidRPr="006D2B39">
        <w:rPr>
          <w:b/>
          <w:bCs/>
          <w:rtl/>
          <w:lang w:eastAsia="zh-TW"/>
        </w:rPr>
        <w:t>وفق</w:t>
      </w:r>
      <w:r w:rsidR="000921EE">
        <w:rPr>
          <w:b/>
          <w:bCs/>
          <w:rtl/>
          <w:lang w:eastAsia="zh-TW"/>
        </w:rPr>
        <w:t xml:space="preserve">اً </w:t>
      </w:r>
      <w:r w:rsidRPr="006D2B39">
        <w:rPr>
          <w:b/>
          <w:bCs/>
          <w:rtl/>
          <w:lang w:eastAsia="zh-TW"/>
        </w:rPr>
        <w:t>للمادة</w:t>
      </w:r>
      <w:r>
        <w:rPr>
          <w:b/>
          <w:bCs/>
          <w:rtl/>
          <w:lang w:eastAsia="zh-TW"/>
        </w:rPr>
        <w:t xml:space="preserve"> </w:t>
      </w:r>
      <w:r w:rsidRPr="006D2B39">
        <w:rPr>
          <w:b/>
          <w:bCs/>
          <w:rtl/>
          <w:lang w:eastAsia="zh-TW"/>
        </w:rPr>
        <w:t>٢</w:t>
      </w:r>
      <w:r>
        <w:rPr>
          <w:b/>
          <w:bCs/>
          <w:rtl/>
          <w:lang w:eastAsia="zh-TW"/>
        </w:rPr>
        <w:t>(</w:t>
      </w:r>
      <w:r w:rsidRPr="006D2B39">
        <w:rPr>
          <w:b/>
          <w:bCs/>
          <w:rtl/>
          <w:lang w:eastAsia="zh-TW"/>
        </w:rPr>
        <w:t>٢)</w:t>
      </w:r>
      <w:r>
        <w:rPr>
          <w:b/>
          <w:bCs/>
          <w:rtl/>
          <w:lang w:eastAsia="zh-TW"/>
        </w:rPr>
        <w:t xml:space="preserve"> و</w:t>
      </w:r>
      <w:r w:rsidRPr="006D2B39">
        <w:rPr>
          <w:b/>
          <w:bCs/>
          <w:rtl/>
          <w:lang w:eastAsia="zh-TW"/>
        </w:rPr>
        <w:t>(٣)</w:t>
      </w:r>
      <w:r>
        <w:rPr>
          <w:b/>
          <w:bCs/>
          <w:rtl/>
          <w:lang w:eastAsia="zh-TW"/>
        </w:rPr>
        <w:t xml:space="preserve"> </w:t>
      </w:r>
      <w:r w:rsidRPr="006D2B39">
        <w:rPr>
          <w:b/>
          <w:bCs/>
          <w:rtl/>
          <w:lang w:eastAsia="zh-TW"/>
        </w:rPr>
        <w:t>من</w:t>
      </w:r>
      <w:r>
        <w:rPr>
          <w:b/>
          <w:bCs/>
          <w:rtl/>
          <w:lang w:eastAsia="zh-TW"/>
        </w:rPr>
        <w:t xml:space="preserve"> </w:t>
      </w:r>
      <w:r w:rsidRPr="006D2B39">
        <w:rPr>
          <w:b/>
          <w:bCs/>
          <w:rtl/>
          <w:lang w:eastAsia="zh-TW"/>
        </w:rPr>
        <w:t>العهد.</w:t>
      </w:r>
      <w:r>
        <w:rPr>
          <w:b/>
          <w:bCs/>
          <w:rtl/>
          <w:lang w:eastAsia="zh-TW"/>
        </w:rPr>
        <w:t xml:space="preserve"> وينبغي</w:t>
      </w:r>
      <w:r>
        <w:rPr>
          <w:rtl/>
        </w:rPr>
        <w:t xml:space="preserve"> </w:t>
      </w:r>
      <w:r w:rsidRPr="00E92EDB">
        <w:rPr>
          <w:b/>
          <w:bCs/>
          <w:rtl/>
          <w:lang w:eastAsia="zh-TW"/>
        </w:rPr>
        <w:t>للدولة</w:t>
      </w:r>
      <w:r>
        <w:rPr>
          <w:b/>
          <w:bCs/>
          <w:rtl/>
          <w:lang w:eastAsia="zh-TW"/>
        </w:rPr>
        <w:t xml:space="preserve"> </w:t>
      </w:r>
      <w:r w:rsidRPr="00E92EDB">
        <w:rPr>
          <w:b/>
          <w:bCs/>
          <w:rtl/>
          <w:lang w:eastAsia="zh-TW"/>
        </w:rPr>
        <w:t>الطرف</w:t>
      </w:r>
      <w:r>
        <w:rPr>
          <w:b/>
          <w:bCs/>
          <w:rtl/>
          <w:lang w:eastAsia="zh-TW"/>
        </w:rPr>
        <w:t xml:space="preserve"> أن تكثّف </w:t>
      </w:r>
      <w:r w:rsidRPr="006D2B39">
        <w:rPr>
          <w:b/>
          <w:bCs/>
          <w:rtl/>
          <w:lang w:eastAsia="zh-TW"/>
        </w:rPr>
        <w:t>جهودها</w:t>
      </w:r>
      <w:r>
        <w:rPr>
          <w:b/>
          <w:bCs/>
          <w:rtl/>
          <w:lang w:eastAsia="zh-TW"/>
        </w:rPr>
        <w:t xml:space="preserve"> </w:t>
      </w:r>
      <w:r w:rsidRPr="006D2B39">
        <w:rPr>
          <w:b/>
          <w:bCs/>
          <w:rtl/>
          <w:lang w:eastAsia="zh-TW"/>
        </w:rPr>
        <w:t>الرامية</w:t>
      </w:r>
      <w:r>
        <w:rPr>
          <w:b/>
          <w:bCs/>
          <w:rtl/>
          <w:lang w:eastAsia="zh-TW"/>
        </w:rPr>
        <w:t xml:space="preserve"> </w:t>
      </w:r>
      <w:r w:rsidRPr="006D2B39">
        <w:rPr>
          <w:b/>
          <w:bCs/>
          <w:rtl/>
          <w:lang w:eastAsia="zh-TW"/>
        </w:rPr>
        <w:t>إلى</w:t>
      </w:r>
      <w:r>
        <w:rPr>
          <w:b/>
          <w:bCs/>
          <w:rtl/>
          <w:lang w:eastAsia="zh-TW"/>
        </w:rPr>
        <w:t xml:space="preserve"> </w:t>
      </w:r>
      <w:r w:rsidRPr="006D2B39">
        <w:rPr>
          <w:b/>
          <w:bCs/>
          <w:rtl/>
          <w:lang w:eastAsia="zh-TW"/>
        </w:rPr>
        <w:t>التوعية</w:t>
      </w:r>
      <w:r>
        <w:rPr>
          <w:b/>
          <w:bCs/>
          <w:rtl/>
          <w:lang w:eastAsia="zh-TW"/>
        </w:rPr>
        <w:t xml:space="preserve"> </w:t>
      </w:r>
      <w:r w:rsidRPr="006D2B39">
        <w:rPr>
          <w:b/>
          <w:bCs/>
          <w:rtl/>
          <w:lang w:eastAsia="zh-TW"/>
        </w:rPr>
        <w:t>بالعهد</w:t>
      </w:r>
      <w:r>
        <w:rPr>
          <w:b/>
          <w:bCs/>
          <w:rtl/>
          <w:lang w:eastAsia="zh-TW"/>
        </w:rPr>
        <w:t xml:space="preserve"> </w:t>
      </w:r>
      <w:r w:rsidRPr="006D2B39">
        <w:rPr>
          <w:b/>
          <w:bCs/>
          <w:rtl/>
          <w:lang w:eastAsia="zh-TW"/>
        </w:rPr>
        <w:t>وبروتو</w:t>
      </w:r>
      <w:r>
        <w:rPr>
          <w:b/>
          <w:bCs/>
          <w:rtl/>
          <w:lang w:eastAsia="zh-TW"/>
        </w:rPr>
        <w:t xml:space="preserve">كوله الاختياري، بوسائل منها </w:t>
      </w:r>
      <w:r w:rsidRPr="006D2B39">
        <w:rPr>
          <w:b/>
          <w:bCs/>
          <w:rtl/>
          <w:lang w:eastAsia="zh-TW"/>
        </w:rPr>
        <w:t>نشر</w:t>
      </w:r>
      <w:r>
        <w:rPr>
          <w:b/>
          <w:bCs/>
          <w:rtl/>
          <w:lang w:eastAsia="zh-TW"/>
        </w:rPr>
        <w:t xml:space="preserve"> </w:t>
      </w:r>
      <w:r w:rsidRPr="006D2B39">
        <w:rPr>
          <w:b/>
          <w:bCs/>
          <w:rtl/>
          <w:lang w:eastAsia="zh-TW"/>
        </w:rPr>
        <w:t>توصيات</w:t>
      </w:r>
      <w:r>
        <w:rPr>
          <w:b/>
          <w:bCs/>
          <w:rtl/>
          <w:lang w:eastAsia="zh-TW"/>
        </w:rPr>
        <w:t xml:space="preserve"> </w:t>
      </w:r>
      <w:r w:rsidRPr="006D2B39">
        <w:rPr>
          <w:b/>
          <w:bCs/>
          <w:rtl/>
          <w:lang w:eastAsia="zh-TW"/>
        </w:rPr>
        <w:t>اللجنة</w:t>
      </w:r>
      <w:r>
        <w:rPr>
          <w:b/>
          <w:bCs/>
          <w:rtl/>
          <w:lang w:eastAsia="zh-TW"/>
        </w:rPr>
        <w:t xml:space="preserve"> على نطاق واسع و</w:t>
      </w:r>
      <w:r w:rsidRPr="006D2B39">
        <w:rPr>
          <w:b/>
          <w:bCs/>
          <w:rtl/>
          <w:lang w:eastAsia="zh-TW"/>
        </w:rPr>
        <w:t>توفير</w:t>
      </w:r>
      <w:r>
        <w:rPr>
          <w:b/>
          <w:bCs/>
          <w:rtl/>
          <w:lang w:eastAsia="zh-TW"/>
        </w:rPr>
        <w:t xml:space="preserve"> </w:t>
      </w:r>
      <w:r w:rsidRPr="006D2B39">
        <w:rPr>
          <w:b/>
          <w:bCs/>
          <w:rtl/>
          <w:lang w:eastAsia="zh-TW"/>
        </w:rPr>
        <w:t>تدريب</w:t>
      </w:r>
      <w:r>
        <w:rPr>
          <w:b/>
          <w:bCs/>
          <w:rtl/>
          <w:lang w:eastAsia="zh-TW"/>
        </w:rPr>
        <w:t xml:space="preserve"> </w:t>
      </w:r>
      <w:r w:rsidRPr="006D2B39">
        <w:rPr>
          <w:b/>
          <w:bCs/>
          <w:rtl/>
          <w:lang w:eastAsia="zh-TW"/>
        </w:rPr>
        <w:t>محدد</w:t>
      </w:r>
      <w:r>
        <w:rPr>
          <w:b/>
          <w:bCs/>
          <w:rtl/>
          <w:lang w:eastAsia="zh-TW"/>
        </w:rPr>
        <w:t xml:space="preserve"> </w:t>
      </w:r>
      <w:r w:rsidRPr="006D2B39">
        <w:rPr>
          <w:b/>
          <w:bCs/>
          <w:rtl/>
          <w:lang w:eastAsia="zh-TW"/>
        </w:rPr>
        <w:t>بشأن</w:t>
      </w:r>
      <w:r>
        <w:rPr>
          <w:b/>
          <w:bCs/>
          <w:rtl/>
          <w:lang w:eastAsia="zh-TW"/>
        </w:rPr>
        <w:t xml:space="preserve"> </w:t>
      </w:r>
      <w:r w:rsidRPr="006D2B39">
        <w:rPr>
          <w:b/>
          <w:bCs/>
          <w:rtl/>
          <w:lang w:eastAsia="zh-TW"/>
        </w:rPr>
        <w:t>العهد</w:t>
      </w:r>
      <w:r>
        <w:rPr>
          <w:b/>
          <w:bCs/>
          <w:rtl/>
          <w:lang w:eastAsia="zh-TW"/>
        </w:rPr>
        <w:t xml:space="preserve"> </w:t>
      </w:r>
      <w:r w:rsidRPr="006D2B39">
        <w:rPr>
          <w:b/>
          <w:bCs/>
          <w:rtl/>
          <w:lang w:eastAsia="zh-TW"/>
        </w:rPr>
        <w:t>للمسؤولين</w:t>
      </w:r>
      <w:r>
        <w:rPr>
          <w:b/>
          <w:bCs/>
          <w:rtl/>
          <w:lang w:eastAsia="zh-TW"/>
        </w:rPr>
        <w:t xml:space="preserve"> </w:t>
      </w:r>
      <w:r w:rsidRPr="006D2B39">
        <w:rPr>
          <w:b/>
          <w:bCs/>
          <w:rtl/>
          <w:lang w:eastAsia="zh-TW"/>
        </w:rPr>
        <w:t>الحكوميين</w:t>
      </w:r>
      <w:r>
        <w:rPr>
          <w:b/>
          <w:bCs/>
          <w:rtl/>
          <w:lang w:eastAsia="zh-TW"/>
        </w:rPr>
        <w:t xml:space="preserve"> </w:t>
      </w:r>
      <w:r w:rsidRPr="006D2B39">
        <w:rPr>
          <w:b/>
          <w:bCs/>
          <w:rtl/>
          <w:lang w:eastAsia="zh-TW"/>
        </w:rPr>
        <w:t>والقضاة</w:t>
      </w:r>
      <w:r>
        <w:rPr>
          <w:b/>
          <w:bCs/>
          <w:rtl/>
          <w:lang w:eastAsia="zh-TW"/>
        </w:rPr>
        <w:t xml:space="preserve"> </w:t>
      </w:r>
      <w:r w:rsidRPr="006D2B39">
        <w:rPr>
          <w:b/>
          <w:bCs/>
          <w:rtl/>
          <w:lang w:eastAsia="zh-TW"/>
        </w:rPr>
        <w:t>والمدعين</w:t>
      </w:r>
      <w:r>
        <w:rPr>
          <w:b/>
          <w:bCs/>
          <w:rtl/>
          <w:lang w:eastAsia="zh-TW"/>
        </w:rPr>
        <w:t xml:space="preserve"> </w:t>
      </w:r>
      <w:r w:rsidRPr="006D2B39">
        <w:rPr>
          <w:b/>
          <w:bCs/>
          <w:rtl/>
          <w:lang w:eastAsia="zh-TW"/>
        </w:rPr>
        <w:t>العامين</w:t>
      </w:r>
      <w:r>
        <w:rPr>
          <w:b/>
          <w:bCs/>
          <w:rtl/>
          <w:lang w:eastAsia="zh-TW"/>
        </w:rPr>
        <w:t xml:space="preserve"> </w:t>
      </w:r>
      <w:r w:rsidRPr="006D2B39">
        <w:rPr>
          <w:b/>
          <w:bCs/>
          <w:rtl/>
          <w:lang w:eastAsia="zh-TW"/>
        </w:rPr>
        <w:t>والمحامين.</w:t>
      </w:r>
      <w:r>
        <w:rPr>
          <w:b/>
          <w:bCs/>
          <w:rtl/>
          <w:lang w:eastAsia="zh-TW"/>
        </w:rPr>
        <w:t xml:space="preserve"> </w:t>
      </w:r>
    </w:p>
    <w:p w:rsidR="003F3175" w:rsidRPr="00471C88" w:rsidRDefault="003F3175" w:rsidP="003F3175">
      <w:pPr>
        <w:pStyle w:val="H23GA"/>
        <w:rPr>
          <w:rtl/>
        </w:rPr>
      </w:pPr>
      <w:r>
        <w:rPr>
          <w:rtl/>
        </w:rPr>
        <w:tab/>
      </w:r>
      <w:r>
        <w:rPr>
          <w:rtl/>
        </w:rPr>
        <w:tab/>
        <w:t>المؤسسة الوطنية لحقوق ا</w:t>
      </w:r>
      <w:r w:rsidRPr="006D2B39">
        <w:rPr>
          <w:rtl/>
        </w:rPr>
        <w:t>لإنسان</w:t>
      </w:r>
      <w:bookmarkStart w:id="2" w:name="_Toc6392589"/>
      <w:bookmarkEnd w:id="2"/>
    </w:p>
    <w:p w:rsidR="003F3175" w:rsidRPr="00416235" w:rsidRDefault="003F3175" w:rsidP="006815D7">
      <w:pPr>
        <w:pStyle w:val="SingleTxtGA"/>
        <w:spacing w:line="370" w:lineRule="exact"/>
        <w:rPr>
          <w:rtl/>
          <w:lang w:eastAsia="zh-TW" w:bidi="ar-DZ"/>
        </w:rPr>
      </w:pPr>
      <w:r>
        <w:rPr>
          <w:rtl/>
          <w:lang w:eastAsia="zh-TW"/>
        </w:rPr>
        <w:t>٧-</w:t>
      </w:r>
      <w:r>
        <w:rPr>
          <w:rtl/>
          <w:lang w:eastAsia="zh-TW"/>
        </w:rPr>
        <w:tab/>
        <w:t xml:space="preserve">ترحب اللجنة بتوسيع نطاق ولاية المستشار العدلي لتمكين المؤسسة المنوطة به من العمل بوصفها المؤسسة الوطنية لحقوق الإنسان وفق المبادئ المتعلقة بمركز المؤسسات الوطنية </w:t>
      </w:r>
      <w:r w:rsidRPr="000921EE">
        <w:rPr>
          <w:spacing w:val="-4"/>
          <w:rtl/>
          <w:lang w:eastAsia="zh-TW"/>
        </w:rPr>
        <w:t>لتعزيز حقوق الإنسان وحمايتها (مبادئ باريس)، وذلك اعتبار</w:t>
      </w:r>
      <w:r w:rsidR="000921EE" w:rsidRPr="000921EE">
        <w:rPr>
          <w:spacing w:val="-4"/>
          <w:rtl/>
          <w:lang w:eastAsia="zh-TW"/>
        </w:rPr>
        <w:t xml:space="preserve">اً </w:t>
      </w:r>
      <w:r w:rsidRPr="000921EE">
        <w:rPr>
          <w:spacing w:val="-4"/>
          <w:rtl/>
          <w:lang w:eastAsia="zh-TW"/>
        </w:rPr>
        <w:t>من ١ كانون الثاني/يناير ٢٠١٩، كما</w:t>
      </w:r>
      <w:r>
        <w:rPr>
          <w:rtl/>
          <w:lang w:eastAsia="zh-TW"/>
        </w:rPr>
        <w:t xml:space="preserve"> ترحب بطلب الاعتماد الذي ينتظر البت فيه أمام اللجنة الفرعية المعنية بالاعتماد التابعة للتحالف العالمي للمؤسسات الوطنية لحقوق الإنسان. وتشعر اللجنة بالقلق لأن الموارد المادية المخصصة للمستشار العدلي قد لا تكون كافية لأداء المؤسسة على نحو فعال (المادة ٢)</w:t>
      </w:r>
      <w:r>
        <w:rPr>
          <w:rtl/>
          <w:lang w:eastAsia="zh-TW" w:bidi="ar-DZ"/>
        </w:rPr>
        <w:t>.</w:t>
      </w:r>
    </w:p>
    <w:p w:rsidR="003F3175" w:rsidRPr="00B65FE8" w:rsidRDefault="003F3175" w:rsidP="006815D7">
      <w:pPr>
        <w:pStyle w:val="SingleTxtGA"/>
        <w:spacing w:line="370" w:lineRule="exact"/>
        <w:rPr>
          <w:b/>
          <w:bCs/>
          <w:spacing w:val="-2"/>
          <w:rtl/>
          <w:lang w:eastAsia="zh-TW"/>
        </w:rPr>
      </w:pPr>
      <w:r w:rsidRPr="00B65FE8">
        <w:rPr>
          <w:spacing w:val="-2"/>
          <w:rtl/>
          <w:lang w:eastAsia="zh-TW"/>
        </w:rPr>
        <w:t>٨-</w:t>
      </w:r>
      <w:r w:rsidRPr="00B65FE8">
        <w:rPr>
          <w:spacing w:val="-2"/>
          <w:rtl/>
          <w:lang w:eastAsia="zh-TW"/>
        </w:rPr>
        <w:tab/>
      </w:r>
      <w:r w:rsidRPr="00B65FE8">
        <w:rPr>
          <w:b/>
          <w:bCs/>
          <w:spacing w:val="-2"/>
          <w:rtl/>
          <w:lang w:eastAsia="zh-TW"/>
        </w:rPr>
        <w:t>ينبغي للدولة الطرف أن تضاعف جهودها لكفالة أن تكون مؤسستها الوطنية لحقوق الإنسان متوافقة تمام</w:t>
      </w:r>
      <w:r w:rsidR="000921EE" w:rsidRPr="00B65FE8">
        <w:rPr>
          <w:b/>
          <w:bCs/>
          <w:spacing w:val="-2"/>
          <w:rtl/>
          <w:lang w:eastAsia="zh-TW"/>
        </w:rPr>
        <w:t xml:space="preserve">اً </w:t>
      </w:r>
      <w:r w:rsidRPr="00B65FE8">
        <w:rPr>
          <w:b/>
          <w:bCs/>
          <w:spacing w:val="-2"/>
          <w:rtl/>
          <w:lang w:eastAsia="zh-TW"/>
        </w:rPr>
        <w:t>مع مبادئ باريس، بما في ذلك عن طريق مواصلة تعزيز استقلال المستشار العدلي وتزويد المؤسسة بالموارد المالية والبشرية الكافية للاضطلاع بولايتها بفعالية.</w:t>
      </w:r>
    </w:p>
    <w:p w:rsidR="003F3175" w:rsidRPr="00471C88" w:rsidRDefault="003F3175" w:rsidP="003F3175">
      <w:pPr>
        <w:pStyle w:val="H23GA"/>
        <w:rPr>
          <w:rtl/>
        </w:rPr>
      </w:pPr>
      <w:r>
        <w:rPr>
          <w:rtl/>
        </w:rPr>
        <w:tab/>
      </w:r>
      <w:r>
        <w:rPr>
          <w:rtl/>
        </w:rPr>
        <w:tab/>
        <w:t xml:space="preserve">إطار مناهضة التمييز والمفوض المعني بالمساواة بين الجنسين </w:t>
      </w:r>
      <w:r w:rsidRPr="007C09CD">
        <w:rPr>
          <w:rtl/>
        </w:rPr>
        <w:t>والمساواة</w:t>
      </w:r>
      <w:r>
        <w:rPr>
          <w:rtl/>
        </w:rPr>
        <w:t xml:space="preserve"> </w:t>
      </w:r>
      <w:r w:rsidRPr="007C09CD">
        <w:rPr>
          <w:rtl/>
        </w:rPr>
        <w:t>في</w:t>
      </w:r>
      <w:r>
        <w:rPr>
          <w:rtl/>
        </w:rPr>
        <w:t xml:space="preserve"> </w:t>
      </w:r>
      <w:r w:rsidRPr="007C09CD">
        <w:rPr>
          <w:rtl/>
        </w:rPr>
        <w:t>المعاملة</w:t>
      </w:r>
      <w:bookmarkStart w:id="3" w:name="_Toc6392590"/>
      <w:bookmarkEnd w:id="3"/>
    </w:p>
    <w:p w:rsidR="003F3175" w:rsidRPr="008D10EE" w:rsidRDefault="003F3175" w:rsidP="006815D7">
      <w:pPr>
        <w:pStyle w:val="SingleTxtGA"/>
        <w:spacing w:line="370" w:lineRule="exact"/>
        <w:rPr>
          <w:rtl/>
          <w:lang w:eastAsia="zh-TW" w:bidi="ar-DZ"/>
        </w:rPr>
      </w:pPr>
      <w:r>
        <w:rPr>
          <w:rtl/>
          <w:lang w:eastAsia="zh-TW"/>
        </w:rPr>
        <w:t>٩-</w:t>
      </w:r>
      <w:r>
        <w:rPr>
          <w:rtl/>
          <w:lang w:eastAsia="zh-TW"/>
        </w:rPr>
        <w:tab/>
        <w:t xml:space="preserve">تحيط اللجنة علماً بالحظر العام للتمييز وبالقائمة المفتوحة للأسس المحظورة للتمييز المنصوص عليها في المادة ١٢ من الدستور. غير أنها تشعر بالقلق لأن قانون المساواة في المعاملة لا يوفر المساواة في الحماية من التمييز بناءً على جميع الأسس المحظورة بموجب العهد في كافة ميادين الحياة. ورغم الشروع في عام 2014 في إدخال تعديلات على قانون المساواة في المعاملة من أجل توسيع نطاق الحماية من التمييز، تلاحظ اللجنة أن التعديلات المقترحة لا تزال </w:t>
      </w:r>
      <w:r>
        <w:rPr>
          <w:rtl/>
          <w:lang w:eastAsia="zh-TW"/>
        </w:rPr>
        <w:lastRenderedPageBreak/>
        <w:t>تقتصر، في توفير هذه الحماية، على الرعاية الاجتماعية، والرعاية الصحية، وخدمات التأمين الاجتماعي، والبدلات، والتعليم، والحصول على السلع والخدمات العامة وتوفيرها، ولا تشمل جميع ميادين الحياة (المادتان ٢ و٢٦)</w:t>
      </w:r>
      <w:r>
        <w:rPr>
          <w:rtl/>
          <w:lang w:eastAsia="zh-TW" w:bidi="ar-DZ"/>
        </w:rPr>
        <w:t>.</w:t>
      </w:r>
    </w:p>
    <w:p w:rsidR="003F3175" w:rsidRPr="009B6860" w:rsidRDefault="003F3175" w:rsidP="006815D7">
      <w:pPr>
        <w:pStyle w:val="SingleTxtGA"/>
        <w:spacing w:line="370" w:lineRule="exact"/>
        <w:rPr>
          <w:rtl/>
          <w:lang w:eastAsia="zh-TW" w:bidi="ar-DZ"/>
        </w:rPr>
      </w:pPr>
      <w:r>
        <w:rPr>
          <w:rtl/>
          <w:lang w:eastAsia="zh-TW"/>
        </w:rPr>
        <w:t>١٠-</w:t>
      </w:r>
      <w:r>
        <w:rPr>
          <w:rtl/>
          <w:lang w:eastAsia="zh-TW"/>
        </w:rPr>
        <w:tab/>
        <w:t>وبينما ترحب اللجنة بزيادة ميزانية مكتب المفوض المعني بالمساواة بين الجنسين والمساواة في المعاملة، فإنها تعرب عن أسفها لأن المفوض لا يتمتع بصفة قانونية في إجراءات المحاكم المحلية، لا بوصفه ممثل</w:t>
      </w:r>
      <w:r w:rsidR="000921EE">
        <w:rPr>
          <w:rtl/>
          <w:lang w:eastAsia="zh-TW"/>
        </w:rPr>
        <w:t xml:space="preserve">اً </w:t>
      </w:r>
      <w:r>
        <w:rPr>
          <w:rtl/>
          <w:lang w:eastAsia="zh-TW"/>
        </w:rPr>
        <w:t>قانوني</w:t>
      </w:r>
      <w:r w:rsidR="000921EE">
        <w:rPr>
          <w:rtl/>
          <w:lang w:eastAsia="zh-TW"/>
        </w:rPr>
        <w:t xml:space="preserve">اً </w:t>
      </w:r>
      <w:r>
        <w:rPr>
          <w:rtl/>
          <w:lang w:eastAsia="zh-TW"/>
        </w:rPr>
        <w:t>لضحايا التمييز ولا بوصفه خبيراً من الأطراف، وكذلك لعدم إحراز تقدم ملموس في هذا الصدد على الرغم من نظر الحكومة في هذه المسألة. وتشعر اللجنة أيضاً بالقلق لأن الوعي في أوساط السكان عموماً لا يزال غير كافٍ بشأن تشريعات المساواة في المعاملة وسبل الانتصاف المتاحة (المادتان ٢ و٢٦)</w:t>
      </w:r>
      <w:r>
        <w:rPr>
          <w:rtl/>
          <w:lang w:eastAsia="zh-TW" w:bidi="ar-DZ"/>
        </w:rPr>
        <w:t>.</w:t>
      </w:r>
    </w:p>
    <w:p w:rsidR="003F3175" w:rsidRPr="009B6860" w:rsidRDefault="003F3175" w:rsidP="006815D7">
      <w:pPr>
        <w:pStyle w:val="SingleTxtGA"/>
        <w:spacing w:line="370" w:lineRule="exact"/>
        <w:rPr>
          <w:b/>
          <w:bCs/>
          <w:rtl/>
          <w:lang w:eastAsia="zh-TW"/>
        </w:rPr>
      </w:pPr>
      <w:r>
        <w:rPr>
          <w:rtl/>
          <w:lang w:eastAsia="zh-TW"/>
        </w:rPr>
        <w:t>١١-</w:t>
      </w:r>
      <w:r>
        <w:rPr>
          <w:rtl/>
          <w:lang w:eastAsia="zh-TW"/>
        </w:rPr>
        <w:tab/>
      </w:r>
      <w:r w:rsidRPr="009B6860">
        <w:rPr>
          <w:b/>
          <w:bCs/>
          <w:rtl/>
          <w:lang w:eastAsia="zh-TW"/>
        </w:rPr>
        <w:t>ينبغي</w:t>
      </w:r>
      <w:r>
        <w:rPr>
          <w:b/>
          <w:bCs/>
          <w:rtl/>
          <w:lang w:eastAsia="zh-TW"/>
        </w:rPr>
        <w:t xml:space="preserve"> </w:t>
      </w:r>
      <w:r w:rsidRPr="009B6860">
        <w:rPr>
          <w:b/>
          <w:bCs/>
          <w:rtl/>
          <w:lang w:eastAsia="zh-TW"/>
        </w:rPr>
        <w:t>للدولة</w:t>
      </w:r>
      <w:r>
        <w:rPr>
          <w:b/>
          <w:bCs/>
          <w:rtl/>
          <w:lang w:eastAsia="zh-TW"/>
        </w:rPr>
        <w:t xml:space="preserve"> </w:t>
      </w:r>
      <w:r w:rsidRPr="009B6860">
        <w:rPr>
          <w:b/>
          <w:bCs/>
          <w:rtl/>
          <w:lang w:eastAsia="zh-TW"/>
        </w:rPr>
        <w:t>الطرف</w:t>
      </w:r>
      <w:r>
        <w:rPr>
          <w:b/>
          <w:bCs/>
          <w:rtl/>
          <w:lang w:eastAsia="zh-TW"/>
        </w:rPr>
        <w:t xml:space="preserve"> </w:t>
      </w:r>
      <w:r w:rsidRPr="009B6860">
        <w:rPr>
          <w:b/>
          <w:bCs/>
          <w:rtl/>
          <w:lang w:eastAsia="zh-TW"/>
        </w:rPr>
        <w:t>أن</w:t>
      </w:r>
      <w:r>
        <w:rPr>
          <w:b/>
          <w:bCs/>
          <w:rtl/>
          <w:lang w:eastAsia="zh-TW"/>
        </w:rPr>
        <w:t xml:space="preserve"> </w:t>
      </w:r>
      <w:r w:rsidRPr="009B6860">
        <w:rPr>
          <w:b/>
          <w:bCs/>
          <w:rtl/>
          <w:lang w:eastAsia="zh-TW"/>
        </w:rPr>
        <w:t>تضاعف</w:t>
      </w:r>
      <w:r>
        <w:rPr>
          <w:b/>
          <w:bCs/>
          <w:rtl/>
          <w:lang w:eastAsia="zh-TW"/>
        </w:rPr>
        <w:t xml:space="preserve"> </w:t>
      </w:r>
      <w:r w:rsidRPr="009B6860">
        <w:rPr>
          <w:b/>
          <w:bCs/>
          <w:rtl/>
          <w:lang w:eastAsia="zh-TW"/>
        </w:rPr>
        <w:t>جهودها</w:t>
      </w:r>
      <w:r>
        <w:rPr>
          <w:b/>
          <w:bCs/>
          <w:rtl/>
          <w:lang w:eastAsia="zh-TW"/>
        </w:rPr>
        <w:t xml:space="preserve"> </w:t>
      </w:r>
      <w:r w:rsidRPr="009B6860">
        <w:rPr>
          <w:b/>
          <w:bCs/>
          <w:rtl/>
          <w:lang w:eastAsia="zh-TW"/>
        </w:rPr>
        <w:t>الرامية</w:t>
      </w:r>
      <w:r>
        <w:rPr>
          <w:b/>
          <w:bCs/>
          <w:rtl/>
          <w:lang w:eastAsia="zh-TW"/>
        </w:rPr>
        <w:t xml:space="preserve"> </w:t>
      </w:r>
      <w:r w:rsidRPr="009B6860">
        <w:rPr>
          <w:b/>
          <w:bCs/>
          <w:rtl/>
          <w:lang w:eastAsia="zh-TW"/>
        </w:rPr>
        <w:t>إلى</w:t>
      </w:r>
      <w:r>
        <w:rPr>
          <w:b/>
          <w:bCs/>
          <w:rtl/>
          <w:lang w:eastAsia="zh-TW"/>
        </w:rPr>
        <w:t xml:space="preserve"> </w:t>
      </w:r>
      <w:r w:rsidRPr="009B6860">
        <w:rPr>
          <w:b/>
          <w:bCs/>
          <w:rtl/>
          <w:lang w:eastAsia="zh-TW"/>
        </w:rPr>
        <w:t>تعديل</w:t>
      </w:r>
      <w:r>
        <w:rPr>
          <w:b/>
          <w:bCs/>
          <w:rtl/>
          <w:lang w:eastAsia="zh-TW"/>
        </w:rPr>
        <w:t xml:space="preserve"> </w:t>
      </w:r>
      <w:r w:rsidRPr="009B6860">
        <w:rPr>
          <w:b/>
          <w:bCs/>
          <w:rtl/>
          <w:lang w:eastAsia="zh-TW"/>
        </w:rPr>
        <w:t>قانو</w:t>
      </w:r>
      <w:r>
        <w:rPr>
          <w:b/>
          <w:bCs/>
          <w:rtl/>
          <w:lang w:eastAsia="zh-TW"/>
        </w:rPr>
        <w:t xml:space="preserve">ن المساواة في المعاملة بهدف كفالة النطاق المناسب والفعال والمتساوي </w:t>
      </w:r>
      <w:r w:rsidRPr="009B6860">
        <w:rPr>
          <w:b/>
          <w:bCs/>
          <w:rtl/>
          <w:lang w:eastAsia="zh-TW"/>
        </w:rPr>
        <w:t>في</w:t>
      </w:r>
      <w:r>
        <w:rPr>
          <w:b/>
          <w:bCs/>
          <w:rtl/>
          <w:lang w:eastAsia="zh-TW"/>
        </w:rPr>
        <w:t xml:space="preserve"> توفير </w:t>
      </w:r>
      <w:r w:rsidRPr="009B6860">
        <w:rPr>
          <w:b/>
          <w:bCs/>
          <w:rtl/>
          <w:lang w:eastAsia="zh-TW"/>
        </w:rPr>
        <w:t>الحماية</w:t>
      </w:r>
      <w:r>
        <w:rPr>
          <w:b/>
          <w:bCs/>
          <w:rtl/>
          <w:lang w:eastAsia="zh-TW"/>
        </w:rPr>
        <w:t xml:space="preserve"> </w:t>
      </w:r>
      <w:r w:rsidRPr="009B6860">
        <w:rPr>
          <w:b/>
          <w:bCs/>
          <w:rtl/>
          <w:lang w:eastAsia="zh-TW"/>
        </w:rPr>
        <w:t>الموضوعية</w:t>
      </w:r>
      <w:r>
        <w:rPr>
          <w:b/>
          <w:bCs/>
          <w:rtl/>
          <w:lang w:eastAsia="zh-TW"/>
        </w:rPr>
        <w:t xml:space="preserve"> </w:t>
      </w:r>
      <w:r w:rsidRPr="009B6860">
        <w:rPr>
          <w:b/>
          <w:bCs/>
          <w:rtl/>
          <w:lang w:eastAsia="zh-TW"/>
        </w:rPr>
        <w:t>والإجرائية</w:t>
      </w:r>
      <w:r>
        <w:rPr>
          <w:b/>
          <w:bCs/>
          <w:rtl/>
          <w:lang w:eastAsia="zh-TW"/>
        </w:rPr>
        <w:t xml:space="preserve"> من التمييز بناءً على جميع الأسس </w:t>
      </w:r>
      <w:r w:rsidRPr="009B6860">
        <w:rPr>
          <w:b/>
          <w:bCs/>
          <w:rtl/>
          <w:lang w:eastAsia="zh-TW"/>
        </w:rPr>
        <w:t>المحظو</w:t>
      </w:r>
      <w:r>
        <w:rPr>
          <w:b/>
          <w:bCs/>
          <w:rtl/>
          <w:lang w:eastAsia="zh-TW"/>
        </w:rPr>
        <w:t xml:space="preserve">رة بموجب العهد، في كافة الميادين </w:t>
      </w:r>
      <w:r w:rsidRPr="009B6860">
        <w:rPr>
          <w:b/>
          <w:bCs/>
          <w:rtl/>
          <w:lang w:eastAsia="zh-TW"/>
        </w:rPr>
        <w:t>والقطاعات.</w:t>
      </w:r>
      <w:r>
        <w:rPr>
          <w:b/>
          <w:bCs/>
          <w:rtl/>
          <w:lang w:eastAsia="zh-TW"/>
        </w:rPr>
        <w:t xml:space="preserve"> </w:t>
      </w:r>
      <w:r w:rsidRPr="009B6860">
        <w:rPr>
          <w:b/>
          <w:bCs/>
          <w:rtl/>
          <w:lang w:eastAsia="zh-TW"/>
        </w:rPr>
        <w:t>كما</w:t>
      </w:r>
      <w:r>
        <w:rPr>
          <w:b/>
          <w:bCs/>
          <w:rtl/>
          <w:lang w:eastAsia="zh-TW"/>
        </w:rPr>
        <w:t xml:space="preserve"> </w:t>
      </w:r>
      <w:r w:rsidRPr="009B6860">
        <w:rPr>
          <w:b/>
          <w:bCs/>
          <w:rtl/>
          <w:lang w:eastAsia="zh-TW"/>
        </w:rPr>
        <w:t>ينبغي</w:t>
      </w:r>
      <w:r>
        <w:rPr>
          <w:b/>
          <w:bCs/>
          <w:rtl/>
          <w:lang w:eastAsia="zh-TW"/>
        </w:rPr>
        <w:t xml:space="preserve"> لها (أ) مضاعفة </w:t>
      </w:r>
      <w:r w:rsidRPr="009B6860">
        <w:rPr>
          <w:b/>
          <w:bCs/>
          <w:rtl/>
          <w:lang w:eastAsia="zh-TW"/>
        </w:rPr>
        <w:t>الجهود</w:t>
      </w:r>
      <w:r>
        <w:rPr>
          <w:b/>
          <w:bCs/>
          <w:rtl/>
          <w:lang w:eastAsia="zh-TW"/>
        </w:rPr>
        <w:t xml:space="preserve"> </w:t>
      </w:r>
      <w:r w:rsidRPr="009B6860">
        <w:rPr>
          <w:b/>
          <w:bCs/>
          <w:rtl/>
          <w:lang w:eastAsia="zh-TW"/>
        </w:rPr>
        <w:t>الرامية</w:t>
      </w:r>
      <w:r>
        <w:rPr>
          <w:b/>
          <w:bCs/>
          <w:rtl/>
          <w:lang w:eastAsia="zh-TW"/>
        </w:rPr>
        <w:t xml:space="preserve"> </w:t>
      </w:r>
      <w:r w:rsidRPr="009B6860">
        <w:rPr>
          <w:b/>
          <w:bCs/>
          <w:rtl/>
          <w:lang w:eastAsia="zh-TW"/>
        </w:rPr>
        <w:t>إلى</w:t>
      </w:r>
      <w:r>
        <w:rPr>
          <w:b/>
          <w:bCs/>
          <w:rtl/>
          <w:lang w:eastAsia="zh-TW"/>
        </w:rPr>
        <w:t xml:space="preserve"> </w:t>
      </w:r>
      <w:r w:rsidRPr="009B6860">
        <w:rPr>
          <w:b/>
          <w:bCs/>
          <w:rtl/>
          <w:lang w:eastAsia="zh-TW"/>
        </w:rPr>
        <w:t>زيادة</w:t>
      </w:r>
      <w:r>
        <w:rPr>
          <w:b/>
          <w:bCs/>
          <w:rtl/>
          <w:lang w:eastAsia="zh-TW"/>
        </w:rPr>
        <w:t xml:space="preserve"> </w:t>
      </w:r>
      <w:r w:rsidRPr="009B6860">
        <w:rPr>
          <w:b/>
          <w:bCs/>
          <w:rtl/>
          <w:lang w:eastAsia="zh-TW"/>
        </w:rPr>
        <w:t>الوعي</w:t>
      </w:r>
      <w:r>
        <w:rPr>
          <w:b/>
          <w:bCs/>
          <w:rtl/>
          <w:lang w:eastAsia="zh-TW"/>
        </w:rPr>
        <w:t xml:space="preserve"> </w:t>
      </w:r>
      <w:r w:rsidRPr="009B6860">
        <w:rPr>
          <w:b/>
          <w:bCs/>
          <w:rtl/>
          <w:lang w:eastAsia="zh-TW"/>
        </w:rPr>
        <w:t>بالتشريعات</w:t>
      </w:r>
      <w:r>
        <w:rPr>
          <w:b/>
          <w:bCs/>
          <w:rtl/>
          <w:lang w:eastAsia="zh-TW"/>
        </w:rPr>
        <w:t xml:space="preserve"> المتعلقة بالمساواة في المعاملة </w:t>
      </w:r>
      <w:r w:rsidRPr="009B6860">
        <w:rPr>
          <w:b/>
          <w:bCs/>
          <w:rtl/>
          <w:lang w:eastAsia="zh-TW"/>
        </w:rPr>
        <w:t>وسبل</w:t>
      </w:r>
      <w:r>
        <w:rPr>
          <w:b/>
          <w:bCs/>
          <w:rtl/>
          <w:lang w:eastAsia="zh-TW"/>
        </w:rPr>
        <w:t xml:space="preserve"> </w:t>
      </w:r>
      <w:r w:rsidRPr="009B6860">
        <w:rPr>
          <w:b/>
          <w:bCs/>
          <w:rtl/>
          <w:lang w:eastAsia="zh-TW"/>
        </w:rPr>
        <w:t>الانتصاف</w:t>
      </w:r>
      <w:r>
        <w:rPr>
          <w:b/>
          <w:bCs/>
          <w:rtl/>
          <w:lang w:eastAsia="zh-TW"/>
        </w:rPr>
        <w:t xml:space="preserve"> </w:t>
      </w:r>
      <w:r w:rsidRPr="009B6860">
        <w:rPr>
          <w:b/>
          <w:bCs/>
          <w:rtl/>
          <w:lang w:eastAsia="zh-TW"/>
        </w:rPr>
        <w:t>المتاحة</w:t>
      </w:r>
      <w:r>
        <w:rPr>
          <w:b/>
          <w:bCs/>
          <w:rtl/>
          <w:lang w:eastAsia="zh-TW"/>
        </w:rPr>
        <w:t xml:space="preserve"> </w:t>
      </w:r>
      <w:r w:rsidRPr="009B6860">
        <w:rPr>
          <w:b/>
          <w:bCs/>
          <w:rtl/>
          <w:lang w:eastAsia="zh-TW"/>
        </w:rPr>
        <w:t>في</w:t>
      </w:r>
      <w:r>
        <w:rPr>
          <w:b/>
          <w:bCs/>
          <w:rtl/>
          <w:lang w:eastAsia="zh-TW"/>
        </w:rPr>
        <w:t xml:space="preserve"> </w:t>
      </w:r>
      <w:r w:rsidRPr="009B6860">
        <w:rPr>
          <w:b/>
          <w:bCs/>
          <w:rtl/>
          <w:lang w:eastAsia="zh-TW"/>
        </w:rPr>
        <w:t>أوساط</w:t>
      </w:r>
      <w:r>
        <w:rPr>
          <w:b/>
          <w:bCs/>
          <w:rtl/>
          <w:lang w:eastAsia="zh-TW"/>
        </w:rPr>
        <w:t xml:space="preserve"> </w:t>
      </w:r>
      <w:r w:rsidRPr="009B6860">
        <w:rPr>
          <w:b/>
          <w:bCs/>
          <w:rtl/>
          <w:lang w:eastAsia="zh-TW"/>
        </w:rPr>
        <w:t>السكان</w:t>
      </w:r>
      <w:r>
        <w:rPr>
          <w:b/>
          <w:bCs/>
          <w:rtl/>
          <w:lang w:eastAsia="zh-TW"/>
        </w:rPr>
        <w:t xml:space="preserve"> </w:t>
      </w:r>
      <w:r w:rsidRPr="009B6860">
        <w:rPr>
          <w:b/>
          <w:bCs/>
          <w:rtl/>
          <w:lang w:eastAsia="zh-TW"/>
        </w:rPr>
        <w:t>بشكل</w:t>
      </w:r>
      <w:r>
        <w:rPr>
          <w:b/>
          <w:bCs/>
          <w:rtl/>
          <w:lang w:eastAsia="zh-TW"/>
        </w:rPr>
        <w:t xml:space="preserve"> </w:t>
      </w:r>
      <w:r w:rsidRPr="009B6860">
        <w:rPr>
          <w:b/>
          <w:bCs/>
          <w:rtl/>
          <w:lang w:eastAsia="zh-TW"/>
        </w:rPr>
        <w:t>عام؛</w:t>
      </w:r>
      <w:r>
        <w:rPr>
          <w:b/>
          <w:bCs/>
          <w:rtl/>
          <w:lang w:eastAsia="zh-TW"/>
        </w:rPr>
        <w:t xml:space="preserve"> و(ب) تحسين الحصول على سبل الانتصاف الفعالة من </w:t>
      </w:r>
      <w:r w:rsidRPr="009B6860">
        <w:rPr>
          <w:b/>
          <w:bCs/>
          <w:rtl/>
          <w:lang w:eastAsia="zh-TW"/>
        </w:rPr>
        <w:t>أي</w:t>
      </w:r>
      <w:r>
        <w:rPr>
          <w:b/>
          <w:bCs/>
          <w:rtl/>
          <w:lang w:eastAsia="zh-TW"/>
        </w:rPr>
        <w:t xml:space="preserve"> </w:t>
      </w:r>
      <w:r w:rsidRPr="009B6860">
        <w:rPr>
          <w:b/>
          <w:bCs/>
          <w:rtl/>
          <w:lang w:eastAsia="zh-TW"/>
        </w:rPr>
        <w:t>شكل</w:t>
      </w:r>
      <w:r>
        <w:rPr>
          <w:b/>
          <w:bCs/>
          <w:rtl/>
          <w:lang w:eastAsia="zh-TW"/>
        </w:rPr>
        <w:t xml:space="preserve"> </w:t>
      </w:r>
      <w:r w:rsidRPr="009B6860">
        <w:rPr>
          <w:b/>
          <w:bCs/>
          <w:rtl/>
          <w:lang w:eastAsia="zh-TW"/>
        </w:rPr>
        <w:t>من</w:t>
      </w:r>
      <w:r>
        <w:rPr>
          <w:b/>
          <w:bCs/>
          <w:rtl/>
          <w:lang w:eastAsia="zh-TW"/>
        </w:rPr>
        <w:t xml:space="preserve"> </w:t>
      </w:r>
      <w:r w:rsidRPr="009B6860">
        <w:rPr>
          <w:b/>
          <w:bCs/>
          <w:rtl/>
          <w:lang w:eastAsia="zh-TW"/>
        </w:rPr>
        <w:t>أشكال</w:t>
      </w:r>
      <w:r>
        <w:rPr>
          <w:b/>
          <w:bCs/>
          <w:rtl/>
          <w:lang w:eastAsia="zh-TW"/>
        </w:rPr>
        <w:t xml:space="preserve"> </w:t>
      </w:r>
      <w:r w:rsidRPr="009B6860">
        <w:rPr>
          <w:b/>
          <w:bCs/>
          <w:rtl/>
          <w:lang w:eastAsia="zh-TW"/>
        </w:rPr>
        <w:t>التمييز؛</w:t>
      </w:r>
      <w:r>
        <w:rPr>
          <w:b/>
          <w:bCs/>
          <w:rtl/>
          <w:lang w:eastAsia="zh-TW"/>
        </w:rPr>
        <w:t xml:space="preserve"> و</w:t>
      </w:r>
      <w:r w:rsidRPr="009B6860">
        <w:rPr>
          <w:b/>
          <w:bCs/>
          <w:rtl/>
          <w:lang w:eastAsia="zh-TW"/>
        </w:rPr>
        <w:t>(ج)</w:t>
      </w:r>
      <w:r>
        <w:rPr>
          <w:b/>
          <w:bCs/>
          <w:rtl/>
          <w:lang w:eastAsia="zh-TW"/>
        </w:rPr>
        <w:t xml:space="preserve"> </w:t>
      </w:r>
      <w:r w:rsidRPr="009B6860">
        <w:rPr>
          <w:b/>
          <w:bCs/>
          <w:rtl/>
          <w:lang w:eastAsia="zh-TW"/>
        </w:rPr>
        <w:t>النظر</w:t>
      </w:r>
      <w:r>
        <w:rPr>
          <w:b/>
          <w:bCs/>
          <w:rtl/>
          <w:lang w:eastAsia="zh-TW"/>
        </w:rPr>
        <w:t xml:space="preserve"> </w:t>
      </w:r>
      <w:r w:rsidRPr="009B6860">
        <w:rPr>
          <w:b/>
          <w:bCs/>
          <w:rtl/>
          <w:lang w:eastAsia="zh-TW"/>
        </w:rPr>
        <w:t>في</w:t>
      </w:r>
      <w:r>
        <w:rPr>
          <w:b/>
          <w:bCs/>
          <w:rtl/>
          <w:lang w:eastAsia="zh-TW"/>
        </w:rPr>
        <w:t xml:space="preserve"> </w:t>
      </w:r>
      <w:r w:rsidRPr="009B6860">
        <w:rPr>
          <w:b/>
          <w:bCs/>
          <w:rtl/>
          <w:lang w:eastAsia="zh-TW"/>
        </w:rPr>
        <w:t>منح</w:t>
      </w:r>
      <w:r>
        <w:rPr>
          <w:b/>
          <w:bCs/>
          <w:rtl/>
          <w:lang w:eastAsia="zh-TW"/>
        </w:rPr>
        <w:t xml:space="preserve"> </w:t>
      </w:r>
      <w:r w:rsidRPr="009B6860">
        <w:rPr>
          <w:b/>
          <w:bCs/>
          <w:rtl/>
          <w:lang w:eastAsia="zh-TW"/>
        </w:rPr>
        <w:t>صفة</w:t>
      </w:r>
      <w:r>
        <w:rPr>
          <w:b/>
          <w:bCs/>
          <w:rtl/>
          <w:lang w:eastAsia="zh-TW"/>
        </w:rPr>
        <w:t xml:space="preserve"> قانونية</w:t>
      </w:r>
      <w:r>
        <w:rPr>
          <w:rtl/>
        </w:rPr>
        <w:t xml:space="preserve"> </w:t>
      </w:r>
      <w:r>
        <w:rPr>
          <w:b/>
          <w:bCs/>
          <w:rtl/>
          <w:lang w:eastAsia="zh-TW"/>
        </w:rPr>
        <w:t>ل</w:t>
      </w:r>
      <w:r w:rsidRPr="008D05DC">
        <w:rPr>
          <w:b/>
          <w:bCs/>
          <w:rtl/>
          <w:lang w:eastAsia="zh-TW"/>
        </w:rPr>
        <w:t>لمفوض</w:t>
      </w:r>
      <w:r>
        <w:rPr>
          <w:b/>
          <w:bCs/>
          <w:rtl/>
          <w:lang w:eastAsia="zh-TW"/>
        </w:rPr>
        <w:t xml:space="preserve"> </w:t>
      </w:r>
      <w:r w:rsidRPr="008D05DC">
        <w:rPr>
          <w:b/>
          <w:bCs/>
          <w:rtl/>
          <w:lang w:eastAsia="zh-TW"/>
        </w:rPr>
        <w:t>المعني</w:t>
      </w:r>
      <w:r>
        <w:rPr>
          <w:b/>
          <w:bCs/>
          <w:rtl/>
          <w:lang w:eastAsia="zh-TW"/>
        </w:rPr>
        <w:t xml:space="preserve"> </w:t>
      </w:r>
      <w:r w:rsidRPr="008D05DC">
        <w:rPr>
          <w:b/>
          <w:bCs/>
          <w:rtl/>
          <w:lang w:eastAsia="zh-TW"/>
        </w:rPr>
        <w:t>بالمساواة</w:t>
      </w:r>
      <w:r>
        <w:rPr>
          <w:b/>
          <w:bCs/>
          <w:rtl/>
          <w:lang w:eastAsia="zh-TW"/>
        </w:rPr>
        <w:t xml:space="preserve"> </w:t>
      </w:r>
      <w:r w:rsidRPr="008D05DC">
        <w:rPr>
          <w:b/>
          <w:bCs/>
          <w:rtl/>
          <w:lang w:eastAsia="zh-TW"/>
        </w:rPr>
        <w:t>بي</w:t>
      </w:r>
      <w:r>
        <w:rPr>
          <w:b/>
          <w:bCs/>
          <w:rtl/>
          <w:lang w:eastAsia="zh-TW"/>
        </w:rPr>
        <w:t xml:space="preserve">ن الجنسين والمساواة في المعاملة </w:t>
      </w:r>
      <w:r w:rsidRPr="008D05DC">
        <w:rPr>
          <w:b/>
          <w:bCs/>
          <w:rtl/>
          <w:lang w:eastAsia="zh-TW"/>
        </w:rPr>
        <w:t>في</w:t>
      </w:r>
      <w:r>
        <w:rPr>
          <w:b/>
          <w:bCs/>
          <w:rtl/>
          <w:lang w:eastAsia="zh-TW"/>
        </w:rPr>
        <w:t xml:space="preserve"> </w:t>
      </w:r>
      <w:r w:rsidRPr="008D05DC">
        <w:rPr>
          <w:b/>
          <w:bCs/>
          <w:rtl/>
          <w:lang w:eastAsia="zh-TW"/>
        </w:rPr>
        <w:t>إجراءات</w:t>
      </w:r>
      <w:r>
        <w:rPr>
          <w:b/>
          <w:bCs/>
          <w:rtl/>
          <w:lang w:eastAsia="zh-TW"/>
        </w:rPr>
        <w:t xml:space="preserve"> </w:t>
      </w:r>
      <w:r w:rsidRPr="008D05DC">
        <w:rPr>
          <w:b/>
          <w:bCs/>
          <w:rtl/>
          <w:lang w:eastAsia="zh-TW"/>
        </w:rPr>
        <w:t>المحاكم</w:t>
      </w:r>
      <w:r>
        <w:rPr>
          <w:b/>
          <w:bCs/>
          <w:rtl/>
          <w:lang w:eastAsia="zh-TW"/>
        </w:rPr>
        <w:t xml:space="preserve"> </w:t>
      </w:r>
      <w:r w:rsidRPr="008D05DC">
        <w:rPr>
          <w:b/>
          <w:bCs/>
          <w:rtl/>
          <w:lang w:eastAsia="zh-TW"/>
        </w:rPr>
        <w:t>المحلية</w:t>
      </w:r>
      <w:r>
        <w:rPr>
          <w:b/>
          <w:bCs/>
          <w:rtl/>
          <w:lang w:eastAsia="zh-TW"/>
        </w:rPr>
        <w:t xml:space="preserve"> </w:t>
      </w:r>
      <w:r w:rsidRPr="009B6860">
        <w:rPr>
          <w:b/>
          <w:bCs/>
          <w:rtl/>
          <w:lang w:eastAsia="zh-TW"/>
        </w:rPr>
        <w:t>المتصلة</w:t>
      </w:r>
      <w:r>
        <w:rPr>
          <w:b/>
          <w:bCs/>
          <w:rtl/>
          <w:lang w:eastAsia="zh-TW"/>
        </w:rPr>
        <w:t xml:space="preserve"> </w:t>
      </w:r>
      <w:r w:rsidRPr="009B6860">
        <w:rPr>
          <w:b/>
          <w:bCs/>
          <w:rtl/>
          <w:lang w:eastAsia="zh-TW"/>
        </w:rPr>
        <w:t>بالتمييز.</w:t>
      </w:r>
      <w:r>
        <w:rPr>
          <w:b/>
          <w:bCs/>
          <w:rtl/>
          <w:lang w:eastAsia="zh-TW"/>
        </w:rPr>
        <w:t xml:space="preserve"> </w:t>
      </w:r>
    </w:p>
    <w:p w:rsidR="003F3175" w:rsidRPr="000031BE" w:rsidRDefault="003F3175" w:rsidP="003F3175">
      <w:pPr>
        <w:pStyle w:val="H23GA"/>
        <w:rPr>
          <w:rtl/>
          <w:lang w:bidi="ar-DZ"/>
        </w:rPr>
      </w:pPr>
      <w:r>
        <w:rPr>
          <w:rtl/>
        </w:rPr>
        <w:tab/>
      </w:r>
      <w:r>
        <w:rPr>
          <w:rtl/>
        </w:rPr>
        <w:tab/>
        <w:t xml:space="preserve">خطاب الكراهية والجرائم بدافع </w:t>
      </w:r>
      <w:r w:rsidRPr="000031BE">
        <w:rPr>
          <w:rtl/>
        </w:rPr>
        <w:t>الكراهية</w:t>
      </w:r>
      <w:bookmarkStart w:id="4" w:name="_Toc6392591"/>
      <w:bookmarkEnd w:id="4"/>
    </w:p>
    <w:p w:rsidR="003F3175" w:rsidRPr="00A34560" w:rsidRDefault="003F3175" w:rsidP="003F3175">
      <w:pPr>
        <w:pStyle w:val="SingleTxtGA"/>
        <w:rPr>
          <w:rtl/>
          <w:lang w:eastAsia="zh-TW" w:bidi="ar-DZ"/>
        </w:rPr>
      </w:pPr>
      <w:r>
        <w:rPr>
          <w:rtl/>
          <w:lang w:eastAsia="zh-TW"/>
        </w:rPr>
        <w:t>١٢-</w:t>
      </w:r>
      <w:r>
        <w:rPr>
          <w:rtl/>
          <w:lang w:eastAsia="zh-TW"/>
        </w:rPr>
        <w:tab/>
        <w:t xml:space="preserve">يساور اللجنة القلق لأن الإطار القانوني الحالي لا يوفر حماية شاملة من خطاب الكراهية والجرائم المرتكبة بدافع الكراهية. ويُعزى ذلك، في جملة أمور، إلى العقوبات الخفيفة والعتبة العالية المحددة لجريمة التحريض على الكراهية أو العنف أو التمييز بموجب المادة ١٥١ من قانون العقوبات، التي تتطلب </w:t>
      </w:r>
      <w:proofErr w:type="gramStart"/>
      <w:r>
        <w:rPr>
          <w:rtl/>
          <w:lang w:eastAsia="zh-TW"/>
        </w:rPr>
        <w:t xml:space="preserve">وجود </w:t>
      </w:r>
      <w:r w:rsidR="00796C15">
        <w:rPr>
          <w:rtl/>
          <w:lang w:eastAsia="zh-TW"/>
        </w:rPr>
        <w:t>”</w:t>
      </w:r>
      <w:r>
        <w:rPr>
          <w:rtl/>
          <w:lang w:eastAsia="zh-TW"/>
        </w:rPr>
        <w:t>خطر</w:t>
      </w:r>
      <w:proofErr w:type="gramEnd"/>
      <w:r>
        <w:rPr>
          <w:rtl/>
          <w:lang w:eastAsia="zh-TW"/>
        </w:rPr>
        <w:t xml:space="preserve"> يتهدد حياة أو صحة أو ممتلكات</w:t>
      </w:r>
      <w:r w:rsidR="00796C15">
        <w:rPr>
          <w:rtl/>
          <w:lang w:eastAsia="zh-TW"/>
        </w:rPr>
        <w:t>“</w:t>
      </w:r>
      <w:r>
        <w:rPr>
          <w:rtl/>
          <w:lang w:eastAsia="zh-TW"/>
        </w:rPr>
        <w:t xml:space="preserve"> الضحية؛ وعدم الإشارة إلى الهوية الجنسانية ضمن الأسس المحظورة لارتكاب جرائم عدم المساواة في المعاملة ضمن المادتين ١٥١ و١٥٢ من القانون؛ وعدم الاعتراف بدوافع الكراهية، بما في ذلك على أساس الميل الجنسي والهوية الجنسانية، باعتبارها ظروف</w:t>
      </w:r>
      <w:r w:rsidR="000921EE">
        <w:rPr>
          <w:rtl/>
          <w:lang w:eastAsia="zh-TW"/>
        </w:rPr>
        <w:t xml:space="preserve">اً </w:t>
      </w:r>
      <w:r>
        <w:rPr>
          <w:rtl/>
          <w:lang w:eastAsia="zh-TW"/>
        </w:rPr>
        <w:t>مشددة للعقوبة على جميع الجرائم. وتحيط اللجنة علماً بخطط تعديل المادة ١٥١ من قانون العقوبات والاعتراف بدوافع الكراهية باعتبارها ظروف</w:t>
      </w:r>
      <w:r w:rsidR="000921EE">
        <w:rPr>
          <w:rtl/>
          <w:lang w:eastAsia="zh-TW"/>
        </w:rPr>
        <w:t xml:space="preserve">اً </w:t>
      </w:r>
      <w:r>
        <w:rPr>
          <w:rtl/>
          <w:lang w:eastAsia="zh-TW"/>
        </w:rPr>
        <w:t>مشددة للعقوبة. وتشعر اللجنة بالقلق لأن أعمالاً أخرى، من قبيل الإنكار العلني</w:t>
      </w:r>
      <w:r>
        <w:rPr>
          <w:rtl/>
        </w:rPr>
        <w:t xml:space="preserve"> ل</w:t>
      </w:r>
      <w:r w:rsidRPr="00A34560">
        <w:rPr>
          <w:rtl/>
          <w:lang w:eastAsia="zh-TW"/>
        </w:rPr>
        <w:t>جرائم</w:t>
      </w:r>
      <w:r>
        <w:rPr>
          <w:rtl/>
          <w:lang w:eastAsia="zh-TW"/>
        </w:rPr>
        <w:t xml:space="preserve"> </w:t>
      </w:r>
      <w:r w:rsidRPr="00A34560">
        <w:rPr>
          <w:rtl/>
          <w:lang w:eastAsia="zh-TW"/>
        </w:rPr>
        <w:t>الإبادة</w:t>
      </w:r>
      <w:r>
        <w:rPr>
          <w:rtl/>
          <w:lang w:eastAsia="zh-TW"/>
        </w:rPr>
        <w:t xml:space="preserve"> </w:t>
      </w:r>
      <w:r w:rsidRPr="00A34560">
        <w:rPr>
          <w:rtl/>
          <w:lang w:eastAsia="zh-TW"/>
        </w:rPr>
        <w:t>الجماعية</w:t>
      </w:r>
      <w:r>
        <w:rPr>
          <w:rtl/>
        </w:rPr>
        <w:t xml:space="preserve"> </w:t>
      </w:r>
      <w:r>
        <w:rPr>
          <w:rtl/>
          <w:lang w:eastAsia="zh-TW"/>
        </w:rPr>
        <w:t xml:space="preserve">أو </w:t>
      </w:r>
      <w:r w:rsidRPr="00A34560">
        <w:rPr>
          <w:rtl/>
          <w:lang w:eastAsia="zh-TW"/>
        </w:rPr>
        <w:t>الجرائم</w:t>
      </w:r>
      <w:r>
        <w:rPr>
          <w:rtl/>
          <w:lang w:eastAsia="zh-TW"/>
        </w:rPr>
        <w:t xml:space="preserve"> </w:t>
      </w:r>
      <w:r w:rsidRPr="00A34560">
        <w:rPr>
          <w:rtl/>
          <w:lang w:eastAsia="zh-TW"/>
        </w:rPr>
        <w:t>المرتكبة</w:t>
      </w:r>
      <w:r>
        <w:rPr>
          <w:rtl/>
          <w:lang w:eastAsia="zh-TW"/>
        </w:rPr>
        <w:t xml:space="preserve"> </w:t>
      </w:r>
      <w:r w:rsidRPr="00A34560">
        <w:rPr>
          <w:rtl/>
          <w:lang w:eastAsia="zh-TW"/>
        </w:rPr>
        <w:t>ضد</w:t>
      </w:r>
      <w:r>
        <w:rPr>
          <w:rtl/>
          <w:lang w:eastAsia="zh-TW"/>
        </w:rPr>
        <w:t xml:space="preserve"> </w:t>
      </w:r>
      <w:r w:rsidRPr="00A34560">
        <w:rPr>
          <w:rtl/>
          <w:lang w:eastAsia="zh-TW"/>
        </w:rPr>
        <w:t>الإنسانية</w:t>
      </w:r>
      <w:r>
        <w:rPr>
          <w:rtl/>
          <w:lang w:eastAsia="zh-TW"/>
        </w:rPr>
        <w:t xml:space="preserve"> </w:t>
      </w:r>
      <w:r w:rsidRPr="00A34560">
        <w:rPr>
          <w:rtl/>
          <w:lang w:eastAsia="zh-TW"/>
        </w:rPr>
        <w:t>أو</w:t>
      </w:r>
      <w:r>
        <w:rPr>
          <w:rtl/>
          <w:lang w:eastAsia="zh-TW"/>
        </w:rPr>
        <w:t xml:space="preserve"> </w:t>
      </w:r>
      <w:r w:rsidRPr="00A34560">
        <w:rPr>
          <w:rtl/>
          <w:lang w:eastAsia="zh-TW"/>
        </w:rPr>
        <w:t>جرائم</w:t>
      </w:r>
      <w:r>
        <w:rPr>
          <w:rtl/>
          <w:lang w:eastAsia="zh-TW"/>
        </w:rPr>
        <w:t xml:space="preserve"> </w:t>
      </w:r>
      <w:r w:rsidRPr="00A34560">
        <w:rPr>
          <w:rtl/>
          <w:lang w:eastAsia="zh-TW"/>
        </w:rPr>
        <w:t>الحرب</w:t>
      </w:r>
      <w:r>
        <w:rPr>
          <w:rtl/>
          <w:lang w:eastAsia="zh-TW"/>
        </w:rPr>
        <w:t xml:space="preserve"> أو تبريرها أو التغاضي عنها، أو الدعاية التي تحض على الكراهية وتقوم</w:t>
      </w:r>
      <w:r>
        <w:rPr>
          <w:rtl/>
          <w:lang w:eastAsia="zh-TW" w:bidi="ar-DZ"/>
        </w:rPr>
        <w:t xml:space="preserve"> على</w:t>
      </w:r>
      <w:r>
        <w:rPr>
          <w:rtl/>
          <w:lang w:eastAsia="zh-TW"/>
        </w:rPr>
        <w:t xml:space="preserve"> العنصرية أو التحريض على التمييز، لا يحظرها القانون (المواد 2 و19 و20 و26)</w:t>
      </w:r>
      <w:r>
        <w:rPr>
          <w:rtl/>
          <w:lang w:eastAsia="zh-TW" w:bidi="ar-DZ"/>
        </w:rPr>
        <w:t>.</w:t>
      </w:r>
    </w:p>
    <w:p w:rsidR="003F3175" w:rsidRPr="00471C88" w:rsidRDefault="003F3175" w:rsidP="00B65FE8">
      <w:pPr>
        <w:pStyle w:val="SingleTxtGA"/>
        <w:spacing w:line="370" w:lineRule="exact"/>
        <w:rPr>
          <w:rtl/>
          <w:lang w:eastAsia="zh-TW"/>
        </w:rPr>
      </w:pPr>
      <w:r>
        <w:rPr>
          <w:rtl/>
          <w:lang w:eastAsia="zh-TW"/>
        </w:rPr>
        <w:t>١٣-</w:t>
      </w:r>
      <w:r>
        <w:rPr>
          <w:rtl/>
          <w:lang w:eastAsia="zh-TW"/>
        </w:rPr>
        <w:tab/>
        <w:t>وبينما ترحب اللجنة بالتدابير المتخذة لمكافحة خطاب الكراهية والجرائم بدافع الكراهية، بما في ذلك إنشاء شبكة إلكترونية لموظفي الأمن من أجل تحديد خطاب الكراهية على الإنترنت والتصدي له، فإنها لا تزال تشعر بالقلق إزاء التقارير التي تفيد بوجود خطاب الكراهية، بما في ذلك في أوساط صنّاع الرأي والسياسيين، وبارتكاب جرائم بدافع الكراهية. وبينما تحيط اللجنة علماً بأن البيانات عن الجرائم المرتكبة بدافع الكراهية جُمعت في خريف عام</w:t>
      </w:r>
      <w:r>
        <w:rPr>
          <w:rFonts w:hint="cs"/>
          <w:rtl/>
          <w:lang w:eastAsia="zh-TW"/>
        </w:rPr>
        <w:t> </w:t>
      </w:r>
      <w:r>
        <w:rPr>
          <w:rtl/>
          <w:lang w:eastAsia="zh-TW"/>
        </w:rPr>
        <w:t xml:space="preserve">٢٠١٦ وبأن الدعم قد توفر لتكنولوجيا المعلومات من أجل تحسين تصنيف الحوادث التي </w:t>
      </w:r>
      <w:r>
        <w:rPr>
          <w:rtl/>
          <w:lang w:eastAsia="zh-TW"/>
        </w:rPr>
        <w:lastRenderedPageBreak/>
        <w:t>تحركها الكراهية عند تسجيل الشكاوى الجنائية، فإنها تأسف لعدم توافر بيانات محددة عن عدد الشكاوى المتعلقة بخطاب الكراهية وجرائم الكراهية، بما في ذلك على أساس الميل الجنسي والهوية الجنسانية، وعن فعالية التحقيق فيها ومحاكمة مرتكبيها (المواد ٢ و19 و20 و26).</w:t>
      </w:r>
    </w:p>
    <w:p w:rsidR="003F3175" w:rsidRPr="009918BE" w:rsidRDefault="003F3175" w:rsidP="00B65FE8">
      <w:pPr>
        <w:pStyle w:val="SingleTxtGA"/>
        <w:spacing w:line="370" w:lineRule="exact"/>
        <w:rPr>
          <w:b/>
          <w:bCs/>
          <w:rtl/>
          <w:lang w:eastAsia="zh-TW"/>
        </w:rPr>
      </w:pPr>
      <w:r>
        <w:rPr>
          <w:rtl/>
          <w:lang w:eastAsia="zh-TW"/>
        </w:rPr>
        <w:t>١٤-</w:t>
      </w:r>
      <w:r>
        <w:rPr>
          <w:rtl/>
          <w:lang w:eastAsia="zh-TW"/>
        </w:rPr>
        <w:tab/>
      </w:r>
      <w:r>
        <w:rPr>
          <w:b/>
          <w:bCs/>
          <w:rtl/>
          <w:lang w:eastAsia="zh-TW"/>
        </w:rPr>
        <w:t>ينبغي للدولة الطرف أن تكفل الحماية الفعالة من خطاب الكراهية والجرائم المرتكبة بدافع الكراهية، سواء في القانون أو في الممارسة العملية، وفق</w:t>
      </w:r>
      <w:r w:rsidR="000921EE">
        <w:rPr>
          <w:b/>
          <w:bCs/>
          <w:rtl/>
          <w:lang w:eastAsia="zh-TW"/>
        </w:rPr>
        <w:t xml:space="preserve">اً </w:t>
      </w:r>
      <w:r>
        <w:rPr>
          <w:b/>
          <w:bCs/>
          <w:rtl/>
          <w:lang w:eastAsia="zh-TW"/>
        </w:rPr>
        <w:t xml:space="preserve">للمادتين ١٩ و٢٠ من العهد وتعليق اللجنة العام رقم </w:t>
      </w:r>
      <w:r w:rsidRPr="009918BE">
        <w:rPr>
          <w:b/>
          <w:bCs/>
          <w:rtl/>
          <w:lang w:eastAsia="zh-TW"/>
        </w:rPr>
        <w:t>٣٤</w:t>
      </w:r>
      <w:r>
        <w:rPr>
          <w:b/>
          <w:bCs/>
          <w:rtl/>
          <w:lang w:eastAsia="zh-TW"/>
        </w:rPr>
        <w:t>(</w:t>
      </w:r>
      <w:r w:rsidRPr="009918BE">
        <w:rPr>
          <w:b/>
          <w:bCs/>
          <w:rtl/>
          <w:lang w:eastAsia="zh-TW"/>
        </w:rPr>
        <w:t>٢٠١١)</w:t>
      </w:r>
      <w:r>
        <w:rPr>
          <w:b/>
          <w:bCs/>
          <w:rtl/>
          <w:lang w:eastAsia="zh-TW"/>
        </w:rPr>
        <w:t xml:space="preserve"> </w:t>
      </w:r>
      <w:r w:rsidRPr="009918BE">
        <w:rPr>
          <w:b/>
          <w:bCs/>
          <w:rtl/>
          <w:lang w:eastAsia="zh-TW"/>
        </w:rPr>
        <w:t>بشأن</w:t>
      </w:r>
      <w:r>
        <w:rPr>
          <w:b/>
          <w:bCs/>
          <w:rtl/>
          <w:lang w:eastAsia="zh-TW"/>
        </w:rPr>
        <w:t xml:space="preserve"> </w:t>
      </w:r>
      <w:r w:rsidRPr="009918BE">
        <w:rPr>
          <w:b/>
          <w:bCs/>
          <w:rtl/>
          <w:lang w:eastAsia="zh-TW"/>
        </w:rPr>
        <w:t>حرية</w:t>
      </w:r>
      <w:r>
        <w:rPr>
          <w:b/>
          <w:bCs/>
          <w:rtl/>
          <w:lang w:eastAsia="zh-TW"/>
        </w:rPr>
        <w:t xml:space="preserve"> </w:t>
      </w:r>
      <w:r w:rsidRPr="009918BE">
        <w:rPr>
          <w:b/>
          <w:bCs/>
          <w:rtl/>
          <w:lang w:eastAsia="zh-TW"/>
        </w:rPr>
        <w:t>الرأي</w:t>
      </w:r>
      <w:r>
        <w:rPr>
          <w:b/>
          <w:bCs/>
          <w:rtl/>
          <w:lang w:eastAsia="zh-TW"/>
        </w:rPr>
        <w:t xml:space="preserve"> </w:t>
      </w:r>
      <w:r w:rsidRPr="009918BE">
        <w:rPr>
          <w:b/>
          <w:bCs/>
          <w:rtl/>
          <w:lang w:eastAsia="zh-TW"/>
        </w:rPr>
        <w:t>والتعبير،</w:t>
      </w:r>
      <w:r>
        <w:rPr>
          <w:b/>
          <w:bCs/>
          <w:rtl/>
          <w:lang w:eastAsia="zh-TW"/>
        </w:rPr>
        <w:t xml:space="preserve"> </w:t>
      </w:r>
      <w:r w:rsidRPr="009918BE">
        <w:rPr>
          <w:b/>
          <w:bCs/>
          <w:rtl/>
          <w:lang w:eastAsia="zh-TW"/>
        </w:rPr>
        <w:t>بما</w:t>
      </w:r>
      <w:r>
        <w:rPr>
          <w:b/>
          <w:bCs/>
          <w:rtl/>
          <w:lang w:eastAsia="zh-TW"/>
        </w:rPr>
        <w:t xml:space="preserve"> </w:t>
      </w:r>
      <w:r w:rsidRPr="009918BE">
        <w:rPr>
          <w:b/>
          <w:bCs/>
          <w:rtl/>
          <w:lang w:eastAsia="zh-TW"/>
        </w:rPr>
        <w:t>في</w:t>
      </w:r>
      <w:r>
        <w:rPr>
          <w:b/>
          <w:bCs/>
          <w:rtl/>
          <w:lang w:eastAsia="zh-TW"/>
        </w:rPr>
        <w:t xml:space="preserve"> </w:t>
      </w:r>
      <w:r w:rsidRPr="009918BE">
        <w:rPr>
          <w:b/>
          <w:bCs/>
          <w:rtl/>
          <w:lang w:eastAsia="zh-TW"/>
        </w:rPr>
        <w:t>ذلك</w:t>
      </w:r>
      <w:r>
        <w:rPr>
          <w:b/>
          <w:bCs/>
          <w:rtl/>
          <w:lang w:eastAsia="zh-TW"/>
        </w:rPr>
        <w:t xml:space="preserve"> </w:t>
      </w:r>
      <w:r w:rsidRPr="009918BE">
        <w:rPr>
          <w:b/>
          <w:bCs/>
          <w:rtl/>
          <w:lang w:eastAsia="zh-TW"/>
        </w:rPr>
        <w:t>عن</w:t>
      </w:r>
      <w:r>
        <w:rPr>
          <w:b/>
          <w:bCs/>
          <w:rtl/>
          <w:lang w:eastAsia="zh-TW"/>
        </w:rPr>
        <w:t xml:space="preserve"> </w:t>
      </w:r>
      <w:r w:rsidRPr="009918BE">
        <w:rPr>
          <w:b/>
          <w:bCs/>
          <w:rtl/>
          <w:lang w:eastAsia="zh-TW"/>
        </w:rPr>
        <w:t>طريق</w:t>
      </w:r>
      <w:r>
        <w:rPr>
          <w:b/>
          <w:bCs/>
          <w:rtl/>
          <w:lang w:eastAsia="zh-TW"/>
        </w:rPr>
        <w:t xml:space="preserve"> </w:t>
      </w:r>
      <w:r w:rsidRPr="009918BE">
        <w:rPr>
          <w:b/>
          <w:bCs/>
          <w:rtl/>
          <w:lang w:eastAsia="zh-TW"/>
        </w:rPr>
        <w:t>ما</w:t>
      </w:r>
      <w:r>
        <w:rPr>
          <w:b/>
          <w:bCs/>
          <w:rtl/>
          <w:lang w:eastAsia="zh-TW"/>
        </w:rPr>
        <w:t xml:space="preserve"> </w:t>
      </w:r>
      <w:r w:rsidRPr="009918BE">
        <w:rPr>
          <w:b/>
          <w:bCs/>
          <w:rtl/>
          <w:lang w:eastAsia="zh-TW"/>
        </w:rPr>
        <w:t>يلي:</w:t>
      </w:r>
    </w:p>
    <w:p w:rsidR="003F3175" w:rsidRPr="00EA0A33" w:rsidRDefault="003F3175" w:rsidP="00B65FE8">
      <w:pPr>
        <w:pStyle w:val="SingleTxtGA"/>
        <w:spacing w:line="370" w:lineRule="exact"/>
        <w:rPr>
          <w:b/>
          <w:bCs/>
          <w:rtl/>
          <w:lang w:eastAsia="zh-TW"/>
        </w:rPr>
      </w:pPr>
      <w:r w:rsidRPr="003F3175">
        <w:rPr>
          <w:rtl/>
          <w:lang w:eastAsia="zh-TW"/>
        </w:rPr>
        <w:tab/>
        <w:t>(أ)</w:t>
      </w:r>
      <w:r w:rsidRPr="003F3175">
        <w:rPr>
          <w:rtl/>
          <w:lang w:eastAsia="zh-TW"/>
        </w:rPr>
        <w:tab/>
      </w:r>
      <w:r>
        <w:rPr>
          <w:b/>
          <w:bCs/>
          <w:rtl/>
          <w:lang w:eastAsia="zh-TW"/>
        </w:rPr>
        <w:t>تنقيح العقوبات والعتبة المفروضة على جريمة التحريض على الكراهية أو</w:t>
      </w:r>
      <w:r w:rsidR="00AA52D5">
        <w:rPr>
          <w:rFonts w:hint="cs"/>
          <w:b/>
          <w:bCs/>
          <w:rtl/>
          <w:lang w:eastAsia="zh-TW"/>
        </w:rPr>
        <w:t> </w:t>
      </w:r>
      <w:r>
        <w:rPr>
          <w:b/>
          <w:bCs/>
          <w:rtl/>
          <w:lang w:eastAsia="zh-TW"/>
        </w:rPr>
        <w:t xml:space="preserve">العنف أو </w:t>
      </w:r>
      <w:r w:rsidRPr="009918BE">
        <w:rPr>
          <w:b/>
          <w:bCs/>
          <w:rtl/>
          <w:lang w:eastAsia="zh-TW"/>
        </w:rPr>
        <w:t>التمي</w:t>
      </w:r>
      <w:r>
        <w:rPr>
          <w:b/>
          <w:bCs/>
          <w:rtl/>
          <w:lang w:eastAsia="zh-TW"/>
        </w:rPr>
        <w:t>يز</w:t>
      </w:r>
      <w:r>
        <w:rPr>
          <w:rtl/>
          <w:lang w:eastAsia="zh-TW"/>
        </w:rPr>
        <w:t xml:space="preserve"> </w:t>
      </w:r>
      <w:r>
        <w:rPr>
          <w:b/>
          <w:bCs/>
          <w:rtl/>
          <w:lang w:eastAsia="zh-TW"/>
        </w:rPr>
        <w:t>بموجب المادة ١٥١ من قانون العقوبات</w:t>
      </w:r>
      <w:r w:rsidRPr="009918BE">
        <w:rPr>
          <w:b/>
          <w:bCs/>
          <w:rtl/>
          <w:lang w:eastAsia="zh-TW"/>
        </w:rPr>
        <w:t>؛</w:t>
      </w:r>
    </w:p>
    <w:p w:rsidR="003F3175" w:rsidRPr="00EA0A33" w:rsidRDefault="003F3175" w:rsidP="00B65FE8">
      <w:pPr>
        <w:pStyle w:val="SingleTxtGA"/>
        <w:spacing w:line="370" w:lineRule="exact"/>
        <w:rPr>
          <w:b/>
          <w:bCs/>
          <w:rtl/>
          <w:lang w:eastAsia="zh-TW"/>
        </w:rPr>
      </w:pPr>
      <w:r>
        <w:rPr>
          <w:rtl/>
          <w:lang w:eastAsia="zh-TW"/>
        </w:rPr>
        <w:tab/>
        <w:t>(ب)</w:t>
      </w:r>
      <w:r>
        <w:rPr>
          <w:b/>
          <w:bCs/>
          <w:rtl/>
          <w:lang w:eastAsia="zh-TW"/>
        </w:rPr>
        <w:tab/>
        <w:t>إدراج الهوية الجنسانية ضمن الأسس المحظورة للجرائم المرتكبة بدافع الكراهية المنصوص عليها في المادتين 151 و١٥٢ من قانون العقوبات</w:t>
      </w:r>
      <w:r>
        <w:rPr>
          <w:rtl/>
          <w:lang w:eastAsia="zh-TW"/>
        </w:rPr>
        <w:t>؛</w:t>
      </w:r>
    </w:p>
    <w:p w:rsidR="003F3175" w:rsidRPr="00EA0A33" w:rsidRDefault="003F3175" w:rsidP="00B65FE8">
      <w:pPr>
        <w:pStyle w:val="SingleTxtGA"/>
        <w:spacing w:line="370" w:lineRule="exact"/>
        <w:rPr>
          <w:b/>
          <w:bCs/>
          <w:rtl/>
          <w:lang w:eastAsia="zh-TW"/>
        </w:rPr>
      </w:pPr>
      <w:r>
        <w:rPr>
          <w:rtl/>
          <w:lang w:eastAsia="zh-TW"/>
        </w:rPr>
        <w:tab/>
        <w:t>(ج)</w:t>
      </w:r>
      <w:r>
        <w:rPr>
          <w:b/>
          <w:bCs/>
          <w:rtl/>
          <w:lang w:eastAsia="zh-TW"/>
        </w:rPr>
        <w:tab/>
        <w:t>الإقرار بدوافع الكراهية، بما في ذلك على أساس الميل الجنسي والهوية الجنسانية، باعتبارها ظروف</w:t>
      </w:r>
      <w:r w:rsidR="000921EE">
        <w:rPr>
          <w:b/>
          <w:bCs/>
          <w:rtl/>
          <w:lang w:eastAsia="zh-TW"/>
        </w:rPr>
        <w:t xml:space="preserve">اً </w:t>
      </w:r>
      <w:r>
        <w:rPr>
          <w:b/>
          <w:bCs/>
          <w:rtl/>
          <w:lang w:eastAsia="zh-TW"/>
        </w:rPr>
        <w:t xml:space="preserve">مشددة للعقوبة فيما يخص </w:t>
      </w:r>
      <w:r w:rsidRPr="009918BE">
        <w:rPr>
          <w:b/>
          <w:bCs/>
          <w:rtl/>
          <w:lang w:eastAsia="zh-TW"/>
        </w:rPr>
        <w:t>جميع</w:t>
      </w:r>
      <w:r>
        <w:rPr>
          <w:b/>
          <w:bCs/>
          <w:rtl/>
          <w:lang w:eastAsia="zh-TW"/>
        </w:rPr>
        <w:t xml:space="preserve"> </w:t>
      </w:r>
      <w:r w:rsidRPr="009918BE">
        <w:rPr>
          <w:b/>
          <w:bCs/>
          <w:rtl/>
          <w:lang w:eastAsia="zh-TW"/>
        </w:rPr>
        <w:t>الجرائم؛</w:t>
      </w:r>
    </w:p>
    <w:p w:rsidR="003F3175" w:rsidRDefault="003F3175" w:rsidP="00B65FE8">
      <w:pPr>
        <w:pStyle w:val="SingleTxtGA"/>
        <w:spacing w:line="370" w:lineRule="exact"/>
        <w:rPr>
          <w:b/>
          <w:bCs/>
          <w:rtl/>
          <w:lang w:eastAsia="zh-TW"/>
        </w:rPr>
      </w:pPr>
      <w:r>
        <w:rPr>
          <w:rtl/>
          <w:lang w:eastAsia="zh-TW"/>
        </w:rPr>
        <w:tab/>
        <w:t>(د)</w:t>
      </w:r>
      <w:r>
        <w:rPr>
          <w:b/>
          <w:bCs/>
          <w:rtl/>
          <w:lang w:eastAsia="zh-TW"/>
        </w:rPr>
        <w:tab/>
        <w:t>إصدار قانون لحظر</w:t>
      </w:r>
      <w:r>
        <w:rPr>
          <w:rtl/>
        </w:rPr>
        <w:t xml:space="preserve"> </w:t>
      </w:r>
      <w:r w:rsidRPr="009918BE">
        <w:rPr>
          <w:b/>
          <w:bCs/>
          <w:rtl/>
          <w:lang w:eastAsia="zh-TW"/>
        </w:rPr>
        <w:t>الإنكار</w:t>
      </w:r>
      <w:r>
        <w:rPr>
          <w:b/>
          <w:bCs/>
          <w:rtl/>
          <w:lang w:eastAsia="zh-TW"/>
        </w:rPr>
        <w:t xml:space="preserve"> </w:t>
      </w:r>
      <w:r w:rsidRPr="009918BE">
        <w:rPr>
          <w:b/>
          <w:bCs/>
          <w:rtl/>
          <w:lang w:eastAsia="zh-TW"/>
        </w:rPr>
        <w:t>العلني</w:t>
      </w:r>
      <w:r>
        <w:rPr>
          <w:b/>
          <w:bCs/>
          <w:rtl/>
          <w:lang w:eastAsia="zh-TW"/>
        </w:rPr>
        <w:t xml:space="preserve"> </w:t>
      </w:r>
      <w:r w:rsidRPr="009918BE">
        <w:rPr>
          <w:b/>
          <w:bCs/>
          <w:rtl/>
          <w:lang w:eastAsia="zh-TW"/>
        </w:rPr>
        <w:t>لجرائم</w:t>
      </w:r>
      <w:r>
        <w:rPr>
          <w:b/>
          <w:bCs/>
          <w:rtl/>
          <w:lang w:eastAsia="zh-TW"/>
        </w:rPr>
        <w:t xml:space="preserve"> </w:t>
      </w:r>
      <w:r w:rsidRPr="009918BE">
        <w:rPr>
          <w:b/>
          <w:bCs/>
          <w:rtl/>
          <w:lang w:eastAsia="zh-TW"/>
        </w:rPr>
        <w:t>الإبادة</w:t>
      </w:r>
      <w:r>
        <w:rPr>
          <w:b/>
          <w:bCs/>
          <w:rtl/>
          <w:lang w:eastAsia="zh-TW"/>
        </w:rPr>
        <w:t xml:space="preserve"> </w:t>
      </w:r>
      <w:r w:rsidRPr="009918BE">
        <w:rPr>
          <w:b/>
          <w:bCs/>
          <w:rtl/>
          <w:lang w:eastAsia="zh-TW"/>
        </w:rPr>
        <w:t>الجماعية</w:t>
      </w:r>
      <w:r>
        <w:rPr>
          <w:b/>
          <w:bCs/>
          <w:rtl/>
          <w:lang w:eastAsia="zh-TW"/>
        </w:rPr>
        <w:t xml:space="preserve"> </w:t>
      </w:r>
      <w:r w:rsidRPr="009918BE">
        <w:rPr>
          <w:b/>
          <w:bCs/>
          <w:rtl/>
          <w:lang w:eastAsia="zh-TW"/>
        </w:rPr>
        <w:t>أو</w:t>
      </w:r>
      <w:r>
        <w:rPr>
          <w:b/>
          <w:bCs/>
          <w:rtl/>
          <w:lang w:eastAsia="zh-TW"/>
        </w:rPr>
        <w:t xml:space="preserve"> </w:t>
      </w:r>
      <w:r w:rsidRPr="009918BE">
        <w:rPr>
          <w:b/>
          <w:bCs/>
          <w:rtl/>
          <w:lang w:eastAsia="zh-TW"/>
        </w:rPr>
        <w:t>الجرائم</w:t>
      </w:r>
      <w:r>
        <w:rPr>
          <w:b/>
          <w:bCs/>
          <w:rtl/>
          <w:lang w:eastAsia="zh-TW"/>
        </w:rPr>
        <w:t xml:space="preserve"> </w:t>
      </w:r>
      <w:r w:rsidRPr="009918BE">
        <w:rPr>
          <w:b/>
          <w:bCs/>
          <w:rtl/>
          <w:lang w:eastAsia="zh-TW"/>
        </w:rPr>
        <w:t>المرتكبة</w:t>
      </w:r>
      <w:r>
        <w:rPr>
          <w:b/>
          <w:bCs/>
          <w:rtl/>
          <w:lang w:eastAsia="zh-TW"/>
        </w:rPr>
        <w:t xml:space="preserve"> </w:t>
      </w:r>
      <w:r w:rsidRPr="009918BE">
        <w:rPr>
          <w:b/>
          <w:bCs/>
          <w:rtl/>
          <w:lang w:eastAsia="zh-TW"/>
        </w:rPr>
        <w:t>ضد</w:t>
      </w:r>
      <w:r>
        <w:rPr>
          <w:b/>
          <w:bCs/>
          <w:rtl/>
          <w:lang w:eastAsia="zh-TW"/>
        </w:rPr>
        <w:t xml:space="preserve"> </w:t>
      </w:r>
      <w:r w:rsidRPr="009918BE">
        <w:rPr>
          <w:b/>
          <w:bCs/>
          <w:rtl/>
          <w:lang w:eastAsia="zh-TW"/>
        </w:rPr>
        <w:t>الإنسانية</w:t>
      </w:r>
      <w:r>
        <w:rPr>
          <w:b/>
          <w:bCs/>
          <w:rtl/>
          <w:lang w:eastAsia="zh-TW"/>
        </w:rPr>
        <w:t xml:space="preserve"> </w:t>
      </w:r>
      <w:r w:rsidRPr="009918BE">
        <w:rPr>
          <w:b/>
          <w:bCs/>
          <w:rtl/>
          <w:lang w:eastAsia="zh-TW"/>
        </w:rPr>
        <w:t>أو</w:t>
      </w:r>
      <w:r>
        <w:rPr>
          <w:b/>
          <w:bCs/>
          <w:rtl/>
          <w:lang w:eastAsia="zh-TW"/>
        </w:rPr>
        <w:t xml:space="preserve"> </w:t>
      </w:r>
      <w:r w:rsidRPr="009918BE">
        <w:rPr>
          <w:b/>
          <w:bCs/>
          <w:rtl/>
          <w:lang w:eastAsia="zh-TW"/>
        </w:rPr>
        <w:t>جرائم</w:t>
      </w:r>
      <w:r>
        <w:rPr>
          <w:b/>
          <w:bCs/>
          <w:rtl/>
          <w:lang w:eastAsia="zh-TW"/>
        </w:rPr>
        <w:t xml:space="preserve"> </w:t>
      </w:r>
      <w:r w:rsidRPr="009918BE">
        <w:rPr>
          <w:b/>
          <w:bCs/>
          <w:rtl/>
          <w:lang w:eastAsia="zh-TW"/>
        </w:rPr>
        <w:t>الحرب</w:t>
      </w:r>
      <w:r>
        <w:rPr>
          <w:b/>
          <w:bCs/>
          <w:rtl/>
          <w:lang w:eastAsia="zh-TW"/>
        </w:rPr>
        <w:t xml:space="preserve"> </w:t>
      </w:r>
      <w:r w:rsidRPr="009918BE">
        <w:rPr>
          <w:b/>
          <w:bCs/>
          <w:rtl/>
          <w:lang w:eastAsia="zh-TW"/>
        </w:rPr>
        <w:t>أو</w:t>
      </w:r>
      <w:r>
        <w:rPr>
          <w:b/>
          <w:bCs/>
          <w:rtl/>
          <w:lang w:eastAsia="zh-TW"/>
        </w:rPr>
        <w:t xml:space="preserve"> </w:t>
      </w:r>
      <w:r w:rsidRPr="009918BE">
        <w:rPr>
          <w:b/>
          <w:bCs/>
          <w:rtl/>
          <w:lang w:eastAsia="zh-TW"/>
        </w:rPr>
        <w:t>تبريرها</w:t>
      </w:r>
      <w:r>
        <w:rPr>
          <w:b/>
          <w:bCs/>
          <w:rtl/>
          <w:lang w:eastAsia="zh-TW"/>
        </w:rPr>
        <w:t xml:space="preserve"> </w:t>
      </w:r>
      <w:r w:rsidRPr="009918BE">
        <w:rPr>
          <w:b/>
          <w:bCs/>
          <w:rtl/>
          <w:lang w:eastAsia="zh-TW"/>
        </w:rPr>
        <w:t>أو</w:t>
      </w:r>
      <w:r>
        <w:rPr>
          <w:b/>
          <w:bCs/>
          <w:rtl/>
          <w:lang w:eastAsia="zh-TW"/>
        </w:rPr>
        <w:t xml:space="preserve"> </w:t>
      </w:r>
      <w:r w:rsidRPr="009918BE">
        <w:rPr>
          <w:b/>
          <w:bCs/>
          <w:rtl/>
          <w:lang w:eastAsia="zh-TW"/>
        </w:rPr>
        <w:t>التغاضي</w:t>
      </w:r>
      <w:r>
        <w:rPr>
          <w:b/>
          <w:bCs/>
          <w:rtl/>
          <w:lang w:eastAsia="zh-TW"/>
        </w:rPr>
        <w:t xml:space="preserve"> </w:t>
      </w:r>
      <w:r w:rsidRPr="009918BE">
        <w:rPr>
          <w:b/>
          <w:bCs/>
          <w:rtl/>
          <w:lang w:eastAsia="zh-TW"/>
        </w:rPr>
        <w:t>عنها،</w:t>
      </w:r>
      <w:r>
        <w:rPr>
          <w:b/>
          <w:bCs/>
          <w:rtl/>
          <w:lang w:eastAsia="zh-TW"/>
        </w:rPr>
        <w:t xml:space="preserve"> </w:t>
      </w:r>
      <w:r w:rsidRPr="009918BE">
        <w:rPr>
          <w:b/>
          <w:bCs/>
          <w:rtl/>
          <w:lang w:eastAsia="zh-TW"/>
        </w:rPr>
        <w:t>أو</w:t>
      </w:r>
      <w:r>
        <w:rPr>
          <w:b/>
          <w:bCs/>
          <w:rtl/>
          <w:lang w:eastAsia="zh-TW"/>
        </w:rPr>
        <w:t xml:space="preserve"> </w:t>
      </w:r>
      <w:r w:rsidRPr="009918BE">
        <w:rPr>
          <w:b/>
          <w:bCs/>
          <w:rtl/>
          <w:lang w:eastAsia="zh-TW"/>
        </w:rPr>
        <w:t>الدعاية</w:t>
      </w:r>
      <w:r>
        <w:rPr>
          <w:b/>
          <w:bCs/>
          <w:rtl/>
          <w:lang w:eastAsia="zh-TW"/>
        </w:rPr>
        <w:t xml:space="preserve"> </w:t>
      </w:r>
      <w:r w:rsidRPr="009918BE">
        <w:rPr>
          <w:b/>
          <w:bCs/>
          <w:rtl/>
          <w:lang w:eastAsia="zh-TW"/>
        </w:rPr>
        <w:t>التي</w:t>
      </w:r>
      <w:r>
        <w:rPr>
          <w:b/>
          <w:bCs/>
          <w:rtl/>
          <w:lang w:eastAsia="zh-TW"/>
        </w:rPr>
        <w:t xml:space="preserve"> </w:t>
      </w:r>
      <w:r w:rsidRPr="009918BE">
        <w:rPr>
          <w:b/>
          <w:bCs/>
          <w:rtl/>
          <w:lang w:eastAsia="zh-TW"/>
        </w:rPr>
        <w:t>تحض</w:t>
      </w:r>
      <w:r>
        <w:rPr>
          <w:b/>
          <w:bCs/>
          <w:rtl/>
          <w:lang w:eastAsia="zh-TW"/>
        </w:rPr>
        <w:t xml:space="preserve"> </w:t>
      </w:r>
      <w:r w:rsidRPr="009918BE">
        <w:rPr>
          <w:b/>
          <w:bCs/>
          <w:rtl/>
          <w:lang w:eastAsia="zh-TW"/>
        </w:rPr>
        <w:t>على</w:t>
      </w:r>
      <w:r>
        <w:rPr>
          <w:b/>
          <w:bCs/>
          <w:rtl/>
          <w:lang w:eastAsia="zh-TW"/>
        </w:rPr>
        <w:t xml:space="preserve"> </w:t>
      </w:r>
      <w:r w:rsidRPr="009918BE">
        <w:rPr>
          <w:b/>
          <w:bCs/>
          <w:rtl/>
          <w:lang w:eastAsia="zh-TW"/>
        </w:rPr>
        <w:t>ا</w:t>
      </w:r>
      <w:r>
        <w:rPr>
          <w:b/>
          <w:bCs/>
          <w:rtl/>
          <w:lang w:eastAsia="zh-TW"/>
        </w:rPr>
        <w:t>لكراهية وتقوم على العنصرية أو تحر</w:t>
      </w:r>
      <w:r w:rsidRPr="009918BE">
        <w:rPr>
          <w:b/>
          <w:bCs/>
          <w:rtl/>
          <w:lang w:eastAsia="zh-TW"/>
        </w:rPr>
        <w:t>ض</w:t>
      </w:r>
      <w:r>
        <w:rPr>
          <w:b/>
          <w:bCs/>
          <w:rtl/>
          <w:lang w:eastAsia="zh-TW"/>
        </w:rPr>
        <w:t xml:space="preserve"> </w:t>
      </w:r>
      <w:r w:rsidRPr="009918BE">
        <w:rPr>
          <w:b/>
          <w:bCs/>
          <w:rtl/>
          <w:lang w:eastAsia="zh-TW"/>
        </w:rPr>
        <w:t>على</w:t>
      </w:r>
      <w:r>
        <w:rPr>
          <w:b/>
          <w:bCs/>
          <w:rtl/>
          <w:lang w:eastAsia="zh-TW"/>
        </w:rPr>
        <w:t xml:space="preserve"> </w:t>
      </w:r>
      <w:r w:rsidRPr="009918BE">
        <w:rPr>
          <w:b/>
          <w:bCs/>
          <w:rtl/>
          <w:lang w:eastAsia="zh-TW"/>
        </w:rPr>
        <w:t>التمييز</w:t>
      </w:r>
      <w:r>
        <w:rPr>
          <w:b/>
          <w:bCs/>
          <w:rtl/>
          <w:lang w:eastAsia="zh-TW"/>
        </w:rPr>
        <w:t>؛</w:t>
      </w:r>
    </w:p>
    <w:p w:rsidR="003F3175" w:rsidRPr="00EA0A33" w:rsidRDefault="003F3175" w:rsidP="00B65FE8">
      <w:pPr>
        <w:pStyle w:val="SingleTxtGA"/>
        <w:spacing w:line="370" w:lineRule="exact"/>
        <w:rPr>
          <w:b/>
          <w:bCs/>
          <w:rtl/>
          <w:lang w:eastAsia="zh-TW"/>
        </w:rPr>
      </w:pPr>
      <w:r>
        <w:rPr>
          <w:rtl/>
          <w:lang w:eastAsia="zh-TW"/>
        </w:rPr>
        <w:tab/>
        <w:t>(هـ)</w:t>
      </w:r>
      <w:r>
        <w:rPr>
          <w:b/>
          <w:bCs/>
          <w:rtl/>
          <w:lang w:eastAsia="zh-TW"/>
        </w:rPr>
        <w:tab/>
        <w:t xml:space="preserve">الاضطلاع </w:t>
      </w:r>
      <w:r w:rsidRPr="001B0BBD">
        <w:rPr>
          <w:b/>
          <w:bCs/>
          <w:rtl/>
          <w:lang w:eastAsia="zh-TW"/>
        </w:rPr>
        <w:t>بأنشطة</w:t>
      </w:r>
      <w:r>
        <w:rPr>
          <w:b/>
          <w:bCs/>
          <w:rtl/>
          <w:lang w:eastAsia="zh-TW"/>
        </w:rPr>
        <w:t xml:space="preserve"> </w:t>
      </w:r>
      <w:r w:rsidRPr="001B0BBD">
        <w:rPr>
          <w:b/>
          <w:bCs/>
          <w:rtl/>
          <w:lang w:eastAsia="zh-TW"/>
        </w:rPr>
        <w:t>منتظمة</w:t>
      </w:r>
      <w:r>
        <w:rPr>
          <w:b/>
          <w:bCs/>
          <w:rtl/>
          <w:lang w:eastAsia="zh-TW"/>
        </w:rPr>
        <w:t xml:space="preserve"> </w:t>
      </w:r>
      <w:r w:rsidRPr="001B0BBD">
        <w:rPr>
          <w:b/>
          <w:bCs/>
          <w:rtl/>
          <w:lang w:eastAsia="zh-TW"/>
        </w:rPr>
        <w:t>ل</w:t>
      </w:r>
      <w:r>
        <w:rPr>
          <w:b/>
          <w:bCs/>
          <w:rtl/>
          <w:lang w:eastAsia="zh-TW"/>
        </w:rPr>
        <w:t xml:space="preserve">زيادة الوعي بين الجمهور عموماً بغية </w:t>
      </w:r>
      <w:r w:rsidRPr="001B0BBD">
        <w:rPr>
          <w:b/>
          <w:bCs/>
          <w:rtl/>
          <w:lang w:eastAsia="zh-TW"/>
        </w:rPr>
        <w:t>تعزي</w:t>
      </w:r>
      <w:r>
        <w:rPr>
          <w:b/>
          <w:bCs/>
          <w:rtl/>
          <w:lang w:eastAsia="zh-TW"/>
        </w:rPr>
        <w:t>ز التسامح واحترام التنوع ومكافحة ا</w:t>
      </w:r>
      <w:r w:rsidRPr="001B0BBD">
        <w:rPr>
          <w:b/>
          <w:bCs/>
          <w:rtl/>
          <w:lang w:eastAsia="zh-TW"/>
        </w:rPr>
        <w:t>لكراهية؛</w:t>
      </w:r>
      <w:r>
        <w:rPr>
          <w:b/>
          <w:bCs/>
          <w:rtl/>
          <w:lang w:eastAsia="zh-TW"/>
        </w:rPr>
        <w:t xml:space="preserve"> وك</w:t>
      </w:r>
      <w:r w:rsidRPr="001B0BBD">
        <w:rPr>
          <w:b/>
          <w:bCs/>
          <w:rtl/>
          <w:lang w:eastAsia="zh-TW"/>
        </w:rPr>
        <w:t>فالة</w:t>
      </w:r>
      <w:r>
        <w:rPr>
          <w:b/>
          <w:bCs/>
          <w:rtl/>
          <w:lang w:eastAsia="zh-TW"/>
        </w:rPr>
        <w:t xml:space="preserve"> </w:t>
      </w:r>
      <w:r w:rsidRPr="001B0BBD">
        <w:rPr>
          <w:b/>
          <w:bCs/>
          <w:rtl/>
          <w:lang w:eastAsia="zh-TW"/>
        </w:rPr>
        <w:t>التدر</w:t>
      </w:r>
      <w:r>
        <w:rPr>
          <w:b/>
          <w:bCs/>
          <w:rtl/>
          <w:lang w:eastAsia="zh-TW"/>
        </w:rPr>
        <w:t xml:space="preserve">يب المستمر بشأن جرائم الكراهية في صفوف موظفي </w:t>
      </w:r>
      <w:r w:rsidRPr="001B0BBD">
        <w:rPr>
          <w:b/>
          <w:bCs/>
          <w:rtl/>
          <w:lang w:eastAsia="zh-TW"/>
        </w:rPr>
        <w:t>إنفاذ</w:t>
      </w:r>
      <w:r>
        <w:rPr>
          <w:b/>
          <w:bCs/>
          <w:rtl/>
          <w:lang w:eastAsia="zh-TW"/>
        </w:rPr>
        <w:t xml:space="preserve"> </w:t>
      </w:r>
      <w:r w:rsidRPr="001B0BBD">
        <w:rPr>
          <w:b/>
          <w:bCs/>
          <w:rtl/>
          <w:lang w:eastAsia="zh-TW"/>
        </w:rPr>
        <w:t>القانون</w:t>
      </w:r>
      <w:r>
        <w:rPr>
          <w:b/>
          <w:bCs/>
          <w:rtl/>
          <w:lang w:eastAsia="zh-TW"/>
        </w:rPr>
        <w:t xml:space="preserve">، </w:t>
      </w:r>
      <w:r w:rsidRPr="001B0BBD">
        <w:rPr>
          <w:b/>
          <w:bCs/>
          <w:rtl/>
          <w:lang w:eastAsia="zh-TW"/>
        </w:rPr>
        <w:t>وحرس</w:t>
      </w:r>
      <w:r>
        <w:rPr>
          <w:b/>
          <w:bCs/>
          <w:rtl/>
          <w:lang w:eastAsia="zh-TW"/>
        </w:rPr>
        <w:t xml:space="preserve"> </w:t>
      </w:r>
      <w:r w:rsidRPr="001B0BBD">
        <w:rPr>
          <w:b/>
          <w:bCs/>
          <w:rtl/>
          <w:lang w:eastAsia="zh-TW"/>
        </w:rPr>
        <w:t>الحدود</w:t>
      </w:r>
      <w:r>
        <w:rPr>
          <w:b/>
          <w:bCs/>
          <w:rtl/>
          <w:lang w:eastAsia="zh-TW"/>
        </w:rPr>
        <w:t xml:space="preserve">، </w:t>
      </w:r>
      <w:r w:rsidRPr="001B0BBD">
        <w:rPr>
          <w:b/>
          <w:bCs/>
          <w:rtl/>
          <w:lang w:eastAsia="zh-TW"/>
        </w:rPr>
        <w:t>والمدعين</w:t>
      </w:r>
      <w:r>
        <w:rPr>
          <w:b/>
          <w:bCs/>
          <w:rtl/>
          <w:lang w:eastAsia="zh-TW"/>
        </w:rPr>
        <w:t xml:space="preserve"> </w:t>
      </w:r>
      <w:r w:rsidRPr="001B0BBD">
        <w:rPr>
          <w:b/>
          <w:bCs/>
          <w:rtl/>
          <w:lang w:eastAsia="zh-TW"/>
        </w:rPr>
        <w:t>العامين</w:t>
      </w:r>
      <w:r>
        <w:rPr>
          <w:b/>
          <w:bCs/>
          <w:rtl/>
          <w:lang w:eastAsia="zh-TW"/>
        </w:rPr>
        <w:t xml:space="preserve"> </w:t>
      </w:r>
      <w:r w:rsidRPr="001B0BBD">
        <w:rPr>
          <w:b/>
          <w:bCs/>
          <w:rtl/>
          <w:lang w:eastAsia="zh-TW"/>
        </w:rPr>
        <w:t>والقضاة؛</w:t>
      </w:r>
      <w:r>
        <w:rPr>
          <w:b/>
          <w:bCs/>
          <w:rtl/>
          <w:lang w:eastAsia="zh-TW"/>
        </w:rPr>
        <w:t xml:space="preserve"> وزيادة </w:t>
      </w:r>
      <w:r w:rsidRPr="001B0BBD">
        <w:rPr>
          <w:b/>
          <w:bCs/>
          <w:rtl/>
          <w:lang w:eastAsia="zh-TW"/>
        </w:rPr>
        <w:t>عدد</w:t>
      </w:r>
      <w:r>
        <w:rPr>
          <w:b/>
          <w:bCs/>
          <w:rtl/>
          <w:lang w:eastAsia="zh-TW"/>
        </w:rPr>
        <w:t xml:space="preserve"> موظفي الأمن العاملين على </w:t>
      </w:r>
      <w:r w:rsidRPr="001B0BBD">
        <w:rPr>
          <w:b/>
          <w:bCs/>
          <w:rtl/>
          <w:lang w:eastAsia="zh-TW"/>
        </w:rPr>
        <w:t>شبكة</w:t>
      </w:r>
      <w:r>
        <w:rPr>
          <w:b/>
          <w:bCs/>
          <w:rtl/>
          <w:lang w:eastAsia="zh-TW"/>
        </w:rPr>
        <w:t xml:space="preserve"> الإنترنت</w:t>
      </w:r>
      <w:r w:rsidRPr="001B0BBD">
        <w:rPr>
          <w:b/>
          <w:bCs/>
          <w:rtl/>
          <w:lang w:eastAsia="zh-TW"/>
        </w:rPr>
        <w:t>،</w:t>
      </w:r>
      <w:r>
        <w:rPr>
          <w:b/>
          <w:bCs/>
          <w:rtl/>
          <w:lang w:eastAsia="zh-TW"/>
        </w:rPr>
        <w:t xml:space="preserve"> </w:t>
      </w:r>
      <w:r w:rsidRPr="001B0BBD">
        <w:rPr>
          <w:b/>
          <w:bCs/>
          <w:rtl/>
          <w:lang w:eastAsia="zh-TW"/>
        </w:rPr>
        <w:t>على</w:t>
      </w:r>
      <w:r>
        <w:rPr>
          <w:b/>
          <w:bCs/>
          <w:rtl/>
          <w:lang w:eastAsia="zh-TW"/>
        </w:rPr>
        <w:t xml:space="preserve"> </w:t>
      </w:r>
      <w:r w:rsidRPr="001B0BBD">
        <w:rPr>
          <w:b/>
          <w:bCs/>
          <w:rtl/>
          <w:lang w:eastAsia="zh-TW"/>
        </w:rPr>
        <w:t>النحو</w:t>
      </w:r>
      <w:r>
        <w:rPr>
          <w:b/>
          <w:bCs/>
          <w:rtl/>
          <w:lang w:eastAsia="zh-TW"/>
        </w:rPr>
        <w:t xml:space="preserve"> </w:t>
      </w:r>
      <w:r w:rsidRPr="001B0BBD">
        <w:rPr>
          <w:b/>
          <w:bCs/>
          <w:rtl/>
          <w:lang w:eastAsia="zh-TW"/>
        </w:rPr>
        <w:t>المقرر؛</w:t>
      </w:r>
      <w:r>
        <w:rPr>
          <w:rtl/>
          <w:lang w:eastAsia="zh-TW"/>
        </w:rPr>
        <w:t xml:space="preserve"> </w:t>
      </w:r>
    </w:p>
    <w:p w:rsidR="003F3175" w:rsidRPr="006D725E" w:rsidRDefault="003F3175" w:rsidP="00B65FE8">
      <w:pPr>
        <w:pStyle w:val="SingleTxtGA"/>
        <w:spacing w:line="370" w:lineRule="exact"/>
        <w:rPr>
          <w:b/>
          <w:bCs/>
          <w:rtl/>
          <w:lang w:eastAsia="zh-TW"/>
        </w:rPr>
      </w:pPr>
      <w:r>
        <w:rPr>
          <w:rtl/>
          <w:lang w:eastAsia="zh-TW"/>
        </w:rPr>
        <w:tab/>
        <w:t>(و)</w:t>
      </w:r>
      <w:r>
        <w:rPr>
          <w:b/>
          <w:bCs/>
          <w:rtl/>
          <w:lang w:eastAsia="zh-TW"/>
        </w:rPr>
        <w:tab/>
        <w:t xml:space="preserve">التحقيق بفعالية </w:t>
      </w:r>
      <w:r w:rsidRPr="006D725E">
        <w:rPr>
          <w:b/>
          <w:bCs/>
          <w:rtl/>
          <w:lang w:eastAsia="zh-TW"/>
        </w:rPr>
        <w:t>في</w:t>
      </w:r>
      <w:r>
        <w:rPr>
          <w:b/>
          <w:bCs/>
          <w:rtl/>
          <w:lang w:eastAsia="zh-TW"/>
        </w:rPr>
        <w:t xml:space="preserve"> ال</w:t>
      </w:r>
      <w:r w:rsidRPr="006D725E">
        <w:rPr>
          <w:b/>
          <w:bCs/>
          <w:rtl/>
          <w:lang w:eastAsia="zh-TW"/>
        </w:rPr>
        <w:t>جرائم</w:t>
      </w:r>
      <w:r>
        <w:rPr>
          <w:b/>
          <w:bCs/>
          <w:rtl/>
          <w:lang w:eastAsia="zh-TW"/>
        </w:rPr>
        <w:t xml:space="preserve"> المرتكبة بدافع </w:t>
      </w:r>
      <w:r w:rsidRPr="006D725E">
        <w:rPr>
          <w:b/>
          <w:bCs/>
          <w:rtl/>
          <w:lang w:eastAsia="zh-TW"/>
        </w:rPr>
        <w:t>الكرا</w:t>
      </w:r>
      <w:r>
        <w:rPr>
          <w:b/>
          <w:bCs/>
          <w:rtl/>
          <w:lang w:eastAsia="zh-TW"/>
        </w:rPr>
        <w:t xml:space="preserve">هية، ومقاضاة الجناة المشتبه فيهم حسب </w:t>
      </w:r>
      <w:r w:rsidRPr="006D725E">
        <w:rPr>
          <w:b/>
          <w:bCs/>
          <w:rtl/>
          <w:lang w:eastAsia="zh-TW"/>
        </w:rPr>
        <w:t>الاقتضاء</w:t>
      </w:r>
      <w:r>
        <w:rPr>
          <w:b/>
          <w:bCs/>
          <w:rtl/>
          <w:lang w:eastAsia="zh-TW"/>
        </w:rPr>
        <w:t>، ومعاقبتهم في حال إدانتهم بالعقوبات المناسبة</w:t>
      </w:r>
      <w:r w:rsidRPr="006D725E">
        <w:rPr>
          <w:b/>
          <w:bCs/>
          <w:rtl/>
          <w:lang w:eastAsia="zh-TW"/>
        </w:rPr>
        <w:t>؛</w:t>
      </w:r>
      <w:r>
        <w:rPr>
          <w:b/>
          <w:bCs/>
          <w:rtl/>
          <w:lang w:eastAsia="zh-TW"/>
        </w:rPr>
        <w:t xml:space="preserve"> </w:t>
      </w:r>
      <w:r w:rsidRPr="006D725E">
        <w:rPr>
          <w:b/>
          <w:bCs/>
          <w:rtl/>
          <w:lang w:eastAsia="zh-TW"/>
        </w:rPr>
        <w:t>وتوفير</w:t>
      </w:r>
      <w:r>
        <w:rPr>
          <w:b/>
          <w:bCs/>
          <w:rtl/>
          <w:lang w:eastAsia="zh-TW"/>
        </w:rPr>
        <w:t xml:space="preserve"> </w:t>
      </w:r>
      <w:r w:rsidRPr="006D725E">
        <w:rPr>
          <w:b/>
          <w:bCs/>
          <w:rtl/>
          <w:lang w:eastAsia="zh-TW"/>
        </w:rPr>
        <w:t>سبل</w:t>
      </w:r>
      <w:r>
        <w:rPr>
          <w:b/>
          <w:bCs/>
          <w:rtl/>
          <w:lang w:eastAsia="zh-TW"/>
        </w:rPr>
        <w:t xml:space="preserve"> </w:t>
      </w:r>
      <w:r w:rsidRPr="006D725E">
        <w:rPr>
          <w:b/>
          <w:bCs/>
          <w:rtl/>
          <w:lang w:eastAsia="zh-TW"/>
        </w:rPr>
        <w:t>انتصاف</w:t>
      </w:r>
      <w:r>
        <w:rPr>
          <w:b/>
          <w:bCs/>
          <w:rtl/>
          <w:lang w:eastAsia="zh-TW"/>
        </w:rPr>
        <w:t xml:space="preserve"> </w:t>
      </w:r>
      <w:r w:rsidRPr="006D725E">
        <w:rPr>
          <w:b/>
          <w:bCs/>
          <w:rtl/>
          <w:lang w:eastAsia="zh-TW"/>
        </w:rPr>
        <w:t>كافية</w:t>
      </w:r>
      <w:r>
        <w:rPr>
          <w:b/>
          <w:bCs/>
          <w:rtl/>
          <w:lang w:eastAsia="zh-TW"/>
        </w:rPr>
        <w:t xml:space="preserve"> </w:t>
      </w:r>
      <w:r w:rsidRPr="006D725E">
        <w:rPr>
          <w:b/>
          <w:bCs/>
          <w:rtl/>
          <w:lang w:eastAsia="zh-TW"/>
        </w:rPr>
        <w:t>للضحايا.</w:t>
      </w:r>
    </w:p>
    <w:p w:rsidR="003F3175" w:rsidRPr="006D725E" w:rsidRDefault="003F3175" w:rsidP="003F3175">
      <w:pPr>
        <w:pStyle w:val="H23GA"/>
        <w:rPr>
          <w:rtl/>
        </w:rPr>
      </w:pPr>
      <w:r>
        <w:rPr>
          <w:rtl/>
        </w:rPr>
        <w:tab/>
      </w:r>
      <w:r>
        <w:rPr>
          <w:rtl/>
        </w:rPr>
        <w:tab/>
      </w:r>
      <w:r w:rsidRPr="006D725E">
        <w:rPr>
          <w:rtl/>
        </w:rPr>
        <w:t>المساواة</w:t>
      </w:r>
      <w:r>
        <w:rPr>
          <w:rtl/>
        </w:rPr>
        <w:t xml:space="preserve"> </w:t>
      </w:r>
      <w:r w:rsidRPr="006D725E">
        <w:rPr>
          <w:rtl/>
        </w:rPr>
        <w:t>بين</w:t>
      </w:r>
      <w:r>
        <w:rPr>
          <w:rtl/>
        </w:rPr>
        <w:t xml:space="preserve"> </w:t>
      </w:r>
      <w:r w:rsidRPr="006D725E">
        <w:rPr>
          <w:rtl/>
        </w:rPr>
        <w:t>الجنسين</w:t>
      </w:r>
      <w:bookmarkStart w:id="5" w:name="_Toc6392592"/>
      <w:bookmarkEnd w:id="5"/>
    </w:p>
    <w:p w:rsidR="003F3175" w:rsidRPr="00471C88" w:rsidRDefault="003F3175" w:rsidP="003F3175">
      <w:pPr>
        <w:pStyle w:val="SingleTxtGA"/>
        <w:rPr>
          <w:rtl/>
          <w:lang w:eastAsia="zh-TW"/>
        </w:rPr>
      </w:pPr>
      <w:r>
        <w:rPr>
          <w:rtl/>
          <w:lang w:eastAsia="zh-TW"/>
        </w:rPr>
        <w:t>١٥-</w:t>
      </w:r>
      <w:r>
        <w:rPr>
          <w:rtl/>
          <w:lang w:eastAsia="zh-TW"/>
        </w:rPr>
        <w:tab/>
        <w:t>في حين تقدّر اللجنة الجهود المبذولة لتعزيز المساواة بين الجنسين، عن طريق جملة أمور منها إجراء دراسات استقصائية منتظمة لرصد المساواة بين الجنسين وتنظيم حملات توعية وأنشطة تثقيفية على نطاق واسع، فإنها لا تزال تشعر بالقلق لأنه على الرغم من الاتجاه الإيجابي المسجل أيضاً في الانتخابات الأخيرة، تظل المرأة ممثلة تمثيل</w:t>
      </w:r>
      <w:r w:rsidR="000921EE">
        <w:rPr>
          <w:rtl/>
          <w:lang w:eastAsia="zh-TW"/>
        </w:rPr>
        <w:t xml:space="preserve">اً </w:t>
      </w:r>
      <w:r>
        <w:rPr>
          <w:rtl/>
          <w:lang w:eastAsia="zh-TW"/>
        </w:rPr>
        <w:t>ناقص</w:t>
      </w:r>
      <w:r w:rsidR="000921EE">
        <w:rPr>
          <w:rtl/>
          <w:lang w:eastAsia="zh-TW"/>
        </w:rPr>
        <w:t xml:space="preserve">اً </w:t>
      </w:r>
      <w:r>
        <w:rPr>
          <w:rtl/>
          <w:lang w:eastAsia="zh-TW"/>
        </w:rPr>
        <w:t>في مناصب اتخاذ القرارات في القطاعين العام والخاص (المواد ٢ و3 و25 و26).</w:t>
      </w:r>
    </w:p>
    <w:p w:rsidR="003F3175" w:rsidRPr="00EA0A33" w:rsidRDefault="003F3175" w:rsidP="003F3175">
      <w:pPr>
        <w:pStyle w:val="SingleTxtGA"/>
        <w:rPr>
          <w:b/>
          <w:bCs/>
          <w:rtl/>
          <w:lang w:eastAsia="zh-TW"/>
        </w:rPr>
      </w:pPr>
      <w:r>
        <w:rPr>
          <w:rtl/>
          <w:lang w:eastAsia="zh-TW"/>
        </w:rPr>
        <w:t>١٦-</w:t>
      </w:r>
      <w:r>
        <w:rPr>
          <w:rtl/>
          <w:lang w:eastAsia="zh-TW"/>
        </w:rPr>
        <w:tab/>
      </w:r>
      <w:r w:rsidRPr="00472688">
        <w:rPr>
          <w:b/>
          <w:bCs/>
          <w:rtl/>
          <w:lang w:eastAsia="zh-TW"/>
        </w:rPr>
        <w:t>ينبغي</w:t>
      </w:r>
      <w:r>
        <w:rPr>
          <w:b/>
          <w:bCs/>
          <w:rtl/>
          <w:lang w:eastAsia="zh-TW"/>
        </w:rPr>
        <w:t xml:space="preserve"> </w:t>
      </w:r>
      <w:r w:rsidRPr="00472688">
        <w:rPr>
          <w:b/>
          <w:bCs/>
          <w:rtl/>
          <w:lang w:eastAsia="zh-TW"/>
        </w:rPr>
        <w:t>للدولة</w:t>
      </w:r>
      <w:r>
        <w:rPr>
          <w:b/>
          <w:bCs/>
          <w:rtl/>
          <w:lang w:eastAsia="zh-TW"/>
        </w:rPr>
        <w:t xml:space="preserve"> </w:t>
      </w:r>
      <w:r w:rsidRPr="00472688">
        <w:rPr>
          <w:b/>
          <w:bCs/>
          <w:rtl/>
          <w:lang w:eastAsia="zh-TW"/>
        </w:rPr>
        <w:t>الطرف</w:t>
      </w:r>
      <w:r>
        <w:rPr>
          <w:b/>
          <w:bCs/>
          <w:rtl/>
          <w:lang w:eastAsia="zh-TW"/>
        </w:rPr>
        <w:t xml:space="preserve"> </w:t>
      </w:r>
      <w:r w:rsidRPr="00472688">
        <w:rPr>
          <w:b/>
          <w:bCs/>
          <w:rtl/>
          <w:lang w:eastAsia="zh-TW"/>
        </w:rPr>
        <w:t>أن</w:t>
      </w:r>
      <w:r>
        <w:rPr>
          <w:b/>
          <w:bCs/>
          <w:rtl/>
          <w:lang w:eastAsia="zh-TW"/>
        </w:rPr>
        <w:t xml:space="preserve"> تواصل بذل جهودها الرامية إلى تحقيق المساواة بين الجنسين، بسبل </w:t>
      </w:r>
      <w:r w:rsidRPr="00472688">
        <w:rPr>
          <w:b/>
          <w:bCs/>
          <w:rtl/>
          <w:lang w:eastAsia="zh-TW"/>
        </w:rPr>
        <w:t>منها</w:t>
      </w:r>
      <w:r>
        <w:rPr>
          <w:b/>
          <w:bCs/>
          <w:rtl/>
          <w:lang w:eastAsia="zh-TW"/>
        </w:rPr>
        <w:t xml:space="preserve"> </w:t>
      </w:r>
      <w:r w:rsidRPr="00472688">
        <w:rPr>
          <w:b/>
          <w:bCs/>
          <w:rtl/>
          <w:lang w:eastAsia="zh-TW"/>
        </w:rPr>
        <w:t>ما</w:t>
      </w:r>
      <w:r>
        <w:rPr>
          <w:b/>
          <w:bCs/>
          <w:rtl/>
          <w:lang w:eastAsia="zh-TW"/>
        </w:rPr>
        <w:t xml:space="preserve"> </w:t>
      </w:r>
      <w:proofErr w:type="gramStart"/>
      <w:r w:rsidRPr="00472688">
        <w:rPr>
          <w:b/>
          <w:bCs/>
          <w:rtl/>
          <w:lang w:eastAsia="zh-TW"/>
        </w:rPr>
        <w:t>يلي:</w:t>
      </w:r>
      <w:r w:rsidRPr="00472688">
        <w:rPr>
          <w:rFonts w:ascii="Arial" w:hAnsi="Arial" w:cs="Arial" w:hint="cs"/>
          <w:b/>
          <w:bCs/>
          <w:rtl/>
          <w:lang w:eastAsia="zh-TW"/>
        </w:rPr>
        <w:t>‬</w:t>
      </w:r>
      <w:r w:rsidRPr="00472688">
        <w:rPr>
          <w:rFonts w:ascii="Arial" w:hAnsi="Arial" w:cs="Arial" w:hint="cs"/>
          <w:b/>
          <w:bCs/>
          <w:rtl/>
          <w:lang w:eastAsia="zh-TW"/>
        </w:rPr>
        <w:t>‬</w:t>
      </w:r>
      <w:proofErr w:type="gramEnd"/>
      <w:r w:rsidRPr="00472688">
        <w:rPr>
          <w:rFonts w:ascii="Arial" w:hAnsi="Arial" w:cs="Arial" w:hint="cs"/>
          <w:b/>
          <w:bCs/>
          <w:rtl/>
          <w:lang w:eastAsia="zh-TW"/>
        </w:rPr>
        <w:t>‬</w:t>
      </w:r>
      <w:r w:rsidRPr="00472688">
        <w:rPr>
          <w:rFonts w:ascii="Arial" w:hAnsi="Arial" w:cs="Arial" w:hint="cs"/>
          <w:b/>
          <w:bCs/>
          <w:rtl/>
          <w:lang w:eastAsia="zh-TW"/>
        </w:rPr>
        <w:t>‬</w:t>
      </w:r>
      <w:r w:rsidRPr="00472688">
        <w:rPr>
          <w:rFonts w:ascii="Arial" w:hAnsi="Arial" w:cs="Arial" w:hint="cs"/>
          <w:b/>
          <w:bCs/>
          <w:rtl/>
          <w:lang w:eastAsia="zh-TW"/>
        </w:rPr>
        <w:t>‬</w:t>
      </w:r>
      <w:r w:rsidRPr="00472688">
        <w:rPr>
          <w:rFonts w:ascii="Arial" w:hAnsi="Arial" w:cs="Arial" w:hint="cs"/>
          <w:b/>
          <w:bCs/>
          <w:rtl/>
          <w:lang w:eastAsia="zh-TW"/>
        </w:rPr>
        <w:t>‬</w:t>
      </w:r>
      <w:r w:rsidRPr="00472688">
        <w:rPr>
          <w:rFonts w:ascii="Arial" w:hAnsi="Arial" w:cs="Arial" w:hint="cs"/>
          <w:b/>
          <w:bCs/>
          <w:rtl/>
          <w:lang w:eastAsia="zh-TW"/>
        </w:rPr>
        <w:t>‬</w:t>
      </w:r>
      <w:r w:rsidRPr="00472688">
        <w:rPr>
          <w:rFonts w:ascii="Arial" w:hAnsi="Arial" w:cs="Arial" w:hint="cs"/>
          <w:b/>
          <w:bCs/>
          <w:rtl/>
          <w:lang w:eastAsia="zh-TW"/>
        </w:rPr>
        <w:t>‬</w:t>
      </w:r>
      <w:r w:rsidRPr="00472688">
        <w:rPr>
          <w:rFonts w:ascii="Arial" w:hAnsi="Arial" w:cs="Arial" w:hint="cs"/>
          <w:b/>
          <w:bCs/>
          <w:rtl/>
          <w:lang w:eastAsia="zh-TW"/>
        </w:rPr>
        <w:t>‬</w:t>
      </w:r>
      <w:r>
        <w:rPr>
          <w:rtl/>
          <w:lang w:eastAsia="zh-TW"/>
        </w:rPr>
        <w:t xml:space="preserve"> </w:t>
      </w:r>
      <w:r>
        <w:t>‬</w:t>
      </w:r>
    </w:p>
    <w:p w:rsidR="003F3175" w:rsidRPr="00EA0A33" w:rsidRDefault="003A7BC5" w:rsidP="003F3175">
      <w:pPr>
        <w:pStyle w:val="SingleTxtGA"/>
        <w:rPr>
          <w:b/>
          <w:bCs/>
          <w:rtl/>
          <w:lang w:eastAsia="zh-TW"/>
        </w:rPr>
      </w:pPr>
      <w:r>
        <w:rPr>
          <w:rtl/>
          <w:lang w:eastAsia="zh-TW"/>
        </w:rPr>
        <w:tab/>
      </w:r>
      <w:r w:rsidR="003F3175">
        <w:rPr>
          <w:rtl/>
          <w:lang w:eastAsia="zh-TW"/>
        </w:rPr>
        <w:t>(أ</w:t>
      </w:r>
      <w:r>
        <w:rPr>
          <w:rtl/>
          <w:lang w:eastAsia="zh-TW"/>
        </w:rPr>
        <w:t>)</w:t>
      </w:r>
      <w:r>
        <w:rPr>
          <w:rtl/>
          <w:lang w:eastAsia="zh-TW"/>
        </w:rPr>
        <w:tab/>
      </w:r>
      <w:r w:rsidR="003F3175" w:rsidRPr="00472688">
        <w:rPr>
          <w:b/>
          <w:bCs/>
          <w:rtl/>
          <w:lang w:eastAsia="zh-TW"/>
        </w:rPr>
        <w:t>وضع</w:t>
      </w:r>
      <w:r w:rsidR="003F3175">
        <w:rPr>
          <w:b/>
          <w:bCs/>
          <w:rtl/>
          <w:lang w:eastAsia="zh-TW"/>
        </w:rPr>
        <w:t xml:space="preserve"> </w:t>
      </w:r>
      <w:r w:rsidR="003F3175" w:rsidRPr="00472688">
        <w:rPr>
          <w:b/>
          <w:bCs/>
          <w:rtl/>
          <w:lang w:eastAsia="zh-TW"/>
        </w:rPr>
        <w:t>وتنفيذ</w:t>
      </w:r>
      <w:r w:rsidR="003F3175">
        <w:rPr>
          <w:b/>
          <w:bCs/>
          <w:rtl/>
          <w:lang w:eastAsia="zh-TW"/>
        </w:rPr>
        <w:t xml:space="preserve"> برامج فعالة </w:t>
      </w:r>
      <w:r w:rsidR="003F3175" w:rsidRPr="00472688">
        <w:rPr>
          <w:b/>
          <w:bCs/>
          <w:rtl/>
          <w:lang w:eastAsia="zh-TW"/>
        </w:rPr>
        <w:t>في</w:t>
      </w:r>
      <w:r w:rsidR="003F3175">
        <w:rPr>
          <w:b/>
          <w:bCs/>
          <w:rtl/>
          <w:lang w:eastAsia="zh-TW"/>
        </w:rPr>
        <w:t xml:space="preserve"> مجالات </w:t>
      </w:r>
      <w:r w:rsidR="003F3175" w:rsidRPr="00472688">
        <w:rPr>
          <w:b/>
          <w:bCs/>
          <w:rtl/>
          <w:lang w:eastAsia="zh-TW"/>
        </w:rPr>
        <w:t>الت</w:t>
      </w:r>
      <w:r w:rsidR="003F3175">
        <w:rPr>
          <w:b/>
          <w:bCs/>
          <w:rtl/>
          <w:lang w:eastAsia="zh-TW"/>
        </w:rPr>
        <w:t>وعية العامة والتثقيف والتدريب</w:t>
      </w:r>
      <w:r w:rsidR="003F3175" w:rsidRPr="00472688">
        <w:rPr>
          <w:b/>
          <w:bCs/>
          <w:rtl/>
          <w:lang w:eastAsia="zh-TW"/>
        </w:rPr>
        <w:t>؛</w:t>
      </w:r>
      <w:r w:rsidR="003F3175">
        <w:rPr>
          <w:rtl/>
          <w:lang w:eastAsia="zh-TW"/>
        </w:rPr>
        <w:t xml:space="preserve"> </w:t>
      </w:r>
    </w:p>
    <w:p w:rsidR="003F3175" w:rsidRPr="00927998" w:rsidRDefault="003A7BC5" w:rsidP="003F3175">
      <w:pPr>
        <w:pStyle w:val="SingleTxtGA"/>
        <w:rPr>
          <w:b/>
          <w:bCs/>
          <w:lang w:eastAsia="zh-TW" w:bidi="ar-DZ"/>
        </w:rPr>
      </w:pPr>
      <w:r>
        <w:rPr>
          <w:rtl/>
          <w:lang w:eastAsia="zh-TW"/>
        </w:rPr>
        <w:tab/>
      </w:r>
      <w:r w:rsidR="003F3175">
        <w:rPr>
          <w:rtl/>
          <w:lang w:eastAsia="zh-TW"/>
        </w:rPr>
        <w:t>(ب</w:t>
      </w:r>
      <w:r>
        <w:rPr>
          <w:rtl/>
          <w:lang w:eastAsia="zh-TW"/>
        </w:rPr>
        <w:t>)</w:t>
      </w:r>
      <w:r>
        <w:rPr>
          <w:rtl/>
          <w:lang w:eastAsia="zh-TW"/>
        </w:rPr>
        <w:tab/>
      </w:r>
      <w:r w:rsidR="003F3175">
        <w:rPr>
          <w:b/>
          <w:bCs/>
          <w:rtl/>
          <w:lang w:eastAsia="zh-TW"/>
        </w:rPr>
        <w:t>تحقيق ال</w:t>
      </w:r>
      <w:r w:rsidR="003F3175" w:rsidRPr="00472688">
        <w:rPr>
          <w:b/>
          <w:bCs/>
          <w:rtl/>
          <w:lang w:eastAsia="zh-TW"/>
        </w:rPr>
        <w:t>تمثيل</w:t>
      </w:r>
      <w:r w:rsidR="003F3175">
        <w:rPr>
          <w:b/>
          <w:bCs/>
          <w:rtl/>
          <w:lang w:eastAsia="zh-TW"/>
        </w:rPr>
        <w:t xml:space="preserve"> العادل للمرأة في مناصب اتخاذ </w:t>
      </w:r>
      <w:r w:rsidR="003F3175" w:rsidRPr="00472688">
        <w:rPr>
          <w:b/>
          <w:bCs/>
          <w:rtl/>
          <w:lang w:eastAsia="zh-TW"/>
        </w:rPr>
        <w:t>القرار</w:t>
      </w:r>
      <w:r w:rsidR="003F3175">
        <w:rPr>
          <w:b/>
          <w:bCs/>
          <w:rtl/>
          <w:lang w:eastAsia="zh-TW"/>
        </w:rPr>
        <w:t xml:space="preserve">ات في القطاعين العام والخاص، بسبل منها </w:t>
      </w:r>
      <w:r w:rsidR="003F3175" w:rsidRPr="00472688">
        <w:rPr>
          <w:b/>
          <w:bCs/>
          <w:rtl/>
          <w:lang w:eastAsia="zh-TW"/>
        </w:rPr>
        <w:t>اتخاذ</w:t>
      </w:r>
      <w:r w:rsidR="003F3175">
        <w:rPr>
          <w:b/>
          <w:bCs/>
          <w:rtl/>
          <w:lang w:eastAsia="zh-TW"/>
        </w:rPr>
        <w:t xml:space="preserve"> </w:t>
      </w:r>
      <w:r w:rsidR="003F3175" w:rsidRPr="00472688">
        <w:rPr>
          <w:b/>
          <w:bCs/>
          <w:rtl/>
          <w:lang w:eastAsia="zh-TW"/>
        </w:rPr>
        <w:t>تدابير</w:t>
      </w:r>
      <w:r w:rsidR="003F3175">
        <w:rPr>
          <w:b/>
          <w:bCs/>
          <w:rtl/>
          <w:lang w:eastAsia="zh-TW"/>
        </w:rPr>
        <w:t xml:space="preserve"> </w:t>
      </w:r>
      <w:r w:rsidR="003F3175" w:rsidRPr="00472688">
        <w:rPr>
          <w:b/>
          <w:bCs/>
          <w:rtl/>
          <w:lang w:eastAsia="zh-TW"/>
        </w:rPr>
        <w:t>خاصة</w:t>
      </w:r>
      <w:r w:rsidR="003F3175">
        <w:rPr>
          <w:b/>
          <w:bCs/>
          <w:rtl/>
          <w:lang w:eastAsia="zh-TW"/>
        </w:rPr>
        <w:t xml:space="preserve"> </w:t>
      </w:r>
      <w:r w:rsidR="003F3175" w:rsidRPr="00472688">
        <w:rPr>
          <w:b/>
          <w:bCs/>
          <w:rtl/>
          <w:lang w:eastAsia="zh-TW"/>
        </w:rPr>
        <w:t>مؤقتة</w:t>
      </w:r>
      <w:r w:rsidR="003F3175">
        <w:rPr>
          <w:b/>
          <w:bCs/>
          <w:rtl/>
          <w:lang w:eastAsia="zh-TW"/>
        </w:rPr>
        <w:t xml:space="preserve"> </w:t>
      </w:r>
      <w:r w:rsidR="003F3175" w:rsidRPr="00472688">
        <w:rPr>
          <w:b/>
          <w:bCs/>
          <w:rtl/>
          <w:lang w:eastAsia="zh-TW"/>
        </w:rPr>
        <w:t>ومناسبة</w:t>
      </w:r>
      <w:r w:rsidR="003F3175">
        <w:rPr>
          <w:b/>
          <w:bCs/>
          <w:rtl/>
          <w:lang w:eastAsia="zh-TW"/>
        </w:rPr>
        <w:t xml:space="preserve"> </w:t>
      </w:r>
      <w:r w:rsidR="003F3175" w:rsidRPr="00472688">
        <w:rPr>
          <w:b/>
          <w:bCs/>
          <w:rtl/>
          <w:lang w:eastAsia="zh-TW"/>
        </w:rPr>
        <w:t>لإعمال</w:t>
      </w:r>
      <w:r w:rsidR="003F3175">
        <w:rPr>
          <w:b/>
          <w:bCs/>
          <w:rtl/>
          <w:lang w:eastAsia="zh-TW"/>
        </w:rPr>
        <w:t xml:space="preserve"> </w:t>
      </w:r>
      <w:r w:rsidR="003F3175" w:rsidRPr="00472688">
        <w:rPr>
          <w:b/>
          <w:bCs/>
          <w:rtl/>
          <w:lang w:eastAsia="zh-TW"/>
        </w:rPr>
        <w:t>أحكام</w:t>
      </w:r>
      <w:r w:rsidR="003F3175">
        <w:rPr>
          <w:b/>
          <w:bCs/>
          <w:rtl/>
          <w:lang w:eastAsia="zh-TW"/>
        </w:rPr>
        <w:t xml:space="preserve"> </w:t>
      </w:r>
      <w:r w:rsidR="003F3175" w:rsidRPr="00472688">
        <w:rPr>
          <w:b/>
          <w:bCs/>
          <w:rtl/>
          <w:lang w:eastAsia="zh-TW"/>
        </w:rPr>
        <w:t>العهد.</w:t>
      </w:r>
      <w:r w:rsidR="003F3175" w:rsidRPr="00472688">
        <w:rPr>
          <w:rFonts w:ascii="Arial" w:hAnsi="Arial" w:cs="Arial" w:hint="cs"/>
          <w:b/>
          <w:bCs/>
          <w:rtl/>
          <w:lang w:eastAsia="zh-TW"/>
        </w:rPr>
        <w:t>‬</w:t>
      </w:r>
      <w:r w:rsidR="003F3175">
        <w:rPr>
          <w:b/>
          <w:bCs/>
          <w:rtl/>
          <w:lang w:eastAsia="zh-TW"/>
        </w:rPr>
        <w:t xml:space="preserve"> </w:t>
      </w:r>
    </w:p>
    <w:p w:rsidR="003F3175" w:rsidRPr="00471C88" w:rsidRDefault="003A7BC5" w:rsidP="003A7BC5">
      <w:pPr>
        <w:pStyle w:val="H23GA"/>
        <w:rPr>
          <w:rtl/>
          <w:lang w:bidi="ar-DZ"/>
        </w:rPr>
      </w:pPr>
      <w:r>
        <w:rPr>
          <w:rtl/>
        </w:rPr>
        <w:lastRenderedPageBreak/>
        <w:tab/>
      </w:r>
      <w:r>
        <w:rPr>
          <w:rtl/>
        </w:rPr>
        <w:tab/>
      </w:r>
      <w:r w:rsidR="003F3175">
        <w:rPr>
          <w:rtl/>
        </w:rPr>
        <w:t xml:space="preserve">العنف ضد المرأة، بما في ذلك العنف </w:t>
      </w:r>
      <w:bookmarkStart w:id="6" w:name="_Toc6392593"/>
      <w:bookmarkEnd w:id="6"/>
      <w:r w:rsidR="003F3175">
        <w:rPr>
          <w:rtl/>
          <w:lang w:bidi="ar-DZ"/>
        </w:rPr>
        <w:t>العائلي</w:t>
      </w:r>
    </w:p>
    <w:p w:rsidR="003F3175" w:rsidRPr="00471C88" w:rsidRDefault="003F3175" w:rsidP="003F3175">
      <w:pPr>
        <w:pStyle w:val="SingleTxtGA"/>
        <w:rPr>
          <w:rtl/>
          <w:lang w:eastAsia="zh-TW"/>
        </w:rPr>
      </w:pPr>
      <w:r>
        <w:rPr>
          <w:rtl/>
          <w:lang w:eastAsia="zh-TW"/>
        </w:rPr>
        <w:t>١٧-</w:t>
      </w:r>
      <w:r>
        <w:rPr>
          <w:rtl/>
          <w:lang w:eastAsia="zh-TW"/>
        </w:rPr>
        <w:tab/>
        <w:t>في حين ترحب اللجنة بالتدابير المتخذة للتصدي للعنف ضد المرأة، بما في ذلك العنف العائلي والجنسي، مثل التعديلات المدخلة في عام 2015 على قانون العقوبات، والحملات الإعلامية المنظمة في إطار الاستراتيجية الوطنية لمنع العنف للفترة ٢٠١٥</w:t>
      </w:r>
      <w:r w:rsidR="003A7BC5">
        <w:rPr>
          <w:rFonts w:hint="cs"/>
          <w:rtl/>
          <w:lang w:eastAsia="zh-TW"/>
        </w:rPr>
        <w:t>-</w:t>
      </w:r>
      <w:r>
        <w:rPr>
          <w:rtl/>
          <w:lang w:eastAsia="zh-TW"/>
        </w:rPr>
        <w:t>٢٠٢٠، والنظام الوطني لدعم الضحايا، والتدريب المواضيعي لأفراد الشرطة والعاملين في النظام القضائي والعاملين في المجال الطبي، فإنها تشعر بالقلق لأن معدل الملاحقة القضائية لا يزال منخفض</w:t>
      </w:r>
      <w:r w:rsidR="000921EE">
        <w:rPr>
          <w:rtl/>
          <w:lang w:eastAsia="zh-TW"/>
        </w:rPr>
        <w:t xml:space="preserve">اً، </w:t>
      </w:r>
      <w:r>
        <w:rPr>
          <w:rtl/>
          <w:lang w:eastAsia="zh-TW"/>
        </w:rPr>
        <w:t>ويُزعم أن النقص في الإبلاغ يبلغ معدلات عالية. ويعزى ذلك جزئي</w:t>
      </w:r>
      <w:r w:rsidR="000921EE">
        <w:rPr>
          <w:rtl/>
          <w:lang w:eastAsia="zh-TW"/>
        </w:rPr>
        <w:t xml:space="preserve">اً </w:t>
      </w:r>
      <w:r>
        <w:rPr>
          <w:rtl/>
          <w:lang w:eastAsia="zh-TW"/>
        </w:rPr>
        <w:t xml:space="preserve">إلى شواغل السلامة ذات الصلة بطُول عملية إصدار الأوامر التقييدية ضد مرتكبي العنف، وعدم توفير الأوامر التقييدية الطارئة. وفي هذا الصدد، تحيط اللجنة علماً باعتماد وزارة العدل في عام 2018 مشروع تعديل لإصدار الأمر التقييدي، يؤكده أحد القضاة في غضون ٢٤ ساعة (المواد ٢ و3 و7 و26). </w:t>
      </w:r>
    </w:p>
    <w:p w:rsidR="003F3175" w:rsidRPr="00EE5B57" w:rsidRDefault="003F3175" w:rsidP="003F3175">
      <w:pPr>
        <w:pStyle w:val="SingleTxtGA"/>
        <w:rPr>
          <w:b/>
          <w:bCs/>
          <w:rtl/>
          <w:lang w:eastAsia="zh-TW"/>
        </w:rPr>
      </w:pPr>
      <w:r>
        <w:rPr>
          <w:rtl/>
          <w:lang w:eastAsia="zh-TW"/>
        </w:rPr>
        <w:t>١٨-</w:t>
      </w:r>
      <w:r>
        <w:rPr>
          <w:rtl/>
          <w:lang w:eastAsia="zh-TW"/>
        </w:rPr>
        <w:tab/>
      </w:r>
      <w:r>
        <w:rPr>
          <w:b/>
          <w:bCs/>
          <w:rtl/>
          <w:lang w:eastAsia="zh-TW"/>
        </w:rPr>
        <w:t xml:space="preserve">ينبغي للدولة الطرف أن تعزز جهودها من أجل منع جميع أشكال العنف ضد المرأة ومكافحتها، بسبل </w:t>
      </w:r>
      <w:r w:rsidRPr="00FE2BB6">
        <w:rPr>
          <w:b/>
          <w:bCs/>
          <w:rtl/>
          <w:lang w:eastAsia="zh-TW"/>
        </w:rPr>
        <w:t>منها:</w:t>
      </w:r>
    </w:p>
    <w:p w:rsidR="003F3175" w:rsidRPr="00FE2BB6" w:rsidRDefault="003A7BC5" w:rsidP="003F3175">
      <w:pPr>
        <w:pStyle w:val="SingleTxtGA"/>
        <w:rPr>
          <w:b/>
          <w:bCs/>
          <w:rtl/>
          <w:lang w:eastAsia="zh-TW"/>
        </w:rPr>
      </w:pPr>
      <w:r>
        <w:rPr>
          <w:rtl/>
          <w:lang w:eastAsia="zh-TW"/>
        </w:rPr>
        <w:tab/>
      </w:r>
      <w:r w:rsidR="003F3175">
        <w:rPr>
          <w:rtl/>
          <w:lang w:eastAsia="zh-TW"/>
        </w:rPr>
        <w:t>(أ</w:t>
      </w:r>
      <w:r>
        <w:rPr>
          <w:rtl/>
          <w:lang w:eastAsia="zh-TW"/>
        </w:rPr>
        <w:t>)</w:t>
      </w:r>
      <w:r>
        <w:rPr>
          <w:rtl/>
          <w:lang w:eastAsia="zh-TW"/>
        </w:rPr>
        <w:tab/>
      </w:r>
      <w:r w:rsidR="003F3175" w:rsidRPr="00FE2BB6">
        <w:rPr>
          <w:b/>
          <w:bCs/>
          <w:rtl/>
          <w:lang w:eastAsia="zh-TW"/>
        </w:rPr>
        <w:t>اتخاذ</w:t>
      </w:r>
      <w:r w:rsidR="003F3175">
        <w:rPr>
          <w:b/>
          <w:bCs/>
          <w:rtl/>
          <w:lang w:eastAsia="zh-TW"/>
        </w:rPr>
        <w:t xml:space="preserve"> </w:t>
      </w:r>
      <w:r w:rsidR="003F3175" w:rsidRPr="00FE2BB6">
        <w:rPr>
          <w:b/>
          <w:bCs/>
          <w:rtl/>
          <w:lang w:eastAsia="zh-TW"/>
        </w:rPr>
        <w:t>تدابير</w:t>
      </w:r>
      <w:r w:rsidR="003F3175">
        <w:rPr>
          <w:b/>
          <w:bCs/>
          <w:rtl/>
          <w:lang w:eastAsia="zh-TW"/>
        </w:rPr>
        <w:t xml:space="preserve"> </w:t>
      </w:r>
      <w:r w:rsidR="003F3175" w:rsidRPr="00FE2BB6">
        <w:rPr>
          <w:b/>
          <w:bCs/>
          <w:rtl/>
          <w:lang w:eastAsia="zh-TW"/>
        </w:rPr>
        <w:t>فعالة</w:t>
      </w:r>
      <w:r w:rsidR="003F3175">
        <w:rPr>
          <w:b/>
          <w:bCs/>
          <w:rtl/>
          <w:lang w:eastAsia="zh-TW"/>
        </w:rPr>
        <w:t xml:space="preserve"> من أجل ا</w:t>
      </w:r>
      <w:r w:rsidR="003F3175" w:rsidRPr="00FE2BB6">
        <w:rPr>
          <w:b/>
          <w:bCs/>
          <w:rtl/>
          <w:lang w:eastAsia="zh-TW"/>
        </w:rPr>
        <w:t>لتشجيع</w:t>
      </w:r>
      <w:r w:rsidR="003F3175">
        <w:rPr>
          <w:b/>
          <w:bCs/>
          <w:rtl/>
          <w:lang w:eastAsia="zh-TW"/>
        </w:rPr>
        <w:t xml:space="preserve"> على </w:t>
      </w:r>
      <w:r w:rsidR="003F3175" w:rsidRPr="00FE2BB6">
        <w:rPr>
          <w:b/>
          <w:bCs/>
          <w:rtl/>
          <w:lang w:eastAsia="zh-TW"/>
        </w:rPr>
        <w:t>الإبلاغ</w:t>
      </w:r>
      <w:r w:rsidR="003F3175">
        <w:rPr>
          <w:b/>
          <w:bCs/>
          <w:rtl/>
          <w:lang w:eastAsia="zh-TW"/>
        </w:rPr>
        <w:t xml:space="preserve"> </w:t>
      </w:r>
      <w:r w:rsidR="003F3175" w:rsidRPr="00FE2BB6">
        <w:rPr>
          <w:b/>
          <w:bCs/>
          <w:rtl/>
          <w:lang w:eastAsia="zh-TW"/>
        </w:rPr>
        <w:t>عن</w:t>
      </w:r>
      <w:r w:rsidR="003F3175">
        <w:rPr>
          <w:b/>
          <w:bCs/>
          <w:rtl/>
          <w:lang w:eastAsia="zh-TW"/>
        </w:rPr>
        <w:t xml:space="preserve"> </w:t>
      </w:r>
      <w:r w:rsidR="003F3175" w:rsidRPr="00FE2BB6">
        <w:rPr>
          <w:b/>
          <w:bCs/>
          <w:rtl/>
          <w:lang w:eastAsia="zh-TW"/>
        </w:rPr>
        <w:t>هذا</w:t>
      </w:r>
      <w:r w:rsidR="003F3175">
        <w:rPr>
          <w:b/>
          <w:bCs/>
          <w:rtl/>
          <w:lang w:eastAsia="zh-TW"/>
        </w:rPr>
        <w:t xml:space="preserve"> </w:t>
      </w:r>
      <w:r w:rsidR="003F3175" w:rsidRPr="00FE2BB6">
        <w:rPr>
          <w:b/>
          <w:bCs/>
          <w:rtl/>
          <w:lang w:eastAsia="zh-TW"/>
        </w:rPr>
        <w:t>العنف</w:t>
      </w:r>
      <w:r w:rsidR="003F3175">
        <w:rPr>
          <w:b/>
          <w:bCs/>
          <w:rtl/>
          <w:lang w:eastAsia="zh-TW"/>
        </w:rPr>
        <w:t xml:space="preserve"> </w:t>
      </w:r>
      <w:r w:rsidR="003F3175" w:rsidRPr="00FE2BB6">
        <w:rPr>
          <w:b/>
          <w:bCs/>
          <w:rtl/>
          <w:lang w:eastAsia="zh-TW"/>
        </w:rPr>
        <w:t>إلى</w:t>
      </w:r>
      <w:r w:rsidR="003F3175">
        <w:rPr>
          <w:b/>
          <w:bCs/>
          <w:rtl/>
          <w:lang w:eastAsia="zh-TW"/>
        </w:rPr>
        <w:t xml:space="preserve"> </w:t>
      </w:r>
      <w:r w:rsidR="003F3175" w:rsidRPr="00FE2BB6">
        <w:rPr>
          <w:b/>
          <w:bCs/>
          <w:rtl/>
          <w:lang w:eastAsia="zh-TW"/>
        </w:rPr>
        <w:t>سلطات</w:t>
      </w:r>
      <w:r w:rsidR="003F3175">
        <w:rPr>
          <w:b/>
          <w:bCs/>
          <w:rtl/>
          <w:lang w:eastAsia="zh-TW"/>
        </w:rPr>
        <w:t xml:space="preserve"> </w:t>
      </w:r>
      <w:r w:rsidR="003F3175" w:rsidRPr="00FE2BB6">
        <w:rPr>
          <w:b/>
          <w:bCs/>
          <w:rtl/>
          <w:lang w:eastAsia="zh-TW"/>
        </w:rPr>
        <w:t>إنفاذ</w:t>
      </w:r>
      <w:r w:rsidR="003F3175">
        <w:rPr>
          <w:b/>
          <w:bCs/>
          <w:rtl/>
          <w:lang w:eastAsia="zh-TW"/>
        </w:rPr>
        <w:t xml:space="preserve"> </w:t>
      </w:r>
      <w:r w:rsidR="003F3175" w:rsidRPr="00FE2BB6">
        <w:rPr>
          <w:b/>
          <w:bCs/>
          <w:rtl/>
          <w:lang w:eastAsia="zh-TW"/>
        </w:rPr>
        <w:t>القانون</w:t>
      </w:r>
      <w:r w:rsidR="003F3175">
        <w:rPr>
          <w:b/>
          <w:bCs/>
          <w:rtl/>
          <w:lang w:eastAsia="zh-TW"/>
        </w:rPr>
        <w:t xml:space="preserve"> وكفالة سلامة النساء اللواتي يُقدِمن على الإبلاغ عنه</w:t>
      </w:r>
      <w:r w:rsidR="003F3175" w:rsidRPr="00FE2BB6">
        <w:rPr>
          <w:b/>
          <w:bCs/>
          <w:rtl/>
          <w:lang w:eastAsia="zh-TW"/>
        </w:rPr>
        <w:t>،</w:t>
      </w:r>
      <w:r w:rsidR="003F3175">
        <w:rPr>
          <w:b/>
          <w:bCs/>
          <w:rtl/>
          <w:lang w:eastAsia="zh-TW"/>
        </w:rPr>
        <w:t xml:space="preserve"> </w:t>
      </w:r>
      <w:r w:rsidR="003F3175" w:rsidRPr="00FE2BB6">
        <w:rPr>
          <w:b/>
          <w:bCs/>
          <w:rtl/>
          <w:lang w:eastAsia="zh-TW"/>
        </w:rPr>
        <w:t>بما</w:t>
      </w:r>
      <w:r w:rsidR="003F3175">
        <w:rPr>
          <w:b/>
          <w:bCs/>
          <w:rtl/>
          <w:lang w:eastAsia="zh-TW"/>
        </w:rPr>
        <w:t xml:space="preserve"> </w:t>
      </w:r>
      <w:r w:rsidR="003F3175" w:rsidRPr="00FE2BB6">
        <w:rPr>
          <w:b/>
          <w:bCs/>
          <w:rtl/>
          <w:lang w:eastAsia="zh-TW"/>
        </w:rPr>
        <w:t>في</w:t>
      </w:r>
      <w:r w:rsidR="003F3175">
        <w:rPr>
          <w:b/>
          <w:bCs/>
          <w:rtl/>
          <w:lang w:eastAsia="zh-TW"/>
        </w:rPr>
        <w:t xml:space="preserve"> </w:t>
      </w:r>
      <w:r w:rsidR="003F3175" w:rsidRPr="00FE2BB6">
        <w:rPr>
          <w:b/>
          <w:bCs/>
          <w:rtl/>
          <w:lang w:eastAsia="zh-TW"/>
        </w:rPr>
        <w:t>ذلك</w:t>
      </w:r>
      <w:r w:rsidR="003F3175">
        <w:rPr>
          <w:b/>
          <w:bCs/>
          <w:rtl/>
          <w:lang w:eastAsia="zh-TW"/>
        </w:rPr>
        <w:t xml:space="preserve"> </w:t>
      </w:r>
      <w:r w:rsidR="003F3175" w:rsidRPr="00FE2BB6">
        <w:rPr>
          <w:b/>
          <w:bCs/>
          <w:rtl/>
          <w:lang w:eastAsia="zh-TW"/>
        </w:rPr>
        <w:t>عن</w:t>
      </w:r>
      <w:r w:rsidR="003F3175">
        <w:rPr>
          <w:b/>
          <w:bCs/>
          <w:rtl/>
          <w:lang w:eastAsia="zh-TW"/>
        </w:rPr>
        <w:t xml:space="preserve"> </w:t>
      </w:r>
      <w:r w:rsidR="003F3175" w:rsidRPr="00FE2BB6">
        <w:rPr>
          <w:b/>
          <w:bCs/>
          <w:rtl/>
          <w:lang w:eastAsia="zh-TW"/>
        </w:rPr>
        <w:t>طريق</w:t>
      </w:r>
      <w:r w:rsidR="003F3175">
        <w:rPr>
          <w:b/>
          <w:bCs/>
          <w:rtl/>
          <w:lang w:eastAsia="zh-TW"/>
        </w:rPr>
        <w:t xml:space="preserve"> </w:t>
      </w:r>
      <w:r w:rsidR="003F3175" w:rsidRPr="00FE2BB6">
        <w:rPr>
          <w:b/>
          <w:bCs/>
          <w:rtl/>
          <w:lang w:eastAsia="zh-TW"/>
        </w:rPr>
        <w:t>إصدار</w:t>
      </w:r>
      <w:r w:rsidR="003F3175">
        <w:rPr>
          <w:b/>
          <w:bCs/>
          <w:rtl/>
          <w:lang w:eastAsia="zh-TW"/>
        </w:rPr>
        <w:t xml:space="preserve"> </w:t>
      </w:r>
      <w:r w:rsidR="003F3175" w:rsidRPr="00FE2BB6">
        <w:rPr>
          <w:b/>
          <w:bCs/>
          <w:rtl/>
          <w:lang w:eastAsia="zh-TW"/>
        </w:rPr>
        <w:t>أوامر</w:t>
      </w:r>
      <w:r w:rsidR="003F3175">
        <w:rPr>
          <w:b/>
          <w:bCs/>
          <w:rtl/>
          <w:lang w:eastAsia="zh-TW"/>
        </w:rPr>
        <w:t xml:space="preserve"> تقييدية في الوقت اللازم ضد مرتكبي العنف واعتماد الأوامر التقييدية </w:t>
      </w:r>
      <w:r w:rsidR="003F3175" w:rsidRPr="00FE2BB6">
        <w:rPr>
          <w:b/>
          <w:bCs/>
          <w:rtl/>
          <w:lang w:eastAsia="zh-TW"/>
        </w:rPr>
        <w:t>الطارئة؛</w:t>
      </w:r>
      <w:r w:rsidR="003F3175">
        <w:rPr>
          <w:b/>
          <w:bCs/>
          <w:rtl/>
          <w:lang w:eastAsia="zh-TW"/>
        </w:rPr>
        <w:t xml:space="preserve"> </w:t>
      </w:r>
    </w:p>
    <w:p w:rsidR="003F3175" w:rsidRPr="00FE2BB6" w:rsidRDefault="003A7BC5" w:rsidP="003F3175">
      <w:pPr>
        <w:pStyle w:val="SingleTxtGA"/>
        <w:rPr>
          <w:b/>
          <w:bCs/>
          <w:rtl/>
          <w:lang w:eastAsia="zh-TW"/>
        </w:rPr>
      </w:pPr>
      <w:r w:rsidRPr="003A7BC5">
        <w:rPr>
          <w:spacing w:val="-4"/>
          <w:rtl/>
          <w:lang w:eastAsia="zh-TW"/>
        </w:rPr>
        <w:tab/>
      </w:r>
      <w:r w:rsidR="003F3175" w:rsidRPr="003A7BC5">
        <w:rPr>
          <w:spacing w:val="-4"/>
          <w:rtl/>
          <w:lang w:eastAsia="zh-TW"/>
        </w:rPr>
        <w:t>(ب</w:t>
      </w:r>
      <w:r w:rsidRPr="003A7BC5">
        <w:rPr>
          <w:spacing w:val="-4"/>
          <w:rtl/>
          <w:lang w:eastAsia="zh-TW"/>
        </w:rPr>
        <w:t>)</w:t>
      </w:r>
      <w:r w:rsidRPr="003A7BC5">
        <w:rPr>
          <w:spacing w:val="-4"/>
          <w:rtl/>
          <w:lang w:eastAsia="zh-TW"/>
        </w:rPr>
        <w:tab/>
      </w:r>
      <w:r w:rsidR="003F3175" w:rsidRPr="003A7BC5">
        <w:rPr>
          <w:b/>
          <w:bCs/>
          <w:spacing w:val="-4"/>
          <w:rtl/>
          <w:lang w:eastAsia="zh-TW"/>
        </w:rPr>
        <w:t>كفالة تنفيذ الأحكام القائمة ذات الصلة، بما في ذلك المادة ١٢١(٢)(٢) من قانون</w:t>
      </w:r>
      <w:r w:rsidR="003F3175">
        <w:rPr>
          <w:b/>
          <w:bCs/>
          <w:rtl/>
          <w:lang w:eastAsia="zh-TW"/>
        </w:rPr>
        <w:t xml:space="preserve"> العقوبات، تنفيذاً </w:t>
      </w:r>
      <w:r w:rsidR="003F3175" w:rsidRPr="00FE2BB6">
        <w:rPr>
          <w:b/>
          <w:bCs/>
          <w:rtl/>
          <w:lang w:eastAsia="zh-TW"/>
        </w:rPr>
        <w:t>فعالا</w:t>
      </w:r>
      <w:r w:rsidR="003F3175">
        <w:rPr>
          <w:b/>
          <w:bCs/>
          <w:rtl/>
          <w:lang w:eastAsia="zh-TW"/>
        </w:rPr>
        <w:t xml:space="preserve">ً في الممارسة العملية، والتحقيق في </w:t>
      </w:r>
      <w:r w:rsidR="003F3175" w:rsidRPr="00FE2BB6">
        <w:rPr>
          <w:b/>
          <w:bCs/>
          <w:rtl/>
          <w:lang w:eastAsia="zh-TW"/>
        </w:rPr>
        <w:t>حالات</w:t>
      </w:r>
      <w:r w:rsidR="003F3175">
        <w:rPr>
          <w:b/>
          <w:bCs/>
          <w:rtl/>
          <w:lang w:eastAsia="zh-TW"/>
        </w:rPr>
        <w:t xml:space="preserve"> العنف ضد المرأة على نحو شامل، ومقاضاة مرتكبي العنف ومعاقبتهم في حال إدانتهم بال</w:t>
      </w:r>
      <w:r w:rsidR="003F3175" w:rsidRPr="00FE2BB6">
        <w:rPr>
          <w:b/>
          <w:bCs/>
          <w:rtl/>
          <w:lang w:eastAsia="zh-TW"/>
        </w:rPr>
        <w:t>عقوبات</w:t>
      </w:r>
      <w:r w:rsidR="003F3175">
        <w:rPr>
          <w:b/>
          <w:bCs/>
          <w:rtl/>
          <w:lang w:eastAsia="zh-TW"/>
        </w:rPr>
        <w:t xml:space="preserve"> ال</w:t>
      </w:r>
      <w:r w:rsidR="003F3175" w:rsidRPr="00FE2BB6">
        <w:rPr>
          <w:b/>
          <w:bCs/>
          <w:rtl/>
          <w:lang w:eastAsia="zh-TW"/>
        </w:rPr>
        <w:t>ملائمة</w:t>
      </w:r>
      <w:r w:rsidR="003F3175">
        <w:rPr>
          <w:b/>
          <w:bCs/>
          <w:rtl/>
          <w:lang w:eastAsia="zh-TW"/>
        </w:rPr>
        <w:t xml:space="preserve">، وتوفير </w:t>
      </w:r>
      <w:r w:rsidR="003F3175" w:rsidRPr="00FE2BB6">
        <w:rPr>
          <w:b/>
          <w:bCs/>
          <w:rtl/>
          <w:lang w:eastAsia="zh-TW"/>
        </w:rPr>
        <w:t>سبل</w:t>
      </w:r>
      <w:r w:rsidR="003F3175">
        <w:rPr>
          <w:b/>
          <w:bCs/>
          <w:rtl/>
          <w:lang w:eastAsia="zh-TW"/>
        </w:rPr>
        <w:t xml:space="preserve"> </w:t>
      </w:r>
      <w:r w:rsidR="003F3175" w:rsidRPr="00FE2BB6">
        <w:rPr>
          <w:b/>
          <w:bCs/>
          <w:rtl/>
          <w:lang w:eastAsia="zh-TW"/>
        </w:rPr>
        <w:t>الانتصاف</w:t>
      </w:r>
      <w:r w:rsidR="003F3175">
        <w:rPr>
          <w:b/>
          <w:bCs/>
          <w:rtl/>
          <w:lang w:eastAsia="zh-TW"/>
        </w:rPr>
        <w:t xml:space="preserve"> </w:t>
      </w:r>
      <w:r w:rsidR="003F3175" w:rsidRPr="00FE2BB6">
        <w:rPr>
          <w:b/>
          <w:bCs/>
          <w:rtl/>
          <w:lang w:eastAsia="zh-TW"/>
        </w:rPr>
        <w:t>الفعالة</w:t>
      </w:r>
      <w:r w:rsidR="003F3175">
        <w:rPr>
          <w:b/>
          <w:bCs/>
          <w:rtl/>
          <w:lang w:eastAsia="zh-TW"/>
        </w:rPr>
        <w:t xml:space="preserve"> للضحايا</w:t>
      </w:r>
      <w:r w:rsidR="003F3175" w:rsidRPr="00FE2BB6">
        <w:rPr>
          <w:b/>
          <w:bCs/>
          <w:rtl/>
          <w:lang w:eastAsia="zh-TW"/>
        </w:rPr>
        <w:t>؛</w:t>
      </w:r>
      <w:r w:rsidR="003F3175">
        <w:rPr>
          <w:b/>
          <w:bCs/>
          <w:rtl/>
          <w:lang w:eastAsia="zh-TW"/>
        </w:rPr>
        <w:t xml:space="preserve"> </w:t>
      </w:r>
    </w:p>
    <w:p w:rsidR="003F3175" w:rsidRPr="00EE5B57" w:rsidRDefault="003A7BC5" w:rsidP="003F3175">
      <w:pPr>
        <w:pStyle w:val="SingleTxtGA"/>
        <w:rPr>
          <w:b/>
          <w:bCs/>
          <w:rtl/>
          <w:lang w:eastAsia="zh-TW"/>
        </w:rPr>
      </w:pPr>
      <w:r>
        <w:rPr>
          <w:rtl/>
          <w:lang w:eastAsia="zh-TW"/>
        </w:rPr>
        <w:tab/>
      </w:r>
      <w:r w:rsidR="003F3175">
        <w:rPr>
          <w:rtl/>
          <w:lang w:eastAsia="zh-TW"/>
        </w:rPr>
        <w:t>(ج</w:t>
      </w:r>
      <w:r>
        <w:rPr>
          <w:rtl/>
          <w:lang w:eastAsia="zh-TW"/>
        </w:rPr>
        <w:t>)</w:t>
      </w:r>
      <w:r>
        <w:rPr>
          <w:rtl/>
          <w:lang w:eastAsia="zh-TW"/>
        </w:rPr>
        <w:tab/>
      </w:r>
      <w:r w:rsidR="003F3175">
        <w:rPr>
          <w:b/>
          <w:bCs/>
          <w:rtl/>
          <w:lang w:eastAsia="zh-TW"/>
        </w:rPr>
        <w:t xml:space="preserve">تنظيم حملات منتظمة بشأن عدم جواز ارتكاب العنف ضد المرأة والأثر الضار الناجم عنه، وإبلاغ النساء </w:t>
      </w:r>
      <w:r w:rsidR="003F3175" w:rsidRPr="00A934D3">
        <w:rPr>
          <w:b/>
          <w:bCs/>
          <w:rtl/>
          <w:lang w:eastAsia="zh-TW"/>
        </w:rPr>
        <w:t>بحقوق</w:t>
      </w:r>
      <w:r w:rsidR="003F3175">
        <w:rPr>
          <w:b/>
          <w:bCs/>
          <w:rtl/>
          <w:lang w:eastAsia="zh-TW"/>
        </w:rPr>
        <w:t>هن على نحو منهجي.</w:t>
      </w:r>
    </w:p>
    <w:p w:rsidR="003F3175" w:rsidRPr="00A934D3" w:rsidRDefault="003A7BC5" w:rsidP="003A7BC5">
      <w:pPr>
        <w:pStyle w:val="H23GA"/>
        <w:rPr>
          <w:rtl/>
        </w:rPr>
      </w:pPr>
      <w:r>
        <w:rPr>
          <w:rtl/>
        </w:rPr>
        <w:tab/>
      </w:r>
      <w:r>
        <w:rPr>
          <w:rtl/>
        </w:rPr>
        <w:tab/>
      </w:r>
      <w:r w:rsidR="003F3175">
        <w:rPr>
          <w:rtl/>
        </w:rPr>
        <w:t xml:space="preserve">التعذيب وإساءة </w:t>
      </w:r>
      <w:r w:rsidR="003F3175" w:rsidRPr="00A934D3">
        <w:rPr>
          <w:rtl/>
        </w:rPr>
        <w:t>المعاملة</w:t>
      </w:r>
      <w:r w:rsidR="003F3175">
        <w:rPr>
          <w:rtl/>
        </w:rPr>
        <w:t xml:space="preserve"> </w:t>
      </w:r>
      <w:bookmarkStart w:id="7" w:name="_Toc6392594"/>
      <w:bookmarkEnd w:id="7"/>
    </w:p>
    <w:p w:rsidR="003F3175" w:rsidRPr="009E5470" w:rsidRDefault="003F3175" w:rsidP="003F3175">
      <w:pPr>
        <w:pStyle w:val="SingleTxtGA"/>
        <w:rPr>
          <w:rtl/>
          <w:lang w:eastAsia="zh-TW" w:bidi="ar-DZ"/>
        </w:rPr>
      </w:pPr>
      <w:r>
        <w:rPr>
          <w:rtl/>
          <w:lang w:eastAsia="zh-TW"/>
        </w:rPr>
        <w:t>١٩-</w:t>
      </w:r>
      <w:r>
        <w:rPr>
          <w:rtl/>
          <w:lang w:eastAsia="zh-TW"/>
        </w:rPr>
        <w:tab/>
        <w:t xml:space="preserve">بينما تعترف اللجنة بالجهود المبذولة لمواءمة تعريف التعذيب مع المعنى الوارد في العهد، فإنها تشعر بالقلق لأن التعريف الوارد في مادة جديدة من قانون العقوبات هي المادة 290، بالصيغة المعدلة في عام ٢٠١٥، يشمل </w:t>
      </w:r>
      <w:proofErr w:type="gramStart"/>
      <w:r>
        <w:rPr>
          <w:rtl/>
          <w:lang w:eastAsia="zh-TW"/>
        </w:rPr>
        <w:t xml:space="preserve">التعريف </w:t>
      </w:r>
      <w:r w:rsidR="00796C15">
        <w:rPr>
          <w:rtl/>
          <w:lang w:eastAsia="zh-TW"/>
        </w:rPr>
        <w:t>”</w:t>
      </w:r>
      <w:r>
        <w:rPr>
          <w:rtl/>
          <w:lang w:eastAsia="zh-TW"/>
        </w:rPr>
        <w:t>الرسمي</w:t>
      </w:r>
      <w:proofErr w:type="gramEnd"/>
      <w:r w:rsidR="00796C15">
        <w:rPr>
          <w:rtl/>
          <w:lang w:eastAsia="zh-TW"/>
        </w:rPr>
        <w:t>“</w:t>
      </w:r>
      <w:r>
        <w:rPr>
          <w:rtl/>
          <w:lang w:eastAsia="zh-TW"/>
        </w:rPr>
        <w:t xml:space="preserve"> المنصوص عليه في المادة ٢٨٨ من القانون، ولا يزال أضيق نطاق</w:t>
      </w:r>
      <w:r w:rsidR="000921EE">
        <w:rPr>
          <w:rtl/>
          <w:lang w:eastAsia="zh-TW"/>
        </w:rPr>
        <w:t xml:space="preserve">اً </w:t>
      </w:r>
      <w:r>
        <w:rPr>
          <w:rtl/>
          <w:lang w:eastAsia="zh-TW"/>
        </w:rPr>
        <w:t>من المعايير المطلوبة بموجب العهد. وعلى الرغم من زيادة العقوبة القصوى على أعمال التعذيب بالسجن لمدة ١٠ سنوات عوضاً عن 5 سنوات، فإن اللجنة لا</w:t>
      </w:r>
      <w:r w:rsidR="000921EE">
        <w:rPr>
          <w:rFonts w:hint="cs"/>
          <w:rtl/>
          <w:lang w:eastAsia="zh-TW"/>
        </w:rPr>
        <w:t> </w:t>
      </w:r>
      <w:r>
        <w:rPr>
          <w:rtl/>
          <w:lang w:eastAsia="zh-TW"/>
        </w:rPr>
        <w:t>تزال تشعر بالقلق إزاء حالات التضارب في العقوبات عند مقارنتها بأقصى العقوبات المفروضة على الجرائم الأخرى، مثل الاتجار بالبشر. ويساور اللجنة القلق أيض</w:t>
      </w:r>
      <w:r w:rsidR="000921EE">
        <w:rPr>
          <w:rtl/>
          <w:lang w:eastAsia="zh-TW"/>
        </w:rPr>
        <w:t xml:space="preserve">اً </w:t>
      </w:r>
      <w:r>
        <w:rPr>
          <w:rtl/>
          <w:lang w:eastAsia="zh-TW"/>
        </w:rPr>
        <w:t>إزاء عدد الإدانات المنخفض،</w:t>
      </w:r>
      <w:r>
        <w:rPr>
          <w:rtl/>
          <w:lang w:eastAsia="zh-TW" w:bidi="ar-DZ"/>
        </w:rPr>
        <w:t xml:space="preserve"> إلى حد كبير، فيما يتعلق</w:t>
      </w:r>
      <w:r>
        <w:rPr>
          <w:rtl/>
          <w:lang w:eastAsia="zh-TW"/>
        </w:rPr>
        <w:t xml:space="preserve"> بالتعذيب وإساءة المعاملة، وتعرب عن أسفها لقلة المعلومات المتوافرة عن إجراءات التحقيق في هذه الادعاءات وعن استقلال هيئات التحقيق القائمة (المادتان ٢ و٧)</w:t>
      </w:r>
      <w:r>
        <w:rPr>
          <w:rtl/>
          <w:lang w:eastAsia="zh-TW" w:bidi="ar-DZ"/>
        </w:rPr>
        <w:t>.</w:t>
      </w:r>
    </w:p>
    <w:p w:rsidR="003F3175" w:rsidRPr="00EE5B57" w:rsidRDefault="003F3175" w:rsidP="00B65FE8">
      <w:pPr>
        <w:pStyle w:val="SingleTxtGA"/>
        <w:spacing w:line="360" w:lineRule="exact"/>
        <w:rPr>
          <w:b/>
          <w:bCs/>
          <w:rtl/>
          <w:lang w:eastAsia="zh-TW"/>
        </w:rPr>
      </w:pPr>
      <w:r>
        <w:rPr>
          <w:rtl/>
          <w:lang w:eastAsia="zh-TW"/>
        </w:rPr>
        <w:lastRenderedPageBreak/>
        <w:t>٢٠-</w:t>
      </w:r>
      <w:r>
        <w:rPr>
          <w:rtl/>
          <w:lang w:eastAsia="zh-TW"/>
        </w:rPr>
        <w:tab/>
      </w:r>
      <w:r w:rsidRPr="009E5470">
        <w:rPr>
          <w:b/>
          <w:bCs/>
          <w:rtl/>
          <w:lang w:eastAsia="zh-TW"/>
        </w:rPr>
        <w:t>ينبغي</w:t>
      </w:r>
      <w:r>
        <w:rPr>
          <w:b/>
          <w:bCs/>
          <w:rtl/>
          <w:lang w:eastAsia="zh-TW"/>
        </w:rPr>
        <w:t xml:space="preserve"> </w:t>
      </w:r>
      <w:r w:rsidRPr="009E5470">
        <w:rPr>
          <w:b/>
          <w:bCs/>
          <w:rtl/>
          <w:lang w:eastAsia="zh-TW"/>
        </w:rPr>
        <w:t>للدولة</w:t>
      </w:r>
      <w:r>
        <w:rPr>
          <w:b/>
          <w:bCs/>
          <w:rtl/>
          <w:lang w:eastAsia="zh-TW"/>
        </w:rPr>
        <w:t xml:space="preserve"> </w:t>
      </w:r>
      <w:r w:rsidRPr="009E5470">
        <w:rPr>
          <w:b/>
          <w:bCs/>
          <w:rtl/>
          <w:lang w:eastAsia="zh-TW"/>
        </w:rPr>
        <w:t>الطرف</w:t>
      </w:r>
      <w:r>
        <w:rPr>
          <w:b/>
          <w:bCs/>
          <w:rtl/>
          <w:lang w:eastAsia="zh-TW"/>
        </w:rPr>
        <w:t xml:space="preserve"> </w:t>
      </w:r>
      <w:r w:rsidRPr="009E5470">
        <w:rPr>
          <w:b/>
          <w:bCs/>
          <w:rtl/>
          <w:lang w:eastAsia="zh-TW"/>
        </w:rPr>
        <w:t>أن</w:t>
      </w:r>
      <w:r>
        <w:rPr>
          <w:b/>
          <w:bCs/>
          <w:rtl/>
          <w:lang w:eastAsia="zh-TW"/>
        </w:rPr>
        <w:t xml:space="preserve"> </w:t>
      </w:r>
      <w:r w:rsidRPr="009E5470">
        <w:rPr>
          <w:b/>
          <w:bCs/>
          <w:rtl/>
          <w:lang w:eastAsia="zh-TW"/>
        </w:rPr>
        <w:t>تعد</w:t>
      </w:r>
      <w:r>
        <w:rPr>
          <w:b/>
          <w:bCs/>
          <w:rtl/>
          <w:lang w:eastAsia="zh-TW"/>
        </w:rPr>
        <w:t>ّل تشريعها الجنائي بما يمتثل تمام</w:t>
      </w:r>
      <w:r w:rsidR="000921EE">
        <w:rPr>
          <w:b/>
          <w:bCs/>
          <w:rtl/>
          <w:lang w:eastAsia="zh-TW"/>
        </w:rPr>
        <w:t xml:space="preserve">اً </w:t>
      </w:r>
      <w:r>
        <w:rPr>
          <w:b/>
          <w:bCs/>
          <w:rtl/>
          <w:lang w:eastAsia="zh-TW"/>
        </w:rPr>
        <w:t>ل</w:t>
      </w:r>
      <w:r w:rsidRPr="009E5470">
        <w:rPr>
          <w:b/>
          <w:bCs/>
          <w:rtl/>
          <w:lang w:eastAsia="zh-TW"/>
        </w:rPr>
        <w:t>لمادة</w:t>
      </w:r>
      <w:r>
        <w:rPr>
          <w:b/>
          <w:bCs/>
          <w:rtl/>
          <w:lang w:eastAsia="zh-TW"/>
        </w:rPr>
        <w:t xml:space="preserve"> </w:t>
      </w:r>
      <w:r w:rsidRPr="009E5470">
        <w:rPr>
          <w:b/>
          <w:bCs/>
          <w:rtl/>
          <w:lang w:eastAsia="zh-TW"/>
        </w:rPr>
        <w:t>٧</w:t>
      </w:r>
      <w:r>
        <w:rPr>
          <w:b/>
          <w:bCs/>
          <w:rtl/>
          <w:lang w:eastAsia="zh-TW"/>
        </w:rPr>
        <w:t xml:space="preserve"> </w:t>
      </w:r>
      <w:r w:rsidRPr="009E5470">
        <w:rPr>
          <w:b/>
          <w:bCs/>
          <w:rtl/>
          <w:lang w:eastAsia="zh-TW"/>
        </w:rPr>
        <w:t>من</w:t>
      </w:r>
      <w:r>
        <w:rPr>
          <w:b/>
          <w:bCs/>
          <w:rtl/>
          <w:lang w:eastAsia="zh-TW"/>
        </w:rPr>
        <w:t xml:space="preserve"> </w:t>
      </w:r>
      <w:r w:rsidRPr="009E5470">
        <w:rPr>
          <w:b/>
          <w:bCs/>
          <w:rtl/>
          <w:lang w:eastAsia="zh-TW"/>
        </w:rPr>
        <w:t>العهد</w:t>
      </w:r>
      <w:r>
        <w:rPr>
          <w:b/>
          <w:bCs/>
          <w:rtl/>
          <w:lang w:eastAsia="zh-TW"/>
        </w:rPr>
        <w:t xml:space="preserve"> </w:t>
      </w:r>
      <w:r w:rsidRPr="009E5470">
        <w:rPr>
          <w:b/>
          <w:bCs/>
          <w:rtl/>
          <w:lang w:eastAsia="zh-TW"/>
        </w:rPr>
        <w:t>وغيره</w:t>
      </w:r>
      <w:r>
        <w:rPr>
          <w:b/>
          <w:bCs/>
          <w:rtl/>
          <w:lang w:eastAsia="zh-TW"/>
        </w:rPr>
        <w:t xml:space="preserve">ا </w:t>
      </w:r>
      <w:r w:rsidRPr="009E5470">
        <w:rPr>
          <w:b/>
          <w:bCs/>
          <w:rtl/>
          <w:lang w:eastAsia="zh-TW"/>
        </w:rPr>
        <w:t>من</w:t>
      </w:r>
      <w:r>
        <w:rPr>
          <w:b/>
          <w:bCs/>
          <w:rtl/>
          <w:lang w:eastAsia="zh-TW"/>
        </w:rPr>
        <w:t xml:space="preserve"> </w:t>
      </w:r>
      <w:r w:rsidRPr="009E5470">
        <w:rPr>
          <w:b/>
          <w:bCs/>
          <w:rtl/>
          <w:lang w:eastAsia="zh-TW"/>
        </w:rPr>
        <w:t>المعايير</w:t>
      </w:r>
      <w:r>
        <w:rPr>
          <w:b/>
          <w:bCs/>
          <w:rtl/>
          <w:lang w:eastAsia="zh-TW"/>
        </w:rPr>
        <w:t xml:space="preserve"> </w:t>
      </w:r>
      <w:r w:rsidRPr="009E5470">
        <w:rPr>
          <w:b/>
          <w:bCs/>
          <w:rtl/>
          <w:lang w:eastAsia="zh-TW"/>
        </w:rPr>
        <w:t>المعمول</w:t>
      </w:r>
      <w:r>
        <w:rPr>
          <w:b/>
          <w:bCs/>
          <w:rtl/>
          <w:lang w:eastAsia="zh-TW"/>
        </w:rPr>
        <w:t xml:space="preserve"> </w:t>
      </w:r>
      <w:r w:rsidRPr="009E5470">
        <w:rPr>
          <w:b/>
          <w:bCs/>
          <w:rtl/>
          <w:lang w:eastAsia="zh-TW"/>
        </w:rPr>
        <w:t>بها</w:t>
      </w:r>
      <w:r>
        <w:rPr>
          <w:b/>
          <w:bCs/>
          <w:rtl/>
          <w:lang w:eastAsia="zh-TW"/>
        </w:rPr>
        <w:t xml:space="preserve"> </w:t>
      </w:r>
      <w:r w:rsidRPr="009E5470">
        <w:rPr>
          <w:b/>
          <w:bCs/>
          <w:rtl/>
          <w:lang w:eastAsia="zh-TW"/>
        </w:rPr>
        <w:t>دولي</w:t>
      </w:r>
      <w:r w:rsidR="000921EE">
        <w:rPr>
          <w:b/>
          <w:bCs/>
          <w:rtl/>
          <w:lang w:eastAsia="zh-TW"/>
        </w:rPr>
        <w:t xml:space="preserve">اً. </w:t>
      </w:r>
      <w:r>
        <w:rPr>
          <w:b/>
          <w:bCs/>
          <w:rtl/>
          <w:lang w:eastAsia="zh-TW"/>
        </w:rPr>
        <w:t xml:space="preserve">وينبغي </w:t>
      </w:r>
      <w:r w:rsidRPr="009E5470">
        <w:rPr>
          <w:b/>
          <w:bCs/>
          <w:rtl/>
          <w:lang w:eastAsia="zh-TW"/>
        </w:rPr>
        <w:t>أ</w:t>
      </w:r>
      <w:r>
        <w:rPr>
          <w:b/>
          <w:bCs/>
          <w:rtl/>
          <w:lang w:eastAsia="zh-TW"/>
        </w:rPr>
        <w:t xml:space="preserve">ن تكفل إجراء تحقيق فوري </w:t>
      </w:r>
      <w:r w:rsidRPr="009E5470">
        <w:rPr>
          <w:b/>
          <w:bCs/>
          <w:rtl/>
          <w:lang w:eastAsia="zh-TW"/>
        </w:rPr>
        <w:t>وشامل</w:t>
      </w:r>
      <w:r>
        <w:rPr>
          <w:b/>
          <w:bCs/>
          <w:rtl/>
          <w:lang w:eastAsia="zh-TW"/>
        </w:rPr>
        <w:t xml:space="preserve"> </w:t>
      </w:r>
      <w:r w:rsidRPr="009E5470">
        <w:rPr>
          <w:b/>
          <w:bCs/>
          <w:rtl/>
          <w:lang w:eastAsia="zh-TW"/>
        </w:rPr>
        <w:t>في</w:t>
      </w:r>
      <w:r>
        <w:rPr>
          <w:b/>
          <w:bCs/>
          <w:rtl/>
          <w:lang w:eastAsia="zh-TW"/>
        </w:rPr>
        <w:t xml:space="preserve"> جميع ادعاءات التعذيب وإساءة المعاملة </w:t>
      </w:r>
      <w:r w:rsidRPr="009E5470">
        <w:rPr>
          <w:b/>
          <w:bCs/>
          <w:rtl/>
          <w:lang w:eastAsia="zh-TW"/>
        </w:rPr>
        <w:t>على</w:t>
      </w:r>
      <w:r>
        <w:rPr>
          <w:b/>
          <w:bCs/>
          <w:rtl/>
          <w:lang w:eastAsia="zh-TW"/>
        </w:rPr>
        <w:t xml:space="preserve"> </w:t>
      </w:r>
      <w:r w:rsidRPr="009E5470">
        <w:rPr>
          <w:b/>
          <w:bCs/>
          <w:rtl/>
          <w:lang w:eastAsia="zh-TW"/>
        </w:rPr>
        <w:t>أن</w:t>
      </w:r>
      <w:r>
        <w:rPr>
          <w:b/>
          <w:bCs/>
          <w:rtl/>
          <w:lang w:eastAsia="zh-TW"/>
        </w:rPr>
        <w:t xml:space="preserve"> </w:t>
      </w:r>
      <w:r w:rsidRPr="009E5470">
        <w:rPr>
          <w:b/>
          <w:bCs/>
          <w:rtl/>
          <w:lang w:eastAsia="zh-TW"/>
        </w:rPr>
        <w:t>يُعهد</w:t>
      </w:r>
      <w:r>
        <w:rPr>
          <w:b/>
          <w:bCs/>
          <w:rtl/>
          <w:lang w:eastAsia="zh-TW"/>
        </w:rPr>
        <w:t xml:space="preserve"> </w:t>
      </w:r>
      <w:r w:rsidRPr="009E5470">
        <w:rPr>
          <w:b/>
          <w:bCs/>
          <w:rtl/>
          <w:lang w:eastAsia="zh-TW"/>
        </w:rPr>
        <w:t>بالتحقيق</w:t>
      </w:r>
      <w:r>
        <w:rPr>
          <w:b/>
          <w:bCs/>
          <w:rtl/>
          <w:lang w:eastAsia="zh-TW"/>
        </w:rPr>
        <w:t xml:space="preserve"> </w:t>
      </w:r>
      <w:r w:rsidRPr="009E5470">
        <w:rPr>
          <w:b/>
          <w:bCs/>
          <w:rtl/>
          <w:lang w:eastAsia="zh-TW"/>
        </w:rPr>
        <w:t>إلى</w:t>
      </w:r>
      <w:r>
        <w:rPr>
          <w:b/>
          <w:bCs/>
          <w:rtl/>
          <w:lang w:eastAsia="zh-TW"/>
        </w:rPr>
        <w:t xml:space="preserve"> </w:t>
      </w:r>
      <w:r w:rsidRPr="009E5470">
        <w:rPr>
          <w:b/>
          <w:bCs/>
          <w:rtl/>
          <w:lang w:eastAsia="zh-TW"/>
        </w:rPr>
        <w:t>هيئة</w:t>
      </w:r>
      <w:r>
        <w:rPr>
          <w:b/>
          <w:bCs/>
          <w:rtl/>
          <w:lang w:eastAsia="zh-TW"/>
        </w:rPr>
        <w:t xml:space="preserve"> </w:t>
      </w:r>
      <w:r w:rsidRPr="009E5470">
        <w:rPr>
          <w:b/>
          <w:bCs/>
          <w:rtl/>
          <w:lang w:eastAsia="zh-TW"/>
        </w:rPr>
        <w:t>فعالة</w:t>
      </w:r>
      <w:r>
        <w:rPr>
          <w:b/>
          <w:bCs/>
          <w:rtl/>
          <w:lang w:eastAsia="zh-TW"/>
        </w:rPr>
        <w:t xml:space="preserve"> </w:t>
      </w:r>
      <w:r w:rsidRPr="009E5470">
        <w:rPr>
          <w:b/>
          <w:bCs/>
          <w:rtl/>
          <w:lang w:eastAsia="zh-TW"/>
        </w:rPr>
        <w:t>ونزيهة</w:t>
      </w:r>
      <w:r>
        <w:rPr>
          <w:b/>
          <w:bCs/>
          <w:rtl/>
          <w:lang w:eastAsia="zh-TW"/>
        </w:rPr>
        <w:t xml:space="preserve"> </w:t>
      </w:r>
      <w:r w:rsidRPr="009E5470">
        <w:rPr>
          <w:b/>
          <w:bCs/>
          <w:rtl/>
          <w:lang w:eastAsia="zh-TW"/>
        </w:rPr>
        <w:t>ومستقلة</w:t>
      </w:r>
      <w:r>
        <w:rPr>
          <w:b/>
          <w:bCs/>
          <w:rtl/>
          <w:lang w:eastAsia="zh-TW"/>
        </w:rPr>
        <w:t xml:space="preserve"> </w:t>
      </w:r>
      <w:r w:rsidRPr="009E5470">
        <w:rPr>
          <w:b/>
          <w:bCs/>
          <w:rtl/>
          <w:lang w:eastAsia="zh-TW"/>
        </w:rPr>
        <w:t>تمام</w:t>
      </w:r>
      <w:r w:rsidR="000921EE">
        <w:rPr>
          <w:b/>
          <w:bCs/>
          <w:rtl/>
          <w:lang w:eastAsia="zh-TW"/>
        </w:rPr>
        <w:t xml:space="preserve">اً، </w:t>
      </w:r>
      <w:r>
        <w:rPr>
          <w:b/>
          <w:bCs/>
          <w:rtl/>
          <w:lang w:eastAsia="zh-TW"/>
        </w:rPr>
        <w:t xml:space="preserve">وأن تحاكِم مرتكبي العنف وتعاقبهم، في حال الإدانة، بعقوبات تتناسب مع طبيعة الجريمة وخطورتها، وأن توفر </w:t>
      </w:r>
      <w:r w:rsidRPr="00651B1D">
        <w:rPr>
          <w:b/>
          <w:bCs/>
          <w:rtl/>
          <w:lang w:eastAsia="zh-TW"/>
        </w:rPr>
        <w:t>الجبر</w:t>
      </w:r>
      <w:r>
        <w:rPr>
          <w:b/>
          <w:bCs/>
          <w:rtl/>
          <w:lang w:eastAsia="zh-TW"/>
        </w:rPr>
        <w:t xml:space="preserve"> </w:t>
      </w:r>
      <w:r w:rsidRPr="00651B1D">
        <w:rPr>
          <w:b/>
          <w:bCs/>
          <w:rtl/>
          <w:lang w:eastAsia="zh-TW"/>
        </w:rPr>
        <w:t>الكامل</w:t>
      </w:r>
      <w:r>
        <w:rPr>
          <w:b/>
          <w:bCs/>
          <w:rtl/>
          <w:lang w:eastAsia="zh-TW"/>
        </w:rPr>
        <w:t xml:space="preserve"> للضحايا، وعند الاقتضاء لأسَرِهم، بما في ذلك إعادة التأهيل والتعويض </w:t>
      </w:r>
      <w:r w:rsidRPr="00651B1D">
        <w:rPr>
          <w:b/>
          <w:bCs/>
          <w:rtl/>
          <w:lang w:eastAsia="zh-TW"/>
        </w:rPr>
        <w:t>الكافي.</w:t>
      </w:r>
    </w:p>
    <w:p w:rsidR="003F3175" w:rsidRPr="00651B1D" w:rsidRDefault="003A7BC5" w:rsidP="003A7BC5">
      <w:pPr>
        <w:pStyle w:val="H23GA"/>
        <w:rPr>
          <w:rtl/>
        </w:rPr>
      </w:pPr>
      <w:r>
        <w:rPr>
          <w:rtl/>
        </w:rPr>
        <w:tab/>
      </w:r>
      <w:r>
        <w:rPr>
          <w:rtl/>
        </w:rPr>
        <w:tab/>
      </w:r>
      <w:r w:rsidR="003F3175">
        <w:rPr>
          <w:rtl/>
        </w:rPr>
        <w:t xml:space="preserve">وسائل تقييد الحركة </w:t>
      </w:r>
      <w:r w:rsidR="003F3175" w:rsidRPr="00651B1D">
        <w:rPr>
          <w:rtl/>
        </w:rPr>
        <w:t>والحبس</w:t>
      </w:r>
      <w:r w:rsidR="003F3175">
        <w:rPr>
          <w:rtl/>
        </w:rPr>
        <w:t xml:space="preserve"> </w:t>
      </w:r>
      <w:r w:rsidR="003F3175" w:rsidRPr="00651B1D">
        <w:rPr>
          <w:rtl/>
        </w:rPr>
        <w:t>الانفرادي</w:t>
      </w:r>
      <w:bookmarkStart w:id="8" w:name="_Toc6392595"/>
      <w:bookmarkEnd w:id="8"/>
    </w:p>
    <w:p w:rsidR="003F3175" w:rsidRPr="00926B37" w:rsidRDefault="003F3175" w:rsidP="00B65FE8">
      <w:pPr>
        <w:pStyle w:val="SingleTxtGA"/>
        <w:spacing w:line="370" w:lineRule="exact"/>
        <w:rPr>
          <w:rtl/>
          <w:lang w:eastAsia="zh-TW"/>
        </w:rPr>
      </w:pPr>
      <w:r>
        <w:rPr>
          <w:rtl/>
          <w:lang w:eastAsia="zh-TW"/>
        </w:rPr>
        <w:t>٢١-</w:t>
      </w:r>
      <w:r>
        <w:rPr>
          <w:rtl/>
          <w:lang w:eastAsia="zh-TW"/>
        </w:rPr>
        <w:tab/>
        <w:t>يساور اللجنة القلق إزاء الادعاءات التي تشير إلى الاستخدام التعسفي لوسائل تقييد الحركة في السجون وفي مرافق الصحة العقلية، بما في ذلك لفترات طويلة من الوقت، وتحيط علماً</w:t>
      </w:r>
      <w:r w:rsidR="003A7BC5">
        <w:rPr>
          <w:rFonts w:hint="cs"/>
          <w:rtl/>
          <w:lang w:eastAsia="zh-TW"/>
        </w:rPr>
        <w:t> </w:t>
      </w:r>
      <w:r>
        <w:rPr>
          <w:rtl/>
          <w:lang w:eastAsia="zh-TW"/>
        </w:rPr>
        <w:t>بأن العمل جار لتحديث النظام المتعلق بإجراءات استخدام وسائل تقييد الحركة. وتشعر اللجنة بالقلق أيض</w:t>
      </w:r>
      <w:r w:rsidR="000921EE">
        <w:rPr>
          <w:rtl/>
          <w:lang w:eastAsia="zh-TW"/>
        </w:rPr>
        <w:t xml:space="preserve">اً </w:t>
      </w:r>
      <w:r>
        <w:rPr>
          <w:rtl/>
          <w:lang w:eastAsia="zh-TW"/>
        </w:rPr>
        <w:t>إزاء التقارير التي تفيد بالاستخدام المفرط للحبس الانفرادي في سجن فيرو (المواد ٧ و٩ و١٠).</w:t>
      </w:r>
    </w:p>
    <w:p w:rsidR="003F3175" w:rsidRPr="00EE5B57" w:rsidRDefault="003F3175" w:rsidP="00B65FE8">
      <w:pPr>
        <w:pStyle w:val="SingleTxtGA"/>
        <w:spacing w:line="370" w:lineRule="exact"/>
        <w:rPr>
          <w:b/>
          <w:bCs/>
          <w:rtl/>
          <w:lang w:eastAsia="zh-TW"/>
        </w:rPr>
      </w:pPr>
      <w:r>
        <w:rPr>
          <w:rtl/>
          <w:lang w:eastAsia="zh-TW"/>
        </w:rPr>
        <w:t>٢٢-</w:t>
      </w:r>
      <w:r>
        <w:rPr>
          <w:rtl/>
          <w:lang w:eastAsia="zh-TW"/>
        </w:rPr>
        <w:tab/>
      </w:r>
      <w:r w:rsidRPr="00926B37">
        <w:rPr>
          <w:b/>
          <w:bCs/>
          <w:rtl/>
          <w:lang w:eastAsia="zh-TW"/>
        </w:rPr>
        <w:t>ينبغي</w:t>
      </w:r>
      <w:r>
        <w:rPr>
          <w:b/>
          <w:bCs/>
          <w:rtl/>
          <w:lang w:eastAsia="zh-TW"/>
        </w:rPr>
        <w:t xml:space="preserve"> </w:t>
      </w:r>
      <w:r w:rsidRPr="00926B37">
        <w:rPr>
          <w:b/>
          <w:bCs/>
          <w:rtl/>
          <w:lang w:eastAsia="zh-TW"/>
        </w:rPr>
        <w:t>للدولة</w:t>
      </w:r>
      <w:r>
        <w:rPr>
          <w:b/>
          <w:bCs/>
          <w:rtl/>
          <w:lang w:eastAsia="zh-TW"/>
        </w:rPr>
        <w:t xml:space="preserve"> </w:t>
      </w:r>
      <w:r w:rsidRPr="00926B37">
        <w:rPr>
          <w:b/>
          <w:bCs/>
          <w:rtl/>
          <w:lang w:eastAsia="zh-TW"/>
        </w:rPr>
        <w:t>الطرف</w:t>
      </w:r>
      <w:r>
        <w:rPr>
          <w:b/>
          <w:bCs/>
          <w:rtl/>
          <w:lang w:eastAsia="zh-TW"/>
        </w:rPr>
        <w:t xml:space="preserve"> أن تكفل استخدام </w:t>
      </w:r>
      <w:r w:rsidRPr="00926B37">
        <w:rPr>
          <w:b/>
          <w:bCs/>
          <w:rtl/>
          <w:lang w:eastAsia="zh-TW"/>
        </w:rPr>
        <w:t>وسائل</w:t>
      </w:r>
      <w:r>
        <w:rPr>
          <w:b/>
          <w:bCs/>
          <w:rtl/>
          <w:lang w:eastAsia="zh-TW"/>
        </w:rPr>
        <w:t xml:space="preserve"> تقييد الحركة ل</w:t>
      </w:r>
      <w:r w:rsidRPr="00926B37">
        <w:rPr>
          <w:b/>
          <w:bCs/>
          <w:rtl/>
          <w:lang w:eastAsia="zh-TW"/>
        </w:rPr>
        <w:t>فترات</w:t>
      </w:r>
      <w:r>
        <w:rPr>
          <w:b/>
          <w:bCs/>
          <w:rtl/>
          <w:lang w:eastAsia="zh-TW"/>
        </w:rPr>
        <w:t xml:space="preserve"> </w:t>
      </w:r>
      <w:r w:rsidRPr="00926B37">
        <w:rPr>
          <w:b/>
          <w:bCs/>
          <w:rtl/>
          <w:lang w:eastAsia="zh-TW"/>
        </w:rPr>
        <w:t>محدودة</w:t>
      </w:r>
      <w:r>
        <w:rPr>
          <w:b/>
          <w:bCs/>
          <w:rtl/>
          <w:lang w:eastAsia="zh-TW"/>
        </w:rPr>
        <w:t xml:space="preserve"> تماماً وعدم اللجوء إليها إلا إذا </w:t>
      </w:r>
      <w:r w:rsidRPr="00926B37">
        <w:rPr>
          <w:b/>
          <w:bCs/>
          <w:rtl/>
          <w:lang w:eastAsia="zh-TW"/>
        </w:rPr>
        <w:t>كانت</w:t>
      </w:r>
      <w:r>
        <w:rPr>
          <w:b/>
          <w:bCs/>
          <w:rtl/>
          <w:lang w:eastAsia="zh-TW"/>
        </w:rPr>
        <w:t xml:space="preserve"> </w:t>
      </w:r>
      <w:r w:rsidRPr="00926B37">
        <w:rPr>
          <w:b/>
          <w:bCs/>
          <w:rtl/>
          <w:lang w:eastAsia="zh-TW"/>
        </w:rPr>
        <w:t>مبرر</w:t>
      </w:r>
      <w:r>
        <w:rPr>
          <w:b/>
          <w:bCs/>
          <w:rtl/>
          <w:lang w:eastAsia="zh-TW"/>
        </w:rPr>
        <w:t>َّة وتناسبية</w:t>
      </w:r>
      <w:r w:rsidRPr="00926B37">
        <w:rPr>
          <w:b/>
          <w:bCs/>
          <w:rtl/>
          <w:lang w:eastAsia="zh-TW"/>
        </w:rPr>
        <w:t>،</w:t>
      </w:r>
      <w:r>
        <w:rPr>
          <w:b/>
          <w:bCs/>
          <w:rtl/>
          <w:lang w:eastAsia="zh-TW"/>
        </w:rPr>
        <w:t xml:space="preserve"> </w:t>
      </w:r>
      <w:r w:rsidRPr="00926B37">
        <w:rPr>
          <w:b/>
          <w:bCs/>
          <w:rtl/>
          <w:lang w:eastAsia="zh-TW"/>
        </w:rPr>
        <w:t>وأن</w:t>
      </w:r>
      <w:r>
        <w:rPr>
          <w:b/>
          <w:bCs/>
          <w:rtl/>
          <w:lang w:eastAsia="zh-TW"/>
        </w:rPr>
        <w:t xml:space="preserve"> </w:t>
      </w:r>
      <w:r w:rsidRPr="00926B37">
        <w:rPr>
          <w:b/>
          <w:bCs/>
          <w:rtl/>
          <w:lang w:eastAsia="zh-TW"/>
        </w:rPr>
        <w:t>تعز</w:t>
      </w:r>
      <w:r>
        <w:rPr>
          <w:b/>
          <w:bCs/>
          <w:rtl/>
          <w:lang w:eastAsia="zh-TW"/>
        </w:rPr>
        <w:t xml:space="preserve">ِّز الضمانات ضد </w:t>
      </w:r>
      <w:r w:rsidRPr="0047113C">
        <w:rPr>
          <w:b/>
          <w:bCs/>
          <w:rtl/>
          <w:lang w:eastAsia="zh-TW"/>
        </w:rPr>
        <w:t>الاستخ</w:t>
      </w:r>
      <w:r>
        <w:rPr>
          <w:b/>
          <w:bCs/>
          <w:rtl/>
          <w:lang w:eastAsia="zh-TW"/>
        </w:rPr>
        <w:t>دام التعسفي لوسائل تقييد الحركة</w:t>
      </w:r>
      <w:r w:rsidRPr="00926B37">
        <w:rPr>
          <w:b/>
          <w:bCs/>
          <w:rtl/>
          <w:lang w:eastAsia="zh-TW"/>
        </w:rPr>
        <w:t>،</w:t>
      </w:r>
      <w:r>
        <w:rPr>
          <w:b/>
          <w:bCs/>
          <w:rtl/>
          <w:lang w:eastAsia="zh-TW"/>
        </w:rPr>
        <w:t xml:space="preserve"> </w:t>
      </w:r>
      <w:r w:rsidRPr="00926B37">
        <w:rPr>
          <w:b/>
          <w:bCs/>
          <w:rtl/>
          <w:lang w:eastAsia="zh-TW"/>
        </w:rPr>
        <w:t>بما</w:t>
      </w:r>
      <w:r>
        <w:rPr>
          <w:b/>
          <w:bCs/>
          <w:rtl/>
          <w:lang w:eastAsia="zh-TW"/>
        </w:rPr>
        <w:t xml:space="preserve"> </w:t>
      </w:r>
      <w:r w:rsidRPr="00926B37">
        <w:rPr>
          <w:b/>
          <w:bCs/>
          <w:rtl/>
          <w:lang w:eastAsia="zh-TW"/>
        </w:rPr>
        <w:t>في</w:t>
      </w:r>
      <w:r>
        <w:rPr>
          <w:b/>
          <w:bCs/>
          <w:rtl/>
          <w:lang w:eastAsia="zh-TW"/>
        </w:rPr>
        <w:t xml:space="preserve"> </w:t>
      </w:r>
      <w:r w:rsidRPr="00926B37">
        <w:rPr>
          <w:b/>
          <w:bCs/>
          <w:rtl/>
          <w:lang w:eastAsia="zh-TW"/>
        </w:rPr>
        <w:t>ذلك</w:t>
      </w:r>
      <w:r>
        <w:rPr>
          <w:b/>
          <w:bCs/>
          <w:rtl/>
          <w:lang w:eastAsia="zh-TW"/>
        </w:rPr>
        <w:t xml:space="preserve"> من خلال </w:t>
      </w:r>
      <w:r w:rsidRPr="00926B37">
        <w:rPr>
          <w:b/>
          <w:bCs/>
          <w:rtl/>
          <w:lang w:eastAsia="zh-TW"/>
        </w:rPr>
        <w:t>م</w:t>
      </w:r>
      <w:r>
        <w:rPr>
          <w:b/>
          <w:bCs/>
          <w:rtl/>
          <w:lang w:eastAsia="zh-TW"/>
        </w:rPr>
        <w:t xml:space="preserve">واصلة تدريب موظفي السجون بانتظام، وتوسيع نطاق </w:t>
      </w:r>
      <w:r w:rsidRPr="00926B37">
        <w:rPr>
          <w:b/>
          <w:bCs/>
          <w:rtl/>
          <w:lang w:eastAsia="zh-TW"/>
        </w:rPr>
        <w:t>هذا</w:t>
      </w:r>
      <w:r>
        <w:rPr>
          <w:b/>
          <w:bCs/>
          <w:rtl/>
          <w:lang w:eastAsia="zh-TW"/>
        </w:rPr>
        <w:t xml:space="preserve"> </w:t>
      </w:r>
      <w:r w:rsidRPr="00926B37">
        <w:rPr>
          <w:b/>
          <w:bCs/>
          <w:rtl/>
          <w:lang w:eastAsia="zh-TW"/>
        </w:rPr>
        <w:t>التدريب</w:t>
      </w:r>
      <w:r>
        <w:rPr>
          <w:b/>
          <w:bCs/>
          <w:rtl/>
          <w:lang w:eastAsia="zh-TW"/>
        </w:rPr>
        <w:t xml:space="preserve"> </w:t>
      </w:r>
      <w:r w:rsidRPr="00926B37">
        <w:rPr>
          <w:b/>
          <w:bCs/>
          <w:rtl/>
          <w:lang w:eastAsia="zh-TW"/>
        </w:rPr>
        <w:t>ل</w:t>
      </w:r>
      <w:r>
        <w:rPr>
          <w:b/>
          <w:bCs/>
          <w:rtl/>
          <w:lang w:eastAsia="zh-TW"/>
        </w:rPr>
        <w:t xml:space="preserve">يشمل </w:t>
      </w:r>
      <w:r w:rsidRPr="00926B37">
        <w:rPr>
          <w:b/>
          <w:bCs/>
          <w:rtl/>
          <w:lang w:eastAsia="zh-TW"/>
        </w:rPr>
        <w:t>موظفي</w:t>
      </w:r>
      <w:r>
        <w:rPr>
          <w:b/>
          <w:bCs/>
          <w:rtl/>
          <w:lang w:eastAsia="zh-TW"/>
        </w:rPr>
        <w:t xml:space="preserve"> </w:t>
      </w:r>
      <w:r w:rsidRPr="00926B37">
        <w:rPr>
          <w:b/>
          <w:bCs/>
          <w:rtl/>
          <w:lang w:eastAsia="zh-TW"/>
        </w:rPr>
        <w:t>مؤسسات</w:t>
      </w:r>
      <w:r>
        <w:rPr>
          <w:b/>
          <w:bCs/>
          <w:rtl/>
          <w:lang w:eastAsia="zh-TW"/>
        </w:rPr>
        <w:t xml:space="preserve"> </w:t>
      </w:r>
      <w:r w:rsidRPr="00926B37">
        <w:rPr>
          <w:b/>
          <w:bCs/>
          <w:rtl/>
          <w:lang w:eastAsia="zh-TW"/>
        </w:rPr>
        <w:t>الصحة</w:t>
      </w:r>
      <w:r>
        <w:rPr>
          <w:b/>
          <w:bCs/>
          <w:rtl/>
          <w:lang w:eastAsia="zh-TW"/>
        </w:rPr>
        <w:t xml:space="preserve"> </w:t>
      </w:r>
      <w:r w:rsidRPr="00926B37">
        <w:rPr>
          <w:b/>
          <w:bCs/>
          <w:rtl/>
          <w:lang w:eastAsia="zh-TW"/>
        </w:rPr>
        <w:t>العقلية</w:t>
      </w:r>
      <w:r>
        <w:rPr>
          <w:b/>
          <w:bCs/>
          <w:rtl/>
          <w:lang w:eastAsia="zh-TW"/>
        </w:rPr>
        <w:t>، واعتماد وتنفيذ ا</w:t>
      </w:r>
      <w:r w:rsidRPr="00926B37">
        <w:rPr>
          <w:b/>
          <w:bCs/>
          <w:rtl/>
          <w:lang w:eastAsia="zh-TW"/>
        </w:rPr>
        <w:t>لأنظمة</w:t>
      </w:r>
      <w:r>
        <w:rPr>
          <w:b/>
          <w:bCs/>
          <w:rtl/>
          <w:lang w:eastAsia="zh-TW"/>
        </w:rPr>
        <w:t xml:space="preserve"> </w:t>
      </w:r>
      <w:r w:rsidRPr="00926B37">
        <w:rPr>
          <w:b/>
          <w:bCs/>
          <w:rtl/>
          <w:lang w:eastAsia="zh-TW"/>
        </w:rPr>
        <w:t>التي</w:t>
      </w:r>
      <w:r>
        <w:rPr>
          <w:b/>
          <w:bCs/>
          <w:rtl/>
          <w:lang w:eastAsia="zh-TW"/>
        </w:rPr>
        <w:t xml:space="preserve"> </w:t>
      </w:r>
      <w:r w:rsidRPr="00926B37">
        <w:rPr>
          <w:b/>
          <w:bCs/>
          <w:rtl/>
          <w:lang w:eastAsia="zh-TW"/>
        </w:rPr>
        <w:t>تحكم</w:t>
      </w:r>
      <w:r>
        <w:rPr>
          <w:b/>
          <w:bCs/>
          <w:rtl/>
          <w:lang w:eastAsia="zh-TW"/>
        </w:rPr>
        <w:t xml:space="preserve"> </w:t>
      </w:r>
      <w:r w:rsidRPr="00926B37">
        <w:rPr>
          <w:b/>
          <w:bCs/>
          <w:rtl/>
          <w:lang w:eastAsia="zh-TW"/>
        </w:rPr>
        <w:t>إجراءات</w:t>
      </w:r>
      <w:r>
        <w:rPr>
          <w:b/>
          <w:bCs/>
          <w:rtl/>
          <w:lang w:eastAsia="zh-TW"/>
        </w:rPr>
        <w:t xml:space="preserve"> استخدام ورصد استخدام وسائل تقييد الحركة الممتثلة للعهد تنفيذاً فعالاً</w:t>
      </w:r>
      <w:r w:rsidRPr="00926B37">
        <w:rPr>
          <w:b/>
          <w:bCs/>
          <w:rtl/>
          <w:lang w:eastAsia="zh-TW"/>
        </w:rPr>
        <w:t>.</w:t>
      </w:r>
      <w:r>
        <w:rPr>
          <w:b/>
          <w:bCs/>
          <w:rtl/>
          <w:lang w:eastAsia="zh-TW"/>
        </w:rPr>
        <w:t xml:space="preserve"> </w:t>
      </w:r>
      <w:r w:rsidRPr="00926B37">
        <w:rPr>
          <w:b/>
          <w:bCs/>
          <w:rtl/>
          <w:lang w:eastAsia="zh-TW"/>
        </w:rPr>
        <w:t>وينبغي</w:t>
      </w:r>
      <w:r>
        <w:rPr>
          <w:b/>
          <w:bCs/>
          <w:rtl/>
          <w:lang w:eastAsia="zh-TW"/>
        </w:rPr>
        <w:t xml:space="preserve"> لها التحقيق في أي حالة من حالات </w:t>
      </w:r>
      <w:r w:rsidRPr="00926B37">
        <w:rPr>
          <w:b/>
          <w:bCs/>
          <w:rtl/>
          <w:lang w:eastAsia="zh-TW"/>
        </w:rPr>
        <w:t>إساءة</w:t>
      </w:r>
      <w:r>
        <w:rPr>
          <w:b/>
          <w:bCs/>
          <w:rtl/>
          <w:lang w:eastAsia="zh-TW"/>
        </w:rPr>
        <w:t xml:space="preserve"> </w:t>
      </w:r>
      <w:r w:rsidRPr="00926B37">
        <w:rPr>
          <w:b/>
          <w:bCs/>
          <w:rtl/>
          <w:lang w:eastAsia="zh-TW"/>
        </w:rPr>
        <w:t>استعمال</w:t>
      </w:r>
      <w:r>
        <w:rPr>
          <w:b/>
          <w:bCs/>
          <w:rtl/>
          <w:lang w:eastAsia="zh-TW"/>
        </w:rPr>
        <w:t xml:space="preserve"> </w:t>
      </w:r>
      <w:r w:rsidRPr="00926B37">
        <w:rPr>
          <w:b/>
          <w:bCs/>
          <w:rtl/>
          <w:lang w:eastAsia="zh-TW"/>
        </w:rPr>
        <w:t>القيود</w:t>
      </w:r>
      <w:r>
        <w:rPr>
          <w:b/>
          <w:bCs/>
          <w:rtl/>
          <w:lang w:eastAsia="zh-TW"/>
        </w:rPr>
        <w:t xml:space="preserve"> </w:t>
      </w:r>
      <w:r w:rsidRPr="00926B37">
        <w:rPr>
          <w:b/>
          <w:bCs/>
          <w:rtl/>
          <w:lang w:eastAsia="zh-TW"/>
        </w:rPr>
        <w:t>واتخاذ</w:t>
      </w:r>
      <w:r>
        <w:rPr>
          <w:b/>
          <w:bCs/>
          <w:rtl/>
          <w:lang w:eastAsia="zh-TW"/>
        </w:rPr>
        <w:t xml:space="preserve"> </w:t>
      </w:r>
      <w:r w:rsidRPr="00926B37">
        <w:rPr>
          <w:b/>
          <w:bCs/>
          <w:rtl/>
          <w:lang w:eastAsia="zh-TW"/>
        </w:rPr>
        <w:t>ما</w:t>
      </w:r>
      <w:r>
        <w:rPr>
          <w:b/>
          <w:bCs/>
          <w:rtl/>
          <w:lang w:eastAsia="zh-TW"/>
        </w:rPr>
        <w:t xml:space="preserve"> </w:t>
      </w:r>
      <w:r w:rsidRPr="00926B37">
        <w:rPr>
          <w:b/>
          <w:bCs/>
          <w:rtl/>
          <w:lang w:eastAsia="zh-TW"/>
        </w:rPr>
        <w:t>يلزم</w:t>
      </w:r>
      <w:r>
        <w:rPr>
          <w:b/>
          <w:bCs/>
          <w:rtl/>
          <w:lang w:eastAsia="zh-TW"/>
        </w:rPr>
        <w:t xml:space="preserve"> </w:t>
      </w:r>
      <w:r w:rsidRPr="00926B37">
        <w:rPr>
          <w:b/>
          <w:bCs/>
          <w:rtl/>
          <w:lang w:eastAsia="zh-TW"/>
        </w:rPr>
        <w:t>من</w:t>
      </w:r>
      <w:r>
        <w:rPr>
          <w:b/>
          <w:bCs/>
          <w:rtl/>
          <w:lang w:eastAsia="zh-TW"/>
        </w:rPr>
        <w:t xml:space="preserve"> </w:t>
      </w:r>
      <w:r w:rsidRPr="00926B37">
        <w:rPr>
          <w:b/>
          <w:bCs/>
          <w:rtl/>
          <w:lang w:eastAsia="zh-TW"/>
        </w:rPr>
        <w:t>إجراءات</w:t>
      </w:r>
      <w:r>
        <w:rPr>
          <w:b/>
          <w:bCs/>
          <w:rtl/>
          <w:lang w:eastAsia="zh-TW"/>
        </w:rPr>
        <w:t xml:space="preserve"> </w:t>
      </w:r>
      <w:r w:rsidRPr="00926B37">
        <w:rPr>
          <w:b/>
          <w:bCs/>
          <w:rtl/>
          <w:lang w:eastAsia="zh-TW"/>
        </w:rPr>
        <w:t>تصحيحية.</w:t>
      </w:r>
      <w:r>
        <w:rPr>
          <w:b/>
          <w:bCs/>
          <w:rtl/>
          <w:lang w:eastAsia="zh-TW"/>
        </w:rPr>
        <w:t xml:space="preserve"> </w:t>
      </w:r>
      <w:r w:rsidRPr="00926B37">
        <w:rPr>
          <w:b/>
          <w:bCs/>
          <w:rtl/>
          <w:lang w:eastAsia="zh-TW"/>
        </w:rPr>
        <w:t>وينبغي</w:t>
      </w:r>
      <w:r>
        <w:rPr>
          <w:b/>
          <w:bCs/>
          <w:rtl/>
          <w:lang w:eastAsia="zh-TW"/>
        </w:rPr>
        <w:t xml:space="preserve"> لها أيض</w:t>
      </w:r>
      <w:r w:rsidR="000921EE">
        <w:rPr>
          <w:b/>
          <w:bCs/>
          <w:rtl/>
          <w:lang w:eastAsia="zh-TW"/>
        </w:rPr>
        <w:t xml:space="preserve">اً </w:t>
      </w:r>
      <w:r>
        <w:rPr>
          <w:b/>
          <w:bCs/>
          <w:rtl/>
          <w:lang w:eastAsia="zh-TW"/>
        </w:rPr>
        <w:t xml:space="preserve">أن تخفض الفترة القصوى </w:t>
      </w:r>
      <w:r w:rsidRPr="00926B37">
        <w:rPr>
          <w:b/>
          <w:bCs/>
          <w:rtl/>
          <w:lang w:eastAsia="zh-TW"/>
        </w:rPr>
        <w:t>المسموح</w:t>
      </w:r>
      <w:r>
        <w:rPr>
          <w:b/>
          <w:bCs/>
          <w:rtl/>
          <w:lang w:eastAsia="zh-TW"/>
        </w:rPr>
        <w:t xml:space="preserve"> </w:t>
      </w:r>
      <w:r w:rsidRPr="00926B37">
        <w:rPr>
          <w:b/>
          <w:bCs/>
          <w:rtl/>
          <w:lang w:eastAsia="zh-TW"/>
        </w:rPr>
        <w:t>به</w:t>
      </w:r>
      <w:r>
        <w:rPr>
          <w:b/>
          <w:bCs/>
          <w:rtl/>
          <w:lang w:eastAsia="zh-TW"/>
        </w:rPr>
        <w:t>ا ل</w:t>
      </w:r>
      <w:r w:rsidRPr="00926B37">
        <w:rPr>
          <w:b/>
          <w:bCs/>
          <w:rtl/>
          <w:lang w:eastAsia="zh-TW"/>
        </w:rPr>
        <w:t>لحبس</w:t>
      </w:r>
      <w:r>
        <w:rPr>
          <w:b/>
          <w:bCs/>
          <w:rtl/>
          <w:lang w:eastAsia="zh-TW"/>
        </w:rPr>
        <w:t xml:space="preserve"> </w:t>
      </w:r>
      <w:r w:rsidRPr="00926B37">
        <w:rPr>
          <w:b/>
          <w:bCs/>
          <w:rtl/>
          <w:lang w:eastAsia="zh-TW"/>
        </w:rPr>
        <w:t>الانفرادي</w:t>
      </w:r>
      <w:r>
        <w:rPr>
          <w:b/>
          <w:bCs/>
          <w:rtl/>
          <w:lang w:eastAsia="zh-TW"/>
        </w:rPr>
        <w:t xml:space="preserve"> </w:t>
      </w:r>
      <w:r w:rsidRPr="00926B37">
        <w:rPr>
          <w:b/>
          <w:bCs/>
          <w:rtl/>
          <w:lang w:eastAsia="zh-TW"/>
        </w:rPr>
        <w:t>في</w:t>
      </w:r>
      <w:r>
        <w:rPr>
          <w:b/>
          <w:bCs/>
          <w:rtl/>
          <w:lang w:eastAsia="zh-TW"/>
        </w:rPr>
        <w:t xml:space="preserve"> </w:t>
      </w:r>
      <w:r w:rsidRPr="00926B37">
        <w:rPr>
          <w:b/>
          <w:bCs/>
          <w:rtl/>
          <w:lang w:eastAsia="zh-TW"/>
        </w:rPr>
        <w:t>السجون</w:t>
      </w:r>
      <w:r>
        <w:rPr>
          <w:b/>
          <w:bCs/>
          <w:rtl/>
          <w:lang w:eastAsia="zh-TW"/>
        </w:rPr>
        <w:t xml:space="preserve"> </w:t>
      </w:r>
      <w:r w:rsidRPr="00926B37">
        <w:rPr>
          <w:b/>
          <w:bCs/>
          <w:rtl/>
          <w:lang w:eastAsia="zh-TW"/>
        </w:rPr>
        <w:t>وأن</w:t>
      </w:r>
      <w:r>
        <w:rPr>
          <w:b/>
          <w:bCs/>
          <w:rtl/>
          <w:lang w:eastAsia="zh-TW"/>
        </w:rPr>
        <w:t xml:space="preserve"> </w:t>
      </w:r>
      <w:r w:rsidRPr="00926B37">
        <w:rPr>
          <w:b/>
          <w:bCs/>
          <w:rtl/>
          <w:lang w:eastAsia="zh-TW"/>
        </w:rPr>
        <w:t>تكفل،</w:t>
      </w:r>
      <w:r>
        <w:rPr>
          <w:b/>
          <w:bCs/>
          <w:rtl/>
          <w:lang w:eastAsia="zh-TW"/>
        </w:rPr>
        <w:t xml:space="preserve"> في حال فرض </w:t>
      </w:r>
      <w:r w:rsidRPr="00926B37">
        <w:rPr>
          <w:b/>
          <w:bCs/>
          <w:rtl/>
          <w:lang w:eastAsia="zh-TW"/>
        </w:rPr>
        <w:t>الحبس</w:t>
      </w:r>
      <w:r>
        <w:rPr>
          <w:b/>
          <w:bCs/>
          <w:rtl/>
          <w:lang w:eastAsia="zh-TW"/>
        </w:rPr>
        <w:t xml:space="preserve"> </w:t>
      </w:r>
      <w:r w:rsidRPr="00926B37">
        <w:rPr>
          <w:b/>
          <w:bCs/>
          <w:rtl/>
          <w:lang w:eastAsia="zh-TW"/>
        </w:rPr>
        <w:t>الانفرادي</w:t>
      </w:r>
      <w:r>
        <w:rPr>
          <w:b/>
          <w:bCs/>
          <w:rtl/>
          <w:lang w:eastAsia="zh-TW"/>
        </w:rPr>
        <w:t xml:space="preserve"> عدم اللجوء إليه إلا </w:t>
      </w:r>
      <w:r w:rsidRPr="000444AA">
        <w:rPr>
          <w:b/>
          <w:bCs/>
          <w:rtl/>
          <w:lang w:eastAsia="zh-TW"/>
        </w:rPr>
        <w:t>كملاذ</w:t>
      </w:r>
      <w:r>
        <w:rPr>
          <w:b/>
          <w:bCs/>
          <w:rtl/>
          <w:lang w:eastAsia="zh-TW"/>
        </w:rPr>
        <w:t xml:space="preserve"> </w:t>
      </w:r>
      <w:r w:rsidRPr="000444AA">
        <w:rPr>
          <w:b/>
          <w:bCs/>
          <w:rtl/>
          <w:lang w:eastAsia="zh-TW"/>
        </w:rPr>
        <w:t>أخير</w:t>
      </w:r>
      <w:r>
        <w:rPr>
          <w:b/>
          <w:bCs/>
          <w:rtl/>
          <w:lang w:eastAsia="zh-TW"/>
        </w:rPr>
        <w:t xml:space="preserve"> على نحو يتناسب مع الانتهاك المرتكب، وتطبيقه لأقصر فترة ممكنة</w:t>
      </w:r>
      <w:r>
        <w:rPr>
          <w:rtl/>
          <w:lang w:eastAsia="zh-TW"/>
        </w:rPr>
        <w:t>.</w:t>
      </w:r>
    </w:p>
    <w:p w:rsidR="003F3175" w:rsidRPr="00135CCB" w:rsidRDefault="003A7BC5" w:rsidP="003A7BC5">
      <w:pPr>
        <w:pStyle w:val="H23GA"/>
        <w:rPr>
          <w:rtl/>
          <w:lang w:bidi="ar-DZ"/>
        </w:rPr>
      </w:pPr>
      <w:r>
        <w:rPr>
          <w:rtl/>
        </w:rPr>
        <w:tab/>
      </w:r>
      <w:r>
        <w:rPr>
          <w:rtl/>
        </w:rPr>
        <w:tab/>
      </w:r>
      <w:r w:rsidR="003F3175" w:rsidRPr="00135CCB">
        <w:rPr>
          <w:rtl/>
        </w:rPr>
        <w:t>العلاج</w:t>
      </w:r>
      <w:r w:rsidR="003F3175">
        <w:rPr>
          <w:rtl/>
        </w:rPr>
        <w:t xml:space="preserve"> </w:t>
      </w:r>
      <w:r w:rsidR="003F3175" w:rsidRPr="00135CCB">
        <w:rPr>
          <w:rtl/>
        </w:rPr>
        <w:t>النفسي</w:t>
      </w:r>
      <w:r w:rsidR="003F3175">
        <w:rPr>
          <w:rtl/>
        </w:rPr>
        <w:t xml:space="preserve"> </w:t>
      </w:r>
      <w:r w:rsidR="003F3175" w:rsidRPr="00135CCB">
        <w:rPr>
          <w:rtl/>
        </w:rPr>
        <w:t>غير</w:t>
      </w:r>
      <w:r w:rsidR="003F3175">
        <w:rPr>
          <w:rtl/>
        </w:rPr>
        <w:t xml:space="preserve"> </w:t>
      </w:r>
      <w:bookmarkStart w:id="9" w:name="_Toc6392596"/>
      <w:bookmarkEnd w:id="9"/>
      <w:r w:rsidR="003F3175">
        <w:rPr>
          <w:rtl/>
        </w:rPr>
        <w:t>الرضائي</w:t>
      </w:r>
    </w:p>
    <w:p w:rsidR="003F3175" w:rsidRPr="00471C88" w:rsidRDefault="003F3175" w:rsidP="00B65FE8">
      <w:pPr>
        <w:pStyle w:val="SingleTxtGA"/>
        <w:spacing w:line="370" w:lineRule="exact"/>
        <w:rPr>
          <w:rtl/>
          <w:lang w:eastAsia="zh-TW"/>
        </w:rPr>
      </w:pPr>
      <w:r>
        <w:rPr>
          <w:rtl/>
          <w:lang w:eastAsia="zh-TW"/>
        </w:rPr>
        <w:t>٢٣-</w:t>
      </w:r>
      <w:r>
        <w:rPr>
          <w:rtl/>
          <w:lang w:eastAsia="zh-TW"/>
        </w:rPr>
        <w:tab/>
        <w:t xml:space="preserve">يساور اللجنة القلق لعدم وجود أنظمة شاملة على ما يبدو للحصول على الموافقة المسبقة على العلاج النفسي، وكذلك لأن الضمانات القانونية والإجرائية للعلاج القسري للأشخاص ذوي الإعاقة النفسية </w:t>
      </w:r>
      <w:r w:rsidR="003A7BC5">
        <w:rPr>
          <w:rFonts w:hint="cs"/>
          <w:rtl/>
          <w:lang w:eastAsia="zh-TW"/>
        </w:rPr>
        <w:t>-</w:t>
      </w:r>
      <w:r>
        <w:rPr>
          <w:rtl/>
          <w:lang w:eastAsia="zh-TW"/>
        </w:rPr>
        <w:t xml:space="preserve"> الاجتماعية أو</w:t>
      </w:r>
      <w:r>
        <w:rPr>
          <w:rtl/>
          <w:lang w:eastAsia="zh-TW" w:bidi="ar-DZ"/>
        </w:rPr>
        <w:t xml:space="preserve"> الفكرية</w:t>
      </w:r>
      <w:r>
        <w:rPr>
          <w:rtl/>
          <w:lang w:eastAsia="zh-TW"/>
        </w:rPr>
        <w:t xml:space="preserve"> قد لا تكون كافية لضمان حقوقهم ومصالحهم (المواد ٧ و٩ و١٧).</w:t>
      </w:r>
    </w:p>
    <w:p w:rsidR="003F3175" w:rsidRPr="00FC3105" w:rsidRDefault="003F3175" w:rsidP="00B65FE8">
      <w:pPr>
        <w:pStyle w:val="SingleTxtGA"/>
        <w:spacing w:line="370" w:lineRule="exact"/>
        <w:rPr>
          <w:b/>
          <w:bCs/>
          <w:rtl/>
          <w:lang w:eastAsia="zh-TW"/>
        </w:rPr>
      </w:pPr>
      <w:r>
        <w:rPr>
          <w:rtl/>
          <w:lang w:eastAsia="zh-TW"/>
        </w:rPr>
        <w:t>٢٤-</w:t>
      </w:r>
      <w:r>
        <w:rPr>
          <w:rtl/>
          <w:lang w:eastAsia="zh-TW"/>
        </w:rPr>
        <w:tab/>
      </w:r>
      <w:r>
        <w:rPr>
          <w:b/>
          <w:bCs/>
          <w:rtl/>
          <w:lang w:eastAsia="zh-TW"/>
        </w:rPr>
        <w:t>ينبغي للدولة الطرف أن تضع</w:t>
      </w:r>
      <w:r>
        <w:rPr>
          <w:b/>
          <w:bCs/>
          <w:rtl/>
          <w:lang w:eastAsia="zh-TW" w:bidi="ar-DZ"/>
        </w:rPr>
        <w:t xml:space="preserve"> إجراءات شاملة من أجل الحصول على موافقة لتقديم العلاج النفسي وأن تكفل </w:t>
      </w:r>
      <w:r w:rsidRPr="00135CCB">
        <w:rPr>
          <w:b/>
          <w:bCs/>
          <w:rtl/>
          <w:lang w:eastAsia="zh-TW"/>
        </w:rPr>
        <w:t>عدم</w:t>
      </w:r>
      <w:r>
        <w:rPr>
          <w:b/>
          <w:bCs/>
          <w:rtl/>
          <w:lang w:eastAsia="zh-TW"/>
        </w:rPr>
        <w:t xml:space="preserve"> </w:t>
      </w:r>
      <w:r w:rsidRPr="00135CCB">
        <w:rPr>
          <w:b/>
          <w:bCs/>
          <w:rtl/>
          <w:lang w:eastAsia="zh-TW"/>
        </w:rPr>
        <w:t>جوا</w:t>
      </w:r>
      <w:r>
        <w:rPr>
          <w:b/>
          <w:bCs/>
          <w:rtl/>
          <w:lang w:eastAsia="zh-TW"/>
        </w:rPr>
        <w:t>ز تطبيق العلاج النفسي غير الرضائي</w:t>
      </w:r>
      <w:r w:rsidRPr="00135CCB">
        <w:rPr>
          <w:b/>
          <w:bCs/>
          <w:rtl/>
          <w:lang w:eastAsia="zh-TW"/>
        </w:rPr>
        <w:t>،</w:t>
      </w:r>
      <w:r>
        <w:rPr>
          <w:b/>
          <w:bCs/>
          <w:rtl/>
          <w:lang w:eastAsia="zh-TW"/>
        </w:rPr>
        <w:t xml:space="preserve"> إن طُبق على الإطلاق، إلا في حالات استثنائية بوصفه تدبيراً يُتخذ كملاذ أخير </w:t>
      </w:r>
      <w:r w:rsidRPr="00135CCB">
        <w:rPr>
          <w:b/>
          <w:bCs/>
          <w:rtl/>
          <w:lang w:eastAsia="zh-TW"/>
        </w:rPr>
        <w:t>تمليه</w:t>
      </w:r>
      <w:r>
        <w:rPr>
          <w:b/>
          <w:bCs/>
          <w:rtl/>
          <w:lang w:eastAsia="zh-TW"/>
        </w:rPr>
        <w:t xml:space="preserve"> ال</w:t>
      </w:r>
      <w:r w:rsidRPr="00135CCB">
        <w:rPr>
          <w:b/>
          <w:bCs/>
          <w:rtl/>
          <w:lang w:eastAsia="zh-TW"/>
        </w:rPr>
        <w:t>ضرورة</w:t>
      </w:r>
      <w:r>
        <w:rPr>
          <w:b/>
          <w:bCs/>
          <w:rtl/>
          <w:lang w:eastAsia="zh-TW"/>
        </w:rPr>
        <w:t xml:space="preserve"> المطلقة ل</w:t>
      </w:r>
      <w:r w:rsidRPr="00135CCB">
        <w:rPr>
          <w:b/>
          <w:bCs/>
          <w:rtl/>
          <w:lang w:eastAsia="zh-TW"/>
        </w:rPr>
        <w:t>حماية</w:t>
      </w:r>
      <w:r>
        <w:rPr>
          <w:b/>
          <w:bCs/>
          <w:rtl/>
          <w:lang w:eastAsia="zh-TW"/>
        </w:rPr>
        <w:t xml:space="preserve"> </w:t>
      </w:r>
      <w:r w:rsidRPr="00135CCB">
        <w:rPr>
          <w:b/>
          <w:bCs/>
          <w:rtl/>
          <w:lang w:eastAsia="zh-TW"/>
        </w:rPr>
        <w:t>صحة</w:t>
      </w:r>
      <w:r>
        <w:rPr>
          <w:b/>
          <w:bCs/>
          <w:rtl/>
          <w:lang w:eastAsia="zh-TW"/>
        </w:rPr>
        <w:t xml:space="preserve"> </w:t>
      </w:r>
      <w:r w:rsidRPr="00135CCB">
        <w:rPr>
          <w:b/>
          <w:bCs/>
          <w:rtl/>
          <w:lang w:eastAsia="zh-TW"/>
        </w:rPr>
        <w:t>الشخص</w:t>
      </w:r>
      <w:r>
        <w:rPr>
          <w:b/>
          <w:bCs/>
          <w:rtl/>
          <w:lang w:eastAsia="zh-TW"/>
        </w:rPr>
        <w:t xml:space="preserve"> </w:t>
      </w:r>
      <w:r w:rsidRPr="00135CCB">
        <w:rPr>
          <w:b/>
          <w:bCs/>
          <w:rtl/>
          <w:lang w:eastAsia="zh-TW"/>
        </w:rPr>
        <w:t>المعني</w:t>
      </w:r>
      <w:r>
        <w:rPr>
          <w:b/>
          <w:bCs/>
          <w:rtl/>
          <w:lang w:eastAsia="zh-TW"/>
        </w:rPr>
        <w:t xml:space="preserve"> </w:t>
      </w:r>
      <w:r w:rsidRPr="00135CCB">
        <w:rPr>
          <w:b/>
          <w:bCs/>
          <w:rtl/>
          <w:lang w:eastAsia="zh-TW"/>
        </w:rPr>
        <w:t>أو</w:t>
      </w:r>
      <w:r>
        <w:rPr>
          <w:b/>
          <w:bCs/>
          <w:rtl/>
          <w:lang w:eastAsia="zh-TW"/>
        </w:rPr>
        <w:t xml:space="preserve"> </w:t>
      </w:r>
      <w:r w:rsidRPr="00135CCB">
        <w:rPr>
          <w:b/>
          <w:bCs/>
          <w:rtl/>
          <w:lang w:eastAsia="zh-TW"/>
        </w:rPr>
        <w:t>حياته</w:t>
      </w:r>
      <w:r>
        <w:rPr>
          <w:b/>
          <w:bCs/>
          <w:rtl/>
          <w:lang w:eastAsia="zh-TW"/>
        </w:rPr>
        <w:t>، أو لمنع تعرض أشخاص آخرين للإصابة، شريطة أن يكون ال</w:t>
      </w:r>
      <w:r w:rsidRPr="00135CCB">
        <w:rPr>
          <w:b/>
          <w:bCs/>
          <w:rtl/>
          <w:lang w:eastAsia="zh-TW"/>
        </w:rPr>
        <w:t>شخص</w:t>
      </w:r>
      <w:r>
        <w:rPr>
          <w:b/>
          <w:bCs/>
          <w:rtl/>
          <w:lang w:eastAsia="zh-TW"/>
        </w:rPr>
        <w:t xml:space="preserve"> المعني </w:t>
      </w:r>
      <w:r w:rsidRPr="00135CCB">
        <w:rPr>
          <w:b/>
          <w:bCs/>
          <w:rtl/>
          <w:lang w:eastAsia="zh-TW"/>
        </w:rPr>
        <w:t>غير</w:t>
      </w:r>
      <w:r>
        <w:rPr>
          <w:b/>
          <w:bCs/>
          <w:rtl/>
          <w:lang w:eastAsia="zh-TW"/>
        </w:rPr>
        <w:t xml:space="preserve"> </w:t>
      </w:r>
      <w:r w:rsidRPr="00135CCB">
        <w:rPr>
          <w:b/>
          <w:bCs/>
          <w:rtl/>
          <w:lang w:eastAsia="zh-TW"/>
        </w:rPr>
        <w:t>قادر</w:t>
      </w:r>
      <w:r>
        <w:rPr>
          <w:b/>
          <w:bCs/>
          <w:rtl/>
          <w:lang w:eastAsia="zh-TW"/>
        </w:rPr>
        <w:t xml:space="preserve"> </w:t>
      </w:r>
      <w:r w:rsidRPr="00135CCB">
        <w:rPr>
          <w:b/>
          <w:bCs/>
          <w:rtl/>
          <w:lang w:eastAsia="zh-TW"/>
        </w:rPr>
        <w:t>على</w:t>
      </w:r>
      <w:r>
        <w:rPr>
          <w:b/>
          <w:bCs/>
          <w:rtl/>
          <w:lang w:eastAsia="zh-TW"/>
        </w:rPr>
        <w:t xml:space="preserve"> إعطاء </w:t>
      </w:r>
      <w:r w:rsidRPr="00135CCB">
        <w:rPr>
          <w:b/>
          <w:bCs/>
          <w:rtl/>
          <w:lang w:eastAsia="zh-TW"/>
        </w:rPr>
        <w:t>موافقته،</w:t>
      </w:r>
      <w:r>
        <w:rPr>
          <w:b/>
          <w:bCs/>
          <w:rtl/>
          <w:lang w:eastAsia="zh-TW"/>
        </w:rPr>
        <w:t xml:space="preserve"> </w:t>
      </w:r>
      <w:r w:rsidRPr="00135CCB">
        <w:rPr>
          <w:b/>
          <w:bCs/>
          <w:rtl/>
          <w:lang w:eastAsia="zh-TW"/>
        </w:rPr>
        <w:t>وأن</w:t>
      </w:r>
      <w:r>
        <w:rPr>
          <w:b/>
          <w:bCs/>
          <w:rtl/>
          <w:lang w:eastAsia="zh-TW"/>
        </w:rPr>
        <w:t xml:space="preserve"> </w:t>
      </w:r>
      <w:r w:rsidRPr="00135CCB">
        <w:rPr>
          <w:b/>
          <w:bCs/>
          <w:rtl/>
          <w:lang w:eastAsia="zh-TW"/>
        </w:rPr>
        <w:t>يستمر</w:t>
      </w:r>
      <w:r>
        <w:rPr>
          <w:b/>
          <w:bCs/>
          <w:rtl/>
          <w:lang w:eastAsia="zh-TW"/>
        </w:rPr>
        <w:t xml:space="preserve"> </w:t>
      </w:r>
      <w:r w:rsidRPr="00135CCB">
        <w:rPr>
          <w:b/>
          <w:bCs/>
          <w:rtl/>
          <w:lang w:eastAsia="zh-TW"/>
        </w:rPr>
        <w:t>العلاج</w:t>
      </w:r>
      <w:r>
        <w:rPr>
          <w:b/>
          <w:bCs/>
          <w:rtl/>
          <w:lang w:eastAsia="zh-TW"/>
        </w:rPr>
        <w:t xml:space="preserve"> </w:t>
      </w:r>
      <w:r w:rsidRPr="00135CCB">
        <w:rPr>
          <w:b/>
          <w:bCs/>
          <w:rtl/>
          <w:lang w:eastAsia="zh-TW"/>
        </w:rPr>
        <w:t>لأقصر</w:t>
      </w:r>
      <w:r>
        <w:rPr>
          <w:b/>
          <w:bCs/>
          <w:rtl/>
          <w:lang w:eastAsia="zh-TW"/>
        </w:rPr>
        <w:t xml:space="preserve"> </w:t>
      </w:r>
      <w:r w:rsidRPr="00135CCB">
        <w:rPr>
          <w:b/>
          <w:bCs/>
          <w:rtl/>
          <w:lang w:eastAsia="zh-TW"/>
        </w:rPr>
        <w:t>فترة</w:t>
      </w:r>
      <w:r>
        <w:rPr>
          <w:b/>
          <w:bCs/>
          <w:rtl/>
          <w:lang w:eastAsia="zh-TW"/>
        </w:rPr>
        <w:t xml:space="preserve"> </w:t>
      </w:r>
      <w:r w:rsidRPr="00135CCB">
        <w:rPr>
          <w:b/>
          <w:bCs/>
          <w:rtl/>
          <w:lang w:eastAsia="zh-TW"/>
        </w:rPr>
        <w:t>ممكنة</w:t>
      </w:r>
      <w:r>
        <w:rPr>
          <w:b/>
          <w:bCs/>
          <w:rtl/>
          <w:lang w:eastAsia="zh-TW"/>
        </w:rPr>
        <w:t xml:space="preserve"> </w:t>
      </w:r>
      <w:r w:rsidRPr="00135CCB">
        <w:rPr>
          <w:b/>
          <w:bCs/>
          <w:rtl/>
          <w:lang w:eastAsia="zh-TW"/>
        </w:rPr>
        <w:t>ويخضع</w:t>
      </w:r>
      <w:r>
        <w:rPr>
          <w:b/>
          <w:bCs/>
          <w:rtl/>
          <w:lang w:eastAsia="zh-TW"/>
        </w:rPr>
        <w:t xml:space="preserve"> </w:t>
      </w:r>
      <w:r w:rsidRPr="00135CCB">
        <w:rPr>
          <w:b/>
          <w:bCs/>
          <w:rtl/>
          <w:lang w:eastAsia="zh-TW"/>
        </w:rPr>
        <w:t>لاستعراض</w:t>
      </w:r>
      <w:r>
        <w:rPr>
          <w:b/>
          <w:bCs/>
          <w:rtl/>
          <w:lang w:eastAsia="zh-TW"/>
        </w:rPr>
        <w:t xml:space="preserve"> </w:t>
      </w:r>
      <w:r w:rsidRPr="00135CCB">
        <w:rPr>
          <w:b/>
          <w:bCs/>
          <w:rtl/>
          <w:lang w:eastAsia="zh-TW"/>
        </w:rPr>
        <w:t>مستقل</w:t>
      </w:r>
      <w:r>
        <w:rPr>
          <w:b/>
          <w:bCs/>
          <w:rtl/>
          <w:lang w:eastAsia="zh-TW"/>
        </w:rPr>
        <w:t xml:space="preserve"> ومنتظم</w:t>
      </w:r>
      <w:r w:rsidRPr="00135CCB">
        <w:rPr>
          <w:b/>
          <w:bCs/>
          <w:rtl/>
          <w:lang w:eastAsia="zh-TW"/>
        </w:rPr>
        <w:t>.</w:t>
      </w:r>
      <w:r>
        <w:rPr>
          <w:b/>
          <w:bCs/>
          <w:rtl/>
          <w:lang w:eastAsia="zh-TW"/>
        </w:rPr>
        <w:t xml:space="preserve"> </w:t>
      </w:r>
      <w:r w:rsidRPr="00135CCB">
        <w:rPr>
          <w:b/>
          <w:bCs/>
          <w:rtl/>
          <w:lang w:eastAsia="zh-TW"/>
        </w:rPr>
        <w:t>وينبغي</w:t>
      </w:r>
      <w:r>
        <w:rPr>
          <w:b/>
          <w:bCs/>
          <w:rtl/>
          <w:lang w:eastAsia="zh-TW"/>
        </w:rPr>
        <w:t xml:space="preserve"> للدولة الطرف أن تضمن</w:t>
      </w:r>
      <w:r>
        <w:rPr>
          <w:b/>
          <w:bCs/>
          <w:rtl/>
          <w:lang w:eastAsia="zh-TW" w:bidi="ar-DZ"/>
        </w:rPr>
        <w:t xml:space="preserve"> إمكانية</w:t>
      </w:r>
      <w:r>
        <w:rPr>
          <w:b/>
          <w:bCs/>
          <w:rtl/>
          <w:lang w:eastAsia="zh-TW"/>
        </w:rPr>
        <w:t xml:space="preserve"> الاستعانة </w:t>
      </w:r>
      <w:r w:rsidRPr="00135CCB">
        <w:rPr>
          <w:b/>
          <w:bCs/>
          <w:rtl/>
          <w:lang w:eastAsia="zh-TW"/>
        </w:rPr>
        <w:t>الفعال</w:t>
      </w:r>
      <w:r>
        <w:rPr>
          <w:b/>
          <w:bCs/>
          <w:rtl/>
          <w:lang w:eastAsia="zh-TW"/>
        </w:rPr>
        <w:t>ة ب</w:t>
      </w:r>
      <w:r w:rsidRPr="00135CCB">
        <w:rPr>
          <w:b/>
          <w:bCs/>
          <w:rtl/>
          <w:lang w:eastAsia="zh-TW"/>
        </w:rPr>
        <w:t>المراجعة</w:t>
      </w:r>
      <w:r>
        <w:rPr>
          <w:b/>
          <w:bCs/>
          <w:rtl/>
          <w:lang w:eastAsia="zh-TW"/>
        </w:rPr>
        <w:t xml:space="preserve"> </w:t>
      </w:r>
      <w:r w:rsidRPr="00135CCB">
        <w:rPr>
          <w:b/>
          <w:bCs/>
          <w:rtl/>
          <w:lang w:eastAsia="zh-TW"/>
        </w:rPr>
        <w:t>القضائية</w:t>
      </w:r>
      <w:r>
        <w:rPr>
          <w:b/>
          <w:bCs/>
          <w:rtl/>
          <w:lang w:eastAsia="zh-TW"/>
        </w:rPr>
        <w:t xml:space="preserve"> </w:t>
      </w:r>
      <w:r w:rsidRPr="00135CCB">
        <w:rPr>
          <w:b/>
          <w:bCs/>
          <w:rtl/>
          <w:lang w:eastAsia="zh-TW"/>
        </w:rPr>
        <w:t>للقرارات</w:t>
      </w:r>
      <w:r>
        <w:rPr>
          <w:b/>
          <w:bCs/>
          <w:rtl/>
          <w:lang w:eastAsia="zh-TW"/>
        </w:rPr>
        <w:t xml:space="preserve"> المتعلقة بالعلاج غير الرضائي، بما يتفق مع المادتين ٩ و14 من العهد، بسبل منها كفالة أن يكون الأقارب وأي ممثلين قانونيين آخرين للمرضى على علم كافٍ بإجراءات طلب إنهاء العلاج القسري</w:t>
      </w:r>
      <w:r>
        <w:rPr>
          <w:b/>
          <w:bCs/>
          <w:rtl/>
          <w:lang w:eastAsia="zh-TW" w:bidi="ar-DZ"/>
        </w:rPr>
        <w:t>، عملاً بالمادة</w:t>
      </w:r>
      <w:r>
        <w:rPr>
          <w:b/>
          <w:bCs/>
          <w:rtl/>
          <w:lang w:eastAsia="zh-TW"/>
        </w:rPr>
        <w:t xml:space="preserve"> ٤٠٣ من قانون الإجراءات </w:t>
      </w:r>
      <w:r w:rsidRPr="00187C52">
        <w:rPr>
          <w:b/>
          <w:bCs/>
          <w:rtl/>
          <w:lang w:eastAsia="zh-TW"/>
        </w:rPr>
        <w:t>الجنائية.</w:t>
      </w:r>
    </w:p>
    <w:p w:rsidR="003F3175" w:rsidRPr="00674D9E" w:rsidRDefault="003A7BC5" w:rsidP="003A7BC5">
      <w:pPr>
        <w:pStyle w:val="H23GA"/>
        <w:rPr>
          <w:rtl/>
        </w:rPr>
      </w:pPr>
      <w:r>
        <w:rPr>
          <w:rtl/>
        </w:rPr>
        <w:lastRenderedPageBreak/>
        <w:tab/>
      </w:r>
      <w:r>
        <w:rPr>
          <w:rtl/>
        </w:rPr>
        <w:tab/>
      </w:r>
      <w:r w:rsidR="003F3175" w:rsidRPr="00674D9E">
        <w:rPr>
          <w:rtl/>
        </w:rPr>
        <w:t>حق</w:t>
      </w:r>
      <w:r w:rsidR="003F3175">
        <w:rPr>
          <w:rtl/>
        </w:rPr>
        <w:t xml:space="preserve"> الفرد </w:t>
      </w:r>
      <w:r w:rsidR="003F3175" w:rsidRPr="00674D9E">
        <w:rPr>
          <w:rtl/>
        </w:rPr>
        <w:t>في</w:t>
      </w:r>
      <w:r w:rsidR="003F3175">
        <w:rPr>
          <w:rtl/>
        </w:rPr>
        <w:t xml:space="preserve"> </w:t>
      </w:r>
      <w:r w:rsidR="003F3175" w:rsidRPr="00674D9E">
        <w:rPr>
          <w:rtl/>
        </w:rPr>
        <w:t>الحرية</w:t>
      </w:r>
      <w:r w:rsidR="003F3175">
        <w:rPr>
          <w:rtl/>
        </w:rPr>
        <w:t xml:space="preserve"> </w:t>
      </w:r>
      <w:r w:rsidR="003F3175" w:rsidRPr="00674D9E">
        <w:rPr>
          <w:rtl/>
        </w:rPr>
        <w:t>والأم</w:t>
      </w:r>
      <w:bookmarkStart w:id="10" w:name="_Toc6392597"/>
      <w:bookmarkEnd w:id="10"/>
      <w:r w:rsidR="003F3175">
        <w:rPr>
          <w:rtl/>
        </w:rPr>
        <w:t>ان على شخصه</w:t>
      </w:r>
    </w:p>
    <w:p w:rsidR="003F3175" w:rsidRPr="00BB7A9F" w:rsidRDefault="003F3175" w:rsidP="003F3175">
      <w:pPr>
        <w:pStyle w:val="SingleTxtGA"/>
        <w:rPr>
          <w:rtl/>
          <w:lang w:eastAsia="zh-TW" w:bidi="ar-DZ"/>
        </w:rPr>
      </w:pPr>
      <w:r>
        <w:rPr>
          <w:rtl/>
          <w:lang w:eastAsia="zh-TW"/>
        </w:rPr>
        <w:t>٢٥-</w:t>
      </w:r>
      <w:r>
        <w:rPr>
          <w:rtl/>
          <w:lang w:eastAsia="zh-TW"/>
        </w:rPr>
        <w:tab/>
        <w:t>في حين تحيط اللجنة علماً بأن الإخطار بالاحتجاز قد يُرفض بإذنٍ من مكتب المدعي العام ذي الصلة إذا كان هذا الإخطار سيضر بالدعوى الجنائية، وبأن مدة تأخير الإخطار تقوم على مبدأ التناسب، فإنها تشعر بالقلق لأن هذه الاستثناءات والضمانات القائمة ضد إساءة استعمالها غير محددة تحديداً واضحاً، وتلاحظ عدم وجود حدود قانونية لتأجيل الإخطار. كما</w:t>
      </w:r>
      <w:r w:rsidR="00BB40DD">
        <w:rPr>
          <w:rFonts w:hint="cs"/>
          <w:rtl/>
          <w:lang w:eastAsia="zh-TW"/>
        </w:rPr>
        <w:t> </w:t>
      </w:r>
      <w:r>
        <w:rPr>
          <w:rtl/>
          <w:lang w:eastAsia="zh-TW"/>
        </w:rPr>
        <w:t>يساور اللجنة القلق إزاء التقارير التي تفيد بأن الأشخاص المحرومين من حريتهم يجتمعون لأول مرة بمحاميهم الذي تعينه الدولة في جلسة المحكمة، حتى في الحالات التي تُطلب فيها الاستعانة بمحام بعد وقت قصير من احتجازهم (المادة ٩)</w:t>
      </w:r>
      <w:r>
        <w:rPr>
          <w:rtl/>
          <w:lang w:eastAsia="zh-TW" w:bidi="ar-DZ"/>
        </w:rPr>
        <w:t>.</w:t>
      </w:r>
    </w:p>
    <w:p w:rsidR="003F3175" w:rsidRPr="00BB7A9F" w:rsidRDefault="003F3175" w:rsidP="003F3175">
      <w:pPr>
        <w:pStyle w:val="SingleTxtGA"/>
        <w:rPr>
          <w:b/>
          <w:bCs/>
          <w:rtl/>
          <w:lang w:eastAsia="zh-TW"/>
        </w:rPr>
      </w:pPr>
      <w:r>
        <w:rPr>
          <w:rtl/>
          <w:lang w:eastAsia="zh-TW"/>
        </w:rPr>
        <w:t>٢٦-</w:t>
      </w:r>
      <w:r>
        <w:rPr>
          <w:rtl/>
          <w:lang w:eastAsia="zh-TW"/>
        </w:rPr>
        <w:tab/>
      </w:r>
      <w:r w:rsidRPr="00BB7A9F">
        <w:rPr>
          <w:b/>
          <w:bCs/>
          <w:rtl/>
          <w:lang w:eastAsia="zh-TW"/>
        </w:rPr>
        <w:t>ي</w:t>
      </w:r>
      <w:r>
        <w:rPr>
          <w:b/>
          <w:bCs/>
          <w:rtl/>
          <w:lang w:eastAsia="zh-TW"/>
        </w:rPr>
        <w:t xml:space="preserve">نبغي للدولة الطرف أن تكفل تحديد أي استثناءات من الحق في الإخطار </w:t>
      </w:r>
      <w:r w:rsidRPr="00BB7A9F">
        <w:rPr>
          <w:b/>
          <w:bCs/>
          <w:rtl/>
          <w:lang w:eastAsia="zh-TW"/>
        </w:rPr>
        <w:t>بالاحتجاز</w:t>
      </w:r>
      <w:r>
        <w:rPr>
          <w:b/>
          <w:bCs/>
          <w:rtl/>
          <w:lang w:eastAsia="zh-TW"/>
        </w:rPr>
        <w:t xml:space="preserve"> تحديداً </w:t>
      </w:r>
      <w:r w:rsidRPr="00BB7A9F">
        <w:rPr>
          <w:b/>
          <w:bCs/>
          <w:rtl/>
          <w:lang w:eastAsia="zh-TW"/>
        </w:rPr>
        <w:t>واضح</w:t>
      </w:r>
      <w:r>
        <w:rPr>
          <w:b/>
          <w:bCs/>
          <w:rtl/>
          <w:lang w:eastAsia="zh-TW"/>
        </w:rPr>
        <w:t xml:space="preserve">اً وخضوعها لمبدأ السقوط بالتقادم، ووجود </w:t>
      </w:r>
      <w:r w:rsidRPr="00BB7A9F">
        <w:rPr>
          <w:b/>
          <w:bCs/>
          <w:rtl/>
          <w:lang w:eastAsia="zh-TW"/>
        </w:rPr>
        <w:t>ضمانات</w:t>
      </w:r>
      <w:r>
        <w:rPr>
          <w:b/>
          <w:bCs/>
          <w:rtl/>
          <w:lang w:eastAsia="zh-TW"/>
        </w:rPr>
        <w:t xml:space="preserve"> </w:t>
      </w:r>
      <w:r w:rsidRPr="00BB7A9F">
        <w:rPr>
          <w:b/>
          <w:bCs/>
          <w:rtl/>
          <w:lang w:eastAsia="zh-TW"/>
        </w:rPr>
        <w:t>كافية</w:t>
      </w:r>
      <w:r>
        <w:rPr>
          <w:b/>
          <w:bCs/>
          <w:rtl/>
          <w:lang w:eastAsia="zh-TW"/>
        </w:rPr>
        <w:t xml:space="preserve"> </w:t>
      </w:r>
      <w:r w:rsidRPr="00BB7A9F">
        <w:rPr>
          <w:b/>
          <w:bCs/>
          <w:rtl/>
          <w:lang w:eastAsia="zh-TW"/>
        </w:rPr>
        <w:t>ضد</w:t>
      </w:r>
      <w:r>
        <w:rPr>
          <w:b/>
          <w:bCs/>
          <w:rtl/>
          <w:lang w:eastAsia="zh-TW"/>
        </w:rPr>
        <w:t xml:space="preserve"> </w:t>
      </w:r>
      <w:r w:rsidRPr="00BB7A9F">
        <w:rPr>
          <w:b/>
          <w:bCs/>
          <w:rtl/>
          <w:lang w:eastAsia="zh-TW"/>
        </w:rPr>
        <w:t>إساءة</w:t>
      </w:r>
      <w:r>
        <w:rPr>
          <w:b/>
          <w:bCs/>
          <w:rtl/>
          <w:lang w:eastAsia="zh-TW"/>
        </w:rPr>
        <w:t xml:space="preserve"> </w:t>
      </w:r>
      <w:r w:rsidRPr="00BB7A9F">
        <w:rPr>
          <w:b/>
          <w:bCs/>
          <w:rtl/>
          <w:lang w:eastAsia="zh-TW"/>
        </w:rPr>
        <w:t>استعمال</w:t>
      </w:r>
      <w:r>
        <w:rPr>
          <w:b/>
          <w:bCs/>
          <w:rtl/>
          <w:lang w:eastAsia="zh-TW"/>
        </w:rPr>
        <w:t xml:space="preserve"> </w:t>
      </w:r>
      <w:r w:rsidRPr="00BB7A9F">
        <w:rPr>
          <w:b/>
          <w:bCs/>
          <w:rtl/>
          <w:lang w:eastAsia="zh-TW"/>
        </w:rPr>
        <w:t>هذه</w:t>
      </w:r>
      <w:r>
        <w:rPr>
          <w:b/>
          <w:bCs/>
          <w:rtl/>
          <w:lang w:eastAsia="zh-TW"/>
        </w:rPr>
        <w:t xml:space="preserve"> </w:t>
      </w:r>
      <w:r w:rsidRPr="00BB7A9F">
        <w:rPr>
          <w:b/>
          <w:bCs/>
          <w:rtl/>
          <w:lang w:eastAsia="zh-TW"/>
        </w:rPr>
        <w:t>الاستثناءات.</w:t>
      </w:r>
      <w:r>
        <w:rPr>
          <w:b/>
          <w:bCs/>
          <w:rtl/>
          <w:lang w:eastAsia="zh-TW"/>
        </w:rPr>
        <w:t xml:space="preserve"> كما ينبغي أن تكفل ل</w:t>
      </w:r>
      <w:r w:rsidRPr="00BB7A9F">
        <w:rPr>
          <w:b/>
          <w:bCs/>
          <w:rtl/>
          <w:lang w:eastAsia="zh-TW"/>
        </w:rPr>
        <w:t>لمحتجز</w:t>
      </w:r>
      <w:r>
        <w:rPr>
          <w:b/>
          <w:bCs/>
          <w:rtl/>
          <w:lang w:eastAsia="zh-TW"/>
        </w:rPr>
        <w:t xml:space="preserve">ين في إطار القضايا الجنائية إمكانية الاستعانة </w:t>
      </w:r>
      <w:r w:rsidRPr="00BB7A9F">
        <w:rPr>
          <w:b/>
          <w:bCs/>
          <w:rtl/>
          <w:lang w:eastAsia="zh-TW"/>
        </w:rPr>
        <w:t>الفوري</w:t>
      </w:r>
      <w:r>
        <w:rPr>
          <w:b/>
          <w:bCs/>
          <w:rtl/>
          <w:lang w:eastAsia="zh-TW"/>
        </w:rPr>
        <w:t>ة ب</w:t>
      </w:r>
      <w:r w:rsidRPr="00BB7A9F">
        <w:rPr>
          <w:b/>
          <w:bCs/>
          <w:rtl/>
          <w:lang w:eastAsia="zh-TW"/>
        </w:rPr>
        <w:t>محام</w:t>
      </w:r>
      <w:r>
        <w:rPr>
          <w:b/>
          <w:bCs/>
          <w:rtl/>
          <w:lang w:eastAsia="zh-TW"/>
        </w:rPr>
        <w:t xml:space="preserve"> </w:t>
      </w:r>
      <w:r w:rsidRPr="00BB7A9F">
        <w:rPr>
          <w:b/>
          <w:bCs/>
          <w:rtl/>
          <w:lang w:eastAsia="zh-TW"/>
        </w:rPr>
        <w:t>منذ</w:t>
      </w:r>
      <w:r>
        <w:rPr>
          <w:b/>
          <w:bCs/>
          <w:rtl/>
          <w:lang w:eastAsia="zh-TW"/>
        </w:rPr>
        <w:t xml:space="preserve"> </w:t>
      </w:r>
      <w:r w:rsidRPr="00BB7A9F">
        <w:rPr>
          <w:b/>
          <w:bCs/>
          <w:rtl/>
          <w:lang w:eastAsia="zh-TW"/>
        </w:rPr>
        <w:t>بداية</w:t>
      </w:r>
      <w:r>
        <w:rPr>
          <w:b/>
          <w:bCs/>
          <w:rtl/>
          <w:lang w:eastAsia="zh-TW"/>
        </w:rPr>
        <w:t xml:space="preserve"> </w:t>
      </w:r>
      <w:r w:rsidRPr="00BB7A9F">
        <w:rPr>
          <w:b/>
          <w:bCs/>
          <w:rtl/>
          <w:lang w:eastAsia="zh-TW"/>
        </w:rPr>
        <w:t>ا</w:t>
      </w:r>
      <w:r>
        <w:rPr>
          <w:b/>
          <w:bCs/>
          <w:rtl/>
          <w:lang w:eastAsia="zh-TW"/>
        </w:rPr>
        <w:t>لاحتجاز</w:t>
      </w:r>
      <w:r w:rsidRPr="00BB7A9F">
        <w:rPr>
          <w:b/>
          <w:bCs/>
          <w:rtl/>
          <w:lang w:eastAsia="zh-TW"/>
        </w:rPr>
        <w:t>.</w:t>
      </w:r>
    </w:p>
    <w:p w:rsidR="003F3175" w:rsidRPr="00BB7A9F" w:rsidRDefault="003A7BC5" w:rsidP="003A7BC5">
      <w:pPr>
        <w:pStyle w:val="H23GA"/>
        <w:rPr>
          <w:rtl/>
        </w:rPr>
      </w:pPr>
      <w:r>
        <w:rPr>
          <w:rtl/>
        </w:rPr>
        <w:tab/>
      </w:r>
      <w:r>
        <w:rPr>
          <w:rtl/>
        </w:rPr>
        <w:tab/>
      </w:r>
      <w:r w:rsidR="003F3175" w:rsidRPr="00BB7A9F">
        <w:rPr>
          <w:rtl/>
        </w:rPr>
        <w:t>اللاجئون</w:t>
      </w:r>
      <w:r w:rsidR="003F3175">
        <w:rPr>
          <w:rtl/>
        </w:rPr>
        <w:t xml:space="preserve"> </w:t>
      </w:r>
      <w:r w:rsidR="003F3175" w:rsidRPr="00BB7A9F">
        <w:rPr>
          <w:rtl/>
        </w:rPr>
        <w:t>وملتمسو</w:t>
      </w:r>
      <w:r w:rsidR="003F3175">
        <w:rPr>
          <w:rtl/>
        </w:rPr>
        <w:t xml:space="preserve"> </w:t>
      </w:r>
      <w:r w:rsidR="003F3175" w:rsidRPr="00BB7A9F">
        <w:rPr>
          <w:rtl/>
        </w:rPr>
        <w:t>اللجوء</w:t>
      </w:r>
      <w:r w:rsidR="003F3175">
        <w:rPr>
          <w:rtl/>
        </w:rPr>
        <w:t xml:space="preserve"> </w:t>
      </w:r>
      <w:bookmarkStart w:id="11" w:name="_Toc6392598"/>
      <w:bookmarkEnd w:id="11"/>
    </w:p>
    <w:p w:rsidR="003F3175" w:rsidRPr="00471C88" w:rsidRDefault="003F3175" w:rsidP="003F3175">
      <w:pPr>
        <w:pStyle w:val="SingleTxtGA"/>
        <w:rPr>
          <w:rtl/>
          <w:lang w:eastAsia="zh-TW"/>
        </w:rPr>
      </w:pPr>
      <w:r>
        <w:rPr>
          <w:rtl/>
          <w:lang w:eastAsia="zh-TW"/>
        </w:rPr>
        <w:t>٢٧-</w:t>
      </w:r>
      <w:r>
        <w:rPr>
          <w:rtl/>
          <w:lang w:eastAsia="zh-TW"/>
        </w:rPr>
        <w:tab/>
        <w:t>في حين تقدّر اللجنة التدريب المحدد الغرض بشأن الحماية الدولية الذي ينَظَّم من أجل تحسين معارف ومهارات موظفي حراسة الحدود، فإنها تشعر بالقلق لأن الكثيرين من الموظفين لا يزالون يفتقرون إلى المعارف والمهارات الكافية لإجراء تقييم شامل لاحتياجات الحماية الدولية. وتشعر اللجنة بالقلق أيض</w:t>
      </w:r>
      <w:r w:rsidR="000921EE">
        <w:rPr>
          <w:rtl/>
          <w:lang w:eastAsia="zh-TW"/>
        </w:rPr>
        <w:t xml:space="preserve">اً </w:t>
      </w:r>
      <w:r>
        <w:rPr>
          <w:rtl/>
          <w:lang w:eastAsia="zh-TW"/>
        </w:rPr>
        <w:t xml:space="preserve">إزاء الادعاءات المتعلقة بالحرمان من الحق في طلب اللجوء عند نقاط عبور الحدود (ولا سيما في نقطة العبور الحدودية </w:t>
      </w:r>
      <w:proofErr w:type="spellStart"/>
      <w:r>
        <w:rPr>
          <w:rtl/>
          <w:lang w:eastAsia="zh-TW"/>
        </w:rPr>
        <w:t>نارفا</w:t>
      </w:r>
      <w:proofErr w:type="spellEnd"/>
      <w:r>
        <w:rPr>
          <w:rtl/>
          <w:lang w:eastAsia="zh-TW"/>
        </w:rPr>
        <w:t xml:space="preserve">) أو في مناطق العبور، </w:t>
      </w:r>
      <w:r>
        <w:rPr>
          <w:rtl/>
          <w:lang w:eastAsia="zh-TW" w:bidi="ar-DZ"/>
        </w:rPr>
        <w:t>و</w:t>
      </w:r>
      <w:r>
        <w:rPr>
          <w:rtl/>
          <w:lang w:eastAsia="zh-TW"/>
        </w:rPr>
        <w:t>إزاء الفرص المحدودة للحصول على سبل الانتصاف الفعالة على إثر القرارات المتخذة بشأن اللجوء على الحدود، نتيجةً لعدم الحصول على المشورة/المساعدة القانونية المجانية في حالات مماثلة. ويساور اللجنة القلق أيض</w:t>
      </w:r>
      <w:r w:rsidR="000921EE">
        <w:rPr>
          <w:rtl/>
          <w:lang w:eastAsia="zh-TW"/>
        </w:rPr>
        <w:t xml:space="preserve">اً </w:t>
      </w:r>
      <w:r>
        <w:rPr>
          <w:rtl/>
          <w:lang w:eastAsia="zh-TW"/>
        </w:rPr>
        <w:t>إزاء التقارير التي تفيد بأن ملتمسي اللجوء يُتهمون بدخول البلد أو</w:t>
      </w:r>
      <w:r w:rsidR="00BB40DD">
        <w:rPr>
          <w:rFonts w:hint="cs"/>
          <w:rtl/>
          <w:lang w:eastAsia="zh-TW"/>
        </w:rPr>
        <w:t> </w:t>
      </w:r>
      <w:r>
        <w:rPr>
          <w:rtl/>
          <w:lang w:eastAsia="zh-TW"/>
        </w:rPr>
        <w:t xml:space="preserve">بالإقامة فيه بشكل غير نظامي بموجب البند الثاني من المادة ٢٥٨(١) لقانون العقوبات، وبأن طلب الحماية الدولية لا يمنع من إقامة دعوى جنائية بموجب المادة المذكورة. وبالإضافة إلى ذلك، تشعر اللجنة بالقلق بشأن الاتساق مع العهد، ولا سيما مع مبدأ عدم الإعادة القسرية، على خلفية مشروع القانون </w:t>
      </w:r>
      <w:r w:rsidRPr="00F930E9">
        <w:rPr>
          <w:lang w:eastAsia="zh-TW"/>
        </w:rPr>
        <w:t>472</w:t>
      </w:r>
      <w:r>
        <w:rPr>
          <w:lang w:eastAsia="zh-TW"/>
        </w:rPr>
        <w:t xml:space="preserve"> </w:t>
      </w:r>
      <w:r w:rsidRPr="00F930E9">
        <w:rPr>
          <w:lang w:eastAsia="zh-TW"/>
        </w:rPr>
        <w:t>SE</w:t>
      </w:r>
      <w:r>
        <w:rPr>
          <w:rtl/>
          <w:lang w:eastAsia="zh-TW"/>
        </w:rPr>
        <w:t xml:space="preserve"> المعدِّل للقانون المتعلق بمنح الحماية الدولية للأجانب، الذي أُنجزت القراءة الأولى له في تشرين الأول/أكتوبر ٢٠١٧، والذي ينص على إلغاء صفة اللاجئ لأسباب غير محددة بوضوح، وبخاصة </w:t>
      </w:r>
      <w:proofErr w:type="gramStart"/>
      <w:r>
        <w:rPr>
          <w:rtl/>
          <w:lang w:eastAsia="zh-TW"/>
        </w:rPr>
        <w:t xml:space="preserve">لوجود </w:t>
      </w:r>
      <w:r w:rsidR="00796C15">
        <w:rPr>
          <w:rtl/>
          <w:lang w:eastAsia="zh-TW"/>
        </w:rPr>
        <w:t>”</w:t>
      </w:r>
      <w:r>
        <w:rPr>
          <w:rtl/>
          <w:lang w:eastAsia="zh-TW"/>
        </w:rPr>
        <w:t>خطر</w:t>
      </w:r>
      <w:proofErr w:type="gramEnd"/>
      <w:r>
        <w:rPr>
          <w:rtl/>
          <w:lang w:eastAsia="zh-TW"/>
        </w:rPr>
        <w:t xml:space="preserve"> يتهدد مجتمع إستونيا</w:t>
      </w:r>
      <w:r w:rsidR="00796C15">
        <w:rPr>
          <w:rtl/>
          <w:lang w:eastAsia="zh-TW"/>
        </w:rPr>
        <w:t>“</w:t>
      </w:r>
      <w:r>
        <w:rPr>
          <w:rtl/>
          <w:lang w:eastAsia="zh-TW"/>
        </w:rPr>
        <w:t xml:space="preserve">؛ وعلاوة على ذلك، فإن الجرائم المنصوص عليها في مشروع القانون لا تبلغ كلها عتبة </w:t>
      </w:r>
      <w:r w:rsidR="00796C15">
        <w:rPr>
          <w:rtl/>
          <w:lang w:eastAsia="zh-TW"/>
        </w:rPr>
        <w:t>”</w:t>
      </w:r>
      <w:r>
        <w:rPr>
          <w:rtl/>
          <w:lang w:eastAsia="zh-TW"/>
        </w:rPr>
        <w:t>الجريمة الشديدة الخطورة</w:t>
      </w:r>
      <w:r w:rsidR="00796C15">
        <w:rPr>
          <w:rtl/>
          <w:lang w:eastAsia="zh-TW"/>
        </w:rPr>
        <w:t>“</w:t>
      </w:r>
      <w:r>
        <w:rPr>
          <w:rtl/>
          <w:lang w:eastAsia="zh-TW"/>
        </w:rPr>
        <w:t xml:space="preserve"> (المواد 2 و6 و7 و13).</w:t>
      </w:r>
    </w:p>
    <w:p w:rsidR="003F3175" w:rsidRPr="00EE5B57" w:rsidRDefault="003F3175" w:rsidP="003F3175">
      <w:pPr>
        <w:pStyle w:val="SingleTxtGA"/>
        <w:rPr>
          <w:b/>
          <w:bCs/>
          <w:rtl/>
          <w:lang w:eastAsia="zh-TW"/>
        </w:rPr>
      </w:pPr>
      <w:r>
        <w:rPr>
          <w:rtl/>
          <w:lang w:eastAsia="zh-TW"/>
        </w:rPr>
        <w:t>٢٨-</w:t>
      </w:r>
      <w:r>
        <w:rPr>
          <w:rtl/>
          <w:lang w:eastAsia="zh-TW"/>
        </w:rPr>
        <w:tab/>
      </w:r>
      <w:r>
        <w:rPr>
          <w:b/>
          <w:bCs/>
          <w:rtl/>
          <w:lang w:eastAsia="zh-TW"/>
        </w:rPr>
        <w:t xml:space="preserve">ينبغي للدولة الطرف القيام </w:t>
      </w:r>
      <w:r w:rsidRPr="00C6328A">
        <w:rPr>
          <w:b/>
          <w:bCs/>
          <w:rtl/>
          <w:lang w:eastAsia="zh-TW"/>
        </w:rPr>
        <w:t>بما</w:t>
      </w:r>
      <w:r>
        <w:rPr>
          <w:b/>
          <w:bCs/>
          <w:rtl/>
          <w:lang w:eastAsia="zh-TW"/>
        </w:rPr>
        <w:t xml:space="preserve"> </w:t>
      </w:r>
      <w:r w:rsidRPr="00C6328A">
        <w:rPr>
          <w:b/>
          <w:bCs/>
          <w:rtl/>
          <w:lang w:eastAsia="zh-TW"/>
        </w:rPr>
        <w:t>يلي:</w:t>
      </w:r>
    </w:p>
    <w:p w:rsidR="003F3175" w:rsidRPr="00C6328A" w:rsidRDefault="003A7BC5" w:rsidP="003F3175">
      <w:pPr>
        <w:pStyle w:val="SingleTxtGA"/>
        <w:rPr>
          <w:b/>
          <w:bCs/>
          <w:rtl/>
          <w:lang w:eastAsia="zh-TW"/>
        </w:rPr>
      </w:pPr>
      <w:r>
        <w:rPr>
          <w:rtl/>
          <w:lang w:eastAsia="zh-TW"/>
        </w:rPr>
        <w:tab/>
      </w:r>
      <w:r w:rsidR="003F3175">
        <w:rPr>
          <w:rtl/>
          <w:lang w:eastAsia="zh-TW"/>
        </w:rPr>
        <w:t>(أ</w:t>
      </w:r>
      <w:r>
        <w:rPr>
          <w:rtl/>
          <w:lang w:eastAsia="zh-TW"/>
        </w:rPr>
        <w:t>)</w:t>
      </w:r>
      <w:r>
        <w:rPr>
          <w:rtl/>
          <w:lang w:eastAsia="zh-TW"/>
        </w:rPr>
        <w:tab/>
      </w:r>
      <w:r w:rsidR="003F3175">
        <w:rPr>
          <w:b/>
          <w:bCs/>
          <w:rtl/>
          <w:lang w:eastAsia="zh-TW"/>
        </w:rPr>
        <w:t xml:space="preserve">أن تحترم تماماً مبدأ عدم الإعادة القسرية، وذلك بكفالة أن يكون </w:t>
      </w:r>
      <w:r w:rsidR="003F3175" w:rsidRPr="00C6328A">
        <w:rPr>
          <w:b/>
          <w:bCs/>
          <w:rtl/>
          <w:lang w:eastAsia="zh-TW"/>
        </w:rPr>
        <w:t>حق</w:t>
      </w:r>
      <w:r w:rsidR="003F3175">
        <w:rPr>
          <w:b/>
          <w:bCs/>
          <w:rtl/>
          <w:lang w:eastAsia="zh-TW"/>
        </w:rPr>
        <w:t xml:space="preserve"> </w:t>
      </w:r>
      <w:r w:rsidR="003F3175" w:rsidRPr="00C6328A">
        <w:rPr>
          <w:b/>
          <w:bCs/>
          <w:rtl/>
          <w:lang w:eastAsia="zh-TW"/>
        </w:rPr>
        <w:t>ملتمسي</w:t>
      </w:r>
      <w:r w:rsidR="003F3175">
        <w:rPr>
          <w:b/>
          <w:bCs/>
          <w:rtl/>
          <w:lang w:eastAsia="zh-TW"/>
        </w:rPr>
        <w:t xml:space="preserve"> </w:t>
      </w:r>
      <w:r w:rsidR="003F3175" w:rsidRPr="00C6328A">
        <w:rPr>
          <w:b/>
          <w:bCs/>
          <w:rtl/>
          <w:lang w:eastAsia="zh-TW"/>
        </w:rPr>
        <w:t>اللجوء</w:t>
      </w:r>
      <w:r w:rsidR="003F3175">
        <w:rPr>
          <w:b/>
          <w:bCs/>
          <w:rtl/>
          <w:lang w:eastAsia="zh-TW"/>
        </w:rPr>
        <w:t xml:space="preserve"> في تقديم طلبات اللجوء عند </w:t>
      </w:r>
      <w:r w:rsidR="003F3175" w:rsidRPr="00C6328A">
        <w:rPr>
          <w:b/>
          <w:bCs/>
          <w:rtl/>
          <w:lang w:eastAsia="zh-TW"/>
        </w:rPr>
        <w:t>نقاط</w:t>
      </w:r>
      <w:r w:rsidR="003F3175">
        <w:rPr>
          <w:b/>
          <w:bCs/>
          <w:rtl/>
          <w:lang w:eastAsia="zh-TW"/>
        </w:rPr>
        <w:t xml:space="preserve"> </w:t>
      </w:r>
      <w:r w:rsidR="003F3175" w:rsidRPr="00C6328A">
        <w:rPr>
          <w:b/>
          <w:bCs/>
          <w:rtl/>
          <w:lang w:eastAsia="zh-TW"/>
        </w:rPr>
        <w:t>العبور</w:t>
      </w:r>
      <w:r w:rsidR="003F3175">
        <w:rPr>
          <w:b/>
          <w:bCs/>
          <w:rtl/>
          <w:lang w:eastAsia="zh-TW"/>
        </w:rPr>
        <w:t xml:space="preserve"> </w:t>
      </w:r>
      <w:r w:rsidR="003F3175" w:rsidRPr="00C6328A">
        <w:rPr>
          <w:b/>
          <w:bCs/>
          <w:rtl/>
          <w:lang w:eastAsia="zh-TW"/>
        </w:rPr>
        <w:t>الحدودية</w:t>
      </w:r>
      <w:r w:rsidR="003F3175">
        <w:rPr>
          <w:b/>
          <w:bCs/>
          <w:rtl/>
          <w:lang w:eastAsia="zh-TW"/>
        </w:rPr>
        <w:t xml:space="preserve"> </w:t>
      </w:r>
      <w:r w:rsidR="003F3175" w:rsidRPr="00C6328A">
        <w:rPr>
          <w:b/>
          <w:bCs/>
          <w:rtl/>
          <w:lang w:eastAsia="zh-TW"/>
        </w:rPr>
        <w:t>أو</w:t>
      </w:r>
      <w:r w:rsidR="003F3175">
        <w:rPr>
          <w:b/>
          <w:bCs/>
          <w:rtl/>
          <w:lang w:eastAsia="zh-TW"/>
        </w:rPr>
        <w:t xml:space="preserve"> </w:t>
      </w:r>
      <w:r w:rsidR="003F3175" w:rsidRPr="00C6328A">
        <w:rPr>
          <w:b/>
          <w:bCs/>
          <w:rtl/>
          <w:lang w:eastAsia="zh-TW"/>
        </w:rPr>
        <w:t>في</w:t>
      </w:r>
      <w:r w:rsidR="003F3175">
        <w:rPr>
          <w:b/>
          <w:bCs/>
          <w:rtl/>
          <w:lang w:eastAsia="zh-TW"/>
        </w:rPr>
        <w:t xml:space="preserve"> </w:t>
      </w:r>
      <w:r w:rsidR="003F3175" w:rsidRPr="00C6328A">
        <w:rPr>
          <w:b/>
          <w:bCs/>
          <w:rtl/>
          <w:lang w:eastAsia="zh-TW"/>
        </w:rPr>
        <w:t>مناطق</w:t>
      </w:r>
      <w:r w:rsidR="003F3175">
        <w:rPr>
          <w:b/>
          <w:bCs/>
          <w:rtl/>
          <w:lang w:eastAsia="zh-TW"/>
        </w:rPr>
        <w:t xml:space="preserve"> </w:t>
      </w:r>
      <w:r w:rsidR="003F3175" w:rsidRPr="00C6328A">
        <w:rPr>
          <w:b/>
          <w:bCs/>
          <w:rtl/>
          <w:lang w:eastAsia="zh-TW"/>
        </w:rPr>
        <w:t>العبور</w:t>
      </w:r>
      <w:r w:rsidR="003F3175">
        <w:rPr>
          <w:b/>
          <w:bCs/>
          <w:rtl/>
          <w:lang w:eastAsia="zh-TW"/>
        </w:rPr>
        <w:t xml:space="preserve"> مضموناً </w:t>
      </w:r>
      <w:r w:rsidR="003F3175" w:rsidRPr="00C6328A">
        <w:rPr>
          <w:b/>
          <w:bCs/>
          <w:rtl/>
          <w:lang w:eastAsia="zh-TW"/>
        </w:rPr>
        <w:t>بشكل</w:t>
      </w:r>
      <w:r w:rsidR="003F3175">
        <w:rPr>
          <w:b/>
          <w:bCs/>
          <w:rtl/>
          <w:lang w:eastAsia="zh-TW"/>
        </w:rPr>
        <w:t xml:space="preserve"> فعال في الممارسة العملية وأن تنظر، </w:t>
      </w:r>
      <w:r w:rsidR="003F3175" w:rsidRPr="00C6328A">
        <w:rPr>
          <w:b/>
          <w:bCs/>
          <w:rtl/>
          <w:lang w:eastAsia="zh-TW"/>
        </w:rPr>
        <w:t>في</w:t>
      </w:r>
      <w:r w:rsidR="003F3175">
        <w:rPr>
          <w:b/>
          <w:bCs/>
          <w:rtl/>
          <w:lang w:eastAsia="zh-TW"/>
        </w:rPr>
        <w:t xml:space="preserve"> </w:t>
      </w:r>
      <w:r w:rsidR="003F3175" w:rsidRPr="00C6328A">
        <w:rPr>
          <w:b/>
          <w:bCs/>
          <w:rtl/>
          <w:lang w:eastAsia="zh-TW"/>
        </w:rPr>
        <w:t>هذا</w:t>
      </w:r>
      <w:r w:rsidR="003F3175">
        <w:rPr>
          <w:b/>
          <w:bCs/>
          <w:rtl/>
          <w:lang w:eastAsia="zh-TW"/>
        </w:rPr>
        <w:t xml:space="preserve"> </w:t>
      </w:r>
      <w:r w:rsidR="003F3175" w:rsidRPr="00C6328A">
        <w:rPr>
          <w:b/>
          <w:bCs/>
          <w:rtl/>
          <w:lang w:eastAsia="zh-TW"/>
        </w:rPr>
        <w:t>الصدد،</w:t>
      </w:r>
      <w:r w:rsidR="003F3175">
        <w:rPr>
          <w:b/>
          <w:bCs/>
          <w:rtl/>
          <w:lang w:eastAsia="zh-TW"/>
        </w:rPr>
        <w:t xml:space="preserve"> في </w:t>
      </w:r>
      <w:r w:rsidR="003F3175" w:rsidRPr="00C6328A">
        <w:rPr>
          <w:b/>
          <w:bCs/>
          <w:rtl/>
          <w:lang w:eastAsia="zh-TW"/>
        </w:rPr>
        <w:t>إنشاء</w:t>
      </w:r>
      <w:r w:rsidR="003F3175">
        <w:rPr>
          <w:b/>
          <w:bCs/>
          <w:rtl/>
          <w:lang w:eastAsia="zh-TW"/>
        </w:rPr>
        <w:t xml:space="preserve"> </w:t>
      </w:r>
      <w:r w:rsidR="003F3175" w:rsidRPr="00C6328A">
        <w:rPr>
          <w:b/>
          <w:bCs/>
          <w:rtl/>
          <w:lang w:eastAsia="zh-TW"/>
        </w:rPr>
        <w:t>نظام</w:t>
      </w:r>
      <w:r w:rsidR="003F3175">
        <w:rPr>
          <w:b/>
          <w:bCs/>
          <w:rtl/>
          <w:lang w:eastAsia="zh-TW"/>
        </w:rPr>
        <w:t xml:space="preserve"> رصد مستقل عند </w:t>
      </w:r>
      <w:r w:rsidR="003F3175" w:rsidRPr="00C6328A">
        <w:rPr>
          <w:b/>
          <w:bCs/>
          <w:rtl/>
          <w:lang w:eastAsia="zh-TW"/>
        </w:rPr>
        <w:t>المعابر</w:t>
      </w:r>
      <w:r w:rsidR="003F3175">
        <w:rPr>
          <w:b/>
          <w:bCs/>
          <w:rtl/>
          <w:lang w:eastAsia="zh-TW"/>
        </w:rPr>
        <w:t xml:space="preserve"> </w:t>
      </w:r>
      <w:r w:rsidR="003F3175" w:rsidRPr="00C6328A">
        <w:rPr>
          <w:b/>
          <w:bCs/>
          <w:rtl/>
          <w:lang w:eastAsia="zh-TW"/>
        </w:rPr>
        <w:t>الحدودية</w:t>
      </w:r>
      <w:r w:rsidR="003F3175">
        <w:rPr>
          <w:b/>
          <w:bCs/>
          <w:rtl/>
          <w:lang w:eastAsia="zh-TW"/>
        </w:rPr>
        <w:t xml:space="preserve"> </w:t>
      </w:r>
      <w:r w:rsidR="003F3175" w:rsidRPr="00C6328A">
        <w:rPr>
          <w:b/>
          <w:bCs/>
          <w:rtl/>
          <w:lang w:eastAsia="zh-TW"/>
        </w:rPr>
        <w:t>بالتعاون</w:t>
      </w:r>
      <w:r w:rsidR="003F3175">
        <w:rPr>
          <w:b/>
          <w:bCs/>
          <w:rtl/>
          <w:lang w:eastAsia="zh-TW"/>
        </w:rPr>
        <w:t xml:space="preserve"> </w:t>
      </w:r>
      <w:r w:rsidR="003F3175" w:rsidRPr="00C6328A">
        <w:rPr>
          <w:b/>
          <w:bCs/>
          <w:rtl/>
          <w:lang w:eastAsia="zh-TW"/>
        </w:rPr>
        <w:t>مع</w:t>
      </w:r>
      <w:r w:rsidR="003F3175">
        <w:rPr>
          <w:b/>
          <w:bCs/>
          <w:rtl/>
          <w:lang w:eastAsia="zh-TW"/>
        </w:rPr>
        <w:t xml:space="preserve"> </w:t>
      </w:r>
      <w:r w:rsidR="003F3175" w:rsidRPr="00C6328A">
        <w:rPr>
          <w:b/>
          <w:bCs/>
          <w:rtl/>
          <w:lang w:eastAsia="zh-TW"/>
        </w:rPr>
        <w:t>مفوضية</w:t>
      </w:r>
      <w:r w:rsidR="003F3175">
        <w:rPr>
          <w:b/>
          <w:bCs/>
          <w:rtl/>
          <w:lang w:eastAsia="zh-TW"/>
        </w:rPr>
        <w:t xml:space="preserve"> </w:t>
      </w:r>
      <w:r w:rsidR="003F3175" w:rsidRPr="00C6328A">
        <w:rPr>
          <w:b/>
          <w:bCs/>
          <w:rtl/>
          <w:lang w:eastAsia="zh-TW"/>
        </w:rPr>
        <w:t>الأمم</w:t>
      </w:r>
      <w:r w:rsidR="003F3175">
        <w:rPr>
          <w:b/>
          <w:bCs/>
          <w:rtl/>
          <w:lang w:eastAsia="zh-TW"/>
        </w:rPr>
        <w:t xml:space="preserve"> </w:t>
      </w:r>
      <w:r w:rsidR="003F3175" w:rsidRPr="00C6328A">
        <w:rPr>
          <w:b/>
          <w:bCs/>
          <w:rtl/>
          <w:lang w:eastAsia="zh-TW"/>
        </w:rPr>
        <w:t>الم</w:t>
      </w:r>
      <w:r w:rsidR="003F3175">
        <w:rPr>
          <w:b/>
          <w:bCs/>
          <w:rtl/>
          <w:lang w:eastAsia="zh-TW"/>
        </w:rPr>
        <w:t xml:space="preserve">تحدة السامية لشؤون اللاجئين، عند </w:t>
      </w:r>
      <w:r w:rsidR="003F3175" w:rsidRPr="00C6328A">
        <w:rPr>
          <w:b/>
          <w:bCs/>
          <w:rtl/>
          <w:lang w:eastAsia="zh-TW"/>
        </w:rPr>
        <w:t>الاقتضاء؛</w:t>
      </w:r>
      <w:r w:rsidR="003F3175">
        <w:rPr>
          <w:b/>
          <w:bCs/>
          <w:rtl/>
          <w:lang w:eastAsia="zh-TW"/>
        </w:rPr>
        <w:t xml:space="preserve"> </w:t>
      </w:r>
    </w:p>
    <w:p w:rsidR="003F3175" w:rsidRPr="00EE5B57" w:rsidRDefault="003A7BC5" w:rsidP="003F3175">
      <w:pPr>
        <w:pStyle w:val="SingleTxtGA"/>
        <w:rPr>
          <w:b/>
          <w:bCs/>
          <w:rtl/>
          <w:lang w:eastAsia="zh-TW"/>
        </w:rPr>
      </w:pPr>
      <w:r>
        <w:rPr>
          <w:rtl/>
          <w:lang w:eastAsia="zh-TW"/>
        </w:rPr>
        <w:lastRenderedPageBreak/>
        <w:tab/>
        <w:t>(</w:t>
      </w:r>
      <w:r w:rsidR="003F3175">
        <w:rPr>
          <w:rtl/>
          <w:lang w:eastAsia="zh-TW"/>
        </w:rPr>
        <w:t>ب</w:t>
      </w:r>
      <w:r>
        <w:rPr>
          <w:rtl/>
          <w:lang w:eastAsia="zh-TW"/>
        </w:rPr>
        <w:t>)</w:t>
      </w:r>
      <w:r>
        <w:rPr>
          <w:rtl/>
          <w:lang w:eastAsia="zh-TW"/>
        </w:rPr>
        <w:tab/>
      </w:r>
      <w:r w:rsidR="003F3175">
        <w:rPr>
          <w:b/>
          <w:bCs/>
          <w:rtl/>
          <w:lang w:eastAsia="zh-TW"/>
        </w:rPr>
        <w:t xml:space="preserve">أن تقدم المعونة القانونية المجانية، في حالات مماثلة، إلى طالبي اللجوء على الحدود لكفالة ممارسة حقهم في الطعن في الممارسة </w:t>
      </w:r>
      <w:r w:rsidR="003F3175" w:rsidRPr="006D0C5B">
        <w:rPr>
          <w:b/>
          <w:bCs/>
          <w:rtl/>
          <w:lang w:eastAsia="zh-TW"/>
        </w:rPr>
        <w:t>العملية؛</w:t>
      </w:r>
    </w:p>
    <w:p w:rsidR="003F3175" w:rsidRPr="00EE5B57" w:rsidRDefault="003A7BC5" w:rsidP="003F3175">
      <w:pPr>
        <w:pStyle w:val="SingleTxtGA"/>
        <w:rPr>
          <w:b/>
          <w:bCs/>
          <w:rtl/>
          <w:lang w:eastAsia="zh-TW"/>
        </w:rPr>
      </w:pPr>
      <w:r>
        <w:rPr>
          <w:rtl/>
          <w:lang w:eastAsia="zh-TW"/>
        </w:rPr>
        <w:tab/>
      </w:r>
      <w:r w:rsidR="003F3175">
        <w:rPr>
          <w:rtl/>
          <w:lang w:eastAsia="zh-TW"/>
        </w:rPr>
        <w:t>(ج</w:t>
      </w:r>
      <w:r>
        <w:rPr>
          <w:rtl/>
          <w:lang w:eastAsia="zh-TW"/>
        </w:rPr>
        <w:t>)</w:t>
      </w:r>
      <w:r>
        <w:rPr>
          <w:rtl/>
          <w:lang w:eastAsia="zh-TW"/>
        </w:rPr>
        <w:tab/>
      </w:r>
      <w:r w:rsidR="003F3175">
        <w:rPr>
          <w:b/>
          <w:bCs/>
          <w:rtl/>
          <w:lang w:eastAsia="zh-TW"/>
        </w:rPr>
        <w:t>أن تنظر في إدراج ضمانات كافية في قانون العقوبات لكفالة إعفاء الأفراد الذين يمارسون حقهم في التماس اللجوء من أي مسؤولية جنائية عن الدخول أو الإقامة بشكل غير قانوني</w:t>
      </w:r>
      <w:r w:rsidR="003F3175">
        <w:rPr>
          <w:rtl/>
          <w:lang w:eastAsia="zh-TW"/>
        </w:rPr>
        <w:t>؛</w:t>
      </w:r>
    </w:p>
    <w:p w:rsidR="003F3175" w:rsidRPr="00C6328A" w:rsidRDefault="003A7BC5" w:rsidP="003F3175">
      <w:pPr>
        <w:pStyle w:val="SingleTxtGA"/>
        <w:rPr>
          <w:b/>
          <w:bCs/>
          <w:rtl/>
          <w:lang w:eastAsia="zh-TW"/>
        </w:rPr>
      </w:pPr>
      <w:r>
        <w:rPr>
          <w:rtl/>
          <w:lang w:eastAsia="zh-TW"/>
        </w:rPr>
        <w:tab/>
        <w:t>(</w:t>
      </w:r>
      <w:r w:rsidR="003F3175">
        <w:rPr>
          <w:rtl/>
          <w:lang w:eastAsia="zh-TW"/>
        </w:rPr>
        <w:t>د</w:t>
      </w:r>
      <w:r>
        <w:rPr>
          <w:rtl/>
          <w:lang w:eastAsia="zh-TW"/>
        </w:rPr>
        <w:t>)</w:t>
      </w:r>
      <w:r>
        <w:rPr>
          <w:rtl/>
          <w:lang w:eastAsia="zh-TW"/>
        </w:rPr>
        <w:tab/>
      </w:r>
      <w:r w:rsidR="003F3175">
        <w:rPr>
          <w:b/>
          <w:bCs/>
          <w:rtl/>
          <w:lang w:eastAsia="zh-TW"/>
        </w:rPr>
        <w:t xml:space="preserve">أن تكفل التوضيح في أي تشريع يُعتمد بعد </w:t>
      </w:r>
      <w:r w:rsidR="003F3175" w:rsidRPr="00C6328A">
        <w:rPr>
          <w:b/>
          <w:bCs/>
          <w:rtl/>
          <w:lang w:eastAsia="zh-TW"/>
        </w:rPr>
        <w:t>مواصلة</w:t>
      </w:r>
      <w:r w:rsidR="003F3175">
        <w:rPr>
          <w:b/>
          <w:bCs/>
          <w:rtl/>
          <w:lang w:eastAsia="zh-TW"/>
        </w:rPr>
        <w:t xml:space="preserve"> </w:t>
      </w:r>
      <w:r w:rsidR="003F3175" w:rsidRPr="00C6328A">
        <w:rPr>
          <w:b/>
          <w:bCs/>
          <w:rtl/>
          <w:lang w:eastAsia="zh-TW"/>
        </w:rPr>
        <w:t>النظر</w:t>
      </w:r>
      <w:r w:rsidR="003F3175">
        <w:rPr>
          <w:b/>
          <w:bCs/>
          <w:rtl/>
          <w:lang w:eastAsia="zh-TW"/>
        </w:rPr>
        <w:t xml:space="preserve"> </w:t>
      </w:r>
      <w:r w:rsidR="003F3175" w:rsidRPr="00C6328A">
        <w:rPr>
          <w:b/>
          <w:bCs/>
          <w:rtl/>
          <w:lang w:eastAsia="zh-TW"/>
        </w:rPr>
        <w:t>في</w:t>
      </w:r>
      <w:r w:rsidR="003F3175">
        <w:rPr>
          <w:b/>
          <w:bCs/>
          <w:rtl/>
          <w:lang w:eastAsia="zh-TW"/>
        </w:rPr>
        <w:t xml:space="preserve"> </w:t>
      </w:r>
      <w:r w:rsidR="003F3175" w:rsidRPr="00C6328A">
        <w:rPr>
          <w:b/>
          <w:bCs/>
          <w:rtl/>
          <w:lang w:eastAsia="zh-TW"/>
        </w:rPr>
        <w:t>مشروع</w:t>
      </w:r>
      <w:r w:rsidR="003F3175">
        <w:rPr>
          <w:b/>
          <w:bCs/>
          <w:rtl/>
          <w:lang w:eastAsia="zh-TW"/>
        </w:rPr>
        <w:t xml:space="preserve"> </w:t>
      </w:r>
      <w:r w:rsidR="003F3175" w:rsidRPr="00C6328A">
        <w:rPr>
          <w:b/>
          <w:bCs/>
          <w:rtl/>
          <w:lang w:eastAsia="zh-TW"/>
        </w:rPr>
        <w:t>القانون</w:t>
      </w:r>
      <w:r w:rsidR="003F3175">
        <w:rPr>
          <w:b/>
          <w:bCs/>
          <w:rtl/>
          <w:lang w:eastAsia="zh-TW"/>
        </w:rPr>
        <w:t xml:space="preserve"> </w:t>
      </w:r>
      <w:r w:rsidR="003F3175" w:rsidRPr="008B3603">
        <w:rPr>
          <w:b/>
          <w:bCs/>
          <w:lang w:eastAsia="zh-TW"/>
        </w:rPr>
        <w:t>472</w:t>
      </w:r>
      <w:r w:rsidR="00B65FE8">
        <w:rPr>
          <w:b/>
          <w:bCs/>
          <w:lang w:eastAsia="zh-TW"/>
        </w:rPr>
        <w:t> </w:t>
      </w:r>
      <w:r w:rsidR="003F3175" w:rsidRPr="008B3603">
        <w:rPr>
          <w:b/>
          <w:bCs/>
          <w:lang w:eastAsia="zh-TW"/>
        </w:rPr>
        <w:t>SE</w:t>
      </w:r>
      <w:r w:rsidR="003F3175">
        <w:rPr>
          <w:b/>
          <w:bCs/>
          <w:rtl/>
          <w:lang w:eastAsia="zh-TW"/>
        </w:rPr>
        <w:t xml:space="preserve"> </w:t>
      </w:r>
      <w:r w:rsidR="003F3175" w:rsidRPr="00C6328A">
        <w:rPr>
          <w:b/>
          <w:bCs/>
          <w:rtl/>
          <w:lang w:eastAsia="zh-TW"/>
        </w:rPr>
        <w:t>أو</w:t>
      </w:r>
      <w:r w:rsidR="003F3175">
        <w:rPr>
          <w:b/>
          <w:bCs/>
          <w:rtl/>
          <w:lang w:eastAsia="zh-TW"/>
        </w:rPr>
        <w:t xml:space="preserve"> في أي </w:t>
      </w:r>
      <w:r w:rsidR="003F3175" w:rsidRPr="00C6328A">
        <w:rPr>
          <w:b/>
          <w:bCs/>
          <w:rtl/>
          <w:lang w:eastAsia="zh-TW"/>
        </w:rPr>
        <w:t>تشريع</w:t>
      </w:r>
      <w:r w:rsidR="003F3175">
        <w:rPr>
          <w:b/>
          <w:bCs/>
          <w:rtl/>
          <w:lang w:eastAsia="zh-TW"/>
        </w:rPr>
        <w:t xml:space="preserve">ات </w:t>
      </w:r>
      <w:r w:rsidR="003F3175" w:rsidRPr="00C6328A">
        <w:rPr>
          <w:b/>
          <w:bCs/>
          <w:rtl/>
          <w:lang w:eastAsia="zh-TW"/>
        </w:rPr>
        <w:t>مماثل</w:t>
      </w:r>
      <w:r w:rsidR="003F3175">
        <w:rPr>
          <w:b/>
          <w:bCs/>
          <w:rtl/>
          <w:lang w:eastAsia="zh-TW"/>
        </w:rPr>
        <w:t xml:space="preserve">ة ما يُقصد </w:t>
      </w:r>
      <w:proofErr w:type="gramStart"/>
      <w:r w:rsidR="003F3175">
        <w:rPr>
          <w:b/>
          <w:bCs/>
          <w:rtl/>
          <w:lang w:eastAsia="zh-TW"/>
        </w:rPr>
        <w:t xml:space="preserve">بعبارة </w:t>
      </w:r>
      <w:r w:rsidR="00796C15">
        <w:rPr>
          <w:b/>
          <w:bCs/>
          <w:rtl/>
          <w:lang w:eastAsia="zh-TW"/>
        </w:rPr>
        <w:t>”</w:t>
      </w:r>
      <w:r w:rsidR="003F3175">
        <w:rPr>
          <w:b/>
          <w:bCs/>
          <w:rtl/>
          <w:lang w:eastAsia="zh-TW"/>
        </w:rPr>
        <w:t>خطر</w:t>
      </w:r>
      <w:proofErr w:type="gramEnd"/>
      <w:r w:rsidR="003F3175">
        <w:rPr>
          <w:b/>
          <w:bCs/>
          <w:rtl/>
          <w:lang w:eastAsia="zh-TW"/>
        </w:rPr>
        <w:t xml:space="preserve"> يتهدد م</w:t>
      </w:r>
      <w:r w:rsidR="003F3175" w:rsidRPr="00C6328A">
        <w:rPr>
          <w:b/>
          <w:bCs/>
          <w:rtl/>
          <w:lang w:eastAsia="zh-TW"/>
        </w:rPr>
        <w:t>جتمع</w:t>
      </w:r>
      <w:r w:rsidR="003F3175">
        <w:rPr>
          <w:b/>
          <w:bCs/>
          <w:rtl/>
          <w:lang w:eastAsia="zh-TW"/>
        </w:rPr>
        <w:t xml:space="preserve"> </w:t>
      </w:r>
      <w:r w:rsidR="003F3175" w:rsidRPr="00C6328A">
        <w:rPr>
          <w:b/>
          <w:bCs/>
          <w:rtl/>
          <w:lang w:eastAsia="zh-TW"/>
        </w:rPr>
        <w:t>إستونيا</w:t>
      </w:r>
      <w:r w:rsidR="00796C15">
        <w:rPr>
          <w:b/>
          <w:bCs/>
          <w:rtl/>
          <w:lang w:eastAsia="zh-TW"/>
        </w:rPr>
        <w:t>“</w:t>
      </w:r>
      <w:r w:rsidR="003F3175">
        <w:rPr>
          <w:b/>
          <w:bCs/>
          <w:rtl/>
          <w:lang w:eastAsia="zh-TW"/>
        </w:rPr>
        <w:t xml:space="preserve"> </w:t>
      </w:r>
      <w:r w:rsidR="003F3175" w:rsidRPr="00C6328A">
        <w:rPr>
          <w:b/>
          <w:bCs/>
          <w:rtl/>
          <w:lang w:eastAsia="zh-TW"/>
        </w:rPr>
        <w:t>وفق</w:t>
      </w:r>
      <w:r w:rsidR="000921EE">
        <w:rPr>
          <w:b/>
          <w:bCs/>
          <w:rtl/>
          <w:lang w:eastAsia="zh-TW"/>
        </w:rPr>
        <w:t xml:space="preserve">اً </w:t>
      </w:r>
      <w:r w:rsidR="003F3175" w:rsidRPr="00C6328A">
        <w:rPr>
          <w:b/>
          <w:bCs/>
          <w:rtl/>
          <w:lang w:eastAsia="zh-TW"/>
        </w:rPr>
        <w:t>لمبدأ</w:t>
      </w:r>
      <w:r w:rsidR="003F3175">
        <w:rPr>
          <w:b/>
          <w:bCs/>
          <w:rtl/>
          <w:lang w:eastAsia="zh-TW"/>
        </w:rPr>
        <w:t xml:space="preserve"> </w:t>
      </w:r>
      <w:r w:rsidR="003F3175" w:rsidRPr="00C6328A">
        <w:rPr>
          <w:b/>
          <w:bCs/>
          <w:rtl/>
          <w:lang w:eastAsia="zh-TW"/>
        </w:rPr>
        <w:t>اليقين</w:t>
      </w:r>
      <w:r w:rsidR="003F3175">
        <w:rPr>
          <w:b/>
          <w:bCs/>
          <w:rtl/>
          <w:lang w:eastAsia="zh-TW"/>
        </w:rPr>
        <w:t xml:space="preserve"> </w:t>
      </w:r>
      <w:r w:rsidR="003F3175" w:rsidRPr="00C6328A">
        <w:rPr>
          <w:b/>
          <w:bCs/>
          <w:rtl/>
          <w:lang w:eastAsia="zh-TW"/>
        </w:rPr>
        <w:t>القانوني</w:t>
      </w:r>
      <w:r w:rsidR="003F3175">
        <w:rPr>
          <w:b/>
          <w:bCs/>
          <w:rtl/>
          <w:lang w:eastAsia="zh-TW"/>
        </w:rPr>
        <w:t>، وفي ظل امتثال تلك التشريعات للعهد على نحو تام، ولا</w:t>
      </w:r>
      <w:r w:rsidR="00BB40DD">
        <w:rPr>
          <w:rFonts w:hint="cs"/>
          <w:b/>
          <w:bCs/>
          <w:rtl/>
          <w:lang w:eastAsia="zh-TW"/>
        </w:rPr>
        <w:t> </w:t>
      </w:r>
      <w:r w:rsidR="003F3175">
        <w:rPr>
          <w:b/>
          <w:bCs/>
          <w:rtl/>
          <w:lang w:eastAsia="zh-TW"/>
        </w:rPr>
        <w:t>سيما ل</w:t>
      </w:r>
      <w:r w:rsidR="003F3175" w:rsidRPr="00C6328A">
        <w:rPr>
          <w:b/>
          <w:bCs/>
          <w:rtl/>
          <w:lang w:eastAsia="zh-TW"/>
        </w:rPr>
        <w:t>مبدأ</w:t>
      </w:r>
      <w:r w:rsidR="003F3175">
        <w:rPr>
          <w:b/>
          <w:bCs/>
          <w:rtl/>
          <w:lang w:eastAsia="zh-TW"/>
        </w:rPr>
        <w:t xml:space="preserve"> </w:t>
      </w:r>
      <w:r w:rsidR="003F3175" w:rsidRPr="00C6328A">
        <w:rPr>
          <w:b/>
          <w:bCs/>
          <w:rtl/>
          <w:lang w:eastAsia="zh-TW"/>
        </w:rPr>
        <w:t>عدم</w:t>
      </w:r>
      <w:r w:rsidR="003F3175">
        <w:rPr>
          <w:b/>
          <w:bCs/>
          <w:rtl/>
          <w:lang w:eastAsia="zh-TW"/>
        </w:rPr>
        <w:t xml:space="preserve"> </w:t>
      </w:r>
      <w:r w:rsidR="003F3175" w:rsidRPr="00C6328A">
        <w:rPr>
          <w:b/>
          <w:bCs/>
          <w:rtl/>
          <w:lang w:eastAsia="zh-TW"/>
        </w:rPr>
        <w:t>الإعادة</w:t>
      </w:r>
      <w:r w:rsidR="003F3175">
        <w:rPr>
          <w:b/>
          <w:bCs/>
          <w:rtl/>
          <w:lang w:eastAsia="zh-TW"/>
        </w:rPr>
        <w:t xml:space="preserve"> </w:t>
      </w:r>
      <w:r w:rsidR="003F3175" w:rsidRPr="00C6328A">
        <w:rPr>
          <w:b/>
          <w:bCs/>
          <w:rtl/>
          <w:lang w:eastAsia="zh-TW"/>
        </w:rPr>
        <w:t>القسرية؛</w:t>
      </w:r>
      <w:r w:rsidR="003F3175">
        <w:rPr>
          <w:b/>
          <w:bCs/>
          <w:rtl/>
          <w:lang w:eastAsia="zh-TW"/>
        </w:rPr>
        <w:t xml:space="preserve"> </w:t>
      </w:r>
    </w:p>
    <w:p w:rsidR="003F3175" w:rsidRPr="00EE5B57" w:rsidRDefault="003A7BC5" w:rsidP="003F3175">
      <w:pPr>
        <w:pStyle w:val="SingleTxtGA"/>
        <w:rPr>
          <w:b/>
          <w:bCs/>
          <w:rtl/>
          <w:lang w:eastAsia="zh-TW"/>
        </w:rPr>
      </w:pPr>
      <w:r>
        <w:rPr>
          <w:rtl/>
          <w:lang w:eastAsia="zh-TW"/>
        </w:rPr>
        <w:tab/>
        <w:t>(</w:t>
      </w:r>
      <w:r w:rsidR="003F3175">
        <w:rPr>
          <w:rtl/>
          <w:lang w:eastAsia="zh-TW"/>
        </w:rPr>
        <w:t>هـ</w:t>
      </w:r>
      <w:r>
        <w:rPr>
          <w:rtl/>
          <w:lang w:eastAsia="zh-TW"/>
        </w:rPr>
        <w:t>)</w:t>
      </w:r>
      <w:r>
        <w:rPr>
          <w:rtl/>
          <w:lang w:eastAsia="zh-TW"/>
        </w:rPr>
        <w:tab/>
      </w:r>
      <w:r w:rsidR="003F3175">
        <w:rPr>
          <w:b/>
          <w:bCs/>
          <w:rtl/>
          <w:lang w:eastAsia="zh-TW"/>
        </w:rPr>
        <w:t xml:space="preserve">أن تعزز تدريب موظفي حراسة الحدود وموظفي الهجرة لكفالة الاحترام الكامل لحقوق طالبي اللجوء واللاجئين بموجب العهد وغيره من المعايير الدولية </w:t>
      </w:r>
      <w:r w:rsidR="003F3175" w:rsidRPr="000B3670">
        <w:rPr>
          <w:b/>
          <w:bCs/>
          <w:rtl/>
          <w:lang w:eastAsia="zh-TW"/>
        </w:rPr>
        <w:t>السارية.</w:t>
      </w:r>
    </w:p>
    <w:p w:rsidR="003F3175" w:rsidRPr="001E77C8" w:rsidRDefault="003A7BC5" w:rsidP="003A7BC5">
      <w:pPr>
        <w:pStyle w:val="H23GA"/>
        <w:rPr>
          <w:rtl/>
        </w:rPr>
      </w:pPr>
      <w:r>
        <w:rPr>
          <w:rtl/>
        </w:rPr>
        <w:tab/>
      </w:r>
      <w:r>
        <w:rPr>
          <w:rtl/>
        </w:rPr>
        <w:tab/>
      </w:r>
      <w:r w:rsidR="003F3175" w:rsidRPr="001E77C8">
        <w:rPr>
          <w:rtl/>
        </w:rPr>
        <w:t>الحق</w:t>
      </w:r>
      <w:r w:rsidR="003F3175">
        <w:rPr>
          <w:rtl/>
        </w:rPr>
        <w:t xml:space="preserve"> </w:t>
      </w:r>
      <w:r w:rsidR="003F3175" w:rsidRPr="001E77C8">
        <w:rPr>
          <w:rtl/>
        </w:rPr>
        <w:t>في</w:t>
      </w:r>
      <w:r w:rsidR="003F3175">
        <w:rPr>
          <w:rtl/>
        </w:rPr>
        <w:t xml:space="preserve"> </w:t>
      </w:r>
      <w:r w:rsidR="003F3175" w:rsidRPr="001E77C8">
        <w:rPr>
          <w:rtl/>
        </w:rPr>
        <w:t>الخصوصية</w:t>
      </w:r>
      <w:r w:rsidR="003F3175">
        <w:rPr>
          <w:rtl/>
        </w:rPr>
        <w:t xml:space="preserve"> </w:t>
      </w:r>
      <w:r w:rsidR="003F3175" w:rsidRPr="001E77C8">
        <w:rPr>
          <w:rtl/>
        </w:rPr>
        <w:t>والمراقبة</w:t>
      </w:r>
      <w:r w:rsidR="003F3175">
        <w:rPr>
          <w:rtl/>
        </w:rPr>
        <w:t xml:space="preserve"> </w:t>
      </w:r>
      <w:bookmarkStart w:id="12" w:name="_Toc6392599"/>
      <w:bookmarkEnd w:id="12"/>
    </w:p>
    <w:p w:rsidR="003F3175" w:rsidRPr="0057760C" w:rsidRDefault="003F3175" w:rsidP="003F3175">
      <w:pPr>
        <w:pStyle w:val="SingleTxtGA"/>
        <w:rPr>
          <w:rtl/>
          <w:lang w:eastAsia="zh-TW" w:bidi="ar-DZ"/>
        </w:rPr>
      </w:pPr>
      <w:r>
        <w:rPr>
          <w:rtl/>
          <w:lang w:eastAsia="zh-TW"/>
        </w:rPr>
        <w:t>٢٩-</w:t>
      </w:r>
      <w:r>
        <w:rPr>
          <w:rtl/>
          <w:lang w:eastAsia="zh-TW"/>
        </w:rPr>
        <w:tab/>
        <w:t>بينما تحيط اللجنة علماً بأن المستشار العدلي والمحكمة العليا أجريا تحليلاً للتشريعات المتعلقة بالاحتفاظ بالبيانات، ووجدا أنها متوافقة مع المادة ١٧ من العهد، فإنها تشعر بالقلق لأن هذه الأنظمة، بما في ذلك المادة ١١١ من قانون الاتصالات الإلكترونية، تقضي بالاحتفاظ الشامل ببيانات الاتصالات (البيانات الوصفية)، ولأن الحصول على هذه البيانات لا يقتصر، حسب ما تفيد به التقارير، على التحقيق في الجرائم الخطيرة ومحاكمة مرتكبيها، بل</w:t>
      </w:r>
      <w:r w:rsidR="00BB40DD">
        <w:rPr>
          <w:rFonts w:hint="cs"/>
          <w:rtl/>
          <w:lang w:eastAsia="zh-TW"/>
        </w:rPr>
        <w:t> </w:t>
      </w:r>
      <w:r>
        <w:rPr>
          <w:rtl/>
          <w:lang w:eastAsia="zh-TW"/>
        </w:rPr>
        <w:t>تُستخدم البيانات أيض</w:t>
      </w:r>
      <w:r w:rsidR="000921EE">
        <w:rPr>
          <w:rtl/>
          <w:lang w:eastAsia="zh-TW"/>
        </w:rPr>
        <w:t xml:space="preserve">اً </w:t>
      </w:r>
      <w:r>
        <w:rPr>
          <w:rtl/>
          <w:lang w:eastAsia="zh-TW"/>
        </w:rPr>
        <w:t>للتحقيق في الجرائم</w:t>
      </w:r>
      <w:r>
        <w:rPr>
          <w:rtl/>
          <w:lang w:eastAsia="zh-TW" w:bidi="ar-DZ"/>
        </w:rPr>
        <w:t xml:space="preserve"> الثانوية</w:t>
      </w:r>
      <w:r>
        <w:rPr>
          <w:rtl/>
          <w:lang w:eastAsia="zh-TW"/>
        </w:rPr>
        <w:t xml:space="preserve"> والجنح البسيطة. وتحيط اللجنة علماً بأنه يجري حالياً تحليل ومناقشة التعديلات الممكن إدخالها على الأنظمة ذات الصلة بالاحتفاظ بالبيانات بهدف توضيح القواعد المحلية ذات الصلة. كما تشعر اللجنة بالقلق إزاء عدم وجود ضمانات كافية ضد التدخل التعسفي في الحق في الخصوصية فيما يتعلق بأنشطة المراقبة والاعتراض التي تنفذها أجهزة الأمن والاستخبارات التابعة للدولة، وكذلك فيما يتعلق بتبادل المعلومات الاستخبارية مع الكيانات الأجنبية (المادة ١٧)</w:t>
      </w:r>
      <w:r>
        <w:rPr>
          <w:rtl/>
          <w:lang w:eastAsia="zh-TW" w:bidi="ar-DZ"/>
        </w:rPr>
        <w:t>.</w:t>
      </w:r>
    </w:p>
    <w:p w:rsidR="003F3175" w:rsidRPr="0057760C" w:rsidRDefault="003F3175" w:rsidP="003F3175">
      <w:pPr>
        <w:pStyle w:val="SingleTxtGA"/>
        <w:rPr>
          <w:b/>
          <w:bCs/>
          <w:rtl/>
          <w:lang w:eastAsia="zh-TW"/>
        </w:rPr>
      </w:pPr>
      <w:r>
        <w:rPr>
          <w:rtl/>
          <w:lang w:eastAsia="zh-TW"/>
        </w:rPr>
        <w:t>٣٠-</w:t>
      </w:r>
      <w:r>
        <w:rPr>
          <w:rtl/>
          <w:lang w:eastAsia="zh-TW"/>
        </w:rPr>
        <w:tab/>
      </w:r>
      <w:r>
        <w:rPr>
          <w:b/>
          <w:bCs/>
          <w:rtl/>
          <w:lang w:eastAsia="zh-TW"/>
        </w:rPr>
        <w:t xml:space="preserve">ينبغي للدولة الطرف أن تجعل الأنظمة الخاصة بها </w:t>
      </w:r>
      <w:r w:rsidRPr="0057760C">
        <w:rPr>
          <w:b/>
          <w:bCs/>
          <w:rtl/>
          <w:lang w:eastAsia="zh-TW"/>
        </w:rPr>
        <w:t>التي</w:t>
      </w:r>
      <w:r>
        <w:rPr>
          <w:b/>
          <w:bCs/>
          <w:rtl/>
          <w:lang w:eastAsia="zh-TW"/>
        </w:rPr>
        <w:t xml:space="preserve"> </w:t>
      </w:r>
      <w:r w:rsidRPr="0057760C">
        <w:rPr>
          <w:b/>
          <w:bCs/>
          <w:rtl/>
          <w:lang w:eastAsia="zh-TW"/>
        </w:rPr>
        <w:t>تحكم</w:t>
      </w:r>
      <w:r>
        <w:rPr>
          <w:b/>
          <w:bCs/>
          <w:rtl/>
          <w:lang w:eastAsia="zh-TW"/>
        </w:rPr>
        <w:t xml:space="preserve"> </w:t>
      </w:r>
      <w:r w:rsidRPr="0057760C">
        <w:rPr>
          <w:b/>
          <w:bCs/>
          <w:rtl/>
          <w:lang w:eastAsia="zh-TW"/>
        </w:rPr>
        <w:t>الاحتفاظ</w:t>
      </w:r>
      <w:r>
        <w:rPr>
          <w:b/>
          <w:bCs/>
          <w:rtl/>
          <w:lang w:eastAsia="zh-TW"/>
        </w:rPr>
        <w:t xml:space="preserve"> </w:t>
      </w:r>
      <w:r w:rsidRPr="0057760C">
        <w:rPr>
          <w:b/>
          <w:bCs/>
          <w:rtl/>
          <w:lang w:eastAsia="zh-TW"/>
        </w:rPr>
        <w:t>بالبيانات</w:t>
      </w:r>
      <w:r>
        <w:rPr>
          <w:b/>
          <w:bCs/>
          <w:rtl/>
          <w:lang w:eastAsia="zh-TW"/>
        </w:rPr>
        <w:t xml:space="preserve"> </w:t>
      </w:r>
      <w:r w:rsidRPr="0057760C">
        <w:rPr>
          <w:b/>
          <w:bCs/>
          <w:rtl/>
          <w:lang w:eastAsia="zh-TW"/>
        </w:rPr>
        <w:t>والحصول</w:t>
      </w:r>
      <w:r>
        <w:rPr>
          <w:b/>
          <w:bCs/>
          <w:rtl/>
          <w:lang w:eastAsia="zh-TW"/>
        </w:rPr>
        <w:t xml:space="preserve"> </w:t>
      </w:r>
      <w:r w:rsidRPr="0057760C">
        <w:rPr>
          <w:b/>
          <w:bCs/>
          <w:rtl/>
          <w:lang w:eastAsia="zh-TW"/>
        </w:rPr>
        <w:t>عليها،</w:t>
      </w:r>
      <w:r>
        <w:rPr>
          <w:b/>
          <w:bCs/>
          <w:rtl/>
          <w:lang w:eastAsia="zh-TW"/>
        </w:rPr>
        <w:t xml:space="preserve"> فضلاً عن أنشطتها في مجال المراقبة والاعتراض، والأنشطة المتصلة بتبادل المعلومات الاستخبارية المستمدة من ا</w:t>
      </w:r>
      <w:r w:rsidRPr="0057760C">
        <w:rPr>
          <w:b/>
          <w:bCs/>
          <w:rtl/>
          <w:lang w:eastAsia="zh-TW"/>
        </w:rPr>
        <w:t>لاتصا</w:t>
      </w:r>
      <w:r>
        <w:rPr>
          <w:b/>
          <w:bCs/>
          <w:rtl/>
          <w:lang w:eastAsia="zh-TW"/>
        </w:rPr>
        <w:t>لات الشخصية، متوافقة تماماً مع العهد، ولا</w:t>
      </w:r>
      <w:r w:rsidR="003A7BC5">
        <w:rPr>
          <w:rFonts w:hint="cs"/>
          <w:b/>
          <w:bCs/>
          <w:rtl/>
          <w:lang w:eastAsia="zh-TW"/>
        </w:rPr>
        <w:t> </w:t>
      </w:r>
      <w:r>
        <w:rPr>
          <w:b/>
          <w:bCs/>
          <w:rtl/>
          <w:lang w:eastAsia="zh-TW"/>
        </w:rPr>
        <w:t xml:space="preserve">سيما </w:t>
      </w:r>
      <w:r w:rsidRPr="0057760C">
        <w:rPr>
          <w:b/>
          <w:bCs/>
          <w:rtl/>
          <w:lang w:eastAsia="zh-TW"/>
        </w:rPr>
        <w:t>المادة</w:t>
      </w:r>
      <w:r>
        <w:rPr>
          <w:b/>
          <w:bCs/>
          <w:rtl/>
          <w:lang w:eastAsia="zh-TW"/>
        </w:rPr>
        <w:t xml:space="preserve"> </w:t>
      </w:r>
      <w:r w:rsidRPr="0057760C">
        <w:rPr>
          <w:b/>
          <w:bCs/>
          <w:rtl/>
          <w:lang w:eastAsia="zh-TW"/>
        </w:rPr>
        <w:t>١٧،</w:t>
      </w:r>
      <w:r>
        <w:rPr>
          <w:b/>
          <w:bCs/>
          <w:rtl/>
          <w:lang w:eastAsia="zh-TW"/>
        </w:rPr>
        <w:t xml:space="preserve"> </w:t>
      </w:r>
      <w:r w:rsidRPr="0057760C">
        <w:rPr>
          <w:b/>
          <w:bCs/>
          <w:rtl/>
          <w:lang w:eastAsia="zh-TW"/>
        </w:rPr>
        <w:t>بما</w:t>
      </w:r>
      <w:r>
        <w:rPr>
          <w:b/>
          <w:bCs/>
          <w:rtl/>
          <w:lang w:eastAsia="zh-TW"/>
        </w:rPr>
        <w:t xml:space="preserve"> </w:t>
      </w:r>
      <w:r w:rsidRPr="0057760C">
        <w:rPr>
          <w:b/>
          <w:bCs/>
          <w:rtl/>
          <w:lang w:eastAsia="zh-TW"/>
        </w:rPr>
        <w:t>في</w:t>
      </w:r>
      <w:r>
        <w:rPr>
          <w:b/>
          <w:bCs/>
          <w:rtl/>
          <w:lang w:eastAsia="zh-TW"/>
        </w:rPr>
        <w:t xml:space="preserve"> </w:t>
      </w:r>
      <w:r w:rsidRPr="0057760C">
        <w:rPr>
          <w:b/>
          <w:bCs/>
          <w:rtl/>
          <w:lang w:eastAsia="zh-TW"/>
        </w:rPr>
        <w:t>ذلك</w:t>
      </w:r>
      <w:r>
        <w:rPr>
          <w:b/>
          <w:bCs/>
          <w:rtl/>
          <w:lang w:eastAsia="zh-TW"/>
        </w:rPr>
        <w:t xml:space="preserve"> </w:t>
      </w:r>
      <w:r w:rsidRPr="0057760C">
        <w:rPr>
          <w:b/>
          <w:bCs/>
          <w:rtl/>
          <w:lang w:eastAsia="zh-TW"/>
        </w:rPr>
        <w:t>مع</w:t>
      </w:r>
      <w:r>
        <w:rPr>
          <w:b/>
          <w:bCs/>
          <w:rtl/>
          <w:lang w:eastAsia="zh-TW"/>
        </w:rPr>
        <w:t xml:space="preserve"> </w:t>
      </w:r>
      <w:r w:rsidRPr="0057760C">
        <w:rPr>
          <w:b/>
          <w:bCs/>
          <w:rtl/>
          <w:lang w:eastAsia="zh-TW"/>
        </w:rPr>
        <w:t>مبادئ</w:t>
      </w:r>
      <w:r>
        <w:rPr>
          <w:b/>
          <w:bCs/>
          <w:rtl/>
          <w:lang w:eastAsia="zh-TW"/>
        </w:rPr>
        <w:t xml:space="preserve"> </w:t>
      </w:r>
      <w:r w:rsidRPr="0057760C">
        <w:rPr>
          <w:b/>
          <w:bCs/>
          <w:rtl/>
          <w:lang w:eastAsia="zh-TW"/>
        </w:rPr>
        <w:t>الشرعية</w:t>
      </w:r>
      <w:r>
        <w:rPr>
          <w:b/>
          <w:bCs/>
          <w:rtl/>
          <w:lang w:eastAsia="zh-TW"/>
        </w:rPr>
        <w:t xml:space="preserve"> </w:t>
      </w:r>
      <w:r w:rsidRPr="0057760C">
        <w:rPr>
          <w:b/>
          <w:bCs/>
          <w:rtl/>
          <w:lang w:eastAsia="zh-TW"/>
        </w:rPr>
        <w:t>والتناسب</w:t>
      </w:r>
      <w:r>
        <w:rPr>
          <w:b/>
          <w:bCs/>
          <w:rtl/>
          <w:lang w:eastAsia="zh-TW"/>
        </w:rPr>
        <w:t xml:space="preserve"> </w:t>
      </w:r>
      <w:r w:rsidRPr="0057760C">
        <w:rPr>
          <w:b/>
          <w:bCs/>
          <w:rtl/>
          <w:lang w:eastAsia="zh-TW"/>
        </w:rPr>
        <w:t>والضرورة.</w:t>
      </w:r>
      <w:r>
        <w:rPr>
          <w:b/>
          <w:bCs/>
          <w:rtl/>
          <w:lang w:eastAsia="zh-TW"/>
        </w:rPr>
        <w:t xml:space="preserve"> </w:t>
      </w:r>
      <w:r w:rsidRPr="0057760C">
        <w:rPr>
          <w:b/>
          <w:bCs/>
          <w:rtl/>
          <w:lang w:eastAsia="zh-TW"/>
        </w:rPr>
        <w:t>وينبغي</w:t>
      </w:r>
      <w:r>
        <w:rPr>
          <w:b/>
          <w:bCs/>
          <w:rtl/>
          <w:lang w:eastAsia="zh-TW"/>
        </w:rPr>
        <w:t xml:space="preserve"> </w:t>
      </w:r>
      <w:r w:rsidRPr="0057760C">
        <w:rPr>
          <w:b/>
          <w:bCs/>
          <w:rtl/>
          <w:lang w:eastAsia="zh-TW"/>
        </w:rPr>
        <w:t>أن</w:t>
      </w:r>
      <w:r>
        <w:rPr>
          <w:b/>
          <w:bCs/>
          <w:rtl/>
          <w:lang w:eastAsia="zh-TW"/>
        </w:rPr>
        <w:t xml:space="preserve"> </w:t>
      </w:r>
      <w:r w:rsidRPr="0057760C">
        <w:rPr>
          <w:b/>
          <w:bCs/>
          <w:rtl/>
          <w:lang w:eastAsia="zh-TW"/>
        </w:rPr>
        <w:t>تكفل</w:t>
      </w:r>
      <w:r>
        <w:rPr>
          <w:b/>
          <w:bCs/>
          <w:rtl/>
          <w:lang w:eastAsia="zh-TW"/>
        </w:rPr>
        <w:t xml:space="preserve"> أن </w:t>
      </w:r>
      <w:r w:rsidRPr="0057760C">
        <w:rPr>
          <w:b/>
          <w:bCs/>
          <w:rtl/>
          <w:lang w:eastAsia="zh-TW"/>
        </w:rPr>
        <w:t>(أ</w:t>
      </w:r>
      <w:r w:rsidR="003A7BC5">
        <w:rPr>
          <w:b/>
          <w:bCs/>
          <w:rtl/>
          <w:lang w:eastAsia="zh-TW"/>
        </w:rPr>
        <w:t>)</w:t>
      </w:r>
      <w:r w:rsidR="003A7BC5">
        <w:rPr>
          <w:rFonts w:hint="cs"/>
          <w:b/>
          <w:bCs/>
          <w:rtl/>
          <w:lang w:eastAsia="zh-TW"/>
        </w:rPr>
        <w:t xml:space="preserve"> </w:t>
      </w:r>
      <w:r>
        <w:rPr>
          <w:b/>
          <w:bCs/>
          <w:rtl/>
          <w:lang w:eastAsia="zh-TW"/>
        </w:rPr>
        <w:t xml:space="preserve">يستلزم أي تدخل في الخصوصية </w:t>
      </w:r>
      <w:r w:rsidRPr="0057760C">
        <w:rPr>
          <w:b/>
          <w:bCs/>
          <w:rtl/>
          <w:lang w:eastAsia="zh-TW"/>
        </w:rPr>
        <w:t>الحصول</w:t>
      </w:r>
      <w:r>
        <w:rPr>
          <w:b/>
          <w:bCs/>
          <w:rtl/>
          <w:lang w:eastAsia="zh-TW"/>
        </w:rPr>
        <w:t xml:space="preserve"> </w:t>
      </w:r>
      <w:r w:rsidRPr="0057760C">
        <w:rPr>
          <w:b/>
          <w:bCs/>
          <w:rtl/>
          <w:lang w:eastAsia="zh-TW"/>
        </w:rPr>
        <w:t>على</w:t>
      </w:r>
      <w:r>
        <w:rPr>
          <w:b/>
          <w:bCs/>
          <w:rtl/>
          <w:lang w:eastAsia="zh-TW"/>
        </w:rPr>
        <w:t xml:space="preserve"> </w:t>
      </w:r>
      <w:r w:rsidRPr="0057760C">
        <w:rPr>
          <w:b/>
          <w:bCs/>
          <w:rtl/>
          <w:lang w:eastAsia="zh-TW"/>
        </w:rPr>
        <w:t>إذن</w:t>
      </w:r>
      <w:r>
        <w:rPr>
          <w:b/>
          <w:bCs/>
          <w:rtl/>
          <w:lang w:eastAsia="zh-TW"/>
        </w:rPr>
        <w:t xml:space="preserve"> </w:t>
      </w:r>
      <w:r w:rsidRPr="0057760C">
        <w:rPr>
          <w:b/>
          <w:bCs/>
          <w:rtl/>
          <w:lang w:eastAsia="zh-TW"/>
        </w:rPr>
        <w:t>مسبق</w:t>
      </w:r>
      <w:r>
        <w:rPr>
          <w:b/>
          <w:bCs/>
          <w:rtl/>
          <w:lang w:eastAsia="zh-TW"/>
        </w:rPr>
        <w:t xml:space="preserve"> </w:t>
      </w:r>
      <w:r w:rsidRPr="0057760C">
        <w:rPr>
          <w:b/>
          <w:bCs/>
          <w:rtl/>
          <w:lang w:eastAsia="zh-TW"/>
        </w:rPr>
        <w:t>من</w:t>
      </w:r>
      <w:r>
        <w:rPr>
          <w:b/>
          <w:bCs/>
          <w:rtl/>
          <w:lang w:eastAsia="zh-TW"/>
        </w:rPr>
        <w:t xml:space="preserve"> محكمة أو هيئة مستقلة مناسبة أخرى</w:t>
      </w:r>
      <w:r w:rsidRPr="0057760C">
        <w:rPr>
          <w:b/>
          <w:bCs/>
          <w:rtl/>
          <w:lang w:eastAsia="zh-TW"/>
        </w:rPr>
        <w:t>،</w:t>
      </w:r>
      <w:r>
        <w:rPr>
          <w:b/>
          <w:bCs/>
          <w:rtl/>
          <w:lang w:eastAsia="zh-TW"/>
        </w:rPr>
        <w:t xml:space="preserve"> </w:t>
      </w:r>
      <w:r w:rsidRPr="0057760C">
        <w:rPr>
          <w:b/>
          <w:bCs/>
          <w:rtl/>
          <w:lang w:eastAsia="zh-TW"/>
        </w:rPr>
        <w:t>و</w:t>
      </w:r>
      <w:r>
        <w:rPr>
          <w:b/>
          <w:bCs/>
          <w:rtl/>
          <w:lang w:eastAsia="zh-TW"/>
        </w:rPr>
        <w:t xml:space="preserve">أن </w:t>
      </w:r>
      <w:r w:rsidRPr="0057760C">
        <w:rPr>
          <w:b/>
          <w:bCs/>
          <w:rtl/>
          <w:lang w:eastAsia="zh-TW"/>
        </w:rPr>
        <w:t>يخضع</w:t>
      </w:r>
      <w:r>
        <w:rPr>
          <w:b/>
          <w:bCs/>
          <w:rtl/>
          <w:lang w:eastAsia="zh-TW"/>
        </w:rPr>
        <w:t xml:space="preserve"> ل</w:t>
      </w:r>
      <w:r w:rsidRPr="0057760C">
        <w:rPr>
          <w:b/>
          <w:bCs/>
          <w:rtl/>
          <w:lang w:eastAsia="zh-TW"/>
        </w:rPr>
        <w:t>آليات</w:t>
      </w:r>
      <w:r>
        <w:rPr>
          <w:b/>
          <w:bCs/>
          <w:rtl/>
          <w:lang w:eastAsia="zh-TW"/>
        </w:rPr>
        <w:t xml:space="preserve"> رقابة فعالة ومستقلة</w:t>
      </w:r>
      <w:r w:rsidRPr="0057760C">
        <w:rPr>
          <w:b/>
          <w:bCs/>
          <w:rtl/>
          <w:lang w:eastAsia="zh-TW"/>
        </w:rPr>
        <w:t>؛</w:t>
      </w:r>
      <w:r>
        <w:rPr>
          <w:b/>
          <w:bCs/>
          <w:rtl/>
          <w:lang w:eastAsia="zh-TW"/>
        </w:rPr>
        <w:t xml:space="preserve"> (ب) وأن تقتصر إمكانية الحصول على بيانات </w:t>
      </w:r>
      <w:r w:rsidRPr="0057760C">
        <w:rPr>
          <w:b/>
          <w:bCs/>
          <w:rtl/>
          <w:lang w:eastAsia="zh-TW"/>
        </w:rPr>
        <w:t>الاتصالات</w:t>
      </w:r>
      <w:r>
        <w:rPr>
          <w:b/>
          <w:bCs/>
          <w:rtl/>
          <w:lang w:eastAsia="zh-TW"/>
        </w:rPr>
        <w:t xml:space="preserve"> على أدنى الحدود الضرورية </w:t>
      </w:r>
      <w:r w:rsidRPr="0057760C">
        <w:rPr>
          <w:b/>
          <w:bCs/>
          <w:rtl/>
          <w:lang w:eastAsia="zh-TW"/>
        </w:rPr>
        <w:t>للتحقيق</w:t>
      </w:r>
      <w:r>
        <w:rPr>
          <w:b/>
          <w:bCs/>
          <w:rtl/>
          <w:lang w:eastAsia="zh-TW"/>
        </w:rPr>
        <w:t xml:space="preserve"> </w:t>
      </w:r>
      <w:r w:rsidRPr="0057760C">
        <w:rPr>
          <w:b/>
          <w:bCs/>
          <w:rtl/>
          <w:lang w:eastAsia="zh-TW"/>
        </w:rPr>
        <w:t>في</w:t>
      </w:r>
      <w:r>
        <w:rPr>
          <w:b/>
          <w:bCs/>
          <w:rtl/>
          <w:lang w:eastAsia="zh-TW"/>
        </w:rPr>
        <w:t xml:space="preserve"> </w:t>
      </w:r>
      <w:r w:rsidRPr="0057760C">
        <w:rPr>
          <w:b/>
          <w:bCs/>
          <w:rtl/>
          <w:lang w:eastAsia="zh-TW"/>
        </w:rPr>
        <w:t>الجرائم</w:t>
      </w:r>
      <w:r>
        <w:rPr>
          <w:b/>
          <w:bCs/>
          <w:rtl/>
          <w:lang w:eastAsia="zh-TW"/>
        </w:rPr>
        <w:t xml:space="preserve"> </w:t>
      </w:r>
      <w:r w:rsidRPr="0057760C">
        <w:rPr>
          <w:b/>
          <w:bCs/>
          <w:rtl/>
          <w:lang w:eastAsia="zh-TW"/>
        </w:rPr>
        <w:t>الخطيرة</w:t>
      </w:r>
      <w:r>
        <w:rPr>
          <w:b/>
          <w:bCs/>
          <w:rtl/>
          <w:lang w:eastAsia="zh-TW"/>
        </w:rPr>
        <w:t xml:space="preserve"> </w:t>
      </w:r>
      <w:r w:rsidRPr="0057760C">
        <w:rPr>
          <w:b/>
          <w:bCs/>
          <w:rtl/>
          <w:lang w:eastAsia="zh-TW"/>
        </w:rPr>
        <w:t>ومحاكمة</w:t>
      </w:r>
      <w:r>
        <w:rPr>
          <w:b/>
          <w:bCs/>
          <w:rtl/>
          <w:lang w:eastAsia="zh-TW"/>
        </w:rPr>
        <w:t xml:space="preserve"> </w:t>
      </w:r>
      <w:r w:rsidRPr="0057760C">
        <w:rPr>
          <w:b/>
          <w:bCs/>
          <w:rtl/>
          <w:lang w:eastAsia="zh-TW"/>
        </w:rPr>
        <w:t>مرتكبيها؛</w:t>
      </w:r>
      <w:r>
        <w:rPr>
          <w:b/>
          <w:bCs/>
          <w:rtl/>
          <w:lang w:eastAsia="zh-TW"/>
        </w:rPr>
        <w:t xml:space="preserve"> </w:t>
      </w:r>
      <w:r w:rsidRPr="0057760C">
        <w:rPr>
          <w:b/>
          <w:bCs/>
          <w:rtl/>
          <w:lang w:eastAsia="zh-TW"/>
        </w:rPr>
        <w:t>(ج)</w:t>
      </w:r>
      <w:r>
        <w:rPr>
          <w:b/>
          <w:bCs/>
          <w:rtl/>
          <w:lang w:eastAsia="zh-TW"/>
        </w:rPr>
        <w:t xml:space="preserve"> وأن يتم إخطار </w:t>
      </w:r>
      <w:r w:rsidRPr="0057760C">
        <w:rPr>
          <w:b/>
          <w:bCs/>
          <w:rtl/>
          <w:lang w:eastAsia="zh-TW"/>
        </w:rPr>
        <w:t>الأشخاص</w:t>
      </w:r>
      <w:r>
        <w:rPr>
          <w:b/>
          <w:bCs/>
          <w:rtl/>
          <w:lang w:eastAsia="zh-TW"/>
        </w:rPr>
        <w:t xml:space="preserve"> </w:t>
      </w:r>
      <w:r w:rsidRPr="0057760C">
        <w:rPr>
          <w:b/>
          <w:bCs/>
          <w:rtl/>
          <w:lang w:eastAsia="zh-TW"/>
        </w:rPr>
        <w:t>المتأثرين</w:t>
      </w:r>
      <w:r>
        <w:rPr>
          <w:b/>
          <w:bCs/>
          <w:rtl/>
          <w:lang w:eastAsia="zh-TW"/>
        </w:rPr>
        <w:t xml:space="preserve"> بأنشطة المراقبة والاعتراض، حيثما أمكن، وتمكينهم من الحصول على </w:t>
      </w:r>
      <w:r w:rsidRPr="0057760C">
        <w:rPr>
          <w:b/>
          <w:bCs/>
          <w:rtl/>
          <w:lang w:eastAsia="zh-TW"/>
        </w:rPr>
        <w:t>سبل</w:t>
      </w:r>
      <w:r>
        <w:rPr>
          <w:b/>
          <w:bCs/>
          <w:rtl/>
          <w:lang w:eastAsia="zh-TW"/>
        </w:rPr>
        <w:t xml:space="preserve"> </w:t>
      </w:r>
      <w:r w:rsidRPr="0057760C">
        <w:rPr>
          <w:b/>
          <w:bCs/>
          <w:rtl/>
          <w:lang w:eastAsia="zh-TW"/>
        </w:rPr>
        <w:t>انتصاف</w:t>
      </w:r>
      <w:r>
        <w:rPr>
          <w:b/>
          <w:bCs/>
          <w:rtl/>
          <w:lang w:eastAsia="zh-TW"/>
        </w:rPr>
        <w:t xml:space="preserve"> </w:t>
      </w:r>
      <w:r w:rsidRPr="0057760C">
        <w:rPr>
          <w:b/>
          <w:bCs/>
          <w:rtl/>
          <w:lang w:eastAsia="zh-TW"/>
        </w:rPr>
        <w:t>فعالة</w:t>
      </w:r>
      <w:r>
        <w:rPr>
          <w:b/>
          <w:bCs/>
          <w:rtl/>
          <w:lang w:eastAsia="zh-TW"/>
        </w:rPr>
        <w:t xml:space="preserve"> </w:t>
      </w:r>
      <w:r w:rsidRPr="0057760C">
        <w:rPr>
          <w:b/>
          <w:bCs/>
          <w:rtl/>
          <w:lang w:eastAsia="zh-TW"/>
        </w:rPr>
        <w:t>في</w:t>
      </w:r>
      <w:r>
        <w:rPr>
          <w:b/>
          <w:bCs/>
          <w:rtl/>
          <w:lang w:eastAsia="zh-TW"/>
        </w:rPr>
        <w:t xml:space="preserve"> </w:t>
      </w:r>
      <w:r w:rsidRPr="0057760C">
        <w:rPr>
          <w:b/>
          <w:bCs/>
          <w:rtl/>
          <w:lang w:eastAsia="zh-TW"/>
        </w:rPr>
        <w:t>حالات</w:t>
      </w:r>
      <w:r>
        <w:rPr>
          <w:b/>
          <w:bCs/>
          <w:rtl/>
          <w:lang w:eastAsia="zh-TW"/>
        </w:rPr>
        <w:t xml:space="preserve"> </w:t>
      </w:r>
      <w:r w:rsidRPr="0057760C">
        <w:rPr>
          <w:b/>
          <w:bCs/>
          <w:rtl/>
          <w:lang w:eastAsia="zh-TW"/>
        </w:rPr>
        <w:t>إساءة</w:t>
      </w:r>
      <w:r>
        <w:rPr>
          <w:b/>
          <w:bCs/>
          <w:rtl/>
          <w:lang w:eastAsia="zh-TW"/>
        </w:rPr>
        <w:t xml:space="preserve"> </w:t>
      </w:r>
      <w:r w:rsidRPr="0057760C">
        <w:rPr>
          <w:b/>
          <w:bCs/>
          <w:rtl/>
          <w:lang w:eastAsia="zh-TW"/>
        </w:rPr>
        <w:t>المعاملة.</w:t>
      </w:r>
    </w:p>
    <w:p w:rsidR="003F3175" w:rsidRPr="00A03C9A" w:rsidRDefault="003A7BC5" w:rsidP="00B65FE8">
      <w:pPr>
        <w:pStyle w:val="H23GA"/>
        <w:pageBreakBefore/>
        <w:rPr>
          <w:rtl/>
        </w:rPr>
      </w:pPr>
      <w:r>
        <w:rPr>
          <w:rtl/>
        </w:rPr>
        <w:lastRenderedPageBreak/>
        <w:tab/>
      </w:r>
      <w:r>
        <w:rPr>
          <w:rtl/>
        </w:rPr>
        <w:tab/>
      </w:r>
      <w:r w:rsidR="003F3175" w:rsidRPr="00A03C9A">
        <w:rPr>
          <w:rtl/>
        </w:rPr>
        <w:t>حرية</w:t>
      </w:r>
      <w:r w:rsidR="003F3175">
        <w:rPr>
          <w:rtl/>
        </w:rPr>
        <w:t xml:space="preserve"> </w:t>
      </w:r>
      <w:r w:rsidR="003F3175" w:rsidRPr="00A03C9A">
        <w:rPr>
          <w:rtl/>
        </w:rPr>
        <w:t>تكوين</w:t>
      </w:r>
      <w:r w:rsidR="003F3175">
        <w:rPr>
          <w:rtl/>
        </w:rPr>
        <w:t xml:space="preserve"> </w:t>
      </w:r>
      <w:r w:rsidR="003F3175" w:rsidRPr="00A03C9A">
        <w:rPr>
          <w:rtl/>
        </w:rPr>
        <w:t>الجمعيات</w:t>
      </w:r>
      <w:bookmarkStart w:id="13" w:name="_Toc6392600"/>
      <w:bookmarkEnd w:id="13"/>
    </w:p>
    <w:p w:rsidR="003F3175" w:rsidRPr="00E97C41" w:rsidRDefault="003F3175" w:rsidP="003F3175">
      <w:pPr>
        <w:pStyle w:val="SingleTxtGA"/>
        <w:rPr>
          <w:rtl/>
          <w:lang w:eastAsia="zh-TW" w:bidi="ar-DZ"/>
        </w:rPr>
      </w:pPr>
      <w:r>
        <w:rPr>
          <w:rtl/>
          <w:lang w:eastAsia="zh-TW"/>
        </w:rPr>
        <w:t>٣١-</w:t>
      </w:r>
      <w:r>
        <w:rPr>
          <w:rtl/>
          <w:lang w:eastAsia="zh-TW"/>
        </w:rPr>
        <w:tab/>
        <w:t>بينما ترحب اللجنة بالانخفاض الكبير في عدد موظفي الخدمة المدنية المتأثرين بحظر أنشطة الإضراب في أعقاب التعديلات التي أدخلت على قانون الخدمة المدنية في عام ٢٠١٣، فإنها تكرر ما أعربت عنه اللجنة المعنية بالحقوق الاقتصادية والاجتماعية والثقافية من قلق يتعلق بحظر الإضراب على موظفي الخدمة المدنية بموجب القانون (</w:t>
      </w:r>
      <w:r w:rsidRPr="00B87C6E">
        <w:rPr>
          <w:lang w:eastAsia="zh-TW"/>
        </w:rPr>
        <w:t>E/C.12/EST/CO/3</w:t>
      </w:r>
      <w:r>
        <w:rPr>
          <w:rtl/>
          <w:lang w:eastAsia="zh-TW"/>
        </w:rPr>
        <w:t>، الفقرة 26). وتشعر اللجنة بالقلق أيض</w:t>
      </w:r>
      <w:r w:rsidR="000921EE">
        <w:rPr>
          <w:rtl/>
          <w:lang w:eastAsia="zh-TW"/>
        </w:rPr>
        <w:t xml:space="preserve">اً </w:t>
      </w:r>
      <w:r>
        <w:rPr>
          <w:rtl/>
          <w:lang w:eastAsia="zh-TW"/>
        </w:rPr>
        <w:t>إزاء الشروط المنصوص عليها في قانون التسوية الجماعية للنزاعات العمالية التي قد تؤثر سلب</w:t>
      </w:r>
      <w:r w:rsidR="000921EE">
        <w:rPr>
          <w:rtl/>
          <w:lang w:eastAsia="zh-TW"/>
        </w:rPr>
        <w:t xml:space="preserve">اً </w:t>
      </w:r>
      <w:r>
        <w:rPr>
          <w:rtl/>
          <w:lang w:eastAsia="zh-TW"/>
        </w:rPr>
        <w:t xml:space="preserve">على الممارسة المجدية للحق في الإضراب في الممارسة العملية، عن طريق جملة أمور منها الحد من مدة الإضراب التحذيري لتصبح ساعة واحدة مقابل ثلاثة أيام لإضرابات </w:t>
      </w:r>
      <w:r>
        <w:rPr>
          <w:rtl/>
          <w:lang w:eastAsia="zh-TW" w:bidi="ar-DZ"/>
        </w:rPr>
        <w:t>إبداء التعاطف</w:t>
      </w:r>
      <w:r>
        <w:rPr>
          <w:rtl/>
          <w:lang w:eastAsia="zh-TW"/>
        </w:rPr>
        <w:t xml:space="preserve"> (المادة ٢٢).</w:t>
      </w:r>
    </w:p>
    <w:p w:rsidR="003F3175" w:rsidRPr="00E97C41" w:rsidRDefault="003F3175" w:rsidP="003F3175">
      <w:pPr>
        <w:pStyle w:val="SingleTxtGA"/>
        <w:rPr>
          <w:b/>
          <w:bCs/>
          <w:rtl/>
          <w:lang w:eastAsia="zh-TW"/>
        </w:rPr>
      </w:pPr>
      <w:r>
        <w:rPr>
          <w:rtl/>
          <w:lang w:eastAsia="zh-TW"/>
        </w:rPr>
        <w:t>٣٢-</w:t>
      </w:r>
      <w:r>
        <w:rPr>
          <w:rtl/>
          <w:lang w:eastAsia="zh-TW"/>
        </w:rPr>
        <w:tab/>
      </w:r>
      <w:r w:rsidRPr="00E97C41">
        <w:rPr>
          <w:b/>
          <w:bCs/>
          <w:rtl/>
          <w:lang w:eastAsia="zh-TW"/>
        </w:rPr>
        <w:t>وتكرر</w:t>
      </w:r>
      <w:r>
        <w:rPr>
          <w:b/>
          <w:bCs/>
          <w:rtl/>
          <w:lang w:eastAsia="zh-TW"/>
        </w:rPr>
        <w:t xml:space="preserve"> </w:t>
      </w:r>
      <w:r w:rsidRPr="00E97C41">
        <w:rPr>
          <w:b/>
          <w:bCs/>
          <w:rtl/>
          <w:lang w:eastAsia="zh-TW"/>
        </w:rPr>
        <w:t>اللجنة</w:t>
      </w:r>
      <w:r>
        <w:rPr>
          <w:b/>
          <w:bCs/>
          <w:rtl/>
          <w:lang w:eastAsia="zh-TW"/>
        </w:rPr>
        <w:t xml:space="preserve"> تأكيد </w:t>
      </w:r>
      <w:r w:rsidRPr="00E97C41">
        <w:rPr>
          <w:b/>
          <w:bCs/>
          <w:rtl/>
          <w:lang w:eastAsia="zh-TW"/>
        </w:rPr>
        <w:t>التوصية</w:t>
      </w:r>
      <w:r>
        <w:rPr>
          <w:b/>
          <w:bCs/>
          <w:rtl/>
          <w:lang w:eastAsia="zh-TW"/>
        </w:rPr>
        <w:t xml:space="preserve"> </w:t>
      </w:r>
      <w:r w:rsidRPr="00E97C41">
        <w:rPr>
          <w:b/>
          <w:bCs/>
          <w:rtl/>
          <w:lang w:eastAsia="zh-TW"/>
        </w:rPr>
        <w:t>المقدمة</w:t>
      </w:r>
      <w:r>
        <w:rPr>
          <w:b/>
          <w:bCs/>
          <w:rtl/>
          <w:lang w:eastAsia="zh-TW"/>
        </w:rPr>
        <w:t xml:space="preserve"> </w:t>
      </w:r>
      <w:r w:rsidRPr="00E97C41">
        <w:rPr>
          <w:b/>
          <w:bCs/>
          <w:rtl/>
          <w:lang w:eastAsia="zh-TW"/>
        </w:rPr>
        <w:t>من</w:t>
      </w:r>
      <w:r>
        <w:rPr>
          <w:b/>
          <w:bCs/>
          <w:rtl/>
          <w:lang w:eastAsia="zh-TW"/>
        </w:rPr>
        <w:t xml:space="preserve"> </w:t>
      </w:r>
      <w:r w:rsidRPr="00E97C41">
        <w:rPr>
          <w:b/>
          <w:bCs/>
          <w:rtl/>
          <w:lang w:eastAsia="zh-TW"/>
        </w:rPr>
        <w:t>اللجنة</w:t>
      </w:r>
      <w:r>
        <w:rPr>
          <w:b/>
          <w:bCs/>
          <w:rtl/>
          <w:lang w:eastAsia="zh-TW"/>
        </w:rPr>
        <w:t xml:space="preserve"> </w:t>
      </w:r>
      <w:r w:rsidRPr="00E97C41">
        <w:rPr>
          <w:b/>
          <w:bCs/>
          <w:rtl/>
          <w:lang w:eastAsia="zh-TW"/>
        </w:rPr>
        <w:t>المعنية</w:t>
      </w:r>
      <w:r>
        <w:rPr>
          <w:b/>
          <w:bCs/>
          <w:rtl/>
          <w:lang w:eastAsia="zh-TW"/>
        </w:rPr>
        <w:t xml:space="preserve"> </w:t>
      </w:r>
      <w:r w:rsidRPr="00E97C41">
        <w:rPr>
          <w:b/>
          <w:bCs/>
          <w:rtl/>
          <w:lang w:eastAsia="zh-TW"/>
        </w:rPr>
        <w:t>بالحقوق</w:t>
      </w:r>
      <w:r>
        <w:rPr>
          <w:b/>
          <w:bCs/>
          <w:rtl/>
          <w:lang w:eastAsia="zh-TW"/>
        </w:rPr>
        <w:t xml:space="preserve"> </w:t>
      </w:r>
      <w:r w:rsidRPr="00E97C41">
        <w:rPr>
          <w:b/>
          <w:bCs/>
          <w:rtl/>
          <w:lang w:eastAsia="zh-TW"/>
        </w:rPr>
        <w:t>الاقتصادية</w:t>
      </w:r>
      <w:r>
        <w:rPr>
          <w:b/>
          <w:bCs/>
          <w:rtl/>
          <w:lang w:eastAsia="zh-TW"/>
        </w:rPr>
        <w:t xml:space="preserve"> </w:t>
      </w:r>
      <w:r w:rsidRPr="00E97C41">
        <w:rPr>
          <w:b/>
          <w:bCs/>
          <w:rtl/>
          <w:lang w:eastAsia="zh-TW"/>
        </w:rPr>
        <w:t>والاجتماعية</w:t>
      </w:r>
      <w:r>
        <w:rPr>
          <w:b/>
          <w:bCs/>
          <w:rtl/>
          <w:lang w:eastAsia="zh-TW"/>
        </w:rPr>
        <w:t xml:space="preserve"> </w:t>
      </w:r>
      <w:r w:rsidRPr="00E97C41">
        <w:rPr>
          <w:b/>
          <w:bCs/>
          <w:rtl/>
          <w:lang w:eastAsia="zh-TW"/>
        </w:rPr>
        <w:t>والثقافية</w:t>
      </w:r>
      <w:r>
        <w:rPr>
          <w:b/>
          <w:bCs/>
          <w:rtl/>
          <w:lang w:eastAsia="zh-TW"/>
        </w:rPr>
        <w:t xml:space="preserve"> </w:t>
      </w:r>
      <w:r w:rsidRPr="00E97C41">
        <w:rPr>
          <w:b/>
          <w:bCs/>
          <w:rtl/>
          <w:lang w:eastAsia="zh-TW"/>
        </w:rPr>
        <w:t>(</w:t>
      </w:r>
      <w:r w:rsidRPr="00173CD7">
        <w:rPr>
          <w:b/>
          <w:bCs/>
        </w:rPr>
        <w:t>E/C.12/EST/CO/3</w:t>
      </w:r>
      <w:r w:rsidRPr="00E97C41">
        <w:rPr>
          <w:b/>
          <w:bCs/>
          <w:rtl/>
          <w:lang w:eastAsia="zh-TW"/>
        </w:rPr>
        <w:t>،</w:t>
      </w:r>
      <w:r>
        <w:rPr>
          <w:b/>
          <w:bCs/>
          <w:rtl/>
          <w:lang w:eastAsia="zh-TW"/>
        </w:rPr>
        <w:t xml:space="preserve"> </w:t>
      </w:r>
      <w:r w:rsidRPr="00E97C41">
        <w:rPr>
          <w:b/>
          <w:bCs/>
          <w:rtl/>
          <w:lang w:eastAsia="zh-TW"/>
        </w:rPr>
        <w:t>الفقرة</w:t>
      </w:r>
      <w:r>
        <w:rPr>
          <w:b/>
          <w:bCs/>
          <w:rtl/>
          <w:lang w:eastAsia="zh-TW"/>
        </w:rPr>
        <w:t xml:space="preserve"> </w:t>
      </w:r>
      <w:r w:rsidRPr="00E97C41">
        <w:rPr>
          <w:b/>
          <w:bCs/>
          <w:rtl/>
          <w:lang w:eastAsia="zh-TW"/>
        </w:rPr>
        <w:t>27)</w:t>
      </w:r>
      <w:r>
        <w:rPr>
          <w:b/>
          <w:bCs/>
          <w:rtl/>
          <w:lang w:eastAsia="zh-TW"/>
        </w:rPr>
        <w:t xml:space="preserve"> بأن يُستعرض </w:t>
      </w:r>
      <w:r w:rsidRPr="00E97C41">
        <w:rPr>
          <w:b/>
          <w:bCs/>
          <w:rtl/>
          <w:lang w:eastAsia="zh-TW"/>
        </w:rPr>
        <w:t>قا</w:t>
      </w:r>
      <w:r>
        <w:rPr>
          <w:b/>
          <w:bCs/>
          <w:rtl/>
          <w:lang w:eastAsia="zh-TW"/>
        </w:rPr>
        <w:t xml:space="preserve">نون الخدمة المدنية بغية السماح لموظفي الخدمة </w:t>
      </w:r>
      <w:r w:rsidRPr="00E97C41">
        <w:rPr>
          <w:b/>
          <w:bCs/>
          <w:rtl/>
          <w:lang w:eastAsia="zh-TW"/>
        </w:rPr>
        <w:t>ا</w:t>
      </w:r>
      <w:r>
        <w:rPr>
          <w:b/>
          <w:bCs/>
          <w:rtl/>
          <w:lang w:eastAsia="zh-TW"/>
        </w:rPr>
        <w:t>لمدنية الذين لا يقدمون خدمات أساسية ب</w:t>
      </w:r>
      <w:r w:rsidRPr="00E97C41">
        <w:rPr>
          <w:b/>
          <w:bCs/>
          <w:rtl/>
          <w:lang w:eastAsia="zh-TW"/>
        </w:rPr>
        <w:t>ممارسة</w:t>
      </w:r>
      <w:r>
        <w:rPr>
          <w:b/>
          <w:bCs/>
          <w:rtl/>
          <w:lang w:eastAsia="zh-TW"/>
        </w:rPr>
        <w:t xml:space="preserve"> </w:t>
      </w:r>
      <w:r w:rsidRPr="00E97C41">
        <w:rPr>
          <w:b/>
          <w:bCs/>
          <w:rtl/>
          <w:lang w:eastAsia="zh-TW"/>
        </w:rPr>
        <w:t>حقهم</w:t>
      </w:r>
      <w:r>
        <w:rPr>
          <w:b/>
          <w:bCs/>
          <w:rtl/>
          <w:lang w:eastAsia="zh-TW"/>
        </w:rPr>
        <w:t xml:space="preserve"> </w:t>
      </w:r>
      <w:r w:rsidRPr="00E97C41">
        <w:rPr>
          <w:b/>
          <w:bCs/>
          <w:rtl/>
          <w:lang w:eastAsia="zh-TW"/>
        </w:rPr>
        <w:t>في</w:t>
      </w:r>
      <w:r>
        <w:rPr>
          <w:b/>
          <w:bCs/>
          <w:rtl/>
          <w:lang w:eastAsia="zh-TW"/>
        </w:rPr>
        <w:t xml:space="preserve"> </w:t>
      </w:r>
      <w:r w:rsidRPr="00E97C41">
        <w:rPr>
          <w:b/>
          <w:bCs/>
          <w:rtl/>
          <w:lang w:eastAsia="zh-TW"/>
        </w:rPr>
        <w:t>الإضراب.</w:t>
      </w:r>
      <w:r>
        <w:rPr>
          <w:b/>
          <w:bCs/>
          <w:rtl/>
          <w:lang w:eastAsia="zh-TW"/>
        </w:rPr>
        <w:t xml:space="preserve"> وي</w:t>
      </w:r>
      <w:r w:rsidRPr="00E97C41">
        <w:rPr>
          <w:b/>
          <w:bCs/>
          <w:rtl/>
          <w:lang w:eastAsia="zh-TW"/>
        </w:rPr>
        <w:t>نبغي</w:t>
      </w:r>
      <w:r>
        <w:rPr>
          <w:b/>
          <w:bCs/>
          <w:rtl/>
          <w:lang w:eastAsia="zh-TW"/>
        </w:rPr>
        <w:t xml:space="preserve"> </w:t>
      </w:r>
      <w:r w:rsidRPr="00E97C41">
        <w:rPr>
          <w:b/>
          <w:bCs/>
          <w:rtl/>
          <w:lang w:eastAsia="zh-TW"/>
        </w:rPr>
        <w:t>للدولة</w:t>
      </w:r>
      <w:r>
        <w:rPr>
          <w:b/>
          <w:bCs/>
          <w:rtl/>
          <w:lang w:eastAsia="zh-TW"/>
        </w:rPr>
        <w:t xml:space="preserve"> </w:t>
      </w:r>
      <w:r w:rsidRPr="00E97C41">
        <w:rPr>
          <w:b/>
          <w:bCs/>
          <w:rtl/>
          <w:lang w:eastAsia="zh-TW"/>
        </w:rPr>
        <w:t>الطرف</w:t>
      </w:r>
      <w:r>
        <w:rPr>
          <w:b/>
          <w:bCs/>
          <w:rtl/>
          <w:lang w:eastAsia="zh-TW"/>
        </w:rPr>
        <w:t xml:space="preserve"> أن تمتنع عن فرض أي قيود لا مبرر </w:t>
      </w:r>
      <w:r w:rsidRPr="00E97C41">
        <w:rPr>
          <w:b/>
          <w:bCs/>
          <w:rtl/>
          <w:lang w:eastAsia="zh-TW"/>
        </w:rPr>
        <w:t>لها</w:t>
      </w:r>
      <w:r>
        <w:rPr>
          <w:b/>
          <w:bCs/>
          <w:rtl/>
          <w:lang w:eastAsia="zh-TW"/>
        </w:rPr>
        <w:t xml:space="preserve"> </w:t>
      </w:r>
      <w:r w:rsidRPr="00E97C41">
        <w:rPr>
          <w:b/>
          <w:bCs/>
          <w:rtl/>
          <w:lang w:eastAsia="zh-TW"/>
        </w:rPr>
        <w:t>على</w:t>
      </w:r>
      <w:r>
        <w:rPr>
          <w:b/>
          <w:bCs/>
          <w:rtl/>
          <w:lang w:eastAsia="zh-TW"/>
        </w:rPr>
        <w:t xml:space="preserve"> </w:t>
      </w:r>
      <w:r w:rsidRPr="00E97C41">
        <w:rPr>
          <w:b/>
          <w:bCs/>
          <w:rtl/>
          <w:lang w:eastAsia="zh-TW"/>
        </w:rPr>
        <w:t>الحق</w:t>
      </w:r>
      <w:r>
        <w:rPr>
          <w:b/>
          <w:bCs/>
          <w:rtl/>
          <w:lang w:eastAsia="zh-TW"/>
        </w:rPr>
        <w:t xml:space="preserve"> </w:t>
      </w:r>
      <w:r w:rsidRPr="00E97C41">
        <w:rPr>
          <w:b/>
          <w:bCs/>
          <w:rtl/>
          <w:lang w:eastAsia="zh-TW"/>
        </w:rPr>
        <w:t>في</w:t>
      </w:r>
      <w:r>
        <w:rPr>
          <w:b/>
          <w:bCs/>
          <w:rtl/>
          <w:lang w:eastAsia="zh-TW"/>
        </w:rPr>
        <w:t xml:space="preserve"> </w:t>
      </w:r>
      <w:r w:rsidRPr="00E97C41">
        <w:rPr>
          <w:b/>
          <w:bCs/>
          <w:rtl/>
          <w:lang w:eastAsia="zh-TW"/>
        </w:rPr>
        <w:t>الإضراب</w:t>
      </w:r>
      <w:r>
        <w:rPr>
          <w:b/>
          <w:bCs/>
          <w:rtl/>
          <w:lang w:eastAsia="zh-TW"/>
        </w:rPr>
        <w:t xml:space="preserve">، وأن تكفل أن يكون </w:t>
      </w:r>
      <w:r w:rsidRPr="00E97C41">
        <w:rPr>
          <w:b/>
          <w:bCs/>
          <w:rtl/>
          <w:lang w:eastAsia="zh-TW"/>
        </w:rPr>
        <w:t>قانون</w:t>
      </w:r>
      <w:r>
        <w:rPr>
          <w:b/>
          <w:bCs/>
          <w:rtl/>
          <w:lang w:eastAsia="zh-TW"/>
        </w:rPr>
        <w:t xml:space="preserve"> ال</w:t>
      </w:r>
      <w:r w:rsidRPr="00E97C41">
        <w:rPr>
          <w:b/>
          <w:bCs/>
          <w:rtl/>
          <w:lang w:eastAsia="zh-TW"/>
        </w:rPr>
        <w:t>تسوية</w:t>
      </w:r>
      <w:r>
        <w:rPr>
          <w:b/>
          <w:bCs/>
          <w:rtl/>
          <w:lang w:eastAsia="zh-TW"/>
        </w:rPr>
        <w:t xml:space="preserve"> </w:t>
      </w:r>
      <w:r w:rsidRPr="00E97C41">
        <w:rPr>
          <w:b/>
          <w:bCs/>
          <w:rtl/>
          <w:lang w:eastAsia="zh-TW"/>
        </w:rPr>
        <w:t>الجماعية</w:t>
      </w:r>
      <w:r>
        <w:rPr>
          <w:rtl/>
        </w:rPr>
        <w:t xml:space="preserve"> </w:t>
      </w:r>
      <w:r w:rsidRPr="00E97C41">
        <w:rPr>
          <w:b/>
          <w:bCs/>
          <w:rtl/>
          <w:lang w:eastAsia="zh-TW"/>
        </w:rPr>
        <w:t>للنزاعات</w:t>
      </w:r>
      <w:r>
        <w:rPr>
          <w:b/>
          <w:bCs/>
          <w:rtl/>
          <w:lang w:eastAsia="zh-TW"/>
        </w:rPr>
        <w:t xml:space="preserve"> </w:t>
      </w:r>
      <w:r w:rsidRPr="00E97C41">
        <w:rPr>
          <w:b/>
          <w:bCs/>
          <w:rtl/>
          <w:lang w:eastAsia="zh-TW"/>
        </w:rPr>
        <w:t>العمالية</w:t>
      </w:r>
      <w:r>
        <w:rPr>
          <w:b/>
          <w:bCs/>
          <w:rtl/>
          <w:lang w:eastAsia="zh-TW"/>
        </w:rPr>
        <w:t xml:space="preserve"> متوافقاً </w:t>
      </w:r>
      <w:r w:rsidRPr="00E97C41">
        <w:rPr>
          <w:b/>
          <w:bCs/>
          <w:rtl/>
          <w:lang w:eastAsia="zh-TW"/>
        </w:rPr>
        <w:t>تماما</w:t>
      </w:r>
      <w:r>
        <w:rPr>
          <w:b/>
          <w:bCs/>
          <w:rtl/>
          <w:lang w:eastAsia="zh-TW"/>
        </w:rPr>
        <w:t xml:space="preserve">ً </w:t>
      </w:r>
      <w:r w:rsidRPr="00E97C41">
        <w:rPr>
          <w:b/>
          <w:bCs/>
          <w:rtl/>
          <w:lang w:eastAsia="zh-TW"/>
        </w:rPr>
        <w:t>مع</w:t>
      </w:r>
      <w:r>
        <w:rPr>
          <w:b/>
          <w:bCs/>
          <w:rtl/>
          <w:lang w:eastAsia="zh-TW"/>
        </w:rPr>
        <w:t xml:space="preserve"> </w:t>
      </w:r>
      <w:r w:rsidRPr="00E97C41">
        <w:rPr>
          <w:b/>
          <w:bCs/>
          <w:rtl/>
          <w:lang w:eastAsia="zh-TW"/>
        </w:rPr>
        <w:t>المادة</w:t>
      </w:r>
      <w:r>
        <w:rPr>
          <w:b/>
          <w:bCs/>
          <w:rtl/>
          <w:lang w:eastAsia="zh-TW"/>
        </w:rPr>
        <w:t xml:space="preserve"> </w:t>
      </w:r>
      <w:r w:rsidRPr="00E97C41">
        <w:rPr>
          <w:b/>
          <w:bCs/>
          <w:rtl/>
          <w:lang w:eastAsia="zh-TW"/>
        </w:rPr>
        <w:t>٢٢</w:t>
      </w:r>
      <w:r>
        <w:rPr>
          <w:b/>
          <w:bCs/>
          <w:rtl/>
          <w:lang w:eastAsia="zh-TW"/>
        </w:rPr>
        <w:t xml:space="preserve"> </w:t>
      </w:r>
      <w:r w:rsidRPr="00E97C41">
        <w:rPr>
          <w:b/>
          <w:bCs/>
          <w:rtl/>
          <w:lang w:eastAsia="zh-TW"/>
        </w:rPr>
        <w:t>من</w:t>
      </w:r>
      <w:r>
        <w:rPr>
          <w:b/>
          <w:bCs/>
          <w:rtl/>
          <w:lang w:eastAsia="zh-TW"/>
        </w:rPr>
        <w:t xml:space="preserve"> </w:t>
      </w:r>
      <w:r w:rsidRPr="00E97C41">
        <w:rPr>
          <w:b/>
          <w:bCs/>
          <w:rtl/>
          <w:lang w:eastAsia="zh-TW"/>
        </w:rPr>
        <w:t>العهد.</w:t>
      </w:r>
    </w:p>
    <w:p w:rsidR="003F3175" w:rsidRPr="00471C88" w:rsidRDefault="003A7BC5" w:rsidP="003A7BC5">
      <w:pPr>
        <w:pStyle w:val="H23GA"/>
        <w:rPr>
          <w:rtl/>
        </w:rPr>
      </w:pPr>
      <w:r>
        <w:rPr>
          <w:rtl/>
        </w:rPr>
        <w:tab/>
      </w:r>
      <w:r>
        <w:rPr>
          <w:rtl/>
        </w:rPr>
        <w:tab/>
      </w:r>
      <w:dir w:val="rtl">
        <w:r w:rsidR="003F3175" w:rsidRPr="00E97C41">
          <w:rPr>
            <w:rtl/>
          </w:rPr>
          <w:t>حق</w:t>
        </w:r>
        <w:r w:rsidR="003F3175">
          <w:rPr>
            <w:rtl/>
          </w:rPr>
          <w:t xml:space="preserve"> </w:t>
        </w:r>
        <w:r w:rsidR="003F3175" w:rsidRPr="00E97C41">
          <w:rPr>
            <w:rtl/>
          </w:rPr>
          <w:t>السجناء</w:t>
        </w:r>
        <w:r w:rsidR="003F3175">
          <w:rPr>
            <w:rtl/>
          </w:rPr>
          <w:t xml:space="preserve"> </w:t>
        </w:r>
        <w:r w:rsidR="003F3175" w:rsidRPr="00E97C41">
          <w:rPr>
            <w:rtl/>
          </w:rPr>
          <w:t>في</w:t>
        </w:r>
        <w:r w:rsidR="003F3175">
          <w:rPr>
            <w:rtl/>
          </w:rPr>
          <w:t xml:space="preserve"> </w:t>
        </w:r>
        <w:r w:rsidR="003F3175" w:rsidRPr="00E97C41">
          <w:rPr>
            <w:rtl/>
          </w:rPr>
          <w:t>التصويت</w:t>
        </w:r>
        <w:r w:rsidR="003F3175">
          <w:rPr>
            <w:rFonts w:ascii="Arial" w:hAnsi="Arial" w:cs="Arial" w:hint="cs"/>
            <w:rtl/>
          </w:rPr>
          <w:t>‬</w:t>
        </w:r>
        <w:r w:rsidR="003F3175">
          <w:rPr>
            <w:rtl/>
          </w:rPr>
          <w:t xml:space="preserve"> </w:t>
        </w:r>
        <w:bookmarkStart w:id="14" w:name="_Toc6392601"/>
        <w:bookmarkEnd w:id="14"/>
        <w:r w:rsidR="003F3175">
          <w:t>‬</w:t>
        </w:r>
        <w:r w:rsidR="00B65FE8">
          <w:t>‬</w:t>
        </w:r>
        <w:r w:rsidR="00543732">
          <w:t>‬</w:t>
        </w:r>
      </w:dir>
    </w:p>
    <w:p w:rsidR="003F3175" w:rsidRPr="00471C88" w:rsidRDefault="003F3175" w:rsidP="003F3175">
      <w:pPr>
        <w:pStyle w:val="SingleTxtGA"/>
        <w:rPr>
          <w:rtl/>
          <w:lang w:eastAsia="zh-TW"/>
        </w:rPr>
      </w:pPr>
      <w:r>
        <w:rPr>
          <w:rtl/>
          <w:lang w:eastAsia="zh-TW"/>
        </w:rPr>
        <w:t>٣٣-</w:t>
      </w:r>
      <w:r>
        <w:rPr>
          <w:rtl/>
          <w:lang w:eastAsia="zh-TW"/>
        </w:rPr>
        <w:tab/>
      </w:r>
      <w:dir w:val="rtl">
        <w:r>
          <w:rPr>
            <w:rtl/>
            <w:lang w:eastAsia="zh-TW"/>
          </w:rPr>
          <w:t>يساور اللجنة القلق من الرفض العام لحق التصويت لجميع السجناء المدانين بأية أفعال إجرامية، وتشير إلى أن الرفض الشامل لا يستوفي شروط المادة 10(3)، مقروءة بالاقتران بالمادة</w:t>
        </w:r>
        <w:r w:rsidR="003A7BC5">
          <w:rPr>
            <w:rFonts w:hint="cs"/>
            <w:rtl/>
            <w:lang w:eastAsia="zh-TW"/>
          </w:rPr>
          <w:t> </w:t>
        </w:r>
        <w:r>
          <w:rPr>
            <w:rtl/>
            <w:lang w:eastAsia="zh-TW"/>
          </w:rPr>
          <w:t>25 من العهد.</w:t>
        </w:r>
        <w:r>
          <w:rPr>
            <w:rFonts w:ascii="Arial" w:hAnsi="Arial" w:cs="Arial" w:hint="cs"/>
            <w:rtl/>
            <w:lang w:eastAsia="zh-TW"/>
          </w:rPr>
          <w:t>‬</w:t>
        </w:r>
        <w:r>
          <w:rPr>
            <w:rtl/>
            <w:lang w:eastAsia="zh-TW"/>
          </w:rPr>
          <w:t xml:space="preserve"> وبينما تحيط اللجنة علماً بأن السلطات تناولت هذه المسألة، بما في ذلك المحكمة العليا في سياق عدد من القضايا المعروضة على المحاكم، وبأن خطوات اتُخذت من أجل تعديل التشريعات ذات الصلة، فإنها تعرب عن أسفها لأن التقدم المحرز في هذا الصدد لا يزال بطيئاً (المواد 10 و25 و26).</w:t>
        </w:r>
        <w:r>
          <w:t>‬</w:t>
        </w:r>
        <w:r w:rsidR="00B65FE8">
          <w:t>‬</w:t>
        </w:r>
        <w:r w:rsidR="00543732">
          <w:t>‬</w:t>
        </w:r>
      </w:dir>
    </w:p>
    <w:p w:rsidR="003F3175" w:rsidRPr="00173CD7" w:rsidRDefault="003F3175" w:rsidP="003F3175">
      <w:pPr>
        <w:pStyle w:val="SingleTxtGA"/>
        <w:rPr>
          <w:b/>
          <w:bCs/>
          <w:rtl/>
          <w:lang w:eastAsia="zh-TW"/>
        </w:rPr>
      </w:pPr>
      <w:r>
        <w:rPr>
          <w:rtl/>
          <w:lang w:eastAsia="zh-TW"/>
        </w:rPr>
        <w:t>٣٤-</w:t>
      </w:r>
      <w:r>
        <w:rPr>
          <w:rtl/>
          <w:lang w:eastAsia="zh-TW"/>
        </w:rPr>
        <w:tab/>
      </w:r>
      <w:dir w:val="rtl">
        <w:r>
          <w:rPr>
            <w:b/>
            <w:bCs/>
            <w:rtl/>
            <w:lang w:eastAsia="zh-TW"/>
          </w:rPr>
          <w:t xml:space="preserve">ينبغي أن تستعرض </w:t>
        </w:r>
        <w:r w:rsidRPr="00FA311A">
          <w:rPr>
            <w:b/>
            <w:bCs/>
            <w:rtl/>
            <w:lang w:eastAsia="zh-TW"/>
          </w:rPr>
          <w:t>الدولة</w:t>
        </w:r>
        <w:r>
          <w:rPr>
            <w:b/>
            <w:bCs/>
            <w:rtl/>
            <w:lang w:eastAsia="zh-TW"/>
          </w:rPr>
          <w:t xml:space="preserve"> </w:t>
        </w:r>
        <w:r w:rsidRPr="00FA311A">
          <w:rPr>
            <w:b/>
            <w:bCs/>
            <w:rtl/>
            <w:lang w:eastAsia="zh-TW"/>
          </w:rPr>
          <w:t>الطرف</w:t>
        </w:r>
        <w:r>
          <w:rPr>
            <w:b/>
            <w:bCs/>
            <w:rtl/>
            <w:lang w:eastAsia="zh-TW"/>
          </w:rPr>
          <w:t xml:space="preserve"> </w:t>
        </w:r>
        <w:r w:rsidRPr="00FA311A">
          <w:rPr>
            <w:b/>
            <w:bCs/>
            <w:rtl/>
            <w:lang w:eastAsia="zh-TW"/>
          </w:rPr>
          <w:t>تشريعاتها</w:t>
        </w:r>
        <w:r>
          <w:rPr>
            <w:b/>
            <w:bCs/>
            <w:rtl/>
            <w:lang w:eastAsia="zh-TW"/>
          </w:rPr>
          <w:t xml:space="preserve"> </w:t>
        </w:r>
        <w:r w:rsidRPr="00FA311A">
          <w:rPr>
            <w:b/>
            <w:bCs/>
            <w:rtl/>
            <w:lang w:eastAsia="zh-TW"/>
          </w:rPr>
          <w:t>التي</w:t>
        </w:r>
        <w:r>
          <w:rPr>
            <w:b/>
            <w:bCs/>
            <w:rtl/>
            <w:lang w:eastAsia="zh-TW"/>
          </w:rPr>
          <w:t xml:space="preserve"> </w:t>
        </w:r>
        <w:r w:rsidRPr="00FA311A">
          <w:rPr>
            <w:b/>
            <w:bCs/>
            <w:rtl/>
            <w:lang w:eastAsia="zh-TW"/>
          </w:rPr>
          <w:t>ترفض</w:t>
        </w:r>
        <w:r>
          <w:rPr>
            <w:b/>
            <w:bCs/>
            <w:rtl/>
            <w:lang w:eastAsia="zh-TW"/>
          </w:rPr>
          <w:t xml:space="preserve"> </w:t>
        </w:r>
        <w:r w:rsidRPr="00FA311A">
          <w:rPr>
            <w:b/>
            <w:bCs/>
            <w:rtl/>
            <w:lang w:eastAsia="zh-TW"/>
          </w:rPr>
          <w:t>منح</w:t>
        </w:r>
        <w:r>
          <w:rPr>
            <w:b/>
            <w:bCs/>
            <w:rtl/>
            <w:lang w:eastAsia="zh-TW"/>
          </w:rPr>
          <w:t xml:space="preserve"> </w:t>
        </w:r>
        <w:r w:rsidRPr="00FA311A">
          <w:rPr>
            <w:b/>
            <w:bCs/>
            <w:rtl/>
            <w:lang w:eastAsia="zh-TW"/>
          </w:rPr>
          <w:t>الس</w:t>
        </w:r>
        <w:r>
          <w:rPr>
            <w:b/>
            <w:bCs/>
            <w:rtl/>
            <w:lang w:eastAsia="zh-TW"/>
          </w:rPr>
          <w:t xml:space="preserve">جناء المدانين الحق في التصويت على </w:t>
        </w:r>
        <w:r w:rsidRPr="00FA311A">
          <w:rPr>
            <w:b/>
            <w:bCs/>
            <w:rtl/>
            <w:lang w:eastAsia="zh-TW"/>
          </w:rPr>
          <w:t>ضوء</w:t>
        </w:r>
        <w:r>
          <w:rPr>
            <w:b/>
            <w:bCs/>
            <w:rtl/>
            <w:lang w:eastAsia="zh-TW"/>
          </w:rPr>
          <w:t xml:space="preserve"> </w:t>
        </w:r>
        <w:r w:rsidRPr="00FA311A">
          <w:rPr>
            <w:b/>
            <w:bCs/>
            <w:rtl/>
            <w:lang w:eastAsia="zh-TW"/>
          </w:rPr>
          <w:t>تعليق</w:t>
        </w:r>
        <w:r>
          <w:rPr>
            <w:b/>
            <w:bCs/>
            <w:rtl/>
            <w:lang w:eastAsia="zh-TW"/>
          </w:rPr>
          <w:t xml:space="preserve"> </w:t>
        </w:r>
        <w:r w:rsidRPr="00FA311A">
          <w:rPr>
            <w:b/>
            <w:bCs/>
            <w:rtl/>
            <w:lang w:eastAsia="zh-TW"/>
          </w:rPr>
          <w:t>ا</w:t>
        </w:r>
        <w:r>
          <w:rPr>
            <w:b/>
            <w:bCs/>
            <w:rtl/>
            <w:lang w:eastAsia="zh-TW"/>
          </w:rPr>
          <w:t xml:space="preserve">للجنة العام رقم 25(1996) بشأن </w:t>
        </w:r>
        <w:r w:rsidRPr="00FA311A">
          <w:rPr>
            <w:b/>
            <w:bCs/>
            <w:rtl/>
            <w:lang w:eastAsia="zh-TW"/>
          </w:rPr>
          <w:t>المشاركة</w:t>
        </w:r>
        <w:r>
          <w:rPr>
            <w:b/>
            <w:bCs/>
            <w:rtl/>
            <w:lang w:eastAsia="zh-TW"/>
          </w:rPr>
          <w:t xml:space="preserve"> </w:t>
        </w:r>
        <w:r w:rsidRPr="00FA311A">
          <w:rPr>
            <w:b/>
            <w:bCs/>
            <w:rtl/>
            <w:lang w:eastAsia="zh-TW"/>
          </w:rPr>
          <w:t>في</w:t>
        </w:r>
        <w:r>
          <w:rPr>
            <w:b/>
            <w:bCs/>
            <w:rtl/>
            <w:lang w:eastAsia="zh-TW"/>
          </w:rPr>
          <w:t xml:space="preserve"> </w:t>
        </w:r>
        <w:r w:rsidRPr="00FA311A">
          <w:rPr>
            <w:b/>
            <w:bCs/>
            <w:rtl/>
            <w:lang w:eastAsia="zh-TW"/>
          </w:rPr>
          <w:t>إدارة</w:t>
        </w:r>
        <w:r>
          <w:rPr>
            <w:b/>
            <w:bCs/>
            <w:rtl/>
            <w:lang w:eastAsia="zh-TW"/>
          </w:rPr>
          <w:t xml:space="preserve"> </w:t>
        </w:r>
        <w:r w:rsidRPr="00FA311A">
          <w:rPr>
            <w:b/>
            <w:bCs/>
            <w:rtl/>
            <w:lang w:eastAsia="zh-TW"/>
          </w:rPr>
          <w:t>ال</w:t>
        </w:r>
        <w:r>
          <w:rPr>
            <w:b/>
            <w:bCs/>
            <w:rtl/>
            <w:lang w:eastAsia="zh-TW"/>
          </w:rPr>
          <w:t xml:space="preserve">شؤون العامة وحق الاقتراع (الفقرة </w:t>
        </w:r>
        <w:r w:rsidRPr="00FA311A">
          <w:rPr>
            <w:b/>
            <w:bCs/>
            <w:rtl/>
            <w:lang w:eastAsia="zh-TW"/>
          </w:rPr>
          <w:t>14</w:t>
        </w:r>
        <w:proofErr w:type="gramStart"/>
        <w:r w:rsidRPr="00FA311A">
          <w:rPr>
            <w:b/>
            <w:bCs/>
            <w:rtl/>
            <w:lang w:eastAsia="zh-TW"/>
          </w:rPr>
          <w:t>).</w:t>
        </w:r>
        <w:r w:rsidRPr="00FA311A">
          <w:rPr>
            <w:rFonts w:ascii="Arial" w:hAnsi="Arial" w:cs="Arial" w:hint="cs"/>
            <w:b/>
            <w:bCs/>
            <w:rtl/>
            <w:lang w:eastAsia="zh-TW"/>
          </w:rPr>
          <w:t>‬</w:t>
        </w:r>
        <w:r>
          <w:rPr>
            <w:rFonts w:ascii="Arial" w:hAnsi="Arial" w:cs="Arial" w:hint="cs"/>
            <w:rtl/>
            <w:lang w:eastAsia="zh-TW"/>
          </w:rPr>
          <w:t>‬</w:t>
        </w:r>
        <w:proofErr w:type="gramEnd"/>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rPr>
            <w:rFonts w:ascii="Arial" w:hAnsi="Arial" w:cs="Arial" w:hint="cs"/>
            <w:rtl/>
            <w:lang w:eastAsia="zh-TW"/>
          </w:rPr>
          <w:t>‬</w:t>
        </w:r>
        <w:r>
          <w:t>‬</w:t>
        </w:r>
        <w:r w:rsidR="00B65FE8">
          <w:t>‬</w:t>
        </w:r>
        <w:r w:rsidR="00543732">
          <w:t>‬</w:t>
        </w:r>
      </w:dir>
    </w:p>
    <w:p w:rsidR="003F3175" w:rsidRPr="00471C88" w:rsidRDefault="003F3175" w:rsidP="003A7BC5">
      <w:pPr>
        <w:pStyle w:val="H23GA"/>
        <w:rPr>
          <w:rtl/>
        </w:rPr>
      </w:pPr>
      <w:r>
        <w:tab/>
      </w:r>
      <w:r>
        <w:tab/>
      </w:r>
      <w:r>
        <w:rPr>
          <w:rtl/>
        </w:rPr>
        <w:t>الجنسية</w:t>
      </w:r>
      <w:bookmarkStart w:id="15" w:name="_Toc6392602"/>
      <w:bookmarkEnd w:id="15"/>
    </w:p>
    <w:p w:rsidR="003F3175" w:rsidRPr="00471C88" w:rsidRDefault="003F3175" w:rsidP="003F3175">
      <w:pPr>
        <w:pStyle w:val="SingleTxtGA"/>
        <w:rPr>
          <w:rtl/>
          <w:lang w:eastAsia="zh-TW"/>
        </w:rPr>
      </w:pPr>
      <w:r>
        <w:rPr>
          <w:rtl/>
          <w:lang w:eastAsia="zh-TW"/>
        </w:rPr>
        <w:t>٣٥-</w:t>
      </w:r>
      <w:r>
        <w:rPr>
          <w:rtl/>
          <w:lang w:eastAsia="zh-TW"/>
        </w:rPr>
        <w:tab/>
        <w:t xml:space="preserve">ترحب اللجنة بالتدابير المتخذة لتسوية حالة الأشخاص </w:t>
      </w:r>
      <w:r w:rsidR="00796C15">
        <w:rPr>
          <w:rtl/>
          <w:lang w:eastAsia="zh-TW"/>
        </w:rPr>
        <w:t>”</w:t>
      </w:r>
      <w:r>
        <w:rPr>
          <w:rtl/>
          <w:lang w:eastAsia="zh-TW"/>
        </w:rPr>
        <w:t>غير محدَّدي الجنسية</w:t>
      </w:r>
      <w:r w:rsidR="00796C15">
        <w:rPr>
          <w:rtl/>
          <w:lang w:eastAsia="zh-TW"/>
        </w:rPr>
        <w:t>“</w:t>
      </w:r>
      <w:r>
        <w:rPr>
          <w:rtl/>
          <w:lang w:eastAsia="zh-TW"/>
        </w:rPr>
        <w:t>، بما في ذلك التعديلات المدخلة في عام 2015 على قانون الجنسية لمنح الأطفال غير محدَّدي الجنسية المولودين في إستونيا الحق في الحصول تلقائي</w:t>
      </w:r>
      <w:r w:rsidR="000921EE">
        <w:rPr>
          <w:rtl/>
          <w:lang w:eastAsia="zh-TW"/>
        </w:rPr>
        <w:t xml:space="preserve">اً </w:t>
      </w:r>
      <w:r>
        <w:rPr>
          <w:rtl/>
          <w:lang w:eastAsia="zh-TW"/>
        </w:rPr>
        <w:t xml:space="preserve">على الجنسية الإستونية، لكنها لا تزال تشعر بالقلق إزاء (أ) النطاق المحدود للتعديلات من حيث استبعادها لفئات معينة من الأطفال عديمي الجنسية؛ (ب) المتطلبات اللغوية الصارمة التي تشكل جزءاً من اختبارات التجنس؛ (ج) الأثر الضار الناشئ عن صفة </w:t>
      </w:r>
      <w:r w:rsidR="00796C15">
        <w:rPr>
          <w:rtl/>
          <w:lang w:eastAsia="zh-TW"/>
        </w:rPr>
        <w:t>”</w:t>
      </w:r>
      <w:r>
        <w:rPr>
          <w:rtl/>
          <w:lang w:eastAsia="zh-TW"/>
        </w:rPr>
        <w:t>غير محدَّد الجنسية</w:t>
      </w:r>
      <w:r w:rsidR="00796C15">
        <w:rPr>
          <w:rtl/>
          <w:lang w:eastAsia="zh-TW"/>
        </w:rPr>
        <w:t>“</w:t>
      </w:r>
      <w:r>
        <w:rPr>
          <w:rtl/>
          <w:lang w:eastAsia="zh-TW"/>
        </w:rPr>
        <w:t xml:space="preserve"> على حق المقيمين في البلد منذ أمد طويل في المشاركة السياسية (المواد ٢٤ و٢٥ و٢٦).</w:t>
      </w:r>
    </w:p>
    <w:p w:rsidR="003F3175" w:rsidRPr="00173CD7" w:rsidRDefault="003F3175" w:rsidP="003F3175">
      <w:pPr>
        <w:pStyle w:val="SingleTxtGA"/>
        <w:rPr>
          <w:b/>
          <w:bCs/>
          <w:rtl/>
          <w:lang w:eastAsia="zh-TW"/>
        </w:rPr>
      </w:pPr>
      <w:r>
        <w:rPr>
          <w:rtl/>
          <w:lang w:eastAsia="zh-TW"/>
        </w:rPr>
        <w:lastRenderedPageBreak/>
        <w:t>٣٦-</w:t>
      </w:r>
      <w:r>
        <w:rPr>
          <w:rtl/>
          <w:lang w:eastAsia="zh-TW"/>
        </w:rPr>
        <w:tab/>
      </w:r>
      <w:r>
        <w:rPr>
          <w:b/>
          <w:bCs/>
          <w:rtl/>
          <w:lang w:eastAsia="zh-TW"/>
        </w:rPr>
        <w:t>ينبغي للدولة الطرف أن تعزز جهودها الرامية إلى الحد من حالات انعدام الجنسية ومنعها، عن طريق معالجة الثغرات المتبقية، بسبل منها</w:t>
      </w:r>
      <w:r w:rsidRPr="000322FE">
        <w:rPr>
          <w:b/>
          <w:bCs/>
          <w:rtl/>
          <w:lang w:eastAsia="zh-TW"/>
        </w:rPr>
        <w:t>:</w:t>
      </w:r>
    </w:p>
    <w:p w:rsidR="003F3175" w:rsidRPr="00173CD7" w:rsidRDefault="003A7BC5" w:rsidP="003F3175">
      <w:pPr>
        <w:pStyle w:val="SingleTxtGA"/>
        <w:rPr>
          <w:b/>
          <w:bCs/>
          <w:rtl/>
          <w:lang w:eastAsia="zh-TW"/>
        </w:rPr>
      </w:pPr>
      <w:r>
        <w:rPr>
          <w:rtl/>
          <w:lang w:eastAsia="zh-TW"/>
        </w:rPr>
        <w:tab/>
        <w:t>(</w:t>
      </w:r>
      <w:r w:rsidR="003F3175">
        <w:rPr>
          <w:rtl/>
          <w:lang w:eastAsia="zh-TW"/>
        </w:rPr>
        <w:t>أ</w:t>
      </w:r>
      <w:r>
        <w:rPr>
          <w:rtl/>
          <w:lang w:eastAsia="zh-TW"/>
        </w:rPr>
        <w:t>)</w:t>
      </w:r>
      <w:r>
        <w:rPr>
          <w:rtl/>
          <w:lang w:eastAsia="zh-TW"/>
        </w:rPr>
        <w:tab/>
      </w:r>
      <w:r w:rsidR="003F3175">
        <w:rPr>
          <w:b/>
          <w:bCs/>
          <w:rtl/>
          <w:lang w:eastAsia="zh-TW"/>
        </w:rPr>
        <w:t xml:space="preserve">وضع إجراءات لتحديد حالات انعدام الجنسية بما يكفل التعرف على عديمي الجنسية بصورة منهجية وتقديم </w:t>
      </w:r>
      <w:r w:rsidR="003F3175" w:rsidRPr="000322FE">
        <w:rPr>
          <w:b/>
          <w:bCs/>
          <w:rtl/>
          <w:lang w:eastAsia="zh-TW"/>
        </w:rPr>
        <w:t>الحماية</w:t>
      </w:r>
      <w:r w:rsidR="003F3175">
        <w:rPr>
          <w:b/>
          <w:bCs/>
          <w:rtl/>
          <w:lang w:eastAsia="zh-TW"/>
        </w:rPr>
        <w:t xml:space="preserve"> إليهم</w:t>
      </w:r>
      <w:r w:rsidR="003F3175" w:rsidRPr="000322FE">
        <w:rPr>
          <w:b/>
          <w:bCs/>
          <w:rtl/>
          <w:lang w:eastAsia="zh-TW"/>
        </w:rPr>
        <w:t>؛</w:t>
      </w:r>
    </w:p>
    <w:p w:rsidR="003F3175" w:rsidRPr="00173CD7" w:rsidRDefault="003A7BC5" w:rsidP="003F3175">
      <w:pPr>
        <w:pStyle w:val="SingleTxtGA"/>
        <w:rPr>
          <w:b/>
          <w:bCs/>
          <w:rtl/>
          <w:lang w:eastAsia="zh-TW"/>
        </w:rPr>
      </w:pPr>
      <w:r>
        <w:rPr>
          <w:rtl/>
          <w:lang w:eastAsia="zh-TW"/>
        </w:rPr>
        <w:tab/>
        <w:t>(</w:t>
      </w:r>
      <w:r w:rsidR="003F3175">
        <w:rPr>
          <w:rtl/>
          <w:lang w:eastAsia="zh-TW"/>
        </w:rPr>
        <w:t>ب</w:t>
      </w:r>
      <w:r>
        <w:rPr>
          <w:rtl/>
          <w:lang w:eastAsia="zh-TW"/>
        </w:rPr>
        <w:t>)</w:t>
      </w:r>
      <w:r>
        <w:rPr>
          <w:rtl/>
          <w:lang w:eastAsia="zh-TW"/>
        </w:rPr>
        <w:tab/>
      </w:r>
      <w:r w:rsidR="003F3175">
        <w:rPr>
          <w:b/>
          <w:bCs/>
          <w:rtl/>
          <w:lang w:eastAsia="zh-TW"/>
        </w:rPr>
        <w:t xml:space="preserve">تيسير تجنيس </w:t>
      </w:r>
      <w:proofErr w:type="gramStart"/>
      <w:r w:rsidR="003F3175">
        <w:rPr>
          <w:b/>
          <w:bCs/>
          <w:rtl/>
          <w:lang w:eastAsia="zh-TW"/>
        </w:rPr>
        <w:t xml:space="preserve">الأشخاص </w:t>
      </w:r>
      <w:r w:rsidR="00796C15">
        <w:rPr>
          <w:b/>
          <w:bCs/>
          <w:rtl/>
          <w:lang w:eastAsia="zh-TW"/>
        </w:rPr>
        <w:t>”</w:t>
      </w:r>
      <w:r w:rsidR="003F3175">
        <w:rPr>
          <w:b/>
          <w:bCs/>
          <w:rtl/>
          <w:lang w:eastAsia="zh-TW"/>
        </w:rPr>
        <w:t>غير</w:t>
      </w:r>
      <w:proofErr w:type="gramEnd"/>
      <w:r w:rsidR="003F3175">
        <w:rPr>
          <w:b/>
          <w:bCs/>
          <w:rtl/>
          <w:lang w:eastAsia="zh-TW"/>
        </w:rPr>
        <w:t xml:space="preserve"> </w:t>
      </w:r>
      <w:r w:rsidR="003F3175" w:rsidRPr="000322FE">
        <w:rPr>
          <w:b/>
          <w:bCs/>
          <w:rtl/>
          <w:lang w:eastAsia="zh-TW"/>
        </w:rPr>
        <w:t>محد</w:t>
      </w:r>
      <w:r w:rsidR="003F3175">
        <w:rPr>
          <w:b/>
          <w:bCs/>
          <w:rtl/>
          <w:lang w:eastAsia="zh-TW"/>
        </w:rPr>
        <w:t>َّ</w:t>
      </w:r>
      <w:r w:rsidR="003F3175" w:rsidRPr="000322FE">
        <w:rPr>
          <w:b/>
          <w:bCs/>
          <w:rtl/>
          <w:lang w:eastAsia="zh-TW"/>
        </w:rPr>
        <w:t>دي</w:t>
      </w:r>
      <w:r w:rsidR="003F3175">
        <w:rPr>
          <w:b/>
          <w:bCs/>
          <w:rtl/>
          <w:lang w:eastAsia="zh-TW"/>
        </w:rPr>
        <w:t xml:space="preserve"> </w:t>
      </w:r>
      <w:r w:rsidR="003F3175" w:rsidRPr="000322FE">
        <w:rPr>
          <w:b/>
          <w:bCs/>
          <w:rtl/>
          <w:lang w:eastAsia="zh-TW"/>
        </w:rPr>
        <w:t>الجنسية</w:t>
      </w:r>
      <w:r w:rsidR="00796C15">
        <w:rPr>
          <w:b/>
          <w:bCs/>
          <w:rtl/>
          <w:lang w:eastAsia="zh-TW"/>
        </w:rPr>
        <w:t>“</w:t>
      </w:r>
      <w:r w:rsidR="003F3175">
        <w:rPr>
          <w:b/>
          <w:bCs/>
          <w:rtl/>
          <w:lang w:eastAsia="zh-TW"/>
        </w:rPr>
        <w:t xml:space="preserve"> </w:t>
      </w:r>
      <w:r w:rsidR="003F3175" w:rsidRPr="000322FE">
        <w:rPr>
          <w:b/>
          <w:bCs/>
          <w:rtl/>
          <w:lang w:eastAsia="zh-TW"/>
        </w:rPr>
        <w:t>وإزالة</w:t>
      </w:r>
      <w:r w:rsidR="003F3175">
        <w:rPr>
          <w:b/>
          <w:bCs/>
          <w:rtl/>
          <w:lang w:eastAsia="zh-TW"/>
        </w:rPr>
        <w:t xml:space="preserve"> </w:t>
      </w:r>
      <w:r w:rsidR="003F3175" w:rsidRPr="000322FE">
        <w:rPr>
          <w:b/>
          <w:bCs/>
          <w:rtl/>
          <w:lang w:eastAsia="zh-TW"/>
        </w:rPr>
        <w:t>الحواجز</w:t>
      </w:r>
      <w:r w:rsidR="003F3175">
        <w:rPr>
          <w:b/>
          <w:bCs/>
          <w:rtl/>
          <w:lang w:eastAsia="zh-TW"/>
        </w:rPr>
        <w:t xml:space="preserve"> المفرطة التي تعو</w:t>
      </w:r>
      <w:r w:rsidR="003F3175" w:rsidRPr="000322FE">
        <w:rPr>
          <w:b/>
          <w:bCs/>
          <w:rtl/>
          <w:lang w:eastAsia="zh-TW"/>
        </w:rPr>
        <w:t>ق</w:t>
      </w:r>
      <w:r w:rsidR="003F3175">
        <w:rPr>
          <w:b/>
          <w:bCs/>
          <w:rtl/>
          <w:lang w:eastAsia="zh-TW"/>
        </w:rPr>
        <w:t xml:space="preserve"> هذه </w:t>
      </w:r>
      <w:r w:rsidR="003F3175" w:rsidRPr="000322FE">
        <w:rPr>
          <w:b/>
          <w:bCs/>
          <w:rtl/>
          <w:lang w:eastAsia="zh-TW"/>
        </w:rPr>
        <w:t>العملية؛</w:t>
      </w:r>
      <w:r w:rsidR="003F3175">
        <w:rPr>
          <w:rtl/>
          <w:lang w:eastAsia="zh-TW"/>
        </w:rPr>
        <w:t xml:space="preserve"> </w:t>
      </w:r>
    </w:p>
    <w:p w:rsidR="003F3175" w:rsidRPr="000322FE" w:rsidRDefault="003A7BC5" w:rsidP="003F3175">
      <w:pPr>
        <w:pStyle w:val="SingleTxtGA"/>
        <w:rPr>
          <w:b/>
          <w:bCs/>
          <w:rtl/>
          <w:lang w:eastAsia="zh-TW"/>
        </w:rPr>
      </w:pPr>
      <w:r>
        <w:rPr>
          <w:rtl/>
          <w:lang w:eastAsia="zh-TW"/>
        </w:rPr>
        <w:tab/>
        <w:t>(</w:t>
      </w:r>
      <w:r w:rsidR="003F3175">
        <w:rPr>
          <w:rtl/>
          <w:lang w:eastAsia="zh-TW"/>
        </w:rPr>
        <w:t>ج</w:t>
      </w:r>
      <w:r>
        <w:rPr>
          <w:rtl/>
          <w:lang w:eastAsia="zh-TW"/>
        </w:rPr>
        <w:t>)</w:t>
      </w:r>
      <w:r>
        <w:rPr>
          <w:rtl/>
          <w:lang w:eastAsia="zh-TW"/>
        </w:rPr>
        <w:tab/>
      </w:r>
      <w:r w:rsidR="003F3175">
        <w:rPr>
          <w:b/>
          <w:bCs/>
          <w:rtl/>
          <w:lang w:eastAsia="zh-TW"/>
        </w:rPr>
        <w:t xml:space="preserve">كفالة </w:t>
      </w:r>
      <w:r w:rsidR="003F3175" w:rsidRPr="000322FE">
        <w:rPr>
          <w:b/>
          <w:bCs/>
          <w:rtl/>
          <w:lang w:eastAsia="zh-TW"/>
        </w:rPr>
        <w:t>أن</w:t>
      </w:r>
      <w:r w:rsidR="003F3175">
        <w:rPr>
          <w:b/>
          <w:bCs/>
          <w:rtl/>
          <w:lang w:eastAsia="zh-TW"/>
        </w:rPr>
        <w:t xml:space="preserve"> </w:t>
      </w:r>
      <w:r w:rsidR="003F3175" w:rsidRPr="000322FE">
        <w:rPr>
          <w:b/>
          <w:bCs/>
          <w:rtl/>
          <w:lang w:eastAsia="zh-TW"/>
        </w:rPr>
        <w:t>يكون</w:t>
      </w:r>
      <w:r w:rsidR="003F3175">
        <w:rPr>
          <w:b/>
          <w:bCs/>
          <w:rtl/>
          <w:lang w:eastAsia="zh-TW"/>
        </w:rPr>
        <w:t xml:space="preserve"> </w:t>
      </w:r>
      <w:r w:rsidR="003F3175" w:rsidRPr="000322FE">
        <w:rPr>
          <w:b/>
          <w:bCs/>
          <w:rtl/>
          <w:lang w:eastAsia="zh-TW"/>
        </w:rPr>
        <w:t>لكل</w:t>
      </w:r>
      <w:r w:rsidR="003F3175">
        <w:rPr>
          <w:b/>
          <w:bCs/>
          <w:rtl/>
          <w:lang w:eastAsia="zh-TW"/>
        </w:rPr>
        <w:t xml:space="preserve"> </w:t>
      </w:r>
      <w:r w:rsidR="003F3175" w:rsidRPr="000322FE">
        <w:rPr>
          <w:b/>
          <w:bCs/>
          <w:rtl/>
          <w:lang w:eastAsia="zh-TW"/>
        </w:rPr>
        <w:t>طفل</w:t>
      </w:r>
      <w:r w:rsidR="003F3175">
        <w:rPr>
          <w:b/>
          <w:bCs/>
          <w:rtl/>
          <w:lang w:eastAsia="zh-TW"/>
        </w:rPr>
        <w:t xml:space="preserve"> </w:t>
      </w:r>
      <w:r w:rsidR="003F3175" w:rsidRPr="000322FE">
        <w:rPr>
          <w:b/>
          <w:bCs/>
          <w:rtl/>
          <w:lang w:eastAsia="zh-TW"/>
        </w:rPr>
        <w:t>جنسية،</w:t>
      </w:r>
      <w:r w:rsidR="003F3175">
        <w:rPr>
          <w:b/>
          <w:bCs/>
          <w:rtl/>
          <w:lang w:eastAsia="zh-TW"/>
        </w:rPr>
        <w:t xml:space="preserve"> </w:t>
      </w:r>
      <w:r w:rsidR="003F3175" w:rsidRPr="000322FE">
        <w:rPr>
          <w:b/>
          <w:bCs/>
          <w:rtl/>
          <w:lang w:eastAsia="zh-TW"/>
        </w:rPr>
        <w:t>وفق</w:t>
      </w:r>
      <w:r w:rsidR="000921EE">
        <w:rPr>
          <w:b/>
          <w:bCs/>
          <w:rtl/>
          <w:lang w:eastAsia="zh-TW"/>
        </w:rPr>
        <w:t xml:space="preserve">اً </w:t>
      </w:r>
      <w:r w:rsidR="003F3175" w:rsidRPr="000322FE">
        <w:rPr>
          <w:b/>
          <w:bCs/>
          <w:rtl/>
          <w:lang w:eastAsia="zh-TW"/>
        </w:rPr>
        <w:t>للمادة</w:t>
      </w:r>
      <w:r w:rsidR="003F3175">
        <w:rPr>
          <w:b/>
          <w:bCs/>
          <w:rtl/>
          <w:lang w:eastAsia="zh-TW"/>
        </w:rPr>
        <w:t xml:space="preserve"> </w:t>
      </w:r>
      <w:r w:rsidR="003F3175" w:rsidRPr="000322FE">
        <w:rPr>
          <w:b/>
          <w:bCs/>
          <w:rtl/>
          <w:lang w:eastAsia="zh-TW"/>
        </w:rPr>
        <w:t>٢٤</w:t>
      </w:r>
      <w:r w:rsidR="003F3175">
        <w:rPr>
          <w:b/>
          <w:bCs/>
          <w:rtl/>
          <w:lang w:eastAsia="zh-TW"/>
        </w:rPr>
        <w:t>(٣) من العهد، بسبل</w:t>
      </w:r>
      <w:r>
        <w:rPr>
          <w:rFonts w:hint="cs"/>
          <w:b/>
          <w:bCs/>
          <w:rtl/>
          <w:lang w:eastAsia="zh-TW"/>
        </w:rPr>
        <w:t> </w:t>
      </w:r>
      <w:r w:rsidR="003F3175">
        <w:rPr>
          <w:b/>
          <w:bCs/>
          <w:rtl/>
          <w:lang w:eastAsia="zh-TW"/>
        </w:rPr>
        <w:t xml:space="preserve">منها </w:t>
      </w:r>
      <w:r w:rsidR="003F3175" w:rsidRPr="000322FE">
        <w:rPr>
          <w:b/>
          <w:bCs/>
          <w:rtl/>
          <w:lang w:eastAsia="zh-TW"/>
        </w:rPr>
        <w:t>منح</w:t>
      </w:r>
      <w:r w:rsidR="003F3175">
        <w:rPr>
          <w:b/>
          <w:bCs/>
          <w:rtl/>
          <w:lang w:eastAsia="zh-TW"/>
        </w:rPr>
        <w:t xml:space="preserve"> </w:t>
      </w:r>
      <w:r w:rsidR="003F3175" w:rsidRPr="000322FE">
        <w:rPr>
          <w:b/>
          <w:bCs/>
          <w:rtl/>
          <w:lang w:eastAsia="zh-TW"/>
        </w:rPr>
        <w:t>الجنسية</w:t>
      </w:r>
      <w:r w:rsidR="003F3175">
        <w:rPr>
          <w:b/>
          <w:bCs/>
          <w:rtl/>
          <w:lang w:eastAsia="zh-TW"/>
        </w:rPr>
        <w:t xml:space="preserve"> </w:t>
      </w:r>
      <w:r w:rsidR="003F3175" w:rsidRPr="000322FE">
        <w:rPr>
          <w:b/>
          <w:bCs/>
          <w:rtl/>
          <w:lang w:eastAsia="zh-TW"/>
        </w:rPr>
        <w:t>للأطفال</w:t>
      </w:r>
      <w:r w:rsidR="003F3175">
        <w:rPr>
          <w:b/>
          <w:bCs/>
          <w:rtl/>
          <w:lang w:eastAsia="zh-TW"/>
        </w:rPr>
        <w:t xml:space="preserve"> </w:t>
      </w:r>
      <w:r w:rsidR="003F3175" w:rsidRPr="000322FE">
        <w:rPr>
          <w:b/>
          <w:bCs/>
          <w:rtl/>
          <w:lang w:eastAsia="zh-TW"/>
        </w:rPr>
        <w:t>عديمي</w:t>
      </w:r>
      <w:r w:rsidR="003F3175">
        <w:rPr>
          <w:b/>
          <w:bCs/>
          <w:rtl/>
          <w:lang w:eastAsia="zh-TW"/>
        </w:rPr>
        <w:t xml:space="preserve"> </w:t>
      </w:r>
      <w:r w:rsidR="003F3175" w:rsidRPr="000322FE">
        <w:rPr>
          <w:b/>
          <w:bCs/>
          <w:rtl/>
          <w:lang w:eastAsia="zh-TW"/>
        </w:rPr>
        <w:t>الجنسية</w:t>
      </w:r>
      <w:r w:rsidR="003F3175">
        <w:rPr>
          <w:b/>
          <w:bCs/>
          <w:rtl/>
          <w:lang w:eastAsia="zh-TW"/>
        </w:rPr>
        <w:t xml:space="preserve"> </w:t>
      </w:r>
      <w:r w:rsidR="003F3175" w:rsidRPr="000322FE">
        <w:rPr>
          <w:b/>
          <w:bCs/>
          <w:rtl/>
          <w:lang w:eastAsia="zh-TW"/>
        </w:rPr>
        <w:t>الذين</w:t>
      </w:r>
      <w:r w:rsidR="003F3175">
        <w:rPr>
          <w:b/>
          <w:bCs/>
          <w:rtl/>
          <w:lang w:eastAsia="zh-TW"/>
        </w:rPr>
        <w:t xml:space="preserve"> </w:t>
      </w:r>
      <w:r w:rsidR="003F3175" w:rsidRPr="000322FE">
        <w:rPr>
          <w:b/>
          <w:bCs/>
          <w:rtl/>
          <w:lang w:eastAsia="zh-TW"/>
        </w:rPr>
        <w:t>تتراوح</w:t>
      </w:r>
      <w:r w:rsidR="003F3175">
        <w:rPr>
          <w:b/>
          <w:bCs/>
          <w:rtl/>
          <w:lang w:eastAsia="zh-TW"/>
        </w:rPr>
        <w:t xml:space="preserve"> </w:t>
      </w:r>
      <w:r w:rsidR="003F3175" w:rsidRPr="000322FE">
        <w:rPr>
          <w:b/>
          <w:bCs/>
          <w:rtl/>
          <w:lang w:eastAsia="zh-TW"/>
        </w:rPr>
        <w:t>أعمارهم</w:t>
      </w:r>
      <w:r w:rsidR="003F3175">
        <w:rPr>
          <w:b/>
          <w:bCs/>
          <w:rtl/>
          <w:lang w:eastAsia="zh-TW"/>
        </w:rPr>
        <w:t xml:space="preserve"> في ١ كانون الثاني/يناير ٢٠١٦ </w:t>
      </w:r>
      <w:r w:rsidR="003F3175" w:rsidRPr="000322FE">
        <w:rPr>
          <w:b/>
          <w:bCs/>
          <w:rtl/>
          <w:lang w:eastAsia="zh-TW"/>
        </w:rPr>
        <w:t>بين</w:t>
      </w:r>
      <w:r w:rsidR="003F3175">
        <w:rPr>
          <w:b/>
          <w:bCs/>
          <w:rtl/>
          <w:lang w:eastAsia="zh-TW"/>
        </w:rPr>
        <w:t xml:space="preserve"> </w:t>
      </w:r>
      <w:r w:rsidR="003F3175" w:rsidRPr="000322FE">
        <w:rPr>
          <w:b/>
          <w:bCs/>
          <w:rtl/>
          <w:lang w:eastAsia="zh-TW"/>
        </w:rPr>
        <w:t>١٥</w:t>
      </w:r>
      <w:r w:rsidR="003F3175">
        <w:rPr>
          <w:b/>
          <w:bCs/>
          <w:rtl/>
          <w:lang w:eastAsia="zh-TW"/>
        </w:rPr>
        <w:t xml:space="preserve"> و</w:t>
      </w:r>
      <w:r w:rsidR="003F3175" w:rsidRPr="000322FE">
        <w:rPr>
          <w:b/>
          <w:bCs/>
          <w:rtl/>
          <w:lang w:eastAsia="zh-TW"/>
        </w:rPr>
        <w:t>١٨</w:t>
      </w:r>
      <w:r w:rsidR="003F3175">
        <w:rPr>
          <w:b/>
          <w:bCs/>
          <w:rtl/>
          <w:lang w:eastAsia="zh-TW"/>
        </w:rPr>
        <w:t xml:space="preserve"> سنة، ول</w:t>
      </w:r>
      <w:r w:rsidR="003F3175" w:rsidRPr="000322FE">
        <w:rPr>
          <w:b/>
          <w:bCs/>
          <w:rtl/>
          <w:lang w:eastAsia="zh-TW"/>
        </w:rPr>
        <w:t>لأطفال</w:t>
      </w:r>
      <w:r w:rsidR="003F3175">
        <w:rPr>
          <w:b/>
          <w:bCs/>
          <w:rtl/>
          <w:lang w:eastAsia="zh-TW"/>
        </w:rPr>
        <w:t xml:space="preserve"> </w:t>
      </w:r>
      <w:r w:rsidR="003F3175" w:rsidRPr="000322FE">
        <w:rPr>
          <w:b/>
          <w:bCs/>
          <w:rtl/>
          <w:lang w:eastAsia="zh-TW"/>
        </w:rPr>
        <w:t>المولودين</w:t>
      </w:r>
      <w:r w:rsidR="003F3175">
        <w:rPr>
          <w:b/>
          <w:bCs/>
          <w:rtl/>
          <w:lang w:eastAsia="zh-TW"/>
        </w:rPr>
        <w:t xml:space="preserve"> </w:t>
      </w:r>
      <w:r w:rsidR="003F3175" w:rsidRPr="000322FE">
        <w:rPr>
          <w:b/>
          <w:bCs/>
          <w:rtl/>
          <w:lang w:eastAsia="zh-TW"/>
        </w:rPr>
        <w:t>لوالد</w:t>
      </w:r>
      <w:r w:rsidR="003F3175">
        <w:rPr>
          <w:b/>
          <w:bCs/>
          <w:rtl/>
          <w:lang w:eastAsia="zh-TW"/>
        </w:rPr>
        <w:t>َ</w:t>
      </w:r>
      <w:r w:rsidR="003F3175" w:rsidRPr="000322FE">
        <w:rPr>
          <w:b/>
          <w:bCs/>
          <w:rtl/>
          <w:lang w:eastAsia="zh-TW"/>
        </w:rPr>
        <w:t>ي</w:t>
      </w:r>
      <w:r w:rsidR="003F3175">
        <w:rPr>
          <w:b/>
          <w:bCs/>
          <w:rtl/>
          <w:lang w:eastAsia="zh-TW"/>
        </w:rPr>
        <w:t>ْ</w:t>
      </w:r>
      <w:r w:rsidR="003F3175" w:rsidRPr="000322FE">
        <w:rPr>
          <w:b/>
          <w:bCs/>
          <w:rtl/>
          <w:lang w:eastAsia="zh-TW"/>
        </w:rPr>
        <w:t>ن</w:t>
      </w:r>
      <w:r w:rsidR="003F3175">
        <w:rPr>
          <w:b/>
          <w:bCs/>
          <w:rtl/>
          <w:lang w:eastAsia="zh-TW"/>
        </w:rPr>
        <w:t xml:space="preserve"> عديمي الجنسية، بصرف النظر عن وضعهم </w:t>
      </w:r>
      <w:r w:rsidR="003F3175" w:rsidRPr="000322FE">
        <w:rPr>
          <w:b/>
          <w:bCs/>
          <w:rtl/>
          <w:lang w:eastAsia="zh-TW"/>
        </w:rPr>
        <w:t>القانوني.</w:t>
      </w:r>
      <w:r w:rsidR="003F3175">
        <w:rPr>
          <w:b/>
          <w:bCs/>
          <w:rtl/>
          <w:lang w:eastAsia="zh-TW"/>
        </w:rPr>
        <w:t xml:space="preserve"> </w:t>
      </w:r>
    </w:p>
    <w:p w:rsidR="003F3175" w:rsidRPr="008F66B4" w:rsidRDefault="003A7BC5" w:rsidP="003A7BC5">
      <w:pPr>
        <w:pStyle w:val="H23GA"/>
        <w:rPr>
          <w:rtl/>
        </w:rPr>
      </w:pPr>
      <w:r>
        <w:rPr>
          <w:rtl/>
        </w:rPr>
        <w:tab/>
      </w:r>
      <w:r>
        <w:rPr>
          <w:rtl/>
        </w:rPr>
        <w:tab/>
      </w:r>
      <w:r w:rsidR="003F3175" w:rsidRPr="008F66B4">
        <w:rPr>
          <w:rtl/>
        </w:rPr>
        <w:t>حقوق</w:t>
      </w:r>
      <w:r w:rsidR="003F3175">
        <w:rPr>
          <w:rtl/>
        </w:rPr>
        <w:t xml:space="preserve"> </w:t>
      </w:r>
      <w:r w:rsidR="003F3175" w:rsidRPr="008F66B4">
        <w:rPr>
          <w:rtl/>
        </w:rPr>
        <w:t>الأقليات</w:t>
      </w:r>
      <w:bookmarkStart w:id="16" w:name="_Toc6392603"/>
      <w:bookmarkEnd w:id="16"/>
    </w:p>
    <w:p w:rsidR="003F3175" w:rsidRPr="00B47CF0" w:rsidRDefault="003F3175" w:rsidP="003F3175">
      <w:pPr>
        <w:pStyle w:val="SingleTxtGA"/>
        <w:rPr>
          <w:rtl/>
          <w:lang w:eastAsia="zh-TW" w:bidi="ar-DZ"/>
        </w:rPr>
      </w:pPr>
      <w:r>
        <w:rPr>
          <w:rtl/>
          <w:lang w:eastAsia="zh-TW"/>
        </w:rPr>
        <w:t>٣٧-</w:t>
      </w:r>
      <w:r>
        <w:rPr>
          <w:rtl/>
          <w:lang w:eastAsia="zh-TW"/>
        </w:rPr>
        <w:tab/>
        <w:t>ترحب اللجنة بالتدابير المتخذة وبالتقدم المحرز فيما يتعلق بإدماج الأقلية الناطقة باللغة الروسية، بما في ذلك تحسين الكفاءة في اللغة الإستونية، ولكنها لا تزال تشعر بالقلق إزاء الثغرات المتبقية (</w:t>
      </w:r>
      <w:r w:rsidRPr="008F66B4">
        <w:rPr>
          <w:lang w:eastAsia="zh-TW"/>
        </w:rPr>
        <w:t>CCPR/C/EST/CO/3</w:t>
      </w:r>
      <w:r>
        <w:rPr>
          <w:rtl/>
          <w:lang w:eastAsia="zh-TW"/>
        </w:rPr>
        <w:t>، الفقرة 16)، وبخاصة الثغرات المتصلة بأثر السياسات المتعلقة باللغة والممارسات التي تم تنفيذها، وهو ما لا يزال يعوق التمتع الكامل بالحقوق في أوساط الأقلية الناطقة باللغة الروسية على قدم المساواة مع باقي السكان، وقد يؤدي إلى تمييز غير مباشر. وتشير اللجنة إلى الشواغل التي أعربت عنها اللجنة المعنية بالحقوق الاقتصادية والاجتماعية والثقافية فيما يتعلق بمعدلات البطالة المرتفعة (</w:t>
      </w:r>
      <w:r w:rsidRPr="008F66B4">
        <w:rPr>
          <w:lang w:eastAsia="zh-TW"/>
        </w:rPr>
        <w:t>E/C.12/EST/CO/3</w:t>
      </w:r>
      <w:r>
        <w:rPr>
          <w:rtl/>
          <w:lang w:eastAsia="zh-TW"/>
        </w:rPr>
        <w:t xml:space="preserve">، الفقرة 12)، والافتقار إلى المرونة في تنفيذ حصة قدرها ٦٠ في المائة من التعليم باللغة الإستونية في المدارس الثانوية للناطقين باللغة الروسية (انظر </w:t>
      </w:r>
      <w:r w:rsidRPr="00471C88">
        <w:t>E/C.12/EST/CO/3</w:t>
      </w:r>
      <w:r>
        <w:rPr>
          <w:rtl/>
          <w:lang w:eastAsia="zh-TW"/>
        </w:rPr>
        <w:t xml:space="preserve">، الفقرة 48(ز))، والنهج العقابي لإنفاذ القانون المتعلق باللغات (انظر </w:t>
      </w:r>
      <w:r w:rsidRPr="00471C88">
        <w:t>E/C.12/EST/CO/3</w:t>
      </w:r>
      <w:r>
        <w:rPr>
          <w:rtl/>
          <w:lang w:eastAsia="zh-TW"/>
        </w:rPr>
        <w:t>، الفقرة 50(أ)) (المادتان ٢٦ و٢٧)</w:t>
      </w:r>
      <w:r>
        <w:rPr>
          <w:rtl/>
          <w:lang w:eastAsia="zh-TW" w:bidi="ar-DZ"/>
        </w:rPr>
        <w:t>.</w:t>
      </w:r>
    </w:p>
    <w:p w:rsidR="003F3175" w:rsidRPr="00342B8B" w:rsidRDefault="003F3175" w:rsidP="003F3175">
      <w:pPr>
        <w:pStyle w:val="SingleTxtGA"/>
        <w:rPr>
          <w:b/>
          <w:bCs/>
          <w:rtl/>
          <w:lang w:eastAsia="zh-TW"/>
        </w:rPr>
      </w:pPr>
      <w:r>
        <w:rPr>
          <w:rtl/>
          <w:lang w:eastAsia="zh-TW"/>
        </w:rPr>
        <w:t>٣٨-</w:t>
      </w:r>
      <w:r>
        <w:rPr>
          <w:rtl/>
          <w:lang w:eastAsia="zh-TW"/>
        </w:rPr>
        <w:tab/>
      </w:r>
      <w:r w:rsidRPr="00B47CF0">
        <w:rPr>
          <w:b/>
          <w:bCs/>
          <w:rtl/>
          <w:lang w:eastAsia="zh-TW"/>
        </w:rPr>
        <w:t>ينبغي</w:t>
      </w:r>
      <w:r>
        <w:rPr>
          <w:b/>
          <w:bCs/>
          <w:rtl/>
          <w:lang w:eastAsia="zh-TW"/>
        </w:rPr>
        <w:t xml:space="preserve"> </w:t>
      </w:r>
      <w:r w:rsidRPr="00B47CF0">
        <w:rPr>
          <w:b/>
          <w:bCs/>
          <w:rtl/>
          <w:lang w:eastAsia="zh-TW"/>
        </w:rPr>
        <w:t>للدولة</w:t>
      </w:r>
      <w:r>
        <w:rPr>
          <w:b/>
          <w:bCs/>
          <w:rtl/>
          <w:lang w:eastAsia="zh-TW"/>
        </w:rPr>
        <w:t xml:space="preserve"> </w:t>
      </w:r>
      <w:r w:rsidRPr="00B47CF0">
        <w:rPr>
          <w:b/>
          <w:bCs/>
          <w:rtl/>
          <w:lang w:eastAsia="zh-TW"/>
        </w:rPr>
        <w:t>الطرف</w:t>
      </w:r>
      <w:r>
        <w:rPr>
          <w:b/>
          <w:bCs/>
          <w:rtl/>
          <w:lang w:eastAsia="zh-TW"/>
        </w:rPr>
        <w:t xml:space="preserve"> </w:t>
      </w:r>
      <w:r w:rsidRPr="00B47CF0">
        <w:rPr>
          <w:b/>
          <w:bCs/>
          <w:rtl/>
          <w:lang w:eastAsia="zh-TW"/>
        </w:rPr>
        <w:t>أن</w:t>
      </w:r>
      <w:r>
        <w:rPr>
          <w:b/>
          <w:bCs/>
          <w:rtl/>
          <w:lang w:eastAsia="zh-TW"/>
        </w:rPr>
        <w:t xml:space="preserve"> </w:t>
      </w:r>
      <w:r w:rsidRPr="00B47CF0">
        <w:rPr>
          <w:b/>
          <w:bCs/>
          <w:rtl/>
          <w:lang w:eastAsia="zh-TW"/>
        </w:rPr>
        <w:t>تعزز</w:t>
      </w:r>
      <w:r>
        <w:rPr>
          <w:b/>
          <w:bCs/>
          <w:rtl/>
          <w:lang w:eastAsia="zh-TW"/>
        </w:rPr>
        <w:t xml:space="preserve"> </w:t>
      </w:r>
      <w:r w:rsidRPr="00B47CF0">
        <w:rPr>
          <w:b/>
          <w:bCs/>
          <w:rtl/>
          <w:lang w:eastAsia="zh-TW"/>
        </w:rPr>
        <w:t>التدابير</w:t>
      </w:r>
      <w:r>
        <w:rPr>
          <w:b/>
          <w:bCs/>
          <w:rtl/>
          <w:lang w:eastAsia="zh-TW"/>
        </w:rPr>
        <w:t xml:space="preserve"> </w:t>
      </w:r>
      <w:r w:rsidRPr="00B47CF0">
        <w:rPr>
          <w:b/>
          <w:bCs/>
          <w:rtl/>
          <w:lang w:eastAsia="zh-TW"/>
        </w:rPr>
        <w:t>التشريعية</w:t>
      </w:r>
      <w:r>
        <w:rPr>
          <w:b/>
          <w:bCs/>
          <w:rtl/>
          <w:lang w:eastAsia="zh-TW"/>
        </w:rPr>
        <w:t xml:space="preserve"> </w:t>
      </w:r>
      <w:r w:rsidRPr="00B47CF0">
        <w:rPr>
          <w:b/>
          <w:bCs/>
          <w:rtl/>
          <w:lang w:eastAsia="zh-TW"/>
        </w:rPr>
        <w:t>والسياساتية</w:t>
      </w:r>
      <w:r>
        <w:rPr>
          <w:b/>
          <w:bCs/>
          <w:rtl/>
          <w:lang w:eastAsia="zh-TW"/>
        </w:rPr>
        <w:t xml:space="preserve"> الرامية إلى التصدي بفعالية لأثر </w:t>
      </w:r>
      <w:r w:rsidRPr="00B47CF0">
        <w:rPr>
          <w:b/>
          <w:bCs/>
          <w:rtl/>
          <w:lang w:eastAsia="zh-TW"/>
        </w:rPr>
        <w:t>السياسات</w:t>
      </w:r>
      <w:r>
        <w:rPr>
          <w:b/>
          <w:bCs/>
          <w:rtl/>
          <w:lang w:eastAsia="zh-TW"/>
        </w:rPr>
        <w:t xml:space="preserve"> </w:t>
      </w:r>
      <w:r w:rsidRPr="00B47CF0">
        <w:rPr>
          <w:b/>
          <w:bCs/>
          <w:rtl/>
          <w:lang w:eastAsia="zh-TW"/>
        </w:rPr>
        <w:t>والممارسات</w:t>
      </w:r>
      <w:r>
        <w:rPr>
          <w:b/>
          <w:bCs/>
          <w:rtl/>
          <w:lang w:eastAsia="zh-TW"/>
        </w:rPr>
        <w:t xml:space="preserve"> المتعلقة باللغة التي قد تسهم على نحو غير مباشر </w:t>
      </w:r>
      <w:r w:rsidRPr="00B47CF0">
        <w:rPr>
          <w:b/>
          <w:bCs/>
          <w:rtl/>
          <w:lang w:eastAsia="zh-TW"/>
        </w:rPr>
        <w:t>في</w:t>
      </w:r>
      <w:r>
        <w:rPr>
          <w:b/>
          <w:bCs/>
          <w:rtl/>
          <w:lang w:eastAsia="zh-TW"/>
        </w:rPr>
        <w:t xml:space="preserve"> </w:t>
      </w:r>
      <w:r w:rsidRPr="00B47CF0">
        <w:rPr>
          <w:b/>
          <w:bCs/>
          <w:rtl/>
          <w:lang w:eastAsia="zh-TW"/>
        </w:rPr>
        <w:t>عدم</w:t>
      </w:r>
      <w:r>
        <w:rPr>
          <w:b/>
          <w:bCs/>
          <w:rtl/>
          <w:lang w:eastAsia="zh-TW"/>
        </w:rPr>
        <w:t xml:space="preserve"> </w:t>
      </w:r>
      <w:r w:rsidRPr="00B47CF0">
        <w:rPr>
          <w:b/>
          <w:bCs/>
          <w:rtl/>
          <w:lang w:eastAsia="zh-TW"/>
        </w:rPr>
        <w:t>المساواة</w:t>
      </w:r>
      <w:r>
        <w:rPr>
          <w:b/>
          <w:bCs/>
          <w:rtl/>
          <w:lang w:eastAsia="zh-TW"/>
        </w:rPr>
        <w:t xml:space="preserve"> </w:t>
      </w:r>
      <w:r w:rsidRPr="00B47CF0">
        <w:rPr>
          <w:b/>
          <w:bCs/>
          <w:rtl/>
          <w:lang w:eastAsia="zh-TW"/>
        </w:rPr>
        <w:t>في</w:t>
      </w:r>
      <w:r>
        <w:rPr>
          <w:b/>
          <w:bCs/>
          <w:rtl/>
          <w:lang w:eastAsia="zh-TW"/>
        </w:rPr>
        <w:t xml:space="preserve"> </w:t>
      </w:r>
      <w:r w:rsidRPr="00B47CF0">
        <w:rPr>
          <w:b/>
          <w:bCs/>
          <w:rtl/>
          <w:lang w:eastAsia="zh-TW"/>
        </w:rPr>
        <w:t>معاملة</w:t>
      </w:r>
      <w:r>
        <w:rPr>
          <w:b/>
          <w:bCs/>
          <w:rtl/>
          <w:lang w:eastAsia="zh-TW"/>
        </w:rPr>
        <w:t xml:space="preserve"> </w:t>
      </w:r>
      <w:r w:rsidRPr="00B47CF0">
        <w:rPr>
          <w:b/>
          <w:bCs/>
          <w:rtl/>
          <w:lang w:eastAsia="zh-TW"/>
        </w:rPr>
        <w:t>الأقلية</w:t>
      </w:r>
      <w:r>
        <w:rPr>
          <w:b/>
          <w:bCs/>
          <w:rtl/>
          <w:lang w:eastAsia="zh-TW"/>
        </w:rPr>
        <w:t xml:space="preserve"> </w:t>
      </w:r>
      <w:r w:rsidRPr="00B47CF0">
        <w:rPr>
          <w:b/>
          <w:bCs/>
          <w:rtl/>
          <w:lang w:eastAsia="zh-TW"/>
        </w:rPr>
        <w:t>الناطقة</w:t>
      </w:r>
      <w:r>
        <w:rPr>
          <w:b/>
          <w:bCs/>
          <w:rtl/>
          <w:lang w:eastAsia="zh-TW"/>
        </w:rPr>
        <w:t xml:space="preserve"> </w:t>
      </w:r>
      <w:r w:rsidRPr="00B47CF0">
        <w:rPr>
          <w:b/>
          <w:bCs/>
          <w:rtl/>
          <w:lang w:eastAsia="zh-TW"/>
        </w:rPr>
        <w:t>بال</w:t>
      </w:r>
      <w:r>
        <w:rPr>
          <w:b/>
          <w:bCs/>
          <w:rtl/>
          <w:lang w:eastAsia="zh-TW"/>
        </w:rPr>
        <w:t>لغة ال</w:t>
      </w:r>
      <w:r w:rsidRPr="00B47CF0">
        <w:rPr>
          <w:b/>
          <w:bCs/>
          <w:rtl/>
          <w:lang w:eastAsia="zh-TW"/>
        </w:rPr>
        <w:t>روسية.</w:t>
      </w:r>
      <w:r>
        <w:rPr>
          <w:b/>
          <w:bCs/>
          <w:rtl/>
          <w:lang w:eastAsia="zh-TW"/>
        </w:rPr>
        <w:t xml:space="preserve"> </w:t>
      </w:r>
      <w:r w:rsidRPr="00B47CF0">
        <w:rPr>
          <w:b/>
          <w:bCs/>
          <w:rtl/>
          <w:lang w:eastAsia="zh-TW"/>
        </w:rPr>
        <w:t>وينبغي</w:t>
      </w:r>
      <w:r>
        <w:rPr>
          <w:b/>
          <w:bCs/>
          <w:rtl/>
          <w:lang w:eastAsia="zh-TW"/>
        </w:rPr>
        <w:t xml:space="preserve"> لها </w:t>
      </w:r>
      <w:r w:rsidRPr="00B47CF0">
        <w:rPr>
          <w:b/>
          <w:bCs/>
          <w:rtl/>
          <w:lang w:eastAsia="zh-TW"/>
        </w:rPr>
        <w:t>أيض</w:t>
      </w:r>
      <w:r w:rsidR="000921EE">
        <w:rPr>
          <w:b/>
          <w:bCs/>
          <w:rtl/>
          <w:lang w:eastAsia="zh-TW"/>
        </w:rPr>
        <w:t xml:space="preserve">اً </w:t>
      </w:r>
      <w:r w:rsidRPr="00B47CF0">
        <w:rPr>
          <w:b/>
          <w:bCs/>
          <w:rtl/>
          <w:lang w:eastAsia="zh-TW"/>
        </w:rPr>
        <w:t>أن</w:t>
      </w:r>
      <w:r>
        <w:rPr>
          <w:b/>
          <w:bCs/>
          <w:rtl/>
          <w:lang w:eastAsia="zh-TW"/>
        </w:rPr>
        <w:t xml:space="preserve"> </w:t>
      </w:r>
      <w:r w:rsidRPr="00B47CF0">
        <w:rPr>
          <w:b/>
          <w:bCs/>
          <w:rtl/>
          <w:lang w:eastAsia="zh-TW"/>
        </w:rPr>
        <w:t>تواصل</w:t>
      </w:r>
      <w:r>
        <w:rPr>
          <w:b/>
          <w:bCs/>
          <w:rtl/>
          <w:lang w:eastAsia="zh-TW"/>
        </w:rPr>
        <w:t xml:space="preserve"> </w:t>
      </w:r>
      <w:r w:rsidRPr="00B47CF0">
        <w:rPr>
          <w:b/>
          <w:bCs/>
          <w:rtl/>
          <w:lang w:eastAsia="zh-TW"/>
        </w:rPr>
        <w:t>اتباع</w:t>
      </w:r>
      <w:r>
        <w:rPr>
          <w:b/>
          <w:bCs/>
          <w:rtl/>
          <w:lang w:eastAsia="zh-TW"/>
        </w:rPr>
        <w:t xml:space="preserve"> </w:t>
      </w:r>
      <w:r w:rsidRPr="00B47CF0">
        <w:rPr>
          <w:b/>
          <w:bCs/>
          <w:rtl/>
          <w:lang w:eastAsia="zh-TW"/>
        </w:rPr>
        <w:t>سياسات</w:t>
      </w:r>
      <w:r>
        <w:rPr>
          <w:b/>
          <w:bCs/>
          <w:rtl/>
          <w:lang w:eastAsia="zh-TW"/>
        </w:rPr>
        <w:t xml:space="preserve"> </w:t>
      </w:r>
      <w:r w:rsidRPr="00B47CF0">
        <w:rPr>
          <w:b/>
          <w:bCs/>
          <w:rtl/>
          <w:lang w:eastAsia="zh-TW"/>
        </w:rPr>
        <w:t>تعزيز</w:t>
      </w:r>
      <w:r>
        <w:rPr>
          <w:b/>
          <w:bCs/>
          <w:rtl/>
          <w:lang w:eastAsia="zh-TW"/>
        </w:rPr>
        <w:t xml:space="preserve"> </w:t>
      </w:r>
      <w:r w:rsidRPr="00B47CF0">
        <w:rPr>
          <w:b/>
          <w:bCs/>
          <w:rtl/>
          <w:lang w:eastAsia="zh-TW"/>
        </w:rPr>
        <w:t>الثقة</w:t>
      </w:r>
      <w:r>
        <w:rPr>
          <w:b/>
          <w:bCs/>
          <w:rtl/>
          <w:lang w:eastAsia="zh-TW"/>
        </w:rPr>
        <w:t xml:space="preserve"> في مؤسسات الدولة، وأن تنهض ب</w:t>
      </w:r>
      <w:r w:rsidRPr="00B47CF0">
        <w:rPr>
          <w:b/>
          <w:bCs/>
          <w:rtl/>
          <w:lang w:eastAsia="zh-TW"/>
        </w:rPr>
        <w:t>الإدماج</w:t>
      </w:r>
      <w:r>
        <w:rPr>
          <w:b/>
          <w:bCs/>
          <w:rtl/>
          <w:lang w:eastAsia="zh-TW"/>
        </w:rPr>
        <w:t xml:space="preserve"> </w:t>
      </w:r>
      <w:r w:rsidRPr="00B47CF0">
        <w:rPr>
          <w:b/>
          <w:bCs/>
          <w:rtl/>
          <w:lang w:eastAsia="zh-TW"/>
        </w:rPr>
        <w:t>الاجتماعي</w:t>
      </w:r>
      <w:r>
        <w:rPr>
          <w:b/>
          <w:bCs/>
          <w:rtl/>
          <w:lang w:eastAsia="zh-TW"/>
        </w:rPr>
        <w:t xml:space="preserve"> وتقوّيه</w:t>
      </w:r>
      <w:r w:rsidRPr="00B47CF0">
        <w:rPr>
          <w:b/>
          <w:bCs/>
          <w:rtl/>
          <w:lang w:eastAsia="zh-TW"/>
        </w:rPr>
        <w:t>.</w:t>
      </w:r>
      <w:r>
        <w:rPr>
          <w:b/>
          <w:bCs/>
          <w:rtl/>
          <w:lang w:eastAsia="zh-TW"/>
        </w:rPr>
        <w:t xml:space="preserve"> وتكرر اللجنة تأكيد </w:t>
      </w:r>
      <w:r w:rsidRPr="00B47CF0">
        <w:rPr>
          <w:b/>
          <w:bCs/>
          <w:rtl/>
          <w:lang w:eastAsia="zh-TW"/>
        </w:rPr>
        <w:t>التوصيات</w:t>
      </w:r>
      <w:r>
        <w:rPr>
          <w:b/>
          <w:bCs/>
          <w:rtl/>
          <w:lang w:eastAsia="zh-TW"/>
        </w:rPr>
        <w:t xml:space="preserve"> المقدمة </w:t>
      </w:r>
      <w:r w:rsidRPr="00B47CF0">
        <w:rPr>
          <w:b/>
          <w:bCs/>
          <w:rtl/>
          <w:lang w:eastAsia="zh-TW"/>
        </w:rPr>
        <w:t>في</w:t>
      </w:r>
      <w:r>
        <w:rPr>
          <w:b/>
          <w:bCs/>
          <w:rtl/>
          <w:lang w:eastAsia="zh-TW"/>
        </w:rPr>
        <w:t xml:space="preserve"> </w:t>
      </w:r>
      <w:r w:rsidRPr="00B47CF0">
        <w:rPr>
          <w:b/>
          <w:bCs/>
          <w:rtl/>
          <w:lang w:eastAsia="zh-TW"/>
        </w:rPr>
        <w:t>آذار/مارس</w:t>
      </w:r>
      <w:r>
        <w:rPr>
          <w:b/>
          <w:bCs/>
          <w:rtl/>
          <w:lang w:eastAsia="zh-TW"/>
        </w:rPr>
        <w:t xml:space="preserve"> </w:t>
      </w:r>
      <w:r w:rsidRPr="00B47CF0">
        <w:rPr>
          <w:b/>
          <w:bCs/>
          <w:rtl/>
          <w:lang w:eastAsia="zh-TW"/>
        </w:rPr>
        <w:t>٢٠١٩</w:t>
      </w:r>
      <w:r>
        <w:rPr>
          <w:b/>
          <w:bCs/>
          <w:rtl/>
          <w:lang w:eastAsia="zh-TW"/>
        </w:rPr>
        <w:t xml:space="preserve"> من </w:t>
      </w:r>
      <w:r w:rsidRPr="00B47CF0">
        <w:rPr>
          <w:b/>
          <w:bCs/>
          <w:rtl/>
          <w:lang w:eastAsia="zh-TW"/>
        </w:rPr>
        <w:t>اللجنة</w:t>
      </w:r>
      <w:r>
        <w:rPr>
          <w:b/>
          <w:bCs/>
          <w:rtl/>
          <w:lang w:eastAsia="zh-TW"/>
        </w:rPr>
        <w:t xml:space="preserve"> </w:t>
      </w:r>
      <w:r w:rsidRPr="00B47CF0">
        <w:rPr>
          <w:b/>
          <w:bCs/>
          <w:rtl/>
          <w:lang w:eastAsia="zh-TW"/>
        </w:rPr>
        <w:t>المعنية</w:t>
      </w:r>
      <w:r>
        <w:rPr>
          <w:b/>
          <w:bCs/>
          <w:rtl/>
          <w:lang w:eastAsia="zh-TW"/>
        </w:rPr>
        <w:t xml:space="preserve"> </w:t>
      </w:r>
      <w:r w:rsidRPr="00B47CF0">
        <w:rPr>
          <w:b/>
          <w:bCs/>
          <w:rtl/>
          <w:lang w:eastAsia="zh-TW"/>
        </w:rPr>
        <w:t>بالحقوق</w:t>
      </w:r>
      <w:r>
        <w:rPr>
          <w:b/>
          <w:bCs/>
          <w:rtl/>
          <w:lang w:eastAsia="zh-TW"/>
        </w:rPr>
        <w:t xml:space="preserve"> </w:t>
      </w:r>
      <w:r w:rsidRPr="00B47CF0">
        <w:rPr>
          <w:b/>
          <w:bCs/>
          <w:rtl/>
          <w:lang w:eastAsia="zh-TW"/>
        </w:rPr>
        <w:t>الاقتصادية</w:t>
      </w:r>
      <w:r>
        <w:rPr>
          <w:b/>
          <w:bCs/>
          <w:rtl/>
          <w:lang w:eastAsia="zh-TW"/>
        </w:rPr>
        <w:t xml:space="preserve"> </w:t>
      </w:r>
      <w:r w:rsidRPr="00B47CF0">
        <w:rPr>
          <w:b/>
          <w:bCs/>
          <w:rtl/>
          <w:lang w:eastAsia="zh-TW"/>
        </w:rPr>
        <w:t>والاجتماعية</w:t>
      </w:r>
      <w:r>
        <w:rPr>
          <w:b/>
          <w:bCs/>
          <w:rtl/>
          <w:lang w:eastAsia="zh-TW"/>
        </w:rPr>
        <w:t xml:space="preserve"> </w:t>
      </w:r>
      <w:r w:rsidRPr="00B47CF0">
        <w:rPr>
          <w:b/>
          <w:bCs/>
          <w:rtl/>
          <w:lang w:eastAsia="zh-TW"/>
        </w:rPr>
        <w:t>والثقافية</w:t>
      </w:r>
      <w:r>
        <w:rPr>
          <w:b/>
          <w:bCs/>
          <w:rtl/>
          <w:lang w:eastAsia="zh-TW"/>
        </w:rPr>
        <w:t xml:space="preserve"> (</w:t>
      </w:r>
      <w:r w:rsidRPr="00B47CF0">
        <w:rPr>
          <w:b/>
          <w:bCs/>
          <w:lang w:eastAsia="zh-TW"/>
        </w:rPr>
        <w:t>E/C.12/EST/CO/3</w:t>
      </w:r>
      <w:r>
        <w:rPr>
          <w:b/>
          <w:bCs/>
          <w:rtl/>
          <w:lang w:eastAsia="zh-TW"/>
        </w:rPr>
        <w:t xml:space="preserve">، الفقرات </w:t>
      </w:r>
      <w:r w:rsidRPr="00B47CF0">
        <w:rPr>
          <w:b/>
          <w:bCs/>
          <w:rtl/>
          <w:lang w:eastAsia="zh-TW"/>
        </w:rPr>
        <w:t>١٣</w:t>
      </w:r>
      <w:r>
        <w:rPr>
          <w:b/>
          <w:bCs/>
          <w:rtl/>
          <w:lang w:eastAsia="zh-TW"/>
        </w:rPr>
        <w:t xml:space="preserve"> و</w:t>
      </w:r>
      <w:r w:rsidRPr="00B47CF0">
        <w:rPr>
          <w:b/>
          <w:bCs/>
          <w:rtl/>
          <w:lang w:eastAsia="zh-TW"/>
        </w:rPr>
        <w:t>٤٩</w:t>
      </w:r>
      <w:r>
        <w:rPr>
          <w:b/>
          <w:bCs/>
          <w:rtl/>
          <w:lang w:eastAsia="zh-TW"/>
        </w:rPr>
        <w:t>(</w:t>
      </w:r>
      <w:r w:rsidRPr="00B47CF0">
        <w:rPr>
          <w:b/>
          <w:bCs/>
          <w:rtl/>
          <w:lang w:eastAsia="zh-TW"/>
        </w:rPr>
        <w:t>ز)</w:t>
      </w:r>
      <w:r>
        <w:rPr>
          <w:b/>
          <w:bCs/>
          <w:rtl/>
          <w:lang w:eastAsia="zh-TW"/>
        </w:rPr>
        <w:t xml:space="preserve"> و</w:t>
      </w:r>
      <w:r w:rsidRPr="00B47CF0">
        <w:rPr>
          <w:b/>
          <w:bCs/>
          <w:rtl/>
          <w:lang w:eastAsia="zh-TW"/>
        </w:rPr>
        <w:t>٥١</w:t>
      </w:r>
      <w:r>
        <w:rPr>
          <w:b/>
          <w:bCs/>
          <w:rtl/>
          <w:lang w:eastAsia="zh-TW"/>
        </w:rPr>
        <w:t>(</w:t>
      </w:r>
      <w:r w:rsidRPr="00B47CF0">
        <w:rPr>
          <w:b/>
          <w:bCs/>
          <w:rtl/>
          <w:lang w:eastAsia="zh-TW"/>
        </w:rPr>
        <w:t>أ))</w:t>
      </w:r>
    </w:p>
    <w:p w:rsidR="003F3175" w:rsidRPr="00342B8B" w:rsidRDefault="003A7BC5" w:rsidP="003A7BC5">
      <w:pPr>
        <w:pStyle w:val="H1GA"/>
        <w:rPr>
          <w:rtl/>
          <w:lang w:eastAsia="zh-TW"/>
        </w:rPr>
      </w:pPr>
      <w:r>
        <w:rPr>
          <w:rtl/>
          <w:lang w:eastAsia="zh-TW"/>
        </w:rPr>
        <w:tab/>
      </w:r>
      <w:r w:rsidR="003F3175" w:rsidRPr="00342B8B">
        <w:rPr>
          <w:rtl/>
          <w:lang w:eastAsia="zh-TW"/>
        </w:rPr>
        <w:t>دال</w:t>
      </w:r>
      <w:r w:rsidR="003F3175">
        <w:rPr>
          <w:rtl/>
          <w:lang w:eastAsia="zh-TW"/>
        </w:rPr>
        <w:t>-</w:t>
      </w:r>
      <w:r w:rsidR="003F3175">
        <w:rPr>
          <w:rtl/>
          <w:lang w:eastAsia="zh-TW"/>
        </w:rPr>
        <w:tab/>
      </w:r>
      <w:r w:rsidR="003F3175" w:rsidRPr="00342B8B">
        <w:rPr>
          <w:rtl/>
          <w:lang w:eastAsia="zh-TW"/>
        </w:rPr>
        <w:t>النشر</w:t>
      </w:r>
      <w:r w:rsidR="003F3175">
        <w:rPr>
          <w:rtl/>
          <w:lang w:eastAsia="zh-TW"/>
        </w:rPr>
        <w:t xml:space="preserve"> </w:t>
      </w:r>
      <w:r w:rsidR="003F3175" w:rsidRPr="00342B8B">
        <w:rPr>
          <w:rtl/>
          <w:lang w:eastAsia="zh-TW"/>
        </w:rPr>
        <w:t>والمتابعة</w:t>
      </w:r>
      <w:r w:rsidR="003F3175" w:rsidRPr="00342B8B">
        <w:rPr>
          <w:rFonts w:ascii="Arial" w:hAnsi="Arial" w:cs="Arial" w:hint="cs"/>
          <w:rtl/>
          <w:lang w:eastAsia="zh-TW"/>
        </w:rPr>
        <w:t>‬</w:t>
      </w:r>
      <w:r w:rsidR="003F3175" w:rsidRPr="00342B8B">
        <w:rPr>
          <w:rFonts w:ascii="Arial" w:hAnsi="Arial" w:cs="Arial" w:hint="cs"/>
          <w:rtl/>
          <w:lang w:eastAsia="zh-TW"/>
        </w:rPr>
        <w:t>‬</w:t>
      </w:r>
      <w:r w:rsidR="003F3175" w:rsidRPr="00342B8B">
        <w:rPr>
          <w:rFonts w:ascii="Arial" w:hAnsi="Arial" w:cs="Arial" w:hint="cs"/>
          <w:rtl/>
          <w:lang w:eastAsia="zh-TW"/>
        </w:rPr>
        <w:t>‬</w:t>
      </w:r>
      <w:r w:rsidR="003F3175" w:rsidRPr="00342B8B">
        <w:rPr>
          <w:rFonts w:ascii="Arial" w:hAnsi="Arial" w:cs="Arial" w:hint="cs"/>
          <w:rtl/>
          <w:lang w:eastAsia="zh-TW"/>
        </w:rPr>
        <w:t>‬</w:t>
      </w:r>
      <w:r w:rsidR="003F3175" w:rsidRPr="00342B8B">
        <w:rPr>
          <w:rFonts w:ascii="Arial" w:hAnsi="Arial" w:cs="Arial" w:hint="cs"/>
          <w:rtl/>
          <w:lang w:eastAsia="zh-TW"/>
        </w:rPr>
        <w:t>‬</w:t>
      </w:r>
      <w:r w:rsidR="003F3175" w:rsidRPr="00342B8B">
        <w:rPr>
          <w:rFonts w:ascii="Arial" w:hAnsi="Arial" w:cs="Arial" w:hint="cs"/>
          <w:rtl/>
          <w:lang w:eastAsia="zh-TW"/>
        </w:rPr>
        <w:t>‬</w:t>
      </w:r>
      <w:r w:rsidR="003F3175" w:rsidRPr="00342B8B">
        <w:rPr>
          <w:rFonts w:ascii="Arial" w:hAnsi="Arial" w:cs="Arial" w:hint="cs"/>
          <w:rtl/>
          <w:lang w:eastAsia="zh-TW"/>
        </w:rPr>
        <w:t>‬</w:t>
      </w:r>
      <w:bookmarkStart w:id="17" w:name="_Toc6392604"/>
      <w:bookmarkEnd w:id="17"/>
    </w:p>
    <w:p w:rsidR="003F3175" w:rsidRPr="00342B8B" w:rsidRDefault="003F3175" w:rsidP="003F3175">
      <w:pPr>
        <w:pStyle w:val="SingleTxtGA"/>
        <w:rPr>
          <w:b/>
          <w:bCs/>
          <w:rtl/>
          <w:lang w:eastAsia="zh-TW"/>
        </w:rPr>
      </w:pPr>
      <w:r>
        <w:rPr>
          <w:rtl/>
          <w:lang w:eastAsia="zh-TW"/>
        </w:rPr>
        <w:t>٣٩-</w:t>
      </w:r>
      <w:r>
        <w:rPr>
          <w:rtl/>
          <w:lang w:eastAsia="zh-TW"/>
        </w:rPr>
        <w:tab/>
      </w:r>
      <w:r w:rsidRPr="00342B8B">
        <w:rPr>
          <w:b/>
          <w:bCs/>
          <w:rtl/>
          <w:lang w:eastAsia="zh-TW"/>
        </w:rPr>
        <w:t>ينبغي</w:t>
      </w:r>
      <w:r>
        <w:rPr>
          <w:b/>
          <w:bCs/>
          <w:rtl/>
          <w:lang w:eastAsia="zh-TW"/>
        </w:rPr>
        <w:t xml:space="preserve"> </w:t>
      </w:r>
      <w:r w:rsidRPr="00342B8B">
        <w:rPr>
          <w:b/>
          <w:bCs/>
          <w:rtl/>
          <w:lang w:eastAsia="zh-TW"/>
        </w:rPr>
        <w:t>للدولة</w:t>
      </w:r>
      <w:r>
        <w:rPr>
          <w:b/>
          <w:bCs/>
          <w:rtl/>
          <w:lang w:eastAsia="zh-TW"/>
        </w:rPr>
        <w:t xml:space="preserve"> </w:t>
      </w:r>
      <w:r w:rsidRPr="00342B8B">
        <w:rPr>
          <w:b/>
          <w:bCs/>
          <w:rtl/>
          <w:lang w:eastAsia="zh-TW"/>
        </w:rPr>
        <w:t>الطرف</w:t>
      </w:r>
      <w:r>
        <w:rPr>
          <w:b/>
          <w:bCs/>
          <w:rtl/>
          <w:lang w:eastAsia="zh-TW"/>
        </w:rPr>
        <w:t xml:space="preserve"> </w:t>
      </w:r>
      <w:r w:rsidRPr="00342B8B">
        <w:rPr>
          <w:b/>
          <w:bCs/>
          <w:rtl/>
          <w:lang w:eastAsia="zh-TW"/>
        </w:rPr>
        <w:t>أن</w:t>
      </w:r>
      <w:r>
        <w:rPr>
          <w:b/>
          <w:bCs/>
          <w:rtl/>
          <w:lang w:eastAsia="zh-TW"/>
        </w:rPr>
        <w:t xml:space="preserve"> </w:t>
      </w:r>
      <w:r w:rsidRPr="00342B8B">
        <w:rPr>
          <w:b/>
          <w:bCs/>
          <w:rtl/>
          <w:lang w:eastAsia="zh-TW"/>
        </w:rPr>
        <w:t>تنشر</w:t>
      </w:r>
      <w:r>
        <w:rPr>
          <w:b/>
          <w:bCs/>
          <w:rtl/>
          <w:lang w:eastAsia="zh-TW"/>
        </w:rPr>
        <w:t xml:space="preserve"> </w:t>
      </w:r>
      <w:r w:rsidRPr="00342B8B">
        <w:rPr>
          <w:b/>
          <w:bCs/>
          <w:rtl/>
          <w:lang w:eastAsia="zh-TW"/>
        </w:rPr>
        <w:t>على</w:t>
      </w:r>
      <w:r>
        <w:rPr>
          <w:b/>
          <w:bCs/>
          <w:rtl/>
          <w:lang w:eastAsia="zh-TW"/>
        </w:rPr>
        <w:t xml:space="preserve"> </w:t>
      </w:r>
      <w:r w:rsidRPr="00342B8B">
        <w:rPr>
          <w:b/>
          <w:bCs/>
          <w:rtl/>
          <w:lang w:eastAsia="zh-TW"/>
        </w:rPr>
        <w:t>نطاق</w:t>
      </w:r>
      <w:r>
        <w:rPr>
          <w:b/>
          <w:bCs/>
          <w:rtl/>
          <w:lang w:eastAsia="zh-TW"/>
        </w:rPr>
        <w:t xml:space="preserve"> </w:t>
      </w:r>
      <w:r w:rsidRPr="00342B8B">
        <w:rPr>
          <w:b/>
          <w:bCs/>
          <w:rtl/>
          <w:lang w:eastAsia="zh-TW"/>
        </w:rPr>
        <w:t>واسع</w:t>
      </w:r>
      <w:r>
        <w:rPr>
          <w:b/>
          <w:bCs/>
          <w:rtl/>
          <w:lang w:eastAsia="zh-TW"/>
        </w:rPr>
        <w:t xml:space="preserve"> </w:t>
      </w:r>
      <w:r w:rsidRPr="00342B8B">
        <w:rPr>
          <w:b/>
          <w:bCs/>
          <w:rtl/>
          <w:lang w:eastAsia="zh-TW"/>
        </w:rPr>
        <w:t>نص</w:t>
      </w:r>
      <w:r>
        <w:rPr>
          <w:b/>
          <w:bCs/>
          <w:rtl/>
          <w:lang w:eastAsia="zh-TW"/>
        </w:rPr>
        <w:t xml:space="preserve"> </w:t>
      </w:r>
      <w:r w:rsidRPr="00342B8B">
        <w:rPr>
          <w:b/>
          <w:bCs/>
          <w:rtl/>
          <w:lang w:eastAsia="zh-TW"/>
        </w:rPr>
        <w:t>العهد،</w:t>
      </w:r>
      <w:r>
        <w:rPr>
          <w:b/>
          <w:bCs/>
          <w:rtl/>
          <w:lang w:eastAsia="zh-TW"/>
        </w:rPr>
        <w:t xml:space="preserve"> </w:t>
      </w:r>
      <w:r w:rsidRPr="00342B8B">
        <w:rPr>
          <w:b/>
          <w:bCs/>
          <w:rtl/>
          <w:lang w:eastAsia="zh-TW"/>
        </w:rPr>
        <w:t>وبروتوكوله</w:t>
      </w:r>
      <w:r>
        <w:rPr>
          <w:b/>
          <w:bCs/>
          <w:rtl/>
          <w:lang w:eastAsia="zh-TW"/>
        </w:rPr>
        <w:t xml:space="preserve"> </w:t>
      </w:r>
      <w:r w:rsidRPr="00342B8B">
        <w:rPr>
          <w:b/>
          <w:bCs/>
          <w:rtl/>
          <w:lang w:eastAsia="zh-TW"/>
        </w:rPr>
        <w:t>الاختيا</w:t>
      </w:r>
      <w:r>
        <w:rPr>
          <w:b/>
          <w:bCs/>
          <w:rtl/>
          <w:lang w:eastAsia="zh-TW"/>
        </w:rPr>
        <w:t xml:space="preserve">ري الأول، وتقريرها الدوري الرابع وهذه الملاحظات الختامية بهدف التوعية بالحقوق الواردة </w:t>
      </w:r>
      <w:r w:rsidRPr="00342B8B">
        <w:rPr>
          <w:b/>
          <w:bCs/>
          <w:rtl/>
          <w:lang w:eastAsia="zh-TW"/>
        </w:rPr>
        <w:t>في</w:t>
      </w:r>
      <w:r>
        <w:rPr>
          <w:b/>
          <w:bCs/>
          <w:rtl/>
          <w:lang w:eastAsia="zh-TW"/>
        </w:rPr>
        <w:t xml:space="preserve"> </w:t>
      </w:r>
      <w:r w:rsidRPr="00342B8B">
        <w:rPr>
          <w:b/>
          <w:bCs/>
          <w:rtl/>
          <w:lang w:eastAsia="zh-TW"/>
        </w:rPr>
        <w:t>العهد</w:t>
      </w:r>
      <w:r>
        <w:rPr>
          <w:b/>
          <w:bCs/>
          <w:rtl/>
          <w:lang w:eastAsia="zh-TW"/>
        </w:rPr>
        <w:t xml:space="preserve"> </w:t>
      </w:r>
      <w:r w:rsidRPr="00342B8B">
        <w:rPr>
          <w:b/>
          <w:bCs/>
          <w:rtl/>
          <w:lang w:eastAsia="zh-TW"/>
        </w:rPr>
        <w:t>في</w:t>
      </w:r>
      <w:r>
        <w:rPr>
          <w:b/>
          <w:bCs/>
          <w:rtl/>
          <w:lang w:eastAsia="zh-TW"/>
        </w:rPr>
        <w:t xml:space="preserve"> </w:t>
      </w:r>
      <w:r w:rsidRPr="00342B8B">
        <w:rPr>
          <w:b/>
          <w:bCs/>
          <w:rtl/>
          <w:lang w:eastAsia="zh-TW"/>
        </w:rPr>
        <w:t>أوساط</w:t>
      </w:r>
      <w:r>
        <w:rPr>
          <w:b/>
          <w:bCs/>
          <w:rtl/>
          <w:lang w:eastAsia="zh-TW"/>
        </w:rPr>
        <w:t xml:space="preserve"> </w:t>
      </w:r>
      <w:r w:rsidRPr="00342B8B">
        <w:rPr>
          <w:b/>
          <w:bCs/>
          <w:rtl/>
          <w:lang w:eastAsia="zh-TW"/>
        </w:rPr>
        <w:t>السلطات</w:t>
      </w:r>
      <w:r>
        <w:rPr>
          <w:b/>
          <w:bCs/>
          <w:rtl/>
          <w:lang w:eastAsia="zh-TW"/>
        </w:rPr>
        <w:t xml:space="preserve"> </w:t>
      </w:r>
      <w:r w:rsidRPr="00342B8B">
        <w:rPr>
          <w:b/>
          <w:bCs/>
          <w:rtl/>
          <w:lang w:eastAsia="zh-TW"/>
        </w:rPr>
        <w:t>القضائية</w:t>
      </w:r>
      <w:r>
        <w:rPr>
          <w:b/>
          <w:bCs/>
          <w:rtl/>
          <w:lang w:eastAsia="zh-TW"/>
        </w:rPr>
        <w:t xml:space="preserve"> </w:t>
      </w:r>
      <w:r w:rsidRPr="00342B8B">
        <w:rPr>
          <w:b/>
          <w:bCs/>
          <w:rtl/>
          <w:lang w:eastAsia="zh-TW"/>
        </w:rPr>
        <w:t>والتشريعية</w:t>
      </w:r>
      <w:r>
        <w:rPr>
          <w:b/>
          <w:bCs/>
          <w:rtl/>
          <w:lang w:eastAsia="zh-TW"/>
        </w:rPr>
        <w:t xml:space="preserve"> </w:t>
      </w:r>
      <w:r w:rsidRPr="00342B8B">
        <w:rPr>
          <w:b/>
          <w:bCs/>
          <w:rtl/>
          <w:lang w:eastAsia="zh-TW"/>
        </w:rPr>
        <w:t>والإدارية</w:t>
      </w:r>
      <w:r>
        <w:rPr>
          <w:b/>
          <w:bCs/>
          <w:rtl/>
          <w:lang w:eastAsia="zh-TW"/>
        </w:rPr>
        <w:t xml:space="preserve">، </w:t>
      </w:r>
      <w:r w:rsidRPr="00342B8B">
        <w:rPr>
          <w:b/>
          <w:bCs/>
          <w:rtl/>
          <w:lang w:eastAsia="zh-TW"/>
        </w:rPr>
        <w:t>والمجتمع</w:t>
      </w:r>
      <w:r>
        <w:rPr>
          <w:b/>
          <w:bCs/>
          <w:rtl/>
          <w:lang w:eastAsia="zh-TW"/>
        </w:rPr>
        <w:t xml:space="preserve"> </w:t>
      </w:r>
      <w:r w:rsidRPr="00342B8B">
        <w:rPr>
          <w:b/>
          <w:bCs/>
          <w:rtl/>
          <w:lang w:eastAsia="zh-TW"/>
        </w:rPr>
        <w:t>المدني</w:t>
      </w:r>
      <w:r>
        <w:rPr>
          <w:b/>
          <w:bCs/>
          <w:rtl/>
          <w:lang w:eastAsia="zh-TW"/>
        </w:rPr>
        <w:t xml:space="preserve"> </w:t>
      </w:r>
      <w:r w:rsidRPr="00342B8B">
        <w:rPr>
          <w:b/>
          <w:bCs/>
          <w:rtl/>
          <w:lang w:eastAsia="zh-TW"/>
        </w:rPr>
        <w:t>والمنظمات</w:t>
      </w:r>
      <w:r>
        <w:rPr>
          <w:b/>
          <w:bCs/>
          <w:rtl/>
          <w:lang w:eastAsia="zh-TW"/>
        </w:rPr>
        <w:t xml:space="preserve"> </w:t>
      </w:r>
      <w:r w:rsidRPr="00342B8B">
        <w:rPr>
          <w:b/>
          <w:bCs/>
          <w:rtl/>
          <w:lang w:eastAsia="zh-TW"/>
        </w:rPr>
        <w:t>غير</w:t>
      </w:r>
      <w:r>
        <w:rPr>
          <w:b/>
          <w:bCs/>
          <w:rtl/>
          <w:lang w:eastAsia="zh-TW"/>
        </w:rPr>
        <w:t xml:space="preserve"> </w:t>
      </w:r>
      <w:r w:rsidRPr="00342B8B">
        <w:rPr>
          <w:b/>
          <w:bCs/>
          <w:rtl/>
          <w:lang w:eastAsia="zh-TW"/>
        </w:rPr>
        <w:t>الحكومية</w:t>
      </w:r>
      <w:r>
        <w:rPr>
          <w:b/>
          <w:bCs/>
          <w:rtl/>
          <w:lang w:eastAsia="zh-TW"/>
        </w:rPr>
        <w:t xml:space="preserve"> </w:t>
      </w:r>
      <w:r w:rsidRPr="00342B8B">
        <w:rPr>
          <w:b/>
          <w:bCs/>
          <w:rtl/>
          <w:lang w:eastAsia="zh-TW"/>
        </w:rPr>
        <w:t>العاملة</w:t>
      </w:r>
      <w:r>
        <w:rPr>
          <w:b/>
          <w:bCs/>
          <w:rtl/>
          <w:lang w:eastAsia="zh-TW"/>
        </w:rPr>
        <w:t xml:space="preserve"> </w:t>
      </w:r>
      <w:r w:rsidRPr="00342B8B">
        <w:rPr>
          <w:b/>
          <w:bCs/>
          <w:rtl/>
          <w:lang w:eastAsia="zh-TW"/>
        </w:rPr>
        <w:t>في</w:t>
      </w:r>
      <w:r>
        <w:rPr>
          <w:b/>
          <w:bCs/>
          <w:rtl/>
          <w:lang w:eastAsia="zh-TW"/>
        </w:rPr>
        <w:t xml:space="preserve"> </w:t>
      </w:r>
      <w:r w:rsidRPr="00342B8B">
        <w:rPr>
          <w:b/>
          <w:bCs/>
          <w:rtl/>
          <w:lang w:eastAsia="zh-TW"/>
        </w:rPr>
        <w:t>البلد</w:t>
      </w:r>
      <w:r>
        <w:rPr>
          <w:b/>
          <w:bCs/>
          <w:rtl/>
          <w:lang w:eastAsia="zh-TW"/>
        </w:rPr>
        <w:t xml:space="preserve">، </w:t>
      </w:r>
      <w:r w:rsidRPr="00342B8B">
        <w:rPr>
          <w:b/>
          <w:bCs/>
          <w:rtl/>
          <w:lang w:eastAsia="zh-TW"/>
        </w:rPr>
        <w:t>وعامة</w:t>
      </w:r>
      <w:r>
        <w:rPr>
          <w:b/>
          <w:bCs/>
          <w:rtl/>
          <w:lang w:eastAsia="zh-TW"/>
        </w:rPr>
        <w:t xml:space="preserve"> </w:t>
      </w:r>
      <w:r w:rsidRPr="00342B8B">
        <w:rPr>
          <w:b/>
          <w:bCs/>
          <w:rtl/>
          <w:lang w:eastAsia="zh-TW"/>
        </w:rPr>
        <w:t>الجمهور.</w:t>
      </w:r>
      <w:r>
        <w:rPr>
          <w:b/>
          <w:bCs/>
          <w:rtl/>
          <w:lang w:eastAsia="zh-TW"/>
        </w:rPr>
        <w:t xml:space="preserve"> وينبغي للدولة الطرف أن تكفل </w:t>
      </w:r>
      <w:r w:rsidRPr="00342B8B">
        <w:rPr>
          <w:b/>
          <w:bCs/>
          <w:rtl/>
          <w:lang w:eastAsia="zh-TW"/>
        </w:rPr>
        <w:t>ترجمة</w:t>
      </w:r>
      <w:r>
        <w:rPr>
          <w:b/>
          <w:bCs/>
          <w:rtl/>
          <w:lang w:eastAsia="zh-TW"/>
        </w:rPr>
        <w:t xml:space="preserve"> </w:t>
      </w:r>
      <w:r w:rsidRPr="00342B8B">
        <w:rPr>
          <w:b/>
          <w:bCs/>
          <w:rtl/>
          <w:lang w:eastAsia="zh-TW"/>
        </w:rPr>
        <w:t>التقرير</w:t>
      </w:r>
      <w:r>
        <w:rPr>
          <w:b/>
          <w:bCs/>
          <w:rtl/>
          <w:lang w:eastAsia="zh-TW"/>
        </w:rPr>
        <w:t xml:space="preserve"> </w:t>
      </w:r>
      <w:r w:rsidRPr="00342B8B">
        <w:rPr>
          <w:b/>
          <w:bCs/>
          <w:rtl/>
          <w:lang w:eastAsia="zh-TW"/>
        </w:rPr>
        <w:t>الدوري</w:t>
      </w:r>
      <w:r>
        <w:rPr>
          <w:b/>
          <w:bCs/>
          <w:rtl/>
          <w:lang w:eastAsia="zh-TW"/>
        </w:rPr>
        <w:t xml:space="preserve"> </w:t>
      </w:r>
      <w:r w:rsidRPr="00342B8B">
        <w:rPr>
          <w:b/>
          <w:bCs/>
          <w:rtl/>
          <w:lang w:eastAsia="zh-TW"/>
        </w:rPr>
        <w:t>وهذه</w:t>
      </w:r>
      <w:r>
        <w:rPr>
          <w:b/>
          <w:bCs/>
          <w:rtl/>
          <w:lang w:eastAsia="zh-TW"/>
        </w:rPr>
        <w:t xml:space="preserve"> </w:t>
      </w:r>
      <w:r w:rsidRPr="00342B8B">
        <w:rPr>
          <w:b/>
          <w:bCs/>
          <w:rtl/>
          <w:lang w:eastAsia="zh-TW"/>
        </w:rPr>
        <w:t>الملاحظات</w:t>
      </w:r>
      <w:r>
        <w:rPr>
          <w:b/>
          <w:bCs/>
          <w:rtl/>
          <w:lang w:eastAsia="zh-TW"/>
        </w:rPr>
        <w:t xml:space="preserve"> </w:t>
      </w:r>
      <w:r w:rsidRPr="00342B8B">
        <w:rPr>
          <w:b/>
          <w:bCs/>
          <w:rtl/>
          <w:lang w:eastAsia="zh-TW"/>
        </w:rPr>
        <w:t>الختامية</w:t>
      </w:r>
      <w:r>
        <w:rPr>
          <w:b/>
          <w:bCs/>
          <w:rtl/>
          <w:lang w:eastAsia="zh-TW"/>
        </w:rPr>
        <w:t xml:space="preserve"> </w:t>
      </w:r>
      <w:r w:rsidRPr="00342B8B">
        <w:rPr>
          <w:b/>
          <w:bCs/>
          <w:rtl/>
          <w:lang w:eastAsia="zh-TW"/>
        </w:rPr>
        <w:t>إلى</w:t>
      </w:r>
      <w:r>
        <w:rPr>
          <w:b/>
          <w:bCs/>
          <w:rtl/>
          <w:lang w:eastAsia="zh-TW"/>
        </w:rPr>
        <w:t xml:space="preserve"> </w:t>
      </w:r>
      <w:r w:rsidRPr="00342B8B">
        <w:rPr>
          <w:b/>
          <w:bCs/>
          <w:rtl/>
          <w:lang w:eastAsia="zh-TW"/>
        </w:rPr>
        <w:t>اللغة</w:t>
      </w:r>
      <w:r>
        <w:rPr>
          <w:b/>
          <w:bCs/>
          <w:rtl/>
          <w:lang w:eastAsia="zh-TW"/>
        </w:rPr>
        <w:t xml:space="preserve"> </w:t>
      </w:r>
      <w:r w:rsidRPr="00342B8B">
        <w:rPr>
          <w:b/>
          <w:bCs/>
          <w:rtl/>
          <w:lang w:eastAsia="zh-TW"/>
        </w:rPr>
        <w:t>الرسمية</w:t>
      </w:r>
      <w:r>
        <w:rPr>
          <w:b/>
          <w:bCs/>
          <w:rtl/>
          <w:lang w:eastAsia="zh-TW"/>
        </w:rPr>
        <w:t xml:space="preserve"> </w:t>
      </w:r>
      <w:r w:rsidRPr="00342B8B">
        <w:rPr>
          <w:b/>
          <w:bCs/>
          <w:rtl/>
          <w:lang w:eastAsia="zh-TW"/>
        </w:rPr>
        <w:t>للدولة</w:t>
      </w:r>
      <w:r>
        <w:rPr>
          <w:b/>
          <w:bCs/>
          <w:rtl/>
          <w:lang w:eastAsia="zh-TW"/>
        </w:rPr>
        <w:t xml:space="preserve"> </w:t>
      </w:r>
      <w:r w:rsidRPr="00342B8B">
        <w:rPr>
          <w:b/>
          <w:bCs/>
          <w:rtl/>
          <w:lang w:eastAsia="zh-TW"/>
        </w:rPr>
        <w:t>الطرف.</w:t>
      </w:r>
    </w:p>
    <w:p w:rsidR="003F3175" w:rsidRPr="00342B8B" w:rsidRDefault="003F3175" w:rsidP="003F3175">
      <w:pPr>
        <w:pStyle w:val="SingleTxtGA"/>
        <w:rPr>
          <w:b/>
          <w:bCs/>
          <w:rtl/>
          <w:lang w:eastAsia="zh-TW"/>
        </w:rPr>
      </w:pPr>
      <w:r>
        <w:rPr>
          <w:rtl/>
          <w:lang w:eastAsia="zh-TW"/>
        </w:rPr>
        <w:lastRenderedPageBreak/>
        <w:t>٤٠-</w:t>
      </w:r>
      <w:r>
        <w:rPr>
          <w:rtl/>
          <w:lang w:eastAsia="zh-TW"/>
        </w:rPr>
        <w:tab/>
      </w:r>
      <w:r>
        <w:rPr>
          <w:b/>
          <w:bCs/>
          <w:rtl/>
          <w:lang w:eastAsia="zh-TW"/>
        </w:rPr>
        <w:t>ووفقاً للفق</w:t>
      </w:r>
      <w:r w:rsidRPr="00342B8B">
        <w:rPr>
          <w:b/>
          <w:bCs/>
          <w:rtl/>
          <w:lang w:eastAsia="zh-TW"/>
        </w:rPr>
        <w:t>رة</w:t>
      </w:r>
      <w:r>
        <w:rPr>
          <w:rtl/>
          <w:lang w:eastAsia="zh-TW"/>
        </w:rPr>
        <w:t xml:space="preserve"> </w:t>
      </w:r>
      <w:r>
        <w:rPr>
          <w:b/>
          <w:bCs/>
          <w:rtl/>
          <w:lang w:eastAsia="zh-TW"/>
        </w:rPr>
        <w:t xml:space="preserve">1 </w:t>
      </w:r>
      <w:r w:rsidRPr="00342B8B">
        <w:rPr>
          <w:b/>
          <w:bCs/>
          <w:rtl/>
          <w:lang w:eastAsia="zh-TW"/>
        </w:rPr>
        <w:t>من</w:t>
      </w:r>
      <w:r>
        <w:rPr>
          <w:b/>
          <w:bCs/>
          <w:rtl/>
          <w:lang w:eastAsia="zh-TW"/>
        </w:rPr>
        <w:t xml:space="preserve"> </w:t>
      </w:r>
      <w:r w:rsidRPr="00342B8B">
        <w:rPr>
          <w:b/>
          <w:bCs/>
          <w:rtl/>
          <w:lang w:eastAsia="zh-TW"/>
        </w:rPr>
        <w:t>المادة</w:t>
      </w:r>
      <w:r>
        <w:rPr>
          <w:b/>
          <w:bCs/>
          <w:rtl/>
          <w:lang w:eastAsia="zh-TW"/>
        </w:rPr>
        <w:t xml:space="preserve"> </w:t>
      </w:r>
      <w:r w:rsidRPr="00342B8B">
        <w:rPr>
          <w:b/>
          <w:bCs/>
          <w:rtl/>
          <w:lang w:eastAsia="zh-TW"/>
        </w:rPr>
        <w:t>7</w:t>
      </w:r>
      <w:r>
        <w:rPr>
          <w:b/>
          <w:bCs/>
          <w:rtl/>
          <w:lang w:eastAsia="zh-TW"/>
        </w:rPr>
        <w:t xml:space="preserve">5 </w:t>
      </w:r>
      <w:r w:rsidRPr="00342B8B">
        <w:rPr>
          <w:b/>
          <w:bCs/>
          <w:rtl/>
          <w:lang w:eastAsia="zh-TW"/>
        </w:rPr>
        <w:t>من</w:t>
      </w:r>
      <w:r>
        <w:rPr>
          <w:b/>
          <w:bCs/>
          <w:rtl/>
          <w:lang w:eastAsia="zh-TW"/>
        </w:rPr>
        <w:t xml:space="preserve"> </w:t>
      </w:r>
      <w:r w:rsidRPr="00342B8B">
        <w:rPr>
          <w:b/>
          <w:bCs/>
          <w:rtl/>
          <w:lang w:eastAsia="zh-TW"/>
        </w:rPr>
        <w:t>ا</w:t>
      </w:r>
      <w:r>
        <w:rPr>
          <w:b/>
          <w:bCs/>
          <w:rtl/>
          <w:lang w:eastAsia="zh-TW"/>
        </w:rPr>
        <w:t xml:space="preserve">لنظام الداخلي للجنة، يُطلب إلى </w:t>
      </w:r>
      <w:r w:rsidRPr="00342B8B">
        <w:rPr>
          <w:b/>
          <w:bCs/>
          <w:rtl/>
          <w:lang w:eastAsia="zh-TW"/>
        </w:rPr>
        <w:t>الدولة</w:t>
      </w:r>
      <w:r>
        <w:rPr>
          <w:b/>
          <w:bCs/>
          <w:rtl/>
          <w:lang w:eastAsia="zh-TW"/>
        </w:rPr>
        <w:t xml:space="preserve"> </w:t>
      </w:r>
      <w:r w:rsidRPr="00342B8B">
        <w:rPr>
          <w:b/>
          <w:bCs/>
          <w:rtl/>
          <w:lang w:eastAsia="zh-TW"/>
        </w:rPr>
        <w:t>الطرف</w:t>
      </w:r>
      <w:r>
        <w:rPr>
          <w:b/>
          <w:bCs/>
          <w:rtl/>
          <w:lang w:eastAsia="zh-TW"/>
        </w:rPr>
        <w:t xml:space="preserve"> </w:t>
      </w:r>
      <w:r w:rsidRPr="00342B8B">
        <w:rPr>
          <w:b/>
          <w:bCs/>
          <w:rtl/>
          <w:lang w:eastAsia="zh-TW"/>
        </w:rPr>
        <w:t>أن</w:t>
      </w:r>
      <w:r>
        <w:rPr>
          <w:b/>
          <w:bCs/>
          <w:rtl/>
          <w:lang w:eastAsia="zh-TW"/>
        </w:rPr>
        <w:t xml:space="preserve"> </w:t>
      </w:r>
      <w:r w:rsidRPr="00342B8B">
        <w:rPr>
          <w:b/>
          <w:bCs/>
          <w:rtl/>
          <w:lang w:eastAsia="zh-TW"/>
        </w:rPr>
        <w:t>تقدم،</w:t>
      </w:r>
      <w:r>
        <w:rPr>
          <w:b/>
          <w:bCs/>
          <w:rtl/>
          <w:lang w:eastAsia="zh-TW"/>
        </w:rPr>
        <w:t xml:space="preserve"> </w:t>
      </w:r>
      <w:r w:rsidRPr="00342B8B">
        <w:rPr>
          <w:b/>
          <w:bCs/>
          <w:rtl/>
          <w:lang w:eastAsia="zh-TW"/>
        </w:rPr>
        <w:t>بحلول</w:t>
      </w:r>
      <w:r>
        <w:rPr>
          <w:b/>
          <w:bCs/>
          <w:rtl/>
          <w:lang w:eastAsia="zh-TW"/>
        </w:rPr>
        <w:t xml:space="preserve"> 29 آذار/مارس </w:t>
      </w:r>
      <w:r w:rsidRPr="00342B8B">
        <w:rPr>
          <w:b/>
          <w:bCs/>
          <w:rtl/>
          <w:lang w:eastAsia="zh-TW"/>
        </w:rPr>
        <w:t>202</w:t>
      </w:r>
      <w:r>
        <w:rPr>
          <w:b/>
          <w:bCs/>
          <w:rtl/>
          <w:lang w:eastAsia="zh-TW"/>
        </w:rPr>
        <w:t>1، معلومات عن تنفيذ ا</w:t>
      </w:r>
      <w:r w:rsidRPr="00342B8B">
        <w:rPr>
          <w:b/>
          <w:bCs/>
          <w:rtl/>
          <w:lang w:eastAsia="zh-TW"/>
        </w:rPr>
        <w:t>لتوصيات</w:t>
      </w:r>
      <w:r>
        <w:rPr>
          <w:b/>
          <w:bCs/>
          <w:rtl/>
          <w:lang w:eastAsia="zh-TW"/>
        </w:rPr>
        <w:t xml:space="preserve"> </w:t>
      </w:r>
      <w:r w:rsidRPr="00342B8B">
        <w:rPr>
          <w:b/>
          <w:bCs/>
          <w:rtl/>
          <w:lang w:eastAsia="zh-TW"/>
        </w:rPr>
        <w:t>التي</w:t>
      </w:r>
      <w:r>
        <w:rPr>
          <w:b/>
          <w:bCs/>
          <w:rtl/>
          <w:lang w:eastAsia="zh-TW"/>
        </w:rPr>
        <w:t xml:space="preserve"> </w:t>
      </w:r>
      <w:r w:rsidRPr="00342B8B">
        <w:rPr>
          <w:b/>
          <w:bCs/>
          <w:rtl/>
          <w:lang w:eastAsia="zh-TW"/>
        </w:rPr>
        <w:t>قدمتها</w:t>
      </w:r>
      <w:r>
        <w:rPr>
          <w:b/>
          <w:bCs/>
          <w:rtl/>
          <w:lang w:eastAsia="zh-TW"/>
        </w:rPr>
        <w:t xml:space="preserve"> </w:t>
      </w:r>
      <w:r w:rsidRPr="00342B8B">
        <w:rPr>
          <w:b/>
          <w:bCs/>
          <w:rtl/>
          <w:lang w:eastAsia="zh-TW"/>
        </w:rPr>
        <w:t>اللجنة</w:t>
      </w:r>
      <w:r>
        <w:rPr>
          <w:b/>
          <w:bCs/>
          <w:rtl/>
          <w:lang w:eastAsia="zh-TW"/>
        </w:rPr>
        <w:t xml:space="preserve"> </w:t>
      </w:r>
      <w:r w:rsidRPr="00342B8B">
        <w:rPr>
          <w:b/>
          <w:bCs/>
          <w:rtl/>
          <w:lang w:eastAsia="zh-TW"/>
        </w:rPr>
        <w:t>في</w:t>
      </w:r>
      <w:r>
        <w:rPr>
          <w:b/>
          <w:bCs/>
          <w:rtl/>
          <w:lang w:eastAsia="zh-TW"/>
        </w:rPr>
        <w:t xml:space="preserve"> </w:t>
      </w:r>
      <w:r w:rsidRPr="00342B8B">
        <w:rPr>
          <w:b/>
          <w:bCs/>
          <w:rtl/>
          <w:lang w:eastAsia="zh-TW"/>
        </w:rPr>
        <w:t>الفقرات</w:t>
      </w:r>
      <w:r>
        <w:rPr>
          <w:b/>
          <w:bCs/>
          <w:rtl/>
          <w:lang w:eastAsia="zh-TW"/>
        </w:rPr>
        <w:t xml:space="preserve"> 14 </w:t>
      </w:r>
      <w:r w:rsidRPr="00342B8B">
        <w:rPr>
          <w:b/>
          <w:bCs/>
          <w:rtl/>
          <w:lang w:eastAsia="zh-TW"/>
        </w:rPr>
        <w:t>(خطاب</w:t>
      </w:r>
      <w:r>
        <w:rPr>
          <w:b/>
          <w:bCs/>
          <w:rtl/>
          <w:lang w:eastAsia="zh-TW"/>
        </w:rPr>
        <w:t xml:space="preserve"> </w:t>
      </w:r>
      <w:r w:rsidRPr="00342B8B">
        <w:rPr>
          <w:b/>
          <w:bCs/>
          <w:rtl/>
          <w:lang w:eastAsia="zh-TW"/>
        </w:rPr>
        <w:t>الكراهية</w:t>
      </w:r>
      <w:r>
        <w:rPr>
          <w:b/>
          <w:bCs/>
          <w:rtl/>
          <w:lang w:eastAsia="zh-TW"/>
        </w:rPr>
        <w:t xml:space="preserve"> </w:t>
      </w:r>
      <w:r w:rsidRPr="00342B8B">
        <w:rPr>
          <w:b/>
          <w:bCs/>
          <w:rtl/>
          <w:lang w:eastAsia="zh-TW"/>
        </w:rPr>
        <w:t>والجرائم</w:t>
      </w:r>
      <w:r>
        <w:rPr>
          <w:b/>
          <w:bCs/>
          <w:rtl/>
          <w:lang w:eastAsia="zh-TW"/>
        </w:rPr>
        <w:t xml:space="preserve"> </w:t>
      </w:r>
      <w:r w:rsidRPr="00342B8B">
        <w:rPr>
          <w:b/>
          <w:bCs/>
          <w:rtl/>
          <w:lang w:eastAsia="zh-TW"/>
        </w:rPr>
        <w:t>بدافع</w:t>
      </w:r>
      <w:r>
        <w:rPr>
          <w:b/>
          <w:bCs/>
          <w:rtl/>
          <w:lang w:eastAsia="zh-TW"/>
        </w:rPr>
        <w:t xml:space="preserve"> </w:t>
      </w:r>
      <w:r w:rsidRPr="00342B8B">
        <w:rPr>
          <w:b/>
          <w:bCs/>
          <w:rtl/>
          <w:lang w:eastAsia="zh-TW"/>
        </w:rPr>
        <w:t>الكراهية)،</w:t>
      </w:r>
      <w:r>
        <w:rPr>
          <w:b/>
          <w:bCs/>
          <w:rtl/>
          <w:lang w:eastAsia="zh-TW"/>
        </w:rPr>
        <w:t xml:space="preserve"> </w:t>
      </w:r>
      <w:r w:rsidRPr="00342B8B">
        <w:rPr>
          <w:b/>
          <w:bCs/>
          <w:rtl/>
          <w:lang w:eastAsia="zh-TW"/>
        </w:rPr>
        <w:t>و</w:t>
      </w:r>
      <w:r>
        <w:rPr>
          <w:b/>
          <w:bCs/>
          <w:rtl/>
          <w:lang w:eastAsia="zh-TW"/>
        </w:rPr>
        <w:t xml:space="preserve">24 </w:t>
      </w:r>
      <w:r w:rsidRPr="00342B8B">
        <w:rPr>
          <w:b/>
          <w:bCs/>
          <w:rtl/>
          <w:lang w:eastAsia="zh-TW"/>
        </w:rPr>
        <w:t>(</w:t>
      </w:r>
      <w:r w:rsidRPr="001F6FB6">
        <w:rPr>
          <w:b/>
          <w:bCs/>
          <w:rtl/>
          <w:lang w:eastAsia="zh-TW"/>
        </w:rPr>
        <w:t>العلاج</w:t>
      </w:r>
      <w:r>
        <w:rPr>
          <w:b/>
          <w:bCs/>
          <w:rtl/>
          <w:lang w:eastAsia="zh-TW"/>
        </w:rPr>
        <w:t xml:space="preserve"> </w:t>
      </w:r>
      <w:r w:rsidRPr="001F6FB6">
        <w:rPr>
          <w:b/>
          <w:bCs/>
          <w:rtl/>
          <w:lang w:eastAsia="zh-TW"/>
        </w:rPr>
        <w:t>النفسي</w:t>
      </w:r>
      <w:r>
        <w:rPr>
          <w:b/>
          <w:bCs/>
          <w:rtl/>
          <w:lang w:eastAsia="zh-TW"/>
        </w:rPr>
        <w:t xml:space="preserve"> </w:t>
      </w:r>
      <w:r w:rsidRPr="001F6FB6">
        <w:rPr>
          <w:b/>
          <w:bCs/>
          <w:rtl/>
          <w:lang w:eastAsia="zh-TW"/>
        </w:rPr>
        <w:t>غير</w:t>
      </w:r>
      <w:r>
        <w:rPr>
          <w:b/>
          <w:bCs/>
          <w:rtl/>
          <w:lang w:eastAsia="zh-TW"/>
        </w:rPr>
        <w:t xml:space="preserve"> </w:t>
      </w:r>
      <w:r w:rsidRPr="001F6FB6">
        <w:rPr>
          <w:b/>
          <w:bCs/>
          <w:rtl/>
          <w:lang w:eastAsia="zh-TW"/>
        </w:rPr>
        <w:t>الرضائي</w:t>
      </w:r>
      <w:r w:rsidRPr="00342B8B">
        <w:rPr>
          <w:b/>
          <w:bCs/>
          <w:rtl/>
          <w:lang w:eastAsia="zh-TW"/>
        </w:rPr>
        <w:t>)،</w:t>
      </w:r>
      <w:r>
        <w:rPr>
          <w:b/>
          <w:bCs/>
          <w:rtl/>
          <w:lang w:eastAsia="zh-TW"/>
        </w:rPr>
        <w:t xml:space="preserve"> </w:t>
      </w:r>
      <w:r w:rsidRPr="00342B8B">
        <w:rPr>
          <w:b/>
          <w:bCs/>
          <w:rtl/>
          <w:lang w:eastAsia="zh-TW"/>
        </w:rPr>
        <w:t>و</w:t>
      </w:r>
      <w:r>
        <w:rPr>
          <w:b/>
          <w:bCs/>
          <w:rtl/>
          <w:lang w:eastAsia="zh-TW"/>
        </w:rPr>
        <w:t>28 (اللاجئون وملتمسو اللجوء</w:t>
      </w:r>
      <w:r w:rsidRPr="00342B8B">
        <w:rPr>
          <w:b/>
          <w:bCs/>
          <w:rtl/>
          <w:lang w:eastAsia="zh-TW"/>
        </w:rPr>
        <w:t>)</w:t>
      </w:r>
      <w:r>
        <w:rPr>
          <w:b/>
          <w:bCs/>
          <w:rtl/>
          <w:lang w:eastAsia="zh-TW"/>
        </w:rPr>
        <w:t xml:space="preserve"> </w:t>
      </w:r>
      <w:r w:rsidRPr="00342B8B">
        <w:rPr>
          <w:b/>
          <w:bCs/>
          <w:rtl/>
          <w:lang w:eastAsia="zh-TW"/>
        </w:rPr>
        <w:t>أعلاه.</w:t>
      </w:r>
    </w:p>
    <w:p w:rsidR="003F3175" w:rsidRDefault="003F3175" w:rsidP="003F3175">
      <w:pPr>
        <w:pStyle w:val="SingleTxtGA"/>
        <w:rPr>
          <w:b/>
          <w:bCs/>
          <w:rtl/>
          <w:lang w:eastAsia="zh-TW"/>
        </w:rPr>
      </w:pPr>
      <w:r>
        <w:rPr>
          <w:rtl/>
          <w:lang w:eastAsia="zh-TW"/>
        </w:rPr>
        <w:t>٤١</w:t>
      </w:r>
      <w:r w:rsidR="00B65FE8" w:rsidRPr="00B65FE8">
        <w:rPr>
          <w:rFonts w:hint="cs"/>
          <w:rtl/>
          <w:lang w:eastAsia="zh-TW"/>
        </w:rPr>
        <w:t>-</w:t>
      </w:r>
      <w:r>
        <w:rPr>
          <w:b/>
          <w:bCs/>
          <w:rtl/>
          <w:lang w:eastAsia="zh-TW"/>
        </w:rPr>
        <w:tab/>
      </w:r>
      <w:r w:rsidRPr="00342B8B">
        <w:rPr>
          <w:b/>
          <w:bCs/>
          <w:rtl/>
          <w:lang w:eastAsia="zh-TW"/>
        </w:rPr>
        <w:t>وتطلب</w:t>
      </w:r>
      <w:r>
        <w:rPr>
          <w:b/>
          <w:bCs/>
          <w:rtl/>
          <w:lang w:eastAsia="zh-TW"/>
        </w:rPr>
        <w:t xml:space="preserve"> </w:t>
      </w:r>
      <w:r w:rsidRPr="00342B8B">
        <w:rPr>
          <w:b/>
          <w:bCs/>
          <w:rtl/>
          <w:lang w:eastAsia="zh-TW"/>
        </w:rPr>
        <w:t>اللجنة</w:t>
      </w:r>
      <w:r>
        <w:rPr>
          <w:b/>
          <w:bCs/>
          <w:rtl/>
          <w:lang w:eastAsia="zh-TW"/>
        </w:rPr>
        <w:t xml:space="preserve"> </w:t>
      </w:r>
      <w:r w:rsidRPr="00342B8B">
        <w:rPr>
          <w:b/>
          <w:bCs/>
          <w:rtl/>
          <w:lang w:eastAsia="zh-TW"/>
        </w:rPr>
        <w:t>إلى</w:t>
      </w:r>
      <w:r>
        <w:rPr>
          <w:b/>
          <w:bCs/>
          <w:rtl/>
          <w:lang w:eastAsia="zh-TW"/>
        </w:rPr>
        <w:t xml:space="preserve"> </w:t>
      </w:r>
      <w:r w:rsidRPr="00342B8B">
        <w:rPr>
          <w:b/>
          <w:bCs/>
          <w:rtl/>
          <w:lang w:eastAsia="zh-TW"/>
        </w:rPr>
        <w:t>الدولة</w:t>
      </w:r>
      <w:r>
        <w:rPr>
          <w:b/>
          <w:bCs/>
          <w:rtl/>
          <w:lang w:eastAsia="zh-TW"/>
        </w:rPr>
        <w:t xml:space="preserve"> </w:t>
      </w:r>
      <w:r w:rsidRPr="00342B8B">
        <w:rPr>
          <w:b/>
          <w:bCs/>
          <w:rtl/>
          <w:lang w:eastAsia="zh-TW"/>
        </w:rPr>
        <w:t>الطرف</w:t>
      </w:r>
      <w:r>
        <w:rPr>
          <w:b/>
          <w:bCs/>
          <w:rtl/>
          <w:lang w:eastAsia="zh-TW"/>
        </w:rPr>
        <w:t xml:space="preserve"> </w:t>
      </w:r>
      <w:r w:rsidRPr="00342B8B">
        <w:rPr>
          <w:b/>
          <w:bCs/>
          <w:rtl/>
          <w:lang w:eastAsia="zh-TW"/>
        </w:rPr>
        <w:t>أن</w:t>
      </w:r>
      <w:r>
        <w:rPr>
          <w:b/>
          <w:bCs/>
          <w:rtl/>
          <w:lang w:eastAsia="zh-TW"/>
        </w:rPr>
        <w:t xml:space="preserve"> </w:t>
      </w:r>
      <w:r w:rsidRPr="00342B8B">
        <w:rPr>
          <w:b/>
          <w:bCs/>
          <w:rtl/>
          <w:lang w:eastAsia="zh-TW"/>
        </w:rPr>
        <w:t>تقدم</w:t>
      </w:r>
      <w:r>
        <w:rPr>
          <w:b/>
          <w:bCs/>
          <w:rtl/>
          <w:lang w:eastAsia="zh-TW"/>
        </w:rPr>
        <w:t xml:space="preserve"> </w:t>
      </w:r>
      <w:r w:rsidRPr="00342B8B">
        <w:rPr>
          <w:b/>
          <w:bCs/>
          <w:rtl/>
          <w:lang w:eastAsia="zh-TW"/>
        </w:rPr>
        <w:t>تقريرها</w:t>
      </w:r>
      <w:r>
        <w:rPr>
          <w:b/>
          <w:bCs/>
          <w:rtl/>
          <w:lang w:eastAsia="zh-TW"/>
        </w:rPr>
        <w:t xml:space="preserve"> </w:t>
      </w:r>
      <w:r w:rsidRPr="00342B8B">
        <w:rPr>
          <w:b/>
          <w:bCs/>
          <w:rtl/>
          <w:lang w:eastAsia="zh-TW"/>
        </w:rPr>
        <w:t>الدوري</w:t>
      </w:r>
      <w:r>
        <w:rPr>
          <w:b/>
          <w:bCs/>
          <w:rtl/>
          <w:lang w:eastAsia="zh-TW"/>
        </w:rPr>
        <w:t xml:space="preserve"> </w:t>
      </w:r>
      <w:r w:rsidRPr="00342B8B">
        <w:rPr>
          <w:b/>
          <w:bCs/>
          <w:rtl/>
          <w:lang w:eastAsia="zh-TW"/>
        </w:rPr>
        <w:t>المقبل</w:t>
      </w:r>
      <w:r>
        <w:rPr>
          <w:b/>
          <w:bCs/>
          <w:rtl/>
          <w:lang w:eastAsia="zh-TW"/>
        </w:rPr>
        <w:t xml:space="preserve"> </w:t>
      </w:r>
      <w:r w:rsidRPr="00342B8B">
        <w:rPr>
          <w:b/>
          <w:bCs/>
          <w:rtl/>
          <w:lang w:eastAsia="zh-TW"/>
        </w:rPr>
        <w:t>بحلول</w:t>
      </w:r>
      <w:r>
        <w:rPr>
          <w:b/>
          <w:bCs/>
          <w:rtl/>
          <w:lang w:eastAsia="zh-TW"/>
        </w:rPr>
        <w:t xml:space="preserve"> </w:t>
      </w:r>
      <w:r w:rsidRPr="00342B8B">
        <w:rPr>
          <w:b/>
          <w:bCs/>
          <w:rtl/>
          <w:lang w:eastAsia="zh-TW"/>
        </w:rPr>
        <w:t>٢٩</w:t>
      </w:r>
      <w:r>
        <w:rPr>
          <w:b/>
          <w:bCs/>
          <w:rtl/>
          <w:lang w:eastAsia="zh-TW"/>
        </w:rPr>
        <w:t xml:space="preserve"> </w:t>
      </w:r>
      <w:r w:rsidRPr="00342B8B">
        <w:rPr>
          <w:b/>
          <w:bCs/>
          <w:rtl/>
          <w:lang w:eastAsia="zh-TW"/>
        </w:rPr>
        <w:t>آذار/مارس</w:t>
      </w:r>
      <w:r>
        <w:rPr>
          <w:b/>
          <w:bCs/>
          <w:rtl/>
          <w:lang w:eastAsia="zh-TW"/>
        </w:rPr>
        <w:t xml:space="preserve"> </w:t>
      </w:r>
      <w:r w:rsidRPr="00342B8B">
        <w:rPr>
          <w:b/>
          <w:bCs/>
          <w:rtl/>
          <w:lang w:eastAsia="zh-TW"/>
        </w:rPr>
        <w:t>٢٠٢٥.</w:t>
      </w:r>
      <w:r>
        <w:rPr>
          <w:b/>
          <w:bCs/>
          <w:rtl/>
          <w:lang w:eastAsia="zh-TW"/>
        </w:rPr>
        <w:t xml:space="preserve"> </w:t>
      </w:r>
      <w:r w:rsidRPr="00342B8B">
        <w:rPr>
          <w:b/>
          <w:bCs/>
          <w:rtl/>
          <w:lang w:eastAsia="zh-TW"/>
        </w:rPr>
        <w:t>وبالنظر</w:t>
      </w:r>
      <w:r>
        <w:rPr>
          <w:b/>
          <w:bCs/>
          <w:rtl/>
          <w:lang w:eastAsia="zh-TW"/>
        </w:rPr>
        <w:t xml:space="preserve"> </w:t>
      </w:r>
      <w:r w:rsidRPr="00342B8B">
        <w:rPr>
          <w:b/>
          <w:bCs/>
          <w:rtl/>
          <w:lang w:eastAsia="zh-TW"/>
        </w:rPr>
        <w:t>إلى</w:t>
      </w:r>
      <w:r>
        <w:rPr>
          <w:b/>
          <w:bCs/>
          <w:rtl/>
          <w:lang w:eastAsia="zh-TW"/>
        </w:rPr>
        <w:t xml:space="preserve"> </w:t>
      </w:r>
      <w:r w:rsidRPr="00342B8B">
        <w:rPr>
          <w:b/>
          <w:bCs/>
          <w:rtl/>
          <w:lang w:eastAsia="zh-TW"/>
        </w:rPr>
        <w:t>أن</w:t>
      </w:r>
      <w:r>
        <w:rPr>
          <w:b/>
          <w:bCs/>
          <w:rtl/>
          <w:lang w:eastAsia="zh-TW"/>
        </w:rPr>
        <w:t xml:space="preserve"> </w:t>
      </w:r>
      <w:r w:rsidRPr="00342B8B">
        <w:rPr>
          <w:b/>
          <w:bCs/>
          <w:rtl/>
          <w:lang w:eastAsia="zh-TW"/>
        </w:rPr>
        <w:t>الدولة</w:t>
      </w:r>
      <w:r>
        <w:rPr>
          <w:b/>
          <w:bCs/>
          <w:rtl/>
          <w:lang w:eastAsia="zh-TW"/>
        </w:rPr>
        <w:t xml:space="preserve"> </w:t>
      </w:r>
      <w:r w:rsidRPr="00342B8B">
        <w:rPr>
          <w:b/>
          <w:bCs/>
          <w:rtl/>
          <w:lang w:eastAsia="zh-TW"/>
        </w:rPr>
        <w:t>الطرف</w:t>
      </w:r>
      <w:r>
        <w:rPr>
          <w:b/>
          <w:bCs/>
          <w:rtl/>
          <w:lang w:eastAsia="zh-TW"/>
        </w:rPr>
        <w:t xml:space="preserve"> </w:t>
      </w:r>
      <w:r w:rsidRPr="00342B8B">
        <w:rPr>
          <w:b/>
          <w:bCs/>
          <w:rtl/>
          <w:lang w:eastAsia="zh-TW"/>
        </w:rPr>
        <w:t>قبلت</w:t>
      </w:r>
      <w:r>
        <w:rPr>
          <w:b/>
          <w:bCs/>
          <w:rtl/>
          <w:lang w:eastAsia="zh-TW"/>
        </w:rPr>
        <w:t xml:space="preserve"> </w:t>
      </w:r>
      <w:r w:rsidRPr="00342B8B">
        <w:rPr>
          <w:b/>
          <w:bCs/>
          <w:rtl/>
          <w:lang w:eastAsia="zh-TW"/>
        </w:rPr>
        <w:t>الإجراء</w:t>
      </w:r>
      <w:r>
        <w:rPr>
          <w:b/>
          <w:bCs/>
          <w:rtl/>
          <w:lang w:eastAsia="zh-TW"/>
        </w:rPr>
        <w:t xml:space="preserve"> </w:t>
      </w:r>
      <w:r w:rsidRPr="00342B8B">
        <w:rPr>
          <w:b/>
          <w:bCs/>
          <w:rtl/>
          <w:lang w:eastAsia="zh-TW"/>
        </w:rPr>
        <w:t>المبسط</w:t>
      </w:r>
      <w:r>
        <w:rPr>
          <w:b/>
          <w:bCs/>
          <w:rtl/>
          <w:lang w:eastAsia="zh-TW"/>
        </w:rPr>
        <w:t xml:space="preserve"> </w:t>
      </w:r>
      <w:r w:rsidRPr="00342B8B">
        <w:rPr>
          <w:b/>
          <w:bCs/>
          <w:rtl/>
          <w:lang w:eastAsia="zh-TW"/>
        </w:rPr>
        <w:t>لتقديم</w:t>
      </w:r>
      <w:r>
        <w:rPr>
          <w:b/>
          <w:bCs/>
          <w:rtl/>
          <w:lang w:eastAsia="zh-TW"/>
        </w:rPr>
        <w:t xml:space="preserve"> </w:t>
      </w:r>
      <w:r w:rsidRPr="00342B8B">
        <w:rPr>
          <w:b/>
          <w:bCs/>
          <w:rtl/>
          <w:lang w:eastAsia="zh-TW"/>
        </w:rPr>
        <w:t>التقارير،</w:t>
      </w:r>
      <w:r>
        <w:rPr>
          <w:b/>
          <w:bCs/>
          <w:rtl/>
          <w:lang w:eastAsia="zh-TW"/>
        </w:rPr>
        <w:t xml:space="preserve"> فإن اللجنة ستحيل إليها</w:t>
      </w:r>
      <w:r>
        <w:rPr>
          <w:rtl/>
        </w:rPr>
        <w:t xml:space="preserve"> </w:t>
      </w:r>
      <w:r w:rsidRPr="00EB24E7">
        <w:rPr>
          <w:b/>
          <w:bCs/>
          <w:rtl/>
          <w:lang w:eastAsia="zh-TW"/>
        </w:rPr>
        <w:t>قائمة</w:t>
      </w:r>
      <w:r>
        <w:rPr>
          <w:b/>
          <w:bCs/>
          <w:rtl/>
          <w:lang w:eastAsia="zh-TW"/>
        </w:rPr>
        <w:t xml:space="preserve"> </w:t>
      </w:r>
      <w:r w:rsidRPr="00EB24E7">
        <w:rPr>
          <w:b/>
          <w:bCs/>
          <w:rtl/>
          <w:lang w:eastAsia="zh-TW"/>
        </w:rPr>
        <w:t>المسائل</w:t>
      </w:r>
      <w:r>
        <w:rPr>
          <w:b/>
          <w:bCs/>
          <w:rtl/>
          <w:lang w:eastAsia="zh-TW"/>
        </w:rPr>
        <w:t xml:space="preserve"> </w:t>
      </w:r>
      <w:r w:rsidRPr="00EB24E7">
        <w:rPr>
          <w:b/>
          <w:bCs/>
          <w:rtl/>
          <w:lang w:eastAsia="zh-TW"/>
        </w:rPr>
        <w:t>السابقة</w:t>
      </w:r>
      <w:r>
        <w:rPr>
          <w:b/>
          <w:bCs/>
          <w:rtl/>
          <w:lang w:eastAsia="zh-TW"/>
        </w:rPr>
        <w:t xml:space="preserve"> </w:t>
      </w:r>
      <w:r w:rsidRPr="00EB24E7">
        <w:rPr>
          <w:b/>
          <w:bCs/>
          <w:rtl/>
          <w:lang w:eastAsia="zh-TW"/>
        </w:rPr>
        <w:t>لتقديم</w:t>
      </w:r>
      <w:r>
        <w:rPr>
          <w:b/>
          <w:bCs/>
          <w:rtl/>
          <w:lang w:eastAsia="zh-TW"/>
        </w:rPr>
        <w:t xml:space="preserve"> </w:t>
      </w:r>
      <w:r w:rsidRPr="00EB24E7">
        <w:rPr>
          <w:b/>
          <w:bCs/>
          <w:rtl/>
          <w:lang w:eastAsia="zh-TW"/>
        </w:rPr>
        <w:t>التقارير</w:t>
      </w:r>
      <w:r>
        <w:rPr>
          <w:b/>
          <w:bCs/>
          <w:rtl/>
          <w:lang w:eastAsia="zh-TW"/>
        </w:rPr>
        <w:t xml:space="preserve"> في الوقت اللازم</w:t>
      </w:r>
      <w:r w:rsidRPr="00342B8B">
        <w:rPr>
          <w:b/>
          <w:bCs/>
          <w:rtl/>
          <w:lang w:eastAsia="zh-TW"/>
        </w:rPr>
        <w:t>.</w:t>
      </w:r>
      <w:r>
        <w:rPr>
          <w:b/>
          <w:bCs/>
          <w:rtl/>
          <w:lang w:eastAsia="zh-TW"/>
        </w:rPr>
        <w:t xml:space="preserve"> </w:t>
      </w:r>
      <w:r w:rsidRPr="00342B8B">
        <w:rPr>
          <w:b/>
          <w:bCs/>
          <w:rtl/>
          <w:lang w:eastAsia="zh-TW"/>
        </w:rPr>
        <w:t>وستشكل</w:t>
      </w:r>
      <w:r>
        <w:rPr>
          <w:b/>
          <w:bCs/>
          <w:rtl/>
          <w:lang w:eastAsia="zh-TW"/>
        </w:rPr>
        <w:t xml:space="preserve"> </w:t>
      </w:r>
      <w:r w:rsidRPr="00342B8B">
        <w:rPr>
          <w:b/>
          <w:bCs/>
          <w:rtl/>
          <w:lang w:eastAsia="zh-TW"/>
        </w:rPr>
        <w:t>ردود</w:t>
      </w:r>
      <w:r>
        <w:rPr>
          <w:b/>
          <w:bCs/>
          <w:rtl/>
          <w:lang w:eastAsia="zh-TW"/>
        </w:rPr>
        <w:t xml:space="preserve"> </w:t>
      </w:r>
      <w:r w:rsidRPr="00342B8B">
        <w:rPr>
          <w:b/>
          <w:bCs/>
          <w:rtl/>
          <w:lang w:eastAsia="zh-TW"/>
        </w:rPr>
        <w:t>الدولة</w:t>
      </w:r>
      <w:r>
        <w:rPr>
          <w:b/>
          <w:bCs/>
          <w:rtl/>
          <w:lang w:eastAsia="zh-TW"/>
        </w:rPr>
        <w:t xml:space="preserve"> </w:t>
      </w:r>
      <w:r w:rsidRPr="00342B8B">
        <w:rPr>
          <w:b/>
          <w:bCs/>
          <w:rtl/>
          <w:lang w:eastAsia="zh-TW"/>
        </w:rPr>
        <w:t>الطرف</w:t>
      </w:r>
      <w:r>
        <w:rPr>
          <w:b/>
          <w:bCs/>
          <w:rtl/>
          <w:lang w:eastAsia="zh-TW"/>
        </w:rPr>
        <w:t xml:space="preserve"> </w:t>
      </w:r>
      <w:r w:rsidRPr="00342B8B">
        <w:rPr>
          <w:b/>
          <w:bCs/>
          <w:rtl/>
          <w:lang w:eastAsia="zh-TW"/>
        </w:rPr>
        <w:t>على</w:t>
      </w:r>
      <w:r>
        <w:rPr>
          <w:b/>
          <w:bCs/>
          <w:rtl/>
          <w:lang w:eastAsia="zh-TW"/>
        </w:rPr>
        <w:t xml:space="preserve"> </w:t>
      </w:r>
      <w:r w:rsidRPr="00342B8B">
        <w:rPr>
          <w:b/>
          <w:bCs/>
          <w:rtl/>
          <w:lang w:eastAsia="zh-TW"/>
        </w:rPr>
        <w:t>تلك</w:t>
      </w:r>
      <w:r>
        <w:rPr>
          <w:b/>
          <w:bCs/>
          <w:rtl/>
          <w:lang w:eastAsia="zh-TW"/>
        </w:rPr>
        <w:t xml:space="preserve"> </w:t>
      </w:r>
      <w:r w:rsidRPr="00342B8B">
        <w:rPr>
          <w:b/>
          <w:bCs/>
          <w:rtl/>
          <w:lang w:eastAsia="zh-TW"/>
        </w:rPr>
        <w:t>القائمة</w:t>
      </w:r>
      <w:r>
        <w:rPr>
          <w:b/>
          <w:bCs/>
          <w:rtl/>
          <w:lang w:eastAsia="zh-TW"/>
        </w:rPr>
        <w:t xml:space="preserve"> </w:t>
      </w:r>
      <w:r w:rsidRPr="00342B8B">
        <w:rPr>
          <w:b/>
          <w:bCs/>
          <w:rtl/>
          <w:lang w:eastAsia="zh-TW"/>
        </w:rPr>
        <w:t>تقريرها</w:t>
      </w:r>
      <w:r>
        <w:rPr>
          <w:b/>
          <w:bCs/>
          <w:rtl/>
          <w:lang w:eastAsia="zh-TW"/>
        </w:rPr>
        <w:t xml:space="preserve"> </w:t>
      </w:r>
      <w:r w:rsidRPr="00342B8B">
        <w:rPr>
          <w:b/>
          <w:bCs/>
          <w:rtl/>
          <w:lang w:eastAsia="zh-TW"/>
        </w:rPr>
        <w:t>الدوري</w:t>
      </w:r>
      <w:r>
        <w:rPr>
          <w:b/>
          <w:bCs/>
          <w:rtl/>
          <w:lang w:eastAsia="zh-TW"/>
        </w:rPr>
        <w:t xml:space="preserve"> </w:t>
      </w:r>
      <w:r w:rsidRPr="00342B8B">
        <w:rPr>
          <w:b/>
          <w:bCs/>
          <w:rtl/>
          <w:lang w:eastAsia="zh-TW"/>
        </w:rPr>
        <w:t>الخامس.</w:t>
      </w:r>
      <w:r>
        <w:rPr>
          <w:b/>
          <w:bCs/>
          <w:rtl/>
          <w:lang w:eastAsia="zh-TW"/>
        </w:rPr>
        <w:t xml:space="preserve"> </w:t>
      </w:r>
      <w:r w:rsidRPr="00342B8B">
        <w:rPr>
          <w:b/>
          <w:bCs/>
          <w:rtl/>
          <w:lang w:eastAsia="zh-TW"/>
        </w:rPr>
        <w:t>ووفقاً</w:t>
      </w:r>
      <w:r>
        <w:rPr>
          <w:b/>
          <w:bCs/>
          <w:rtl/>
          <w:lang w:eastAsia="zh-TW"/>
        </w:rPr>
        <w:t xml:space="preserve"> </w:t>
      </w:r>
      <w:r w:rsidRPr="00342B8B">
        <w:rPr>
          <w:b/>
          <w:bCs/>
          <w:rtl/>
          <w:lang w:eastAsia="zh-TW"/>
        </w:rPr>
        <w:t>لقرار</w:t>
      </w:r>
      <w:r>
        <w:rPr>
          <w:b/>
          <w:bCs/>
          <w:rtl/>
          <w:lang w:eastAsia="zh-TW"/>
        </w:rPr>
        <w:t xml:space="preserve"> </w:t>
      </w:r>
      <w:r w:rsidRPr="00342B8B">
        <w:rPr>
          <w:b/>
          <w:bCs/>
          <w:rtl/>
          <w:lang w:eastAsia="zh-TW"/>
        </w:rPr>
        <w:t>الجمعية</w:t>
      </w:r>
      <w:r>
        <w:rPr>
          <w:b/>
          <w:bCs/>
          <w:rtl/>
          <w:lang w:eastAsia="zh-TW"/>
        </w:rPr>
        <w:t xml:space="preserve"> </w:t>
      </w:r>
      <w:r w:rsidRPr="00342B8B">
        <w:rPr>
          <w:b/>
          <w:bCs/>
          <w:rtl/>
          <w:lang w:eastAsia="zh-TW"/>
        </w:rPr>
        <w:t>العامة</w:t>
      </w:r>
      <w:r w:rsidR="003A7BC5">
        <w:rPr>
          <w:rFonts w:hint="cs"/>
          <w:b/>
          <w:bCs/>
          <w:rtl/>
          <w:lang w:eastAsia="zh-TW"/>
        </w:rPr>
        <w:t> </w:t>
      </w:r>
      <w:r w:rsidRPr="00342B8B">
        <w:rPr>
          <w:b/>
          <w:bCs/>
          <w:rtl/>
          <w:lang w:eastAsia="zh-TW"/>
        </w:rPr>
        <w:t>68/268،</w:t>
      </w:r>
      <w:r>
        <w:rPr>
          <w:b/>
          <w:bCs/>
          <w:rtl/>
          <w:lang w:eastAsia="zh-TW"/>
        </w:rPr>
        <w:t xml:space="preserve"> </w:t>
      </w:r>
      <w:r w:rsidRPr="00342B8B">
        <w:rPr>
          <w:b/>
          <w:bCs/>
          <w:rtl/>
          <w:lang w:eastAsia="zh-TW"/>
        </w:rPr>
        <w:t>يبلغ</w:t>
      </w:r>
      <w:r>
        <w:rPr>
          <w:b/>
          <w:bCs/>
          <w:rtl/>
          <w:lang w:eastAsia="zh-TW"/>
        </w:rPr>
        <w:t xml:space="preserve"> </w:t>
      </w:r>
      <w:r w:rsidRPr="00342B8B">
        <w:rPr>
          <w:b/>
          <w:bCs/>
          <w:rtl/>
          <w:lang w:eastAsia="zh-TW"/>
        </w:rPr>
        <w:t>الحد</w:t>
      </w:r>
      <w:r>
        <w:rPr>
          <w:b/>
          <w:bCs/>
          <w:rtl/>
          <w:lang w:eastAsia="zh-TW"/>
        </w:rPr>
        <w:t xml:space="preserve"> </w:t>
      </w:r>
      <w:r w:rsidRPr="00342B8B">
        <w:rPr>
          <w:b/>
          <w:bCs/>
          <w:rtl/>
          <w:lang w:eastAsia="zh-TW"/>
        </w:rPr>
        <w:t>الأقصى</w:t>
      </w:r>
      <w:r>
        <w:rPr>
          <w:b/>
          <w:bCs/>
          <w:rtl/>
          <w:lang w:eastAsia="zh-TW"/>
        </w:rPr>
        <w:t xml:space="preserve"> </w:t>
      </w:r>
      <w:r w:rsidRPr="00342B8B">
        <w:rPr>
          <w:b/>
          <w:bCs/>
          <w:rtl/>
          <w:lang w:eastAsia="zh-TW"/>
        </w:rPr>
        <w:t>لعدد</w:t>
      </w:r>
      <w:r>
        <w:rPr>
          <w:b/>
          <w:bCs/>
          <w:rtl/>
          <w:lang w:eastAsia="zh-TW"/>
        </w:rPr>
        <w:t xml:space="preserve"> </w:t>
      </w:r>
      <w:r w:rsidRPr="00342B8B">
        <w:rPr>
          <w:b/>
          <w:bCs/>
          <w:rtl/>
          <w:lang w:eastAsia="zh-TW"/>
        </w:rPr>
        <w:t>كلم</w:t>
      </w:r>
      <w:bookmarkStart w:id="18" w:name="_GoBack"/>
      <w:bookmarkEnd w:id="18"/>
      <w:r w:rsidRPr="00342B8B">
        <w:rPr>
          <w:b/>
          <w:bCs/>
          <w:rtl/>
          <w:lang w:eastAsia="zh-TW"/>
        </w:rPr>
        <w:t>ات</w:t>
      </w:r>
      <w:r>
        <w:rPr>
          <w:b/>
          <w:bCs/>
          <w:rtl/>
          <w:lang w:eastAsia="zh-TW"/>
        </w:rPr>
        <w:t xml:space="preserve"> </w:t>
      </w:r>
      <w:r w:rsidRPr="00342B8B">
        <w:rPr>
          <w:b/>
          <w:bCs/>
          <w:rtl/>
          <w:lang w:eastAsia="zh-TW"/>
        </w:rPr>
        <w:t>التقرير</w:t>
      </w:r>
      <w:r>
        <w:rPr>
          <w:b/>
          <w:bCs/>
          <w:rtl/>
          <w:lang w:eastAsia="zh-TW"/>
        </w:rPr>
        <w:t xml:space="preserve"> </w:t>
      </w:r>
      <w:r w:rsidRPr="00342B8B">
        <w:rPr>
          <w:b/>
          <w:bCs/>
          <w:rtl/>
          <w:lang w:eastAsia="zh-TW"/>
        </w:rPr>
        <w:t>200</w:t>
      </w:r>
      <w:r>
        <w:rPr>
          <w:b/>
          <w:bCs/>
          <w:rtl/>
          <w:lang w:eastAsia="zh-TW"/>
        </w:rPr>
        <w:t xml:space="preserve"> </w:t>
      </w:r>
      <w:r w:rsidRPr="00342B8B">
        <w:rPr>
          <w:b/>
          <w:bCs/>
          <w:rtl/>
          <w:lang w:eastAsia="zh-TW"/>
        </w:rPr>
        <w:t>21</w:t>
      </w:r>
      <w:r>
        <w:rPr>
          <w:b/>
          <w:bCs/>
          <w:rtl/>
          <w:lang w:eastAsia="zh-TW"/>
        </w:rPr>
        <w:t xml:space="preserve"> </w:t>
      </w:r>
      <w:r w:rsidRPr="00342B8B">
        <w:rPr>
          <w:b/>
          <w:bCs/>
          <w:rtl/>
          <w:lang w:eastAsia="zh-TW"/>
        </w:rPr>
        <w:t>كلمة.</w:t>
      </w:r>
    </w:p>
    <w:p w:rsidR="003F3175" w:rsidRPr="003A7BC5" w:rsidRDefault="003A7BC5" w:rsidP="003A7BC5">
      <w:pPr>
        <w:spacing w:before="120"/>
        <w:jc w:val="center"/>
        <w:rPr>
          <w:rStyle w:val="FootnoteReference"/>
          <w:b w:val="0"/>
          <w:sz w:val="30"/>
          <w:szCs w:val="30"/>
          <w:u w:val="single"/>
          <w:vertAlign w:val="baseline"/>
          <w:rtl/>
          <w:lang w:bidi="ar-DZ"/>
        </w:rPr>
      </w:pPr>
      <w:r>
        <w:rPr>
          <w:rStyle w:val="FootnoteReference"/>
          <w:b w:val="0"/>
          <w:sz w:val="30"/>
          <w:szCs w:val="30"/>
          <w:u w:val="single"/>
          <w:vertAlign w:val="baseline"/>
          <w:rtl/>
          <w:lang w:bidi="ar-DZ"/>
        </w:rPr>
        <w:tab/>
      </w:r>
      <w:r>
        <w:rPr>
          <w:rStyle w:val="FootnoteReference"/>
          <w:b w:val="0"/>
          <w:sz w:val="30"/>
          <w:szCs w:val="30"/>
          <w:u w:val="single"/>
          <w:vertAlign w:val="baseline"/>
          <w:rtl/>
          <w:lang w:bidi="ar-DZ"/>
        </w:rPr>
        <w:tab/>
      </w:r>
      <w:r>
        <w:rPr>
          <w:rStyle w:val="FootnoteReference"/>
          <w:b w:val="0"/>
          <w:sz w:val="30"/>
          <w:szCs w:val="30"/>
          <w:u w:val="single"/>
          <w:vertAlign w:val="baseline"/>
          <w:rtl/>
          <w:lang w:bidi="ar-DZ"/>
        </w:rPr>
        <w:tab/>
      </w:r>
    </w:p>
    <w:sectPr w:rsidR="003F3175" w:rsidRPr="003A7BC5" w:rsidSect="00D4628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175" w:rsidRPr="002901D9" w:rsidRDefault="003F3175" w:rsidP="002901D9">
      <w:pPr>
        <w:spacing w:after="60" w:line="240" w:lineRule="auto"/>
        <w:rPr>
          <w:i/>
          <w:iCs/>
        </w:rPr>
      </w:pPr>
      <w:r>
        <w:rPr>
          <w:rFonts w:hint="cs"/>
          <w:i/>
          <w:iCs/>
          <w:rtl/>
        </w:rPr>
        <w:t>الحواشي</w:t>
      </w:r>
    </w:p>
  </w:endnote>
  <w:endnote w:type="continuationSeparator" w:id="0">
    <w:p w:rsidR="003F3175" w:rsidRDefault="003F317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75" w:rsidRPr="003F3175" w:rsidRDefault="003F3175" w:rsidP="003F3175">
    <w:pPr>
      <w:pStyle w:val="Footer"/>
      <w:tabs>
        <w:tab w:val="right" w:pos="9598"/>
      </w:tabs>
      <w:rPr>
        <w:sz w:val="17"/>
      </w:rPr>
    </w:pPr>
    <w:r>
      <w:rPr>
        <w:sz w:val="17"/>
      </w:rPr>
      <w:t>GE.19-06541</w:t>
    </w:r>
    <w:r>
      <w:rPr>
        <w:sz w:val="17"/>
      </w:rPr>
      <w:tab/>
    </w:r>
    <w:r w:rsidRPr="003F3175">
      <w:rPr>
        <w:b/>
        <w:sz w:val="18"/>
      </w:rPr>
      <w:fldChar w:fldCharType="begin"/>
    </w:r>
    <w:r w:rsidRPr="003F3175">
      <w:rPr>
        <w:b/>
        <w:sz w:val="18"/>
      </w:rPr>
      <w:instrText xml:space="preserve"> PAGE  \* MERGEFORMAT </w:instrText>
    </w:r>
    <w:r w:rsidRPr="003F3175">
      <w:rPr>
        <w:b/>
        <w:sz w:val="18"/>
      </w:rPr>
      <w:fldChar w:fldCharType="separate"/>
    </w:r>
    <w:r>
      <w:rPr>
        <w:b/>
        <w:sz w:val="18"/>
      </w:rPr>
      <w:t>2</w:t>
    </w:r>
    <w:r w:rsidRPr="003F317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75" w:rsidRPr="003F3175" w:rsidRDefault="003F3175" w:rsidP="006959B0">
    <w:pPr>
      <w:pStyle w:val="Footer"/>
      <w:tabs>
        <w:tab w:val="right" w:pos="9599"/>
      </w:tabs>
      <w:jc w:val="left"/>
      <w:rPr>
        <w:b/>
        <w:sz w:val="18"/>
        <w:lang w:val="en-US"/>
      </w:rPr>
    </w:pPr>
    <w:r w:rsidRPr="003F3175">
      <w:rPr>
        <w:b/>
        <w:sz w:val="18"/>
        <w:lang w:val="en-US"/>
      </w:rPr>
      <w:fldChar w:fldCharType="begin"/>
    </w:r>
    <w:r w:rsidRPr="003F3175">
      <w:rPr>
        <w:b/>
        <w:sz w:val="18"/>
        <w:lang w:val="en-US"/>
      </w:rPr>
      <w:instrText xml:space="preserve"> PAGE  \* MERGEFORMAT </w:instrText>
    </w:r>
    <w:r w:rsidRPr="003F3175">
      <w:rPr>
        <w:b/>
        <w:sz w:val="18"/>
        <w:lang w:val="en-US"/>
      </w:rPr>
      <w:fldChar w:fldCharType="separate"/>
    </w:r>
    <w:r w:rsidRPr="003F3175">
      <w:rPr>
        <w:b/>
        <w:noProof/>
        <w:sz w:val="18"/>
        <w:lang w:val="en-US"/>
      </w:rPr>
      <w:t>3</w:t>
    </w:r>
    <w:r w:rsidRPr="003F3175">
      <w:rPr>
        <w:b/>
        <w:sz w:val="18"/>
        <w:lang w:val="en-US"/>
      </w:rPr>
      <w:fldChar w:fldCharType="end"/>
    </w:r>
    <w:r>
      <w:rPr>
        <w:b/>
        <w:sz w:val="18"/>
        <w:lang w:val="en-US"/>
      </w:rPr>
      <w:tab/>
    </w:r>
    <w:r>
      <w:rPr>
        <w:sz w:val="17"/>
        <w:lang w:val="en-US"/>
      </w:rPr>
      <w:t>GE.19-06541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75" w:rsidRDefault="003F3175" w:rsidP="00982139">
    <w:pPr>
      <w:pStyle w:val="Footer"/>
      <w:spacing w:before="360"/>
      <w:jc w:val="right"/>
      <w:rPr>
        <w:sz w:val="20"/>
        <w:szCs w:val="20"/>
      </w:rPr>
    </w:pPr>
    <w:r>
      <w:rPr>
        <w:sz w:val="20"/>
        <w:szCs w:val="20"/>
      </w:rPr>
      <w:t>GE.19-06541</w:t>
    </w:r>
    <w:r>
      <w:rPr>
        <w:noProof/>
        <w:lang w:val="en-US"/>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3F3175" w:rsidRPr="00D4628D" w:rsidRDefault="003F3175" w:rsidP="00D4628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175" w:rsidRDefault="003F3175" w:rsidP="000437B8">
      <w:pPr>
        <w:pStyle w:val="Footer"/>
        <w:bidi/>
        <w:spacing w:after="80" w:line="200" w:lineRule="exact"/>
        <w:ind w:left="680"/>
      </w:pPr>
      <w:r>
        <w:rPr>
          <w:rtl/>
        </w:rPr>
        <w:t>__________</w:t>
      </w:r>
    </w:p>
  </w:footnote>
  <w:footnote w:type="continuationSeparator" w:id="0">
    <w:p w:rsidR="003F3175" w:rsidRDefault="003F3175" w:rsidP="00656392">
      <w:pPr>
        <w:spacing w:line="240" w:lineRule="auto"/>
      </w:pPr>
      <w:r>
        <w:continuationSeparator/>
      </w:r>
    </w:p>
  </w:footnote>
  <w:footnote w:id="1">
    <w:p w:rsidR="003F3175" w:rsidRPr="003F3175" w:rsidRDefault="003F3175" w:rsidP="003F3175">
      <w:pPr>
        <w:pStyle w:val="FootnoteText1"/>
        <w:rPr>
          <w:sz w:val="20"/>
          <w:szCs w:val="28"/>
          <w:lang w:bidi="ar-DZ"/>
        </w:rPr>
      </w:pPr>
      <w:r w:rsidRPr="003F3175">
        <w:rPr>
          <w:sz w:val="20"/>
          <w:szCs w:val="28"/>
          <w:rtl/>
          <w:lang w:bidi="ar-DZ"/>
        </w:rPr>
        <w:t>*</w:t>
      </w:r>
      <w:r w:rsidRPr="003F3175">
        <w:rPr>
          <w:sz w:val="20"/>
          <w:szCs w:val="28"/>
          <w:rtl/>
          <w:lang w:bidi="ar-DZ"/>
        </w:rPr>
        <w:tab/>
      </w:r>
      <w:r w:rsidRPr="003F3175">
        <w:rPr>
          <w:rFonts w:hint="cs"/>
          <w:sz w:val="26"/>
          <w:rtl/>
          <w:lang w:bidi="ar-DZ"/>
        </w:rPr>
        <w:t>اعتمدتها</w:t>
      </w:r>
      <w:r>
        <w:rPr>
          <w:rFonts w:hint="cs"/>
          <w:sz w:val="26"/>
          <w:rtl/>
          <w:lang w:bidi="ar-DZ"/>
        </w:rPr>
        <w:t xml:space="preserve"> </w:t>
      </w:r>
      <w:r w:rsidRPr="003F3175">
        <w:rPr>
          <w:rFonts w:hint="cs"/>
          <w:sz w:val="26"/>
          <w:rtl/>
          <w:lang w:bidi="ar-DZ"/>
        </w:rPr>
        <w:t>اللجنة</w:t>
      </w:r>
      <w:r>
        <w:rPr>
          <w:rFonts w:hint="cs"/>
          <w:sz w:val="26"/>
          <w:rtl/>
          <w:lang w:bidi="ar-DZ"/>
        </w:rPr>
        <w:t xml:space="preserve"> </w:t>
      </w:r>
      <w:r w:rsidRPr="003F3175">
        <w:rPr>
          <w:rFonts w:hint="cs"/>
          <w:sz w:val="26"/>
          <w:rtl/>
          <w:lang w:bidi="ar-DZ"/>
        </w:rPr>
        <w:t>في</w:t>
      </w:r>
      <w:r>
        <w:rPr>
          <w:rFonts w:hint="cs"/>
          <w:sz w:val="26"/>
          <w:rtl/>
          <w:lang w:bidi="ar-DZ"/>
        </w:rPr>
        <w:t xml:space="preserve"> </w:t>
      </w:r>
      <w:r w:rsidRPr="003F3175">
        <w:rPr>
          <w:rFonts w:hint="cs"/>
          <w:sz w:val="26"/>
          <w:rtl/>
          <w:lang w:bidi="ar-DZ"/>
        </w:rPr>
        <w:t>دورتها</w:t>
      </w:r>
      <w:r>
        <w:rPr>
          <w:rFonts w:hint="cs"/>
          <w:sz w:val="26"/>
          <w:rtl/>
          <w:lang w:bidi="ar-DZ"/>
        </w:rPr>
        <w:t xml:space="preserve"> </w:t>
      </w:r>
      <w:r w:rsidRPr="003F3175">
        <w:rPr>
          <w:rFonts w:hint="cs"/>
          <w:sz w:val="26"/>
          <w:rtl/>
          <w:lang w:bidi="ar-DZ"/>
        </w:rPr>
        <w:t>125</w:t>
      </w:r>
      <w:r>
        <w:rPr>
          <w:rFonts w:hint="cs"/>
          <w:sz w:val="26"/>
          <w:rtl/>
          <w:lang w:bidi="ar-DZ"/>
        </w:rPr>
        <w:t xml:space="preserve"> </w:t>
      </w:r>
      <w:r w:rsidRPr="003F3175">
        <w:rPr>
          <w:rFonts w:hint="cs"/>
          <w:sz w:val="26"/>
          <w:rtl/>
          <w:lang w:bidi="ar-DZ"/>
        </w:rPr>
        <w:t>(4</w:t>
      </w:r>
      <w:r>
        <w:rPr>
          <w:rFonts w:hint="cs"/>
          <w:sz w:val="26"/>
          <w:rtl/>
          <w:lang w:bidi="ar-DZ"/>
        </w:rPr>
        <w:t>-</w:t>
      </w:r>
      <w:r w:rsidRPr="003F3175">
        <w:rPr>
          <w:rFonts w:hint="cs"/>
          <w:sz w:val="26"/>
          <w:rtl/>
          <w:lang w:bidi="ar-DZ"/>
        </w:rPr>
        <w:t>29</w:t>
      </w:r>
      <w:r>
        <w:rPr>
          <w:rFonts w:hint="cs"/>
          <w:sz w:val="26"/>
          <w:rtl/>
          <w:lang w:bidi="ar-DZ"/>
        </w:rPr>
        <w:t xml:space="preserve"> </w:t>
      </w:r>
      <w:r w:rsidRPr="003F3175">
        <w:rPr>
          <w:rFonts w:hint="cs"/>
          <w:sz w:val="26"/>
          <w:rtl/>
          <w:lang w:bidi="ar-DZ"/>
        </w:rPr>
        <w:t>آذار/مارس</w:t>
      </w:r>
      <w:r>
        <w:rPr>
          <w:rFonts w:hint="cs"/>
          <w:sz w:val="26"/>
          <w:rtl/>
          <w:lang w:bidi="ar-DZ"/>
        </w:rPr>
        <w:t xml:space="preserve"> </w:t>
      </w:r>
      <w:r w:rsidRPr="003F3175">
        <w:rPr>
          <w:rFonts w:hint="cs"/>
          <w:sz w:val="26"/>
          <w:rtl/>
          <w:lang w:bidi="ar-DZ"/>
        </w:rP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75" w:rsidRPr="003F3175" w:rsidRDefault="003F3175" w:rsidP="003F3175">
    <w:pPr>
      <w:pStyle w:val="Header"/>
      <w:jc w:val="right"/>
    </w:pPr>
    <w:r w:rsidRPr="003F3175">
      <w:t>CCPR/C/EST/CO/4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175" w:rsidRPr="003F3175" w:rsidRDefault="003F3175" w:rsidP="003F3175">
    <w:pPr>
      <w:pStyle w:val="Header"/>
      <w:jc w:val="left"/>
    </w:pPr>
    <w:r w:rsidRPr="003F3175">
      <w:t>CCPR/C/EST/CO/4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A5C6E"/>
    <w:rsid w:val="000076D5"/>
    <w:rsid w:val="00043663"/>
    <w:rsid w:val="000437B8"/>
    <w:rsid w:val="000505CF"/>
    <w:rsid w:val="000921EE"/>
    <w:rsid w:val="000D701C"/>
    <w:rsid w:val="000E2A71"/>
    <w:rsid w:val="00160263"/>
    <w:rsid w:val="00181F96"/>
    <w:rsid w:val="001A1371"/>
    <w:rsid w:val="001B346A"/>
    <w:rsid w:val="001E1CAD"/>
    <w:rsid w:val="001E290D"/>
    <w:rsid w:val="002144FA"/>
    <w:rsid w:val="0023469A"/>
    <w:rsid w:val="00243C8A"/>
    <w:rsid w:val="00267A0E"/>
    <w:rsid w:val="002901D9"/>
    <w:rsid w:val="002976C2"/>
    <w:rsid w:val="002A1499"/>
    <w:rsid w:val="003260FF"/>
    <w:rsid w:val="00343D95"/>
    <w:rsid w:val="00363A18"/>
    <w:rsid w:val="00374341"/>
    <w:rsid w:val="003A7BC5"/>
    <w:rsid w:val="003D1062"/>
    <w:rsid w:val="003F3175"/>
    <w:rsid w:val="00420D7B"/>
    <w:rsid w:val="00450B21"/>
    <w:rsid w:val="00453B63"/>
    <w:rsid w:val="00455780"/>
    <w:rsid w:val="004B0A1C"/>
    <w:rsid w:val="004D298E"/>
    <w:rsid w:val="00517BC9"/>
    <w:rsid w:val="0054472E"/>
    <w:rsid w:val="005662A9"/>
    <w:rsid w:val="005775BD"/>
    <w:rsid w:val="005827D4"/>
    <w:rsid w:val="0059622A"/>
    <w:rsid w:val="005C5878"/>
    <w:rsid w:val="005C7CEA"/>
    <w:rsid w:val="005D3C0B"/>
    <w:rsid w:val="005E5217"/>
    <w:rsid w:val="005F0FA4"/>
    <w:rsid w:val="005F30EE"/>
    <w:rsid w:val="0060473A"/>
    <w:rsid w:val="00656392"/>
    <w:rsid w:val="006815D7"/>
    <w:rsid w:val="0068781D"/>
    <w:rsid w:val="006959B0"/>
    <w:rsid w:val="006A5C6E"/>
    <w:rsid w:val="006B3E27"/>
    <w:rsid w:val="006B6507"/>
    <w:rsid w:val="006C104C"/>
    <w:rsid w:val="00733704"/>
    <w:rsid w:val="0078071A"/>
    <w:rsid w:val="00787E1E"/>
    <w:rsid w:val="00796C15"/>
    <w:rsid w:val="00852A9A"/>
    <w:rsid w:val="008C6ADA"/>
    <w:rsid w:val="008F49E1"/>
    <w:rsid w:val="0090370F"/>
    <w:rsid w:val="009269D2"/>
    <w:rsid w:val="00942135"/>
    <w:rsid w:val="009521B0"/>
    <w:rsid w:val="00982139"/>
    <w:rsid w:val="009867A8"/>
    <w:rsid w:val="009A7E9F"/>
    <w:rsid w:val="009E5018"/>
    <w:rsid w:val="00A12B37"/>
    <w:rsid w:val="00AA52D5"/>
    <w:rsid w:val="00AB6758"/>
    <w:rsid w:val="00B13763"/>
    <w:rsid w:val="00B477A4"/>
    <w:rsid w:val="00B54045"/>
    <w:rsid w:val="00B65FE8"/>
    <w:rsid w:val="00BB40DD"/>
    <w:rsid w:val="00C438D7"/>
    <w:rsid w:val="00C81B50"/>
    <w:rsid w:val="00CB6622"/>
    <w:rsid w:val="00CD1801"/>
    <w:rsid w:val="00CF65C6"/>
    <w:rsid w:val="00D10EF1"/>
    <w:rsid w:val="00D42810"/>
    <w:rsid w:val="00D4628D"/>
    <w:rsid w:val="00D914A7"/>
    <w:rsid w:val="00DD13C3"/>
    <w:rsid w:val="00DD596E"/>
    <w:rsid w:val="00DD621E"/>
    <w:rsid w:val="00DE50B1"/>
    <w:rsid w:val="00DF0575"/>
    <w:rsid w:val="00E70E04"/>
    <w:rsid w:val="00EC05A7"/>
    <w:rsid w:val="00EC4B6B"/>
    <w:rsid w:val="00ED7442"/>
    <w:rsid w:val="00EF1EE5"/>
    <w:rsid w:val="00F56FE2"/>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95334A8-695D-49BD-83DE-956663B0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qFormat/>
    <w:rsid w:val="003F3175"/>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3F3175"/>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SingleTxtG">
    <w:name w:val="_ Single Txt_G"/>
    <w:basedOn w:val="Normal"/>
    <w:qFormat/>
    <w:rsid w:val="003F3175"/>
    <w:pPr>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3502-5AFE-489F-9B72-9229E73C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3835</Words>
  <Characters>20330</Characters>
  <Application>Microsoft Office Word</Application>
  <DocSecurity>0</DocSecurity>
  <Lines>847</Lines>
  <Paragraphs>732</Paragraphs>
  <ScaleCrop>false</ScaleCrop>
  <HeadingPairs>
    <vt:vector size="2" baseType="variant">
      <vt:variant>
        <vt:lpstr>Title</vt:lpstr>
      </vt:variant>
      <vt:variant>
        <vt:i4>1</vt:i4>
      </vt:variant>
    </vt:vector>
  </HeadingPairs>
  <TitlesOfParts>
    <vt:vector size="1" baseType="lpstr">
      <vt:lpstr>CCPR/C/EST/CO/4</vt:lpstr>
    </vt:vector>
  </TitlesOfParts>
  <Company>DCM</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CCPR/C/EST/CO/4</dc:title>
  <dc:subject>GE.1906541A</dc:subject>
  <dc:creator>MBU, MIR</dc:creator>
  <cp:keywords>ODS No. 1911027</cp:keywords>
  <dc:description>Distribution:_x000d_
Original: English_x000d_
Date: 18 April 2019</dc:description>
  <cp:lastModifiedBy>Ibrahim Balan</cp:lastModifiedBy>
  <cp:revision>2</cp:revision>
  <cp:lastPrinted>2019-09-18T09:53:00Z</cp:lastPrinted>
  <dcterms:created xsi:type="dcterms:W3CDTF">2019-09-18T14:22:00Z</dcterms:created>
  <dcterms:modified xsi:type="dcterms:W3CDTF">2019-09-18T14:22:00Z</dcterms:modified>
  <cp:category>Finale</cp:category>
</cp:coreProperties>
</file>