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B50FE3" w14:textId="77777777" w:rsidR="00F13127" w:rsidRPr="00DE46F3" w:rsidRDefault="00F13127" w:rsidP="00F13127">
      <w:pPr>
        <w:spacing w:line="240" w:lineRule="auto"/>
        <w:rPr>
          <w:sz w:val="2"/>
        </w:rPr>
        <w:sectPr w:rsidR="00F13127" w:rsidRPr="00DE46F3" w:rsidSect="00F13127">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pgSz w:w="12240" w:h="15840"/>
          <w:pgMar w:top="1440" w:right="1200" w:bottom="1152" w:left="1200" w:header="432" w:footer="504" w:gutter="0"/>
          <w:cols w:space="720"/>
          <w:titlePg/>
          <w:docGrid w:linePitch="360"/>
        </w:sectPr>
      </w:pPr>
      <w:bookmarkStart w:id="0" w:name="_Hlk92887148"/>
      <w:commentRangeStart w:id="1"/>
      <w:commentRangeEnd w:id="1"/>
      <w:r w:rsidRPr="00DE46F3">
        <w:rPr>
          <w:rStyle w:val="CommentReference"/>
        </w:rPr>
        <w:commentReference w:id="1"/>
      </w:r>
    </w:p>
    <w:p w14:paraId="53CD3140" w14:textId="32A66004" w:rsidR="00CA3C9F" w:rsidRPr="00DE46F3" w:rsidRDefault="00CA3C9F" w:rsidP="00CA3C9F">
      <w:pPr>
        <w:pStyle w:val="H1"/>
        <w:ind w:left="0" w:right="4458" w:firstLine="0"/>
      </w:pPr>
      <w:r w:rsidRPr="00DE46F3">
        <w:t>Committee on the Elimination of Discrimination against Women</w:t>
      </w:r>
    </w:p>
    <w:p w14:paraId="33BE3CAA" w14:textId="242A1CFA" w:rsidR="00CA3C9F" w:rsidRPr="00DE46F3" w:rsidRDefault="00CA3C9F" w:rsidP="00CA3C9F">
      <w:pPr>
        <w:pStyle w:val="SingleTxt"/>
        <w:spacing w:after="0" w:line="120" w:lineRule="exact"/>
        <w:rPr>
          <w:sz w:val="10"/>
        </w:rPr>
      </w:pPr>
    </w:p>
    <w:p w14:paraId="7EA666C7" w14:textId="67BC8DBB" w:rsidR="00CA3C9F" w:rsidRPr="00DE46F3" w:rsidRDefault="00CA3C9F" w:rsidP="00CA3C9F">
      <w:pPr>
        <w:pStyle w:val="SingleTxt"/>
        <w:spacing w:after="0" w:line="120" w:lineRule="exact"/>
        <w:rPr>
          <w:sz w:val="10"/>
        </w:rPr>
      </w:pPr>
    </w:p>
    <w:p w14:paraId="479620B7" w14:textId="6571E7E4" w:rsidR="00CA3C9F" w:rsidRPr="00DE46F3" w:rsidRDefault="00CA3C9F" w:rsidP="00CA3C9F">
      <w:pPr>
        <w:pStyle w:val="SingleTxt"/>
        <w:spacing w:after="0" w:line="120" w:lineRule="exact"/>
        <w:rPr>
          <w:sz w:val="10"/>
        </w:rPr>
      </w:pPr>
    </w:p>
    <w:p w14:paraId="72B2D046" w14:textId="08C3F7EF" w:rsidR="005259CC" w:rsidRPr="00DE46F3" w:rsidRDefault="005259CC" w:rsidP="005259CC">
      <w:pPr>
        <w:framePr w:w="9792" w:h="432" w:hSpace="180" w:wrap="notBeside" w:hAnchor="page" w:x="1210" w:yAlign="bottom"/>
        <w:spacing w:line="240" w:lineRule="auto"/>
        <w:rPr>
          <w:sz w:val="2"/>
        </w:rPr>
      </w:pPr>
      <w:r w:rsidRPr="00DE46F3">
        <w:rPr>
          <w:noProof/>
          <w:w w:val="100"/>
          <w:sz w:val="2"/>
        </w:rPr>
        <mc:AlternateContent>
          <mc:Choice Requires="wps">
            <w:drawing>
              <wp:anchor distT="0" distB="0" distL="114300" distR="114300" simplePos="0" relativeHeight="251664384" behindDoc="0" locked="0" layoutInCell="1" allowOverlap="1" wp14:anchorId="610B3C87" wp14:editId="20AACB61">
                <wp:simplePos x="0" y="0"/>
                <wp:positionH relativeFrom="page">
                  <wp:posOffset>639445</wp:posOffset>
                </wp:positionH>
                <wp:positionV relativeFrom="paragraph">
                  <wp:posOffset>-12700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F5A26F6" id="Straight Connector 4" o:spid="_x0000_s1026" style="position:absolute;z-index:251664384;visibility:visible;mso-wrap-style:square;mso-wrap-distance-left:9pt;mso-wrap-distance-top:0;mso-wrap-distance-right:9pt;mso-wrap-distance-bottom:0;mso-position-horizontal:absolute;mso-position-horizontal-relative:page;mso-position-vertical:absolute;mso-position-vertical-relative:text" from="50.35pt,-1pt" to="122.3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" strokecolor="#010000" strokeweight=".25pt">
                <w10:wrap anchorx="page"/>
              </v:line>
            </w:pict>
          </mc:Fallback>
        </mc:AlternateContent>
      </w:r>
    </w:p>
    <w:p w14:paraId="3E7BE2DD" w14:textId="339653FE" w:rsidR="005259CC" w:rsidRPr="00DE46F3" w:rsidRDefault="005259CC" w:rsidP="005259CC">
      <w:pPr>
        <w:framePr w:w="9792" w:h="432" w:hSpace="180" w:wrap="notBeside"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pacing w:val="5"/>
          <w:w w:val="104"/>
          <w:sz w:val="17"/>
        </w:rPr>
      </w:pPr>
      <w:r w:rsidRPr="00DE46F3">
        <w:rPr>
          <w:spacing w:val="5"/>
          <w:w w:val="104"/>
          <w:sz w:val="17"/>
        </w:rPr>
        <w:tab/>
        <w:t>*</w:t>
      </w:r>
      <w:r w:rsidRPr="00DE46F3">
        <w:rPr>
          <w:spacing w:val="5"/>
          <w:w w:val="104"/>
          <w:sz w:val="17"/>
        </w:rPr>
        <w:tab/>
        <w:t>The present document is being issued without formal editing.</w:t>
      </w:r>
    </w:p>
    <w:p w14:paraId="01E737CD" w14:textId="1058ECAA" w:rsidR="00CA3C9F" w:rsidRPr="00DE46F3" w:rsidRDefault="00CA3C9F" w:rsidP="00CA3C9F">
      <w:pPr>
        <w:pStyle w:val="TitleHCH"/>
        <w:ind w:left="1267" w:right="1260" w:hanging="1267"/>
        <w:rPr>
          <w:b w:val="0"/>
          <w:bCs/>
          <w:sz w:val="20"/>
        </w:rPr>
      </w:pPr>
      <w:r w:rsidRPr="00DE46F3">
        <w:tab/>
      </w:r>
      <w:r w:rsidRPr="00DE46F3">
        <w:tab/>
        <w:t>Fourth periodic report submitted by Timor-Leste under article 18 of the Convention, due in 2021</w:t>
      </w:r>
      <w:r w:rsidR="005259CC" w:rsidRPr="00DE46F3">
        <w:rPr>
          <w:b w:val="0"/>
          <w:bCs/>
          <w:sz w:val="20"/>
        </w:rPr>
        <w:t>*</w:t>
      </w:r>
    </w:p>
    <w:p w14:paraId="3858F145" w14:textId="0C5E6066" w:rsidR="00CA3C9F" w:rsidRPr="00DE46F3" w:rsidRDefault="00CA3C9F" w:rsidP="00CA3C9F">
      <w:pPr>
        <w:pStyle w:val="SingleTxt"/>
        <w:spacing w:after="0" w:line="120" w:lineRule="exact"/>
        <w:rPr>
          <w:sz w:val="10"/>
        </w:rPr>
      </w:pPr>
    </w:p>
    <w:p w14:paraId="1BA4D544" w14:textId="77777777" w:rsidR="00DE46F3" w:rsidRPr="00DE46F3" w:rsidRDefault="00DE46F3" w:rsidP="00CA3C9F">
      <w:pPr>
        <w:pStyle w:val="SingleTxt"/>
        <w:spacing w:after="0" w:line="120" w:lineRule="exact"/>
        <w:rPr>
          <w:sz w:val="10"/>
        </w:rPr>
      </w:pPr>
    </w:p>
    <w:p w14:paraId="1E5454E5" w14:textId="642D82BF" w:rsidR="00CA3C9F" w:rsidRPr="00DE46F3" w:rsidRDefault="00CA3C9F" w:rsidP="00CA3C9F">
      <w:pPr>
        <w:pStyle w:val="SingleTxt"/>
        <w:jc w:val="right"/>
      </w:pPr>
      <w:r w:rsidRPr="00DE46F3">
        <w:t>[Date received: 28 January 2021]</w:t>
      </w:r>
    </w:p>
    <w:p w14:paraId="2B2F494A" w14:textId="2AAB6BA4" w:rsidR="00CA3C9F" w:rsidRPr="00DE46F3" w:rsidRDefault="00CA3C9F">
      <w:pPr>
        <w:suppressAutoHyphens w:val="0"/>
        <w:spacing w:after="200" w:line="276" w:lineRule="auto"/>
      </w:pPr>
      <w:r w:rsidRPr="00DE46F3">
        <w:br w:type="page"/>
      </w:r>
    </w:p>
    <w:p w14:paraId="7CC189FE" w14:textId="77777777" w:rsidR="00B37E53" w:rsidRPr="00DE46F3" w:rsidRDefault="00B37E53" w:rsidP="00B37E53">
      <w:pPr>
        <w:pStyle w:val="HCh"/>
        <w:spacing w:after="120"/>
        <w:rPr>
          <w:b w:val="0"/>
        </w:rPr>
      </w:pPr>
      <w:r w:rsidRPr="00DE46F3">
        <w:rPr>
          <w:b w:val="0"/>
        </w:rPr>
        <w:lastRenderedPageBreak/>
        <w:t>Contents</w:t>
      </w:r>
    </w:p>
    <w:tbl>
      <w:tblPr>
        <w:tblW w:w="9902" w:type="dxa"/>
        <w:tblLayout w:type="fixed"/>
        <w:tblCellMar>
          <w:left w:w="0" w:type="dxa"/>
          <w:right w:w="0" w:type="dxa"/>
        </w:tblCellMar>
        <w:tblLook w:val="0000" w:firstRow="0" w:lastRow="0" w:firstColumn="0" w:lastColumn="0" w:noHBand="0" w:noVBand="0"/>
      </w:tblPr>
      <w:tblGrid>
        <w:gridCol w:w="1060"/>
        <w:gridCol w:w="7315"/>
        <w:gridCol w:w="994"/>
        <w:gridCol w:w="533"/>
      </w:tblGrid>
      <w:tr w:rsidR="00B37E53" w:rsidRPr="00DE46F3" w14:paraId="2A23E51D" w14:textId="77777777" w:rsidTr="00B37E53">
        <w:tc>
          <w:tcPr>
            <w:tcW w:w="1060" w:type="dxa"/>
            <w:shd w:val="clear" w:color="auto" w:fill="auto"/>
          </w:tcPr>
          <w:p w14:paraId="29640DF4" w14:textId="3C9ACDE4" w:rsidR="00B37E53" w:rsidRPr="00DE46F3" w:rsidRDefault="00B37E53" w:rsidP="00B37E53">
            <w:pPr>
              <w:spacing w:after="120" w:line="240" w:lineRule="auto"/>
              <w:jc w:val="right"/>
              <w:rPr>
                <w:i/>
                <w:sz w:val="14"/>
              </w:rPr>
            </w:pPr>
          </w:p>
        </w:tc>
        <w:tc>
          <w:tcPr>
            <w:tcW w:w="7315" w:type="dxa"/>
            <w:shd w:val="clear" w:color="auto" w:fill="auto"/>
          </w:tcPr>
          <w:p w14:paraId="7E7817CA" w14:textId="77777777" w:rsidR="00B37E53" w:rsidRPr="00DE46F3" w:rsidRDefault="00B37E53" w:rsidP="00B37E53">
            <w:pPr>
              <w:spacing w:after="120" w:line="240" w:lineRule="auto"/>
              <w:rPr>
                <w:i/>
                <w:sz w:val="14"/>
              </w:rPr>
            </w:pPr>
          </w:p>
        </w:tc>
        <w:tc>
          <w:tcPr>
            <w:tcW w:w="994" w:type="dxa"/>
            <w:shd w:val="clear" w:color="auto" w:fill="auto"/>
          </w:tcPr>
          <w:p w14:paraId="60358B87" w14:textId="1B843A29" w:rsidR="00B37E53" w:rsidRPr="00DE46F3" w:rsidRDefault="00B37E53" w:rsidP="00B37E53">
            <w:pPr>
              <w:spacing w:after="120" w:line="240" w:lineRule="auto"/>
              <w:jc w:val="right"/>
              <w:rPr>
                <w:i/>
                <w:sz w:val="14"/>
              </w:rPr>
            </w:pPr>
          </w:p>
        </w:tc>
        <w:tc>
          <w:tcPr>
            <w:tcW w:w="533" w:type="dxa"/>
            <w:shd w:val="clear" w:color="auto" w:fill="auto"/>
          </w:tcPr>
          <w:p w14:paraId="0136B0A9" w14:textId="239F4203" w:rsidR="00B37E53" w:rsidRPr="00DE46F3" w:rsidRDefault="00B37E53" w:rsidP="00B37E53">
            <w:pPr>
              <w:spacing w:after="120" w:line="240" w:lineRule="auto"/>
              <w:jc w:val="right"/>
              <w:rPr>
                <w:i/>
                <w:sz w:val="14"/>
              </w:rPr>
            </w:pPr>
            <w:r w:rsidRPr="00DE46F3">
              <w:rPr>
                <w:i/>
                <w:sz w:val="14"/>
              </w:rPr>
              <w:t>Page</w:t>
            </w:r>
          </w:p>
        </w:tc>
      </w:tr>
      <w:tr w:rsidR="00B37E53" w:rsidRPr="00DE46F3" w14:paraId="657853B7" w14:textId="77777777" w:rsidTr="00B37E53">
        <w:tc>
          <w:tcPr>
            <w:tcW w:w="9369" w:type="dxa"/>
            <w:gridSpan w:val="3"/>
            <w:shd w:val="clear" w:color="auto" w:fill="auto"/>
          </w:tcPr>
          <w:p w14:paraId="27F02688" w14:textId="18A35F5A" w:rsidR="00B37E53" w:rsidRPr="00DE46F3" w:rsidRDefault="00B37E53" w:rsidP="00B37E53">
            <w:pPr>
              <w:pStyle w:val="ListParagraph"/>
              <w:tabs>
                <w:tab w:val="right" w:pos="1080"/>
                <w:tab w:val="left" w:pos="1296"/>
                <w:tab w:val="left" w:pos="1728"/>
                <w:tab w:val="left" w:pos="2160"/>
                <w:tab w:val="right" w:leader="dot" w:pos="9360"/>
              </w:tabs>
              <w:spacing w:after="120"/>
              <w:ind w:left="1296"/>
              <w:rPr>
                <w:spacing w:val="60"/>
                <w:sz w:val="17"/>
              </w:rPr>
            </w:pPr>
            <w:r w:rsidRPr="00DE46F3">
              <w:t>Acronyms</w:t>
            </w:r>
            <w:r w:rsidRPr="00DE46F3">
              <w:rPr>
                <w:spacing w:val="60"/>
                <w:sz w:val="17"/>
              </w:rPr>
              <w:tab/>
            </w:r>
          </w:p>
        </w:tc>
        <w:tc>
          <w:tcPr>
            <w:tcW w:w="533" w:type="dxa"/>
            <w:shd w:val="clear" w:color="auto" w:fill="auto"/>
            <w:vAlign w:val="bottom"/>
          </w:tcPr>
          <w:p w14:paraId="43030234" w14:textId="7EC3EBF6" w:rsidR="00B37E53" w:rsidRPr="00DE46F3" w:rsidRDefault="007D0872" w:rsidP="00B37E53">
            <w:pPr>
              <w:spacing w:after="120"/>
              <w:jc w:val="right"/>
            </w:pPr>
            <w:r>
              <w:t>3</w:t>
            </w:r>
          </w:p>
        </w:tc>
      </w:tr>
      <w:tr w:rsidR="00B37E53" w:rsidRPr="00DE46F3" w14:paraId="57044931" w14:textId="77777777" w:rsidTr="00B37E53">
        <w:tc>
          <w:tcPr>
            <w:tcW w:w="9369" w:type="dxa"/>
            <w:gridSpan w:val="3"/>
            <w:shd w:val="clear" w:color="auto" w:fill="auto"/>
          </w:tcPr>
          <w:p w14:paraId="6238E67B" w14:textId="2380CC00" w:rsidR="00B37E53" w:rsidRPr="00DE46F3" w:rsidRDefault="00B37E53" w:rsidP="00B37E53">
            <w:pPr>
              <w:pStyle w:val="ListParagraph"/>
              <w:tabs>
                <w:tab w:val="right" w:pos="1080"/>
                <w:tab w:val="left" w:pos="1296"/>
                <w:tab w:val="left" w:pos="1728"/>
                <w:tab w:val="left" w:pos="2160"/>
                <w:tab w:val="right" w:leader="dot" w:pos="9360"/>
              </w:tabs>
              <w:spacing w:after="120"/>
              <w:ind w:left="1296"/>
              <w:rPr>
                <w:spacing w:val="60"/>
                <w:sz w:val="17"/>
              </w:rPr>
            </w:pPr>
            <w:r w:rsidRPr="00DE46F3">
              <w:t>Introduction</w:t>
            </w:r>
            <w:r w:rsidRPr="00DE46F3">
              <w:rPr>
                <w:spacing w:val="60"/>
                <w:sz w:val="17"/>
              </w:rPr>
              <w:tab/>
            </w:r>
          </w:p>
        </w:tc>
        <w:tc>
          <w:tcPr>
            <w:tcW w:w="533" w:type="dxa"/>
            <w:shd w:val="clear" w:color="auto" w:fill="auto"/>
            <w:vAlign w:val="bottom"/>
          </w:tcPr>
          <w:p w14:paraId="3BEEE642" w14:textId="3D4040C4" w:rsidR="00B37E53" w:rsidRPr="00DE46F3" w:rsidRDefault="007D0872" w:rsidP="00B37E53">
            <w:pPr>
              <w:spacing w:after="120"/>
              <w:jc w:val="right"/>
            </w:pPr>
            <w:r>
              <w:t>6</w:t>
            </w:r>
          </w:p>
        </w:tc>
      </w:tr>
      <w:tr w:rsidR="00B37E53" w:rsidRPr="00DE46F3" w14:paraId="43157397" w14:textId="77777777" w:rsidTr="00B37E53">
        <w:tc>
          <w:tcPr>
            <w:tcW w:w="9369" w:type="dxa"/>
            <w:gridSpan w:val="3"/>
            <w:shd w:val="clear" w:color="auto" w:fill="auto"/>
          </w:tcPr>
          <w:p w14:paraId="6501EF7F" w14:textId="313C96FC" w:rsidR="00B37E53" w:rsidRPr="00DE46F3" w:rsidRDefault="00B37E53" w:rsidP="00B37E53">
            <w:pPr>
              <w:pStyle w:val="ListParagraph"/>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right" w:leader="dot" w:pos="9360"/>
              </w:tabs>
              <w:spacing w:after="120"/>
              <w:ind w:left="1296"/>
              <w:rPr>
                <w:spacing w:val="60"/>
                <w:sz w:val="17"/>
              </w:rPr>
            </w:pPr>
            <w:r w:rsidRPr="00DE46F3">
              <w:t>Articles 1: Definition of Discrimination and Legislative Framework</w:t>
            </w:r>
            <w:r w:rsidRPr="00DE46F3">
              <w:rPr>
                <w:spacing w:val="60"/>
                <w:sz w:val="17"/>
              </w:rPr>
              <w:tab/>
            </w:r>
          </w:p>
        </w:tc>
        <w:tc>
          <w:tcPr>
            <w:tcW w:w="533" w:type="dxa"/>
            <w:shd w:val="clear" w:color="auto" w:fill="auto"/>
            <w:vAlign w:val="bottom"/>
          </w:tcPr>
          <w:p w14:paraId="164DD5F2" w14:textId="6501778B" w:rsidR="00B37E53" w:rsidRPr="00DE46F3" w:rsidRDefault="007D0872" w:rsidP="00B37E53">
            <w:pPr>
              <w:spacing w:after="120"/>
              <w:jc w:val="right"/>
            </w:pPr>
            <w:r>
              <w:t>6</w:t>
            </w:r>
          </w:p>
        </w:tc>
      </w:tr>
      <w:tr w:rsidR="00B37E53" w:rsidRPr="00DE46F3" w14:paraId="2FDEE822" w14:textId="77777777" w:rsidTr="00B37E53">
        <w:tc>
          <w:tcPr>
            <w:tcW w:w="9369" w:type="dxa"/>
            <w:gridSpan w:val="3"/>
            <w:shd w:val="clear" w:color="auto" w:fill="auto"/>
          </w:tcPr>
          <w:p w14:paraId="3547A72E" w14:textId="6CA20FBA" w:rsidR="00B37E53" w:rsidRPr="00DE46F3" w:rsidRDefault="00B37E53" w:rsidP="00B37E53">
            <w:pPr>
              <w:pStyle w:val="ListParagraph"/>
              <w:tabs>
                <w:tab w:val="right" w:pos="1080"/>
                <w:tab w:val="left" w:pos="1296"/>
                <w:tab w:val="left" w:pos="1728"/>
                <w:tab w:val="left" w:pos="2160"/>
                <w:tab w:val="left" w:pos="2592"/>
                <w:tab w:val="left" w:pos="3024"/>
                <w:tab w:val="left" w:pos="3456"/>
                <w:tab w:val="right" w:leader="dot" w:pos="9360"/>
              </w:tabs>
              <w:spacing w:after="120"/>
              <w:ind w:left="1296"/>
              <w:rPr>
                <w:spacing w:val="60"/>
                <w:sz w:val="17"/>
              </w:rPr>
            </w:pPr>
            <w:r w:rsidRPr="00DE46F3">
              <w:t>Article 2: Policy Measures</w:t>
            </w:r>
            <w:r w:rsidRPr="00DE46F3">
              <w:rPr>
                <w:spacing w:val="60"/>
                <w:sz w:val="17"/>
              </w:rPr>
              <w:tab/>
            </w:r>
          </w:p>
        </w:tc>
        <w:tc>
          <w:tcPr>
            <w:tcW w:w="533" w:type="dxa"/>
            <w:shd w:val="clear" w:color="auto" w:fill="auto"/>
            <w:vAlign w:val="bottom"/>
          </w:tcPr>
          <w:p w14:paraId="18E54D9B" w14:textId="7BDFECC2" w:rsidR="00B37E53" w:rsidRPr="00DE46F3" w:rsidRDefault="007D0872" w:rsidP="00B37E53">
            <w:pPr>
              <w:spacing w:after="120"/>
              <w:jc w:val="right"/>
            </w:pPr>
            <w:r>
              <w:t>7</w:t>
            </w:r>
          </w:p>
        </w:tc>
      </w:tr>
      <w:tr w:rsidR="00B37E53" w:rsidRPr="00DE46F3" w14:paraId="33AC0118" w14:textId="77777777" w:rsidTr="00B37E53">
        <w:tc>
          <w:tcPr>
            <w:tcW w:w="9369" w:type="dxa"/>
            <w:gridSpan w:val="3"/>
            <w:shd w:val="clear" w:color="auto" w:fill="auto"/>
          </w:tcPr>
          <w:p w14:paraId="74800B06" w14:textId="3B28E726" w:rsidR="00B37E53" w:rsidRPr="00DE46F3" w:rsidRDefault="00B37E53" w:rsidP="00B37E53">
            <w:pPr>
              <w:pStyle w:val="ListParagraph"/>
              <w:tabs>
                <w:tab w:val="right" w:pos="1080"/>
                <w:tab w:val="left" w:pos="1296"/>
                <w:tab w:val="left" w:pos="1728"/>
                <w:tab w:val="left" w:pos="2160"/>
                <w:tab w:val="left" w:pos="2592"/>
                <w:tab w:val="right" w:leader="dot" w:pos="9360"/>
              </w:tabs>
              <w:spacing w:after="120"/>
              <w:ind w:left="1296"/>
              <w:rPr>
                <w:spacing w:val="60"/>
                <w:sz w:val="17"/>
              </w:rPr>
            </w:pPr>
            <w:r w:rsidRPr="00DE46F3">
              <w:t>Access to Justice</w:t>
            </w:r>
            <w:r w:rsidRPr="00DE46F3">
              <w:rPr>
                <w:spacing w:val="60"/>
                <w:sz w:val="17"/>
              </w:rPr>
              <w:tab/>
            </w:r>
          </w:p>
        </w:tc>
        <w:tc>
          <w:tcPr>
            <w:tcW w:w="533" w:type="dxa"/>
            <w:shd w:val="clear" w:color="auto" w:fill="auto"/>
            <w:vAlign w:val="bottom"/>
          </w:tcPr>
          <w:p w14:paraId="6F33DCD6" w14:textId="588ABA4C" w:rsidR="00B37E53" w:rsidRPr="00DE46F3" w:rsidRDefault="007D0872" w:rsidP="00B37E53">
            <w:pPr>
              <w:spacing w:after="120"/>
              <w:jc w:val="right"/>
            </w:pPr>
            <w:r>
              <w:t>7</w:t>
            </w:r>
          </w:p>
        </w:tc>
      </w:tr>
      <w:tr w:rsidR="0033389B" w:rsidRPr="00DE46F3" w14:paraId="5D128B25" w14:textId="77777777" w:rsidTr="00B37E53">
        <w:tc>
          <w:tcPr>
            <w:tcW w:w="9369" w:type="dxa"/>
            <w:gridSpan w:val="3"/>
            <w:shd w:val="clear" w:color="auto" w:fill="auto"/>
          </w:tcPr>
          <w:p w14:paraId="1C365648" w14:textId="6056F601" w:rsidR="0033389B" w:rsidRPr="00DE46F3" w:rsidRDefault="0033389B" w:rsidP="0033389B">
            <w:pPr>
              <w:pStyle w:val="ListParagraph"/>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9360"/>
              </w:tabs>
              <w:spacing w:after="120"/>
              <w:ind w:left="1296"/>
              <w:rPr>
                <w:spacing w:val="60"/>
                <w:sz w:val="17"/>
              </w:rPr>
            </w:pPr>
            <w:r w:rsidRPr="00DE46F3">
              <w:t>Article 3: Measures to Develop and Advance Women</w:t>
            </w:r>
            <w:r w:rsidRPr="00DE46F3">
              <w:rPr>
                <w:spacing w:val="60"/>
                <w:sz w:val="17"/>
              </w:rPr>
              <w:tab/>
            </w:r>
          </w:p>
        </w:tc>
        <w:tc>
          <w:tcPr>
            <w:tcW w:w="533" w:type="dxa"/>
            <w:shd w:val="clear" w:color="auto" w:fill="auto"/>
            <w:vAlign w:val="bottom"/>
          </w:tcPr>
          <w:p w14:paraId="6B98B988" w14:textId="240EB022" w:rsidR="0033389B" w:rsidRPr="00DE46F3" w:rsidRDefault="007D0872" w:rsidP="00B37E53">
            <w:pPr>
              <w:spacing w:after="120"/>
              <w:jc w:val="right"/>
            </w:pPr>
            <w:r>
              <w:t>10</w:t>
            </w:r>
          </w:p>
        </w:tc>
      </w:tr>
      <w:tr w:rsidR="0033389B" w:rsidRPr="00DE46F3" w14:paraId="45984332" w14:textId="77777777" w:rsidTr="00B37E53">
        <w:tc>
          <w:tcPr>
            <w:tcW w:w="9369" w:type="dxa"/>
            <w:gridSpan w:val="3"/>
            <w:shd w:val="clear" w:color="auto" w:fill="auto"/>
          </w:tcPr>
          <w:p w14:paraId="332FAFC7" w14:textId="3D6793C5" w:rsidR="0033389B" w:rsidRPr="00DE46F3" w:rsidRDefault="0033389B" w:rsidP="0033389B">
            <w:pPr>
              <w:pStyle w:val="ListParagraph"/>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9360"/>
              </w:tabs>
              <w:spacing w:after="120"/>
              <w:ind w:left="1296"/>
              <w:rPr>
                <w:spacing w:val="60"/>
                <w:sz w:val="17"/>
              </w:rPr>
            </w:pPr>
            <w:r w:rsidRPr="00DE46F3">
              <w:t>Article 4: Temporary Special Measures to Accelerate Equality</w:t>
            </w:r>
            <w:r w:rsidRPr="00DE46F3">
              <w:rPr>
                <w:spacing w:val="60"/>
                <w:sz w:val="17"/>
              </w:rPr>
              <w:tab/>
            </w:r>
          </w:p>
        </w:tc>
        <w:tc>
          <w:tcPr>
            <w:tcW w:w="533" w:type="dxa"/>
            <w:shd w:val="clear" w:color="auto" w:fill="auto"/>
            <w:vAlign w:val="bottom"/>
          </w:tcPr>
          <w:p w14:paraId="477744D4" w14:textId="109313C5" w:rsidR="0033389B" w:rsidRPr="00DE46F3" w:rsidRDefault="007D0872" w:rsidP="00B37E53">
            <w:pPr>
              <w:spacing w:after="120"/>
              <w:jc w:val="right"/>
            </w:pPr>
            <w:r>
              <w:t>12</w:t>
            </w:r>
          </w:p>
        </w:tc>
      </w:tr>
      <w:tr w:rsidR="0033389B" w:rsidRPr="00DE46F3" w14:paraId="116492C8" w14:textId="77777777" w:rsidTr="00B37E53">
        <w:tc>
          <w:tcPr>
            <w:tcW w:w="9369" w:type="dxa"/>
            <w:gridSpan w:val="3"/>
            <w:shd w:val="clear" w:color="auto" w:fill="auto"/>
          </w:tcPr>
          <w:p w14:paraId="19A3695F" w14:textId="3751A184" w:rsidR="0033389B" w:rsidRPr="00DE46F3" w:rsidRDefault="0033389B" w:rsidP="0033389B">
            <w:pPr>
              <w:pStyle w:val="ListParagraph"/>
              <w:tabs>
                <w:tab w:val="right" w:pos="1080"/>
                <w:tab w:val="left" w:pos="1296"/>
                <w:tab w:val="left" w:pos="1728"/>
                <w:tab w:val="left" w:pos="2160"/>
                <w:tab w:val="left" w:pos="2592"/>
                <w:tab w:val="left" w:pos="3024"/>
                <w:tab w:val="left" w:pos="3456"/>
                <w:tab w:val="left" w:pos="3888"/>
                <w:tab w:val="left" w:pos="4320"/>
                <w:tab w:val="right" w:leader="dot" w:pos="9360"/>
              </w:tabs>
              <w:spacing w:after="120"/>
              <w:ind w:left="1296"/>
              <w:rPr>
                <w:spacing w:val="60"/>
                <w:sz w:val="17"/>
              </w:rPr>
            </w:pPr>
            <w:r w:rsidRPr="00DE46F3">
              <w:t>Article 5: Sex Roles and Stereotyping</w:t>
            </w:r>
            <w:r w:rsidRPr="00DE46F3">
              <w:rPr>
                <w:spacing w:val="60"/>
                <w:sz w:val="17"/>
              </w:rPr>
              <w:tab/>
            </w:r>
          </w:p>
        </w:tc>
        <w:tc>
          <w:tcPr>
            <w:tcW w:w="533" w:type="dxa"/>
            <w:shd w:val="clear" w:color="auto" w:fill="auto"/>
            <w:vAlign w:val="bottom"/>
          </w:tcPr>
          <w:p w14:paraId="2D0E1C68" w14:textId="065E7503" w:rsidR="0033389B" w:rsidRPr="00DE46F3" w:rsidRDefault="007D0872" w:rsidP="00B37E53">
            <w:pPr>
              <w:spacing w:after="120"/>
              <w:jc w:val="right"/>
            </w:pPr>
            <w:r>
              <w:t>12</w:t>
            </w:r>
          </w:p>
        </w:tc>
      </w:tr>
      <w:tr w:rsidR="0033389B" w:rsidRPr="00DE46F3" w14:paraId="71579D10" w14:textId="77777777" w:rsidTr="00B37E53">
        <w:tc>
          <w:tcPr>
            <w:tcW w:w="9369" w:type="dxa"/>
            <w:gridSpan w:val="3"/>
            <w:shd w:val="clear" w:color="auto" w:fill="auto"/>
          </w:tcPr>
          <w:p w14:paraId="575A708E" w14:textId="6E1A5BC6" w:rsidR="0033389B" w:rsidRPr="00DE46F3" w:rsidRDefault="0033389B" w:rsidP="0033389B">
            <w:pPr>
              <w:pStyle w:val="ListParagraph"/>
              <w:tabs>
                <w:tab w:val="right" w:pos="1080"/>
                <w:tab w:val="left" w:pos="1296"/>
                <w:tab w:val="left" w:pos="1728"/>
                <w:tab w:val="left" w:pos="2160"/>
                <w:tab w:val="left" w:pos="2592"/>
                <w:tab w:val="left" w:pos="3024"/>
                <w:tab w:val="left" w:pos="3456"/>
                <w:tab w:val="left" w:pos="3888"/>
                <w:tab w:val="right" w:leader="dot" w:pos="9360"/>
              </w:tabs>
              <w:spacing w:after="120"/>
              <w:ind w:left="1296"/>
              <w:rPr>
                <w:spacing w:val="60"/>
                <w:sz w:val="17"/>
              </w:rPr>
            </w:pPr>
            <w:r w:rsidRPr="00DE46F3">
              <w:t>Violence Against Women (VAW)</w:t>
            </w:r>
            <w:r w:rsidRPr="00DE46F3">
              <w:rPr>
                <w:spacing w:val="60"/>
                <w:sz w:val="17"/>
              </w:rPr>
              <w:tab/>
            </w:r>
          </w:p>
        </w:tc>
        <w:tc>
          <w:tcPr>
            <w:tcW w:w="533" w:type="dxa"/>
            <w:shd w:val="clear" w:color="auto" w:fill="auto"/>
            <w:vAlign w:val="bottom"/>
          </w:tcPr>
          <w:p w14:paraId="439CCC54" w14:textId="6B4329E5" w:rsidR="0033389B" w:rsidRPr="00DE46F3" w:rsidRDefault="007D0872" w:rsidP="00B37E53">
            <w:pPr>
              <w:spacing w:after="120"/>
              <w:jc w:val="right"/>
            </w:pPr>
            <w:r>
              <w:t>13</w:t>
            </w:r>
          </w:p>
        </w:tc>
      </w:tr>
      <w:tr w:rsidR="0033389B" w:rsidRPr="00DE46F3" w14:paraId="0785B5B2" w14:textId="77777777" w:rsidTr="00B37E53">
        <w:tc>
          <w:tcPr>
            <w:tcW w:w="9369" w:type="dxa"/>
            <w:gridSpan w:val="3"/>
            <w:shd w:val="clear" w:color="auto" w:fill="auto"/>
          </w:tcPr>
          <w:p w14:paraId="01A5AEA8" w14:textId="0BA14876" w:rsidR="0033389B" w:rsidRPr="00DE46F3" w:rsidRDefault="0033389B" w:rsidP="0033389B">
            <w:pPr>
              <w:pStyle w:val="ListParagraph"/>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right" w:leader="dot" w:pos="9360"/>
              </w:tabs>
              <w:spacing w:after="120"/>
              <w:ind w:left="1296"/>
              <w:rPr>
                <w:spacing w:val="60"/>
                <w:sz w:val="17"/>
              </w:rPr>
            </w:pPr>
            <w:r w:rsidRPr="00DE46F3">
              <w:t>Violence Against Women During Conflict Situations and their Access to Justice</w:t>
            </w:r>
            <w:r w:rsidRPr="00DE46F3">
              <w:rPr>
                <w:spacing w:val="60"/>
                <w:sz w:val="17"/>
              </w:rPr>
              <w:tab/>
            </w:r>
          </w:p>
        </w:tc>
        <w:tc>
          <w:tcPr>
            <w:tcW w:w="533" w:type="dxa"/>
            <w:shd w:val="clear" w:color="auto" w:fill="auto"/>
            <w:vAlign w:val="bottom"/>
          </w:tcPr>
          <w:p w14:paraId="4C2A22CB" w14:textId="644A1E56" w:rsidR="0033389B" w:rsidRPr="00DE46F3" w:rsidRDefault="007D0872" w:rsidP="00B37E53">
            <w:pPr>
              <w:spacing w:after="120"/>
              <w:jc w:val="right"/>
            </w:pPr>
            <w:r>
              <w:t>18</w:t>
            </w:r>
          </w:p>
        </w:tc>
      </w:tr>
      <w:tr w:rsidR="0033389B" w:rsidRPr="00DE46F3" w14:paraId="5B360ABF" w14:textId="77777777" w:rsidTr="00B37E53">
        <w:tc>
          <w:tcPr>
            <w:tcW w:w="9369" w:type="dxa"/>
            <w:gridSpan w:val="3"/>
            <w:shd w:val="clear" w:color="auto" w:fill="auto"/>
          </w:tcPr>
          <w:p w14:paraId="2D351CF2" w14:textId="791E7876" w:rsidR="0033389B" w:rsidRPr="00DE46F3" w:rsidRDefault="0033389B" w:rsidP="0033389B">
            <w:pPr>
              <w:pStyle w:val="ListParagraph"/>
              <w:tabs>
                <w:tab w:val="right" w:pos="1080"/>
                <w:tab w:val="left" w:pos="1296"/>
                <w:tab w:val="left" w:pos="1728"/>
                <w:tab w:val="left" w:pos="2160"/>
                <w:tab w:val="left" w:pos="2592"/>
                <w:tab w:val="left" w:pos="3024"/>
                <w:tab w:val="left" w:pos="3456"/>
                <w:tab w:val="left" w:pos="3888"/>
                <w:tab w:val="left" w:pos="4320"/>
                <w:tab w:val="right" w:leader="dot" w:pos="9360"/>
              </w:tabs>
              <w:spacing w:after="120"/>
              <w:ind w:left="1296"/>
              <w:rPr>
                <w:spacing w:val="60"/>
                <w:sz w:val="17"/>
              </w:rPr>
            </w:pPr>
            <w:r w:rsidRPr="00DE46F3">
              <w:t>Article 6: Trafficking and Exploitation</w:t>
            </w:r>
            <w:r w:rsidRPr="00DE46F3">
              <w:rPr>
                <w:spacing w:val="60"/>
                <w:sz w:val="17"/>
              </w:rPr>
              <w:tab/>
            </w:r>
          </w:p>
        </w:tc>
        <w:tc>
          <w:tcPr>
            <w:tcW w:w="533" w:type="dxa"/>
            <w:shd w:val="clear" w:color="auto" w:fill="auto"/>
            <w:vAlign w:val="bottom"/>
          </w:tcPr>
          <w:p w14:paraId="69A43299" w14:textId="754CA7CA" w:rsidR="0033389B" w:rsidRPr="00DE46F3" w:rsidRDefault="001F6F9E" w:rsidP="00B37E53">
            <w:pPr>
              <w:spacing w:after="120"/>
              <w:jc w:val="right"/>
            </w:pPr>
            <w:r>
              <w:t>19</w:t>
            </w:r>
          </w:p>
        </w:tc>
      </w:tr>
      <w:tr w:rsidR="0033389B" w:rsidRPr="00DE46F3" w14:paraId="34FD2AE5" w14:textId="77777777" w:rsidTr="00B37E53">
        <w:tc>
          <w:tcPr>
            <w:tcW w:w="9369" w:type="dxa"/>
            <w:gridSpan w:val="3"/>
            <w:shd w:val="clear" w:color="auto" w:fill="auto"/>
          </w:tcPr>
          <w:p w14:paraId="488C2B7E" w14:textId="4F860F6D" w:rsidR="0033389B" w:rsidRPr="00DE46F3" w:rsidRDefault="0033389B" w:rsidP="0033389B">
            <w:pPr>
              <w:pStyle w:val="ListParagraph"/>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right" w:leader="dot" w:pos="9360"/>
              </w:tabs>
              <w:spacing w:after="120"/>
              <w:ind w:left="1296"/>
              <w:rPr>
                <w:spacing w:val="60"/>
                <w:sz w:val="17"/>
              </w:rPr>
            </w:pPr>
            <w:r w:rsidRPr="00DE46F3">
              <w:t>Article 7: Participation of Women in Politics and Decision-Making</w:t>
            </w:r>
            <w:r w:rsidRPr="00DE46F3">
              <w:rPr>
                <w:spacing w:val="60"/>
                <w:sz w:val="17"/>
              </w:rPr>
              <w:tab/>
            </w:r>
          </w:p>
        </w:tc>
        <w:tc>
          <w:tcPr>
            <w:tcW w:w="533" w:type="dxa"/>
            <w:shd w:val="clear" w:color="auto" w:fill="auto"/>
            <w:vAlign w:val="bottom"/>
          </w:tcPr>
          <w:p w14:paraId="446D6D0B" w14:textId="2C7CFFBB" w:rsidR="0033389B" w:rsidRPr="00DE46F3" w:rsidRDefault="001F6F9E" w:rsidP="00B37E53">
            <w:pPr>
              <w:spacing w:after="120"/>
              <w:jc w:val="right"/>
            </w:pPr>
            <w:r>
              <w:t>20</w:t>
            </w:r>
          </w:p>
        </w:tc>
      </w:tr>
      <w:tr w:rsidR="0033389B" w:rsidRPr="00DE46F3" w14:paraId="3948DBFA" w14:textId="77777777" w:rsidTr="00B37E53">
        <w:tc>
          <w:tcPr>
            <w:tcW w:w="9369" w:type="dxa"/>
            <w:gridSpan w:val="3"/>
            <w:shd w:val="clear" w:color="auto" w:fill="auto"/>
          </w:tcPr>
          <w:p w14:paraId="3D259715" w14:textId="75402260" w:rsidR="0033389B" w:rsidRPr="00DE46F3" w:rsidRDefault="0033389B" w:rsidP="0033389B">
            <w:pPr>
              <w:pStyle w:val="ListParagraph"/>
              <w:tabs>
                <w:tab w:val="right" w:pos="1080"/>
                <w:tab w:val="left" w:pos="1296"/>
                <w:tab w:val="left" w:pos="1728"/>
                <w:tab w:val="left" w:pos="2160"/>
                <w:tab w:val="left" w:pos="2592"/>
                <w:tab w:val="left" w:pos="3024"/>
                <w:tab w:val="left" w:pos="3456"/>
                <w:tab w:val="right" w:leader="dot" w:pos="9360"/>
              </w:tabs>
              <w:spacing w:after="120"/>
              <w:ind w:left="1296"/>
              <w:rPr>
                <w:spacing w:val="60"/>
                <w:sz w:val="17"/>
              </w:rPr>
            </w:pPr>
            <w:r w:rsidRPr="00DE46F3">
              <w:t>Women, peace and security</w:t>
            </w:r>
            <w:r w:rsidRPr="00DE46F3">
              <w:rPr>
                <w:spacing w:val="60"/>
                <w:sz w:val="17"/>
              </w:rPr>
              <w:tab/>
            </w:r>
          </w:p>
        </w:tc>
        <w:tc>
          <w:tcPr>
            <w:tcW w:w="533" w:type="dxa"/>
            <w:shd w:val="clear" w:color="auto" w:fill="auto"/>
            <w:vAlign w:val="bottom"/>
          </w:tcPr>
          <w:p w14:paraId="6621C9D5" w14:textId="7ECFF6C4" w:rsidR="0033389B" w:rsidRPr="00DE46F3" w:rsidRDefault="001F6F9E" w:rsidP="00B37E53">
            <w:pPr>
              <w:spacing w:after="120"/>
              <w:jc w:val="right"/>
            </w:pPr>
            <w:r>
              <w:t>22</w:t>
            </w:r>
          </w:p>
        </w:tc>
      </w:tr>
      <w:tr w:rsidR="0033389B" w:rsidRPr="00DE46F3" w14:paraId="7F05490A" w14:textId="77777777" w:rsidTr="00B37E53">
        <w:tc>
          <w:tcPr>
            <w:tcW w:w="9369" w:type="dxa"/>
            <w:gridSpan w:val="3"/>
            <w:shd w:val="clear" w:color="auto" w:fill="auto"/>
          </w:tcPr>
          <w:p w14:paraId="2AED2322" w14:textId="6F9F0561" w:rsidR="0033389B" w:rsidRPr="00DE46F3" w:rsidRDefault="0033389B" w:rsidP="0033389B">
            <w:pPr>
              <w:pStyle w:val="ListParagraph"/>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9360"/>
              </w:tabs>
              <w:spacing w:after="120"/>
              <w:ind w:left="1296"/>
              <w:rPr>
                <w:spacing w:val="60"/>
                <w:sz w:val="17"/>
              </w:rPr>
            </w:pPr>
            <w:r w:rsidRPr="00DE46F3">
              <w:t>Article 8: Participation at International Level</w:t>
            </w:r>
            <w:r w:rsidRPr="00DE46F3">
              <w:rPr>
                <w:spacing w:val="60"/>
                <w:sz w:val="17"/>
              </w:rPr>
              <w:tab/>
            </w:r>
          </w:p>
        </w:tc>
        <w:tc>
          <w:tcPr>
            <w:tcW w:w="533" w:type="dxa"/>
            <w:shd w:val="clear" w:color="auto" w:fill="auto"/>
            <w:vAlign w:val="bottom"/>
          </w:tcPr>
          <w:p w14:paraId="6669AC56" w14:textId="66CBF899" w:rsidR="0033389B" w:rsidRPr="00DE46F3" w:rsidRDefault="001F6F9E" w:rsidP="00B37E53">
            <w:pPr>
              <w:spacing w:after="120"/>
              <w:jc w:val="right"/>
            </w:pPr>
            <w:r>
              <w:t>23</w:t>
            </w:r>
          </w:p>
        </w:tc>
      </w:tr>
      <w:tr w:rsidR="0033389B" w:rsidRPr="00DE46F3" w14:paraId="1EA52140" w14:textId="77777777" w:rsidTr="00B37E53">
        <w:tc>
          <w:tcPr>
            <w:tcW w:w="9369" w:type="dxa"/>
            <w:gridSpan w:val="3"/>
            <w:shd w:val="clear" w:color="auto" w:fill="auto"/>
          </w:tcPr>
          <w:p w14:paraId="06F4FD09" w14:textId="58E7FE22" w:rsidR="0033389B" w:rsidRPr="00DE46F3" w:rsidRDefault="00E038A4" w:rsidP="00E038A4">
            <w:pPr>
              <w:pStyle w:val="ListParagraph"/>
              <w:tabs>
                <w:tab w:val="right" w:pos="1080"/>
                <w:tab w:val="left" w:pos="1296"/>
                <w:tab w:val="left" w:pos="1728"/>
                <w:tab w:val="left" w:pos="2160"/>
                <w:tab w:val="left" w:pos="2592"/>
                <w:tab w:val="left" w:pos="3024"/>
                <w:tab w:val="right" w:leader="dot" w:pos="9360"/>
              </w:tabs>
              <w:spacing w:after="120"/>
              <w:ind w:left="1296"/>
              <w:rPr>
                <w:spacing w:val="60"/>
                <w:sz w:val="17"/>
              </w:rPr>
            </w:pPr>
            <w:r w:rsidRPr="00DE46F3">
              <w:t>Article 9: Nationality</w:t>
            </w:r>
            <w:r w:rsidRPr="00DE46F3">
              <w:rPr>
                <w:spacing w:val="60"/>
                <w:sz w:val="17"/>
              </w:rPr>
              <w:tab/>
            </w:r>
          </w:p>
        </w:tc>
        <w:tc>
          <w:tcPr>
            <w:tcW w:w="533" w:type="dxa"/>
            <w:shd w:val="clear" w:color="auto" w:fill="auto"/>
            <w:vAlign w:val="bottom"/>
          </w:tcPr>
          <w:p w14:paraId="7F9BFF7B" w14:textId="1F3C71DC" w:rsidR="0033389B" w:rsidRPr="00DE46F3" w:rsidRDefault="001F6F9E" w:rsidP="00B37E53">
            <w:pPr>
              <w:spacing w:after="120"/>
              <w:jc w:val="right"/>
            </w:pPr>
            <w:r>
              <w:t>23</w:t>
            </w:r>
          </w:p>
        </w:tc>
      </w:tr>
      <w:tr w:rsidR="00E038A4" w:rsidRPr="00DE46F3" w14:paraId="0717585C" w14:textId="77777777" w:rsidTr="00B37E53">
        <w:tc>
          <w:tcPr>
            <w:tcW w:w="9369" w:type="dxa"/>
            <w:gridSpan w:val="3"/>
            <w:shd w:val="clear" w:color="auto" w:fill="auto"/>
          </w:tcPr>
          <w:p w14:paraId="50DD7FDB" w14:textId="6AEF9771" w:rsidR="00E038A4" w:rsidRPr="00DE46F3" w:rsidRDefault="00E038A4" w:rsidP="00E038A4">
            <w:pPr>
              <w:pStyle w:val="ListParagraph"/>
              <w:tabs>
                <w:tab w:val="right" w:pos="1080"/>
                <w:tab w:val="left" w:pos="1296"/>
                <w:tab w:val="left" w:pos="1728"/>
                <w:tab w:val="left" w:pos="2160"/>
                <w:tab w:val="left" w:pos="2592"/>
                <w:tab w:val="left" w:pos="3024"/>
                <w:tab w:val="left" w:pos="3456"/>
                <w:tab w:val="left" w:pos="3888"/>
                <w:tab w:val="left" w:pos="4320"/>
                <w:tab w:val="left" w:pos="4752"/>
                <w:tab w:val="right" w:leader="dot" w:pos="9360"/>
              </w:tabs>
              <w:spacing w:after="120"/>
              <w:ind w:left="1296"/>
              <w:rPr>
                <w:spacing w:val="60"/>
                <w:sz w:val="17"/>
              </w:rPr>
            </w:pPr>
            <w:r w:rsidRPr="00DE46F3">
              <w:t>Article 10: Equality in Access to Education</w:t>
            </w:r>
            <w:r w:rsidRPr="00DE46F3">
              <w:rPr>
                <w:spacing w:val="60"/>
                <w:sz w:val="17"/>
              </w:rPr>
              <w:tab/>
            </w:r>
          </w:p>
        </w:tc>
        <w:tc>
          <w:tcPr>
            <w:tcW w:w="533" w:type="dxa"/>
            <w:shd w:val="clear" w:color="auto" w:fill="auto"/>
            <w:vAlign w:val="bottom"/>
          </w:tcPr>
          <w:p w14:paraId="5C7EC9FA" w14:textId="395B372E" w:rsidR="00E038A4" w:rsidRPr="00DE46F3" w:rsidRDefault="001F6F9E" w:rsidP="00B37E53">
            <w:pPr>
              <w:spacing w:after="120"/>
              <w:jc w:val="right"/>
            </w:pPr>
            <w:r>
              <w:t>23</w:t>
            </w:r>
          </w:p>
        </w:tc>
      </w:tr>
      <w:tr w:rsidR="00E038A4" w:rsidRPr="00DE46F3" w14:paraId="54FD0476" w14:textId="77777777" w:rsidTr="00B37E53">
        <w:tc>
          <w:tcPr>
            <w:tcW w:w="9369" w:type="dxa"/>
            <w:gridSpan w:val="3"/>
            <w:shd w:val="clear" w:color="auto" w:fill="auto"/>
          </w:tcPr>
          <w:p w14:paraId="79A9392C" w14:textId="5437B958" w:rsidR="00E038A4" w:rsidRPr="00DE46F3" w:rsidRDefault="00E038A4" w:rsidP="00E038A4">
            <w:pPr>
              <w:pStyle w:val="ListParagraph"/>
              <w:tabs>
                <w:tab w:val="right" w:pos="1080"/>
                <w:tab w:val="left" w:pos="1296"/>
                <w:tab w:val="left" w:pos="1728"/>
                <w:tab w:val="left" w:pos="2160"/>
                <w:tab w:val="left" w:pos="2592"/>
                <w:tab w:val="left" w:pos="3024"/>
                <w:tab w:val="right" w:leader="dot" w:pos="9360"/>
              </w:tabs>
              <w:spacing w:after="120"/>
              <w:ind w:left="1296"/>
              <w:rPr>
                <w:spacing w:val="60"/>
                <w:sz w:val="17"/>
              </w:rPr>
            </w:pPr>
            <w:r w:rsidRPr="00DE46F3">
              <w:t>Article 11: Employment</w:t>
            </w:r>
            <w:r w:rsidRPr="00DE46F3">
              <w:rPr>
                <w:spacing w:val="60"/>
                <w:sz w:val="17"/>
              </w:rPr>
              <w:tab/>
            </w:r>
          </w:p>
        </w:tc>
        <w:tc>
          <w:tcPr>
            <w:tcW w:w="533" w:type="dxa"/>
            <w:shd w:val="clear" w:color="auto" w:fill="auto"/>
            <w:vAlign w:val="bottom"/>
          </w:tcPr>
          <w:p w14:paraId="6C034864" w14:textId="495C20A7" w:rsidR="00E038A4" w:rsidRPr="00DE46F3" w:rsidRDefault="001F6F9E" w:rsidP="00B37E53">
            <w:pPr>
              <w:spacing w:after="120"/>
              <w:jc w:val="right"/>
            </w:pPr>
            <w:r>
              <w:t>29</w:t>
            </w:r>
          </w:p>
        </w:tc>
      </w:tr>
      <w:tr w:rsidR="00E038A4" w:rsidRPr="00DE46F3" w14:paraId="7E57EF96" w14:textId="77777777" w:rsidTr="00B37E53">
        <w:tc>
          <w:tcPr>
            <w:tcW w:w="9369" w:type="dxa"/>
            <w:gridSpan w:val="3"/>
            <w:shd w:val="clear" w:color="auto" w:fill="auto"/>
          </w:tcPr>
          <w:p w14:paraId="39E84B37" w14:textId="2831CE41" w:rsidR="00E038A4" w:rsidRPr="00DE46F3" w:rsidRDefault="00E038A4" w:rsidP="00E038A4">
            <w:pPr>
              <w:pStyle w:val="ListParagraph"/>
              <w:tabs>
                <w:tab w:val="right" w:pos="1080"/>
                <w:tab w:val="left" w:pos="1296"/>
                <w:tab w:val="left" w:pos="1728"/>
                <w:tab w:val="left" w:pos="2160"/>
                <w:tab w:val="left" w:pos="2592"/>
                <w:tab w:val="left" w:pos="3024"/>
                <w:tab w:val="left" w:pos="3456"/>
                <w:tab w:val="right" w:leader="dot" w:pos="9360"/>
              </w:tabs>
              <w:spacing w:after="120"/>
              <w:ind w:left="1296"/>
              <w:rPr>
                <w:spacing w:val="60"/>
                <w:sz w:val="17"/>
              </w:rPr>
            </w:pPr>
            <w:r w:rsidRPr="00DE46F3">
              <w:t>Article 12: Access to Health</w:t>
            </w:r>
            <w:r w:rsidRPr="00DE46F3">
              <w:rPr>
                <w:spacing w:val="60"/>
                <w:sz w:val="17"/>
              </w:rPr>
              <w:tab/>
            </w:r>
          </w:p>
        </w:tc>
        <w:tc>
          <w:tcPr>
            <w:tcW w:w="533" w:type="dxa"/>
            <w:shd w:val="clear" w:color="auto" w:fill="auto"/>
            <w:vAlign w:val="bottom"/>
          </w:tcPr>
          <w:p w14:paraId="1F9A5267" w14:textId="13F54E74" w:rsidR="00E038A4" w:rsidRPr="00DE46F3" w:rsidRDefault="001F6F9E" w:rsidP="00B37E53">
            <w:pPr>
              <w:spacing w:after="120"/>
              <w:jc w:val="right"/>
            </w:pPr>
            <w:r>
              <w:t>32</w:t>
            </w:r>
          </w:p>
        </w:tc>
      </w:tr>
      <w:tr w:rsidR="00E038A4" w:rsidRPr="00DE46F3" w14:paraId="2889526A" w14:textId="77777777" w:rsidTr="00B37E53">
        <w:tc>
          <w:tcPr>
            <w:tcW w:w="9369" w:type="dxa"/>
            <w:gridSpan w:val="3"/>
            <w:shd w:val="clear" w:color="auto" w:fill="auto"/>
          </w:tcPr>
          <w:p w14:paraId="3710FCE0" w14:textId="1423E141" w:rsidR="00E038A4" w:rsidRPr="00DE46F3" w:rsidRDefault="00E038A4" w:rsidP="00E038A4">
            <w:pPr>
              <w:pStyle w:val="ListParagraph"/>
              <w:tabs>
                <w:tab w:val="right" w:pos="1080"/>
                <w:tab w:val="left" w:pos="1296"/>
                <w:tab w:val="left" w:pos="1728"/>
                <w:tab w:val="left" w:pos="2160"/>
                <w:tab w:val="left" w:pos="2592"/>
                <w:tab w:val="left" w:pos="3024"/>
                <w:tab w:val="left" w:pos="3456"/>
                <w:tab w:val="left" w:pos="3888"/>
                <w:tab w:val="left" w:pos="4320"/>
                <w:tab w:val="right" w:leader="dot" w:pos="9360"/>
              </w:tabs>
              <w:spacing w:after="120"/>
              <w:ind w:left="1296"/>
              <w:rPr>
                <w:spacing w:val="60"/>
                <w:sz w:val="17"/>
              </w:rPr>
            </w:pPr>
            <w:r w:rsidRPr="00DE46F3">
              <w:t>Article 13: Economic and Social Rights</w:t>
            </w:r>
            <w:r w:rsidRPr="00DE46F3">
              <w:rPr>
                <w:spacing w:val="60"/>
                <w:sz w:val="17"/>
              </w:rPr>
              <w:tab/>
            </w:r>
          </w:p>
        </w:tc>
        <w:tc>
          <w:tcPr>
            <w:tcW w:w="533" w:type="dxa"/>
            <w:shd w:val="clear" w:color="auto" w:fill="auto"/>
            <w:vAlign w:val="bottom"/>
          </w:tcPr>
          <w:p w14:paraId="21C1F2B8" w14:textId="65FE4B72" w:rsidR="00E038A4" w:rsidRPr="00DE46F3" w:rsidRDefault="001F6F9E" w:rsidP="00B37E53">
            <w:pPr>
              <w:spacing w:after="120"/>
              <w:jc w:val="right"/>
            </w:pPr>
            <w:r>
              <w:t>38</w:t>
            </w:r>
          </w:p>
        </w:tc>
      </w:tr>
      <w:tr w:rsidR="00E038A4" w:rsidRPr="00DE46F3" w14:paraId="37B83601" w14:textId="77777777" w:rsidTr="00B37E53">
        <w:tc>
          <w:tcPr>
            <w:tcW w:w="9369" w:type="dxa"/>
            <w:gridSpan w:val="3"/>
            <w:shd w:val="clear" w:color="auto" w:fill="auto"/>
          </w:tcPr>
          <w:p w14:paraId="565E9624" w14:textId="7BBA65B2" w:rsidR="00E038A4" w:rsidRPr="00DE46F3" w:rsidRDefault="00E038A4" w:rsidP="00E038A4">
            <w:pPr>
              <w:pStyle w:val="ListParagraph"/>
              <w:tabs>
                <w:tab w:val="right" w:pos="1080"/>
                <w:tab w:val="left" w:pos="1296"/>
                <w:tab w:val="left" w:pos="1728"/>
                <w:tab w:val="left" w:pos="2160"/>
                <w:tab w:val="left" w:pos="2592"/>
                <w:tab w:val="left" w:pos="3024"/>
                <w:tab w:val="right" w:leader="dot" w:pos="9360"/>
              </w:tabs>
              <w:spacing w:after="120"/>
              <w:ind w:left="1296"/>
              <w:rPr>
                <w:spacing w:val="60"/>
                <w:sz w:val="17"/>
              </w:rPr>
            </w:pPr>
            <w:r w:rsidRPr="00DE46F3">
              <w:t>Women with Disabilities</w:t>
            </w:r>
            <w:r w:rsidRPr="00DE46F3">
              <w:rPr>
                <w:spacing w:val="60"/>
                <w:sz w:val="17"/>
              </w:rPr>
              <w:tab/>
            </w:r>
          </w:p>
        </w:tc>
        <w:tc>
          <w:tcPr>
            <w:tcW w:w="533" w:type="dxa"/>
            <w:shd w:val="clear" w:color="auto" w:fill="auto"/>
            <w:vAlign w:val="bottom"/>
          </w:tcPr>
          <w:p w14:paraId="05B2CEE7" w14:textId="3074E2E3" w:rsidR="00E038A4" w:rsidRPr="00DE46F3" w:rsidRDefault="001F6F9E" w:rsidP="00B37E53">
            <w:pPr>
              <w:spacing w:after="120"/>
              <w:jc w:val="right"/>
            </w:pPr>
            <w:r>
              <w:t>40</w:t>
            </w:r>
          </w:p>
        </w:tc>
      </w:tr>
      <w:tr w:rsidR="00E038A4" w:rsidRPr="00DE46F3" w14:paraId="31A06286" w14:textId="77777777" w:rsidTr="00B37E53">
        <w:tc>
          <w:tcPr>
            <w:tcW w:w="9369" w:type="dxa"/>
            <w:gridSpan w:val="3"/>
            <w:shd w:val="clear" w:color="auto" w:fill="auto"/>
          </w:tcPr>
          <w:p w14:paraId="14707759" w14:textId="2E8EA087" w:rsidR="00E038A4" w:rsidRPr="00DE46F3" w:rsidRDefault="00E038A4" w:rsidP="00E038A4">
            <w:pPr>
              <w:pStyle w:val="ListParagraph"/>
              <w:tabs>
                <w:tab w:val="right" w:pos="1080"/>
                <w:tab w:val="left" w:pos="1296"/>
                <w:tab w:val="left" w:pos="1728"/>
                <w:tab w:val="left" w:pos="2160"/>
                <w:tab w:val="left" w:pos="2592"/>
                <w:tab w:val="left" w:pos="3024"/>
                <w:tab w:val="left" w:pos="3456"/>
                <w:tab w:val="right" w:leader="dot" w:pos="9360"/>
              </w:tabs>
              <w:spacing w:after="120"/>
              <w:ind w:left="1296"/>
              <w:rPr>
                <w:spacing w:val="60"/>
                <w:sz w:val="17"/>
              </w:rPr>
            </w:pPr>
            <w:r w:rsidRPr="00DE46F3">
              <w:t>Article 14: Rural Women</w:t>
            </w:r>
            <w:r w:rsidRPr="00DE46F3">
              <w:rPr>
                <w:spacing w:val="60"/>
                <w:sz w:val="17"/>
              </w:rPr>
              <w:tab/>
            </w:r>
          </w:p>
        </w:tc>
        <w:tc>
          <w:tcPr>
            <w:tcW w:w="533" w:type="dxa"/>
            <w:shd w:val="clear" w:color="auto" w:fill="auto"/>
            <w:vAlign w:val="bottom"/>
          </w:tcPr>
          <w:p w14:paraId="399F5C30" w14:textId="615440CE" w:rsidR="00E038A4" w:rsidRPr="00DE46F3" w:rsidRDefault="001F6F9E" w:rsidP="00B37E53">
            <w:pPr>
              <w:spacing w:after="120"/>
              <w:jc w:val="right"/>
            </w:pPr>
            <w:r>
              <w:t>42</w:t>
            </w:r>
          </w:p>
        </w:tc>
      </w:tr>
      <w:tr w:rsidR="00E038A4" w:rsidRPr="00DE46F3" w14:paraId="13EBAE03" w14:textId="77777777" w:rsidTr="00B37E53">
        <w:tc>
          <w:tcPr>
            <w:tcW w:w="9369" w:type="dxa"/>
            <w:gridSpan w:val="3"/>
            <w:shd w:val="clear" w:color="auto" w:fill="auto"/>
          </w:tcPr>
          <w:p w14:paraId="2E188E15" w14:textId="38BEAE74" w:rsidR="00E038A4" w:rsidRPr="00DE46F3" w:rsidRDefault="00E038A4" w:rsidP="00E038A4">
            <w:pPr>
              <w:pStyle w:val="ListParagraph"/>
              <w:tabs>
                <w:tab w:val="right" w:pos="1080"/>
                <w:tab w:val="left" w:pos="1296"/>
                <w:tab w:val="left" w:pos="1728"/>
                <w:tab w:val="left" w:pos="2160"/>
                <w:tab w:val="left" w:pos="2592"/>
                <w:tab w:val="left" w:pos="3024"/>
                <w:tab w:val="left" w:pos="3456"/>
                <w:tab w:val="left" w:pos="3888"/>
                <w:tab w:val="left" w:pos="4320"/>
                <w:tab w:val="right" w:leader="dot" w:pos="9360"/>
              </w:tabs>
              <w:spacing w:after="120"/>
              <w:ind w:left="1296"/>
              <w:rPr>
                <w:spacing w:val="60"/>
                <w:sz w:val="17"/>
              </w:rPr>
            </w:pPr>
            <w:r w:rsidRPr="00DE46F3">
              <w:t>Article 15: Equality before the Law</w:t>
            </w:r>
            <w:r w:rsidRPr="00DE46F3">
              <w:rPr>
                <w:spacing w:val="60"/>
                <w:sz w:val="17"/>
              </w:rPr>
              <w:tab/>
            </w:r>
          </w:p>
        </w:tc>
        <w:tc>
          <w:tcPr>
            <w:tcW w:w="533" w:type="dxa"/>
            <w:shd w:val="clear" w:color="auto" w:fill="auto"/>
            <w:vAlign w:val="bottom"/>
          </w:tcPr>
          <w:p w14:paraId="7F0F959D" w14:textId="56FB084B" w:rsidR="00E038A4" w:rsidRPr="00DE46F3" w:rsidRDefault="001F6F9E" w:rsidP="00B37E53">
            <w:pPr>
              <w:spacing w:after="120"/>
              <w:jc w:val="right"/>
            </w:pPr>
            <w:r>
              <w:t>45</w:t>
            </w:r>
          </w:p>
        </w:tc>
      </w:tr>
      <w:tr w:rsidR="00E038A4" w:rsidRPr="00DE46F3" w14:paraId="6D563838" w14:textId="77777777" w:rsidTr="00B37E53">
        <w:tc>
          <w:tcPr>
            <w:tcW w:w="9369" w:type="dxa"/>
            <w:gridSpan w:val="3"/>
            <w:shd w:val="clear" w:color="auto" w:fill="auto"/>
          </w:tcPr>
          <w:p w14:paraId="3D9EDEA9" w14:textId="5ADBCA3E" w:rsidR="00E038A4" w:rsidRPr="00DE46F3" w:rsidRDefault="00E038A4" w:rsidP="00E038A4">
            <w:pPr>
              <w:pStyle w:val="ListParagraph"/>
              <w:tabs>
                <w:tab w:val="right" w:pos="1080"/>
                <w:tab w:val="left" w:pos="1296"/>
                <w:tab w:val="left" w:pos="1728"/>
                <w:tab w:val="left" w:pos="2160"/>
                <w:tab w:val="left" w:pos="2592"/>
                <w:tab w:val="left" w:pos="3024"/>
                <w:tab w:val="left" w:pos="3456"/>
                <w:tab w:val="left" w:pos="3888"/>
                <w:tab w:val="left" w:pos="4320"/>
                <w:tab w:val="right" w:leader="dot" w:pos="9360"/>
              </w:tabs>
              <w:spacing w:after="120"/>
              <w:ind w:left="1296"/>
              <w:rPr>
                <w:spacing w:val="60"/>
                <w:sz w:val="17"/>
              </w:rPr>
            </w:pPr>
            <w:r w:rsidRPr="00DE46F3">
              <w:t>Article 16: Marriage and the Family</w:t>
            </w:r>
            <w:r w:rsidRPr="00DE46F3">
              <w:rPr>
                <w:spacing w:val="60"/>
                <w:sz w:val="17"/>
              </w:rPr>
              <w:tab/>
            </w:r>
          </w:p>
        </w:tc>
        <w:tc>
          <w:tcPr>
            <w:tcW w:w="533" w:type="dxa"/>
            <w:shd w:val="clear" w:color="auto" w:fill="auto"/>
            <w:vAlign w:val="bottom"/>
          </w:tcPr>
          <w:p w14:paraId="12D0BFAE" w14:textId="1F38B549" w:rsidR="00E038A4" w:rsidRPr="00DE46F3" w:rsidRDefault="001F6F9E" w:rsidP="00B37E53">
            <w:pPr>
              <w:spacing w:after="120"/>
              <w:jc w:val="right"/>
            </w:pPr>
            <w:r>
              <w:t>45</w:t>
            </w:r>
          </w:p>
        </w:tc>
      </w:tr>
    </w:tbl>
    <w:p w14:paraId="2C30A492" w14:textId="77777777" w:rsidR="00E038A4" w:rsidRPr="00DE46F3" w:rsidRDefault="00E038A4" w:rsidP="00B37E53">
      <w:pPr>
        <w:pStyle w:val="SingleTxt"/>
      </w:pPr>
    </w:p>
    <w:p w14:paraId="150906C9" w14:textId="77777777" w:rsidR="00E038A4" w:rsidRPr="00DE46F3" w:rsidRDefault="00E038A4">
      <w:pPr>
        <w:suppressAutoHyphens w:val="0"/>
        <w:spacing w:after="200" w:line="276" w:lineRule="auto"/>
      </w:pPr>
      <w:r w:rsidRPr="00DE46F3">
        <w:br w:type="page"/>
      </w:r>
    </w:p>
    <w:p w14:paraId="4C0CD899" w14:textId="025C67FE" w:rsidR="00B37E53" w:rsidRPr="00DE46F3" w:rsidRDefault="00E038A4" w:rsidP="00E038A4">
      <w:pPr>
        <w:pStyle w:val="H1"/>
        <w:ind w:right="1260"/>
      </w:pPr>
      <w:r w:rsidRPr="00DE46F3">
        <w:lastRenderedPageBreak/>
        <w:tab/>
      </w:r>
      <w:r w:rsidRPr="00DE46F3">
        <w:tab/>
      </w:r>
      <w:r w:rsidR="00B37E53" w:rsidRPr="00DE46F3">
        <w:t>Acronyms</w:t>
      </w:r>
    </w:p>
    <w:p w14:paraId="2E0E3472" w14:textId="71FEC398" w:rsidR="00E038A4" w:rsidRPr="00DE46F3" w:rsidRDefault="00E038A4" w:rsidP="00E038A4">
      <w:pPr>
        <w:pStyle w:val="SingleTxt"/>
        <w:spacing w:after="0" w:line="120" w:lineRule="exact"/>
        <w:rPr>
          <w:sz w:val="10"/>
        </w:rPr>
      </w:pPr>
    </w:p>
    <w:p w14:paraId="55A28851" w14:textId="57546D0E" w:rsidR="00E038A4" w:rsidRPr="00DE46F3" w:rsidRDefault="00E038A4" w:rsidP="00E038A4">
      <w:pPr>
        <w:pStyle w:val="SingleTxt"/>
        <w:spacing w:after="0" w:line="120" w:lineRule="exact"/>
        <w:rPr>
          <w:sz w:val="10"/>
        </w:rPr>
      </w:pPr>
    </w:p>
    <w:tbl>
      <w:tblPr>
        <w:tblW w:w="7789" w:type="dxa"/>
        <w:tblInd w:w="1278" w:type="dxa"/>
        <w:tblCellMar>
          <w:left w:w="0" w:type="dxa"/>
          <w:right w:w="0" w:type="dxa"/>
        </w:tblCellMar>
        <w:tblLook w:val="04A0" w:firstRow="1" w:lastRow="0" w:firstColumn="1" w:lastColumn="0" w:noHBand="0" w:noVBand="1"/>
      </w:tblPr>
      <w:tblGrid>
        <w:gridCol w:w="1224"/>
        <w:gridCol w:w="6565"/>
      </w:tblGrid>
      <w:tr w:rsidR="00E038A4" w:rsidRPr="00DE46F3" w14:paraId="3942B0BA" w14:textId="77777777" w:rsidTr="003D357F">
        <w:tc>
          <w:tcPr>
            <w:tcW w:w="1224" w:type="dxa"/>
            <w:shd w:val="clear" w:color="auto" w:fill="auto"/>
          </w:tcPr>
          <w:p w14:paraId="724F14ED" w14:textId="77777777" w:rsidR="00E038A4" w:rsidRPr="00DE46F3" w:rsidRDefault="00E038A4" w:rsidP="00537806">
            <w:pPr>
              <w:tabs>
                <w:tab w:val="left" w:pos="288"/>
                <w:tab w:val="left" w:pos="576"/>
                <w:tab w:val="left" w:pos="864"/>
                <w:tab w:val="left" w:pos="1152"/>
              </w:tabs>
              <w:spacing w:before="40" w:after="120"/>
              <w:ind w:right="40"/>
            </w:pPr>
            <w:r w:rsidRPr="00DE46F3">
              <w:t>AAP</w:t>
            </w:r>
          </w:p>
        </w:tc>
        <w:tc>
          <w:tcPr>
            <w:tcW w:w="6565" w:type="dxa"/>
            <w:shd w:val="clear" w:color="auto" w:fill="auto"/>
          </w:tcPr>
          <w:p w14:paraId="5EE2AE39" w14:textId="77777777" w:rsidR="00E038A4" w:rsidRPr="00DE46F3" w:rsidRDefault="00E038A4" w:rsidP="00537806">
            <w:pPr>
              <w:tabs>
                <w:tab w:val="left" w:pos="288"/>
                <w:tab w:val="left" w:pos="576"/>
                <w:tab w:val="left" w:pos="864"/>
                <w:tab w:val="left" w:pos="1152"/>
              </w:tabs>
              <w:spacing w:before="40" w:after="120"/>
              <w:ind w:left="144" w:right="40"/>
            </w:pPr>
            <w:r w:rsidRPr="00DE46F3">
              <w:t>Annual Action Plan</w:t>
            </w:r>
          </w:p>
        </w:tc>
      </w:tr>
      <w:tr w:rsidR="00E038A4" w:rsidRPr="00DE46F3" w14:paraId="3ED85C5B" w14:textId="77777777" w:rsidTr="003D357F">
        <w:tc>
          <w:tcPr>
            <w:tcW w:w="1224" w:type="dxa"/>
            <w:shd w:val="clear" w:color="auto" w:fill="auto"/>
          </w:tcPr>
          <w:p w14:paraId="4E829840" w14:textId="77777777" w:rsidR="00E038A4" w:rsidRPr="00DE46F3" w:rsidRDefault="00E038A4" w:rsidP="00537806">
            <w:pPr>
              <w:tabs>
                <w:tab w:val="left" w:pos="288"/>
                <w:tab w:val="left" w:pos="576"/>
                <w:tab w:val="left" w:pos="864"/>
                <w:tab w:val="left" w:pos="1152"/>
              </w:tabs>
              <w:spacing w:before="40" w:after="120"/>
              <w:ind w:right="40"/>
            </w:pPr>
            <w:r w:rsidRPr="00DE46F3">
              <w:t>ACJ</w:t>
            </w:r>
          </w:p>
        </w:tc>
        <w:tc>
          <w:tcPr>
            <w:tcW w:w="6565" w:type="dxa"/>
            <w:shd w:val="clear" w:color="auto" w:fill="auto"/>
          </w:tcPr>
          <w:p w14:paraId="0317B070" w14:textId="77777777" w:rsidR="00E038A4" w:rsidRPr="00DE46F3" w:rsidRDefault="00E038A4" w:rsidP="00537806">
            <w:pPr>
              <w:tabs>
                <w:tab w:val="left" w:pos="288"/>
                <w:tab w:val="left" w:pos="576"/>
                <w:tab w:val="left" w:pos="864"/>
                <w:tab w:val="left" w:pos="1152"/>
              </w:tabs>
              <w:spacing w:before="40" w:after="120"/>
              <w:ind w:left="144" w:right="40"/>
            </w:pPr>
            <w:r w:rsidRPr="00DE46F3">
              <w:t>Access to Justice Clinic</w:t>
            </w:r>
          </w:p>
        </w:tc>
      </w:tr>
      <w:tr w:rsidR="00E038A4" w:rsidRPr="00DE46F3" w14:paraId="0F1285F0" w14:textId="77777777" w:rsidTr="003D357F">
        <w:tc>
          <w:tcPr>
            <w:tcW w:w="1224" w:type="dxa"/>
            <w:shd w:val="clear" w:color="auto" w:fill="auto"/>
          </w:tcPr>
          <w:p w14:paraId="0D5BD439" w14:textId="77777777" w:rsidR="00E038A4" w:rsidRPr="00DE46F3" w:rsidRDefault="00E038A4" w:rsidP="00537806">
            <w:pPr>
              <w:tabs>
                <w:tab w:val="left" w:pos="288"/>
                <w:tab w:val="left" w:pos="576"/>
                <w:tab w:val="left" w:pos="864"/>
                <w:tab w:val="left" w:pos="1152"/>
              </w:tabs>
              <w:spacing w:before="40" w:after="120"/>
              <w:ind w:right="40"/>
            </w:pPr>
            <w:r w:rsidRPr="00DE46F3">
              <w:t>ADR</w:t>
            </w:r>
          </w:p>
        </w:tc>
        <w:tc>
          <w:tcPr>
            <w:tcW w:w="6565" w:type="dxa"/>
            <w:shd w:val="clear" w:color="auto" w:fill="auto"/>
          </w:tcPr>
          <w:p w14:paraId="16E94BED" w14:textId="77777777" w:rsidR="00E038A4" w:rsidRPr="00DE46F3" w:rsidRDefault="00E038A4" w:rsidP="00537806">
            <w:pPr>
              <w:tabs>
                <w:tab w:val="left" w:pos="288"/>
                <w:tab w:val="left" w:pos="576"/>
                <w:tab w:val="left" w:pos="864"/>
                <w:tab w:val="left" w:pos="1152"/>
              </w:tabs>
              <w:spacing w:before="40" w:after="120"/>
              <w:ind w:left="144" w:right="40"/>
            </w:pPr>
            <w:r w:rsidRPr="00DE46F3">
              <w:t>Alternative Dispute Resolution</w:t>
            </w:r>
          </w:p>
        </w:tc>
      </w:tr>
      <w:tr w:rsidR="00E038A4" w:rsidRPr="00DE46F3" w14:paraId="51719E0A" w14:textId="77777777" w:rsidTr="003D357F">
        <w:tc>
          <w:tcPr>
            <w:tcW w:w="1224" w:type="dxa"/>
            <w:shd w:val="clear" w:color="auto" w:fill="auto"/>
          </w:tcPr>
          <w:p w14:paraId="54A8FC90" w14:textId="77777777" w:rsidR="00E038A4" w:rsidRPr="00DE46F3" w:rsidRDefault="00E038A4" w:rsidP="00537806">
            <w:pPr>
              <w:tabs>
                <w:tab w:val="left" w:pos="288"/>
                <w:tab w:val="left" w:pos="576"/>
                <w:tab w:val="left" w:pos="864"/>
                <w:tab w:val="left" w:pos="1152"/>
              </w:tabs>
              <w:spacing w:before="40" w:after="120"/>
              <w:ind w:right="40"/>
            </w:pPr>
            <w:r w:rsidRPr="00DE46F3">
              <w:t>BNCTL</w:t>
            </w:r>
          </w:p>
        </w:tc>
        <w:tc>
          <w:tcPr>
            <w:tcW w:w="6565" w:type="dxa"/>
            <w:shd w:val="clear" w:color="auto" w:fill="auto"/>
          </w:tcPr>
          <w:p w14:paraId="71EDF8E0" w14:textId="77777777" w:rsidR="00E038A4" w:rsidRPr="00DE46F3" w:rsidRDefault="00E038A4" w:rsidP="00537806">
            <w:pPr>
              <w:tabs>
                <w:tab w:val="left" w:pos="288"/>
                <w:tab w:val="left" w:pos="576"/>
                <w:tab w:val="left" w:pos="864"/>
                <w:tab w:val="left" w:pos="1152"/>
              </w:tabs>
              <w:spacing w:before="40" w:after="120"/>
              <w:ind w:left="144" w:right="40"/>
            </w:pPr>
            <w:r w:rsidRPr="00DE46F3">
              <w:rPr>
                <w:i/>
              </w:rPr>
              <w:t>Banco Nacional de Comércio de Timor-Leste</w:t>
            </w:r>
            <w:r w:rsidRPr="00DE46F3">
              <w:t xml:space="preserve"> (National Bank of Commerce of Timor-Leste)</w:t>
            </w:r>
          </w:p>
        </w:tc>
      </w:tr>
      <w:tr w:rsidR="00E038A4" w:rsidRPr="00DE46F3" w14:paraId="613B5627" w14:textId="77777777" w:rsidTr="003D357F">
        <w:tc>
          <w:tcPr>
            <w:tcW w:w="1224" w:type="dxa"/>
            <w:shd w:val="clear" w:color="auto" w:fill="auto"/>
          </w:tcPr>
          <w:p w14:paraId="0EC8B86F" w14:textId="77777777" w:rsidR="00E038A4" w:rsidRPr="00DE46F3" w:rsidRDefault="00E038A4" w:rsidP="00537806">
            <w:pPr>
              <w:tabs>
                <w:tab w:val="left" w:pos="288"/>
                <w:tab w:val="left" w:pos="576"/>
                <w:tab w:val="left" w:pos="864"/>
                <w:tab w:val="left" w:pos="1152"/>
              </w:tabs>
              <w:spacing w:before="40" w:after="120"/>
              <w:ind w:right="40"/>
            </w:pPr>
            <w:r w:rsidRPr="00DE46F3">
              <w:t>CAVR</w:t>
            </w:r>
          </w:p>
        </w:tc>
        <w:tc>
          <w:tcPr>
            <w:tcW w:w="6565" w:type="dxa"/>
            <w:shd w:val="clear" w:color="auto" w:fill="auto"/>
          </w:tcPr>
          <w:p w14:paraId="455822C9" w14:textId="77777777" w:rsidR="00E038A4" w:rsidRPr="00DE46F3" w:rsidRDefault="00E038A4" w:rsidP="00537806">
            <w:pPr>
              <w:tabs>
                <w:tab w:val="left" w:pos="288"/>
                <w:tab w:val="left" w:pos="576"/>
                <w:tab w:val="left" w:pos="864"/>
                <w:tab w:val="left" w:pos="1152"/>
              </w:tabs>
              <w:spacing w:before="40" w:after="120"/>
              <w:ind w:left="144" w:right="40"/>
            </w:pPr>
            <w:r w:rsidRPr="00DE46F3">
              <w:rPr>
                <w:i/>
              </w:rPr>
              <w:t>Comissão de Acolhimento</w:t>
            </w:r>
            <w:r w:rsidRPr="00DE46F3">
              <w:rPr>
                <w:iCs/>
              </w:rPr>
              <w:t>, Verdade e Reconciliação</w:t>
            </w:r>
            <w:r w:rsidRPr="00DE46F3">
              <w:t xml:space="preserve"> (Commission for Reception, Truth and Reconciliation)</w:t>
            </w:r>
          </w:p>
        </w:tc>
      </w:tr>
      <w:tr w:rsidR="00E038A4" w:rsidRPr="00DE46F3" w14:paraId="418382D2" w14:textId="77777777" w:rsidTr="003D357F">
        <w:tc>
          <w:tcPr>
            <w:tcW w:w="1224" w:type="dxa"/>
            <w:shd w:val="clear" w:color="auto" w:fill="auto"/>
          </w:tcPr>
          <w:p w14:paraId="3C650DE7" w14:textId="77777777" w:rsidR="00E038A4" w:rsidRPr="00DE46F3" w:rsidRDefault="00E038A4" w:rsidP="00537806">
            <w:pPr>
              <w:tabs>
                <w:tab w:val="left" w:pos="288"/>
                <w:tab w:val="left" w:pos="576"/>
                <w:tab w:val="left" w:pos="864"/>
                <w:tab w:val="left" w:pos="1152"/>
              </w:tabs>
              <w:spacing w:before="40" w:after="120"/>
              <w:ind w:right="40"/>
            </w:pPr>
            <w:r w:rsidRPr="00DE46F3">
              <w:t>CFP</w:t>
            </w:r>
          </w:p>
        </w:tc>
        <w:tc>
          <w:tcPr>
            <w:tcW w:w="6565" w:type="dxa"/>
            <w:shd w:val="clear" w:color="auto" w:fill="auto"/>
          </w:tcPr>
          <w:p w14:paraId="0BD33ACD" w14:textId="77777777" w:rsidR="00E038A4" w:rsidRPr="00DE46F3" w:rsidRDefault="00E038A4" w:rsidP="00537806">
            <w:pPr>
              <w:tabs>
                <w:tab w:val="left" w:pos="288"/>
                <w:tab w:val="left" w:pos="576"/>
                <w:tab w:val="left" w:pos="864"/>
                <w:tab w:val="left" w:pos="1152"/>
              </w:tabs>
              <w:spacing w:before="40" w:after="120"/>
              <w:ind w:left="144" w:right="40"/>
            </w:pPr>
            <w:r w:rsidRPr="00DE46F3">
              <w:rPr>
                <w:i/>
              </w:rPr>
              <w:t>Comissão da Função Pública</w:t>
            </w:r>
            <w:r w:rsidRPr="00DE46F3">
              <w:rPr>
                <w:iCs/>
              </w:rPr>
              <w:t xml:space="preserve"> </w:t>
            </w:r>
            <w:r w:rsidRPr="00DE46F3">
              <w:t>(Civil Service Commission)</w:t>
            </w:r>
          </w:p>
        </w:tc>
      </w:tr>
      <w:tr w:rsidR="00E038A4" w:rsidRPr="00DE46F3" w14:paraId="61CDE6AD" w14:textId="77777777" w:rsidTr="003D357F">
        <w:tc>
          <w:tcPr>
            <w:tcW w:w="1224" w:type="dxa"/>
            <w:shd w:val="clear" w:color="auto" w:fill="auto"/>
          </w:tcPr>
          <w:p w14:paraId="6D3E7C8A" w14:textId="77777777" w:rsidR="00E038A4" w:rsidRPr="00DE46F3" w:rsidRDefault="00E038A4" w:rsidP="00537806">
            <w:pPr>
              <w:tabs>
                <w:tab w:val="left" w:pos="288"/>
                <w:tab w:val="left" w:pos="576"/>
                <w:tab w:val="left" w:pos="864"/>
                <w:tab w:val="left" w:pos="1152"/>
              </w:tabs>
              <w:spacing w:before="40" w:after="120"/>
              <w:ind w:right="40"/>
            </w:pPr>
            <w:r w:rsidRPr="00DE46F3">
              <w:t>CHC</w:t>
            </w:r>
          </w:p>
        </w:tc>
        <w:tc>
          <w:tcPr>
            <w:tcW w:w="6565" w:type="dxa"/>
            <w:shd w:val="clear" w:color="auto" w:fill="auto"/>
          </w:tcPr>
          <w:p w14:paraId="113CBA90" w14:textId="77777777" w:rsidR="00E038A4" w:rsidRPr="00DE46F3" w:rsidRDefault="00E038A4" w:rsidP="00537806">
            <w:pPr>
              <w:tabs>
                <w:tab w:val="left" w:pos="288"/>
                <w:tab w:val="left" w:pos="576"/>
                <w:tab w:val="left" w:pos="864"/>
                <w:tab w:val="left" w:pos="1152"/>
              </w:tabs>
              <w:spacing w:before="40" w:after="120"/>
              <w:ind w:left="144" w:right="40"/>
            </w:pPr>
            <w:r w:rsidRPr="00DE46F3">
              <w:t>Community Health Centre</w:t>
            </w:r>
          </w:p>
        </w:tc>
      </w:tr>
      <w:tr w:rsidR="00E038A4" w:rsidRPr="00DE46F3" w14:paraId="421C2F6C" w14:textId="77777777" w:rsidTr="003D357F">
        <w:tc>
          <w:tcPr>
            <w:tcW w:w="1224" w:type="dxa"/>
            <w:shd w:val="clear" w:color="auto" w:fill="auto"/>
          </w:tcPr>
          <w:p w14:paraId="331755D0" w14:textId="77777777" w:rsidR="00E038A4" w:rsidRPr="00DE46F3" w:rsidRDefault="00E038A4" w:rsidP="00537806">
            <w:pPr>
              <w:tabs>
                <w:tab w:val="left" w:pos="288"/>
                <w:tab w:val="left" w:pos="576"/>
                <w:tab w:val="left" w:pos="864"/>
                <w:tab w:val="left" w:pos="1152"/>
              </w:tabs>
              <w:spacing w:before="40" w:after="120"/>
              <w:ind w:right="40"/>
            </w:pPr>
            <w:r w:rsidRPr="00DE46F3">
              <w:t>CLC</w:t>
            </w:r>
          </w:p>
        </w:tc>
        <w:tc>
          <w:tcPr>
            <w:tcW w:w="6565" w:type="dxa"/>
            <w:shd w:val="clear" w:color="auto" w:fill="auto"/>
          </w:tcPr>
          <w:p w14:paraId="2143D3AC" w14:textId="77777777" w:rsidR="00E038A4" w:rsidRPr="00DE46F3" w:rsidRDefault="00E038A4" w:rsidP="00537806">
            <w:pPr>
              <w:tabs>
                <w:tab w:val="left" w:pos="288"/>
                <w:tab w:val="left" w:pos="576"/>
                <w:tab w:val="left" w:pos="864"/>
                <w:tab w:val="left" w:pos="1152"/>
              </w:tabs>
              <w:spacing w:before="40" w:after="120"/>
              <w:ind w:left="144" w:right="40"/>
            </w:pPr>
            <w:r w:rsidRPr="00DE46F3">
              <w:t>Community Learning Centre</w:t>
            </w:r>
          </w:p>
        </w:tc>
      </w:tr>
      <w:tr w:rsidR="00E038A4" w:rsidRPr="00DE46F3" w14:paraId="49C4878A" w14:textId="77777777" w:rsidTr="003D357F">
        <w:tc>
          <w:tcPr>
            <w:tcW w:w="1224" w:type="dxa"/>
            <w:shd w:val="clear" w:color="auto" w:fill="auto"/>
          </w:tcPr>
          <w:p w14:paraId="4E541614" w14:textId="77777777" w:rsidR="00E038A4" w:rsidRPr="00DE46F3" w:rsidRDefault="00E038A4" w:rsidP="00537806">
            <w:pPr>
              <w:tabs>
                <w:tab w:val="left" w:pos="288"/>
                <w:tab w:val="left" w:pos="576"/>
                <w:tab w:val="left" w:pos="864"/>
                <w:tab w:val="left" w:pos="1152"/>
              </w:tabs>
              <w:spacing w:before="40" w:after="120"/>
              <w:ind w:right="40"/>
            </w:pPr>
            <w:r w:rsidRPr="00DE46F3">
              <w:t>CNC</w:t>
            </w:r>
          </w:p>
        </w:tc>
        <w:tc>
          <w:tcPr>
            <w:tcW w:w="6565" w:type="dxa"/>
            <w:shd w:val="clear" w:color="auto" w:fill="auto"/>
          </w:tcPr>
          <w:p w14:paraId="0ADFE0EC" w14:textId="77777777" w:rsidR="00E038A4" w:rsidRPr="00DE46F3" w:rsidRDefault="00E038A4" w:rsidP="00537806">
            <w:pPr>
              <w:tabs>
                <w:tab w:val="left" w:pos="288"/>
                <w:tab w:val="left" w:pos="576"/>
                <w:tab w:val="left" w:pos="864"/>
                <w:tab w:val="left" w:pos="1152"/>
              </w:tabs>
              <w:spacing w:before="40" w:after="120"/>
              <w:ind w:left="144" w:right="40"/>
            </w:pPr>
            <w:r w:rsidRPr="00DE46F3">
              <w:t>Chega! National Centre</w:t>
            </w:r>
          </w:p>
        </w:tc>
      </w:tr>
      <w:tr w:rsidR="00E038A4" w:rsidRPr="00DE46F3" w14:paraId="6DCCFE14" w14:textId="77777777" w:rsidTr="003D357F">
        <w:tc>
          <w:tcPr>
            <w:tcW w:w="1224" w:type="dxa"/>
            <w:shd w:val="clear" w:color="auto" w:fill="auto"/>
          </w:tcPr>
          <w:p w14:paraId="13908FC1" w14:textId="77777777" w:rsidR="00E038A4" w:rsidRPr="00DE46F3" w:rsidRDefault="00E038A4" w:rsidP="00537806">
            <w:pPr>
              <w:tabs>
                <w:tab w:val="left" w:pos="288"/>
                <w:tab w:val="left" w:pos="576"/>
                <w:tab w:val="left" w:pos="864"/>
                <w:tab w:val="left" w:pos="1152"/>
              </w:tabs>
              <w:spacing w:before="40" w:after="120"/>
              <w:ind w:right="40"/>
            </w:pPr>
            <w:r w:rsidRPr="00DE46F3">
              <w:t>CNE</w:t>
            </w:r>
          </w:p>
        </w:tc>
        <w:tc>
          <w:tcPr>
            <w:tcW w:w="6565" w:type="dxa"/>
            <w:shd w:val="clear" w:color="auto" w:fill="auto"/>
          </w:tcPr>
          <w:p w14:paraId="2BE791B1" w14:textId="77777777" w:rsidR="00E038A4" w:rsidRPr="00DE46F3" w:rsidRDefault="00E038A4" w:rsidP="00537806">
            <w:pPr>
              <w:tabs>
                <w:tab w:val="left" w:pos="288"/>
                <w:tab w:val="left" w:pos="576"/>
                <w:tab w:val="left" w:pos="864"/>
                <w:tab w:val="left" w:pos="1152"/>
              </w:tabs>
              <w:spacing w:before="40" w:after="120"/>
              <w:ind w:left="144" w:right="40"/>
            </w:pPr>
            <w:r w:rsidRPr="00DE46F3">
              <w:rPr>
                <w:i/>
                <w:shd w:val="clear" w:color="auto" w:fill="FFFFFF"/>
              </w:rPr>
              <w:t>Comissão</w:t>
            </w:r>
            <w:r w:rsidRPr="00DE46F3">
              <w:rPr>
                <w:i/>
              </w:rPr>
              <w:t xml:space="preserve"> Nacional de Eleições</w:t>
            </w:r>
            <w:r w:rsidRPr="00DE46F3">
              <w:rPr>
                <w:iCs/>
              </w:rPr>
              <w:t xml:space="preserve"> </w:t>
            </w:r>
            <w:r w:rsidRPr="00DE46F3">
              <w:t>(National Elections Commission)</w:t>
            </w:r>
          </w:p>
        </w:tc>
      </w:tr>
      <w:tr w:rsidR="00E038A4" w:rsidRPr="00DE46F3" w14:paraId="1B36847F" w14:textId="77777777" w:rsidTr="003D357F">
        <w:tc>
          <w:tcPr>
            <w:tcW w:w="1224" w:type="dxa"/>
            <w:shd w:val="clear" w:color="auto" w:fill="auto"/>
          </w:tcPr>
          <w:p w14:paraId="6C3C29BE" w14:textId="77777777" w:rsidR="00E038A4" w:rsidRPr="00DE46F3" w:rsidRDefault="00E038A4" w:rsidP="00537806">
            <w:pPr>
              <w:tabs>
                <w:tab w:val="left" w:pos="288"/>
                <w:tab w:val="left" w:pos="576"/>
                <w:tab w:val="left" w:pos="864"/>
                <w:tab w:val="left" w:pos="1152"/>
              </w:tabs>
              <w:spacing w:before="40" w:after="120"/>
              <w:ind w:right="40"/>
            </w:pPr>
            <w:r w:rsidRPr="00DE46F3">
              <w:t>CNR</w:t>
            </w:r>
          </w:p>
        </w:tc>
        <w:tc>
          <w:tcPr>
            <w:tcW w:w="6565" w:type="dxa"/>
            <w:shd w:val="clear" w:color="auto" w:fill="auto"/>
          </w:tcPr>
          <w:p w14:paraId="5B1A4E31" w14:textId="77777777" w:rsidR="00E038A4" w:rsidRPr="00DE46F3" w:rsidRDefault="00E038A4" w:rsidP="00537806">
            <w:pPr>
              <w:tabs>
                <w:tab w:val="left" w:pos="288"/>
                <w:tab w:val="left" w:pos="576"/>
                <w:tab w:val="left" w:pos="864"/>
                <w:tab w:val="left" w:pos="1152"/>
              </w:tabs>
              <w:spacing w:before="40" w:after="120"/>
              <w:ind w:left="144" w:right="40"/>
            </w:pPr>
            <w:r w:rsidRPr="00DE46F3">
              <w:rPr>
                <w:i/>
              </w:rPr>
              <w:t>Centro Nacional de Reabilitação</w:t>
            </w:r>
            <w:r w:rsidRPr="00DE46F3">
              <w:rPr>
                <w:iCs/>
              </w:rPr>
              <w:t xml:space="preserve"> </w:t>
            </w:r>
            <w:r w:rsidRPr="00DE46F3">
              <w:t>(National Centre for Rehabilitation)</w:t>
            </w:r>
          </w:p>
        </w:tc>
      </w:tr>
      <w:tr w:rsidR="00E038A4" w:rsidRPr="00DE46F3" w14:paraId="69DCD949" w14:textId="77777777" w:rsidTr="003D357F">
        <w:tc>
          <w:tcPr>
            <w:tcW w:w="1224" w:type="dxa"/>
            <w:shd w:val="clear" w:color="auto" w:fill="auto"/>
          </w:tcPr>
          <w:p w14:paraId="1585B5AF" w14:textId="77777777" w:rsidR="00E038A4" w:rsidRPr="00DE46F3" w:rsidRDefault="00E038A4" w:rsidP="00537806">
            <w:pPr>
              <w:tabs>
                <w:tab w:val="left" w:pos="288"/>
                <w:tab w:val="left" w:pos="576"/>
                <w:tab w:val="left" w:pos="864"/>
                <w:tab w:val="left" w:pos="1152"/>
              </w:tabs>
              <w:spacing w:before="40" w:after="120"/>
              <w:ind w:right="40"/>
            </w:pPr>
            <w:r w:rsidRPr="00DE46F3">
              <w:t>CSI</w:t>
            </w:r>
          </w:p>
        </w:tc>
        <w:tc>
          <w:tcPr>
            <w:tcW w:w="6565" w:type="dxa"/>
            <w:shd w:val="clear" w:color="auto" w:fill="auto"/>
          </w:tcPr>
          <w:p w14:paraId="4597C13B" w14:textId="77777777" w:rsidR="00E038A4" w:rsidRPr="00DE46F3" w:rsidRDefault="00E038A4" w:rsidP="00537806">
            <w:pPr>
              <w:tabs>
                <w:tab w:val="left" w:pos="288"/>
                <w:tab w:val="left" w:pos="576"/>
                <w:tab w:val="left" w:pos="864"/>
                <w:tab w:val="left" w:pos="1152"/>
              </w:tabs>
              <w:spacing w:before="40" w:after="120"/>
              <w:ind w:left="144" w:right="40"/>
            </w:pPr>
            <w:r w:rsidRPr="00DE46F3">
              <w:rPr>
                <w:i/>
              </w:rPr>
              <w:t>Centru Saúde Internamentu</w:t>
            </w:r>
            <w:r w:rsidRPr="00DE46F3">
              <w:rPr>
                <w:iCs/>
              </w:rPr>
              <w:t xml:space="preserve"> </w:t>
            </w:r>
            <w:r w:rsidRPr="00DE46F3">
              <w:t>(Community Health Centres with beds)</w:t>
            </w:r>
          </w:p>
        </w:tc>
      </w:tr>
      <w:tr w:rsidR="00E038A4" w:rsidRPr="00DE46F3" w14:paraId="192800C7" w14:textId="77777777" w:rsidTr="003D357F">
        <w:tc>
          <w:tcPr>
            <w:tcW w:w="1224" w:type="dxa"/>
            <w:shd w:val="clear" w:color="auto" w:fill="auto"/>
          </w:tcPr>
          <w:p w14:paraId="5888B217" w14:textId="77777777" w:rsidR="00E038A4" w:rsidRPr="00DE46F3" w:rsidRDefault="00E038A4" w:rsidP="00537806">
            <w:pPr>
              <w:tabs>
                <w:tab w:val="left" w:pos="288"/>
                <w:tab w:val="left" w:pos="576"/>
                <w:tab w:val="left" w:pos="864"/>
                <w:tab w:val="left" w:pos="1152"/>
              </w:tabs>
              <w:spacing w:before="40" w:after="120"/>
              <w:ind w:right="40"/>
            </w:pPr>
            <w:r w:rsidRPr="00DE46F3">
              <w:t>CSO</w:t>
            </w:r>
          </w:p>
        </w:tc>
        <w:tc>
          <w:tcPr>
            <w:tcW w:w="6565" w:type="dxa"/>
            <w:shd w:val="clear" w:color="auto" w:fill="auto"/>
          </w:tcPr>
          <w:p w14:paraId="0F24FDC4" w14:textId="77777777" w:rsidR="00E038A4" w:rsidRPr="00DE46F3" w:rsidRDefault="00E038A4" w:rsidP="00537806">
            <w:pPr>
              <w:tabs>
                <w:tab w:val="left" w:pos="288"/>
                <w:tab w:val="left" w:pos="576"/>
                <w:tab w:val="left" w:pos="864"/>
                <w:tab w:val="left" w:pos="1152"/>
              </w:tabs>
              <w:spacing w:before="40" w:after="120"/>
              <w:ind w:left="144" w:right="40"/>
            </w:pPr>
            <w:r w:rsidRPr="00DE46F3">
              <w:t>Civil Society Organisation</w:t>
            </w:r>
          </w:p>
        </w:tc>
      </w:tr>
      <w:tr w:rsidR="00E038A4" w:rsidRPr="00DE46F3" w14:paraId="094463CA" w14:textId="77777777" w:rsidTr="003D357F">
        <w:tc>
          <w:tcPr>
            <w:tcW w:w="1224" w:type="dxa"/>
            <w:shd w:val="clear" w:color="auto" w:fill="auto"/>
          </w:tcPr>
          <w:p w14:paraId="2EB28B17" w14:textId="77777777" w:rsidR="00E038A4" w:rsidRPr="00DE46F3" w:rsidRDefault="00E038A4" w:rsidP="00537806">
            <w:pPr>
              <w:tabs>
                <w:tab w:val="left" w:pos="288"/>
                <w:tab w:val="left" w:pos="576"/>
                <w:tab w:val="left" w:pos="864"/>
                <w:tab w:val="left" w:pos="1152"/>
              </w:tabs>
              <w:spacing w:before="40" w:after="120"/>
              <w:ind w:right="40"/>
            </w:pPr>
            <w:r w:rsidRPr="00DE46F3">
              <w:t>CTF</w:t>
            </w:r>
          </w:p>
        </w:tc>
        <w:tc>
          <w:tcPr>
            <w:tcW w:w="6565" w:type="dxa"/>
            <w:shd w:val="clear" w:color="auto" w:fill="auto"/>
          </w:tcPr>
          <w:p w14:paraId="128EBF0F" w14:textId="77777777" w:rsidR="00E038A4" w:rsidRPr="00DE46F3" w:rsidRDefault="00E038A4" w:rsidP="00537806">
            <w:pPr>
              <w:tabs>
                <w:tab w:val="left" w:pos="288"/>
                <w:tab w:val="left" w:pos="576"/>
                <w:tab w:val="left" w:pos="864"/>
                <w:tab w:val="left" w:pos="1152"/>
              </w:tabs>
              <w:spacing w:before="40" w:after="120"/>
              <w:ind w:left="144" w:right="40"/>
            </w:pPr>
            <w:r w:rsidRPr="00DE46F3">
              <w:t>Commission of Truth and Friendship</w:t>
            </w:r>
          </w:p>
        </w:tc>
      </w:tr>
      <w:tr w:rsidR="00E038A4" w:rsidRPr="00DE46F3" w14:paraId="382106BE" w14:textId="77777777" w:rsidTr="003D357F">
        <w:tc>
          <w:tcPr>
            <w:tcW w:w="1224" w:type="dxa"/>
            <w:shd w:val="clear" w:color="auto" w:fill="auto"/>
          </w:tcPr>
          <w:p w14:paraId="1FB4FED9" w14:textId="77777777" w:rsidR="00E038A4" w:rsidRPr="00DE46F3" w:rsidRDefault="00E038A4" w:rsidP="00537806">
            <w:pPr>
              <w:tabs>
                <w:tab w:val="left" w:pos="288"/>
                <w:tab w:val="left" w:pos="576"/>
                <w:tab w:val="left" w:pos="864"/>
                <w:tab w:val="left" w:pos="1152"/>
              </w:tabs>
              <w:spacing w:before="40" w:after="120"/>
              <w:ind w:right="40"/>
            </w:pPr>
            <w:r w:rsidRPr="00DE46F3">
              <w:t>DHS</w:t>
            </w:r>
          </w:p>
        </w:tc>
        <w:tc>
          <w:tcPr>
            <w:tcW w:w="6565" w:type="dxa"/>
            <w:shd w:val="clear" w:color="auto" w:fill="auto"/>
          </w:tcPr>
          <w:p w14:paraId="7DA182BA" w14:textId="77777777" w:rsidR="00E038A4" w:rsidRPr="00DE46F3" w:rsidRDefault="00E038A4" w:rsidP="00537806">
            <w:pPr>
              <w:tabs>
                <w:tab w:val="left" w:pos="288"/>
                <w:tab w:val="left" w:pos="576"/>
                <w:tab w:val="left" w:pos="864"/>
                <w:tab w:val="left" w:pos="1152"/>
              </w:tabs>
              <w:spacing w:before="40" w:after="120"/>
              <w:ind w:left="144" w:right="40"/>
            </w:pPr>
            <w:r w:rsidRPr="00DE46F3">
              <w:t>Demographic and Health Survey</w:t>
            </w:r>
          </w:p>
        </w:tc>
      </w:tr>
      <w:tr w:rsidR="00E038A4" w:rsidRPr="00DE46F3" w14:paraId="79B642DA" w14:textId="77777777" w:rsidTr="003D357F">
        <w:tc>
          <w:tcPr>
            <w:tcW w:w="1224" w:type="dxa"/>
            <w:shd w:val="clear" w:color="auto" w:fill="auto"/>
          </w:tcPr>
          <w:p w14:paraId="660C7386" w14:textId="77777777" w:rsidR="00E038A4" w:rsidRPr="00DE46F3" w:rsidRDefault="00E038A4" w:rsidP="00537806">
            <w:pPr>
              <w:tabs>
                <w:tab w:val="left" w:pos="288"/>
                <w:tab w:val="left" w:pos="576"/>
                <w:tab w:val="left" w:pos="864"/>
                <w:tab w:val="left" w:pos="1152"/>
              </w:tabs>
              <w:spacing w:before="40" w:after="120"/>
              <w:ind w:right="40"/>
            </w:pPr>
            <w:r w:rsidRPr="00DE46F3">
              <w:t>DWCP</w:t>
            </w:r>
          </w:p>
        </w:tc>
        <w:tc>
          <w:tcPr>
            <w:tcW w:w="6565" w:type="dxa"/>
            <w:shd w:val="clear" w:color="auto" w:fill="auto"/>
          </w:tcPr>
          <w:p w14:paraId="06B8C6FB" w14:textId="77777777" w:rsidR="00E038A4" w:rsidRPr="00DE46F3" w:rsidRDefault="00E038A4" w:rsidP="00537806">
            <w:pPr>
              <w:tabs>
                <w:tab w:val="left" w:pos="288"/>
                <w:tab w:val="left" w:pos="576"/>
                <w:tab w:val="left" w:pos="864"/>
                <w:tab w:val="left" w:pos="1152"/>
              </w:tabs>
              <w:spacing w:before="40" w:after="120"/>
              <w:ind w:left="144" w:right="40"/>
            </w:pPr>
            <w:r w:rsidRPr="00DE46F3">
              <w:t>Decent Work Country Programme</w:t>
            </w:r>
          </w:p>
        </w:tc>
      </w:tr>
      <w:tr w:rsidR="00E038A4" w:rsidRPr="00DE46F3" w14:paraId="61B2C7FF" w14:textId="77777777" w:rsidTr="003D357F">
        <w:tc>
          <w:tcPr>
            <w:tcW w:w="1224" w:type="dxa"/>
            <w:shd w:val="clear" w:color="auto" w:fill="auto"/>
          </w:tcPr>
          <w:p w14:paraId="602FA3D3" w14:textId="77777777" w:rsidR="00E038A4" w:rsidRPr="00DE46F3" w:rsidRDefault="00E038A4" w:rsidP="00537806">
            <w:pPr>
              <w:tabs>
                <w:tab w:val="left" w:pos="288"/>
                <w:tab w:val="left" w:pos="576"/>
                <w:tab w:val="left" w:pos="864"/>
                <w:tab w:val="left" w:pos="1152"/>
              </w:tabs>
              <w:spacing w:before="40" w:after="120"/>
              <w:ind w:right="40"/>
            </w:pPr>
            <w:r w:rsidRPr="00DE46F3">
              <w:t>DV</w:t>
            </w:r>
          </w:p>
        </w:tc>
        <w:tc>
          <w:tcPr>
            <w:tcW w:w="6565" w:type="dxa"/>
            <w:shd w:val="clear" w:color="auto" w:fill="auto"/>
          </w:tcPr>
          <w:p w14:paraId="1EACAE98" w14:textId="77777777" w:rsidR="00E038A4" w:rsidRPr="00DE46F3" w:rsidRDefault="00E038A4" w:rsidP="00537806">
            <w:pPr>
              <w:tabs>
                <w:tab w:val="left" w:pos="288"/>
                <w:tab w:val="left" w:pos="576"/>
                <w:tab w:val="left" w:pos="864"/>
                <w:tab w:val="left" w:pos="1152"/>
              </w:tabs>
              <w:spacing w:before="40" w:after="120"/>
              <w:ind w:left="144" w:right="40"/>
            </w:pPr>
            <w:r w:rsidRPr="00DE46F3">
              <w:t>Domestic Violence</w:t>
            </w:r>
          </w:p>
        </w:tc>
      </w:tr>
      <w:tr w:rsidR="00E038A4" w:rsidRPr="00DE46F3" w14:paraId="55212E23" w14:textId="77777777" w:rsidTr="003D357F">
        <w:tc>
          <w:tcPr>
            <w:tcW w:w="1224" w:type="dxa"/>
            <w:shd w:val="clear" w:color="auto" w:fill="auto"/>
          </w:tcPr>
          <w:p w14:paraId="22AF661E" w14:textId="77777777" w:rsidR="00E038A4" w:rsidRPr="00DE46F3" w:rsidRDefault="00E038A4" w:rsidP="00537806">
            <w:pPr>
              <w:tabs>
                <w:tab w:val="left" w:pos="288"/>
                <w:tab w:val="left" w:pos="576"/>
                <w:tab w:val="left" w:pos="864"/>
                <w:tab w:val="left" w:pos="1152"/>
              </w:tabs>
              <w:spacing w:before="40" w:after="120"/>
              <w:ind w:right="40"/>
            </w:pPr>
            <w:r w:rsidRPr="00DE46F3">
              <w:t>EIA</w:t>
            </w:r>
          </w:p>
        </w:tc>
        <w:tc>
          <w:tcPr>
            <w:tcW w:w="6565" w:type="dxa"/>
            <w:shd w:val="clear" w:color="auto" w:fill="auto"/>
          </w:tcPr>
          <w:p w14:paraId="3DED56A1" w14:textId="77777777" w:rsidR="00E038A4" w:rsidRPr="00DE46F3" w:rsidRDefault="00E038A4" w:rsidP="00537806">
            <w:pPr>
              <w:tabs>
                <w:tab w:val="left" w:pos="288"/>
                <w:tab w:val="left" w:pos="576"/>
                <w:tab w:val="left" w:pos="864"/>
                <w:tab w:val="left" w:pos="1152"/>
              </w:tabs>
              <w:spacing w:before="40" w:after="120"/>
              <w:ind w:left="144" w:right="40"/>
            </w:pPr>
            <w:r w:rsidRPr="00DE46F3">
              <w:t>Environmental Impact Assessments</w:t>
            </w:r>
          </w:p>
        </w:tc>
      </w:tr>
      <w:tr w:rsidR="00E038A4" w:rsidRPr="00DE46F3" w14:paraId="108659BE" w14:textId="77777777" w:rsidTr="003D357F">
        <w:tc>
          <w:tcPr>
            <w:tcW w:w="1224" w:type="dxa"/>
            <w:shd w:val="clear" w:color="auto" w:fill="auto"/>
          </w:tcPr>
          <w:p w14:paraId="74F3D1C6" w14:textId="77777777" w:rsidR="00E038A4" w:rsidRPr="00DE46F3" w:rsidRDefault="00E038A4" w:rsidP="00537806">
            <w:pPr>
              <w:tabs>
                <w:tab w:val="left" w:pos="288"/>
                <w:tab w:val="left" w:pos="576"/>
                <w:tab w:val="left" w:pos="864"/>
                <w:tab w:val="left" w:pos="1152"/>
              </w:tabs>
              <w:spacing w:before="40" w:after="120"/>
              <w:ind w:right="40"/>
            </w:pPr>
            <w:r w:rsidRPr="00DE46F3">
              <w:t>EmONC</w:t>
            </w:r>
          </w:p>
        </w:tc>
        <w:tc>
          <w:tcPr>
            <w:tcW w:w="6565" w:type="dxa"/>
            <w:shd w:val="clear" w:color="auto" w:fill="auto"/>
          </w:tcPr>
          <w:p w14:paraId="48C389B2" w14:textId="77777777" w:rsidR="00E038A4" w:rsidRPr="00DE46F3" w:rsidRDefault="00E038A4" w:rsidP="00537806">
            <w:pPr>
              <w:tabs>
                <w:tab w:val="left" w:pos="288"/>
                <w:tab w:val="left" w:pos="576"/>
                <w:tab w:val="left" w:pos="864"/>
                <w:tab w:val="left" w:pos="1152"/>
              </w:tabs>
              <w:spacing w:before="40" w:after="120"/>
              <w:ind w:left="144" w:right="40"/>
            </w:pPr>
            <w:r w:rsidRPr="00DE46F3">
              <w:t>Emergency Obstetric and Newborn Care</w:t>
            </w:r>
          </w:p>
        </w:tc>
      </w:tr>
      <w:tr w:rsidR="00E038A4" w:rsidRPr="00DE46F3" w14:paraId="4DC003A5" w14:textId="77777777" w:rsidTr="003D357F">
        <w:tc>
          <w:tcPr>
            <w:tcW w:w="1224" w:type="dxa"/>
            <w:shd w:val="clear" w:color="auto" w:fill="auto"/>
          </w:tcPr>
          <w:p w14:paraId="0D2D8CF7" w14:textId="77777777" w:rsidR="00E038A4" w:rsidRPr="00DE46F3" w:rsidRDefault="00E038A4" w:rsidP="00537806">
            <w:pPr>
              <w:tabs>
                <w:tab w:val="left" w:pos="288"/>
                <w:tab w:val="left" w:pos="576"/>
                <w:tab w:val="left" w:pos="864"/>
                <w:tab w:val="left" w:pos="1152"/>
              </w:tabs>
              <w:spacing w:before="40" w:after="120"/>
              <w:ind w:right="40"/>
            </w:pPr>
            <w:r w:rsidRPr="00DE46F3">
              <w:t>EMP</w:t>
            </w:r>
          </w:p>
        </w:tc>
        <w:tc>
          <w:tcPr>
            <w:tcW w:w="6565" w:type="dxa"/>
            <w:shd w:val="clear" w:color="auto" w:fill="auto"/>
          </w:tcPr>
          <w:p w14:paraId="2785A963" w14:textId="77777777" w:rsidR="00E038A4" w:rsidRPr="00DE46F3" w:rsidRDefault="00E038A4" w:rsidP="00537806">
            <w:pPr>
              <w:tabs>
                <w:tab w:val="left" w:pos="288"/>
                <w:tab w:val="left" w:pos="576"/>
                <w:tab w:val="left" w:pos="864"/>
                <w:tab w:val="left" w:pos="1152"/>
              </w:tabs>
              <w:spacing w:before="40" w:after="120"/>
              <w:ind w:left="144" w:right="40"/>
            </w:pPr>
            <w:r w:rsidRPr="00DE46F3">
              <w:t>Environmental Management Plans</w:t>
            </w:r>
          </w:p>
        </w:tc>
      </w:tr>
      <w:tr w:rsidR="00E038A4" w:rsidRPr="00DE46F3" w14:paraId="45B4D531" w14:textId="77777777" w:rsidTr="003D357F">
        <w:tc>
          <w:tcPr>
            <w:tcW w:w="1224" w:type="dxa"/>
            <w:shd w:val="clear" w:color="auto" w:fill="auto"/>
          </w:tcPr>
          <w:p w14:paraId="5A58B21F" w14:textId="77777777" w:rsidR="00E038A4" w:rsidRPr="00DE46F3" w:rsidRDefault="00E038A4" w:rsidP="00537806">
            <w:pPr>
              <w:tabs>
                <w:tab w:val="left" w:pos="288"/>
                <w:tab w:val="left" w:pos="576"/>
                <w:tab w:val="left" w:pos="864"/>
                <w:tab w:val="left" w:pos="1152"/>
              </w:tabs>
              <w:spacing w:before="40" w:after="120"/>
              <w:ind w:right="40"/>
            </w:pPr>
            <w:r w:rsidRPr="00DE46F3">
              <w:t>FMIS</w:t>
            </w:r>
          </w:p>
        </w:tc>
        <w:tc>
          <w:tcPr>
            <w:tcW w:w="6565" w:type="dxa"/>
            <w:shd w:val="clear" w:color="auto" w:fill="auto"/>
          </w:tcPr>
          <w:p w14:paraId="17B63FA8" w14:textId="77777777" w:rsidR="00E038A4" w:rsidRPr="00DE46F3" w:rsidRDefault="00E038A4" w:rsidP="00537806">
            <w:pPr>
              <w:tabs>
                <w:tab w:val="left" w:pos="288"/>
                <w:tab w:val="left" w:pos="576"/>
                <w:tab w:val="left" w:pos="864"/>
                <w:tab w:val="left" w:pos="1152"/>
              </w:tabs>
              <w:spacing w:before="40" w:after="120"/>
              <w:ind w:left="144" w:right="40"/>
            </w:pPr>
            <w:r w:rsidRPr="00DE46F3">
              <w:t>Financial Management Information System</w:t>
            </w:r>
          </w:p>
        </w:tc>
      </w:tr>
      <w:tr w:rsidR="00E038A4" w:rsidRPr="00DE46F3" w14:paraId="31F28CFE" w14:textId="77777777" w:rsidTr="003D357F">
        <w:tc>
          <w:tcPr>
            <w:tcW w:w="1224" w:type="dxa"/>
            <w:shd w:val="clear" w:color="auto" w:fill="auto"/>
          </w:tcPr>
          <w:p w14:paraId="45638561" w14:textId="77777777" w:rsidR="00E038A4" w:rsidRPr="00DE46F3" w:rsidRDefault="00E038A4" w:rsidP="00537806">
            <w:pPr>
              <w:tabs>
                <w:tab w:val="left" w:pos="288"/>
                <w:tab w:val="left" w:pos="576"/>
                <w:tab w:val="left" w:pos="864"/>
                <w:tab w:val="left" w:pos="1152"/>
              </w:tabs>
              <w:spacing w:before="40" w:after="120"/>
              <w:ind w:right="40"/>
            </w:pPr>
            <w:r w:rsidRPr="00DE46F3">
              <w:t>FP</w:t>
            </w:r>
          </w:p>
        </w:tc>
        <w:tc>
          <w:tcPr>
            <w:tcW w:w="6565" w:type="dxa"/>
            <w:shd w:val="clear" w:color="auto" w:fill="auto"/>
          </w:tcPr>
          <w:p w14:paraId="1600A625" w14:textId="77777777" w:rsidR="00E038A4" w:rsidRPr="00DE46F3" w:rsidRDefault="00E038A4" w:rsidP="00537806">
            <w:pPr>
              <w:tabs>
                <w:tab w:val="left" w:pos="288"/>
                <w:tab w:val="left" w:pos="576"/>
                <w:tab w:val="left" w:pos="864"/>
                <w:tab w:val="left" w:pos="1152"/>
              </w:tabs>
              <w:spacing w:before="40" w:after="120"/>
              <w:ind w:left="144" w:right="40"/>
            </w:pPr>
            <w:r w:rsidRPr="00DE46F3">
              <w:t>Family Planning</w:t>
            </w:r>
          </w:p>
        </w:tc>
      </w:tr>
      <w:tr w:rsidR="00E038A4" w:rsidRPr="00DE46F3" w14:paraId="7AFEE464" w14:textId="77777777" w:rsidTr="003D357F">
        <w:tc>
          <w:tcPr>
            <w:tcW w:w="1224" w:type="dxa"/>
            <w:shd w:val="clear" w:color="auto" w:fill="auto"/>
          </w:tcPr>
          <w:p w14:paraId="4117C4EA" w14:textId="77777777" w:rsidR="00E038A4" w:rsidRPr="00DE46F3" w:rsidRDefault="00E038A4" w:rsidP="00537806">
            <w:pPr>
              <w:tabs>
                <w:tab w:val="left" w:pos="288"/>
                <w:tab w:val="left" w:pos="576"/>
                <w:tab w:val="left" w:pos="864"/>
                <w:tab w:val="left" w:pos="1152"/>
              </w:tabs>
              <w:spacing w:before="40" w:after="120"/>
              <w:ind w:right="40"/>
            </w:pPr>
            <w:r w:rsidRPr="00DE46F3">
              <w:t>GBV</w:t>
            </w:r>
          </w:p>
        </w:tc>
        <w:tc>
          <w:tcPr>
            <w:tcW w:w="6565" w:type="dxa"/>
            <w:shd w:val="clear" w:color="auto" w:fill="auto"/>
          </w:tcPr>
          <w:p w14:paraId="47EA1A47" w14:textId="77777777" w:rsidR="00E038A4" w:rsidRPr="00DE46F3" w:rsidRDefault="00E038A4" w:rsidP="00537806">
            <w:pPr>
              <w:tabs>
                <w:tab w:val="left" w:pos="288"/>
                <w:tab w:val="left" w:pos="576"/>
                <w:tab w:val="left" w:pos="864"/>
                <w:tab w:val="left" w:pos="1152"/>
              </w:tabs>
              <w:spacing w:before="40" w:after="120"/>
              <w:ind w:left="144" w:right="40"/>
            </w:pPr>
            <w:r w:rsidRPr="00DE46F3">
              <w:t>Gender-Based Violence</w:t>
            </w:r>
          </w:p>
        </w:tc>
      </w:tr>
      <w:tr w:rsidR="00E038A4" w:rsidRPr="00DE46F3" w14:paraId="142D7B5A" w14:textId="77777777" w:rsidTr="003D357F">
        <w:tc>
          <w:tcPr>
            <w:tcW w:w="1224" w:type="dxa"/>
            <w:shd w:val="clear" w:color="auto" w:fill="auto"/>
          </w:tcPr>
          <w:p w14:paraId="1F8CBEED" w14:textId="77777777" w:rsidR="00E038A4" w:rsidRPr="00DE46F3" w:rsidRDefault="00E038A4" w:rsidP="00537806">
            <w:pPr>
              <w:tabs>
                <w:tab w:val="left" w:pos="288"/>
                <w:tab w:val="left" w:pos="576"/>
                <w:tab w:val="left" w:pos="864"/>
                <w:tab w:val="left" w:pos="1152"/>
              </w:tabs>
              <w:spacing w:before="40" w:after="120"/>
              <w:ind w:right="40"/>
            </w:pPr>
            <w:r w:rsidRPr="00DE46F3">
              <w:t>GDS</w:t>
            </w:r>
          </w:p>
        </w:tc>
        <w:tc>
          <w:tcPr>
            <w:tcW w:w="6565" w:type="dxa"/>
            <w:shd w:val="clear" w:color="auto" w:fill="auto"/>
          </w:tcPr>
          <w:p w14:paraId="75854177" w14:textId="77777777" w:rsidR="00E038A4" w:rsidRPr="00DE46F3" w:rsidRDefault="00E038A4" w:rsidP="00537806">
            <w:pPr>
              <w:tabs>
                <w:tab w:val="left" w:pos="288"/>
                <w:tab w:val="left" w:pos="576"/>
                <w:tab w:val="left" w:pos="864"/>
                <w:tab w:val="left" w:pos="1152"/>
              </w:tabs>
              <w:spacing w:before="40" w:after="120"/>
              <w:ind w:left="144" w:right="40"/>
            </w:pPr>
            <w:r w:rsidRPr="00DE46F3">
              <w:rPr>
                <w:lang w:eastAsia="fr-FR"/>
              </w:rPr>
              <w:t>General Directorate of Statistics</w:t>
            </w:r>
          </w:p>
        </w:tc>
      </w:tr>
      <w:tr w:rsidR="00E038A4" w:rsidRPr="00DE46F3" w14:paraId="26FA4BAE" w14:textId="77777777" w:rsidTr="003D357F">
        <w:tc>
          <w:tcPr>
            <w:tcW w:w="1224" w:type="dxa"/>
            <w:shd w:val="clear" w:color="auto" w:fill="auto"/>
          </w:tcPr>
          <w:p w14:paraId="2FE1EEC2" w14:textId="77777777" w:rsidR="00E038A4" w:rsidRPr="00DE46F3" w:rsidRDefault="00E038A4" w:rsidP="00537806">
            <w:pPr>
              <w:tabs>
                <w:tab w:val="left" w:pos="288"/>
                <w:tab w:val="left" w:pos="576"/>
                <w:tab w:val="left" w:pos="864"/>
                <w:tab w:val="left" w:pos="1152"/>
              </w:tabs>
              <w:spacing w:before="40" w:after="120"/>
              <w:ind w:right="40"/>
            </w:pPr>
            <w:r w:rsidRPr="00DE46F3">
              <w:t>GER</w:t>
            </w:r>
          </w:p>
        </w:tc>
        <w:tc>
          <w:tcPr>
            <w:tcW w:w="6565" w:type="dxa"/>
            <w:shd w:val="clear" w:color="auto" w:fill="auto"/>
          </w:tcPr>
          <w:p w14:paraId="099151C3" w14:textId="77777777" w:rsidR="00E038A4" w:rsidRPr="00DE46F3" w:rsidRDefault="00E038A4" w:rsidP="00537806">
            <w:pPr>
              <w:tabs>
                <w:tab w:val="left" w:pos="288"/>
                <w:tab w:val="left" w:pos="576"/>
                <w:tab w:val="left" w:pos="864"/>
                <w:tab w:val="left" w:pos="1152"/>
              </w:tabs>
              <w:spacing w:before="40" w:after="120"/>
              <w:ind w:left="144" w:right="40"/>
            </w:pPr>
            <w:r w:rsidRPr="00DE46F3">
              <w:t>Gross Enrolment Rate</w:t>
            </w:r>
          </w:p>
        </w:tc>
      </w:tr>
      <w:tr w:rsidR="00E038A4" w:rsidRPr="00DE46F3" w14:paraId="405A3D5B" w14:textId="77777777" w:rsidTr="003D357F">
        <w:tc>
          <w:tcPr>
            <w:tcW w:w="1224" w:type="dxa"/>
            <w:shd w:val="clear" w:color="auto" w:fill="auto"/>
          </w:tcPr>
          <w:p w14:paraId="6B3621A2" w14:textId="77777777" w:rsidR="00E038A4" w:rsidRPr="00DE46F3" w:rsidRDefault="00E038A4" w:rsidP="00537806">
            <w:pPr>
              <w:tabs>
                <w:tab w:val="left" w:pos="288"/>
                <w:tab w:val="left" w:pos="576"/>
                <w:tab w:val="left" w:pos="864"/>
                <w:tab w:val="left" w:pos="1152"/>
              </w:tabs>
              <w:spacing w:before="40" w:after="120"/>
              <w:ind w:right="40"/>
            </w:pPr>
            <w:r w:rsidRPr="00DE46F3">
              <w:t>GMPTL</w:t>
            </w:r>
          </w:p>
        </w:tc>
        <w:tc>
          <w:tcPr>
            <w:tcW w:w="6565" w:type="dxa"/>
            <w:shd w:val="clear" w:color="auto" w:fill="auto"/>
          </w:tcPr>
          <w:p w14:paraId="16B53260" w14:textId="77777777" w:rsidR="00E038A4" w:rsidRPr="00DE46F3" w:rsidRDefault="00E038A4" w:rsidP="00537806">
            <w:pPr>
              <w:tabs>
                <w:tab w:val="left" w:pos="288"/>
                <w:tab w:val="left" w:pos="576"/>
                <w:tab w:val="left" w:pos="864"/>
                <w:tab w:val="left" w:pos="1152"/>
              </w:tabs>
              <w:spacing w:before="40" w:after="120"/>
              <w:ind w:left="144" w:right="40"/>
            </w:pPr>
            <w:r w:rsidRPr="00DE46F3">
              <w:rPr>
                <w:i/>
              </w:rPr>
              <w:t>Grupo das Mulheres Parlamentares de Timor-Leste</w:t>
            </w:r>
            <w:r w:rsidRPr="00DE46F3">
              <w:t xml:space="preserve"> (Female Parliamentarians of Timor-Leste Group)</w:t>
            </w:r>
          </w:p>
        </w:tc>
      </w:tr>
      <w:tr w:rsidR="00E038A4" w:rsidRPr="00DE46F3" w14:paraId="5878453F" w14:textId="77777777" w:rsidTr="003D357F">
        <w:tc>
          <w:tcPr>
            <w:tcW w:w="1224" w:type="dxa"/>
            <w:shd w:val="clear" w:color="auto" w:fill="auto"/>
          </w:tcPr>
          <w:p w14:paraId="60F0938A" w14:textId="77777777" w:rsidR="00E038A4" w:rsidRPr="00DE46F3" w:rsidRDefault="00E038A4" w:rsidP="00537806">
            <w:pPr>
              <w:tabs>
                <w:tab w:val="left" w:pos="288"/>
                <w:tab w:val="left" w:pos="576"/>
                <w:tab w:val="left" w:pos="864"/>
                <w:tab w:val="left" w:pos="1152"/>
              </w:tabs>
              <w:spacing w:before="40" w:after="120"/>
              <w:ind w:right="40"/>
            </w:pPr>
            <w:r w:rsidRPr="00DE46F3">
              <w:t>GRB</w:t>
            </w:r>
          </w:p>
        </w:tc>
        <w:tc>
          <w:tcPr>
            <w:tcW w:w="6565" w:type="dxa"/>
            <w:shd w:val="clear" w:color="auto" w:fill="auto"/>
          </w:tcPr>
          <w:p w14:paraId="0858F9EA" w14:textId="77777777" w:rsidR="00E038A4" w:rsidRPr="00DE46F3" w:rsidRDefault="00E038A4" w:rsidP="00537806">
            <w:pPr>
              <w:tabs>
                <w:tab w:val="left" w:pos="288"/>
                <w:tab w:val="left" w:pos="576"/>
                <w:tab w:val="left" w:pos="864"/>
                <w:tab w:val="left" w:pos="1152"/>
              </w:tabs>
              <w:spacing w:before="40" w:after="120"/>
              <w:ind w:left="144" w:right="40"/>
            </w:pPr>
            <w:r w:rsidRPr="00DE46F3">
              <w:t>Gender Responsive Budgeting</w:t>
            </w:r>
          </w:p>
        </w:tc>
      </w:tr>
      <w:tr w:rsidR="00E038A4" w:rsidRPr="00DE46F3" w14:paraId="34706ADB" w14:textId="77777777" w:rsidTr="003D357F">
        <w:tc>
          <w:tcPr>
            <w:tcW w:w="1224" w:type="dxa"/>
            <w:shd w:val="clear" w:color="auto" w:fill="auto"/>
          </w:tcPr>
          <w:p w14:paraId="1905676B" w14:textId="77777777" w:rsidR="00E038A4" w:rsidRPr="00DE46F3" w:rsidRDefault="00E038A4" w:rsidP="00537806">
            <w:pPr>
              <w:tabs>
                <w:tab w:val="left" w:pos="288"/>
                <w:tab w:val="left" w:pos="576"/>
                <w:tab w:val="left" w:pos="864"/>
                <w:tab w:val="left" w:pos="1152"/>
              </w:tabs>
              <w:spacing w:before="40" w:after="120"/>
              <w:ind w:right="40"/>
            </w:pPr>
            <w:r w:rsidRPr="00DE46F3">
              <w:t>HNGV</w:t>
            </w:r>
          </w:p>
        </w:tc>
        <w:tc>
          <w:tcPr>
            <w:tcW w:w="6565" w:type="dxa"/>
            <w:shd w:val="clear" w:color="auto" w:fill="auto"/>
          </w:tcPr>
          <w:p w14:paraId="7F5D2C10" w14:textId="77777777" w:rsidR="00E038A4" w:rsidRPr="00DE46F3" w:rsidRDefault="00E038A4" w:rsidP="00537806">
            <w:pPr>
              <w:tabs>
                <w:tab w:val="left" w:pos="288"/>
                <w:tab w:val="left" w:pos="576"/>
                <w:tab w:val="left" w:pos="864"/>
                <w:tab w:val="left" w:pos="1152"/>
              </w:tabs>
              <w:spacing w:before="40" w:after="120"/>
              <w:ind w:left="144" w:right="40"/>
            </w:pPr>
            <w:r w:rsidRPr="00DE46F3">
              <w:rPr>
                <w:i/>
              </w:rPr>
              <w:t>Hospital Nacional Guido Valadares</w:t>
            </w:r>
            <w:r w:rsidRPr="00DE46F3">
              <w:t xml:space="preserve"> (Guido Valadares National Hospital)</w:t>
            </w:r>
          </w:p>
        </w:tc>
      </w:tr>
      <w:tr w:rsidR="00E038A4" w:rsidRPr="00DE46F3" w14:paraId="15B1A780" w14:textId="77777777" w:rsidTr="003D357F">
        <w:tc>
          <w:tcPr>
            <w:tcW w:w="1224" w:type="dxa"/>
            <w:shd w:val="clear" w:color="auto" w:fill="auto"/>
          </w:tcPr>
          <w:p w14:paraId="57C035F0" w14:textId="77777777" w:rsidR="00E038A4" w:rsidRPr="00DE46F3" w:rsidRDefault="00E038A4" w:rsidP="00537806">
            <w:pPr>
              <w:tabs>
                <w:tab w:val="left" w:pos="288"/>
                <w:tab w:val="left" w:pos="576"/>
                <w:tab w:val="left" w:pos="864"/>
                <w:tab w:val="left" w:pos="1152"/>
              </w:tabs>
              <w:spacing w:before="40" w:after="120"/>
              <w:ind w:right="40"/>
            </w:pPr>
            <w:r w:rsidRPr="00DE46F3">
              <w:t>IGT</w:t>
            </w:r>
          </w:p>
        </w:tc>
        <w:tc>
          <w:tcPr>
            <w:tcW w:w="6565" w:type="dxa"/>
            <w:shd w:val="clear" w:color="auto" w:fill="auto"/>
          </w:tcPr>
          <w:p w14:paraId="03E224FD" w14:textId="77777777" w:rsidR="00E038A4" w:rsidRPr="00DE46F3" w:rsidRDefault="00E038A4" w:rsidP="00537806">
            <w:pPr>
              <w:tabs>
                <w:tab w:val="left" w:pos="288"/>
                <w:tab w:val="left" w:pos="576"/>
                <w:tab w:val="left" w:pos="864"/>
                <w:tab w:val="left" w:pos="1152"/>
              </w:tabs>
              <w:spacing w:before="40" w:after="120"/>
              <w:ind w:left="144" w:right="40"/>
            </w:pPr>
            <w:r w:rsidRPr="00DE46F3">
              <w:rPr>
                <w:i/>
              </w:rPr>
              <w:t>Inspeção Geral do Trabalho</w:t>
            </w:r>
            <w:r w:rsidRPr="00DE46F3">
              <w:rPr>
                <w:iCs/>
              </w:rPr>
              <w:t xml:space="preserve"> </w:t>
            </w:r>
            <w:r w:rsidRPr="00DE46F3">
              <w:t>(General Inspectorate of Labour)</w:t>
            </w:r>
          </w:p>
        </w:tc>
      </w:tr>
      <w:tr w:rsidR="00E038A4" w:rsidRPr="00DE46F3" w14:paraId="3A7AAFC5" w14:textId="77777777" w:rsidTr="003D357F">
        <w:tc>
          <w:tcPr>
            <w:tcW w:w="1224" w:type="dxa"/>
            <w:shd w:val="clear" w:color="auto" w:fill="auto"/>
          </w:tcPr>
          <w:p w14:paraId="5B7385B5" w14:textId="77777777" w:rsidR="00E038A4" w:rsidRPr="00DE46F3" w:rsidRDefault="00E038A4" w:rsidP="00537806">
            <w:pPr>
              <w:tabs>
                <w:tab w:val="left" w:pos="288"/>
                <w:tab w:val="left" w:pos="576"/>
                <w:tab w:val="left" w:pos="864"/>
                <w:tab w:val="left" w:pos="1152"/>
              </w:tabs>
              <w:spacing w:before="40" w:after="120"/>
              <w:ind w:right="40"/>
            </w:pPr>
            <w:r w:rsidRPr="00DE46F3">
              <w:t>ILO</w:t>
            </w:r>
          </w:p>
        </w:tc>
        <w:tc>
          <w:tcPr>
            <w:tcW w:w="6565" w:type="dxa"/>
            <w:shd w:val="clear" w:color="auto" w:fill="auto"/>
          </w:tcPr>
          <w:p w14:paraId="79DD5109" w14:textId="77777777" w:rsidR="00E038A4" w:rsidRPr="00DE46F3" w:rsidRDefault="00E038A4" w:rsidP="00537806">
            <w:pPr>
              <w:tabs>
                <w:tab w:val="left" w:pos="288"/>
                <w:tab w:val="left" w:pos="576"/>
                <w:tab w:val="left" w:pos="864"/>
                <w:tab w:val="left" w:pos="1152"/>
              </w:tabs>
              <w:spacing w:before="40" w:after="120"/>
              <w:ind w:left="144" w:right="40"/>
            </w:pPr>
            <w:r w:rsidRPr="00DE46F3">
              <w:t>International Labour Organization</w:t>
            </w:r>
          </w:p>
        </w:tc>
      </w:tr>
      <w:tr w:rsidR="00E038A4" w:rsidRPr="00DE46F3" w14:paraId="4009B687" w14:textId="77777777" w:rsidTr="003D357F">
        <w:tc>
          <w:tcPr>
            <w:tcW w:w="1224" w:type="dxa"/>
            <w:shd w:val="clear" w:color="auto" w:fill="auto"/>
          </w:tcPr>
          <w:p w14:paraId="0FB5E8D1" w14:textId="77777777" w:rsidR="00E038A4" w:rsidRPr="00DE46F3" w:rsidRDefault="00E038A4" w:rsidP="00537806">
            <w:pPr>
              <w:tabs>
                <w:tab w:val="left" w:pos="288"/>
                <w:tab w:val="left" w:pos="576"/>
                <w:tab w:val="left" w:pos="864"/>
                <w:tab w:val="left" w:pos="1152"/>
              </w:tabs>
              <w:spacing w:before="40" w:after="120"/>
              <w:ind w:right="40"/>
            </w:pPr>
            <w:r w:rsidRPr="00DE46F3">
              <w:t>INAP</w:t>
            </w:r>
          </w:p>
        </w:tc>
        <w:tc>
          <w:tcPr>
            <w:tcW w:w="6565" w:type="dxa"/>
            <w:shd w:val="clear" w:color="auto" w:fill="auto"/>
          </w:tcPr>
          <w:p w14:paraId="50B16202" w14:textId="77777777" w:rsidR="00E038A4" w:rsidRPr="00DE46F3" w:rsidRDefault="00E038A4" w:rsidP="00537806">
            <w:pPr>
              <w:tabs>
                <w:tab w:val="left" w:pos="288"/>
                <w:tab w:val="left" w:pos="576"/>
                <w:tab w:val="left" w:pos="864"/>
                <w:tab w:val="left" w:pos="1152"/>
              </w:tabs>
              <w:spacing w:before="40" w:after="120"/>
              <w:ind w:left="144" w:right="40"/>
            </w:pPr>
            <w:r w:rsidRPr="00DE46F3">
              <w:rPr>
                <w:i/>
              </w:rPr>
              <w:t>Instituto Nacional de Administração Pública</w:t>
            </w:r>
            <w:r w:rsidRPr="00DE46F3">
              <w:t xml:space="preserve"> (National Institute of Public Administration)</w:t>
            </w:r>
          </w:p>
        </w:tc>
      </w:tr>
      <w:tr w:rsidR="00E038A4" w:rsidRPr="00DE46F3" w14:paraId="7E604B42" w14:textId="77777777" w:rsidTr="003D357F">
        <w:tc>
          <w:tcPr>
            <w:tcW w:w="1224" w:type="dxa"/>
            <w:shd w:val="clear" w:color="auto" w:fill="auto"/>
          </w:tcPr>
          <w:p w14:paraId="4FAC1DAD" w14:textId="77777777" w:rsidR="00E038A4" w:rsidRPr="00DE46F3" w:rsidRDefault="00E038A4" w:rsidP="00537806">
            <w:pPr>
              <w:tabs>
                <w:tab w:val="left" w:pos="288"/>
                <w:tab w:val="left" w:pos="576"/>
                <w:tab w:val="left" w:pos="864"/>
                <w:tab w:val="left" w:pos="1152"/>
              </w:tabs>
              <w:spacing w:before="40" w:after="120"/>
              <w:ind w:right="40"/>
            </w:pPr>
            <w:r w:rsidRPr="00DE46F3">
              <w:t>INS</w:t>
            </w:r>
          </w:p>
        </w:tc>
        <w:tc>
          <w:tcPr>
            <w:tcW w:w="6565" w:type="dxa"/>
            <w:shd w:val="clear" w:color="auto" w:fill="auto"/>
          </w:tcPr>
          <w:p w14:paraId="18FB5E60" w14:textId="77777777" w:rsidR="00E038A4" w:rsidRPr="00DE46F3" w:rsidRDefault="00E038A4" w:rsidP="00537806">
            <w:pPr>
              <w:tabs>
                <w:tab w:val="left" w:pos="288"/>
                <w:tab w:val="left" w:pos="576"/>
                <w:tab w:val="left" w:pos="864"/>
                <w:tab w:val="left" w:pos="1152"/>
              </w:tabs>
              <w:spacing w:before="40" w:after="120"/>
              <w:ind w:left="144" w:right="40"/>
            </w:pPr>
            <w:r w:rsidRPr="00DE46F3">
              <w:rPr>
                <w:i/>
              </w:rPr>
              <w:t>Instituto Nacional de Saúde</w:t>
            </w:r>
            <w:r w:rsidRPr="00DE46F3">
              <w:t xml:space="preserve"> (National Health Institute)</w:t>
            </w:r>
          </w:p>
        </w:tc>
      </w:tr>
      <w:tr w:rsidR="00E038A4" w:rsidRPr="00DE46F3" w14:paraId="03B7F195" w14:textId="77777777" w:rsidTr="003D357F">
        <w:tc>
          <w:tcPr>
            <w:tcW w:w="1224" w:type="dxa"/>
            <w:shd w:val="clear" w:color="auto" w:fill="auto"/>
          </w:tcPr>
          <w:p w14:paraId="4F3420A1" w14:textId="77777777" w:rsidR="00E038A4" w:rsidRPr="00DE46F3" w:rsidRDefault="00E038A4" w:rsidP="00537806">
            <w:pPr>
              <w:tabs>
                <w:tab w:val="left" w:pos="288"/>
                <w:tab w:val="left" w:pos="576"/>
                <w:tab w:val="left" w:pos="864"/>
                <w:tab w:val="left" w:pos="1152"/>
              </w:tabs>
              <w:spacing w:before="40" w:after="120"/>
              <w:ind w:right="40"/>
            </w:pPr>
            <w:r w:rsidRPr="00DE46F3">
              <w:t>IOM</w:t>
            </w:r>
          </w:p>
        </w:tc>
        <w:tc>
          <w:tcPr>
            <w:tcW w:w="6565" w:type="dxa"/>
            <w:shd w:val="clear" w:color="auto" w:fill="auto"/>
          </w:tcPr>
          <w:p w14:paraId="1DD4B1DB" w14:textId="77777777" w:rsidR="00E038A4" w:rsidRPr="00DE46F3" w:rsidRDefault="00E038A4" w:rsidP="00537806">
            <w:pPr>
              <w:tabs>
                <w:tab w:val="left" w:pos="288"/>
                <w:tab w:val="left" w:pos="576"/>
                <w:tab w:val="left" w:pos="864"/>
                <w:tab w:val="left" w:pos="1152"/>
              </w:tabs>
              <w:spacing w:before="40" w:after="120"/>
              <w:ind w:left="144" w:right="40"/>
            </w:pPr>
            <w:r w:rsidRPr="00DE46F3">
              <w:t>International Organisation for Migration</w:t>
            </w:r>
          </w:p>
        </w:tc>
      </w:tr>
      <w:tr w:rsidR="00E038A4" w:rsidRPr="00DE46F3" w14:paraId="7AC64323" w14:textId="77777777" w:rsidTr="003D357F">
        <w:tc>
          <w:tcPr>
            <w:tcW w:w="1224" w:type="dxa"/>
            <w:shd w:val="clear" w:color="auto" w:fill="auto"/>
          </w:tcPr>
          <w:p w14:paraId="42BB9E7F" w14:textId="77777777" w:rsidR="00E038A4" w:rsidRPr="00DE46F3" w:rsidRDefault="00E038A4" w:rsidP="00537806">
            <w:pPr>
              <w:tabs>
                <w:tab w:val="left" w:pos="288"/>
                <w:tab w:val="left" w:pos="576"/>
                <w:tab w:val="left" w:pos="864"/>
                <w:tab w:val="left" w:pos="1152"/>
              </w:tabs>
              <w:spacing w:before="40" w:after="120"/>
              <w:ind w:right="40"/>
            </w:pPr>
            <w:r w:rsidRPr="00DE46F3">
              <w:t>LADV</w:t>
            </w:r>
          </w:p>
        </w:tc>
        <w:tc>
          <w:tcPr>
            <w:tcW w:w="6565" w:type="dxa"/>
            <w:shd w:val="clear" w:color="auto" w:fill="auto"/>
          </w:tcPr>
          <w:p w14:paraId="32BC3EE9" w14:textId="77777777" w:rsidR="00E038A4" w:rsidRPr="00DE46F3" w:rsidRDefault="00E038A4" w:rsidP="00537806">
            <w:pPr>
              <w:tabs>
                <w:tab w:val="left" w:pos="288"/>
                <w:tab w:val="left" w:pos="576"/>
                <w:tab w:val="left" w:pos="864"/>
                <w:tab w:val="left" w:pos="1152"/>
              </w:tabs>
              <w:spacing w:before="40" w:after="120"/>
              <w:ind w:left="144" w:right="40"/>
            </w:pPr>
            <w:r w:rsidRPr="00DE46F3">
              <w:t>Law Against Domestic Violence</w:t>
            </w:r>
          </w:p>
        </w:tc>
      </w:tr>
      <w:tr w:rsidR="00E038A4" w:rsidRPr="00DE46F3" w14:paraId="173ADC27" w14:textId="77777777" w:rsidTr="003D357F">
        <w:tc>
          <w:tcPr>
            <w:tcW w:w="1224" w:type="dxa"/>
            <w:shd w:val="clear" w:color="auto" w:fill="auto"/>
          </w:tcPr>
          <w:p w14:paraId="230A9565" w14:textId="77777777" w:rsidR="00E038A4" w:rsidRPr="00DE46F3" w:rsidRDefault="00E038A4" w:rsidP="00537806">
            <w:pPr>
              <w:tabs>
                <w:tab w:val="left" w:pos="288"/>
                <w:tab w:val="left" w:pos="576"/>
                <w:tab w:val="left" w:pos="864"/>
                <w:tab w:val="left" w:pos="1152"/>
              </w:tabs>
              <w:spacing w:before="40" w:after="120"/>
              <w:ind w:right="40"/>
            </w:pPr>
            <w:r w:rsidRPr="00DE46F3">
              <w:t>LFS</w:t>
            </w:r>
          </w:p>
        </w:tc>
        <w:tc>
          <w:tcPr>
            <w:tcW w:w="6565" w:type="dxa"/>
            <w:shd w:val="clear" w:color="auto" w:fill="auto"/>
          </w:tcPr>
          <w:p w14:paraId="68120AF2" w14:textId="77777777" w:rsidR="00E038A4" w:rsidRPr="00DE46F3" w:rsidRDefault="00E038A4" w:rsidP="00537806">
            <w:pPr>
              <w:tabs>
                <w:tab w:val="left" w:pos="288"/>
                <w:tab w:val="left" w:pos="576"/>
                <w:tab w:val="left" w:pos="864"/>
                <w:tab w:val="left" w:pos="1152"/>
              </w:tabs>
              <w:spacing w:before="40" w:after="120"/>
              <w:ind w:left="144" w:right="40"/>
            </w:pPr>
            <w:r w:rsidRPr="00DE46F3">
              <w:t>Labour Force Survey</w:t>
            </w:r>
          </w:p>
        </w:tc>
      </w:tr>
      <w:tr w:rsidR="00E038A4" w:rsidRPr="00DE46F3" w14:paraId="2A2F7F38" w14:textId="77777777" w:rsidTr="003D357F">
        <w:tc>
          <w:tcPr>
            <w:tcW w:w="1224" w:type="dxa"/>
            <w:shd w:val="clear" w:color="auto" w:fill="auto"/>
          </w:tcPr>
          <w:p w14:paraId="481C8FC5" w14:textId="77777777" w:rsidR="00E038A4" w:rsidRPr="00DE46F3" w:rsidRDefault="00E038A4" w:rsidP="00537806">
            <w:pPr>
              <w:tabs>
                <w:tab w:val="left" w:pos="288"/>
                <w:tab w:val="left" w:pos="576"/>
                <w:tab w:val="left" w:pos="864"/>
                <w:tab w:val="left" w:pos="1152"/>
              </w:tabs>
              <w:spacing w:before="40" w:after="120"/>
              <w:ind w:right="40"/>
            </w:pPr>
            <w:r w:rsidRPr="00DE46F3">
              <w:t>LJTC</w:t>
            </w:r>
          </w:p>
        </w:tc>
        <w:tc>
          <w:tcPr>
            <w:tcW w:w="6565" w:type="dxa"/>
            <w:shd w:val="clear" w:color="auto" w:fill="auto"/>
          </w:tcPr>
          <w:p w14:paraId="0AC45CF9" w14:textId="77777777" w:rsidR="00E038A4" w:rsidRPr="00DE46F3" w:rsidRDefault="00E038A4" w:rsidP="00537806">
            <w:pPr>
              <w:tabs>
                <w:tab w:val="left" w:pos="288"/>
                <w:tab w:val="left" w:pos="576"/>
                <w:tab w:val="left" w:pos="864"/>
                <w:tab w:val="left" w:pos="1152"/>
              </w:tabs>
              <w:spacing w:before="40" w:after="120"/>
              <w:ind w:left="144" w:right="40"/>
            </w:pPr>
            <w:r w:rsidRPr="00DE46F3">
              <w:t>Legal and Judicial Training Centre</w:t>
            </w:r>
          </w:p>
        </w:tc>
      </w:tr>
      <w:tr w:rsidR="00E038A4" w:rsidRPr="00DE46F3" w14:paraId="4F5A0CB5" w14:textId="77777777" w:rsidTr="003D357F">
        <w:tc>
          <w:tcPr>
            <w:tcW w:w="1224" w:type="dxa"/>
            <w:shd w:val="clear" w:color="auto" w:fill="auto"/>
          </w:tcPr>
          <w:p w14:paraId="7B305B1C" w14:textId="77777777" w:rsidR="00E038A4" w:rsidRPr="00DE46F3" w:rsidRDefault="00E038A4" w:rsidP="00537806">
            <w:pPr>
              <w:tabs>
                <w:tab w:val="left" w:pos="288"/>
                <w:tab w:val="left" w:pos="576"/>
                <w:tab w:val="left" w:pos="864"/>
                <w:tab w:val="left" w:pos="1152"/>
              </w:tabs>
              <w:spacing w:before="40" w:after="120"/>
              <w:ind w:right="40"/>
            </w:pPr>
            <w:r w:rsidRPr="00DE46F3">
              <w:t>MAF</w:t>
            </w:r>
          </w:p>
        </w:tc>
        <w:tc>
          <w:tcPr>
            <w:tcW w:w="6565" w:type="dxa"/>
            <w:shd w:val="clear" w:color="auto" w:fill="auto"/>
          </w:tcPr>
          <w:p w14:paraId="0924443A" w14:textId="77777777" w:rsidR="00E038A4" w:rsidRPr="00DE46F3" w:rsidRDefault="00E038A4" w:rsidP="00537806">
            <w:pPr>
              <w:tabs>
                <w:tab w:val="left" w:pos="288"/>
                <w:tab w:val="left" w:pos="576"/>
                <w:tab w:val="left" w:pos="864"/>
                <w:tab w:val="left" w:pos="1152"/>
              </w:tabs>
              <w:spacing w:before="40" w:after="120"/>
              <w:ind w:left="144" w:right="40"/>
            </w:pPr>
            <w:r w:rsidRPr="00DE46F3">
              <w:t>Ministry of Agriculture and Fisheries</w:t>
            </w:r>
          </w:p>
        </w:tc>
      </w:tr>
      <w:tr w:rsidR="00E038A4" w:rsidRPr="00DE46F3" w14:paraId="0867964D" w14:textId="77777777" w:rsidTr="003D357F">
        <w:tc>
          <w:tcPr>
            <w:tcW w:w="1224" w:type="dxa"/>
            <w:shd w:val="clear" w:color="auto" w:fill="auto"/>
          </w:tcPr>
          <w:p w14:paraId="4CA658F7" w14:textId="77777777" w:rsidR="00E038A4" w:rsidRPr="00DE46F3" w:rsidRDefault="00E038A4" w:rsidP="00537806">
            <w:pPr>
              <w:tabs>
                <w:tab w:val="left" w:pos="288"/>
                <w:tab w:val="left" w:pos="576"/>
                <w:tab w:val="left" w:pos="864"/>
                <w:tab w:val="left" w:pos="1152"/>
              </w:tabs>
              <w:spacing w:before="40" w:after="120"/>
              <w:ind w:right="40"/>
            </w:pPr>
            <w:r w:rsidRPr="00DE46F3">
              <w:t>MDSR</w:t>
            </w:r>
          </w:p>
        </w:tc>
        <w:tc>
          <w:tcPr>
            <w:tcW w:w="6565" w:type="dxa"/>
            <w:shd w:val="clear" w:color="auto" w:fill="auto"/>
          </w:tcPr>
          <w:p w14:paraId="24AFD413" w14:textId="77777777" w:rsidR="00E038A4" w:rsidRPr="00DE46F3" w:rsidRDefault="00E038A4" w:rsidP="00537806">
            <w:pPr>
              <w:tabs>
                <w:tab w:val="left" w:pos="288"/>
                <w:tab w:val="left" w:pos="576"/>
                <w:tab w:val="left" w:pos="864"/>
                <w:tab w:val="left" w:pos="1152"/>
              </w:tabs>
              <w:spacing w:before="40" w:after="120"/>
              <w:ind w:left="144" w:right="40"/>
            </w:pPr>
            <w:r w:rsidRPr="00DE46F3">
              <w:t>Maternal Death Surveillance Response</w:t>
            </w:r>
          </w:p>
        </w:tc>
      </w:tr>
      <w:tr w:rsidR="00E038A4" w:rsidRPr="00DE46F3" w14:paraId="083AAB0B" w14:textId="77777777" w:rsidTr="003D357F">
        <w:tc>
          <w:tcPr>
            <w:tcW w:w="1224" w:type="dxa"/>
            <w:shd w:val="clear" w:color="auto" w:fill="auto"/>
          </w:tcPr>
          <w:p w14:paraId="09D63366" w14:textId="193AA4A4" w:rsidR="00E038A4" w:rsidRPr="00DE46F3" w:rsidRDefault="00E038A4" w:rsidP="003D357F">
            <w:pPr>
              <w:tabs>
                <w:tab w:val="left" w:pos="288"/>
                <w:tab w:val="left" w:pos="576"/>
                <w:tab w:val="left" w:pos="864"/>
                <w:tab w:val="left" w:pos="1152"/>
              </w:tabs>
              <w:spacing w:before="40" w:after="120"/>
              <w:ind w:right="40"/>
            </w:pPr>
            <w:r w:rsidRPr="00DE46F3">
              <w:t>MEJD</w:t>
            </w:r>
          </w:p>
        </w:tc>
        <w:tc>
          <w:tcPr>
            <w:tcW w:w="6565" w:type="dxa"/>
            <w:shd w:val="clear" w:color="auto" w:fill="auto"/>
          </w:tcPr>
          <w:p w14:paraId="797E9583" w14:textId="77777777" w:rsidR="00E038A4" w:rsidRPr="00DE46F3" w:rsidRDefault="00E038A4" w:rsidP="00537806">
            <w:pPr>
              <w:tabs>
                <w:tab w:val="left" w:pos="288"/>
                <w:tab w:val="left" w:pos="576"/>
                <w:tab w:val="left" w:pos="864"/>
                <w:tab w:val="left" w:pos="1152"/>
              </w:tabs>
              <w:spacing w:before="40" w:after="120"/>
              <w:ind w:left="144" w:right="40"/>
            </w:pPr>
            <w:r w:rsidRPr="00DE46F3">
              <w:rPr>
                <w:i/>
              </w:rPr>
              <w:t>Ministério da Educação, Juventude e Desporto</w:t>
            </w:r>
            <w:r w:rsidRPr="00DE46F3">
              <w:t xml:space="preserve"> (Ministry of Education, Youth and Sports) / (ex-MoE – Ministry of Education)</w:t>
            </w:r>
          </w:p>
        </w:tc>
      </w:tr>
      <w:tr w:rsidR="00E038A4" w:rsidRPr="00DE46F3" w14:paraId="3FE02512" w14:textId="77777777" w:rsidTr="003D357F">
        <w:tc>
          <w:tcPr>
            <w:tcW w:w="1224" w:type="dxa"/>
            <w:shd w:val="clear" w:color="auto" w:fill="auto"/>
          </w:tcPr>
          <w:p w14:paraId="4DC08090" w14:textId="77777777" w:rsidR="00E038A4" w:rsidRPr="00DE46F3" w:rsidRDefault="00E038A4" w:rsidP="00537806">
            <w:pPr>
              <w:tabs>
                <w:tab w:val="left" w:pos="288"/>
                <w:tab w:val="left" w:pos="576"/>
                <w:tab w:val="left" w:pos="864"/>
                <w:tab w:val="left" w:pos="1152"/>
              </w:tabs>
              <w:spacing w:before="40" w:after="120"/>
              <w:ind w:right="40"/>
            </w:pPr>
            <w:r w:rsidRPr="00DE46F3">
              <w:t>MoH</w:t>
            </w:r>
          </w:p>
        </w:tc>
        <w:tc>
          <w:tcPr>
            <w:tcW w:w="6565" w:type="dxa"/>
            <w:shd w:val="clear" w:color="auto" w:fill="auto"/>
          </w:tcPr>
          <w:p w14:paraId="6D10FDA9" w14:textId="77777777" w:rsidR="00E038A4" w:rsidRPr="00DE46F3" w:rsidRDefault="00E038A4" w:rsidP="00537806">
            <w:pPr>
              <w:tabs>
                <w:tab w:val="left" w:pos="288"/>
                <w:tab w:val="left" w:pos="576"/>
                <w:tab w:val="left" w:pos="864"/>
                <w:tab w:val="left" w:pos="1152"/>
              </w:tabs>
              <w:spacing w:before="40" w:after="120"/>
              <w:ind w:left="144" w:right="40"/>
            </w:pPr>
            <w:r w:rsidRPr="00DE46F3">
              <w:t>Ministry of Health</w:t>
            </w:r>
          </w:p>
        </w:tc>
      </w:tr>
      <w:tr w:rsidR="00E038A4" w:rsidRPr="00DE46F3" w14:paraId="45ACFCCF" w14:textId="77777777" w:rsidTr="003D357F">
        <w:tc>
          <w:tcPr>
            <w:tcW w:w="1224" w:type="dxa"/>
            <w:shd w:val="clear" w:color="auto" w:fill="auto"/>
          </w:tcPr>
          <w:p w14:paraId="14FAF3F1" w14:textId="77777777" w:rsidR="00E038A4" w:rsidRPr="00DE46F3" w:rsidRDefault="00E038A4" w:rsidP="00537806">
            <w:pPr>
              <w:tabs>
                <w:tab w:val="left" w:pos="288"/>
                <w:tab w:val="left" w:pos="576"/>
                <w:tab w:val="left" w:pos="864"/>
                <w:tab w:val="left" w:pos="1152"/>
              </w:tabs>
              <w:spacing w:before="40" w:after="120"/>
              <w:ind w:right="40"/>
            </w:pPr>
            <w:r w:rsidRPr="00DE46F3">
              <w:t>MoI</w:t>
            </w:r>
          </w:p>
        </w:tc>
        <w:tc>
          <w:tcPr>
            <w:tcW w:w="6565" w:type="dxa"/>
            <w:shd w:val="clear" w:color="auto" w:fill="auto"/>
          </w:tcPr>
          <w:p w14:paraId="7A6D1434" w14:textId="77777777" w:rsidR="00E038A4" w:rsidRPr="00DE46F3" w:rsidRDefault="00E038A4" w:rsidP="00537806">
            <w:pPr>
              <w:tabs>
                <w:tab w:val="left" w:pos="288"/>
                <w:tab w:val="left" w:pos="576"/>
                <w:tab w:val="left" w:pos="864"/>
                <w:tab w:val="left" w:pos="1152"/>
              </w:tabs>
              <w:spacing w:before="40" w:after="120"/>
              <w:ind w:left="144" w:right="40"/>
            </w:pPr>
            <w:r w:rsidRPr="00DE46F3">
              <w:t>Ministry of Interior</w:t>
            </w:r>
          </w:p>
        </w:tc>
      </w:tr>
      <w:tr w:rsidR="00E038A4" w:rsidRPr="00DE46F3" w14:paraId="40AB3F7C" w14:textId="77777777" w:rsidTr="003D357F">
        <w:tc>
          <w:tcPr>
            <w:tcW w:w="1224" w:type="dxa"/>
            <w:shd w:val="clear" w:color="auto" w:fill="auto"/>
          </w:tcPr>
          <w:p w14:paraId="186B7D06" w14:textId="77777777" w:rsidR="00E038A4" w:rsidRPr="00DE46F3" w:rsidRDefault="00E038A4" w:rsidP="00537806">
            <w:pPr>
              <w:tabs>
                <w:tab w:val="left" w:pos="288"/>
                <w:tab w:val="left" w:pos="576"/>
                <w:tab w:val="left" w:pos="864"/>
                <w:tab w:val="left" w:pos="1152"/>
              </w:tabs>
              <w:spacing w:before="40" w:after="120"/>
              <w:ind w:right="40"/>
            </w:pPr>
            <w:r w:rsidRPr="00DE46F3">
              <w:t>MoJ</w:t>
            </w:r>
          </w:p>
        </w:tc>
        <w:tc>
          <w:tcPr>
            <w:tcW w:w="6565" w:type="dxa"/>
            <w:shd w:val="clear" w:color="auto" w:fill="auto"/>
          </w:tcPr>
          <w:p w14:paraId="6EA81144" w14:textId="77777777" w:rsidR="00E038A4" w:rsidRPr="00DE46F3" w:rsidRDefault="00E038A4" w:rsidP="00537806">
            <w:pPr>
              <w:tabs>
                <w:tab w:val="left" w:pos="288"/>
                <w:tab w:val="left" w:pos="576"/>
                <w:tab w:val="left" w:pos="864"/>
                <w:tab w:val="left" w:pos="1152"/>
              </w:tabs>
              <w:spacing w:before="40" w:after="120"/>
              <w:ind w:left="144" w:right="40"/>
            </w:pPr>
            <w:r w:rsidRPr="00DE46F3">
              <w:t>Ministry of Justice</w:t>
            </w:r>
          </w:p>
        </w:tc>
      </w:tr>
      <w:tr w:rsidR="00E038A4" w:rsidRPr="00DE46F3" w14:paraId="745A88B2" w14:textId="77777777" w:rsidTr="003D357F">
        <w:tc>
          <w:tcPr>
            <w:tcW w:w="1224" w:type="dxa"/>
            <w:shd w:val="clear" w:color="auto" w:fill="auto"/>
          </w:tcPr>
          <w:p w14:paraId="04AF538A" w14:textId="77777777" w:rsidR="00E038A4" w:rsidRPr="00DE46F3" w:rsidRDefault="00E038A4" w:rsidP="00537806">
            <w:pPr>
              <w:tabs>
                <w:tab w:val="left" w:pos="288"/>
                <w:tab w:val="left" w:pos="576"/>
                <w:tab w:val="left" w:pos="864"/>
                <w:tab w:val="left" w:pos="1152"/>
              </w:tabs>
              <w:spacing w:before="40" w:after="120"/>
              <w:ind w:right="40"/>
            </w:pPr>
            <w:r w:rsidRPr="00DE46F3">
              <w:t>MRLAP</w:t>
            </w:r>
          </w:p>
        </w:tc>
        <w:tc>
          <w:tcPr>
            <w:tcW w:w="6565" w:type="dxa"/>
            <w:shd w:val="clear" w:color="auto" w:fill="auto"/>
          </w:tcPr>
          <w:p w14:paraId="5524804A" w14:textId="77777777" w:rsidR="00E038A4" w:rsidRPr="00DE46F3" w:rsidRDefault="00E038A4" w:rsidP="00537806">
            <w:pPr>
              <w:tabs>
                <w:tab w:val="left" w:pos="288"/>
                <w:tab w:val="left" w:pos="576"/>
                <w:tab w:val="left" w:pos="864"/>
                <w:tab w:val="left" w:pos="1152"/>
              </w:tabs>
              <w:spacing w:before="40" w:after="120"/>
              <w:ind w:left="144" w:right="40"/>
            </w:pPr>
            <w:r w:rsidRPr="00DE46F3">
              <w:rPr>
                <w:i/>
              </w:rPr>
              <w:t>Ministério da Reforma Legislativa e Assuntos Parlamentares</w:t>
            </w:r>
            <w:r w:rsidRPr="00DE46F3">
              <w:t xml:space="preserve"> (Ministry of Legislative Reform and Parliamentary Affairs)</w:t>
            </w:r>
          </w:p>
        </w:tc>
      </w:tr>
      <w:tr w:rsidR="00E038A4" w:rsidRPr="00DE46F3" w14:paraId="77E6F7D6" w14:textId="77777777" w:rsidTr="003D357F">
        <w:tc>
          <w:tcPr>
            <w:tcW w:w="1224" w:type="dxa"/>
            <w:shd w:val="clear" w:color="auto" w:fill="auto"/>
          </w:tcPr>
          <w:p w14:paraId="503B117E" w14:textId="77777777" w:rsidR="00E038A4" w:rsidRPr="00DE46F3" w:rsidRDefault="00E038A4" w:rsidP="00537806">
            <w:pPr>
              <w:tabs>
                <w:tab w:val="left" w:pos="288"/>
                <w:tab w:val="left" w:pos="576"/>
                <w:tab w:val="left" w:pos="864"/>
                <w:tab w:val="left" w:pos="1152"/>
              </w:tabs>
              <w:spacing w:before="40" w:after="120"/>
              <w:ind w:right="40"/>
            </w:pPr>
            <w:r w:rsidRPr="00DE46F3">
              <w:t>MSG</w:t>
            </w:r>
          </w:p>
        </w:tc>
        <w:tc>
          <w:tcPr>
            <w:tcW w:w="6565" w:type="dxa"/>
            <w:shd w:val="clear" w:color="auto" w:fill="auto"/>
          </w:tcPr>
          <w:p w14:paraId="051B004B" w14:textId="77777777" w:rsidR="00E038A4" w:rsidRPr="00DE46F3" w:rsidRDefault="00E038A4" w:rsidP="00537806">
            <w:pPr>
              <w:tabs>
                <w:tab w:val="left" w:pos="288"/>
                <w:tab w:val="left" w:pos="576"/>
                <w:tab w:val="left" w:pos="864"/>
                <w:tab w:val="left" w:pos="1152"/>
              </w:tabs>
              <w:spacing w:before="40" w:after="120"/>
              <w:ind w:left="144" w:right="40"/>
            </w:pPr>
            <w:r w:rsidRPr="00DE46F3">
              <w:t>Mother Support Groups</w:t>
            </w:r>
          </w:p>
        </w:tc>
      </w:tr>
      <w:tr w:rsidR="00E038A4" w:rsidRPr="00DE46F3" w14:paraId="67901A6B" w14:textId="77777777" w:rsidTr="003D357F">
        <w:tc>
          <w:tcPr>
            <w:tcW w:w="1224" w:type="dxa"/>
            <w:shd w:val="clear" w:color="auto" w:fill="auto"/>
          </w:tcPr>
          <w:p w14:paraId="72BECE97" w14:textId="77777777" w:rsidR="00E038A4" w:rsidRPr="00DE46F3" w:rsidRDefault="00E038A4" w:rsidP="00537806">
            <w:pPr>
              <w:tabs>
                <w:tab w:val="left" w:pos="288"/>
                <w:tab w:val="left" w:pos="576"/>
                <w:tab w:val="left" w:pos="864"/>
                <w:tab w:val="left" w:pos="1152"/>
              </w:tabs>
              <w:spacing w:before="40" w:after="120"/>
              <w:ind w:right="40"/>
            </w:pPr>
            <w:r w:rsidRPr="00DE46F3">
              <w:t>MSSI</w:t>
            </w:r>
          </w:p>
        </w:tc>
        <w:tc>
          <w:tcPr>
            <w:tcW w:w="6565" w:type="dxa"/>
            <w:shd w:val="clear" w:color="auto" w:fill="auto"/>
          </w:tcPr>
          <w:p w14:paraId="1D086ED1" w14:textId="77777777" w:rsidR="00E038A4" w:rsidRPr="00DE46F3" w:rsidRDefault="00E038A4" w:rsidP="00537806">
            <w:pPr>
              <w:tabs>
                <w:tab w:val="left" w:pos="288"/>
                <w:tab w:val="left" w:pos="576"/>
                <w:tab w:val="left" w:pos="864"/>
                <w:tab w:val="left" w:pos="1152"/>
              </w:tabs>
              <w:spacing w:before="40" w:after="120"/>
              <w:ind w:left="144" w:right="40"/>
            </w:pPr>
            <w:r w:rsidRPr="00DE46F3">
              <w:rPr>
                <w:i/>
              </w:rPr>
              <w:t>Ministério da Solidariedade Social e Inclusão</w:t>
            </w:r>
            <w:r w:rsidRPr="00DE46F3">
              <w:t xml:space="preserve"> (Ministry of Social Solidarity and Inclusion</w:t>
            </w:r>
            <w:r w:rsidRPr="00DE46F3">
              <w:rPr>
                <w:shd w:val="clear" w:color="auto" w:fill="FFFFFF"/>
              </w:rPr>
              <w:t>)</w:t>
            </w:r>
          </w:p>
        </w:tc>
      </w:tr>
      <w:tr w:rsidR="00E038A4" w:rsidRPr="00DE46F3" w14:paraId="37B4508F" w14:textId="77777777" w:rsidTr="003D357F">
        <w:tc>
          <w:tcPr>
            <w:tcW w:w="1224" w:type="dxa"/>
            <w:shd w:val="clear" w:color="auto" w:fill="auto"/>
          </w:tcPr>
          <w:p w14:paraId="1E527A8D" w14:textId="77777777" w:rsidR="00E038A4" w:rsidRPr="00DE46F3" w:rsidRDefault="00E038A4" w:rsidP="00537806">
            <w:pPr>
              <w:tabs>
                <w:tab w:val="left" w:pos="288"/>
                <w:tab w:val="left" w:pos="576"/>
                <w:tab w:val="left" w:pos="864"/>
                <w:tab w:val="left" w:pos="1152"/>
              </w:tabs>
              <w:spacing w:before="40" w:after="120"/>
              <w:ind w:right="40"/>
            </w:pPr>
            <w:r w:rsidRPr="00DE46F3">
              <w:t>MTCI</w:t>
            </w:r>
          </w:p>
        </w:tc>
        <w:tc>
          <w:tcPr>
            <w:tcW w:w="6565" w:type="dxa"/>
            <w:shd w:val="clear" w:color="auto" w:fill="auto"/>
          </w:tcPr>
          <w:p w14:paraId="5D343A7A" w14:textId="77777777" w:rsidR="00E038A4" w:rsidRPr="00DE46F3" w:rsidRDefault="00E038A4" w:rsidP="00537806">
            <w:pPr>
              <w:tabs>
                <w:tab w:val="left" w:pos="288"/>
                <w:tab w:val="left" w:pos="576"/>
                <w:tab w:val="left" w:pos="864"/>
                <w:tab w:val="left" w:pos="1152"/>
              </w:tabs>
              <w:spacing w:before="40" w:after="120"/>
              <w:ind w:left="144" w:right="40"/>
            </w:pPr>
            <w:r w:rsidRPr="00DE46F3">
              <w:rPr>
                <w:i/>
              </w:rPr>
              <w:t>Ministério do Turismo, Comércio e Indústria</w:t>
            </w:r>
            <w:r w:rsidRPr="00DE46F3">
              <w:t xml:space="preserve"> (Ministry of Tourism, Trade and Industry)</w:t>
            </w:r>
          </w:p>
        </w:tc>
      </w:tr>
      <w:tr w:rsidR="00E038A4" w:rsidRPr="00DE46F3" w14:paraId="01380541" w14:textId="77777777" w:rsidTr="003D357F">
        <w:tc>
          <w:tcPr>
            <w:tcW w:w="1224" w:type="dxa"/>
            <w:shd w:val="clear" w:color="auto" w:fill="auto"/>
          </w:tcPr>
          <w:p w14:paraId="1B83498E" w14:textId="77777777" w:rsidR="00E038A4" w:rsidRPr="00DE46F3" w:rsidRDefault="00E038A4" w:rsidP="00537806">
            <w:pPr>
              <w:tabs>
                <w:tab w:val="left" w:pos="288"/>
                <w:tab w:val="left" w:pos="576"/>
                <w:tab w:val="left" w:pos="864"/>
                <w:tab w:val="left" w:pos="1152"/>
              </w:tabs>
              <w:spacing w:before="40" w:after="120"/>
              <w:ind w:right="40"/>
            </w:pPr>
            <w:r w:rsidRPr="00DE46F3">
              <w:t>NAP</w:t>
            </w:r>
          </w:p>
        </w:tc>
        <w:tc>
          <w:tcPr>
            <w:tcW w:w="6565" w:type="dxa"/>
            <w:shd w:val="clear" w:color="auto" w:fill="auto"/>
          </w:tcPr>
          <w:p w14:paraId="16A98AA1" w14:textId="77777777" w:rsidR="00E038A4" w:rsidRPr="00DE46F3" w:rsidRDefault="00E038A4" w:rsidP="00537806">
            <w:pPr>
              <w:tabs>
                <w:tab w:val="left" w:pos="288"/>
                <w:tab w:val="left" w:pos="576"/>
                <w:tab w:val="left" w:pos="864"/>
                <w:tab w:val="left" w:pos="1152"/>
              </w:tabs>
              <w:spacing w:before="40" w:after="120"/>
              <w:ind w:left="144" w:right="40"/>
            </w:pPr>
            <w:r w:rsidRPr="00DE46F3">
              <w:t>National Action Plan</w:t>
            </w:r>
          </w:p>
        </w:tc>
      </w:tr>
      <w:tr w:rsidR="00E038A4" w:rsidRPr="00DE46F3" w14:paraId="03D2F642" w14:textId="77777777" w:rsidTr="003D357F">
        <w:tc>
          <w:tcPr>
            <w:tcW w:w="1224" w:type="dxa"/>
            <w:shd w:val="clear" w:color="auto" w:fill="auto"/>
          </w:tcPr>
          <w:p w14:paraId="5D2E3C05" w14:textId="77777777" w:rsidR="00E038A4" w:rsidRPr="00DE46F3" w:rsidRDefault="00E038A4" w:rsidP="00537806">
            <w:pPr>
              <w:tabs>
                <w:tab w:val="left" w:pos="288"/>
                <w:tab w:val="left" w:pos="576"/>
                <w:tab w:val="left" w:pos="864"/>
                <w:tab w:val="left" w:pos="1152"/>
              </w:tabs>
              <w:spacing w:before="40" w:after="120"/>
              <w:ind w:right="40"/>
            </w:pPr>
            <w:r w:rsidRPr="00DE46F3">
              <w:t>NER</w:t>
            </w:r>
          </w:p>
        </w:tc>
        <w:tc>
          <w:tcPr>
            <w:tcW w:w="6565" w:type="dxa"/>
            <w:shd w:val="clear" w:color="auto" w:fill="auto"/>
          </w:tcPr>
          <w:p w14:paraId="51C16881" w14:textId="77777777" w:rsidR="00E038A4" w:rsidRPr="00DE46F3" w:rsidRDefault="00E038A4" w:rsidP="00537806">
            <w:pPr>
              <w:tabs>
                <w:tab w:val="left" w:pos="288"/>
                <w:tab w:val="left" w:pos="576"/>
                <w:tab w:val="left" w:pos="864"/>
                <w:tab w:val="left" w:pos="1152"/>
              </w:tabs>
              <w:spacing w:before="40" w:after="120"/>
              <w:ind w:left="144" w:right="40"/>
            </w:pPr>
            <w:r w:rsidRPr="00DE46F3">
              <w:t>Net Enrolment Ratio</w:t>
            </w:r>
          </w:p>
        </w:tc>
      </w:tr>
      <w:tr w:rsidR="00E038A4" w:rsidRPr="00DE46F3" w14:paraId="6C9ACBE6" w14:textId="77777777" w:rsidTr="003D357F">
        <w:tc>
          <w:tcPr>
            <w:tcW w:w="1224" w:type="dxa"/>
            <w:shd w:val="clear" w:color="auto" w:fill="auto"/>
          </w:tcPr>
          <w:p w14:paraId="4F3DE9D6" w14:textId="77777777" w:rsidR="00E038A4" w:rsidRPr="00DE46F3" w:rsidRDefault="00E038A4" w:rsidP="00537806">
            <w:pPr>
              <w:tabs>
                <w:tab w:val="left" w:pos="288"/>
                <w:tab w:val="left" w:pos="576"/>
                <w:tab w:val="left" w:pos="864"/>
                <w:tab w:val="left" w:pos="1152"/>
              </w:tabs>
              <w:spacing w:before="40" w:after="120"/>
              <w:ind w:right="40"/>
            </w:pPr>
            <w:r w:rsidRPr="00DE46F3">
              <w:t>NES</w:t>
            </w:r>
          </w:p>
        </w:tc>
        <w:tc>
          <w:tcPr>
            <w:tcW w:w="6565" w:type="dxa"/>
            <w:shd w:val="clear" w:color="auto" w:fill="auto"/>
          </w:tcPr>
          <w:p w14:paraId="1540A8DC" w14:textId="77777777" w:rsidR="00E038A4" w:rsidRPr="00DE46F3" w:rsidRDefault="00E038A4" w:rsidP="00537806">
            <w:pPr>
              <w:tabs>
                <w:tab w:val="left" w:pos="288"/>
                <w:tab w:val="left" w:pos="576"/>
                <w:tab w:val="left" w:pos="864"/>
                <w:tab w:val="left" w:pos="1152"/>
              </w:tabs>
              <w:spacing w:before="40" w:after="120"/>
              <w:ind w:left="144" w:right="40"/>
            </w:pPr>
            <w:r w:rsidRPr="00DE46F3">
              <w:t>National Employment Strategy</w:t>
            </w:r>
          </w:p>
        </w:tc>
      </w:tr>
      <w:tr w:rsidR="00E038A4" w:rsidRPr="00DE46F3" w14:paraId="2CE9BEC5" w14:textId="77777777" w:rsidTr="003D357F">
        <w:tc>
          <w:tcPr>
            <w:tcW w:w="1224" w:type="dxa"/>
            <w:shd w:val="clear" w:color="auto" w:fill="auto"/>
          </w:tcPr>
          <w:p w14:paraId="098D1771" w14:textId="77777777" w:rsidR="00E038A4" w:rsidRPr="00DE46F3" w:rsidRDefault="00E038A4" w:rsidP="00537806">
            <w:pPr>
              <w:tabs>
                <w:tab w:val="left" w:pos="288"/>
                <w:tab w:val="left" w:pos="576"/>
                <w:tab w:val="left" w:pos="864"/>
                <w:tab w:val="left" w:pos="1152"/>
              </w:tabs>
              <w:spacing w:before="40" w:after="120"/>
              <w:ind w:right="40"/>
            </w:pPr>
            <w:r w:rsidRPr="00DE46F3">
              <w:t>NGO</w:t>
            </w:r>
          </w:p>
        </w:tc>
        <w:tc>
          <w:tcPr>
            <w:tcW w:w="6565" w:type="dxa"/>
            <w:shd w:val="clear" w:color="auto" w:fill="auto"/>
          </w:tcPr>
          <w:p w14:paraId="04C8F849" w14:textId="77777777" w:rsidR="00E038A4" w:rsidRPr="00DE46F3" w:rsidRDefault="00E038A4" w:rsidP="00537806">
            <w:pPr>
              <w:tabs>
                <w:tab w:val="left" w:pos="288"/>
                <w:tab w:val="left" w:pos="576"/>
                <w:tab w:val="left" w:pos="864"/>
                <w:tab w:val="left" w:pos="1152"/>
              </w:tabs>
              <w:spacing w:before="40" w:after="120"/>
              <w:ind w:left="144" w:right="40"/>
            </w:pPr>
            <w:r w:rsidRPr="00DE46F3">
              <w:t>Non-Governmental Organisation</w:t>
            </w:r>
          </w:p>
        </w:tc>
      </w:tr>
      <w:tr w:rsidR="00E038A4" w:rsidRPr="00DE46F3" w14:paraId="32D1B716" w14:textId="77777777" w:rsidTr="003D357F">
        <w:tc>
          <w:tcPr>
            <w:tcW w:w="1224" w:type="dxa"/>
            <w:shd w:val="clear" w:color="auto" w:fill="auto"/>
          </w:tcPr>
          <w:p w14:paraId="1E485287" w14:textId="77777777" w:rsidR="00E038A4" w:rsidRPr="00DE46F3" w:rsidRDefault="00E038A4" w:rsidP="00537806">
            <w:pPr>
              <w:tabs>
                <w:tab w:val="left" w:pos="288"/>
                <w:tab w:val="left" w:pos="576"/>
                <w:tab w:val="left" w:pos="864"/>
                <w:tab w:val="left" w:pos="1152"/>
              </w:tabs>
              <w:spacing w:before="40" w:after="120"/>
              <w:ind w:right="40"/>
            </w:pPr>
            <w:r w:rsidRPr="00DE46F3">
              <w:t>NVA</w:t>
            </w:r>
          </w:p>
        </w:tc>
        <w:tc>
          <w:tcPr>
            <w:tcW w:w="6565" w:type="dxa"/>
            <w:shd w:val="clear" w:color="auto" w:fill="auto"/>
          </w:tcPr>
          <w:p w14:paraId="5792B90B" w14:textId="77777777" w:rsidR="00E038A4" w:rsidRPr="00DE46F3" w:rsidRDefault="00E038A4" w:rsidP="00537806">
            <w:pPr>
              <w:tabs>
                <w:tab w:val="left" w:pos="288"/>
                <w:tab w:val="left" w:pos="576"/>
                <w:tab w:val="left" w:pos="864"/>
                <w:tab w:val="left" w:pos="1152"/>
              </w:tabs>
              <w:spacing w:before="40" w:after="120"/>
              <w:ind w:left="144" w:right="40"/>
            </w:pPr>
            <w:r w:rsidRPr="00DE46F3">
              <w:t>National Victims Association</w:t>
            </w:r>
          </w:p>
        </w:tc>
      </w:tr>
      <w:tr w:rsidR="00E038A4" w:rsidRPr="00DE46F3" w14:paraId="20E059DD" w14:textId="77777777" w:rsidTr="003D357F">
        <w:tc>
          <w:tcPr>
            <w:tcW w:w="1224" w:type="dxa"/>
            <w:shd w:val="clear" w:color="auto" w:fill="auto"/>
          </w:tcPr>
          <w:p w14:paraId="32698389" w14:textId="77777777" w:rsidR="00E038A4" w:rsidRPr="00DE46F3" w:rsidRDefault="00E038A4" w:rsidP="00537806">
            <w:pPr>
              <w:tabs>
                <w:tab w:val="left" w:pos="288"/>
                <w:tab w:val="left" w:pos="576"/>
                <w:tab w:val="left" w:pos="864"/>
                <w:tab w:val="left" w:pos="1152"/>
              </w:tabs>
              <w:spacing w:before="40" w:after="120"/>
              <w:ind w:right="40"/>
            </w:pPr>
            <w:r w:rsidRPr="00DE46F3">
              <w:t>OPD</w:t>
            </w:r>
          </w:p>
        </w:tc>
        <w:tc>
          <w:tcPr>
            <w:tcW w:w="6565" w:type="dxa"/>
            <w:shd w:val="clear" w:color="auto" w:fill="auto"/>
          </w:tcPr>
          <w:p w14:paraId="14E7EF9F" w14:textId="77777777" w:rsidR="00E038A4" w:rsidRPr="00DE46F3" w:rsidRDefault="00E038A4" w:rsidP="00537806">
            <w:pPr>
              <w:tabs>
                <w:tab w:val="left" w:pos="288"/>
                <w:tab w:val="left" w:pos="576"/>
                <w:tab w:val="left" w:pos="864"/>
                <w:tab w:val="left" w:pos="1152"/>
              </w:tabs>
              <w:spacing w:before="40" w:after="120"/>
              <w:ind w:left="144" w:right="40"/>
            </w:pPr>
            <w:r w:rsidRPr="00DE46F3">
              <w:t>Office of the Public Defender</w:t>
            </w:r>
          </w:p>
        </w:tc>
      </w:tr>
      <w:tr w:rsidR="00E038A4" w:rsidRPr="00DE46F3" w14:paraId="6CD815C6" w14:textId="77777777" w:rsidTr="003D357F">
        <w:tc>
          <w:tcPr>
            <w:tcW w:w="1224" w:type="dxa"/>
            <w:shd w:val="clear" w:color="auto" w:fill="auto"/>
          </w:tcPr>
          <w:p w14:paraId="59E4487A" w14:textId="77777777" w:rsidR="00E038A4" w:rsidRPr="00DE46F3" w:rsidRDefault="00E038A4" w:rsidP="00537806">
            <w:pPr>
              <w:tabs>
                <w:tab w:val="left" w:pos="288"/>
                <w:tab w:val="left" w:pos="576"/>
                <w:tab w:val="left" w:pos="864"/>
                <w:tab w:val="left" w:pos="1152"/>
              </w:tabs>
              <w:spacing w:before="40" w:after="120"/>
              <w:ind w:right="40"/>
            </w:pPr>
            <w:r w:rsidRPr="00DE46F3">
              <w:t>OPG</w:t>
            </w:r>
          </w:p>
        </w:tc>
        <w:tc>
          <w:tcPr>
            <w:tcW w:w="6565" w:type="dxa"/>
            <w:shd w:val="clear" w:color="auto" w:fill="auto"/>
          </w:tcPr>
          <w:p w14:paraId="25BD5E51" w14:textId="77777777" w:rsidR="00E038A4" w:rsidRPr="00DE46F3" w:rsidRDefault="00E038A4" w:rsidP="00537806">
            <w:pPr>
              <w:tabs>
                <w:tab w:val="left" w:pos="288"/>
                <w:tab w:val="left" w:pos="576"/>
                <w:tab w:val="left" w:pos="864"/>
                <w:tab w:val="left" w:pos="1152"/>
              </w:tabs>
              <w:spacing w:before="40" w:after="120"/>
              <w:ind w:left="144" w:right="40"/>
            </w:pPr>
            <w:r w:rsidRPr="00DE46F3">
              <w:t>Office of the Prosecutor General</w:t>
            </w:r>
          </w:p>
        </w:tc>
      </w:tr>
      <w:tr w:rsidR="00E038A4" w:rsidRPr="00DE46F3" w14:paraId="415C672C" w14:textId="77777777" w:rsidTr="003D357F">
        <w:tc>
          <w:tcPr>
            <w:tcW w:w="1224" w:type="dxa"/>
            <w:shd w:val="clear" w:color="auto" w:fill="auto"/>
          </w:tcPr>
          <w:p w14:paraId="38C850A8" w14:textId="77777777" w:rsidR="00E038A4" w:rsidRPr="00DE46F3" w:rsidRDefault="00E038A4" w:rsidP="00537806">
            <w:pPr>
              <w:tabs>
                <w:tab w:val="left" w:pos="288"/>
                <w:tab w:val="left" w:pos="576"/>
                <w:tab w:val="left" w:pos="864"/>
                <w:tab w:val="left" w:pos="1152"/>
              </w:tabs>
              <w:spacing w:before="40" w:after="120"/>
              <w:ind w:right="40"/>
            </w:pPr>
            <w:r w:rsidRPr="00DE46F3">
              <w:t>PDHJ</w:t>
            </w:r>
          </w:p>
        </w:tc>
        <w:tc>
          <w:tcPr>
            <w:tcW w:w="6565" w:type="dxa"/>
            <w:shd w:val="clear" w:color="auto" w:fill="auto"/>
          </w:tcPr>
          <w:p w14:paraId="77CAFD18" w14:textId="77777777" w:rsidR="00E038A4" w:rsidRPr="00DE46F3" w:rsidRDefault="00E038A4" w:rsidP="00537806">
            <w:pPr>
              <w:tabs>
                <w:tab w:val="left" w:pos="288"/>
                <w:tab w:val="left" w:pos="576"/>
                <w:tab w:val="left" w:pos="864"/>
                <w:tab w:val="left" w:pos="1152"/>
              </w:tabs>
              <w:spacing w:before="40" w:after="120"/>
              <w:ind w:left="144" w:right="40"/>
            </w:pPr>
            <w:r w:rsidRPr="00DE46F3">
              <w:rPr>
                <w:i/>
              </w:rPr>
              <w:t>Provedoria dos Direitos Humanos e Justiça</w:t>
            </w:r>
            <w:r w:rsidRPr="00DE46F3">
              <w:rPr>
                <w:iCs/>
              </w:rPr>
              <w:t xml:space="preserve"> </w:t>
            </w:r>
            <w:r w:rsidRPr="00DE46F3">
              <w:t>(National Ombudsman for Human Rights)</w:t>
            </w:r>
          </w:p>
        </w:tc>
      </w:tr>
      <w:tr w:rsidR="00E038A4" w:rsidRPr="00DE46F3" w14:paraId="4B21209A" w14:textId="77777777" w:rsidTr="003D357F">
        <w:tc>
          <w:tcPr>
            <w:tcW w:w="1224" w:type="dxa"/>
            <w:shd w:val="clear" w:color="auto" w:fill="auto"/>
          </w:tcPr>
          <w:p w14:paraId="10EEDABB" w14:textId="77777777" w:rsidR="00E038A4" w:rsidRPr="00DE46F3" w:rsidRDefault="00E038A4" w:rsidP="00537806">
            <w:pPr>
              <w:tabs>
                <w:tab w:val="left" w:pos="288"/>
                <w:tab w:val="left" w:pos="576"/>
                <w:tab w:val="left" w:pos="864"/>
                <w:tab w:val="left" w:pos="1152"/>
              </w:tabs>
              <w:spacing w:before="40" w:after="120"/>
              <w:ind w:right="40"/>
            </w:pPr>
            <w:r w:rsidRPr="00DE46F3">
              <w:t>PFM</w:t>
            </w:r>
          </w:p>
        </w:tc>
        <w:tc>
          <w:tcPr>
            <w:tcW w:w="6565" w:type="dxa"/>
            <w:shd w:val="clear" w:color="auto" w:fill="auto"/>
          </w:tcPr>
          <w:p w14:paraId="3649DFF2" w14:textId="77777777" w:rsidR="00E038A4" w:rsidRPr="00DE46F3" w:rsidRDefault="00E038A4" w:rsidP="00537806">
            <w:pPr>
              <w:tabs>
                <w:tab w:val="left" w:pos="288"/>
                <w:tab w:val="left" w:pos="576"/>
                <w:tab w:val="left" w:pos="864"/>
                <w:tab w:val="left" w:pos="1152"/>
              </w:tabs>
              <w:spacing w:before="40" w:after="120"/>
              <w:ind w:left="144" w:right="40"/>
            </w:pPr>
            <w:r w:rsidRPr="00DE46F3">
              <w:t>Program Finance Management</w:t>
            </w:r>
          </w:p>
        </w:tc>
      </w:tr>
      <w:tr w:rsidR="00E038A4" w:rsidRPr="00DE46F3" w14:paraId="33E406F7" w14:textId="77777777" w:rsidTr="003D357F">
        <w:tc>
          <w:tcPr>
            <w:tcW w:w="1224" w:type="dxa"/>
            <w:shd w:val="clear" w:color="auto" w:fill="auto"/>
          </w:tcPr>
          <w:p w14:paraId="50EC9E0B" w14:textId="77777777" w:rsidR="00E038A4" w:rsidRPr="00DE46F3" w:rsidRDefault="00E038A4" w:rsidP="00537806">
            <w:pPr>
              <w:tabs>
                <w:tab w:val="left" w:pos="288"/>
                <w:tab w:val="left" w:pos="576"/>
                <w:tab w:val="left" w:pos="864"/>
                <w:tab w:val="left" w:pos="1152"/>
              </w:tabs>
              <w:spacing w:before="40" w:after="120"/>
              <w:ind w:right="40"/>
            </w:pPr>
            <w:r w:rsidRPr="00DE46F3">
              <w:t>PNTL</w:t>
            </w:r>
          </w:p>
        </w:tc>
        <w:tc>
          <w:tcPr>
            <w:tcW w:w="6565" w:type="dxa"/>
            <w:shd w:val="clear" w:color="auto" w:fill="auto"/>
          </w:tcPr>
          <w:p w14:paraId="2077EDA1" w14:textId="77777777" w:rsidR="00E038A4" w:rsidRPr="00DE46F3" w:rsidRDefault="00E038A4" w:rsidP="00537806">
            <w:pPr>
              <w:tabs>
                <w:tab w:val="left" w:pos="288"/>
                <w:tab w:val="left" w:pos="576"/>
                <w:tab w:val="left" w:pos="864"/>
                <w:tab w:val="left" w:pos="1152"/>
              </w:tabs>
              <w:spacing w:before="40" w:after="120"/>
              <w:ind w:left="144" w:right="40"/>
            </w:pPr>
            <w:r w:rsidRPr="00DE46F3">
              <w:rPr>
                <w:i/>
              </w:rPr>
              <w:t>Polícia Nacional de Timor-Leste</w:t>
            </w:r>
            <w:r w:rsidRPr="00DE46F3">
              <w:t xml:space="preserve"> (National Police of Timor-Leste)</w:t>
            </w:r>
          </w:p>
        </w:tc>
      </w:tr>
      <w:tr w:rsidR="00E038A4" w:rsidRPr="00DE46F3" w14:paraId="46C78AC9" w14:textId="77777777" w:rsidTr="003D357F">
        <w:tc>
          <w:tcPr>
            <w:tcW w:w="1224" w:type="dxa"/>
            <w:shd w:val="clear" w:color="auto" w:fill="auto"/>
          </w:tcPr>
          <w:p w14:paraId="4DEC0487" w14:textId="77777777" w:rsidR="00E038A4" w:rsidRPr="00DE46F3" w:rsidRDefault="00E038A4" w:rsidP="00537806">
            <w:pPr>
              <w:tabs>
                <w:tab w:val="left" w:pos="288"/>
                <w:tab w:val="left" w:pos="576"/>
                <w:tab w:val="left" w:pos="864"/>
                <w:tab w:val="left" w:pos="1152"/>
              </w:tabs>
              <w:spacing w:before="40" w:after="120"/>
              <w:ind w:right="40"/>
            </w:pPr>
            <w:r w:rsidRPr="00DE46F3">
              <w:t>PwD</w:t>
            </w:r>
          </w:p>
        </w:tc>
        <w:tc>
          <w:tcPr>
            <w:tcW w:w="6565" w:type="dxa"/>
            <w:shd w:val="clear" w:color="auto" w:fill="auto"/>
          </w:tcPr>
          <w:p w14:paraId="72767DDD" w14:textId="77777777" w:rsidR="00E038A4" w:rsidRPr="00DE46F3" w:rsidRDefault="00E038A4" w:rsidP="00537806">
            <w:pPr>
              <w:tabs>
                <w:tab w:val="left" w:pos="288"/>
                <w:tab w:val="left" w:pos="576"/>
                <w:tab w:val="left" w:pos="864"/>
                <w:tab w:val="left" w:pos="1152"/>
              </w:tabs>
              <w:spacing w:before="40" w:after="120"/>
              <w:ind w:left="144" w:right="40"/>
            </w:pPr>
            <w:r w:rsidRPr="00DE46F3">
              <w:t>Persons with Disabilities</w:t>
            </w:r>
          </w:p>
        </w:tc>
      </w:tr>
      <w:tr w:rsidR="00E038A4" w:rsidRPr="00DE46F3" w14:paraId="2157BC02" w14:textId="77777777" w:rsidTr="003D357F">
        <w:tc>
          <w:tcPr>
            <w:tcW w:w="1224" w:type="dxa"/>
            <w:shd w:val="clear" w:color="auto" w:fill="auto"/>
          </w:tcPr>
          <w:p w14:paraId="70241277" w14:textId="77777777" w:rsidR="00E038A4" w:rsidRPr="00DE46F3" w:rsidRDefault="00E038A4" w:rsidP="00537806">
            <w:pPr>
              <w:tabs>
                <w:tab w:val="left" w:pos="288"/>
                <w:tab w:val="left" w:pos="576"/>
                <w:tab w:val="left" w:pos="864"/>
                <w:tab w:val="left" w:pos="1152"/>
              </w:tabs>
              <w:spacing w:before="40" w:after="120"/>
              <w:ind w:right="40"/>
            </w:pPr>
            <w:r w:rsidRPr="00DE46F3">
              <w:t>SDP</w:t>
            </w:r>
          </w:p>
        </w:tc>
        <w:tc>
          <w:tcPr>
            <w:tcW w:w="6565" w:type="dxa"/>
            <w:shd w:val="clear" w:color="auto" w:fill="auto"/>
          </w:tcPr>
          <w:p w14:paraId="32E54A14" w14:textId="77777777" w:rsidR="00E038A4" w:rsidRPr="00DE46F3" w:rsidRDefault="00E038A4" w:rsidP="00537806">
            <w:pPr>
              <w:tabs>
                <w:tab w:val="left" w:pos="288"/>
                <w:tab w:val="left" w:pos="576"/>
                <w:tab w:val="left" w:pos="864"/>
                <w:tab w:val="left" w:pos="1152"/>
              </w:tabs>
              <w:spacing w:before="40" w:after="120"/>
              <w:ind w:left="144" w:right="40"/>
            </w:pPr>
            <w:r w:rsidRPr="00DE46F3">
              <w:t>Strategic Development Plan</w:t>
            </w:r>
          </w:p>
        </w:tc>
      </w:tr>
      <w:tr w:rsidR="00E038A4" w:rsidRPr="00DE46F3" w14:paraId="29E5BD90" w14:textId="77777777" w:rsidTr="003D357F">
        <w:tc>
          <w:tcPr>
            <w:tcW w:w="1224" w:type="dxa"/>
            <w:shd w:val="clear" w:color="auto" w:fill="auto"/>
          </w:tcPr>
          <w:p w14:paraId="3DD44AEE" w14:textId="77777777" w:rsidR="00E038A4" w:rsidRPr="00DE46F3" w:rsidRDefault="00E038A4" w:rsidP="00537806">
            <w:pPr>
              <w:tabs>
                <w:tab w:val="left" w:pos="288"/>
                <w:tab w:val="left" w:pos="576"/>
                <w:tab w:val="left" w:pos="864"/>
                <w:tab w:val="left" w:pos="1152"/>
              </w:tabs>
              <w:spacing w:before="40" w:after="120"/>
              <w:ind w:right="40"/>
            </w:pPr>
            <w:r w:rsidRPr="00DE46F3">
              <w:t>SECOMS</w:t>
            </w:r>
          </w:p>
        </w:tc>
        <w:tc>
          <w:tcPr>
            <w:tcW w:w="6565" w:type="dxa"/>
            <w:shd w:val="clear" w:color="auto" w:fill="auto"/>
          </w:tcPr>
          <w:p w14:paraId="144B5AC4" w14:textId="77777777" w:rsidR="00E038A4" w:rsidRPr="00DE46F3" w:rsidRDefault="00E038A4" w:rsidP="00537806">
            <w:pPr>
              <w:tabs>
                <w:tab w:val="left" w:pos="288"/>
                <w:tab w:val="left" w:pos="576"/>
                <w:tab w:val="left" w:pos="864"/>
                <w:tab w:val="left" w:pos="1152"/>
              </w:tabs>
              <w:spacing w:before="40" w:after="120"/>
              <w:ind w:left="144" w:right="40"/>
            </w:pPr>
            <w:r w:rsidRPr="00DE46F3">
              <w:rPr>
                <w:i/>
              </w:rPr>
              <w:t>Secretária de Estado para a Comunicação Social</w:t>
            </w:r>
            <w:r w:rsidRPr="00DE46F3">
              <w:rPr>
                <w:iCs/>
              </w:rPr>
              <w:t xml:space="preserve"> </w:t>
            </w:r>
            <w:r w:rsidRPr="00DE46F3">
              <w:t>(Secretary of State for Social Communications)</w:t>
            </w:r>
          </w:p>
        </w:tc>
      </w:tr>
      <w:tr w:rsidR="00E038A4" w:rsidRPr="00DE46F3" w14:paraId="336A3FE3" w14:textId="77777777" w:rsidTr="003D357F">
        <w:tc>
          <w:tcPr>
            <w:tcW w:w="1224" w:type="dxa"/>
            <w:shd w:val="clear" w:color="auto" w:fill="auto"/>
          </w:tcPr>
          <w:p w14:paraId="6DA6052B" w14:textId="77777777" w:rsidR="00E038A4" w:rsidRPr="00DE46F3" w:rsidRDefault="00E038A4" w:rsidP="00537806">
            <w:pPr>
              <w:tabs>
                <w:tab w:val="left" w:pos="288"/>
                <w:tab w:val="left" w:pos="576"/>
                <w:tab w:val="left" w:pos="864"/>
                <w:tab w:val="left" w:pos="1152"/>
              </w:tabs>
              <w:spacing w:before="40" w:after="120"/>
              <w:ind w:right="40"/>
            </w:pPr>
            <w:r w:rsidRPr="00DE46F3">
              <w:t>SEII</w:t>
            </w:r>
          </w:p>
        </w:tc>
        <w:tc>
          <w:tcPr>
            <w:tcW w:w="6565" w:type="dxa"/>
            <w:shd w:val="clear" w:color="auto" w:fill="auto"/>
          </w:tcPr>
          <w:p w14:paraId="152123E2" w14:textId="77777777" w:rsidR="00E038A4" w:rsidRPr="00DE46F3" w:rsidRDefault="00E038A4" w:rsidP="00537806">
            <w:pPr>
              <w:tabs>
                <w:tab w:val="left" w:pos="288"/>
                <w:tab w:val="left" w:pos="576"/>
                <w:tab w:val="left" w:pos="864"/>
                <w:tab w:val="left" w:pos="1152"/>
              </w:tabs>
              <w:spacing w:before="40" w:after="120"/>
              <w:ind w:left="144" w:right="40"/>
            </w:pPr>
            <w:r w:rsidRPr="00DE46F3">
              <w:rPr>
                <w:i/>
              </w:rPr>
              <w:t>Secretária de Estado para a Igualdade e Inclusão</w:t>
            </w:r>
            <w:r w:rsidRPr="00DE46F3">
              <w:t xml:space="preserve"> (Secretary of State for Equality and Inclusion)</w:t>
            </w:r>
          </w:p>
        </w:tc>
      </w:tr>
      <w:tr w:rsidR="00E038A4" w:rsidRPr="00DE46F3" w14:paraId="235BEEF9" w14:textId="77777777" w:rsidTr="003D357F">
        <w:tc>
          <w:tcPr>
            <w:tcW w:w="1224" w:type="dxa"/>
            <w:shd w:val="clear" w:color="auto" w:fill="auto"/>
          </w:tcPr>
          <w:p w14:paraId="0E21B671" w14:textId="77777777" w:rsidR="00E038A4" w:rsidRPr="00DE46F3" w:rsidRDefault="00E038A4" w:rsidP="00537806">
            <w:pPr>
              <w:tabs>
                <w:tab w:val="left" w:pos="288"/>
                <w:tab w:val="left" w:pos="576"/>
                <w:tab w:val="left" w:pos="864"/>
                <w:tab w:val="left" w:pos="1152"/>
              </w:tabs>
              <w:spacing w:before="40" w:after="120"/>
              <w:ind w:right="40"/>
            </w:pPr>
            <w:r w:rsidRPr="00DE46F3">
              <w:t>SEPFOPE</w:t>
            </w:r>
          </w:p>
        </w:tc>
        <w:tc>
          <w:tcPr>
            <w:tcW w:w="6565" w:type="dxa"/>
            <w:shd w:val="clear" w:color="auto" w:fill="auto"/>
          </w:tcPr>
          <w:p w14:paraId="3E60D1C3" w14:textId="77777777" w:rsidR="00E038A4" w:rsidRPr="00DE46F3" w:rsidRDefault="00E038A4" w:rsidP="00537806">
            <w:pPr>
              <w:tabs>
                <w:tab w:val="left" w:pos="288"/>
                <w:tab w:val="left" w:pos="576"/>
                <w:tab w:val="left" w:pos="864"/>
                <w:tab w:val="left" w:pos="1152"/>
              </w:tabs>
              <w:spacing w:before="40" w:after="120"/>
              <w:ind w:left="144" w:right="40"/>
              <w:rPr>
                <w:iCs/>
              </w:rPr>
            </w:pPr>
            <w:r w:rsidRPr="00DE46F3">
              <w:rPr>
                <w:i/>
              </w:rPr>
              <w:t>Secretária de Estado da Formação Profissional e Emprego</w:t>
            </w:r>
            <w:r w:rsidRPr="00DE46F3">
              <w:rPr>
                <w:iCs/>
              </w:rPr>
              <w:t xml:space="preserve"> </w:t>
            </w:r>
            <w:r w:rsidRPr="00DE46F3">
              <w:t>(Secretary of State of Vocational Training and Employment)</w:t>
            </w:r>
          </w:p>
        </w:tc>
      </w:tr>
      <w:tr w:rsidR="00E038A4" w:rsidRPr="00DE46F3" w14:paraId="6BA94CC8" w14:textId="77777777" w:rsidTr="003D357F">
        <w:tc>
          <w:tcPr>
            <w:tcW w:w="1224" w:type="dxa"/>
            <w:shd w:val="clear" w:color="auto" w:fill="auto"/>
          </w:tcPr>
          <w:p w14:paraId="18EB84BA" w14:textId="77777777" w:rsidR="00E038A4" w:rsidRPr="00DE46F3" w:rsidRDefault="00E038A4" w:rsidP="00537806">
            <w:pPr>
              <w:tabs>
                <w:tab w:val="left" w:pos="288"/>
                <w:tab w:val="left" w:pos="576"/>
                <w:tab w:val="left" w:pos="864"/>
                <w:tab w:val="left" w:pos="1152"/>
              </w:tabs>
              <w:spacing w:before="40" w:after="120"/>
              <w:ind w:right="40"/>
            </w:pPr>
            <w:r w:rsidRPr="00DE46F3">
              <w:t>SISCa</w:t>
            </w:r>
          </w:p>
        </w:tc>
        <w:tc>
          <w:tcPr>
            <w:tcW w:w="6565" w:type="dxa"/>
            <w:shd w:val="clear" w:color="auto" w:fill="auto"/>
          </w:tcPr>
          <w:p w14:paraId="1E4F84E0" w14:textId="77777777" w:rsidR="00E038A4" w:rsidRPr="00DE46F3" w:rsidRDefault="00E038A4" w:rsidP="00537806">
            <w:pPr>
              <w:tabs>
                <w:tab w:val="left" w:pos="288"/>
                <w:tab w:val="left" w:pos="576"/>
                <w:tab w:val="left" w:pos="864"/>
                <w:tab w:val="left" w:pos="1152"/>
              </w:tabs>
              <w:spacing w:before="40" w:after="120"/>
              <w:ind w:left="144" w:right="40"/>
            </w:pPr>
            <w:r w:rsidRPr="00DE46F3">
              <w:rPr>
                <w:i/>
              </w:rPr>
              <w:t>Serviço Integrado de Saúde Comunitária</w:t>
            </w:r>
            <w:r w:rsidRPr="00DE46F3">
              <w:t xml:space="preserve"> (Integrated Community Health Services)</w:t>
            </w:r>
          </w:p>
        </w:tc>
      </w:tr>
      <w:tr w:rsidR="00E038A4" w:rsidRPr="00DE46F3" w14:paraId="25DEFDCC" w14:textId="77777777" w:rsidTr="003D357F">
        <w:tc>
          <w:tcPr>
            <w:tcW w:w="1224" w:type="dxa"/>
            <w:shd w:val="clear" w:color="auto" w:fill="auto"/>
          </w:tcPr>
          <w:p w14:paraId="58F37277" w14:textId="77777777" w:rsidR="00E038A4" w:rsidRPr="00DE46F3" w:rsidRDefault="00E038A4" w:rsidP="00537806">
            <w:pPr>
              <w:tabs>
                <w:tab w:val="left" w:pos="288"/>
                <w:tab w:val="left" w:pos="576"/>
                <w:tab w:val="left" w:pos="864"/>
                <w:tab w:val="left" w:pos="1152"/>
              </w:tabs>
              <w:spacing w:before="40" w:after="120"/>
              <w:ind w:right="40"/>
            </w:pPr>
            <w:r w:rsidRPr="00DE46F3">
              <w:t>SNC</w:t>
            </w:r>
          </w:p>
        </w:tc>
        <w:tc>
          <w:tcPr>
            <w:tcW w:w="6565" w:type="dxa"/>
            <w:shd w:val="clear" w:color="auto" w:fill="auto"/>
          </w:tcPr>
          <w:p w14:paraId="0E7B28F5" w14:textId="77777777" w:rsidR="00E038A4" w:rsidRPr="00DE46F3" w:rsidRDefault="00E038A4" w:rsidP="00537806">
            <w:pPr>
              <w:tabs>
                <w:tab w:val="left" w:pos="288"/>
                <w:tab w:val="left" w:pos="576"/>
                <w:tab w:val="left" w:pos="864"/>
                <w:tab w:val="left" w:pos="1152"/>
              </w:tabs>
              <w:spacing w:before="40" w:after="120"/>
              <w:ind w:left="144" w:right="40"/>
            </w:pPr>
            <w:r w:rsidRPr="00DE46F3">
              <w:rPr>
                <w:i/>
              </w:rPr>
              <w:t>Sistema Nacional de Cadastro</w:t>
            </w:r>
            <w:r w:rsidRPr="00DE46F3">
              <w:rPr>
                <w:iCs/>
              </w:rPr>
              <w:t xml:space="preserve"> </w:t>
            </w:r>
            <w:r w:rsidRPr="00DE46F3">
              <w:t>(National Registration System)</w:t>
            </w:r>
          </w:p>
        </w:tc>
      </w:tr>
      <w:tr w:rsidR="00E038A4" w:rsidRPr="00DE46F3" w14:paraId="525C5E9F" w14:textId="77777777" w:rsidTr="003D357F">
        <w:tc>
          <w:tcPr>
            <w:tcW w:w="1224" w:type="dxa"/>
            <w:shd w:val="clear" w:color="auto" w:fill="auto"/>
          </w:tcPr>
          <w:p w14:paraId="76BB36D3" w14:textId="77777777" w:rsidR="00E038A4" w:rsidRPr="00DE46F3" w:rsidRDefault="00E038A4" w:rsidP="00537806">
            <w:pPr>
              <w:tabs>
                <w:tab w:val="left" w:pos="288"/>
                <w:tab w:val="left" w:pos="576"/>
                <w:tab w:val="left" w:pos="864"/>
                <w:tab w:val="left" w:pos="1152"/>
              </w:tabs>
              <w:spacing w:before="40" w:after="120"/>
              <w:ind w:right="40"/>
            </w:pPr>
            <w:r w:rsidRPr="00DE46F3">
              <w:t>SOP</w:t>
            </w:r>
          </w:p>
        </w:tc>
        <w:tc>
          <w:tcPr>
            <w:tcW w:w="6565" w:type="dxa"/>
            <w:shd w:val="clear" w:color="auto" w:fill="auto"/>
          </w:tcPr>
          <w:p w14:paraId="073333F1" w14:textId="77777777" w:rsidR="00E038A4" w:rsidRPr="00DE46F3" w:rsidRDefault="00E038A4" w:rsidP="00537806">
            <w:pPr>
              <w:tabs>
                <w:tab w:val="left" w:pos="288"/>
                <w:tab w:val="left" w:pos="576"/>
                <w:tab w:val="left" w:pos="864"/>
                <w:tab w:val="left" w:pos="1152"/>
              </w:tabs>
              <w:spacing w:before="40" w:after="120"/>
              <w:ind w:left="144" w:right="40"/>
            </w:pPr>
            <w:r w:rsidRPr="00DE46F3">
              <w:t>Standard Operating Procedures</w:t>
            </w:r>
          </w:p>
        </w:tc>
      </w:tr>
      <w:tr w:rsidR="00E038A4" w:rsidRPr="00DE46F3" w14:paraId="1AC0FD95" w14:textId="77777777" w:rsidTr="003D357F">
        <w:tc>
          <w:tcPr>
            <w:tcW w:w="1224" w:type="dxa"/>
            <w:shd w:val="clear" w:color="auto" w:fill="auto"/>
          </w:tcPr>
          <w:p w14:paraId="3CA6CAD6" w14:textId="77777777" w:rsidR="00E038A4" w:rsidRPr="00DE46F3" w:rsidRDefault="00E038A4" w:rsidP="00537806">
            <w:pPr>
              <w:tabs>
                <w:tab w:val="left" w:pos="288"/>
                <w:tab w:val="left" w:pos="576"/>
                <w:tab w:val="left" w:pos="864"/>
                <w:tab w:val="left" w:pos="1152"/>
              </w:tabs>
              <w:spacing w:before="40" w:after="120"/>
              <w:ind w:right="40"/>
            </w:pPr>
            <w:r w:rsidRPr="00DE46F3">
              <w:t>SRH</w:t>
            </w:r>
          </w:p>
        </w:tc>
        <w:tc>
          <w:tcPr>
            <w:tcW w:w="6565" w:type="dxa"/>
            <w:shd w:val="clear" w:color="auto" w:fill="auto"/>
          </w:tcPr>
          <w:p w14:paraId="65C03BBF" w14:textId="77777777" w:rsidR="00E038A4" w:rsidRPr="00DE46F3" w:rsidRDefault="00E038A4" w:rsidP="00537806">
            <w:pPr>
              <w:tabs>
                <w:tab w:val="left" w:pos="288"/>
                <w:tab w:val="left" w:pos="576"/>
                <w:tab w:val="left" w:pos="864"/>
                <w:tab w:val="left" w:pos="1152"/>
              </w:tabs>
              <w:spacing w:before="40" w:after="120"/>
              <w:ind w:left="144" w:right="40"/>
            </w:pPr>
            <w:r w:rsidRPr="00DE46F3">
              <w:t>Sexual and Reproductive Health</w:t>
            </w:r>
          </w:p>
        </w:tc>
      </w:tr>
      <w:tr w:rsidR="00E038A4" w:rsidRPr="00DE46F3" w14:paraId="5D225EAB" w14:textId="77777777" w:rsidTr="003D357F">
        <w:tc>
          <w:tcPr>
            <w:tcW w:w="1224" w:type="dxa"/>
            <w:shd w:val="clear" w:color="auto" w:fill="auto"/>
          </w:tcPr>
          <w:p w14:paraId="78CD05E2" w14:textId="77777777" w:rsidR="00E038A4" w:rsidRPr="00DE46F3" w:rsidRDefault="00E038A4" w:rsidP="00537806">
            <w:pPr>
              <w:tabs>
                <w:tab w:val="left" w:pos="288"/>
                <w:tab w:val="left" w:pos="576"/>
                <w:tab w:val="left" w:pos="864"/>
                <w:tab w:val="left" w:pos="1152"/>
              </w:tabs>
              <w:spacing w:before="40" w:after="120"/>
              <w:ind w:right="40"/>
            </w:pPr>
            <w:r w:rsidRPr="00DE46F3">
              <w:t>STAE</w:t>
            </w:r>
          </w:p>
        </w:tc>
        <w:tc>
          <w:tcPr>
            <w:tcW w:w="6565" w:type="dxa"/>
            <w:shd w:val="clear" w:color="auto" w:fill="auto"/>
          </w:tcPr>
          <w:p w14:paraId="6C679740" w14:textId="77777777" w:rsidR="00E038A4" w:rsidRPr="00DE46F3" w:rsidRDefault="00E038A4" w:rsidP="00537806">
            <w:pPr>
              <w:tabs>
                <w:tab w:val="left" w:pos="288"/>
                <w:tab w:val="left" w:pos="576"/>
                <w:tab w:val="left" w:pos="864"/>
                <w:tab w:val="left" w:pos="1152"/>
              </w:tabs>
              <w:spacing w:before="40" w:after="120"/>
              <w:ind w:left="144" w:right="40"/>
            </w:pPr>
            <w:r w:rsidRPr="00DE46F3">
              <w:rPr>
                <w:i/>
              </w:rPr>
              <w:t>Secretaria Técnica de Administração Eleitoral</w:t>
            </w:r>
            <w:r w:rsidRPr="00DE46F3">
              <w:rPr>
                <w:iCs/>
              </w:rPr>
              <w:t xml:space="preserve"> (</w:t>
            </w:r>
            <w:r w:rsidRPr="00DE46F3">
              <w:t>Technical Secretariat for Electoral Administration)</w:t>
            </w:r>
          </w:p>
        </w:tc>
      </w:tr>
      <w:tr w:rsidR="00E038A4" w:rsidRPr="00DE46F3" w14:paraId="5E73CC39" w14:textId="77777777" w:rsidTr="003D357F">
        <w:tc>
          <w:tcPr>
            <w:tcW w:w="1224" w:type="dxa"/>
            <w:shd w:val="clear" w:color="auto" w:fill="auto"/>
          </w:tcPr>
          <w:p w14:paraId="0A96C008" w14:textId="77777777" w:rsidR="00E038A4" w:rsidRPr="00DE46F3" w:rsidRDefault="00E038A4" w:rsidP="00537806">
            <w:pPr>
              <w:tabs>
                <w:tab w:val="left" w:pos="288"/>
                <w:tab w:val="left" w:pos="576"/>
                <w:tab w:val="left" w:pos="864"/>
                <w:tab w:val="left" w:pos="1152"/>
              </w:tabs>
              <w:spacing w:before="40" w:after="120"/>
              <w:ind w:right="40"/>
            </w:pPr>
            <w:r w:rsidRPr="00DE46F3">
              <w:t>TFR</w:t>
            </w:r>
          </w:p>
        </w:tc>
        <w:tc>
          <w:tcPr>
            <w:tcW w:w="6565" w:type="dxa"/>
            <w:shd w:val="clear" w:color="auto" w:fill="auto"/>
          </w:tcPr>
          <w:p w14:paraId="5451BAB0" w14:textId="77777777" w:rsidR="00E038A4" w:rsidRPr="00DE46F3" w:rsidRDefault="00E038A4" w:rsidP="00537806">
            <w:pPr>
              <w:tabs>
                <w:tab w:val="left" w:pos="288"/>
                <w:tab w:val="left" w:pos="576"/>
                <w:tab w:val="left" w:pos="864"/>
                <w:tab w:val="left" w:pos="1152"/>
              </w:tabs>
              <w:spacing w:before="40" w:after="120"/>
              <w:ind w:left="144" w:right="40"/>
            </w:pPr>
            <w:r w:rsidRPr="00DE46F3">
              <w:t>Total Fertility Rate</w:t>
            </w:r>
          </w:p>
        </w:tc>
      </w:tr>
      <w:tr w:rsidR="00E038A4" w:rsidRPr="00DE46F3" w14:paraId="02728FB5" w14:textId="77777777" w:rsidTr="003D357F">
        <w:tc>
          <w:tcPr>
            <w:tcW w:w="1224" w:type="dxa"/>
            <w:shd w:val="clear" w:color="auto" w:fill="auto"/>
          </w:tcPr>
          <w:p w14:paraId="1B6EA231" w14:textId="77777777" w:rsidR="00E038A4" w:rsidRPr="00DE46F3" w:rsidRDefault="00E038A4" w:rsidP="00537806">
            <w:pPr>
              <w:tabs>
                <w:tab w:val="left" w:pos="288"/>
                <w:tab w:val="left" w:pos="576"/>
                <w:tab w:val="left" w:pos="864"/>
                <w:tab w:val="left" w:pos="1152"/>
              </w:tabs>
              <w:spacing w:before="40" w:after="120"/>
              <w:ind w:right="40"/>
            </w:pPr>
            <w:r w:rsidRPr="00DE46F3">
              <w:t>TIP</w:t>
            </w:r>
          </w:p>
        </w:tc>
        <w:tc>
          <w:tcPr>
            <w:tcW w:w="6565" w:type="dxa"/>
            <w:shd w:val="clear" w:color="auto" w:fill="auto"/>
          </w:tcPr>
          <w:p w14:paraId="7E50F276" w14:textId="77777777" w:rsidR="00E038A4" w:rsidRPr="00DE46F3" w:rsidRDefault="00E038A4" w:rsidP="00537806">
            <w:pPr>
              <w:tabs>
                <w:tab w:val="left" w:pos="288"/>
                <w:tab w:val="left" w:pos="576"/>
                <w:tab w:val="left" w:pos="864"/>
                <w:tab w:val="left" w:pos="1152"/>
              </w:tabs>
              <w:spacing w:before="40" w:after="120"/>
              <w:ind w:left="144" w:right="40"/>
            </w:pPr>
            <w:r w:rsidRPr="00DE46F3">
              <w:t>Trafficking in Persons</w:t>
            </w:r>
          </w:p>
        </w:tc>
      </w:tr>
      <w:tr w:rsidR="00E038A4" w:rsidRPr="00DE46F3" w14:paraId="2C200A77" w14:textId="77777777" w:rsidTr="003D357F">
        <w:tc>
          <w:tcPr>
            <w:tcW w:w="1224" w:type="dxa"/>
            <w:shd w:val="clear" w:color="auto" w:fill="auto"/>
          </w:tcPr>
          <w:p w14:paraId="7FFFC986" w14:textId="77777777" w:rsidR="00E038A4" w:rsidRPr="00DE46F3" w:rsidRDefault="00E038A4" w:rsidP="00537806">
            <w:pPr>
              <w:tabs>
                <w:tab w:val="left" w:pos="288"/>
                <w:tab w:val="left" w:pos="576"/>
                <w:tab w:val="left" w:pos="864"/>
                <w:tab w:val="left" w:pos="1152"/>
              </w:tabs>
              <w:spacing w:before="40" w:after="120"/>
              <w:ind w:right="40"/>
            </w:pPr>
            <w:r w:rsidRPr="00DE46F3">
              <w:t>TVET</w:t>
            </w:r>
          </w:p>
        </w:tc>
        <w:tc>
          <w:tcPr>
            <w:tcW w:w="6565" w:type="dxa"/>
            <w:shd w:val="clear" w:color="auto" w:fill="auto"/>
          </w:tcPr>
          <w:p w14:paraId="12E3116C" w14:textId="77777777" w:rsidR="00E038A4" w:rsidRPr="00DE46F3" w:rsidRDefault="00E038A4" w:rsidP="00537806">
            <w:pPr>
              <w:tabs>
                <w:tab w:val="left" w:pos="288"/>
                <w:tab w:val="left" w:pos="576"/>
                <w:tab w:val="left" w:pos="864"/>
                <w:tab w:val="left" w:pos="1152"/>
              </w:tabs>
              <w:spacing w:before="40" w:after="120"/>
              <w:ind w:left="144" w:right="40"/>
            </w:pPr>
            <w:r w:rsidRPr="00DE46F3">
              <w:t>Technical and Vocational Educational Training</w:t>
            </w:r>
            <w:r w:rsidRPr="00DE46F3">
              <w:rPr>
                <w:shd w:val="clear" w:color="auto" w:fill="FFFFFF"/>
              </w:rPr>
              <w:t xml:space="preserve"> </w:t>
            </w:r>
          </w:p>
        </w:tc>
      </w:tr>
      <w:tr w:rsidR="00E038A4" w:rsidRPr="00DE46F3" w14:paraId="5337CBF6" w14:textId="77777777" w:rsidTr="003D357F">
        <w:tc>
          <w:tcPr>
            <w:tcW w:w="1224" w:type="dxa"/>
            <w:shd w:val="clear" w:color="auto" w:fill="auto"/>
          </w:tcPr>
          <w:p w14:paraId="643E53D7" w14:textId="77777777" w:rsidR="00E038A4" w:rsidRPr="00DE46F3" w:rsidRDefault="00E038A4" w:rsidP="00537806">
            <w:pPr>
              <w:tabs>
                <w:tab w:val="left" w:pos="288"/>
                <w:tab w:val="left" w:pos="576"/>
                <w:tab w:val="left" w:pos="864"/>
                <w:tab w:val="left" w:pos="1152"/>
              </w:tabs>
              <w:spacing w:before="40" w:after="120"/>
              <w:ind w:right="40"/>
            </w:pPr>
            <w:r w:rsidRPr="00DE46F3">
              <w:t>UN Women</w:t>
            </w:r>
          </w:p>
        </w:tc>
        <w:tc>
          <w:tcPr>
            <w:tcW w:w="6565" w:type="dxa"/>
            <w:shd w:val="clear" w:color="auto" w:fill="auto"/>
          </w:tcPr>
          <w:p w14:paraId="46234C6D" w14:textId="77777777" w:rsidR="00E038A4" w:rsidRPr="00DE46F3" w:rsidRDefault="00E038A4" w:rsidP="00537806">
            <w:pPr>
              <w:tabs>
                <w:tab w:val="left" w:pos="288"/>
                <w:tab w:val="left" w:pos="576"/>
                <w:tab w:val="left" w:pos="864"/>
                <w:tab w:val="left" w:pos="1152"/>
              </w:tabs>
              <w:spacing w:before="40" w:after="120"/>
              <w:ind w:left="144" w:right="40"/>
            </w:pPr>
            <w:r w:rsidRPr="00DE46F3">
              <w:t>United Nations Entity for Gender Equality and the Empowerment of Women</w:t>
            </w:r>
            <w:r w:rsidRPr="00DE46F3">
              <w:rPr>
                <w:shd w:val="clear" w:color="auto" w:fill="FFFFFF"/>
              </w:rPr>
              <w:t xml:space="preserve"> </w:t>
            </w:r>
          </w:p>
        </w:tc>
      </w:tr>
      <w:tr w:rsidR="00E038A4" w:rsidRPr="00DE46F3" w14:paraId="1199E636" w14:textId="77777777" w:rsidTr="003D357F">
        <w:tc>
          <w:tcPr>
            <w:tcW w:w="1224" w:type="dxa"/>
            <w:shd w:val="clear" w:color="auto" w:fill="auto"/>
          </w:tcPr>
          <w:p w14:paraId="1E987875" w14:textId="77777777" w:rsidR="00E038A4" w:rsidRPr="00DE46F3" w:rsidRDefault="00E038A4" w:rsidP="00537806">
            <w:pPr>
              <w:tabs>
                <w:tab w:val="left" w:pos="288"/>
                <w:tab w:val="left" w:pos="576"/>
                <w:tab w:val="left" w:pos="864"/>
                <w:tab w:val="left" w:pos="1152"/>
              </w:tabs>
              <w:spacing w:before="40" w:after="120"/>
              <w:ind w:right="40"/>
            </w:pPr>
            <w:r w:rsidRPr="00DE46F3">
              <w:t>UNDP</w:t>
            </w:r>
          </w:p>
        </w:tc>
        <w:tc>
          <w:tcPr>
            <w:tcW w:w="6565" w:type="dxa"/>
            <w:shd w:val="clear" w:color="auto" w:fill="auto"/>
          </w:tcPr>
          <w:p w14:paraId="5A51DD0B" w14:textId="77777777" w:rsidR="00E038A4" w:rsidRPr="00DE46F3" w:rsidRDefault="00E038A4" w:rsidP="00537806">
            <w:pPr>
              <w:tabs>
                <w:tab w:val="left" w:pos="288"/>
                <w:tab w:val="left" w:pos="576"/>
                <w:tab w:val="left" w:pos="864"/>
                <w:tab w:val="left" w:pos="1152"/>
              </w:tabs>
              <w:spacing w:before="40" w:after="120"/>
              <w:ind w:left="144" w:right="40"/>
            </w:pPr>
            <w:r w:rsidRPr="00DE46F3">
              <w:t>United Nations Development Programme</w:t>
            </w:r>
          </w:p>
        </w:tc>
      </w:tr>
      <w:tr w:rsidR="00E038A4" w:rsidRPr="00DE46F3" w14:paraId="70522743" w14:textId="77777777" w:rsidTr="003D357F">
        <w:tc>
          <w:tcPr>
            <w:tcW w:w="1224" w:type="dxa"/>
            <w:shd w:val="clear" w:color="auto" w:fill="auto"/>
          </w:tcPr>
          <w:p w14:paraId="582158B8" w14:textId="77777777" w:rsidR="00E038A4" w:rsidRPr="00DE46F3" w:rsidRDefault="00E038A4" w:rsidP="00537806">
            <w:pPr>
              <w:tabs>
                <w:tab w:val="left" w:pos="288"/>
                <w:tab w:val="left" w:pos="576"/>
                <w:tab w:val="left" w:pos="864"/>
                <w:tab w:val="left" w:pos="1152"/>
              </w:tabs>
              <w:spacing w:before="40" w:after="120"/>
              <w:ind w:right="40"/>
            </w:pPr>
            <w:r w:rsidRPr="00DE46F3">
              <w:t>UNFPA</w:t>
            </w:r>
          </w:p>
        </w:tc>
        <w:tc>
          <w:tcPr>
            <w:tcW w:w="6565" w:type="dxa"/>
            <w:shd w:val="clear" w:color="auto" w:fill="auto"/>
          </w:tcPr>
          <w:p w14:paraId="1255600A" w14:textId="77777777" w:rsidR="00E038A4" w:rsidRPr="00DE46F3" w:rsidRDefault="00E038A4" w:rsidP="00537806">
            <w:pPr>
              <w:tabs>
                <w:tab w:val="left" w:pos="288"/>
                <w:tab w:val="left" w:pos="576"/>
                <w:tab w:val="left" w:pos="864"/>
                <w:tab w:val="left" w:pos="1152"/>
              </w:tabs>
              <w:spacing w:before="40" w:after="120"/>
              <w:ind w:left="144" w:right="40"/>
            </w:pPr>
            <w:r w:rsidRPr="00DE46F3">
              <w:t>United Nations Population Fund</w:t>
            </w:r>
          </w:p>
        </w:tc>
      </w:tr>
      <w:tr w:rsidR="00E038A4" w:rsidRPr="00DE46F3" w14:paraId="2DFCA190" w14:textId="77777777" w:rsidTr="003D357F">
        <w:tc>
          <w:tcPr>
            <w:tcW w:w="1224" w:type="dxa"/>
            <w:shd w:val="clear" w:color="auto" w:fill="auto"/>
          </w:tcPr>
          <w:p w14:paraId="1AB9280F" w14:textId="77777777" w:rsidR="00E038A4" w:rsidRPr="00DE46F3" w:rsidRDefault="00E038A4" w:rsidP="00537806">
            <w:pPr>
              <w:tabs>
                <w:tab w:val="left" w:pos="288"/>
                <w:tab w:val="left" w:pos="576"/>
                <w:tab w:val="left" w:pos="864"/>
                <w:tab w:val="left" w:pos="1152"/>
              </w:tabs>
              <w:spacing w:before="40" w:after="120"/>
              <w:ind w:right="40"/>
            </w:pPr>
            <w:r w:rsidRPr="00DE46F3">
              <w:t>UNICEF</w:t>
            </w:r>
          </w:p>
        </w:tc>
        <w:tc>
          <w:tcPr>
            <w:tcW w:w="6565" w:type="dxa"/>
            <w:shd w:val="clear" w:color="auto" w:fill="auto"/>
          </w:tcPr>
          <w:p w14:paraId="4C427E85" w14:textId="77777777" w:rsidR="00E038A4" w:rsidRPr="00DE46F3" w:rsidRDefault="00E038A4" w:rsidP="00537806">
            <w:pPr>
              <w:tabs>
                <w:tab w:val="left" w:pos="288"/>
                <w:tab w:val="left" w:pos="576"/>
                <w:tab w:val="left" w:pos="864"/>
                <w:tab w:val="left" w:pos="1152"/>
              </w:tabs>
              <w:spacing w:before="40" w:after="120"/>
              <w:ind w:left="144" w:right="40"/>
            </w:pPr>
            <w:r w:rsidRPr="00DE46F3">
              <w:t>United Nations Children’s Fund</w:t>
            </w:r>
          </w:p>
        </w:tc>
      </w:tr>
      <w:tr w:rsidR="00E038A4" w:rsidRPr="00DE46F3" w14:paraId="6C5866E5" w14:textId="77777777" w:rsidTr="003D357F">
        <w:tc>
          <w:tcPr>
            <w:tcW w:w="1224" w:type="dxa"/>
            <w:shd w:val="clear" w:color="auto" w:fill="auto"/>
          </w:tcPr>
          <w:p w14:paraId="4FCEE4B5" w14:textId="77777777" w:rsidR="00E038A4" w:rsidRPr="00DE46F3" w:rsidRDefault="00E038A4" w:rsidP="00537806">
            <w:pPr>
              <w:tabs>
                <w:tab w:val="left" w:pos="288"/>
                <w:tab w:val="left" w:pos="576"/>
                <w:tab w:val="left" w:pos="864"/>
                <w:tab w:val="left" w:pos="1152"/>
              </w:tabs>
              <w:spacing w:before="40" w:after="120"/>
              <w:ind w:right="40"/>
            </w:pPr>
            <w:r w:rsidRPr="00DE46F3">
              <w:t>UNTL</w:t>
            </w:r>
          </w:p>
        </w:tc>
        <w:tc>
          <w:tcPr>
            <w:tcW w:w="6565" w:type="dxa"/>
            <w:shd w:val="clear" w:color="auto" w:fill="auto"/>
          </w:tcPr>
          <w:p w14:paraId="4F28D3F6" w14:textId="77777777" w:rsidR="00E038A4" w:rsidRPr="00DE46F3" w:rsidRDefault="00E038A4" w:rsidP="00537806">
            <w:pPr>
              <w:tabs>
                <w:tab w:val="left" w:pos="288"/>
                <w:tab w:val="left" w:pos="576"/>
                <w:tab w:val="left" w:pos="864"/>
                <w:tab w:val="left" w:pos="1152"/>
              </w:tabs>
              <w:spacing w:before="40" w:after="120"/>
              <w:ind w:left="144" w:right="40"/>
            </w:pPr>
            <w:r w:rsidRPr="00DE46F3">
              <w:rPr>
                <w:i/>
              </w:rPr>
              <w:t>Universidade Nacional Timor Lorosa'e</w:t>
            </w:r>
            <w:r w:rsidRPr="00DE46F3">
              <w:rPr>
                <w:iCs/>
              </w:rPr>
              <w:t xml:space="preserve"> </w:t>
            </w:r>
            <w:r w:rsidRPr="00DE46F3">
              <w:t>(National University of Timor-Leste)</w:t>
            </w:r>
          </w:p>
        </w:tc>
      </w:tr>
      <w:tr w:rsidR="00E038A4" w:rsidRPr="00DE46F3" w14:paraId="1DC991E6" w14:textId="77777777" w:rsidTr="003D357F">
        <w:tc>
          <w:tcPr>
            <w:tcW w:w="1224" w:type="dxa"/>
            <w:shd w:val="clear" w:color="auto" w:fill="auto"/>
          </w:tcPr>
          <w:p w14:paraId="167059ED" w14:textId="77777777" w:rsidR="00E038A4" w:rsidRPr="00DE46F3" w:rsidRDefault="00E038A4" w:rsidP="00537806">
            <w:pPr>
              <w:tabs>
                <w:tab w:val="left" w:pos="288"/>
                <w:tab w:val="left" w:pos="576"/>
                <w:tab w:val="left" w:pos="864"/>
                <w:tab w:val="left" w:pos="1152"/>
              </w:tabs>
              <w:spacing w:before="40" w:after="120"/>
              <w:ind w:right="40"/>
            </w:pPr>
            <w:r w:rsidRPr="00DE46F3">
              <w:t>UPMA</w:t>
            </w:r>
          </w:p>
        </w:tc>
        <w:tc>
          <w:tcPr>
            <w:tcW w:w="6565" w:type="dxa"/>
            <w:shd w:val="clear" w:color="auto" w:fill="auto"/>
          </w:tcPr>
          <w:p w14:paraId="6F36A0F4" w14:textId="77777777" w:rsidR="00E038A4" w:rsidRPr="00DE46F3" w:rsidRDefault="00E038A4" w:rsidP="00537806">
            <w:pPr>
              <w:tabs>
                <w:tab w:val="left" w:pos="288"/>
                <w:tab w:val="left" w:pos="576"/>
                <w:tab w:val="left" w:pos="864"/>
                <w:tab w:val="left" w:pos="1152"/>
              </w:tabs>
              <w:spacing w:before="40" w:after="120"/>
              <w:ind w:left="144" w:right="40"/>
            </w:pPr>
            <w:r w:rsidRPr="00DE46F3">
              <w:rPr>
                <w:i/>
              </w:rPr>
              <w:t>Unidade de Planeamento</w:t>
            </w:r>
            <w:r w:rsidRPr="00DE46F3">
              <w:rPr>
                <w:iCs/>
              </w:rPr>
              <w:t xml:space="preserve">, </w:t>
            </w:r>
            <w:bookmarkStart w:id="2" w:name="_Hlk23318909"/>
            <w:r w:rsidRPr="00DE46F3">
              <w:rPr>
                <w:iCs/>
              </w:rPr>
              <w:t>Monitorizacão e Avaliação</w:t>
            </w:r>
            <w:bookmarkEnd w:id="2"/>
            <w:r w:rsidRPr="00DE46F3">
              <w:rPr>
                <w:iCs/>
              </w:rPr>
              <w:t xml:space="preserve"> </w:t>
            </w:r>
            <w:r w:rsidRPr="00DE46F3">
              <w:t>(Planning, Monitoring and Evaluation Unit)</w:t>
            </w:r>
          </w:p>
        </w:tc>
      </w:tr>
      <w:tr w:rsidR="00E038A4" w:rsidRPr="00DE46F3" w14:paraId="69BDDFDB" w14:textId="77777777" w:rsidTr="003D357F">
        <w:tc>
          <w:tcPr>
            <w:tcW w:w="1224" w:type="dxa"/>
            <w:shd w:val="clear" w:color="auto" w:fill="auto"/>
          </w:tcPr>
          <w:p w14:paraId="58EEF5B3" w14:textId="77777777" w:rsidR="00E038A4" w:rsidRPr="00DE46F3" w:rsidRDefault="00E038A4" w:rsidP="00537806">
            <w:pPr>
              <w:tabs>
                <w:tab w:val="left" w:pos="288"/>
                <w:tab w:val="left" w:pos="576"/>
                <w:tab w:val="left" w:pos="864"/>
                <w:tab w:val="left" w:pos="1152"/>
              </w:tabs>
              <w:spacing w:before="40" w:after="120"/>
              <w:ind w:right="40"/>
            </w:pPr>
            <w:r w:rsidRPr="00DE46F3">
              <w:t>VAW</w:t>
            </w:r>
          </w:p>
        </w:tc>
        <w:tc>
          <w:tcPr>
            <w:tcW w:w="6565" w:type="dxa"/>
            <w:shd w:val="clear" w:color="auto" w:fill="auto"/>
          </w:tcPr>
          <w:p w14:paraId="6254C95D" w14:textId="77777777" w:rsidR="00E038A4" w:rsidRPr="00DE46F3" w:rsidRDefault="00E038A4" w:rsidP="00537806">
            <w:pPr>
              <w:tabs>
                <w:tab w:val="left" w:pos="288"/>
                <w:tab w:val="left" w:pos="576"/>
                <w:tab w:val="left" w:pos="864"/>
                <w:tab w:val="left" w:pos="1152"/>
              </w:tabs>
              <w:spacing w:before="40" w:after="120"/>
              <w:ind w:left="144" w:right="40"/>
            </w:pPr>
            <w:r w:rsidRPr="00DE46F3">
              <w:t>Violence Against Women</w:t>
            </w:r>
          </w:p>
        </w:tc>
      </w:tr>
      <w:tr w:rsidR="00E038A4" w:rsidRPr="00DE46F3" w14:paraId="74BF535C" w14:textId="77777777" w:rsidTr="003D357F">
        <w:tc>
          <w:tcPr>
            <w:tcW w:w="1224" w:type="dxa"/>
            <w:shd w:val="clear" w:color="auto" w:fill="auto"/>
          </w:tcPr>
          <w:p w14:paraId="3441C40E" w14:textId="77777777" w:rsidR="00E038A4" w:rsidRPr="00DE46F3" w:rsidRDefault="00E038A4" w:rsidP="00537806">
            <w:pPr>
              <w:tabs>
                <w:tab w:val="left" w:pos="288"/>
                <w:tab w:val="left" w:pos="576"/>
                <w:tab w:val="left" w:pos="864"/>
                <w:tab w:val="left" w:pos="1152"/>
              </w:tabs>
              <w:spacing w:before="40" w:after="120"/>
              <w:ind w:right="40"/>
            </w:pPr>
            <w:r w:rsidRPr="00DE46F3">
              <w:t>VPU</w:t>
            </w:r>
          </w:p>
        </w:tc>
        <w:tc>
          <w:tcPr>
            <w:tcW w:w="6565" w:type="dxa"/>
            <w:shd w:val="clear" w:color="auto" w:fill="auto"/>
          </w:tcPr>
          <w:p w14:paraId="5A0B0B5A" w14:textId="77777777" w:rsidR="00E038A4" w:rsidRPr="00DE46F3" w:rsidRDefault="00E038A4" w:rsidP="00537806">
            <w:pPr>
              <w:tabs>
                <w:tab w:val="left" w:pos="288"/>
                <w:tab w:val="left" w:pos="576"/>
                <w:tab w:val="left" w:pos="864"/>
                <w:tab w:val="left" w:pos="1152"/>
              </w:tabs>
              <w:spacing w:before="40" w:after="120"/>
              <w:ind w:left="144" w:right="40"/>
            </w:pPr>
            <w:r w:rsidRPr="00DE46F3">
              <w:t>Vulnerable Persons Unit</w:t>
            </w:r>
          </w:p>
        </w:tc>
      </w:tr>
      <w:tr w:rsidR="00E038A4" w:rsidRPr="00DE46F3" w14:paraId="2505B958" w14:textId="77777777" w:rsidTr="00502661">
        <w:tc>
          <w:tcPr>
            <w:tcW w:w="1224" w:type="dxa"/>
            <w:shd w:val="clear" w:color="auto" w:fill="auto"/>
          </w:tcPr>
          <w:p w14:paraId="6AEDDE31" w14:textId="77777777" w:rsidR="00E038A4" w:rsidRPr="00DE46F3" w:rsidRDefault="00E038A4" w:rsidP="00537806">
            <w:pPr>
              <w:tabs>
                <w:tab w:val="left" w:pos="288"/>
                <w:tab w:val="left" w:pos="576"/>
                <w:tab w:val="left" w:pos="864"/>
                <w:tab w:val="left" w:pos="1152"/>
              </w:tabs>
              <w:spacing w:before="40" w:after="120"/>
              <w:ind w:right="40"/>
            </w:pPr>
            <w:r w:rsidRPr="00DE46F3">
              <w:t>WASH</w:t>
            </w:r>
          </w:p>
        </w:tc>
        <w:tc>
          <w:tcPr>
            <w:tcW w:w="6565" w:type="dxa"/>
            <w:shd w:val="clear" w:color="auto" w:fill="auto"/>
          </w:tcPr>
          <w:p w14:paraId="4271DBB0" w14:textId="77777777" w:rsidR="00E038A4" w:rsidRPr="00DE46F3" w:rsidRDefault="00E038A4" w:rsidP="00537806">
            <w:pPr>
              <w:tabs>
                <w:tab w:val="left" w:pos="288"/>
                <w:tab w:val="left" w:pos="576"/>
                <w:tab w:val="left" w:pos="864"/>
                <w:tab w:val="left" w:pos="1152"/>
              </w:tabs>
              <w:spacing w:before="40" w:after="120"/>
              <w:ind w:left="144" w:right="40"/>
            </w:pPr>
            <w:r w:rsidRPr="00DE46F3">
              <w:rPr>
                <w:shd w:val="clear" w:color="auto" w:fill="FFFFFF"/>
              </w:rPr>
              <w:t>Water, Sanitation and Hygiene</w:t>
            </w:r>
          </w:p>
        </w:tc>
      </w:tr>
      <w:tr w:rsidR="00E038A4" w:rsidRPr="00DE46F3" w14:paraId="3CC215B8" w14:textId="77777777" w:rsidTr="00502661">
        <w:tc>
          <w:tcPr>
            <w:tcW w:w="1224" w:type="dxa"/>
            <w:shd w:val="clear" w:color="auto" w:fill="auto"/>
          </w:tcPr>
          <w:p w14:paraId="67A4269B" w14:textId="77777777" w:rsidR="00E038A4" w:rsidRPr="00DE46F3" w:rsidRDefault="00E038A4" w:rsidP="00537806">
            <w:pPr>
              <w:tabs>
                <w:tab w:val="left" w:pos="288"/>
                <w:tab w:val="left" w:pos="576"/>
                <w:tab w:val="left" w:pos="864"/>
                <w:tab w:val="left" w:pos="1152"/>
              </w:tabs>
              <w:spacing w:before="40" w:after="120"/>
              <w:ind w:right="40"/>
            </w:pPr>
            <w:r w:rsidRPr="00DE46F3">
              <w:t>WHO</w:t>
            </w:r>
          </w:p>
        </w:tc>
        <w:tc>
          <w:tcPr>
            <w:tcW w:w="6565" w:type="dxa"/>
            <w:shd w:val="clear" w:color="auto" w:fill="auto"/>
          </w:tcPr>
          <w:p w14:paraId="1F69E6A5" w14:textId="77777777" w:rsidR="00E038A4" w:rsidRPr="00DE46F3" w:rsidRDefault="00E038A4" w:rsidP="00537806">
            <w:pPr>
              <w:tabs>
                <w:tab w:val="left" w:pos="288"/>
                <w:tab w:val="left" w:pos="576"/>
                <w:tab w:val="left" w:pos="864"/>
                <w:tab w:val="left" w:pos="1152"/>
              </w:tabs>
              <w:spacing w:before="40" w:after="120"/>
              <w:ind w:left="144" w:right="40"/>
            </w:pPr>
            <w:r w:rsidRPr="00DE46F3">
              <w:t>World Health Organisation</w:t>
            </w:r>
          </w:p>
        </w:tc>
      </w:tr>
    </w:tbl>
    <w:p w14:paraId="5CE8A5EC" w14:textId="296D2E5C" w:rsidR="00502661" w:rsidRPr="00DE46F3" w:rsidRDefault="00502661" w:rsidP="00E038A4">
      <w:pPr>
        <w:pStyle w:val="SingleTxt"/>
      </w:pPr>
    </w:p>
    <w:p w14:paraId="5C9856C9" w14:textId="77777777" w:rsidR="00DE46F3" w:rsidRPr="00DE46F3" w:rsidRDefault="00DE46F3" w:rsidP="00E038A4">
      <w:pPr>
        <w:pStyle w:val="SingleTxt"/>
      </w:pPr>
    </w:p>
    <w:p w14:paraId="2E5989AD" w14:textId="43803B3B" w:rsidR="0098356B" w:rsidRPr="00DE46F3" w:rsidRDefault="0098356B">
      <w:pPr>
        <w:suppressAutoHyphens w:val="0"/>
        <w:spacing w:after="200" w:line="276" w:lineRule="auto"/>
        <w:sectPr w:rsidR="0098356B" w:rsidRPr="00DE46F3" w:rsidSect="005259CC">
          <w:footnotePr>
            <w:numRestart w:val="eachSect"/>
          </w:footnotePr>
          <w:endnotePr>
            <w:numFmt w:val="decimal"/>
          </w:endnotePr>
          <w:type w:val="continuous"/>
          <w:pgSz w:w="12240" w:h="15840"/>
          <w:pgMar w:top="1440" w:right="1200" w:bottom="1152" w:left="1200" w:header="432" w:footer="504" w:gutter="0"/>
          <w:cols w:space="720"/>
          <w:noEndnote/>
          <w:docGrid w:linePitch="360"/>
        </w:sectPr>
      </w:pPr>
    </w:p>
    <w:p w14:paraId="798F4BD9" w14:textId="43FB0DFE" w:rsidR="00502661" w:rsidRPr="00DE46F3" w:rsidRDefault="00502661" w:rsidP="00502661">
      <w:pPr>
        <w:pStyle w:val="HCh"/>
        <w:tabs>
          <w:tab w:val="clear" w:pos="1742"/>
        </w:tabs>
        <w:ind w:left="1267" w:hanging="1267"/>
      </w:pPr>
      <w:r w:rsidRPr="00DE46F3">
        <w:tab/>
      </w:r>
      <w:r w:rsidRPr="00DE46F3">
        <w:tab/>
        <w:t>Introduction</w:t>
      </w:r>
    </w:p>
    <w:p w14:paraId="3F7ED0C3" w14:textId="0E2BF8A1" w:rsidR="00502661" w:rsidRPr="00DE46F3" w:rsidRDefault="00502661" w:rsidP="00502661">
      <w:pPr>
        <w:pStyle w:val="SingleTxt"/>
        <w:spacing w:after="0" w:line="120" w:lineRule="exact"/>
        <w:rPr>
          <w:sz w:val="10"/>
        </w:rPr>
      </w:pPr>
    </w:p>
    <w:p w14:paraId="47EDE093" w14:textId="0BCD4810" w:rsidR="00502661" w:rsidRPr="00DE46F3" w:rsidRDefault="00502661" w:rsidP="00502661">
      <w:pPr>
        <w:pStyle w:val="SingleTxt"/>
        <w:spacing w:after="0" w:line="120" w:lineRule="exact"/>
        <w:rPr>
          <w:sz w:val="10"/>
        </w:rPr>
      </w:pPr>
    </w:p>
    <w:p w14:paraId="095DBA72" w14:textId="069351CD" w:rsidR="00502661" w:rsidRPr="00DE46F3" w:rsidRDefault="00502661" w:rsidP="00502661">
      <w:pPr>
        <w:pStyle w:val="SingleTxt"/>
      </w:pPr>
      <w:r w:rsidRPr="00DE46F3">
        <w:t>1.</w:t>
      </w:r>
      <w:r w:rsidRPr="00DE46F3">
        <w:tab/>
        <w:t xml:space="preserve">The present report constitutes the 4th Periodic Treaty-Specific CEDAW Report for consideration by the CEDAW Committee and officially endorsed by the Council of Ministers on the 20th of November 2019. </w:t>
      </w:r>
    </w:p>
    <w:p w14:paraId="6BC66F91" w14:textId="34E9B6D9" w:rsidR="00502661" w:rsidRPr="00DE46F3" w:rsidRDefault="00502661" w:rsidP="00502661">
      <w:pPr>
        <w:pStyle w:val="SingleTxt"/>
      </w:pPr>
      <w:r w:rsidRPr="00DE46F3">
        <w:t>2.</w:t>
      </w:r>
      <w:r w:rsidRPr="00DE46F3">
        <w:tab/>
        <w:t>The 2015 Concluding Observations were translated into Tetum for dissemination to relevant line ministries and brought to the attention of the public through a TV dialogue.</w:t>
      </w:r>
    </w:p>
    <w:p w14:paraId="36B30ACF" w14:textId="645DBCD1" w:rsidR="00502661" w:rsidRPr="00DE46F3" w:rsidRDefault="00502661" w:rsidP="00502661">
      <w:pPr>
        <w:pStyle w:val="SingleTxt"/>
      </w:pPr>
      <w:r w:rsidRPr="00DE46F3">
        <w:t>3.</w:t>
      </w:r>
      <w:r w:rsidRPr="00DE46F3">
        <w:tab/>
        <w:t>The report was prepared by the office of the Secretary of State for Equality and Inclusion (SEII) as the outcome of a close collaboration among all relevant line Ministries and national institutions (16 institutions). The National Human Rights Institution (PDHJ) and Civil Society Organizations (CSOs) were also part of the preparation of the report through the national consultative workshop held in October 2019.</w:t>
      </w:r>
    </w:p>
    <w:p w14:paraId="0DB267DE" w14:textId="3971309B" w:rsidR="00502661" w:rsidRPr="00DE46F3" w:rsidRDefault="00502661" w:rsidP="00502661">
      <w:pPr>
        <w:pStyle w:val="SingleTxt"/>
      </w:pPr>
      <w:r w:rsidRPr="00DE46F3">
        <w:t>4.</w:t>
      </w:r>
      <w:r w:rsidRPr="00DE46F3">
        <w:tab/>
        <w:t>As the process of updating the Common Core Document has not been completed by the time of development of the present report, all necessary and relevant information was directly included in this treaty-specific document.</w:t>
      </w:r>
    </w:p>
    <w:p w14:paraId="46627443" w14:textId="4A1312E5" w:rsidR="00502661" w:rsidRPr="00DE46F3" w:rsidRDefault="00502661" w:rsidP="00502661">
      <w:pPr>
        <w:pStyle w:val="SingleTxt"/>
        <w:spacing w:after="0" w:line="120" w:lineRule="exact"/>
        <w:rPr>
          <w:sz w:val="10"/>
        </w:rPr>
      </w:pPr>
    </w:p>
    <w:p w14:paraId="58C8ABE3" w14:textId="62C0CC04" w:rsidR="00502661" w:rsidRPr="00DE46F3" w:rsidRDefault="00502661" w:rsidP="00502661">
      <w:pPr>
        <w:pStyle w:val="SingleTxt"/>
        <w:spacing w:after="0" w:line="120" w:lineRule="exact"/>
        <w:rPr>
          <w:sz w:val="10"/>
        </w:rPr>
      </w:pPr>
    </w:p>
    <w:p w14:paraId="104759C3" w14:textId="0E00C7C4" w:rsidR="00502661" w:rsidRPr="00DE46F3" w:rsidRDefault="00502661" w:rsidP="00502661">
      <w:pPr>
        <w:pStyle w:val="HCh"/>
        <w:ind w:left="1267" w:right="1260" w:hanging="1267"/>
      </w:pPr>
      <w:bookmarkStart w:id="3" w:name="_Toc25630026"/>
      <w:r w:rsidRPr="00DE46F3">
        <w:tab/>
      </w:r>
      <w:r w:rsidRPr="00DE46F3">
        <w:tab/>
        <w:t>Articles 1: Definition of Discrimination and Legislative Framework</w:t>
      </w:r>
      <w:bookmarkEnd w:id="3"/>
    </w:p>
    <w:p w14:paraId="4EFC682B" w14:textId="44351BC7" w:rsidR="00502661" w:rsidRPr="00DE46F3" w:rsidRDefault="00502661" w:rsidP="00502661">
      <w:pPr>
        <w:pStyle w:val="SingleTxt"/>
        <w:spacing w:after="0" w:line="120" w:lineRule="exact"/>
        <w:rPr>
          <w:sz w:val="10"/>
        </w:rPr>
      </w:pPr>
    </w:p>
    <w:p w14:paraId="4477792F" w14:textId="3670DC63" w:rsidR="00502661" w:rsidRPr="00DE46F3" w:rsidRDefault="00502661" w:rsidP="00502661">
      <w:pPr>
        <w:pStyle w:val="SingleTxt"/>
        <w:spacing w:after="0" w:line="120" w:lineRule="exact"/>
        <w:rPr>
          <w:sz w:val="10"/>
        </w:rPr>
      </w:pPr>
    </w:p>
    <w:p w14:paraId="1C4B4477" w14:textId="5CF69970" w:rsidR="00502661" w:rsidRPr="00DE46F3" w:rsidRDefault="008E325B" w:rsidP="00502661">
      <w:pPr>
        <w:pStyle w:val="SingleTxt"/>
      </w:pPr>
      <w:r w:rsidRPr="00DE46F3">
        <w:t>5.</w:t>
      </w:r>
      <w:r w:rsidRPr="00DE46F3">
        <w:tab/>
      </w:r>
      <w:r w:rsidR="00502661" w:rsidRPr="00DE46F3">
        <w:t>In lieu of a comprehensive law on gender equality, the Government systematically include specific articles on discrimination and equality in key legal acts such as the 2017 Law against Trafficking in Persons (Law N° 3/2017 – Art. 3),</w:t>
      </w:r>
      <w:r w:rsidR="00502661" w:rsidRPr="00DE46F3">
        <w:rPr>
          <w:vertAlign w:val="superscript"/>
        </w:rPr>
        <w:footnoteReference w:id="1"/>
      </w:r>
      <w:r w:rsidR="00502661" w:rsidRPr="00DE46F3">
        <w:t xml:space="preserve"> the 2016 Law on the Creation of the Social Security Contributory Regime (Law N° 12/2016 – Art. 6 and 7)</w:t>
      </w:r>
      <w:r w:rsidR="00502661" w:rsidRPr="00DE46F3">
        <w:rPr>
          <w:vertAlign w:val="superscript"/>
        </w:rPr>
        <w:footnoteReference w:id="2"/>
      </w:r>
      <w:r w:rsidR="00502661" w:rsidRPr="00DE46F3">
        <w:t xml:space="preserve"> or the 2017 Law establishing the Special Regime for Definition of Ownership of immovable Property (‘Land Law’, Law N° 13/2017 – Art.4).</w:t>
      </w:r>
      <w:r w:rsidR="00502661" w:rsidRPr="00DE46F3">
        <w:rPr>
          <w:vertAlign w:val="superscript"/>
        </w:rPr>
        <w:footnoteReference w:id="3"/>
      </w:r>
    </w:p>
    <w:p w14:paraId="0E8E4CAB" w14:textId="4F4BB83F" w:rsidR="00502661" w:rsidRPr="00DE46F3" w:rsidRDefault="008E325B" w:rsidP="00502661">
      <w:pPr>
        <w:pStyle w:val="SingleTxt"/>
        <w:rPr>
          <w:w w:val="101"/>
        </w:rPr>
      </w:pPr>
      <w:r w:rsidRPr="00DE46F3">
        <w:rPr>
          <w:w w:val="101"/>
        </w:rPr>
        <w:t>6.</w:t>
      </w:r>
      <w:r w:rsidRPr="00DE46F3">
        <w:rPr>
          <w:w w:val="101"/>
        </w:rPr>
        <w:tab/>
      </w:r>
      <w:r w:rsidR="00502661" w:rsidRPr="00DE46F3">
        <w:rPr>
          <w:w w:val="101"/>
        </w:rPr>
        <w:t xml:space="preserve">In addition to the enactment of the bills on trafficking and land, the expropriation law (Law N° 8/2017) - including the real estate financial fund (Art. 66) </w:t>
      </w:r>
      <w:r w:rsidRPr="00DE46F3">
        <w:rPr>
          <w:w w:val="101"/>
        </w:rPr>
        <w:t xml:space="preserve">– </w:t>
      </w:r>
      <w:r w:rsidR="00502661" w:rsidRPr="00DE46F3">
        <w:rPr>
          <w:w w:val="101"/>
        </w:rPr>
        <w:t>was passed in 2017.</w:t>
      </w:r>
      <w:r w:rsidR="00502661" w:rsidRPr="00DE46F3">
        <w:rPr>
          <w:w w:val="101"/>
          <w:vertAlign w:val="superscript"/>
        </w:rPr>
        <w:footnoteReference w:id="4"/>
      </w:r>
      <w:r w:rsidR="00502661" w:rsidRPr="00DE46F3">
        <w:rPr>
          <w:w w:val="101"/>
        </w:rPr>
        <w:t xml:space="preserve"> </w:t>
      </w:r>
      <w:r w:rsidR="00502661" w:rsidRPr="00DE46F3">
        <w:rPr>
          <w:w w:val="101"/>
          <w:vertAlign w:val="superscript"/>
        </w:rPr>
        <w:footnoteReference w:id="5"/>
      </w:r>
      <w:r w:rsidR="00502661" w:rsidRPr="00DE46F3">
        <w:rPr>
          <w:w w:val="101"/>
        </w:rPr>
        <w:t xml:space="preserve"> Regarding Civil Registration, the draft Code is now completed and going through further analysis and consultations prior to submission to Parliament.</w:t>
      </w:r>
      <w:r w:rsidR="00502661" w:rsidRPr="00DE46F3">
        <w:rPr>
          <w:w w:val="101"/>
          <w:vertAlign w:val="superscript"/>
        </w:rPr>
        <w:footnoteReference w:id="6"/>
      </w:r>
      <w:r w:rsidRPr="00DE46F3">
        <w:rPr>
          <w:w w:val="101"/>
          <w:vertAlign w:val="superscript"/>
        </w:rPr>
        <w:t>,</w:t>
      </w:r>
      <w:r w:rsidR="00502661" w:rsidRPr="00DE46F3">
        <w:rPr>
          <w:w w:val="101"/>
          <w:vertAlign w:val="superscript"/>
        </w:rPr>
        <w:footnoteReference w:id="7"/>
      </w:r>
      <w:r w:rsidR="00502661" w:rsidRPr="00DE46F3">
        <w:rPr>
          <w:w w:val="101"/>
        </w:rPr>
        <w:t xml:space="preserve"> </w:t>
      </w:r>
    </w:p>
    <w:p w14:paraId="042001E2" w14:textId="01D720CD" w:rsidR="00502661" w:rsidRPr="00DE46F3" w:rsidRDefault="008E325B" w:rsidP="009F466A">
      <w:pPr>
        <w:pStyle w:val="SingleTxt"/>
      </w:pPr>
      <w:r w:rsidRPr="00DE46F3">
        <w:t>7.</w:t>
      </w:r>
      <w:r w:rsidRPr="00DE46F3">
        <w:tab/>
      </w:r>
      <w:r w:rsidR="00502661" w:rsidRPr="00DE46F3">
        <w:t>Various initiatives have been undertaken during the reporting period toward the adoption of a formal law regulating the relationships between customary and formal justice systems. The Ministry for Legislative Reform and Parliamentary Affairs (MRLAP)</w:t>
      </w:r>
      <w:r w:rsidR="00502661" w:rsidRPr="00DE46F3">
        <w:rPr>
          <w:vertAlign w:val="superscript"/>
        </w:rPr>
        <w:footnoteReference w:id="8"/>
      </w:r>
      <w:r w:rsidR="00502661" w:rsidRPr="00DE46F3">
        <w:t xml:space="preserve"> is now undertaking research and public consultations on how to create interactions between formal and customary justice systems for the development of a Traditional Justice Law.</w:t>
      </w:r>
      <w:r w:rsidR="00502661" w:rsidRPr="00DE46F3">
        <w:rPr>
          <w:vertAlign w:val="superscript"/>
        </w:rPr>
        <w:footnoteReference w:id="9"/>
      </w:r>
    </w:p>
    <w:p w14:paraId="2BCBD8CC" w14:textId="50BFC09A" w:rsidR="00E038A4" w:rsidRPr="00DE46F3" w:rsidRDefault="009F466A" w:rsidP="00502661">
      <w:pPr>
        <w:pStyle w:val="SingleTxt"/>
      </w:pPr>
      <w:r w:rsidRPr="00DE46F3">
        <w:t>8.</w:t>
      </w:r>
      <w:r w:rsidRPr="00DE46F3">
        <w:tab/>
      </w:r>
      <w:r w:rsidR="00502661" w:rsidRPr="00DE46F3">
        <w:t>Recognizing the importance of alternative dispute resolution (ADR) mechanisms in accessing justice, including for women, the Ministry of Justice (MoJ) has developed a draft law on informal justice processes, or ‘mediation law’ to act as an umbrella law for all ADR practices. It is ready to be submitted for public consultation.</w:t>
      </w:r>
      <w:r w:rsidR="00502661" w:rsidRPr="00DE46F3">
        <w:rPr>
          <w:vertAlign w:val="superscript"/>
        </w:rPr>
        <w:footnoteReference w:id="10"/>
      </w:r>
      <w:r w:rsidR="00502661" w:rsidRPr="00DE46F3">
        <w:t xml:space="preserve"> In the development of the draft</w:t>
      </w:r>
      <w:r w:rsidR="008E325B" w:rsidRPr="00DE46F3">
        <w:t xml:space="preserve"> law, a specific seminar on ‘Gender Responsive Alternative Dispute Resolution’ was organized to ensure the consideration of women’s rights.</w:t>
      </w:r>
      <w:r w:rsidR="008E325B" w:rsidRPr="00DE46F3">
        <w:rPr>
          <w:rStyle w:val="FootnoteReference"/>
        </w:rPr>
        <w:footnoteReference w:id="11"/>
      </w:r>
    </w:p>
    <w:p w14:paraId="674CAFF5" w14:textId="040725F2" w:rsidR="009F466A" w:rsidRPr="00DE46F3" w:rsidRDefault="009F466A" w:rsidP="009F466A">
      <w:pPr>
        <w:pStyle w:val="SingleTxt"/>
        <w:spacing w:after="0" w:line="120" w:lineRule="exact"/>
        <w:rPr>
          <w:sz w:val="10"/>
        </w:rPr>
      </w:pPr>
    </w:p>
    <w:p w14:paraId="21476386" w14:textId="4AC1BE68" w:rsidR="009F466A" w:rsidRPr="00DE46F3" w:rsidRDefault="009F466A" w:rsidP="009F466A">
      <w:pPr>
        <w:pStyle w:val="SingleTxt"/>
        <w:spacing w:after="0" w:line="120" w:lineRule="exact"/>
        <w:rPr>
          <w:sz w:val="10"/>
        </w:rPr>
      </w:pPr>
    </w:p>
    <w:p w14:paraId="3B4D7EFB" w14:textId="00B45EBD" w:rsidR="00332A68" w:rsidRPr="00DE46F3" w:rsidRDefault="009F466A" w:rsidP="009F466A">
      <w:pPr>
        <w:pStyle w:val="HCh"/>
        <w:tabs>
          <w:tab w:val="clear" w:pos="1742"/>
        </w:tabs>
        <w:ind w:left="1267" w:hanging="1267"/>
      </w:pPr>
      <w:r w:rsidRPr="00DE46F3">
        <w:tab/>
      </w:r>
      <w:r w:rsidRPr="00DE46F3">
        <w:tab/>
      </w:r>
      <w:r w:rsidR="00332A68" w:rsidRPr="00DE46F3">
        <w:t>Article 2: Policy Measures</w:t>
      </w:r>
    </w:p>
    <w:p w14:paraId="22A3271E" w14:textId="2BC7A4D2" w:rsidR="009F466A" w:rsidRPr="00DE46F3" w:rsidRDefault="009F466A" w:rsidP="009F466A">
      <w:pPr>
        <w:pStyle w:val="SingleTxt"/>
        <w:spacing w:after="0" w:line="120" w:lineRule="exact"/>
        <w:rPr>
          <w:sz w:val="10"/>
        </w:rPr>
      </w:pPr>
    </w:p>
    <w:p w14:paraId="250AC610" w14:textId="295D0903" w:rsidR="009F466A" w:rsidRPr="00DE46F3" w:rsidRDefault="009F466A" w:rsidP="009F466A">
      <w:pPr>
        <w:pStyle w:val="SingleTxt"/>
        <w:spacing w:after="0" w:line="120" w:lineRule="exact"/>
        <w:rPr>
          <w:sz w:val="10"/>
        </w:rPr>
      </w:pPr>
    </w:p>
    <w:p w14:paraId="270D3648" w14:textId="5ECEFA8F" w:rsidR="00332A68" w:rsidRPr="00DE46F3" w:rsidRDefault="00332A68" w:rsidP="009F466A">
      <w:pPr>
        <w:pStyle w:val="H1"/>
        <w:ind w:right="1260"/>
      </w:pPr>
      <w:bookmarkStart w:id="4" w:name="_Ref46305262"/>
      <w:bookmarkStart w:id="5" w:name="_Toc25630028"/>
      <w:r w:rsidRPr="00DE46F3">
        <w:tab/>
      </w:r>
      <w:r w:rsidRPr="00DE46F3">
        <w:tab/>
        <w:t>Access to Justice</w:t>
      </w:r>
      <w:bookmarkEnd w:id="4"/>
      <w:bookmarkEnd w:id="5"/>
    </w:p>
    <w:p w14:paraId="456F35D0" w14:textId="56703BB0" w:rsidR="009F466A" w:rsidRPr="00DE46F3" w:rsidRDefault="009F466A" w:rsidP="009F466A">
      <w:pPr>
        <w:pStyle w:val="SingleTxt"/>
        <w:spacing w:after="0" w:line="120" w:lineRule="exact"/>
        <w:rPr>
          <w:sz w:val="10"/>
        </w:rPr>
      </w:pPr>
    </w:p>
    <w:p w14:paraId="40A3469E" w14:textId="52D8EC05" w:rsidR="009F466A" w:rsidRPr="00DE46F3" w:rsidRDefault="009F466A" w:rsidP="009F466A">
      <w:pPr>
        <w:pStyle w:val="SingleTxt"/>
        <w:spacing w:after="0" w:line="120" w:lineRule="exact"/>
        <w:rPr>
          <w:sz w:val="10"/>
        </w:rPr>
      </w:pPr>
    </w:p>
    <w:p w14:paraId="40E82C7E" w14:textId="5CF8961C" w:rsidR="00332A68" w:rsidRPr="00DE46F3" w:rsidRDefault="009F466A" w:rsidP="009F466A">
      <w:pPr>
        <w:pStyle w:val="SingleTxt"/>
      </w:pPr>
      <w:r w:rsidRPr="00DE46F3">
        <w:t>9.</w:t>
      </w:r>
      <w:r w:rsidRPr="00DE46F3">
        <w:tab/>
      </w:r>
      <w:r w:rsidR="00332A68" w:rsidRPr="00DE46F3">
        <w:t>The mobile court system remains the main channel to provide access to formal justice to rural communities by convening hearings in 9 municipalities where fixed courts are not yet established. The programme also contributes to introduce or enhance legal literacy to remote communities, including women, and promotes formal justice in these areas.</w:t>
      </w:r>
    </w:p>
    <w:p w14:paraId="25FFAA6D" w14:textId="69691819" w:rsidR="00332A68" w:rsidRPr="00DE46F3" w:rsidRDefault="009F466A" w:rsidP="009F466A">
      <w:pPr>
        <w:pStyle w:val="SingleTxt"/>
      </w:pPr>
      <w:r w:rsidRPr="00DE46F3">
        <w:t>10.</w:t>
      </w:r>
      <w:r w:rsidRPr="00DE46F3">
        <w:tab/>
      </w:r>
      <w:r w:rsidR="00332A68" w:rsidRPr="00DE46F3">
        <w:t>The number of cases assessed by mobile courts has been rising each year from 2015 to 2017 (about 10 per cent), totalling above 700 cases since 2018,</w:t>
      </w:r>
      <w:r w:rsidR="00332A68" w:rsidRPr="00DE46F3">
        <w:rPr>
          <w:vertAlign w:val="superscript"/>
        </w:rPr>
        <w:footnoteReference w:id="12"/>
      </w:r>
      <w:r w:rsidR="00332A68" w:rsidRPr="00DE46F3">
        <w:t xml:space="preserve"> representing 17 per cent of all criminal cases assessed in the first instance. Among criminal cases, the average of GBV cases between 2016 and 2018 varied between 46 per cent and 61</w:t>
      </w:r>
      <w:r w:rsidR="004355E5">
        <w:t xml:space="preserve"> </w:t>
      </w:r>
      <w:r w:rsidR="00332A68" w:rsidRPr="00DE46F3">
        <w:t>per cent, indicating the value of this programme for women victims of violence in rural areas. Overall, women represent about 33 per cent of the total beneficiaries of resolved cases (among approximately 3,000 beneficiary litigants).</w:t>
      </w:r>
      <w:r w:rsidR="00332A68" w:rsidRPr="00DE46F3">
        <w:rPr>
          <w:vertAlign w:val="superscript"/>
        </w:rPr>
        <w:footnoteReference w:id="13"/>
      </w:r>
    </w:p>
    <w:p w14:paraId="4370F038" w14:textId="5EBC6ABC" w:rsidR="009F466A" w:rsidRPr="00DE46F3" w:rsidRDefault="009F466A" w:rsidP="009F466A">
      <w:pPr>
        <w:pStyle w:val="SingleTxt"/>
        <w:spacing w:after="0" w:line="120" w:lineRule="exact"/>
        <w:rPr>
          <w:sz w:val="10"/>
        </w:rPr>
      </w:pPr>
    </w:p>
    <w:p w14:paraId="5C39EA78" w14:textId="64F75BC7" w:rsidR="00332A68" w:rsidRPr="00DE46F3" w:rsidRDefault="00332A68" w:rsidP="009F466A">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en-GB"/>
        </w:rPr>
      </w:pPr>
      <w:r w:rsidRPr="00DE46F3">
        <w:rPr>
          <w:lang w:val="en-GB"/>
        </w:rPr>
        <w:tab/>
      </w:r>
      <w:r w:rsidRPr="00DE46F3">
        <w:rPr>
          <w:lang w:val="en-GB"/>
        </w:rPr>
        <w:tab/>
        <w:t>Procedures for women for filling complaints</w:t>
      </w:r>
    </w:p>
    <w:p w14:paraId="0088DD14" w14:textId="1D95FE71" w:rsidR="009F466A" w:rsidRPr="00DE46F3" w:rsidRDefault="009F466A" w:rsidP="00DE46F3">
      <w:pPr>
        <w:spacing w:line="120" w:lineRule="exact"/>
        <w:ind w:left="1267"/>
        <w:rPr>
          <w:sz w:val="10"/>
        </w:rPr>
      </w:pPr>
    </w:p>
    <w:p w14:paraId="34E4D363" w14:textId="302323C0" w:rsidR="00332A68" w:rsidRPr="00DE46F3" w:rsidRDefault="009F466A" w:rsidP="009F466A">
      <w:pPr>
        <w:pStyle w:val="SingleTxt"/>
      </w:pPr>
      <w:r w:rsidRPr="00DE46F3">
        <w:t>11.</w:t>
      </w:r>
      <w:r w:rsidRPr="00DE46F3">
        <w:tab/>
      </w:r>
      <w:r w:rsidR="00332A68" w:rsidRPr="00DE46F3">
        <w:t>Complaints related to violence against women (VAW) are generally facilitated by the service providers’ Referral Network, established under the first National Action Plan against Gender-based Violence (NAP GBV).</w:t>
      </w:r>
      <w:r w:rsidR="00332A68" w:rsidRPr="00DE46F3">
        <w:rPr>
          <w:vertAlign w:val="superscript"/>
        </w:rPr>
        <w:footnoteReference w:id="14"/>
      </w:r>
      <w:r w:rsidR="00332A68" w:rsidRPr="00DE46F3">
        <w:t xml:space="preserve"> The Network guides and supports victims through the reporting (generally to the Vulnerable Person Unit (VPU) of the national police - PNTL), investigation and judicial processes. Complaints related to labour or education are generally addressed by the General Inspectorate of Labour under the Secretary of State for Vocational Training and Employment (SEPFOPE)</w:t>
      </w:r>
      <w:r w:rsidR="00332A68" w:rsidRPr="00DE46F3">
        <w:rPr>
          <w:vertAlign w:val="superscript"/>
        </w:rPr>
        <w:footnoteReference w:id="15"/>
      </w:r>
      <w:r w:rsidR="00332A68" w:rsidRPr="00DE46F3">
        <w:t xml:space="preserve"> and the General Inspectorate of Education under the Ministry of Education, Youth and Sports (MEJD).</w:t>
      </w:r>
      <w:r w:rsidR="00332A68" w:rsidRPr="00DE46F3">
        <w:rPr>
          <w:vertAlign w:val="superscript"/>
        </w:rPr>
        <w:footnoteReference w:id="16"/>
      </w:r>
      <w:r w:rsidR="00332A68" w:rsidRPr="00DE46F3">
        <w:t xml:space="preserve"> Both are mandated to refer cases to the Court when no solution can be found through mediation.</w:t>
      </w:r>
    </w:p>
    <w:p w14:paraId="498E55FB" w14:textId="22AF2B19" w:rsidR="00332A68" w:rsidRPr="00DE46F3" w:rsidRDefault="009F466A" w:rsidP="009F466A">
      <w:pPr>
        <w:pStyle w:val="SingleTxt"/>
      </w:pPr>
      <w:r w:rsidRPr="00DE46F3">
        <w:t>12.</w:t>
      </w:r>
      <w:r w:rsidRPr="00DE46F3">
        <w:tab/>
      </w:r>
      <w:r w:rsidR="00332A68" w:rsidRPr="00DE46F3">
        <w:t>Special attention was given to improve the filling complaint mechanism related to sexual harassment committed by public servants through innovative technology by developing the “ChatBot Rosa” since 2018.</w:t>
      </w:r>
    </w:p>
    <w:p w14:paraId="74854FED" w14:textId="0A614E98" w:rsidR="00332A68" w:rsidRPr="00DE46F3" w:rsidRDefault="009F466A" w:rsidP="009F466A">
      <w:pPr>
        <w:pStyle w:val="SingleTxt"/>
      </w:pPr>
      <w:r w:rsidRPr="00DE46F3">
        <w:t>13.</w:t>
      </w:r>
      <w:r w:rsidRPr="00DE46F3">
        <w:tab/>
      </w:r>
      <w:r w:rsidR="00332A68" w:rsidRPr="00DE46F3">
        <w:t xml:space="preserve">Beside the formal justice system, two other pathways are generally used by community members to settle conflicts. These are ADR processes including customary dispute resolution (or </w:t>
      </w:r>
      <w:r w:rsidR="00332A68" w:rsidRPr="00DE46F3">
        <w:rPr>
          <w:i/>
          <w:iCs/>
        </w:rPr>
        <w:t>Lisan</w:t>
      </w:r>
      <w:r w:rsidR="00332A68" w:rsidRPr="00DE46F3">
        <w:t>/</w:t>
      </w:r>
      <w:r w:rsidR="00332A68" w:rsidRPr="00DE46F3">
        <w:rPr>
          <w:i/>
          <w:iCs/>
        </w:rPr>
        <w:t>Adat</w:t>
      </w:r>
      <w:r w:rsidR="00332A68" w:rsidRPr="00DE46F3">
        <w:t>) and non-customary ADR (mediation through Government institutions and civil society). They are both recognized by the formal legal system and considered legitimate by community members.</w:t>
      </w:r>
      <w:r w:rsidR="00332A68" w:rsidRPr="00DE46F3">
        <w:rPr>
          <w:vertAlign w:val="superscript"/>
        </w:rPr>
        <w:footnoteReference w:id="17"/>
      </w:r>
      <w:r w:rsidR="00332A68" w:rsidRPr="00DE46F3">
        <w:t xml:space="preserve"> Despite being mainly facilitated by men (although not exclusively)</w:t>
      </w:r>
      <w:r w:rsidR="00332A68" w:rsidRPr="00DE46F3">
        <w:rPr>
          <w:vertAlign w:val="superscript"/>
        </w:rPr>
        <w:footnoteReference w:id="18"/>
      </w:r>
      <w:r w:rsidR="00332A68" w:rsidRPr="00DE46F3">
        <w:t>, women still largely rely on these processes.</w:t>
      </w:r>
      <w:r w:rsidR="00332A68" w:rsidRPr="00DE46F3">
        <w:rPr>
          <w:vertAlign w:val="superscript"/>
        </w:rPr>
        <w:footnoteReference w:id="19"/>
      </w:r>
      <w:r w:rsidR="00332A68" w:rsidRPr="00DE46F3">
        <w:t xml:space="preserve"> The future Traditional Justice Law and the law on informal justice processes are expected to improve the connection between the different systems and the provision of ADR services.</w:t>
      </w:r>
    </w:p>
    <w:p w14:paraId="5210D424" w14:textId="6AA74862" w:rsidR="009F466A" w:rsidRPr="00DE46F3" w:rsidRDefault="009F466A" w:rsidP="009F466A">
      <w:pPr>
        <w:pStyle w:val="SingleTxt"/>
        <w:spacing w:after="0" w:line="120" w:lineRule="exact"/>
        <w:rPr>
          <w:sz w:val="10"/>
        </w:rPr>
      </w:pPr>
    </w:p>
    <w:p w14:paraId="39583DD2" w14:textId="3FA309DD" w:rsidR="00332A68" w:rsidRPr="00DE46F3" w:rsidRDefault="00332A68" w:rsidP="009F466A">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en-GB"/>
        </w:rPr>
      </w:pPr>
      <w:r w:rsidRPr="00DE46F3">
        <w:rPr>
          <w:lang w:val="en-GB"/>
        </w:rPr>
        <w:tab/>
      </w:r>
      <w:r w:rsidRPr="00DE46F3">
        <w:rPr>
          <w:lang w:val="en-GB"/>
        </w:rPr>
        <w:tab/>
        <w:t>Legal aid</w:t>
      </w:r>
    </w:p>
    <w:p w14:paraId="6CBE41B1" w14:textId="40376977" w:rsidR="009F466A" w:rsidRPr="00DE46F3" w:rsidRDefault="009F466A" w:rsidP="009F466A">
      <w:pPr>
        <w:pStyle w:val="SingleTxt"/>
        <w:spacing w:after="0" w:line="120" w:lineRule="exact"/>
        <w:rPr>
          <w:sz w:val="10"/>
        </w:rPr>
      </w:pPr>
    </w:p>
    <w:p w14:paraId="09486B8C" w14:textId="01D5ABEB" w:rsidR="00332A68" w:rsidRPr="00DE46F3" w:rsidRDefault="009F466A" w:rsidP="009F466A">
      <w:pPr>
        <w:pStyle w:val="SingleTxt"/>
      </w:pPr>
      <w:r w:rsidRPr="00DE46F3">
        <w:t>14.</w:t>
      </w:r>
      <w:r w:rsidRPr="00DE46F3">
        <w:tab/>
      </w:r>
      <w:r w:rsidR="00332A68" w:rsidRPr="00DE46F3">
        <w:t>Public legal aid is provided by the Office of the Public Defender - OPD (Decree-Law N° 10/2017), which is “</w:t>
      </w:r>
      <w:r w:rsidR="00332A68" w:rsidRPr="00DE46F3">
        <w:rPr>
          <w:i/>
          <w:iCs/>
        </w:rPr>
        <w:t>responsible for providing full and free judicial and extrajudicial assistance to citizens who need it due to their economic or social situation</w:t>
      </w:r>
      <w:r w:rsidR="00332A68" w:rsidRPr="00DE46F3">
        <w:t>” (Art. 1.1), covering both civil and criminal matters.</w:t>
      </w:r>
      <w:r w:rsidR="00332A68" w:rsidRPr="00DE46F3">
        <w:rPr>
          <w:vertAlign w:val="superscript"/>
        </w:rPr>
        <w:footnoteReference w:id="20"/>
      </w:r>
    </w:p>
    <w:p w14:paraId="3A528D90" w14:textId="572B28E1" w:rsidR="00332A68" w:rsidRPr="00DE46F3" w:rsidRDefault="009F466A" w:rsidP="009F466A">
      <w:pPr>
        <w:pStyle w:val="SingleTxt"/>
      </w:pPr>
      <w:r w:rsidRPr="00DE46F3">
        <w:t>15.</w:t>
      </w:r>
      <w:r w:rsidRPr="00DE46F3">
        <w:tab/>
      </w:r>
      <w:r w:rsidR="00332A68" w:rsidRPr="00DE46F3">
        <w:t>30 full-time public defenders (5 women) and an additional 5 trainees are currently operating in the 4 judicial districts. In the 2016</w:t>
      </w:r>
      <w:r w:rsidR="004C5DCA" w:rsidRPr="00DE46F3">
        <w:t>–</w:t>
      </w:r>
      <w:r w:rsidR="00332A68" w:rsidRPr="00DE46F3">
        <w:t>2019 period (until October 2019), the civil section of the OPD supported women in 46 cases, all related to divorce. In the same period, the criminal section supported women in 2,796 cases, all related to VAW.</w:t>
      </w:r>
      <w:r w:rsidR="00332A68" w:rsidRPr="00DE46F3">
        <w:rPr>
          <w:vertAlign w:val="superscript"/>
        </w:rPr>
        <w:footnoteReference w:id="21"/>
      </w:r>
      <w:r w:rsidRPr="00DE46F3">
        <w:rPr>
          <w:vertAlign w:val="superscript"/>
        </w:rPr>
        <w:t>,</w:t>
      </w:r>
      <w:r w:rsidR="00332A68" w:rsidRPr="00DE46F3">
        <w:rPr>
          <w:vertAlign w:val="superscript"/>
        </w:rPr>
        <w:footnoteReference w:id="22"/>
      </w:r>
    </w:p>
    <w:p w14:paraId="0C0D8D88" w14:textId="223CA3CC" w:rsidR="00332A68" w:rsidRPr="00DE46F3" w:rsidRDefault="009F466A" w:rsidP="009F466A">
      <w:pPr>
        <w:pStyle w:val="SingleTxt"/>
      </w:pPr>
      <w:r w:rsidRPr="00DE46F3">
        <w:t>16.</w:t>
      </w:r>
      <w:r w:rsidRPr="00DE46F3">
        <w:tab/>
      </w:r>
      <w:r w:rsidR="00332A68" w:rsidRPr="00DE46F3">
        <w:t xml:space="preserve">The Access to Justice Clinics (AJCs) programme, developed in response to the limited access to the formal justice system, especially for rural populations and piloted in 2 judicial districts (Suai and Baucau) since 2016, provides free legal information and consultation services (Decree-Law N° 10/2017 – Art. 22). It is structured as the OPD’s ‘extrajudicial division’ along with the pre-existing civil and criminal divisions. </w:t>
      </w:r>
    </w:p>
    <w:p w14:paraId="7EFB4111" w14:textId="0906DF90" w:rsidR="00332A68" w:rsidRPr="00DE46F3" w:rsidRDefault="009F466A" w:rsidP="009F466A">
      <w:pPr>
        <w:pStyle w:val="SingleTxt"/>
      </w:pPr>
      <w:r w:rsidRPr="00DE46F3">
        <w:t>17.</w:t>
      </w:r>
      <w:r w:rsidRPr="00DE46F3">
        <w:tab/>
      </w:r>
      <w:r w:rsidR="00332A68" w:rsidRPr="00DE46F3">
        <w:t>After a year of implementation, 127 cases were registered by the two AJCs (92 land disputes, 30 other types of civil cases, and 5 criminal cases), benefiting to 251 community members (20 per cent women - likely to reflect the limited ownership of land by women). In the same period, AJCs also directly facilitated 108 mediation cases, 28 cases of which were resolved,</w:t>
      </w:r>
      <w:r w:rsidR="00332A68" w:rsidRPr="00DE46F3">
        <w:rPr>
          <w:vertAlign w:val="superscript"/>
        </w:rPr>
        <w:footnoteReference w:id="23"/>
      </w:r>
      <w:r w:rsidR="00332A68" w:rsidRPr="00DE46F3">
        <w:t xml:space="preserve"> benefiting to 56 community members (32</w:t>
      </w:r>
      <w:r w:rsidR="00DE46F3" w:rsidRPr="00DE46F3">
        <w:t xml:space="preserve"> </w:t>
      </w:r>
      <w:r w:rsidR="00332A68" w:rsidRPr="00DE46F3">
        <w:t>per cent women).</w:t>
      </w:r>
      <w:r w:rsidR="00332A68" w:rsidRPr="00DE46F3">
        <w:rPr>
          <w:vertAlign w:val="superscript"/>
        </w:rPr>
        <w:footnoteReference w:id="24"/>
      </w:r>
      <w:r w:rsidR="00332A68" w:rsidRPr="00DE46F3">
        <w:t xml:space="preserve"> </w:t>
      </w:r>
    </w:p>
    <w:p w14:paraId="07FC1EE4" w14:textId="380D5439" w:rsidR="00332A68" w:rsidRPr="00DE46F3" w:rsidRDefault="00CA3BCB" w:rsidP="00CA3BCB">
      <w:pPr>
        <w:pStyle w:val="SingleTxt"/>
        <w:rPr>
          <w:vertAlign w:val="superscript"/>
        </w:rPr>
      </w:pPr>
      <w:r w:rsidRPr="00DE46F3">
        <w:t>18.</w:t>
      </w:r>
      <w:r w:rsidRPr="00DE46F3">
        <w:tab/>
      </w:r>
      <w:r w:rsidR="00332A68" w:rsidRPr="00DE46F3">
        <w:t>In the framework of the NAP-GBV and the Referral Network, CSOs are also providing important support and free legal aid to women victims of GBV.</w:t>
      </w:r>
      <w:r w:rsidR="00332A68" w:rsidRPr="00DE46F3">
        <w:rPr>
          <w:vertAlign w:val="superscript"/>
        </w:rPr>
        <w:footnoteReference w:id="25"/>
      </w:r>
      <w:r w:rsidRPr="00DE46F3">
        <w:rPr>
          <w:vertAlign w:val="superscript"/>
        </w:rPr>
        <w:t>,</w:t>
      </w:r>
      <w:r w:rsidR="00332A68" w:rsidRPr="00DE46F3">
        <w:rPr>
          <w:vertAlign w:val="superscript"/>
        </w:rPr>
        <w:footnoteReference w:id="26"/>
      </w:r>
    </w:p>
    <w:p w14:paraId="7264CE65" w14:textId="204EE1AB" w:rsidR="004C5DCA" w:rsidRPr="00DE46F3" w:rsidRDefault="004C5DCA" w:rsidP="004C5DCA">
      <w:pPr>
        <w:pStyle w:val="SingleTxt"/>
        <w:spacing w:after="0" w:line="120" w:lineRule="exact"/>
        <w:rPr>
          <w:sz w:val="10"/>
        </w:rPr>
      </w:pPr>
    </w:p>
    <w:p w14:paraId="6E39D217" w14:textId="74FEA669" w:rsidR="00332A68" w:rsidRPr="00DE46F3" w:rsidRDefault="00332A68" w:rsidP="00CA3BCB">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en-GB"/>
        </w:rPr>
      </w:pPr>
      <w:r w:rsidRPr="00DE46F3">
        <w:rPr>
          <w:lang w:val="en-GB"/>
        </w:rPr>
        <w:tab/>
      </w:r>
      <w:r w:rsidRPr="00DE46F3">
        <w:rPr>
          <w:lang w:val="en-GB"/>
        </w:rPr>
        <w:tab/>
        <w:t xml:space="preserve">Human resources and training of justice actors </w:t>
      </w:r>
    </w:p>
    <w:p w14:paraId="68430A58" w14:textId="61336161" w:rsidR="00CA3BCB" w:rsidRPr="00DE46F3" w:rsidRDefault="00CA3BCB" w:rsidP="00CA3BCB">
      <w:pPr>
        <w:pStyle w:val="SingleTxt"/>
        <w:spacing w:after="0" w:line="120" w:lineRule="exact"/>
        <w:rPr>
          <w:sz w:val="10"/>
        </w:rPr>
      </w:pPr>
    </w:p>
    <w:p w14:paraId="3B3D9E36" w14:textId="5A96EF6A" w:rsidR="00332A68" w:rsidRPr="00DE46F3" w:rsidRDefault="00CA3BCB" w:rsidP="009F466A">
      <w:pPr>
        <w:pStyle w:val="SingleTxt"/>
      </w:pPr>
      <w:r w:rsidRPr="00DE46F3">
        <w:t>19.</w:t>
      </w:r>
      <w:r w:rsidRPr="00DE46F3">
        <w:tab/>
      </w:r>
      <w:r w:rsidR="00332A68" w:rsidRPr="00DE46F3">
        <w:t>The Law N°1/2017 establishes a transitional regime for the recruitment of non</w:t>
      </w:r>
      <w:r w:rsidR="009437B0">
        <w:noBreakHyphen/>
      </w:r>
      <w:r w:rsidR="00332A68" w:rsidRPr="00DE46F3">
        <w:t>Timorese magistrates and public defenders</w:t>
      </w:r>
      <w:r w:rsidR="00332A68" w:rsidRPr="00DE46F3">
        <w:rPr>
          <w:vertAlign w:val="superscript"/>
        </w:rPr>
        <w:footnoteReference w:id="27"/>
      </w:r>
      <w:r w:rsidR="00332A68" w:rsidRPr="00DE46F3">
        <w:t xml:space="preserve"> to be mainly integrated in the Legal and Judicial Training Centre (LJTC) as mentors or professors to respond to the qualified judicial human resources challenge, mitigating the Resolutions N° 29/2014 and 32/2014 related to the dismissal of international judges in 2014.</w:t>
      </w:r>
    </w:p>
    <w:p w14:paraId="45EB6026" w14:textId="0E87A360" w:rsidR="00332A68" w:rsidRPr="00DE46F3" w:rsidRDefault="00CA3BCB" w:rsidP="009F466A">
      <w:pPr>
        <w:pStyle w:val="SingleTxt"/>
      </w:pPr>
      <w:r w:rsidRPr="00DE46F3">
        <w:t>20.</w:t>
      </w:r>
      <w:r w:rsidRPr="00DE46F3">
        <w:tab/>
      </w:r>
      <w:r w:rsidR="00332A68" w:rsidRPr="00DE46F3">
        <w:t>The MoJ signed in 2016 a new co-operation protocol with the Government of Portugal on the renewal of assistance to the justice sector which allowed for the re</w:t>
      </w:r>
      <w:r w:rsidR="00715887" w:rsidRPr="00DE46F3">
        <w:noBreakHyphen/>
      </w:r>
      <w:r w:rsidR="00332A68" w:rsidRPr="00DE46F3">
        <w:t>opening of the LJTC. At the time of writing, 6 international trainers and mentors are teaching in the LJTC (50 per cent women).</w:t>
      </w:r>
      <w:r w:rsidR="00332A68" w:rsidRPr="00DE46F3">
        <w:rPr>
          <w:vertAlign w:val="superscript"/>
        </w:rPr>
        <w:footnoteReference w:id="28"/>
      </w:r>
      <w:r w:rsidR="00332A68" w:rsidRPr="00DE46F3">
        <w:t xml:space="preserve"> The new statutes of the LJTC also make clear that the objective of recruiting international trainers is a transitional mechanism to train local human resources and strengthen the sustainability of the justice system.</w:t>
      </w:r>
      <w:r w:rsidR="00332A68" w:rsidRPr="00DE46F3">
        <w:rPr>
          <w:vertAlign w:val="superscript"/>
        </w:rPr>
        <w:footnoteReference w:id="29"/>
      </w:r>
      <w:r w:rsidR="00332A68" w:rsidRPr="00DE46F3">
        <w:t xml:space="preserve"> </w:t>
      </w:r>
    </w:p>
    <w:p w14:paraId="71D4662C" w14:textId="7BA93923" w:rsidR="00332A68" w:rsidRPr="00DE46F3" w:rsidRDefault="00CA3BCB" w:rsidP="009F466A">
      <w:pPr>
        <w:pStyle w:val="SingleTxt"/>
      </w:pPr>
      <w:r w:rsidRPr="00DE46F3">
        <w:t>21.</w:t>
      </w:r>
      <w:r w:rsidRPr="00DE46F3">
        <w:tab/>
      </w:r>
      <w:r w:rsidR="00332A68" w:rsidRPr="00DE46F3">
        <w:t>The number of judges now reaches 35 (40 per cent women), the number of Tribunal’s Auditors reaches 30 (27 per cent women) and the number of Justice Officials/Court Clerks reaches 86 (27 per cent women).</w:t>
      </w:r>
      <w:r w:rsidR="00332A68" w:rsidRPr="00DE46F3">
        <w:rPr>
          <w:vertAlign w:val="superscript"/>
        </w:rPr>
        <w:footnoteReference w:id="30"/>
      </w:r>
      <w:r w:rsidR="00332A68" w:rsidRPr="00DE46F3">
        <w:t xml:space="preserve"> It is due to increase after the graduation of the 13 new trainees of the 6</w:t>
      </w:r>
      <w:r w:rsidR="00332A68" w:rsidRPr="00DE46F3">
        <w:rPr>
          <w:vertAlign w:val="superscript"/>
        </w:rPr>
        <w:t>th</w:t>
      </w:r>
      <w:r w:rsidR="00332A68" w:rsidRPr="00DE46F3">
        <w:t xml:space="preserve"> LJTC course in December 2019. Moreover, the number of private lawyers has increased to 132 professionals.</w:t>
      </w:r>
      <w:r w:rsidR="00332A68" w:rsidRPr="00DE46F3">
        <w:rPr>
          <w:vertAlign w:val="superscript"/>
        </w:rPr>
        <w:footnoteReference w:id="31"/>
      </w:r>
      <w:r w:rsidR="00332A68" w:rsidRPr="00DE46F3">
        <w:t xml:space="preserve"> </w:t>
      </w:r>
    </w:p>
    <w:p w14:paraId="7C60940D" w14:textId="7ADF0A8B" w:rsidR="00332A68" w:rsidRPr="00DE46F3" w:rsidRDefault="00CA3BCB" w:rsidP="009F466A">
      <w:pPr>
        <w:pStyle w:val="SingleTxt"/>
      </w:pPr>
      <w:r w:rsidRPr="00DE46F3">
        <w:t>22.</w:t>
      </w:r>
      <w:r w:rsidRPr="00DE46F3">
        <w:tab/>
      </w:r>
      <w:r w:rsidR="00332A68" w:rsidRPr="00DE46F3">
        <w:t>A specific gender training for judges was organized and delivered by UN Women in October 2015. The Women Machinery</w:t>
      </w:r>
      <w:r w:rsidR="00332A68" w:rsidRPr="00DE46F3">
        <w:rPr>
          <w:vertAlign w:val="superscript"/>
        </w:rPr>
        <w:footnoteReference w:id="32"/>
      </w:r>
      <w:r w:rsidR="00332A68" w:rsidRPr="00DE46F3">
        <w:t xml:space="preserve"> took over this responsibility in 2017 for the 6th Course, providing a 4 days training as part of the complementary trainings to 35 private lawyers (20 per cent women) in 2017.</w:t>
      </w:r>
      <w:r w:rsidR="00332A68" w:rsidRPr="00DE46F3">
        <w:rPr>
          <w:vertAlign w:val="superscript"/>
        </w:rPr>
        <w:footnoteReference w:id="33"/>
      </w:r>
    </w:p>
    <w:p w14:paraId="201CB07C" w14:textId="1D811771" w:rsidR="00332A68" w:rsidRPr="00DE46F3" w:rsidRDefault="00CA3BCB" w:rsidP="009F466A">
      <w:pPr>
        <w:pStyle w:val="SingleTxt"/>
      </w:pPr>
      <w:r w:rsidRPr="00DE46F3">
        <w:t>23.</w:t>
      </w:r>
      <w:r w:rsidRPr="00DE46F3">
        <w:tab/>
      </w:r>
      <w:r w:rsidR="00332A68" w:rsidRPr="00DE46F3">
        <w:t>It has been observed since 2015 that direct references to CEDAW by judges in GBV and sexual violence cases has increased.</w:t>
      </w:r>
      <w:r w:rsidR="00332A68" w:rsidRPr="00DE46F3">
        <w:rPr>
          <w:sz w:val="18"/>
          <w:vertAlign w:val="superscript"/>
        </w:rPr>
        <w:footnoteReference w:id="34"/>
      </w:r>
      <w:r w:rsidR="00332A68" w:rsidRPr="00DE46F3">
        <w:t xml:space="preserve"> Also, JSMP observed since 2016 that discriminatory comments or decisions against women have decreased and efforts from the courts to process pending GBV cases from previous years and ensuring new cases are processed in timely manner were praised.</w:t>
      </w:r>
      <w:r w:rsidR="00332A68" w:rsidRPr="00DE46F3">
        <w:rPr>
          <w:vertAlign w:val="superscript"/>
        </w:rPr>
        <w:footnoteReference w:id="35"/>
      </w:r>
    </w:p>
    <w:p w14:paraId="7C6D0F82" w14:textId="7EF8D6AC" w:rsidR="00CA3BCB" w:rsidRPr="00DE46F3" w:rsidRDefault="00CA3BCB" w:rsidP="00CA3BCB">
      <w:pPr>
        <w:pStyle w:val="SingleTxt"/>
        <w:spacing w:after="0" w:line="120" w:lineRule="exact"/>
        <w:rPr>
          <w:sz w:val="10"/>
        </w:rPr>
      </w:pPr>
    </w:p>
    <w:p w14:paraId="07AB3EF8" w14:textId="69FEB1B5" w:rsidR="00332A68" w:rsidRPr="00DE46F3" w:rsidRDefault="00332A68" w:rsidP="00BC7C6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bookmarkStart w:id="7" w:name="_Hlk20721478"/>
      <w:r w:rsidRPr="00DE46F3">
        <w:rPr>
          <w:lang w:val="en-GB"/>
        </w:rPr>
        <w:tab/>
      </w:r>
      <w:r w:rsidRPr="00DE46F3">
        <w:rPr>
          <w:lang w:val="en-GB"/>
        </w:rPr>
        <w:tab/>
        <w:t>Enhancement of women’s awareness of their rights and legal literacy</w:t>
      </w:r>
      <w:bookmarkEnd w:id="7"/>
    </w:p>
    <w:p w14:paraId="6AF46A42" w14:textId="3D9D4955" w:rsidR="00BC7C6D" w:rsidRPr="00DE46F3" w:rsidRDefault="00BC7C6D" w:rsidP="00BC7C6D">
      <w:pPr>
        <w:pStyle w:val="SingleTxt"/>
        <w:spacing w:after="0" w:line="120" w:lineRule="exact"/>
        <w:rPr>
          <w:sz w:val="10"/>
        </w:rPr>
      </w:pPr>
    </w:p>
    <w:p w14:paraId="4F9B733B" w14:textId="719F89BC" w:rsidR="00332A68" w:rsidRPr="00DE46F3" w:rsidRDefault="00BC7C6D" w:rsidP="00CA3BCB">
      <w:pPr>
        <w:pStyle w:val="SingleTxt"/>
      </w:pPr>
      <w:r w:rsidRPr="00DE46F3">
        <w:t>24.</w:t>
      </w:r>
      <w:r w:rsidRPr="00DE46F3">
        <w:tab/>
      </w:r>
      <w:r w:rsidR="00332A68" w:rsidRPr="00DE46F3">
        <w:t>In addition to the ACJ legal information outreach,</w:t>
      </w:r>
      <w:r w:rsidR="00332A68" w:rsidRPr="00DE46F3">
        <w:rPr>
          <w:vertAlign w:val="superscript"/>
        </w:rPr>
        <w:footnoteReference w:id="36"/>
      </w:r>
      <w:r w:rsidR="00332A68" w:rsidRPr="00DE46F3">
        <w:t xml:space="preserve"> Government</w:t>
      </w:r>
      <w:r w:rsidR="00332A68" w:rsidRPr="00DE46F3">
        <w:rPr>
          <w:vertAlign w:val="superscript"/>
        </w:rPr>
        <w:footnoteReference w:id="37"/>
      </w:r>
      <w:r w:rsidR="00332A68" w:rsidRPr="00DE46F3">
        <w:t xml:space="preserve"> and State Institutions such as PDHJ are implementing legal literacy campaigns at community level on various topics. The annually celebrated 16 days campaign of activism against VAW also contributes to wide-spread advocacy on GBV issue.</w:t>
      </w:r>
      <w:r w:rsidR="00332A68" w:rsidRPr="00DE46F3">
        <w:rPr>
          <w:vertAlign w:val="superscript"/>
        </w:rPr>
        <w:footnoteReference w:id="38"/>
      </w:r>
    </w:p>
    <w:p w14:paraId="1073E3F1" w14:textId="48FC44BB" w:rsidR="00BC7C6D" w:rsidRPr="00DE46F3" w:rsidRDefault="00BC7C6D" w:rsidP="00BC7C6D">
      <w:pPr>
        <w:pStyle w:val="SingleTxt"/>
        <w:spacing w:after="0" w:line="120" w:lineRule="exact"/>
        <w:rPr>
          <w:sz w:val="10"/>
        </w:rPr>
      </w:pPr>
    </w:p>
    <w:p w14:paraId="19A06EAF" w14:textId="639CA274" w:rsidR="00332A68" w:rsidRPr="00DE46F3" w:rsidRDefault="00332A68" w:rsidP="009F466A">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en-GB"/>
        </w:rPr>
      </w:pPr>
      <w:bookmarkStart w:id="8" w:name="_Hlk20721900"/>
      <w:r w:rsidRPr="00DE46F3">
        <w:rPr>
          <w:lang w:val="en-GB"/>
        </w:rPr>
        <w:tab/>
      </w:r>
      <w:r w:rsidRPr="00DE46F3">
        <w:rPr>
          <w:lang w:val="en-GB"/>
        </w:rPr>
        <w:tab/>
        <w:t>Resources allocated to enhance access to formal justice</w:t>
      </w:r>
      <w:bookmarkEnd w:id="8"/>
    </w:p>
    <w:p w14:paraId="0B113035" w14:textId="0DA79EAD" w:rsidR="009F466A" w:rsidRPr="00DE46F3" w:rsidRDefault="009F466A" w:rsidP="009F466A">
      <w:pPr>
        <w:pStyle w:val="SingleTxt"/>
        <w:spacing w:after="0" w:line="120" w:lineRule="exact"/>
        <w:rPr>
          <w:sz w:val="10"/>
        </w:rPr>
      </w:pPr>
    </w:p>
    <w:p w14:paraId="3AC2F7A8" w14:textId="439621E8" w:rsidR="00332A68" w:rsidRPr="00DE46F3" w:rsidRDefault="00BC7C6D" w:rsidP="00332A68">
      <w:pPr>
        <w:pStyle w:val="SingleTxt"/>
      </w:pPr>
      <w:r w:rsidRPr="00DE46F3">
        <w:t>25.</w:t>
      </w:r>
      <w:r w:rsidRPr="00DE46F3">
        <w:tab/>
      </w:r>
      <w:r w:rsidR="00332A68" w:rsidRPr="00DE46F3">
        <w:t>In 2015, an increase in the justice budget allocation (21 per cent)</w:t>
      </w:r>
      <w:r w:rsidR="00332A68" w:rsidRPr="00DE46F3">
        <w:rPr>
          <w:vertAlign w:val="superscript"/>
        </w:rPr>
        <w:footnoteReference w:id="39"/>
      </w:r>
      <w:r w:rsidR="00332A68" w:rsidRPr="00DE46F3">
        <w:t xml:space="preserve"> allowed for material and infrastructure improvements of districts courts such as </w:t>
      </w:r>
      <w:bookmarkStart w:id="9" w:name="_Hlk20722031"/>
      <w:r w:rsidR="00332A68" w:rsidRPr="00DE46F3">
        <w:t>the building of a specific room in the Oecusse district court</w:t>
      </w:r>
      <w:bookmarkEnd w:id="9"/>
      <w:r w:rsidR="00332A68" w:rsidRPr="00DE46F3">
        <w:t xml:space="preserve"> for victims to privately consult with their lawyers and remain separated from the defendant. Material improvement included </w:t>
      </w:r>
      <w:r w:rsidR="00332A68" w:rsidRPr="00DE46F3">
        <w:rPr>
          <w:i/>
          <w:iCs/>
        </w:rPr>
        <w:t>inter alia</w:t>
      </w:r>
      <w:r w:rsidR="00332A68" w:rsidRPr="00DE46F3">
        <w:t xml:space="preserve"> the procurement of additional cars facilitating mobile court proceedings.</w:t>
      </w:r>
    </w:p>
    <w:p w14:paraId="64A3B7D4" w14:textId="684389AA" w:rsidR="00332A68" w:rsidRPr="00DE46F3" w:rsidRDefault="00BC7C6D" w:rsidP="00332A68">
      <w:pPr>
        <w:pStyle w:val="SingleTxt"/>
      </w:pPr>
      <w:r w:rsidRPr="00DE46F3">
        <w:t>26.</w:t>
      </w:r>
      <w:r w:rsidRPr="00DE46F3">
        <w:tab/>
      </w:r>
      <w:r w:rsidR="00332A68" w:rsidRPr="00DE46F3">
        <w:t>While substantial financial resources were allocated to District Courts in the 2016-2019 period</w:t>
      </w:r>
      <w:r w:rsidR="00332A68" w:rsidRPr="00DE46F3">
        <w:rPr>
          <w:vertAlign w:val="superscript"/>
        </w:rPr>
        <w:footnoteReference w:id="40"/>
      </w:r>
      <w:r w:rsidR="00332A68" w:rsidRPr="00DE46F3">
        <w:t xml:space="preserve"> in order to maintain the accessibility of the formal justice system in rural areas, no significant infrastructure improvement was achieved in this period.</w:t>
      </w:r>
    </w:p>
    <w:p w14:paraId="02052E55" w14:textId="0A0C3066" w:rsidR="00BC7C6D" w:rsidRPr="00DE46F3" w:rsidRDefault="00BC7C6D" w:rsidP="00BC7C6D">
      <w:pPr>
        <w:pStyle w:val="SingleTxt"/>
        <w:spacing w:after="0" w:line="120" w:lineRule="exact"/>
        <w:rPr>
          <w:sz w:val="10"/>
        </w:rPr>
      </w:pPr>
    </w:p>
    <w:p w14:paraId="10A963FE" w14:textId="6262E324" w:rsidR="00BC7C6D" w:rsidRPr="00DE46F3" w:rsidRDefault="00BC7C6D" w:rsidP="00BC7C6D">
      <w:pPr>
        <w:pStyle w:val="SingleTxt"/>
        <w:spacing w:after="0" w:line="120" w:lineRule="exact"/>
        <w:rPr>
          <w:sz w:val="10"/>
        </w:rPr>
      </w:pPr>
    </w:p>
    <w:p w14:paraId="77D02B03" w14:textId="77777777" w:rsidR="00332A68" w:rsidRPr="00DE46F3" w:rsidRDefault="00332A68" w:rsidP="00BC7C6D">
      <w:pPr>
        <w:pStyle w:val="HCh"/>
        <w:tabs>
          <w:tab w:val="clear" w:pos="1742"/>
        </w:tabs>
        <w:ind w:left="1267" w:hanging="1267"/>
      </w:pPr>
      <w:bookmarkStart w:id="10" w:name="_Toc10641659"/>
      <w:bookmarkStart w:id="11" w:name="_Hlk20722099"/>
      <w:bookmarkStart w:id="12" w:name="_Toc25630029"/>
      <w:r w:rsidRPr="00DE46F3">
        <w:tab/>
      </w:r>
      <w:r w:rsidRPr="00DE46F3">
        <w:tab/>
        <w:t>Article 3: Measures to Develop and Advance Women</w:t>
      </w:r>
      <w:bookmarkEnd w:id="10"/>
      <w:bookmarkEnd w:id="11"/>
      <w:bookmarkEnd w:id="12"/>
    </w:p>
    <w:p w14:paraId="7F9E35AB" w14:textId="737DD2DC" w:rsidR="00BC7C6D" w:rsidRPr="00DE46F3" w:rsidRDefault="00BC7C6D" w:rsidP="00BC7C6D">
      <w:pPr>
        <w:pStyle w:val="SingleTxt"/>
        <w:spacing w:after="0" w:line="120" w:lineRule="exact"/>
        <w:rPr>
          <w:sz w:val="10"/>
        </w:rPr>
      </w:pPr>
      <w:bookmarkStart w:id="13" w:name="_Hlk20722117"/>
    </w:p>
    <w:p w14:paraId="3D0F37EF" w14:textId="0BE1A8F7" w:rsidR="00BC7C6D" w:rsidRPr="00DE46F3" w:rsidRDefault="00BC7C6D" w:rsidP="00BC7C6D">
      <w:pPr>
        <w:pStyle w:val="SingleTxt"/>
        <w:spacing w:after="0" w:line="120" w:lineRule="exact"/>
        <w:rPr>
          <w:sz w:val="10"/>
        </w:rPr>
      </w:pPr>
    </w:p>
    <w:p w14:paraId="080EFA9E" w14:textId="4E78C7A6" w:rsidR="00332A68" w:rsidRPr="00DE46F3" w:rsidRDefault="00332A68" w:rsidP="00BC7C6D">
      <w:pPr>
        <w:pStyle w:val="H1"/>
        <w:ind w:right="1260"/>
      </w:pPr>
      <w:r w:rsidRPr="00DE46F3">
        <w:tab/>
      </w:r>
      <w:r w:rsidRPr="00DE46F3">
        <w:tab/>
        <w:t>National Women Machinery’s resources</w:t>
      </w:r>
    </w:p>
    <w:p w14:paraId="0A8FFD94" w14:textId="50FFDB2D" w:rsidR="00BC7C6D" w:rsidRPr="00DE46F3" w:rsidRDefault="00BC7C6D" w:rsidP="00BC7C6D">
      <w:pPr>
        <w:pStyle w:val="SingleTxt"/>
        <w:spacing w:after="0" w:line="120" w:lineRule="exact"/>
        <w:rPr>
          <w:sz w:val="10"/>
        </w:rPr>
      </w:pPr>
    </w:p>
    <w:p w14:paraId="028820F9" w14:textId="3C4595B6" w:rsidR="00BC7C6D" w:rsidRPr="00DE46F3" w:rsidRDefault="00BC7C6D" w:rsidP="00BC7C6D">
      <w:pPr>
        <w:pStyle w:val="SingleTxt"/>
        <w:spacing w:after="0" w:line="120" w:lineRule="exact"/>
        <w:rPr>
          <w:sz w:val="10"/>
        </w:rPr>
      </w:pPr>
    </w:p>
    <w:bookmarkEnd w:id="13"/>
    <w:p w14:paraId="41B141DC" w14:textId="501594D5" w:rsidR="00332A68" w:rsidRPr="00DE46F3" w:rsidRDefault="00BC7C6D" w:rsidP="00332A68">
      <w:pPr>
        <w:pStyle w:val="SingleTxt"/>
      </w:pPr>
      <w:r w:rsidRPr="00DE46F3">
        <w:t>27.</w:t>
      </w:r>
      <w:r w:rsidRPr="00DE46F3">
        <w:tab/>
      </w:r>
      <w:r w:rsidR="00332A68" w:rsidRPr="00DE46F3">
        <w:t>Please refer to the 2018 Follow-up State Party report for comprehensive information regarding the National Women Machinery’s resources for the 2015</w:t>
      </w:r>
      <w:r w:rsidRPr="00DE46F3">
        <w:t>–</w:t>
      </w:r>
      <w:r w:rsidR="00332A68" w:rsidRPr="00DE46F3">
        <w:t>2018 period.</w:t>
      </w:r>
    </w:p>
    <w:p w14:paraId="4838732E" w14:textId="4F64A4DD" w:rsidR="00332A68" w:rsidRPr="00DE46F3" w:rsidRDefault="00BC7C6D" w:rsidP="00332A68">
      <w:pPr>
        <w:pStyle w:val="SingleTxt"/>
      </w:pPr>
      <w:r w:rsidRPr="00DE46F3">
        <w:t>28.</w:t>
      </w:r>
      <w:r w:rsidRPr="00DE46F3">
        <w:tab/>
      </w:r>
      <w:r w:rsidR="00332A68" w:rsidRPr="00DE46F3">
        <w:t>Efforts to improve the technical capacity of Gender Working Groups (GWG) toward a better implementation of gender mainstreaming principles, especially into budgeting and Annual Action Plans (AAPs), was implemented mainly between 2015 and 2017 through trainings reaching 369 public servants (60 per cent women).</w:t>
      </w:r>
      <w:r w:rsidR="00332A68" w:rsidRPr="00DE46F3">
        <w:rPr>
          <w:vertAlign w:val="superscript"/>
        </w:rPr>
        <w:footnoteReference w:id="41"/>
      </w:r>
    </w:p>
    <w:p w14:paraId="38A798E2" w14:textId="62124696" w:rsidR="00332A68" w:rsidRPr="00DE46F3" w:rsidRDefault="00BC7C6D" w:rsidP="00332A68">
      <w:pPr>
        <w:pStyle w:val="SingleTxt"/>
      </w:pPr>
      <w:r w:rsidRPr="00DE46F3">
        <w:t>29.</w:t>
      </w:r>
      <w:r w:rsidRPr="00DE46F3">
        <w:tab/>
      </w:r>
      <w:r w:rsidR="00332A68" w:rsidRPr="00DE46F3">
        <w:t>A general gender training is being developed by SEII in collaboration with the National Institute of Public Administration (INAP) for the dissemination of gender principles within the Government. A manual was already developed, and trainings are expected to begin by 2020.</w:t>
      </w:r>
    </w:p>
    <w:p w14:paraId="722AD7FC" w14:textId="70ACC32C" w:rsidR="00BC7C6D" w:rsidRPr="00DE46F3" w:rsidRDefault="00BC7C6D" w:rsidP="00BC7C6D">
      <w:pPr>
        <w:pStyle w:val="SingleTxt"/>
        <w:spacing w:after="0" w:line="120" w:lineRule="exact"/>
        <w:rPr>
          <w:sz w:val="10"/>
        </w:rPr>
      </w:pPr>
    </w:p>
    <w:p w14:paraId="2EC86D17" w14:textId="5A0DD9CE" w:rsidR="00BC7C6D" w:rsidRPr="00DE46F3" w:rsidRDefault="00BC7C6D" w:rsidP="00BC7C6D">
      <w:pPr>
        <w:pStyle w:val="SingleTxt"/>
        <w:spacing w:after="0" w:line="120" w:lineRule="exact"/>
        <w:rPr>
          <w:sz w:val="10"/>
        </w:rPr>
      </w:pPr>
    </w:p>
    <w:p w14:paraId="10A0E288" w14:textId="5F09D088" w:rsidR="00332A68" w:rsidRPr="00DE46F3" w:rsidRDefault="00332A68" w:rsidP="00BC7C6D">
      <w:pPr>
        <w:pStyle w:val="H1"/>
        <w:ind w:right="1260"/>
      </w:pPr>
      <w:r w:rsidRPr="00DE46F3">
        <w:tab/>
      </w:r>
      <w:r w:rsidRPr="00DE46F3">
        <w:tab/>
        <w:t>Monitoring mechanism of strategic plans on women’s rights and gender equality</w:t>
      </w:r>
    </w:p>
    <w:p w14:paraId="1691D0CB" w14:textId="7303B7FC" w:rsidR="00BC7C6D" w:rsidRPr="00DE46F3" w:rsidRDefault="00BC7C6D" w:rsidP="00BC7C6D">
      <w:pPr>
        <w:pStyle w:val="SingleTxt"/>
        <w:spacing w:after="0" w:line="120" w:lineRule="exact"/>
        <w:rPr>
          <w:sz w:val="10"/>
        </w:rPr>
      </w:pPr>
    </w:p>
    <w:p w14:paraId="70B6403F" w14:textId="1ACB9AEA" w:rsidR="00BC7C6D" w:rsidRPr="00DE46F3" w:rsidRDefault="00BC7C6D" w:rsidP="00BC7C6D">
      <w:pPr>
        <w:pStyle w:val="SingleTxt"/>
        <w:spacing w:after="0" w:line="120" w:lineRule="exact"/>
        <w:rPr>
          <w:sz w:val="10"/>
        </w:rPr>
      </w:pPr>
    </w:p>
    <w:p w14:paraId="071F3960" w14:textId="53C09C35" w:rsidR="00332A68" w:rsidRPr="00DE46F3" w:rsidRDefault="00BC7C6D" w:rsidP="00BC7C6D">
      <w:pPr>
        <w:pStyle w:val="SingleTxt"/>
      </w:pPr>
      <w:r w:rsidRPr="00DE46F3">
        <w:t>30.</w:t>
      </w:r>
      <w:r w:rsidRPr="00DE46F3">
        <w:tab/>
      </w:r>
      <w:r w:rsidR="00332A68" w:rsidRPr="00DE46F3">
        <w:t>Progress has been made to monitor public allocations for gender equality. The creation of a Planning, Monitoring and Evaluation Unit (UPMA) under the Prime Minister’s Office through the Decree-Law N°22/2015 has been an important achievement in this view. UPMA is the monitoring mechanism to track Government implementation and investment via the ‘Road to the Future’ (</w:t>
      </w:r>
      <w:r w:rsidR="00332A68" w:rsidRPr="00DE46F3">
        <w:rPr>
          <w:i/>
          <w:iCs/>
        </w:rPr>
        <w:t>Dalan Ba Futuru</w:t>
      </w:r>
      <w:r w:rsidR="00332A68" w:rsidRPr="00DE46F3">
        <w:t>) database. In the framework of the Program Finance Management (PFM) reform, the development of a programme budgeting approach contributes to strengthen the Gender-Responsive Budgeting (GRB) system initiated since 2007.</w:t>
      </w:r>
    </w:p>
    <w:p w14:paraId="53E8D3AB" w14:textId="550003C5" w:rsidR="00332A68" w:rsidRPr="00DE46F3" w:rsidRDefault="00BC7C6D" w:rsidP="00BC7C6D">
      <w:pPr>
        <w:pStyle w:val="SingleTxt"/>
      </w:pPr>
      <w:r w:rsidRPr="00DE46F3">
        <w:t>31.</w:t>
      </w:r>
      <w:r w:rsidRPr="00DE46F3">
        <w:tab/>
      </w:r>
      <w:r w:rsidR="00332A68" w:rsidRPr="00DE46F3">
        <w:t>A gender marker system is now included in the Government Financial Management Information System (FMIS) to facilitate the tracking of funds expended for the promotion of gender equality. While, the mechanism is still in development, UPMA and SEII already started to analyse line ministries’ quarterly reports submitted to Parliament. According to the 2019 1</w:t>
      </w:r>
      <w:r w:rsidR="00332A68" w:rsidRPr="00DE46F3">
        <w:rPr>
          <w:vertAlign w:val="superscript"/>
        </w:rPr>
        <w:t>st</w:t>
      </w:r>
      <w:r w:rsidR="00332A68" w:rsidRPr="00DE46F3">
        <w:t xml:space="preserve"> trimester report, 16 per cent of the executed budget by the Government directly contributed to gender equality.</w:t>
      </w:r>
      <w:r w:rsidR="00332A68" w:rsidRPr="00DE46F3">
        <w:rPr>
          <w:vertAlign w:val="superscript"/>
        </w:rPr>
        <w:footnoteReference w:id="42"/>
      </w:r>
    </w:p>
    <w:p w14:paraId="260D1F04" w14:textId="5F2B7D53" w:rsidR="00332A68" w:rsidRPr="00DE46F3" w:rsidRDefault="00BC7C6D" w:rsidP="00BC7C6D">
      <w:pPr>
        <w:pStyle w:val="SingleTxt"/>
      </w:pPr>
      <w:r w:rsidRPr="00DE46F3">
        <w:t>32.</w:t>
      </w:r>
      <w:r w:rsidRPr="00DE46F3">
        <w:tab/>
      </w:r>
      <w:r w:rsidR="00332A68" w:rsidRPr="00DE46F3">
        <w:t>SEII, in coordination with UPMA and DFAT is also analysing the AAPs of most Government institutions and municipalities, incorporating indicators disaggregated by sex where relevant. 67 Government institutions’ AAPs, in addition to all municipalities’ AAP were analysed for 2020.</w:t>
      </w:r>
    </w:p>
    <w:p w14:paraId="606B9266" w14:textId="061FE7E8" w:rsidR="00332A68" w:rsidRPr="00DE46F3" w:rsidRDefault="00BC7C6D" w:rsidP="00BC7C6D">
      <w:pPr>
        <w:pStyle w:val="SingleTxt"/>
      </w:pPr>
      <w:r w:rsidRPr="00DE46F3">
        <w:t>33.</w:t>
      </w:r>
      <w:r w:rsidRPr="00DE46F3">
        <w:tab/>
      </w:r>
      <w:r w:rsidR="00332A68" w:rsidRPr="00DE46F3">
        <w:t>Moreover, SEII is an observer to the Budget Review Committee ensuring that all ministries and agencies allocate enough resources for gender equality as part of their overall budget submissions.</w:t>
      </w:r>
      <w:r w:rsidR="00332A68" w:rsidRPr="00DE46F3">
        <w:rPr>
          <w:vertAlign w:val="superscript"/>
        </w:rPr>
        <w:footnoteReference w:id="43"/>
      </w:r>
      <w:r w:rsidR="00332A68" w:rsidRPr="00DE46F3">
        <w:t xml:space="preserve"> Specific attention is given to the planning, budgeting and implementation of the 3 major gender policies at national level.</w:t>
      </w:r>
      <w:r w:rsidR="00332A68" w:rsidRPr="00DE46F3">
        <w:rPr>
          <w:vertAlign w:val="superscript"/>
        </w:rPr>
        <w:footnoteReference w:id="44"/>
      </w:r>
    </w:p>
    <w:p w14:paraId="11106CA7" w14:textId="3E24ED14" w:rsidR="00D912EB" w:rsidRPr="00DE46F3" w:rsidRDefault="00D912EB" w:rsidP="00D912EB">
      <w:pPr>
        <w:pStyle w:val="SingleTxt"/>
        <w:spacing w:after="0" w:line="120" w:lineRule="exact"/>
        <w:rPr>
          <w:sz w:val="10"/>
        </w:rPr>
      </w:pPr>
    </w:p>
    <w:p w14:paraId="29A7EAC3" w14:textId="29E61428" w:rsidR="00D912EB" w:rsidRPr="00DE46F3" w:rsidRDefault="00D912EB" w:rsidP="00D912EB">
      <w:pPr>
        <w:pStyle w:val="SingleTxt"/>
        <w:spacing w:after="0" w:line="120" w:lineRule="exact"/>
        <w:rPr>
          <w:sz w:val="10"/>
        </w:rPr>
      </w:pPr>
    </w:p>
    <w:p w14:paraId="19DC4ADE" w14:textId="7F180760" w:rsidR="00332A68" w:rsidRPr="00DE46F3" w:rsidRDefault="00332A68" w:rsidP="00D912EB">
      <w:pPr>
        <w:pStyle w:val="H1"/>
        <w:ind w:right="1260"/>
      </w:pPr>
      <w:r w:rsidRPr="00DE46F3">
        <w:tab/>
      </w:r>
      <w:r w:rsidRPr="00DE46F3">
        <w:tab/>
        <w:t>Collection of gender-disaggregated data to assess the impact of GRB and programmes on women</w:t>
      </w:r>
    </w:p>
    <w:p w14:paraId="57DFEFA6" w14:textId="44F9A439" w:rsidR="00D912EB" w:rsidRPr="00DE46F3" w:rsidRDefault="00D912EB" w:rsidP="00D912EB">
      <w:pPr>
        <w:pStyle w:val="SingleTxt"/>
        <w:spacing w:after="0" w:line="120" w:lineRule="exact"/>
        <w:rPr>
          <w:sz w:val="10"/>
        </w:rPr>
      </w:pPr>
    </w:p>
    <w:p w14:paraId="381DEE48" w14:textId="6F4B163F" w:rsidR="00D912EB" w:rsidRPr="00DE46F3" w:rsidRDefault="00D912EB" w:rsidP="00D912EB">
      <w:pPr>
        <w:pStyle w:val="SingleTxt"/>
        <w:spacing w:after="0" w:line="120" w:lineRule="exact"/>
        <w:rPr>
          <w:sz w:val="10"/>
        </w:rPr>
      </w:pPr>
    </w:p>
    <w:p w14:paraId="3330EB22" w14:textId="5353445F" w:rsidR="00332A68" w:rsidRPr="00DE46F3" w:rsidRDefault="00D912EB" w:rsidP="00D912EB">
      <w:pPr>
        <w:pStyle w:val="SingleTxt"/>
      </w:pPr>
      <w:r w:rsidRPr="00DE46F3">
        <w:t>34.</w:t>
      </w:r>
      <w:r w:rsidRPr="00DE46F3">
        <w:tab/>
      </w:r>
      <w:r w:rsidR="00332A68" w:rsidRPr="00DE46F3">
        <w:t>The General Directorate of Statistics (GDS), supported by international partners, has been increasing the availability of sex-disaggregated data in all of its publications, and gender-specific analyses have been published for most of the recent census and surveys conducted by the GDS.</w:t>
      </w:r>
    </w:p>
    <w:p w14:paraId="76B951F0" w14:textId="07A73B1D" w:rsidR="00332A68" w:rsidRPr="00DE46F3" w:rsidRDefault="00D912EB" w:rsidP="00D912EB">
      <w:pPr>
        <w:pStyle w:val="SingleTxt"/>
      </w:pPr>
      <w:r w:rsidRPr="00DE46F3">
        <w:t>35.</w:t>
      </w:r>
      <w:r w:rsidRPr="00DE46F3">
        <w:tab/>
      </w:r>
      <w:r w:rsidR="00332A68" w:rsidRPr="00DE46F3">
        <w:t>On the administrative side, the 2017 Gender-Responsive Budgeting (GRB) policy note, developed with international support, and guiding the implementation of gender mainstreaming within the PFM reform, provides for the development of a solid system for collecting gender statistics and data by line ministries toward strengthening a performance orientation of the Government’s action.</w:t>
      </w:r>
      <w:r w:rsidR="00332A68" w:rsidRPr="00DE46F3">
        <w:rPr>
          <w:vertAlign w:val="superscript"/>
        </w:rPr>
        <w:footnoteReference w:id="45"/>
      </w:r>
      <w:r w:rsidR="00332A68" w:rsidRPr="00DE46F3">
        <w:t xml:space="preserve"> The development of the State FMIS and the ‘</w:t>
      </w:r>
      <w:r w:rsidR="00332A68" w:rsidRPr="00DE46F3">
        <w:rPr>
          <w:i/>
          <w:iCs/>
        </w:rPr>
        <w:t>Dalan ba Futuru</w:t>
      </w:r>
      <w:r w:rsidR="00332A68" w:rsidRPr="00DE46F3">
        <w:t>’ database are expected to facilitate this process by making accountable all public institutions on the implementation of their commitments within their sector.</w:t>
      </w:r>
      <w:r w:rsidR="00332A68" w:rsidRPr="00DE46F3">
        <w:rPr>
          <w:vertAlign w:val="superscript"/>
        </w:rPr>
        <w:footnoteReference w:id="46"/>
      </w:r>
    </w:p>
    <w:p w14:paraId="35938055" w14:textId="0BCC390F" w:rsidR="00D912EB" w:rsidRPr="00DE46F3" w:rsidRDefault="00D912EB" w:rsidP="00D912EB">
      <w:pPr>
        <w:pStyle w:val="SingleTxt"/>
        <w:spacing w:after="0" w:line="120" w:lineRule="exact"/>
        <w:rPr>
          <w:sz w:val="10"/>
        </w:rPr>
      </w:pPr>
    </w:p>
    <w:p w14:paraId="34B5AC59" w14:textId="0FD82732" w:rsidR="00D912EB" w:rsidRPr="00DE46F3" w:rsidRDefault="00D912EB" w:rsidP="00D912EB">
      <w:pPr>
        <w:pStyle w:val="SingleTxt"/>
        <w:spacing w:after="0" w:line="120" w:lineRule="exact"/>
        <w:rPr>
          <w:sz w:val="10"/>
        </w:rPr>
      </w:pPr>
    </w:p>
    <w:p w14:paraId="3E89552E" w14:textId="48A4852B" w:rsidR="00332A68" w:rsidRPr="00DE46F3" w:rsidRDefault="00332A68" w:rsidP="00D912EB">
      <w:pPr>
        <w:pStyle w:val="HCh"/>
        <w:tabs>
          <w:tab w:val="clear" w:pos="1742"/>
        </w:tabs>
        <w:ind w:left="1267" w:hanging="1267"/>
      </w:pPr>
      <w:bookmarkStart w:id="14" w:name="_Toc10641660"/>
      <w:bookmarkStart w:id="15" w:name="_Toc25630030"/>
      <w:r w:rsidRPr="00DE46F3">
        <w:tab/>
      </w:r>
      <w:r w:rsidRPr="00DE46F3">
        <w:tab/>
        <w:t>Article 4: Temporary Special Measures to Accelerate Equality</w:t>
      </w:r>
      <w:bookmarkEnd w:id="14"/>
      <w:bookmarkEnd w:id="15"/>
    </w:p>
    <w:p w14:paraId="6A95AAEB" w14:textId="0ACAF395" w:rsidR="00D912EB" w:rsidRPr="00DE46F3" w:rsidRDefault="00D912EB" w:rsidP="00D912EB">
      <w:pPr>
        <w:pStyle w:val="SingleTxt"/>
        <w:spacing w:after="0" w:line="120" w:lineRule="exact"/>
        <w:rPr>
          <w:sz w:val="10"/>
        </w:rPr>
      </w:pPr>
    </w:p>
    <w:p w14:paraId="26EF586C" w14:textId="471FF10A" w:rsidR="00D912EB" w:rsidRPr="00DE46F3" w:rsidRDefault="00D912EB" w:rsidP="00D912EB">
      <w:pPr>
        <w:pStyle w:val="SingleTxt"/>
        <w:spacing w:after="0" w:line="120" w:lineRule="exact"/>
        <w:rPr>
          <w:sz w:val="10"/>
        </w:rPr>
      </w:pPr>
    </w:p>
    <w:p w14:paraId="35959C41" w14:textId="5DB7E2B1" w:rsidR="00332A68" w:rsidRPr="00DE46F3" w:rsidRDefault="00D912EB" w:rsidP="00D912EB">
      <w:pPr>
        <w:pStyle w:val="SingleTxt"/>
      </w:pPr>
      <w:r w:rsidRPr="00DE46F3">
        <w:t>36.</w:t>
      </w:r>
      <w:r w:rsidRPr="00DE46F3">
        <w:tab/>
      </w:r>
      <w:r w:rsidR="00332A68" w:rsidRPr="00DE46F3">
        <w:t>(No significant update in the reporting period)</w:t>
      </w:r>
      <w:r w:rsidRPr="00DE46F3">
        <w:t>.</w:t>
      </w:r>
    </w:p>
    <w:p w14:paraId="7280920A" w14:textId="496F7F7F" w:rsidR="00D912EB" w:rsidRPr="00DE46F3" w:rsidRDefault="00D912EB" w:rsidP="00D912EB">
      <w:pPr>
        <w:pStyle w:val="SingleTxt"/>
        <w:spacing w:after="0" w:line="120" w:lineRule="exact"/>
        <w:rPr>
          <w:sz w:val="10"/>
        </w:rPr>
      </w:pPr>
    </w:p>
    <w:p w14:paraId="557AFA56" w14:textId="1B3127B1" w:rsidR="00D912EB" w:rsidRPr="00DE46F3" w:rsidRDefault="00D912EB" w:rsidP="00D912EB">
      <w:pPr>
        <w:pStyle w:val="SingleTxt"/>
        <w:spacing w:after="0" w:line="120" w:lineRule="exact"/>
        <w:rPr>
          <w:sz w:val="10"/>
        </w:rPr>
      </w:pPr>
    </w:p>
    <w:p w14:paraId="47983B96" w14:textId="0B1A0BBD" w:rsidR="00332A68" w:rsidRPr="00DE46F3" w:rsidRDefault="00332A68" w:rsidP="00D912EB">
      <w:pPr>
        <w:pStyle w:val="HCh"/>
        <w:tabs>
          <w:tab w:val="clear" w:pos="1742"/>
        </w:tabs>
        <w:ind w:left="1267" w:hanging="1267"/>
      </w:pPr>
      <w:bookmarkStart w:id="16" w:name="_Hlk20723258"/>
      <w:bookmarkStart w:id="17" w:name="_Toc25630031"/>
      <w:bookmarkStart w:id="18" w:name="_Toc10641661"/>
      <w:r w:rsidRPr="00DE46F3">
        <w:tab/>
      </w:r>
      <w:r w:rsidRPr="00DE46F3">
        <w:tab/>
        <w:t>Article 5: Sex Roles and Stereotyping</w:t>
      </w:r>
      <w:bookmarkEnd w:id="16"/>
      <w:bookmarkEnd w:id="17"/>
      <w:bookmarkEnd w:id="18"/>
    </w:p>
    <w:p w14:paraId="01410EBB" w14:textId="37DED0D5" w:rsidR="00D912EB" w:rsidRPr="00DE46F3" w:rsidRDefault="00D912EB" w:rsidP="00D912EB">
      <w:pPr>
        <w:pStyle w:val="SingleTxt"/>
        <w:spacing w:after="0" w:line="120" w:lineRule="exact"/>
        <w:rPr>
          <w:sz w:val="10"/>
        </w:rPr>
      </w:pPr>
    </w:p>
    <w:p w14:paraId="79FE5E5B" w14:textId="2E76D2B4" w:rsidR="00D912EB" w:rsidRPr="00DE46F3" w:rsidRDefault="00D912EB" w:rsidP="00D912EB">
      <w:pPr>
        <w:pStyle w:val="SingleTxt"/>
        <w:spacing w:after="0" w:line="120" w:lineRule="exact"/>
        <w:rPr>
          <w:sz w:val="10"/>
        </w:rPr>
      </w:pPr>
    </w:p>
    <w:p w14:paraId="3632B865" w14:textId="0BC49C12" w:rsidR="00332A68" w:rsidRPr="00DE46F3" w:rsidRDefault="00D912EB" w:rsidP="00D912EB">
      <w:pPr>
        <w:pStyle w:val="SingleTxt"/>
      </w:pPr>
      <w:r w:rsidRPr="00DE46F3">
        <w:t>37.</w:t>
      </w:r>
      <w:r w:rsidRPr="00DE46F3">
        <w:tab/>
      </w:r>
      <w:r w:rsidR="00332A68" w:rsidRPr="00DE46F3">
        <w:t>According to the 2015 census data, the proportion of women aged 20–24 who were married or in a union before the age of 18 is close to 7 per cent, with wide variations between municipalities. On the other hand, the 2016 Demographic and Health Survey (DHS) found that 35 per cent of women aged 20–49 had married in their teens compared to 9 per cent of men. Regarding polygamy, the 2016 DHS revealed that 4 per cent of women reported their husband or partner had co-wives and 1 per cent of men reported having multiple wives (an increase compared to the 2009/2010 DHS).</w:t>
      </w:r>
      <w:r w:rsidR="00332A68" w:rsidRPr="00DE46F3">
        <w:rPr>
          <w:vertAlign w:val="superscript"/>
        </w:rPr>
        <w:footnoteReference w:id="47"/>
      </w:r>
    </w:p>
    <w:p w14:paraId="10A42859" w14:textId="04AC8E97" w:rsidR="00D912EB" w:rsidRPr="00DE46F3" w:rsidRDefault="00D912EB" w:rsidP="00D912EB">
      <w:pPr>
        <w:pStyle w:val="SingleTxt"/>
        <w:spacing w:after="0" w:line="120" w:lineRule="exact"/>
        <w:rPr>
          <w:sz w:val="10"/>
        </w:rPr>
      </w:pPr>
    </w:p>
    <w:p w14:paraId="6AE6E96E" w14:textId="4C433491" w:rsidR="00D912EB" w:rsidRPr="00DE46F3" w:rsidRDefault="00D912EB" w:rsidP="00D912EB">
      <w:pPr>
        <w:pStyle w:val="SingleTxt"/>
        <w:spacing w:after="0" w:line="120" w:lineRule="exact"/>
        <w:rPr>
          <w:sz w:val="10"/>
        </w:rPr>
      </w:pPr>
    </w:p>
    <w:p w14:paraId="52D8B86E" w14:textId="05939515" w:rsidR="00332A68" w:rsidRPr="00DE46F3" w:rsidRDefault="00332A68" w:rsidP="00D912EB">
      <w:pPr>
        <w:pStyle w:val="H1"/>
        <w:ind w:right="1260"/>
      </w:pPr>
      <w:bookmarkStart w:id="19" w:name="_Hlk20723291"/>
      <w:r w:rsidRPr="00DE46F3">
        <w:tab/>
      </w:r>
      <w:r w:rsidRPr="00DE46F3">
        <w:tab/>
        <w:t>Initiatives on early child and forced marriages</w:t>
      </w:r>
      <w:bookmarkEnd w:id="19"/>
      <w:r w:rsidRPr="00DE46F3">
        <w:t xml:space="preserve"> and polygamy</w:t>
      </w:r>
    </w:p>
    <w:p w14:paraId="09CAFD2E" w14:textId="4B5F8A2D" w:rsidR="00D912EB" w:rsidRPr="00DE46F3" w:rsidRDefault="00D912EB" w:rsidP="00D912EB">
      <w:pPr>
        <w:pStyle w:val="SingleTxt"/>
        <w:spacing w:after="0" w:line="120" w:lineRule="exact"/>
        <w:rPr>
          <w:sz w:val="10"/>
        </w:rPr>
      </w:pPr>
    </w:p>
    <w:p w14:paraId="2B44D098" w14:textId="0A030E72" w:rsidR="00D912EB" w:rsidRPr="00DE46F3" w:rsidRDefault="00D912EB" w:rsidP="00D912EB">
      <w:pPr>
        <w:pStyle w:val="SingleTxt"/>
        <w:spacing w:after="0" w:line="120" w:lineRule="exact"/>
        <w:rPr>
          <w:sz w:val="10"/>
        </w:rPr>
      </w:pPr>
    </w:p>
    <w:p w14:paraId="5F284793" w14:textId="3655F45D" w:rsidR="00332A68" w:rsidRPr="00DE46F3" w:rsidRDefault="00D912EB" w:rsidP="00332A68">
      <w:pPr>
        <w:pStyle w:val="SingleTxt"/>
      </w:pPr>
      <w:r w:rsidRPr="00DE46F3">
        <w:t>38.</w:t>
      </w:r>
      <w:r w:rsidRPr="00DE46F3">
        <w:tab/>
      </w:r>
      <w:r w:rsidR="00332A68" w:rsidRPr="00DE46F3">
        <w:t>At the request of the Female Parliamentarians of Timor-Leste Group (GMPTL) following the 2016 National Conference on Sexual and Reproductive Rights, the Government, UNFPA and Plan International conducted a research in 2017 to identify the root causes leading to teenage pregnancy and early marriage in the country. It showed that early marriages are generally the cause of teenage pregnancy. Nonetheless, the research also stresses that early marriage is not a positive social norm, suggesting that this issue could be addressed through sexual education</w:t>
      </w:r>
      <w:r w:rsidR="00332A68" w:rsidRPr="00DE46F3">
        <w:rPr>
          <w:vertAlign w:val="superscript"/>
        </w:rPr>
        <w:footnoteReference w:id="48"/>
      </w:r>
      <w:r w:rsidR="00332A68" w:rsidRPr="00DE46F3">
        <w:t xml:space="preserve"> and access to family planning for youth.</w:t>
      </w:r>
      <w:r w:rsidR="00332A68" w:rsidRPr="00DE46F3">
        <w:rPr>
          <w:vertAlign w:val="superscript"/>
        </w:rPr>
        <w:footnoteReference w:id="49"/>
      </w:r>
      <w:r w:rsidRPr="00DE46F3">
        <w:rPr>
          <w:i/>
          <w:iCs/>
          <w:vertAlign w:val="superscript"/>
        </w:rPr>
        <w:t>,</w:t>
      </w:r>
      <w:r w:rsidR="00332A68" w:rsidRPr="00DE46F3">
        <w:rPr>
          <w:vertAlign w:val="superscript"/>
        </w:rPr>
        <w:footnoteReference w:id="50"/>
      </w:r>
      <w:r w:rsidRPr="00DE46F3">
        <w:t xml:space="preserve"> </w:t>
      </w:r>
    </w:p>
    <w:p w14:paraId="274EB6A9" w14:textId="48B12E0E" w:rsidR="00332A68" w:rsidRDefault="00D912EB" w:rsidP="00D912EB">
      <w:pPr>
        <w:pStyle w:val="SingleTxt"/>
      </w:pPr>
      <w:r w:rsidRPr="00DE46F3">
        <w:t>39.</w:t>
      </w:r>
      <w:r w:rsidRPr="00DE46F3">
        <w:tab/>
      </w:r>
      <w:r w:rsidR="00332A68" w:rsidRPr="00DE46F3">
        <w:t>Regarding the polygamy issue, legal initiatives have been instigated such as the registration by the Civil Registry of all marriages in its various forms provided under the draft Civil Registration Code which intends to ensure the effective celebration of marriages according to civil law.</w:t>
      </w:r>
      <w:r w:rsidR="00332A68" w:rsidRPr="00DE46F3">
        <w:rPr>
          <w:vertAlign w:val="superscript"/>
        </w:rPr>
        <w:footnoteReference w:id="51"/>
      </w:r>
    </w:p>
    <w:p w14:paraId="5040B2BD" w14:textId="5D15ECD4" w:rsidR="00146B97" w:rsidRPr="00146B97" w:rsidRDefault="00146B97" w:rsidP="00146B97">
      <w:pPr>
        <w:pStyle w:val="SingleTxt"/>
        <w:spacing w:after="0" w:line="120" w:lineRule="exact"/>
        <w:rPr>
          <w:sz w:val="10"/>
        </w:rPr>
      </w:pPr>
    </w:p>
    <w:p w14:paraId="2D2B57A2" w14:textId="2FB0A14F" w:rsidR="00146B97" w:rsidRPr="00146B97" w:rsidRDefault="00146B97" w:rsidP="00146B97">
      <w:pPr>
        <w:pStyle w:val="SingleTxt"/>
        <w:spacing w:after="0" w:line="120" w:lineRule="exact"/>
        <w:rPr>
          <w:sz w:val="10"/>
        </w:rPr>
      </w:pPr>
    </w:p>
    <w:p w14:paraId="11C22639" w14:textId="4D3A8C32" w:rsidR="00332A68" w:rsidRPr="00DE46F3" w:rsidRDefault="00D912EB" w:rsidP="00D912EB">
      <w:pPr>
        <w:pStyle w:val="H1"/>
        <w:ind w:right="1260"/>
      </w:pPr>
      <w:bookmarkStart w:id="20" w:name="_Hlk20723620"/>
      <w:r w:rsidRPr="00DE46F3">
        <w:tab/>
      </w:r>
      <w:r w:rsidRPr="00DE46F3">
        <w:tab/>
      </w:r>
      <w:r w:rsidR="00332A68" w:rsidRPr="00DE46F3">
        <w:t>Awareness-raising programmes on discriminatory stereotypes and harmful practices</w:t>
      </w:r>
      <w:bookmarkEnd w:id="20"/>
    </w:p>
    <w:p w14:paraId="62283348" w14:textId="3B4431E4" w:rsidR="00D912EB" w:rsidRPr="00DE46F3" w:rsidRDefault="00D912EB" w:rsidP="00D912EB">
      <w:pPr>
        <w:pStyle w:val="SingleTxt"/>
        <w:spacing w:after="0" w:line="120" w:lineRule="exact"/>
        <w:rPr>
          <w:sz w:val="10"/>
        </w:rPr>
      </w:pPr>
    </w:p>
    <w:p w14:paraId="423ABE69" w14:textId="62A7A007" w:rsidR="00D912EB" w:rsidRPr="00DE46F3" w:rsidRDefault="00D912EB" w:rsidP="00D912EB">
      <w:pPr>
        <w:pStyle w:val="SingleTxt"/>
        <w:spacing w:after="0" w:line="120" w:lineRule="exact"/>
        <w:rPr>
          <w:sz w:val="10"/>
        </w:rPr>
      </w:pPr>
    </w:p>
    <w:p w14:paraId="60410E5B" w14:textId="0FEE8A41" w:rsidR="00332A68" w:rsidRPr="00DE46F3" w:rsidRDefault="00D912EB" w:rsidP="00332A68">
      <w:pPr>
        <w:pStyle w:val="SingleTxt"/>
      </w:pPr>
      <w:r w:rsidRPr="00DE46F3">
        <w:t>40.</w:t>
      </w:r>
      <w:r w:rsidRPr="00DE46F3">
        <w:tab/>
      </w:r>
      <w:r w:rsidR="00332A68" w:rsidRPr="00DE46F3">
        <w:t>Awareness-raising is conducted through parenting education programmes conducted at community-level under the MSSI family related policies.</w:t>
      </w:r>
      <w:r w:rsidR="00332A68" w:rsidRPr="00DE46F3">
        <w:rPr>
          <w:bCs/>
          <w:iCs/>
          <w:vertAlign w:val="superscript"/>
        </w:rPr>
        <w:footnoteReference w:id="52"/>
      </w:r>
      <w:r w:rsidR="00332A68" w:rsidRPr="00DE46F3">
        <w:t xml:space="preserve"> These programmes, implemented in 2 municipalities, promote harmony in the family and challenge traditional patriarchal values during community sessions,</w:t>
      </w:r>
      <w:r w:rsidR="00332A68" w:rsidRPr="00DE46F3">
        <w:rPr>
          <w:vertAlign w:val="superscript"/>
        </w:rPr>
        <w:footnoteReference w:id="53"/>
      </w:r>
      <w:r w:rsidR="00332A68" w:rsidRPr="00DE46F3">
        <w:t xml:space="preserve"> especially by emphasizing the significant role of fathers and equal participation of men in the caring and rearing of their children.</w:t>
      </w:r>
    </w:p>
    <w:p w14:paraId="3AD094FF" w14:textId="18EC5281" w:rsidR="00332A68" w:rsidRPr="00DE46F3" w:rsidRDefault="00D912EB" w:rsidP="00332A68">
      <w:pPr>
        <w:pStyle w:val="SingleTxt"/>
      </w:pPr>
      <w:r w:rsidRPr="00DE46F3">
        <w:t>41.</w:t>
      </w:r>
      <w:r w:rsidRPr="00DE46F3">
        <w:tab/>
      </w:r>
      <w:r w:rsidR="00332A68" w:rsidRPr="00DE46F3">
        <w:t>Social norm change programmes implemented by NGOs under the NAP GBV framework also contribute to reduce discriminatory stereotypes. The Nabilan program from The Asia Foundation has been particularly active in this sector by implementing a community-based prevention methodology (SASA!)</w:t>
      </w:r>
      <w:r w:rsidR="00332A68" w:rsidRPr="00DE46F3">
        <w:rPr>
          <w:vertAlign w:val="superscript"/>
        </w:rPr>
        <w:footnoteReference w:id="54"/>
      </w:r>
      <w:r w:rsidR="00332A68" w:rsidRPr="00DE46F3">
        <w:t xml:space="preserve"> which encourages community members to think about the positive effects of balancing power in relationships between women and men.</w:t>
      </w:r>
      <w:r w:rsidR="00332A68" w:rsidRPr="00DE46F3">
        <w:rPr>
          <w:vertAlign w:val="superscript"/>
        </w:rPr>
        <w:footnoteReference w:id="55"/>
      </w:r>
    </w:p>
    <w:p w14:paraId="6EF0CF9A" w14:textId="29D18BC3" w:rsidR="00332A68" w:rsidRPr="00DE46F3" w:rsidRDefault="00D912EB" w:rsidP="00332A68">
      <w:pPr>
        <w:pStyle w:val="SingleTxt"/>
      </w:pPr>
      <w:r w:rsidRPr="00DE46F3">
        <w:t>42.</w:t>
      </w:r>
      <w:r w:rsidRPr="00DE46F3">
        <w:tab/>
      </w:r>
      <w:r w:rsidR="00332A68" w:rsidRPr="00DE46F3">
        <w:t>Several initiatives targeting the media were implemented such as the development of a code of conduct for journalists including gender equality principles,</w:t>
      </w:r>
      <w:r w:rsidR="00332A68" w:rsidRPr="00DE46F3">
        <w:rPr>
          <w:vertAlign w:val="superscript"/>
        </w:rPr>
        <w:footnoteReference w:id="56"/>
      </w:r>
      <w:r w:rsidR="00332A68" w:rsidRPr="00DE46F3">
        <w:t xml:space="preserve"> TV and radio programmes aired, and social media used for wider dissemination.</w:t>
      </w:r>
      <w:r w:rsidR="00332A68" w:rsidRPr="00DE46F3">
        <w:rPr>
          <w:vertAlign w:val="superscript"/>
        </w:rPr>
        <w:footnoteReference w:id="57"/>
      </w:r>
    </w:p>
    <w:p w14:paraId="66EB834A" w14:textId="7418AAB6" w:rsidR="004C441D" w:rsidRPr="00DE46F3" w:rsidRDefault="004C441D" w:rsidP="004C441D">
      <w:pPr>
        <w:pStyle w:val="SingleTxt"/>
        <w:spacing w:after="0" w:line="120" w:lineRule="exact"/>
        <w:rPr>
          <w:sz w:val="10"/>
        </w:rPr>
      </w:pPr>
    </w:p>
    <w:p w14:paraId="7159F97B" w14:textId="23C4DD25" w:rsidR="004C441D" w:rsidRPr="00DE46F3" w:rsidRDefault="004C441D" w:rsidP="004C441D">
      <w:pPr>
        <w:pStyle w:val="SingleTxt"/>
        <w:spacing w:after="0" w:line="120" w:lineRule="exact"/>
        <w:rPr>
          <w:sz w:val="10"/>
        </w:rPr>
      </w:pPr>
    </w:p>
    <w:p w14:paraId="76828DC1" w14:textId="5ED20E8D" w:rsidR="004C441D" w:rsidRPr="00DE46F3" w:rsidRDefault="004C441D" w:rsidP="004C441D">
      <w:pPr>
        <w:pStyle w:val="H1"/>
        <w:tabs>
          <w:tab w:val="clear" w:pos="1742"/>
        </w:tabs>
        <w:ind w:right="0"/>
      </w:pPr>
      <w:r w:rsidRPr="00DE46F3">
        <w:tab/>
      </w:r>
      <w:r w:rsidRPr="00DE46F3">
        <w:tab/>
        <w:t>Violence Against Women</w:t>
      </w:r>
    </w:p>
    <w:p w14:paraId="3B852C30" w14:textId="7EFCF5AA" w:rsidR="004C441D" w:rsidRPr="00DE46F3" w:rsidRDefault="004C441D" w:rsidP="004C441D">
      <w:pPr>
        <w:pStyle w:val="SingleTxt"/>
        <w:spacing w:after="0" w:line="120" w:lineRule="exact"/>
        <w:rPr>
          <w:sz w:val="10"/>
        </w:rPr>
      </w:pPr>
    </w:p>
    <w:p w14:paraId="49697EDB" w14:textId="6F347A63" w:rsidR="004C441D" w:rsidRPr="00DE46F3" w:rsidRDefault="004C441D" w:rsidP="004C441D">
      <w:pPr>
        <w:pStyle w:val="SingleTxt"/>
        <w:spacing w:after="0" w:line="120" w:lineRule="exact"/>
        <w:rPr>
          <w:sz w:val="10"/>
        </w:rPr>
      </w:pPr>
    </w:p>
    <w:p w14:paraId="09851A14" w14:textId="7161895B" w:rsidR="004C441D" w:rsidRPr="00DE46F3" w:rsidRDefault="004C441D" w:rsidP="004C441D">
      <w:pPr>
        <w:pStyle w:val="SingleTxt"/>
      </w:pPr>
      <w:r w:rsidRPr="00DE46F3">
        <w:t>43.</w:t>
      </w:r>
      <w:r w:rsidRPr="00DE46F3">
        <w:tab/>
        <w:t>The 2016 DHS findings on spousal violence within the 12 months preceding the survey indicate a rising trend in spousal violence compared to the 2009/2010 DHS (from 31 per cent in 2009/10 to 33 per cent in 2016). A similar trend is observed in terms of spousal sexual violence (from 2 per cent in 2009/10 to 5 per cent in 2016).</w:t>
      </w:r>
      <w:r w:rsidRPr="00DE46F3">
        <w:rPr>
          <w:vertAlign w:val="superscript"/>
        </w:rPr>
        <w:footnoteReference w:id="58"/>
      </w:r>
      <w:r w:rsidRPr="00DE46F3">
        <w:t xml:space="preserve"> The findings of the 2015 Nabilan baseline study (solely focused on VAW and conducted across all municipalities) seem to corroborate the rate of physical spousal violence (although slightly higher – 36 per cent), while the findings related to sexual spousal violence are significantly higher (31 per cent).</w:t>
      </w:r>
      <w:r w:rsidRPr="00DE46F3">
        <w:rPr>
          <w:vertAlign w:val="superscript"/>
        </w:rPr>
        <w:footnoteReference w:id="59"/>
      </w:r>
    </w:p>
    <w:p w14:paraId="52463992" w14:textId="708EA14B" w:rsidR="004C441D" w:rsidRPr="00DE46F3" w:rsidRDefault="00173D6F" w:rsidP="00173D6F">
      <w:pPr>
        <w:pStyle w:val="SingleTxt"/>
      </w:pPr>
      <w:r w:rsidRPr="00DE46F3">
        <w:t>44.</w:t>
      </w:r>
      <w:r w:rsidRPr="00DE46F3">
        <w:tab/>
      </w:r>
      <w:r w:rsidR="004C441D" w:rsidRPr="00DE46F3">
        <w:t>The trend on help-seeking behaviour between 2009/10 and 2016 is decreasing with about 24 per cent of women who experience violence seek help in 2009/10 as compared to 20 per cent in 2016. The 2015 Nabilan study reveals that 34 per cent of women had told someone about their experience of intimate partner violence (mostly to family members). Less than 25 per cent of these women had told people of authority.</w:t>
      </w:r>
      <w:r w:rsidR="004C441D" w:rsidRPr="00DE46F3">
        <w:rPr>
          <w:vertAlign w:val="superscript"/>
        </w:rPr>
        <w:footnoteReference w:id="60"/>
      </w:r>
    </w:p>
    <w:p w14:paraId="6B1B7ABE" w14:textId="5F80B8A1" w:rsidR="004C441D" w:rsidRPr="00DE46F3" w:rsidRDefault="00173D6F" w:rsidP="00173D6F">
      <w:pPr>
        <w:pStyle w:val="SingleTxt"/>
      </w:pPr>
      <w:r w:rsidRPr="00DE46F3">
        <w:t>45.</w:t>
      </w:r>
      <w:r w:rsidRPr="00DE46F3">
        <w:tab/>
      </w:r>
      <w:r w:rsidR="004C441D" w:rsidRPr="00DE46F3">
        <w:t>On the positive side, the 2016 DHS findings indicate that the acceptance of wife beating</w:t>
      </w:r>
      <w:r w:rsidR="004C441D" w:rsidRPr="00DE46F3">
        <w:rPr>
          <w:sz w:val="18"/>
          <w:vertAlign w:val="superscript"/>
        </w:rPr>
        <w:footnoteReference w:id="61"/>
      </w:r>
      <w:r w:rsidR="004C441D" w:rsidRPr="00DE46F3">
        <w:t xml:space="preserve"> is decreasing for both men and women (from 86 per cent in 2009/10 to 74</w:t>
      </w:r>
      <w:r w:rsidR="00146B97">
        <w:t xml:space="preserve"> </w:t>
      </w:r>
      <w:r w:rsidR="004C441D" w:rsidRPr="00DE46F3">
        <w:t>per cent in 2016 for women and from 80.7 per cent in 2009/10 to 51.6 per cent in 2016 for men).</w:t>
      </w:r>
      <w:r w:rsidR="004C441D" w:rsidRPr="00DE46F3">
        <w:rPr>
          <w:vertAlign w:val="superscript"/>
        </w:rPr>
        <w:footnoteReference w:id="62"/>
      </w:r>
      <w:r w:rsidR="004C441D" w:rsidRPr="00DE46F3">
        <w:t xml:space="preserve"> However, the findings of the 2015 Nabilan study show higher rate of acceptance (80 per cent for women and between 70 and 79 per cent for men).</w:t>
      </w:r>
      <w:r w:rsidR="004C441D" w:rsidRPr="00DE46F3">
        <w:rPr>
          <w:vertAlign w:val="superscript"/>
        </w:rPr>
        <w:footnoteReference w:id="63"/>
      </w:r>
    </w:p>
    <w:p w14:paraId="4043068A" w14:textId="665EBA64" w:rsidR="00173D6F" w:rsidRPr="00DE46F3" w:rsidRDefault="00173D6F" w:rsidP="00173D6F">
      <w:pPr>
        <w:pStyle w:val="SingleTxt"/>
        <w:spacing w:after="0" w:line="120" w:lineRule="exact"/>
        <w:rPr>
          <w:sz w:val="10"/>
        </w:rPr>
      </w:pPr>
    </w:p>
    <w:p w14:paraId="1840A9A9" w14:textId="28B86643" w:rsidR="004C441D" w:rsidRPr="00DE46F3" w:rsidRDefault="004C441D" w:rsidP="00173D6F">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en-GB"/>
        </w:rPr>
      </w:pPr>
      <w:r w:rsidRPr="00DE46F3">
        <w:rPr>
          <w:lang w:val="en-GB"/>
        </w:rPr>
        <w:tab/>
      </w:r>
      <w:r w:rsidRPr="00DE46F3">
        <w:rPr>
          <w:lang w:val="en-GB"/>
        </w:rPr>
        <w:tab/>
        <w:t>National Action Plan on Gender-Based Violence 2017</w:t>
      </w:r>
      <w:r w:rsidR="00173D6F" w:rsidRPr="00DE46F3">
        <w:rPr>
          <w:lang w:val="en-GB"/>
        </w:rPr>
        <w:t>–</w:t>
      </w:r>
      <w:r w:rsidRPr="00DE46F3">
        <w:rPr>
          <w:lang w:val="en-GB"/>
        </w:rPr>
        <w:t>2021</w:t>
      </w:r>
    </w:p>
    <w:p w14:paraId="4537E3DE" w14:textId="0C2D9916" w:rsidR="00173D6F" w:rsidRPr="00DE46F3" w:rsidRDefault="00173D6F" w:rsidP="00173D6F">
      <w:pPr>
        <w:pStyle w:val="SingleTxt"/>
        <w:spacing w:after="0" w:line="120" w:lineRule="exact"/>
        <w:rPr>
          <w:sz w:val="10"/>
        </w:rPr>
      </w:pPr>
    </w:p>
    <w:p w14:paraId="03B97BC2" w14:textId="0879B13D" w:rsidR="004C441D" w:rsidRPr="00DE46F3" w:rsidRDefault="00173D6F" w:rsidP="00173D6F">
      <w:pPr>
        <w:pStyle w:val="SingleTxt"/>
      </w:pPr>
      <w:r w:rsidRPr="00DE46F3">
        <w:t>46.</w:t>
      </w:r>
      <w:r w:rsidRPr="00DE46F3">
        <w:tab/>
      </w:r>
      <w:r w:rsidR="004C441D" w:rsidRPr="00DE46F3">
        <w:t>The Women Machinery initiated the process of revision of the first NAP GBV through a broad consultative process from April to July 2016. The new plan was officially adopted in February 2017.</w:t>
      </w:r>
      <w:r w:rsidR="004C441D" w:rsidRPr="00DE46F3">
        <w:rPr>
          <w:vertAlign w:val="superscript"/>
        </w:rPr>
        <w:footnoteReference w:id="64"/>
      </w:r>
    </w:p>
    <w:p w14:paraId="7DCD8043" w14:textId="0E07F83F" w:rsidR="004C441D" w:rsidRPr="00DE46F3" w:rsidRDefault="00173D6F" w:rsidP="00173D6F">
      <w:pPr>
        <w:pStyle w:val="SingleTxt"/>
      </w:pPr>
      <w:r w:rsidRPr="00DE46F3">
        <w:t>47.</w:t>
      </w:r>
      <w:r w:rsidRPr="00DE46F3">
        <w:tab/>
      </w:r>
      <w:r w:rsidR="004C441D" w:rsidRPr="00DE46F3">
        <w:t>SEII is overseeing the monitoring process and is responsible before the Parliament. While still in development, a monitoring matrix tool has recently been launched to encourage line Ministries to report on the outcomes of their activities under the NAP-GBV. SEII will deliver its first outcomes report in 2020. According to the 2018 monitoring draft report, close to 350.000 USD was executed in 2018 for the implementation of the plan (representing only 17 per cent of the 2018 provisional costing).</w:t>
      </w:r>
      <w:r w:rsidR="004C441D" w:rsidRPr="00DE46F3">
        <w:rPr>
          <w:vertAlign w:val="superscript"/>
        </w:rPr>
        <w:footnoteReference w:id="65"/>
      </w:r>
      <w:r w:rsidRPr="00DE46F3">
        <w:rPr>
          <w:vertAlign w:val="superscript"/>
        </w:rPr>
        <w:t>,</w:t>
      </w:r>
      <w:r w:rsidR="004C441D" w:rsidRPr="00DE46F3">
        <w:rPr>
          <w:vertAlign w:val="superscript"/>
        </w:rPr>
        <w:footnoteReference w:id="66"/>
      </w:r>
      <w:r w:rsidRPr="00DE46F3">
        <w:t xml:space="preserve"> </w:t>
      </w:r>
    </w:p>
    <w:p w14:paraId="62CB3ACA" w14:textId="299B302D" w:rsidR="00173D6F" w:rsidRPr="00DE46F3" w:rsidRDefault="00173D6F" w:rsidP="00173D6F">
      <w:pPr>
        <w:pStyle w:val="SingleTxt"/>
        <w:spacing w:after="0" w:line="120" w:lineRule="exact"/>
        <w:rPr>
          <w:sz w:val="10"/>
        </w:rPr>
      </w:pPr>
    </w:p>
    <w:p w14:paraId="4FBE92C9" w14:textId="77777777" w:rsidR="004C441D" w:rsidRPr="00DE46F3" w:rsidRDefault="004C441D" w:rsidP="00173D6F">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en-GB"/>
        </w:rPr>
      </w:pPr>
      <w:r w:rsidRPr="00DE46F3">
        <w:rPr>
          <w:lang w:val="en-GB"/>
        </w:rPr>
        <w:tab/>
      </w:r>
      <w:r w:rsidRPr="00DE46F3">
        <w:rPr>
          <w:lang w:val="en-GB"/>
        </w:rPr>
        <w:tab/>
        <w:t>Awareness-raising</w:t>
      </w:r>
    </w:p>
    <w:p w14:paraId="55164EDA" w14:textId="64ACC878" w:rsidR="00173D6F" w:rsidRPr="00DE46F3" w:rsidRDefault="00173D6F" w:rsidP="00173D6F">
      <w:pPr>
        <w:pStyle w:val="SingleTxt"/>
        <w:spacing w:after="0" w:line="120" w:lineRule="exact"/>
        <w:rPr>
          <w:sz w:val="10"/>
        </w:rPr>
      </w:pPr>
    </w:p>
    <w:p w14:paraId="5D11FA04" w14:textId="35852B71" w:rsidR="004C441D" w:rsidRPr="00DE46F3" w:rsidRDefault="00173D6F" w:rsidP="00173D6F">
      <w:pPr>
        <w:pStyle w:val="SingleTxt"/>
      </w:pPr>
      <w:r w:rsidRPr="00DE46F3">
        <w:t>48.</w:t>
      </w:r>
      <w:r w:rsidRPr="00DE46F3">
        <w:tab/>
      </w:r>
      <w:r w:rsidR="004C441D" w:rsidRPr="00DE46F3">
        <w:t>The awareness-raising strategy is provided under the Pillar I (‘Prevention of GBV’), covering various types of training and awareness-raising community sessions targeting security and justice actors, schools, community leaders and general community members. The revision of curricula and the distribution of related school materials was also undertaken by MoE under this pillar.</w:t>
      </w:r>
      <w:r w:rsidR="004C441D" w:rsidRPr="00DE46F3">
        <w:rPr>
          <w:vertAlign w:val="superscript"/>
        </w:rPr>
        <w:footnoteReference w:id="67"/>
      </w:r>
    </w:p>
    <w:p w14:paraId="15B152DB" w14:textId="1951E0DD" w:rsidR="004C441D" w:rsidRPr="00DE46F3" w:rsidRDefault="00173D6F" w:rsidP="00173D6F">
      <w:pPr>
        <w:pStyle w:val="SingleTxt"/>
      </w:pPr>
      <w:r w:rsidRPr="00DE46F3">
        <w:t>49.</w:t>
      </w:r>
      <w:r w:rsidRPr="00DE46F3">
        <w:tab/>
      </w:r>
      <w:r w:rsidR="004C441D" w:rsidRPr="00DE46F3">
        <w:t>In the 2015</w:t>
      </w:r>
      <w:r w:rsidRPr="00DE46F3">
        <w:rPr>
          <w:vertAlign w:val="superscript"/>
        </w:rPr>
        <w:t>–</w:t>
      </w:r>
      <w:r w:rsidR="004C441D" w:rsidRPr="00DE46F3">
        <w:t>2016 period, the Women Machinery conducted 19 sessions in 7 municipalities</w:t>
      </w:r>
      <w:r w:rsidR="004C441D" w:rsidRPr="00DE46F3">
        <w:rPr>
          <w:vertAlign w:val="superscript"/>
        </w:rPr>
        <w:footnoteReference w:id="68"/>
      </w:r>
      <w:r w:rsidR="004C441D" w:rsidRPr="00DE46F3">
        <w:t xml:space="preserve"> as part of the socialization campaign of the Law against Domestic Violence (LADV).</w:t>
      </w:r>
      <w:r w:rsidR="004C441D" w:rsidRPr="00DE46F3">
        <w:rPr>
          <w:vertAlign w:val="superscript"/>
        </w:rPr>
        <w:footnoteReference w:id="69"/>
      </w:r>
      <w:r w:rsidR="004C441D" w:rsidRPr="00DE46F3">
        <w:t xml:space="preserve"> About 231.000,00 USD was executed in 2016 by line ministries under this pillar, representing 11 per cent of the overall policy expenditures.</w:t>
      </w:r>
      <w:r w:rsidR="004C441D" w:rsidRPr="00DE46F3">
        <w:rPr>
          <w:vertAlign w:val="superscript"/>
        </w:rPr>
        <w:footnoteReference w:id="70"/>
      </w:r>
      <w:r w:rsidR="004C441D" w:rsidRPr="00DE46F3">
        <w:t xml:space="preserve"> More activities were undertaken under the new NAP GBV, either conducted by Government or partnering CSOs, directly reaching close to 8,000 beneficiaries (about 55 per cent women) in 2018 with a particular focus on line ministries and schools.</w:t>
      </w:r>
      <w:r w:rsidR="004C441D" w:rsidRPr="00DE46F3">
        <w:rPr>
          <w:vertAlign w:val="superscript"/>
        </w:rPr>
        <w:footnoteReference w:id="71"/>
      </w:r>
    </w:p>
    <w:p w14:paraId="752C35CE" w14:textId="3C191087" w:rsidR="00173D6F" w:rsidRPr="00DE46F3" w:rsidRDefault="00173D6F" w:rsidP="00173D6F">
      <w:pPr>
        <w:pStyle w:val="SingleTxt"/>
        <w:spacing w:after="0" w:line="120" w:lineRule="exact"/>
        <w:rPr>
          <w:sz w:val="10"/>
        </w:rPr>
      </w:pPr>
    </w:p>
    <w:p w14:paraId="4EC46882" w14:textId="654A6592" w:rsidR="004C441D" w:rsidRPr="00DE46F3" w:rsidRDefault="004C441D" w:rsidP="00173D6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bookmarkStart w:id="21" w:name="_Hlk20724245"/>
      <w:r w:rsidRPr="00DE46F3">
        <w:rPr>
          <w:lang w:val="en-GB"/>
        </w:rPr>
        <w:tab/>
      </w:r>
      <w:r w:rsidRPr="00DE46F3">
        <w:rPr>
          <w:lang w:val="en-GB"/>
        </w:rPr>
        <w:tab/>
        <w:t xml:space="preserve">Due diligence of the State on prevention and judicial process for all crimes against women </w:t>
      </w:r>
      <w:bookmarkEnd w:id="21"/>
    </w:p>
    <w:p w14:paraId="722775B1" w14:textId="6EDAF777" w:rsidR="00173D6F" w:rsidRPr="00DE46F3" w:rsidRDefault="00173D6F" w:rsidP="00173D6F">
      <w:pPr>
        <w:pStyle w:val="SingleTxt"/>
        <w:spacing w:after="0" w:line="120" w:lineRule="exact"/>
        <w:rPr>
          <w:sz w:val="10"/>
        </w:rPr>
      </w:pPr>
    </w:p>
    <w:p w14:paraId="5FEA31F8" w14:textId="771ECF3E" w:rsidR="004C441D" w:rsidRPr="00DE46F3" w:rsidRDefault="00173D6F" w:rsidP="00173D6F">
      <w:pPr>
        <w:pStyle w:val="SingleTxt"/>
      </w:pPr>
      <w:r w:rsidRPr="00DE46F3">
        <w:t>50.</w:t>
      </w:r>
      <w:r w:rsidRPr="00DE46F3">
        <w:tab/>
      </w:r>
      <w:r w:rsidR="004C441D" w:rsidRPr="00DE46F3">
        <w:t>The Government is committed to address the GBV issue using the NAP GBV as the central strategy. Its prevention pillar intends to respond to the State obligation of prevention,</w:t>
      </w:r>
      <w:r w:rsidR="004C441D" w:rsidRPr="00DE46F3">
        <w:rPr>
          <w:vertAlign w:val="superscript"/>
        </w:rPr>
        <w:footnoteReference w:id="72"/>
      </w:r>
      <w:r w:rsidR="004C441D" w:rsidRPr="00DE46F3">
        <w:t xml:space="preserve"> and Pillar III on ‘Access to Justice for victims/survivors of GBV’ provides a global strategy and detailed activities to improve investigation, prosecution and compensation for victims.</w:t>
      </w:r>
    </w:p>
    <w:p w14:paraId="368BE2C4" w14:textId="5CD8E73B" w:rsidR="004C441D" w:rsidRPr="00DE46F3" w:rsidRDefault="00173D6F" w:rsidP="00173D6F">
      <w:pPr>
        <w:pStyle w:val="SingleTxt"/>
      </w:pPr>
      <w:r w:rsidRPr="00DE46F3">
        <w:t>51.</w:t>
      </w:r>
      <w:r w:rsidRPr="00DE46F3">
        <w:tab/>
      </w:r>
      <w:r w:rsidR="004C441D" w:rsidRPr="00DE46F3">
        <w:t>In terms of investigation, the National Police (PNTL) General Command issued Standard Operating Procedures (SOP) in May 2017 which integrate a gender perspective and emphasize their role in prevention and response to GBV. The establishment in 2015 of a Working Group for the promotion of gender equality in PNTL allowed the development of the PNTL Gender Strategy 2018-2022 to ensure gender sensitive service delivery and responsive to victims of GBV.</w:t>
      </w:r>
      <w:r w:rsidR="004C441D" w:rsidRPr="00DE46F3">
        <w:rPr>
          <w:vertAlign w:val="superscript"/>
        </w:rPr>
        <w:footnoteReference w:id="73"/>
      </w:r>
    </w:p>
    <w:p w14:paraId="2F8753B8" w14:textId="2D689960" w:rsidR="004C441D" w:rsidRPr="00DE46F3" w:rsidRDefault="00173D6F" w:rsidP="00173D6F">
      <w:pPr>
        <w:pStyle w:val="SingleTxt"/>
      </w:pPr>
      <w:r w:rsidRPr="00DE46F3">
        <w:t>52.</w:t>
      </w:r>
      <w:r w:rsidRPr="00DE46F3">
        <w:tab/>
      </w:r>
      <w:r w:rsidR="004C441D" w:rsidRPr="00DE46F3">
        <w:t>Trainings on the needs of victims, incident report and referral coordination were delivered between 2016 and 2018 to the PNTL (especially to the VPU and Community Police) either by SEII, international partners or civil society.</w:t>
      </w:r>
      <w:r w:rsidR="004C441D" w:rsidRPr="00DE46F3">
        <w:rPr>
          <w:vertAlign w:val="superscript"/>
        </w:rPr>
        <w:footnoteReference w:id="74"/>
      </w:r>
    </w:p>
    <w:p w14:paraId="75A37D80" w14:textId="14AC2DB1" w:rsidR="004C441D" w:rsidRPr="00DE46F3" w:rsidRDefault="00173D6F" w:rsidP="00173D6F">
      <w:pPr>
        <w:pStyle w:val="SingleTxt"/>
      </w:pPr>
      <w:r w:rsidRPr="00DE46F3">
        <w:t>53.</w:t>
      </w:r>
      <w:r w:rsidRPr="00DE46F3">
        <w:tab/>
      </w:r>
      <w:r w:rsidR="004C441D" w:rsidRPr="00DE46F3">
        <w:t>While VPU data indicates a constant increasing trend in reporting sexual violence during the reporting period, the trend in reporting domestic violence (DV) is less clear although the trend seems to increase from 2017 to 2018 and the 2019 intermediary data record might indicate another rise.</w:t>
      </w:r>
      <w:r w:rsidR="004C441D" w:rsidRPr="00DE46F3">
        <w:rPr>
          <w:vertAlign w:val="superscript"/>
        </w:rPr>
        <w:footnoteReference w:id="75"/>
      </w:r>
      <w:r w:rsidRPr="00DE46F3">
        <w:rPr>
          <w:i/>
          <w:iCs/>
          <w:vertAlign w:val="superscript"/>
        </w:rPr>
        <w:t>,</w:t>
      </w:r>
      <w:r w:rsidR="004C441D" w:rsidRPr="00DE46F3">
        <w:rPr>
          <w:vertAlign w:val="superscript"/>
        </w:rPr>
        <w:footnoteReference w:id="76"/>
      </w:r>
      <w:r w:rsidR="004C441D" w:rsidRPr="00DE46F3">
        <w:t xml:space="preserve"> This may indicate that there is more awareness that DV is not acceptable, confirming the decreasing rate of acceptance of wife beating found in the 2016 DHS.</w:t>
      </w:r>
    </w:p>
    <w:p w14:paraId="1C129887" w14:textId="731B4E49" w:rsidR="004C441D" w:rsidRPr="00DE46F3" w:rsidRDefault="00C9004E" w:rsidP="00C9004E">
      <w:pPr>
        <w:pStyle w:val="SingleTxt"/>
      </w:pPr>
      <w:r w:rsidRPr="00DE46F3">
        <w:t>54.</w:t>
      </w:r>
      <w:r w:rsidRPr="00DE46F3">
        <w:tab/>
      </w:r>
      <w:r w:rsidR="004C441D" w:rsidRPr="00DE46F3">
        <w:t>In relation to prosecution, a significant improvement in criminal case clearance by the Office of the Prosecutor General (OPG) was observed between 2013 and 2016 with a 27 per cent reduction of pending cases</w:t>
      </w:r>
      <w:r w:rsidR="004C441D" w:rsidRPr="00DE46F3">
        <w:rPr>
          <w:vertAlign w:val="superscript"/>
        </w:rPr>
        <w:footnoteReference w:id="77"/>
      </w:r>
      <w:r w:rsidR="004C441D" w:rsidRPr="00DE46F3">
        <w:t xml:space="preserve"> despite an increase of newly registered cases. This is due </w:t>
      </w:r>
      <w:r w:rsidR="004C441D" w:rsidRPr="00DE46F3">
        <w:rPr>
          <w:i/>
          <w:iCs/>
        </w:rPr>
        <w:t>inter alia</w:t>
      </w:r>
      <w:r w:rsidR="004C441D" w:rsidRPr="00DE46F3">
        <w:t xml:space="preserve"> to the establishment of standards for individual performance assessment and the recruitment of new employees.</w:t>
      </w:r>
      <w:r w:rsidR="004C441D" w:rsidRPr="00DE46F3">
        <w:rPr>
          <w:vertAlign w:val="superscript"/>
        </w:rPr>
        <w:footnoteReference w:id="78"/>
      </w:r>
      <w:r w:rsidR="004C441D" w:rsidRPr="00DE46F3">
        <w:t xml:space="preserve"> As GBV cases comprise a great share of the criminal cases,</w:t>
      </w:r>
      <w:r w:rsidR="004C441D" w:rsidRPr="00DE46F3">
        <w:rPr>
          <w:vertAlign w:val="superscript"/>
        </w:rPr>
        <w:footnoteReference w:id="79"/>
      </w:r>
      <w:r w:rsidR="004C441D" w:rsidRPr="00DE46F3">
        <w:t xml:space="preserve"> </w:t>
      </w:r>
      <w:r w:rsidR="004C441D" w:rsidRPr="00DE46F3">
        <w:rPr>
          <w:vertAlign w:val="superscript"/>
        </w:rPr>
        <w:footnoteReference w:id="80"/>
      </w:r>
      <w:r w:rsidR="004C441D" w:rsidRPr="00DE46F3">
        <w:t xml:space="preserve"> these general improvements corroborate the State commitments toward an improved access to justice, including for women victims of violence. Nevertheless, formal access to justice for women experiencing DV remains a challenge, especially in rural areas.</w:t>
      </w:r>
    </w:p>
    <w:p w14:paraId="107244CB" w14:textId="049E7EDC" w:rsidR="004C441D" w:rsidRPr="00DE46F3" w:rsidRDefault="00C9004E" w:rsidP="00C9004E">
      <w:pPr>
        <w:pStyle w:val="SingleTxt"/>
      </w:pPr>
      <w:r w:rsidRPr="00DE46F3">
        <w:t>55.</w:t>
      </w:r>
      <w:r w:rsidRPr="00DE46F3">
        <w:tab/>
      </w:r>
      <w:r w:rsidR="004C441D" w:rsidRPr="00DE46F3">
        <w:t>While suspended prison sentences and fines are still the most common penalties applied in DV cases, the imposition of additional orders such as rules of conduct and the payment of civil compensation have raised since 2015 while nearly inexistent prior to this date. To date, these conditions mainly involve periodic reporting to the court</w:t>
      </w:r>
      <w:r w:rsidR="004C441D" w:rsidRPr="00DE46F3">
        <w:rPr>
          <w:vertAlign w:val="superscript"/>
        </w:rPr>
        <w:footnoteReference w:id="81"/>
      </w:r>
      <w:r w:rsidR="004C441D" w:rsidRPr="00DE46F3">
        <w:t xml:space="preserve"> so that the perpetrator does not simply feel free.</w:t>
      </w:r>
      <w:r w:rsidR="004C441D" w:rsidRPr="00DE46F3">
        <w:rPr>
          <w:vertAlign w:val="superscript"/>
        </w:rPr>
        <w:footnoteReference w:id="82"/>
      </w:r>
    </w:p>
    <w:p w14:paraId="0AC5D9BF" w14:textId="3E7A89F9" w:rsidR="004C441D" w:rsidRPr="00DE46F3" w:rsidRDefault="00C9004E" w:rsidP="00C9004E">
      <w:pPr>
        <w:pStyle w:val="SingleTxt"/>
      </w:pPr>
      <w:r w:rsidRPr="00DE46F3">
        <w:t>56.</w:t>
      </w:r>
      <w:r w:rsidRPr="00DE46F3">
        <w:tab/>
      </w:r>
      <w:r w:rsidR="004C441D" w:rsidRPr="00DE46F3">
        <w:t>The granting of civil compensation for DV cases remains rare despite being granted in a limited number of serious offence against physical integrity cases.</w:t>
      </w:r>
    </w:p>
    <w:p w14:paraId="7E0BE840" w14:textId="29D9D471" w:rsidR="00C9004E" w:rsidRPr="00DE46F3" w:rsidRDefault="00C9004E" w:rsidP="00C9004E">
      <w:pPr>
        <w:pStyle w:val="SingleTxt"/>
        <w:spacing w:after="0" w:line="120" w:lineRule="exact"/>
        <w:rPr>
          <w:sz w:val="10"/>
        </w:rPr>
      </w:pPr>
    </w:p>
    <w:p w14:paraId="633F1820" w14:textId="3B3F85CB" w:rsidR="004C441D" w:rsidRPr="00DE46F3" w:rsidRDefault="00C9004E" w:rsidP="00C9004E">
      <w:pPr>
        <w:pStyle w:val="H4"/>
        <w:tabs>
          <w:tab w:val="clear" w:pos="1742"/>
        </w:tabs>
        <w:ind w:left="0" w:right="0"/>
      </w:pPr>
      <w:bookmarkStart w:id="22" w:name="_Hlk20724761"/>
      <w:r w:rsidRPr="00DE46F3">
        <w:tab/>
      </w:r>
      <w:r w:rsidRPr="00DE46F3">
        <w:tab/>
      </w:r>
      <w:r w:rsidRPr="00DE46F3">
        <w:tab/>
      </w:r>
      <w:r w:rsidR="004C441D" w:rsidRPr="00DE46F3">
        <w:t>Sexual violence within the family</w:t>
      </w:r>
    </w:p>
    <w:p w14:paraId="0EFC9A13" w14:textId="4F004156" w:rsidR="00C9004E" w:rsidRPr="00DE46F3" w:rsidRDefault="00C9004E" w:rsidP="00C9004E">
      <w:pPr>
        <w:pStyle w:val="SingleTxt"/>
        <w:spacing w:after="0" w:line="120" w:lineRule="exact"/>
        <w:rPr>
          <w:sz w:val="10"/>
        </w:rPr>
      </w:pPr>
    </w:p>
    <w:bookmarkEnd w:id="22"/>
    <w:p w14:paraId="068D761F" w14:textId="352614C8" w:rsidR="004C441D" w:rsidRPr="00DE46F3" w:rsidRDefault="00C9004E" w:rsidP="00C9004E">
      <w:pPr>
        <w:pStyle w:val="SingleTxt"/>
      </w:pPr>
      <w:r w:rsidRPr="00DE46F3">
        <w:t>57.</w:t>
      </w:r>
      <w:r w:rsidRPr="00DE46F3">
        <w:tab/>
      </w:r>
      <w:r w:rsidR="004C441D" w:rsidRPr="00DE46F3">
        <w:t xml:space="preserve">Although marital rape or incest are not covered by specific provisions, family relationship </w:t>
      </w:r>
      <w:r w:rsidRPr="00DE46F3">
        <w:t>–</w:t>
      </w:r>
      <w:r w:rsidR="004C441D" w:rsidRPr="00DE46F3">
        <w:t xml:space="preserve"> including de facto unions – is constituting of an aggravating factor in cases sexual aggression (art. 173 and art. 182 of the Penal Code), raising the minimum and maximum sentence incurred.</w:t>
      </w:r>
    </w:p>
    <w:p w14:paraId="7BF9255A" w14:textId="1EAB01E3" w:rsidR="004C441D" w:rsidRPr="00DE46F3" w:rsidRDefault="00C9004E" w:rsidP="00C9004E">
      <w:pPr>
        <w:pStyle w:val="SingleTxt"/>
      </w:pPr>
      <w:r w:rsidRPr="00DE46F3">
        <w:t>58.</w:t>
      </w:r>
      <w:r w:rsidRPr="00DE46F3">
        <w:tab/>
      </w:r>
      <w:r w:rsidR="004C441D" w:rsidRPr="00DE46F3">
        <w:t>Despite these provisions, the sexual violence reporting rate remains low and the prosecution of rape within marriage is nearly inexistent in practice</w:t>
      </w:r>
      <w:r w:rsidR="004C441D" w:rsidRPr="00DE46F3">
        <w:rPr>
          <w:vertAlign w:val="superscript"/>
        </w:rPr>
        <w:footnoteReference w:id="83"/>
      </w:r>
      <w:r w:rsidR="004C441D" w:rsidRPr="00DE46F3">
        <w:t xml:space="preserve"> mainly due to the absence of reporting by victims.</w:t>
      </w:r>
      <w:r w:rsidR="004C441D" w:rsidRPr="00DE46F3">
        <w:rPr>
          <w:vertAlign w:val="superscript"/>
        </w:rPr>
        <w:footnoteReference w:id="84"/>
      </w:r>
    </w:p>
    <w:p w14:paraId="201AE056" w14:textId="70BF62BE" w:rsidR="004C441D" w:rsidRPr="00DE46F3" w:rsidRDefault="00C9004E" w:rsidP="00C9004E">
      <w:pPr>
        <w:pStyle w:val="SingleTxt"/>
      </w:pPr>
      <w:r w:rsidRPr="00DE46F3">
        <w:t>59.</w:t>
      </w:r>
      <w:r w:rsidRPr="00DE46F3">
        <w:tab/>
      </w:r>
      <w:r w:rsidR="004C441D" w:rsidRPr="00DE46F3">
        <w:t>Nonetheless, progress has been observed on the prosecution and sentencing of incest by the courts by concentrating on hearing cases that have been pending for a long time and processing all new cases in a timely manner.</w:t>
      </w:r>
      <w:r w:rsidR="004C441D" w:rsidRPr="00DE46F3">
        <w:rPr>
          <w:vertAlign w:val="superscript"/>
        </w:rPr>
        <w:footnoteReference w:id="85"/>
      </w:r>
    </w:p>
    <w:p w14:paraId="793BF40D" w14:textId="4673E125" w:rsidR="00C9004E" w:rsidRPr="00DE46F3" w:rsidRDefault="00C9004E" w:rsidP="00C9004E">
      <w:pPr>
        <w:pStyle w:val="SingleTxt"/>
        <w:spacing w:after="0" w:line="120" w:lineRule="exact"/>
        <w:rPr>
          <w:sz w:val="10"/>
        </w:rPr>
      </w:pPr>
    </w:p>
    <w:p w14:paraId="421D19C9" w14:textId="167D44C5" w:rsidR="004C441D" w:rsidRPr="00DE46F3" w:rsidRDefault="004C441D" w:rsidP="00C9004E">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en-GB"/>
        </w:rPr>
      </w:pPr>
      <w:bookmarkStart w:id="23" w:name="_Hlk20725328"/>
      <w:r w:rsidRPr="00DE46F3">
        <w:rPr>
          <w:lang w:val="en-GB"/>
        </w:rPr>
        <w:tab/>
      </w:r>
      <w:r w:rsidRPr="00DE46F3">
        <w:rPr>
          <w:lang w:val="en-GB"/>
        </w:rPr>
        <w:tab/>
        <w:t>Witness protection law</w:t>
      </w:r>
    </w:p>
    <w:p w14:paraId="5EC3F6C8" w14:textId="274035C5" w:rsidR="00C9004E" w:rsidRPr="00DE46F3" w:rsidRDefault="00C9004E" w:rsidP="00C9004E">
      <w:pPr>
        <w:pStyle w:val="SingleTxt"/>
        <w:spacing w:after="0" w:line="120" w:lineRule="exact"/>
        <w:rPr>
          <w:sz w:val="10"/>
        </w:rPr>
      </w:pPr>
    </w:p>
    <w:bookmarkEnd w:id="23"/>
    <w:p w14:paraId="717305FD" w14:textId="35DC34D6" w:rsidR="004C441D" w:rsidRPr="00DE46F3" w:rsidRDefault="00C9004E" w:rsidP="00C9004E">
      <w:pPr>
        <w:pStyle w:val="SingleTxt"/>
      </w:pPr>
      <w:r w:rsidRPr="00DE46F3">
        <w:t>60.</w:t>
      </w:r>
      <w:r w:rsidRPr="00DE46F3">
        <w:tab/>
      </w:r>
      <w:r w:rsidR="004C441D" w:rsidRPr="00DE46F3">
        <w:t>While occasional infrastructure developments</w:t>
      </w:r>
      <w:r w:rsidR="004C441D" w:rsidRPr="00DE46F3">
        <w:rPr>
          <w:vertAlign w:val="superscript"/>
        </w:rPr>
        <w:footnoteReference w:id="86"/>
      </w:r>
      <w:r w:rsidR="004C441D" w:rsidRPr="00DE46F3">
        <w:t xml:space="preserve"> contributed to improve the implementation of the </w:t>
      </w:r>
      <w:r w:rsidR="004C441D" w:rsidRPr="00DE46F3">
        <w:rPr>
          <w:bCs/>
        </w:rPr>
        <w:t>2009 Witness Protection Law</w:t>
      </w:r>
      <w:r w:rsidR="004C441D" w:rsidRPr="00DE46F3">
        <w:t>, its overall implementation remains narrow due to minimal human and financial resources. Consultations are planned by the MoJ on this issue.</w:t>
      </w:r>
      <w:r w:rsidR="004C441D" w:rsidRPr="00DE46F3">
        <w:rPr>
          <w:vertAlign w:val="superscript"/>
        </w:rPr>
        <w:footnoteReference w:id="87"/>
      </w:r>
    </w:p>
    <w:p w14:paraId="5BE3D6AE" w14:textId="63ABFB31" w:rsidR="00C9004E" w:rsidRPr="00DE46F3" w:rsidRDefault="00C9004E" w:rsidP="00C9004E">
      <w:pPr>
        <w:pStyle w:val="SingleTxt"/>
        <w:spacing w:after="0" w:line="120" w:lineRule="exact"/>
        <w:rPr>
          <w:sz w:val="10"/>
        </w:rPr>
      </w:pPr>
    </w:p>
    <w:p w14:paraId="64B9B02C" w14:textId="1399FE88" w:rsidR="004C441D" w:rsidRPr="00DE46F3" w:rsidRDefault="004C441D" w:rsidP="00146B97">
      <w:pPr>
        <w:pStyle w:val="H23"/>
        <w:keepNext/>
        <w:keepLines/>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en-GB"/>
        </w:rPr>
      </w:pPr>
      <w:bookmarkStart w:id="24" w:name="_Hlk20725488"/>
      <w:r w:rsidRPr="00DE46F3">
        <w:rPr>
          <w:lang w:val="en-GB"/>
        </w:rPr>
        <w:tab/>
      </w:r>
      <w:r w:rsidRPr="00DE46F3">
        <w:rPr>
          <w:lang w:val="en-GB"/>
        </w:rPr>
        <w:tab/>
        <w:t>Care to victims of violence</w:t>
      </w:r>
    </w:p>
    <w:p w14:paraId="15C65112" w14:textId="7420DE37" w:rsidR="00C9004E" w:rsidRPr="00DE46F3" w:rsidRDefault="00C9004E" w:rsidP="00146B97">
      <w:pPr>
        <w:pStyle w:val="SingleTxt"/>
        <w:keepNext/>
        <w:keepLines/>
        <w:spacing w:after="0" w:line="120" w:lineRule="exact"/>
        <w:rPr>
          <w:sz w:val="10"/>
        </w:rPr>
      </w:pPr>
    </w:p>
    <w:bookmarkEnd w:id="24"/>
    <w:p w14:paraId="42A86C2A" w14:textId="619A5644" w:rsidR="004C441D" w:rsidRPr="00DE46F3" w:rsidRDefault="00C9004E" w:rsidP="00146B97">
      <w:pPr>
        <w:pStyle w:val="SingleTxt"/>
        <w:keepNext/>
        <w:keepLines/>
      </w:pPr>
      <w:r w:rsidRPr="00DE46F3">
        <w:t>61.</w:t>
      </w:r>
      <w:r w:rsidRPr="00DE46F3">
        <w:tab/>
      </w:r>
      <w:r w:rsidR="004C441D" w:rsidRPr="00DE46F3">
        <w:t>In 2016, 86 per cent of the executed NAP GBV budget was dedicated to the protection pillar (‘provision of services’ pillar under the new NAP).</w:t>
      </w:r>
      <w:r w:rsidR="004C441D" w:rsidRPr="00DE46F3">
        <w:rPr>
          <w:vertAlign w:val="superscript"/>
        </w:rPr>
        <w:footnoteReference w:id="88"/>
      </w:r>
    </w:p>
    <w:p w14:paraId="524A5B7A" w14:textId="21D31C60" w:rsidR="004C441D" w:rsidRPr="00DE46F3" w:rsidRDefault="00C9004E" w:rsidP="00C9004E">
      <w:pPr>
        <w:pStyle w:val="SingleTxt"/>
      </w:pPr>
      <w:r w:rsidRPr="00DE46F3">
        <w:t>62.</w:t>
      </w:r>
      <w:r w:rsidRPr="00DE46F3">
        <w:tab/>
      </w:r>
      <w:r w:rsidR="004C441D" w:rsidRPr="00DE46F3">
        <w:t xml:space="preserve">The MSSI Support programme for victims of GBV </w:t>
      </w:r>
      <w:r w:rsidRPr="00DE46F3">
        <w:t>–</w:t>
      </w:r>
      <w:r w:rsidR="004C441D" w:rsidRPr="00DE46F3">
        <w:t xml:space="preserve"> granted based on Court decision </w:t>
      </w:r>
      <w:r w:rsidRPr="00DE46F3">
        <w:t>–</w:t>
      </w:r>
      <w:r w:rsidR="004C441D" w:rsidRPr="00DE46F3">
        <w:t xml:space="preserve"> provides financial benefits and facilitates victim access to support services through the Referral Network. However, the programme is limited in scope (150 victims supported in 2018).</w:t>
      </w:r>
      <w:r w:rsidR="004C441D" w:rsidRPr="00DE46F3">
        <w:rPr>
          <w:vertAlign w:val="superscript"/>
        </w:rPr>
        <w:footnoteReference w:id="89"/>
      </w:r>
    </w:p>
    <w:p w14:paraId="09A43775" w14:textId="0BFDF7E3" w:rsidR="004C441D" w:rsidRPr="00DE46F3" w:rsidRDefault="00C9004E" w:rsidP="00C9004E">
      <w:pPr>
        <w:pStyle w:val="SingleTxt"/>
      </w:pPr>
      <w:r w:rsidRPr="00DE46F3">
        <w:t>63.</w:t>
      </w:r>
      <w:r w:rsidRPr="00DE46F3">
        <w:tab/>
      </w:r>
      <w:r w:rsidR="004C441D" w:rsidRPr="00DE46F3">
        <w:t>‘Safe Rooms’ are currently established in health facilities in 4 municipalities in collaboration between Government and CSOs, providing temporary accommodation (1 or 2 nights) for victims and survivors. PRADET’s safe room services reached and supported between 600 and 750 victims in 2018.</w:t>
      </w:r>
      <w:r w:rsidR="004C441D" w:rsidRPr="00DE46F3">
        <w:rPr>
          <w:vertAlign w:val="superscript"/>
        </w:rPr>
        <w:footnoteReference w:id="90"/>
      </w:r>
    </w:p>
    <w:p w14:paraId="7BF038B3" w14:textId="0EB8B129" w:rsidR="004C441D" w:rsidRPr="00DE46F3" w:rsidRDefault="00C9004E" w:rsidP="00C9004E">
      <w:pPr>
        <w:pStyle w:val="SingleTxt"/>
      </w:pPr>
      <w:r w:rsidRPr="00DE46F3">
        <w:t>64.</w:t>
      </w:r>
      <w:r w:rsidRPr="00DE46F3">
        <w:tab/>
      </w:r>
      <w:r w:rsidR="004C441D" w:rsidRPr="00DE46F3">
        <w:t xml:space="preserve">In addition, 6 new </w:t>
      </w:r>
      <w:bookmarkStart w:id="25" w:name="_Hlk20726069"/>
      <w:r w:rsidR="004C441D" w:rsidRPr="00DE46F3">
        <w:t>shelters (‘</w:t>
      </w:r>
      <w:r w:rsidR="004C441D" w:rsidRPr="00DE46F3">
        <w:rPr>
          <w:i/>
          <w:iCs/>
        </w:rPr>
        <w:t>Uma Mahon</w:t>
      </w:r>
      <w:r w:rsidR="004C441D" w:rsidRPr="00DE46F3">
        <w:t>’)</w:t>
      </w:r>
      <w:bookmarkEnd w:id="25"/>
      <w:r w:rsidR="004C441D" w:rsidRPr="00DE46F3">
        <w:t xml:space="preserve"> and one Transitional House were established in collaboration between the Government and CSOs between 2014 and 2018, bringing the number of shelters available to 13 across the country. They provide accommodation for a longer period, as well as an integrated assistance to victims with the final objective to re-integrate them into their community.</w:t>
      </w:r>
      <w:r w:rsidR="004C441D" w:rsidRPr="00DE46F3">
        <w:rPr>
          <w:vertAlign w:val="superscript"/>
        </w:rPr>
        <w:footnoteReference w:id="91"/>
      </w:r>
    </w:p>
    <w:p w14:paraId="49BC29E1" w14:textId="6235AF32" w:rsidR="004C441D" w:rsidRPr="00DE46F3" w:rsidRDefault="00C9004E" w:rsidP="00C9004E">
      <w:pPr>
        <w:pStyle w:val="SingleTxt"/>
      </w:pPr>
      <w:r w:rsidRPr="00DE46F3">
        <w:t>65.</w:t>
      </w:r>
      <w:r w:rsidRPr="00DE46F3">
        <w:tab/>
      </w:r>
      <w:r w:rsidR="004C441D" w:rsidRPr="00DE46F3">
        <w:t xml:space="preserve">The newly created </w:t>
      </w:r>
      <w:bookmarkStart w:id="26" w:name="_Hlk20726175"/>
      <w:r w:rsidR="004C441D" w:rsidRPr="00DE46F3">
        <w:t>‘</w:t>
      </w:r>
      <w:r w:rsidR="004C441D" w:rsidRPr="00DE46F3">
        <w:rPr>
          <w:i/>
          <w:iCs/>
        </w:rPr>
        <w:t>Hamahon</w:t>
      </w:r>
      <w:r w:rsidR="004C441D" w:rsidRPr="00DE46F3">
        <w:t>’ mobile application</w:t>
      </w:r>
      <w:bookmarkEnd w:id="26"/>
      <w:r w:rsidR="004C441D" w:rsidRPr="00DE46F3">
        <w:t>, supported by development partners, provides information on services available to victims of GBV in support of the Referral Network to improve service delivery to victims.</w:t>
      </w:r>
      <w:r w:rsidR="004C441D" w:rsidRPr="00DE46F3">
        <w:rPr>
          <w:vertAlign w:val="superscript"/>
        </w:rPr>
        <w:footnoteReference w:id="92"/>
      </w:r>
    </w:p>
    <w:p w14:paraId="408EFB43" w14:textId="4A13969F" w:rsidR="00C9004E" w:rsidRPr="00DE46F3" w:rsidRDefault="00C9004E" w:rsidP="00C9004E">
      <w:pPr>
        <w:pStyle w:val="SingleTxt"/>
        <w:spacing w:after="0" w:line="120" w:lineRule="exact"/>
        <w:rPr>
          <w:sz w:val="10"/>
        </w:rPr>
      </w:pPr>
    </w:p>
    <w:p w14:paraId="529F8A82" w14:textId="23760852" w:rsidR="004C441D" w:rsidRPr="00DE46F3" w:rsidRDefault="004C441D" w:rsidP="00C9004E">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en-GB"/>
        </w:rPr>
      </w:pPr>
      <w:bookmarkStart w:id="27" w:name="_Hlk20726670"/>
      <w:r w:rsidRPr="00DE46F3">
        <w:rPr>
          <w:lang w:val="en-GB"/>
        </w:rPr>
        <w:tab/>
      </w:r>
      <w:r w:rsidRPr="00DE46F3">
        <w:rPr>
          <w:lang w:val="en-GB"/>
        </w:rPr>
        <w:tab/>
        <w:t>Data collection system</w:t>
      </w:r>
    </w:p>
    <w:p w14:paraId="0229FA8C" w14:textId="4A9E5AF8" w:rsidR="00C9004E" w:rsidRPr="00DE46F3" w:rsidRDefault="00C9004E" w:rsidP="00C9004E">
      <w:pPr>
        <w:pStyle w:val="SingleTxt"/>
        <w:spacing w:after="0" w:line="120" w:lineRule="exact"/>
        <w:rPr>
          <w:sz w:val="10"/>
        </w:rPr>
      </w:pPr>
    </w:p>
    <w:bookmarkEnd w:id="27"/>
    <w:p w14:paraId="4D917B09" w14:textId="2E110924" w:rsidR="004C441D" w:rsidRPr="00DE46F3" w:rsidRDefault="00C9004E" w:rsidP="00C9004E">
      <w:pPr>
        <w:pStyle w:val="SingleTxt"/>
      </w:pPr>
      <w:r w:rsidRPr="00DE46F3">
        <w:t>66.</w:t>
      </w:r>
      <w:r w:rsidRPr="00DE46F3">
        <w:tab/>
      </w:r>
      <w:r w:rsidR="004C441D" w:rsidRPr="00DE46F3">
        <w:t>Although researches such as the DHS and the Nabilan baseline survey have contributed to an improved amount of data on GBV,</w:t>
      </w:r>
      <w:r w:rsidR="004C441D" w:rsidRPr="00DE46F3">
        <w:rPr>
          <w:vertAlign w:val="superscript"/>
        </w:rPr>
        <w:footnoteReference w:id="93"/>
      </w:r>
      <w:r w:rsidR="004C441D" w:rsidRPr="00DE46F3">
        <w:t xml:space="preserve"> a unified administrative data system for GBV has yet to be established. In 2019, SEII began working on this issue with the Governance for Development (GfD) program and will receive training from social statisticians from the Australian Bureau of Statistics.</w:t>
      </w:r>
    </w:p>
    <w:p w14:paraId="7C287DA5" w14:textId="58160CE8" w:rsidR="00C9004E" w:rsidRPr="00DE46F3" w:rsidRDefault="00C9004E" w:rsidP="00C9004E">
      <w:pPr>
        <w:pStyle w:val="SingleTxt"/>
        <w:spacing w:after="0" w:line="120" w:lineRule="exact"/>
        <w:rPr>
          <w:sz w:val="10"/>
        </w:rPr>
      </w:pPr>
    </w:p>
    <w:p w14:paraId="60F9F27A" w14:textId="519C6199" w:rsidR="00C9004E" w:rsidRPr="00DE46F3" w:rsidRDefault="00C9004E" w:rsidP="00C9004E">
      <w:pPr>
        <w:pStyle w:val="SingleTxt"/>
        <w:spacing w:after="0" w:line="120" w:lineRule="exact"/>
        <w:rPr>
          <w:sz w:val="10"/>
        </w:rPr>
      </w:pPr>
    </w:p>
    <w:p w14:paraId="6129F1FE" w14:textId="1B2C79B9" w:rsidR="004C441D" w:rsidRPr="00DE46F3" w:rsidRDefault="004C441D" w:rsidP="00F156F1">
      <w:pPr>
        <w:pStyle w:val="H1"/>
        <w:ind w:right="1260"/>
      </w:pPr>
      <w:bookmarkStart w:id="28" w:name="_Hlk20727108"/>
      <w:bookmarkStart w:id="29" w:name="_Toc25630033"/>
      <w:r w:rsidRPr="00DE46F3">
        <w:tab/>
      </w:r>
      <w:r w:rsidRPr="00DE46F3">
        <w:tab/>
        <w:t>Violence Against Women During Conflict Situations and their Access to Justice</w:t>
      </w:r>
      <w:bookmarkEnd w:id="28"/>
      <w:bookmarkEnd w:id="29"/>
    </w:p>
    <w:p w14:paraId="144666DB" w14:textId="6BE49F52" w:rsidR="00C9004E" w:rsidRPr="00DE46F3" w:rsidRDefault="00C9004E" w:rsidP="00F156F1">
      <w:pPr>
        <w:pStyle w:val="SingleTxt"/>
        <w:keepNext/>
        <w:keepLines/>
        <w:spacing w:after="0" w:line="120" w:lineRule="exact"/>
        <w:rPr>
          <w:sz w:val="10"/>
        </w:rPr>
      </w:pPr>
    </w:p>
    <w:p w14:paraId="3CC0FCBC" w14:textId="52AC7A28" w:rsidR="00C9004E" w:rsidRPr="00DE46F3" w:rsidRDefault="00C9004E" w:rsidP="00F156F1">
      <w:pPr>
        <w:pStyle w:val="SingleTxt"/>
        <w:keepNext/>
        <w:keepLines/>
        <w:spacing w:after="0" w:line="120" w:lineRule="exact"/>
        <w:rPr>
          <w:sz w:val="10"/>
        </w:rPr>
      </w:pPr>
    </w:p>
    <w:p w14:paraId="2135826E" w14:textId="2B8CD73A" w:rsidR="004C441D" w:rsidRPr="00DE46F3" w:rsidRDefault="004C441D" w:rsidP="00F156F1">
      <w:pPr>
        <w:pStyle w:val="H23"/>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DE46F3">
        <w:rPr>
          <w:lang w:val="en-GB"/>
        </w:rPr>
        <w:tab/>
      </w:r>
      <w:r w:rsidR="00C9004E" w:rsidRPr="00DE46F3">
        <w:rPr>
          <w:lang w:val="en-GB"/>
        </w:rPr>
        <w:tab/>
      </w:r>
      <w:r w:rsidRPr="00DE46F3">
        <w:rPr>
          <w:lang w:val="en-GB"/>
        </w:rPr>
        <w:t>Justice for victims of sexual violence committed during the Indonesian occupation in 1999</w:t>
      </w:r>
    </w:p>
    <w:p w14:paraId="76654936" w14:textId="26B6945B" w:rsidR="00C9004E" w:rsidRPr="00DE46F3" w:rsidRDefault="00C9004E" w:rsidP="00F156F1">
      <w:pPr>
        <w:pStyle w:val="SingleTxt"/>
        <w:keepNext/>
        <w:keepLines/>
        <w:spacing w:after="0" w:line="120" w:lineRule="exact"/>
        <w:rPr>
          <w:sz w:val="10"/>
        </w:rPr>
      </w:pPr>
    </w:p>
    <w:p w14:paraId="1CD971AE" w14:textId="64D44B24" w:rsidR="004C441D" w:rsidRPr="00DE46F3" w:rsidRDefault="00C9004E" w:rsidP="00F156F1">
      <w:pPr>
        <w:pStyle w:val="SingleTxt"/>
        <w:keepNext/>
        <w:keepLines/>
      </w:pPr>
      <w:r w:rsidRPr="00DE46F3">
        <w:t>67.</w:t>
      </w:r>
      <w:r w:rsidRPr="00DE46F3">
        <w:tab/>
      </w:r>
      <w:r w:rsidR="004C441D" w:rsidRPr="00DE46F3">
        <w:t>Since most primary perpetrators remain outside the Timorese jurisdiction, no prosecution of perpetrators of sexual violence occurred during the reporting period. Nonetheless, the Government, in collaboration with civil society, has instead focused on responding to social justice and recognition aspirations of the National Victims Association (NVA).</w:t>
      </w:r>
      <w:r w:rsidR="004C441D" w:rsidRPr="00DE46F3">
        <w:rPr>
          <w:vertAlign w:val="superscript"/>
        </w:rPr>
        <w:footnoteReference w:id="94"/>
      </w:r>
    </w:p>
    <w:p w14:paraId="3F538350" w14:textId="01E168BC" w:rsidR="00C9004E" w:rsidRPr="00DE46F3" w:rsidRDefault="00C9004E" w:rsidP="00C9004E">
      <w:pPr>
        <w:pStyle w:val="SingleTxt"/>
        <w:spacing w:after="0" w:line="120" w:lineRule="exact"/>
        <w:rPr>
          <w:sz w:val="10"/>
        </w:rPr>
      </w:pPr>
    </w:p>
    <w:p w14:paraId="5CEAF122" w14:textId="6850B838" w:rsidR="004C441D" w:rsidRPr="00DE46F3" w:rsidRDefault="004C441D" w:rsidP="00C9004E">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en-GB"/>
        </w:rPr>
      </w:pPr>
      <w:r w:rsidRPr="00DE46F3">
        <w:rPr>
          <w:lang w:val="en-GB"/>
        </w:rPr>
        <w:tab/>
      </w:r>
      <w:r w:rsidRPr="00DE46F3">
        <w:rPr>
          <w:lang w:val="en-GB"/>
        </w:rPr>
        <w:tab/>
        <w:t>Implementation of the CAVR and CTF recommendations</w:t>
      </w:r>
    </w:p>
    <w:p w14:paraId="7BB82FE1" w14:textId="7A19B7EF" w:rsidR="00C9004E" w:rsidRPr="00DE46F3" w:rsidRDefault="00C9004E" w:rsidP="00C9004E">
      <w:pPr>
        <w:pStyle w:val="SingleTxt"/>
        <w:spacing w:after="0" w:line="120" w:lineRule="exact"/>
        <w:rPr>
          <w:sz w:val="10"/>
        </w:rPr>
      </w:pPr>
    </w:p>
    <w:p w14:paraId="3C3185C9" w14:textId="19B854FF" w:rsidR="004C441D" w:rsidRPr="00DE46F3" w:rsidRDefault="00C9004E" w:rsidP="00C9004E">
      <w:pPr>
        <w:pStyle w:val="SingleTxt"/>
      </w:pPr>
      <w:r w:rsidRPr="00DE46F3">
        <w:t>68.</w:t>
      </w:r>
      <w:r w:rsidRPr="00DE46F3">
        <w:tab/>
      </w:r>
      <w:r w:rsidR="004C441D" w:rsidRPr="00DE46F3">
        <w:t>The Chega! National Centre (CNC) was formally established in 2016 by the Decree-Law N° 48/2016</w:t>
      </w:r>
      <w:r w:rsidR="004C441D" w:rsidRPr="00DE46F3">
        <w:rPr>
          <w:vertAlign w:val="superscript"/>
        </w:rPr>
        <w:footnoteReference w:id="95"/>
      </w:r>
      <w:r w:rsidR="004C441D" w:rsidRPr="00DE46F3">
        <w:t xml:space="preserve"> and opened in 2017. It is an autonomous agency established to facilitate the implementation of the CAVR recommendations and the Indonesia–Timor-Leste Commission of Truth and Friendship (CTF) by advising the Government and with direct authority to implementing recommendations related to ‘Memory and learning’ and ‘Rehabilitation and healing’ (Art. 6.c and 6.d).</w:t>
      </w:r>
    </w:p>
    <w:p w14:paraId="52E64117" w14:textId="6F131DB4" w:rsidR="004C441D" w:rsidRPr="00DE46F3" w:rsidRDefault="00C9004E" w:rsidP="00C9004E">
      <w:pPr>
        <w:pStyle w:val="SingleTxt"/>
      </w:pPr>
      <w:r w:rsidRPr="00DE46F3">
        <w:t>69.</w:t>
      </w:r>
      <w:r w:rsidRPr="00DE46F3">
        <w:tab/>
      </w:r>
      <w:r w:rsidR="004C441D" w:rsidRPr="00DE46F3">
        <w:t>Survivors of sexual violence are considered among “</w:t>
      </w:r>
      <w:r w:rsidR="004C441D" w:rsidRPr="00DE46F3">
        <w:rPr>
          <w:i/>
          <w:iCs/>
        </w:rPr>
        <w:t>the most vulnerable survivors of human rights violations</w:t>
      </w:r>
      <w:r w:rsidR="004C441D" w:rsidRPr="00DE46F3">
        <w:t>” (Art. 6.a) and need to be considered a priority, consistently with the CAVR recommendations.</w:t>
      </w:r>
    </w:p>
    <w:p w14:paraId="665BFDB9" w14:textId="325FAFEC" w:rsidR="004C441D" w:rsidRPr="00DE46F3" w:rsidRDefault="00C9004E" w:rsidP="00C9004E">
      <w:pPr>
        <w:pStyle w:val="SingleTxt"/>
      </w:pPr>
      <w:r w:rsidRPr="00DE46F3">
        <w:t>70.</w:t>
      </w:r>
      <w:r w:rsidRPr="00DE46F3">
        <w:tab/>
      </w:r>
      <w:r w:rsidR="004C441D" w:rsidRPr="00DE46F3">
        <w:t>In early stages, the CNC mainly focused on ‘Memory and learning’, starting by re-introducing the Chega! Report to key Government ministers. In terms of ‘Rehabilitation and healing’, key initiatives conducted by CNC since 2018 in collaboration with civil society include: 1) Establishing the Solidarity Trust Fund Working Group; 2) Establishing the Psychosocial Working Group; 3) Participation in the Stolen Children’s Working Group which helped locate approximately 150 disappeared children, and organized reunions with their families;</w:t>
      </w:r>
      <w:r w:rsidR="004C441D" w:rsidRPr="00DE46F3">
        <w:rPr>
          <w:vertAlign w:val="superscript"/>
        </w:rPr>
        <w:footnoteReference w:id="96"/>
      </w:r>
      <w:r w:rsidR="004C441D" w:rsidRPr="00DE46F3">
        <w:t xml:space="preserve">  4) Partnership with the NVA formalized in March 2019 which allows </w:t>
      </w:r>
      <w:r w:rsidR="004C441D" w:rsidRPr="00DE46F3">
        <w:rPr>
          <w:i/>
          <w:iCs/>
        </w:rPr>
        <w:t>inter alia</w:t>
      </w:r>
      <w:r w:rsidR="004C441D" w:rsidRPr="00DE46F3">
        <w:t xml:space="preserve"> for the ongoing registration process of victims and database expected to be concluded by the end of 2019.</w:t>
      </w:r>
      <w:r w:rsidR="004C441D" w:rsidRPr="00DE46F3">
        <w:rPr>
          <w:vertAlign w:val="superscript"/>
        </w:rPr>
        <w:footnoteReference w:id="97"/>
      </w:r>
    </w:p>
    <w:p w14:paraId="72219166" w14:textId="07413D8F" w:rsidR="004C441D" w:rsidRPr="00DE46F3" w:rsidRDefault="00FC062A" w:rsidP="00FC062A">
      <w:pPr>
        <w:pStyle w:val="SingleTxt"/>
      </w:pPr>
      <w:r w:rsidRPr="00DE46F3">
        <w:t>71.</w:t>
      </w:r>
      <w:r w:rsidRPr="00DE46F3">
        <w:tab/>
      </w:r>
      <w:r w:rsidR="004C441D" w:rsidRPr="00DE46F3">
        <w:t>Government is providing financial support for women victims of violence during the conflict mainly through the funding of CSOs working with survivors and victims of the conflict such as ACbit and Fokupers.</w:t>
      </w:r>
      <w:r w:rsidR="004C441D" w:rsidRPr="00DE46F3">
        <w:rPr>
          <w:vertAlign w:val="superscript"/>
        </w:rPr>
        <w:footnoteReference w:id="98"/>
      </w:r>
      <w:r w:rsidR="004C441D" w:rsidRPr="00DE46F3">
        <w:t xml:space="preserve"> These organizations connect the victims with social and health services or engage them in activities focusing on livelihoods and memorialising female victims and survivors. However, no central institution oversees the support to the victims of the past conflict.</w:t>
      </w:r>
    </w:p>
    <w:p w14:paraId="0CD3E52D" w14:textId="4542223A" w:rsidR="004C441D" w:rsidRPr="00DE46F3" w:rsidRDefault="00FC062A" w:rsidP="00FC062A">
      <w:pPr>
        <w:pStyle w:val="SingleTxt"/>
      </w:pPr>
      <w:r w:rsidRPr="00DE46F3">
        <w:t>72.</w:t>
      </w:r>
      <w:r w:rsidRPr="00DE46F3">
        <w:tab/>
      </w:r>
      <w:r w:rsidR="004C441D" w:rsidRPr="00DE46F3">
        <w:t>CNC is currently developing two projects in cooperation with the Government focusing on female victims of sexual violence during the conflict: 1) A cooperation framework with MoJ to facilitate the civil registration and provision of birth certificate to children of women victims of sexual violence during the conflict; 2) the development with Ministry of Health (MoH) of a health scheme for victims to get access to international health services, modelled on the veterans’ scheme.</w:t>
      </w:r>
      <w:r w:rsidR="004C441D" w:rsidRPr="00DE46F3">
        <w:rPr>
          <w:vertAlign w:val="superscript"/>
        </w:rPr>
        <w:footnoteReference w:id="99"/>
      </w:r>
    </w:p>
    <w:p w14:paraId="1527D7CD" w14:textId="41AAE8AB" w:rsidR="00FC062A" w:rsidRPr="00DE46F3" w:rsidRDefault="00FC062A" w:rsidP="00FC062A">
      <w:pPr>
        <w:pStyle w:val="SingleTxt"/>
        <w:spacing w:after="0" w:line="120" w:lineRule="exact"/>
        <w:rPr>
          <w:sz w:val="10"/>
        </w:rPr>
      </w:pPr>
    </w:p>
    <w:p w14:paraId="54ACB658" w14:textId="5BA2A5FA" w:rsidR="00FC062A" w:rsidRPr="00DE46F3" w:rsidRDefault="00FC062A" w:rsidP="00FC062A">
      <w:pPr>
        <w:pStyle w:val="SingleTxt"/>
        <w:spacing w:after="0" w:line="120" w:lineRule="exact"/>
        <w:rPr>
          <w:sz w:val="10"/>
        </w:rPr>
      </w:pPr>
    </w:p>
    <w:p w14:paraId="380BB136" w14:textId="057B3B1E" w:rsidR="004C441D" w:rsidRPr="00DE46F3" w:rsidRDefault="004C441D" w:rsidP="00FC062A">
      <w:pPr>
        <w:pStyle w:val="HCh"/>
        <w:tabs>
          <w:tab w:val="clear" w:pos="1742"/>
        </w:tabs>
        <w:ind w:left="1267" w:hanging="1267"/>
      </w:pPr>
      <w:bookmarkStart w:id="30" w:name="_Toc25630034"/>
      <w:bookmarkStart w:id="31" w:name="_Toc10641662"/>
      <w:bookmarkStart w:id="32" w:name="_Hlk20727175"/>
      <w:r w:rsidRPr="00DE46F3">
        <w:tab/>
      </w:r>
      <w:r w:rsidRPr="00DE46F3">
        <w:tab/>
        <w:t>Article 6: Trafficking and Exploitation</w:t>
      </w:r>
      <w:bookmarkEnd w:id="30"/>
      <w:bookmarkEnd w:id="31"/>
      <w:r w:rsidRPr="00DE46F3">
        <w:t xml:space="preserve"> </w:t>
      </w:r>
      <w:bookmarkEnd w:id="32"/>
    </w:p>
    <w:p w14:paraId="6397A964" w14:textId="4C4A4F35" w:rsidR="00FC062A" w:rsidRPr="00DE46F3" w:rsidRDefault="00FC062A" w:rsidP="00FC062A">
      <w:pPr>
        <w:pStyle w:val="SingleTxt"/>
        <w:spacing w:after="0" w:line="120" w:lineRule="exact"/>
        <w:rPr>
          <w:sz w:val="10"/>
        </w:rPr>
      </w:pPr>
    </w:p>
    <w:p w14:paraId="59CD71BA" w14:textId="0F4BC09E" w:rsidR="00FC062A" w:rsidRPr="00DE46F3" w:rsidRDefault="00FC062A" w:rsidP="00FC062A">
      <w:pPr>
        <w:pStyle w:val="SingleTxt"/>
        <w:spacing w:after="0" w:line="120" w:lineRule="exact"/>
        <w:rPr>
          <w:sz w:val="10"/>
        </w:rPr>
      </w:pPr>
    </w:p>
    <w:p w14:paraId="339A317F" w14:textId="757A9DAA" w:rsidR="004C441D" w:rsidRPr="00DE46F3" w:rsidRDefault="004C441D" w:rsidP="00FC062A">
      <w:pPr>
        <w:pStyle w:val="H1"/>
        <w:tabs>
          <w:tab w:val="clear" w:pos="1742"/>
        </w:tabs>
        <w:ind w:right="0"/>
      </w:pPr>
      <w:bookmarkStart w:id="33" w:name="_Hlk20727271"/>
      <w:r w:rsidRPr="00DE46F3">
        <w:tab/>
      </w:r>
      <w:r w:rsidRPr="00DE46F3">
        <w:tab/>
        <w:t>Legal and policy framework</w:t>
      </w:r>
    </w:p>
    <w:p w14:paraId="7BFF838E" w14:textId="1466E815" w:rsidR="00FC062A" w:rsidRPr="00DE46F3" w:rsidRDefault="00FC062A" w:rsidP="00FC062A">
      <w:pPr>
        <w:pStyle w:val="SingleTxt"/>
        <w:spacing w:after="0" w:line="120" w:lineRule="exact"/>
        <w:rPr>
          <w:sz w:val="10"/>
        </w:rPr>
      </w:pPr>
    </w:p>
    <w:p w14:paraId="4AE22D18" w14:textId="13681993" w:rsidR="00FC062A" w:rsidRPr="00DE46F3" w:rsidRDefault="00FC062A" w:rsidP="00FC062A">
      <w:pPr>
        <w:pStyle w:val="SingleTxt"/>
        <w:spacing w:after="0" w:line="120" w:lineRule="exact"/>
        <w:rPr>
          <w:sz w:val="10"/>
        </w:rPr>
      </w:pPr>
    </w:p>
    <w:bookmarkEnd w:id="33"/>
    <w:p w14:paraId="3D69968D" w14:textId="605E5EC9" w:rsidR="004C441D" w:rsidRPr="00DE46F3" w:rsidRDefault="00FC062A" w:rsidP="00FC062A">
      <w:pPr>
        <w:pStyle w:val="SingleTxt"/>
      </w:pPr>
      <w:r w:rsidRPr="00DE46F3">
        <w:t>73.</w:t>
      </w:r>
      <w:r w:rsidRPr="00DE46F3">
        <w:tab/>
      </w:r>
      <w:r w:rsidR="004C441D" w:rsidRPr="00DE46F3">
        <w:t>The Law on Preventing and Combating Human Trafficking was adopted in January 2017 as Law N° 3/2017 under the initiative of the Counter Trafficking Inter</w:t>
      </w:r>
      <w:r w:rsidR="00F156F1">
        <w:noBreakHyphen/>
      </w:r>
      <w:r w:rsidR="004C441D" w:rsidRPr="00DE46F3">
        <w:t>Agency Working Group set up in 2016. A draft of the revised National Action Plan on Human Trafficking has already been developed with IOM support. However, as the National Commission to Combat Trafficking in Persons as provided under the new law is yet to be formally established, the new NAP has not yet been adopted.</w:t>
      </w:r>
      <w:r w:rsidR="004C441D" w:rsidRPr="00DE46F3">
        <w:rPr>
          <w:vertAlign w:val="superscript"/>
        </w:rPr>
        <w:footnoteReference w:id="100"/>
      </w:r>
    </w:p>
    <w:p w14:paraId="1196DEA7" w14:textId="1F6723CE" w:rsidR="008E325B" w:rsidRDefault="00FC062A" w:rsidP="004C441D">
      <w:pPr>
        <w:pStyle w:val="SingleTxt"/>
      </w:pPr>
      <w:r w:rsidRPr="00DE46F3">
        <w:t>74.</w:t>
      </w:r>
      <w:r w:rsidRPr="00DE46F3">
        <w:tab/>
      </w:r>
      <w:r w:rsidR="004C441D" w:rsidRPr="00DE46F3">
        <w:t>In 2018 the MoJ, in coordination with district administrators and IOM support, initiated the dissemination campaign of the new law at municipal level. The workshops provide local NGOs, local authorities, police, etc. with an introduction to human trafficking issues especially on victim identification and protection.</w:t>
      </w:r>
      <w:r w:rsidR="004C441D" w:rsidRPr="00DE46F3">
        <w:rPr>
          <w:vertAlign w:val="superscript"/>
        </w:rPr>
        <w:footnoteReference w:id="101"/>
      </w:r>
    </w:p>
    <w:p w14:paraId="52D5670F" w14:textId="5FDF8064" w:rsidR="00F156F1" w:rsidRPr="00F156F1" w:rsidRDefault="00F156F1" w:rsidP="00F156F1">
      <w:pPr>
        <w:pStyle w:val="SingleTxt"/>
        <w:spacing w:after="0" w:line="120" w:lineRule="exact"/>
        <w:rPr>
          <w:sz w:val="10"/>
        </w:rPr>
      </w:pPr>
    </w:p>
    <w:p w14:paraId="4D408C3D" w14:textId="63C769B8" w:rsidR="00531966" w:rsidRPr="00DE46F3" w:rsidRDefault="008D635C" w:rsidP="008D635C">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en-GB"/>
        </w:rPr>
      </w:pPr>
      <w:r w:rsidRPr="00DE46F3">
        <w:rPr>
          <w:lang w:val="en-GB"/>
        </w:rPr>
        <w:tab/>
      </w:r>
      <w:r w:rsidRPr="00DE46F3">
        <w:rPr>
          <w:lang w:val="en-GB"/>
        </w:rPr>
        <w:tab/>
      </w:r>
      <w:r w:rsidR="00531966" w:rsidRPr="00DE46F3">
        <w:rPr>
          <w:lang w:val="en-GB"/>
        </w:rPr>
        <w:t>Research and data collection on trafficking and prostitution</w:t>
      </w:r>
    </w:p>
    <w:p w14:paraId="742FA490" w14:textId="62C917A7" w:rsidR="008D635C" w:rsidRPr="00DE46F3" w:rsidRDefault="008D635C" w:rsidP="008D635C">
      <w:pPr>
        <w:pStyle w:val="SingleTxt"/>
        <w:spacing w:after="0" w:line="120" w:lineRule="exact"/>
        <w:rPr>
          <w:sz w:val="10"/>
        </w:rPr>
      </w:pPr>
    </w:p>
    <w:p w14:paraId="4050F0DA" w14:textId="04704800" w:rsidR="00531966" w:rsidRPr="00DE46F3" w:rsidRDefault="008D635C" w:rsidP="008D635C">
      <w:pPr>
        <w:pStyle w:val="SingleTxt"/>
      </w:pPr>
      <w:r w:rsidRPr="00DE46F3">
        <w:t>75.</w:t>
      </w:r>
      <w:r w:rsidRPr="00DE46F3">
        <w:tab/>
      </w:r>
      <w:r w:rsidR="00531966" w:rsidRPr="00DE46F3">
        <w:t>An awareness-raising campaign and training on data collection and monitoring of trafficking in persons (TIP) was delivered by IOM to law enforcement officers and relevant stakeholders. Moreover, a data-collection sub-working group linked to a monitoring and evaluation sub-working group are planned to be establish under the Trafficking Working Group.</w:t>
      </w:r>
      <w:r w:rsidR="00531966" w:rsidRPr="00DE46F3">
        <w:rPr>
          <w:vertAlign w:val="superscript"/>
        </w:rPr>
        <w:footnoteReference w:id="102"/>
      </w:r>
    </w:p>
    <w:p w14:paraId="094A9952" w14:textId="48BABE3C" w:rsidR="008D635C" w:rsidRPr="00DE46F3" w:rsidRDefault="008D635C" w:rsidP="008D635C">
      <w:pPr>
        <w:pStyle w:val="SingleTxt"/>
      </w:pPr>
      <w:r w:rsidRPr="00DE46F3">
        <w:t>76.</w:t>
      </w:r>
      <w:r w:rsidRPr="00DE46F3">
        <w:tab/>
      </w:r>
      <w:r w:rsidR="00531966" w:rsidRPr="00DE46F3">
        <w:t>A Migration Profile was publicized in 2019 which brings together mobility trends to develop strategies for migration management and strengthen the Government ability to respond to various migration challenges, including Human Trafficking.</w:t>
      </w:r>
      <w:r w:rsidR="00531966" w:rsidRPr="00DE46F3">
        <w:rPr>
          <w:vertAlign w:val="superscript"/>
        </w:rPr>
        <w:footnoteReference w:id="103"/>
      </w:r>
      <w:r w:rsidR="00531966" w:rsidRPr="00DE46F3">
        <w:t xml:space="preserve"> However, a comprehensive research on the prevalence of trafficking and exploitation of prostitution has yet to be carried out.</w:t>
      </w:r>
      <w:bookmarkStart w:id="34" w:name="_Hlk20727424"/>
    </w:p>
    <w:p w14:paraId="3F20DE9C" w14:textId="07FCA2E5" w:rsidR="008D635C" w:rsidRPr="00DE46F3" w:rsidRDefault="008D635C" w:rsidP="008D635C">
      <w:pPr>
        <w:pStyle w:val="SingleTxt"/>
        <w:spacing w:after="0" w:line="120" w:lineRule="exact"/>
        <w:rPr>
          <w:sz w:val="10"/>
        </w:rPr>
      </w:pPr>
    </w:p>
    <w:p w14:paraId="0E25DF88" w14:textId="21D3182F" w:rsidR="00531966" w:rsidRPr="00DE46F3" w:rsidRDefault="00531966" w:rsidP="008D635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DE46F3">
        <w:rPr>
          <w:lang w:val="en-GB"/>
        </w:rPr>
        <w:tab/>
      </w:r>
      <w:r w:rsidRPr="00DE46F3">
        <w:rPr>
          <w:lang w:val="en-GB"/>
        </w:rPr>
        <w:tab/>
        <w:t>Investigation, prosecution and conviction of perpetrators of sexual exploitation of women and girls</w:t>
      </w:r>
    </w:p>
    <w:p w14:paraId="3A539233" w14:textId="331C812D" w:rsidR="008D635C" w:rsidRPr="00DE46F3" w:rsidRDefault="008D635C" w:rsidP="008D635C">
      <w:pPr>
        <w:pStyle w:val="SingleTxt"/>
        <w:spacing w:after="0" w:line="120" w:lineRule="exact"/>
        <w:rPr>
          <w:sz w:val="10"/>
        </w:rPr>
      </w:pPr>
    </w:p>
    <w:bookmarkEnd w:id="34"/>
    <w:p w14:paraId="5DFD0B98" w14:textId="5DEFD18C" w:rsidR="00531966" w:rsidRPr="00DE46F3" w:rsidRDefault="008D635C" w:rsidP="008D635C">
      <w:pPr>
        <w:pStyle w:val="SingleTxt"/>
      </w:pPr>
      <w:r w:rsidRPr="00DE46F3">
        <w:t>77.</w:t>
      </w:r>
      <w:r w:rsidRPr="00DE46F3">
        <w:tab/>
      </w:r>
      <w:r w:rsidR="00531966" w:rsidRPr="00DE46F3">
        <w:t>More TIP cases have been prosecuted than in the previous reporting period. While 9 cases were confirmed in 2017</w:t>
      </w:r>
      <w:r w:rsidR="00531966" w:rsidRPr="00DE46F3">
        <w:rPr>
          <w:vertAlign w:val="superscript"/>
        </w:rPr>
        <w:footnoteReference w:id="104"/>
      </w:r>
      <w:r w:rsidR="00531966" w:rsidRPr="00DE46F3">
        <w:t xml:space="preserve"> (sexually trafficked), 267 cases were unconfirmed</w:t>
      </w:r>
      <w:r w:rsidR="00531966" w:rsidRPr="00DE46F3">
        <w:rPr>
          <w:vertAlign w:val="superscript"/>
        </w:rPr>
        <w:footnoteReference w:id="105"/>
      </w:r>
      <w:r w:rsidR="00531966" w:rsidRPr="00DE46F3">
        <w:t xml:space="preserve"> in the same year. 64 new confirmed TIP cases were reported in 2018. 3 cases were prosecuted but none of them resulting in a conviction for the 2017/2018 period.</w:t>
      </w:r>
      <w:r w:rsidR="00531966" w:rsidRPr="00DE46F3">
        <w:rPr>
          <w:vertAlign w:val="superscript"/>
        </w:rPr>
        <w:footnoteReference w:id="106"/>
      </w:r>
      <w:r w:rsidR="00531966" w:rsidRPr="00DE46F3">
        <w:t xml:space="preserve"> In the whole reporting period, only one prosecution resulted in a conviction with attempted trafficking charges in March 2016.</w:t>
      </w:r>
      <w:r w:rsidR="00531966" w:rsidRPr="00DE46F3">
        <w:rPr>
          <w:vertAlign w:val="superscript"/>
        </w:rPr>
        <w:footnoteReference w:id="107"/>
      </w:r>
    </w:p>
    <w:p w14:paraId="5446E0A5" w14:textId="3E24EC4A" w:rsidR="008D635C" w:rsidRPr="00DE46F3" w:rsidRDefault="008D635C" w:rsidP="008D635C">
      <w:pPr>
        <w:pStyle w:val="SingleTxt"/>
        <w:spacing w:after="0" w:line="120" w:lineRule="exact"/>
        <w:rPr>
          <w:sz w:val="10"/>
        </w:rPr>
      </w:pPr>
    </w:p>
    <w:p w14:paraId="4FB29FFB" w14:textId="74C49E5C" w:rsidR="00531966" w:rsidRPr="00DE46F3" w:rsidRDefault="00531966" w:rsidP="008D635C">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en-GB"/>
        </w:rPr>
      </w:pPr>
      <w:bookmarkStart w:id="35" w:name="_Hlk20727746"/>
      <w:r w:rsidRPr="00DE46F3">
        <w:rPr>
          <w:lang w:val="en-GB"/>
        </w:rPr>
        <w:tab/>
      </w:r>
      <w:r w:rsidRPr="00DE46F3">
        <w:rPr>
          <w:lang w:val="en-GB"/>
        </w:rPr>
        <w:tab/>
        <w:t>Victim identification, referral, and assistance</w:t>
      </w:r>
    </w:p>
    <w:p w14:paraId="35FC1C72" w14:textId="29EB7B74" w:rsidR="008D635C" w:rsidRPr="00DE46F3" w:rsidRDefault="008D635C" w:rsidP="008D635C">
      <w:pPr>
        <w:pStyle w:val="SingleTxt"/>
        <w:spacing w:after="0" w:line="120" w:lineRule="exact"/>
        <w:rPr>
          <w:sz w:val="10"/>
        </w:rPr>
      </w:pPr>
    </w:p>
    <w:bookmarkEnd w:id="35"/>
    <w:p w14:paraId="12B05141" w14:textId="79CA7E5D" w:rsidR="00531966" w:rsidRPr="00DE46F3" w:rsidRDefault="008D635C" w:rsidP="008D635C">
      <w:pPr>
        <w:pStyle w:val="SingleTxt"/>
      </w:pPr>
      <w:r w:rsidRPr="00DE46F3">
        <w:t>78.</w:t>
      </w:r>
      <w:r w:rsidRPr="00DE46F3">
        <w:tab/>
      </w:r>
      <w:r w:rsidR="00531966" w:rsidRPr="00DE46F3">
        <w:t>Victims identification is generally done by MSSI’s field officers under its ‘assistance to vulnerable people’ mechanism in collaboration with the police. Cooperation between MSSI field staff, police and NGOs has improved through the referral network despite remaining weak specific knowledge on this issue.</w:t>
      </w:r>
      <w:r w:rsidR="00531966" w:rsidRPr="00DE46F3">
        <w:rPr>
          <w:vertAlign w:val="superscript"/>
        </w:rPr>
        <w:footnoteReference w:id="108"/>
      </w:r>
    </w:p>
    <w:p w14:paraId="0B75A537" w14:textId="3E19A75D" w:rsidR="008D635C" w:rsidRPr="00DE46F3" w:rsidRDefault="008D635C" w:rsidP="008D635C">
      <w:pPr>
        <w:pStyle w:val="SingleTxt"/>
      </w:pPr>
      <w:r w:rsidRPr="00DE46F3">
        <w:t>79.</w:t>
      </w:r>
      <w:r w:rsidRPr="00DE46F3">
        <w:tab/>
      </w:r>
      <w:r w:rsidR="00531966" w:rsidRPr="00DE46F3">
        <w:t>In 2018, 115 sex trafficking victims were identified and referred to IOM and the 3 NGO-operated shelters for assistance. As most stakeholders acknowledge that victim identification remain a challenge, the Working Group is working toward harmonizing procedures through a SOP on victim identification.</w:t>
      </w:r>
      <w:r w:rsidR="00531966" w:rsidRPr="00DE46F3">
        <w:rPr>
          <w:vertAlign w:val="superscript"/>
        </w:rPr>
        <w:footnoteReference w:id="109"/>
      </w:r>
      <w:r w:rsidR="00531966" w:rsidRPr="00DE46F3">
        <w:t xml:space="preserve"> </w:t>
      </w:r>
      <w:bookmarkStart w:id="36" w:name="_Hlk20727878"/>
    </w:p>
    <w:p w14:paraId="793677B1" w14:textId="6F1C257A" w:rsidR="008D635C" w:rsidRPr="00DE46F3" w:rsidRDefault="008D635C" w:rsidP="008D635C">
      <w:pPr>
        <w:pStyle w:val="SingleTxt"/>
        <w:spacing w:after="0" w:line="120" w:lineRule="exact"/>
        <w:rPr>
          <w:sz w:val="10"/>
        </w:rPr>
      </w:pPr>
    </w:p>
    <w:p w14:paraId="0EC6C3B2" w14:textId="17B39A27" w:rsidR="00531966" w:rsidRPr="00DE46F3" w:rsidRDefault="00531966" w:rsidP="008D635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DE46F3">
        <w:rPr>
          <w:lang w:val="en-GB"/>
        </w:rPr>
        <w:tab/>
      </w:r>
      <w:r w:rsidRPr="00DE46F3">
        <w:rPr>
          <w:lang w:val="en-GB"/>
        </w:rPr>
        <w:tab/>
        <w:t>Awareness-raising and training of law enforcement personnel and legal practitioners on trafficking</w:t>
      </w:r>
      <w:bookmarkEnd w:id="36"/>
    </w:p>
    <w:p w14:paraId="602D94CB" w14:textId="6E407A80" w:rsidR="008D635C" w:rsidRPr="00DE46F3" w:rsidRDefault="008D635C" w:rsidP="008D635C">
      <w:pPr>
        <w:pStyle w:val="SingleTxt"/>
        <w:spacing w:after="0" w:line="120" w:lineRule="exact"/>
        <w:rPr>
          <w:sz w:val="10"/>
        </w:rPr>
      </w:pPr>
    </w:p>
    <w:p w14:paraId="7A4E2C92" w14:textId="51D7E227" w:rsidR="00531966" w:rsidRPr="00DE46F3" w:rsidRDefault="008D635C" w:rsidP="008D635C">
      <w:pPr>
        <w:pStyle w:val="SingleTxt"/>
      </w:pPr>
      <w:r w:rsidRPr="00DE46F3">
        <w:t>80.</w:t>
      </w:r>
      <w:r w:rsidRPr="00DE46F3">
        <w:tab/>
      </w:r>
      <w:r w:rsidR="00531966" w:rsidRPr="00DE46F3">
        <w:t>The First National Community Engagement Forum on TIP was conducted in 2018 and facilitated by IOM. Further sessions were delivered to law enforcement officers, and relevant stakeholders in various districts reaching up to 660 people by 2018.</w:t>
      </w:r>
      <w:r w:rsidR="00531966" w:rsidRPr="00DE46F3">
        <w:rPr>
          <w:vertAlign w:val="superscript"/>
        </w:rPr>
        <w:footnoteReference w:id="110"/>
      </w:r>
    </w:p>
    <w:p w14:paraId="2410E3FD" w14:textId="379D3EAB" w:rsidR="00531966" w:rsidRPr="00DE46F3" w:rsidRDefault="008D635C" w:rsidP="008D635C">
      <w:pPr>
        <w:pStyle w:val="SingleTxt"/>
      </w:pPr>
      <w:r w:rsidRPr="00DE46F3">
        <w:t>81.</w:t>
      </w:r>
      <w:r w:rsidRPr="00DE46F3">
        <w:tab/>
      </w:r>
      <w:r w:rsidR="00531966" w:rsidRPr="00DE46F3">
        <w:t>Specific trainings to police and immigration services were delivered in the framework of the two major programmes – the IOM counter-trafficking program and the MIEUX initiative. 169 members of the border force (UPF) and other border employees were trained by IOM in 2018.</w:t>
      </w:r>
      <w:r w:rsidR="00531966" w:rsidRPr="00DE46F3">
        <w:rPr>
          <w:vertAlign w:val="superscript"/>
        </w:rPr>
        <w:footnoteReference w:id="111"/>
      </w:r>
      <w:r w:rsidR="00531966" w:rsidRPr="00DE46F3">
        <w:t xml:space="preserve"> Various training materials were also developed in 2018 under the MIEUX initiative.</w:t>
      </w:r>
      <w:r w:rsidR="00531966" w:rsidRPr="00DE46F3">
        <w:rPr>
          <w:vertAlign w:val="superscript"/>
        </w:rPr>
        <w:footnoteReference w:id="112"/>
      </w:r>
      <w:r w:rsidR="00531966" w:rsidRPr="00DE46F3">
        <w:t xml:space="preserve"> All these initiatives address victim identification and referral, psychosocial support (PSS).</w:t>
      </w:r>
    </w:p>
    <w:p w14:paraId="2679F326" w14:textId="324FD8BC" w:rsidR="008D635C" w:rsidRPr="00DE46F3" w:rsidRDefault="008D635C" w:rsidP="008D635C">
      <w:pPr>
        <w:pStyle w:val="SingleTxt"/>
        <w:spacing w:after="0" w:line="120" w:lineRule="exact"/>
        <w:rPr>
          <w:sz w:val="10"/>
        </w:rPr>
      </w:pPr>
    </w:p>
    <w:p w14:paraId="3C3A6470" w14:textId="657694BC" w:rsidR="008D635C" w:rsidRPr="00DE46F3" w:rsidRDefault="008D635C" w:rsidP="008D635C">
      <w:pPr>
        <w:pStyle w:val="SingleTxt"/>
        <w:spacing w:after="0" w:line="120" w:lineRule="exact"/>
        <w:rPr>
          <w:sz w:val="10"/>
        </w:rPr>
      </w:pPr>
    </w:p>
    <w:p w14:paraId="370719A2" w14:textId="1092CD0F" w:rsidR="00531966" w:rsidRPr="00DE46F3" w:rsidRDefault="00531966" w:rsidP="008D635C">
      <w:pPr>
        <w:pStyle w:val="HCh"/>
        <w:ind w:left="1267" w:right="1260" w:hanging="1267"/>
      </w:pPr>
      <w:bookmarkStart w:id="37" w:name="_Hlk20728169"/>
      <w:bookmarkStart w:id="38" w:name="_Toc10641663"/>
      <w:bookmarkStart w:id="39" w:name="_Toc25630035"/>
      <w:r w:rsidRPr="00DE46F3">
        <w:tab/>
      </w:r>
      <w:r w:rsidRPr="00DE46F3">
        <w:tab/>
        <w:t xml:space="preserve">Article 7: </w:t>
      </w:r>
      <w:bookmarkEnd w:id="37"/>
      <w:bookmarkEnd w:id="38"/>
      <w:r w:rsidRPr="00DE46F3">
        <w:t>Participation of Women in Politics and Decision</w:t>
      </w:r>
      <w:r w:rsidR="008D635C" w:rsidRPr="00DE46F3">
        <w:noBreakHyphen/>
      </w:r>
      <w:r w:rsidRPr="00DE46F3">
        <w:t>Making</w:t>
      </w:r>
      <w:bookmarkEnd w:id="39"/>
    </w:p>
    <w:p w14:paraId="6AD16554" w14:textId="7E294026" w:rsidR="008D635C" w:rsidRPr="00DE46F3" w:rsidRDefault="008D635C" w:rsidP="008D635C">
      <w:pPr>
        <w:pStyle w:val="SingleTxt"/>
        <w:spacing w:after="0" w:line="120" w:lineRule="exact"/>
        <w:rPr>
          <w:sz w:val="10"/>
        </w:rPr>
      </w:pPr>
    </w:p>
    <w:p w14:paraId="0F8EDCBB" w14:textId="76B6AD33" w:rsidR="008D635C" w:rsidRPr="00DE46F3" w:rsidRDefault="008D635C" w:rsidP="008D635C">
      <w:pPr>
        <w:pStyle w:val="SingleTxt"/>
        <w:spacing w:after="0" w:line="120" w:lineRule="exact"/>
        <w:rPr>
          <w:sz w:val="10"/>
        </w:rPr>
      </w:pPr>
    </w:p>
    <w:p w14:paraId="266F2296" w14:textId="1EC5F0A4" w:rsidR="00531966" w:rsidRPr="00DE46F3" w:rsidRDefault="00531966" w:rsidP="008D635C">
      <w:pPr>
        <w:pStyle w:val="H1"/>
        <w:ind w:right="1260"/>
      </w:pPr>
      <w:r w:rsidRPr="00DE46F3">
        <w:tab/>
      </w:r>
      <w:r w:rsidRPr="00DE46F3">
        <w:tab/>
        <w:t>Promotion of women’s representation in political life at national</w:t>
      </w:r>
      <w:r w:rsidR="008D635C" w:rsidRPr="00DE46F3">
        <w:t> </w:t>
      </w:r>
      <w:r w:rsidRPr="00DE46F3">
        <w:t>level</w:t>
      </w:r>
    </w:p>
    <w:p w14:paraId="21A2460A" w14:textId="6965C4FF" w:rsidR="008D635C" w:rsidRPr="00DE46F3" w:rsidRDefault="008D635C" w:rsidP="008D635C">
      <w:pPr>
        <w:spacing w:line="120" w:lineRule="exact"/>
        <w:rPr>
          <w:sz w:val="10"/>
        </w:rPr>
      </w:pPr>
    </w:p>
    <w:p w14:paraId="004362E7" w14:textId="3435D97D" w:rsidR="008D635C" w:rsidRPr="00DE46F3" w:rsidRDefault="008D635C" w:rsidP="008D635C">
      <w:pPr>
        <w:spacing w:line="120" w:lineRule="exact"/>
        <w:rPr>
          <w:sz w:val="10"/>
        </w:rPr>
      </w:pPr>
    </w:p>
    <w:p w14:paraId="108E99F4" w14:textId="05834F1E" w:rsidR="00531966" w:rsidRPr="00DE46F3" w:rsidRDefault="008D635C" w:rsidP="008D635C">
      <w:pPr>
        <w:pStyle w:val="SingleTxt"/>
      </w:pPr>
      <w:r w:rsidRPr="00DE46F3">
        <w:t>82.</w:t>
      </w:r>
      <w:r w:rsidRPr="00DE46F3">
        <w:tab/>
      </w:r>
      <w:r w:rsidR="00531966" w:rsidRPr="00DE46F3">
        <w:t>The current quota mechanism for the parliamentarian elections established in 2011 facilitated the elections in 2018 of 25 women (38 per cent), surpassing 35 per cent of women in Parliament for the third legislature in a row.</w:t>
      </w:r>
      <w:r w:rsidR="00531966" w:rsidRPr="00DE46F3">
        <w:rPr>
          <w:vertAlign w:val="superscript"/>
        </w:rPr>
        <w:footnoteReference w:id="113"/>
      </w:r>
    </w:p>
    <w:p w14:paraId="49B4E7BA" w14:textId="65C6B37D" w:rsidR="00531966" w:rsidRPr="00DE46F3" w:rsidRDefault="008D635C" w:rsidP="008D635C">
      <w:pPr>
        <w:pStyle w:val="SingleTxt"/>
      </w:pPr>
      <w:r w:rsidRPr="00DE46F3">
        <w:t>83.</w:t>
      </w:r>
      <w:r w:rsidRPr="00DE46F3">
        <w:tab/>
      </w:r>
      <w:r w:rsidR="00531966" w:rsidRPr="00DE46F3">
        <w:t>In 2014, the collaboration between Government institutions, National Parliament, political parties and civil society with international support resulted in the development of the Government’s strategy framework on women’s participation in political life.</w:t>
      </w:r>
      <w:r w:rsidR="00531966" w:rsidRPr="00DE46F3">
        <w:rPr>
          <w:vertAlign w:val="superscript"/>
        </w:rPr>
        <w:footnoteReference w:id="114"/>
      </w:r>
      <w:r w:rsidR="00531966" w:rsidRPr="00DE46F3">
        <w:t xml:space="preserve"> Under this framework, Women Congresses were organized in all districts in collaboration with local and international CSOs. Beyond raising awareness on politics and civic education among women, one of the main objectives of the programme is to identify women with potential to become candidates in local/national elections.</w:t>
      </w:r>
    </w:p>
    <w:p w14:paraId="3C2AAC5A" w14:textId="7E9B2129" w:rsidR="00531966" w:rsidRPr="00DE46F3" w:rsidRDefault="008D635C" w:rsidP="008D635C">
      <w:pPr>
        <w:pStyle w:val="SingleTxt"/>
      </w:pPr>
      <w:r w:rsidRPr="00DE46F3">
        <w:t>84.</w:t>
      </w:r>
      <w:r w:rsidRPr="00DE46F3">
        <w:tab/>
      </w:r>
      <w:r w:rsidR="00531966" w:rsidRPr="00DE46F3">
        <w:t>Other activities and media campaigns implemented at national level in this collaborative framework also contributed to improve women’s representation in politics and civic education through TV programmes and debates on women’s rights and gender equality.</w:t>
      </w:r>
      <w:r w:rsidR="00531966" w:rsidRPr="00DE46F3">
        <w:rPr>
          <w:vertAlign w:val="superscript"/>
        </w:rPr>
        <w:footnoteReference w:id="115"/>
      </w:r>
    </w:p>
    <w:p w14:paraId="4C22D41B" w14:textId="5430FDF5" w:rsidR="00531966" w:rsidRPr="00DE46F3" w:rsidRDefault="008D635C" w:rsidP="008D635C">
      <w:pPr>
        <w:pStyle w:val="SingleTxt"/>
      </w:pPr>
      <w:r w:rsidRPr="00DE46F3">
        <w:t>85.</w:t>
      </w:r>
      <w:r w:rsidRPr="00DE46F3">
        <w:tab/>
      </w:r>
      <w:r w:rsidR="00531966" w:rsidRPr="00DE46F3">
        <w:t>Women’s participation at the executive level (Ministers/Secretaries of State) remains limited with only between 16 per cent and 21 per cent women in the last 3 Governments during the reporting period.</w:t>
      </w:r>
      <w:r w:rsidR="00531966" w:rsidRPr="00DE46F3">
        <w:rPr>
          <w:vertAlign w:val="superscript"/>
        </w:rPr>
        <w:footnoteReference w:id="116"/>
      </w:r>
    </w:p>
    <w:p w14:paraId="768B79B1" w14:textId="5FC86566" w:rsidR="008D635C" w:rsidRPr="00DE46F3" w:rsidRDefault="008D635C" w:rsidP="008D635C">
      <w:pPr>
        <w:pStyle w:val="SingleTxt"/>
        <w:spacing w:after="0" w:line="120" w:lineRule="exact"/>
        <w:rPr>
          <w:sz w:val="10"/>
        </w:rPr>
      </w:pPr>
    </w:p>
    <w:p w14:paraId="6F3000B9" w14:textId="31C6436A" w:rsidR="00531966" w:rsidRPr="00DE46F3" w:rsidRDefault="00531966" w:rsidP="008D635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DE46F3">
        <w:rPr>
          <w:lang w:val="en-GB"/>
        </w:rPr>
        <w:tab/>
      </w:r>
      <w:r w:rsidRPr="00DE46F3">
        <w:rPr>
          <w:lang w:val="en-GB"/>
        </w:rPr>
        <w:tab/>
        <w:t>Promotion of women’s political representation, training and mentoring at local</w:t>
      </w:r>
      <w:r w:rsidR="008D635C" w:rsidRPr="00DE46F3">
        <w:rPr>
          <w:lang w:val="en-GB"/>
        </w:rPr>
        <w:t> </w:t>
      </w:r>
      <w:r w:rsidRPr="00DE46F3">
        <w:rPr>
          <w:lang w:val="en-GB"/>
        </w:rPr>
        <w:t>level</w:t>
      </w:r>
    </w:p>
    <w:p w14:paraId="1E150676" w14:textId="27A5A540" w:rsidR="008D635C" w:rsidRPr="00DE46F3" w:rsidRDefault="008D635C" w:rsidP="008D635C">
      <w:pPr>
        <w:pStyle w:val="SingleTxt"/>
        <w:spacing w:after="0" w:line="120" w:lineRule="exact"/>
        <w:rPr>
          <w:sz w:val="10"/>
        </w:rPr>
      </w:pPr>
    </w:p>
    <w:p w14:paraId="1F98AF25" w14:textId="02E62160" w:rsidR="00531966" w:rsidRPr="00DE46F3" w:rsidRDefault="008D635C" w:rsidP="008D635C">
      <w:pPr>
        <w:pStyle w:val="SingleTxt"/>
      </w:pPr>
      <w:r w:rsidRPr="00DE46F3">
        <w:t>86.</w:t>
      </w:r>
      <w:r w:rsidRPr="00DE46F3">
        <w:tab/>
      </w:r>
      <w:r w:rsidR="00531966" w:rsidRPr="00DE46F3">
        <w:t>Strong efforts at local level also improved women’s representation in local governance. The “</w:t>
      </w:r>
      <w:r w:rsidR="00531966" w:rsidRPr="00DE46F3">
        <w:rPr>
          <w:i/>
          <w:iCs/>
        </w:rPr>
        <w:t>100% Hau Pronto</w:t>
      </w:r>
      <w:r w:rsidR="00531966" w:rsidRPr="00DE46F3">
        <w:t xml:space="preserve">” campaign - an innovative Government-NGO partnership with international support - led to the revision of the </w:t>
      </w:r>
      <w:r w:rsidR="00531966" w:rsidRPr="00DE46F3">
        <w:rPr>
          <w:i/>
          <w:iCs/>
        </w:rPr>
        <w:t>Suco</w:t>
      </w:r>
      <w:r w:rsidR="00531966" w:rsidRPr="00DE46F3">
        <w:t xml:space="preserve"> (village) Law and the electoral process for </w:t>
      </w:r>
      <w:r w:rsidR="00531966" w:rsidRPr="00DE46F3">
        <w:rPr>
          <w:i/>
          <w:iCs/>
        </w:rPr>
        <w:t>Suco</w:t>
      </w:r>
      <w:r w:rsidR="00531966" w:rsidRPr="00DE46F3">
        <w:t xml:space="preserve"> and </w:t>
      </w:r>
      <w:r w:rsidR="00531966" w:rsidRPr="00DE46F3">
        <w:rPr>
          <w:i/>
          <w:iCs/>
        </w:rPr>
        <w:t>Aldeia</w:t>
      </w:r>
      <w:r w:rsidR="00531966" w:rsidRPr="00DE46F3">
        <w:t xml:space="preserve"> (hamlet) chief elections.</w:t>
      </w:r>
      <w:r w:rsidR="00531966" w:rsidRPr="00DE46F3">
        <w:rPr>
          <w:vertAlign w:val="superscript"/>
        </w:rPr>
        <w:footnoteReference w:id="117"/>
      </w:r>
      <w:r w:rsidR="00531966" w:rsidRPr="00DE46F3">
        <w:t xml:space="preserve"> Under the new law, each </w:t>
      </w:r>
      <w:r w:rsidR="00531966" w:rsidRPr="00DE46F3">
        <w:rPr>
          <w:i/>
          <w:iCs/>
        </w:rPr>
        <w:t>Suco</w:t>
      </w:r>
      <w:r w:rsidR="00531966" w:rsidRPr="00DE46F3">
        <w:t xml:space="preserve"> Council must comprise one female delegate and one female youth representative and the participation of women candidates in </w:t>
      </w:r>
      <w:r w:rsidR="00531966" w:rsidRPr="00DE46F3">
        <w:rPr>
          <w:i/>
          <w:iCs/>
        </w:rPr>
        <w:t>Aldeia</w:t>
      </w:r>
      <w:r w:rsidR="00531966" w:rsidRPr="00DE46F3">
        <w:t xml:space="preserve"> chief elections became mandatory (Law N° 9/2016 – Art. 65.2 and 65.3).</w:t>
      </w:r>
      <w:r w:rsidR="00531966" w:rsidRPr="00DE46F3">
        <w:rPr>
          <w:vertAlign w:val="superscript"/>
        </w:rPr>
        <w:footnoteReference w:id="118"/>
      </w:r>
    </w:p>
    <w:p w14:paraId="3F83F4AF" w14:textId="129BCA8A" w:rsidR="00531966" w:rsidRPr="00DE46F3" w:rsidRDefault="008D635C" w:rsidP="008D635C">
      <w:pPr>
        <w:pStyle w:val="SingleTxt"/>
      </w:pPr>
      <w:r w:rsidRPr="00DE46F3">
        <w:t>87.</w:t>
      </w:r>
      <w:r w:rsidRPr="00DE46F3">
        <w:tab/>
      </w:r>
      <w:r w:rsidR="00531966" w:rsidRPr="00DE46F3">
        <w:t>The campaign further encouraged and prepared women for leadership regardless of party affiliation, with the objective to increase the number of female candidates standing for the 2016 local elections. 300 women leaders were identified and trained in this view.</w:t>
      </w:r>
      <w:r w:rsidR="00531966" w:rsidRPr="00DE46F3">
        <w:rPr>
          <w:vertAlign w:val="superscript"/>
        </w:rPr>
        <w:footnoteReference w:id="119"/>
      </w:r>
      <w:r w:rsidR="00715887" w:rsidRPr="00DE46F3">
        <w:rPr>
          <w:vertAlign w:val="superscript"/>
        </w:rPr>
        <w:t>,</w:t>
      </w:r>
      <w:r w:rsidR="00531966" w:rsidRPr="00DE46F3">
        <w:rPr>
          <w:vertAlign w:val="superscript"/>
        </w:rPr>
        <w:footnoteReference w:id="120"/>
      </w:r>
      <w:r w:rsidR="00531966" w:rsidRPr="00DE46F3">
        <w:t xml:space="preserve"> As a result, there was a 20-fold increase in the number of women candidates (from 42 in 2009 to 319 in 2016) and the number of women elected as </w:t>
      </w:r>
      <w:r w:rsidR="00531966" w:rsidRPr="00DE46F3">
        <w:rPr>
          <w:i/>
          <w:iCs/>
        </w:rPr>
        <w:t>Suco</w:t>
      </w:r>
      <w:r w:rsidR="00531966" w:rsidRPr="00DE46F3">
        <w:t xml:space="preserve"> chiefs rose from 11 in 2009, to 21 in 2016 (2.5 per cent to 5 per cent).</w:t>
      </w:r>
    </w:p>
    <w:p w14:paraId="444EBA09" w14:textId="0533FD02" w:rsidR="00531966" w:rsidRPr="00DE46F3" w:rsidRDefault="008D635C" w:rsidP="008D635C">
      <w:pPr>
        <w:pStyle w:val="SingleTxt"/>
      </w:pPr>
      <w:r w:rsidRPr="00DE46F3">
        <w:t>88.</w:t>
      </w:r>
      <w:r w:rsidRPr="00DE46F3">
        <w:tab/>
      </w:r>
      <w:r w:rsidR="00531966" w:rsidRPr="00DE46F3">
        <w:t>In terms of local administration, despite an encouraging 24 per cent rate of women as deputy administrator at the municipal level (2 out of 12 municipalities), there are no women administrators.</w:t>
      </w:r>
    </w:p>
    <w:p w14:paraId="367DDDD0" w14:textId="15B35539" w:rsidR="008D635C" w:rsidRPr="00DE46F3" w:rsidRDefault="008D635C" w:rsidP="008D635C">
      <w:pPr>
        <w:pStyle w:val="SingleTxt"/>
        <w:spacing w:after="0" w:line="120" w:lineRule="exact"/>
        <w:rPr>
          <w:sz w:val="10"/>
        </w:rPr>
      </w:pPr>
    </w:p>
    <w:p w14:paraId="1B43CAA8" w14:textId="0330A4CE" w:rsidR="00531966" w:rsidRPr="00DE46F3" w:rsidRDefault="00531966" w:rsidP="008D635C">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en-GB"/>
        </w:rPr>
      </w:pPr>
      <w:r w:rsidRPr="00DE46F3">
        <w:rPr>
          <w:lang w:val="en-GB"/>
        </w:rPr>
        <w:tab/>
      </w:r>
      <w:r w:rsidRPr="00DE46F3">
        <w:rPr>
          <w:lang w:val="en-GB"/>
        </w:rPr>
        <w:tab/>
        <w:t>Remaining challenges</w:t>
      </w:r>
    </w:p>
    <w:p w14:paraId="7C2F1680" w14:textId="427ED564" w:rsidR="008D635C" w:rsidRPr="00DE46F3" w:rsidRDefault="008D635C" w:rsidP="004C60A4">
      <w:pPr>
        <w:pStyle w:val="SingleTxt"/>
        <w:spacing w:after="0" w:line="120" w:lineRule="exact"/>
        <w:rPr>
          <w:sz w:val="10"/>
        </w:rPr>
      </w:pPr>
    </w:p>
    <w:p w14:paraId="12C24B47" w14:textId="50A22D70" w:rsidR="00531966" w:rsidRPr="00DE46F3" w:rsidRDefault="004C60A4" w:rsidP="008D635C">
      <w:pPr>
        <w:pStyle w:val="SingleTxt"/>
      </w:pPr>
      <w:r w:rsidRPr="00DE46F3">
        <w:t>89.</w:t>
      </w:r>
      <w:r w:rsidRPr="00DE46F3">
        <w:tab/>
      </w:r>
      <w:r w:rsidR="00531966" w:rsidRPr="00DE46F3">
        <w:t>The most common issues for the participation of women in political life cited during the Women Congresses were: 1) The lack of support, mobilization and motivation from families and communities for women to become local leader, even among women themselves; 2) The still dominant patriarchal system within communities; 3) Communities do not yet have a good awareness to recognize the potential of women as natural leaders; 4) The lack of will from women to be candidate as they are not yet confident enough to become leaders and face the related responsibilities.</w:t>
      </w:r>
      <w:r w:rsidR="00531966" w:rsidRPr="00DE46F3">
        <w:rPr>
          <w:vertAlign w:val="superscript"/>
        </w:rPr>
        <w:footnoteReference w:id="121"/>
      </w:r>
    </w:p>
    <w:p w14:paraId="78B5EFD6" w14:textId="76BECFE3" w:rsidR="004C60A4" w:rsidRPr="00DE46F3" w:rsidRDefault="004C60A4" w:rsidP="004C60A4">
      <w:pPr>
        <w:pStyle w:val="SingleTxt"/>
        <w:spacing w:after="0" w:line="120" w:lineRule="exact"/>
        <w:rPr>
          <w:sz w:val="10"/>
        </w:rPr>
      </w:pPr>
    </w:p>
    <w:p w14:paraId="113A2E14" w14:textId="55DD39E0" w:rsidR="004C60A4" w:rsidRPr="00DE46F3" w:rsidRDefault="004C60A4" w:rsidP="004C60A4">
      <w:pPr>
        <w:pStyle w:val="SingleTxt"/>
        <w:spacing w:after="0" w:line="120" w:lineRule="exact"/>
        <w:rPr>
          <w:sz w:val="10"/>
        </w:rPr>
      </w:pPr>
    </w:p>
    <w:p w14:paraId="42CE97C4" w14:textId="5B0634EF" w:rsidR="00531966" w:rsidRPr="00DE46F3" w:rsidRDefault="00531966" w:rsidP="004C60A4">
      <w:pPr>
        <w:pStyle w:val="HCh"/>
        <w:tabs>
          <w:tab w:val="clear" w:pos="1742"/>
        </w:tabs>
        <w:ind w:left="1267" w:hanging="1267"/>
      </w:pPr>
      <w:bookmarkStart w:id="40" w:name="_Toc25630036"/>
      <w:bookmarkStart w:id="41" w:name="_Hlk20728609"/>
      <w:r w:rsidRPr="00DE46F3">
        <w:tab/>
      </w:r>
      <w:r w:rsidRPr="00DE46F3">
        <w:tab/>
        <w:t>Women, Peace and Security</w:t>
      </w:r>
      <w:bookmarkEnd w:id="40"/>
      <w:bookmarkEnd w:id="41"/>
    </w:p>
    <w:p w14:paraId="1829A718" w14:textId="10FBF746" w:rsidR="004C60A4" w:rsidRPr="00DE46F3" w:rsidRDefault="004C60A4" w:rsidP="004C60A4">
      <w:pPr>
        <w:pStyle w:val="SingleTxt"/>
        <w:spacing w:after="0" w:line="120" w:lineRule="exact"/>
        <w:rPr>
          <w:sz w:val="10"/>
        </w:rPr>
      </w:pPr>
    </w:p>
    <w:p w14:paraId="2D49EAB5" w14:textId="07BDF707" w:rsidR="004C60A4" w:rsidRPr="00DE46F3" w:rsidRDefault="004C60A4" w:rsidP="004C60A4">
      <w:pPr>
        <w:pStyle w:val="SingleTxt"/>
        <w:spacing w:after="0" w:line="120" w:lineRule="exact"/>
        <w:rPr>
          <w:sz w:val="10"/>
        </w:rPr>
      </w:pPr>
    </w:p>
    <w:p w14:paraId="0AA12428" w14:textId="02B58EB9" w:rsidR="00531966" w:rsidRPr="00DE46F3" w:rsidRDefault="00531966" w:rsidP="004C60A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DE46F3">
        <w:rPr>
          <w:lang w:val="en-GB"/>
        </w:rPr>
        <w:tab/>
      </w:r>
      <w:r w:rsidRPr="00DE46F3">
        <w:rPr>
          <w:lang w:val="en-GB"/>
        </w:rPr>
        <w:tab/>
        <w:t>Development and adoption of the plan</w:t>
      </w:r>
    </w:p>
    <w:p w14:paraId="0A310396" w14:textId="156343B3" w:rsidR="004C60A4" w:rsidRPr="00DE46F3" w:rsidRDefault="004C60A4" w:rsidP="004C60A4">
      <w:pPr>
        <w:pStyle w:val="SingleTxt"/>
        <w:spacing w:after="0" w:line="120" w:lineRule="exact"/>
        <w:rPr>
          <w:sz w:val="10"/>
        </w:rPr>
      </w:pPr>
    </w:p>
    <w:p w14:paraId="62F4BFDC" w14:textId="2A85A9EC" w:rsidR="00531966" w:rsidRPr="00DE46F3" w:rsidRDefault="004C60A4" w:rsidP="004C60A4">
      <w:pPr>
        <w:pStyle w:val="SingleTxt"/>
      </w:pPr>
      <w:r w:rsidRPr="00DE46F3">
        <w:t>90.</w:t>
      </w:r>
      <w:r w:rsidRPr="00DE46F3">
        <w:tab/>
      </w:r>
      <w:r w:rsidR="00531966" w:rsidRPr="00DE46F3">
        <w:t>The National Action Plan on UNSCR 1325 (NAP 1325) was officially adopted in 2016, showing the commitment of the Government to implement the full spectrum of the WPS resolutions.</w:t>
      </w:r>
      <w:r w:rsidR="00531966" w:rsidRPr="00DE46F3">
        <w:rPr>
          <w:vertAlign w:val="superscript"/>
        </w:rPr>
        <w:footnoteReference w:id="122"/>
      </w:r>
      <w:r w:rsidR="00531966" w:rsidRPr="00DE46F3">
        <w:t xml:space="preserve"> It is organized around four pillars (Participation, Prevention, Protection and Peacebuilding), with 12 Government institutions involved.</w:t>
      </w:r>
    </w:p>
    <w:p w14:paraId="62715700" w14:textId="123336C5" w:rsidR="00531966" w:rsidRPr="00DE46F3" w:rsidRDefault="004C60A4" w:rsidP="004C60A4">
      <w:pPr>
        <w:pStyle w:val="SingleTxt"/>
      </w:pPr>
      <w:r w:rsidRPr="00DE46F3">
        <w:t>91.</w:t>
      </w:r>
      <w:r w:rsidRPr="00DE46F3">
        <w:tab/>
      </w:r>
      <w:r w:rsidR="00531966" w:rsidRPr="00DE46F3">
        <w:t>The plan was developed based on the experiences of Timorese women and men, learning from their experiences during and after the war and re-affirming that women continue to struggle to achieve justice and equal rights. As a policy document, it contributes to implementing key CAVR recommendations.</w:t>
      </w:r>
    </w:p>
    <w:p w14:paraId="51C8DD8F" w14:textId="21E8A76B" w:rsidR="004C60A4" w:rsidRPr="00DE46F3" w:rsidRDefault="004C60A4" w:rsidP="004C60A4">
      <w:pPr>
        <w:pStyle w:val="SingleTxt"/>
        <w:spacing w:after="0" w:line="120" w:lineRule="exact"/>
        <w:rPr>
          <w:sz w:val="10"/>
        </w:rPr>
      </w:pPr>
    </w:p>
    <w:p w14:paraId="31239369" w14:textId="4EDEF6B9" w:rsidR="00531966" w:rsidRPr="00DE46F3" w:rsidRDefault="00531966" w:rsidP="004C60A4">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en-GB"/>
        </w:rPr>
      </w:pPr>
      <w:r w:rsidRPr="00DE46F3">
        <w:rPr>
          <w:lang w:val="en-GB"/>
        </w:rPr>
        <w:tab/>
      </w:r>
      <w:r w:rsidRPr="00DE46F3">
        <w:rPr>
          <w:lang w:val="en-GB"/>
        </w:rPr>
        <w:tab/>
        <w:t>Implementation structure</w:t>
      </w:r>
    </w:p>
    <w:p w14:paraId="5AABEF19" w14:textId="56FE2B90" w:rsidR="004C60A4" w:rsidRPr="00DE46F3" w:rsidRDefault="004C60A4" w:rsidP="004C60A4">
      <w:pPr>
        <w:pStyle w:val="SingleTxt"/>
        <w:spacing w:after="0" w:line="120" w:lineRule="exact"/>
        <w:rPr>
          <w:sz w:val="10"/>
        </w:rPr>
      </w:pPr>
    </w:p>
    <w:p w14:paraId="3CDAF903" w14:textId="5B9B99DB" w:rsidR="00531966" w:rsidRPr="00DE46F3" w:rsidRDefault="004C60A4" w:rsidP="004C60A4">
      <w:pPr>
        <w:pStyle w:val="SingleTxt"/>
      </w:pPr>
      <w:r w:rsidRPr="00DE46F3">
        <w:t>92.</w:t>
      </w:r>
      <w:r w:rsidRPr="00DE46F3">
        <w:tab/>
      </w:r>
      <w:r w:rsidR="00531966" w:rsidRPr="00DE46F3">
        <w:t>The Ministry of Interior (MoI), as lead coordinator, strengthened the implementation structure which comprises a Steering Committee, four working groups (one per pillar), the M&amp;E group and a Secretariat. In addition, 27 focal points (17 women and 10 men) have been appointed from the 12 Government institutions and 10 CSOs responsible for implementation, which jointly developed a costing matrix, identifying priorities for 2018</w:t>
      </w:r>
      <w:r w:rsidRPr="00DE46F3">
        <w:t>–</w:t>
      </w:r>
      <w:r w:rsidR="00531966" w:rsidRPr="00DE46F3">
        <w:t>2020.</w:t>
      </w:r>
      <w:r w:rsidR="00531966" w:rsidRPr="00DE46F3">
        <w:rPr>
          <w:vertAlign w:val="superscript"/>
        </w:rPr>
        <w:footnoteReference w:id="123"/>
      </w:r>
    </w:p>
    <w:p w14:paraId="7AE08298" w14:textId="11FF0BD7" w:rsidR="004C60A4" w:rsidRPr="00DE46F3" w:rsidRDefault="004C60A4" w:rsidP="004C60A4">
      <w:pPr>
        <w:pStyle w:val="SingleTxt"/>
        <w:spacing w:after="0" w:line="120" w:lineRule="exact"/>
        <w:rPr>
          <w:sz w:val="10"/>
        </w:rPr>
      </w:pPr>
    </w:p>
    <w:p w14:paraId="378FC813" w14:textId="38CA7CFB" w:rsidR="00531966" w:rsidRPr="00DE46F3" w:rsidRDefault="00531966" w:rsidP="004C60A4">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en-GB"/>
        </w:rPr>
      </w:pPr>
      <w:r w:rsidRPr="00DE46F3">
        <w:rPr>
          <w:lang w:val="en-GB"/>
        </w:rPr>
        <w:tab/>
      </w:r>
      <w:r w:rsidRPr="00DE46F3">
        <w:rPr>
          <w:lang w:val="en-GB"/>
        </w:rPr>
        <w:tab/>
        <w:t>Budgeting and monitoring of the plan</w:t>
      </w:r>
    </w:p>
    <w:p w14:paraId="4B298DD0" w14:textId="5D3897EA" w:rsidR="004C60A4" w:rsidRPr="00DE46F3" w:rsidRDefault="004C60A4" w:rsidP="004C60A4">
      <w:pPr>
        <w:pStyle w:val="SingleTxt"/>
        <w:spacing w:after="0" w:line="120" w:lineRule="exact"/>
        <w:rPr>
          <w:sz w:val="10"/>
        </w:rPr>
      </w:pPr>
    </w:p>
    <w:p w14:paraId="21FB4E88" w14:textId="350A7E16" w:rsidR="00531966" w:rsidRPr="00DE46F3" w:rsidRDefault="004C60A4" w:rsidP="004C60A4">
      <w:pPr>
        <w:pStyle w:val="SingleTxt"/>
      </w:pPr>
      <w:r w:rsidRPr="00DE46F3">
        <w:t>93.</w:t>
      </w:r>
      <w:r w:rsidRPr="00DE46F3">
        <w:tab/>
      </w:r>
      <w:r w:rsidR="00531966" w:rsidRPr="00DE46F3">
        <w:t>After important investment in the 1</w:t>
      </w:r>
      <w:r w:rsidR="00531966" w:rsidRPr="00DE46F3">
        <w:rPr>
          <w:vertAlign w:val="superscript"/>
        </w:rPr>
        <w:t>st</w:t>
      </w:r>
      <w:r w:rsidR="00531966" w:rsidRPr="00DE46F3">
        <w:t xml:space="preserve"> year of implementation, budget allocation were restrained in 2017/2018.</w:t>
      </w:r>
      <w:r w:rsidR="00531966" w:rsidRPr="00DE46F3">
        <w:rPr>
          <w:vertAlign w:val="superscript"/>
        </w:rPr>
        <w:footnoteReference w:id="124"/>
      </w:r>
      <w:r w:rsidR="00531966" w:rsidRPr="00DE46F3">
        <w:t xml:space="preserve"> The recent improvement of the GRB system - which includes a specific focus on the NAP 1325 </w:t>
      </w:r>
      <w:r w:rsidR="00531966" w:rsidRPr="00DE46F3">
        <w:rPr>
          <w:vertAlign w:val="superscript"/>
        </w:rPr>
        <w:footnoteReference w:id="125"/>
      </w:r>
      <w:r w:rsidR="00531966" w:rsidRPr="00DE46F3">
        <w:t xml:space="preserve"> - has translated into a 56 per cent increased allocation (estimated at USD 391,311 for 2019 compared to USD 221,342 in 2018).</w:t>
      </w:r>
    </w:p>
    <w:p w14:paraId="410071C7" w14:textId="2EDE8650" w:rsidR="00531966" w:rsidRPr="00DE46F3" w:rsidRDefault="004C60A4" w:rsidP="004C60A4">
      <w:pPr>
        <w:pStyle w:val="SingleTxt"/>
      </w:pPr>
      <w:r w:rsidRPr="00DE46F3">
        <w:t>94.</w:t>
      </w:r>
      <w:r w:rsidRPr="00DE46F3">
        <w:tab/>
      </w:r>
      <w:r w:rsidR="00531966" w:rsidRPr="00DE46F3">
        <w:t>After 2 years of implementation, 14 of the 47 activities under the NAP 1325 (33 per cent) were implemented across the 4 pillars of the NAP and 8 activities making progress to achieve the planned results by 2020. Progress is on track to achieve at least half of the plan’s results by 2020.</w:t>
      </w:r>
      <w:r w:rsidR="00531966" w:rsidRPr="00DE46F3">
        <w:rPr>
          <w:vertAlign w:val="superscript"/>
        </w:rPr>
        <w:footnoteReference w:id="126"/>
      </w:r>
    </w:p>
    <w:p w14:paraId="29D37159" w14:textId="2FB02558" w:rsidR="004C60A4" w:rsidRPr="00DE46F3" w:rsidRDefault="004C60A4" w:rsidP="004C60A4">
      <w:pPr>
        <w:pStyle w:val="SingleTxt"/>
        <w:spacing w:after="0" w:line="120" w:lineRule="exact"/>
        <w:rPr>
          <w:sz w:val="10"/>
        </w:rPr>
      </w:pPr>
    </w:p>
    <w:p w14:paraId="4919A5E0" w14:textId="749CC1A3" w:rsidR="00531966" w:rsidRPr="00DE46F3" w:rsidRDefault="00531966" w:rsidP="004C60A4">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en-GB"/>
        </w:rPr>
      </w:pPr>
      <w:r w:rsidRPr="00DE46F3">
        <w:rPr>
          <w:lang w:val="en-GB"/>
        </w:rPr>
        <w:tab/>
      </w:r>
      <w:r w:rsidRPr="00DE46F3">
        <w:rPr>
          <w:lang w:val="en-GB"/>
        </w:rPr>
        <w:tab/>
        <w:t>Implementation of the plan</w:t>
      </w:r>
    </w:p>
    <w:p w14:paraId="3CBD85D9" w14:textId="47933F1A" w:rsidR="004C60A4" w:rsidRPr="00DE46F3" w:rsidRDefault="004C60A4" w:rsidP="004C60A4">
      <w:pPr>
        <w:pStyle w:val="SingleTxt"/>
        <w:spacing w:after="0" w:line="120" w:lineRule="exact"/>
        <w:rPr>
          <w:sz w:val="10"/>
        </w:rPr>
      </w:pPr>
    </w:p>
    <w:p w14:paraId="77FD6042" w14:textId="587F1BC9" w:rsidR="00531966" w:rsidRPr="00DE46F3" w:rsidRDefault="004C60A4" w:rsidP="004C60A4">
      <w:pPr>
        <w:pStyle w:val="SingleTxt"/>
      </w:pPr>
      <w:r w:rsidRPr="00DE46F3">
        <w:t>95.</w:t>
      </w:r>
      <w:r w:rsidRPr="00DE46F3">
        <w:tab/>
      </w:r>
      <w:r w:rsidR="00531966" w:rsidRPr="00DE46F3">
        <w:t>Awareness-raising activities targeting community leaders and relevant stakeholders were conducted either by line ministries or CSOs, addressing issues such as GBV and conflict prevention within communities, transformative leadership of women or the memorialization of the role of women during the conflict, etc.</w:t>
      </w:r>
      <w:r w:rsidR="00531966" w:rsidRPr="00DE46F3">
        <w:rPr>
          <w:vertAlign w:val="superscript"/>
        </w:rPr>
        <w:footnoteReference w:id="127"/>
      </w:r>
    </w:p>
    <w:p w14:paraId="4E62B4AB" w14:textId="038BF86A" w:rsidR="00531966" w:rsidRPr="00DE46F3" w:rsidRDefault="004C60A4" w:rsidP="004C60A4">
      <w:pPr>
        <w:pStyle w:val="SingleTxt"/>
      </w:pPr>
      <w:r w:rsidRPr="00DE46F3">
        <w:t>96.</w:t>
      </w:r>
      <w:r w:rsidRPr="00DE46F3">
        <w:tab/>
      </w:r>
      <w:r w:rsidR="00531966" w:rsidRPr="00DE46F3">
        <w:t>The MoI revised its approach to conflict prevention and resolution to ensure stronger involvement of women and vulnerable groups. They revised the 5-year strategy’s mission, vision, principles, goals aligning to the NAP 1325 targets and the SDGs. It also developed gender-responsive tools and training material, adapted with technical and financial support from UN Women. 10 women mediators - out of 34 - were operating in 2017 (to be raised to 18 out of 39 in 2019).</w:t>
      </w:r>
      <w:r w:rsidR="00531966" w:rsidRPr="00DE46F3">
        <w:rPr>
          <w:vertAlign w:val="superscript"/>
        </w:rPr>
        <w:footnoteReference w:id="128"/>
      </w:r>
    </w:p>
    <w:p w14:paraId="3BB9E527" w14:textId="094E6D3B" w:rsidR="00531966" w:rsidRPr="00DE46F3" w:rsidRDefault="004C60A4" w:rsidP="004C60A4">
      <w:pPr>
        <w:pStyle w:val="SingleTxt"/>
      </w:pPr>
      <w:r w:rsidRPr="00DE46F3">
        <w:t>97.</w:t>
      </w:r>
      <w:r w:rsidRPr="00DE46F3">
        <w:tab/>
      </w:r>
      <w:r w:rsidR="00531966" w:rsidRPr="00DE46F3">
        <w:t>Social assistance provided to victims of past conflicts by MSSI and CSOs,</w:t>
      </w:r>
      <w:r w:rsidR="00531966" w:rsidRPr="00DE46F3">
        <w:rPr>
          <w:vertAlign w:val="superscript"/>
        </w:rPr>
        <w:footnoteReference w:id="129"/>
      </w:r>
      <w:r w:rsidR="00531966" w:rsidRPr="00DE46F3">
        <w:t xml:space="preserve"> the establishment of the Chega! National Centre or the inclusion of women in the community peace dialogues conducted by MSSI contribute to the realization of the peacebuilding objective of the NAP.</w:t>
      </w:r>
    </w:p>
    <w:p w14:paraId="6598EB9F" w14:textId="4FE24DD7" w:rsidR="00531966" w:rsidRPr="00DE46F3" w:rsidRDefault="004C60A4" w:rsidP="004C60A4">
      <w:pPr>
        <w:pStyle w:val="SingleTxt"/>
      </w:pPr>
      <w:r w:rsidRPr="00DE46F3">
        <w:t>98.</w:t>
      </w:r>
      <w:r w:rsidRPr="00DE46F3">
        <w:tab/>
      </w:r>
      <w:r w:rsidR="00531966" w:rsidRPr="00DE46F3">
        <w:t>The National Defence Forces (F-FDTL) appointed a gender focal point in 2016 who started implementing trainings on WPS issues in the Peacekeeping Training Centre established in 2017.</w:t>
      </w:r>
    </w:p>
    <w:p w14:paraId="36942687" w14:textId="54CF511A" w:rsidR="00531966" w:rsidRPr="00DE46F3" w:rsidRDefault="004C60A4" w:rsidP="004C60A4">
      <w:pPr>
        <w:pStyle w:val="SingleTxt"/>
      </w:pPr>
      <w:r w:rsidRPr="00DE46F3">
        <w:t>99.</w:t>
      </w:r>
      <w:r w:rsidRPr="00DE46F3">
        <w:tab/>
      </w:r>
      <w:r w:rsidR="00531966" w:rsidRPr="00DE46F3">
        <w:t>Finally, the 2018-2022 gender strategy established and launched by PNTL</w:t>
      </w:r>
      <w:r w:rsidR="00531966" w:rsidRPr="00DE46F3">
        <w:rPr>
          <w:vertAlign w:val="superscript"/>
        </w:rPr>
        <w:footnoteReference w:id="130"/>
      </w:r>
      <w:r w:rsidR="00531966" w:rsidRPr="00DE46F3">
        <w:t xml:space="preserve"> fulfils various objectives of the NAP illustrated by the development of training activities to provide services according to the specific security needs of men and women, or in terms of participation by establishing a 15 per cent quota of women in each recruitment campaign within PNTL.</w:t>
      </w:r>
      <w:r w:rsidR="00531966" w:rsidRPr="00DE46F3">
        <w:rPr>
          <w:vertAlign w:val="superscript"/>
        </w:rPr>
        <w:footnoteReference w:id="131"/>
      </w:r>
      <w:r w:rsidR="00531966" w:rsidRPr="00DE46F3">
        <w:rPr>
          <w:vertAlign w:val="superscript"/>
        </w:rPr>
        <w:t xml:space="preserve"> </w:t>
      </w:r>
      <w:r w:rsidR="00531966" w:rsidRPr="00DE46F3">
        <w:t>Nonetheless, the current rate of women within PNTL already reached 15 per cent in 2018, representing a steady decline since 2001 (18 per cent).</w:t>
      </w:r>
    </w:p>
    <w:p w14:paraId="306744CA" w14:textId="056F9356" w:rsidR="004C60A4" w:rsidRPr="00DE46F3" w:rsidRDefault="004C60A4" w:rsidP="004C60A4">
      <w:pPr>
        <w:pStyle w:val="SingleTxt"/>
        <w:spacing w:after="0" w:line="120" w:lineRule="exact"/>
        <w:rPr>
          <w:sz w:val="10"/>
        </w:rPr>
      </w:pPr>
    </w:p>
    <w:p w14:paraId="2473EEF6" w14:textId="5F97383F" w:rsidR="004C60A4" w:rsidRPr="00DE46F3" w:rsidRDefault="004C60A4" w:rsidP="004C60A4">
      <w:pPr>
        <w:pStyle w:val="SingleTxt"/>
        <w:spacing w:after="0" w:line="120" w:lineRule="exact"/>
        <w:rPr>
          <w:sz w:val="10"/>
        </w:rPr>
      </w:pPr>
    </w:p>
    <w:p w14:paraId="6C96D4DE" w14:textId="605989F6" w:rsidR="00531966" w:rsidRPr="00DE46F3" w:rsidRDefault="00531966" w:rsidP="004C60A4">
      <w:pPr>
        <w:pStyle w:val="HCh"/>
        <w:tabs>
          <w:tab w:val="clear" w:pos="1742"/>
        </w:tabs>
        <w:ind w:left="1267" w:hanging="1267"/>
      </w:pPr>
      <w:bookmarkStart w:id="43" w:name="_Toc10641664"/>
      <w:bookmarkStart w:id="44" w:name="_Toc25630037"/>
      <w:r w:rsidRPr="00DE46F3">
        <w:tab/>
      </w:r>
      <w:r w:rsidRPr="00DE46F3">
        <w:tab/>
        <w:t>Article 8: Participation at International Level</w:t>
      </w:r>
      <w:bookmarkEnd w:id="43"/>
      <w:bookmarkEnd w:id="44"/>
    </w:p>
    <w:p w14:paraId="660E796F" w14:textId="545573B6" w:rsidR="004C60A4" w:rsidRPr="00DE46F3" w:rsidRDefault="004C60A4" w:rsidP="004C60A4">
      <w:pPr>
        <w:pStyle w:val="SingleTxt"/>
        <w:spacing w:after="0" w:line="120" w:lineRule="exact"/>
        <w:rPr>
          <w:sz w:val="10"/>
        </w:rPr>
      </w:pPr>
    </w:p>
    <w:p w14:paraId="6D44E588" w14:textId="07267923" w:rsidR="004C60A4" w:rsidRPr="00DE46F3" w:rsidRDefault="004C60A4" w:rsidP="004C60A4">
      <w:pPr>
        <w:pStyle w:val="SingleTxt"/>
        <w:spacing w:after="0" w:line="120" w:lineRule="exact"/>
        <w:rPr>
          <w:sz w:val="10"/>
        </w:rPr>
      </w:pPr>
    </w:p>
    <w:p w14:paraId="717141F4" w14:textId="6B9E4E72" w:rsidR="00531966" w:rsidRPr="00DE46F3" w:rsidRDefault="004C60A4" w:rsidP="004C60A4">
      <w:pPr>
        <w:pStyle w:val="SingleTxt"/>
      </w:pPr>
      <w:r w:rsidRPr="00DE46F3">
        <w:t>100.</w:t>
      </w:r>
      <w:r w:rsidRPr="00DE46F3">
        <w:tab/>
      </w:r>
      <w:r w:rsidR="00531966" w:rsidRPr="00DE46F3">
        <w:t>(No significant update in the reporting period).</w:t>
      </w:r>
    </w:p>
    <w:p w14:paraId="33345BF5" w14:textId="0A8EFEA0" w:rsidR="004C60A4" w:rsidRPr="00DE46F3" w:rsidRDefault="004C60A4" w:rsidP="004C60A4">
      <w:pPr>
        <w:pStyle w:val="SingleTxt"/>
        <w:spacing w:after="0" w:line="120" w:lineRule="exact"/>
        <w:rPr>
          <w:sz w:val="10"/>
        </w:rPr>
      </w:pPr>
    </w:p>
    <w:p w14:paraId="2ACAE78A" w14:textId="2763DCF7" w:rsidR="004C60A4" w:rsidRPr="00DE46F3" w:rsidRDefault="004C60A4" w:rsidP="004C60A4">
      <w:pPr>
        <w:pStyle w:val="SingleTxt"/>
        <w:spacing w:after="0" w:line="120" w:lineRule="exact"/>
        <w:rPr>
          <w:sz w:val="10"/>
        </w:rPr>
      </w:pPr>
    </w:p>
    <w:p w14:paraId="20FC30D8" w14:textId="543E697D" w:rsidR="00531966" w:rsidRPr="00DE46F3" w:rsidRDefault="004C60A4" w:rsidP="004C60A4">
      <w:pPr>
        <w:pStyle w:val="HCh"/>
        <w:tabs>
          <w:tab w:val="clear" w:pos="1742"/>
        </w:tabs>
        <w:ind w:left="1267" w:hanging="1267"/>
      </w:pPr>
      <w:bookmarkStart w:id="45" w:name="_Toc10641665"/>
      <w:bookmarkStart w:id="46" w:name="_Toc25630038"/>
      <w:r w:rsidRPr="00DE46F3">
        <w:tab/>
      </w:r>
      <w:r w:rsidR="00531966" w:rsidRPr="00DE46F3">
        <w:tab/>
        <w:t>Article 9: Nationality</w:t>
      </w:r>
      <w:bookmarkEnd w:id="45"/>
      <w:bookmarkEnd w:id="46"/>
      <w:r w:rsidR="00531966" w:rsidRPr="00DE46F3">
        <w:t xml:space="preserve"> </w:t>
      </w:r>
    </w:p>
    <w:p w14:paraId="7961B527" w14:textId="248B3D06" w:rsidR="004C60A4" w:rsidRPr="00DE46F3" w:rsidRDefault="004C60A4" w:rsidP="004C60A4">
      <w:pPr>
        <w:pStyle w:val="SingleTxt"/>
        <w:spacing w:after="0" w:line="120" w:lineRule="exact"/>
        <w:rPr>
          <w:sz w:val="10"/>
        </w:rPr>
      </w:pPr>
    </w:p>
    <w:p w14:paraId="0CB0DCBC" w14:textId="7810CBB2" w:rsidR="004C60A4" w:rsidRPr="00DE46F3" w:rsidRDefault="004C60A4" w:rsidP="004C60A4">
      <w:pPr>
        <w:pStyle w:val="SingleTxt"/>
        <w:spacing w:after="0" w:line="120" w:lineRule="exact"/>
        <w:rPr>
          <w:sz w:val="10"/>
        </w:rPr>
      </w:pPr>
    </w:p>
    <w:p w14:paraId="05EA840C" w14:textId="788994A1" w:rsidR="00531966" w:rsidRPr="00DE46F3" w:rsidRDefault="004C60A4" w:rsidP="004C60A4">
      <w:pPr>
        <w:pStyle w:val="SingleTxt"/>
      </w:pPr>
      <w:r w:rsidRPr="00DE46F3">
        <w:t>101.</w:t>
      </w:r>
      <w:r w:rsidRPr="00DE46F3">
        <w:tab/>
      </w:r>
      <w:r w:rsidR="00531966" w:rsidRPr="00DE46F3">
        <w:t>(No significant update in the reporting period).</w:t>
      </w:r>
    </w:p>
    <w:p w14:paraId="5117D64E" w14:textId="1A8544E1" w:rsidR="004C60A4" w:rsidRPr="00DE46F3" w:rsidRDefault="004C60A4" w:rsidP="004C60A4">
      <w:pPr>
        <w:pStyle w:val="SingleTxt"/>
        <w:spacing w:after="0" w:line="120" w:lineRule="exact"/>
        <w:rPr>
          <w:sz w:val="10"/>
        </w:rPr>
      </w:pPr>
    </w:p>
    <w:p w14:paraId="05B03DB7" w14:textId="17A95234" w:rsidR="004C60A4" w:rsidRPr="00DE46F3" w:rsidRDefault="004C60A4" w:rsidP="004C60A4">
      <w:pPr>
        <w:pStyle w:val="SingleTxt"/>
        <w:spacing w:after="0" w:line="120" w:lineRule="exact"/>
        <w:rPr>
          <w:sz w:val="10"/>
        </w:rPr>
      </w:pPr>
    </w:p>
    <w:p w14:paraId="10D86EF8" w14:textId="211DFDBE" w:rsidR="00531966" w:rsidRPr="00DE46F3" w:rsidRDefault="004C60A4" w:rsidP="004C60A4">
      <w:pPr>
        <w:pStyle w:val="HCh"/>
        <w:tabs>
          <w:tab w:val="clear" w:pos="1742"/>
        </w:tabs>
        <w:ind w:left="1267" w:hanging="1267"/>
      </w:pPr>
      <w:bookmarkStart w:id="47" w:name="_Toc10641666"/>
      <w:bookmarkStart w:id="48" w:name="_Hlk20729096"/>
      <w:bookmarkStart w:id="49" w:name="_Toc25630039"/>
      <w:r w:rsidRPr="00DE46F3">
        <w:tab/>
      </w:r>
      <w:r w:rsidR="00531966" w:rsidRPr="00DE46F3">
        <w:tab/>
        <w:t>Article 10: Equality in Access to Education</w:t>
      </w:r>
      <w:bookmarkEnd w:id="47"/>
      <w:bookmarkEnd w:id="48"/>
      <w:bookmarkEnd w:id="49"/>
    </w:p>
    <w:p w14:paraId="2BA97F02" w14:textId="207A3B08" w:rsidR="004C60A4" w:rsidRPr="00DE46F3" w:rsidRDefault="004C60A4" w:rsidP="004C60A4">
      <w:pPr>
        <w:pStyle w:val="SingleTxt"/>
        <w:spacing w:after="0" w:line="120" w:lineRule="exact"/>
        <w:rPr>
          <w:sz w:val="10"/>
        </w:rPr>
      </w:pPr>
    </w:p>
    <w:p w14:paraId="5A25D2D2" w14:textId="2D4DB81F" w:rsidR="00531966" w:rsidRPr="00DE46F3" w:rsidRDefault="004C60A4" w:rsidP="004C60A4">
      <w:pPr>
        <w:pStyle w:val="SingleTxt"/>
      </w:pPr>
      <w:r w:rsidRPr="00DE46F3">
        <w:t>102.</w:t>
      </w:r>
      <w:r w:rsidRPr="00DE46F3">
        <w:tab/>
      </w:r>
      <w:r w:rsidR="00531966" w:rsidRPr="00DE46F3">
        <w:t>Education for all is a key priority of the Government, included in the National 2011</w:t>
      </w:r>
      <w:r w:rsidR="00AD03F7" w:rsidRPr="00DE46F3">
        <w:t>–</w:t>
      </w:r>
      <w:r w:rsidR="00531966" w:rsidRPr="00DE46F3">
        <w:t>2030 Strategic Development Plan (SDP).</w:t>
      </w:r>
    </w:p>
    <w:p w14:paraId="6107A9B6" w14:textId="7E0686AD" w:rsidR="003B0770" w:rsidRPr="00DE46F3" w:rsidRDefault="003B0770" w:rsidP="003B0770">
      <w:pPr>
        <w:pStyle w:val="SingleTxt"/>
        <w:spacing w:after="0" w:line="120" w:lineRule="exact"/>
        <w:rPr>
          <w:sz w:val="10"/>
        </w:rPr>
      </w:pPr>
    </w:p>
    <w:p w14:paraId="5B6999B3" w14:textId="7D3A55CB" w:rsidR="003B0770" w:rsidRPr="00DE46F3" w:rsidRDefault="003B0770" w:rsidP="003B0770">
      <w:pPr>
        <w:pStyle w:val="SingleTxt"/>
        <w:spacing w:after="0" w:line="120" w:lineRule="exact"/>
        <w:rPr>
          <w:sz w:val="10"/>
        </w:rPr>
      </w:pPr>
    </w:p>
    <w:p w14:paraId="78159B00" w14:textId="3675163C" w:rsidR="00531966" w:rsidRPr="00DE46F3" w:rsidRDefault="00531966" w:rsidP="003B0770">
      <w:pPr>
        <w:pStyle w:val="H1"/>
        <w:tabs>
          <w:tab w:val="clear" w:pos="1742"/>
        </w:tabs>
        <w:ind w:right="0"/>
      </w:pPr>
      <w:r w:rsidRPr="00DE46F3">
        <w:tab/>
      </w:r>
      <w:r w:rsidRPr="00DE46F3">
        <w:tab/>
        <w:t>Trends in access to Education</w:t>
      </w:r>
    </w:p>
    <w:p w14:paraId="44E2D7E2" w14:textId="4C05481A" w:rsidR="003B0770" w:rsidRPr="00DE46F3" w:rsidRDefault="003B0770" w:rsidP="003B0770">
      <w:pPr>
        <w:pStyle w:val="SingleTxt"/>
        <w:spacing w:after="0" w:line="120" w:lineRule="exact"/>
        <w:rPr>
          <w:sz w:val="10"/>
        </w:rPr>
      </w:pPr>
    </w:p>
    <w:p w14:paraId="01ABF0CE" w14:textId="3C41BCC4" w:rsidR="003B0770" w:rsidRPr="00DE46F3" w:rsidRDefault="003B0770" w:rsidP="003B0770">
      <w:pPr>
        <w:pStyle w:val="SingleTxt"/>
        <w:spacing w:after="0" w:line="120" w:lineRule="exact"/>
        <w:rPr>
          <w:sz w:val="10"/>
        </w:rPr>
      </w:pPr>
    </w:p>
    <w:p w14:paraId="6FE85199" w14:textId="09536F4B" w:rsidR="00531966" w:rsidRPr="00DE46F3" w:rsidRDefault="003B0770" w:rsidP="003B0770">
      <w:pPr>
        <w:pStyle w:val="SingleTxt"/>
      </w:pPr>
      <w:r w:rsidRPr="00DE46F3">
        <w:t>103.</w:t>
      </w:r>
      <w:r w:rsidRPr="00DE46F3">
        <w:tab/>
      </w:r>
      <w:r w:rsidR="00531966" w:rsidRPr="00DE46F3">
        <w:t>In 2015, 26 per cent of the population aged 6 years and over had never attended school, with a higher proportion among females (29.4 per cent) than males (22.7 per cent). The rate of attendance at school by age group however shows how access in education has improved significantly in recent times. Compared to previous years, in 2015 more youth were attending school, and were staying in school longer with 56 per cent of young people between 15 and 24 years old in school.</w:t>
      </w:r>
      <w:r w:rsidR="00531966" w:rsidRPr="00DE46F3">
        <w:rPr>
          <w:vertAlign w:val="superscript"/>
        </w:rPr>
        <w:footnoteReference w:id="132"/>
      </w:r>
      <w:r w:rsidR="00531966" w:rsidRPr="00DE46F3">
        <w:t xml:space="preserve"> According to administrative data, the enrolment trend of both boys and girls has been regularly raising at primary level, reaching a net enrolment rate (NER) of 86.1 per cent (Grosse enrolment rate </w:t>
      </w:r>
      <w:r w:rsidR="00AD03F7" w:rsidRPr="00DE46F3">
        <w:t>–</w:t>
      </w:r>
      <w:r w:rsidR="00531966" w:rsidRPr="00DE46F3">
        <w:t xml:space="preserve"> GER: 101.7 per cent) compared to 72 per cent in 2015. At general secondary level, enrolment rose from 45,500 students (51.8 per cent of girls) in 2015 to 49,582 in 2017 (54 per cent of girls) reaching a NER of 28.8 per cent (GER: 57.5</w:t>
      </w:r>
      <w:r w:rsidR="00F156F1">
        <w:t xml:space="preserve"> </w:t>
      </w:r>
      <w:r w:rsidR="00531966" w:rsidRPr="00DE46F3">
        <w:t>per cent). This has occurred even faster at vocational secondary education: from 6,022 in 2015 (41.2 per cent women) to 12.351 (40.6 per cent women) in 2017, reaching a NER of 7.4 per cent (GER: 14.3 per cent).</w:t>
      </w:r>
      <w:r w:rsidR="00531966" w:rsidRPr="00DE46F3">
        <w:rPr>
          <w:vertAlign w:val="superscript"/>
        </w:rPr>
        <w:footnoteReference w:id="133"/>
      </w:r>
    </w:p>
    <w:p w14:paraId="3E8F4B80" w14:textId="0DDA78FB" w:rsidR="00531966" w:rsidRPr="00DE46F3" w:rsidRDefault="003B0770" w:rsidP="003B0770">
      <w:pPr>
        <w:pStyle w:val="SingleTxt"/>
      </w:pPr>
      <w:r w:rsidRPr="00DE46F3">
        <w:t>104.</w:t>
      </w:r>
      <w:r w:rsidRPr="00DE46F3">
        <w:tab/>
      </w:r>
      <w:r w:rsidR="00531966" w:rsidRPr="00DE46F3">
        <w:t>Moreover, the gender gap in education has been narrowed, improving or surpassing gender parity in education in almost all regions across the country. According to administrative data, girls to boys ratio reached 96.1 per cent at primary level, 117 per cent at secondary – indicating that there are more girls at the appropriate age in school than boys – and 68.5 per cent in vocational secondary level.</w:t>
      </w:r>
      <w:r w:rsidR="00531966" w:rsidRPr="00DE46F3">
        <w:rPr>
          <w:vertAlign w:val="superscript"/>
        </w:rPr>
        <w:footnoteReference w:id="134"/>
      </w:r>
      <w:r w:rsidR="00531966" w:rsidRPr="00DE46F3">
        <w:t xml:space="preserve"> According to the 2015 Census, the gender parity index was 1 at primary level, 1.21 and 1.20 at pre-secondary and secondary education respectively. The difference can be explained by the higher repetition rate of boys (5 per cent of boys repeated their 6th grade compared to 3 per cent of girls in 2016).</w:t>
      </w:r>
      <w:r w:rsidR="00531966" w:rsidRPr="00DE46F3">
        <w:rPr>
          <w:vertAlign w:val="superscript"/>
        </w:rPr>
        <w:footnoteReference w:id="135"/>
      </w:r>
      <w:r w:rsidR="00531966" w:rsidRPr="00DE46F3">
        <w:t xml:space="preserve"> </w:t>
      </w:r>
    </w:p>
    <w:p w14:paraId="115FE4D7" w14:textId="26DAD3AA" w:rsidR="00AD03F7" w:rsidRPr="00DE46F3" w:rsidRDefault="00AD03F7" w:rsidP="00AD03F7">
      <w:pPr>
        <w:pStyle w:val="SingleTxt"/>
        <w:spacing w:after="0" w:line="120" w:lineRule="exact"/>
        <w:rPr>
          <w:sz w:val="10"/>
        </w:rPr>
      </w:pPr>
    </w:p>
    <w:p w14:paraId="1A503D27" w14:textId="59A94502" w:rsidR="00531966" w:rsidRPr="00DE46F3" w:rsidRDefault="00531966" w:rsidP="003B0770">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en-GB"/>
        </w:rPr>
      </w:pPr>
      <w:r w:rsidRPr="00DE46F3">
        <w:rPr>
          <w:lang w:val="en-GB"/>
        </w:rPr>
        <w:tab/>
      </w:r>
      <w:r w:rsidRPr="00DE46F3">
        <w:rPr>
          <w:lang w:val="en-GB"/>
        </w:rPr>
        <w:tab/>
        <w:t xml:space="preserve">Efforts toward retention of girls in schools </w:t>
      </w:r>
    </w:p>
    <w:p w14:paraId="4DC95084" w14:textId="714BECF3" w:rsidR="003B0770" w:rsidRPr="00DE46F3" w:rsidRDefault="003B0770" w:rsidP="003B0770">
      <w:pPr>
        <w:pStyle w:val="SingleTxt"/>
        <w:spacing w:after="0" w:line="120" w:lineRule="exact"/>
        <w:rPr>
          <w:sz w:val="10"/>
        </w:rPr>
      </w:pPr>
    </w:p>
    <w:p w14:paraId="1346B7DE" w14:textId="62E18346" w:rsidR="00531966" w:rsidRPr="00DE46F3" w:rsidRDefault="003B0770" w:rsidP="003B0770">
      <w:pPr>
        <w:pStyle w:val="SingleTxt"/>
      </w:pPr>
      <w:r w:rsidRPr="00DE46F3">
        <w:t>105.</w:t>
      </w:r>
      <w:r w:rsidRPr="00DE46F3">
        <w:tab/>
      </w:r>
      <w:r w:rsidR="00531966" w:rsidRPr="00DE46F3">
        <w:t>A National Policy for Inclusive Education was adopted in 2017 by the Ministry of Education (MoE)</w:t>
      </w:r>
      <w:r w:rsidR="00531966" w:rsidRPr="00DE46F3">
        <w:rPr>
          <w:vertAlign w:val="superscript"/>
        </w:rPr>
        <w:footnoteReference w:id="136"/>
      </w:r>
      <w:r w:rsidR="00531966" w:rsidRPr="00DE46F3">
        <w:t xml:space="preserve"> through the Government Resolution N° 18/2017 which emphasises specific gender issues.</w:t>
      </w:r>
      <w:r w:rsidR="00531966" w:rsidRPr="00DE46F3">
        <w:rPr>
          <w:vertAlign w:val="superscript"/>
        </w:rPr>
        <w:footnoteReference w:id="137"/>
      </w:r>
      <w:r w:rsidR="00531966" w:rsidRPr="00DE46F3">
        <w:t xml:space="preserve"> Its main objectives are, </w:t>
      </w:r>
      <w:r w:rsidR="00531966" w:rsidRPr="00DE46F3">
        <w:rPr>
          <w:i/>
          <w:iCs/>
        </w:rPr>
        <w:t>inter alia</w:t>
      </w:r>
      <w:r w:rsidR="00531966" w:rsidRPr="00DE46F3">
        <w:t>, to improve enrolment rates at all levels of education, reduce the repetition and drop-out rate, strengthen non-formal learning programs and develop a</w:t>
      </w:r>
      <w:r w:rsidR="00531966" w:rsidRPr="00DE46F3">
        <w:rPr>
          <w:i/>
          <w:iCs/>
        </w:rPr>
        <w:t xml:space="preserve"> </w:t>
      </w:r>
      <w:r w:rsidR="00531966" w:rsidRPr="00DE46F3">
        <w:t>healthy environment, capable of protecting children's rights.</w:t>
      </w:r>
    </w:p>
    <w:p w14:paraId="1B088A0E" w14:textId="2AC8114E" w:rsidR="00531966" w:rsidRPr="00DE46F3" w:rsidRDefault="003B0770" w:rsidP="003B0770">
      <w:pPr>
        <w:pStyle w:val="SingleTxt"/>
      </w:pPr>
      <w:r w:rsidRPr="00DE46F3">
        <w:t>106.</w:t>
      </w:r>
      <w:r w:rsidRPr="00DE46F3">
        <w:tab/>
      </w:r>
      <w:r w:rsidR="00531966" w:rsidRPr="00DE46F3">
        <w:t>It provides to give special attention on “</w:t>
      </w:r>
      <w:r w:rsidR="00531966" w:rsidRPr="00DE46F3">
        <w:rPr>
          <w:i/>
          <w:iCs/>
        </w:rPr>
        <w:t>Teacher training in identifying students at risk of failing or dropping out of school</w:t>
      </w:r>
      <w:r w:rsidR="00531966" w:rsidRPr="00DE46F3">
        <w:t>”</w:t>
      </w:r>
      <w:r w:rsidR="00531966" w:rsidRPr="00DE46F3">
        <w:rPr>
          <w:i/>
          <w:iCs/>
        </w:rPr>
        <w:t xml:space="preserve"> </w:t>
      </w:r>
      <w:r w:rsidR="00531966" w:rsidRPr="00DE46F3">
        <w:t>and promotes school-parents and school-community collaboration</w:t>
      </w:r>
      <w:r w:rsidR="00531966" w:rsidRPr="00DE46F3">
        <w:rPr>
          <w:i/>
          <w:iCs/>
        </w:rPr>
        <w:t xml:space="preserve"> </w:t>
      </w:r>
      <w:r w:rsidR="00531966" w:rsidRPr="00DE46F3">
        <w:t>through the Parent’s Councils already established in all schools across the country. M</w:t>
      </w:r>
      <w:r w:rsidRPr="00DE46F3">
        <w:t>o</w:t>
      </w:r>
      <w:r w:rsidR="00531966" w:rsidRPr="00DE46F3">
        <w:t>reover, MSSI, supported by UNICEF, raises parents’ awareness through community sessions, radio shows and local theatre productions to reinforce positive parenting messages, especially in remotes municipalities of Viqueque and Ermera, reaching more than 25,000 parents and caregivers between 2017 and 2018.</w:t>
      </w:r>
      <w:r w:rsidR="00531966" w:rsidRPr="00DE46F3">
        <w:rPr>
          <w:vertAlign w:val="superscript"/>
        </w:rPr>
        <w:footnoteReference w:id="138"/>
      </w:r>
    </w:p>
    <w:p w14:paraId="31A4FCB9" w14:textId="681F1117" w:rsidR="00531966" w:rsidRPr="00DE46F3" w:rsidRDefault="003B0770" w:rsidP="003B0770">
      <w:pPr>
        <w:pStyle w:val="SingleTxt"/>
      </w:pPr>
      <w:r w:rsidRPr="00DE46F3">
        <w:t>107.</w:t>
      </w:r>
      <w:r w:rsidRPr="00DE46F3">
        <w:tab/>
      </w:r>
      <w:r w:rsidR="00531966" w:rsidRPr="00DE46F3">
        <w:t>The policy also aims to promote “the importance of girls' education and awareness of communities in this regard” as well as to “strengthen gender equality-oriented socialization at an early age”.</w:t>
      </w:r>
      <w:r w:rsidR="00531966" w:rsidRPr="00DE46F3">
        <w:rPr>
          <w:vertAlign w:val="superscript"/>
        </w:rPr>
        <w:footnoteReference w:id="139"/>
      </w:r>
      <w:r w:rsidR="00531966" w:rsidRPr="00DE46F3">
        <w:t xml:space="preserve"> Efforts have been undertaken by the MEJD, supported by UNICEF, to develop community-led learnings through community pre</w:t>
      </w:r>
      <w:r w:rsidR="00F156F1">
        <w:noBreakHyphen/>
      </w:r>
      <w:r w:rsidR="00531966" w:rsidRPr="00DE46F3">
        <w:t>schools as a way of reaching children in remote and isolated communities to increase access to education and raising awareness of parents on the importance of education.</w:t>
      </w:r>
      <w:r w:rsidR="00531966" w:rsidRPr="00DE46F3">
        <w:rPr>
          <w:vertAlign w:val="superscript"/>
        </w:rPr>
        <w:footnoteReference w:id="140"/>
      </w:r>
      <w:r w:rsidR="00531966" w:rsidRPr="00DE46F3">
        <w:t xml:space="preserve"> In 2015, the Gender Parity Index at this level of education was strongly in favour of girls (1.70).</w:t>
      </w:r>
      <w:r w:rsidR="00531966" w:rsidRPr="00DE46F3">
        <w:rPr>
          <w:vertAlign w:val="superscript"/>
        </w:rPr>
        <w:footnoteReference w:id="141"/>
      </w:r>
    </w:p>
    <w:p w14:paraId="2180238B" w14:textId="2CFDB7AB" w:rsidR="00531966" w:rsidRPr="00DE46F3" w:rsidRDefault="003B0770" w:rsidP="003B0770">
      <w:pPr>
        <w:pStyle w:val="SingleTxt"/>
      </w:pPr>
      <w:r w:rsidRPr="00DE46F3">
        <w:t>108.</w:t>
      </w:r>
      <w:r w:rsidRPr="00DE46F3">
        <w:tab/>
      </w:r>
      <w:r w:rsidR="00531966" w:rsidRPr="00DE46F3">
        <w:t>The MEJD carried out an analysis of classrooms for each school, forming the basis of a sanitation and hygiene (WASH) strategy (2020-2025). It provides the minimum standards with separate and adequate sanitation facilities for girls.</w:t>
      </w:r>
      <w:r w:rsidR="00531966" w:rsidRPr="00DE46F3">
        <w:rPr>
          <w:vertAlign w:val="superscript"/>
        </w:rPr>
        <w:footnoteReference w:id="142"/>
      </w:r>
      <w:r w:rsidR="00531966" w:rsidRPr="00DE46F3">
        <w:t xml:space="preserve"> Overall, the MEJD estimates that 9,000 new toilets are needed and 2,700 need to be rehabilitated.</w:t>
      </w:r>
      <w:r w:rsidR="00531966" w:rsidRPr="00DE46F3">
        <w:rPr>
          <w:vertAlign w:val="superscript"/>
        </w:rPr>
        <w:footnoteReference w:id="143"/>
      </w:r>
    </w:p>
    <w:p w14:paraId="4BE05945" w14:textId="7D08FA32" w:rsidR="00531966" w:rsidRPr="00DE46F3" w:rsidRDefault="003B0770" w:rsidP="003B0770">
      <w:pPr>
        <w:pStyle w:val="SingleTxt"/>
      </w:pPr>
      <w:r w:rsidRPr="00DE46F3">
        <w:t>109.</w:t>
      </w:r>
      <w:r w:rsidRPr="00DE46F3">
        <w:tab/>
      </w:r>
      <w:r w:rsidR="00531966" w:rsidRPr="00DE46F3">
        <w:t>Generally, significant progress was observed. While 70 per cent of public schools had an improved water source in 2016,</w:t>
      </w:r>
      <w:r w:rsidR="00531966" w:rsidRPr="00DE46F3">
        <w:rPr>
          <w:vertAlign w:val="superscript"/>
        </w:rPr>
        <w:footnoteReference w:id="144"/>
      </w:r>
      <w:r w:rsidR="00531966" w:rsidRPr="00DE46F3">
        <w:t xml:space="preserve"> this rate has raised to 78 per cent among the 1,426 schools in 2019, providing water to 90 per cent of students in public schools.</w:t>
      </w:r>
      <w:r w:rsidR="00531966" w:rsidRPr="00DE46F3">
        <w:rPr>
          <w:vertAlign w:val="superscript"/>
        </w:rPr>
        <w:footnoteReference w:id="145"/>
      </w:r>
      <w:r w:rsidR="00531966" w:rsidRPr="00DE46F3">
        <w:t xml:space="preserve"> School-community cooperation was also enhanced through the creation of School Water and Sanitation (BESI) Teams comprised of teachers, parents and students to monitor and repair minor damages.</w:t>
      </w:r>
      <w:r w:rsidR="00531966" w:rsidRPr="00DE46F3">
        <w:rPr>
          <w:vertAlign w:val="superscript"/>
        </w:rPr>
        <w:footnoteReference w:id="146"/>
      </w:r>
    </w:p>
    <w:p w14:paraId="5C7354C9" w14:textId="4F889057" w:rsidR="003B0770" w:rsidRPr="00DE46F3" w:rsidRDefault="003B0770" w:rsidP="003B0770">
      <w:pPr>
        <w:pStyle w:val="SingleTxt"/>
        <w:spacing w:after="0" w:line="120" w:lineRule="exact"/>
        <w:rPr>
          <w:sz w:val="10"/>
        </w:rPr>
      </w:pPr>
    </w:p>
    <w:p w14:paraId="78CD9ABB" w14:textId="28709E0B" w:rsidR="00531966" w:rsidRPr="00DE46F3" w:rsidRDefault="00531966" w:rsidP="003B0770">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en-GB"/>
        </w:rPr>
      </w:pPr>
      <w:r w:rsidRPr="00DE46F3">
        <w:rPr>
          <w:lang w:val="en-GB"/>
        </w:rPr>
        <w:tab/>
      </w:r>
      <w:r w:rsidRPr="00DE46F3">
        <w:rPr>
          <w:lang w:val="en-GB"/>
        </w:rPr>
        <w:tab/>
        <w:t>Physical violence</w:t>
      </w:r>
    </w:p>
    <w:p w14:paraId="036BDDE6" w14:textId="4CA0B349" w:rsidR="003B0770" w:rsidRPr="00DE46F3" w:rsidRDefault="003B0770" w:rsidP="003B0770">
      <w:pPr>
        <w:pStyle w:val="SingleTxt"/>
        <w:spacing w:after="0" w:line="120" w:lineRule="exact"/>
        <w:rPr>
          <w:sz w:val="10"/>
        </w:rPr>
      </w:pPr>
    </w:p>
    <w:p w14:paraId="02B60301" w14:textId="07165E73" w:rsidR="00531966" w:rsidRPr="00DE46F3" w:rsidRDefault="003B0770" w:rsidP="003B0770">
      <w:pPr>
        <w:pStyle w:val="SingleTxt"/>
      </w:pPr>
      <w:r w:rsidRPr="00DE46F3">
        <w:t>110.</w:t>
      </w:r>
      <w:r w:rsidRPr="00DE46F3">
        <w:tab/>
      </w:r>
      <w:r w:rsidR="00531966" w:rsidRPr="00DE46F3">
        <w:t>A comprehensive research on violence against children in and around educational settings was commissioned by the MoE, the Commission for the Rights of the Child and UNICEF and conducted in 2015 in partnership with international and a national CSOs. Findings suggest that physical violence perpetrated by teachers is a generally accepted practice, primarily for the purpose of punishment. 71 per cent of children reported having experienced physical violence by a teacher</w:t>
      </w:r>
      <w:r w:rsidR="00531966" w:rsidRPr="00DE46F3">
        <w:rPr>
          <w:vertAlign w:val="superscript"/>
        </w:rPr>
        <w:footnoteReference w:id="147"/>
      </w:r>
      <w:r w:rsidR="00531966" w:rsidRPr="00DE46F3">
        <w:t xml:space="preserve"> at school in the last 12 months. In addition to age, experiences of physical violence were also associated with gender (75 per cent for boys / 67 per cent for girls). The research findings also suggest that priority was generally placed on resolving the situation through mediation and other restorative means.</w:t>
      </w:r>
      <w:r w:rsidR="00531966" w:rsidRPr="00DE46F3">
        <w:rPr>
          <w:vertAlign w:val="superscript"/>
        </w:rPr>
        <w:footnoteReference w:id="148"/>
      </w:r>
    </w:p>
    <w:p w14:paraId="1B9DF5A3" w14:textId="377CEA4E" w:rsidR="00531966" w:rsidRPr="00DE46F3" w:rsidRDefault="003B0770" w:rsidP="003B0770">
      <w:pPr>
        <w:pStyle w:val="SingleTxt"/>
      </w:pPr>
      <w:r w:rsidRPr="00DE46F3">
        <w:t>111.</w:t>
      </w:r>
      <w:r w:rsidRPr="00DE46F3">
        <w:tab/>
      </w:r>
      <w:r w:rsidR="00531966" w:rsidRPr="00DE46F3">
        <w:t>Following the adoption of ‘Guidelines on Technical Teaching and Learning Methodology’ in 2015 which refrains teachers from using violence, the Inclusive Education policy reiterated the MEJD commitment toward</w:t>
      </w:r>
      <w:r w:rsidR="00531966" w:rsidRPr="00DE46F3">
        <w:rPr>
          <w:i/>
          <w:iCs/>
        </w:rPr>
        <w:t xml:space="preserve"> </w:t>
      </w:r>
      <w:r w:rsidR="00531966" w:rsidRPr="00DE46F3">
        <w:t>“</w:t>
      </w:r>
      <w:r w:rsidR="00531966" w:rsidRPr="00DE46F3">
        <w:rPr>
          <w:i/>
          <w:iCs/>
        </w:rPr>
        <w:t>nonviolent measures to manage student behaviour</w:t>
      </w:r>
      <w:r w:rsidR="00531966" w:rsidRPr="00DE46F3">
        <w:t>”.</w:t>
      </w:r>
      <w:r w:rsidR="00531966" w:rsidRPr="00DE46F3">
        <w:rPr>
          <w:vertAlign w:val="superscript"/>
        </w:rPr>
        <w:footnoteReference w:id="149"/>
      </w:r>
      <w:r w:rsidR="00531966" w:rsidRPr="00DE46F3">
        <w:t>.Thus a ‘Discipline Regulation’ (Government Decree N° 29/2017) was adopted in 2017 followed by a set of ‘Interpretative Standards for the determination of faults […] and their gravity’ (Ministerial Diploma N° 4/2018, MoE) as a practical tool to ensure appropriate implementation of the disciplinary procedure. A socialization campaign on these new regulations was conducted by the General Inspectorate of MEJD.</w:t>
      </w:r>
      <w:r w:rsidR="00531966" w:rsidRPr="00DE46F3">
        <w:rPr>
          <w:vertAlign w:val="superscript"/>
        </w:rPr>
        <w:footnoteReference w:id="150"/>
      </w:r>
    </w:p>
    <w:p w14:paraId="15E53181" w14:textId="0181213D" w:rsidR="00531966" w:rsidRPr="00DE46F3" w:rsidRDefault="003B0770" w:rsidP="003B0770">
      <w:pPr>
        <w:pStyle w:val="SingleTxt"/>
      </w:pPr>
      <w:r w:rsidRPr="00DE46F3">
        <w:t>112.</w:t>
      </w:r>
      <w:r w:rsidRPr="00DE46F3">
        <w:tab/>
      </w:r>
      <w:r w:rsidR="00531966" w:rsidRPr="00DE46F3">
        <w:t xml:space="preserve">Several initiatives were conducted regarding safe transportation </w:t>
      </w:r>
      <w:r w:rsidRPr="00DE46F3">
        <w:t>–</w:t>
      </w:r>
      <w:r w:rsidR="00531966" w:rsidRPr="00DE46F3">
        <w:t xml:space="preserve"> mostly focused on urban areas </w:t>
      </w:r>
      <w:r w:rsidR="00AD03F7" w:rsidRPr="00DE46F3">
        <w:t>–</w:t>
      </w:r>
      <w:r w:rsidR="00531966" w:rsidRPr="00DE46F3">
        <w:t xml:space="preserve"> although not specific to the education sector. A first campaign to eliminate VAW in public transports and public spaces was implemented in Dili in the framework of the 2016 16 days campaigns of activism against VAW. More recently, the ‘Safe Cities’ campaign on sexual harassment led by UN Women was launched in the 2 major urban areas of the country (Dili and Baucau).</w:t>
      </w:r>
      <w:r w:rsidR="00531966" w:rsidRPr="00DE46F3">
        <w:rPr>
          <w:vertAlign w:val="superscript"/>
        </w:rPr>
        <w:footnoteReference w:id="151"/>
      </w:r>
    </w:p>
    <w:p w14:paraId="668FC2B5" w14:textId="27294E0E" w:rsidR="003B0770" w:rsidRPr="00DE46F3" w:rsidRDefault="003B0770" w:rsidP="00F156F1">
      <w:pPr>
        <w:spacing w:line="120" w:lineRule="exact"/>
        <w:ind w:left="1267"/>
        <w:rPr>
          <w:sz w:val="10"/>
        </w:rPr>
      </w:pPr>
    </w:p>
    <w:p w14:paraId="14A8F0B1" w14:textId="3B83D5F7" w:rsidR="00531966" w:rsidRPr="00DE46F3" w:rsidRDefault="00531966" w:rsidP="003B077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DE46F3">
        <w:rPr>
          <w:lang w:val="en-GB"/>
        </w:rPr>
        <w:tab/>
      </w:r>
      <w:r w:rsidRPr="00DE46F3">
        <w:rPr>
          <w:lang w:val="en-GB"/>
        </w:rPr>
        <w:tab/>
        <w:t>Sexual violence and sexual harassment in schools (policy, reported cases and</w:t>
      </w:r>
      <w:r w:rsidR="00F156F1">
        <w:rPr>
          <w:lang w:val="en-GB"/>
        </w:rPr>
        <w:t> </w:t>
      </w:r>
      <w:r w:rsidRPr="00DE46F3">
        <w:rPr>
          <w:lang w:val="en-GB"/>
        </w:rPr>
        <w:t>sanctions)</w:t>
      </w:r>
    </w:p>
    <w:p w14:paraId="4FBCD918" w14:textId="3267FE9B" w:rsidR="003B0770" w:rsidRPr="00DE46F3" w:rsidRDefault="003B0770" w:rsidP="003B0770">
      <w:pPr>
        <w:pStyle w:val="SingleTxt"/>
        <w:spacing w:after="0" w:line="120" w:lineRule="exact"/>
        <w:rPr>
          <w:sz w:val="10"/>
        </w:rPr>
      </w:pPr>
    </w:p>
    <w:p w14:paraId="30266D13" w14:textId="7CEE112A" w:rsidR="00531966" w:rsidRPr="00DE46F3" w:rsidRDefault="003B0770" w:rsidP="003B0770">
      <w:pPr>
        <w:pStyle w:val="SingleTxt"/>
      </w:pPr>
      <w:r w:rsidRPr="00DE46F3">
        <w:t>113.</w:t>
      </w:r>
      <w:r w:rsidRPr="00DE46F3">
        <w:tab/>
      </w:r>
      <w:r w:rsidR="00531966" w:rsidRPr="00DE46F3">
        <w:t>Experiences of sexual violence in educational settings were low (9.7 per cent girls / 7 per cent boys) compared to other types of violence. Sexual comments and touching by teachers, and sexual harassment by other children were the most common forms of sexual violence experienced in school. Eight girls (no boys) reported being raped at school (1 per cent).</w:t>
      </w:r>
      <w:r w:rsidR="00531966" w:rsidRPr="00DE46F3">
        <w:rPr>
          <w:vertAlign w:val="superscript"/>
        </w:rPr>
        <w:footnoteReference w:id="152"/>
      </w:r>
      <w:r w:rsidR="00531966" w:rsidRPr="00DE46F3">
        <w:t xml:space="preserve"> An additional 3 per cent also reported that they knew of a case where a teacher had offered favours or money to a student in exchange of sex. </w:t>
      </w:r>
    </w:p>
    <w:p w14:paraId="4D334346" w14:textId="69CE4421" w:rsidR="00531966" w:rsidRPr="00DE46F3" w:rsidRDefault="003B0770" w:rsidP="003B0770">
      <w:pPr>
        <w:pStyle w:val="SingleTxt"/>
        <w:rPr>
          <w:spacing w:val="2"/>
          <w:w w:val="101"/>
        </w:rPr>
      </w:pPr>
      <w:r w:rsidRPr="00DE46F3">
        <w:rPr>
          <w:spacing w:val="2"/>
          <w:w w:val="101"/>
        </w:rPr>
        <w:t>114.</w:t>
      </w:r>
      <w:r w:rsidRPr="00DE46F3">
        <w:rPr>
          <w:spacing w:val="2"/>
          <w:w w:val="101"/>
        </w:rPr>
        <w:tab/>
      </w:r>
      <w:r w:rsidR="00531966" w:rsidRPr="00DE46F3">
        <w:rPr>
          <w:spacing w:val="2"/>
          <w:w w:val="101"/>
        </w:rPr>
        <w:t>While sexual violence might have been underreported in the survey due to the stigma and the normali</w:t>
      </w:r>
      <w:r w:rsidR="007D0872">
        <w:rPr>
          <w:spacing w:val="2"/>
          <w:w w:val="101"/>
        </w:rPr>
        <w:t>s</w:t>
      </w:r>
      <w:r w:rsidR="00531966" w:rsidRPr="00DE46F3">
        <w:rPr>
          <w:spacing w:val="2"/>
          <w:w w:val="101"/>
        </w:rPr>
        <w:t>ation of sexual harassment of girls, formal reporting is nearly inexistent.</w:t>
      </w:r>
      <w:r w:rsidR="00531966" w:rsidRPr="00DE46F3">
        <w:rPr>
          <w:spacing w:val="2"/>
          <w:w w:val="101"/>
          <w:vertAlign w:val="superscript"/>
        </w:rPr>
        <w:footnoteReference w:id="153"/>
      </w:r>
      <w:r w:rsidRPr="00DE46F3">
        <w:rPr>
          <w:spacing w:val="2"/>
          <w:w w:val="101"/>
          <w:vertAlign w:val="superscript"/>
        </w:rPr>
        <w:t>,</w:t>
      </w:r>
      <w:r w:rsidR="00531966" w:rsidRPr="00DE46F3">
        <w:rPr>
          <w:spacing w:val="2"/>
          <w:w w:val="101"/>
          <w:vertAlign w:val="superscript"/>
        </w:rPr>
        <w:footnoteReference w:id="154"/>
      </w:r>
      <w:r w:rsidR="00531966" w:rsidRPr="00DE46F3">
        <w:rPr>
          <w:spacing w:val="2"/>
          <w:w w:val="101"/>
        </w:rPr>
        <w:t xml:space="preserve"> Where sexual violence is reported, informal or ‘restorative’ resolutions were generally prioritised over a criminal justice response.</w:t>
      </w:r>
      <w:r w:rsidR="00531966" w:rsidRPr="00DE46F3">
        <w:rPr>
          <w:spacing w:val="2"/>
          <w:w w:val="101"/>
          <w:vertAlign w:val="superscript"/>
        </w:rPr>
        <w:footnoteReference w:id="155"/>
      </w:r>
      <w:r w:rsidRPr="00DE46F3">
        <w:rPr>
          <w:spacing w:val="2"/>
          <w:w w:val="101"/>
          <w:vertAlign w:val="superscript"/>
        </w:rPr>
        <w:t>,</w:t>
      </w:r>
      <w:r w:rsidR="00531966" w:rsidRPr="00DE46F3">
        <w:rPr>
          <w:spacing w:val="2"/>
          <w:w w:val="101"/>
          <w:vertAlign w:val="superscript"/>
        </w:rPr>
        <w:footnoteReference w:id="156"/>
      </w:r>
      <w:r w:rsidR="00531966" w:rsidRPr="00DE46F3">
        <w:rPr>
          <w:spacing w:val="2"/>
          <w:w w:val="101"/>
        </w:rPr>
        <w:t xml:space="preserve"> </w:t>
      </w:r>
    </w:p>
    <w:p w14:paraId="42A8B84F" w14:textId="7F376061" w:rsidR="00531966" w:rsidRPr="00DE46F3" w:rsidRDefault="003B0770" w:rsidP="003B0770">
      <w:pPr>
        <w:pStyle w:val="SingleTxt"/>
      </w:pPr>
      <w:r w:rsidRPr="00DE46F3">
        <w:t>115.</w:t>
      </w:r>
      <w:r w:rsidRPr="00DE46F3">
        <w:tab/>
      </w:r>
      <w:r w:rsidR="00531966" w:rsidRPr="00DE46F3">
        <w:t>The new discipline regulations authorize conciliation process as “</w:t>
      </w:r>
      <w:r w:rsidR="00531966" w:rsidRPr="00DE46F3">
        <w:rPr>
          <w:i/>
          <w:iCs/>
        </w:rPr>
        <w:t>an ancillary measure to disciplinary procedure</w:t>
      </w:r>
      <w:r w:rsidR="00531966" w:rsidRPr="00DE46F3">
        <w:t>” to restore peace while considering the best interests of the student (Art. 50). However, it also makes clear that “</w:t>
      </w:r>
      <w:r w:rsidR="00531966" w:rsidRPr="00DE46F3">
        <w:rPr>
          <w:i/>
          <w:iCs/>
        </w:rPr>
        <w:t>the conciliation procedure is not a substitute for establishing disciplinary liability and may run in parallel</w:t>
      </w:r>
      <w:r w:rsidR="00531966" w:rsidRPr="00DE46F3">
        <w:t>” (Art. 51).</w:t>
      </w:r>
    </w:p>
    <w:p w14:paraId="0A795A4F" w14:textId="6C8A3FEB" w:rsidR="003B0770" w:rsidRPr="00DE46F3" w:rsidRDefault="003B0770" w:rsidP="003B0770">
      <w:pPr>
        <w:pStyle w:val="SingleTxt"/>
        <w:spacing w:after="0" w:line="120" w:lineRule="exact"/>
        <w:rPr>
          <w:sz w:val="10"/>
        </w:rPr>
      </w:pPr>
    </w:p>
    <w:p w14:paraId="5DB38D68" w14:textId="2C202F9A" w:rsidR="00531966" w:rsidRPr="00DE46F3" w:rsidRDefault="00531966" w:rsidP="003B077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DE46F3">
        <w:rPr>
          <w:lang w:val="en-GB"/>
        </w:rPr>
        <w:tab/>
      </w:r>
      <w:r w:rsidRPr="00DE46F3">
        <w:rPr>
          <w:lang w:val="en-GB"/>
        </w:rPr>
        <w:tab/>
        <w:t>Disciplinary process and data from the General Inspectorate of Education</w:t>
      </w:r>
    </w:p>
    <w:p w14:paraId="69CEE8BC" w14:textId="41C35135" w:rsidR="003B0770" w:rsidRPr="00DE46F3" w:rsidRDefault="003B0770" w:rsidP="003B0770">
      <w:pPr>
        <w:pStyle w:val="SingleTxt"/>
        <w:spacing w:after="0" w:line="120" w:lineRule="exact"/>
        <w:rPr>
          <w:sz w:val="10"/>
        </w:rPr>
      </w:pPr>
    </w:p>
    <w:p w14:paraId="4C44BF66" w14:textId="007C8068" w:rsidR="00531966" w:rsidRPr="00DE46F3" w:rsidRDefault="003B0770" w:rsidP="003B0770">
      <w:pPr>
        <w:pStyle w:val="SingleTxt"/>
      </w:pPr>
      <w:r w:rsidRPr="00DE46F3">
        <w:t>116.</w:t>
      </w:r>
      <w:r w:rsidRPr="00DE46F3">
        <w:tab/>
      </w:r>
      <w:r w:rsidR="00531966" w:rsidRPr="00DE46F3">
        <w:t>Following the new disciplinary regulations, the school leaders must refer any reported case of violence to the General Inspectorate at municipal level. It is then generally referred to the Public Service Commission (CFP) to determine “mistakes and scale” and the possible administrative sanction. In case of minor mistake, transfer is generally applied. For severe issues, the case is referred to the police.</w:t>
      </w:r>
      <w:r w:rsidR="00531966" w:rsidRPr="00DE46F3">
        <w:rPr>
          <w:vertAlign w:val="superscript"/>
        </w:rPr>
        <w:footnoteReference w:id="157"/>
      </w:r>
    </w:p>
    <w:p w14:paraId="046F861F" w14:textId="4B820B73" w:rsidR="00531966" w:rsidRPr="00DE46F3" w:rsidRDefault="003B0770" w:rsidP="003B0770">
      <w:pPr>
        <w:pStyle w:val="SingleTxt"/>
      </w:pPr>
      <w:r w:rsidRPr="00DE46F3">
        <w:t>117.</w:t>
      </w:r>
      <w:r w:rsidRPr="00DE46F3">
        <w:tab/>
      </w:r>
      <w:r w:rsidR="00531966" w:rsidRPr="00DE46F3">
        <w:t>At the time of writing, 33 and 5 cases were processed by the General Inspectorate respectively in 2018 and 2019. In 2018, 8 cases were related to physical violence, out of which 7 cases were resolved by the Inspectorate and 1 was referred to the police. Only 1 sexual violence case was processed by the Inspectorate in 2018 and referred to the CFP. 5 cases were processed by the Inspectorate in 2019 (3 cases of physical violence and 2 cases of sexual violence).</w:t>
      </w:r>
      <w:r w:rsidR="00531966" w:rsidRPr="00DE46F3">
        <w:rPr>
          <w:vertAlign w:val="superscript"/>
        </w:rPr>
        <w:footnoteReference w:id="158"/>
      </w:r>
    </w:p>
    <w:p w14:paraId="56FE24E0" w14:textId="6ED99278" w:rsidR="003B0770" w:rsidRPr="00DE46F3" w:rsidRDefault="003B0770" w:rsidP="003B0770">
      <w:pPr>
        <w:pStyle w:val="SingleTxt"/>
        <w:spacing w:after="0" w:line="120" w:lineRule="exact"/>
        <w:rPr>
          <w:sz w:val="10"/>
        </w:rPr>
      </w:pPr>
    </w:p>
    <w:p w14:paraId="4579137A" w14:textId="6BE7B617" w:rsidR="00531966" w:rsidRPr="00DE46F3" w:rsidRDefault="00531966" w:rsidP="003B0770">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en-GB"/>
        </w:rPr>
      </w:pPr>
      <w:r w:rsidRPr="00DE46F3">
        <w:rPr>
          <w:lang w:val="en-GB"/>
        </w:rPr>
        <w:tab/>
      </w:r>
      <w:r w:rsidRPr="00DE46F3">
        <w:rPr>
          <w:lang w:val="en-GB"/>
        </w:rPr>
        <w:tab/>
        <w:t>Re-entry policy</w:t>
      </w:r>
    </w:p>
    <w:p w14:paraId="334184CC" w14:textId="40016A7E" w:rsidR="003B0770" w:rsidRPr="00DE46F3" w:rsidRDefault="003B0770" w:rsidP="003B0770">
      <w:pPr>
        <w:pStyle w:val="SingleTxt"/>
        <w:spacing w:after="0" w:line="120" w:lineRule="exact"/>
        <w:rPr>
          <w:sz w:val="10"/>
        </w:rPr>
      </w:pPr>
    </w:p>
    <w:p w14:paraId="50ECFC59" w14:textId="44B99B73" w:rsidR="00531966" w:rsidRPr="00DE46F3" w:rsidRDefault="003B0770" w:rsidP="003B0770">
      <w:pPr>
        <w:pStyle w:val="SingleTxt"/>
      </w:pPr>
      <w:r w:rsidRPr="00DE46F3">
        <w:t>118.</w:t>
      </w:r>
      <w:r w:rsidRPr="00DE46F3">
        <w:tab/>
      </w:r>
      <w:r w:rsidR="00531966" w:rsidRPr="00DE46F3">
        <w:t>The 2017 Inclusive Education policy highlights “</w:t>
      </w:r>
      <w:r w:rsidR="00531966" w:rsidRPr="00DE46F3">
        <w:rPr>
          <w:i/>
          <w:iCs/>
        </w:rPr>
        <w:t xml:space="preserve">the right of pregnant girls to continue to attend school, </w:t>
      </w:r>
      <w:r w:rsidR="00531966" w:rsidRPr="00DE46F3">
        <w:t>[…]</w:t>
      </w:r>
      <w:r w:rsidR="00531966" w:rsidRPr="00DE46F3">
        <w:rPr>
          <w:i/>
          <w:iCs/>
        </w:rPr>
        <w:t xml:space="preserve"> thus eliminating the existing stereotype</w:t>
      </w:r>
      <w:r w:rsidR="00531966" w:rsidRPr="00DE46F3">
        <w:t>”. The policy aims at raising awareness among adolescent mothers and the school community about the importance of finishing education and to strengthen education programs on reproductive health as well as to develop a specific legal regulation and a plan of action on re-entry of pregnant girls and young mothers in formal education.</w:t>
      </w:r>
      <w:r w:rsidR="00531966" w:rsidRPr="00DE46F3">
        <w:rPr>
          <w:vertAlign w:val="superscript"/>
        </w:rPr>
        <w:footnoteReference w:id="159"/>
      </w:r>
    </w:p>
    <w:p w14:paraId="2E99B1AF" w14:textId="62DE0C33" w:rsidR="00531966" w:rsidRPr="00DE46F3" w:rsidRDefault="003B0770" w:rsidP="003B0770">
      <w:pPr>
        <w:pStyle w:val="SingleTxt"/>
      </w:pPr>
      <w:r w:rsidRPr="00DE46F3">
        <w:t>119.</w:t>
      </w:r>
      <w:r w:rsidRPr="00DE46F3">
        <w:tab/>
      </w:r>
      <w:r w:rsidR="00531966" w:rsidRPr="00DE46F3">
        <w:t>Although a formal specific re-entry policy has yet to be adopted, the MEJD, in consultation with SEII, has issued a temporary measure through a formal circular to ensure that female students are allowed to return to school after childbirth.</w:t>
      </w:r>
      <w:r w:rsidR="00531966" w:rsidRPr="00DE46F3">
        <w:rPr>
          <w:vertAlign w:val="superscript"/>
        </w:rPr>
        <w:footnoteReference w:id="160"/>
      </w:r>
      <w:r w:rsidR="00531966" w:rsidRPr="00DE46F3">
        <w:t xml:space="preserve"> Accordingly, in 2019 the ministry facilitated the reintegration in school of 6 young mothers.</w:t>
      </w:r>
      <w:r w:rsidR="00531966" w:rsidRPr="00DE46F3">
        <w:rPr>
          <w:vertAlign w:val="superscript"/>
        </w:rPr>
        <w:footnoteReference w:id="161"/>
      </w:r>
      <w:r w:rsidR="00531966" w:rsidRPr="00DE46F3">
        <w:t xml:space="preserve"> Disciplinary sanctions are provided against teachers or school leaders who deny the right to young mothers to reintegrate the education system. Further consultations led by the MEJD in coordination with SEII, CSOs and the Church are being conducted, to develop the formal policy.</w:t>
      </w:r>
      <w:r w:rsidR="00531966" w:rsidRPr="00DE46F3">
        <w:rPr>
          <w:vertAlign w:val="superscript"/>
        </w:rPr>
        <w:footnoteReference w:id="162"/>
      </w:r>
    </w:p>
    <w:p w14:paraId="594247C3" w14:textId="7A3C58C2" w:rsidR="00531966" w:rsidRPr="00DE46F3" w:rsidRDefault="003B0770" w:rsidP="003B0770">
      <w:pPr>
        <w:pStyle w:val="SingleTxt"/>
      </w:pPr>
      <w:r w:rsidRPr="00DE46F3">
        <w:t>120.</w:t>
      </w:r>
      <w:r w:rsidRPr="00DE46F3">
        <w:tab/>
      </w:r>
      <w:r w:rsidR="00531966" w:rsidRPr="00DE46F3">
        <w:t>In addition, Community Learning Centres (CLC) were already established in 9 municipalities to support people who have dropped-out of education to reconnect and complete basic school equivalency. The CLCs will gradually include secondary school equivalency as well.</w:t>
      </w:r>
      <w:r w:rsidR="00531966" w:rsidRPr="00DE46F3">
        <w:rPr>
          <w:vertAlign w:val="superscript"/>
        </w:rPr>
        <w:footnoteReference w:id="163"/>
      </w:r>
    </w:p>
    <w:p w14:paraId="782615FD" w14:textId="68269381" w:rsidR="003B0770" w:rsidRPr="00DE46F3" w:rsidRDefault="003B0770" w:rsidP="003B0770">
      <w:pPr>
        <w:pStyle w:val="SingleTxt"/>
        <w:spacing w:after="0" w:line="120" w:lineRule="exact"/>
        <w:rPr>
          <w:sz w:val="10"/>
        </w:rPr>
      </w:pPr>
    </w:p>
    <w:p w14:paraId="5EC7DEBA" w14:textId="73ADF08F" w:rsidR="00531966" w:rsidRPr="00DE46F3" w:rsidRDefault="00531966" w:rsidP="003B077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bookmarkStart w:id="50" w:name="_Ref46305066"/>
      <w:r w:rsidRPr="00DE46F3">
        <w:rPr>
          <w:lang w:val="en-GB"/>
        </w:rPr>
        <w:tab/>
      </w:r>
      <w:r w:rsidRPr="00DE46F3">
        <w:rPr>
          <w:lang w:val="en-GB"/>
        </w:rPr>
        <w:tab/>
        <w:t>Sexual and reproductive health and rights programmes in education</w:t>
      </w:r>
      <w:bookmarkEnd w:id="50"/>
    </w:p>
    <w:p w14:paraId="72F28280" w14:textId="5C855FB6" w:rsidR="003B0770" w:rsidRPr="00DE46F3" w:rsidRDefault="003B0770" w:rsidP="003B0770">
      <w:pPr>
        <w:pStyle w:val="SingleTxt"/>
        <w:spacing w:after="0" w:line="120" w:lineRule="exact"/>
        <w:rPr>
          <w:sz w:val="10"/>
        </w:rPr>
      </w:pPr>
    </w:p>
    <w:p w14:paraId="34B86C13" w14:textId="4067328D" w:rsidR="00531966" w:rsidRPr="00DE46F3" w:rsidRDefault="003B0770" w:rsidP="003B0770">
      <w:pPr>
        <w:pStyle w:val="SingleTxt"/>
      </w:pPr>
      <w:r w:rsidRPr="00DE46F3">
        <w:t>121.</w:t>
      </w:r>
      <w:r w:rsidRPr="00DE46F3">
        <w:tab/>
      </w:r>
      <w:r w:rsidR="00531966" w:rsidRPr="00DE46F3">
        <w:t>The new school curricula currently in development for pre-secondary and secondary levels aims to integrate SRH education (‘</w:t>
      </w:r>
      <w:r w:rsidR="00531966" w:rsidRPr="00DE46F3">
        <w:rPr>
          <w:i/>
          <w:iCs/>
        </w:rPr>
        <w:t>Learning about Myself</w:t>
      </w:r>
      <w:r w:rsidR="00531966" w:rsidRPr="00DE46F3">
        <w:t>’ module).</w:t>
      </w:r>
      <w:r w:rsidR="00531966" w:rsidRPr="00DE46F3">
        <w:rPr>
          <w:vertAlign w:val="superscript"/>
        </w:rPr>
        <w:footnoteReference w:id="164"/>
      </w:r>
      <w:r w:rsidR="00531966" w:rsidRPr="00DE46F3">
        <w:t xml:space="preserve"> It has been piloted in 10 schools in 7 different municipalities.</w:t>
      </w:r>
      <w:r w:rsidR="00531966" w:rsidRPr="00DE46F3">
        <w:rPr>
          <w:vertAlign w:val="superscript"/>
        </w:rPr>
        <w:footnoteReference w:id="165"/>
      </w:r>
      <w:r w:rsidR="00531966" w:rsidRPr="00DE46F3">
        <w:t xml:space="preserve"> ToT for teachers and education professionals has also been delivered by the MEJD with UNFPA’s support.</w:t>
      </w:r>
      <w:r w:rsidR="00531966" w:rsidRPr="00DE46F3">
        <w:rPr>
          <w:vertAlign w:val="superscript"/>
        </w:rPr>
        <w:footnoteReference w:id="166"/>
      </w:r>
    </w:p>
    <w:p w14:paraId="2216DAF6" w14:textId="4BCB09BA" w:rsidR="00531966" w:rsidRPr="00DE46F3" w:rsidRDefault="003B0770" w:rsidP="003B0770">
      <w:pPr>
        <w:pStyle w:val="SingleTxt"/>
      </w:pPr>
      <w:r w:rsidRPr="00DE46F3">
        <w:t>122.</w:t>
      </w:r>
      <w:r w:rsidRPr="00DE46F3">
        <w:tab/>
      </w:r>
      <w:r w:rsidR="00531966" w:rsidRPr="00DE46F3">
        <w:t>Youth that are out of school are also targeted through the development of a manual on healthy relationships, supported by UNFPA, to be used in Youth Centres, to transfer knowledge on SRH.</w:t>
      </w:r>
      <w:r w:rsidR="00531966" w:rsidRPr="00DE46F3">
        <w:rPr>
          <w:vertAlign w:val="superscript"/>
        </w:rPr>
        <w:footnoteReference w:id="167"/>
      </w:r>
    </w:p>
    <w:p w14:paraId="61DAE2D6" w14:textId="4DD015B6" w:rsidR="00531966" w:rsidRPr="00DE46F3" w:rsidRDefault="003B0770" w:rsidP="003B0770">
      <w:pPr>
        <w:pStyle w:val="SingleTxt"/>
      </w:pPr>
      <w:r w:rsidRPr="00DE46F3">
        <w:t>123.</w:t>
      </w:r>
      <w:r w:rsidRPr="00DE46F3">
        <w:tab/>
      </w:r>
      <w:r w:rsidR="00531966" w:rsidRPr="00DE46F3">
        <w:t>These initiatives however were not comprehensive in scope. Despite a legal and policy environment broadly supportive of reproductive health education, cultural taboos and low capacity of teachers on this issue make it difficult to implement and are not systematically addressed by teachers.</w:t>
      </w:r>
      <w:r w:rsidR="00531966" w:rsidRPr="00DE46F3">
        <w:rPr>
          <w:vertAlign w:val="superscript"/>
        </w:rPr>
        <w:footnoteReference w:id="168"/>
      </w:r>
    </w:p>
    <w:p w14:paraId="42DDD88F" w14:textId="78171841" w:rsidR="003B0770" w:rsidRPr="00DE46F3" w:rsidRDefault="003B0770" w:rsidP="003B0770">
      <w:pPr>
        <w:pStyle w:val="SingleTxt"/>
        <w:spacing w:after="0" w:line="120" w:lineRule="exact"/>
        <w:rPr>
          <w:sz w:val="10"/>
        </w:rPr>
      </w:pPr>
    </w:p>
    <w:p w14:paraId="253D12EC" w14:textId="65772F98" w:rsidR="00531966" w:rsidRPr="00DE46F3" w:rsidRDefault="00531966" w:rsidP="003B077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bookmarkStart w:id="51" w:name="_Hlk20732696"/>
      <w:r w:rsidRPr="00DE46F3">
        <w:rPr>
          <w:lang w:val="en-GB"/>
        </w:rPr>
        <w:tab/>
      </w:r>
      <w:r w:rsidRPr="00DE46F3">
        <w:rPr>
          <w:lang w:val="en-GB"/>
        </w:rPr>
        <w:tab/>
        <w:t>Illiteracy</w:t>
      </w:r>
      <w:bookmarkEnd w:id="51"/>
    </w:p>
    <w:p w14:paraId="2869B808" w14:textId="7AC5CE43" w:rsidR="003B0770" w:rsidRPr="00DE46F3" w:rsidRDefault="003B0770" w:rsidP="003B0770">
      <w:pPr>
        <w:pStyle w:val="SingleTxt"/>
        <w:spacing w:after="0" w:line="120" w:lineRule="exact"/>
        <w:rPr>
          <w:sz w:val="10"/>
        </w:rPr>
      </w:pPr>
    </w:p>
    <w:p w14:paraId="330B9FC8" w14:textId="513B17B5" w:rsidR="00531966" w:rsidRPr="00DE46F3" w:rsidRDefault="003B0770" w:rsidP="003B0770">
      <w:pPr>
        <w:pStyle w:val="SingleTxt"/>
      </w:pPr>
      <w:r w:rsidRPr="00DE46F3">
        <w:t>124.</w:t>
      </w:r>
      <w:r w:rsidRPr="00DE46F3">
        <w:tab/>
      </w:r>
      <w:r w:rsidR="00531966" w:rsidRPr="00DE46F3">
        <w:t>64.4 per cent of the adult population (ages 15 and over) is literate (68.7 per cent for men / 60.2 per cent for women). The gender gap between young men and women (84.7 per cent and 84.1 per cent respectively) is narrower and the higher rates than adult literacy indicate that access to basic education has improved. Nonetheless, in rural areas, literacy remains far lower and the gender gap wider (58.8 per cent of men and 48.8 per cent of women) than in urban areas (89.7 per cent of men and 85.8 per cent of women).</w:t>
      </w:r>
      <w:r w:rsidR="00531966" w:rsidRPr="00DE46F3">
        <w:rPr>
          <w:vertAlign w:val="superscript"/>
        </w:rPr>
        <w:footnoteReference w:id="169"/>
      </w:r>
    </w:p>
    <w:p w14:paraId="5FFD9066" w14:textId="63651B04" w:rsidR="00531966" w:rsidRPr="00DE46F3" w:rsidRDefault="003B0770" w:rsidP="003B0770">
      <w:pPr>
        <w:pStyle w:val="SingleTxt"/>
      </w:pPr>
      <w:r w:rsidRPr="00DE46F3">
        <w:t>125.</w:t>
      </w:r>
      <w:r w:rsidRPr="00DE46F3">
        <w:tab/>
      </w:r>
      <w:r w:rsidR="00531966" w:rsidRPr="00DE46F3">
        <w:t>The new curriculum specifies that the medium of instruction in early basic education is Tetum</w:t>
      </w:r>
      <w:r w:rsidR="00531966" w:rsidRPr="00DE46F3">
        <w:rPr>
          <w:vertAlign w:val="superscript"/>
        </w:rPr>
        <w:footnoteReference w:id="170"/>
      </w:r>
      <w:r w:rsidR="00531966" w:rsidRPr="00DE46F3">
        <w:t xml:space="preserve"> (which contributed to improve literacy programs)</w:t>
      </w:r>
      <w:r w:rsidR="00531966" w:rsidRPr="00DE46F3">
        <w:rPr>
          <w:vertAlign w:val="superscript"/>
        </w:rPr>
        <w:footnoteReference w:id="171"/>
      </w:r>
      <w:r w:rsidR="00531966" w:rsidRPr="00DE46F3">
        <w:t xml:space="preserve"> and establishes a carefully planned introduction to literacy in Portuguese. Nonetheless, the 2012-2015 Mother Tongue Based Multilingual Education pilot project has demonstrated that children’s academic performance improves when they receive early basic education in their primary local language.</w:t>
      </w:r>
      <w:r w:rsidR="00531966" w:rsidRPr="00DE46F3">
        <w:rPr>
          <w:vertAlign w:val="superscript"/>
        </w:rPr>
        <w:footnoteReference w:id="172"/>
      </w:r>
    </w:p>
    <w:p w14:paraId="1D99839B" w14:textId="7A433EAF" w:rsidR="00531966" w:rsidRPr="00DE46F3" w:rsidRDefault="003B0770" w:rsidP="003B0770">
      <w:pPr>
        <w:pStyle w:val="SingleTxt"/>
      </w:pPr>
      <w:r w:rsidRPr="00DE46F3">
        <w:t>126.</w:t>
      </w:r>
      <w:r w:rsidRPr="00DE46F3">
        <w:tab/>
      </w:r>
      <w:r w:rsidR="00531966" w:rsidRPr="00DE46F3">
        <w:t>Literacy programs for out-of-school children and continuing education is addressed by a new National Program for Equivalence to Basic Education (Decree-Law N° 30/2016). A curriculum and related learning materials were developed and disseminated in the 9 already established CLCs, and a teacher training process appropriate for mature students was conducted. Flexible delivery methods are offered to students</w:t>
      </w:r>
      <w:r w:rsidR="00531966" w:rsidRPr="00DE46F3">
        <w:rPr>
          <w:vertAlign w:val="superscript"/>
        </w:rPr>
        <w:footnoteReference w:id="173"/>
      </w:r>
      <w:r w:rsidR="00531966" w:rsidRPr="00DE46F3">
        <w:t xml:space="preserve"> to enable youth and adults to continue learning while attending work, family, or other responsibilities. 110 Equivalency Programs teachers were trained and 1670 students (55 per cent women) mostly coming from rural areas had participated by January 2017, gaining essential skills in linguistics (Tetum and Portuguese).</w:t>
      </w:r>
      <w:r w:rsidR="00531966" w:rsidRPr="00DE46F3">
        <w:rPr>
          <w:vertAlign w:val="superscript"/>
        </w:rPr>
        <w:footnoteReference w:id="174"/>
      </w:r>
    </w:p>
    <w:p w14:paraId="00C8B7EA" w14:textId="17316C7B" w:rsidR="003B0770" w:rsidRPr="00DE46F3" w:rsidRDefault="003B0770" w:rsidP="003B0770">
      <w:pPr>
        <w:pStyle w:val="SingleTxt"/>
        <w:spacing w:after="0" w:line="120" w:lineRule="exact"/>
        <w:rPr>
          <w:sz w:val="10"/>
        </w:rPr>
      </w:pPr>
    </w:p>
    <w:p w14:paraId="5E1B7802" w14:textId="07E9305C" w:rsidR="003B0770" w:rsidRPr="00DE46F3" w:rsidRDefault="003B0770" w:rsidP="003B0770">
      <w:pPr>
        <w:pStyle w:val="SingleTxt"/>
        <w:spacing w:after="0" w:line="120" w:lineRule="exact"/>
        <w:rPr>
          <w:sz w:val="10"/>
        </w:rPr>
      </w:pPr>
    </w:p>
    <w:p w14:paraId="255A9007" w14:textId="29A44B60" w:rsidR="00531966" w:rsidRPr="00DE46F3" w:rsidRDefault="00531966" w:rsidP="003B0770">
      <w:pPr>
        <w:pStyle w:val="HCh"/>
        <w:tabs>
          <w:tab w:val="clear" w:pos="1742"/>
        </w:tabs>
        <w:ind w:left="1267" w:hanging="1267"/>
      </w:pPr>
      <w:bookmarkStart w:id="52" w:name="_Toc25630040"/>
      <w:bookmarkStart w:id="53" w:name="_Toc10641667"/>
      <w:bookmarkStart w:id="54" w:name="_Hlk20732997"/>
      <w:r w:rsidRPr="00DE46F3">
        <w:tab/>
      </w:r>
      <w:r w:rsidRPr="00DE46F3">
        <w:tab/>
        <w:t>Article 11: Employment</w:t>
      </w:r>
      <w:bookmarkEnd w:id="52"/>
      <w:bookmarkEnd w:id="53"/>
    </w:p>
    <w:p w14:paraId="1EEC68D6" w14:textId="6E7E8DBD" w:rsidR="003B0770" w:rsidRPr="00DE46F3" w:rsidRDefault="003B0770" w:rsidP="003B0770">
      <w:pPr>
        <w:pStyle w:val="SingleTxt"/>
        <w:spacing w:after="0" w:line="120" w:lineRule="exact"/>
        <w:rPr>
          <w:sz w:val="10"/>
        </w:rPr>
      </w:pPr>
    </w:p>
    <w:p w14:paraId="08108E1D" w14:textId="60236EE3" w:rsidR="003B0770" w:rsidRPr="00DE46F3" w:rsidRDefault="003B0770" w:rsidP="003B0770">
      <w:pPr>
        <w:pStyle w:val="SingleTxt"/>
        <w:spacing w:after="0" w:line="120" w:lineRule="exact"/>
        <w:rPr>
          <w:sz w:val="10"/>
        </w:rPr>
      </w:pPr>
    </w:p>
    <w:bookmarkEnd w:id="54"/>
    <w:p w14:paraId="1E54114B" w14:textId="276C576F" w:rsidR="00531966" w:rsidRPr="00DE46F3" w:rsidRDefault="003B0770" w:rsidP="003B0770">
      <w:pPr>
        <w:pStyle w:val="H1"/>
        <w:tabs>
          <w:tab w:val="clear" w:pos="1742"/>
        </w:tabs>
        <w:ind w:right="0"/>
      </w:pPr>
      <w:r w:rsidRPr="00DE46F3">
        <w:tab/>
      </w:r>
      <w:r w:rsidR="00531966" w:rsidRPr="00DE46F3">
        <w:tab/>
        <w:t>Labour related trends</w:t>
      </w:r>
    </w:p>
    <w:p w14:paraId="02630EB3" w14:textId="2D37A68C" w:rsidR="003B0770" w:rsidRPr="00DE46F3" w:rsidRDefault="003B0770" w:rsidP="003B0770">
      <w:pPr>
        <w:pStyle w:val="SingleTxt"/>
        <w:spacing w:after="0" w:line="120" w:lineRule="exact"/>
        <w:rPr>
          <w:sz w:val="10"/>
        </w:rPr>
      </w:pPr>
    </w:p>
    <w:p w14:paraId="4AFD0135" w14:textId="67242F82" w:rsidR="003B0770" w:rsidRPr="00DE46F3" w:rsidRDefault="003B0770" w:rsidP="003B0770">
      <w:pPr>
        <w:pStyle w:val="SingleTxt"/>
        <w:spacing w:after="0" w:line="120" w:lineRule="exact"/>
        <w:rPr>
          <w:sz w:val="10"/>
        </w:rPr>
      </w:pPr>
    </w:p>
    <w:p w14:paraId="1A283F4B" w14:textId="0E32F55E" w:rsidR="00531966" w:rsidRPr="00DE46F3" w:rsidRDefault="003B0770" w:rsidP="003B0770">
      <w:pPr>
        <w:pStyle w:val="SingleTxt"/>
      </w:pPr>
      <w:r w:rsidRPr="00DE46F3">
        <w:t>127.</w:t>
      </w:r>
      <w:r w:rsidRPr="00DE46F3">
        <w:tab/>
      </w:r>
      <w:r w:rsidR="00531966" w:rsidRPr="00DE46F3">
        <w:t>The trend based on 2010-2013-2016 Labour Force Surveys (LFS) indicates that the working age population rose from 627,000 in 2010 to 696,200 in 2013, up to 724,500 in 2016 (representing around 60 per cent of the population). Of these numbers, labour force participation rose from 30.6 per cent in 2013 to 46.9 per cent in 2016, with a significant reduction in the gender gap (from 21.3 per cent women and 39.7 per cent men in 2013 to 40.6 per cent women and 53 per cent men in 2016). Among the working-age population, the share of subsistence foodstuff producers</w:t>
      </w:r>
      <w:r w:rsidR="00531966" w:rsidRPr="00DE46F3">
        <w:rPr>
          <w:sz w:val="18"/>
          <w:vertAlign w:val="superscript"/>
        </w:rPr>
        <w:footnoteReference w:id="175"/>
      </w:r>
      <w:r w:rsidR="00531966" w:rsidRPr="00DE46F3">
        <w:t xml:space="preserve"> has meaningfully reduced (from 23.5 per cent women and 27.8 per cent men in 2013 to 11.9 per cent women and 18.2 per cent men in 2016). However, from those in the labour force, the trend of vulnerable employment</w:t>
      </w:r>
      <w:r w:rsidR="00531966" w:rsidRPr="00DE46F3">
        <w:rPr>
          <w:vertAlign w:val="superscript"/>
        </w:rPr>
        <w:footnoteReference w:id="176"/>
      </w:r>
      <w:r w:rsidR="00531966" w:rsidRPr="00DE46F3">
        <w:t xml:space="preserve"> has increased from 54.5 per cent in 2013 to 58.0 per cent in 2016, with a rate significantly higher among women (73.6 per cent in 2016) compared to men (47.2 per cent).</w:t>
      </w:r>
      <w:r w:rsidR="00531966" w:rsidRPr="00DE46F3">
        <w:rPr>
          <w:vertAlign w:val="superscript"/>
        </w:rPr>
        <w:footnoteReference w:id="177"/>
      </w:r>
    </w:p>
    <w:p w14:paraId="1510D9F2" w14:textId="7EE6DA9A" w:rsidR="00531966" w:rsidRPr="00DE46F3" w:rsidRDefault="003B0770" w:rsidP="003B0770">
      <w:pPr>
        <w:pStyle w:val="SingleTxt"/>
      </w:pPr>
      <w:r w:rsidRPr="00DE46F3">
        <w:t>128.</w:t>
      </w:r>
      <w:r w:rsidRPr="00DE46F3">
        <w:tab/>
      </w:r>
      <w:r w:rsidR="00531966" w:rsidRPr="00DE46F3">
        <w:t>An increase in secure wage employment of the total employments (from 30 per cent to 41 per cent) has been observed between 2010 and 2013 (although more rapid for men than for women).</w:t>
      </w:r>
      <w:r w:rsidR="00531966" w:rsidRPr="00DE46F3">
        <w:rPr>
          <w:vertAlign w:val="superscript"/>
        </w:rPr>
        <w:footnoteReference w:id="178"/>
      </w:r>
      <w:r w:rsidRPr="00DE46F3">
        <w:rPr>
          <w:vertAlign w:val="superscript"/>
        </w:rPr>
        <w:t>,</w:t>
      </w:r>
      <w:r w:rsidR="00531966" w:rsidRPr="00DE46F3">
        <w:rPr>
          <w:vertAlign w:val="superscript"/>
        </w:rPr>
        <w:footnoteReference w:id="179"/>
      </w:r>
      <w:r w:rsidR="00531966" w:rsidRPr="00DE46F3">
        <w:t xml:space="preserve"> Beyond the overall limited formal employment opportunities, two important factors contribute to limit women’s participation in the labour force: gender roles and family duties,</w:t>
      </w:r>
      <w:r w:rsidR="00531966" w:rsidRPr="00DE46F3">
        <w:rPr>
          <w:vertAlign w:val="superscript"/>
        </w:rPr>
        <w:footnoteReference w:id="180"/>
      </w:r>
      <w:r w:rsidR="00531966" w:rsidRPr="00DE46F3">
        <w:t xml:space="preserve"> as well as education attainment.</w:t>
      </w:r>
      <w:r w:rsidR="00531966" w:rsidRPr="00DE46F3">
        <w:rPr>
          <w:vertAlign w:val="superscript"/>
        </w:rPr>
        <w:footnoteReference w:id="181"/>
      </w:r>
    </w:p>
    <w:p w14:paraId="4285C725" w14:textId="4B5BEDA6" w:rsidR="00531966" w:rsidRPr="00DE46F3" w:rsidRDefault="003B0770" w:rsidP="003B0770">
      <w:pPr>
        <w:pStyle w:val="SingleTxt"/>
      </w:pPr>
      <w:r w:rsidRPr="00DE46F3">
        <w:t>129.</w:t>
      </w:r>
      <w:r w:rsidRPr="00DE46F3">
        <w:tab/>
      </w:r>
      <w:r w:rsidR="00531966" w:rsidRPr="00DE46F3">
        <w:t>In 2016, 1.6 per cent women held a managerial position (2,000 women) compared with 3.4 per cent men (6,100 men). As such, the share of women holding such position has been constant between 2013 and 2016 (about 30 per cent through all occupation groups).</w:t>
      </w:r>
      <w:r w:rsidR="00531966" w:rsidRPr="00DE46F3">
        <w:rPr>
          <w:vertAlign w:val="superscript"/>
        </w:rPr>
        <w:footnoteReference w:id="182"/>
      </w:r>
    </w:p>
    <w:p w14:paraId="20B8E760" w14:textId="70912131" w:rsidR="003B0770" w:rsidRPr="00DE46F3" w:rsidRDefault="003B0770" w:rsidP="003B0770">
      <w:pPr>
        <w:pStyle w:val="SingleTxt"/>
        <w:spacing w:after="0" w:line="120" w:lineRule="exact"/>
        <w:rPr>
          <w:sz w:val="10"/>
        </w:rPr>
      </w:pPr>
    </w:p>
    <w:p w14:paraId="2135B30E" w14:textId="47E8E04C" w:rsidR="00531966" w:rsidRPr="00DE46F3" w:rsidRDefault="00531966" w:rsidP="003B0770">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en-GB"/>
        </w:rPr>
      </w:pPr>
      <w:r w:rsidRPr="00DE46F3">
        <w:rPr>
          <w:lang w:val="en-GB"/>
        </w:rPr>
        <w:tab/>
      </w:r>
      <w:r w:rsidRPr="00DE46F3">
        <w:rPr>
          <w:lang w:val="en-GB"/>
        </w:rPr>
        <w:tab/>
        <w:t>Ratification of ILO Conventions</w:t>
      </w:r>
    </w:p>
    <w:p w14:paraId="4BF1A16B" w14:textId="0FCA6F99" w:rsidR="003B0770" w:rsidRPr="00DE46F3" w:rsidRDefault="003B0770" w:rsidP="003B0770">
      <w:pPr>
        <w:pStyle w:val="SingleTxt"/>
        <w:spacing w:after="0" w:line="120" w:lineRule="exact"/>
        <w:rPr>
          <w:sz w:val="10"/>
        </w:rPr>
      </w:pPr>
    </w:p>
    <w:p w14:paraId="2422E70C" w14:textId="1EE221EB" w:rsidR="00531966" w:rsidRPr="00DE46F3" w:rsidRDefault="003B0770" w:rsidP="003B0770">
      <w:pPr>
        <w:pStyle w:val="SingleTxt"/>
      </w:pPr>
      <w:r w:rsidRPr="00DE46F3">
        <w:t>130.</w:t>
      </w:r>
      <w:r w:rsidRPr="00DE46F3">
        <w:tab/>
      </w:r>
      <w:r w:rsidR="00531966" w:rsidRPr="00DE46F3">
        <w:t>After the ILO Constitution in May 2015, the ILO Conventions 111 and 100 were ratified by the Parliament on the 5th of August 2015 through the Parliament Resolutions N° 11/2015 and 12/2015, then depositing the instruments of ratification to the ILO Director-General on the 10th of May 2016.</w:t>
      </w:r>
    </w:p>
    <w:p w14:paraId="643BFD6D" w14:textId="6C761C41" w:rsidR="003B0770" w:rsidRPr="00DE46F3" w:rsidRDefault="003B0770" w:rsidP="003B0770">
      <w:pPr>
        <w:pStyle w:val="SingleTxt"/>
        <w:spacing w:after="0" w:line="120" w:lineRule="exact"/>
        <w:rPr>
          <w:sz w:val="10"/>
        </w:rPr>
      </w:pPr>
    </w:p>
    <w:p w14:paraId="6A066B5B" w14:textId="7E1B4D26" w:rsidR="00531966" w:rsidRPr="00DE46F3" w:rsidRDefault="003B0770" w:rsidP="00A453DF">
      <w:pPr>
        <w:pStyle w:val="H23"/>
        <w:keepNext/>
        <w:keepLines/>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en-GB"/>
        </w:rPr>
      </w:pPr>
      <w:bookmarkStart w:id="55" w:name="_Hlk20733692"/>
      <w:r w:rsidRPr="00DE46F3">
        <w:rPr>
          <w:lang w:val="en-GB"/>
        </w:rPr>
        <w:tab/>
      </w:r>
      <w:r w:rsidR="00531966" w:rsidRPr="00DE46F3">
        <w:rPr>
          <w:lang w:val="en-GB"/>
        </w:rPr>
        <w:tab/>
        <w:t>Programmes related to women access to employment</w:t>
      </w:r>
      <w:bookmarkEnd w:id="55"/>
    </w:p>
    <w:p w14:paraId="786B9EB8" w14:textId="53B4E99C" w:rsidR="003B0770" w:rsidRPr="00DE46F3" w:rsidRDefault="003B0770" w:rsidP="00A453DF">
      <w:pPr>
        <w:keepNext/>
        <w:keepLines/>
        <w:spacing w:line="120" w:lineRule="exact"/>
        <w:ind w:left="1267"/>
        <w:rPr>
          <w:sz w:val="10"/>
        </w:rPr>
      </w:pPr>
    </w:p>
    <w:p w14:paraId="13518483" w14:textId="02120745" w:rsidR="00531966" w:rsidRPr="00DE46F3" w:rsidRDefault="003B0770" w:rsidP="00A453DF">
      <w:pPr>
        <w:pStyle w:val="SingleTxt"/>
        <w:keepNext/>
        <w:keepLines/>
      </w:pPr>
      <w:r w:rsidRPr="00DE46F3">
        <w:t>131.</w:t>
      </w:r>
      <w:r w:rsidRPr="00DE46F3">
        <w:tab/>
      </w:r>
      <w:r w:rsidR="00531966" w:rsidRPr="00DE46F3">
        <w:t xml:space="preserve">The two major labour related policies developed in the reporting period include gender concerns. The 2016-2020 Decent Work Country Programme (DWCP) intends to improve access to employment services and opportunities in the private sector and the </w:t>
      </w:r>
      <w:bookmarkStart w:id="56" w:name="_Hlk20733733"/>
      <w:r w:rsidR="00531966" w:rsidRPr="00DE46F3">
        <w:t xml:space="preserve">National Employment Strategy (NES) 2017 - 2030 </w:t>
      </w:r>
      <w:bookmarkEnd w:id="56"/>
      <w:r w:rsidR="00531966" w:rsidRPr="00DE46F3">
        <w:t>aims at “</w:t>
      </w:r>
      <w:r w:rsidR="00531966" w:rsidRPr="00DE46F3">
        <w:rPr>
          <w:i/>
          <w:iCs/>
        </w:rPr>
        <w:t xml:space="preserve">increasing the current low labour force participation </w:t>
      </w:r>
      <w:r w:rsidR="00531966" w:rsidRPr="00DE46F3">
        <w:t>[…]</w:t>
      </w:r>
      <w:r w:rsidR="00531966" w:rsidRPr="00DE46F3">
        <w:rPr>
          <w:i/>
          <w:iCs/>
        </w:rPr>
        <w:t>, in particular women</w:t>
      </w:r>
      <w:r w:rsidR="00531966" w:rsidRPr="00DE46F3">
        <w:t>”.</w:t>
      </w:r>
      <w:r w:rsidR="00531966" w:rsidRPr="00DE46F3">
        <w:rPr>
          <w:vertAlign w:val="superscript"/>
        </w:rPr>
        <w:footnoteReference w:id="183"/>
      </w:r>
    </w:p>
    <w:p w14:paraId="39555222" w14:textId="13A103D3" w:rsidR="00531966" w:rsidRPr="00DE46F3" w:rsidRDefault="0042555B" w:rsidP="0042555B">
      <w:pPr>
        <w:pStyle w:val="SingleTxt"/>
      </w:pPr>
      <w:r w:rsidRPr="00DE46F3">
        <w:t>132.</w:t>
      </w:r>
      <w:r w:rsidRPr="00DE46F3">
        <w:tab/>
      </w:r>
      <w:r w:rsidR="00531966" w:rsidRPr="00DE46F3">
        <w:t xml:space="preserve">The Secretary of State for Vocational Training and Employment (SEPFOPE) is on track to achieve the </w:t>
      </w:r>
      <w:bookmarkStart w:id="57" w:name="_Hlk20733474"/>
      <w:r w:rsidR="00531966" w:rsidRPr="00DE46F3">
        <w:t>establishment of career guidance and employment centres (CEOPs</w:t>
      </w:r>
      <w:bookmarkEnd w:id="57"/>
      <w:r w:rsidR="00531966" w:rsidRPr="00DE46F3">
        <w:t xml:space="preserve">) under the DWCP in each municipality with the objective to have at least </w:t>
      </w:r>
      <w:bookmarkStart w:id="58" w:name="_Hlk20733513"/>
      <w:r w:rsidR="00531966" w:rsidRPr="00DE46F3">
        <w:t xml:space="preserve">30 per cent women counsellors </w:t>
      </w:r>
      <w:bookmarkEnd w:id="58"/>
      <w:r w:rsidR="00531966" w:rsidRPr="00DE46F3">
        <w:t>trained by 2020.</w:t>
      </w:r>
      <w:r w:rsidR="00531966" w:rsidRPr="00DE46F3">
        <w:rPr>
          <w:vertAlign w:val="superscript"/>
        </w:rPr>
        <w:footnoteReference w:id="184"/>
      </w:r>
    </w:p>
    <w:p w14:paraId="193CB334" w14:textId="0C48541A" w:rsidR="00531966" w:rsidRPr="00DE46F3" w:rsidRDefault="0042555B" w:rsidP="0042555B">
      <w:pPr>
        <w:pStyle w:val="SingleTxt"/>
      </w:pPr>
      <w:r w:rsidRPr="00DE46F3">
        <w:t>133.</w:t>
      </w:r>
      <w:r w:rsidRPr="00DE46F3">
        <w:tab/>
      </w:r>
      <w:r w:rsidR="00531966" w:rsidRPr="00DE46F3">
        <w:t>Various initiatives are being implemented to support local potentials through cash transfer programs and business trainings implemented either directly by the Government (MTCI/SEII), or with Civil Society support, for the development of business activities to the benefit of women’s groups.</w:t>
      </w:r>
      <w:r w:rsidR="00531966" w:rsidRPr="00DE46F3">
        <w:rPr>
          <w:vertAlign w:val="superscript"/>
        </w:rPr>
        <w:footnoteReference w:id="185"/>
      </w:r>
      <w:r w:rsidR="00531966" w:rsidRPr="00DE46F3">
        <w:t xml:space="preserve"> </w:t>
      </w:r>
      <w:r w:rsidR="00531966" w:rsidRPr="00DE46F3">
        <w:rPr>
          <w:vertAlign w:val="superscript"/>
        </w:rPr>
        <w:footnoteReference w:id="186"/>
      </w:r>
      <w:r w:rsidR="00531966" w:rsidRPr="00DE46F3">
        <w:t xml:space="preserve"> Employment intensive investment programmes targeting especially rural populations such as the ‘Road 4 Development’ and the ‘ERA Agro-Forestry’ programmes contributed to important achievements in terms of rural development and women’s inclusion. In 2018, 30 per cent of worker’s days generated were reserved for women and close to 50 per cent of the contractors trained and awarded contracts were women-owned firms.</w:t>
      </w:r>
    </w:p>
    <w:p w14:paraId="0E3D88D2" w14:textId="41E6AE6C" w:rsidR="008C5496" w:rsidRPr="00DE46F3" w:rsidRDefault="008C5496" w:rsidP="008C5496">
      <w:pPr>
        <w:pStyle w:val="SingleTxt"/>
      </w:pPr>
      <w:r w:rsidRPr="00DE46F3">
        <w:t>134.</w:t>
      </w:r>
      <w:r w:rsidRPr="00DE46F3">
        <w:tab/>
        <w:t>Gender principles and women’s employment are also integrated in the legal framework and strategies related to the development of the private sector</w:t>
      </w:r>
      <w:r w:rsidRPr="00DE46F3">
        <w:rPr>
          <w:vertAlign w:val="superscript"/>
        </w:rPr>
        <w:footnoteReference w:id="187"/>
      </w:r>
      <w:r w:rsidRPr="00DE46F3">
        <w:t xml:space="preserve"> and financial inclusion.</w:t>
      </w:r>
      <w:r w:rsidRPr="00DE46F3">
        <w:rPr>
          <w:vertAlign w:val="superscript"/>
        </w:rPr>
        <w:footnoteReference w:id="188"/>
      </w:r>
      <w:r w:rsidRPr="00DE46F3">
        <w:t xml:space="preserve"> As part of the National Strategy for Financial Inclusion,</w:t>
      </w:r>
      <w:r w:rsidRPr="00DE46F3">
        <w:rPr>
          <w:vertAlign w:val="superscript"/>
        </w:rPr>
        <w:footnoteReference w:id="189"/>
      </w:r>
      <w:r w:rsidRPr="00DE46F3">
        <w:t xml:space="preserve"> the creation of the </w:t>
      </w:r>
      <w:bookmarkStart w:id="59" w:name="_Hlk20734133"/>
      <w:r w:rsidRPr="00DE46F3">
        <w:t>Small and Medium Business Credit Guarantee System (SGC)</w:t>
      </w:r>
      <w:bookmarkEnd w:id="59"/>
      <w:r w:rsidRPr="00DE46F3">
        <w:t xml:space="preserve"> by the Central Bank of Timor-Leste (BCTL) aims at promoting small and medium-sized enterprises, and is required to facilitate youth and women entrepreneurship (Decree-Law N°23/2017 - Art. 11.f).</w:t>
      </w:r>
      <w:r w:rsidRPr="00DE46F3">
        <w:rPr>
          <w:vertAlign w:val="superscript"/>
        </w:rPr>
        <w:footnoteReference w:id="190"/>
      </w:r>
    </w:p>
    <w:p w14:paraId="69B69530" w14:textId="59DE187A" w:rsidR="008C5496" w:rsidRPr="00DE46F3" w:rsidRDefault="008C5496" w:rsidP="008C5496">
      <w:pPr>
        <w:pStyle w:val="SingleTxt"/>
      </w:pPr>
      <w:r w:rsidRPr="00DE46F3">
        <w:t>135.</w:t>
      </w:r>
      <w:r w:rsidRPr="00DE46F3">
        <w:tab/>
        <w:t>IADE scaled up its entrepreneurship and training programs with 1,111 trainees (45 per cent women) in general business in 2016.</w:t>
      </w:r>
      <w:r w:rsidRPr="00DE46F3">
        <w:rPr>
          <w:vertAlign w:val="superscript"/>
        </w:rPr>
        <w:footnoteReference w:id="191"/>
      </w:r>
      <w:r w:rsidRPr="00DE46F3">
        <w:t xml:space="preserve"> Moreover, the trend in female enrolment in TVET education in non-traditional careers (construction and automotive trade) sectors has been slowly raising (21 per cent in 2014, 29 per cent in 2015), while the proportion of women engaged hospitality and administration trainings is generally higher.</w:t>
      </w:r>
      <w:r w:rsidRPr="00DE46F3">
        <w:rPr>
          <w:vertAlign w:val="superscript"/>
        </w:rPr>
        <w:footnoteReference w:id="192"/>
      </w:r>
      <w:r w:rsidRPr="00DE46F3">
        <w:t xml:space="preserve"> Overall, during the 2014-2018 period, the proportion of women involved in TVET training programs reached 57 per cent across all professional training sectors.</w:t>
      </w:r>
      <w:r w:rsidRPr="00DE46F3">
        <w:rPr>
          <w:vertAlign w:val="superscript"/>
        </w:rPr>
        <w:footnoteReference w:id="193"/>
      </w:r>
    </w:p>
    <w:p w14:paraId="1C86356C" w14:textId="2FECF19D" w:rsidR="008C5496" w:rsidRPr="00DE46F3" w:rsidRDefault="008C5496" w:rsidP="008C5496">
      <w:pPr>
        <w:pStyle w:val="SingleTxt"/>
      </w:pPr>
      <w:r w:rsidRPr="00DE46F3">
        <w:t>136.</w:t>
      </w:r>
      <w:r w:rsidRPr="00DE46F3">
        <w:tab/>
        <w:t>According to SEPFOPE’s data for the 2014-2018 period, 39 per cent of women were able to access employment after completing a training program.</w:t>
      </w:r>
      <w:r w:rsidRPr="00DE46F3">
        <w:rPr>
          <w:vertAlign w:val="superscript"/>
        </w:rPr>
        <w:footnoteReference w:id="194"/>
      </w:r>
      <w:r w:rsidRPr="00DE46F3">
        <w:t xml:space="preserve"> Nonetheless, the overall proportion of trainees’ entry into employment in the same period is limited (about 13 per cent), especially due to the limited formal labour opportunities, notably in rural areas.</w:t>
      </w:r>
      <w:r w:rsidRPr="00DE46F3">
        <w:rPr>
          <w:vertAlign w:val="superscript"/>
        </w:rPr>
        <w:footnoteReference w:id="195"/>
      </w:r>
    </w:p>
    <w:p w14:paraId="2FFDE08A" w14:textId="399BD311" w:rsidR="008C5496" w:rsidRPr="00DE46F3" w:rsidRDefault="008C5496" w:rsidP="008C5496">
      <w:pPr>
        <w:pStyle w:val="SingleTxt"/>
        <w:spacing w:after="0" w:line="120" w:lineRule="exact"/>
        <w:rPr>
          <w:sz w:val="10"/>
        </w:rPr>
      </w:pPr>
    </w:p>
    <w:p w14:paraId="63BC21AF" w14:textId="06618F14" w:rsidR="008C5496" w:rsidRPr="00DE46F3" w:rsidRDefault="008C5496" w:rsidP="008C5496">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en-GB"/>
        </w:rPr>
      </w:pPr>
      <w:bookmarkStart w:id="61" w:name="_Hlk20734542"/>
      <w:r w:rsidRPr="00DE46F3">
        <w:rPr>
          <w:lang w:val="en-GB"/>
        </w:rPr>
        <w:tab/>
      </w:r>
      <w:r w:rsidRPr="00DE46F3">
        <w:rPr>
          <w:lang w:val="en-GB"/>
        </w:rPr>
        <w:tab/>
        <w:t>Social security coverage and maternity protection</w:t>
      </w:r>
    </w:p>
    <w:p w14:paraId="48BC8B1C" w14:textId="5B129BBB" w:rsidR="008C5496" w:rsidRPr="00DE46F3" w:rsidRDefault="008C5496" w:rsidP="008C5496">
      <w:pPr>
        <w:pStyle w:val="SingleTxt"/>
        <w:spacing w:after="0" w:line="120" w:lineRule="exact"/>
        <w:rPr>
          <w:sz w:val="10"/>
        </w:rPr>
      </w:pPr>
    </w:p>
    <w:bookmarkEnd w:id="61"/>
    <w:p w14:paraId="43653248" w14:textId="75F8EBC6" w:rsidR="008C5496" w:rsidRPr="00DE46F3" w:rsidRDefault="008C5496" w:rsidP="008C5496">
      <w:pPr>
        <w:pStyle w:val="SingleTxt"/>
      </w:pPr>
      <w:r w:rsidRPr="00DE46F3">
        <w:t>137.</w:t>
      </w:r>
      <w:r w:rsidRPr="00DE46F3">
        <w:tab/>
        <w:t>The first comprehensive and contributory social security scheme for the working-age population was officially adopted in 2016 (Law N° 12/2016) and began to operate in August 2017. It is mandatory for all workers in the private formal and public sectors and offers provisions for old age, invalidity (Decree-Law N° 17/2017), maternity, paternity (Decree-Law N° 18/2017) and death (Decree-Law N° 19/2017).</w:t>
      </w:r>
    </w:p>
    <w:p w14:paraId="1C46C9BA" w14:textId="03EA9AF8" w:rsidR="008C5496" w:rsidRPr="00DE46F3" w:rsidRDefault="008C5496" w:rsidP="008C5496">
      <w:pPr>
        <w:pStyle w:val="SingleTxt"/>
      </w:pPr>
      <w:r w:rsidRPr="00DE46F3">
        <w:t>138.</w:t>
      </w:r>
      <w:r w:rsidRPr="00DE46F3">
        <w:tab/>
        <w:t>72,789 workers were already enrolled and covered in 2019 at the time of writing, representing about 20 per cent of the labour force. Close to 66 per cent of registered workers are from the public sector, about 33 per cent from the private sector and 0.5</w:t>
      </w:r>
      <w:r w:rsidR="007E2B13">
        <w:t xml:space="preserve"> </w:t>
      </w:r>
      <w:r w:rsidRPr="00DE46F3">
        <w:t>per cent individual workers. Women represent 32 per cent of the total registered workers. As of October 2019, parenting benefits have been already paid to a total of 1,147 beneficiaries (about 74 per cent maternity and 26 per cent paternity) while the survivor's pension was paid to 708 beneficiaries (87.5 per cent men and 12.5 per cent women).</w:t>
      </w:r>
      <w:r w:rsidRPr="00DE46F3">
        <w:rPr>
          <w:vertAlign w:val="superscript"/>
        </w:rPr>
        <w:footnoteReference w:id="196"/>
      </w:r>
    </w:p>
    <w:p w14:paraId="62B5A8AE" w14:textId="38000D35" w:rsidR="008C5496" w:rsidRPr="00DE46F3" w:rsidRDefault="008C5496" w:rsidP="008C5496">
      <w:pPr>
        <w:pStyle w:val="SingleTxt"/>
      </w:pPr>
      <w:r w:rsidRPr="00DE46F3">
        <w:t>139.</w:t>
      </w:r>
      <w:r w:rsidRPr="00DE46F3">
        <w:tab/>
        <w:t>As an important share of women participating in the labour force are in vulnerable employment with no formal work arrangements, it is unlikely that they have access to this scheme, representing a clear limitation.</w:t>
      </w:r>
      <w:r w:rsidRPr="00DE46F3">
        <w:rPr>
          <w:vertAlign w:val="superscript"/>
        </w:rPr>
        <w:footnoteReference w:id="197"/>
      </w:r>
      <w:r w:rsidRPr="00DE46F3">
        <w:t xml:space="preserve"> </w:t>
      </w:r>
    </w:p>
    <w:p w14:paraId="6E14F952" w14:textId="2BE78F48" w:rsidR="008C5496" w:rsidRPr="00DE46F3" w:rsidRDefault="008C5496" w:rsidP="008C5496">
      <w:pPr>
        <w:pStyle w:val="SingleTxt"/>
      </w:pPr>
      <w:r w:rsidRPr="00DE46F3">
        <w:t>140.</w:t>
      </w:r>
      <w:r w:rsidRPr="00DE46F3">
        <w:tab/>
        <w:t>The development of a draft law on domestic workers by SEPFOPE in collaboration with women’s organizations and unions or the rural public work programs represent progresses towards access to formal work arrangements for these specific categories of vulnerable workers which include an important share of women.</w:t>
      </w:r>
    </w:p>
    <w:p w14:paraId="6D708E73" w14:textId="1215D50E" w:rsidR="008C5496" w:rsidRPr="00DE46F3" w:rsidRDefault="008C5496" w:rsidP="008C5496">
      <w:pPr>
        <w:pStyle w:val="SingleTxt"/>
        <w:spacing w:after="0" w:line="120" w:lineRule="exact"/>
        <w:rPr>
          <w:sz w:val="10"/>
        </w:rPr>
      </w:pPr>
    </w:p>
    <w:p w14:paraId="35AD9E06" w14:textId="7FAB6934" w:rsidR="008C5496" w:rsidRPr="00DE46F3" w:rsidRDefault="008C5496" w:rsidP="008C5496">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en-GB"/>
        </w:rPr>
      </w:pPr>
      <w:r w:rsidRPr="00DE46F3">
        <w:rPr>
          <w:lang w:val="en-GB"/>
        </w:rPr>
        <w:tab/>
      </w:r>
      <w:r w:rsidRPr="00DE46F3">
        <w:rPr>
          <w:lang w:val="en-GB"/>
        </w:rPr>
        <w:tab/>
        <w:t>Monitoring of working conditions of women</w:t>
      </w:r>
    </w:p>
    <w:p w14:paraId="6DEFE587" w14:textId="27454CC7" w:rsidR="008C5496" w:rsidRPr="00DE46F3" w:rsidRDefault="008C5496" w:rsidP="008C5496">
      <w:pPr>
        <w:pStyle w:val="SingleTxt"/>
        <w:spacing w:after="0" w:line="120" w:lineRule="exact"/>
        <w:rPr>
          <w:sz w:val="10"/>
        </w:rPr>
      </w:pPr>
    </w:p>
    <w:p w14:paraId="609420EC" w14:textId="30079EC8" w:rsidR="008C5496" w:rsidRPr="00DE46F3" w:rsidRDefault="008C5496" w:rsidP="008C5496">
      <w:pPr>
        <w:pStyle w:val="SingleTxt"/>
      </w:pPr>
      <w:r w:rsidRPr="00DE46F3">
        <w:t>141.</w:t>
      </w:r>
      <w:r w:rsidRPr="00DE46F3">
        <w:tab/>
        <w:t>The General Inspectorate of Labour (IGT) oversees the monitoring the working conditions of workers through inspection visits. In the 2016-2019 period, visits were conducted in 5,725 companies, for a total of 74,726 workers covered (about 22 per cent women).</w:t>
      </w:r>
      <w:r w:rsidRPr="00DE46F3">
        <w:rPr>
          <w:vertAlign w:val="superscript"/>
        </w:rPr>
        <w:footnoteReference w:id="198"/>
      </w:r>
      <w:r w:rsidR="00A2287E" w:rsidRPr="00DE46F3">
        <w:rPr>
          <w:vertAlign w:val="superscript"/>
        </w:rPr>
        <w:t>,</w:t>
      </w:r>
      <w:r w:rsidRPr="00DE46F3">
        <w:rPr>
          <w:vertAlign w:val="superscript"/>
        </w:rPr>
        <w:footnoteReference w:id="199"/>
      </w:r>
    </w:p>
    <w:p w14:paraId="50378140" w14:textId="7C664877" w:rsidR="008C5496" w:rsidRPr="00DE46F3" w:rsidRDefault="008C5496" w:rsidP="008C5496">
      <w:pPr>
        <w:pStyle w:val="SingleTxt"/>
        <w:spacing w:after="0" w:line="120" w:lineRule="exact"/>
        <w:rPr>
          <w:sz w:val="10"/>
        </w:rPr>
      </w:pPr>
    </w:p>
    <w:p w14:paraId="2DBFE849" w14:textId="03C184E3" w:rsidR="008C5496" w:rsidRPr="00DE46F3" w:rsidRDefault="008C5496" w:rsidP="00DF508B">
      <w:pPr>
        <w:pStyle w:val="H23"/>
        <w:keepNext/>
        <w:keepLines/>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en-GB"/>
        </w:rPr>
      </w:pPr>
      <w:r w:rsidRPr="00DE46F3">
        <w:rPr>
          <w:lang w:val="en-GB"/>
        </w:rPr>
        <w:tab/>
      </w:r>
      <w:r w:rsidRPr="00DE46F3">
        <w:rPr>
          <w:lang w:val="en-GB"/>
        </w:rPr>
        <w:tab/>
        <w:t>Labour related complaints processed by the General Inspectorate of Labour</w:t>
      </w:r>
    </w:p>
    <w:p w14:paraId="3213B35C" w14:textId="7909E361" w:rsidR="008C5496" w:rsidRPr="00DE46F3" w:rsidRDefault="008C5496" w:rsidP="00DF508B">
      <w:pPr>
        <w:pStyle w:val="SingleTxt"/>
        <w:keepNext/>
        <w:keepLines/>
        <w:spacing w:after="0" w:line="120" w:lineRule="exact"/>
        <w:rPr>
          <w:sz w:val="10"/>
        </w:rPr>
      </w:pPr>
    </w:p>
    <w:p w14:paraId="363EF73C" w14:textId="41ED7F6E" w:rsidR="008C5496" w:rsidRPr="00DE46F3" w:rsidRDefault="008C5496" w:rsidP="00DF508B">
      <w:pPr>
        <w:pStyle w:val="SingleTxt"/>
        <w:keepNext/>
        <w:keepLines/>
      </w:pPr>
      <w:r w:rsidRPr="00DE46F3">
        <w:t>142.</w:t>
      </w:r>
      <w:r w:rsidRPr="00DE46F3">
        <w:tab/>
        <w:t>After an active socialization campaign of the law in the 2012-2015 period (following the adoption of the Labour Code), efforts were maintained in the 2016</w:t>
      </w:r>
      <w:r w:rsidR="00A2287E" w:rsidRPr="00DE46F3">
        <w:t>–</w:t>
      </w:r>
      <w:r w:rsidRPr="00DE46F3">
        <w:t>2019 period (reaching more than 1,500 participants - about 40 per cent women).</w:t>
      </w:r>
      <w:r w:rsidRPr="00DE46F3">
        <w:rPr>
          <w:vertAlign w:val="superscript"/>
        </w:rPr>
        <w:footnoteReference w:id="200"/>
      </w:r>
    </w:p>
    <w:p w14:paraId="289F93E9" w14:textId="57C4571B" w:rsidR="008C5496" w:rsidRPr="00DE46F3" w:rsidRDefault="008C5496" w:rsidP="008C5496">
      <w:pPr>
        <w:pStyle w:val="SingleTxt"/>
      </w:pPr>
      <w:r w:rsidRPr="00DE46F3">
        <w:t>143.</w:t>
      </w:r>
      <w:r w:rsidRPr="00DE46F3">
        <w:tab/>
        <w:t>In the 2016-2019 period (until Oct.), IGT received 427 complaints, for a total of 721 cases treated</w:t>
      </w:r>
      <w:r w:rsidRPr="00DE46F3">
        <w:rPr>
          <w:vertAlign w:val="superscript"/>
        </w:rPr>
        <w:footnoteReference w:id="201"/>
      </w:r>
      <w:r w:rsidRPr="00DE46F3">
        <w:t xml:space="preserve"> which required the direct intervention through inspection visit (137 complaints (32 per cent) filed by women). Overall, most cases are related to work contract, minimum salary, and overtime work and are directly settled through the intervention of the inspectors. A small proportion (9 per cent in the 2012</w:t>
      </w:r>
      <w:r w:rsidR="00A2287E" w:rsidRPr="00DE46F3">
        <w:t>–</w:t>
      </w:r>
      <w:r w:rsidRPr="00DE46F3">
        <w:t>2017 period) were redirected to the directorate of labour relations for mediation/conciliation, and a limited number of cases were cancelled by the worker after finding agreement with the employer.</w:t>
      </w:r>
      <w:r w:rsidRPr="00DE46F3">
        <w:rPr>
          <w:vertAlign w:val="superscript"/>
        </w:rPr>
        <w:footnoteReference w:id="202"/>
      </w:r>
    </w:p>
    <w:p w14:paraId="0CFA26B1" w14:textId="7C22A097" w:rsidR="008C5496" w:rsidRPr="00DE46F3" w:rsidRDefault="008C5496" w:rsidP="008C5496">
      <w:pPr>
        <w:pStyle w:val="SingleTxt"/>
        <w:rPr>
          <w:vertAlign w:val="superscript"/>
        </w:rPr>
      </w:pPr>
      <w:r w:rsidRPr="00DE46F3">
        <w:t>144.</w:t>
      </w:r>
      <w:r w:rsidRPr="00DE46F3">
        <w:tab/>
        <w:t>In terms of curative measures and sanctions, the IGT has a 3 options range. A notification to the company can be issued prior to a possible visit where necessary (</w:t>
      </w:r>
      <w:r w:rsidRPr="00DE46F3">
        <w:rPr>
          <w:i/>
          <w:iCs/>
        </w:rPr>
        <w:t>Termus Notifikasaun</w:t>
      </w:r>
      <w:r w:rsidRPr="00DE46F3">
        <w:t>). In case of confirmed irregularity observed by the IGT, a warning can be delivered to the company to fix the issue (</w:t>
      </w:r>
      <w:r w:rsidRPr="00DE46F3">
        <w:rPr>
          <w:i/>
          <w:iCs/>
        </w:rPr>
        <w:t>Auto Adverténsia</w:t>
      </w:r>
      <w:r w:rsidRPr="00DE46F3">
        <w:t>). Finally, in case of significant issue observed, the inspectorate imposes a fine (</w:t>
      </w:r>
      <w:r w:rsidRPr="00DE46F3">
        <w:rPr>
          <w:i/>
          <w:iCs/>
        </w:rPr>
        <w:t>Auto Notísia</w:t>
      </w:r>
      <w:r w:rsidRPr="00DE46F3">
        <w:t>). The trend in terms of fines imposed to companies has been drastically raising every year in the reporting period.</w:t>
      </w:r>
      <w:r w:rsidRPr="00DE46F3">
        <w:rPr>
          <w:vertAlign w:val="superscript"/>
        </w:rPr>
        <w:footnoteReference w:id="203"/>
      </w:r>
      <w:r w:rsidRPr="00DE46F3">
        <w:rPr>
          <w:vertAlign w:val="superscript"/>
        </w:rPr>
        <w:t>,</w:t>
      </w:r>
      <w:r w:rsidRPr="00DE46F3">
        <w:rPr>
          <w:vertAlign w:val="superscript"/>
        </w:rPr>
        <w:footnoteReference w:id="204"/>
      </w:r>
    </w:p>
    <w:p w14:paraId="5777B585" w14:textId="267B821D" w:rsidR="008C5496" w:rsidRPr="00DF508B" w:rsidRDefault="008C5496" w:rsidP="008C5496">
      <w:pPr>
        <w:pStyle w:val="SingleTxt"/>
        <w:spacing w:after="0" w:line="120" w:lineRule="exact"/>
        <w:rPr>
          <w:sz w:val="10"/>
        </w:rPr>
      </w:pPr>
    </w:p>
    <w:p w14:paraId="73AB0DFE" w14:textId="6CA593AB" w:rsidR="008C5496" w:rsidRPr="00DE46F3" w:rsidRDefault="008C5496" w:rsidP="008C5496">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en-GB"/>
        </w:rPr>
      </w:pPr>
      <w:r w:rsidRPr="00DE46F3">
        <w:rPr>
          <w:lang w:val="en-GB"/>
        </w:rPr>
        <w:tab/>
      </w:r>
      <w:r w:rsidRPr="00DE46F3">
        <w:rPr>
          <w:lang w:val="en-GB"/>
        </w:rPr>
        <w:tab/>
        <w:t>Gender pay gap</w:t>
      </w:r>
    </w:p>
    <w:p w14:paraId="271EE8C1" w14:textId="67D401A9" w:rsidR="00E7381F" w:rsidRPr="00DE46F3" w:rsidRDefault="00E7381F" w:rsidP="00E7381F">
      <w:pPr>
        <w:pStyle w:val="SingleTxt"/>
        <w:spacing w:after="0" w:line="120" w:lineRule="exact"/>
        <w:rPr>
          <w:sz w:val="10"/>
        </w:rPr>
      </w:pPr>
    </w:p>
    <w:p w14:paraId="0444C43C" w14:textId="71578BBD" w:rsidR="008C5496" w:rsidRPr="00DE46F3" w:rsidRDefault="00E7381F" w:rsidP="008C5496">
      <w:pPr>
        <w:pStyle w:val="SingleTxt"/>
      </w:pPr>
      <w:r w:rsidRPr="00DE46F3">
        <w:t>145.</w:t>
      </w:r>
      <w:r w:rsidRPr="00DE46F3">
        <w:tab/>
      </w:r>
      <w:r w:rsidR="008C5496" w:rsidRPr="00DE46F3">
        <w:t>According to the 2016 Mini Labour Force Survey, monthly median wages for male reached 235.9 USD per month and 184.0 USD for women. As such, the gender pay gap is 22 per cent.</w:t>
      </w:r>
      <w:r w:rsidR="008C5496" w:rsidRPr="00DE46F3">
        <w:rPr>
          <w:vertAlign w:val="superscript"/>
        </w:rPr>
        <w:footnoteReference w:id="205"/>
      </w:r>
    </w:p>
    <w:p w14:paraId="5D28E81E" w14:textId="264AF2E7" w:rsidR="008C5496" w:rsidRPr="00DE46F3" w:rsidRDefault="00E7381F" w:rsidP="00E7381F">
      <w:pPr>
        <w:pStyle w:val="SingleTxt"/>
      </w:pPr>
      <w:r w:rsidRPr="00DE46F3">
        <w:t>146.</w:t>
      </w:r>
      <w:r w:rsidRPr="00DE46F3">
        <w:tab/>
      </w:r>
      <w:r w:rsidR="008C5496" w:rsidRPr="00DE46F3">
        <w:t>Factors may include the over-representation of women in typically lower paying industries and occupations, such as hospitality and administration, as well as the high rate of women working part-time (29 per cent of employed women compared to 13 per cent of men in 2013).</w:t>
      </w:r>
      <w:r w:rsidR="008C5496" w:rsidRPr="00DE46F3">
        <w:rPr>
          <w:vertAlign w:val="superscript"/>
        </w:rPr>
        <w:footnoteReference w:id="206"/>
      </w:r>
    </w:p>
    <w:p w14:paraId="2455541F" w14:textId="7888F8AF" w:rsidR="00E7381F" w:rsidRPr="00DE46F3" w:rsidRDefault="00E7381F" w:rsidP="00E7381F">
      <w:pPr>
        <w:pStyle w:val="SingleTxt"/>
        <w:spacing w:after="0" w:line="120" w:lineRule="exact"/>
        <w:rPr>
          <w:sz w:val="10"/>
        </w:rPr>
      </w:pPr>
    </w:p>
    <w:p w14:paraId="39B94018" w14:textId="5DA0C686" w:rsidR="00E7381F" w:rsidRPr="00DE46F3" w:rsidRDefault="00E7381F" w:rsidP="00E7381F">
      <w:pPr>
        <w:pStyle w:val="SingleTxt"/>
        <w:spacing w:after="0" w:line="120" w:lineRule="exact"/>
        <w:rPr>
          <w:sz w:val="10"/>
        </w:rPr>
      </w:pPr>
    </w:p>
    <w:p w14:paraId="055DBB31" w14:textId="40761258" w:rsidR="008C5496" w:rsidRPr="00DE46F3" w:rsidRDefault="008C5496" w:rsidP="00E7381F">
      <w:pPr>
        <w:pStyle w:val="HCh"/>
        <w:tabs>
          <w:tab w:val="clear" w:pos="1742"/>
        </w:tabs>
        <w:ind w:left="1267" w:hanging="1267"/>
      </w:pPr>
      <w:bookmarkStart w:id="62" w:name="_Toc25630041"/>
      <w:bookmarkStart w:id="63" w:name="_Toc10641668"/>
      <w:bookmarkStart w:id="64" w:name="_Hlk20734962"/>
      <w:r w:rsidRPr="00DE46F3">
        <w:tab/>
      </w:r>
      <w:r w:rsidRPr="00DE46F3">
        <w:tab/>
        <w:t>Article 12: Access to Health</w:t>
      </w:r>
      <w:bookmarkEnd w:id="62"/>
      <w:bookmarkEnd w:id="63"/>
      <w:bookmarkEnd w:id="64"/>
    </w:p>
    <w:p w14:paraId="0CAAA1AD" w14:textId="09091CF4" w:rsidR="00E7381F" w:rsidRPr="00DE46F3" w:rsidRDefault="00E7381F" w:rsidP="00E7381F">
      <w:pPr>
        <w:pStyle w:val="SingleTxt"/>
        <w:spacing w:after="0" w:line="120" w:lineRule="exact"/>
        <w:rPr>
          <w:sz w:val="10"/>
        </w:rPr>
      </w:pPr>
    </w:p>
    <w:p w14:paraId="3DA86B79" w14:textId="012FC898" w:rsidR="00E7381F" w:rsidRPr="00DE46F3" w:rsidRDefault="00E7381F" w:rsidP="00E7381F">
      <w:pPr>
        <w:pStyle w:val="SingleTxt"/>
        <w:spacing w:after="0" w:line="120" w:lineRule="exact"/>
        <w:rPr>
          <w:sz w:val="10"/>
        </w:rPr>
      </w:pPr>
    </w:p>
    <w:p w14:paraId="77E2F6AD" w14:textId="58FFEE92" w:rsidR="008C5496" w:rsidRPr="00DE46F3" w:rsidRDefault="008C5496" w:rsidP="00E7381F">
      <w:pPr>
        <w:pStyle w:val="H1"/>
        <w:tabs>
          <w:tab w:val="clear" w:pos="1742"/>
        </w:tabs>
        <w:ind w:right="0"/>
      </w:pPr>
      <w:r w:rsidRPr="00DE46F3">
        <w:tab/>
      </w:r>
      <w:r w:rsidRPr="00DE46F3">
        <w:tab/>
        <w:t>Abortion</w:t>
      </w:r>
    </w:p>
    <w:p w14:paraId="6D703AEB" w14:textId="2EF2F32B" w:rsidR="00E7381F" w:rsidRPr="00DE46F3" w:rsidRDefault="00E7381F" w:rsidP="00E7381F">
      <w:pPr>
        <w:pStyle w:val="SingleTxt"/>
        <w:spacing w:after="0" w:line="120" w:lineRule="exact"/>
        <w:rPr>
          <w:sz w:val="10"/>
        </w:rPr>
      </w:pPr>
    </w:p>
    <w:p w14:paraId="396778D6" w14:textId="519376C5" w:rsidR="00E7381F" w:rsidRPr="00DE46F3" w:rsidRDefault="00E7381F" w:rsidP="00E7381F">
      <w:pPr>
        <w:pStyle w:val="SingleTxt"/>
        <w:spacing w:after="0" w:line="120" w:lineRule="exact"/>
        <w:rPr>
          <w:sz w:val="10"/>
        </w:rPr>
      </w:pPr>
    </w:p>
    <w:p w14:paraId="591E4DAC" w14:textId="14AC71C8" w:rsidR="008C5496" w:rsidRPr="00DE46F3" w:rsidRDefault="00E7381F" w:rsidP="00E7381F">
      <w:pPr>
        <w:pStyle w:val="SingleTxt"/>
      </w:pPr>
      <w:r w:rsidRPr="00DE46F3">
        <w:t>147.</w:t>
      </w:r>
      <w:r w:rsidRPr="00DE46F3">
        <w:tab/>
      </w:r>
      <w:r w:rsidR="008C5496" w:rsidRPr="00DE46F3">
        <w:t>The legal framework related to abortion has not been revised in the reporting period.</w:t>
      </w:r>
    </w:p>
    <w:p w14:paraId="3695BDB4" w14:textId="299B7723" w:rsidR="00E7381F" w:rsidRPr="00DE46F3" w:rsidRDefault="00E7381F" w:rsidP="00E7381F">
      <w:pPr>
        <w:pStyle w:val="SingleTxt"/>
        <w:spacing w:after="0" w:line="120" w:lineRule="exact"/>
        <w:rPr>
          <w:sz w:val="10"/>
        </w:rPr>
      </w:pPr>
    </w:p>
    <w:p w14:paraId="4C363DE6" w14:textId="57F185A2" w:rsidR="00E7381F" w:rsidRPr="00DE46F3" w:rsidRDefault="00E7381F" w:rsidP="00E7381F">
      <w:pPr>
        <w:pStyle w:val="SingleTxt"/>
        <w:spacing w:after="0" w:line="120" w:lineRule="exact"/>
        <w:rPr>
          <w:sz w:val="10"/>
        </w:rPr>
      </w:pPr>
    </w:p>
    <w:p w14:paraId="7A969F04" w14:textId="0A0663F5" w:rsidR="008C5496" w:rsidRPr="00DE46F3" w:rsidRDefault="008C5496" w:rsidP="00DF508B">
      <w:pPr>
        <w:pStyle w:val="H1"/>
        <w:tabs>
          <w:tab w:val="clear" w:pos="1742"/>
        </w:tabs>
        <w:ind w:right="0"/>
      </w:pPr>
      <w:r w:rsidRPr="00DE46F3">
        <w:tab/>
      </w:r>
      <w:r w:rsidRPr="00DE46F3">
        <w:tab/>
        <w:t>Trends in sexual and reproductive health indicators</w:t>
      </w:r>
    </w:p>
    <w:p w14:paraId="32356753" w14:textId="181FEA95" w:rsidR="00E7381F" w:rsidRPr="00DE46F3" w:rsidRDefault="00E7381F" w:rsidP="00DF508B">
      <w:pPr>
        <w:pStyle w:val="SingleTxt"/>
        <w:keepNext/>
        <w:keepLines/>
        <w:spacing w:after="0" w:line="120" w:lineRule="exact"/>
        <w:rPr>
          <w:sz w:val="10"/>
        </w:rPr>
      </w:pPr>
    </w:p>
    <w:p w14:paraId="1B77094F" w14:textId="40ACD17F" w:rsidR="00E7381F" w:rsidRPr="00DE46F3" w:rsidRDefault="00E7381F" w:rsidP="00DF508B">
      <w:pPr>
        <w:pStyle w:val="SingleTxt"/>
        <w:keepNext/>
        <w:keepLines/>
        <w:spacing w:after="0" w:line="120" w:lineRule="exact"/>
        <w:rPr>
          <w:sz w:val="10"/>
        </w:rPr>
      </w:pPr>
    </w:p>
    <w:p w14:paraId="7F5F4CFE" w14:textId="4CA3E4CA" w:rsidR="008C5496" w:rsidRPr="00DE46F3" w:rsidRDefault="00E7381F" w:rsidP="00DF508B">
      <w:pPr>
        <w:pStyle w:val="SingleTxt"/>
        <w:keepNext/>
        <w:keepLines/>
      </w:pPr>
      <w:r w:rsidRPr="00DE46F3">
        <w:t>148.</w:t>
      </w:r>
      <w:r w:rsidRPr="00DE46F3">
        <w:tab/>
      </w:r>
      <w:r w:rsidR="008C5496" w:rsidRPr="00DE46F3">
        <w:t>Significant progress on SRH has occurred in the reporting period, particularly in relation to the reduction of maternal and infant mortality rates. Between the 2010 and 2016 Demographic and Health Surveys (DHS) the maternal mortality ratio (MMR) has reduced from 557/100,000 to 195/100,000 live births, the pregnancy-related mortality rate (PRMR) reduced from 557/100,000 to 218/100,000 live births, infant mortality rate (IMR) has reduced from 45/1,000 to 30/1,000 child births, and children under-5 mortality rate reduced from 64/1,000 to 41/1,000 births.</w:t>
      </w:r>
      <w:r w:rsidR="008C5496" w:rsidRPr="00DE46F3">
        <w:rPr>
          <w:vertAlign w:val="superscript"/>
        </w:rPr>
        <w:footnoteReference w:id="207"/>
      </w:r>
    </w:p>
    <w:p w14:paraId="0619A5E3" w14:textId="39344236" w:rsidR="008C5496" w:rsidRPr="00DE46F3" w:rsidRDefault="00E7381F" w:rsidP="00E7381F">
      <w:pPr>
        <w:pStyle w:val="SingleTxt"/>
      </w:pPr>
      <w:r w:rsidRPr="00DE46F3">
        <w:t>149.</w:t>
      </w:r>
      <w:r w:rsidRPr="00DE46F3">
        <w:tab/>
      </w:r>
      <w:r w:rsidR="008C5496" w:rsidRPr="00DE46F3">
        <w:t>Moreover, 49 per cent of births took place in a health facility (more than double than the 2009-10 proportion), the proportion of births attended by skilled health personnel increased from 30 per cent to 57 per cent, and the rate of women making four or more antenatal care visits increased from 55 per cent to 77 per cent.</w:t>
      </w:r>
      <w:r w:rsidR="008C5496" w:rsidRPr="00DE46F3">
        <w:rPr>
          <w:vertAlign w:val="superscript"/>
        </w:rPr>
        <w:footnoteReference w:id="208"/>
      </w:r>
    </w:p>
    <w:p w14:paraId="20FDA173" w14:textId="72C2D464" w:rsidR="00DE74FD" w:rsidRDefault="00E7381F" w:rsidP="00E7381F">
      <w:pPr>
        <w:pStyle w:val="SingleTxt"/>
      </w:pPr>
      <w:r w:rsidRPr="00DE46F3">
        <w:t>150.</w:t>
      </w:r>
      <w:r w:rsidRPr="00DE46F3">
        <w:tab/>
      </w:r>
      <w:r w:rsidR="008C5496" w:rsidRPr="00DE46F3">
        <w:t>Important to note that Census trend line for both 2010 and 2015 Census are consistently higher than the 2009-10 and 2016 DHSs’ data.</w:t>
      </w:r>
      <w:r w:rsidR="008C5496" w:rsidRPr="00DE46F3">
        <w:rPr>
          <w:vertAlign w:val="superscript"/>
        </w:rPr>
        <w:footnoteReference w:id="209"/>
      </w:r>
      <w:r w:rsidR="008C5496" w:rsidRPr="00DE46F3">
        <w:t xml:space="preserve"> However, both DHSs and Census show a clear declining trend in child and maternal mortality.</w:t>
      </w:r>
      <w:r w:rsidR="008C5496" w:rsidRPr="00DE46F3">
        <w:rPr>
          <w:vertAlign w:val="superscript"/>
        </w:rPr>
        <w:footnoteReference w:id="210"/>
      </w:r>
    </w:p>
    <w:p w14:paraId="375AF751" w14:textId="37CEA2FC" w:rsidR="00DF508B" w:rsidRPr="00DF508B" w:rsidRDefault="00DF508B" w:rsidP="00DF508B">
      <w:pPr>
        <w:pStyle w:val="SingleTxt"/>
        <w:spacing w:after="0" w:line="120" w:lineRule="exact"/>
        <w:rPr>
          <w:sz w:val="10"/>
        </w:rPr>
      </w:pPr>
    </w:p>
    <w:p w14:paraId="0D4F7F1B" w14:textId="3DCBF551" w:rsidR="00DF508B" w:rsidRPr="00DF508B" w:rsidRDefault="00DF508B" w:rsidP="00DF508B">
      <w:pPr>
        <w:pStyle w:val="SingleTxt"/>
        <w:spacing w:after="0" w:line="120" w:lineRule="exact"/>
        <w:rPr>
          <w:sz w:val="10"/>
        </w:rPr>
      </w:pPr>
    </w:p>
    <w:p w14:paraId="3D278428" w14:textId="7B172581" w:rsidR="008C5496" w:rsidRPr="00DE46F3" w:rsidRDefault="008C5496" w:rsidP="00DE74FD">
      <w:pPr>
        <w:pStyle w:val="H1"/>
        <w:tabs>
          <w:tab w:val="clear" w:pos="1742"/>
        </w:tabs>
        <w:ind w:right="0"/>
      </w:pPr>
      <w:r w:rsidRPr="00DE46F3">
        <w:tab/>
      </w:r>
      <w:r w:rsidRPr="00DE46F3">
        <w:tab/>
        <w:t>Access to basic health care</w:t>
      </w:r>
    </w:p>
    <w:p w14:paraId="4206BF06" w14:textId="17DB1815" w:rsidR="00DE74FD" w:rsidRPr="00DE46F3" w:rsidRDefault="00DE74FD" w:rsidP="00DE74FD">
      <w:pPr>
        <w:pStyle w:val="SingleTxt"/>
        <w:spacing w:after="0" w:line="120" w:lineRule="exact"/>
        <w:rPr>
          <w:sz w:val="10"/>
        </w:rPr>
      </w:pPr>
    </w:p>
    <w:p w14:paraId="4B379B5F" w14:textId="2F5058C4" w:rsidR="00DE74FD" w:rsidRPr="00DE46F3" w:rsidRDefault="00DE74FD" w:rsidP="00DE74FD">
      <w:pPr>
        <w:pStyle w:val="SingleTxt"/>
        <w:spacing w:after="0" w:line="120" w:lineRule="exact"/>
        <w:rPr>
          <w:sz w:val="10"/>
        </w:rPr>
      </w:pPr>
    </w:p>
    <w:p w14:paraId="3005C208" w14:textId="61DB31EB" w:rsidR="008C5496" w:rsidRPr="00DE46F3" w:rsidRDefault="00DE74FD" w:rsidP="00DE74FD">
      <w:pPr>
        <w:pStyle w:val="SingleTxt"/>
      </w:pPr>
      <w:r w:rsidRPr="00DE46F3">
        <w:t>151.</w:t>
      </w:r>
      <w:r w:rsidRPr="00DE46F3">
        <w:tab/>
      </w:r>
      <w:r w:rsidR="008C5496" w:rsidRPr="00DE46F3">
        <w:t>In 2017 the health infrastructure included 6 hospitals, 71 health centres, 43 maternity clinics, 318 health posts and 469 SISca (Integrated Community Health Services)</w:t>
      </w:r>
      <w:r w:rsidR="008C5496" w:rsidRPr="00DE46F3">
        <w:rPr>
          <w:vertAlign w:val="superscript"/>
        </w:rPr>
        <w:footnoteReference w:id="211"/>
      </w:r>
      <w:r w:rsidR="008C5496" w:rsidRPr="00DE46F3">
        <w:t xml:space="preserve"> representing a 66 per cent increase compared with 2010.</w:t>
      </w:r>
      <w:r w:rsidR="008C5496" w:rsidRPr="00DE46F3">
        <w:rPr>
          <w:vertAlign w:val="superscript"/>
        </w:rPr>
        <w:footnoteReference w:id="212"/>
      </w:r>
      <w:r w:rsidR="008C5496" w:rsidRPr="00DE46F3">
        <w:t xml:space="preserve"> Nonetheless, ‘Distance to health facility’ and ‘Having to take transport’ remains cited by 46 per cent and 44.4 per cent of women as a significant challenge to accessing health care (58 per cent and 56 per cent respectively for women living in rural areas).</w:t>
      </w:r>
      <w:r w:rsidR="008C5496" w:rsidRPr="00DE46F3">
        <w:rPr>
          <w:vertAlign w:val="superscript"/>
        </w:rPr>
        <w:footnoteReference w:id="213"/>
      </w:r>
    </w:p>
    <w:p w14:paraId="67F17C07" w14:textId="0472DA37" w:rsidR="008C5496" w:rsidRPr="00DE46F3" w:rsidRDefault="00DE74FD" w:rsidP="00DE74FD">
      <w:pPr>
        <w:pStyle w:val="SingleTxt"/>
      </w:pPr>
      <w:r w:rsidRPr="00DE46F3">
        <w:t>152.</w:t>
      </w:r>
      <w:r w:rsidRPr="00DE46F3">
        <w:tab/>
      </w:r>
      <w:r w:rsidR="008C5496" w:rsidRPr="00DE46F3">
        <w:t>In terms of health practitioners, there were 2,007 in the country as of 2017,</w:t>
      </w:r>
      <w:r w:rsidR="008C5496" w:rsidRPr="00DE46F3">
        <w:rPr>
          <w:vertAlign w:val="superscript"/>
        </w:rPr>
        <w:footnoteReference w:id="214"/>
      </w:r>
      <w:r w:rsidR="008C5496" w:rsidRPr="00DE46F3">
        <w:t xml:space="preserve"> </w:t>
      </w:r>
      <w:r w:rsidR="008C5496" w:rsidRPr="00DE46F3">
        <w:rPr>
          <w:vertAlign w:val="superscript"/>
        </w:rPr>
        <w:footnoteReference w:id="215"/>
      </w:r>
      <w:r w:rsidR="008C5496" w:rsidRPr="00DE46F3">
        <w:t xml:space="preserve"> an improvement of about 15 per cent compared with 2010</w:t>
      </w:r>
      <w:r w:rsidR="008C5496" w:rsidRPr="00DE46F3">
        <w:rPr>
          <w:vertAlign w:val="superscript"/>
        </w:rPr>
        <w:footnoteReference w:id="216"/>
      </w:r>
      <w:r w:rsidR="008C5496" w:rsidRPr="00DE46F3">
        <w:t xml:space="preserve"> supported by the Government of Cuba and the creation of a School of Nursing and Midwifery at UNTL. The physician density is thus 0.63 per 1,000 inhabitants, exceeding the WHO minimum standards, while the non-doctor service delivery staff</w:t>
      </w:r>
      <w:r w:rsidR="008C5496" w:rsidRPr="00DE46F3">
        <w:rPr>
          <w:vertAlign w:val="superscript"/>
        </w:rPr>
        <w:footnoteReference w:id="217"/>
      </w:r>
      <w:r w:rsidR="008C5496" w:rsidRPr="00DE46F3">
        <w:t xml:space="preserve"> density reaches 1.12 per 1,000 inhabitant which remains below the minimum standards</w:t>
      </w:r>
      <w:r w:rsidR="008C5496" w:rsidRPr="00DE46F3">
        <w:rPr>
          <w:vertAlign w:val="superscript"/>
        </w:rPr>
        <w:footnoteReference w:id="218"/>
      </w:r>
      <w:r w:rsidR="008C5496" w:rsidRPr="00DE46F3">
        <w:t xml:space="preserve"> (with wide variations between municipalities). </w:t>
      </w:r>
    </w:p>
    <w:p w14:paraId="3630118E" w14:textId="4A9A0C4D" w:rsidR="008C5496" w:rsidRPr="00DE46F3" w:rsidRDefault="00DE74FD" w:rsidP="00DE74FD">
      <w:pPr>
        <w:pStyle w:val="SingleTxt"/>
      </w:pPr>
      <w:r w:rsidRPr="00DE46F3">
        <w:t>153.</w:t>
      </w:r>
      <w:r w:rsidRPr="00DE46F3">
        <w:tab/>
      </w:r>
      <w:r w:rsidR="008C5496" w:rsidRPr="00DE46F3">
        <w:t>Gender related factors are also contributing to inequity in accessing health care. For example, a common barrier cited by women was the inability to obtain permission from their partner to go for treatment.</w:t>
      </w:r>
      <w:r w:rsidR="008C5496" w:rsidRPr="00DE46F3">
        <w:rPr>
          <w:vertAlign w:val="superscript"/>
        </w:rPr>
        <w:footnoteReference w:id="219"/>
      </w:r>
      <w:r w:rsidR="008C5496" w:rsidRPr="00DE46F3">
        <w:t xml:space="preserve"> Variations are also observed based on women’s educational level</w:t>
      </w:r>
      <w:r w:rsidR="008C5496" w:rsidRPr="00DE46F3">
        <w:rPr>
          <w:vertAlign w:val="superscript"/>
        </w:rPr>
        <w:footnoteReference w:id="220"/>
      </w:r>
      <w:r w:rsidR="008C5496" w:rsidRPr="00DE46F3">
        <w:t xml:space="preserve"> or their socio-economic group.</w:t>
      </w:r>
      <w:r w:rsidR="008C5496" w:rsidRPr="00DE46F3">
        <w:rPr>
          <w:vertAlign w:val="superscript"/>
        </w:rPr>
        <w:footnoteReference w:id="221"/>
      </w:r>
      <w:r w:rsidR="008C5496" w:rsidRPr="00DE46F3">
        <w:t xml:space="preserve"> </w:t>
      </w:r>
      <w:r w:rsidR="008C5496" w:rsidRPr="00DE46F3">
        <w:rPr>
          <w:vertAlign w:val="superscript"/>
        </w:rPr>
        <w:footnoteReference w:id="222"/>
      </w:r>
    </w:p>
    <w:p w14:paraId="6D1E3579" w14:textId="07D44288" w:rsidR="00DE74FD" w:rsidRDefault="00DE74FD" w:rsidP="00DE74FD">
      <w:pPr>
        <w:pStyle w:val="SingleTxt"/>
      </w:pPr>
      <w:r w:rsidRPr="00DE46F3">
        <w:t>154.</w:t>
      </w:r>
      <w:r w:rsidRPr="00DE46F3">
        <w:tab/>
      </w:r>
      <w:r w:rsidR="008C5496" w:rsidRPr="00DE46F3">
        <w:t>The “National Family Health Program” implemented by MoH since July 2015, supported by development partners, intends to bring a “Comprehensive Service Package of Primary Health Care” to the household, providing home visits, clinical consultation, treatment and referrals by health professionals.</w:t>
      </w:r>
      <w:r w:rsidR="008C5496" w:rsidRPr="00DE46F3">
        <w:rPr>
          <w:vertAlign w:val="superscript"/>
        </w:rPr>
        <w:footnoteReference w:id="223"/>
      </w:r>
      <w:r w:rsidR="008C5496" w:rsidRPr="00DE46F3">
        <w:t xml:space="preserve"> In May 2017, medical teams had visited 94 per cent of households and registered data of 84 per cent of the population at individual level.</w:t>
      </w:r>
      <w:r w:rsidR="008C5496" w:rsidRPr="00DE46F3">
        <w:rPr>
          <w:vertAlign w:val="superscript"/>
        </w:rPr>
        <w:footnoteReference w:id="224"/>
      </w:r>
    </w:p>
    <w:p w14:paraId="75091B04" w14:textId="795E70D2" w:rsidR="00DF508B" w:rsidRPr="00DF508B" w:rsidRDefault="00DF508B" w:rsidP="00DF508B">
      <w:pPr>
        <w:pStyle w:val="SingleTxt"/>
        <w:spacing w:after="0" w:line="120" w:lineRule="exact"/>
        <w:rPr>
          <w:sz w:val="10"/>
        </w:rPr>
      </w:pPr>
    </w:p>
    <w:p w14:paraId="371B189C" w14:textId="258BD6F0" w:rsidR="00DF508B" w:rsidRPr="00DF508B" w:rsidRDefault="00DF508B" w:rsidP="00DF508B">
      <w:pPr>
        <w:pStyle w:val="SingleTxt"/>
        <w:spacing w:after="0" w:line="120" w:lineRule="exact"/>
        <w:rPr>
          <w:sz w:val="10"/>
        </w:rPr>
      </w:pPr>
    </w:p>
    <w:p w14:paraId="3AF64856" w14:textId="44F216D3" w:rsidR="008C5496" w:rsidRPr="00DE46F3" w:rsidRDefault="008C5496" w:rsidP="00DE74FD">
      <w:pPr>
        <w:pStyle w:val="H1"/>
        <w:tabs>
          <w:tab w:val="clear" w:pos="1742"/>
        </w:tabs>
        <w:ind w:right="0"/>
      </w:pPr>
      <w:bookmarkStart w:id="65" w:name="_Hlk20735088"/>
      <w:r w:rsidRPr="00DE46F3">
        <w:tab/>
      </w:r>
      <w:r w:rsidRPr="00DE46F3">
        <w:tab/>
        <w:t>Sexual and reproductive health services</w:t>
      </w:r>
    </w:p>
    <w:p w14:paraId="166270BA" w14:textId="598B3B67" w:rsidR="00DE74FD" w:rsidRPr="00DE46F3" w:rsidRDefault="00DE74FD" w:rsidP="00DE74FD">
      <w:pPr>
        <w:pStyle w:val="SingleTxt"/>
        <w:spacing w:after="0" w:line="120" w:lineRule="exact"/>
        <w:rPr>
          <w:sz w:val="10"/>
        </w:rPr>
      </w:pPr>
    </w:p>
    <w:p w14:paraId="4D72C239" w14:textId="266A0FDC" w:rsidR="00DE74FD" w:rsidRPr="00DE46F3" w:rsidRDefault="00DE74FD" w:rsidP="00DE74FD">
      <w:pPr>
        <w:pStyle w:val="SingleTxt"/>
        <w:spacing w:after="0" w:line="120" w:lineRule="exact"/>
        <w:rPr>
          <w:sz w:val="10"/>
        </w:rPr>
      </w:pPr>
    </w:p>
    <w:bookmarkEnd w:id="65"/>
    <w:p w14:paraId="1541DBF1" w14:textId="4327B3BD" w:rsidR="008C5496" w:rsidRPr="00DE46F3" w:rsidRDefault="00DE74FD" w:rsidP="00DE74FD">
      <w:pPr>
        <w:pStyle w:val="SingleTxt"/>
      </w:pPr>
      <w:r w:rsidRPr="00DE46F3">
        <w:t>155.</w:t>
      </w:r>
      <w:r w:rsidRPr="00DE46F3">
        <w:tab/>
      </w:r>
      <w:r w:rsidR="008C5496" w:rsidRPr="00DE46F3">
        <w:t>Despite improvements in basic health care, adequate reproductive, maternal, newborn and child health (RMNCH) services remain an issue. While the number of Comprehensive EmONC (Emergency Obstetric and Newborn Care) facilities already met the UN standard in 2015,</w:t>
      </w:r>
      <w:r w:rsidR="008C5496" w:rsidRPr="00DE46F3">
        <w:rPr>
          <w:vertAlign w:val="superscript"/>
        </w:rPr>
        <w:footnoteReference w:id="225"/>
      </w:r>
      <w:r w:rsidR="008C5496" w:rsidRPr="00DE46F3">
        <w:t xml:space="preserve"> 7 municipalities had no EmONC facility and at least one third of all CHCs were more than two hours distance from any EmONC facility. Overall, there were 3.4 EmONC and 2.6 Comprehensive EmONC functional facilities per 500,000 of population.</w:t>
      </w:r>
      <w:r w:rsidR="008C5496" w:rsidRPr="00DE46F3">
        <w:rPr>
          <w:vertAlign w:val="superscript"/>
        </w:rPr>
        <w:footnoteReference w:id="226"/>
      </w:r>
      <w:r w:rsidR="008C5496" w:rsidRPr="00DE46F3">
        <w:t xml:space="preserve"> The number of Basic EmONC facilities raised from 2 in 2015</w:t>
      </w:r>
      <w:r w:rsidR="008C5496" w:rsidRPr="00DE46F3">
        <w:rPr>
          <w:vertAlign w:val="superscript"/>
        </w:rPr>
        <w:footnoteReference w:id="227"/>
      </w:r>
      <w:r w:rsidR="008C5496" w:rsidRPr="00DE46F3">
        <w:t xml:space="preserve"> to 11</w:t>
      </w:r>
      <w:r w:rsidR="008C5496" w:rsidRPr="00DE46F3">
        <w:rPr>
          <w:vertAlign w:val="superscript"/>
        </w:rPr>
        <w:footnoteReference w:id="228"/>
      </w:r>
      <w:r w:rsidR="008C5496" w:rsidRPr="00DE46F3">
        <w:t xml:space="preserve"> in 2019.</w:t>
      </w:r>
      <w:r w:rsidR="008C5496" w:rsidRPr="00DE46F3">
        <w:rPr>
          <w:vertAlign w:val="superscript"/>
        </w:rPr>
        <w:footnoteReference w:id="229"/>
      </w:r>
    </w:p>
    <w:p w14:paraId="1A9F7815" w14:textId="4B7FBB01" w:rsidR="008C5496" w:rsidRPr="00DE46F3" w:rsidRDefault="00DE74FD" w:rsidP="00DE74FD">
      <w:pPr>
        <w:pStyle w:val="SingleTxt"/>
      </w:pPr>
      <w:r w:rsidRPr="00DE46F3">
        <w:t>156.</w:t>
      </w:r>
      <w:r w:rsidRPr="00DE46F3">
        <w:tab/>
      </w:r>
      <w:r w:rsidR="008C5496" w:rsidRPr="00DE46F3">
        <w:t>Standards and treatment pathways for care during birth and immediate postpartum period were updated in 2016 and disseminated through ToTs generally targeting Community Health Centres (CHC) staff. Since 2018, 5 batches of training were conducted for a total of 50 midwives and 10 doctors. Additional efforts contributed to strengthen the capacity of training institutions by appointing a full time EmONC training coordinator and designated staff from the National Institute of Health (INS) as training focal point. Capacity of the Clinical Training Site (HNGV) for improved skilled care on EmONC, including on the management of the complication cases, was enhanced resulting in minimum referral to hospitals.</w:t>
      </w:r>
      <w:r w:rsidR="008C5496" w:rsidRPr="00DE46F3">
        <w:rPr>
          <w:vertAlign w:val="superscript"/>
        </w:rPr>
        <w:footnoteReference w:id="230"/>
      </w:r>
    </w:p>
    <w:p w14:paraId="72CE74B3" w14:textId="61F814E1" w:rsidR="008C5496" w:rsidRPr="00DE46F3" w:rsidRDefault="00DE74FD" w:rsidP="00DE74FD">
      <w:pPr>
        <w:pStyle w:val="SingleTxt"/>
        <w:rPr>
          <w:vertAlign w:val="superscript"/>
        </w:rPr>
      </w:pPr>
      <w:r w:rsidRPr="00DE46F3">
        <w:t>157.</w:t>
      </w:r>
      <w:r w:rsidRPr="00DE46F3">
        <w:tab/>
      </w:r>
      <w:r w:rsidR="008C5496" w:rsidRPr="00DE46F3">
        <w:t>Furthermore, after encouraging results of the 2013 ‘Liga Inan’ pilot project in 1 municipality, its coverage was expanded to all municipalities with the financial support of the Australian Government.</w:t>
      </w:r>
      <w:r w:rsidR="008C5496" w:rsidRPr="00DE46F3">
        <w:rPr>
          <w:vertAlign w:val="superscript"/>
        </w:rPr>
        <w:footnoteReference w:id="231"/>
      </w:r>
      <w:r w:rsidR="008C5496" w:rsidRPr="00DE46F3">
        <w:t xml:space="preserve"> This innovative programme facilitates communication between pregnant mothers and health providers by mobile phone,</w:t>
      </w:r>
      <w:r w:rsidR="008C5496" w:rsidRPr="00DE46F3">
        <w:rPr>
          <w:vertAlign w:val="superscript"/>
        </w:rPr>
        <w:footnoteReference w:id="232"/>
      </w:r>
      <w:r w:rsidR="008C5496" w:rsidRPr="00DE46F3">
        <w:t xml:space="preserve"> increasing access to SRH services and emergency health care, and improving awareness-raising and counselling services, particularly in rural and remote areas. 16,452 women are currently enrolled and a total 53,112 women benefited from this service since 2013. By July 2016, significant improvements were observed in facility delivery rate and post-partum care for women enrolled in the programme.</w:t>
      </w:r>
      <w:r w:rsidR="008C5496" w:rsidRPr="00DE46F3">
        <w:rPr>
          <w:vertAlign w:val="superscript"/>
        </w:rPr>
        <w:footnoteReference w:id="233"/>
      </w:r>
      <w:r w:rsidRPr="00DE46F3">
        <w:rPr>
          <w:vertAlign w:val="superscript"/>
        </w:rPr>
        <w:t>,</w:t>
      </w:r>
      <w:r w:rsidR="008C5496" w:rsidRPr="00DE46F3">
        <w:rPr>
          <w:vertAlign w:val="superscript"/>
        </w:rPr>
        <w:footnoteReference w:id="234"/>
      </w:r>
    </w:p>
    <w:p w14:paraId="0545F294" w14:textId="6777CE63" w:rsidR="00DE74FD" w:rsidRPr="00DE46F3" w:rsidRDefault="00DE74FD" w:rsidP="00DE74FD">
      <w:pPr>
        <w:pStyle w:val="SingleTxt"/>
        <w:spacing w:after="0" w:line="120" w:lineRule="exact"/>
        <w:rPr>
          <w:sz w:val="10"/>
        </w:rPr>
      </w:pPr>
    </w:p>
    <w:p w14:paraId="7A3595C3" w14:textId="74BF45F5" w:rsidR="00DE74FD" w:rsidRPr="00DE46F3" w:rsidRDefault="00DE74FD" w:rsidP="00DE74FD">
      <w:pPr>
        <w:pStyle w:val="SingleTxt"/>
        <w:spacing w:after="0" w:line="120" w:lineRule="exact"/>
        <w:rPr>
          <w:sz w:val="10"/>
        </w:rPr>
      </w:pPr>
    </w:p>
    <w:p w14:paraId="755FE445" w14:textId="25050422" w:rsidR="008C5496" w:rsidRPr="00DE46F3" w:rsidRDefault="008C5496" w:rsidP="00DE74FD">
      <w:pPr>
        <w:pStyle w:val="H1"/>
        <w:tabs>
          <w:tab w:val="clear" w:pos="1742"/>
        </w:tabs>
        <w:ind w:right="0"/>
      </w:pPr>
      <w:r w:rsidRPr="00DE46F3">
        <w:tab/>
      </w:r>
      <w:r w:rsidRPr="00DE46F3">
        <w:tab/>
        <w:t>Maternal death review</w:t>
      </w:r>
    </w:p>
    <w:p w14:paraId="4C7C412D" w14:textId="55DD375C" w:rsidR="00DE74FD" w:rsidRPr="00DE46F3" w:rsidRDefault="00DE74FD" w:rsidP="00DE74FD">
      <w:pPr>
        <w:pStyle w:val="SingleTxt"/>
        <w:spacing w:after="0" w:line="120" w:lineRule="exact"/>
        <w:rPr>
          <w:sz w:val="10"/>
        </w:rPr>
      </w:pPr>
    </w:p>
    <w:p w14:paraId="22A1A05C" w14:textId="2D91BE64" w:rsidR="00DE74FD" w:rsidRPr="00DE46F3" w:rsidRDefault="00DE74FD" w:rsidP="00DE74FD">
      <w:pPr>
        <w:pStyle w:val="SingleTxt"/>
        <w:spacing w:after="0" w:line="120" w:lineRule="exact"/>
        <w:rPr>
          <w:sz w:val="10"/>
        </w:rPr>
      </w:pPr>
    </w:p>
    <w:p w14:paraId="7AC524F9" w14:textId="5FABF6E6" w:rsidR="008C5496" w:rsidRPr="00DE46F3" w:rsidRDefault="00DE74FD" w:rsidP="00DE74FD">
      <w:pPr>
        <w:pStyle w:val="SingleTxt"/>
      </w:pPr>
      <w:r w:rsidRPr="00DE46F3">
        <w:t>158.</w:t>
      </w:r>
      <w:r w:rsidRPr="00DE46F3">
        <w:tab/>
      </w:r>
      <w:r w:rsidR="008C5496" w:rsidRPr="00DE46F3">
        <w:t>A road map was established in 2014 by the MoH for the development and implementation of a Maternal Death Surveillance Response (MDSR) System. In 2015, the Maternal Death Review process was established in all hospitals and expanded beyond since 2017. In 2016, verbal autopsy reporting, including for intrapartum and immediate postpartum, was introduced through SOPs. Health workers from the 6 hospitals were trained accordingly on the new MDSR system as well as health workers at community level, local authorities, community leaders, NGOs on the SOPs.</w:t>
      </w:r>
      <w:r w:rsidR="008C5496" w:rsidRPr="00DE46F3">
        <w:rPr>
          <w:vertAlign w:val="superscript"/>
        </w:rPr>
        <w:footnoteReference w:id="235"/>
      </w:r>
    </w:p>
    <w:p w14:paraId="632BC0B3" w14:textId="208C897E" w:rsidR="00DE74FD" w:rsidRPr="00DE46F3" w:rsidRDefault="00DE74FD" w:rsidP="00DE74FD">
      <w:pPr>
        <w:pStyle w:val="SingleTxt"/>
        <w:spacing w:after="0" w:line="120" w:lineRule="exact"/>
        <w:rPr>
          <w:sz w:val="10"/>
        </w:rPr>
      </w:pPr>
    </w:p>
    <w:p w14:paraId="4A8360EB" w14:textId="7187E0E5" w:rsidR="00DE74FD" w:rsidRPr="00DE46F3" w:rsidRDefault="00DE74FD" w:rsidP="00DE74FD">
      <w:pPr>
        <w:pStyle w:val="SingleTxt"/>
        <w:spacing w:after="0" w:line="120" w:lineRule="exact"/>
        <w:rPr>
          <w:sz w:val="10"/>
        </w:rPr>
      </w:pPr>
    </w:p>
    <w:p w14:paraId="782852AC" w14:textId="29079005" w:rsidR="008C5496" w:rsidRPr="00DE46F3" w:rsidRDefault="008C5496" w:rsidP="00DE74FD">
      <w:pPr>
        <w:pStyle w:val="H1"/>
        <w:tabs>
          <w:tab w:val="clear" w:pos="1742"/>
        </w:tabs>
        <w:ind w:right="0"/>
      </w:pPr>
      <w:bookmarkStart w:id="68" w:name="_Ref46305152"/>
      <w:bookmarkStart w:id="69" w:name="_Hlk20735481"/>
      <w:r w:rsidRPr="00DE46F3">
        <w:tab/>
      </w:r>
      <w:r w:rsidRPr="00DE46F3">
        <w:tab/>
        <w:t>Family Planning and fertility</w:t>
      </w:r>
      <w:bookmarkEnd w:id="68"/>
    </w:p>
    <w:p w14:paraId="222CD9B3" w14:textId="2DA85F40" w:rsidR="00DE74FD" w:rsidRPr="00DE46F3" w:rsidRDefault="00DE74FD" w:rsidP="00DE74FD">
      <w:pPr>
        <w:pStyle w:val="SingleTxt"/>
        <w:spacing w:after="0" w:line="120" w:lineRule="exact"/>
        <w:rPr>
          <w:sz w:val="10"/>
        </w:rPr>
      </w:pPr>
    </w:p>
    <w:p w14:paraId="2F5AEF12" w14:textId="37A1FA77" w:rsidR="00DE74FD" w:rsidRPr="00DE46F3" w:rsidRDefault="00DE74FD" w:rsidP="00DE74FD">
      <w:pPr>
        <w:pStyle w:val="SingleTxt"/>
        <w:spacing w:after="0" w:line="120" w:lineRule="exact"/>
        <w:rPr>
          <w:sz w:val="10"/>
        </w:rPr>
      </w:pPr>
    </w:p>
    <w:bookmarkEnd w:id="69"/>
    <w:p w14:paraId="3DF8982E" w14:textId="66348BE6" w:rsidR="008C5496" w:rsidRPr="00DE46F3" w:rsidRDefault="00DE74FD" w:rsidP="00DE74FD">
      <w:pPr>
        <w:pStyle w:val="SingleTxt"/>
      </w:pPr>
      <w:r w:rsidRPr="00DE46F3">
        <w:t>159.</w:t>
      </w:r>
      <w:r w:rsidRPr="00DE46F3">
        <w:tab/>
      </w:r>
      <w:r w:rsidR="008C5496" w:rsidRPr="00DE46F3">
        <w:t>Despite increased use of modern contraceptive methods</w:t>
      </w:r>
      <w:r w:rsidR="008C5496" w:rsidRPr="00DE46F3">
        <w:rPr>
          <w:vertAlign w:val="superscript"/>
        </w:rPr>
        <w:footnoteReference w:id="236"/>
      </w:r>
      <w:r w:rsidR="008C5496" w:rsidRPr="00DE46F3">
        <w:t xml:space="preserve"> among married women between 2010 and 2016 (from 21 per cent to 24 per cent) </w:t>
      </w:r>
      <w:r w:rsidR="00A2287E" w:rsidRPr="00DE46F3">
        <w:t>–</w:t>
      </w:r>
      <w:r w:rsidR="008C5496" w:rsidRPr="00DE46F3">
        <w:t xml:space="preserve"> with comparable rates between rural and urban areas (25 per cent vs 23 per cent respectively) </w:t>
      </w:r>
      <w:r w:rsidR="00A2287E" w:rsidRPr="00DE46F3">
        <w:t xml:space="preserve">– </w:t>
      </w:r>
      <w:r w:rsidR="008C5496" w:rsidRPr="00DE46F3">
        <w:t>Family Planning (FP) is still not a common practice and the trend is moderate.</w:t>
      </w:r>
      <w:r w:rsidR="008C5496" w:rsidRPr="00DE46F3">
        <w:rPr>
          <w:vertAlign w:val="superscript"/>
        </w:rPr>
        <w:footnoteReference w:id="237"/>
      </w:r>
    </w:p>
    <w:p w14:paraId="04F2F4C1" w14:textId="00911E5E" w:rsidR="008C5496" w:rsidRPr="00DE46F3" w:rsidRDefault="00DE74FD" w:rsidP="00DE74FD">
      <w:pPr>
        <w:pStyle w:val="SingleTxt"/>
      </w:pPr>
      <w:r w:rsidRPr="00DE46F3">
        <w:t>160.</w:t>
      </w:r>
      <w:r w:rsidRPr="00DE46F3">
        <w:tab/>
      </w:r>
      <w:r w:rsidR="008C5496" w:rsidRPr="00DE46F3">
        <w:t>Among currently married women, the unmet need for contraception has decreased from 32 per cent in 2009-10 to 25 per cent in 2016, while the met need has slightly increased from 22 per cent to 26 per cent. However, the total demand for FP among married women remains relatively limited and decreased slightly from 54 per cent in 2009-10 to 51 per cent in 2016 (correspondingly, 49 per cent of married women considering having no need for FP).</w:t>
      </w:r>
      <w:r w:rsidR="008C5496" w:rsidRPr="00DE46F3">
        <w:rPr>
          <w:vertAlign w:val="superscript"/>
        </w:rPr>
        <w:footnoteReference w:id="238"/>
      </w:r>
    </w:p>
    <w:p w14:paraId="77A453FF" w14:textId="42AF4C78" w:rsidR="008C5496" w:rsidRPr="00DE46F3" w:rsidRDefault="00DE74FD" w:rsidP="00DE74FD">
      <w:pPr>
        <w:pStyle w:val="SingleTxt"/>
      </w:pPr>
      <w:r w:rsidRPr="00DE46F3">
        <w:t>161.</w:t>
      </w:r>
      <w:r w:rsidRPr="00DE46F3">
        <w:tab/>
      </w:r>
      <w:r w:rsidR="008C5496" w:rsidRPr="00DE46F3">
        <w:t>The 2016 DHS data on women’s needs and demand for FP includes data on all women, including sexually active unmarried women. When considering all women, the total demand for FP drops to 32 per cent (which includes about 16 per cent women with met needs and about 16 per cent with unmet needs). When considering solely sexually active unmarried women the total demand escalates to 81 per cent, out of which more than 90 per cent have unmet needs.</w:t>
      </w:r>
      <w:r w:rsidR="008C5496" w:rsidRPr="00DE46F3">
        <w:rPr>
          <w:vertAlign w:val="superscript"/>
        </w:rPr>
        <w:footnoteReference w:id="239"/>
      </w:r>
      <w:r w:rsidR="008C5496" w:rsidRPr="00DE46F3">
        <w:t xml:space="preserve"> </w:t>
      </w:r>
      <w:r w:rsidR="008C5496" w:rsidRPr="00DE46F3">
        <w:rPr>
          <w:vertAlign w:val="superscript"/>
        </w:rPr>
        <w:footnoteReference w:id="240"/>
      </w:r>
    </w:p>
    <w:p w14:paraId="76374D34" w14:textId="2009B64B" w:rsidR="008C5496" w:rsidRPr="00DE46F3" w:rsidRDefault="00DE74FD" w:rsidP="00DE74FD">
      <w:pPr>
        <w:pStyle w:val="SingleTxt"/>
      </w:pPr>
      <w:r w:rsidRPr="00DE46F3">
        <w:t>162.</w:t>
      </w:r>
      <w:r w:rsidRPr="00DE46F3">
        <w:tab/>
      </w:r>
      <w:r w:rsidR="008C5496" w:rsidRPr="00DE46F3">
        <w:t>Regarding fertility, despite a decrease from an average of 5.7 children in 2009-10 to 4.2 children in 2016,</w:t>
      </w:r>
      <w:r w:rsidR="008C5496" w:rsidRPr="00DE46F3">
        <w:rPr>
          <w:vertAlign w:val="superscript"/>
        </w:rPr>
        <w:footnoteReference w:id="241"/>
      </w:r>
      <w:r w:rsidR="008C5496" w:rsidRPr="00DE46F3">
        <w:t xml:space="preserve"> the Total Fertility Rate (TFR) remains among the highest rates in the region.</w:t>
      </w:r>
    </w:p>
    <w:p w14:paraId="4299AF90" w14:textId="2FA5058B" w:rsidR="008C5496" w:rsidRDefault="00DE74FD" w:rsidP="00DE74FD">
      <w:pPr>
        <w:pStyle w:val="SingleTxt"/>
      </w:pPr>
      <w:r w:rsidRPr="00DE46F3">
        <w:t>163.</w:t>
      </w:r>
      <w:r w:rsidRPr="00DE46F3">
        <w:tab/>
      </w:r>
      <w:r w:rsidR="008C5496" w:rsidRPr="00DE46F3">
        <w:t>While physical barriers related to accessing medication and contraceptives remain significant, especially in remote areas, other barriers such as cultural constraints limit access to FP modern methods. Although contraceptives are provided for free in public health facilities, these services are mostly reserved to women who already have children.</w:t>
      </w:r>
      <w:r w:rsidR="008C5496" w:rsidRPr="00DE46F3">
        <w:rPr>
          <w:vertAlign w:val="superscript"/>
        </w:rPr>
        <w:footnoteReference w:id="242"/>
      </w:r>
      <w:r w:rsidR="008C5496" w:rsidRPr="00DE46F3">
        <w:t xml:space="preserve"> People without children or unmarried people might not be offered FP services due to moral and religious considerations.</w:t>
      </w:r>
      <w:r w:rsidR="008C5496" w:rsidRPr="00DE46F3">
        <w:rPr>
          <w:vertAlign w:val="superscript"/>
        </w:rPr>
        <w:footnoteReference w:id="243"/>
      </w:r>
    </w:p>
    <w:p w14:paraId="68D2745B" w14:textId="2E7992CA" w:rsidR="00DF508B" w:rsidRPr="00DF508B" w:rsidRDefault="00DF508B" w:rsidP="00DF508B">
      <w:pPr>
        <w:pStyle w:val="SingleTxt"/>
        <w:spacing w:after="0" w:line="120" w:lineRule="exact"/>
        <w:rPr>
          <w:sz w:val="10"/>
        </w:rPr>
      </w:pPr>
    </w:p>
    <w:p w14:paraId="09012927" w14:textId="0C946183" w:rsidR="00DF508B" w:rsidRPr="00DF508B" w:rsidRDefault="00DF508B" w:rsidP="00DF508B">
      <w:pPr>
        <w:pStyle w:val="SingleTxt"/>
        <w:spacing w:after="0" w:line="120" w:lineRule="exact"/>
        <w:rPr>
          <w:sz w:val="10"/>
        </w:rPr>
      </w:pPr>
    </w:p>
    <w:p w14:paraId="1CF101E7" w14:textId="0125D848" w:rsidR="008C5496" w:rsidRPr="00DE46F3" w:rsidRDefault="008C5496" w:rsidP="00DE74FD">
      <w:pPr>
        <w:pStyle w:val="H1"/>
        <w:tabs>
          <w:tab w:val="clear" w:pos="1742"/>
        </w:tabs>
        <w:ind w:right="0"/>
      </w:pPr>
      <w:r w:rsidRPr="00DE46F3">
        <w:tab/>
      </w:r>
      <w:r w:rsidRPr="00DE46F3">
        <w:tab/>
        <w:t>Underage pregnancies</w:t>
      </w:r>
    </w:p>
    <w:p w14:paraId="23E6E24D" w14:textId="6B847AE3" w:rsidR="00DE74FD" w:rsidRPr="00DE46F3" w:rsidRDefault="00DE74FD" w:rsidP="00DE74FD">
      <w:pPr>
        <w:pStyle w:val="SingleTxt"/>
        <w:spacing w:after="0" w:line="120" w:lineRule="exact"/>
        <w:rPr>
          <w:sz w:val="10"/>
        </w:rPr>
      </w:pPr>
    </w:p>
    <w:p w14:paraId="546B56C7" w14:textId="34ECFFB6" w:rsidR="00DE74FD" w:rsidRPr="00DE46F3" w:rsidRDefault="00DE74FD" w:rsidP="00DE74FD">
      <w:pPr>
        <w:pStyle w:val="SingleTxt"/>
        <w:spacing w:after="0" w:line="120" w:lineRule="exact"/>
        <w:rPr>
          <w:sz w:val="10"/>
        </w:rPr>
      </w:pPr>
    </w:p>
    <w:p w14:paraId="64E2C58B" w14:textId="7B5A3AF3" w:rsidR="008C5496" w:rsidRPr="00DE46F3" w:rsidRDefault="00DE74FD" w:rsidP="00A2287E">
      <w:pPr>
        <w:pStyle w:val="SingleTxt"/>
      </w:pPr>
      <w:r w:rsidRPr="00DE46F3">
        <w:t>164.</w:t>
      </w:r>
      <w:r w:rsidRPr="00DE46F3">
        <w:tab/>
      </w:r>
      <w:r w:rsidR="008C5496" w:rsidRPr="00DE46F3">
        <w:t>In 2016, 7 per cent of teenagers aged 15-19 have begun childbearing, 5 per cent have given birth and an additional 2 per cent are pregnant with their first child (1 per cent of teens had sexual intercourse before age 15). Among women aged 20</w:t>
      </w:r>
      <w:r w:rsidR="00A2287E" w:rsidRPr="00DE46F3">
        <w:t>–</w:t>
      </w:r>
      <w:r w:rsidR="008C5496" w:rsidRPr="00DE46F3">
        <w:t>49, 9.3 per cent gave birth by the age of 18.</w:t>
      </w:r>
      <w:r w:rsidR="008C5496" w:rsidRPr="00DE46F3">
        <w:rPr>
          <w:vertAlign w:val="superscript"/>
        </w:rPr>
        <w:footnoteReference w:id="244"/>
      </w:r>
      <w:r w:rsidR="00A2287E" w:rsidRPr="00DE46F3">
        <w:rPr>
          <w:vertAlign w:val="superscript"/>
        </w:rPr>
        <w:t>,</w:t>
      </w:r>
      <w:r w:rsidR="008C5496" w:rsidRPr="00DE46F3">
        <w:rPr>
          <w:vertAlign w:val="superscript"/>
        </w:rPr>
        <w:footnoteReference w:id="245"/>
      </w:r>
      <w:r w:rsidR="008C5496" w:rsidRPr="00DE46F3">
        <w:t xml:space="preserve"> The findings of the teenage pregnancy research</w:t>
      </w:r>
      <w:r w:rsidR="008C5496" w:rsidRPr="00DE46F3">
        <w:rPr>
          <w:vertAlign w:val="superscript"/>
        </w:rPr>
        <w:footnoteReference w:id="246"/>
      </w:r>
      <w:r w:rsidR="008C5496" w:rsidRPr="00DE46F3">
        <w:t xml:space="preserve"> show that young women have little agency in the decision to engage in sexual relationships.</w:t>
      </w:r>
      <w:r w:rsidR="008C5496" w:rsidRPr="00DE46F3">
        <w:rPr>
          <w:vertAlign w:val="superscript"/>
        </w:rPr>
        <w:footnoteReference w:id="247"/>
      </w:r>
      <w:r w:rsidR="008C5496" w:rsidRPr="00DE46F3">
        <w:t xml:space="preserve"> The relatively high rate of teenage pregnancies, and issues such as maternal mortality due to unsafe abortion, baby abandonment or infanticide tend to confirm these findings.</w:t>
      </w:r>
    </w:p>
    <w:p w14:paraId="6AC16266" w14:textId="35F51D51" w:rsidR="008C5496" w:rsidRPr="00DE46F3" w:rsidRDefault="00DE74FD" w:rsidP="00DE74FD">
      <w:pPr>
        <w:pStyle w:val="SingleTxt"/>
      </w:pPr>
      <w:r w:rsidRPr="00DE46F3">
        <w:t>165.</w:t>
      </w:r>
      <w:r w:rsidRPr="00DE46F3">
        <w:tab/>
      </w:r>
      <w:r w:rsidR="008C5496" w:rsidRPr="00DE46F3">
        <w:t>As knowledge on reproductive health is particularly low among women,</w:t>
      </w:r>
      <w:r w:rsidR="008C5496" w:rsidRPr="00DE46F3">
        <w:rPr>
          <w:vertAlign w:val="superscript"/>
        </w:rPr>
        <w:footnoteReference w:id="248"/>
      </w:r>
      <w:r w:rsidR="008C5496" w:rsidRPr="00DE46F3">
        <w:t xml:space="preserve"> </w:t>
      </w:r>
      <w:r w:rsidR="008C5496" w:rsidRPr="00DE46F3">
        <w:rPr>
          <w:vertAlign w:val="superscript"/>
        </w:rPr>
        <w:footnoteReference w:id="249"/>
      </w:r>
      <w:r w:rsidR="008C5496" w:rsidRPr="00DE46F3">
        <w:t xml:space="preserve"> the SRH and rights education programmes are expected to contribute to a reduction in the occurrence of these issues. However, the sensitivity on this subject remain a barrier in their implementation.</w:t>
      </w:r>
      <w:r w:rsidR="008C5496" w:rsidRPr="00DE46F3">
        <w:rPr>
          <w:vertAlign w:val="superscript"/>
        </w:rPr>
        <w:footnoteReference w:id="250"/>
      </w:r>
      <w:r w:rsidRPr="00DE46F3">
        <w:rPr>
          <w:vertAlign w:val="superscript"/>
        </w:rPr>
        <w:t>,</w:t>
      </w:r>
      <w:r w:rsidR="008C5496" w:rsidRPr="00DE46F3">
        <w:rPr>
          <w:vertAlign w:val="superscript"/>
        </w:rPr>
        <w:footnoteReference w:id="251"/>
      </w:r>
      <w:r w:rsidR="008C5496" w:rsidRPr="00DE46F3">
        <w:t xml:space="preserve"> </w:t>
      </w:r>
    </w:p>
    <w:p w14:paraId="1772740F" w14:textId="1CDB2FCE" w:rsidR="00DE74FD" w:rsidRPr="00DE46F3" w:rsidRDefault="00DE74FD" w:rsidP="00DE74FD">
      <w:pPr>
        <w:pStyle w:val="SingleTxt"/>
        <w:spacing w:after="0" w:line="120" w:lineRule="exact"/>
        <w:rPr>
          <w:sz w:val="10"/>
        </w:rPr>
      </w:pPr>
    </w:p>
    <w:p w14:paraId="1FC5A8D6" w14:textId="7CEAD9A7" w:rsidR="00DE74FD" w:rsidRPr="00DE46F3" w:rsidRDefault="00DE74FD" w:rsidP="00DE74FD">
      <w:pPr>
        <w:pStyle w:val="SingleTxt"/>
        <w:spacing w:after="0" w:line="120" w:lineRule="exact"/>
        <w:rPr>
          <w:sz w:val="10"/>
        </w:rPr>
      </w:pPr>
    </w:p>
    <w:p w14:paraId="17E8DB64" w14:textId="1CDB9C49" w:rsidR="008C5496" w:rsidRPr="00DE46F3" w:rsidRDefault="008C5496" w:rsidP="00DE74FD">
      <w:pPr>
        <w:pStyle w:val="H1"/>
        <w:tabs>
          <w:tab w:val="clear" w:pos="1742"/>
        </w:tabs>
        <w:ind w:right="0"/>
      </w:pPr>
      <w:r w:rsidRPr="00DE46F3">
        <w:tab/>
      </w:r>
      <w:r w:rsidRPr="00DE46F3">
        <w:tab/>
        <w:t>Malnutrition</w:t>
      </w:r>
    </w:p>
    <w:p w14:paraId="30074BE0" w14:textId="22F6A26C" w:rsidR="00DE74FD" w:rsidRPr="00DE46F3" w:rsidRDefault="00DE74FD" w:rsidP="00DE74FD">
      <w:pPr>
        <w:pStyle w:val="SingleTxt"/>
        <w:spacing w:after="0" w:line="120" w:lineRule="exact"/>
        <w:rPr>
          <w:sz w:val="10"/>
        </w:rPr>
      </w:pPr>
    </w:p>
    <w:p w14:paraId="6AC1DF1A" w14:textId="2A98C86E" w:rsidR="00DE74FD" w:rsidRPr="00DE46F3" w:rsidRDefault="00DE74FD" w:rsidP="00DE74FD">
      <w:pPr>
        <w:pStyle w:val="SingleTxt"/>
        <w:spacing w:after="0" w:line="120" w:lineRule="exact"/>
        <w:rPr>
          <w:sz w:val="10"/>
        </w:rPr>
      </w:pPr>
    </w:p>
    <w:p w14:paraId="5B355A3A" w14:textId="7B2BDE09" w:rsidR="008C5496" w:rsidRPr="00DE46F3" w:rsidRDefault="00DE74FD" w:rsidP="00DE74FD">
      <w:pPr>
        <w:pStyle w:val="SingleTxt"/>
      </w:pPr>
      <w:r w:rsidRPr="00DE46F3">
        <w:t>166.</w:t>
      </w:r>
      <w:r w:rsidRPr="00DE46F3">
        <w:tab/>
      </w:r>
      <w:r w:rsidR="008C5496" w:rsidRPr="00DE46F3">
        <w:t>The prevalence of stunting has declined from 58 per cent to 46 per cent between 2010 and 2016. The prevalence of underweight children has also declined, from 45 per cent to 40 per cent. However, the prevalence of undernourished children has increased from 19 per cent to 24 per cent. Prevalence of stunting, undernourishment, and underweight are slightly lower in girls (43 per cent, 22 per cent, and 38 per cent, respectively) than boys (48 per cent, 26 per cent, 43 per cent, respectively). The rates are generally higher in rural areas.</w:t>
      </w:r>
      <w:r w:rsidR="008C5496" w:rsidRPr="00DE46F3">
        <w:rPr>
          <w:vertAlign w:val="superscript"/>
        </w:rPr>
        <w:footnoteReference w:id="252"/>
      </w:r>
    </w:p>
    <w:p w14:paraId="28D3472D" w14:textId="4E498C87" w:rsidR="008C5496" w:rsidRPr="00DE46F3" w:rsidRDefault="00DE74FD" w:rsidP="00DE74FD">
      <w:pPr>
        <w:pStyle w:val="SingleTxt"/>
      </w:pPr>
      <w:r w:rsidRPr="00DE46F3">
        <w:t>167.</w:t>
      </w:r>
      <w:r w:rsidRPr="00DE46F3">
        <w:tab/>
      </w:r>
      <w:r w:rsidR="008C5496" w:rsidRPr="00DE46F3">
        <w:t>The National Nutrition Strategy 2014-2019 developed and led by MoH has a focus on pregnant women and children under two-years to reduce the burden of malnutrition. It includes a Costed Operational Plan to enable tracking of expenditure on nutrition by sector.</w:t>
      </w:r>
      <w:r w:rsidR="008C5496" w:rsidRPr="00DE46F3">
        <w:rPr>
          <w:vertAlign w:val="superscript"/>
        </w:rPr>
        <w:footnoteReference w:id="253"/>
      </w:r>
    </w:p>
    <w:p w14:paraId="4C5E5699" w14:textId="5BDA3B26" w:rsidR="008C5496" w:rsidRPr="00DE46F3" w:rsidRDefault="00DE74FD" w:rsidP="00DE74FD">
      <w:pPr>
        <w:pStyle w:val="SingleTxt"/>
      </w:pPr>
      <w:r w:rsidRPr="00DE46F3">
        <w:t>168.</w:t>
      </w:r>
      <w:r w:rsidRPr="00DE46F3">
        <w:tab/>
      </w:r>
      <w:r w:rsidR="008C5496" w:rsidRPr="00DE46F3">
        <w:t>The Nutrition Collective Impact Pilot (2015-2019), known as '</w:t>
      </w:r>
      <w:r w:rsidR="008C5496" w:rsidRPr="00DE46F3">
        <w:rPr>
          <w:i/>
          <w:iCs/>
        </w:rPr>
        <w:t>Hamutuk</w:t>
      </w:r>
      <w:r w:rsidR="008C5496" w:rsidRPr="00DE46F3">
        <w:t>', is contributing to improve the nutrition situation by coordinating more than 20 Government institutions and NGOs from multiple sectors to reduce the prevalence of stunting in children under two-years of age. Under this programme, women's groups are recognised for outstanding actions to promote and improve nutrition in their communities.</w:t>
      </w:r>
      <w:r w:rsidR="008C5496" w:rsidRPr="00DE46F3">
        <w:rPr>
          <w:vertAlign w:val="superscript"/>
        </w:rPr>
        <w:footnoteReference w:id="254"/>
      </w:r>
    </w:p>
    <w:p w14:paraId="5A2D0FD6" w14:textId="2ACEC360" w:rsidR="008C5496" w:rsidRPr="00DE46F3" w:rsidRDefault="00DE74FD" w:rsidP="00DE74FD">
      <w:pPr>
        <w:pStyle w:val="SingleTxt"/>
      </w:pPr>
      <w:r w:rsidRPr="00DE46F3">
        <w:t>169.</w:t>
      </w:r>
      <w:r w:rsidRPr="00DE46F3">
        <w:tab/>
      </w:r>
      <w:r w:rsidR="008C5496" w:rsidRPr="00DE46F3">
        <w:t>The MEJD and Ministry of Agriculture and Fisheries (MAF) are planning to significantly reform agricultural secondary schools and develop a nutrition-sensitive curriculum. This aims to build the capacity of rural youth and encourage women to engage in small livestock production for self-consumption and income generation to help increase the consumption of animal food sources.</w:t>
      </w:r>
      <w:r w:rsidR="008C5496" w:rsidRPr="00DE46F3">
        <w:rPr>
          <w:vertAlign w:val="superscript"/>
        </w:rPr>
        <w:footnoteReference w:id="255"/>
      </w:r>
    </w:p>
    <w:p w14:paraId="0DC55FEF" w14:textId="6AA477CC" w:rsidR="008C5496" w:rsidRPr="00DE46F3" w:rsidRDefault="00DE74FD" w:rsidP="00DE74FD">
      <w:pPr>
        <w:pStyle w:val="SingleTxt"/>
      </w:pPr>
      <w:r w:rsidRPr="00DE46F3">
        <w:t>170.</w:t>
      </w:r>
      <w:r w:rsidRPr="00DE46F3">
        <w:tab/>
      </w:r>
      <w:r w:rsidR="008C5496" w:rsidRPr="00DE46F3">
        <w:t>Mother Support Groups (MSG) were established in partnership between the MoH, the European Union and UNICEF. These aim to empower mothers and families by supporting them to promote key home practices that focus on nutrition to improve maternal and child health. The groups promote women’s important roles in their community as well as encouraging men to participate to improve mothers’ and children’s health.</w:t>
      </w:r>
      <w:r w:rsidR="008C5496" w:rsidRPr="00DE46F3">
        <w:rPr>
          <w:vertAlign w:val="superscript"/>
        </w:rPr>
        <w:footnoteReference w:id="256"/>
      </w:r>
    </w:p>
    <w:p w14:paraId="4294BC61" w14:textId="5F0BA4F6" w:rsidR="00DE74FD" w:rsidRPr="00DE46F3" w:rsidRDefault="00DE74FD" w:rsidP="00DE74FD">
      <w:pPr>
        <w:pStyle w:val="SingleTxt"/>
        <w:spacing w:after="0" w:line="120" w:lineRule="exact"/>
        <w:rPr>
          <w:sz w:val="10"/>
        </w:rPr>
      </w:pPr>
    </w:p>
    <w:p w14:paraId="5CC45565" w14:textId="39FDB74A" w:rsidR="00DE74FD" w:rsidRPr="00DE46F3" w:rsidRDefault="00DE74FD" w:rsidP="00DE74FD">
      <w:pPr>
        <w:pStyle w:val="SingleTxt"/>
        <w:spacing w:after="0" w:line="120" w:lineRule="exact"/>
        <w:rPr>
          <w:sz w:val="10"/>
        </w:rPr>
      </w:pPr>
    </w:p>
    <w:p w14:paraId="67FE0979" w14:textId="4802D349" w:rsidR="008C5496" w:rsidRPr="00DE46F3" w:rsidRDefault="008C5496" w:rsidP="00DF508B">
      <w:pPr>
        <w:pStyle w:val="HCh"/>
        <w:ind w:left="1267" w:right="1260" w:hanging="1267"/>
      </w:pPr>
      <w:bookmarkStart w:id="70" w:name="_Toc25630042"/>
      <w:bookmarkStart w:id="71" w:name="_Toc10641669"/>
      <w:bookmarkStart w:id="72" w:name="_Hlk20735706"/>
      <w:r w:rsidRPr="00DE46F3">
        <w:tab/>
      </w:r>
      <w:r w:rsidRPr="00DE46F3">
        <w:tab/>
        <w:t>Article 13: Economic and Social Rights</w:t>
      </w:r>
      <w:bookmarkEnd w:id="70"/>
      <w:bookmarkEnd w:id="71"/>
      <w:bookmarkEnd w:id="72"/>
    </w:p>
    <w:p w14:paraId="2F7070E9" w14:textId="07A868E0" w:rsidR="00DE74FD" w:rsidRPr="00DE46F3" w:rsidRDefault="00DE74FD" w:rsidP="00DF508B">
      <w:pPr>
        <w:pStyle w:val="SingleTxt"/>
        <w:keepNext/>
        <w:keepLines/>
        <w:spacing w:after="0" w:line="120" w:lineRule="exact"/>
        <w:rPr>
          <w:sz w:val="10"/>
        </w:rPr>
      </w:pPr>
    </w:p>
    <w:p w14:paraId="62CBFEC3" w14:textId="11D6E5BE" w:rsidR="00DE74FD" w:rsidRPr="00DE46F3" w:rsidRDefault="00DE74FD" w:rsidP="00DF508B">
      <w:pPr>
        <w:pStyle w:val="SingleTxt"/>
        <w:keepNext/>
        <w:keepLines/>
        <w:spacing w:after="0" w:line="120" w:lineRule="exact"/>
        <w:rPr>
          <w:sz w:val="10"/>
        </w:rPr>
      </w:pPr>
    </w:p>
    <w:p w14:paraId="17BE42E6" w14:textId="7AA8CC81" w:rsidR="008C5496" w:rsidRPr="00DE46F3" w:rsidRDefault="008C5496" w:rsidP="00DF508B">
      <w:pPr>
        <w:pStyle w:val="H1"/>
        <w:tabs>
          <w:tab w:val="clear" w:pos="1742"/>
        </w:tabs>
        <w:ind w:right="0"/>
      </w:pPr>
      <w:bookmarkStart w:id="73" w:name="_Hlk20735729"/>
      <w:r w:rsidRPr="00DE46F3">
        <w:tab/>
      </w:r>
      <w:r w:rsidRPr="00DE46F3">
        <w:tab/>
        <w:t>Efforts toward a universal social security system</w:t>
      </w:r>
      <w:bookmarkEnd w:id="73"/>
    </w:p>
    <w:p w14:paraId="38BA7483" w14:textId="6414A4F9" w:rsidR="00DE74FD" w:rsidRPr="00DE46F3" w:rsidRDefault="00DE74FD" w:rsidP="00DF508B">
      <w:pPr>
        <w:pStyle w:val="SingleTxt"/>
        <w:keepNext/>
        <w:keepLines/>
        <w:spacing w:after="0" w:line="120" w:lineRule="exact"/>
        <w:rPr>
          <w:sz w:val="10"/>
        </w:rPr>
      </w:pPr>
    </w:p>
    <w:p w14:paraId="0709C711" w14:textId="0152B936" w:rsidR="00DE74FD" w:rsidRPr="00DE46F3" w:rsidRDefault="00DE74FD" w:rsidP="00DF508B">
      <w:pPr>
        <w:pStyle w:val="SingleTxt"/>
        <w:keepNext/>
        <w:keepLines/>
        <w:spacing w:after="0" w:line="120" w:lineRule="exact"/>
        <w:rPr>
          <w:sz w:val="10"/>
        </w:rPr>
      </w:pPr>
    </w:p>
    <w:p w14:paraId="79192028" w14:textId="59F69EA8" w:rsidR="008C5496" w:rsidRPr="00DE46F3" w:rsidRDefault="00DE74FD" w:rsidP="00DF508B">
      <w:pPr>
        <w:pStyle w:val="SingleTxt"/>
        <w:keepNext/>
        <w:keepLines/>
      </w:pPr>
      <w:r w:rsidRPr="00DE46F3">
        <w:t>171.</w:t>
      </w:r>
      <w:r w:rsidRPr="00DE46F3">
        <w:tab/>
      </w:r>
      <w:r w:rsidR="008C5496" w:rsidRPr="00DE46F3">
        <w:t>The General Social Security Scheme</w:t>
      </w:r>
      <w:r w:rsidR="008C5496" w:rsidRPr="00DE46F3">
        <w:rPr>
          <w:vertAlign w:val="superscript"/>
        </w:rPr>
        <w:footnoteReference w:id="257"/>
      </w:r>
      <w:r w:rsidR="008C5496" w:rsidRPr="00DE46F3">
        <w:t xml:space="preserve"> adopted in 2016, replaced the transitional scheme</w:t>
      </w:r>
      <w:r w:rsidR="008C5496" w:rsidRPr="00DE46F3">
        <w:rPr>
          <w:vertAlign w:val="superscript"/>
        </w:rPr>
        <w:footnoteReference w:id="258"/>
      </w:r>
      <w:r w:rsidR="008C5496" w:rsidRPr="00DE46F3">
        <w:t xml:space="preserve"> and complements the 25 already existing transitional and non</w:t>
      </w:r>
      <w:r w:rsidR="00DF508B">
        <w:noBreakHyphen/>
      </w:r>
      <w:r w:rsidR="008C5496" w:rsidRPr="00DE46F3">
        <w:t>contributory social protection programs. This is the first social scheme that aims to cover all workers and their families.</w:t>
      </w:r>
      <w:r w:rsidR="008C5496" w:rsidRPr="00DE46F3">
        <w:rPr>
          <w:vertAlign w:val="superscript"/>
        </w:rPr>
        <w:footnoteReference w:id="259"/>
      </w:r>
      <w:r w:rsidR="008C5496" w:rsidRPr="00DE46F3">
        <w:t xml:space="preserve"> The scheme provides generous benefits compared to international standards.</w:t>
      </w:r>
      <w:r w:rsidR="008C5496" w:rsidRPr="00DE46F3">
        <w:rPr>
          <w:vertAlign w:val="superscript"/>
        </w:rPr>
        <w:footnoteReference w:id="260"/>
      </w:r>
      <w:r w:rsidR="008C5496" w:rsidRPr="00DE46F3">
        <w:t xml:space="preserve"> </w:t>
      </w:r>
      <w:r w:rsidR="008C5496" w:rsidRPr="00DE46F3">
        <w:rPr>
          <w:vertAlign w:val="superscript"/>
        </w:rPr>
        <w:footnoteReference w:id="261"/>
      </w:r>
      <w:r w:rsidR="008C5496" w:rsidRPr="00DE46F3">
        <w:t xml:space="preserve"> However, its coverage is mainly benefiting to those in formal employment (which encompasses a minority of women)</w:t>
      </w:r>
      <w:r w:rsidR="008C5496" w:rsidRPr="00DE46F3">
        <w:rPr>
          <w:vertAlign w:val="superscript"/>
        </w:rPr>
        <w:footnoteReference w:id="262"/>
      </w:r>
      <w:r w:rsidR="008C5496" w:rsidRPr="00DE46F3">
        <w:t>.</w:t>
      </w:r>
    </w:p>
    <w:p w14:paraId="53F39DFC" w14:textId="1007E5B3" w:rsidR="008C5496" w:rsidRPr="00DE46F3" w:rsidRDefault="00DE74FD" w:rsidP="00DE74FD">
      <w:pPr>
        <w:pStyle w:val="SingleTxt"/>
      </w:pPr>
      <w:r w:rsidRPr="00DE46F3">
        <w:t>172.</w:t>
      </w:r>
      <w:r w:rsidRPr="00DE46F3">
        <w:tab/>
      </w:r>
      <w:r w:rsidR="008C5496" w:rsidRPr="00DE46F3">
        <w:t>People with disabilities, including women, are eligible for the Allowance for the support of the Elderly and Invalid (SAII) established in 2008, which is currently the most comprehensive social protection program and provides a monthly cash benefit of 30 USD per month.</w:t>
      </w:r>
      <w:r w:rsidR="008C5496" w:rsidRPr="00DE46F3">
        <w:rPr>
          <w:vertAlign w:val="superscript"/>
        </w:rPr>
        <w:footnoteReference w:id="263"/>
      </w:r>
      <w:r w:rsidR="008C5496" w:rsidRPr="00DE46F3">
        <w:t xml:space="preserve"> While 93 per cent of the total population aged 60 or older</w:t>
      </w:r>
      <w:r w:rsidR="008C5496" w:rsidRPr="00DE46F3">
        <w:rPr>
          <w:vertAlign w:val="superscript"/>
        </w:rPr>
        <w:footnoteReference w:id="264"/>
      </w:r>
      <w:r w:rsidR="008C5496" w:rsidRPr="00DE46F3">
        <w:t xml:space="preserve"> was benefiting from this scheme in 2017 (54 per cent women / 46 per cent men), about 20 per cent of the total disabled population is benefiting from it (48 per cent women and 52 per cent men)</w:t>
      </w:r>
      <w:r w:rsidR="008C5496" w:rsidRPr="00DE46F3">
        <w:rPr>
          <w:vertAlign w:val="superscript"/>
        </w:rPr>
        <w:footnoteReference w:id="265"/>
      </w:r>
      <w:r w:rsidR="008C5496" w:rsidRPr="00DE46F3">
        <w:t xml:space="preserve"> </w:t>
      </w:r>
      <w:r w:rsidR="008C5496" w:rsidRPr="00DE46F3">
        <w:rPr>
          <w:vertAlign w:val="superscript"/>
        </w:rPr>
        <w:footnoteReference w:id="266"/>
      </w:r>
      <w:r w:rsidR="008C5496" w:rsidRPr="00DE46F3">
        <w:t xml:space="preserve"> due to limited awareness and operational issues.</w:t>
      </w:r>
      <w:r w:rsidR="008C5496" w:rsidRPr="00DE46F3">
        <w:rPr>
          <w:vertAlign w:val="superscript"/>
        </w:rPr>
        <w:footnoteReference w:id="267"/>
      </w:r>
    </w:p>
    <w:p w14:paraId="4400A556" w14:textId="1BD28D13" w:rsidR="008C5496" w:rsidRPr="00DE46F3" w:rsidRDefault="00DE74FD" w:rsidP="00DE74FD">
      <w:pPr>
        <w:pStyle w:val="SingleTxt"/>
      </w:pPr>
      <w:r w:rsidRPr="00DE46F3">
        <w:t>173.</w:t>
      </w:r>
      <w:r w:rsidRPr="00DE46F3">
        <w:tab/>
      </w:r>
      <w:r w:rsidR="008C5496" w:rsidRPr="00DE46F3">
        <w:t>In 2016, the creation of the National Institute for Social Security was established to centralize the implementation of all social security schemes.</w:t>
      </w:r>
      <w:r w:rsidR="008C5496" w:rsidRPr="00DE46F3">
        <w:rPr>
          <w:vertAlign w:val="superscript"/>
        </w:rPr>
        <w:footnoteReference w:id="268"/>
      </w:r>
      <w:r w:rsidR="008C5496" w:rsidRPr="00DE46F3">
        <w:t xml:space="preserve"> In addition, MSSI initiated a large participatory dialogue from 2016 to 2018 to develop the first National Social Protection Strategy (2019-2030). As most of the social protection programs were developed in isolation without a broad strategic vision, the strategy aimed to achieve a more efficient and integrated social protection system. Officially adopted in November 2018, the strategy sets the goals and actions related to social protection. In this framework, a Bilateral Cooperation Program was signed with the Government of Portugal from 2019 to 2022, which includes the establishment of a Social Security Reserve Fund to ensure the sustainability of the system.</w:t>
      </w:r>
      <w:r w:rsidR="008C5496" w:rsidRPr="00DE46F3">
        <w:rPr>
          <w:vertAlign w:val="superscript"/>
        </w:rPr>
        <w:footnoteReference w:id="269"/>
      </w:r>
    </w:p>
    <w:p w14:paraId="777AD8EE" w14:textId="2D8A834A" w:rsidR="00DE74FD" w:rsidRPr="00DE46F3" w:rsidRDefault="00DE74FD" w:rsidP="00DE74FD">
      <w:pPr>
        <w:pStyle w:val="SingleTxt"/>
        <w:spacing w:after="0" w:line="120" w:lineRule="exact"/>
        <w:rPr>
          <w:sz w:val="10"/>
        </w:rPr>
      </w:pPr>
    </w:p>
    <w:p w14:paraId="35DB7717" w14:textId="12CCDD34" w:rsidR="00DE74FD" w:rsidRPr="00DE46F3" w:rsidRDefault="00DE74FD" w:rsidP="00DE74FD">
      <w:pPr>
        <w:pStyle w:val="SingleTxt"/>
        <w:spacing w:after="0" w:line="120" w:lineRule="exact"/>
        <w:rPr>
          <w:sz w:val="10"/>
        </w:rPr>
      </w:pPr>
    </w:p>
    <w:p w14:paraId="67D3B772" w14:textId="35E43CC2" w:rsidR="008C5496" w:rsidRPr="00DE46F3" w:rsidRDefault="008C5496" w:rsidP="00DF508B">
      <w:pPr>
        <w:pStyle w:val="H1"/>
        <w:tabs>
          <w:tab w:val="clear" w:pos="1742"/>
        </w:tabs>
        <w:ind w:right="0"/>
      </w:pPr>
      <w:bookmarkStart w:id="74" w:name="_Hlk20735892"/>
      <w:r w:rsidRPr="00DE46F3">
        <w:tab/>
      </w:r>
      <w:r w:rsidRPr="00DE46F3">
        <w:tab/>
        <w:t>Bolsa da mãe programme</w:t>
      </w:r>
    </w:p>
    <w:p w14:paraId="0FFBA43D" w14:textId="43D86FC2" w:rsidR="00DE74FD" w:rsidRPr="00DE46F3" w:rsidRDefault="00DE74FD" w:rsidP="00DF508B">
      <w:pPr>
        <w:pStyle w:val="SingleTxt"/>
        <w:keepNext/>
        <w:keepLines/>
        <w:spacing w:after="0" w:line="120" w:lineRule="exact"/>
        <w:rPr>
          <w:sz w:val="10"/>
        </w:rPr>
      </w:pPr>
    </w:p>
    <w:p w14:paraId="614436C6" w14:textId="11C10912" w:rsidR="00DE74FD" w:rsidRPr="00DE46F3" w:rsidRDefault="00DE74FD" w:rsidP="00DF508B">
      <w:pPr>
        <w:pStyle w:val="SingleTxt"/>
        <w:keepNext/>
        <w:keepLines/>
        <w:spacing w:after="0" w:line="120" w:lineRule="exact"/>
        <w:rPr>
          <w:sz w:val="10"/>
        </w:rPr>
      </w:pPr>
    </w:p>
    <w:bookmarkEnd w:id="74"/>
    <w:p w14:paraId="40317D23" w14:textId="76FCB6D7" w:rsidR="008C5496" w:rsidRPr="00DE46F3" w:rsidRDefault="00DE74FD" w:rsidP="00DF508B">
      <w:pPr>
        <w:pStyle w:val="SingleTxt"/>
        <w:keepNext/>
        <w:keepLines/>
      </w:pPr>
      <w:r w:rsidRPr="00DE46F3">
        <w:t>174.</w:t>
      </w:r>
      <w:r w:rsidRPr="00DE46F3">
        <w:tab/>
      </w:r>
      <w:r w:rsidR="008C5496" w:rsidRPr="00DE46F3">
        <w:t>In 2015, about 16 per cent of households were headed by females (around 32,000 households), a fairly stable rate since the 2010 census.</w:t>
      </w:r>
      <w:r w:rsidR="008C5496" w:rsidRPr="00DE46F3">
        <w:rPr>
          <w:vertAlign w:val="superscript"/>
        </w:rPr>
        <w:footnoteReference w:id="270"/>
      </w:r>
      <w:r w:rsidR="008C5496" w:rsidRPr="00DE46F3">
        <w:t xml:space="preserve"> To cover this vulnerable population, the ‘</w:t>
      </w:r>
      <w:r w:rsidR="008C5496" w:rsidRPr="00DE46F3">
        <w:rPr>
          <w:i/>
          <w:iCs/>
        </w:rPr>
        <w:t>bolsa da mãe</w:t>
      </w:r>
      <w:r w:rsidR="008C5496" w:rsidRPr="00DE46F3">
        <w:t>’</w:t>
      </w:r>
      <w:r w:rsidR="008C5496" w:rsidRPr="00DE46F3">
        <w:rPr>
          <w:i/>
          <w:iCs/>
        </w:rPr>
        <w:t xml:space="preserve"> </w:t>
      </w:r>
      <w:r w:rsidR="008C5496" w:rsidRPr="00DE46F3">
        <w:t>programme was expanded, both in terms of beneficiaries and benefit amount, receiving an important increase in investment, covering from 15,000 households in 2011 (overall budget: 2.5 million USD)</w:t>
      </w:r>
      <w:r w:rsidR="008C5496" w:rsidRPr="00DE46F3">
        <w:rPr>
          <w:vertAlign w:val="superscript"/>
        </w:rPr>
        <w:footnoteReference w:id="271"/>
      </w:r>
      <w:r w:rsidR="008C5496" w:rsidRPr="00DE46F3">
        <w:t xml:space="preserve"> to 61,705 households (29 per cent of total households) in 2017 and provided benefits to more than 183,000 children (32 per cent of total children) for a budget close to 9</w:t>
      </w:r>
      <w:r w:rsidR="007E2B13">
        <w:t xml:space="preserve"> </w:t>
      </w:r>
      <w:r w:rsidR="008C5496" w:rsidRPr="00DE46F3">
        <w:t>million USD. The benefits reach 5 USD per month per child, up to a maximum of 3 children per households.</w:t>
      </w:r>
      <w:r w:rsidR="008C5496" w:rsidRPr="00DE46F3">
        <w:rPr>
          <w:vertAlign w:val="superscript"/>
        </w:rPr>
        <w:footnoteReference w:id="272"/>
      </w:r>
    </w:p>
    <w:p w14:paraId="459A70B2" w14:textId="52E5E246" w:rsidR="00DE74FD" w:rsidRDefault="00DE74FD" w:rsidP="00DE74FD">
      <w:pPr>
        <w:pStyle w:val="SingleTxt"/>
      </w:pPr>
      <w:r w:rsidRPr="00DE46F3">
        <w:t>175.</w:t>
      </w:r>
      <w:r w:rsidRPr="00DE46F3">
        <w:tab/>
      </w:r>
      <w:r w:rsidR="008C5496" w:rsidRPr="00DE46F3">
        <w:t>Significant poverty reduction for female-headed households was observed, which has occurred at a faster pace than for male-headed households.</w:t>
      </w:r>
      <w:r w:rsidR="008C5496" w:rsidRPr="00DE46F3">
        <w:rPr>
          <w:vertAlign w:val="superscript"/>
        </w:rPr>
        <w:footnoteReference w:id="273"/>
      </w:r>
      <w:r w:rsidR="008C5496" w:rsidRPr="00DE46F3">
        <w:t xml:space="preserve"> </w:t>
      </w:r>
      <w:r w:rsidR="008C5496" w:rsidRPr="00DE46F3">
        <w:rPr>
          <w:vertAlign w:val="superscript"/>
        </w:rPr>
        <w:footnoteReference w:id="274"/>
      </w:r>
      <w:r w:rsidR="008C5496" w:rsidRPr="00DE46F3">
        <w:t xml:space="preserve"> However, the </w:t>
      </w:r>
      <w:r w:rsidR="008C5496" w:rsidRPr="00DE46F3">
        <w:rPr>
          <w:i/>
          <w:iCs/>
        </w:rPr>
        <w:t>bolsa da mãe</w:t>
      </w:r>
      <w:r w:rsidR="008C5496" w:rsidRPr="00DE46F3">
        <w:t>’s relatively low benefit level potentially limits the programme’s impact on poverty reduction in the poorest households.</w:t>
      </w:r>
      <w:r w:rsidR="008C5496" w:rsidRPr="00DE46F3">
        <w:rPr>
          <w:vertAlign w:val="superscript"/>
        </w:rPr>
        <w:footnoteReference w:id="275"/>
      </w:r>
    </w:p>
    <w:p w14:paraId="58266B93" w14:textId="54F9BF91" w:rsidR="00DF508B" w:rsidRPr="00DF508B" w:rsidRDefault="00DF508B" w:rsidP="00DF508B">
      <w:pPr>
        <w:pStyle w:val="SingleTxt"/>
        <w:spacing w:after="0" w:line="120" w:lineRule="exact"/>
        <w:rPr>
          <w:sz w:val="10"/>
        </w:rPr>
      </w:pPr>
    </w:p>
    <w:p w14:paraId="0C36FD5D" w14:textId="34A28A8A" w:rsidR="00DF508B" w:rsidRPr="00DF508B" w:rsidRDefault="00DF508B" w:rsidP="00DF508B">
      <w:pPr>
        <w:pStyle w:val="SingleTxt"/>
        <w:spacing w:after="0" w:line="120" w:lineRule="exact"/>
        <w:rPr>
          <w:sz w:val="10"/>
        </w:rPr>
      </w:pPr>
    </w:p>
    <w:p w14:paraId="50E2335B" w14:textId="280102ED" w:rsidR="008C5496" w:rsidRPr="00DE46F3" w:rsidRDefault="008C5496" w:rsidP="00DE74FD">
      <w:pPr>
        <w:pStyle w:val="H1"/>
        <w:ind w:right="1260"/>
      </w:pPr>
      <w:bookmarkStart w:id="75" w:name="_Ref46305512"/>
      <w:bookmarkStart w:id="76" w:name="_Hlk20736009"/>
      <w:r w:rsidRPr="00DE46F3">
        <w:tab/>
      </w:r>
      <w:r w:rsidRPr="00DE46F3">
        <w:tab/>
        <w:t>Strategy on women’s economic empowerment and financial</w:t>
      </w:r>
      <w:r w:rsidR="00DE74FD" w:rsidRPr="00DE46F3">
        <w:t> </w:t>
      </w:r>
      <w:r w:rsidRPr="00DE46F3">
        <w:t>inclusion</w:t>
      </w:r>
      <w:bookmarkEnd w:id="75"/>
    </w:p>
    <w:p w14:paraId="49DA0880" w14:textId="4C84FE80" w:rsidR="00DE74FD" w:rsidRPr="00DE46F3" w:rsidRDefault="00DE74FD" w:rsidP="00DE74FD">
      <w:pPr>
        <w:pStyle w:val="SingleTxt"/>
        <w:spacing w:after="0" w:line="120" w:lineRule="exact"/>
        <w:rPr>
          <w:sz w:val="10"/>
        </w:rPr>
      </w:pPr>
    </w:p>
    <w:p w14:paraId="252452D6" w14:textId="58AE878A" w:rsidR="00DE74FD" w:rsidRPr="00DE46F3" w:rsidRDefault="00DE74FD" w:rsidP="00DE74FD">
      <w:pPr>
        <w:pStyle w:val="SingleTxt"/>
        <w:spacing w:after="0" w:line="120" w:lineRule="exact"/>
        <w:rPr>
          <w:sz w:val="10"/>
        </w:rPr>
      </w:pPr>
    </w:p>
    <w:bookmarkEnd w:id="76"/>
    <w:p w14:paraId="10D909F8" w14:textId="5466417A" w:rsidR="008C5496" w:rsidRPr="00DE46F3" w:rsidRDefault="00DE74FD" w:rsidP="00DE74FD">
      <w:pPr>
        <w:pStyle w:val="SingleTxt"/>
      </w:pPr>
      <w:r w:rsidRPr="00DE46F3">
        <w:t>176.</w:t>
      </w:r>
      <w:r w:rsidRPr="00DE46F3">
        <w:tab/>
      </w:r>
      <w:r w:rsidR="008C5496" w:rsidRPr="00DE46F3">
        <w:t>Collaboration among the Government toward women economic empowerment has been strengthened under the new phase of the Maubisse Declaration on Rural Women (2018</w:t>
      </w:r>
      <w:r w:rsidRPr="00DE46F3">
        <w:t>–</w:t>
      </w:r>
      <w:r w:rsidR="008C5496" w:rsidRPr="00DE46F3">
        <w:t>2023), which commits the Government to improve rural women’s lives</w:t>
      </w:r>
      <w:r w:rsidR="008C5496" w:rsidRPr="00DE46F3">
        <w:rPr>
          <w:vertAlign w:val="superscript"/>
        </w:rPr>
        <w:footnoteReference w:id="276"/>
      </w:r>
      <w:r w:rsidR="008C5496" w:rsidRPr="00DE46F3">
        <w:t xml:space="preserve"> through several measures such as access to credit or trainings.</w:t>
      </w:r>
    </w:p>
    <w:p w14:paraId="716035C0" w14:textId="14BD9808" w:rsidR="008C5496" w:rsidRPr="00DE46F3" w:rsidRDefault="00DE74FD" w:rsidP="00DE74FD">
      <w:pPr>
        <w:pStyle w:val="SingleTxt"/>
      </w:pPr>
      <w:r w:rsidRPr="00DE46F3">
        <w:t>177.</w:t>
      </w:r>
      <w:r w:rsidRPr="00DE46F3">
        <w:tab/>
      </w:r>
      <w:r w:rsidR="008C5496" w:rsidRPr="00DE46F3">
        <w:t>In this framework, in 2019, the President announced 1.5 million USD funding for the new Rotative Cash Transfer programme to support rural women’s groups to develop small businesses. The programme provides $10,000 USD to 11</w:t>
      </w:r>
      <w:r w:rsidRPr="00DE46F3">
        <w:t>–</w:t>
      </w:r>
      <w:r w:rsidR="008C5496" w:rsidRPr="00DE46F3">
        <w:t>12 women’s groups per municipalities which are trained in business development to build sustainable businesses.</w:t>
      </w:r>
    </w:p>
    <w:p w14:paraId="12FAEB9B" w14:textId="1031D8B9" w:rsidR="008C5496" w:rsidRPr="00DE46F3" w:rsidRDefault="00DE74FD" w:rsidP="00DE74FD">
      <w:pPr>
        <w:pStyle w:val="SingleTxt"/>
      </w:pPr>
      <w:r w:rsidRPr="00DE46F3">
        <w:t>178.</w:t>
      </w:r>
      <w:r w:rsidRPr="00DE46F3">
        <w:tab/>
      </w:r>
      <w:r w:rsidR="008C5496" w:rsidRPr="00DE46F3">
        <w:t>Although the Maubisse Declaration does not include indicators yet, the GRB system coordinated by UPMA requires Line Ministries to monitor and report on activities implemented under the Declaration. However, more socialization is still needed to encourage Government to invest funding into this initiative.</w:t>
      </w:r>
      <w:r w:rsidR="008C5496" w:rsidRPr="00DE46F3">
        <w:rPr>
          <w:vertAlign w:val="superscript"/>
        </w:rPr>
        <w:footnoteReference w:id="277"/>
      </w:r>
    </w:p>
    <w:p w14:paraId="3F2D5FAB" w14:textId="37109D28" w:rsidR="008C5496" w:rsidRPr="00DE46F3" w:rsidRDefault="00DE74FD" w:rsidP="00DE74FD">
      <w:pPr>
        <w:pStyle w:val="SingleTxt"/>
        <w:rPr>
          <w:vertAlign w:val="superscript"/>
        </w:rPr>
      </w:pPr>
      <w:r w:rsidRPr="00DE46F3">
        <w:t>179.</w:t>
      </w:r>
      <w:r w:rsidRPr="00DE46F3">
        <w:tab/>
      </w:r>
      <w:r w:rsidR="008C5496" w:rsidRPr="00DE46F3">
        <w:t>As an important aspect of economic empowerment, the Central Bank of Timor-Leste (BCTL) developed and adopted the National Strategy on Financial Inclusion 2017-2022. The strategy attaches a great importance on women’s access to quality and affordable financial service by promoting and including women-focused action plans.</w:t>
      </w:r>
      <w:r w:rsidR="008C5496" w:rsidRPr="00DE46F3">
        <w:rPr>
          <w:vertAlign w:val="superscript"/>
        </w:rPr>
        <w:footnoteReference w:id="278"/>
      </w:r>
      <w:r w:rsidRPr="00DE46F3">
        <w:rPr>
          <w:vertAlign w:val="superscript"/>
        </w:rPr>
        <w:t>,</w:t>
      </w:r>
      <w:r w:rsidR="008C5496" w:rsidRPr="00DE46F3">
        <w:rPr>
          <w:vertAlign w:val="superscript"/>
        </w:rPr>
        <w:footnoteReference w:id="279"/>
      </w:r>
    </w:p>
    <w:p w14:paraId="1369CC52" w14:textId="0CDEFFD0" w:rsidR="00DE74FD" w:rsidRPr="00DE46F3" w:rsidRDefault="00DE74FD" w:rsidP="00DE74FD">
      <w:pPr>
        <w:pStyle w:val="SingleTxt"/>
        <w:spacing w:after="0" w:line="120" w:lineRule="exact"/>
        <w:rPr>
          <w:sz w:val="10"/>
        </w:rPr>
      </w:pPr>
    </w:p>
    <w:p w14:paraId="620891FF" w14:textId="7DD5CFC1" w:rsidR="00DE74FD" w:rsidRPr="00DE46F3" w:rsidRDefault="00DE74FD" w:rsidP="00DE74FD">
      <w:pPr>
        <w:pStyle w:val="SingleTxt"/>
        <w:spacing w:after="0" w:line="120" w:lineRule="exact"/>
        <w:rPr>
          <w:sz w:val="10"/>
        </w:rPr>
      </w:pPr>
    </w:p>
    <w:p w14:paraId="4ABBEC1A" w14:textId="7422C51C" w:rsidR="008C5496" w:rsidRPr="00DE46F3" w:rsidRDefault="008C5496" w:rsidP="006E2530">
      <w:pPr>
        <w:pStyle w:val="H1"/>
        <w:tabs>
          <w:tab w:val="clear" w:pos="1742"/>
        </w:tabs>
        <w:ind w:right="0"/>
      </w:pPr>
      <w:r w:rsidRPr="00DE46F3">
        <w:tab/>
      </w:r>
      <w:r w:rsidRPr="00DE46F3">
        <w:tab/>
        <w:t>Financial inclusion of women</w:t>
      </w:r>
    </w:p>
    <w:p w14:paraId="74F0C47C" w14:textId="53AECDBE" w:rsidR="006E2530" w:rsidRPr="00DE46F3" w:rsidRDefault="006E2530" w:rsidP="006E2530">
      <w:pPr>
        <w:pStyle w:val="SingleTxt"/>
        <w:spacing w:after="0" w:line="120" w:lineRule="exact"/>
        <w:rPr>
          <w:sz w:val="10"/>
        </w:rPr>
      </w:pPr>
    </w:p>
    <w:p w14:paraId="7417E63C" w14:textId="53E8816F" w:rsidR="006E2530" w:rsidRPr="00DE46F3" w:rsidRDefault="006E2530" w:rsidP="006E2530">
      <w:pPr>
        <w:pStyle w:val="SingleTxt"/>
        <w:spacing w:after="0" w:line="120" w:lineRule="exact"/>
        <w:rPr>
          <w:sz w:val="10"/>
        </w:rPr>
      </w:pPr>
    </w:p>
    <w:p w14:paraId="265D7824" w14:textId="1DBEEB8F" w:rsidR="008C5496" w:rsidRPr="00DE46F3" w:rsidRDefault="006E2530" w:rsidP="006E2530">
      <w:pPr>
        <w:pStyle w:val="SingleTxt"/>
      </w:pPr>
      <w:r w:rsidRPr="00DE46F3">
        <w:t>180.</w:t>
      </w:r>
      <w:r w:rsidRPr="00DE46F3">
        <w:tab/>
      </w:r>
      <w:r w:rsidR="008C5496" w:rsidRPr="00DE46F3">
        <w:t>In 2018, while 65 per cent of the adult population had some access to any financial service (mainly banking and Other Deposit Taking Institutions - ODTIs) with variation across municipalities, the gender breakdown of clients in the financial sector shows that ODTIs’ clients are mostly women (88 per cent female clients), while clients of other financial services providers are more balanced between women and men (53 per cent female clients for banks and 49 per cent female clients for Credit Unions).</w:t>
      </w:r>
      <w:r w:rsidR="008C5496" w:rsidRPr="00DE46F3">
        <w:rPr>
          <w:vertAlign w:val="superscript"/>
        </w:rPr>
        <w:footnoteReference w:id="280"/>
      </w:r>
    </w:p>
    <w:p w14:paraId="405F98C7" w14:textId="5A18B7A0" w:rsidR="006E2530" w:rsidRPr="00DE46F3" w:rsidRDefault="006E2530" w:rsidP="006E2530">
      <w:pPr>
        <w:pStyle w:val="SingleTxt"/>
        <w:spacing w:after="0" w:line="120" w:lineRule="exact"/>
        <w:rPr>
          <w:sz w:val="10"/>
        </w:rPr>
      </w:pPr>
    </w:p>
    <w:p w14:paraId="01496D9D" w14:textId="10CDECE6" w:rsidR="006E2530" w:rsidRPr="00DE46F3" w:rsidRDefault="006E2530" w:rsidP="006E2530">
      <w:pPr>
        <w:pStyle w:val="SingleTxt"/>
        <w:spacing w:after="0" w:line="120" w:lineRule="exact"/>
        <w:rPr>
          <w:sz w:val="10"/>
        </w:rPr>
      </w:pPr>
    </w:p>
    <w:p w14:paraId="6AD6B69F" w14:textId="09462A49" w:rsidR="008C5496" w:rsidRPr="00DE46F3" w:rsidRDefault="008C5496" w:rsidP="006E2530">
      <w:pPr>
        <w:pStyle w:val="H1"/>
        <w:ind w:right="1260"/>
      </w:pPr>
      <w:bookmarkStart w:id="78" w:name="_Toc25630043"/>
      <w:bookmarkStart w:id="79" w:name="_Hlk20736052"/>
      <w:r w:rsidRPr="00DE46F3">
        <w:tab/>
      </w:r>
      <w:r w:rsidRPr="00DE46F3">
        <w:tab/>
        <w:t>Women with Disabilities</w:t>
      </w:r>
      <w:bookmarkEnd w:id="78"/>
      <w:bookmarkEnd w:id="79"/>
    </w:p>
    <w:p w14:paraId="63D0F1E8" w14:textId="61DD44BE" w:rsidR="006E2530" w:rsidRPr="00DE46F3" w:rsidRDefault="006E2530" w:rsidP="006E2530">
      <w:pPr>
        <w:pStyle w:val="SingleTxt"/>
        <w:spacing w:after="0" w:line="120" w:lineRule="exact"/>
        <w:rPr>
          <w:sz w:val="10"/>
        </w:rPr>
      </w:pPr>
    </w:p>
    <w:p w14:paraId="00A329B5" w14:textId="0E83C1D3" w:rsidR="006E2530" w:rsidRPr="00DE46F3" w:rsidRDefault="006E2530" w:rsidP="006E2530">
      <w:pPr>
        <w:pStyle w:val="SingleTxt"/>
        <w:spacing w:after="0" w:line="120" w:lineRule="exact"/>
        <w:rPr>
          <w:sz w:val="10"/>
        </w:rPr>
      </w:pPr>
    </w:p>
    <w:p w14:paraId="4A28DEC8" w14:textId="503DDAE3" w:rsidR="008C5496" w:rsidRPr="00DE46F3" w:rsidRDefault="008C5496" w:rsidP="006E2530">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en-GB"/>
        </w:rPr>
      </w:pPr>
      <w:r w:rsidRPr="00DE46F3">
        <w:rPr>
          <w:lang w:val="en-GB"/>
        </w:rPr>
        <w:tab/>
      </w:r>
      <w:r w:rsidRPr="00DE46F3">
        <w:rPr>
          <w:lang w:val="en-GB"/>
        </w:rPr>
        <w:tab/>
        <w:t>Legal and policy framework</w:t>
      </w:r>
    </w:p>
    <w:p w14:paraId="70032282" w14:textId="434FD295" w:rsidR="006E2530" w:rsidRPr="00DE46F3" w:rsidRDefault="006E2530" w:rsidP="006E2530">
      <w:pPr>
        <w:pStyle w:val="SingleTxt"/>
        <w:spacing w:after="0" w:line="120" w:lineRule="exact"/>
        <w:rPr>
          <w:sz w:val="10"/>
        </w:rPr>
      </w:pPr>
    </w:p>
    <w:p w14:paraId="1CF78396" w14:textId="45D7AF82" w:rsidR="008C5496" w:rsidRPr="00DE46F3" w:rsidRDefault="006E2530" w:rsidP="006E2530">
      <w:pPr>
        <w:pStyle w:val="SingleTxt"/>
      </w:pPr>
      <w:r w:rsidRPr="00DE46F3">
        <w:t>181.</w:t>
      </w:r>
      <w:r w:rsidRPr="00DE46F3">
        <w:tab/>
      </w:r>
      <w:r w:rsidR="008C5496" w:rsidRPr="00DE46F3">
        <w:t>After the adoption of the National Policy in 2012 and a related 2014-2018 NAP on the Rights of Persons with Disabilities (PwD) covering 10 sectors,</w:t>
      </w:r>
      <w:r w:rsidR="008C5496" w:rsidRPr="00DE46F3">
        <w:rPr>
          <w:vertAlign w:val="superscript"/>
        </w:rPr>
        <w:footnoteReference w:id="281"/>
      </w:r>
      <w:r w:rsidR="008C5496" w:rsidRPr="00DE46F3">
        <w:t xml:space="preserve"> MSSI is now conducting the consultation process to develop the 2nd phase of the NAP (2020</w:t>
      </w:r>
      <w:r w:rsidR="00A2287E" w:rsidRPr="00DE46F3">
        <w:rPr>
          <w:rFonts w:eastAsia="ArialMT"/>
        </w:rPr>
        <w:t>–</w:t>
      </w:r>
      <w:r w:rsidR="008C5496" w:rsidRPr="00DE46F3">
        <w:t>2024).</w:t>
      </w:r>
    </w:p>
    <w:p w14:paraId="5E7FDEAB" w14:textId="298EC5E5" w:rsidR="008C5496" w:rsidRPr="00DE46F3" w:rsidRDefault="006E2530" w:rsidP="006E2530">
      <w:pPr>
        <w:pStyle w:val="SingleTxt"/>
      </w:pPr>
      <w:r w:rsidRPr="00DE46F3">
        <w:t>182.</w:t>
      </w:r>
      <w:r w:rsidRPr="00DE46F3">
        <w:tab/>
      </w:r>
      <w:r w:rsidR="008C5496" w:rsidRPr="00DE46F3">
        <w:t>MSSI is working with the Association of Persons with Disabilities (ADTL) toward the development of a specific law and a National Disability Council for implementing and monitoring the NAP.</w:t>
      </w:r>
      <w:r w:rsidR="008C5496" w:rsidRPr="00DE46F3">
        <w:rPr>
          <w:vertAlign w:val="superscript"/>
        </w:rPr>
        <w:footnoteReference w:id="282"/>
      </w:r>
      <w:r w:rsidR="008C5496" w:rsidRPr="00DE46F3">
        <w:t xml:space="preserve"> Beside the legal and institutional frameworks, MSSI is also working toward the ratification of the UN Convention on the Rights of Persons with Disabilities (CRPD). However, this request could not yet be considered by the Council of Ministers to date.</w:t>
      </w:r>
      <w:r w:rsidR="008C5496" w:rsidRPr="00DE46F3">
        <w:rPr>
          <w:vertAlign w:val="superscript"/>
        </w:rPr>
        <w:footnoteReference w:id="283"/>
      </w:r>
    </w:p>
    <w:p w14:paraId="654AAC38" w14:textId="7326F625" w:rsidR="006E2530" w:rsidRPr="00DE46F3" w:rsidRDefault="006E2530" w:rsidP="00C169FA">
      <w:pPr>
        <w:pStyle w:val="SingleTxt"/>
        <w:spacing w:after="0" w:line="120" w:lineRule="exact"/>
        <w:rPr>
          <w:sz w:val="10"/>
        </w:rPr>
      </w:pPr>
    </w:p>
    <w:p w14:paraId="6A8E2368" w14:textId="07E6CE3F" w:rsidR="008C5496" w:rsidRPr="00DE46F3" w:rsidRDefault="008C5496" w:rsidP="00C169FA">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en-GB"/>
        </w:rPr>
      </w:pPr>
      <w:bookmarkStart w:id="80" w:name="_Hlk20736111"/>
      <w:r w:rsidRPr="00DE46F3">
        <w:rPr>
          <w:lang w:val="en-GB"/>
        </w:rPr>
        <w:tab/>
      </w:r>
      <w:r w:rsidRPr="00DE46F3">
        <w:rPr>
          <w:lang w:val="en-GB"/>
        </w:rPr>
        <w:tab/>
        <w:t>Awareness-raising campaigns and capacity building programmes</w:t>
      </w:r>
      <w:bookmarkEnd w:id="80"/>
    </w:p>
    <w:p w14:paraId="3C82F87D" w14:textId="3C87F259" w:rsidR="00C169FA" w:rsidRPr="00DE46F3" w:rsidRDefault="00C169FA" w:rsidP="00C169FA">
      <w:pPr>
        <w:pStyle w:val="SingleTxt"/>
        <w:spacing w:after="0" w:line="120" w:lineRule="exact"/>
        <w:rPr>
          <w:sz w:val="10"/>
        </w:rPr>
      </w:pPr>
    </w:p>
    <w:p w14:paraId="69F12C16" w14:textId="3B01D45A" w:rsidR="008C5496" w:rsidRPr="00DE46F3" w:rsidRDefault="00C169FA" w:rsidP="00C169FA">
      <w:pPr>
        <w:pStyle w:val="SingleTxt"/>
      </w:pPr>
      <w:r w:rsidRPr="00DE46F3">
        <w:t>183.</w:t>
      </w:r>
      <w:r w:rsidRPr="00DE46F3">
        <w:tab/>
      </w:r>
      <w:r w:rsidR="008C5496" w:rsidRPr="00DE46F3">
        <w:t>The International Day of PwD is celebrated annually in all municipalities, increasing awareness and visibility of PwD to the general public.</w:t>
      </w:r>
      <w:r w:rsidR="008C5496" w:rsidRPr="00DE46F3">
        <w:rPr>
          <w:vertAlign w:val="superscript"/>
        </w:rPr>
        <w:footnoteReference w:id="284"/>
      </w:r>
      <w:r w:rsidR="008C5496" w:rsidRPr="00DE46F3">
        <w:t xml:space="preserve"> A broad National Seminar on disability issues is also held annually by the MSSI, contributing to awareness raising among policy makers.</w:t>
      </w:r>
      <w:r w:rsidR="008C5496" w:rsidRPr="00DE46F3">
        <w:rPr>
          <w:vertAlign w:val="superscript"/>
        </w:rPr>
        <w:footnoteReference w:id="285"/>
      </w:r>
    </w:p>
    <w:p w14:paraId="643549FE" w14:textId="6CB84AD6" w:rsidR="008C5496" w:rsidRPr="00DE46F3" w:rsidRDefault="00C169FA" w:rsidP="00C169FA">
      <w:pPr>
        <w:pStyle w:val="SingleTxt"/>
      </w:pPr>
      <w:r w:rsidRPr="00DE46F3">
        <w:t>184.</w:t>
      </w:r>
      <w:r w:rsidRPr="00DE46F3">
        <w:tab/>
      </w:r>
      <w:r w:rsidR="008C5496" w:rsidRPr="00DE46F3">
        <w:t xml:space="preserve">At community level, awareness-raising activities are conducted on a regular basis by the </w:t>
      </w:r>
      <w:bookmarkStart w:id="81" w:name="_Hlk20736159"/>
      <w:r w:rsidR="008C5496" w:rsidRPr="00DE46F3">
        <w:t>National Centre for Rehabilitation (CNR)</w:t>
      </w:r>
      <w:bookmarkEnd w:id="81"/>
      <w:r w:rsidR="008C5496" w:rsidRPr="00DE46F3">
        <w:t xml:space="preserve"> through its SRIKAR</w:t>
      </w:r>
      <w:r w:rsidR="008C5496" w:rsidRPr="00DE46F3">
        <w:rPr>
          <w:vertAlign w:val="superscript"/>
        </w:rPr>
        <w:footnoteReference w:id="286"/>
      </w:r>
      <w:r w:rsidR="008C5496" w:rsidRPr="00DE46F3">
        <w:t xml:space="preserve"> programme.</w:t>
      </w:r>
      <w:r w:rsidR="008C5496" w:rsidRPr="00DE46F3">
        <w:rPr>
          <w:vertAlign w:val="superscript"/>
        </w:rPr>
        <w:footnoteReference w:id="287"/>
      </w:r>
      <w:r w:rsidR="008C5496" w:rsidRPr="00DE46F3">
        <w:t xml:space="preserve"> Civil Society, supported by MSSI and the PHD program,</w:t>
      </w:r>
      <w:r w:rsidR="008C5496" w:rsidRPr="00DE46F3">
        <w:rPr>
          <w:vertAlign w:val="superscript"/>
        </w:rPr>
        <w:footnoteReference w:id="288"/>
      </w:r>
      <w:r w:rsidR="008C5496" w:rsidRPr="00DE46F3">
        <w:t xml:space="preserve"> is also very active on this matter.</w:t>
      </w:r>
    </w:p>
    <w:p w14:paraId="6B6474BB" w14:textId="19C09229" w:rsidR="008C5496" w:rsidRPr="00DE46F3" w:rsidRDefault="00C169FA" w:rsidP="00C169FA">
      <w:pPr>
        <w:pStyle w:val="SingleTxt"/>
      </w:pPr>
      <w:r w:rsidRPr="00DE46F3">
        <w:t>185.</w:t>
      </w:r>
      <w:r w:rsidRPr="00DE46F3">
        <w:tab/>
      </w:r>
      <w:r w:rsidR="008C5496" w:rsidRPr="00DE46F3">
        <w:t>The CNR is also providing continuing capacity building of its employees, especially in rehabilitation healthcare area.</w:t>
      </w:r>
      <w:r w:rsidR="008C5496" w:rsidRPr="00DE46F3">
        <w:rPr>
          <w:vertAlign w:val="superscript"/>
        </w:rPr>
        <w:footnoteReference w:id="289"/>
      </w:r>
      <w:r w:rsidR="008C5496" w:rsidRPr="00DE46F3">
        <w:t xml:space="preserve"> A training needs analysis was undertaken by RHTO, resulting in capacity building programmes for Organizations of Persons with Disabilities (DPOs) staff.</w:t>
      </w:r>
      <w:r w:rsidR="008C5496" w:rsidRPr="00DE46F3">
        <w:rPr>
          <w:vertAlign w:val="superscript"/>
        </w:rPr>
        <w:footnoteReference w:id="290"/>
      </w:r>
      <w:r w:rsidR="008C5496" w:rsidRPr="00DE46F3">
        <w:t xml:space="preserve"> Finally, collaboration between the PNDS programme</w:t>
      </w:r>
      <w:r w:rsidR="008C5496" w:rsidRPr="00DE46F3">
        <w:rPr>
          <w:vertAlign w:val="superscript"/>
        </w:rPr>
        <w:footnoteReference w:id="291"/>
      </w:r>
      <w:r w:rsidR="008C5496" w:rsidRPr="00DE46F3">
        <w:t xml:space="preserve"> and RHTO led to disability inclusion training for PNDS facilitators to improve disability inclusive development in rural areas.</w:t>
      </w:r>
      <w:r w:rsidR="008C5496" w:rsidRPr="00DE46F3">
        <w:rPr>
          <w:vertAlign w:val="superscript"/>
        </w:rPr>
        <w:footnoteReference w:id="292"/>
      </w:r>
    </w:p>
    <w:p w14:paraId="0BB3F375" w14:textId="118F8AB3" w:rsidR="00C169FA" w:rsidRPr="00DE46F3" w:rsidRDefault="00C169FA" w:rsidP="00C169FA">
      <w:pPr>
        <w:pStyle w:val="SingleTxt"/>
        <w:spacing w:after="0" w:line="120" w:lineRule="exact"/>
        <w:rPr>
          <w:sz w:val="10"/>
        </w:rPr>
      </w:pPr>
    </w:p>
    <w:p w14:paraId="07DF1383" w14:textId="0AAABCB4" w:rsidR="008C5496" w:rsidRPr="00DE46F3" w:rsidRDefault="008C5496" w:rsidP="00C169FA">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en-GB"/>
        </w:rPr>
      </w:pPr>
      <w:r w:rsidRPr="00DE46F3">
        <w:rPr>
          <w:lang w:val="en-GB"/>
        </w:rPr>
        <w:tab/>
      </w:r>
      <w:r w:rsidRPr="00DE46F3">
        <w:rPr>
          <w:lang w:val="en-GB"/>
        </w:rPr>
        <w:tab/>
        <w:t>Access to inclusive education for women and girls with disabilities</w:t>
      </w:r>
    </w:p>
    <w:p w14:paraId="5316054E" w14:textId="4A7E8998" w:rsidR="00C169FA" w:rsidRPr="00DE46F3" w:rsidRDefault="00C169FA" w:rsidP="00C169FA">
      <w:pPr>
        <w:pStyle w:val="SingleTxt"/>
        <w:spacing w:after="0" w:line="120" w:lineRule="exact"/>
        <w:rPr>
          <w:sz w:val="10"/>
        </w:rPr>
      </w:pPr>
    </w:p>
    <w:p w14:paraId="13FC3985" w14:textId="4EFCABA2" w:rsidR="008C5496" w:rsidRPr="00DE46F3" w:rsidRDefault="00C169FA" w:rsidP="00C169FA">
      <w:pPr>
        <w:pStyle w:val="SingleTxt"/>
      </w:pPr>
      <w:r w:rsidRPr="00DE46F3">
        <w:t>186.</w:t>
      </w:r>
      <w:r w:rsidRPr="00DE46F3">
        <w:tab/>
      </w:r>
      <w:r w:rsidR="008C5496" w:rsidRPr="00DE46F3">
        <w:t>Only 33 per cent of disabled young females aged 5</w:t>
      </w:r>
      <w:r w:rsidR="00A2287E" w:rsidRPr="00DE46F3">
        <w:rPr>
          <w:rFonts w:eastAsia="ArialMT"/>
        </w:rPr>
        <w:t>–</w:t>
      </w:r>
      <w:r w:rsidR="008C5496" w:rsidRPr="00DE46F3">
        <w:t>24 years are in school, while 55 per cent never attended school (with similar rates for young men). Among those who attended school, the drop-out rates are also much higher among children with disabilities. As a result, only 15.3 per cent PwD are literate with a significant gap between gender (10.5 per cent for women / 20.5 per cent for men).</w:t>
      </w:r>
      <w:r w:rsidR="008C5496" w:rsidRPr="00DE46F3">
        <w:rPr>
          <w:vertAlign w:val="superscript"/>
        </w:rPr>
        <w:footnoteReference w:id="293"/>
      </w:r>
    </w:p>
    <w:p w14:paraId="4E376E3F" w14:textId="0D9FFA8C" w:rsidR="008C5496" w:rsidRPr="00DE46F3" w:rsidRDefault="00C169FA" w:rsidP="00C169FA">
      <w:pPr>
        <w:pStyle w:val="SingleTxt"/>
      </w:pPr>
      <w:r w:rsidRPr="00DE46F3">
        <w:t>187.</w:t>
      </w:r>
      <w:r w:rsidRPr="00DE46F3">
        <w:tab/>
      </w:r>
      <w:r w:rsidR="008C5496" w:rsidRPr="00DE46F3">
        <w:t>In response, the 2017 Inclusive Education Policy and the 2016 National Youth Policy identify young PwD as a priority target group for educational support.</w:t>
      </w:r>
      <w:r w:rsidR="008C5496" w:rsidRPr="00DE46F3">
        <w:rPr>
          <w:vertAlign w:val="superscript"/>
        </w:rPr>
        <w:footnoteReference w:id="294"/>
      </w:r>
    </w:p>
    <w:p w14:paraId="3F8D32F0" w14:textId="487824D0" w:rsidR="008C5496" w:rsidRPr="00DE46F3" w:rsidRDefault="00C169FA" w:rsidP="00C169FA">
      <w:pPr>
        <w:pStyle w:val="SingleTxt"/>
      </w:pPr>
      <w:r w:rsidRPr="00DE46F3">
        <w:t>188.</w:t>
      </w:r>
      <w:r w:rsidRPr="00DE46F3">
        <w:tab/>
      </w:r>
      <w:r w:rsidR="008C5496" w:rsidRPr="00DE46F3">
        <w:t>Orientation training and mentoring for key education stakeholders was delivered under the PHD program to improve teaching approaches for PwD. A total of 87 education service providers (about 30 per cent female) were trained.</w:t>
      </w:r>
      <w:r w:rsidR="008C5496" w:rsidRPr="00DE46F3">
        <w:rPr>
          <w:vertAlign w:val="superscript"/>
        </w:rPr>
        <w:footnoteReference w:id="295"/>
      </w:r>
      <w:r w:rsidR="008C5496" w:rsidRPr="00DE46F3">
        <w:t xml:space="preserve"> </w:t>
      </w:r>
      <w:bookmarkStart w:id="82" w:name="_Hlk20736328"/>
      <w:r w:rsidR="008C5496" w:rsidRPr="00DE46F3">
        <w:t>Mentoring and capacity building on disability responsive learning methods for school leaders, teachers and mentors were implemented in 228 schools as of June 2017</w:t>
      </w:r>
      <w:bookmarkEnd w:id="82"/>
      <w:r w:rsidR="008C5496" w:rsidRPr="00DE46F3">
        <w:t>, potentially impacting 15,000 students.</w:t>
      </w:r>
      <w:r w:rsidR="008C5496" w:rsidRPr="00DE46F3">
        <w:rPr>
          <w:vertAlign w:val="superscript"/>
        </w:rPr>
        <w:footnoteReference w:id="296"/>
      </w:r>
    </w:p>
    <w:p w14:paraId="26E8090A" w14:textId="2CFD931C" w:rsidR="008C5496" w:rsidRPr="00DE46F3" w:rsidRDefault="00C169FA" w:rsidP="00C169FA">
      <w:pPr>
        <w:pStyle w:val="SingleTxt"/>
      </w:pPr>
      <w:r w:rsidRPr="00DE46F3">
        <w:t>189.</w:t>
      </w:r>
      <w:r w:rsidRPr="00DE46F3">
        <w:tab/>
      </w:r>
      <w:r w:rsidR="008C5496" w:rsidRPr="00DE46F3">
        <w:t>Finally, the Dili CLC</w:t>
      </w:r>
      <w:r w:rsidR="008C5496" w:rsidRPr="00DE46F3">
        <w:rPr>
          <w:vertAlign w:val="superscript"/>
        </w:rPr>
        <w:footnoteReference w:id="297"/>
      </w:r>
      <w:r w:rsidR="008C5496" w:rsidRPr="00DE46F3">
        <w:t xml:space="preserve"> provides tailored education to students with visual and hearing impairments.</w:t>
      </w:r>
      <w:r w:rsidR="008C5496" w:rsidRPr="00DE46F3">
        <w:rPr>
          <w:vertAlign w:val="superscript"/>
        </w:rPr>
        <w:footnoteReference w:id="298"/>
      </w:r>
    </w:p>
    <w:p w14:paraId="17015199" w14:textId="28A40571" w:rsidR="00C169FA" w:rsidRPr="00DE46F3" w:rsidRDefault="00C169FA" w:rsidP="00C169FA">
      <w:pPr>
        <w:pStyle w:val="SingleTxt"/>
        <w:spacing w:after="0" w:line="120" w:lineRule="exact"/>
        <w:rPr>
          <w:sz w:val="10"/>
        </w:rPr>
      </w:pPr>
    </w:p>
    <w:p w14:paraId="2EAF9508" w14:textId="2D4B158B" w:rsidR="008C5496" w:rsidRPr="00DE46F3" w:rsidRDefault="008C5496" w:rsidP="00DF508B">
      <w:pPr>
        <w:pStyle w:val="H23"/>
        <w:keepNext/>
        <w:keepLines/>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en-GB"/>
        </w:rPr>
      </w:pPr>
      <w:bookmarkStart w:id="83" w:name="_Hlk20736641"/>
      <w:r w:rsidRPr="00DE46F3">
        <w:rPr>
          <w:lang w:val="en-GB"/>
        </w:rPr>
        <w:tab/>
      </w:r>
      <w:r w:rsidRPr="00DE46F3">
        <w:rPr>
          <w:lang w:val="en-GB"/>
        </w:rPr>
        <w:tab/>
        <w:t>Access to health for women with disabilities</w:t>
      </w:r>
    </w:p>
    <w:p w14:paraId="34863ACE" w14:textId="64F6F341" w:rsidR="00C169FA" w:rsidRPr="00DE46F3" w:rsidRDefault="00C169FA" w:rsidP="00DF508B">
      <w:pPr>
        <w:pStyle w:val="SingleTxt"/>
        <w:keepNext/>
        <w:keepLines/>
        <w:spacing w:after="0" w:line="120" w:lineRule="exact"/>
        <w:rPr>
          <w:sz w:val="10"/>
        </w:rPr>
      </w:pPr>
    </w:p>
    <w:p w14:paraId="20F529ED" w14:textId="0EE50B0E" w:rsidR="008C5496" w:rsidRPr="00DE46F3" w:rsidRDefault="00C169FA" w:rsidP="00DF508B">
      <w:pPr>
        <w:pStyle w:val="SingleTxt"/>
        <w:keepNext/>
        <w:keepLines/>
      </w:pPr>
      <w:bookmarkStart w:id="84" w:name="_Hlk20736759"/>
      <w:bookmarkEnd w:id="83"/>
      <w:r w:rsidRPr="00DE46F3">
        <w:t>190.</w:t>
      </w:r>
      <w:r w:rsidRPr="00DE46F3">
        <w:tab/>
      </w:r>
      <w:r w:rsidR="008C5496" w:rsidRPr="00DE46F3">
        <w:t>The CNR, established in Dili, is the largest service provider dedicated for PwDs.</w:t>
      </w:r>
      <w:bookmarkEnd w:id="84"/>
      <w:r w:rsidR="008C5496" w:rsidRPr="00DE46F3">
        <w:t xml:space="preserve"> Its SRIKAR outreach programme is doing important work of identification of PwDs in rural areas. By 2017, 30 per cent of the identified PwDs were referred to the CNR when necessary. The programme also includes assistance through the provision of wheelchairs (117 beneficiaries – 43 per cent women), orthopaedic prothesis (168 beneficiaries – 30 per cent women), etc.</w:t>
      </w:r>
      <w:r w:rsidR="008C5496" w:rsidRPr="00DE46F3">
        <w:rPr>
          <w:vertAlign w:val="superscript"/>
        </w:rPr>
        <w:footnoteReference w:id="299"/>
      </w:r>
      <w:r w:rsidR="008C5496" w:rsidRPr="00DE46F3">
        <w:t xml:space="preserve"> </w:t>
      </w:r>
      <w:bookmarkStart w:id="85" w:name="_Hlk20736705"/>
      <w:r w:rsidR="008C5496" w:rsidRPr="00DE46F3">
        <w:t>A mapping of existing services and referral pathways for PwD in all municipalities</w:t>
      </w:r>
      <w:bookmarkEnd w:id="85"/>
      <w:r w:rsidR="008C5496" w:rsidRPr="00DE46F3">
        <w:t xml:space="preserve"> was conducted in 2017.</w:t>
      </w:r>
      <w:r w:rsidR="008C5496" w:rsidRPr="00DE46F3">
        <w:rPr>
          <w:vertAlign w:val="superscript"/>
        </w:rPr>
        <w:footnoteReference w:id="300"/>
      </w:r>
    </w:p>
    <w:p w14:paraId="785630A7" w14:textId="5650571F" w:rsidR="008C5496" w:rsidRPr="00DE46F3" w:rsidRDefault="00C169FA" w:rsidP="00C169FA">
      <w:pPr>
        <w:pStyle w:val="SingleTxt"/>
      </w:pPr>
      <w:r w:rsidRPr="00DE46F3">
        <w:t>191.</w:t>
      </w:r>
      <w:r w:rsidRPr="00DE46F3">
        <w:tab/>
      </w:r>
      <w:r w:rsidR="008C5496" w:rsidRPr="00DE46F3">
        <w:t>The evaluation of PNDS infrastructure projects,</w:t>
      </w:r>
      <w:r w:rsidR="008C5496" w:rsidRPr="00DE46F3">
        <w:rPr>
          <w:vertAlign w:val="superscript"/>
        </w:rPr>
        <w:footnoteReference w:id="301"/>
      </w:r>
      <w:r w:rsidR="008C5496" w:rsidRPr="00DE46F3">
        <w:t>, especially roads and bridges projects, revealed an improved access to health services for 41 per cent of the PwD beneficiaries interviewed. Furthermore, water supply related projects also revealed encouraging results in terms of improved health for PwD.</w:t>
      </w:r>
      <w:r w:rsidR="008C5496" w:rsidRPr="00DE46F3">
        <w:rPr>
          <w:vertAlign w:val="superscript"/>
        </w:rPr>
        <w:footnoteReference w:id="302"/>
      </w:r>
      <w:r w:rsidR="008C5496" w:rsidRPr="00DE46F3">
        <w:t xml:space="preserve"> </w:t>
      </w:r>
      <w:r w:rsidR="008C5496" w:rsidRPr="00DE46F3">
        <w:rPr>
          <w:vertAlign w:val="superscript"/>
        </w:rPr>
        <w:footnoteReference w:id="303"/>
      </w:r>
      <w:r w:rsidR="008C5496" w:rsidRPr="00DE46F3">
        <w:t xml:space="preserve"> Nonetheless, general access for PwD to most infrastructures and transport, especially in rural areas remains a challenge.</w:t>
      </w:r>
      <w:r w:rsidR="008C5496" w:rsidRPr="00DE46F3">
        <w:rPr>
          <w:vertAlign w:val="superscript"/>
        </w:rPr>
        <w:footnoteReference w:id="304"/>
      </w:r>
    </w:p>
    <w:p w14:paraId="632B148E" w14:textId="39C7DF1B" w:rsidR="00C169FA" w:rsidRPr="00DE46F3" w:rsidRDefault="00C169FA" w:rsidP="00C169FA">
      <w:pPr>
        <w:pStyle w:val="SingleTxt"/>
        <w:spacing w:after="0" w:line="120" w:lineRule="exact"/>
        <w:rPr>
          <w:sz w:val="10"/>
        </w:rPr>
      </w:pPr>
    </w:p>
    <w:p w14:paraId="1D95626B" w14:textId="0575E0E5" w:rsidR="008C5496" w:rsidRPr="00DE46F3" w:rsidRDefault="008C5496" w:rsidP="00C169FA">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en-GB"/>
        </w:rPr>
      </w:pPr>
      <w:bookmarkStart w:id="86" w:name="_Hlk20736879"/>
      <w:r w:rsidRPr="00DE46F3">
        <w:rPr>
          <w:lang w:val="en-GB"/>
        </w:rPr>
        <w:tab/>
      </w:r>
      <w:r w:rsidRPr="00DE46F3">
        <w:rPr>
          <w:lang w:val="en-GB"/>
        </w:rPr>
        <w:tab/>
        <w:t>Measures to address violence against women with disabilities</w:t>
      </w:r>
      <w:bookmarkEnd w:id="86"/>
    </w:p>
    <w:p w14:paraId="16415EAD" w14:textId="64D9D023" w:rsidR="00C169FA" w:rsidRPr="00DE46F3" w:rsidRDefault="00C169FA" w:rsidP="00C169FA">
      <w:pPr>
        <w:pStyle w:val="SingleTxt"/>
        <w:spacing w:after="0" w:line="120" w:lineRule="exact"/>
        <w:rPr>
          <w:sz w:val="10"/>
        </w:rPr>
      </w:pPr>
    </w:p>
    <w:p w14:paraId="06ED5E25" w14:textId="1EFDEA54" w:rsidR="008C5496" w:rsidRPr="00DE46F3" w:rsidRDefault="00C169FA" w:rsidP="00C169FA">
      <w:pPr>
        <w:pStyle w:val="SingleTxt"/>
      </w:pPr>
      <w:r w:rsidRPr="00DE46F3">
        <w:t>192.</w:t>
      </w:r>
      <w:r w:rsidRPr="00DE46F3">
        <w:tab/>
      </w:r>
      <w:r w:rsidR="008C5496" w:rsidRPr="00DE46F3">
        <w:t>No specific data on violence against women with disabilities is available. However, the new NAP GBV (2017-2021) recognizes the vulnerability of women with disabilities toward violence. While the capacity to respond to their specific needs is limited, the CNR has recently been included in the GBV referral network to improve referral of women with disabilities victims of violence.</w:t>
      </w:r>
    </w:p>
    <w:p w14:paraId="5B41588D" w14:textId="5BC89A7D" w:rsidR="008C5496" w:rsidRPr="00DE46F3" w:rsidRDefault="00C169FA" w:rsidP="00C169FA">
      <w:pPr>
        <w:pStyle w:val="SingleTxt"/>
      </w:pPr>
      <w:r w:rsidRPr="00DE46F3">
        <w:t>193.</w:t>
      </w:r>
      <w:r w:rsidRPr="00DE46F3">
        <w:tab/>
      </w:r>
      <w:r w:rsidR="008C5496" w:rsidRPr="00DE46F3">
        <w:t>The 2018</w:t>
      </w:r>
      <w:r w:rsidRPr="00DE46F3">
        <w:t>–</w:t>
      </w:r>
      <w:r w:rsidR="008C5496" w:rsidRPr="00DE46F3">
        <w:t xml:space="preserve">2020 UN joint project </w:t>
      </w:r>
      <w:bookmarkStart w:id="87" w:name="_Hlk20736934"/>
      <w:r w:rsidR="008C5496" w:rsidRPr="00DE46F3">
        <w:t xml:space="preserve">‘Empower for Change’ programme </w:t>
      </w:r>
      <w:bookmarkEnd w:id="87"/>
      <w:r w:rsidR="008C5496" w:rsidRPr="00DE46F3">
        <w:t>was developed to support the Government and key national institutions such as the CNR or the judiciary, CSOs and DPOs towards reducing harmful attitudes that perpetuate tolerance of discrimination against PwD, especially women and girls, and strengthening capacities of service providers. In this framework, 2 DPOs are developing a toolkit on GBV against PwD, supported by a technical committee including representatives from Government, the GBV Referral network members and DPOs.</w:t>
      </w:r>
      <w:r w:rsidR="008C5496" w:rsidRPr="00DE46F3">
        <w:rPr>
          <w:vertAlign w:val="superscript"/>
        </w:rPr>
        <w:footnoteReference w:id="305"/>
      </w:r>
    </w:p>
    <w:p w14:paraId="74EF1261" w14:textId="5CD9424E" w:rsidR="008C5496" w:rsidRPr="00DE46F3" w:rsidRDefault="00C169FA" w:rsidP="00C169FA">
      <w:pPr>
        <w:pStyle w:val="SingleTxt"/>
      </w:pPr>
      <w:r w:rsidRPr="00DE46F3">
        <w:t>194.</w:t>
      </w:r>
      <w:r w:rsidRPr="00DE46F3">
        <w:tab/>
      </w:r>
      <w:r w:rsidR="008C5496" w:rsidRPr="00DE46F3">
        <w:t>Despite positive steps at policy level, effective implementation remains a challenge with strong barriers for PwDs, especially women, and a lack of funding and understanding of disability issues limiting the reach of support services, especially in rural areas. As such, the participation in all areas of life for PwDs is still significantly limited.</w:t>
      </w:r>
    </w:p>
    <w:p w14:paraId="15D18F1E" w14:textId="6124B615" w:rsidR="00C169FA" w:rsidRPr="00DE46F3" w:rsidRDefault="00C169FA" w:rsidP="00C169FA">
      <w:pPr>
        <w:pStyle w:val="SingleTxt"/>
        <w:spacing w:after="0" w:line="120" w:lineRule="exact"/>
        <w:rPr>
          <w:sz w:val="10"/>
        </w:rPr>
      </w:pPr>
    </w:p>
    <w:p w14:paraId="586A264F" w14:textId="665A86F1" w:rsidR="00C169FA" w:rsidRPr="00DE46F3" w:rsidRDefault="00C169FA" w:rsidP="00C169FA">
      <w:pPr>
        <w:pStyle w:val="SingleTxt"/>
        <w:spacing w:after="0" w:line="120" w:lineRule="exact"/>
        <w:rPr>
          <w:sz w:val="10"/>
        </w:rPr>
      </w:pPr>
    </w:p>
    <w:p w14:paraId="12A1086E" w14:textId="3D18D333" w:rsidR="008C5496" w:rsidRPr="00DE46F3" w:rsidRDefault="008C5496" w:rsidP="00C169FA">
      <w:pPr>
        <w:pStyle w:val="HCh"/>
        <w:tabs>
          <w:tab w:val="clear" w:pos="1742"/>
        </w:tabs>
        <w:ind w:left="1267" w:hanging="1267"/>
      </w:pPr>
      <w:bookmarkStart w:id="88" w:name="_Toc10641670"/>
      <w:bookmarkStart w:id="89" w:name="_Toc25630044"/>
      <w:r w:rsidRPr="00DE46F3">
        <w:tab/>
      </w:r>
      <w:r w:rsidRPr="00DE46F3">
        <w:tab/>
        <w:t>Article 14: Rural Women</w:t>
      </w:r>
      <w:bookmarkEnd w:id="88"/>
      <w:bookmarkEnd w:id="89"/>
    </w:p>
    <w:p w14:paraId="7C6B3180" w14:textId="375703DF" w:rsidR="00C169FA" w:rsidRPr="00DE46F3" w:rsidRDefault="00C169FA" w:rsidP="00C169FA">
      <w:pPr>
        <w:pStyle w:val="SingleTxt"/>
        <w:spacing w:after="0" w:line="120" w:lineRule="exact"/>
        <w:rPr>
          <w:sz w:val="10"/>
        </w:rPr>
      </w:pPr>
    </w:p>
    <w:p w14:paraId="203C4BF8" w14:textId="443B2749" w:rsidR="00C169FA" w:rsidRPr="00DE46F3" w:rsidRDefault="00C169FA" w:rsidP="00C169FA">
      <w:pPr>
        <w:pStyle w:val="SingleTxt"/>
        <w:spacing w:after="0" w:line="120" w:lineRule="exact"/>
        <w:rPr>
          <w:sz w:val="10"/>
        </w:rPr>
      </w:pPr>
    </w:p>
    <w:p w14:paraId="46CD1ABC" w14:textId="4D40C897" w:rsidR="008C5496" w:rsidRPr="00DE46F3" w:rsidRDefault="00C169FA" w:rsidP="00C169FA">
      <w:pPr>
        <w:pStyle w:val="SingleTxt"/>
      </w:pPr>
      <w:r w:rsidRPr="00DE46F3">
        <w:t>195.</w:t>
      </w:r>
      <w:r w:rsidRPr="00DE46F3">
        <w:tab/>
      </w:r>
      <w:r w:rsidR="008C5496" w:rsidRPr="00DE46F3">
        <w:t>As the official national registration process (SNC) is ongoing at the time of writing, precise data relating to land ownership for women is not yet available. Nonetheless, estimations generally report that men individually own more land than women.</w:t>
      </w:r>
      <w:r w:rsidR="008C5496" w:rsidRPr="00DE46F3">
        <w:rPr>
          <w:vertAlign w:val="superscript"/>
        </w:rPr>
        <w:footnoteReference w:id="306"/>
      </w:r>
    </w:p>
    <w:p w14:paraId="45876FAB" w14:textId="31F20667" w:rsidR="008C5496" w:rsidRPr="00DE46F3" w:rsidRDefault="00C169FA" w:rsidP="00C169FA">
      <w:pPr>
        <w:pStyle w:val="SingleTxt"/>
      </w:pPr>
      <w:r w:rsidRPr="00DE46F3">
        <w:t>196.</w:t>
      </w:r>
      <w:r w:rsidRPr="00DE46F3">
        <w:tab/>
      </w:r>
      <w:r w:rsidR="008C5496" w:rsidRPr="00DE46F3">
        <w:t>The recently passed Land Law determines that land ownership should guarantee equal land rights between men and women and forbid any form of discrimination in land ownership, access, management, administration, enjoyment, transfer or disposition of land ownership (Law N° 13/2017 – Art. 4). Nonetheless, gender disparities in land access are still prevalent and reflect sociocultural norms and practices.</w:t>
      </w:r>
    </w:p>
    <w:p w14:paraId="2CEC7396" w14:textId="061B16FD" w:rsidR="00C169FA" w:rsidRPr="00DE46F3" w:rsidRDefault="00C169FA" w:rsidP="00C169FA">
      <w:pPr>
        <w:pStyle w:val="SingleTxt"/>
        <w:spacing w:after="0" w:line="120" w:lineRule="exact"/>
        <w:rPr>
          <w:sz w:val="10"/>
        </w:rPr>
      </w:pPr>
    </w:p>
    <w:p w14:paraId="584DA50D" w14:textId="35C1C5F4" w:rsidR="00C169FA" w:rsidRPr="00DE46F3" w:rsidRDefault="00C169FA" w:rsidP="00C169FA">
      <w:pPr>
        <w:pStyle w:val="SingleTxt"/>
        <w:spacing w:after="0" w:line="120" w:lineRule="exact"/>
        <w:rPr>
          <w:sz w:val="10"/>
        </w:rPr>
      </w:pPr>
    </w:p>
    <w:p w14:paraId="77D3D6FF" w14:textId="6701151A" w:rsidR="008C5496" w:rsidRPr="00DE46F3" w:rsidRDefault="008C5496" w:rsidP="00C169FA">
      <w:pPr>
        <w:pStyle w:val="H1"/>
        <w:ind w:right="1260"/>
      </w:pPr>
      <w:r w:rsidRPr="00DE46F3">
        <w:tab/>
      </w:r>
      <w:r w:rsidRPr="00DE46F3">
        <w:tab/>
        <w:t>Adoption of the land laws and formal equality in access to land between women and men</w:t>
      </w:r>
    </w:p>
    <w:p w14:paraId="2F93750A" w14:textId="46FDDE5E" w:rsidR="00C169FA" w:rsidRPr="00DE46F3" w:rsidRDefault="00C169FA" w:rsidP="00C169FA">
      <w:pPr>
        <w:pStyle w:val="SingleTxt"/>
        <w:spacing w:after="0" w:line="120" w:lineRule="exact"/>
        <w:rPr>
          <w:sz w:val="10"/>
        </w:rPr>
      </w:pPr>
    </w:p>
    <w:p w14:paraId="14489EE8" w14:textId="4104ED31" w:rsidR="00C169FA" w:rsidRPr="00DE46F3" w:rsidRDefault="00C169FA" w:rsidP="00C169FA">
      <w:pPr>
        <w:pStyle w:val="SingleTxt"/>
        <w:spacing w:after="0" w:line="120" w:lineRule="exact"/>
        <w:rPr>
          <w:sz w:val="10"/>
        </w:rPr>
      </w:pPr>
    </w:p>
    <w:p w14:paraId="14EBF9B6" w14:textId="192DC046" w:rsidR="008C5496" w:rsidRPr="00DE46F3" w:rsidRDefault="00C169FA" w:rsidP="00C169FA">
      <w:pPr>
        <w:pStyle w:val="SingleTxt"/>
      </w:pPr>
      <w:r w:rsidRPr="00DE46F3">
        <w:t>197.</w:t>
      </w:r>
      <w:r w:rsidRPr="00DE46F3">
        <w:tab/>
      </w:r>
      <w:r w:rsidR="008C5496" w:rsidRPr="00DE46F3">
        <w:t>The Special Regime for the Definition of Ownership of Immovable Property (or ‘land and property law’) and the law on Expropriation for Public Utility (or ‘Expropriation Law’) were passed in 2017 respectively as the Laws N°13/2017 and N° 8/2017. The Real Estate Financial Fund</w:t>
      </w:r>
      <w:r w:rsidR="008C5496" w:rsidRPr="00DE46F3">
        <w:rPr>
          <w:vertAlign w:val="superscript"/>
        </w:rPr>
        <w:footnoteReference w:id="307"/>
      </w:r>
      <w:r w:rsidR="008C5496" w:rsidRPr="00DE46F3">
        <w:t xml:space="preserve"> has been included under the Expropriation Law (art. 66). A Decree-Law is further expected for its regulation.</w:t>
      </w:r>
    </w:p>
    <w:p w14:paraId="3BD7855F" w14:textId="4B56A459" w:rsidR="008C5496" w:rsidRPr="00DE46F3" w:rsidRDefault="00C169FA" w:rsidP="00C169FA">
      <w:pPr>
        <w:pStyle w:val="SingleTxt"/>
      </w:pPr>
      <w:r w:rsidRPr="00DE46F3">
        <w:t>198.</w:t>
      </w:r>
      <w:r w:rsidRPr="00DE46F3">
        <w:tab/>
      </w:r>
      <w:r w:rsidR="008C5496" w:rsidRPr="00DE46F3">
        <w:t>The land law also provides for the protection of vulnerable groups (Art.5). Attention has been taken to align these laws with the international Human Rights standards. As such, both laws, directly refer to the Universal Declaration of Human Rights, the International Covenant on Economic, Social and Cultural Rights and the CEDAW Convention.</w:t>
      </w:r>
    </w:p>
    <w:p w14:paraId="56246793" w14:textId="1D3662D5" w:rsidR="008C5496" w:rsidRPr="00DE46F3" w:rsidRDefault="00C169FA" w:rsidP="00C169FA">
      <w:pPr>
        <w:pStyle w:val="SingleTxt"/>
      </w:pPr>
      <w:r w:rsidRPr="00DE46F3">
        <w:t>199.</w:t>
      </w:r>
      <w:r w:rsidRPr="00DE46F3">
        <w:tab/>
      </w:r>
      <w:r w:rsidR="008C5496" w:rsidRPr="00DE46F3">
        <w:t xml:space="preserve">While the land law encourages for declaration of joint ownership for couples (art. 32.7), women face various barriers in the registration process due, </w:t>
      </w:r>
      <w:r w:rsidR="008C5496" w:rsidRPr="00DE46F3">
        <w:rPr>
          <w:i/>
          <w:iCs/>
        </w:rPr>
        <w:t>inter alia</w:t>
      </w:r>
      <w:r w:rsidR="008C5496" w:rsidRPr="00DE46F3">
        <w:t>, to their literacy level (generally lower than men) and a lack of information on the process, challenging their formal rights to land ownership. The issue is exacerbated for vulnerable women such as young mothers, especially those who have been abandoned or have left their partner, and elderly widows.</w:t>
      </w:r>
      <w:r w:rsidR="008C5496" w:rsidRPr="00DE46F3">
        <w:rPr>
          <w:vertAlign w:val="superscript"/>
        </w:rPr>
        <w:footnoteReference w:id="308"/>
      </w:r>
    </w:p>
    <w:p w14:paraId="4A7A370E" w14:textId="4D9EFE55" w:rsidR="00C169FA" w:rsidRPr="00DE46F3" w:rsidRDefault="00C169FA" w:rsidP="00C169FA">
      <w:pPr>
        <w:pStyle w:val="SingleTxt"/>
        <w:spacing w:after="0" w:line="120" w:lineRule="exact"/>
        <w:rPr>
          <w:sz w:val="10"/>
        </w:rPr>
      </w:pPr>
    </w:p>
    <w:p w14:paraId="678FF272" w14:textId="1854EB04" w:rsidR="00C169FA" w:rsidRPr="00DE46F3" w:rsidRDefault="00C169FA" w:rsidP="00C169FA">
      <w:pPr>
        <w:pStyle w:val="SingleTxt"/>
        <w:spacing w:after="0" w:line="120" w:lineRule="exact"/>
        <w:rPr>
          <w:sz w:val="10"/>
        </w:rPr>
      </w:pPr>
    </w:p>
    <w:p w14:paraId="4DA658FB" w14:textId="78245FE2" w:rsidR="008C5496" w:rsidRPr="00DE46F3" w:rsidRDefault="008C5496" w:rsidP="00C169FA">
      <w:pPr>
        <w:pStyle w:val="H1"/>
        <w:tabs>
          <w:tab w:val="clear" w:pos="1742"/>
        </w:tabs>
        <w:ind w:right="0"/>
      </w:pPr>
      <w:r w:rsidRPr="00DE46F3">
        <w:tab/>
      </w:r>
      <w:r w:rsidRPr="00DE46F3">
        <w:tab/>
        <w:t>Legal framework on eviction and compensations</w:t>
      </w:r>
    </w:p>
    <w:p w14:paraId="267F6534" w14:textId="005A385D" w:rsidR="00C169FA" w:rsidRPr="00DE46F3" w:rsidRDefault="00C169FA" w:rsidP="00C169FA">
      <w:pPr>
        <w:pStyle w:val="SingleTxt"/>
        <w:spacing w:after="0" w:line="120" w:lineRule="exact"/>
        <w:rPr>
          <w:sz w:val="10"/>
        </w:rPr>
      </w:pPr>
    </w:p>
    <w:p w14:paraId="2030EB4E" w14:textId="0FBFC690" w:rsidR="00C169FA" w:rsidRPr="00DE46F3" w:rsidRDefault="00C169FA" w:rsidP="00C169FA">
      <w:pPr>
        <w:pStyle w:val="SingleTxt"/>
        <w:spacing w:after="0" w:line="120" w:lineRule="exact"/>
        <w:rPr>
          <w:sz w:val="10"/>
        </w:rPr>
      </w:pPr>
    </w:p>
    <w:p w14:paraId="01B06237" w14:textId="50A5C451" w:rsidR="008C5496" w:rsidRPr="00DE46F3" w:rsidRDefault="00C169FA" w:rsidP="00C169FA">
      <w:pPr>
        <w:pStyle w:val="SingleTxt"/>
      </w:pPr>
      <w:r w:rsidRPr="00DE46F3">
        <w:t>200.</w:t>
      </w:r>
      <w:r w:rsidRPr="00DE46F3">
        <w:tab/>
      </w:r>
      <w:r w:rsidR="008C5496" w:rsidRPr="00DE46F3">
        <w:t>Besides promoting the principles of legality, justice, equality, proportionality, impartiality and good faith in the procedure of expropriation (art. 8), the Expropriation Law also provides that any expropriation procedure must consider the special needs of vulnerable groups. This includes taking reasonable steps to ensure that information, consultation and participation by such groups is abided by to promote the right to equality and non-discrimination (art. 10).</w:t>
      </w:r>
    </w:p>
    <w:p w14:paraId="66B480F7" w14:textId="606250BF" w:rsidR="008C5496" w:rsidRPr="00DE46F3" w:rsidRDefault="00C169FA" w:rsidP="00C169FA">
      <w:pPr>
        <w:pStyle w:val="SingleTxt"/>
      </w:pPr>
      <w:r w:rsidRPr="00DE46F3">
        <w:t>201.</w:t>
      </w:r>
      <w:r w:rsidRPr="00DE46F3">
        <w:tab/>
      </w:r>
      <w:r w:rsidR="008C5496" w:rsidRPr="00DE46F3">
        <w:t>The law requires that the standard of living of parties affected by the expropriation should be at least equal to their previous standard of living (art.8.4) and expropriation must follow the principle of fair compensation on financial costs resulting from the expropriation as well as the principle of compensation for other non-equity values (art.57). Priority is given to compensation through the delivery of alternative real estate (or land reallocation) to prevent the loss of livelihoods.</w:t>
      </w:r>
    </w:p>
    <w:p w14:paraId="238AA074" w14:textId="160BF256" w:rsidR="00D47751" w:rsidRPr="00DE46F3" w:rsidRDefault="00D47751" w:rsidP="00D47751">
      <w:pPr>
        <w:pStyle w:val="SingleTxt"/>
      </w:pPr>
      <w:r w:rsidRPr="00DE46F3">
        <w:t>202.</w:t>
      </w:r>
      <w:r w:rsidRPr="00DE46F3">
        <w:tab/>
        <w:t>Finally, individuals are given the possibility of resorting to arbitration (art. 43) when there is disagreement regarding the amount of compensation, and direct appeal to the court when they consider that the concept of public utility is not fulfilled (art.54/55).</w:t>
      </w:r>
    </w:p>
    <w:p w14:paraId="635C9B2A" w14:textId="72B996DC" w:rsidR="00D47751" w:rsidRPr="00DE46F3" w:rsidRDefault="00D47751" w:rsidP="00D47751">
      <w:pPr>
        <w:pStyle w:val="SingleTxt"/>
        <w:spacing w:after="0" w:line="120" w:lineRule="exact"/>
        <w:rPr>
          <w:sz w:val="10"/>
        </w:rPr>
      </w:pPr>
    </w:p>
    <w:p w14:paraId="54DD78BF" w14:textId="4F6E16EB" w:rsidR="00D47751" w:rsidRPr="00DE46F3" w:rsidRDefault="00D47751" w:rsidP="00D47751">
      <w:pPr>
        <w:pStyle w:val="SingleTxt"/>
        <w:spacing w:after="0" w:line="120" w:lineRule="exact"/>
        <w:rPr>
          <w:sz w:val="10"/>
        </w:rPr>
      </w:pPr>
    </w:p>
    <w:p w14:paraId="183A3505" w14:textId="6E1EA517" w:rsidR="00D47751" w:rsidRPr="00DE46F3" w:rsidRDefault="00D47751" w:rsidP="00D47751">
      <w:pPr>
        <w:pStyle w:val="H1"/>
        <w:ind w:right="1260"/>
      </w:pPr>
      <w:r w:rsidRPr="00DE46F3">
        <w:tab/>
      </w:r>
      <w:r w:rsidRPr="00DE46F3">
        <w:tab/>
        <w:t xml:space="preserve">Protection of the interests, consultation and compensation of local communities and rural </w:t>
      </w:r>
    </w:p>
    <w:p w14:paraId="28B05C97" w14:textId="10DCE2CD" w:rsidR="00D47751" w:rsidRPr="00DE46F3" w:rsidRDefault="00D47751" w:rsidP="00D47751">
      <w:pPr>
        <w:pStyle w:val="SingleTxt"/>
        <w:spacing w:after="0" w:line="120" w:lineRule="exact"/>
        <w:rPr>
          <w:sz w:val="10"/>
        </w:rPr>
      </w:pPr>
    </w:p>
    <w:p w14:paraId="04F59311" w14:textId="5C179651" w:rsidR="00D47751" w:rsidRPr="00DE46F3" w:rsidRDefault="00D47751" w:rsidP="00D47751">
      <w:pPr>
        <w:pStyle w:val="SingleTxt"/>
        <w:spacing w:after="0" w:line="120" w:lineRule="exact"/>
        <w:rPr>
          <w:sz w:val="10"/>
        </w:rPr>
      </w:pPr>
    </w:p>
    <w:p w14:paraId="0C10C11C" w14:textId="3AA43CD4" w:rsidR="00D47751" w:rsidRPr="00DE46F3" w:rsidRDefault="00D47751" w:rsidP="00D47751">
      <w:pPr>
        <w:pStyle w:val="SingleTxt"/>
      </w:pPr>
      <w:r w:rsidRPr="00DE46F3">
        <w:t>203.</w:t>
      </w:r>
      <w:r w:rsidRPr="00DE46F3">
        <w:tab/>
        <w:t>The Decree-Law N° 5/2011</w:t>
      </w:r>
      <w:r w:rsidRPr="00DE46F3">
        <w:rPr>
          <w:vertAlign w:val="superscript"/>
        </w:rPr>
        <w:footnoteReference w:id="309"/>
      </w:r>
      <w:r w:rsidRPr="00DE46F3">
        <w:t xml:space="preserve"> recognizes the specific relation between the environment and the Timorese people requiring an Environmental Impact Assessments (EIA) and an Environmental Management Plans (EMP) for all infrastructure projects. These initiatives must consider and address the social and economic impacts on affected communities, which includes undertaking a consultation process.</w:t>
      </w:r>
    </w:p>
    <w:p w14:paraId="79CCFCCD" w14:textId="0FA36FBF" w:rsidR="00D47751" w:rsidRPr="00DE46F3" w:rsidRDefault="00D47751" w:rsidP="00D47751">
      <w:pPr>
        <w:pStyle w:val="SingleTxt"/>
      </w:pPr>
      <w:r w:rsidRPr="00DE46F3">
        <w:t>204.</w:t>
      </w:r>
      <w:r w:rsidRPr="00DE46F3">
        <w:tab/>
        <w:t>In the case of the Tasi Mane Project,</w:t>
      </w:r>
      <w:r w:rsidRPr="00DE46F3">
        <w:rPr>
          <w:vertAlign w:val="superscript"/>
        </w:rPr>
        <w:footnoteReference w:id="310"/>
      </w:r>
      <w:r w:rsidRPr="00DE46F3">
        <w:t xml:space="preserve"> EIAs and EMPs were conducted and developed in 2012 involving consultations which largely aimed at informing the community about the plan.</w:t>
      </w:r>
      <w:r w:rsidRPr="00DE46F3">
        <w:rPr>
          <w:vertAlign w:val="superscript"/>
        </w:rPr>
        <w:footnoteReference w:id="311"/>
      </w:r>
      <w:r w:rsidRPr="00DE46F3">
        <w:t xml:space="preserve"> An extended land title registration and clearance was conducted in close coordination with the National Directorate of Land &amp; Properties and Cadastral Services. Communities were offered two options for financial compensation</w:t>
      </w:r>
      <w:r w:rsidRPr="00DE46F3">
        <w:rPr>
          <w:vertAlign w:val="superscript"/>
        </w:rPr>
        <w:footnoteReference w:id="312"/>
      </w:r>
      <w:r w:rsidRPr="00DE46F3">
        <w:t xml:space="preserve"> in addition to resettlement. As of 31st December 2018, a total of 342 hectares of land were already compensated out of the 1,113 hectares required for the construction of the Suai Supply base project. Training and skills development programmes were also planned for local communities to maximize participation of local labour.</w:t>
      </w:r>
      <w:r w:rsidRPr="00DE46F3">
        <w:rPr>
          <w:vertAlign w:val="superscript"/>
        </w:rPr>
        <w:footnoteReference w:id="313"/>
      </w:r>
    </w:p>
    <w:p w14:paraId="480B3610" w14:textId="06A8F4CF" w:rsidR="00D47751" w:rsidRPr="00DE46F3" w:rsidRDefault="00D47751" w:rsidP="00D47751">
      <w:pPr>
        <w:pStyle w:val="SingleTxt"/>
      </w:pPr>
      <w:r w:rsidRPr="00DE46F3">
        <w:t>205.</w:t>
      </w:r>
      <w:r w:rsidRPr="00DE46F3">
        <w:tab/>
        <w:t>However, no specific incentive nor socio-economic impact study of the overall project or on the compensation process for women has been undertaken to date. As such, it is unclear whether this community consultation process has benefited rural women.</w:t>
      </w:r>
    </w:p>
    <w:p w14:paraId="1AC45569" w14:textId="790D5710" w:rsidR="00D47751" w:rsidRPr="00DE46F3" w:rsidRDefault="00D47751" w:rsidP="00D47751">
      <w:pPr>
        <w:pStyle w:val="SingleTxt"/>
        <w:spacing w:after="0" w:line="120" w:lineRule="exact"/>
        <w:rPr>
          <w:sz w:val="10"/>
        </w:rPr>
      </w:pPr>
    </w:p>
    <w:p w14:paraId="0FD1EA51" w14:textId="550B733E" w:rsidR="00D47751" w:rsidRPr="00DE46F3" w:rsidRDefault="00D47751" w:rsidP="00D47751">
      <w:pPr>
        <w:pStyle w:val="SingleTxt"/>
        <w:spacing w:after="0" w:line="120" w:lineRule="exact"/>
        <w:rPr>
          <w:sz w:val="10"/>
        </w:rPr>
      </w:pPr>
    </w:p>
    <w:p w14:paraId="7125EBBC" w14:textId="37710149" w:rsidR="00D47751" w:rsidRPr="00DE46F3" w:rsidRDefault="00D47751" w:rsidP="00D47751">
      <w:pPr>
        <w:pStyle w:val="H1"/>
        <w:ind w:right="1260"/>
      </w:pPr>
      <w:bookmarkStart w:id="90" w:name="_Hlk20737918"/>
      <w:r w:rsidRPr="00DE46F3">
        <w:tab/>
      </w:r>
      <w:r w:rsidRPr="00DE46F3">
        <w:tab/>
        <w:t>Rural women access to opportunities, basic services and infrastructure</w:t>
      </w:r>
      <w:bookmarkEnd w:id="90"/>
    </w:p>
    <w:p w14:paraId="054B117C" w14:textId="2BEA6BDC" w:rsidR="00D47751" w:rsidRPr="00DE46F3" w:rsidRDefault="00D47751" w:rsidP="00D47751">
      <w:pPr>
        <w:pStyle w:val="SingleTxt"/>
        <w:spacing w:after="0" w:line="120" w:lineRule="exact"/>
        <w:rPr>
          <w:sz w:val="10"/>
        </w:rPr>
      </w:pPr>
    </w:p>
    <w:p w14:paraId="5B389809" w14:textId="252D6531" w:rsidR="00D47751" w:rsidRPr="00DE46F3" w:rsidRDefault="00D47751" w:rsidP="00D47751">
      <w:pPr>
        <w:pStyle w:val="SingleTxt"/>
        <w:spacing w:after="0" w:line="120" w:lineRule="exact"/>
        <w:rPr>
          <w:sz w:val="10"/>
        </w:rPr>
      </w:pPr>
    </w:p>
    <w:p w14:paraId="56D18907" w14:textId="1CB45BAC" w:rsidR="00D47751" w:rsidRPr="00DE46F3" w:rsidRDefault="00D47751" w:rsidP="00D47751">
      <w:pPr>
        <w:pStyle w:val="SingleTxt"/>
      </w:pPr>
      <w:r w:rsidRPr="00DE46F3">
        <w:t>206.</w:t>
      </w:r>
      <w:r w:rsidRPr="00DE46F3">
        <w:tab/>
        <w:t>At political level, the Government made an important commitment in favour of rural women through the 2015 Maubisse Declaration. This Declaration was approved by the former Prime Minister alongside nine State institutions, who agreed to take action toward improving rural women’s lives.</w:t>
      </w:r>
      <w:r w:rsidRPr="00DE46F3">
        <w:rPr>
          <w:vertAlign w:val="superscript"/>
        </w:rPr>
        <w:footnoteReference w:id="314"/>
      </w:r>
      <w:r w:rsidRPr="00DE46F3">
        <w:t xml:space="preserve"> It comprises a set of measures to guide Government’s action to ensure that the principles of inclusion, tolerance and gender equality are adhered to and to strengthen the capacity and socio-economic power of rural women and PwDs in rural areas.</w:t>
      </w:r>
    </w:p>
    <w:p w14:paraId="3F82A397" w14:textId="14D24526" w:rsidR="00D47751" w:rsidRPr="00DE46F3" w:rsidRDefault="00D47751" w:rsidP="00D47751">
      <w:pPr>
        <w:pStyle w:val="SingleTxt"/>
      </w:pPr>
      <w:r w:rsidRPr="00DE46F3">
        <w:t>207.</w:t>
      </w:r>
      <w:r w:rsidRPr="00DE46F3">
        <w:tab/>
        <w:t>The commitment was renewed in October 2018 for a 5 years’ timeframe (2018–2023), now involving 16 institutions, including the BNCTL. The monitoring process was strengthened through its inclusion in the GRB mechanism.</w:t>
      </w:r>
      <w:r w:rsidRPr="00DE46F3">
        <w:rPr>
          <w:vertAlign w:val="superscript"/>
        </w:rPr>
        <w:footnoteReference w:id="315"/>
      </w:r>
    </w:p>
    <w:p w14:paraId="11CAADBA" w14:textId="2E4762C1" w:rsidR="00D47751" w:rsidRPr="00DE46F3" w:rsidRDefault="00D47751" w:rsidP="00D47751">
      <w:pPr>
        <w:pStyle w:val="SingleTxt"/>
      </w:pPr>
      <w:r w:rsidRPr="00DE46F3">
        <w:t>208.</w:t>
      </w:r>
      <w:r w:rsidRPr="00DE46F3">
        <w:tab/>
        <w:t>At the operational level, the PNDS programme</w:t>
      </w:r>
      <w:r w:rsidRPr="00DE46F3">
        <w:rPr>
          <w:vertAlign w:val="superscript"/>
        </w:rPr>
        <w:footnoteReference w:id="316"/>
      </w:r>
      <w:r w:rsidRPr="00DE46F3">
        <w:t xml:space="preserve"> is contributing to facilitate women’s access to services, infrastructure and opportunities. The PNDS process seeks to involve the whole community in the planning, decision-making, implementation, operations and maintenance of local infrastructure.</w:t>
      </w:r>
      <w:r w:rsidR="004355E5">
        <w:t xml:space="preserve"> </w:t>
      </w:r>
      <w:r w:rsidRPr="00DE46F3">
        <w:t>A priority of the project is to build infrastructure needed by the whole community (including women, the elderly and PwDs). By 2018, women represented 40 per cent of the participants in the PNDS socialization processes, up to 45.5 per cent of Community Management Teams selecting the priority projects; 33.5 per cent of PNDS staff at sub-national level after receiving training; and 29 per cent of workers on construction projects.</w:t>
      </w:r>
      <w:r w:rsidRPr="00DE46F3">
        <w:rPr>
          <w:vertAlign w:val="superscript"/>
        </w:rPr>
        <w:footnoteReference w:id="317"/>
      </w:r>
    </w:p>
    <w:p w14:paraId="27777231" w14:textId="15433C37" w:rsidR="00D47751" w:rsidRPr="00DE46F3" w:rsidRDefault="00D47751" w:rsidP="00D47751">
      <w:pPr>
        <w:pStyle w:val="SingleTxt"/>
      </w:pPr>
      <w:r w:rsidRPr="00DE46F3">
        <w:t>209.</w:t>
      </w:r>
      <w:r w:rsidRPr="00DE46F3">
        <w:tab/>
        <w:t>In terms of infrastructure, by 2018, 26 per cent of the projects built under PNDS came from women priorities and it is estimated that women represent 52 per cent of the beneficiaries of the overall 1,369 built infrastructure projects, benefiting a total exceeding 220,000 households. The projects relate to basic services in various sectors such as Water &amp; Sanitation; Road, Bridge and Flood Control; Education, Culture &amp; Sports; Health; Agriculture &amp; Food Security.</w:t>
      </w:r>
      <w:r w:rsidRPr="00DE46F3">
        <w:rPr>
          <w:vertAlign w:val="superscript"/>
        </w:rPr>
        <w:footnoteReference w:id="318"/>
      </w:r>
    </w:p>
    <w:p w14:paraId="4F69CC24" w14:textId="28C969D4" w:rsidR="00D47751" w:rsidRPr="00DE46F3" w:rsidRDefault="00D47751" w:rsidP="00D47751">
      <w:pPr>
        <w:pStyle w:val="SingleTxt"/>
        <w:spacing w:after="0" w:line="120" w:lineRule="exact"/>
        <w:rPr>
          <w:sz w:val="10"/>
        </w:rPr>
      </w:pPr>
    </w:p>
    <w:p w14:paraId="51EDC14E" w14:textId="72337FFB" w:rsidR="00D47751" w:rsidRPr="00DE46F3" w:rsidRDefault="00D47751" w:rsidP="00D47751">
      <w:pPr>
        <w:pStyle w:val="SingleTxt"/>
        <w:spacing w:after="0" w:line="120" w:lineRule="exact"/>
        <w:rPr>
          <w:sz w:val="10"/>
        </w:rPr>
      </w:pPr>
    </w:p>
    <w:p w14:paraId="2C648F6E" w14:textId="6E99F7BF" w:rsidR="00D47751" w:rsidRPr="00DE46F3" w:rsidRDefault="00D47751" w:rsidP="00D47751">
      <w:pPr>
        <w:pStyle w:val="HCh"/>
        <w:tabs>
          <w:tab w:val="clear" w:pos="1742"/>
        </w:tabs>
        <w:ind w:left="1267" w:hanging="1267"/>
      </w:pPr>
      <w:bookmarkStart w:id="91" w:name="_Toc10641671"/>
      <w:bookmarkStart w:id="92" w:name="_Toc25630045"/>
      <w:r w:rsidRPr="00DE46F3">
        <w:tab/>
      </w:r>
      <w:r w:rsidRPr="00DE46F3">
        <w:tab/>
        <w:t>Article 15: Equality before the Law</w:t>
      </w:r>
      <w:bookmarkEnd w:id="91"/>
      <w:bookmarkEnd w:id="92"/>
    </w:p>
    <w:p w14:paraId="23C24709" w14:textId="6F2BE66E" w:rsidR="00D47751" w:rsidRPr="00DE46F3" w:rsidRDefault="00D47751" w:rsidP="00D47751">
      <w:pPr>
        <w:pStyle w:val="SingleTxt"/>
        <w:spacing w:after="0" w:line="120" w:lineRule="exact"/>
        <w:rPr>
          <w:sz w:val="10"/>
        </w:rPr>
      </w:pPr>
    </w:p>
    <w:p w14:paraId="0233F2B7" w14:textId="1DF30790" w:rsidR="00D47751" w:rsidRPr="00DE46F3" w:rsidRDefault="00D47751" w:rsidP="00D47751">
      <w:pPr>
        <w:pStyle w:val="SingleTxt"/>
        <w:spacing w:after="0" w:line="120" w:lineRule="exact"/>
        <w:rPr>
          <w:sz w:val="10"/>
        </w:rPr>
      </w:pPr>
    </w:p>
    <w:p w14:paraId="28DF2955" w14:textId="4E4C1C3F" w:rsidR="00D47751" w:rsidRDefault="00D47751" w:rsidP="00D47751">
      <w:pPr>
        <w:pStyle w:val="SingleTxt"/>
      </w:pPr>
      <w:r w:rsidRPr="00DE46F3">
        <w:t>210.</w:t>
      </w:r>
      <w:r w:rsidRPr="00DE46F3">
        <w:tab/>
        <w:t>(No significant update in the reporting period).</w:t>
      </w:r>
    </w:p>
    <w:p w14:paraId="58E46CE9" w14:textId="4E33002F" w:rsidR="00DF508B" w:rsidRPr="00DF508B" w:rsidRDefault="00DF508B" w:rsidP="00DF508B">
      <w:pPr>
        <w:pStyle w:val="SingleTxt"/>
        <w:spacing w:after="0" w:line="120" w:lineRule="exact"/>
        <w:rPr>
          <w:sz w:val="10"/>
        </w:rPr>
      </w:pPr>
    </w:p>
    <w:p w14:paraId="159AE73D" w14:textId="50263A75" w:rsidR="00DF508B" w:rsidRPr="00DF508B" w:rsidRDefault="00DF508B" w:rsidP="00DF508B">
      <w:pPr>
        <w:pStyle w:val="SingleTxt"/>
        <w:spacing w:after="0" w:line="120" w:lineRule="exact"/>
        <w:rPr>
          <w:sz w:val="10"/>
        </w:rPr>
      </w:pPr>
    </w:p>
    <w:p w14:paraId="14416877" w14:textId="3F278AB5" w:rsidR="00D47751" w:rsidRPr="00DE46F3" w:rsidRDefault="00D47751" w:rsidP="00D47751">
      <w:pPr>
        <w:pStyle w:val="HCh"/>
        <w:tabs>
          <w:tab w:val="clear" w:pos="1742"/>
        </w:tabs>
        <w:ind w:left="1267" w:hanging="1267"/>
      </w:pPr>
      <w:bookmarkStart w:id="93" w:name="_Toc10641672"/>
      <w:bookmarkStart w:id="94" w:name="_Toc25630046"/>
      <w:bookmarkStart w:id="95" w:name="_Hlk20737988"/>
      <w:r w:rsidRPr="00DE46F3">
        <w:tab/>
      </w:r>
      <w:r w:rsidRPr="00DE46F3">
        <w:tab/>
        <w:t>Article 16: Marriage and the Family</w:t>
      </w:r>
      <w:bookmarkStart w:id="96" w:name="_Hlk20738014"/>
      <w:bookmarkEnd w:id="93"/>
      <w:bookmarkEnd w:id="94"/>
      <w:bookmarkEnd w:id="95"/>
    </w:p>
    <w:p w14:paraId="6B0128B4" w14:textId="638FA141" w:rsidR="00D47751" w:rsidRPr="00DE46F3" w:rsidRDefault="00D47751" w:rsidP="00D47751">
      <w:pPr>
        <w:pStyle w:val="SingleTxt"/>
        <w:spacing w:after="0" w:line="120" w:lineRule="exact"/>
        <w:rPr>
          <w:sz w:val="10"/>
        </w:rPr>
      </w:pPr>
    </w:p>
    <w:p w14:paraId="182A2D8E" w14:textId="25226C7E" w:rsidR="00D47751" w:rsidRPr="00DE46F3" w:rsidRDefault="00D47751" w:rsidP="00D47751">
      <w:pPr>
        <w:pStyle w:val="SingleTxt"/>
        <w:spacing w:after="0" w:line="120" w:lineRule="exact"/>
        <w:rPr>
          <w:sz w:val="10"/>
        </w:rPr>
      </w:pPr>
    </w:p>
    <w:p w14:paraId="2C5154C1" w14:textId="4B7335CB" w:rsidR="00D47751" w:rsidRPr="00DE46F3" w:rsidRDefault="00D47751" w:rsidP="00D47751">
      <w:pPr>
        <w:pStyle w:val="H1"/>
        <w:tabs>
          <w:tab w:val="clear" w:pos="1742"/>
        </w:tabs>
        <w:ind w:right="0"/>
      </w:pPr>
      <w:r w:rsidRPr="00DE46F3">
        <w:tab/>
      </w:r>
      <w:r w:rsidRPr="00DE46F3">
        <w:tab/>
        <w:t>Civil registration and registration of marriage in its various forms</w:t>
      </w:r>
    </w:p>
    <w:p w14:paraId="1DE38204" w14:textId="3BFFA20E" w:rsidR="00D47751" w:rsidRPr="00DE46F3" w:rsidRDefault="00D47751" w:rsidP="00D47751">
      <w:pPr>
        <w:pStyle w:val="SingleTxt"/>
        <w:spacing w:after="0" w:line="120" w:lineRule="exact"/>
        <w:rPr>
          <w:sz w:val="10"/>
        </w:rPr>
      </w:pPr>
    </w:p>
    <w:p w14:paraId="58F8BB51" w14:textId="6F6BC494" w:rsidR="00D47751" w:rsidRPr="00DE46F3" w:rsidRDefault="00D47751" w:rsidP="00D47751">
      <w:pPr>
        <w:pStyle w:val="SingleTxt"/>
        <w:spacing w:after="0" w:line="120" w:lineRule="exact"/>
        <w:rPr>
          <w:sz w:val="10"/>
        </w:rPr>
      </w:pPr>
    </w:p>
    <w:bookmarkEnd w:id="96"/>
    <w:p w14:paraId="472D3A71" w14:textId="5B0B5591" w:rsidR="00D47751" w:rsidRPr="00DE46F3" w:rsidRDefault="00D47751" w:rsidP="00D47751">
      <w:pPr>
        <w:pStyle w:val="SingleTxt"/>
      </w:pPr>
      <w:r w:rsidRPr="00DE46F3">
        <w:t>211.</w:t>
      </w:r>
      <w:r w:rsidRPr="00DE46F3">
        <w:tab/>
        <w:t xml:space="preserve">The </w:t>
      </w:r>
      <w:bookmarkStart w:id="97" w:name="_Hlk20738104"/>
      <w:r w:rsidRPr="00DE46F3">
        <w:t>reform of the civil registration and the overall legal framework on marriage and family laws was considered as a priority in the framework of the legislative reform process</w:t>
      </w:r>
      <w:bookmarkEnd w:id="97"/>
      <w:r w:rsidRPr="00DE46F3">
        <w:t xml:space="preserve">. </w:t>
      </w:r>
    </w:p>
    <w:p w14:paraId="2D27E216" w14:textId="25DD96D4" w:rsidR="00D47751" w:rsidRPr="00DE46F3" w:rsidRDefault="00D47751" w:rsidP="00D47751">
      <w:pPr>
        <w:pStyle w:val="SingleTxt"/>
      </w:pPr>
      <w:r w:rsidRPr="00DE46F3">
        <w:t>212.</w:t>
      </w:r>
      <w:r w:rsidRPr="00DE46F3">
        <w:tab/>
        <w:t>In this framework, it is under discussion to incorporate the rules of marriage and family into an autonomous law to improve knowledge of the law and its application, and to promote the “</w:t>
      </w:r>
      <w:r w:rsidRPr="00DE46F3">
        <w:rPr>
          <w:i/>
          <w:iCs/>
        </w:rPr>
        <w:t>monogamous character, consensual rules, equality and the rights and duties of the law</w:t>
      </w:r>
      <w:r w:rsidRPr="00DE46F3">
        <w:t>”.</w:t>
      </w:r>
      <w:r w:rsidRPr="00DE46F3">
        <w:rPr>
          <w:vertAlign w:val="superscript"/>
        </w:rPr>
        <w:footnoteReference w:id="319"/>
      </w:r>
    </w:p>
    <w:p w14:paraId="6E192215" w14:textId="58D851F2" w:rsidR="00D47751" w:rsidRPr="00DE46F3" w:rsidRDefault="00D47751" w:rsidP="00D47751">
      <w:pPr>
        <w:pStyle w:val="SingleTxt"/>
      </w:pPr>
      <w:r w:rsidRPr="00DE46F3">
        <w:t>213.</w:t>
      </w:r>
      <w:r w:rsidRPr="00DE46F3">
        <w:tab/>
        <w:t>Most specifically on civil registration of marriage, the draft Civil Registration Code provides that local delegations of the National Directorate of Civil Registration and Notary are responsible for the transcription/recording in the civil registry of catholic and traditional marriages (art. 12.3.d.) to create the necessary conditions for the effective celebration of marriage according to civil law. Although the draft Civil Registration Code is yet to be passed due to extended consultations and analysis, the final draft is now ready for presentation before the Council of Ministers.</w:t>
      </w:r>
      <w:r w:rsidRPr="00DE46F3">
        <w:rPr>
          <w:vertAlign w:val="superscript"/>
        </w:rPr>
        <w:footnoteReference w:id="320"/>
      </w:r>
    </w:p>
    <w:p w14:paraId="7DCC9E61" w14:textId="2DE4FDE7" w:rsidR="00D47751" w:rsidRPr="00DE46F3" w:rsidRDefault="00D47751" w:rsidP="00D47751">
      <w:pPr>
        <w:pStyle w:val="SingleTxt"/>
        <w:spacing w:after="0" w:line="120" w:lineRule="exact"/>
        <w:rPr>
          <w:sz w:val="10"/>
        </w:rPr>
      </w:pPr>
    </w:p>
    <w:p w14:paraId="44ED5AC3" w14:textId="60BFCE7E" w:rsidR="00D47751" w:rsidRPr="00DE46F3" w:rsidRDefault="00D47751" w:rsidP="00D47751">
      <w:pPr>
        <w:pStyle w:val="SingleTxt"/>
        <w:spacing w:after="0" w:line="120" w:lineRule="exact"/>
        <w:rPr>
          <w:sz w:val="10"/>
        </w:rPr>
      </w:pPr>
    </w:p>
    <w:p w14:paraId="553D7364" w14:textId="72749F2A" w:rsidR="00D47751" w:rsidRPr="00DE46F3" w:rsidRDefault="00D47751" w:rsidP="00D47751">
      <w:pPr>
        <w:pStyle w:val="H1"/>
        <w:tabs>
          <w:tab w:val="clear" w:pos="1742"/>
        </w:tabs>
        <w:ind w:right="0"/>
      </w:pPr>
      <w:r w:rsidRPr="00DE46F3">
        <w:tab/>
      </w:r>
      <w:r w:rsidRPr="00DE46F3">
        <w:tab/>
        <w:t>Minimum age of marriage</w:t>
      </w:r>
    </w:p>
    <w:p w14:paraId="7F0B0D8F" w14:textId="6614182A" w:rsidR="00D47751" w:rsidRPr="00DE46F3" w:rsidRDefault="00D47751" w:rsidP="00D47751">
      <w:pPr>
        <w:pStyle w:val="SingleTxt"/>
        <w:spacing w:after="0" w:line="120" w:lineRule="exact"/>
        <w:rPr>
          <w:sz w:val="10"/>
        </w:rPr>
      </w:pPr>
    </w:p>
    <w:p w14:paraId="2BEFEEC8" w14:textId="2EA83B3C" w:rsidR="00D47751" w:rsidRPr="00DE46F3" w:rsidRDefault="00D47751" w:rsidP="00D47751">
      <w:pPr>
        <w:pStyle w:val="SingleTxt"/>
        <w:spacing w:after="0" w:line="120" w:lineRule="exact"/>
        <w:rPr>
          <w:sz w:val="10"/>
        </w:rPr>
      </w:pPr>
    </w:p>
    <w:p w14:paraId="3180B598" w14:textId="4CC6C16F" w:rsidR="00D47751" w:rsidRPr="00DE46F3" w:rsidRDefault="00D47751" w:rsidP="00D47751">
      <w:pPr>
        <w:pStyle w:val="SingleTxt"/>
      </w:pPr>
      <w:r w:rsidRPr="00DE46F3">
        <w:t>214.</w:t>
      </w:r>
      <w:r w:rsidRPr="00DE46F3">
        <w:tab/>
        <w:t>The amendment of the Civil Code for a raise of the minimum age of marriage is under discussion.</w:t>
      </w:r>
      <w:r w:rsidRPr="00DE46F3">
        <w:rPr>
          <w:vertAlign w:val="superscript"/>
        </w:rPr>
        <w:footnoteReference w:id="321"/>
      </w:r>
    </w:p>
    <w:p w14:paraId="7FF7A213" w14:textId="5A11C28A" w:rsidR="00D47751" w:rsidRPr="00DE46F3" w:rsidRDefault="00D47751" w:rsidP="00D47751">
      <w:pPr>
        <w:pStyle w:val="SingleTxt"/>
        <w:spacing w:after="0" w:line="120" w:lineRule="exact"/>
        <w:rPr>
          <w:sz w:val="10"/>
        </w:rPr>
      </w:pPr>
    </w:p>
    <w:p w14:paraId="766109E9" w14:textId="03C6316D" w:rsidR="00D47751" w:rsidRPr="00DE46F3" w:rsidRDefault="00D47751" w:rsidP="00D47751">
      <w:pPr>
        <w:pStyle w:val="SingleTxt"/>
        <w:spacing w:after="0" w:line="120" w:lineRule="exact"/>
        <w:rPr>
          <w:sz w:val="10"/>
        </w:rPr>
      </w:pPr>
    </w:p>
    <w:p w14:paraId="31C36222" w14:textId="197102F6" w:rsidR="00D47751" w:rsidRPr="00DE46F3" w:rsidRDefault="00D47751" w:rsidP="00D47751">
      <w:pPr>
        <w:pStyle w:val="H1"/>
        <w:tabs>
          <w:tab w:val="clear" w:pos="1742"/>
        </w:tabs>
        <w:ind w:right="0"/>
      </w:pPr>
      <w:r w:rsidRPr="00DE46F3">
        <w:tab/>
      </w:r>
      <w:r w:rsidRPr="00DE46F3">
        <w:tab/>
        <w:t>Divorce</w:t>
      </w:r>
    </w:p>
    <w:p w14:paraId="1F8B4719" w14:textId="3D33589B" w:rsidR="00D47751" w:rsidRPr="00DE46F3" w:rsidRDefault="00D47751" w:rsidP="00D47751">
      <w:pPr>
        <w:pStyle w:val="SingleTxt"/>
        <w:spacing w:after="0" w:line="120" w:lineRule="exact"/>
        <w:rPr>
          <w:sz w:val="10"/>
        </w:rPr>
      </w:pPr>
    </w:p>
    <w:p w14:paraId="75DB19EE" w14:textId="717EC7AE" w:rsidR="00D47751" w:rsidRPr="00DE46F3" w:rsidRDefault="00D47751" w:rsidP="00D47751">
      <w:pPr>
        <w:pStyle w:val="SingleTxt"/>
        <w:spacing w:after="0" w:line="120" w:lineRule="exact"/>
        <w:rPr>
          <w:sz w:val="10"/>
        </w:rPr>
      </w:pPr>
    </w:p>
    <w:p w14:paraId="2F988AFE" w14:textId="7A3106BE" w:rsidR="00D47751" w:rsidRPr="00DE46F3" w:rsidRDefault="00D47751" w:rsidP="00D47751">
      <w:pPr>
        <w:pStyle w:val="SingleTxt"/>
      </w:pPr>
      <w:r w:rsidRPr="00DE46F3">
        <w:t>215.</w:t>
      </w:r>
      <w:r w:rsidRPr="00DE46F3">
        <w:tab/>
        <w:t>The divorce system has not been amended in the reporting period. However, beside the litigious divorce system, which involves a “</w:t>
      </w:r>
      <w:r w:rsidRPr="00DE46F3">
        <w:rPr>
          <w:i/>
          <w:iCs/>
        </w:rPr>
        <w:t>culpable violation of conjugal obligations</w:t>
      </w:r>
      <w:r w:rsidRPr="00DE46F3">
        <w:t>”, the Civil Code prioritizes ‘divorce by mutual consent’ which is a no fault-based divorce system (art. 1652).</w:t>
      </w:r>
    </w:p>
    <w:p w14:paraId="45DC9372" w14:textId="3A114FF6" w:rsidR="00D47751" w:rsidRPr="00DE46F3" w:rsidRDefault="00D47751" w:rsidP="00D47751">
      <w:pPr>
        <w:pStyle w:val="SingleTxt"/>
        <w:spacing w:after="0" w:line="120" w:lineRule="exact"/>
        <w:rPr>
          <w:sz w:val="10"/>
        </w:rPr>
      </w:pPr>
    </w:p>
    <w:p w14:paraId="45355826" w14:textId="560935C4" w:rsidR="00D47751" w:rsidRPr="00DE46F3" w:rsidRDefault="00D47751" w:rsidP="00D47751">
      <w:pPr>
        <w:pStyle w:val="SingleTxt"/>
        <w:spacing w:after="0" w:line="120" w:lineRule="exact"/>
        <w:rPr>
          <w:sz w:val="10"/>
        </w:rPr>
      </w:pPr>
    </w:p>
    <w:p w14:paraId="0A19078C" w14:textId="268F379F" w:rsidR="00D47751" w:rsidRPr="00DE46F3" w:rsidRDefault="00D47751" w:rsidP="00D47751">
      <w:pPr>
        <w:pStyle w:val="H1"/>
        <w:tabs>
          <w:tab w:val="clear" w:pos="1742"/>
        </w:tabs>
        <w:ind w:right="0"/>
      </w:pPr>
      <w:bookmarkStart w:id="98" w:name="_Hlk20738322"/>
      <w:r w:rsidRPr="00DE46F3">
        <w:tab/>
      </w:r>
      <w:r w:rsidRPr="00DE46F3">
        <w:tab/>
        <w:t>Internuptial period</w:t>
      </w:r>
    </w:p>
    <w:p w14:paraId="17D51B59" w14:textId="2765CCF1" w:rsidR="00D47751" w:rsidRPr="00DE46F3" w:rsidRDefault="00D47751" w:rsidP="00D47751">
      <w:pPr>
        <w:pStyle w:val="SingleTxt"/>
        <w:spacing w:after="0" w:line="120" w:lineRule="exact"/>
        <w:rPr>
          <w:sz w:val="10"/>
        </w:rPr>
      </w:pPr>
    </w:p>
    <w:p w14:paraId="0773F9B1" w14:textId="6AC44701" w:rsidR="00D47751" w:rsidRPr="00DE46F3" w:rsidRDefault="00D47751" w:rsidP="00D47751">
      <w:pPr>
        <w:pStyle w:val="SingleTxt"/>
        <w:spacing w:after="0" w:line="120" w:lineRule="exact"/>
        <w:rPr>
          <w:sz w:val="10"/>
        </w:rPr>
      </w:pPr>
    </w:p>
    <w:bookmarkEnd w:id="98"/>
    <w:p w14:paraId="7D432E18" w14:textId="0E9931CC" w:rsidR="00D47751" w:rsidRPr="00DE46F3" w:rsidRDefault="00D47751" w:rsidP="00D47751">
      <w:pPr>
        <w:pStyle w:val="SingleTxt"/>
      </w:pPr>
      <w:r w:rsidRPr="00DE46F3">
        <w:t>216.</w:t>
      </w:r>
      <w:r w:rsidRPr="00DE46F3">
        <w:tab/>
        <w:t>No amendment was processed related to the art. 1494 of the Civil Code on the internuptial period during which a man or a woman is not allowed to marry again.</w:t>
      </w:r>
      <w:r w:rsidRPr="00DE46F3">
        <w:rPr>
          <w:vertAlign w:val="superscript"/>
        </w:rPr>
        <w:footnoteReference w:id="322"/>
      </w:r>
      <w:r w:rsidRPr="00DE46F3">
        <w:t xml:space="preserve"> As such, the internuptial period remains at 180 days for men and 300 days for women, unless the woman can provide a judicial declaration that she is not pregnant.</w:t>
      </w:r>
    </w:p>
    <w:p w14:paraId="26182612" w14:textId="0779348B" w:rsidR="00D47751" w:rsidRPr="00DE46F3" w:rsidRDefault="00D47751" w:rsidP="00D47751">
      <w:pPr>
        <w:pStyle w:val="SingleTxt"/>
        <w:spacing w:after="0" w:line="120" w:lineRule="exact"/>
        <w:rPr>
          <w:sz w:val="10"/>
        </w:rPr>
      </w:pPr>
    </w:p>
    <w:p w14:paraId="154C3D51" w14:textId="164E3D41" w:rsidR="00D47751" w:rsidRPr="00DE46F3" w:rsidRDefault="00D47751" w:rsidP="00D47751">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en-GB"/>
        </w:rPr>
      </w:pPr>
      <w:r w:rsidRPr="00DE46F3">
        <w:rPr>
          <w:lang w:val="en-GB"/>
        </w:rPr>
        <w:tab/>
      </w:r>
      <w:r w:rsidRPr="00DE46F3">
        <w:rPr>
          <w:lang w:val="en-GB"/>
        </w:rPr>
        <w:tab/>
        <w:t>Legislation related to de facto unions</w:t>
      </w:r>
    </w:p>
    <w:p w14:paraId="52909119" w14:textId="0F1B458D" w:rsidR="00D47751" w:rsidRPr="00DE46F3" w:rsidRDefault="00D47751" w:rsidP="00D47751">
      <w:pPr>
        <w:pStyle w:val="SingleTxt"/>
        <w:spacing w:after="0" w:line="120" w:lineRule="exact"/>
        <w:rPr>
          <w:sz w:val="10"/>
        </w:rPr>
      </w:pPr>
    </w:p>
    <w:p w14:paraId="28D903CD" w14:textId="6B6B9CAF" w:rsidR="00D47751" w:rsidRDefault="00D47751" w:rsidP="00D47751">
      <w:pPr>
        <w:pStyle w:val="SingleTxt"/>
      </w:pPr>
      <w:r w:rsidRPr="00DE46F3">
        <w:t>217.</w:t>
      </w:r>
      <w:r w:rsidRPr="00DE46F3">
        <w:tab/>
        <w:t>De facto union has not been legally recognized to date.</w:t>
      </w:r>
    </w:p>
    <w:p w14:paraId="1A66C3FD" w14:textId="73796F4A" w:rsidR="009437B0" w:rsidRPr="009437B0" w:rsidRDefault="009437B0" w:rsidP="009437B0">
      <w:pPr>
        <w:pStyle w:val="SingleTxt"/>
        <w:spacing w:after="0" w:line="120" w:lineRule="exact"/>
        <w:rPr>
          <w:sz w:val="10"/>
        </w:rPr>
      </w:pPr>
    </w:p>
    <w:p w14:paraId="28738BDE" w14:textId="3C2EDE7E" w:rsidR="00D47751" w:rsidRPr="00DE46F3" w:rsidRDefault="00D47751" w:rsidP="00D47751">
      <w:pPr>
        <w:pStyle w:val="H23"/>
        <w:keepNext/>
        <w:keepLines/>
        <w:widowControl w:val="0"/>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en-GB"/>
        </w:rPr>
      </w:pPr>
      <w:r w:rsidRPr="00DE46F3">
        <w:rPr>
          <w:lang w:val="en-GB"/>
        </w:rPr>
        <w:tab/>
      </w:r>
      <w:r w:rsidRPr="00DE46F3">
        <w:rPr>
          <w:lang w:val="en-GB"/>
        </w:rPr>
        <w:tab/>
        <w:t>Legal system for practical administration of land</w:t>
      </w:r>
    </w:p>
    <w:p w14:paraId="6D1A547F" w14:textId="26288C57" w:rsidR="00D47751" w:rsidRPr="00DE46F3" w:rsidRDefault="00D47751" w:rsidP="00D47751">
      <w:pPr>
        <w:pStyle w:val="SingleTxt"/>
        <w:keepNext/>
        <w:keepLines/>
        <w:widowControl w:val="0"/>
        <w:spacing w:after="0" w:line="120" w:lineRule="exact"/>
        <w:rPr>
          <w:sz w:val="10"/>
        </w:rPr>
      </w:pPr>
    </w:p>
    <w:p w14:paraId="73C9868E" w14:textId="568ED2E5" w:rsidR="00D47751" w:rsidRPr="00DE46F3" w:rsidRDefault="00D47751" w:rsidP="00D47751">
      <w:pPr>
        <w:pStyle w:val="SingleTxt"/>
        <w:keepNext/>
        <w:keepLines/>
        <w:widowControl w:val="0"/>
      </w:pPr>
      <w:r w:rsidRPr="00DE46F3">
        <w:t>218.</w:t>
      </w:r>
      <w:r w:rsidRPr="00DE46F3">
        <w:tab/>
        <w:t>Following the national registration process and the land law provisions (art. 32.7),</w:t>
      </w:r>
      <w:r w:rsidRPr="00DE46F3">
        <w:rPr>
          <w:vertAlign w:val="superscript"/>
        </w:rPr>
        <w:footnoteReference w:id="323"/>
      </w:r>
      <w:r w:rsidRPr="00DE46F3">
        <w:t xml:space="preserve"> married couples are encouraged to make a joint land title by making a statement and taking a photo together on their land plots.</w:t>
      </w:r>
    </w:p>
    <w:p w14:paraId="153BFDA9" w14:textId="5D7C266B" w:rsidR="00D47751" w:rsidRPr="00DE46F3" w:rsidRDefault="00D47751" w:rsidP="00D47751">
      <w:pPr>
        <w:pStyle w:val="SingleTxt"/>
      </w:pPr>
      <w:r w:rsidRPr="00DE46F3">
        <w:t>219.</w:t>
      </w:r>
      <w:r w:rsidRPr="00DE46F3">
        <w:tab/>
        <w:t>In the process of declaration of ownership, “</w:t>
      </w:r>
      <w:r w:rsidRPr="00DE46F3">
        <w:rPr>
          <w:i/>
          <w:iCs/>
        </w:rPr>
        <w:t>agreements resulting from negotiation or mediation in which the parties have agreed on the definitive transfer of the property rights over immovable property shall be valid for the purposes of the declaration of title</w:t>
      </w:r>
      <w:r w:rsidRPr="00DE46F3">
        <w:t>” (art. 32.5).</w:t>
      </w:r>
    </w:p>
    <w:p w14:paraId="397EEA7A" w14:textId="11C21444" w:rsidR="00D47751" w:rsidRPr="00DE46F3" w:rsidRDefault="00D47751" w:rsidP="00D47751">
      <w:pPr>
        <w:pStyle w:val="SingleTxt"/>
        <w:rPr>
          <w:iCs/>
        </w:rPr>
      </w:pPr>
      <w:r w:rsidRPr="00DE46F3">
        <w:t>220.</w:t>
      </w:r>
      <w:r w:rsidRPr="00DE46F3">
        <w:tab/>
        <w:t>In case of remaining conflict, the Land Law (art. 39.2) suggests that it will be “</w:t>
      </w:r>
      <w:r w:rsidRPr="00DE46F3">
        <w:rPr>
          <w:i/>
          <w:iCs/>
        </w:rPr>
        <w:t>settled by administrative decision</w:t>
      </w:r>
      <w:r w:rsidRPr="00DE46F3">
        <w:t>” conducted by the Land and Property Commission which</w:t>
      </w:r>
      <w:r w:rsidRPr="00DE46F3">
        <w:rPr>
          <w:iCs/>
        </w:rPr>
        <w:t xml:space="preserve"> will start operating in 2020. The Decree-Law establishing the Commission provides that arbitration processes must ensure not to violate women’s rights.</w:t>
      </w:r>
      <w:r w:rsidRPr="00DE46F3">
        <w:rPr>
          <w:iCs/>
          <w:vertAlign w:val="superscript"/>
        </w:rPr>
        <w:footnoteReference w:id="324"/>
      </w:r>
    </w:p>
    <w:p w14:paraId="0FDFE2C4" w14:textId="16348707" w:rsidR="00531966" w:rsidRPr="00DE46F3" w:rsidRDefault="00C169FA" w:rsidP="004C441D">
      <w:pPr>
        <w:pStyle w:val="SingleTxt"/>
      </w:pPr>
      <w:r w:rsidRPr="00DE46F3">
        <w:rPr>
          <w:noProof/>
          <w:w w:val="100"/>
        </w:rPr>
        <mc:AlternateContent>
          <mc:Choice Requires="wps">
            <w:drawing>
              <wp:anchor distT="0" distB="0" distL="114300" distR="114300" simplePos="0" relativeHeight="251662336" behindDoc="0" locked="0" layoutInCell="1" allowOverlap="1" wp14:anchorId="782CC3BF" wp14:editId="1D7F8713">
                <wp:simplePos x="0" y="0"/>
                <wp:positionH relativeFrom="column">
                  <wp:posOffset>2669540</wp:posOffset>
                </wp:positionH>
                <wp:positionV relativeFrom="paragraph">
                  <wp:posOffset>304800</wp:posOffset>
                </wp:positionV>
                <wp:extent cx="914400"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91CB63B" id="Straight Connector 7"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" strokecolor="#010000" strokeweight=".25pt"/>
            </w:pict>
          </mc:Fallback>
        </mc:AlternateContent>
      </w:r>
      <w:bookmarkEnd w:id="0"/>
    </w:p>
    <w:sectPr w:rsidR="00531966" w:rsidRPr="00DE46F3" w:rsidSect="0098356B">
      <w:footnotePr>
        <w:numRestart w:val="eachSect"/>
      </w:footnotePr>
      <w:endnotePr>
        <w:numFmt w:val="decimal"/>
      </w:endnotePr>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Start" w:date="2022-01-07T12:36:00Z" w:initials="Start">
    <w:p w14:paraId="7121C7DA" w14:textId="77777777" w:rsidR="00E7381F" w:rsidRDefault="00E7381F">
      <w:pPr>
        <w:pStyle w:val="CommentText"/>
      </w:pPr>
      <w:r>
        <w:rPr>
          <w:rStyle w:val="CommentReference"/>
        </w:rPr>
        <w:annotationRef/>
      </w:r>
      <w:r>
        <w:t>&lt;&lt;ODS JOB NO&gt;&gt;N2142238E&lt;&lt;ODS JOB NO&gt;&gt;</w:t>
      </w:r>
    </w:p>
    <w:p w14:paraId="37FCF38D" w14:textId="77777777" w:rsidR="00E7381F" w:rsidRDefault="00E7381F">
      <w:pPr>
        <w:pStyle w:val="CommentText"/>
      </w:pPr>
      <w:r>
        <w:t>&lt;&lt;ODS DOC SYMBOL1&gt;&gt;CEDAW/C/TLS/4&lt;&lt;ODS DOC SYMBOL1&gt;&gt;</w:t>
      </w:r>
    </w:p>
    <w:p w14:paraId="7E183DB6" w14:textId="77777777" w:rsidR="00E7381F" w:rsidRDefault="00E7381F">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E183DB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82B261" w16cex:dateUtc="2022-01-07T17:3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E183DB6" w16cid:durableId="2582B26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6B9EE1" w14:textId="77777777" w:rsidR="00E81BC8" w:rsidRDefault="00E81BC8" w:rsidP="00556720">
      <w:r>
        <w:separator/>
      </w:r>
    </w:p>
  </w:endnote>
  <w:endnote w:type="continuationSeparator" w:id="0">
    <w:p w14:paraId="64774B73" w14:textId="77777777" w:rsidR="00E81BC8" w:rsidRDefault="00E81BC8"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altName w:val="Calibri"/>
    <w:panose1 w:val="020B0803050302020204"/>
    <w:charset w:val="00"/>
    <w:family w:val="swiss"/>
    <w:pitch w:val="variable"/>
    <w:sig w:usb0="00000003" w:usb1="00000000" w:usb2="00000000" w:usb3="00000000" w:csb0="00000001" w:csb1="00000000"/>
  </w:font>
  <w:font w:name="Calluna">
    <w:altName w:val="Segoe Print"/>
    <w:charset w:val="00"/>
    <w:family w:val="roman"/>
    <w:pitch w:val="default"/>
    <w:sig w:usb0="00000003" w:usb1="00000000" w:usb2="00000000" w:usb3="00000000" w:csb0="00000001" w:csb1="00000000"/>
  </w:font>
  <w:font w:name="ArialMT">
    <w:altName w:val="Times New Roman"/>
    <w:charset w:val="80"/>
    <w:family w:val="auto"/>
    <w:pitch w:val="default"/>
    <w:sig w:usb0="00000003" w:usb1="08070000" w:usb2="00000010" w:usb3="00000000" w:csb0="00020001" w:csb1="00000000"/>
  </w:font>
  <w:font w:name="AGaramondPro-Regular">
    <w:altName w:val="Yu Gothic"/>
    <w:charset w:val="80"/>
    <w:family w:val="roman"/>
    <w:pitch w:val="default"/>
    <w:sig w:usb0="00000001" w:usb1="08070000" w:usb2="00000010" w:usb3="00000000" w:csb0="00020000" w:csb1="00000000"/>
  </w:font>
  <w:font w:name="Avenir Medium">
    <w:charset w:val="00"/>
    <w:family w:val="auto"/>
    <w:pitch w:val="variable"/>
    <w:sig w:usb0="800000AF" w:usb1="5000204A" w:usb2="00000000" w:usb3="00000000" w:csb0="0000009B"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E7381F" w14:paraId="73B9E836" w14:textId="77777777" w:rsidTr="00F13127">
      <w:tc>
        <w:tcPr>
          <w:tcW w:w="4920" w:type="dxa"/>
          <w:shd w:val="clear" w:color="auto" w:fill="auto"/>
        </w:tcPr>
        <w:p w14:paraId="1C1DC147" w14:textId="399A34EB" w:rsidR="00E7381F" w:rsidRPr="00F13127" w:rsidRDefault="00E7381F" w:rsidP="00F13127">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DE08D2">
            <w:rPr>
              <w:b w:val="0"/>
              <w:w w:val="103"/>
              <w:sz w:val="14"/>
            </w:rPr>
            <w:t>21-19807</w:t>
          </w:r>
          <w:r>
            <w:rPr>
              <w:b w:val="0"/>
              <w:w w:val="103"/>
              <w:sz w:val="14"/>
            </w:rPr>
            <w:fldChar w:fldCharType="end"/>
          </w:r>
        </w:p>
      </w:tc>
      <w:tc>
        <w:tcPr>
          <w:tcW w:w="4920" w:type="dxa"/>
          <w:shd w:val="clear" w:color="auto" w:fill="auto"/>
        </w:tcPr>
        <w:p w14:paraId="3C8C76E4" w14:textId="77777777" w:rsidR="00E7381F" w:rsidRPr="00F13127" w:rsidRDefault="00E7381F" w:rsidP="00F13127">
          <w:pPr>
            <w:pStyle w:val="Footer"/>
            <w:rPr>
              <w:w w:val="103"/>
            </w:rPr>
          </w:pPr>
          <w:r>
            <w:rPr>
              <w:w w:val="103"/>
            </w:rPr>
            <w:fldChar w:fldCharType="begin"/>
          </w:r>
          <w:r>
            <w:rPr>
              <w:w w:val="103"/>
            </w:rPr>
            <w:instrText xml:space="preserve"> PAGE  \* Arabic  \* MERGEFORMAT </w:instrText>
          </w:r>
          <w:r>
            <w:rPr>
              <w:w w:val="103"/>
            </w:rPr>
            <w:fldChar w:fldCharType="separate"/>
          </w:r>
          <w:r>
            <w:rPr>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4</w:t>
          </w:r>
          <w:r>
            <w:rPr>
              <w:w w:val="103"/>
            </w:rPr>
            <w:fldChar w:fldCharType="end"/>
          </w:r>
        </w:p>
      </w:tc>
    </w:tr>
  </w:tbl>
  <w:p w14:paraId="3E0E4239" w14:textId="77777777" w:rsidR="00E7381F" w:rsidRPr="00F13127" w:rsidRDefault="00E7381F" w:rsidP="00F131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E7381F" w14:paraId="6BB1B863" w14:textId="77777777" w:rsidTr="00F13127">
      <w:tc>
        <w:tcPr>
          <w:tcW w:w="4920" w:type="dxa"/>
          <w:shd w:val="clear" w:color="auto" w:fill="auto"/>
        </w:tcPr>
        <w:p w14:paraId="1CE46FF2" w14:textId="77777777" w:rsidR="00E7381F" w:rsidRPr="00F13127" w:rsidRDefault="00E7381F" w:rsidP="00F13127">
          <w:pPr>
            <w:pStyle w:val="Footer"/>
            <w:jc w:val="right"/>
            <w:rPr>
              <w:w w:val="103"/>
            </w:rPr>
          </w:pPr>
          <w:r>
            <w:rPr>
              <w:w w:val="103"/>
            </w:rPr>
            <w:fldChar w:fldCharType="begin"/>
          </w:r>
          <w:r>
            <w:rPr>
              <w:w w:val="103"/>
            </w:rPr>
            <w:instrText xml:space="preserve"> PAGE  \* Arabic  \* MERGEFORMAT </w:instrText>
          </w:r>
          <w:r>
            <w:rPr>
              <w:w w:val="103"/>
            </w:rPr>
            <w:fldChar w:fldCharType="separate"/>
          </w:r>
          <w:r>
            <w:rPr>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3</w:t>
          </w:r>
          <w:r>
            <w:rPr>
              <w:w w:val="103"/>
            </w:rPr>
            <w:fldChar w:fldCharType="end"/>
          </w:r>
        </w:p>
      </w:tc>
      <w:tc>
        <w:tcPr>
          <w:tcW w:w="4920" w:type="dxa"/>
          <w:shd w:val="clear" w:color="auto" w:fill="auto"/>
        </w:tcPr>
        <w:p w14:paraId="02A76A9D" w14:textId="7A90E0EB" w:rsidR="00E7381F" w:rsidRPr="00F13127" w:rsidRDefault="00E7381F" w:rsidP="00F13127">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DE08D2">
            <w:rPr>
              <w:b w:val="0"/>
              <w:w w:val="103"/>
              <w:sz w:val="14"/>
            </w:rPr>
            <w:t>21-19807</w:t>
          </w:r>
          <w:r>
            <w:rPr>
              <w:b w:val="0"/>
              <w:w w:val="103"/>
              <w:sz w:val="14"/>
            </w:rPr>
            <w:fldChar w:fldCharType="end"/>
          </w:r>
        </w:p>
      </w:tc>
    </w:tr>
  </w:tbl>
  <w:p w14:paraId="1BFBA661" w14:textId="77777777" w:rsidR="00E7381F" w:rsidRPr="00F13127" w:rsidRDefault="00E7381F" w:rsidP="00F1312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3801"/>
      <w:gridCol w:w="4920"/>
    </w:tblGrid>
    <w:tr w:rsidR="00E7381F" w14:paraId="2DA883A5" w14:textId="77777777" w:rsidTr="00F13127">
      <w:tc>
        <w:tcPr>
          <w:tcW w:w="3801" w:type="dxa"/>
        </w:tcPr>
        <w:p w14:paraId="4718C56B" w14:textId="1C97262E" w:rsidR="00E7381F" w:rsidRDefault="00E7381F" w:rsidP="00F13127">
          <w:pPr>
            <w:pStyle w:val="ReleaseDate0"/>
          </w:pPr>
          <w:r>
            <w:rPr>
              <w:noProof/>
            </w:rPr>
            <w:drawing>
              <wp:anchor distT="0" distB="0" distL="114300" distR="114300" simplePos="0" relativeHeight="251658240" behindDoc="0" locked="0" layoutInCell="1" allowOverlap="1" wp14:anchorId="47CE3A34" wp14:editId="4D9BAC17">
                <wp:simplePos x="0" y="0"/>
                <wp:positionH relativeFrom="column">
                  <wp:posOffset>5458460</wp:posOffset>
                </wp:positionH>
                <wp:positionV relativeFrom="paragraph">
                  <wp:posOffset>-365760</wp:posOffset>
                </wp:positionV>
                <wp:extent cx="694690" cy="6946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21-19807 (E)    1</w:t>
          </w:r>
          <w:r w:rsidR="00A91ACC">
            <w:t>2</w:t>
          </w:r>
          <w:r>
            <w:t xml:space="preserve">0122    </w:t>
          </w:r>
        </w:p>
        <w:p w14:paraId="1C5A6986" w14:textId="77777777" w:rsidR="00E7381F" w:rsidRPr="00F13127" w:rsidRDefault="00E7381F" w:rsidP="00F13127">
          <w:pPr>
            <w:pStyle w:val="Footer"/>
            <w:spacing w:before="80" w:line="210" w:lineRule="exact"/>
            <w:rPr>
              <w:rFonts w:ascii="Barcode 3 of 9 by request" w:hAnsi="Barcode 3 of 9 by request"/>
              <w:b w:val="0"/>
              <w:sz w:val="24"/>
              <w:lang w:val="en-GB"/>
            </w:rPr>
          </w:pPr>
          <w:r>
            <w:rPr>
              <w:rFonts w:ascii="Barcode 3 of 9 by request" w:hAnsi="Barcode 3 of 9 by request"/>
              <w:sz w:val="24"/>
              <w:lang w:val="en-GB"/>
            </w:rPr>
            <w:t>*2119807*</w:t>
          </w:r>
        </w:p>
      </w:tc>
      <w:tc>
        <w:tcPr>
          <w:tcW w:w="4920" w:type="dxa"/>
        </w:tcPr>
        <w:p w14:paraId="538EF060" w14:textId="77777777" w:rsidR="00E7381F" w:rsidRDefault="00E7381F" w:rsidP="00F13127">
          <w:pPr>
            <w:pStyle w:val="Footer"/>
            <w:jc w:val="right"/>
            <w:rPr>
              <w:b w:val="0"/>
              <w:sz w:val="20"/>
            </w:rPr>
          </w:pPr>
          <w:r>
            <w:rPr>
              <w:b w:val="0"/>
              <w:sz w:val="20"/>
            </w:rPr>
            <w:drawing>
              <wp:inline distT="0" distB="0" distL="0" distR="0" wp14:anchorId="6825C7F8" wp14:editId="0C75583A">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929642" cy="231648"/>
                        </a:xfrm>
                        <a:prstGeom prst="rect">
                          <a:avLst/>
                        </a:prstGeom>
                      </pic:spPr>
                    </pic:pic>
                  </a:graphicData>
                </a:graphic>
              </wp:inline>
            </w:drawing>
          </w:r>
        </w:p>
      </w:tc>
    </w:tr>
  </w:tbl>
  <w:p w14:paraId="34CF1294" w14:textId="77777777" w:rsidR="00E7381F" w:rsidRPr="00F13127" w:rsidRDefault="00E7381F" w:rsidP="00F13127">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7D1961" w14:textId="77777777" w:rsidR="00E81BC8" w:rsidRPr="0098356B" w:rsidRDefault="00E81BC8" w:rsidP="0098356B">
      <w:pPr>
        <w:pStyle w:val="Footer"/>
        <w:spacing w:after="80"/>
        <w:ind w:left="792"/>
        <w:rPr>
          <w:sz w:val="16"/>
        </w:rPr>
      </w:pPr>
      <w:r w:rsidRPr="0098356B">
        <w:rPr>
          <w:sz w:val="16"/>
        </w:rPr>
        <w:t>__________________</w:t>
      </w:r>
    </w:p>
  </w:footnote>
  <w:footnote w:type="continuationSeparator" w:id="0">
    <w:p w14:paraId="63FEA703" w14:textId="77777777" w:rsidR="00E81BC8" w:rsidRPr="0098356B" w:rsidRDefault="00E81BC8" w:rsidP="0098356B">
      <w:pPr>
        <w:pStyle w:val="Footer"/>
        <w:spacing w:after="80"/>
        <w:ind w:left="792"/>
        <w:rPr>
          <w:sz w:val="16"/>
        </w:rPr>
      </w:pPr>
      <w:r w:rsidRPr="0098356B">
        <w:rPr>
          <w:sz w:val="16"/>
        </w:rPr>
        <w:t>__________________</w:t>
      </w:r>
    </w:p>
  </w:footnote>
  <w:footnote w:id="1">
    <w:p w14:paraId="020F8E54" w14:textId="77777777" w:rsidR="00E7381F" w:rsidRPr="00DE46F3" w:rsidRDefault="00E7381F" w:rsidP="0098356B">
      <w:pPr>
        <w:pStyle w:val="FootnoteText"/>
        <w:tabs>
          <w:tab w:val="clear" w:pos="418"/>
          <w:tab w:val="right" w:pos="1195"/>
          <w:tab w:val="left" w:pos="1267"/>
          <w:tab w:val="left" w:pos="1742"/>
          <w:tab w:val="left" w:pos="2218"/>
          <w:tab w:val="left" w:pos="2693"/>
        </w:tabs>
        <w:ind w:left="1267" w:right="1260" w:hanging="432"/>
        <w:jc w:val="both"/>
        <w:rPr>
          <w:szCs w:val="17"/>
        </w:rPr>
      </w:pPr>
      <w:r w:rsidRPr="00DE46F3">
        <w:rPr>
          <w:szCs w:val="17"/>
        </w:rPr>
        <w:tab/>
      </w:r>
      <w:r w:rsidRPr="00DE46F3">
        <w:rPr>
          <w:rStyle w:val="FootnoteReference"/>
          <w:szCs w:val="17"/>
        </w:rPr>
        <w:footnoteRef/>
      </w:r>
      <w:r w:rsidRPr="00DE46F3">
        <w:rPr>
          <w:szCs w:val="17"/>
        </w:rPr>
        <w:tab/>
        <w:t>Law N° 3/2017, 25th Jan. 2017 – Art. 3: Principle of Non-discrimination.</w:t>
      </w:r>
    </w:p>
  </w:footnote>
  <w:footnote w:id="2">
    <w:p w14:paraId="29D3E311" w14:textId="77777777" w:rsidR="00E7381F" w:rsidRPr="00DE46F3" w:rsidRDefault="00E7381F" w:rsidP="0098356B">
      <w:pPr>
        <w:pStyle w:val="FootnoteText"/>
        <w:tabs>
          <w:tab w:val="clear" w:pos="418"/>
          <w:tab w:val="right" w:pos="1195"/>
          <w:tab w:val="left" w:pos="1267"/>
          <w:tab w:val="left" w:pos="1742"/>
          <w:tab w:val="left" w:pos="2218"/>
          <w:tab w:val="left" w:pos="2693"/>
        </w:tabs>
        <w:ind w:left="1267" w:right="1260" w:hanging="432"/>
        <w:jc w:val="both"/>
        <w:rPr>
          <w:szCs w:val="17"/>
        </w:rPr>
      </w:pPr>
      <w:r w:rsidRPr="00DE46F3">
        <w:rPr>
          <w:szCs w:val="17"/>
        </w:rPr>
        <w:tab/>
      </w:r>
      <w:r w:rsidRPr="00DE46F3">
        <w:rPr>
          <w:rStyle w:val="FootnoteReference"/>
          <w:szCs w:val="17"/>
        </w:rPr>
        <w:footnoteRef/>
      </w:r>
      <w:r w:rsidRPr="00DE46F3">
        <w:rPr>
          <w:szCs w:val="17"/>
        </w:rPr>
        <w:tab/>
        <w:t>Law N° 12/2016, 14th Nov. 2016 – Art. 6: Principle of Equality / Art. 7: Principle of Equity.</w:t>
      </w:r>
    </w:p>
  </w:footnote>
  <w:footnote w:id="3">
    <w:p w14:paraId="40BABFA5" w14:textId="77777777" w:rsidR="00E7381F" w:rsidRPr="00DE46F3" w:rsidRDefault="00E7381F" w:rsidP="0098356B">
      <w:pPr>
        <w:pStyle w:val="FootnoteText"/>
        <w:tabs>
          <w:tab w:val="clear" w:pos="418"/>
          <w:tab w:val="right" w:pos="1195"/>
          <w:tab w:val="left" w:pos="1267"/>
          <w:tab w:val="left" w:pos="1742"/>
          <w:tab w:val="left" w:pos="2218"/>
          <w:tab w:val="left" w:pos="2693"/>
        </w:tabs>
        <w:ind w:left="1267" w:right="1260" w:hanging="432"/>
        <w:jc w:val="both"/>
        <w:rPr>
          <w:szCs w:val="17"/>
        </w:rPr>
      </w:pPr>
      <w:r w:rsidRPr="00DE46F3">
        <w:rPr>
          <w:szCs w:val="17"/>
        </w:rPr>
        <w:tab/>
      </w:r>
      <w:r w:rsidRPr="00DE46F3">
        <w:rPr>
          <w:rStyle w:val="FootnoteReference"/>
          <w:szCs w:val="17"/>
        </w:rPr>
        <w:footnoteRef/>
      </w:r>
      <w:r w:rsidRPr="00DE46F3">
        <w:rPr>
          <w:szCs w:val="17"/>
        </w:rPr>
        <w:tab/>
        <w:t>Law N° 13/2017, 5th June 2017 – Art. 4: Equal Rights / Art. 5: Duty of Respect of Vulnerable Groups.</w:t>
      </w:r>
    </w:p>
  </w:footnote>
  <w:footnote w:id="4">
    <w:p w14:paraId="5756FDD3" w14:textId="77777777" w:rsidR="00E7381F" w:rsidRPr="00DE46F3" w:rsidRDefault="00E7381F" w:rsidP="0098356B">
      <w:pPr>
        <w:pStyle w:val="FootnoteText"/>
        <w:tabs>
          <w:tab w:val="clear" w:pos="418"/>
          <w:tab w:val="right" w:pos="1195"/>
          <w:tab w:val="left" w:pos="1267"/>
          <w:tab w:val="left" w:pos="1742"/>
          <w:tab w:val="left" w:pos="2218"/>
          <w:tab w:val="left" w:pos="2693"/>
        </w:tabs>
        <w:ind w:left="1267" w:right="1260" w:hanging="432"/>
        <w:jc w:val="both"/>
        <w:rPr>
          <w:szCs w:val="17"/>
        </w:rPr>
      </w:pPr>
      <w:r w:rsidRPr="00DE46F3">
        <w:rPr>
          <w:szCs w:val="17"/>
        </w:rPr>
        <w:tab/>
      </w:r>
      <w:r w:rsidRPr="00DE46F3">
        <w:rPr>
          <w:rStyle w:val="FootnoteReference"/>
          <w:szCs w:val="17"/>
        </w:rPr>
        <w:footnoteRef/>
      </w:r>
      <w:r w:rsidRPr="00DE46F3">
        <w:rPr>
          <w:szCs w:val="17"/>
        </w:rPr>
        <w:tab/>
        <w:t>Law N° 8/2017, 26th April 2017 – Art. 66.</w:t>
      </w:r>
    </w:p>
  </w:footnote>
  <w:footnote w:id="5">
    <w:p w14:paraId="3F545C2C" w14:textId="77777777" w:rsidR="00E7381F" w:rsidRPr="00DE46F3" w:rsidRDefault="00E7381F" w:rsidP="0098356B">
      <w:pPr>
        <w:pStyle w:val="FootnoteText"/>
        <w:tabs>
          <w:tab w:val="clear" w:pos="418"/>
          <w:tab w:val="right" w:pos="1195"/>
          <w:tab w:val="left" w:pos="1267"/>
          <w:tab w:val="left" w:pos="1742"/>
          <w:tab w:val="left" w:pos="2218"/>
          <w:tab w:val="left" w:pos="2693"/>
        </w:tabs>
        <w:ind w:left="1267" w:right="1260" w:hanging="432"/>
        <w:jc w:val="both"/>
        <w:rPr>
          <w:szCs w:val="17"/>
        </w:rPr>
      </w:pPr>
      <w:r w:rsidRPr="00DE46F3">
        <w:rPr>
          <w:szCs w:val="17"/>
        </w:rPr>
        <w:tab/>
      </w:r>
      <w:r w:rsidRPr="00DE46F3">
        <w:rPr>
          <w:rStyle w:val="FootnoteReference"/>
          <w:szCs w:val="17"/>
        </w:rPr>
        <w:footnoteRef/>
      </w:r>
      <w:r w:rsidRPr="00DE46F3">
        <w:rPr>
          <w:szCs w:val="17"/>
        </w:rPr>
        <w:tab/>
        <w:t>See the related articles under the present report for more information on the enactment and implementation of these laws.</w:t>
      </w:r>
    </w:p>
  </w:footnote>
  <w:footnote w:id="6">
    <w:p w14:paraId="2260D9A1" w14:textId="77777777" w:rsidR="00E7381F" w:rsidRPr="00DE46F3" w:rsidRDefault="00E7381F" w:rsidP="0098356B">
      <w:pPr>
        <w:pStyle w:val="FootnoteText"/>
        <w:tabs>
          <w:tab w:val="clear" w:pos="418"/>
          <w:tab w:val="right" w:pos="1195"/>
          <w:tab w:val="left" w:pos="1267"/>
          <w:tab w:val="left" w:pos="1742"/>
          <w:tab w:val="left" w:pos="2218"/>
          <w:tab w:val="left" w:pos="2693"/>
        </w:tabs>
        <w:ind w:left="1267" w:right="1260" w:hanging="432"/>
        <w:jc w:val="both"/>
        <w:rPr>
          <w:szCs w:val="17"/>
        </w:rPr>
      </w:pPr>
      <w:r w:rsidRPr="00DE46F3">
        <w:rPr>
          <w:szCs w:val="17"/>
        </w:rPr>
        <w:tab/>
      </w:r>
      <w:r w:rsidRPr="00DE46F3">
        <w:rPr>
          <w:rStyle w:val="FootnoteReference"/>
          <w:szCs w:val="17"/>
        </w:rPr>
        <w:footnoteRef/>
      </w:r>
      <w:r w:rsidRPr="00DE46F3">
        <w:rPr>
          <w:szCs w:val="17"/>
        </w:rPr>
        <w:tab/>
        <w:t>Ministry of Justice’s response to CEDAW Questionnaire, Sept. 2019.</w:t>
      </w:r>
    </w:p>
  </w:footnote>
  <w:footnote w:id="7">
    <w:p w14:paraId="7889C090" w14:textId="77777777" w:rsidR="00E7381F" w:rsidRPr="00DE46F3" w:rsidRDefault="00E7381F" w:rsidP="0098356B">
      <w:pPr>
        <w:pStyle w:val="FootnoteText"/>
        <w:tabs>
          <w:tab w:val="clear" w:pos="418"/>
          <w:tab w:val="right" w:pos="1195"/>
          <w:tab w:val="left" w:pos="1267"/>
          <w:tab w:val="left" w:pos="1742"/>
          <w:tab w:val="left" w:pos="2218"/>
          <w:tab w:val="left" w:pos="2693"/>
        </w:tabs>
        <w:ind w:left="1267" w:right="1260" w:hanging="432"/>
        <w:jc w:val="both"/>
        <w:rPr>
          <w:szCs w:val="17"/>
        </w:rPr>
      </w:pPr>
      <w:r w:rsidRPr="00DE46F3">
        <w:rPr>
          <w:szCs w:val="17"/>
        </w:rPr>
        <w:tab/>
      </w:r>
      <w:r w:rsidRPr="00DE46F3">
        <w:rPr>
          <w:rStyle w:val="FootnoteReference"/>
          <w:szCs w:val="17"/>
        </w:rPr>
        <w:footnoteRef/>
      </w:r>
      <w:r w:rsidRPr="00DE46F3">
        <w:rPr>
          <w:szCs w:val="17"/>
        </w:rPr>
        <w:tab/>
        <w:t>See Article 16.</w:t>
      </w:r>
    </w:p>
  </w:footnote>
  <w:footnote w:id="8">
    <w:p w14:paraId="57AD54AA" w14:textId="77777777" w:rsidR="00E7381F" w:rsidRPr="00DE46F3" w:rsidRDefault="00E7381F" w:rsidP="0098356B">
      <w:pPr>
        <w:pStyle w:val="FootnoteText"/>
        <w:tabs>
          <w:tab w:val="clear" w:pos="418"/>
          <w:tab w:val="right" w:pos="1195"/>
          <w:tab w:val="left" w:pos="1267"/>
          <w:tab w:val="left" w:pos="1742"/>
          <w:tab w:val="left" w:pos="2218"/>
          <w:tab w:val="left" w:pos="2693"/>
        </w:tabs>
        <w:ind w:left="1267" w:right="1260" w:hanging="432"/>
        <w:jc w:val="both"/>
        <w:rPr>
          <w:szCs w:val="17"/>
        </w:rPr>
      </w:pPr>
      <w:r w:rsidRPr="00DE46F3">
        <w:rPr>
          <w:szCs w:val="17"/>
        </w:rPr>
        <w:tab/>
      </w:r>
      <w:r w:rsidRPr="00DE46F3">
        <w:rPr>
          <w:rStyle w:val="FootnoteReference"/>
          <w:szCs w:val="17"/>
        </w:rPr>
        <w:footnoteRef/>
      </w:r>
      <w:r w:rsidRPr="00DE46F3">
        <w:rPr>
          <w:szCs w:val="17"/>
        </w:rPr>
        <w:tab/>
        <w:t>Ministry of Justice’s response to CEDAW Questionnaire, Sept. 2019.</w:t>
      </w:r>
    </w:p>
  </w:footnote>
  <w:footnote w:id="9">
    <w:p w14:paraId="2F95DD71" w14:textId="23118F7C" w:rsidR="00E7381F" w:rsidRPr="00DE46F3" w:rsidRDefault="00E7381F" w:rsidP="0098356B">
      <w:pPr>
        <w:pStyle w:val="FootnoteText"/>
        <w:tabs>
          <w:tab w:val="clear" w:pos="418"/>
          <w:tab w:val="right" w:pos="1195"/>
          <w:tab w:val="left" w:pos="1267"/>
          <w:tab w:val="left" w:pos="1742"/>
          <w:tab w:val="left" w:pos="2218"/>
          <w:tab w:val="left" w:pos="2693"/>
        </w:tabs>
        <w:ind w:left="1267" w:right="1260" w:hanging="432"/>
        <w:rPr>
          <w:szCs w:val="17"/>
        </w:rPr>
      </w:pPr>
      <w:r w:rsidRPr="00DE46F3">
        <w:rPr>
          <w:szCs w:val="17"/>
        </w:rPr>
        <w:tab/>
      </w:r>
      <w:r w:rsidRPr="00DE46F3">
        <w:rPr>
          <w:rStyle w:val="FootnoteReference"/>
          <w:szCs w:val="17"/>
        </w:rPr>
        <w:footnoteRef/>
      </w:r>
      <w:r w:rsidRPr="00DE46F3">
        <w:rPr>
          <w:szCs w:val="17"/>
        </w:rPr>
        <w:tab/>
      </w:r>
      <w:r w:rsidRPr="00DE46F3">
        <w:rPr>
          <w:spacing w:val="2"/>
          <w:w w:val="101"/>
          <w:szCs w:val="17"/>
        </w:rPr>
        <w:t xml:space="preserve">‘Government to launch national consultations on conciliation and traditional justice’, Government of Timor-Leste website, 11th April 2019 </w:t>
      </w:r>
      <w:r w:rsidRPr="00DE46F3">
        <w:rPr>
          <w:szCs w:val="17"/>
        </w:rPr>
        <w:t>–</w:t>
      </w:r>
      <w:r w:rsidRPr="00DE46F3">
        <w:rPr>
          <w:spacing w:val="2"/>
          <w:w w:val="101"/>
          <w:szCs w:val="17"/>
        </w:rPr>
        <w:t xml:space="preserve"> </w:t>
      </w:r>
      <w:hyperlink r:id="rId1" w:history="1">
        <w:r w:rsidRPr="00DE46F3">
          <w:rPr>
            <w:rStyle w:val="Hyperlink"/>
            <w:spacing w:val="2"/>
            <w:w w:val="101"/>
            <w:szCs w:val="17"/>
          </w:rPr>
          <w:t>http://timor-leste.gov.tl/?p=21614&amp;n=1&amp;lang=en</w:t>
        </w:r>
      </w:hyperlink>
      <w:r w:rsidRPr="00DE46F3">
        <w:rPr>
          <w:spacing w:val="2"/>
          <w:w w:val="101"/>
          <w:szCs w:val="17"/>
        </w:rPr>
        <w:t xml:space="preserve"> [accessed 25/09/2019].</w:t>
      </w:r>
    </w:p>
  </w:footnote>
  <w:footnote w:id="10">
    <w:p w14:paraId="235D102B" w14:textId="65967FF9" w:rsidR="00E7381F" w:rsidRPr="00DE46F3" w:rsidRDefault="00E7381F" w:rsidP="0098356B">
      <w:pPr>
        <w:pStyle w:val="FootnoteText"/>
        <w:tabs>
          <w:tab w:val="clear" w:pos="418"/>
          <w:tab w:val="right" w:pos="1195"/>
          <w:tab w:val="left" w:pos="1267"/>
          <w:tab w:val="left" w:pos="1742"/>
          <w:tab w:val="left" w:pos="2218"/>
          <w:tab w:val="left" w:pos="2693"/>
        </w:tabs>
        <w:ind w:left="1267" w:right="1260" w:hanging="432"/>
        <w:jc w:val="both"/>
        <w:rPr>
          <w:szCs w:val="17"/>
        </w:rPr>
      </w:pPr>
      <w:r w:rsidRPr="00DE46F3">
        <w:rPr>
          <w:szCs w:val="17"/>
        </w:rPr>
        <w:tab/>
      </w:r>
      <w:r w:rsidRPr="00DE46F3">
        <w:rPr>
          <w:rStyle w:val="FootnoteReference"/>
          <w:szCs w:val="17"/>
        </w:rPr>
        <w:footnoteRef/>
      </w:r>
      <w:r w:rsidRPr="00DE46F3">
        <w:rPr>
          <w:szCs w:val="17"/>
        </w:rPr>
        <w:tab/>
        <w:t>Ministry of Justice’s response to CEDAW Questionnaire, Sept. 2019.</w:t>
      </w:r>
    </w:p>
  </w:footnote>
  <w:footnote w:id="11">
    <w:p w14:paraId="20EFCF4B" w14:textId="60727ADD" w:rsidR="00E7381F" w:rsidRPr="00DE46F3" w:rsidRDefault="00E7381F" w:rsidP="0098356B">
      <w:pPr>
        <w:pStyle w:val="FootnoteText"/>
        <w:tabs>
          <w:tab w:val="clear" w:pos="418"/>
          <w:tab w:val="right" w:pos="1195"/>
          <w:tab w:val="left" w:pos="1267"/>
          <w:tab w:val="left" w:pos="1742"/>
          <w:tab w:val="left" w:pos="2218"/>
          <w:tab w:val="left" w:pos="2693"/>
        </w:tabs>
        <w:ind w:left="1267" w:right="1260" w:hanging="432"/>
        <w:rPr>
          <w:szCs w:val="17"/>
        </w:rPr>
      </w:pPr>
      <w:r w:rsidRPr="00DE46F3">
        <w:rPr>
          <w:szCs w:val="17"/>
        </w:rPr>
        <w:tab/>
      </w:r>
      <w:r w:rsidRPr="00DE46F3">
        <w:rPr>
          <w:rStyle w:val="FootnoteReference"/>
          <w:szCs w:val="17"/>
        </w:rPr>
        <w:footnoteRef/>
      </w:r>
      <w:r w:rsidRPr="00DE46F3">
        <w:rPr>
          <w:szCs w:val="17"/>
        </w:rPr>
        <w:t xml:space="preserve"> </w:t>
      </w:r>
      <w:r w:rsidRPr="00DE46F3">
        <w:rPr>
          <w:szCs w:val="17"/>
        </w:rPr>
        <w:tab/>
        <w:t>Seminar Report, Gender Responsive Alternative Dispute Resolution, Dili, 4–5 December 2017, UN Women Timor-Leste, April 2018, p. 10.</w:t>
      </w:r>
    </w:p>
  </w:footnote>
  <w:footnote w:id="12">
    <w:p w14:paraId="27594666" w14:textId="7F39438A" w:rsidR="00E7381F" w:rsidRPr="00DE46F3" w:rsidRDefault="00E7381F" w:rsidP="0098356B">
      <w:pPr>
        <w:pStyle w:val="FootnoteText"/>
        <w:tabs>
          <w:tab w:val="clear" w:pos="418"/>
          <w:tab w:val="right" w:pos="1195"/>
          <w:tab w:val="left" w:pos="1267"/>
          <w:tab w:val="left" w:pos="1742"/>
          <w:tab w:val="left" w:pos="2218"/>
          <w:tab w:val="left" w:pos="2693"/>
        </w:tabs>
        <w:ind w:left="1267" w:right="1260" w:hanging="432"/>
        <w:jc w:val="both"/>
        <w:rPr>
          <w:szCs w:val="17"/>
        </w:rPr>
      </w:pPr>
      <w:r w:rsidRPr="00DE46F3">
        <w:rPr>
          <w:szCs w:val="17"/>
        </w:rPr>
        <w:tab/>
      </w:r>
      <w:r w:rsidRPr="00DE46F3">
        <w:rPr>
          <w:rStyle w:val="FootnoteReference"/>
          <w:szCs w:val="17"/>
        </w:rPr>
        <w:footnoteRef/>
      </w:r>
      <w:r w:rsidRPr="00DE46F3">
        <w:rPr>
          <w:szCs w:val="17"/>
        </w:rPr>
        <w:tab/>
        <w:t>A</w:t>
      </w:r>
      <w:r w:rsidRPr="00DE46F3">
        <w:rPr>
          <w:rFonts w:cs="Calibri"/>
          <w:szCs w:val="17"/>
        </w:rPr>
        <w:t xml:space="preserve">bove 2.500 cases treated for the 2015-2018 period, out of which 1568 cases were resolved </w:t>
      </w:r>
      <w:r w:rsidR="004C5DCA" w:rsidRPr="00DE46F3">
        <w:rPr>
          <w:szCs w:val="17"/>
        </w:rPr>
        <w:t>–</w:t>
      </w:r>
      <w:r w:rsidRPr="00DE46F3">
        <w:rPr>
          <w:rFonts w:cs="Calibri"/>
          <w:szCs w:val="17"/>
        </w:rPr>
        <w:t xml:space="preserve"> the average number of cases resolved per month remains stable (just above 40 cases resolved per months).</w:t>
      </w:r>
    </w:p>
  </w:footnote>
  <w:footnote w:id="13">
    <w:p w14:paraId="26EE8FD9" w14:textId="7F6C13FA" w:rsidR="00E7381F" w:rsidRPr="00DE46F3" w:rsidRDefault="00E7381F" w:rsidP="0098356B">
      <w:pPr>
        <w:pStyle w:val="FootnoteText"/>
        <w:tabs>
          <w:tab w:val="clear" w:pos="418"/>
          <w:tab w:val="right" w:pos="1195"/>
          <w:tab w:val="left" w:pos="1267"/>
          <w:tab w:val="left" w:pos="1742"/>
          <w:tab w:val="left" w:pos="2218"/>
          <w:tab w:val="left" w:pos="2693"/>
        </w:tabs>
        <w:ind w:left="1267" w:right="1260" w:hanging="432"/>
        <w:jc w:val="both"/>
        <w:rPr>
          <w:szCs w:val="17"/>
        </w:rPr>
      </w:pPr>
      <w:r w:rsidRPr="00DE46F3">
        <w:rPr>
          <w:szCs w:val="17"/>
        </w:rPr>
        <w:tab/>
      </w:r>
      <w:r w:rsidRPr="00DE46F3">
        <w:rPr>
          <w:rStyle w:val="FootnoteReference"/>
          <w:szCs w:val="17"/>
        </w:rPr>
        <w:footnoteRef/>
      </w:r>
      <w:r w:rsidRPr="00DE46F3">
        <w:rPr>
          <w:szCs w:val="17"/>
        </w:rPr>
        <w:tab/>
        <w:t>Justice System Programme – 2017 Annual Progress Report, UNDP Timor-Leste, March 2018, p.</w:t>
      </w:r>
      <w:r w:rsidR="004C5DCA" w:rsidRPr="00DE46F3">
        <w:rPr>
          <w:szCs w:val="17"/>
        </w:rPr>
        <w:t> </w:t>
      </w:r>
      <w:r w:rsidRPr="00DE46F3">
        <w:rPr>
          <w:szCs w:val="17"/>
        </w:rPr>
        <w:t>12; Justice System Programme – 2018 Progress Fact Sheet, UNDP Timor-Leste, p.</w:t>
      </w:r>
      <w:r w:rsidR="00C169FA" w:rsidRPr="00DE46F3">
        <w:rPr>
          <w:szCs w:val="17"/>
        </w:rPr>
        <w:t xml:space="preserve"> </w:t>
      </w:r>
      <w:r w:rsidRPr="00DE46F3">
        <w:rPr>
          <w:szCs w:val="17"/>
        </w:rPr>
        <w:t>2.</w:t>
      </w:r>
    </w:p>
  </w:footnote>
  <w:footnote w:id="14">
    <w:p w14:paraId="291134AD" w14:textId="053C15B3" w:rsidR="00E7381F" w:rsidRPr="00DE46F3" w:rsidRDefault="00E7381F" w:rsidP="0098356B">
      <w:pPr>
        <w:pStyle w:val="FootnoteText"/>
        <w:tabs>
          <w:tab w:val="clear" w:pos="418"/>
          <w:tab w:val="right" w:pos="1195"/>
          <w:tab w:val="left" w:pos="1267"/>
          <w:tab w:val="left" w:pos="1742"/>
          <w:tab w:val="left" w:pos="2218"/>
          <w:tab w:val="left" w:pos="2693"/>
        </w:tabs>
        <w:ind w:left="1267" w:right="1260" w:hanging="432"/>
        <w:jc w:val="both"/>
        <w:rPr>
          <w:szCs w:val="17"/>
        </w:rPr>
      </w:pPr>
      <w:r w:rsidRPr="00DE46F3">
        <w:rPr>
          <w:szCs w:val="17"/>
        </w:rPr>
        <w:tab/>
      </w:r>
      <w:r w:rsidRPr="00DE46F3">
        <w:rPr>
          <w:rStyle w:val="FootnoteReference"/>
          <w:szCs w:val="17"/>
        </w:rPr>
        <w:footnoteRef/>
      </w:r>
      <w:r w:rsidRPr="00DE46F3">
        <w:rPr>
          <w:szCs w:val="17"/>
        </w:rPr>
        <w:tab/>
        <w:t>See ‘</w:t>
      </w:r>
      <w:r w:rsidR="004355E5" w:rsidRPr="004355E5">
        <w:rPr>
          <w:szCs w:val="17"/>
        </w:rPr>
        <w:t>Violence Against Women</w:t>
      </w:r>
      <w:r w:rsidRPr="00DE46F3">
        <w:rPr>
          <w:szCs w:val="17"/>
        </w:rPr>
        <w:t>’ under Article 5.</w:t>
      </w:r>
    </w:p>
  </w:footnote>
  <w:footnote w:id="15">
    <w:p w14:paraId="141E9735" w14:textId="77777777" w:rsidR="00E7381F" w:rsidRPr="00DE46F3" w:rsidRDefault="00E7381F" w:rsidP="0098356B">
      <w:pPr>
        <w:pStyle w:val="FootnoteText"/>
        <w:tabs>
          <w:tab w:val="clear" w:pos="418"/>
          <w:tab w:val="right" w:pos="1195"/>
          <w:tab w:val="left" w:pos="1267"/>
          <w:tab w:val="left" w:pos="1742"/>
          <w:tab w:val="left" w:pos="2218"/>
          <w:tab w:val="left" w:pos="2693"/>
        </w:tabs>
        <w:ind w:left="1267" w:right="1260" w:hanging="432"/>
        <w:jc w:val="both"/>
        <w:rPr>
          <w:szCs w:val="17"/>
        </w:rPr>
      </w:pPr>
      <w:r w:rsidRPr="00DE46F3">
        <w:rPr>
          <w:szCs w:val="17"/>
        </w:rPr>
        <w:tab/>
      </w:r>
      <w:r w:rsidRPr="00DE46F3">
        <w:rPr>
          <w:rStyle w:val="FootnoteReference"/>
          <w:szCs w:val="17"/>
        </w:rPr>
        <w:footnoteRef/>
      </w:r>
      <w:r w:rsidRPr="00DE46F3">
        <w:rPr>
          <w:szCs w:val="17"/>
        </w:rPr>
        <w:tab/>
        <w:t>See Article 11.</w:t>
      </w:r>
    </w:p>
  </w:footnote>
  <w:footnote w:id="16">
    <w:p w14:paraId="749B953B" w14:textId="77777777" w:rsidR="00E7381F" w:rsidRPr="00DE46F3" w:rsidRDefault="00E7381F" w:rsidP="0098356B">
      <w:pPr>
        <w:pStyle w:val="FootnoteText"/>
        <w:tabs>
          <w:tab w:val="clear" w:pos="418"/>
          <w:tab w:val="right" w:pos="1195"/>
          <w:tab w:val="left" w:pos="1267"/>
          <w:tab w:val="left" w:pos="1742"/>
          <w:tab w:val="left" w:pos="2218"/>
          <w:tab w:val="left" w:pos="2693"/>
        </w:tabs>
        <w:ind w:left="1267" w:right="1260" w:hanging="432"/>
        <w:jc w:val="both"/>
        <w:rPr>
          <w:szCs w:val="17"/>
        </w:rPr>
      </w:pPr>
      <w:r w:rsidRPr="00DE46F3">
        <w:rPr>
          <w:szCs w:val="17"/>
        </w:rPr>
        <w:tab/>
      </w:r>
      <w:r w:rsidRPr="00DE46F3">
        <w:rPr>
          <w:rStyle w:val="FootnoteReference"/>
          <w:szCs w:val="17"/>
        </w:rPr>
        <w:footnoteRef/>
      </w:r>
      <w:r w:rsidRPr="00DE46F3">
        <w:rPr>
          <w:szCs w:val="17"/>
        </w:rPr>
        <w:tab/>
        <w:t>See Article 10.</w:t>
      </w:r>
    </w:p>
  </w:footnote>
  <w:footnote w:id="17">
    <w:p w14:paraId="0FB8F57E" w14:textId="77777777" w:rsidR="00E7381F" w:rsidRPr="00DE46F3" w:rsidRDefault="00E7381F" w:rsidP="0098356B">
      <w:pPr>
        <w:pStyle w:val="FootnoteText"/>
        <w:tabs>
          <w:tab w:val="clear" w:pos="418"/>
          <w:tab w:val="right" w:pos="1195"/>
          <w:tab w:val="left" w:pos="1267"/>
          <w:tab w:val="left" w:pos="1742"/>
          <w:tab w:val="left" w:pos="2218"/>
          <w:tab w:val="left" w:pos="2693"/>
        </w:tabs>
        <w:ind w:left="1267" w:right="1260" w:hanging="432"/>
        <w:jc w:val="both"/>
        <w:rPr>
          <w:szCs w:val="17"/>
        </w:rPr>
      </w:pPr>
      <w:r w:rsidRPr="00DE46F3">
        <w:rPr>
          <w:szCs w:val="17"/>
        </w:rPr>
        <w:tab/>
      </w:r>
      <w:r w:rsidRPr="00DE46F3">
        <w:rPr>
          <w:rStyle w:val="FootnoteReference"/>
          <w:szCs w:val="17"/>
        </w:rPr>
        <w:footnoteRef/>
      </w:r>
      <w:r w:rsidRPr="00DE46F3">
        <w:rPr>
          <w:szCs w:val="17"/>
        </w:rPr>
        <w:tab/>
        <w:t xml:space="preserve">See for </w:t>
      </w:r>
      <w:r w:rsidRPr="00DE46F3">
        <w:rPr>
          <w:rFonts w:cs="Calibri"/>
          <w:szCs w:val="17"/>
        </w:rPr>
        <w:t>example</w:t>
      </w:r>
      <w:r w:rsidRPr="00DE46F3">
        <w:rPr>
          <w:szCs w:val="17"/>
        </w:rPr>
        <w:t xml:space="preserve">: D. Babo-Soares, “Nahe Biti: the </w:t>
      </w:r>
      <w:r w:rsidRPr="00DE46F3">
        <w:rPr>
          <w:rFonts w:cs="Calibri"/>
          <w:szCs w:val="17"/>
        </w:rPr>
        <w:t>Philosophy</w:t>
      </w:r>
      <w:r w:rsidRPr="00DE46F3">
        <w:rPr>
          <w:szCs w:val="17"/>
        </w:rPr>
        <w:t xml:space="preserve"> and Process of Grassroots Reconciliation (and Justice) in East Timor”, The Asia </w:t>
      </w:r>
      <w:r w:rsidRPr="00DE46F3">
        <w:rPr>
          <w:rFonts w:cs="Calibri"/>
          <w:szCs w:val="17"/>
        </w:rPr>
        <w:t>Pacific</w:t>
      </w:r>
      <w:r w:rsidRPr="00DE46F3">
        <w:rPr>
          <w:szCs w:val="17"/>
        </w:rPr>
        <w:t xml:space="preserve"> Journal of Anthropology, 5(1), 2004; T. Kirk, Legal Aid Lawyers and Paralegals: </w:t>
      </w:r>
      <w:r w:rsidRPr="00DE46F3">
        <w:rPr>
          <w:rFonts w:cs="Calibri"/>
          <w:szCs w:val="17"/>
        </w:rPr>
        <w:t>Promoting</w:t>
      </w:r>
      <w:r w:rsidRPr="00DE46F3">
        <w:rPr>
          <w:szCs w:val="17"/>
        </w:rPr>
        <w:t xml:space="preserve"> Access to Justice and Negotiating Hybridity in Timor-Leste, 2014; Cummins, D. (2014) Local Governance in Timor-Leste, 76-95; The Asia Foundation (2013) Timor-Leste Law and Justice Survey; UNDP (2013) Breaking The Cycle Of Domestic Violence In Timor-Leste, Access To Justice Options, Barriers And Decision Making Processes In The Context Of Legal Pluralism; Ba Distrito Baseline Survey (2014) Local Governance and Access to Justice in Timor-Leste.</w:t>
      </w:r>
    </w:p>
  </w:footnote>
  <w:footnote w:id="18">
    <w:p w14:paraId="45AE9C65" w14:textId="272AA0D2" w:rsidR="00E7381F" w:rsidRPr="00DE46F3" w:rsidRDefault="00E7381F" w:rsidP="0098356B">
      <w:pPr>
        <w:pStyle w:val="FootnoteText"/>
        <w:tabs>
          <w:tab w:val="clear" w:pos="418"/>
          <w:tab w:val="right" w:pos="1195"/>
          <w:tab w:val="left" w:pos="1267"/>
          <w:tab w:val="left" w:pos="1742"/>
          <w:tab w:val="left" w:pos="2218"/>
          <w:tab w:val="left" w:pos="2693"/>
        </w:tabs>
        <w:ind w:left="1267" w:right="1260" w:hanging="432"/>
        <w:jc w:val="both"/>
        <w:rPr>
          <w:szCs w:val="17"/>
        </w:rPr>
      </w:pPr>
      <w:r w:rsidRPr="00DE46F3">
        <w:rPr>
          <w:szCs w:val="17"/>
        </w:rPr>
        <w:tab/>
      </w:r>
      <w:r w:rsidRPr="00DE46F3">
        <w:rPr>
          <w:rStyle w:val="FootnoteReference"/>
          <w:szCs w:val="17"/>
        </w:rPr>
        <w:footnoteRef/>
      </w:r>
      <w:r w:rsidRPr="00DE46F3">
        <w:rPr>
          <w:szCs w:val="17"/>
        </w:rPr>
        <w:tab/>
        <w:t>D. Cummins and M.A. Bere, Women’s multiple pathways to justice: Alternative Dispute Resolution and the impact for women in Timor-Leste, UN Women Timor-Leste, October 2018, p.</w:t>
      </w:r>
      <w:r w:rsidR="004C5DCA" w:rsidRPr="00DE46F3">
        <w:rPr>
          <w:szCs w:val="17"/>
        </w:rPr>
        <w:t> </w:t>
      </w:r>
      <w:r w:rsidRPr="00DE46F3">
        <w:rPr>
          <w:szCs w:val="17"/>
        </w:rPr>
        <w:t>9.</w:t>
      </w:r>
    </w:p>
  </w:footnote>
  <w:footnote w:id="19">
    <w:p w14:paraId="56B29C51" w14:textId="4647F36A" w:rsidR="00E7381F" w:rsidRPr="00DE46F3" w:rsidRDefault="00E7381F" w:rsidP="0098356B">
      <w:pPr>
        <w:pStyle w:val="FootnoteText"/>
        <w:tabs>
          <w:tab w:val="clear" w:pos="418"/>
          <w:tab w:val="right" w:pos="1195"/>
          <w:tab w:val="left" w:pos="1267"/>
          <w:tab w:val="left" w:pos="1742"/>
          <w:tab w:val="left" w:pos="2218"/>
          <w:tab w:val="left" w:pos="2693"/>
        </w:tabs>
        <w:ind w:left="1267" w:right="1260" w:hanging="432"/>
        <w:jc w:val="both"/>
        <w:rPr>
          <w:szCs w:val="17"/>
        </w:rPr>
      </w:pPr>
      <w:r w:rsidRPr="00DE46F3">
        <w:rPr>
          <w:szCs w:val="17"/>
        </w:rPr>
        <w:tab/>
      </w:r>
      <w:r w:rsidRPr="00DE46F3">
        <w:rPr>
          <w:rStyle w:val="FootnoteReference"/>
          <w:szCs w:val="17"/>
        </w:rPr>
        <w:footnoteRef/>
      </w:r>
      <w:r w:rsidRPr="00DE46F3">
        <w:rPr>
          <w:szCs w:val="17"/>
        </w:rPr>
        <w:tab/>
        <w:t>Seminar Report, Gender Responsive Alternative Dispute Resolution, Dili, 4-5 December 2017, UN Women Timor-Leste, April 2018, p.</w:t>
      </w:r>
      <w:r w:rsidR="005B5FE3" w:rsidRPr="00DE46F3">
        <w:rPr>
          <w:szCs w:val="17"/>
        </w:rPr>
        <w:t xml:space="preserve"> </w:t>
      </w:r>
      <w:r w:rsidRPr="00DE46F3">
        <w:rPr>
          <w:szCs w:val="17"/>
        </w:rPr>
        <w:t>21.</w:t>
      </w:r>
    </w:p>
  </w:footnote>
  <w:footnote w:id="20">
    <w:p w14:paraId="1D23B029" w14:textId="77777777" w:rsidR="00E7381F" w:rsidRPr="00DE46F3" w:rsidRDefault="00E7381F" w:rsidP="0098356B">
      <w:pPr>
        <w:pStyle w:val="FootnoteText"/>
        <w:tabs>
          <w:tab w:val="clear" w:pos="418"/>
          <w:tab w:val="right" w:pos="1195"/>
          <w:tab w:val="left" w:pos="1267"/>
          <w:tab w:val="left" w:pos="1742"/>
          <w:tab w:val="left" w:pos="2218"/>
          <w:tab w:val="left" w:pos="2693"/>
        </w:tabs>
        <w:ind w:left="1267" w:right="1260" w:hanging="432"/>
        <w:jc w:val="both"/>
        <w:rPr>
          <w:szCs w:val="17"/>
        </w:rPr>
      </w:pPr>
      <w:r w:rsidRPr="00DE46F3">
        <w:rPr>
          <w:szCs w:val="17"/>
        </w:rPr>
        <w:tab/>
      </w:r>
      <w:r w:rsidRPr="00DE46F3">
        <w:rPr>
          <w:rStyle w:val="FootnoteReference"/>
          <w:szCs w:val="17"/>
        </w:rPr>
        <w:footnoteRef/>
      </w:r>
      <w:r w:rsidRPr="00DE46F3">
        <w:rPr>
          <w:szCs w:val="17"/>
        </w:rPr>
        <w:tab/>
        <w:t>Response of the Office of the Public Defender to the CEDAW Questionnaire, 16</w:t>
      </w:r>
      <w:r w:rsidRPr="007D0872">
        <w:rPr>
          <w:szCs w:val="17"/>
        </w:rPr>
        <w:t>th</w:t>
      </w:r>
      <w:r w:rsidRPr="00DE46F3">
        <w:rPr>
          <w:szCs w:val="17"/>
        </w:rPr>
        <w:t xml:space="preserve"> Oct. 2019.</w:t>
      </w:r>
    </w:p>
  </w:footnote>
  <w:footnote w:id="21">
    <w:p w14:paraId="7D29DB79" w14:textId="77777777" w:rsidR="00E7381F" w:rsidRPr="00DE46F3" w:rsidRDefault="00E7381F" w:rsidP="0098356B">
      <w:pPr>
        <w:pStyle w:val="FootnoteText"/>
        <w:tabs>
          <w:tab w:val="clear" w:pos="418"/>
          <w:tab w:val="right" w:pos="1195"/>
          <w:tab w:val="left" w:pos="1267"/>
          <w:tab w:val="left" w:pos="1742"/>
          <w:tab w:val="left" w:pos="2218"/>
          <w:tab w:val="left" w:pos="2693"/>
        </w:tabs>
        <w:ind w:left="1267" w:right="1260" w:hanging="432"/>
        <w:jc w:val="both"/>
        <w:rPr>
          <w:szCs w:val="17"/>
        </w:rPr>
      </w:pPr>
      <w:r w:rsidRPr="00DE46F3">
        <w:rPr>
          <w:szCs w:val="17"/>
        </w:rPr>
        <w:tab/>
      </w:r>
      <w:r w:rsidRPr="00DE46F3">
        <w:rPr>
          <w:rStyle w:val="FootnoteReference"/>
          <w:szCs w:val="17"/>
        </w:rPr>
        <w:footnoteRef/>
      </w:r>
      <w:r w:rsidRPr="00DE46F3">
        <w:rPr>
          <w:szCs w:val="17"/>
        </w:rPr>
        <w:tab/>
        <w:t>Response of the Office of the Public Defender to the CEDAW Questionnaire, 16</w:t>
      </w:r>
      <w:r w:rsidRPr="007D0872">
        <w:rPr>
          <w:szCs w:val="17"/>
        </w:rPr>
        <w:t>th</w:t>
      </w:r>
      <w:r w:rsidRPr="00DE46F3">
        <w:rPr>
          <w:szCs w:val="17"/>
        </w:rPr>
        <w:t xml:space="preserve"> Oct. 2019.</w:t>
      </w:r>
    </w:p>
  </w:footnote>
  <w:footnote w:id="22">
    <w:p w14:paraId="49D5B535" w14:textId="77777777" w:rsidR="00E7381F" w:rsidRPr="00DE46F3" w:rsidRDefault="00E7381F" w:rsidP="0098356B">
      <w:pPr>
        <w:pStyle w:val="FootnoteText"/>
        <w:tabs>
          <w:tab w:val="clear" w:pos="418"/>
          <w:tab w:val="right" w:pos="1195"/>
          <w:tab w:val="left" w:pos="1267"/>
          <w:tab w:val="left" w:pos="1742"/>
          <w:tab w:val="left" w:pos="2218"/>
          <w:tab w:val="left" w:pos="2693"/>
        </w:tabs>
        <w:ind w:left="1267" w:right="1260" w:hanging="432"/>
        <w:jc w:val="both"/>
        <w:rPr>
          <w:szCs w:val="17"/>
        </w:rPr>
      </w:pPr>
      <w:r w:rsidRPr="00DE46F3">
        <w:rPr>
          <w:szCs w:val="17"/>
        </w:rPr>
        <w:tab/>
      </w:r>
      <w:r w:rsidRPr="00DE46F3">
        <w:rPr>
          <w:rStyle w:val="FootnoteReference"/>
          <w:szCs w:val="17"/>
        </w:rPr>
        <w:footnoteRef/>
      </w:r>
      <w:r w:rsidRPr="00DE46F3">
        <w:rPr>
          <w:szCs w:val="17"/>
        </w:rPr>
        <w:tab/>
        <w:t>Notwithstanding</w:t>
      </w:r>
      <w:r w:rsidRPr="00DE46F3">
        <w:rPr>
          <w:rFonts w:cs="Calibri"/>
          <w:szCs w:val="17"/>
        </w:rPr>
        <w:t>, an important share of victims of violence against women is directly supported by the public prosecutor.</w:t>
      </w:r>
    </w:p>
  </w:footnote>
  <w:footnote w:id="23">
    <w:p w14:paraId="26957CA9" w14:textId="77777777" w:rsidR="00E7381F" w:rsidRPr="00DE46F3" w:rsidRDefault="00E7381F" w:rsidP="0098356B">
      <w:pPr>
        <w:pStyle w:val="FootnoteText"/>
        <w:tabs>
          <w:tab w:val="clear" w:pos="418"/>
          <w:tab w:val="right" w:pos="1195"/>
          <w:tab w:val="left" w:pos="1267"/>
          <w:tab w:val="left" w:pos="1742"/>
          <w:tab w:val="left" w:pos="2218"/>
          <w:tab w:val="left" w:pos="2693"/>
        </w:tabs>
        <w:ind w:left="1267" w:right="1260" w:hanging="432"/>
        <w:jc w:val="both"/>
        <w:rPr>
          <w:szCs w:val="17"/>
        </w:rPr>
      </w:pPr>
      <w:r w:rsidRPr="00DE46F3">
        <w:rPr>
          <w:szCs w:val="17"/>
        </w:rPr>
        <w:tab/>
      </w:r>
      <w:r w:rsidRPr="00DE46F3">
        <w:rPr>
          <w:rStyle w:val="FootnoteReference"/>
          <w:szCs w:val="17"/>
        </w:rPr>
        <w:footnoteRef/>
      </w:r>
      <w:r w:rsidRPr="00DE46F3">
        <w:rPr>
          <w:szCs w:val="17"/>
        </w:rPr>
        <w:tab/>
        <w:t>18 land disputes and 10 other types of civil cases.</w:t>
      </w:r>
    </w:p>
  </w:footnote>
  <w:footnote w:id="24">
    <w:p w14:paraId="4FDC2108" w14:textId="09EBD9C0" w:rsidR="00E7381F" w:rsidRPr="00DE46F3" w:rsidRDefault="00E7381F" w:rsidP="0098356B">
      <w:pPr>
        <w:pStyle w:val="FootnoteText"/>
        <w:tabs>
          <w:tab w:val="clear" w:pos="418"/>
          <w:tab w:val="right" w:pos="1195"/>
          <w:tab w:val="left" w:pos="1267"/>
          <w:tab w:val="left" w:pos="1742"/>
          <w:tab w:val="left" w:pos="2218"/>
          <w:tab w:val="left" w:pos="2693"/>
        </w:tabs>
        <w:ind w:left="1267" w:right="1260" w:hanging="432"/>
        <w:jc w:val="both"/>
        <w:rPr>
          <w:szCs w:val="17"/>
        </w:rPr>
      </w:pPr>
      <w:r w:rsidRPr="00DE46F3">
        <w:rPr>
          <w:szCs w:val="17"/>
        </w:rPr>
        <w:tab/>
      </w:r>
      <w:r w:rsidRPr="00DE46F3">
        <w:rPr>
          <w:rStyle w:val="FootnoteReference"/>
          <w:szCs w:val="17"/>
        </w:rPr>
        <w:footnoteRef/>
      </w:r>
      <w:r w:rsidRPr="00DE46F3">
        <w:rPr>
          <w:szCs w:val="17"/>
        </w:rPr>
        <w:tab/>
        <w:t>Strengthening Rule of Law by Supporting the Establishment of Access to Justice Clinics (ACJs) in Timor-Leste - Final Report for the Government of Japan, April 2016</w:t>
      </w:r>
      <w:r w:rsidR="004C5DCA" w:rsidRPr="00DE46F3">
        <w:rPr>
          <w:szCs w:val="17"/>
        </w:rPr>
        <w:t>–</w:t>
      </w:r>
      <w:r w:rsidRPr="00DE46F3">
        <w:rPr>
          <w:szCs w:val="17"/>
        </w:rPr>
        <w:t>February 2018, UNDP/OPD, 14th June 2018, pp. 12</w:t>
      </w:r>
      <w:r w:rsidR="004C5DCA" w:rsidRPr="00DE46F3">
        <w:rPr>
          <w:szCs w:val="17"/>
        </w:rPr>
        <w:t>–</w:t>
      </w:r>
      <w:r w:rsidRPr="00DE46F3">
        <w:rPr>
          <w:szCs w:val="17"/>
        </w:rPr>
        <w:t>13.</w:t>
      </w:r>
    </w:p>
  </w:footnote>
  <w:footnote w:id="25">
    <w:p w14:paraId="4AEC0E3E" w14:textId="77777777" w:rsidR="00E7381F" w:rsidRPr="00DE46F3" w:rsidRDefault="00E7381F" w:rsidP="0098356B">
      <w:pPr>
        <w:pStyle w:val="FootnoteText"/>
        <w:tabs>
          <w:tab w:val="clear" w:pos="418"/>
          <w:tab w:val="right" w:pos="1195"/>
          <w:tab w:val="left" w:pos="1267"/>
          <w:tab w:val="left" w:pos="1742"/>
          <w:tab w:val="left" w:pos="2218"/>
          <w:tab w:val="left" w:pos="2693"/>
        </w:tabs>
        <w:ind w:left="1267" w:right="1260" w:hanging="432"/>
        <w:jc w:val="both"/>
        <w:rPr>
          <w:szCs w:val="17"/>
        </w:rPr>
      </w:pPr>
      <w:r w:rsidRPr="00DE46F3">
        <w:rPr>
          <w:szCs w:val="17"/>
        </w:rPr>
        <w:tab/>
      </w:r>
      <w:r w:rsidRPr="00DE46F3">
        <w:rPr>
          <w:rStyle w:val="FootnoteReference"/>
          <w:szCs w:val="17"/>
        </w:rPr>
        <w:footnoteRef/>
      </w:r>
      <w:r w:rsidRPr="00DE46F3">
        <w:rPr>
          <w:szCs w:val="17"/>
        </w:rPr>
        <w:tab/>
        <w:t>The main legal aid CSO, ALFeLa, provided legal aid to 1,549 victims (97,5 per cent women and children) between 2015 and 2018 - most of them being criminal cases (only 14 per cent of civil cases) - ALFeLa’s response to CEDAW questionnaire, August 2019.</w:t>
      </w:r>
    </w:p>
  </w:footnote>
  <w:footnote w:id="26">
    <w:p w14:paraId="5CEB2E4C" w14:textId="77777777" w:rsidR="00E7381F" w:rsidRPr="00DE46F3" w:rsidRDefault="00E7381F" w:rsidP="0098356B">
      <w:pPr>
        <w:pStyle w:val="FootnoteText"/>
        <w:tabs>
          <w:tab w:val="clear" w:pos="418"/>
          <w:tab w:val="right" w:pos="1195"/>
          <w:tab w:val="left" w:pos="1267"/>
          <w:tab w:val="left" w:pos="1742"/>
          <w:tab w:val="left" w:pos="2218"/>
          <w:tab w:val="left" w:pos="2693"/>
        </w:tabs>
        <w:ind w:left="1267" w:right="1260" w:hanging="432"/>
        <w:jc w:val="both"/>
        <w:rPr>
          <w:szCs w:val="17"/>
        </w:rPr>
      </w:pPr>
      <w:r w:rsidRPr="00DE46F3">
        <w:rPr>
          <w:szCs w:val="17"/>
        </w:rPr>
        <w:tab/>
      </w:r>
      <w:r w:rsidRPr="00DE46F3">
        <w:rPr>
          <w:rStyle w:val="FootnoteReference"/>
          <w:szCs w:val="17"/>
        </w:rPr>
        <w:footnoteRef/>
      </w:r>
      <w:r w:rsidRPr="00DE46F3">
        <w:rPr>
          <w:szCs w:val="17"/>
        </w:rPr>
        <w:tab/>
        <w:t>Other national NGOs such as Fokupers and the Alola Foundation are also providing important legal support to victims of GBV - 2018 Annual Report to National Parliament on the Implementation of the 2017-2021 National Action Plan on Gender-Based Violence, Secretariat of State for Equality and Inclusion (SEII), July 2019.</w:t>
      </w:r>
    </w:p>
  </w:footnote>
  <w:footnote w:id="27">
    <w:p w14:paraId="455C0847" w14:textId="77777777" w:rsidR="00E7381F" w:rsidRPr="00DE46F3" w:rsidRDefault="00E7381F" w:rsidP="0098356B">
      <w:pPr>
        <w:pStyle w:val="FootnoteText"/>
        <w:tabs>
          <w:tab w:val="clear" w:pos="418"/>
          <w:tab w:val="right" w:pos="1195"/>
          <w:tab w:val="left" w:pos="1267"/>
          <w:tab w:val="left" w:pos="1742"/>
          <w:tab w:val="left" w:pos="2218"/>
          <w:tab w:val="left" w:pos="2693"/>
        </w:tabs>
        <w:ind w:left="1267" w:right="1260" w:hanging="432"/>
        <w:jc w:val="both"/>
        <w:rPr>
          <w:szCs w:val="17"/>
        </w:rPr>
      </w:pPr>
      <w:r w:rsidRPr="00DE46F3">
        <w:rPr>
          <w:szCs w:val="17"/>
        </w:rPr>
        <w:tab/>
      </w:r>
      <w:r w:rsidRPr="00DE46F3">
        <w:rPr>
          <w:rStyle w:val="FootnoteReference"/>
          <w:szCs w:val="17"/>
        </w:rPr>
        <w:footnoteRef/>
      </w:r>
      <w:r w:rsidRPr="00DE46F3">
        <w:rPr>
          <w:szCs w:val="17"/>
        </w:rPr>
        <w:tab/>
        <w:t>Law N° 1/2017, 18</w:t>
      </w:r>
      <w:r w:rsidRPr="007D0872">
        <w:rPr>
          <w:szCs w:val="17"/>
        </w:rPr>
        <w:t>th</w:t>
      </w:r>
      <w:r w:rsidRPr="00DE46F3">
        <w:rPr>
          <w:szCs w:val="17"/>
        </w:rPr>
        <w:t xml:space="preserve"> January 2018 - Transitional Recruitment Regime for Non-Timorese Magistrates and Public Defenders and Second Amendment to Law No. 9/2011 of 17 August Approving the Organic of the Board of Auditors of the Supreme Administrative, Tax and Audit Court.</w:t>
      </w:r>
    </w:p>
  </w:footnote>
  <w:footnote w:id="28">
    <w:p w14:paraId="76B6707E" w14:textId="77777777" w:rsidR="00E7381F" w:rsidRPr="00DE46F3" w:rsidRDefault="00E7381F" w:rsidP="0098356B">
      <w:pPr>
        <w:pStyle w:val="FootnoteText"/>
        <w:tabs>
          <w:tab w:val="clear" w:pos="418"/>
          <w:tab w:val="right" w:pos="1195"/>
          <w:tab w:val="left" w:pos="1267"/>
          <w:tab w:val="left" w:pos="1742"/>
          <w:tab w:val="left" w:pos="2218"/>
          <w:tab w:val="left" w:pos="2693"/>
        </w:tabs>
        <w:ind w:left="1267" w:right="1260" w:hanging="432"/>
        <w:jc w:val="both"/>
        <w:rPr>
          <w:szCs w:val="17"/>
        </w:rPr>
      </w:pPr>
      <w:r w:rsidRPr="00DE46F3">
        <w:rPr>
          <w:szCs w:val="17"/>
        </w:rPr>
        <w:tab/>
      </w:r>
      <w:r w:rsidRPr="00DE46F3">
        <w:rPr>
          <w:rStyle w:val="FootnoteReference"/>
          <w:szCs w:val="17"/>
        </w:rPr>
        <w:footnoteRef/>
      </w:r>
      <w:r w:rsidRPr="00DE46F3">
        <w:rPr>
          <w:szCs w:val="17"/>
        </w:rPr>
        <w:tab/>
        <w:t>Interview of Dr. Antonino Gonçalves, Legal and Judicial Training Center (LJTC), 14/11/2019.</w:t>
      </w:r>
    </w:p>
  </w:footnote>
  <w:footnote w:id="29">
    <w:p w14:paraId="500696C5" w14:textId="77777777" w:rsidR="00E7381F" w:rsidRPr="00DE46F3" w:rsidRDefault="00E7381F" w:rsidP="0098356B">
      <w:pPr>
        <w:pStyle w:val="FootnoteText"/>
        <w:tabs>
          <w:tab w:val="clear" w:pos="418"/>
          <w:tab w:val="right" w:pos="1195"/>
          <w:tab w:val="left" w:pos="1267"/>
          <w:tab w:val="left" w:pos="1742"/>
          <w:tab w:val="left" w:pos="2218"/>
          <w:tab w:val="left" w:pos="2693"/>
        </w:tabs>
        <w:ind w:left="1267" w:right="1260" w:hanging="432"/>
        <w:jc w:val="both"/>
        <w:rPr>
          <w:szCs w:val="17"/>
        </w:rPr>
      </w:pPr>
      <w:r w:rsidRPr="00DE46F3">
        <w:rPr>
          <w:szCs w:val="17"/>
        </w:rPr>
        <w:tab/>
      </w:r>
      <w:r w:rsidRPr="00DE46F3">
        <w:rPr>
          <w:rStyle w:val="FootnoteReference"/>
          <w:szCs w:val="17"/>
        </w:rPr>
        <w:footnoteRef/>
      </w:r>
      <w:r w:rsidRPr="00DE46F3">
        <w:rPr>
          <w:szCs w:val="17"/>
        </w:rPr>
        <w:tab/>
        <w:t>Decree-Law N° 18/2016, 22</w:t>
      </w:r>
      <w:r w:rsidRPr="007D0872">
        <w:rPr>
          <w:szCs w:val="17"/>
        </w:rPr>
        <w:t>nd</w:t>
      </w:r>
      <w:r w:rsidRPr="00DE46F3">
        <w:rPr>
          <w:szCs w:val="17"/>
        </w:rPr>
        <w:t xml:space="preserve"> of June 2016 - Training Activities Regime of the Legal and Judicial Training Center, – Previously called ‘Legal Training Center’.</w:t>
      </w:r>
    </w:p>
  </w:footnote>
  <w:footnote w:id="30">
    <w:p w14:paraId="27D2ED4B" w14:textId="187E6A0E" w:rsidR="00E7381F" w:rsidRPr="00DE46F3" w:rsidRDefault="00E7381F" w:rsidP="0098356B">
      <w:pPr>
        <w:pStyle w:val="FootnoteText"/>
        <w:tabs>
          <w:tab w:val="clear" w:pos="418"/>
          <w:tab w:val="right" w:pos="1195"/>
          <w:tab w:val="left" w:pos="1267"/>
          <w:tab w:val="left" w:pos="1742"/>
          <w:tab w:val="left" w:pos="2218"/>
          <w:tab w:val="left" w:pos="2693"/>
        </w:tabs>
        <w:ind w:left="1267" w:right="1260" w:hanging="432"/>
        <w:jc w:val="both"/>
        <w:rPr>
          <w:szCs w:val="17"/>
        </w:rPr>
      </w:pPr>
      <w:r w:rsidRPr="00DE46F3">
        <w:rPr>
          <w:szCs w:val="17"/>
        </w:rPr>
        <w:tab/>
      </w:r>
      <w:r w:rsidRPr="00DE46F3">
        <w:rPr>
          <w:rStyle w:val="FootnoteReference"/>
          <w:szCs w:val="17"/>
        </w:rPr>
        <w:footnoteRef/>
      </w:r>
      <w:bookmarkStart w:id="6" w:name="_Hlk24338319"/>
      <w:r w:rsidRPr="00DE46F3">
        <w:rPr>
          <w:szCs w:val="17"/>
        </w:rPr>
        <w:tab/>
        <w:t>Response of the Court of Appeal (acting as the Supreme Court) to the CEDAW Questionnaire, 7th</w:t>
      </w:r>
      <w:r w:rsidR="00DE46F3" w:rsidRPr="00DE46F3">
        <w:rPr>
          <w:szCs w:val="17"/>
        </w:rPr>
        <w:t> </w:t>
      </w:r>
      <w:r w:rsidRPr="00DE46F3">
        <w:rPr>
          <w:szCs w:val="17"/>
        </w:rPr>
        <w:t>Nov. 2019</w:t>
      </w:r>
      <w:bookmarkEnd w:id="6"/>
      <w:r w:rsidRPr="00DE46F3">
        <w:rPr>
          <w:szCs w:val="17"/>
        </w:rPr>
        <w:t>.</w:t>
      </w:r>
    </w:p>
  </w:footnote>
  <w:footnote w:id="31">
    <w:p w14:paraId="61E61509" w14:textId="5151FBDA" w:rsidR="00E7381F" w:rsidRPr="00DE46F3" w:rsidRDefault="00E7381F" w:rsidP="0098356B">
      <w:pPr>
        <w:pStyle w:val="FootnoteText"/>
        <w:tabs>
          <w:tab w:val="clear" w:pos="418"/>
          <w:tab w:val="right" w:pos="1195"/>
          <w:tab w:val="left" w:pos="1267"/>
          <w:tab w:val="left" w:pos="1742"/>
          <w:tab w:val="left" w:pos="2218"/>
          <w:tab w:val="left" w:pos="2693"/>
        </w:tabs>
        <w:ind w:left="1267" w:right="1260" w:hanging="432"/>
        <w:jc w:val="both"/>
        <w:rPr>
          <w:szCs w:val="17"/>
        </w:rPr>
      </w:pPr>
      <w:r w:rsidRPr="00DE46F3">
        <w:rPr>
          <w:szCs w:val="17"/>
        </w:rPr>
        <w:tab/>
      </w:r>
      <w:r w:rsidRPr="00DE46F3">
        <w:rPr>
          <w:rStyle w:val="FootnoteReference"/>
          <w:szCs w:val="17"/>
        </w:rPr>
        <w:footnoteRef/>
      </w:r>
      <w:r w:rsidRPr="00DE46F3">
        <w:rPr>
          <w:szCs w:val="17"/>
        </w:rPr>
        <w:tab/>
        <w:t>Justice System Programme – 2018 Progress Fact Sheet, UNDP Timor-Leste, p.</w:t>
      </w:r>
      <w:r w:rsidR="005B5FE3" w:rsidRPr="00DE46F3">
        <w:rPr>
          <w:szCs w:val="17"/>
        </w:rPr>
        <w:t xml:space="preserve"> </w:t>
      </w:r>
      <w:r w:rsidRPr="00DE46F3">
        <w:rPr>
          <w:szCs w:val="17"/>
        </w:rPr>
        <w:t>2.</w:t>
      </w:r>
    </w:p>
  </w:footnote>
  <w:footnote w:id="32">
    <w:p w14:paraId="52C1DC5A" w14:textId="77777777" w:rsidR="00E7381F" w:rsidRPr="00DE46F3" w:rsidRDefault="00E7381F" w:rsidP="0098356B">
      <w:pPr>
        <w:pStyle w:val="FootnoteText"/>
        <w:tabs>
          <w:tab w:val="clear" w:pos="418"/>
          <w:tab w:val="right" w:pos="1195"/>
          <w:tab w:val="left" w:pos="1267"/>
          <w:tab w:val="left" w:pos="1742"/>
          <w:tab w:val="left" w:pos="2218"/>
          <w:tab w:val="left" w:pos="2693"/>
        </w:tabs>
        <w:ind w:left="1267" w:right="1260" w:hanging="432"/>
        <w:jc w:val="both"/>
        <w:rPr>
          <w:szCs w:val="17"/>
        </w:rPr>
      </w:pPr>
      <w:r w:rsidRPr="00DE46F3">
        <w:rPr>
          <w:szCs w:val="17"/>
        </w:rPr>
        <w:tab/>
      </w:r>
      <w:r w:rsidRPr="00DE46F3">
        <w:rPr>
          <w:rStyle w:val="FootnoteReference"/>
          <w:szCs w:val="17"/>
        </w:rPr>
        <w:footnoteRef/>
      </w:r>
      <w:r w:rsidRPr="00DE46F3">
        <w:rPr>
          <w:szCs w:val="17"/>
        </w:rPr>
        <w:tab/>
        <w:t xml:space="preserve">Secretary of State for Support and Socio-Economic Promotion of Women (SEM) from 2015 to 2017, </w:t>
      </w:r>
      <w:r w:rsidRPr="00DE46F3">
        <w:rPr>
          <w:rFonts w:cs="Calibri"/>
          <w:szCs w:val="17"/>
          <w:shd w:val="clear" w:color="auto" w:fill="FFFFFF"/>
        </w:rPr>
        <w:t>Secretary of State for Gender Equality and Social Inclusion</w:t>
      </w:r>
      <w:r w:rsidRPr="00DE46F3">
        <w:rPr>
          <w:szCs w:val="17"/>
        </w:rPr>
        <w:t xml:space="preserve"> (SEIGIS) from 2017 to 2018 and </w:t>
      </w:r>
      <w:r w:rsidRPr="00DE46F3">
        <w:rPr>
          <w:rFonts w:cs="Calibri"/>
          <w:szCs w:val="17"/>
          <w:shd w:val="clear" w:color="auto" w:fill="FFFFFF"/>
        </w:rPr>
        <w:t>Secretary of State for Equality and Inclusion</w:t>
      </w:r>
      <w:r w:rsidRPr="00DE46F3">
        <w:rPr>
          <w:rFonts w:cs="Calibri"/>
          <w:szCs w:val="17"/>
        </w:rPr>
        <w:t xml:space="preserve"> </w:t>
      </w:r>
      <w:r w:rsidRPr="00DE46F3">
        <w:rPr>
          <w:szCs w:val="17"/>
        </w:rPr>
        <w:t>(SEII) from 2018 to present.</w:t>
      </w:r>
    </w:p>
  </w:footnote>
  <w:footnote w:id="33">
    <w:p w14:paraId="722F399D" w14:textId="77777777" w:rsidR="00E7381F" w:rsidRPr="00DE46F3" w:rsidRDefault="00E7381F" w:rsidP="0098356B">
      <w:pPr>
        <w:pStyle w:val="FootnoteText"/>
        <w:tabs>
          <w:tab w:val="clear" w:pos="418"/>
          <w:tab w:val="right" w:pos="1195"/>
          <w:tab w:val="left" w:pos="1267"/>
          <w:tab w:val="left" w:pos="1742"/>
          <w:tab w:val="left" w:pos="2218"/>
          <w:tab w:val="left" w:pos="2693"/>
        </w:tabs>
        <w:ind w:left="1267" w:right="1260" w:hanging="432"/>
        <w:jc w:val="both"/>
        <w:rPr>
          <w:szCs w:val="17"/>
        </w:rPr>
      </w:pPr>
      <w:r w:rsidRPr="00DE46F3">
        <w:rPr>
          <w:szCs w:val="17"/>
        </w:rPr>
        <w:tab/>
      </w:r>
      <w:r w:rsidRPr="00DE46F3">
        <w:rPr>
          <w:rStyle w:val="FootnoteReference"/>
          <w:szCs w:val="17"/>
        </w:rPr>
        <w:footnoteRef/>
      </w:r>
      <w:r w:rsidRPr="00DE46F3">
        <w:rPr>
          <w:szCs w:val="17"/>
        </w:rPr>
        <w:tab/>
        <w:t>SEII Training Department data.</w:t>
      </w:r>
    </w:p>
  </w:footnote>
  <w:footnote w:id="34">
    <w:p w14:paraId="18C242D5" w14:textId="202D9D9E" w:rsidR="00E7381F" w:rsidRPr="00DE46F3" w:rsidRDefault="00E7381F" w:rsidP="00DE46F3">
      <w:pPr>
        <w:pStyle w:val="FootnoteText"/>
        <w:keepNext/>
        <w:keepLines/>
        <w:tabs>
          <w:tab w:val="clear" w:pos="418"/>
          <w:tab w:val="right" w:pos="1195"/>
          <w:tab w:val="left" w:pos="1267"/>
          <w:tab w:val="left" w:pos="1742"/>
          <w:tab w:val="left" w:pos="2218"/>
          <w:tab w:val="left" w:pos="2693"/>
        </w:tabs>
        <w:ind w:left="1267" w:right="1260" w:hanging="432"/>
        <w:rPr>
          <w:szCs w:val="17"/>
        </w:rPr>
      </w:pPr>
      <w:r w:rsidRPr="00DE46F3">
        <w:rPr>
          <w:szCs w:val="17"/>
        </w:rPr>
        <w:tab/>
      </w:r>
      <w:r w:rsidRPr="00DE46F3">
        <w:rPr>
          <w:rStyle w:val="FootnoteReference"/>
          <w:szCs w:val="17"/>
        </w:rPr>
        <w:footnoteRef/>
      </w:r>
      <w:r w:rsidRPr="00DE46F3">
        <w:rPr>
          <w:szCs w:val="17"/>
        </w:rPr>
        <w:tab/>
        <w:t xml:space="preserve">‘JSMP congratulates the court for applying CEDAW in its decision in a case of domestic violence’, Press Release, Judicial System Monitoring Programme (JSMP), 12th Feb. 2015 - </w:t>
      </w:r>
      <w:hyperlink r:id="rId2" w:history="1">
        <w:r w:rsidRPr="00DE46F3">
          <w:rPr>
            <w:rStyle w:val="Hyperlink"/>
            <w:szCs w:val="17"/>
          </w:rPr>
          <w:t>http://jsmp.tl/wp-content/uploads/2015/01/JSMPJSMPkongratula-tribunal-tanba-aplika-instrumentu-CEDAW-iha-kazu-violensia-domestika_ENGLISH.pdf</w:t>
        </w:r>
      </w:hyperlink>
      <w:r w:rsidRPr="00DE46F3">
        <w:rPr>
          <w:szCs w:val="17"/>
        </w:rPr>
        <w:t xml:space="preserve"> [accessed 25/09/2019]; ‘Dili District Court sentences Defendant in case of rape to 10 years and 6 months in prison and orders him to pay compensation pursuant to the Penal Code and CEDAW’, Press Release, Judicial System Monitoring Programme (JSMP), 15th Oct. 2015 - </w:t>
      </w:r>
      <w:hyperlink r:id="rId3" w:history="1">
        <w:r w:rsidRPr="00DE46F3">
          <w:rPr>
            <w:rStyle w:val="Hyperlink"/>
            <w:szCs w:val="17"/>
          </w:rPr>
          <w:t>http://jsmp.tl/wp-content/uploads/2015/01/PrTribunalDILIKondenatinan10fulan6CEDAW_ENGLISH.pdf</w:t>
        </w:r>
      </w:hyperlink>
      <w:r w:rsidRPr="00DE46F3">
        <w:rPr>
          <w:szCs w:val="17"/>
        </w:rPr>
        <w:t xml:space="preserve"> [accessed 25/09/2019]; ‘Tribunál kontinua aplika instrumentu CEDAW ba krime ho natureza violénsia doméstika’, Press Release, JSMP, 18</w:t>
      </w:r>
      <w:r w:rsidRPr="007D0872">
        <w:rPr>
          <w:szCs w:val="17"/>
        </w:rPr>
        <w:t>th</w:t>
      </w:r>
      <w:r w:rsidRPr="00DE46F3">
        <w:rPr>
          <w:szCs w:val="17"/>
        </w:rPr>
        <w:t xml:space="preserve"> Feb. 2016 – </w:t>
      </w:r>
      <w:hyperlink r:id="rId4" w:history="1">
        <w:r w:rsidRPr="00DE46F3">
          <w:rPr>
            <w:rStyle w:val="Hyperlink"/>
            <w:szCs w:val="17"/>
          </w:rPr>
          <w:t>http://jsmp.tl/wp-content/uploads/2016/01/PrWCJUdesizaun-kazu-VD-referebaCEDAW_TETUM.pdf</w:t>
        </w:r>
      </w:hyperlink>
      <w:r w:rsidRPr="00DE46F3">
        <w:rPr>
          <w:szCs w:val="17"/>
        </w:rPr>
        <w:t xml:space="preserve"> </w:t>
      </w:r>
      <w:r w:rsidRPr="00DE46F3">
        <w:rPr>
          <w:rStyle w:val="Hyperlink"/>
          <w:szCs w:val="17"/>
        </w:rPr>
        <w:t>[accessed 25/09/2019]</w:t>
      </w:r>
      <w:r w:rsidRPr="00DE46F3">
        <w:rPr>
          <w:szCs w:val="17"/>
        </w:rPr>
        <w:t>.</w:t>
      </w:r>
    </w:p>
  </w:footnote>
  <w:footnote w:id="35">
    <w:p w14:paraId="6F8AB686" w14:textId="77777777" w:rsidR="00E7381F" w:rsidRPr="00DE46F3" w:rsidRDefault="00E7381F" w:rsidP="0098356B">
      <w:pPr>
        <w:pStyle w:val="FootnoteText"/>
        <w:tabs>
          <w:tab w:val="clear" w:pos="418"/>
          <w:tab w:val="right" w:pos="1195"/>
          <w:tab w:val="left" w:pos="1267"/>
          <w:tab w:val="left" w:pos="1742"/>
          <w:tab w:val="left" w:pos="2218"/>
          <w:tab w:val="left" w:pos="2693"/>
        </w:tabs>
        <w:ind w:left="1267" w:right="1260" w:hanging="432"/>
        <w:jc w:val="both"/>
        <w:rPr>
          <w:szCs w:val="17"/>
        </w:rPr>
      </w:pPr>
      <w:r w:rsidRPr="00DE46F3">
        <w:rPr>
          <w:szCs w:val="17"/>
        </w:rPr>
        <w:tab/>
      </w:r>
      <w:r w:rsidRPr="00DE46F3">
        <w:rPr>
          <w:rStyle w:val="FootnoteReference"/>
          <w:szCs w:val="17"/>
        </w:rPr>
        <w:footnoteRef/>
      </w:r>
      <w:r w:rsidRPr="00DE46F3">
        <w:rPr>
          <w:szCs w:val="17"/>
        </w:rPr>
        <w:tab/>
        <w:t>Overview of the Justice Sector – 2016 Annual Report, Judicial System Monitoring Program (JSMP), April 2017, p. 25.</w:t>
      </w:r>
    </w:p>
  </w:footnote>
  <w:footnote w:id="36">
    <w:p w14:paraId="37892805" w14:textId="77777777" w:rsidR="00E7381F" w:rsidRPr="00DE46F3" w:rsidRDefault="00E7381F" w:rsidP="0098356B">
      <w:pPr>
        <w:pStyle w:val="FootnoteText"/>
        <w:tabs>
          <w:tab w:val="clear" w:pos="418"/>
          <w:tab w:val="right" w:pos="1195"/>
          <w:tab w:val="left" w:pos="1267"/>
          <w:tab w:val="left" w:pos="1742"/>
          <w:tab w:val="left" w:pos="2218"/>
          <w:tab w:val="left" w:pos="2693"/>
        </w:tabs>
        <w:ind w:left="1267" w:right="1260" w:hanging="432"/>
        <w:jc w:val="both"/>
        <w:rPr>
          <w:szCs w:val="17"/>
        </w:rPr>
      </w:pPr>
      <w:r w:rsidRPr="00DE46F3">
        <w:rPr>
          <w:szCs w:val="17"/>
        </w:rPr>
        <w:tab/>
      </w:r>
      <w:r w:rsidRPr="00DE46F3">
        <w:rPr>
          <w:rStyle w:val="FootnoteReference"/>
          <w:szCs w:val="17"/>
        </w:rPr>
        <w:footnoteRef/>
      </w:r>
      <w:r w:rsidRPr="00DE46F3">
        <w:rPr>
          <w:szCs w:val="17"/>
        </w:rPr>
        <w:tab/>
        <w:t>T</w:t>
      </w:r>
      <w:r w:rsidRPr="00DE46F3">
        <w:rPr>
          <w:rFonts w:cs="Calibri"/>
          <w:szCs w:val="17"/>
        </w:rPr>
        <w:t>he ACJ programme includes an important outreach and awareness-raising component (including ADR training), reaching in total more than 6,782 community members (about 40 per cent women) in the 2 municipalities of implementation between 2016 and 2018.</w:t>
      </w:r>
    </w:p>
  </w:footnote>
  <w:footnote w:id="37">
    <w:p w14:paraId="23D10CAD" w14:textId="77777777" w:rsidR="00E7381F" w:rsidRPr="00DE46F3" w:rsidRDefault="00E7381F" w:rsidP="0098356B">
      <w:pPr>
        <w:pStyle w:val="FootnoteText"/>
        <w:tabs>
          <w:tab w:val="clear" w:pos="418"/>
          <w:tab w:val="right" w:pos="1195"/>
          <w:tab w:val="left" w:pos="1267"/>
          <w:tab w:val="left" w:pos="1742"/>
          <w:tab w:val="left" w:pos="2218"/>
          <w:tab w:val="left" w:pos="2693"/>
        </w:tabs>
        <w:ind w:left="1267" w:right="1260" w:hanging="432"/>
        <w:jc w:val="both"/>
        <w:rPr>
          <w:szCs w:val="17"/>
        </w:rPr>
      </w:pPr>
      <w:r w:rsidRPr="00DE46F3">
        <w:rPr>
          <w:szCs w:val="17"/>
        </w:rPr>
        <w:tab/>
      </w:r>
      <w:r w:rsidRPr="00DE46F3">
        <w:rPr>
          <w:rStyle w:val="FootnoteReference"/>
          <w:szCs w:val="17"/>
        </w:rPr>
        <w:footnoteRef/>
      </w:r>
      <w:r w:rsidRPr="00DE46F3">
        <w:rPr>
          <w:szCs w:val="17"/>
        </w:rPr>
        <w:tab/>
      </w:r>
      <w:r w:rsidRPr="00DE46F3">
        <w:rPr>
          <w:rFonts w:cs="Calibri"/>
          <w:szCs w:val="17"/>
        </w:rPr>
        <w:t>Especially conducted by the</w:t>
      </w:r>
      <w:r w:rsidRPr="00DE46F3">
        <w:rPr>
          <w:szCs w:val="17"/>
        </w:rPr>
        <w:t xml:space="preserve"> Ministry of Justice. </w:t>
      </w:r>
    </w:p>
  </w:footnote>
  <w:footnote w:id="38">
    <w:p w14:paraId="25E01FEB" w14:textId="53258954" w:rsidR="00E7381F" w:rsidRPr="00DE46F3" w:rsidRDefault="00E7381F" w:rsidP="0098356B">
      <w:pPr>
        <w:pStyle w:val="FootnoteText"/>
        <w:tabs>
          <w:tab w:val="clear" w:pos="418"/>
          <w:tab w:val="right" w:pos="1195"/>
          <w:tab w:val="left" w:pos="1267"/>
          <w:tab w:val="left" w:pos="1742"/>
          <w:tab w:val="left" w:pos="2218"/>
          <w:tab w:val="left" w:pos="2693"/>
        </w:tabs>
        <w:ind w:left="1267" w:right="1260" w:hanging="432"/>
        <w:jc w:val="both"/>
        <w:rPr>
          <w:szCs w:val="17"/>
        </w:rPr>
      </w:pPr>
      <w:r w:rsidRPr="00DE46F3">
        <w:rPr>
          <w:szCs w:val="17"/>
        </w:rPr>
        <w:tab/>
      </w:r>
      <w:r w:rsidRPr="00DE46F3">
        <w:rPr>
          <w:rStyle w:val="FootnoteReference"/>
          <w:szCs w:val="17"/>
        </w:rPr>
        <w:footnoteRef/>
      </w:r>
      <w:r w:rsidRPr="00DE46F3">
        <w:rPr>
          <w:szCs w:val="17"/>
        </w:rPr>
        <w:tab/>
        <w:t>See ‘Violence Against Women’ under Article 5.</w:t>
      </w:r>
    </w:p>
  </w:footnote>
  <w:footnote w:id="39">
    <w:p w14:paraId="22353066" w14:textId="77777777" w:rsidR="00E7381F" w:rsidRPr="00DE46F3" w:rsidRDefault="00E7381F" w:rsidP="0098356B">
      <w:pPr>
        <w:pStyle w:val="FootnoteText"/>
        <w:tabs>
          <w:tab w:val="clear" w:pos="418"/>
          <w:tab w:val="right" w:pos="1195"/>
          <w:tab w:val="left" w:pos="1267"/>
          <w:tab w:val="left" w:pos="1742"/>
          <w:tab w:val="left" w:pos="2218"/>
          <w:tab w:val="left" w:pos="2693"/>
        </w:tabs>
        <w:ind w:left="1267" w:right="1260" w:hanging="432"/>
        <w:jc w:val="both"/>
        <w:rPr>
          <w:szCs w:val="17"/>
        </w:rPr>
      </w:pPr>
      <w:r w:rsidRPr="00DE46F3">
        <w:rPr>
          <w:szCs w:val="17"/>
        </w:rPr>
        <w:tab/>
      </w:r>
      <w:r w:rsidRPr="00DE46F3">
        <w:rPr>
          <w:rStyle w:val="FootnoteReference"/>
          <w:szCs w:val="17"/>
        </w:rPr>
        <w:footnoteRef/>
      </w:r>
      <w:r w:rsidRPr="00DE46F3">
        <w:rPr>
          <w:szCs w:val="17"/>
        </w:rPr>
        <w:tab/>
        <w:t>2014 State Budget – Budget Overview (Book 1), Democratic Republic of Timor-Leste, Ministry of Finance, 2014; 2015 State Budget – Budget Overview (Book 1), Democratic Republic of Timor-Leste, Ministry of Finance, 2015.</w:t>
      </w:r>
    </w:p>
  </w:footnote>
  <w:footnote w:id="40">
    <w:p w14:paraId="6D8E6B1B" w14:textId="77777777" w:rsidR="00E7381F" w:rsidRPr="00DE46F3" w:rsidRDefault="00E7381F" w:rsidP="0098356B">
      <w:pPr>
        <w:pStyle w:val="FootnoteText"/>
        <w:tabs>
          <w:tab w:val="clear" w:pos="418"/>
          <w:tab w:val="right" w:pos="1195"/>
          <w:tab w:val="left" w:pos="1267"/>
          <w:tab w:val="left" w:pos="1742"/>
          <w:tab w:val="left" w:pos="2218"/>
          <w:tab w:val="left" w:pos="2693"/>
        </w:tabs>
        <w:ind w:left="1267" w:right="1260" w:hanging="432"/>
        <w:jc w:val="both"/>
        <w:rPr>
          <w:szCs w:val="17"/>
        </w:rPr>
      </w:pPr>
      <w:r w:rsidRPr="00DE46F3">
        <w:rPr>
          <w:szCs w:val="17"/>
        </w:rPr>
        <w:tab/>
      </w:r>
      <w:r w:rsidRPr="00DE46F3">
        <w:rPr>
          <w:rStyle w:val="FootnoteReference"/>
          <w:szCs w:val="17"/>
        </w:rPr>
        <w:footnoteRef/>
      </w:r>
      <w:r w:rsidRPr="00DE46F3">
        <w:rPr>
          <w:szCs w:val="17"/>
        </w:rPr>
        <w:tab/>
        <w:t>Budget of District Courts for the 2016-2018 period according to the response of the Court of Appeal (acting as the Supreme Court) to the CEDAW Questionnaire: 2016: 598,242.11 USD, 2017: 337,239.20 USD, 2018: 232,436.00 USD.</w:t>
      </w:r>
    </w:p>
  </w:footnote>
  <w:footnote w:id="41">
    <w:p w14:paraId="0BAFD18A" w14:textId="2455ACFD" w:rsidR="00E7381F" w:rsidRPr="00DE46F3" w:rsidRDefault="00E7381F" w:rsidP="0098356B">
      <w:pPr>
        <w:pStyle w:val="FootnoteText"/>
        <w:tabs>
          <w:tab w:val="clear" w:pos="418"/>
          <w:tab w:val="right" w:pos="1195"/>
          <w:tab w:val="left" w:pos="1267"/>
          <w:tab w:val="left" w:pos="1742"/>
          <w:tab w:val="left" w:pos="2218"/>
          <w:tab w:val="left" w:pos="2693"/>
        </w:tabs>
        <w:ind w:left="1267" w:right="1260" w:hanging="432"/>
        <w:jc w:val="both"/>
        <w:rPr>
          <w:szCs w:val="17"/>
        </w:rPr>
      </w:pPr>
      <w:r w:rsidRPr="00DE46F3">
        <w:rPr>
          <w:szCs w:val="17"/>
        </w:rPr>
        <w:tab/>
      </w:r>
      <w:r w:rsidRPr="00DE46F3">
        <w:rPr>
          <w:rStyle w:val="FootnoteReference"/>
          <w:szCs w:val="17"/>
        </w:rPr>
        <w:footnoteRef/>
      </w:r>
      <w:r w:rsidRPr="00DE46F3">
        <w:rPr>
          <w:szCs w:val="17"/>
        </w:rPr>
        <w:tab/>
        <w:t>2015</w:t>
      </w:r>
      <w:r w:rsidR="00715887" w:rsidRPr="00DE46F3">
        <w:rPr>
          <w:szCs w:val="17"/>
        </w:rPr>
        <w:t>–</w:t>
      </w:r>
      <w:r w:rsidRPr="00DE46F3">
        <w:rPr>
          <w:szCs w:val="17"/>
        </w:rPr>
        <w:t>2017 Secretariat of State for the Socio-Economic Support and Promotion of Women, VIth Constitutional Government, July 2017, p.</w:t>
      </w:r>
      <w:r w:rsidR="005B5FE3" w:rsidRPr="00DE46F3">
        <w:rPr>
          <w:szCs w:val="17"/>
        </w:rPr>
        <w:t xml:space="preserve"> </w:t>
      </w:r>
      <w:r w:rsidRPr="00DE46F3">
        <w:rPr>
          <w:szCs w:val="17"/>
        </w:rPr>
        <w:t>30.</w:t>
      </w:r>
    </w:p>
  </w:footnote>
  <w:footnote w:id="42">
    <w:p w14:paraId="73064FCE" w14:textId="77777777" w:rsidR="00E7381F" w:rsidRPr="00DE46F3" w:rsidRDefault="00E7381F" w:rsidP="0098356B">
      <w:pPr>
        <w:pStyle w:val="FootnoteText"/>
        <w:tabs>
          <w:tab w:val="clear" w:pos="418"/>
          <w:tab w:val="right" w:pos="1195"/>
          <w:tab w:val="left" w:pos="1267"/>
          <w:tab w:val="left" w:pos="1742"/>
          <w:tab w:val="left" w:pos="2218"/>
          <w:tab w:val="left" w:pos="2693"/>
        </w:tabs>
        <w:ind w:left="1267" w:right="1260" w:hanging="432"/>
        <w:jc w:val="both"/>
        <w:rPr>
          <w:szCs w:val="17"/>
        </w:rPr>
      </w:pPr>
      <w:r w:rsidRPr="00DE46F3">
        <w:rPr>
          <w:szCs w:val="17"/>
        </w:rPr>
        <w:tab/>
      </w:r>
      <w:r w:rsidRPr="00DE46F3">
        <w:rPr>
          <w:rStyle w:val="FootnoteReference"/>
          <w:szCs w:val="17"/>
        </w:rPr>
        <w:footnoteRef/>
      </w:r>
      <w:r w:rsidRPr="00DE46F3">
        <w:rPr>
          <w:szCs w:val="17"/>
        </w:rPr>
        <w:tab/>
      </w:r>
      <w:r w:rsidRPr="00DE46F3">
        <w:rPr>
          <w:rFonts w:cs="Calibri"/>
          <w:color w:val="000000"/>
          <w:szCs w:val="17"/>
          <w:shd w:val="clear" w:color="auto" w:fill="FFFFFF"/>
        </w:rPr>
        <w:t>In the first trimester of 2019 the state executed US$166,530,264 (11 per cent) out of US$1,428,273,449 allocated, out of which US$26,619,574 was executed for Gender Equality (with gender marker “Principal”) (this amount is calculated after the virement, excluding independent organs that are not yet part of the Program-based budgeting structure.</w:t>
      </w:r>
    </w:p>
  </w:footnote>
  <w:footnote w:id="43">
    <w:p w14:paraId="54308646" w14:textId="77777777" w:rsidR="00E7381F" w:rsidRPr="00DE46F3" w:rsidRDefault="00E7381F" w:rsidP="0098356B">
      <w:pPr>
        <w:pStyle w:val="FootnoteText"/>
        <w:tabs>
          <w:tab w:val="clear" w:pos="418"/>
          <w:tab w:val="right" w:pos="1195"/>
          <w:tab w:val="left" w:pos="1267"/>
          <w:tab w:val="left" w:pos="1742"/>
          <w:tab w:val="left" w:pos="2218"/>
          <w:tab w:val="left" w:pos="2693"/>
        </w:tabs>
        <w:ind w:left="1267" w:right="1260" w:hanging="432"/>
        <w:jc w:val="both"/>
        <w:rPr>
          <w:szCs w:val="17"/>
        </w:rPr>
      </w:pPr>
      <w:r w:rsidRPr="00DE46F3">
        <w:rPr>
          <w:szCs w:val="17"/>
        </w:rPr>
        <w:tab/>
      </w:r>
      <w:r w:rsidRPr="00DE46F3">
        <w:rPr>
          <w:rStyle w:val="FootnoteReference"/>
          <w:szCs w:val="17"/>
        </w:rPr>
        <w:footnoteRef/>
      </w:r>
      <w:r w:rsidRPr="00DE46F3">
        <w:rPr>
          <w:szCs w:val="17"/>
        </w:rPr>
        <w:tab/>
        <w:t>Report on the Implementation of the Sustainable Development Goals: From ashes to reconciliation, reconstruction and sustainable development, Voluntary National Review of Timor-Leste 2019, Government of Timor-Leste, Dili, Timor-Leste, 2019, p.76.</w:t>
      </w:r>
    </w:p>
  </w:footnote>
  <w:footnote w:id="44">
    <w:p w14:paraId="649C0FC2" w14:textId="77777777" w:rsidR="00E7381F" w:rsidRPr="00DE46F3" w:rsidRDefault="00E7381F" w:rsidP="0098356B">
      <w:pPr>
        <w:pStyle w:val="FootnoteText"/>
        <w:tabs>
          <w:tab w:val="clear" w:pos="418"/>
          <w:tab w:val="right" w:pos="1195"/>
          <w:tab w:val="left" w:pos="1267"/>
          <w:tab w:val="left" w:pos="1742"/>
          <w:tab w:val="left" w:pos="2218"/>
          <w:tab w:val="left" w:pos="2693"/>
        </w:tabs>
        <w:ind w:left="1267" w:right="1260" w:hanging="432"/>
        <w:jc w:val="both"/>
        <w:rPr>
          <w:szCs w:val="17"/>
        </w:rPr>
      </w:pPr>
      <w:r w:rsidRPr="00DE46F3">
        <w:rPr>
          <w:szCs w:val="17"/>
        </w:rPr>
        <w:tab/>
      </w:r>
      <w:r w:rsidRPr="00DE46F3">
        <w:rPr>
          <w:rStyle w:val="FootnoteReference"/>
          <w:szCs w:val="17"/>
        </w:rPr>
        <w:footnoteRef/>
      </w:r>
      <w:r w:rsidRPr="00DE46F3">
        <w:rPr>
          <w:szCs w:val="17"/>
        </w:rPr>
        <w:tab/>
        <w:t>1) National Action Plan on Gender-Based Violence; 2) National Action Plan on UNSCR 1325 – Women, Peace and Security; 3) Maubisse Declaration on Rural Women.</w:t>
      </w:r>
    </w:p>
  </w:footnote>
  <w:footnote w:id="45">
    <w:p w14:paraId="521567A2" w14:textId="670B8575" w:rsidR="00E7381F" w:rsidRPr="00DE46F3" w:rsidRDefault="00E7381F" w:rsidP="0098356B">
      <w:pPr>
        <w:pStyle w:val="FootnoteText"/>
        <w:tabs>
          <w:tab w:val="clear" w:pos="418"/>
          <w:tab w:val="right" w:pos="1195"/>
          <w:tab w:val="left" w:pos="1267"/>
          <w:tab w:val="left" w:pos="1742"/>
          <w:tab w:val="left" w:pos="2218"/>
          <w:tab w:val="left" w:pos="2693"/>
        </w:tabs>
        <w:ind w:left="1267" w:right="1260" w:hanging="432"/>
        <w:jc w:val="both"/>
        <w:rPr>
          <w:szCs w:val="17"/>
        </w:rPr>
      </w:pPr>
      <w:r w:rsidRPr="00DE46F3">
        <w:rPr>
          <w:szCs w:val="17"/>
        </w:rPr>
        <w:tab/>
      </w:r>
      <w:r w:rsidRPr="00DE46F3">
        <w:rPr>
          <w:rStyle w:val="FootnoteReference"/>
          <w:szCs w:val="17"/>
        </w:rPr>
        <w:footnoteRef/>
      </w:r>
      <w:r w:rsidRPr="00DE46F3">
        <w:rPr>
          <w:szCs w:val="17"/>
        </w:rPr>
        <w:tab/>
        <w:t>Gender-Responsive Budgeting Policy Note: Mainstreaming Gender into the Public Financial Management Reform (2017-2021), [no date], pp.</w:t>
      </w:r>
      <w:r w:rsidR="00C169FA" w:rsidRPr="00DE46F3">
        <w:rPr>
          <w:szCs w:val="17"/>
        </w:rPr>
        <w:t xml:space="preserve"> </w:t>
      </w:r>
      <w:r w:rsidRPr="00DE46F3">
        <w:rPr>
          <w:szCs w:val="17"/>
        </w:rPr>
        <w:t>20</w:t>
      </w:r>
      <w:r w:rsidR="00C169FA" w:rsidRPr="00DE46F3">
        <w:rPr>
          <w:szCs w:val="17"/>
        </w:rPr>
        <w:t>–</w:t>
      </w:r>
      <w:r w:rsidRPr="00DE46F3">
        <w:rPr>
          <w:szCs w:val="17"/>
        </w:rPr>
        <w:t>21.</w:t>
      </w:r>
    </w:p>
  </w:footnote>
  <w:footnote w:id="46">
    <w:p w14:paraId="1A3589BF" w14:textId="211EECC4" w:rsidR="00E7381F" w:rsidRPr="00DE46F3" w:rsidRDefault="00E7381F" w:rsidP="0098356B">
      <w:pPr>
        <w:pStyle w:val="FootnoteText"/>
        <w:tabs>
          <w:tab w:val="clear" w:pos="418"/>
          <w:tab w:val="right" w:pos="1195"/>
          <w:tab w:val="left" w:pos="1267"/>
          <w:tab w:val="left" w:pos="1742"/>
          <w:tab w:val="left" w:pos="2218"/>
          <w:tab w:val="left" w:pos="2693"/>
        </w:tabs>
        <w:ind w:left="1267" w:right="1260" w:hanging="432"/>
        <w:jc w:val="both"/>
        <w:rPr>
          <w:szCs w:val="17"/>
          <w:lang w:eastAsia="fr-FR"/>
        </w:rPr>
      </w:pPr>
      <w:r w:rsidRPr="00DE46F3">
        <w:rPr>
          <w:szCs w:val="17"/>
        </w:rPr>
        <w:tab/>
      </w:r>
      <w:r w:rsidRPr="00DE46F3">
        <w:rPr>
          <w:rStyle w:val="FootnoteReference"/>
          <w:szCs w:val="17"/>
        </w:rPr>
        <w:footnoteRef/>
      </w:r>
      <w:r w:rsidRPr="00DE46F3">
        <w:rPr>
          <w:szCs w:val="17"/>
        </w:rPr>
        <w:tab/>
      </w:r>
      <w:r w:rsidRPr="00DE46F3">
        <w:rPr>
          <w:szCs w:val="17"/>
          <w:lang w:eastAsia="fr-FR"/>
        </w:rPr>
        <w:t>Timor-Leste’s Beijing Declaration and Platform for Action (Bpfa) National Review and Appraisal Report (2014-2018), Democratic Republic of Timor-Leste, Secretariat of State of Equality and Inclusion (SEII), 2019, pp.</w:t>
      </w:r>
      <w:r w:rsidR="00C169FA" w:rsidRPr="00DE46F3">
        <w:rPr>
          <w:szCs w:val="17"/>
          <w:lang w:eastAsia="fr-FR"/>
        </w:rPr>
        <w:t xml:space="preserve"> </w:t>
      </w:r>
      <w:r w:rsidRPr="00DE46F3">
        <w:rPr>
          <w:szCs w:val="17"/>
          <w:lang w:eastAsia="fr-FR"/>
        </w:rPr>
        <w:t>10</w:t>
      </w:r>
      <w:r w:rsidR="00C169FA" w:rsidRPr="00DE46F3">
        <w:rPr>
          <w:szCs w:val="17"/>
        </w:rPr>
        <w:t>–</w:t>
      </w:r>
      <w:r w:rsidRPr="00DE46F3">
        <w:rPr>
          <w:szCs w:val="17"/>
          <w:lang w:eastAsia="fr-FR"/>
        </w:rPr>
        <w:t>11.</w:t>
      </w:r>
    </w:p>
  </w:footnote>
  <w:footnote w:id="47">
    <w:p w14:paraId="12F21A57" w14:textId="23118A34" w:rsidR="00E7381F" w:rsidRPr="00DE46F3" w:rsidRDefault="00E7381F" w:rsidP="0098356B">
      <w:pPr>
        <w:pStyle w:val="FootnoteText"/>
        <w:tabs>
          <w:tab w:val="clear" w:pos="418"/>
          <w:tab w:val="right" w:pos="1195"/>
          <w:tab w:val="left" w:pos="1267"/>
          <w:tab w:val="left" w:pos="1742"/>
          <w:tab w:val="left" w:pos="2218"/>
          <w:tab w:val="left" w:pos="2693"/>
        </w:tabs>
        <w:ind w:left="1267" w:right="1260" w:hanging="432"/>
        <w:jc w:val="both"/>
        <w:rPr>
          <w:szCs w:val="17"/>
        </w:rPr>
      </w:pPr>
      <w:r w:rsidRPr="00DE46F3">
        <w:rPr>
          <w:szCs w:val="17"/>
        </w:rPr>
        <w:tab/>
      </w:r>
      <w:r w:rsidRPr="00DE46F3">
        <w:rPr>
          <w:rStyle w:val="FootnoteReference"/>
          <w:szCs w:val="17"/>
        </w:rPr>
        <w:footnoteRef/>
      </w:r>
      <w:r w:rsidRPr="00DE46F3">
        <w:rPr>
          <w:szCs w:val="17"/>
        </w:rPr>
        <w:tab/>
        <w:t>Gender thematic report – Timor-Leste Population &amp; Housing Census 2015, General Directorate of Statistics – Ministry of Finance / UNFPA /UN Women, 2018, pp. 11</w:t>
      </w:r>
      <w:r w:rsidR="00C169FA" w:rsidRPr="00DE46F3">
        <w:rPr>
          <w:szCs w:val="17"/>
        </w:rPr>
        <w:t>–</w:t>
      </w:r>
      <w:r w:rsidRPr="00DE46F3">
        <w:rPr>
          <w:szCs w:val="17"/>
        </w:rPr>
        <w:t>12.</w:t>
      </w:r>
    </w:p>
  </w:footnote>
  <w:footnote w:id="48">
    <w:p w14:paraId="6CE926B0" w14:textId="77777777" w:rsidR="00E7381F" w:rsidRPr="00DE46F3" w:rsidRDefault="00E7381F" w:rsidP="0098356B">
      <w:pPr>
        <w:pStyle w:val="FootnoteText"/>
        <w:tabs>
          <w:tab w:val="clear" w:pos="418"/>
          <w:tab w:val="right" w:pos="1195"/>
          <w:tab w:val="left" w:pos="1267"/>
          <w:tab w:val="left" w:pos="1742"/>
          <w:tab w:val="left" w:pos="2218"/>
          <w:tab w:val="left" w:pos="2693"/>
        </w:tabs>
        <w:ind w:left="1267" w:right="1260" w:hanging="432"/>
        <w:jc w:val="both"/>
        <w:rPr>
          <w:szCs w:val="17"/>
        </w:rPr>
      </w:pPr>
      <w:r w:rsidRPr="00DE46F3">
        <w:rPr>
          <w:szCs w:val="17"/>
        </w:rPr>
        <w:tab/>
      </w:r>
      <w:r w:rsidRPr="00DE46F3">
        <w:rPr>
          <w:rStyle w:val="FootnoteReference"/>
          <w:szCs w:val="17"/>
        </w:rPr>
        <w:footnoteRef/>
      </w:r>
      <w:r w:rsidRPr="00DE46F3">
        <w:rPr>
          <w:szCs w:val="17"/>
        </w:rPr>
        <w:tab/>
        <w:t xml:space="preserve">Including </w:t>
      </w:r>
      <w:r w:rsidRPr="00DE46F3">
        <w:rPr>
          <w:rFonts w:cs="Calibri"/>
          <w:szCs w:val="17"/>
        </w:rPr>
        <w:t xml:space="preserve">the concept of consent to sexual relations as </w:t>
      </w:r>
      <w:r w:rsidRPr="00DE46F3">
        <w:rPr>
          <w:rFonts w:cs="Calluna"/>
          <w:color w:val="000000"/>
          <w:szCs w:val="17"/>
        </w:rPr>
        <w:t>some young women are unaware that their consent was even required.</w:t>
      </w:r>
    </w:p>
  </w:footnote>
  <w:footnote w:id="49">
    <w:p w14:paraId="477E18C9" w14:textId="77777777" w:rsidR="00E7381F" w:rsidRPr="00DE46F3" w:rsidRDefault="00E7381F" w:rsidP="0098356B">
      <w:pPr>
        <w:pStyle w:val="FootnoteText"/>
        <w:tabs>
          <w:tab w:val="clear" w:pos="418"/>
          <w:tab w:val="right" w:pos="1195"/>
          <w:tab w:val="left" w:pos="1267"/>
          <w:tab w:val="left" w:pos="1742"/>
          <w:tab w:val="left" w:pos="2218"/>
          <w:tab w:val="left" w:pos="2693"/>
        </w:tabs>
        <w:ind w:left="1267" w:right="1260" w:hanging="432"/>
        <w:jc w:val="both"/>
        <w:rPr>
          <w:szCs w:val="17"/>
        </w:rPr>
      </w:pPr>
      <w:r w:rsidRPr="00DE46F3">
        <w:rPr>
          <w:szCs w:val="17"/>
        </w:rPr>
        <w:tab/>
      </w:r>
      <w:r w:rsidRPr="00DE46F3">
        <w:rPr>
          <w:rStyle w:val="FootnoteReference"/>
          <w:szCs w:val="17"/>
        </w:rPr>
        <w:footnoteRef/>
      </w:r>
      <w:r w:rsidRPr="00DE46F3">
        <w:rPr>
          <w:szCs w:val="17"/>
        </w:rPr>
        <w:tab/>
        <w:t xml:space="preserve">Dr. D. Cummins and Ms. Z. Fonseca, Teenage Pregnancy and Early Marriage - </w:t>
      </w:r>
      <w:r w:rsidRPr="00DE46F3">
        <w:rPr>
          <w:i/>
          <w:iCs/>
          <w:szCs w:val="17"/>
        </w:rPr>
        <w:t xml:space="preserve">Research on the Decision-Making Pathways of Young Women in the Municipalities of Covalima, Aileu and Dili, </w:t>
      </w:r>
      <w:r w:rsidRPr="00DE46F3">
        <w:rPr>
          <w:rFonts w:eastAsia="ArialMT"/>
          <w:szCs w:val="17"/>
        </w:rPr>
        <w:t xml:space="preserve">Secretariat of State for Youth and Sports – Democratic Republic of Timor-Leste/ </w:t>
      </w:r>
      <w:r w:rsidRPr="00DE46F3">
        <w:rPr>
          <w:szCs w:val="17"/>
        </w:rPr>
        <w:t>UNFPA Timor-Leste / Plan International, May 2017.</w:t>
      </w:r>
    </w:p>
  </w:footnote>
  <w:footnote w:id="50">
    <w:p w14:paraId="4B89B1C2" w14:textId="0346BBED" w:rsidR="00E7381F" w:rsidRPr="00DE46F3" w:rsidRDefault="00E7381F" w:rsidP="0098356B">
      <w:pPr>
        <w:pStyle w:val="FootnoteText"/>
        <w:tabs>
          <w:tab w:val="clear" w:pos="418"/>
          <w:tab w:val="right" w:pos="1195"/>
          <w:tab w:val="left" w:pos="1267"/>
          <w:tab w:val="left" w:pos="1742"/>
          <w:tab w:val="left" w:pos="2218"/>
          <w:tab w:val="left" w:pos="2693"/>
        </w:tabs>
        <w:ind w:left="1267" w:right="1260" w:hanging="432"/>
        <w:jc w:val="both"/>
        <w:rPr>
          <w:szCs w:val="17"/>
        </w:rPr>
      </w:pPr>
      <w:r w:rsidRPr="00DE46F3">
        <w:rPr>
          <w:szCs w:val="17"/>
        </w:rPr>
        <w:tab/>
      </w:r>
      <w:r w:rsidRPr="00DE46F3">
        <w:rPr>
          <w:rStyle w:val="FootnoteReference"/>
          <w:szCs w:val="17"/>
        </w:rPr>
        <w:footnoteRef/>
      </w:r>
      <w:r w:rsidRPr="00DE46F3">
        <w:rPr>
          <w:szCs w:val="17"/>
        </w:rPr>
        <w:tab/>
        <w:t>See ‘Sexual and reproductive health and rights programmes in education’ under Article 10, and ‘Family Planning and fertility</w:t>
      </w:r>
      <w:r w:rsidRPr="00DE46F3">
        <w:rPr>
          <w:rFonts w:cs="Calibri"/>
          <w:color w:val="2F5496"/>
          <w:szCs w:val="17"/>
        </w:rPr>
        <w:t>’</w:t>
      </w:r>
      <w:r w:rsidRPr="00DE46F3">
        <w:rPr>
          <w:szCs w:val="17"/>
        </w:rPr>
        <w:t xml:space="preserve"> under Article 12.</w:t>
      </w:r>
    </w:p>
  </w:footnote>
  <w:footnote w:id="51">
    <w:p w14:paraId="7C75380A" w14:textId="77777777" w:rsidR="00E7381F" w:rsidRPr="00DE46F3" w:rsidRDefault="00E7381F" w:rsidP="0098356B">
      <w:pPr>
        <w:pStyle w:val="FootnoteText"/>
        <w:tabs>
          <w:tab w:val="clear" w:pos="418"/>
          <w:tab w:val="right" w:pos="1195"/>
          <w:tab w:val="left" w:pos="1267"/>
          <w:tab w:val="left" w:pos="1742"/>
          <w:tab w:val="left" w:pos="2218"/>
          <w:tab w:val="left" w:pos="2693"/>
        </w:tabs>
        <w:ind w:left="1267" w:right="1260" w:hanging="432"/>
        <w:jc w:val="both"/>
        <w:rPr>
          <w:szCs w:val="17"/>
        </w:rPr>
      </w:pPr>
      <w:r w:rsidRPr="00DE46F3">
        <w:rPr>
          <w:szCs w:val="17"/>
        </w:rPr>
        <w:tab/>
      </w:r>
      <w:r w:rsidRPr="00DE46F3">
        <w:rPr>
          <w:rStyle w:val="FootnoteReference"/>
          <w:szCs w:val="17"/>
        </w:rPr>
        <w:footnoteRef/>
      </w:r>
      <w:r w:rsidRPr="00DE46F3">
        <w:rPr>
          <w:szCs w:val="17"/>
        </w:rPr>
        <w:tab/>
      </w:r>
      <w:r w:rsidRPr="00DE46F3">
        <w:rPr>
          <w:rFonts w:cs="Calibri"/>
          <w:szCs w:val="17"/>
        </w:rPr>
        <w:t>See Article 16.</w:t>
      </w:r>
    </w:p>
  </w:footnote>
  <w:footnote w:id="52">
    <w:p w14:paraId="37F3CC4C" w14:textId="77777777" w:rsidR="00E7381F" w:rsidRPr="00DE46F3" w:rsidRDefault="00E7381F" w:rsidP="0098356B">
      <w:pPr>
        <w:pStyle w:val="FootnoteText"/>
        <w:tabs>
          <w:tab w:val="clear" w:pos="418"/>
          <w:tab w:val="right" w:pos="1195"/>
          <w:tab w:val="left" w:pos="1267"/>
          <w:tab w:val="left" w:pos="1742"/>
          <w:tab w:val="left" w:pos="2218"/>
          <w:tab w:val="left" w:pos="2693"/>
        </w:tabs>
        <w:ind w:left="1267" w:right="1260" w:hanging="432"/>
        <w:jc w:val="both"/>
        <w:rPr>
          <w:szCs w:val="17"/>
        </w:rPr>
      </w:pPr>
      <w:r w:rsidRPr="00DE46F3">
        <w:rPr>
          <w:szCs w:val="17"/>
        </w:rPr>
        <w:tab/>
      </w:r>
      <w:r w:rsidRPr="00DE46F3">
        <w:rPr>
          <w:rStyle w:val="FootnoteReference"/>
          <w:szCs w:val="17"/>
        </w:rPr>
        <w:footnoteRef/>
      </w:r>
      <w:r w:rsidRPr="00DE46F3">
        <w:rPr>
          <w:szCs w:val="17"/>
        </w:rPr>
        <w:tab/>
        <w:t>Ministry of Social Solidarity and Inclusion’s response to CEDAW questionnaire, Aug. 2019; 2017 Journal of Change in Timor-Leste, UNICEF, Oct. 2018, pp. 8-9; 2018 Journal of Change in Timor-Leste, UNICEF, June 2019, pp. 12-13.</w:t>
      </w:r>
    </w:p>
  </w:footnote>
  <w:footnote w:id="53">
    <w:p w14:paraId="1EF15268" w14:textId="77777777" w:rsidR="00E7381F" w:rsidRPr="00DE46F3" w:rsidRDefault="00E7381F" w:rsidP="0098356B">
      <w:pPr>
        <w:pStyle w:val="FootnoteText"/>
        <w:tabs>
          <w:tab w:val="clear" w:pos="418"/>
          <w:tab w:val="right" w:pos="1195"/>
          <w:tab w:val="left" w:pos="1267"/>
          <w:tab w:val="left" w:pos="1742"/>
          <w:tab w:val="left" w:pos="2218"/>
          <w:tab w:val="left" w:pos="2693"/>
        </w:tabs>
        <w:ind w:left="1267" w:right="1260" w:hanging="432"/>
        <w:jc w:val="both"/>
        <w:rPr>
          <w:szCs w:val="17"/>
        </w:rPr>
      </w:pPr>
      <w:r w:rsidRPr="00DE46F3">
        <w:rPr>
          <w:szCs w:val="17"/>
        </w:rPr>
        <w:tab/>
      </w:r>
      <w:r w:rsidRPr="00DE46F3">
        <w:rPr>
          <w:rStyle w:val="FootnoteReference"/>
          <w:szCs w:val="17"/>
        </w:rPr>
        <w:footnoteRef/>
      </w:r>
      <w:r w:rsidRPr="00DE46F3">
        <w:rPr>
          <w:szCs w:val="17"/>
        </w:rPr>
        <w:tab/>
        <w:t>More than 11,500 beneficiaries in 2 remote districts with almost equal participation between men and women.</w:t>
      </w:r>
    </w:p>
  </w:footnote>
  <w:footnote w:id="54">
    <w:p w14:paraId="2AF32E9C" w14:textId="77777777" w:rsidR="00E7381F" w:rsidRPr="00DE46F3" w:rsidRDefault="00E7381F" w:rsidP="0098356B">
      <w:pPr>
        <w:pStyle w:val="FootnoteText"/>
        <w:tabs>
          <w:tab w:val="clear" w:pos="418"/>
          <w:tab w:val="right" w:pos="1195"/>
          <w:tab w:val="left" w:pos="1267"/>
          <w:tab w:val="left" w:pos="1742"/>
          <w:tab w:val="left" w:pos="2218"/>
          <w:tab w:val="left" w:pos="2693"/>
        </w:tabs>
        <w:ind w:left="1267" w:right="1260" w:hanging="432"/>
        <w:jc w:val="both"/>
        <w:rPr>
          <w:szCs w:val="17"/>
        </w:rPr>
      </w:pPr>
      <w:r w:rsidRPr="00DE46F3">
        <w:rPr>
          <w:szCs w:val="17"/>
        </w:rPr>
        <w:tab/>
      </w:r>
      <w:r w:rsidRPr="00DE46F3">
        <w:rPr>
          <w:rStyle w:val="FootnoteReference"/>
          <w:szCs w:val="17"/>
        </w:rPr>
        <w:footnoteRef/>
      </w:r>
      <w:r w:rsidRPr="00DE46F3">
        <w:rPr>
          <w:szCs w:val="17"/>
        </w:rPr>
        <w:tab/>
      </w:r>
      <w:r w:rsidRPr="00DE46F3">
        <w:rPr>
          <w:rFonts w:cs="Calibri"/>
          <w:szCs w:val="17"/>
        </w:rPr>
        <w:t xml:space="preserve">SASA! (Start, Awareness, Support, Action!) </w:t>
      </w:r>
      <w:r w:rsidRPr="00DE46F3">
        <w:rPr>
          <w:szCs w:val="17"/>
        </w:rPr>
        <w:t>is a community mobilization approach to preventing violence against women and HIV and has been proven to be highly effective in preventing intimate partner violence.</w:t>
      </w:r>
    </w:p>
  </w:footnote>
  <w:footnote w:id="55">
    <w:p w14:paraId="4E4FCD72" w14:textId="77777777" w:rsidR="00E7381F" w:rsidRPr="00DE46F3" w:rsidRDefault="00E7381F" w:rsidP="0098356B">
      <w:pPr>
        <w:pStyle w:val="FootnoteText"/>
        <w:tabs>
          <w:tab w:val="clear" w:pos="418"/>
          <w:tab w:val="right" w:pos="1195"/>
          <w:tab w:val="left" w:pos="1267"/>
          <w:tab w:val="left" w:pos="1742"/>
          <w:tab w:val="left" w:pos="2218"/>
          <w:tab w:val="left" w:pos="2693"/>
        </w:tabs>
        <w:ind w:left="1267" w:right="1260" w:hanging="432"/>
        <w:jc w:val="both"/>
        <w:rPr>
          <w:szCs w:val="17"/>
        </w:rPr>
      </w:pPr>
      <w:r w:rsidRPr="00DE46F3">
        <w:rPr>
          <w:szCs w:val="17"/>
        </w:rPr>
        <w:tab/>
      </w:r>
      <w:r w:rsidRPr="00DE46F3">
        <w:rPr>
          <w:rStyle w:val="FootnoteReference"/>
          <w:szCs w:val="17"/>
        </w:rPr>
        <w:footnoteRef/>
      </w:r>
      <w:r w:rsidRPr="00DE46F3">
        <w:rPr>
          <w:szCs w:val="17"/>
        </w:rPr>
        <w:tab/>
        <w:t>Ending Violence Against Women and Children in Timor-Leste, The Asia Foundation, 24</w:t>
      </w:r>
      <w:r w:rsidRPr="009437B0">
        <w:rPr>
          <w:szCs w:val="17"/>
        </w:rPr>
        <w:t>th</w:t>
      </w:r>
      <w:r w:rsidRPr="00DE46F3">
        <w:rPr>
          <w:szCs w:val="17"/>
        </w:rPr>
        <w:t xml:space="preserve"> July 2019.</w:t>
      </w:r>
    </w:p>
  </w:footnote>
  <w:footnote w:id="56">
    <w:p w14:paraId="66895FC9" w14:textId="70E8AD59" w:rsidR="00E7381F" w:rsidRPr="00DE46F3" w:rsidRDefault="00E7381F" w:rsidP="0098356B">
      <w:pPr>
        <w:pStyle w:val="FootnoteText"/>
        <w:tabs>
          <w:tab w:val="clear" w:pos="418"/>
          <w:tab w:val="right" w:pos="1195"/>
          <w:tab w:val="left" w:pos="1267"/>
          <w:tab w:val="left" w:pos="1742"/>
          <w:tab w:val="left" w:pos="2218"/>
          <w:tab w:val="left" w:pos="2693"/>
        </w:tabs>
        <w:ind w:left="1267" w:right="1260" w:hanging="432"/>
        <w:jc w:val="both"/>
        <w:rPr>
          <w:szCs w:val="17"/>
        </w:rPr>
      </w:pPr>
      <w:r w:rsidRPr="00DE46F3">
        <w:rPr>
          <w:szCs w:val="17"/>
        </w:rPr>
        <w:tab/>
      </w:r>
      <w:r w:rsidRPr="00DE46F3">
        <w:rPr>
          <w:rStyle w:val="FootnoteReference"/>
          <w:szCs w:val="17"/>
        </w:rPr>
        <w:footnoteRef/>
      </w:r>
      <w:r w:rsidRPr="00DE46F3">
        <w:rPr>
          <w:szCs w:val="17"/>
        </w:rPr>
        <w:tab/>
        <w:t>SEII Training department data; ‘</w:t>
      </w:r>
      <w:r w:rsidRPr="00DE46F3">
        <w:rPr>
          <w:i/>
          <w:iCs/>
          <w:szCs w:val="17"/>
          <w:shd w:val="clear" w:color="auto" w:fill="FFFFFF"/>
        </w:rPr>
        <w:t>Government organizes training on gender equality for Editors and Newsrooms chiefs</w:t>
      </w:r>
      <w:r w:rsidRPr="00DE46F3">
        <w:rPr>
          <w:szCs w:val="17"/>
          <w:shd w:val="clear" w:color="auto" w:fill="FFFFFF"/>
        </w:rPr>
        <w:t>’, Timor-Leste Government website, 8</w:t>
      </w:r>
      <w:r w:rsidRPr="009437B0">
        <w:rPr>
          <w:szCs w:val="17"/>
          <w:shd w:val="clear" w:color="auto" w:fill="FFFFFF"/>
        </w:rPr>
        <w:t>th</w:t>
      </w:r>
      <w:r w:rsidRPr="00DE46F3">
        <w:rPr>
          <w:szCs w:val="17"/>
          <w:shd w:val="clear" w:color="auto" w:fill="FFFFFF"/>
        </w:rPr>
        <w:t xml:space="preserve"> Nov. 2018 - </w:t>
      </w:r>
      <w:hyperlink r:id="rId5" w:history="1">
        <w:r w:rsidRPr="00DE46F3">
          <w:rPr>
            <w:rStyle w:val="Hyperlink"/>
            <w:szCs w:val="17"/>
            <w:shd w:val="clear" w:color="auto" w:fill="FFFFFF"/>
          </w:rPr>
          <w:t>http://timor-leste.gov.tl/?p=20694&amp;lang=en&amp;lang=en</w:t>
        </w:r>
      </w:hyperlink>
      <w:r w:rsidRPr="00DE46F3">
        <w:rPr>
          <w:szCs w:val="17"/>
          <w:shd w:val="clear" w:color="auto" w:fill="FFFFFF"/>
        </w:rPr>
        <w:t xml:space="preserve"> [accessed on 27/09/2019]; </w:t>
      </w:r>
      <w:r w:rsidRPr="00DE46F3">
        <w:rPr>
          <w:szCs w:val="17"/>
        </w:rPr>
        <w:t>‘</w:t>
      </w:r>
      <w:r w:rsidRPr="00DE46F3">
        <w:rPr>
          <w:i/>
          <w:iCs/>
          <w:szCs w:val="17"/>
          <w:shd w:val="clear" w:color="auto" w:fill="FFFFFF"/>
        </w:rPr>
        <w:t>SECOMS begins training on the promotion of gender equality</w:t>
      </w:r>
      <w:r w:rsidRPr="00DE46F3">
        <w:rPr>
          <w:szCs w:val="17"/>
          <w:shd w:val="clear" w:color="auto" w:fill="FFFFFF"/>
        </w:rPr>
        <w:t>’, Timor-Leste Government website, 27</w:t>
      </w:r>
      <w:r w:rsidRPr="009437B0">
        <w:rPr>
          <w:szCs w:val="17"/>
          <w:shd w:val="clear" w:color="auto" w:fill="FFFFFF"/>
        </w:rPr>
        <w:t>th</w:t>
      </w:r>
      <w:r w:rsidRPr="00DE46F3">
        <w:rPr>
          <w:szCs w:val="17"/>
          <w:shd w:val="clear" w:color="auto" w:fill="FFFFFF"/>
        </w:rPr>
        <w:t xml:space="preserve"> Sept. 2018 - </w:t>
      </w:r>
      <w:hyperlink r:id="rId6" w:history="1">
        <w:r w:rsidRPr="00DE46F3">
          <w:rPr>
            <w:rStyle w:val="Hyperlink"/>
            <w:szCs w:val="17"/>
            <w:shd w:val="clear" w:color="auto" w:fill="FFFFFF"/>
          </w:rPr>
          <w:t>http://timor-leste.gov.tl/?p=20608&amp;lang=en&amp;lang=en</w:t>
        </w:r>
      </w:hyperlink>
      <w:r w:rsidRPr="00DE46F3">
        <w:rPr>
          <w:szCs w:val="17"/>
          <w:shd w:val="clear" w:color="auto" w:fill="FFFFFF"/>
        </w:rPr>
        <w:t xml:space="preserve"> [accessed on 27/09/2019].</w:t>
      </w:r>
    </w:p>
  </w:footnote>
  <w:footnote w:id="57">
    <w:p w14:paraId="3F2C85E6" w14:textId="4178E467" w:rsidR="00E7381F" w:rsidRPr="00DE46F3" w:rsidRDefault="00E7381F" w:rsidP="0098356B">
      <w:pPr>
        <w:pStyle w:val="FootnoteText"/>
        <w:tabs>
          <w:tab w:val="clear" w:pos="418"/>
          <w:tab w:val="right" w:pos="1195"/>
          <w:tab w:val="left" w:pos="1267"/>
          <w:tab w:val="left" w:pos="1742"/>
          <w:tab w:val="left" w:pos="2218"/>
          <w:tab w:val="left" w:pos="2693"/>
        </w:tabs>
        <w:ind w:left="1267" w:right="1260" w:hanging="432"/>
        <w:rPr>
          <w:szCs w:val="17"/>
        </w:rPr>
      </w:pPr>
      <w:r w:rsidRPr="00DE46F3">
        <w:rPr>
          <w:szCs w:val="17"/>
        </w:rPr>
        <w:tab/>
      </w:r>
      <w:r w:rsidRPr="00DE46F3">
        <w:rPr>
          <w:rStyle w:val="FootnoteReference"/>
          <w:szCs w:val="17"/>
        </w:rPr>
        <w:footnoteRef/>
      </w:r>
      <w:r w:rsidRPr="00DE46F3">
        <w:rPr>
          <w:szCs w:val="17"/>
        </w:rPr>
        <w:tab/>
        <w:t>2018 Annual Report to National Parliament on the Implementation of the 2017-2021 National Action Plan on Gender-Based Violence, Secretariat of State for Equality and Inclusion (SEII), July 2019, pp. 6–31.; Nabilan Program: Ending Violence Against Women In Timor-Leste Progress report 1 July – 31 December 2017 Volume 1, The Asia Fundation.</w:t>
      </w:r>
    </w:p>
  </w:footnote>
  <w:footnote w:id="58">
    <w:p w14:paraId="14D8A8CF" w14:textId="74B2A5C1" w:rsidR="00E7381F" w:rsidRPr="00DE46F3" w:rsidRDefault="00E7381F" w:rsidP="00146B97">
      <w:pPr>
        <w:pStyle w:val="FootnoteText"/>
        <w:keepNext/>
        <w:keepLines/>
        <w:tabs>
          <w:tab w:val="clear" w:pos="418"/>
          <w:tab w:val="right" w:pos="1195"/>
          <w:tab w:val="left" w:pos="1267"/>
          <w:tab w:val="left" w:pos="1742"/>
          <w:tab w:val="left" w:pos="2218"/>
          <w:tab w:val="left" w:pos="2693"/>
        </w:tabs>
        <w:ind w:left="1267" w:right="1260" w:hanging="432"/>
        <w:jc w:val="both"/>
        <w:rPr>
          <w:szCs w:val="17"/>
        </w:rPr>
      </w:pPr>
      <w:r w:rsidRPr="00DE46F3">
        <w:rPr>
          <w:szCs w:val="17"/>
        </w:rPr>
        <w:tab/>
      </w:r>
      <w:r w:rsidRPr="00DE46F3">
        <w:rPr>
          <w:rStyle w:val="FootnoteReference"/>
          <w:szCs w:val="17"/>
        </w:rPr>
        <w:footnoteRef/>
      </w:r>
      <w:r w:rsidRPr="00DE46F3">
        <w:rPr>
          <w:szCs w:val="17"/>
        </w:rPr>
        <w:tab/>
        <w:t>2016 Timor-Leste Demographic and Health Survey, General Directorate of Statistics (GDS) – Ministry of Finance / ICF, 2018, pp. 302-303; 2009-10 Timor-Leste Demographic and Health Survey, National Statistics Directorate (NSD) - Ministry of Finance / ICF Macro, 2010, pp. 236–239.</w:t>
      </w:r>
    </w:p>
  </w:footnote>
  <w:footnote w:id="59">
    <w:p w14:paraId="56D0D461" w14:textId="60621FB7" w:rsidR="00E7381F" w:rsidRPr="00DE46F3" w:rsidRDefault="00E7381F" w:rsidP="0098356B">
      <w:pPr>
        <w:pStyle w:val="FootnoteText"/>
        <w:tabs>
          <w:tab w:val="clear" w:pos="418"/>
          <w:tab w:val="right" w:pos="1195"/>
          <w:tab w:val="left" w:pos="1267"/>
          <w:tab w:val="left" w:pos="1742"/>
          <w:tab w:val="left" w:pos="2218"/>
          <w:tab w:val="left" w:pos="2693"/>
        </w:tabs>
        <w:ind w:left="1267" w:right="1260" w:hanging="432"/>
        <w:jc w:val="both"/>
        <w:rPr>
          <w:szCs w:val="17"/>
        </w:rPr>
      </w:pPr>
      <w:r w:rsidRPr="00DE46F3">
        <w:rPr>
          <w:szCs w:val="17"/>
        </w:rPr>
        <w:tab/>
      </w:r>
      <w:r w:rsidRPr="00DE46F3">
        <w:rPr>
          <w:rStyle w:val="FootnoteReference"/>
          <w:szCs w:val="17"/>
        </w:rPr>
        <w:footnoteRef/>
      </w:r>
      <w:r w:rsidRPr="00DE46F3">
        <w:rPr>
          <w:szCs w:val="17"/>
        </w:rPr>
        <w:tab/>
      </w:r>
      <w:r w:rsidRPr="00DE46F3">
        <w:rPr>
          <w:rFonts w:eastAsia="AGaramondPro-Regular"/>
          <w:szCs w:val="17"/>
        </w:rPr>
        <w:t xml:space="preserve">Understanding Violence against Women and Children in Timor-Leste: Findings from the </w:t>
      </w:r>
      <w:r w:rsidRPr="00DE46F3">
        <w:rPr>
          <w:rFonts w:eastAsia="AGaramondPro-Regular"/>
          <w:i/>
          <w:iCs/>
          <w:szCs w:val="17"/>
        </w:rPr>
        <w:t xml:space="preserve">Nabilan </w:t>
      </w:r>
      <w:r w:rsidRPr="00DE46F3">
        <w:rPr>
          <w:rFonts w:eastAsia="AGaramondPro-Regular"/>
          <w:szCs w:val="17"/>
        </w:rPr>
        <w:t>Baseline Study – Main Report. The Asia Foundation, Timor-Leste, 2016, pp.</w:t>
      </w:r>
      <w:r w:rsidR="005B5FE3" w:rsidRPr="00DE46F3">
        <w:rPr>
          <w:rFonts w:eastAsia="AGaramondPro-Regular"/>
          <w:szCs w:val="17"/>
        </w:rPr>
        <w:t xml:space="preserve"> </w:t>
      </w:r>
      <w:r w:rsidRPr="00DE46F3">
        <w:rPr>
          <w:rFonts w:eastAsia="AGaramondPro-Regular"/>
          <w:szCs w:val="17"/>
        </w:rPr>
        <w:t>48</w:t>
      </w:r>
      <w:r w:rsidRPr="00DE46F3">
        <w:rPr>
          <w:szCs w:val="17"/>
        </w:rPr>
        <w:t>–</w:t>
      </w:r>
      <w:r w:rsidRPr="00DE46F3">
        <w:rPr>
          <w:rFonts w:eastAsia="AGaramondPro-Regular"/>
          <w:szCs w:val="17"/>
        </w:rPr>
        <w:t>61.</w:t>
      </w:r>
    </w:p>
  </w:footnote>
  <w:footnote w:id="60">
    <w:p w14:paraId="24707C82" w14:textId="72EFA562" w:rsidR="00E7381F" w:rsidRPr="00DE46F3" w:rsidRDefault="00E7381F" w:rsidP="0098356B">
      <w:pPr>
        <w:pStyle w:val="FootnoteText"/>
        <w:tabs>
          <w:tab w:val="clear" w:pos="418"/>
          <w:tab w:val="right" w:pos="1195"/>
          <w:tab w:val="left" w:pos="1267"/>
          <w:tab w:val="left" w:pos="1742"/>
          <w:tab w:val="left" w:pos="2218"/>
          <w:tab w:val="left" w:pos="2693"/>
        </w:tabs>
        <w:ind w:left="1267" w:right="1260" w:hanging="432"/>
        <w:jc w:val="both"/>
        <w:rPr>
          <w:szCs w:val="17"/>
        </w:rPr>
      </w:pPr>
      <w:r w:rsidRPr="00DE46F3">
        <w:rPr>
          <w:szCs w:val="17"/>
        </w:rPr>
        <w:tab/>
      </w:r>
      <w:r w:rsidRPr="00DE46F3">
        <w:rPr>
          <w:rStyle w:val="FootnoteReference"/>
          <w:szCs w:val="17"/>
        </w:rPr>
        <w:footnoteRef/>
      </w:r>
      <w:r w:rsidRPr="00DE46F3">
        <w:rPr>
          <w:szCs w:val="17"/>
        </w:rPr>
        <w:tab/>
      </w:r>
      <w:r w:rsidRPr="00DE46F3">
        <w:rPr>
          <w:rFonts w:eastAsia="AGaramondPro-Regular"/>
          <w:szCs w:val="17"/>
        </w:rPr>
        <w:t xml:space="preserve">Understanding Violence against Women and Children in Timor-Leste: Findings from the </w:t>
      </w:r>
      <w:r w:rsidRPr="00DE46F3">
        <w:rPr>
          <w:rFonts w:eastAsia="AGaramondPro-Regular"/>
          <w:i/>
          <w:iCs/>
          <w:szCs w:val="17"/>
        </w:rPr>
        <w:t xml:space="preserve">Nabilan </w:t>
      </w:r>
      <w:r w:rsidRPr="00DE46F3">
        <w:rPr>
          <w:rFonts w:eastAsia="AGaramondPro-Regular"/>
          <w:szCs w:val="17"/>
        </w:rPr>
        <w:t>Baseline Study – Main Report. The Asia Foundation, Timor-Leste, 2016, p.</w:t>
      </w:r>
      <w:r w:rsidR="00C169FA" w:rsidRPr="00DE46F3">
        <w:rPr>
          <w:rFonts w:eastAsia="AGaramondPro-Regular"/>
          <w:szCs w:val="17"/>
        </w:rPr>
        <w:t xml:space="preserve"> </w:t>
      </w:r>
      <w:r w:rsidRPr="00DE46F3">
        <w:rPr>
          <w:rFonts w:eastAsia="AGaramondPro-Regular"/>
          <w:szCs w:val="17"/>
        </w:rPr>
        <w:t>112.</w:t>
      </w:r>
    </w:p>
  </w:footnote>
  <w:footnote w:id="61">
    <w:p w14:paraId="0A6556F4" w14:textId="77777777" w:rsidR="00E7381F" w:rsidRPr="00DE46F3" w:rsidRDefault="00E7381F" w:rsidP="0098356B">
      <w:pPr>
        <w:pStyle w:val="FootnoteText"/>
        <w:tabs>
          <w:tab w:val="clear" w:pos="418"/>
          <w:tab w:val="right" w:pos="1195"/>
          <w:tab w:val="left" w:pos="1267"/>
          <w:tab w:val="left" w:pos="1742"/>
          <w:tab w:val="left" w:pos="2218"/>
          <w:tab w:val="left" w:pos="2693"/>
        </w:tabs>
        <w:ind w:left="1267" w:right="1260" w:hanging="432"/>
        <w:rPr>
          <w:szCs w:val="17"/>
        </w:rPr>
      </w:pPr>
      <w:r w:rsidRPr="00DE46F3">
        <w:rPr>
          <w:szCs w:val="17"/>
        </w:rPr>
        <w:tab/>
      </w:r>
      <w:r w:rsidRPr="00DE46F3">
        <w:rPr>
          <w:rStyle w:val="FootnoteReference"/>
          <w:szCs w:val="17"/>
        </w:rPr>
        <w:footnoteRef/>
      </w:r>
      <w:r w:rsidRPr="00DE46F3">
        <w:rPr>
          <w:szCs w:val="17"/>
        </w:rPr>
        <w:tab/>
      </w:r>
      <w:r w:rsidRPr="00DE46F3">
        <w:rPr>
          <w:rFonts w:cs="Calibri"/>
          <w:szCs w:val="17"/>
        </w:rPr>
        <w:t>Out of the 5 following reasons: if she burns the food, argues with him, goes out without telling him, neglects the children, or refuses to have sex with him.</w:t>
      </w:r>
    </w:p>
  </w:footnote>
  <w:footnote w:id="62">
    <w:p w14:paraId="6CC58C4E" w14:textId="3EB7B919" w:rsidR="00E7381F" w:rsidRPr="00DE46F3" w:rsidRDefault="00E7381F" w:rsidP="0098356B">
      <w:pPr>
        <w:pStyle w:val="FootnoteText"/>
        <w:tabs>
          <w:tab w:val="clear" w:pos="418"/>
          <w:tab w:val="right" w:pos="1195"/>
          <w:tab w:val="left" w:pos="1267"/>
          <w:tab w:val="left" w:pos="1742"/>
          <w:tab w:val="left" w:pos="2218"/>
          <w:tab w:val="left" w:pos="2693"/>
        </w:tabs>
        <w:ind w:left="1267" w:right="1260" w:hanging="432"/>
        <w:jc w:val="both"/>
        <w:rPr>
          <w:szCs w:val="17"/>
        </w:rPr>
      </w:pPr>
      <w:r w:rsidRPr="00DE46F3">
        <w:rPr>
          <w:szCs w:val="17"/>
        </w:rPr>
        <w:tab/>
      </w:r>
      <w:r w:rsidRPr="00DE46F3">
        <w:rPr>
          <w:rStyle w:val="FootnoteReference"/>
          <w:szCs w:val="17"/>
        </w:rPr>
        <w:footnoteRef/>
      </w:r>
      <w:r w:rsidRPr="00DE46F3">
        <w:rPr>
          <w:szCs w:val="17"/>
        </w:rPr>
        <w:tab/>
        <w:t>2009/2010 DHS, pp. 214</w:t>
      </w:r>
      <w:r w:rsidR="005B5FE3" w:rsidRPr="00DE46F3">
        <w:rPr>
          <w:szCs w:val="17"/>
        </w:rPr>
        <w:t>–</w:t>
      </w:r>
      <w:r w:rsidRPr="00DE46F3">
        <w:rPr>
          <w:szCs w:val="17"/>
        </w:rPr>
        <w:t>215 and 2016 DHS, pp. 291</w:t>
      </w:r>
      <w:r w:rsidR="005B5FE3" w:rsidRPr="00DE46F3">
        <w:rPr>
          <w:szCs w:val="17"/>
        </w:rPr>
        <w:t>–</w:t>
      </w:r>
      <w:r w:rsidRPr="00DE46F3">
        <w:rPr>
          <w:szCs w:val="17"/>
        </w:rPr>
        <w:t>292.</w:t>
      </w:r>
    </w:p>
  </w:footnote>
  <w:footnote w:id="63">
    <w:p w14:paraId="71A478FB" w14:textId="77777777" w:rsidR="00E7381F" w:rsidRPr="00DE46F3" w:rsidRDefault="00E7381F" w:rsidP="0098356B">
      <w:pPr>
        <w:pStyle w:val="FootnoteText"/>
        <w:tabs>
          <w:tab w:val="clear" w:pos="418"/>
          <w:tab w:val="right" w:pos="1195"/>
          <w:tab w:val="left" w:pos="1267"/>
          <w:tab w:val="left" w:pos="1742"/>
          <w:tab w:val="left" w:pos="2218"/>
          <w:tab w:val="left" w:pos="2693"/>
        </w:tabs>
        <w:ind w:left="1267" w:right="1260" w:hanging="432"/>
        <w:jc w:val="both"/>
        <w:rPr>
          <w:szCs w:val="17"/>
        </w:rPr>
      </w:pPr>
      <w:r w:rsidRPr="00DE46F3">
        <w:rPr>
          <w:szCs w:val="17"/>
        </w:rPr>
        <w:tab/>
      </w:r>
      <w:r w:rsidRPr="00DE46F3">
        <w:rPr>
          <w:rStyle w:val="FootnoteReference"/>
          <w:szCs w:val="17"/>
        </w:rPr>
        <w:footnoteRef/>
      </w:r>
      <w:r w:rsidRPr="00DE46F3">
        <w:rPr>
          <w:szCs w:val="17"/>
        </w:rPr>
        <w:tab/>
        <w:t xml:space="preserve">2015 </w:t>
      </w:r>
      <w:r w:rsidRPr="00DE46F3">
        <w:rPr>
          <w:rFonts w:eastAsia="AGaramondPro-Regular"/>
          <w:i/>
          <w:iCs/>
          <w:szCs w:val="17"/>
        </w:rPr>
        <w:t xml:space="preserve">Nabilan </w:t>
      </w:r>
      <w:r w:rsidRPr="00DE46F3">
        <w:rPr>
          <w:rFonts w:eastAsia="AGaramondPro-Regular"/>
          <w:szCs w:val="17"/>
        </w:rPr>
        <w:t>Baseline Study, p.86.</w:t>
      </w:r>
    </w:p>
  </w:footnote>
  <w:footnote w:id="64">
    <w:p w14:paraId="4DC21DB5" w14:textId="223594B6" w:rsidR="00E7381F" w:rsidRPr="00DE46F3" w:rsidRDefault="00E7381F" w:rsidP="0098356B">
      <w:pPr>
        <w:pStyle w:val="FootnoteText"/>
        <w:tabs>
          <w:tab w:val="clear" w:pos="418"/>
          <w:tab w:val="right" w:pos="1195"/>
          <w:tab w:val="left" w:pos="1267"/>
          <w:tab w:val="left" w:pos="1742"/>
          <w:tab w:val="left" w:pos="2218"/>
          <w:tab w:val="left" w:pos="2693"/>
        </w:tabs>
        <w:ind w:left="1267" w:right="1260" w:hanging="432"/>
        <w:jc w:val="both"/>
        <w:rPr>
          <w:szCs w:val="17"/>
        </w:rPr>
      </w:pPr>
      <w:r w:rsidRPr="00DE46F3">
        <w:rPr>
          <w:szCs w:val="17"/>
        </w:rPr>
        <w:tab/>
      </w:r>
      <w:r w:rsidRPr="00DE46F3">
        <w:rPr>
          <w:rStyle w:val="FootnoteReference"/>
          <w:szCs w:val="17"/>
        </w:rPr>
        <w:footnoteRef/>
      </w:r>
      <w:r w:rsidRPr="00DE46F3">
        <w:rPr>
          <w:szCs w:val="17"/>
        </w:rPr>
        <w:tab/>
        <w:t>2017</w:t>
      </w:r>
      <w:r w:rsidR="005B5FE3" w:rsidRPr="00DE46F3">
        <w:rPr>
          <w:szCs w:val="17"/>
        </w:rPr>
        <w:t>–</w:t>
      </w:r>
      <w:r w:rsidRPr="00DE46F3">
        <w:rPr>
          <w:szCs w:val="17"/>
        </w:rPr>
        <w:t>2021 National Action Plan on Gender-Based Violence, Secretariat of State for the Support and Socio-Economic Promotion of Women (SEM), Feb. 2017, p. 13.</w:t>
      </w:r>
    </w:p>
  </w:footnote>
  <w:footnote w:id="65">
    <w:p w14:paraId="2AFA9195" w14:textId="77777777" w:rsidR="00E7381F" w:rsidRPr="00DE46F3" w:rsidRDefault="00E7381F" w:rsidP="0098356B">
      <w:pPr>
        <w:pStyle w:val="FootnoteText"/>
        <w:tabs>
          <w:tab w:val="clear" w:pos="418"/>
          <w:tab w:val="right" w:pos="1195"/>
          <w:tab w:val="left" w:pos="1267"/>
          <w:tab w:val="left" w:pos="1742"/>
          <w:tab w:val="left" w:pos="2218"/>
          <w:tab w:val="left" w:pos="2693"/>
        </w:tabs>
        <w:ind w:left="1267" w:right="1260" w:hanging="432"/>
        <w:jc w:val="both"/>
        <w:rPr>
          <w:szCs w:val="17"/>
        </w:rPr>
      </w:pPr>
      <w:r w:rsidRPr="00DE46F3">
        <w:rPr>
          <w:szCs w:val="17"/>
        </w:rPr>
        <w:tab/>
      </w:r>
      <w:r w:rsidRPr="00DE46F3">
        <w:rPr>
          <w:rStyle w:val="FootnoteReference"/>
          <w:szCs w:val="17"/>
        </w:rPr>
        <w:footnoteRef/>
      </w:r>
      <w:r w:rsidRPr="00DE46F3">
        <w:rPr>
          <w:szCs w:val="17"/>
        </w:rPr>
        <w:tab/>
        <w:t xml:space="preserve">Own calculation based on the information provided in the annual report. </w:t>
      </w:r>
      <w:r w:rsidRPr="00DE46F3">
        <w:rPr>
          <w:rFonts w:cs="Calibri"/>
          <w:szCs w:val="17"/>
        </w:rPr>
        <w:t>However, this evaluation is likely to be far below the actual budget execution due to the weaknesses of the monitoring system and the limited technical and institutional capacities of SEII to comprehensively monitor the plan, both in terms of human and financial resources.</w:t>
      </w:r>
    </w:p>
  </w:footnote>
  <w:footnote w:id="66">
    <w:p w14:paraId="69AFB906" w14:textId="2A6F49AC" w:rsidR="00E7381F" w:rsidRPr="00DE46F3" w:rsidRDefault="00E7381F" w:rsidP="0098356B">
      <w:pPr>
        <w:pStyle w:val="FootnoteText"/>
        <w:tabs>
          <w:tab w:val="clear" w:pos="418"/>
          <w:tab w:val="right" w:pos="1195"/>
          <w:tab w:val="left" w:pos="1267"/>
          <w:tab w:val="left" w:pos="1742"/>
          <w:tab w:val="left" w:pos="2218"/>
          <w:tab w:val="left" w:pos="2693"/>
        </w:tabs>
        <w:ind w:left="1267" w:right="1260" w:hanging="432"/>
        <w:jc w:val="both"/>
        <w:rPr>
          <w:szCs w:val="17"/>
        </w:rPr>
      </w:pPr>
      <w:r w:rsidRPr="00DE46F3">
        <w:rPr>
          <w:szCs w:val="17"/>
        </w:rPr>
        <w:tab/>
      </w:r>
      <w:r w:rsidRPr="00DE46F3">
        <w:rPr>
          <w:rStyle w:val="FootnoteReference"/>
          <w:szCs w:val="17"/>
        </w:rPr>
        <w:footnoteRef/>
      </w:r>
      <w:r w:rsidRPr="00DE46F3">
        <w:rPr>
          <w:szCs w:val="17"/>
        </w:rPr>
        <w:tab/>
        <w:t>2018 Annual Report to National Parliament on the Implementation of the 2017</w:t>
      </w:r>
      <w:r w:rsidR="005B5FE3" w:rsidRPr="00DE46F3">
        <w:rPr>
          <w:szCs w:val="17"/>
        </w:rPr>
        <w:t>–</w:t>
      </w:r>
      <w:r w:rsidRPr="00DE46F3">
        <w:rPr>
          <w:szCs w:val="17"/>
        </w:rPr>
        <w:t>2021 National Action Plan on Gender-Based Violence, Secretariat of State for Equality and Inclusion (SEII), July 2019.</w:t>
      </w:r>
    </w:p>
  </w:footnote>
  <w:footnote w:id="67">
    <w:p w14:paraId="155A085A" w14:textId="3C9AAAF8" w:rsidR="00E7381F" w:rsidRPr="00DE46F3" w:rsidRDefault="00E7381F" w:rsidP="0098356B">
      <w:pPr>
        <w:pStyle w:val="FootnoteText"/>
        <w:tabs>
          <w:tab w:val="clear" w:pos="418"/>
          <w:tab w:val="right" w:pos="1195"/>
          <w:tab w:val="left" w:pos="1267"/>
          <w:tab w:val="left" w:pos="1742"/>
          <w:tab w:val="left" w:pos="2218"/>
          <w:tab w:val="left" w:pos="2693"/>
        </w:tabs>
        <w:ind w:left="1267" w:right="1260" w:hanging="432"/>
        <w:jc w:val="both"/>
        <w:rPr>
          <w:szCs w:val="17"/>
        </w:rPr>
      </w:pPr>
      <w:r w:rsidRPr="00DE46F3">
        <w:rPr>
          <w:szCs w:val="17"/>
        </w:rPr>
        <w:tab/>
      </w:r>
      <w:r w:rsidRPr="00DE46F3">
        <w:rPr>
          <w:rStyle w:val="FootnoteReference"/>
          <w:szCs w:val="17"/>
        </w:rPr>
        <w:footnoteRef/>
      </w:r>
      <w:r w:rsidRPr="00DE46F3">
        <w:rPr>
          <w:szCs w:val="17"/>
        </w:rPr>
        <w:tab/>
        <w:t>2017-2021 National Action Plan on Gender-Based Violence, Secretariat of State for the Support and Socio-Economic Promotion of Women (SEM), Feb. 2017, pp.</w:t>
      </w:r>
      <w:r w:rsidR="00C169FA" w:rsidRPr="00DE46F3">
        <w:rPr>
          <w:szCs w:val="17"/>
        </w:rPr>
        <w:t xml:space="preserve"> </w:t>
      </w:r>
      <w:r w:rsidRPr="00DE46F3">
        <w:rPr>
          <w:szCs w:val="17"/>
        </w:rPr>
        <w:t>17</w:t>
      </w:r>
      <w:r w:rsidR="00C169FA" w:rsidRPr="00DE46F3">
        <w:rPr>
          <w:szCs w:val="17"/>
        </w:rPr>
        <w:t>–</w:t>
      </w:r>
      <w:r w:rsidRPr="00DE46F3">
        <w:rPr>
          <w:szCs w:val="17"/>
        </w:rPr>
        <w:t>18.</w:t>
      </w:r>
    </w:p>
  </w:footnote>
  <w:footnote w:id="68">
    <w:p w14:paraId="39FF311F" w14:textId="77777777" w:rsidR="00E7381F" w:rsidRPr="00DE46F3" w:rsidRDefault="00E7381F" w:rsidP="0098356B">
      <w:pPr>
        <w:pStyle w:val="FootnoteText"/>
        <w:tabs>
          <w:tab w:val="clear" w:pos="418"/>
          <w:tab w:val="right" w:pos="1195"/>
          <w:tab w:val="left" w:pos="1267"/>
          <w:tab w:val="left" w:pos="1742"/>
          <w:tab w:val="left" w:pos="2218"/>
          <w:tab w:val="left" w:pos="2693"/>
        </w:tabs>
        <w:ind w:left="1267" w:right="1260" w:hanging="432"/>
        <w:jc w:val="both"/>
        <w:rPr>
          <w:szCs w:val="17"/>
        </w:rPr>
      </w:pPr>
      <w:r w:rsidRPr="00DE46F3">
        <w:rPr>
          <w:szCs w:val="17"/>
        </w:rPr>
        <w:tab/>
      </w:r>
      <w:r w:rsidRPr="00DE46F3">
        <w:rPr>
          <w:rStyle w:val="FootnoteReference"/>
          <w:szCs w:val="17"/>
        </w:rPr>
        <w:footnoteRef/>
      </w:r>
      <w:r w:rsidRPr="00DE46F3">
        <w:rPr>
          <w:szCs w:val="17"/>
        </w:rPr>
        <w:tab/>
        <w:t>More than 1,000 community members were directly reached in this period (40 per cent women).</w:t>
      </w:r>
    </w:p>
  </w:footnote>
  <w:footnote w:id="69">
    <w:p w14:paraId="0E0C5698" w14:textId="77777777" w:rsidR="00E7381F" w:rsidRPr="00DE46F3" w:rsidRDefault="00E7381F" w:rsidP="0098356B">
      <w:pPr>
        <w:pStyle w:val="FootnoteText"/>
        <w:tabs>
          <w:tab w:val="clear" w:pos="418"/>
          <w:tab w:val="right" w:pos="1195"/>
          <w:tab w:val="left" w:pos="1267"/>
          <w:tab w:val="left" w:pos="1742"/>
          <w:tab w:val="left" w:pos="2218"/>
          <w:tab w:val="left" w:pos="2693"/>
        </w:tabs>
        <w:ind w:left="1267" w:right="1260" w:hanging="432"/>
        <w:jc w:val="both"/>
        <w:rPr>
          <w:szCs w:val="17"/>
        </w:rPr>
      </w:pPr>
      <w:r w:rsidRPr="00DE46F3">
        <w:rPr>
          <w:szCs w:val="17"/>
        </w:rPr>
        <w:tab/>
      </w:r>
      <w:r w:rsidRPr="00DE46F3">
        <w:rPr>
          <w:rStyle w:val="FootnoteReference"/>
          <w:szCs w:val="17"/>
        </w:rPr>
        <w:footnoteRef/>
      </w:r>
      <w:r w:rsidRPr="00DE46F3">
        <w:rPr>
          <w:szCs w:val="17"/>
        </w:rPr>
        <w:tab/>
        <w:t>SEII Training department data.</w:t>
      </w:r>
    </w:p>
  </w:footnote>
  <w:footnote w:id="70">
    <w:p w14:paraId="0A62C104" w14:textId="77777777" w:rsidR="00E7381F" w:rsidRPr="00DE46F3" w:rsidRDefault="00E7381F" w:rsidP="0098356B">
      <w:pPr>
        <w:pStyle w:val="FootnoteText"/>
        <w:tabs>
          <w:tab w:val="clear" w:pos="418"/>
          <w:tab w:val="right" w:pos="1195"/>
          <w:tab w:val="left" w:pos="1267"/>
          <w:tab w:val="left" w:pos="1742"/>
          <w:tab w:val="left" w:pos="2218"/>
          <w:tab w:val="left" w:pos="2693"/>
        </w:tabs>
        <w:ind w:left="1267" w:right="1260" w:hanging="432"/>
        <w:jc w:val="both"/>
        <w:rPr>
          <w:szCs w:val="17"/>
        </w:rPr>
      </w:pPr>
      <w:r w:rsidRPr="00DE46F3">
        <w:rPr>
          <w:szCs w:val="17"/>
        </w:rPr>
        <w:tab/>
      </w:r>
      <w:r w:rsidRPr="00DE46F3">
        <w:rPr>
          <w:rStyle w:val="FootnoteReference"/>
          <w:szCs w:val="17"/>
        </w:rPr>
        <w:footnoteRef/>
      </w:r>
      <w:r w:rsidRPr="00DE46F3">
        <w:rPr>
          <w:szCs w:val="17"/>
        </w:rPr>
        <w:tab/>
        <w:t>2012-2016 National Action Plan on Gender-Based Violence - 2016 Monitoring Report, Secretary of State for Gender Equality in Social Inclusion (SEIGIS), Nov. 2017, p. 5.</w:t>
      </w:r>
    </w:p>
  </w:footnote>
  <w:footnote w:id="71">
    <w:p w14:paraId="099367FC" w14:textId="77777777" w:rsidR="00E7381F" w:rsidRPr="00DE46F3" w:rsidRDefault="00E7381F" w:rsidP="0098356B">
      <w:pPr>
        <w:pStyle w:val="FootnoteText"/>
        <w:tabs>
          <w:tab w:val="clear" w:pos="418"/>
          <w:tab w:val="right" w:pos="1195"/>
          <w:tab w:val="left" w:pos="1267"/>
          <w:tab w:val="left" w:pos="1742"/>
          <w:tab w:val="left" w:pos="2218"/>
          <w:tab w:val="left" w:pos="2693"/>
        </w:tabs>
        <w:ind w:left="1267" w:right="1260" w:hanging="432"/>
        <w:jc w:val="both"/>
        <w:rPr>
          <w:szCs w:val="17"/>
        </w:rPr>
      </w:pPr>
      <w:r w:rsidRPr="00DE46F3">
        <w:rPr>
          <w:szCs w:val="17"/>
        </w:rPr>
        <w:tab/>
      </w:r>
      <w:r w:rsidRPr="00DE46F3">
        <w:rPr>
          <w:rStyle w:val="FootnoteReference"/>
          <w:szCs w:val="17"/>
        </w:rPr>
        <w:footnoteRef/>
      </w:r>
      <w:r w:rsidRPr="00DE46F3">
        <w:rPr>
          <w:szCs w:val="17"/>
        </w:rPr>
        <w:tab/>
        <w:t>2018 Annual Report to National Parliament on the Implementation of the 2017-2021 National Action Plan on Gender-Based Violence, Secretariat of State for Equality and Inclusion (SEII), July 2019; SEII’s department of GBV prevention data, 2019.</w:t>
      </w:r>
    </w:p>
  </w:footnote>
  <w:footnote w:id="72">
    <w:p w14:paraId="7708E47E" w14:textId="77777777" w:rsidR="00E7381F" w:rsidRPr="00DE46F3" w:rsidRDefault="00E7381F" w:rsidP="0098356B">
      <w:pPr>
        <w:pStyle w:val="FootnoteText"/>
        <w:tabs>
          <w:tab w:val="clear" w:pos="418"/>
          <w:tab w:val="right" w:pos="1195"/>
          <w:tab w:val="left" w:pos="1267"/>
          <w:tab w:val="left" w:pos="1742"/>
          <w:tab w:val="left" w:pos="2218"/>
          <w:tab w:val="left" w:pos="2693"/>
        </w:tabs>
        <w:ind w:left="1267" w:right="1260" w:hanging="432"/>
        <w:jc w:val="both"/>
        <w:rPr>
          <w:szCs w:val="17"/>
        </w:rPr>
      </w:pPr>
      <w:r w:rsidRPr="00DE46F3">
        <w:rPr>
          <w:szCs w:val="17"/>
        </w:rPr>
        <w:tab/>
      </w:r>
      <w:r w:rsidRPr="00DE46F3">
        <w:rPr>
          <w:rStyle w:val="FootnoteReference"/>
          <w:szCs w:val="17"/>
        </w:rPr>
        <w:footnoteRef/>
      </w:r>
      <w:r w:rsidRPr="00DE46F3">
        <w:rPr>
          <w:szCs w:val="17"/>
        </w:rPr>
        <w:tab/>
        <w:t xml:space="preserve">See the previous section. </w:t>
      </w:r>
    </w:p>
  </w:footnote>
  <w:footnote w:id="73">
    <w:p w14:paraId="2B32AD96" w14:textId="77777777" w:rsidR="00E7381F" w:rsidRPr="00DE46F3" w:rsidRDefault="00E7381F" w:rsidP="0098356B">
      <w:pPr>
        <w:pStyle w:val="FootnoteText"/>
        <w:tabs>
          <w:tab w:val="clear" w:pos="418"/>
          <w:tab w:val="right" w:pos="1195"/>
          <w:tab w:val="left" w:pos="1267"/>
          <w:tab w:val="left" w:pos="1742"/>
          <w:tab w:val="left" w:pos="2218"/>
          <w:tab w:val="left" w:pos="2693"/>
        </w:tabs>
        <w:ind w:left="1267" w:right="1260" w:hanging="432"/>
        <w:jc w:val="both"/>
        <w:rPr>
          <w:szCs w:val="17"/>
        </w:rPr>
      </w:pPr>
      <w:r w:rsidRPr="00DE46F3">
        <w:rPr>
          <w:szCs w:val="17"/>
        </w:rPr>
        <w:tab/>
      </w:r>
      <w:r w:rsidRPr="00DE46F3">
        <w:rPr>
          <w:rStyle w:val="FootnoteReference"/>
          <w:szCs w:val="17"/>
        </w:rPr>
        <w:footnoteRef/>
      </w:r>
      <w:r w:rsidRPr="00DE46F3">
        <w:rPr>
          <w:szCs w:val="17"/>
        </w:rPr>
        <w:tab/>
        <w:t>Gender Strategy Timor-Leste National Police 2018 – 2022, Timor-Leste National Police (PNTL) General Command, 2019, pp.4-9.</w:t>
      </w:r>
    </w:p>
  </w:footnote>
  <w:footnote w:id="74">
    <w:p w14:paraId="523A180D" w14:textId="77777777" w:rsidR="00E7381F" w:rsidRPr="00DE46F3" w:rsidRDefault="00E7381F" w:rsidP="0098356B">
      <w:pPr>
        <w:pStyle w:val="FootnoteText"/>
        <w:tabs>
          <w:tab w:val="clear" w:pos="418"/>
          <w:tab w:val="right" w:pos="1195"/>
          <w:tab w:val="left" w:pos="1267"/>
          <w:tab w:val="left" w:pos="1742"/>
          <w:tab w:val="left" w:pos="2218"/>
          <w:tab w:val="left" w:pos="2693"/>
        </w:tabs>
        <w:ind w:left="1267" w:right="1260" w:hanging="432"/>
        <w:jc w:val="both"/>
        <w:rPr>
          <w:szCs w:val="17"/>
        </w:rPr>
      </w:pPr>
      <w:r w:rsidRPr="00DE46F3">
        <w:rPr>
          <w:szCs w:val="17"/>
        </w:rPr>
        <w:tab/>
      </w:r>
      <w:r w:rsidRPr="00DE46F3">
        <w:rPr>
          <w:rStyle w:val="FootnoteReference"/>
          <w:szCs w:val="17"/>
        </w:rPr>
        <w:footnoteRef/>
      </w:r>
      <w:r w:rsidRPr="00DE46F3">
        <w:rPr>
          <w:szCs w:val="17"/>
        </w:rPr>
        <w:tab/>
        <w:t>SEII Training department data; Nabilan Program: Ending Violence Against Women In Timor-Leste - 2017 Progress reports, The Asia Foundation; 2013-2019 UNDP Capacity Building Support to Policia Nacional da Timor-Leste, 2018 project fact sheet.</w:t>
      </w:r>
    </w:p>
  </w:footnote>
  <w:footnote w:id="75">
    <w:p w14:paraId="19B98C48" w14:textId="77777777" w:rsidR="00E7381F" w:rsidRPr="00DE46F3" w:rsidRDefault="00E7381F" w:rsidP="0098356B">
      <w:pPr>
        <w:pStyle w:val="FootnoteText"/>
        <w:tabs>
          <w:tab w:val="clear" w:pos="418"/>
          <w:tab w:val="right" w:pos="1195"/>
          <w:tab w:val="left" w:pos="1267"/>
          <w:tab w:val="left" w:pos="1742"/>
          <w:tab w:val="left" w:pos="2218"/>
          <w:tab w:val="left" w:pos="2693"/>
        </w:tabs>
        <w:ind w:left="1267" w:right="1260" w:hanging="432"/>
        <w:jc w:val="both"/>
        <w:rPr>
          <w:szCs w:val="17"/>
        </w:rPr>
      </w:pPr>
      <w:r w:rsidRPr="00DE46F3">
        <w:rPr>
          <w:szCs w:val="17"/>
        </w:rPr>
        <w:tab/>
      </w:r>
      <w:r w:rsidRPr="00DE46F3">
        <w:rPr>
          <w:rStyle w:val="FootnoteReference"/>
          <w:szCs w:val="17"/>
        </w:rPr>
        <w:footnoteRef/>
      </w:r>
      <w:r w:rsidRPr="00DE46F3">
        <w:rPr>
          <w:szCs w:val="17"/>
        </w:rPr>
        <w:tab/>
      </w:r>
      <w:r w:rsidRPr="00DE46F3">
        <w:rPr>
          <w:rFonts w:cs="Calibri"/>
          <w:szCs w:val="17"/>
        </w:rPr>
        <w:t>From 175 cases of sexual violence in 2015 to 219 in 2018 and already 140 cases up to July 2019. Trend in general DV reporting: 1005 cases in 2015, 984 in 2016, 936 in 2017, 1078 in 2018 and 628 up to July 2019.</w:t>
      </w:r>
    </w:p>
  </w:footnote>
  <w:footnote w:id="76">
    <w:p w14:paraId="7E476CA9" w14:textId="77777777" w:rsidR="00E7381F" w:rsidRPr="00DE46F3" w:rsidRDefault="00E7381F" w:rsidP="0098356B">
      <w:pPr>
        <w:pStyle w:val="FootnoteText"/>
        <w:tabs>
          <w:tab w:val="clear" w:pos="418"/>
          <w:tab w:val="right" w:pos="1195"/>
          <w:tab w:val="left" w:pos="1267"/>
          <w:tab w:val="left" w:pos="1742"/>
          <w:tab w:val="left" w:pos="2218"/>
          <w:tab w:val="left" w:pos="2693"/>
        </w:tabs>
        <w:ind w:left="1267" w:right="1260" w:hanging="432"/>
        <w:jc w:val="both"/>
        <w:rPr>
          <w:szCs w:val="17"/>
        </w:rPr>
      </w:pPr>
      <w:r w:rsidRPr="00DE46F3">
        <w:rPr>
          <w:szCs w:val="17"/>
        </w:rPr>
        <w:tab/>
      </w:r>
      <w:r w:rsidRPr="00DE46F3">
        <w:rPr>
          <w:rStyle w:val="FootnoteReference"/>
          <w:szCs w:val="17"/>
        </w:rPr>
        <w:footnoteRef/>
      </w:r>
      <w:r w:rsidRPr="00DE46F3">
        <w:rPr>
          <w:szCs w:val="17"/>
        </w:rPr>
        <w:tab/>
        <w:t>Vulnerable Persons Unit - National Police of Timor-Leste (VPU-PNTL) response to CEDAW questionnaire, Aug. 2019.</w:t>
      </w:r>
    </w:p>
  </w:footnote>
  <w:footnote w:id="77">
    <w:p w14:paraId="15208CAD" w14:textId="77777777" w:rsidR="00E7381F" w:rsidRPr="00DE46F3" w:rsidRDefault="00E7381F" w:rsidP="0098356B">
      <w:pPr>
        <w:pStyle w:val="FootnoteText"/>
        <w:tabs>
          <w:tab w:val="clear" w:pos="418"/>
          <w:tab w:val="right" w:pos="1195"/>
          <w:tab w:val="left" w:pos="1267"/>
          <w:tab w:val="left" w:pos="1742"/>
          <w:tab w:val="left" w:pos="2218"/>
          <w:tab w:val="left" w:pos="2693"/>
        </w:tabs>
        <w:ind w:left="1267" w:right="1260" w:hanging="432"/>
        <w:jc w:val="both"/>
        <w:rPr>
          <w:szCs w:val="17"/>
        </w:rPr>
      </w:pPr>
      <w:r w:rsidRPr="00DE46F3">
        <w:rPr>
          <w:szCs w:val="17"/>
        </w:rPr>
        <w:tab/>
      </w:r>
      <w:r w:rsidRPr="00DE46F3">
        <w:rPr>
          <w:rStyle w:val="FootnoteReference"/>
          <w:szCs w:val="17"/>
        </w:rPr>
        <w:footnoteRef/>
      </w:r>
      <w:r w:rsidRPr="00DE46F3">
        <w:rPr>
          <w:szCs w:val="17"/>
        </w:rPr>
        <w:tab/>
        <w:t>F</w:t>
      </w:r>
      <w:r w:rsidRPr="00DE46F3">
        <w:rPr>
          <w:rFonts w:cs="Calibri"/>
          <w:szCs w:val="17"/>
        </w:rPr>
        <w:t>rom 4,037 cases in 2013 to 2,241 cases in 2016.</w:t>
      </w:r>
    </w:p>
  </w:footnote>
  <w:footnote w:id="78">
    <w:p w14:paraId="1CC1974D" w14:textId="31214A73" w:rsidR="00E7381F" w:rsidRPr="00DE46F3" w:rsidRDefault="00E7381F" w:rsidP="0098356B">
      <w:pPr>
        <w:pStyle w:val="FootnoteText"/>
        <w:tabs>
          <w:tab w:val="clear" w:pos="418"/>
          <w:tab w:val="right" w:pos="1195"/>
          <w:tab w:val="left" w:pos="1267"/>
          <w:tab w:val="left" w:pos="1742"/>
          <w:tab w:val="left" w:pos="2218"/>
          <w:tab w:val="left" w:pos="2693"/>
        </w:tabs>
        <w:ind w:left="1267" w:right="1260" w:hanging="432"/>
        <w:jc w:val="both"/>
        <w:rPr>
          <w:szCs w:val="17"/>
        </w:rPr>
      </w:pPr>
      <w:r w:rsidRPr="00DE46F3">
        <w:rPr>
          <w:szCs w:val="17"/>
        </w:rPr>
        <w:tab/>
      </w:r>
      <w:r w:rsidRPr="00DE46F3">
        <w:rPr>
          <w:rStyle w:val="FootnoteReference"/>
          <w:szCs w:val="17"/>
        </w:rPr>
        <w:footnoteRef/>
      </w:r>
      <w:r w:rsidRPr="00DE46F3">
        <w:rPr>
          <w:szCs w:val="17"/>
        </w:rPr>
        <w:tab/>
        <w:t>Justice System Programme – 2017 Annual Progress Report, UNDP Timor-Leste, March 2018, p.</w:t>
      </w:r>
      <w:r w:rsidR="00715887" w:rsidRPr="00DE46F3">
        <w:rPr>
          <w:szCs w:val="17"/>
        </w:rPr>
        <w:t> </w:t>
      </w:r>
      <w:r w:rsidRPr="00DE46F3">
        <w:rPr>
          <w:szCs w:val="17"/>
        </w:rPr>
        <w:t>8.</w:t>
      </w:r>
    </w:p>
  </w:footnote>
  <w:footnote w:id="79">
    <w:p w14:paraId="49D61F44" w14:textId="77777777" w:rsidR="00E7381F" w:rsidRPr="00DE46F3" w:rsidRDefault="00E7381F" w:rsidP="0098356B">
      <w:pPr>
        <w:pStyle w:val="FootnoteText"/>
        <w:tabs>
          <w:tab w:val="clear" w:pos="418"/>
          <w:tab w:val="right" w:pos="1195"/>
          <w:tab w:val="left" w:pos="1267"/>
          <w:tab w:val="left" w:pos="1742"/>
          <w:tab w:val="left" w:pos="2218"/>
          <w:tab w:val="left" w:pos="2693"/>
        </w:tabs>
        <w:ind w:left="1267" w:right="1260" w:hanging="432"/>
        <w:jc w:val="both"/>
        <w:rPr>
          <w:szCs w:val="17"/>
        </w:rPr>
      </w:pPr>
      <w:r w:rsidRPr="00DE46F3">
        <w:rPr>
          <w:szCs w:val="17"/>
        </w:rPr>
        <w:tab/>
      </w:r>
      <w:r w:rsidRPr="00DE46F3">
        <w:rPr>
          <w:rStyle w:val="FootnoteReference"/>
          <w:szCs w:val="17"/>
        </w:rPr>
        <w:footnoteRef/>
      </w:r>
      <w:r w:rsidRPr="00DE46F3">
        <w:rPr>
          <w:szCs w:val="17"/>
        </w:rPr>
        <w:tab/>
        <w:t>46 per cent and 9 per cent of court convictions in the 2016-2019 period were related respectively to DV and to sexual violence.</w:t>
      </w:r>
    </w:p>
  </w:footnote>
  <w:footnote w:id="80">
    <w:p w14:paraId="367A59AE" w14:textId="40A69106" w:rsidR="00E7381F" w:rsidRPr="00DE46F3" w:rsidRDefault="00E7381F" w:rsidP="0098356B">
      <w:pPr>
        <w:pStyle w:val="FootnoteText"/>
        <w:tabs>
          <w:tab w:val="clear" w:pos="418"/>
          <w:tab w:val="right" w:pos="1195"/>
          <w:tab w:val="left" w:pos="1267"/>
          <w:tab w:val="left" w:pos="1742"/>
          <w:tab w:val="left" w:pos="2218"/>
          <w:tab w:val="left" w:pos="2693"/>
        </w:tabs>
        <w:ind w:left="1267" w:right="1260" w:hanging="432"/>
        <w:jc w:val="both"/>
        <w:rPr>
          <w:szCs w:val="17"/>
        </w:rPr>
      </w:pPr>
      <w:r w:rsidRPr="00DE46F3">
        <w:rPr>
          <w:szCs w:val="17"/>
        </w:rPr>
        <w:tab/>
      </w:r>
      <w:r w:rsidRPr="00DE46F3">
        <w:rPr>
          <w:rStyle w:val="FootnoteReference"/>
          <w:szCs w:val="17"/>
        </w:rPr>
        <w:footnoteRef/>
      </w:r>
      <w:r w:rsidRPr="00DE46F3">
        <w:rPr>
          <w:szCs w:val="17"/>
        </w:rPr>
        <w:tab/>
        <w:t>Response of the Court of Appeal (acting as the Supreme Court) to the CEDAW Questionnaire, 7th</w:t>
      </w:r>
      <w:r w:rsidR="00146B97">
        <w:rPr>
          <w:szCs w:val="17"/>
        </w:rPr>
        <w:t> </w:t>
      </w:r>
      <w:r w:rsidRPr="00DE46F3">
        <w:rPr>
          <w:szCs w:val="17"/>
        </w:rPr>
        <w:t>Nov. 2019.</w:t>
      </w:r>
    </w:p>
  </w:footnote>
  <w:footnote w:id="81">
    <w:p w14:paraId="0ECF4A38" w14:textId="77777777" w:rsidR="00E7381F" w:rsidRPr="00DE46F3" w:rsidRDefault="00E7381F" w:rsidP="0098356B">
      <w:pPr>
        <w:pStyle w:val="FootnoteText"/>
        <w:tabs>
          <w:tab w:val="clear" w:pos="418"/>
          <w:tab w:val="right" w:pos="1195"/>
          <w:tab w:val="left" w:pos="1267"/>
          <w:tab w:val="left" w:pos="1742"/>
          <w:tab w:val="left" w:pos="2218"/>
          <w:tab w:val="left" w:pos="2693"/>
        </w:tabs>
        <w:ind w:left="1267" w:right="1260" w:hanging="432"/>
        <w:jc w:val="both"/>
        <w:rPr>
          <w:szCs w:val="17"/>
        </w:rPr>
      </w:pPr>
      <w:r w:rsidRPr="00DE46F3">
        <w:rPr>
          <w:szCs w:val="17"/>
        </w:rPr>
        <w:tab/>
      </w:r>
      <w:r w:rsidRPr="00DE46F3">
        <w:rPr>
          <w:rStyle w:val="FootnoteReference"/>
          <w:szCs w:val="17"/>
        </w:rPr>
        <w:footnoteRef/>
      </w:r>
      <w:r w:rsidRPr="00DE46F3">
        <w:rPr>
          <w:szCs w:val="17"/>
        </w:rPr>
        <w:tab/>
      </w:r>
      <w:r w:rsidRPr="00DE46F3">
        <w:rPr>
          <w:rFonts w:cs="Calibri"/>
          <w:szCs w:val="17"/>
        </w:rPr>
        <w:t>Article 70.1(g) of the Penal Code.</w:t>
      </w:r>
    </w:p>
  </w:footnote>
  <w:footnote w:id="82">
    <w:p w14:paraId="415F104C" w14:textId="77777777" w:rsidR="00E7381F" w:rsidRPr="00DE46F3" w:rsidRDefault="00E7381F" w:rsidP="0098356B">
      <w:pPr>
        <w:pStyle w:val="FootnoteText"/>
        <w:tabs>
          <w:tab w:val="clear" w:pos="418"/>
          <w:tab w:val="right" w:pos="1195"/>
          <w:tab w:val="left" w:pos="1267"/>
          <w:tab w:val="left" w:pos="1742"/>
          <w:tab w:val="left" w:pos="2218"/>
          <w:tab w:val="left" w:pos="2693"/>
        </w:tabs>
        <w:ind w:left="1267" w:right="1260" w:hanging="432"/>
        <w:jc w:val="both"/>
        <w:rPr>
          <w:szCs w:val="17"/>
        </w:rPr>
      </w:pPr>
      <w:r w:rsidRPr="00DE46F3">
        <w:rPr>
          <w:szCs w:val="17"/>
        </w:rPr>
        <w:tab/>
      </w:r>
      <w:r w:rsidRPr="00DE46F3">
        <w:rPr>
          <w:rStyle w:val="FootnoteReference"/>
          <w:szCs w:val="17"/>
        </w:rPr>
        <w:footnoteRef/>
      </w:r>
      <w:r w:rsidRPr="00DE46F3">
        <w:rPr>
          <w:szCs w:val="17"/>
        </w:rPr>
        <w:tab/>
        <w:t xml:space="preserve">Interview of Dra. Jacinta </w:t>
      </w:r>
      <w:r w:rsidRPr="00DE46F3">
        <w:rPr>
          <w:szCs w:val="17"/>
          <w:lang w:eastAsia="fr-FR"/>
        </w:rPr>
        <w:t>Correia da Costa, Judge at the Court of Appeal, 01/10/2019.</w:t>
      </w:r>
    </w:p>
  </w:footnote>
  <w:footnote w:id="83">
    <w:p w14:paraId="77011829" w14:textId="77777777" w:rsidR="00E7381F" w:rsidRPr="00DE46F3" w:rsidRDefault="00E7381F" w:rsidP="0098356B">
      <w:pPr>
        <w:pStyle w:val="FootnoteText"/>
        <w:tabs>
          <w:tab w:val="clear" w:pos="418"/>
          <w:tab w:val="right" w:pos="1195"/>
          <w:tab w:val="left" w:pos="1267"/>
          <w:tab w:val="left" w:pos="1742"/>
          <w:tab w:val="left" w:pos="2218"/>
          <w:tab w:val="left" w:pos="2693"/>
        </w:tabs>
        <w:ind w:left="1267" w:right="1260" w:hanging="432"/>
        <w:jc w:val="both"/>
        <w:rPr>
          <w:szCs w:val="17"/>
        </w:rPr>
      </w:pPr>
      <w:r w:rsidRPr="00DE46F3">
        <w:rPr>
          <w:szCs w:val="17"/>
        </w:rPr>
        <w:tab/>
      </w:r>
      <w:r w:rsidRPr="00DE46F3">
        <w:rPr>
          <w:rStyle w:val="FootnoteReference"/>
          <w:szCs w:val="17"/>
        </w:rPr>
        <w:footnoteRef/>
      </w:r>
      <w:r w:rsidRPr="00DE46F3">
        <w:rPr>
          <w:szCs w:val="17"/>
        </w:rPr>
        <w:tab/>
        <w:t>Charging, Trials and Sentencing in Cases of Sexual Violence in Timor-Leste 2012-2015, JSMP/The Asia Foundation/Australian Aid, December 2017.</w:t>
      </w:r>
    </w:p>
  </w:footnote>
  <w:footnote w:id="84">
    <w:p w14:paraId="0008D3F6" w14:textId="77777777" w:rsidR="00E7381F" w:rsidRPr="00DE46F3" w:rsidRDefault="00E7381F" w:rsidP="0098356B">
      <w:pPr>
        <w:pStyle w:val="FootnoteText"/>
        <w:tabs>
          <w:tab w:val="clear" w:pos="418"/>
          <w:tab w:val="right" w:pos="1195"/>
          <w:tab w:val="left" w:pos="1267"/>
          <w:tab w:val="left" w:pos="1742"/>
          <w:tab w:val="left" w:pos="2218"/>
          <w:tab w:val="left" w:pos="2693"/>
        </w:tabs>
        <w:ind w:left="1267" w:right="1260" w:hanging="432"/>
        <w:jc w:val="both"/>
        <w:rPr>
          <w:szCs w:val="17"/>
        </w:rPr>
      </w:pPr>
      <w:r w:rsidRPr="00DE46F3">
        <w:rPr>
          <w:szCs w:val="17"/>
        </w:rPr>
        <w:tab/>
      </w:r>
      <w:r w:rsidRPr="00DE46F3">
        <w:rPr>
          <w:rStyle w:val="FootnoteReference"/>
          <w:szCs w:val="17"/>
        </w:rPr>
        <w:footnoteRef/>
      </w:r>
      <w:r w:rsidRPr="00DE46F3">
        <w:rPr>
          <w:szCs w:val="17"/>
        </w:rPr>
        <w:tab/>
        <w:t xml:space="preserve">Interview of Dra. Jacinta </w:t>
      </w:r>
      <w:r w:rsidRPr="00DE46F3">
        <w:rPr>
          <w:szCs w:val="17"/>
          <w:lang w:eastAsia="fr-FR"/>
        </w:rPr>
        <w:t>Correia da Costa, Judge at the Court of Appeal, 01/10/2019.</w:t>
      </w:r>
    </w:p>
  </w:footnote>
  <w:footnote w:id="85">
    <w:p w14:paraId="6DB8299B" w14:textId="537D7A9B" w:rsidR="00E7381F" w:rsidRPr="00DE46F3" w:rsidRDefault="00E7381F" w:rsidP="0098356B">
      <w:pPr>
        <w:pStyle w:val="FootnoteText"/>
        <w:tabs>
          <w:tab w:val="clear" w:pos="418"/>
          <w:tab w:val="right" w:pos="1195"/>
          <w:tab w:val="left" w:pos="1267"/>
          <w:tab w:val="left" w:pos="1742"/>
          <w:tab w:val="left" w:pos="2218"/>
          <w:tab w:val="left" w:pos="2693"/>
        </w:tabs>
        <w:ind w:left="1267" w:right="1260" w:hanging="432"/>
        <w:jc w:val="both"/>
        <w:rPr>
          <w:szCs w:val="17"/>
        </w:rPr>
      </w:pPr>
      <w:r w:rsidRPr="00DE46F3">
        <w:rPr>
          <w:szCs w:val="17"/>
        </w:rPr>
        <w:tab/>
      </w:r>
      <w:r w:rsidRPr="00DE46F3">
        <w:rPr>
          <w:rStyle w:val="FootnoteReference"/>
          <w:szCs w:val="17"/>
        </w:rPr>
        <w:footnoteRef/>
      </w:r>
      <w:r w:rsidRPr="00DE46F3">
        <w:rPr>
          <w:szCs w:val="17"/>
        </w:rPr>
        <w:tab/>
        <w:t>Incest report, JSMP, Women’s Fund Asia/IWRAW Asia-Pacific, 2018, pp. 11</w:t>
      </w:r>
      <w:r w:rsidR="00715887" w:rsidRPr="00DE46F3">
        <w:rPr>
          <w:szCs w:val="17"/>
        </w:rPr>
        <w:t>–</w:t>
      </w:r>
      <w:r w:rsidRPr="00DE46F3">
        <w:rPr>
          <w:szCs w:val="17"/>
        </w:rPr>
        <w:t>13.</w:t>
      </w:r>
    </w:p>
  </w:footnote>
  <w:footnote w:id="86">
    <w:p w14:paraId="4D2103B7" w14:textId="2901743B" w:rsidR="00E7381F" w:rsidRPr="00DE46F3" w:rsidRDefault="00E7381F" w:rsidP="0098356B">
      <w:pPr>
        <w:pStyle w:val="FootnoteText"/>
        <w:tabs>
          <w:tab w:val="clear" w:pos="418"/>
          <w:tab w:val="right" w:pos="1195"/>
          <w:tab w:val="left" w:pos="1267"/>
          <w:tab w:val="left" w:pos="1742"/>
          <w:tab w:val="left" w:pos="2218"/>
          <w:tab w:val="left" w:pos="2693"/>
        </w:tabs>
        <w:ind w:left="1267" w:right="1260" w:hanging="432"/>
        <w:jc w:val="both"/>
        <w:rPr>
          <w:szCs w:val="17"/>
        </w:rPr>
      </w:pPr>
      <w:r w:rsidRPr="00DE46F3">
        <w:rPr>
          <w:szCs w:val="17"/>
        </w:rPr>
        <w:tab/>
      </w:r>
      <w:r w:rsidRPr="00DE46F3">
        <w:rPr>
          <w:rStyle w:val="FootnoteReference"/>
          <w:szCs w:val="17"/>
        </w:rPr>
        <w:footnoteRef/>
      </w:r>
      <w:r w:rsidRPr="00DE46F3">
        <w:rPr>
          <w:szCs w:val="17"/>
        </w:rPr>
        <w:tab/>
        <w:t>See ‘</w:t>
      </w:r>
      <w:r w:rsidR="004355E5" w:rsidRPr="004355E5">
        <w:rPr>
          <w:rFonts w:cs="Calibri"/>
          <w:szCs w:val="17"/>
        </w:rPr>
        <w:t>Access to Justice</w:t>
      </w:r>
      <w:r w:rsidRPr="00DE46F3">
        <w:rPr>
          <w:szCs w:val="17"/>
        </w:rPr>
        <w:t>’ under Article 2.</w:t>
      </w:r>
    </w:p>
  </w:footnote>
  <w:footnote w:id="87">
    <w:p w14:paraId="06985408" w14:textId="77777777" w:rsidR="00E7381F" w:rsidRPr="00DE46F3" w:rsidRDefault="00E7381F" w:rsidP="0098356B">
      <w:pPr>
        <w:pStyle w:val="FootnoteText"/>
        <w:tabs>
          <w:tab w:val="clear" w:pos="418"/>
          <w:tab w:val="right" w:pos="1195"/>
          <w:tab w:val="left" w:pos="1267"/>
          <w:tab w:val="left" w:pos="1742"/>
          <w:tab w:val="left" w:pos="2218"/>
          <w:tab w:val="left" w:pos="2693"/>
        </w:tabs>
        <w:ind w:left="1267" w:right="1260" w:hanging="432"/>
        <w:jc w:val="both"/>
        <w:rPr>
          <w:szCs w:val="17"/>
        </w:rPr>
      </w:pPr>
      <w:r w:rsidRPr="00DE46F3">
        <w:rPr>
          <w:szCs w:val="17"/>
        </w:rPr>
        <w:tab/>
      </w:r>
      <w:r w:rsidRPr="00DE46F3">
        <w:rPr>
          <w:rStyle w:val="FootnoteReference"/>
          <w:szCs w:val="17"/>
        </w:rPr>
        <w:footnoteRef/>
      </w:r>
      <w:r w:rsidRPr="00DE46F3">
        <w:rPr>
          <w:szCs w:val="17"/>
        </w:rPr>
        <w:tab/>
        <w:t>Ministry of Justice’s response to CEDAW questionnaire, August 2019.</w:t>
      </w:r>
    </w:p>
  </w:footnote>
  <w:footnote w:id="88">
    <w:p w14:paraId="1CDC7480" w14:textId="07D0DC16" w:rsidR="00E7381F" w:rsidRPr="00DE46F3" w:rsidRDefault="00E7381F" w:rsidP="0098356B">
      <w:pPr>
        <w:pStyle w:val="FootnoteText"/>
        <w:tabs>
          <w:tab w:val="clear" w:pos="418"/>
          <w:tab w:val="right" w:pos="1195"/>
          <w:tab w:val="left" w:pos="1267"/>
          <w:tab w:val="left" w:pos="1742"/>
          <w:tab w:val="left" w:pos="2218"/>
          <w:tab w:val="left" w:pos="2693"/>
        </w:tabs>
        <w:ind w:left="1267" w:right="1260" w:hanging="432"/>
        <w:jc w:val="both"/>
        <w:rPr>
          <w:szCs w:val="17"/>
        </w:rPr>
      </w:pPr>
      <w:r w:rsidRPr="00DE46F3">
        <w:rPr>
          <w:szCs w:val="17"/>
        </w:rPr>
        <w:tab/>
      </w:r>
      <w:r w:rsidRPr="00DE46F3">
        <w:rPr>
          <w:rStyle w:val="FootnoteReference"/>
          <w:szCs w:val="17"/>
        </w:rPr>
        <w:footnoteRef/>
      </w:r>
      <w:r w:rsidRPr="00DE46F3">
        <w:rPr>
          <w:szCs w:val="17"/>
        </w:rPr>
        <w:tab/>
        <w:t>National Action Plan on Gender-Based Violence 2012</w:t>
      </w:r>
      <w:r w:rsidR="00715887" w:rsidRPr="00DE46F3">
        <w:rPr>
          <w:szCs w:val="17"/>
        </w:rPr>
        <w:t>–</w:t>
      </w:r>
      <w:r w:rsidRPr="00DE46F3">
        <w:rPr>
          <w:szCs w:val="17"/>
        </w:rPr>
        <w:t>2016 Monitoring Report, Secretary of State for Gender Equality in Social Inclusion (SEIGIS), Nov. 2017, p. 5.</w:t>
      </w:r>
    </w:p>
  </w:footnote>
  <w:footnote w:id="89">
    <w:p w14:paraId="506E11D0" w14:textId="1662181B" w:rsidR="00E7381F" w:rsidRPr="00DE46F3" w:rsidRDefault="00E7381F" w:rsidP="0098356B">
      <w:pPr>
        <w:pStyle w:val="FootnoteText"/>
        <w:tabs>
          <w:tab w:val="clear" w:pos="418"/>
          <w:tab w:val="right" w:pos="1195"/>
          <w:tab w:val="left" w:pos="1267"/>
          <w:tab w:val="left" w:pos="1742"/>
          <w:tab w:val="left" w:pos="2218"/>
          <w:tab w:val="left" w:pos="2693"/>
        </w:tabs>
        <w:ind w:left="1267" w:right="1260" w:hanging="432"/>
        <w:jc w:val="both"/>
        <w:rPr>
          <w:szCs w:val="17"/>
        </w:rPr>
      </w:pPr>
      <w:r w:rsidRPr="00DE46F3">
        <w:rPr>
          <w:szCs w:val="17"/>
        </w:rPr>
        <w:tab/>
      </w:r>
      <w:r w:rsidRPr="00DE46F3">
        <w:rPr>
          <w:rStyle w:val="FootnoteReference"/>
          <w:szCs w:val="17"/>
        </w:rPr>
        <w:footnoteRef/>
      </w:r>
      <w:r w:rsidRPr="00DE46F3">
        <w:rPr>
          <w:szCs w:val="17"/>
        </w:rPr>
        <w:tab/>
        <w:t>Challenges and Ways Forward to Extend Social Protection to All in Timor-Leste: Assessment-Based National Dialogue report, United Nations - International Labour Organization Indonesia and Timor-Leste/ Ministry of Social Solidarity of Timor-Leste, Dili, 2018, pp.</w:t>
      </w:r>
      <w:r w:rsidR="00715887" w:rsidRPr="00DE46F3">
        <w:rPr>
          <w:szCs w:val="17"/>
        </w:rPr>
        <w:t xml:space="preserve"> </w:t>
      </w:r>
      <w:r w:rsidRPr="00DE46F3">
        <w:rPr>
          <w:szCs w:val="17"/>
        </w:rPr>
        <w:t>56</w:t>
      </w:r>
      <w:r w:rsidR="00715887" w:rsidRPr="00DE46F3">
        <w:rPr>
          <w:szCs w:val="17"/>
        </w:rPr>
        <w:t>–</w:t>
      </w:r>
      <w:r w:rsidRPr="00DE46F3">
        <w:rPr>
          <w:szCs w:val="17"/>
        </w:rPr>
        <w:t>57.</w:t>
      </w:r>
    </w:p>
  </w:footnote>
  <w:footnote w:id="90">
    <w:p w14:paraId="29AE450F" w14:textId="18F3E0E8" w:rsidR="00E7381F" w:rsidRPr="00DE46F3" w:rsidRDefault="00E7381F" w:rsidP="0098356B">
      <w:pPr>
        <w:pStyle w:val="FootnoteText"/>
        <w:tabs>
          <w:tab w:val="clear" w:pos="418"/>
          <w:tab w:val="right" w:pos="1195"/>
          <w:tab w:val="left" w:pos="1267"/>
          <w:tab w:val="left" w:pos="1742"/>
          <w:tab w:val="left" w:pos="2218"/>
          <w:tab w:val="left" w:pos="2693"/>
        </w:tabs>
        <w:ind w:left="1267" w:right="1260" w:hanging="432"/>
        <w:jc w:val="both"/>
        <w:rPr>
          <w:szCs w:val="17"/>
        </w:rPr>
      </w:pPr>
      <w:r w:rsidRPr="00DE46F3">
        <w:rPr>
          <w:szCs w:val="17"/>
        </w:rPr>
        <w:tab/>
      </w:r>
      <w:r w:rsidRPr="00DE46F3">
        <w:rPr>
          <w:rStyle w:val="FootnoteReference"/>
          <w:szCs w:val="17"/>
        </w:rPr>
        <w:footnoteRef/>
      </w:r>
      <w:r w:rsidRPr="00DE46F3">
        <w:rPr>
          <w:szCs w:val="17"/>
        </w:rPr>
        <w:tab/>
      </w:r>
      <w:r w:rsidRPr="00DE46F3">
        <w:rPr>
          <w:szCs w:val="17"/>
          <w:lang w:eastAsia="fr-FR"/>
        </w:rPr>
        <w:t>Timor-Leste’s Beijing Declaration and Platform for Action (Bpfa) National Review and Appraisal Report (2014-2018), Democratic Republic of Timor-Leste, Secretariat of State of Equality and Inclusion (SEII), 2019, p.</w:t>
      </w:r>
      <w:r w:rsidR="005B5FE3" w:rsidRPr="00DE46F3">
        <w:rPr>
          <w:szCs w:val="17"/>
          <w:lang w:eastAsia="fr-FR"/>
        </w:rPr>
        <w:t xml:space="preserve"> </w:t>
      </w:r>
      <w:r w:rsidRPr="00DE46F3">
        <w:rPr>
          <w:szCs w:val="17"/>
          <w:lang w:eastAsia="fr-FR"/>
        </w:rPr>
        <w:t>32.</w:t>
      </w:r>
    </w:p>
  </w:footnote>
  <w:footnote w:id="91">
    <w:p w14:paraId="1D9C2AE4" w14:textId="5F07DAE7" w:rsidR="00E7381F" w:rsidRPr="00DE46F3" w:rsidRDefault="00E7381F" w:rsidP="0098356B">
      <w:pPr>
        <w:pStyle w:val="FootnoteText"/>
        <w:tabs>
          <w:tab w:val="clear" w:pos="418"/>
          <w:tab w:val="right" w:pos="1195"/>
          <w:tab w:val="left" w:pos="1267"/>
          <w:tab w:val="left" w:pos="1742"/>
          <w:tab w:val="left" w:pos="2218"/>
          <w:tab w:val="left" w:pos="2693"/>
        </w:tabs>
        <w:ind w:left="1267" w:right="1260" w:hanging="432"/>
        <w:jc w:val="both"/>
        <w:rPr>
          <w:szCs w:val="17"/>
        </w:rPr>
      </w:pPr>
      <w:r w:rsidRPr="00DE46F3">
        <w:rPr>
          <w:szCs w:val="17"/>
        </w:rPr>
        <w:tab/>
      </w:r>
      <w:r w:rsidRPr="00DE46F3">
        <w:rPr>
          <w:rStyle w:val="FootnoteReference"/>
          <w:szCs w:val="17"/>
        </w:rPr>
        <w:footnoteRef/>
      </w:r>
      <w:r w:rsidRPr="00DE46F3">
        <w:rPr>
          <w:szCs w:val="17"/>
        </w:rPr>
        <w:tab/>
        <w:t xml:space="preserve">Inputs from the Consultative Workshop, 17th/18th October 2019; </w:t>
      </w:r>
      <w:r w:rsidRPr="00DE46F3">
        <w:rPr>
          <w:szCs w:val="17"/>
          <w:lang w:eastAsia="fr-FR"/>
        </w:rPr>
        <w:t>Timor-Leste’s Beijing Declaration and Platform for Action (Bpfa) National Review and Appraisal Report (2014-2018), Democratic Republic of Timor-Leste, Secretariat of State of Equality and Inclusion (SEII), 2019, pp.</w:t>
      </w:r>
      <w:r w:rsidR="005B5FE3" w:rsidRPr="00DE46F3">
        <w:rPr>
          <w:szCs w:val="17"/>
          <w:lang w:eastAsia="fr-FR"/>
        </w:rPr>
        <w:t xml:space="preserve"> </w:t>
      </w:r>
      <w:r w:rsidRPr="00DE46F3">
        <w:rPr>
          <w:szCs w:val="17"/>
          <w:lang w:eastAsia="fr-FR"/>
        </w:rPr>
        <w:t>31-32.</w:t>
      </w:r>
    </w:p>
  </w:footnote>
  <w:footnote w:id="92">
    <w:p w14:paraId="0B262986" w14:textId="7297E3AC" w:rsidR="00E7381F" w:rsidRPr="00DE46F3" w:rsidRDefault="00E7381F" w:rsidP="0098356B">
      <w:pPr>
        <w:pStyle w:val="FootnoteText"/>
        <w:tabs>
          <w:tab w:val="clear" w:pos="418"/>
          <w:tab w:val="right" w:pos="1195"/>
          <w:tab w:val="left" w:pos="1267"/>
          <w:tab w:val="left" w:pos="1742"/>
          <w:tab w:val="left" w:pos="2218"/>
          <w:tab w:val="left" w:pos="2693"/>
        </w:tabs>
        <w:ind w:left="1267" w:right="1260" w:hanging="432"/>
        <w:jc w:val="both"/>
        <w:rPr>
          <w:szCs w:val="17"/>
        </w:rPr>
      </w:pPr>
      <w:r w:rsidRPr="00DE46F3">
        <w:rPr>
          <w:szCs w:val="17"/>
        </w:rPr>
        <w:tab/>
      </w:r>
      <w:r w:rsidRPr="00DE46F3">
        <w:rPr>
          <w:rStyle w:val="FootnoteReference"/>
          <w:szCs w:val="17"/>
        </w:rPr>
        <w:footnoteRef/>
      </w:r>
      <w:r w:rsidRPr="00DE46F3">
        <w:rPr>
          <w:szCs w:val="17"/>
        </w:rPr>
        <w:tab/>
        <w:t>Government of Timor-Leste, Report on the Implementation of the Sustainable Development Goals: From ashes to reconciliation, reconstruction and sustainable development, 2019 Voluntary National Review of Timor-Leste, Dili: Timor-Leste, 2019, p.</w:t>
      </w:r>
      <w:r w:rsidR="00715887" w:rsidRPr="00DE46F3">
        <w:rPr>
          <w:szCs w:val="17"/>
        </w:rPr>
        <w:t xml:space="preserve"> </w:t>
      </w:r>
      <w:r w:rsidRPr="00DE46F3">
        <w:rPr>
          <w:szCs w:val="17"/>
        </w:rPr>
        <w:t>77.</w:t>
      </w:r>
    </w:p>
  </w:footnote>
  <w:footnote w:id="93">
    <w:p w14:paraId="5213B21A" w14:textId="480639B7" w:rsidR="00E7381F" w:rsidRPr="00DE46F3" w:rsidRDefault="00E7381F" w:rsidP="0098356B">
      <w:pPr>
        <w:pStyle w:val="FootnoteText"/>
        <w:tabs>
          <w:tab w:val="clear" w:pos="418"/>
          <w:tab w:val="right" w:pos="1195"/>
          <w:tab w:val="left" w:pos="1267"/>
          <w:tab w:val="left" w:pos="1742"/>
          <w:tab w:val="left" w:pos="2218"/>
          <w:tab w:val="left" w:pos="2693"/>
        </w:tabs>
        <w:ind w:left="1267" w:right="1260" w:hanging="432"/>
        <w:jc w:val="both"/>
        <w:rPr>
          <w:szCs w:val="17"/>
        </w:rPr>
      </w:pPr>
      <w:r w:rsidRPr="00DE46F3">
        <w:rPr>
          <w:szCs w:val="17"/>
        </w:rPr>
        <w:tab/>
      </w:r>
      <w:r w:rsidRPr="00DE46F3">
        <w:rPr>
          <w:rStyle w:val="FootnoteReference"/>
          <w:szCs w:val="17"/>
        </w:rPr>
        <w:footnoteRef/>
      </w:r>
      <w:r w:rsidRPr="00DE46F3">
        <w:rPr>
          <w:szCs w:val="17"/>
        </w:rPr>
        <w:tab/>
        <w:t>Government of Timor-Leste, Report on the Implementation of the Sustainable Development Goals: From ashes to reconciliation, reconstruction and sustainable development, 2019 Voluntary National Review of Timor-Leste, Dili: Timor-Leste, 2019, p.</w:t>
      </w:r>
      <w:r w:rsidR="00715887" w:rsidRPr="00DE46F3">
        <w:rPr>
          <w:szCs w:val="17"/>
        </w:rPr>
        <w:t xml:space="preserve"> </w:t>
      </w:r>
      <w:r w:rsidRPr="00DE46F3">
        <w:rPr>
          <w:szCs w:val="17"/>
        </w:rPr>
        <w:t>79.</w:t>
      </w:r>
    </w:p>
  </w:footnote>
  <w:footnote w:id="94">
    <w:p w14:paraId="58A460AB" w14:textId="5BEF16A5" w:rsidR="00E7381F" w:rsidRPr="00DE46F3" w:rsidRDefault="00E7381F" w:rsidP="0098356B">
      <w:pPr>
        <w:pStyle w:val="FootnoteText"/>
        <w:tabs>
          <w:tab w:val="clear" w:pos="418"/>
          <w:tab w:val="right" w:pos="1195"/>
          <w:tab w:val="left" w:pos="1267"/>
          <w:tab w:val="left" w:pos="1742"/>
          <w:tab w:val="left" w:pos="2218"/>
          <w:tab w:val="left" w:pos="2693"/>
        </w:tabs>
        <w:ind w:left="1267" w:right="1260" w:hanging="432"/>
        <w:jc w:val="both"/>
        <w:rPr>
          <w:szCs w:val="17"/>
        </w:rPr>
      </w:pPr>
      <w:r w:rsidRPr="00DE46F3">
        <w:rPr>
          <w:szCs w:val="17"/>
        </w:rPr>
        <w:tab/>
      </w:r>
      <w:r w:rsidRPr="00DE46F3">
        <w:rPr>
          <w:rStyle w:val="FootnoteReference"/>
          <w:szCs w:val="17"/>
        </w:rPr>
        <w:footnoteRef/>
      </w:r>
      <w:r w:rsidRPr="00DE46F3">
        <w:rPr>
          <w:szCs w:val="17"/>
        </w:rPr>
        <w:tab/>
        <w:t>Interview of Director Hugo Fernandes, Executive director of the Chega! National Center, 4th</w:t>
      </w:r>
      <w:r w:rsidR="00F156F1">
        <w:rPr>
          <w:szCs w:val="17"/>
        </w:rPr>
        <w:t> </w:t>
      </w:r>
      <w:r w:rsidRPr="00DE46F3">
        <w:rPr>
          <w:szCs w:val="17"/>
        </w:rPr>
        <w:t>Sept.</w:t>
      </w:r>
      <w:r w:rsidR="00F156F1">
        <w:rPr>
          <w:szCs w:val="17"/>
        </w:rPr>
        <w:t> </w:t>
      </w:r>
      <w:r w:rsidRPr="00DE46F3">
        <w:rPr>
          <w:szCs w:val="17"/>
        </w:rPr>
        <w:t>2019.</w:t>
      </w:r>
    </w:p>
  </w:footnote>
  <w:footnote w:id="95">
    <w:p w14:paraId="351D5611" w14:textId="77777777" w:rsidR="00E7381F" w:rsidRPr="00DE46F3" w:rsidRDefault="00E7381F" w:rsidP="0098356B">
      <w:pPr>
        <w:pStyle w:val="FootnoteText"/>
        <w:tabs>
          <w:tab w:val="clear" w:pos="418"/>
          <w:tab w:val="right" w:pos="1195"/>
          <w:tab w:val="left" w:pos="1267"/>
          <w:tab w:val="left" w:pos="1742"/>
          <w:tab w:val="left" w:pos="2218"/>
          <w:tab w:val="left" w:pos="2693"/>
        </w:tabs>
        <w:ind w:left="1267" w:right="1260" w:hanging="432"/>
        <w:jc w:val="both"/>
        <w:rPr>
          <w:szCs w:val="17"/>
        </w:rPr>
      </w:pPr>
      <w:r w:rsidRPr="00DE46F3">
        <w:rPr>
          <w:szCs w:val="17"/>
        </w:rPr>
        <w:tab/>
      </w:r>
      <w:r w:rsidRPr="00DE46F3">
        <w:rPr>
          <w:rStyle w:val="FootnoteReference"/>
          <w:szCs w:val="17"/>
        </w:rPr>
        <w:footnoteRef/>
      </w:r>
      <w:r w:rsidRPr="00DE46F3">
        <w:rPr>
          <w:szCs w:val="17"/>
        </w:rPr>
        <w:tab/>
        <w:t>Decree-Law N° 48/2016, 14th December 2016.</w:t>
      </w:r>
    </w:p>
  </w:footnote>
  <w:footnote w:id="96">
    <w:p w14:paraId="417B8AC4" w14:textId="77777777" w:rsidR="00E7381F" w:rsidRPr="00DE46F3" w:rsidRDefault="00E7381F" w:rsidP="0098356B">
      <w:pPr>
        <w:pStyle w:val="FootnoteText"/>
        <w:tabs>
          <w:tab w:val="clear" w:pos="418"/>
          <w:tab w:val="right" w:pos="1195"/>
          <w:tab w:val="left" w:pos="1267"/>
          <w:tab w:val="left" w:pos="1742"/>
          <w:tab w:val="left" w:pos="2218"/>
          <w:tab w:val="left" w:pos="2693"/>
        </w:tabs>
        <w:ind w:left="1267" w:right="1260" w:hanging="432"/>
        <w:jc w:val="both"/>
        <w:rPr>
          <w:szCs w:val="17"/>
        </w:rPr>
      </w:pPr>
      <w:r w:rsidRPr="00DE46F3">
        <w:rPr>
          <w:szCs w:val="17"/>
        </w:rPr>
        <w:tab/>
      </w:r>
      <w:r w:rsidRPr="00DE46F3">
        <w:rPr>
          <w:rStyle w:val="FootnoteReference"/>
          <w:szCs w:val="17"/>
        </w:rPr>
        <w:footnoteRef/>
      </w:r>
      <w:r w:rsidRPr="00DE46F3">
        <w:rPr>
          <w:szCs w:val="17"/>
        </w:rPr>
        <w:tab/>
        <w:t>At the time of writing, a</w:t>
      </w:r>
      <w:r w:rsidRPr="00DE46F3">
        <w:rPr>
          <w:rFonts w:cs="Calibri"/>
          <w:szCs w:val="17"/>
        </w:rPr>
        <w:t xml:space="preserve"> new reunion for another 15 disappeared children was planned for October 2019.</w:t>
      </w:r>
    </w:p>
  </w:footnote>
  <w:footnote w:id="97">
    <w:p w14:paraId="3B874AB5" w14:textId="26162694" w:rsidR="00E7381F" w:rsidRPr="00DE46F3" w:rsidRDefault="00E7381F" w:rsidP="0098356B">
      <w:pPr>
        <w:pStyle w:val="FootnoteText"/>
        <w:tabs>
          <w:tab w:val="clear" w:pos="418"/>
          <w:tab w:val="right" w:pos="1195"/>
          <w:tab w:val="left" w:pos="1267"/>
          <w:tab w:val="left" w:pos="1742"/>
          <w:tab w:val="left" w:pos="2218"/>
          <w:tab w:val="left" w:pos="2693"/>
        </w:tabs>
        <w:ind w:left="1267" w:right="1260" w:hanging="432"/>
        <w:jc w:val="both"/>
        <w:rPr>
          <w:szCs w:val="17"/>
        </w:rPr>
      </w:pPr>
      <w:r w:rsidRPr="00DE46F3">
        <w:rPr>
          <w:szCs w:val="17"/>
        </w:rPr>
        <w:tab/>
      </w:r>
      <w:r w:rsidRPr="00DE46F3">
        <w:rPr>
          <w:rStyle w:val="FootnoteReference"/>
          <w:szCs w:val="17"/>
        </w:rPr>
        <w:footnoteRef/>
      </w:r>
      <w:r w:rsidRPr="00DE46F3">
        <w:rPr>
          <w:szCs w:val="17"/>
        </w:rPr>
        <w:tab/>
        <w:t>Interview of Director Hugo Fernandes, Executive director of the Chega! National Center, 4th</w:t>
      </w:r>
      <w:r w:rsidR="00F156F1">
        <w:rPr>
          <w:szCs w:val="17"/>
        </w:rPr>
        <w:t> </w:t>
      </w:r>
      <w:r w:rsidRPr="00DE46F3">
        <w:rPr>
          <w:szCs w:val="17"/>
        </w:rPr>
        <w:t>Sept.</w:t>
      </w:r>
      <w:r w:rsidR="00F156F1">
        <w:rPr>
          <w:szCs w:val="17"/>
        </w:rPr>
        <w:t> </w:t>
      </w:r>
      <w:r w:rsidRPr="00DE46F3">
        <w:rPr>
          <w:szCs w:val="17"/>
        </w:rPr>
        <w:t>2019.</w:t>
      </w:r>
    </w:p>
  </w:footnote>
  <w:footnote w:id="98">
    <w:p w14:paraId="5049E2DC" w14:textId="77777777" w:rsidR="00E7381F" w:rsidRPr="00DE46F3" w:rsidRDefault="00E7381F" w:rsidP="0098356B">
      <w:pPr>
        <w:pStyle w:val="FootnoteText"/>
        <w:tabs>
          <w:tab w:val="clear" w:pos="418"/>
          <w:tab w:val="right" w:pos="1195"/>
          <w:tab w:val="left" w:pos="1267"/>
          <w:tab w:val="left" w:pos="1742"/>
          <w:tab w:val="left" w:pos="2218"/>
          <w:tab w:val="left" w:pos="2693"/>
        </w:tabs>
        <w:ind w:left="1267" w:right="1260" w:hanging="432"/>
        <w:jc w:val="both"/>
        <w:rPr>
          <w:szCs w:val="17"/>
        </w:rPr>
      </w:pPr>
      <w:r w:rsidRPr="00DE46F3">
        <w:rPr>
          <w:szCs w:val="17"/>
        </w:rPr>
        <w:tab/>
      </w:r>
      <w:r w:rsidRPr="00DE46F3">
        <w:rPr>
          <w:rStyle w:val="FootnoteReference"/>
          <w:szCs w:val="17"/>
        </w:rPr>
        <w:footnoteRef/>
      </w:r>
      <w:r w:rsidRPr="00DE46F3">
        <w:rPr>
          <w:szCs w:val="17"/>
        </w:rPr>
        <w:tab/>
      </w:r>
      <w:r w:rsidRPr="00DE46F3">
        <w:rPr>
          <w:rFonts w:cs="Calibri"/>
          <w:szCs w:val="17"/>
        </w:rPr>
        <w:t>1.5 million USD granted by MSSI to CSOs in 2019</w:t>
      </w:r>
      <w:r w:rsidRPr="00DE46F3">
        <w:rPr>
          <w:szCs w:val="17"/>
        </w:rPr>
        <w:t>.</w:t>
      </w:r>
    </w:p>
  </w:footnote>
  <w:footnote w:id="99">
    <w:p w14:paraId="3D90FB59" w14:textId="556796BD" w:rsidR="00E7381F" w:rsidRPr="00DE46F3" w:rsidRDefault="00E7381F" w:rsidP="0098356B">
      <w:pPr>
        <w:pStyle w:val="FootnoteText"/>
        <w:tabs>
          <w:tab w:val="clear" w:pos="418"/>
          <w:tab w:val="right" w:pos="1195"/>
          <w:tab w:val="left" w:pos="1267"/>
          <w:tab w:val="left" w:pos="1742"/>
          <w:tab w:val="left" w:pos="2218"/>
          <w:tab w:val="left" w:pos="2693"/>
        </w:tabs>
        <w:ind w:left="1267" w:right="1260" w:hanging="432"/>
        <w:jc w:val="both"/>
        <w:rPr>
          <w:szCs w:val="17"/>
        </w:rPr>
      </w:pPr>
      <w:r w:rsidRPr="00DE46F3">
        <w:rPr>
          <w:szCs w:val="17"/>
        </w:rPr>
        <w:tab/>
      </w:r>
      <w:r w:rsidRPr="00DE46F3">
        <w:rPr>
          <w:rStyle w:val="FootnoteReference"/>
          <w:szCs w:val="17"/>
        </w:rPr>
        <w:footnoteRef/>
      </w:r>
      <w:r w:rsidRPr="00DE46F3">
        <w:rPr>
          <w:szCs w:val="17"/>
        </w:rPr>
        <w:tab/>
        <w:t>Interview of Director Hugo Fernandes, Executive director of the Chega! National Center, 4th</w:t>
      </w:r>
      <w:r w:rsidR="00F156F1">
        <w:rPr>
          <w:szCs w:val="17"/>
        </w:rPr>
        <w:t> </w:t>
      </w:r>
      <w:r w:rsidRPr="00DE46F3">
        <w:rPr>
          <w:szCs w:val="17"/>
        </w:rPr>
        <w:t>Sept.</w:t>
      </w:r>
      <w:r w:rsidR="00F156F1">
        <w:rPr>
          <w:szCs w:val="17"/>
        </w:rPr>
        <w:t> </w:t>
      </w:r>
      <w:r w:rsidRPr="00DE46F3">
        <w:rPr>
          <w:szCs w:val="17"/>
        </w:rPr>
        <w:t>2019.</w:t>
      </w:r>
    </w:p>
  </w:footnote>
  <w:footnote w:id="100">
    <w:p w14:paraId="7E074E9C" w14:textId="77777777" w:rsidR="00E7381F" w:rsidRPr="00DE46F3" w:rsidRDefault="00E7381F" w:rsidP="0098356B">
      <w:pPr>
        <w:pStyle w:val="FootnoteText"/>
        <w:tabs>
          <w:tab w:val="clear" w:pos="418"/>
          <w:tab w:val="right" w:pos="1195"/>
          <w:tab w:val="left" w:pos="1267"/>
          <w:tab w:val="left" w:pos="1742"/>
          <w:tab w:val="left" w:pos="2218"/>
          <w:tab w:val="left" w:pos="2693"/>
        </w:tabs>
        <w:ind w:left="1267" w:right="1260" w:hanging="432"/>
        <w:jc w:val="both"/>
        <w:rPr>
          <w:szCs w:val="17"/>
        </w:rPr>
      </w:pPr>
      <w:r w:rsidRPr="00DE46F3">
        <w:rPr>
          <w:szCs w:val="17"/>
        </w:rPr>
        <w:tab/>
      </w:r>
      <w:r w:rsidRPr="00DE46F3">
        <w:rPr>
          <w:rStyle w:val="FootnoteReference"/>
          <w:szCs w:val="17"/>
        </w:rPr>
        <w:footnoteRef/>
      </w:r>
      <w:r w:rsidRPr="00DE46F3">
        <w:rPr>
          <w:szCs w:val="17"/>
        </w:rPr>
        <w:tab/>
        <w:t>MoJ’s response to CEDAW questionnaire, Sept. 2019.</w:t>
      </w:r>
    </w:p>
  </w:footnote>
  <w:footnote w:id="101">
    <w:p w14:paraId="795FA93C" w14:textId="77777777" w:rsidR="00E7381F" w:rsidRPr="00DE46F3" w:rsidRDefault="00E7381F" w:rsidP="0098356B">
      <w:pPr>
        <w:pStyle w:val="FootnoteText"/>
        <w:tabs>
          <w:tab w:val="clear" w:pos="418"/>
          <w:tab w:val="right" w:pos="1195"/>
          <w:tab w:val="left" w:pos="1267"/>
          <w:tab w:val="left" w:pos="1742"/>
          <w:tab w:val="left" w:pos="2218"/>
          <w:tab w:val="left" w:pos="2693"/>
        </w:tabs>
        <w:ind w:left="1267" w:right="1260" w:hanging="432"/>
        <w:jc w:val="both"/>
        <w:rPr>
          <w:szCs w:val="17"/>
        </w:rPr>
      </w:pPr>
      <w:r w:rsidRPr="00DE46F3">
        <w:rPr>
          <w:szCs w:val="17"/>
        </w:rPr>
        <w:tab/>
      </w:r>
      <w:r w:rsidRPr="00DE46F3">
        <w:rPr>
          <w:rStyle w:val="FootnoteReference"/>
          <w:szCs w:val="17"/>
        </w:rPr>
        <w:footnoteRef/>
      </w:r>
      <w:r w:rsidRPr="00DE46F3">
        <w:rPr>
          <w:szCs w:val="17"/>
        </w:rPr>
        <w:tab/>
        <w:t>Timor-Leste Trafficking In Persons Profile 2018, IOM, 2019, p. 3; MoJ’s response to CEDAW questionnaire, Sept. 2019.</w:t>
      </w:r>
    </w:p>
  </w:footnote>
  <w:footnote w:id="102">
    <w:p w14:paraId="48B384FE" w14:textId="77777777" w:rsidR="00E7381F" w:rsidRPr="00DE46F3" w:rsidRDefault="00E7381F" w:rsidP="0098356B">
      <w:pPr>
        <w:pStyle w:val="FootnoteText"/>
        <w:tabs>
          <w:tab w:val="clear" w:pos="418"/>
          <w:tab w:val="right" w:pos="1195"/>
          <w:tab w:val="left" w:pos="1267"/>
          <w:tab w:val="left" w:pos="1742"/>
          <w:tab w:val="left" w:pos="2218"/>
          <w:tab w:val="left" w:pos="2693"/>
        </w:tabs>
        <w:ind w:left="1267" w:right="1260" w:hanging="432"/>
        <w:jc w:val="both"/>
        <w:rPr>
          <w:szCs w:val="17"/>
        </w:rPr>
      </w:pPr>
      <w:r w:rsidRPr="00DE46F3">
        <w:rPr>
          <w:szCs w:val="17"/>
        </w:rPr>
        <w:tab/>
      </w:r>
      <w:r w:rsidRPr="00DE46F3">
        <w:rPr>
          <w:rStyle w:val="FootnoteReference"/>
          <w:szCs w:val="17"/>
        </w:rPr>
        <w:footnoteRef/>
      </w:r>
      <w:r w:rsidRPr="00DE46F3">
        <w:rPr>
          <w:szCs w:val="17"/>
        </w:rPr>
        <w:tab/>
        <w:t>Timor-Leste Trafficking In Persons Profile 2018, IOM, 2019, p. 7.</w:t>
      </w:r>
    </w:p>
  </w:footnote>
  <w:footnote w:id="103">
    <w:p w14:paraId="2A01D978" w14:textId="77777777" w:rsidR="00E7381F" w:rsidRPr="00DE46F3" w:rsidRDefault="00E7381F" w:rsidP="0098356B">
      <w:pPr>
        <w:pStyle w:val="FootnoteText"/>
        <w:tabs>
          <w:tab w:val="clear" w:pos="418"/>
          <w:tab w:val="right" w:pos="1195"/>
          <w:tab w:val="left" w:pos="1267"/>
          <w:tab w:val="left" w:pos="1742"/>
          <w:tab w:val="left" w:pos="2218"/>
          <w:tab w:val="left" w:pos="2693"/>
        </w:tabs>
        <w:ind w:left="1267" w:right="1260" w:hanging="432"/>
        <w:jc w:val="both"/>
        <w:rPr>
          <w:szCs w:val="17"/>
        </w:rPr>
      </w:pPr>
      <w:r w:rsidRPr="00DE46F3">
        <w:rPr>
          <w:szCs w:val="17"/>
        </w:rPr>
        <w:tab/>
      </w:r>
      <w:r w:rsidRPr="00DE46F3">
        <w:rPr>
          <w:rStyle w:val="FootnoteReference"/>
          <w:szCs w:val="17"/>
        </w:rPr>
        <w:footnoteRef/>
      </w:r>
      <w:r w:rsidRPr="00DE46F3">
        <w:rPr>
          <w:szCs w:val="17"/>
        </w:rPr>
        <w:tab/>
        <w:t>Timor-Leste Trafficking In Persons Profile 2018, IOM, 2019, p. 7; Migration Governance Indicators (MGI): Timor-Leste, IOM, Democratic Republic of Timor-Leste, 2019.</w:t>
      </w:r>
    </w:p>
  </w:footnote>
  <w:footnote w:id="104">
    <w:p w14:paraId="2400983A" w14:textId="77777777" w:rsidR="00E7381F" w:rsidRPr="00DE46F3" w:rsidRDefault="00E7381F" w:rsidP="0098356B">
      <w:pPr>
        <w:pStyle w:val="FootnoteText"/>
        <w:tabs>
          <w:tab w:val="clear" w:pos="418"/>
          <w:tab w:val="right" w:pos="1195"/>
          <w:tab w:val="left" w:pos="1267"/>
          <w:tab w:val="left" w:pos="1742"/>
          <w:tab w:val="left" w:pos="2218"/>
          <w:tab w:val="left" w:pos="2693"/>
        </w:tabs>
        <w:ind w:left="1267" w:right="1260" w:hanging="432"/>
        <w:jc w:val="both"/>
        <w:rPr>
          <w:szCs w:val="17"/>
        </w:rPr>
      </w:pPr>
      <w:r w:rsidRPr="00DE46F3">
        <w:rPr>
          <w:szCs w:val="17"/>
        </w:rPr>
        <w:tab/>
      </w:r>
      <w:r w:rsidRPr="00DE46F3">
        <w:rPr>
          <w:rStyle w:val="FootnoteReference"/>
          <w:szCs w:val="17"/>
        </w:rPr>
        <w:footnoteRef/>
      </w:r>
      <w:r w:rsidRPr="00DE46F3">
        <w:rPr>
          <w:szCs w:val="17"/>
        </w:rPr>
        <w:tab/>
        <w:t>5 cases involving foreign adult women and 4 cases involving Timorese underage girls victims.</w:t>
      </w:r>
    </w:p>
  </w:footnote>
  <w:footnote w:id="105">
    <w:p w14:paraId="45DCB56C" w14:textId="77777777" w:rsidR="00E7381F" w:rsidRPr="00DE46F3" w:rsidRDefault="00E7381F" w:rsidP="0098356B">
      <w:pPr>
        <w:pStyle w:val="FootnoteText"/>
        <w:tabs>
          <w:tab w:val="clear" w:pos="418"/>
          <w:tab w:val="right" w:pos="1195"/>
          <w:tab w:val="left" w:pos="1267"/>
          <w:tab w:val="left" w:pos="1742"/>
          <w:tab w:val="left" w:pos="2218"/>
          <w:tab w:val="left" w:pos="2693"/>
        </w:tabs>
        <w:ind w:left="1267" w:right="1260" w:hanging="432"/>
        <w:jc w:val="both"/>
        <w:rPr>
          <w:szCs w:val="17"/>
        </w:rPr>
      </w:pPr>
      <w:r w:rsidRPr="00DE46F3">
        <w:rPr>
          <w:szCs w:val="17"/>
        </w:rPr>
        <w:tab/>
      </w:r>
      <w:r w:rsidRPr="00DE46F3">
        <w:rPr>
          <w:rStyle w:val="FootnoteReference"/>
          <w:szCs w:val="17"/>
        </w:rPr>
        <w:footnoteRef/>
      </w:r>
      <w:r w:rsidRPr="00DE46F3">
        <w:rPr>
          <w:szCs w:val="17"/>
        </w:rPr>
        <w:tab/>
        <w:t>Including 65 Timorese identified as victims of sexual trafficking registered by the Alola Foundation.</w:t>
      </w:r>
    </w:p>
  </w:footnote>
  <w:footnote w:id="106">
    <w:p w14:paraId="3F28CD98" w14:textId="77777777" w:rsidR="00E7381F" w:rsidRPr="00DE46F3" w:rsidRDefault="00E7381F" w:rsidP="0098356B">
      <w:pPr>
        <w:pStyle w:val="FootnoteText"/>
        <w:tabs>
          <w:tab w:val="clear" w:pos="418"/>
          <w:tab w:val="right" w:pos="1195"/>
          <w:tab w:val="left" w:pos="1267"/>
          <w:tab w:val="left" w:pos="1742"/>
          <w:tab w:val="left" w:pos="2218"/>
          <w:tab w:val="left" w:pos="2693"/>
        </w:tabs>
        <w:ind w:left="1267" w:right="1260" w:hanging="432"/>
        <w:jc w:val="both"/>
        <w:rPr>
          <w:szCs w:val="17"/>
        </w:rPr>
      </w:pPr>
      <w:r w:rsidRPr="00DE46F3">
        <w:rPr>
          <w:szCs w:val="17"/>
        </w:rPr>
        <w:tab/>
      </w:r>
      <w:r w:rsidRPr="00DE46F3">
        <w:rPr>
          <w:rStyle w:val="FootnoteReference"/>
          <w:szCs w:val="17"/>
        </w:rPr>
        <w:footnoteRef/>
      </w:r>
      <w:r w:rsidRPr="00DE46F3">
        <w:rPr>
          <w:szCs w:val="17"/>
        </w:rPr>
        <w:tab/>
        <w:t>Timor-Leste Trafficking In Persons Profile 2018, IOM, 2019, p. 5.</w:t>
      </w:r>
    </w:p>
  </w:footnote>
  <w:footnote w:id="107">
    <w:p w14:paraId="1B642680" w14:textId="4B65B9B7" w:rsidR="00E7381F" w:rsidRPr="00DE46F3" w:rsidRDefault="00E7381F" w:rsidP="0098356B">
      <w:pPr>
        <w:pStyle w:val="FootnoteText"/>
        <w:tabs>
          <w:tab w:val="clear" w:pos="418"/>
          <w:tab w:val="right" w:pos="1195"/>
          <w:tab w:val="left" w:pos="1267"/>
          <w:tab w:val="left" w:pos="1742"/>
          <w:tab w:val="left" w:pos="2218"/>
          <w:tab w:val="left" w:pos="2693"/>
        </w:tabs>
        <w:ind w:left="1267" w:right="1260" w:hanging="432"/>
        <w:jc w:val="both"/>
        <w:rPr>
          <w:szCs w:val="17"/>
        </w:rPr>
      </w:pPr>
      <w:r w:rsidRPr="00DE46F3">
        <w:rPr>
          <w:szCs w:val="17"/>
        </w:rPr>
        <w:tab/>
      </w:r>
      <w:r w:rsidRPr="00DE46F3">
        <w:rPr>
          <w:rStyle w:val="FootnoteReference"/>
          <w:szCs w:val="17"/>
        </w:rPr>
        <w:footnoteRef/>
      </w:r>
      <w:r w:rsidRPr="00DE46F3">
        <w:rPr>
          <w:szCs w:val="17"/>
        </w:rPr>
        <w:tab/>
        <w:t>2016 Trafficking In Persons Report, U.S. Department Of State, June 2016, p.</w:t>
      </w:r>
      <w:r w:rsidR="005B5FE3" w:rsidRPr="00DE46F3">
        <w:rPr>
          <w:szCs w:val="17"/>
        </w:rPr>
        <w:t xml:space="preserve"> </w:t>
      </w:r>
      <w:r w:rsidRPr="00DE46F3">
        <w:rPr>
          <w:szCs w:val="17"/>
        </w:rPr>
        <w:t>369.</w:t>
      </w:r>
    </w:p>
  </w:footnote>
  <w:footnote w:id="108">
    <w:p w14:paraId="6C25ADA7" w14:textId="77777777" w:rsidR="00E7381F" w:rsidRPr="00DE46F3" w:rsidRDefault="00E7381F" w:rsidP="0098356B">
      <w:pPr>
        <w:pStyle w:val="FootnoteText"/>
        <w:tabs>
          <w:tab w:val="clear" w:pos="418"/>
          <w:tab w:val="right" w:pos="1195"/>
          <w:tab w:val="left" w:pos="1267"/>
          <w:tab w:val="left" w:pos="1742"/>
          <w:tab w:val="left" w:pos="2218"/>
          <w:tab w:val="left" w:pos="2693"/>
        </w:tabs>
        <w:ind w:left="1267" w:right="1260" w:hanging="432"/>
        <w:jc w:val="both"/>
        <w:rPr>
          <w:szCs w:val="17"/>
        </w:rPr>
      </w:pPr>
      <w:r w:rsidRPr="00DE46F3">
        <w:rPr>
          <w:szCs w:val="17"/>
        </w:rPr>
        <w:tab/>
      </w:r>
      <w:r w:rsidRPr="00DE46F3">
        <w:rPr>
          <w:rStyle w:val="FootnoteReference"/>
          <w:szCs w:val="17"/>
        </w:rPr>
        <w:footnoteRef/>
      </w:r>
      <w:r w:rsidRPr="00DE46F3">
        <w:rPr>
          <w:szCs w:val="17"/>
        </w:rPr>
        <w:tab/>
        <w:t>Inputs from the Consultative Workshop, 17th/18th October 2019.</w:t>
      </w:r>
    </w:p>
  </w:footnote>
  <w:footnote w:id="109">
    <w:p w14:paraId="7C83BF7F" w14:textId="77777777" w:rsidR="00E7381F" w:rsidRPr="00DE46F3" w:rsidRDefault="00E7381F" w:rsidP="0098356B">
      <w:pPr>
        <w:pStyle w:val="FootnoteText"/>
        <w:tabs>
          <w:tab w:val="clear" w:pos="418"/>
          <w:tab w:val="right" w:pos="1195"/>
          <w:tab w:val="left" w:pos="1267"/>
          <w:tab w:val="left" w:pos="1742"/>
          <w:tab w:val="left" w:pos="2218"/>
          <w:tab w:val="left" w:pos="2693"/>
        </w:tabs>
        <w:ind w:left="1267" w:right="1260" w:hanging="432"/>
        <w:jc w:val="both"/>
        <w:rPr>
          <w:szCs w:val="17"/>
        </w:rPr>
      </w:pPr>
      <w:r w:rsidRPr="00DE46F3">
        <w:rPr>
          <w:szCs w:val="17"/>
        </w:rPr>
        <w:tab/>
      </w:r>
      <w:r w:rsidRPr="00DE46F3">
        <w:rPr>
          <w:rStyle w:val="FootnoteReference"/>
          <w:szCs w:val="17"/>
        </w:rPr>
        <w:footnoteRef/>
      </w:r>
      <w:r w:rsidRPr="00DE46F3">
        <w:rPr>
          <w:szCs w:val="17"/>
        </w:rPr>
        <w:tab/>
        <w:t>Timor-Leste Trafficking In Persons Profile 2018, IOM, 2019, pp. 6-7.</w:t>
      </w:r>
    </w:p>
  </w:footnote>
  <w:footnote w:id="110">
    <w:p w14:paraId="655677A0" w14:textId="77777777" w:rsidR="00E7381F" w:rsidRPr="00DE46F3" w:rsidRDefault="00E7381F" w:rsidP="0098356B">
      <w:pPr>
        <w:pStyle w:val="FootnoteText"/>
        <w:tabs>
          <w:tab w:val="clear" w:pos="418"/>
          <w:tab w:val="right" w:pos="1195"/>
          <w:tab w:val="left" w:pos="1267"/>
          <w:tab w:val="left" w:pos="1742"/>
          <w:tab w:val="left" w:pos="2218"/>
          <w:tab w:val="left" w:pos="2693"/>
        </w:tabs>
        <w:ind w:left="1267" w:right="1260" w:hanging="432"/>
        <w:jc w:val="both"/>
        <w:rPr>
          <w:szCs w:val="17"/>
        </w:rPr>
      </w:pPr>
      <w:r w:rsidRPr="00DE46F3">
        <w:rPr>
          <w:szCs w:val="17"/>
        </w:rPr>
        <w:tab/>
      </w:r>
      <w:r w:rsidRPr="00DE46F3">
        <w:rPr>
          <w:rStyle w:val="FootnoteReference"/>
          <w:szCs w:val="17"/>
        </w:rPr>
        <w:footnoteRef/>
      </w:r>
      <w:r w:rsidRPr="00DE46F3">
        <w:rPr>
          <w:szCs w:val="17"/>
        </w:rPr>
        <w:tab/>
        <w:t xml:space="preserve">IOM Timor-Leste Counter-Trafficking Program - 10 Facts About Human Trafficking in Timor-Leste, IOM, 2018; IOM Timor-Leste Quarterly Newsletter - July- September 2018, </w:t>
      </w:r>
      <w:r w:rsidRPr="00DE46F3">
        <w:rPr>
          <w:szCs w:val="17"/>
          <w:shd w:val="clear" w:color="auto" w:fill="FFFFFF"/>
        </w:rPr>
        <w:t>November 2, 2018.</w:t>
      </w:r>
    </w:p>
  </w:footnote>
  <w:footnote w:id="111">
    <w:p w14:paraId="41382525" w14:textId="620AE4B0" w:rsidR="00E7381F" w:rsidRPr="00DE46F3" w:rsidRDefault="00E7381F" w:rsidP="0098356B">
      <w:pPr>
        <w:pStyle w:val="FootnoteText"/>
        <w:tabs>
          <w:tab w:val="clear" w:pos="418"/>
          <w:tab w:val="right" w:pos="1195"/>
          <w:tab w:val="left" w:pos="1267"/>
          <w:tab w:val="left" w:pos="1742"/>
          <w:tab w:val="left" w:pos="2218"/>
          <w:tab w:val="left" w:pos="2693"/>
        </w:tabs>
        <w:ind w:left="1267" w:right="1260" w:hanging="432"/>
        <w:jc w:val="both"/>
        <w:rPr>
          <w:szCs w:val="17"/>
        </w:rPr>
      </w:pPr>
      <w:r w:rsidRPr="00DE46F3">
        <w:rPr>
          <w:szCs w:val="17"/>
        </w:rPr>
        <w:tab/>
      </w:r>
      <w:r w:rsidRPr="00DE46F3">
        <w:rPr>
          <w:rStyle w:val="FootnoteReference"/>
          <w:szCs w:val="17"/>
        </w:rPr>
        <w:footnoteRef/>
      </w:r>
      <w:r w:rsidRPr="00DE46F3">
        <w:rPr>
          <w:szCs w:val="17"/>
        </w:rPr>
        <w:tab/>
        <w:t>Timor-Leste Trafficking In Persons Profile 2018, IOM, 2019, pp. 6</w:t>
      </w:r>
      <w:r w:rsidR="00715887" w:rsidRPr="00DE46F3">
        <w:rPr>
          <w:szCs w:val="17"/>
        </w:rPr>
        <w:t>–</w:t>
      </w:r>
      <w:r w:rsidRPr="00DE46F3">
        <w:rPr>
          <w:szCs w:val="17"/>
        </w:rPr>
        <w:t>7.</w:t>
      </w:r>
    </w:p>
  </w:footnote>
  <w:footnote w:id="112">
    <w:p w14:paraId="21F5C520" w14:textId="5137CBF0" w:rsidR="00E7381F" w:rsidRPr="00DE46F3" w:rsidRDefault="00E7381F" w:rsidP="0098356B">
      <w:pPr>
        <w:pStyle w:val="FootnoteText"/>
        <w:tabs>
          <w:tab w:val="clear" w:pos="418"/>
          <w:tab w:val="right" w:pos="1195"/>
          <w:tab w:val="left" w:pos="1267"/>
          <w:tab w:val="left" w:pos="1742"/>
          <w:tab w:val="left" w:pos="2218"/>
          <w:tab w:val="left" w:pos="2693"/>
        </w:tabs>
        <w:ind w:left="1267" w:right="1260" w:hanging="432"/>
        <w:jc w:val="both"/>
        <w:rPr>
          <w:szCs w:val="17"/>
        </w:rPr>
      </w:pPr>
      <w:r w:rsidRPr="00DE46F3">
        <w:rPr>
          <w:szCs w:val="17"/>
        </w:rPr>
        <w:tab/>
      </w:r>
      <w:r w:rsidRPr="00DE46F3">
        <w:rPr>
          <w:rStyle w:val="FootnoteReference"/>
          <w:szCs w:val="17"/>
        </w:rPr>
        <w:footnoteRef/>
      </w:r>
      <w:r w:rsidRPr="00DE46F3">
        <w:rPr>
          <w:szCs w:val="17"/>
        </w:rPr>
        <w:tab/>
        <w:t>2018 Annual Report, MIEUX (Migration EU Expertise) Initiative, June 2019, p.</w:t>
      </w:r>
      <w:r w:rsidR="005B5FE3" w:rsidRPr="00DE46F3">
        <w:rPr>
          <w:szCs w:val="17"/>
        </w:rPr>
        <w:t xml:space="preserve"> </w:t>
      </w:r>
      <w:r w:rsidRPr="00DE46F3">
        <w:rPr>
          <w:szCs w:val="17"/>
        </w:rPr>
        <w:t>26.</w:t>
      </w:r>
    </w:p>
  </w:footnote>
  <w:footnote w:id="113">
    <w:p w14:paraId="6C981771" w14:textId="77777777" w:rsidR="00E7381F" w:rsidRPr="00DE46F3" w:rsidRDefault="00E7381F" w:rsidP="0098356B">
      <w:pPr>
        <w:pStyle w:val="FootnoteText"/>
        <w:tabs>
          <w:tab w:val="clear" w:pos="418"/>
          <w:tab w:val="right" w:pos="1195"/>
          <w:tab w:val="left" w:pos="1267"/>
          <w:tab w:val="left" w:pos="1742"/>
          <w:tab w:val="left" w:pos="2218"/>
          <w:tab w:val="left" w:pos="2693"/>
        </w:tabs>
        <w:ind w:left="1267" w:right="1260" w:hanging="432"/>
        <w:jc w:val="both"/>
        <w:rPr>
          <w:szCs w:val="17"/>
        </w:rPr>
      </w:pPr>
      <w:r w:rsidRPr="00DE46F3">
        <w:rPr>
          <w:szCs w:val="17"/>
        </w:rPr>
        <w:tab/>
      </w:r>
      <w:r w:rsidRPr="00DE46F3">
        <w:rPr>
          <w:rStyle w:val="FootnoteReference"/>
          <w:szCs w:val="17"/>
        </w:rPr>
        <w:footnoteRef/>
      </w:r>
      <w:r w:rsidRPr="00DE46F3">
        <w:rPr>
          <w:szCs w:val="17"/>
        </w:rPr>
        <w:tab/>
        <w:t>Statistics from the department of Women Empowerment in Politics, SEII, 2019.</w:t>
      </w:r>
    </w:p>
  </w:footnote>
  <w:footnote w:id="114">
    <w:p w14:paraId="21C83A72" w14:textId="6F6792EE" w:rsidR="00E7381F" w:rsidRPr="00DE46F3" w:rsidRDefault="00E7381F" w:rsidP="0098356B">
      <w:pPr>
        <w:pStyle w:val="FootnoteText"/>
        <w:tabs>
          <w:tab w:val="clear" w:pos="418"/>
          <w:tab w:val="right" w:pos="1195"/>
          <w:tab w:val="left" w:pos="1267"/>
          <w:tab w:val="left" w:pos="1742"/>
          <w:tab w:val="left" w:pos="2218"/>
          <w:tab w:val="left" w:pos="2693"/>
        </w:tabs>
        <w:ind w:left="1267" w:right="1260" w:hanging="432"/>
        <w:jc w:val="both"/>
        <w:rPr>
          <w:szCs w:val="17"/>
        </w:rPr>
      </w:pPr>
      <w:r w:rsidRPr="00DE46F3">
        <w:rPr>
          <w:szCs w:val="17"/>
        </w:rPr>
        <w:tab/>
      </w:r>
      <w:r w:rsidRPr="00DE46F3">
        <w:rPr>
          <w:rStyle w:val="FootnoteReference"/>
          <w:szCs w:val="17"/>
        </w:rPr>
        <w:footnoteRef/>
      </w:r>
      <w:r w:rsidRPr="00DE46F3">
        <w:rPr>
          <w:szCs w:val="17"/>
        </w:rPr>
        <w:tab/>
      </w:r>
      <w:r w:rsidRPr="00DE46F3">
        <w:rPr>
          <w:color w:val="000000"/>
          <w:szCs w:val="17"/>
        </w:rPr>
        <w:t xml:space="preserve">7 priority areas of action were identified as follows: 1) </w:t>
      </w:r>
      <w:r w:rsidRPr="00DE46F3">
        <w:rPr>
          <w:rFonts w:eastAsia="Cambria"/>
          <w:color w:val="000000"/>
          <w:szCs w:val="17"/>
          <w:lang w:eastAsia="en-GB"/>
        </w:rPr>
        <w:t xml:space="preserve">Capacity building and training; 2) Strengthening gender equality in political parties; 3) Infrastructure and logistics; 4) Security of women candidates and voters; 5) Media and communication; 6) Gender responsive budgeting for women in political life; and 7) Strengthening a gender equality culture - </w:t>
      </w:r>
      <w:r w:rsidRPr="00DE46F3">
        <w:rPr>
          <w:szCs w:val="17"/>
          <w:lang w:eastAsia="fr-FR"/>
        </w:rPr>
        <w:t>Timor-Leste’s Beijing Declaration and Platform for Action (Bpfa) National Review and Appraisal Report (2014</w:t>
      </w:r>
      <w:r w:rsidR="00715887" w:rsidRPr="00DE46F3">
        <w:rPr>
          <w:szCs w:val="17"/>
        </w:rPr>
        <w:t>–</w:t>
      </w:r>
      <w:r w:rsidRPr="00DE46F3">
        <w:rPr>
          <w:szCs w:val="17"/>
          <w:lang w:eastAsia="fr-FR"/>
        </w:rPr>
        <w:t>2018), Democratic Republic of Timor-Leste, Secretariat of State of Equality and Inclusion (SEII), 2019.</w:t>
      </w:r>
    </w:p>
  </w:footnote>
  <w:footnote w:id="115">
    <w:p w14:paraId="1976EC93" w14:textId="77777777" w:rsidR="00E7381F" w:rsidRPr="00DE46F3" w:rsidRDefault="00E7381F" w:rsidP="0098356B">
      <w:pPr>
        <w:pStyle w:val="FootnoteText"/>
        <w:tabs>
          <w:tab w:val="clear" w:pos="418"/>
          <w:tab w:val="right" w:pos="1195"/>
          <w:tab w:val="left" w:pos="1267"/>
          <w:tab w:val="left" w:pos="1742"/>
          <w:tab w:val="left" w:pos="2218"/>
          <w:tab w:val="left" w:pos="2693"/>
        </w:tabs>
        <w:ind w:left="1267" w:right="1260" w:hanging="432"/>
        <w:jc w:val="both"/>
        <w:rPr>
          <w:szCs w:val="17"/>
        </w:rPr>
      </w:pPr>
      <w:r w:rsidRPr="00DE46F3">
        <w:rPr>
          <w:szCs w:val="17"/>
        </w:rPr>
        <w:tab/>
      </w:r>
      <w:r w:rsidRPr="00DE46F3">
        <w:rPr>
          <w:rStyle w:val="FootnoteReference"/>
          <w:szCs w:val="17"/>
        </w:rPr>
        <w:footnoteRef/>
      </w:r>
      <w:r w:rsidRPr="00DE46F3">
        <w:rPr>
          <w:szCs w:val="17"/>
        </w:rPr>
        <w:tab/>
        <w:t xml:space="preserve">2015-2017 activity report, Secretary of State for the Socio-Economic Support of Women (SEM), July 2017; </w:t>
      </w:r>
      <w:r w:rsidRPr="00DE46F3">
        <w:rPr>
          <w:spacing w:val="8"/>
          <w:szCs w:val="17"/>
        </w:rPr>
        <w:t>UNDP Electoral Project (LEARN); UN Women ‘Women in Politics’ programme.</w:t>
      </w:r>
    </w:p>
  </w:footnote>
  <w:footnote w:id="116">
    <w:p w14:paraId="025E8FFC" w14:textId="77777777" w:rsidR="00E7381F" w:rsidRPr="00DE46F3" w:rsidRDefault="00E7381F" w:rsidP="0098356B">
      <w:pPr>
        <w:pStyle w:val="FootnoteText"/>
        <w:tabs>
          <w:tab w:val="clear" w:pos="418"/>
          <w:tab w:val="right" w:pos="1195"/>
          <w:tab w:val="left" w:pos="1267"/>
          <w:tab w:val="left" w:pos="1742"/>
          <w:tab w:val="left" w:pos="2218"/>
          <w:tab w:val="left" w:pos="2693"/>
        </w:tabs>
        <w:ind w:left="1267" w:right="1260" w:hanging="432"/>
        <w:jc w:val="both"/>
        <w:rPr>
          <w:szCs w:val="17"/>
        </w:rPr>
      </w:pPr>
      <w:r w:rsidRPr="00DE46F3">
        <w:rPr>
          <w:szCs w:val="17"/>
        </w:rPr>
        <w:tab/>
      </w:r>
      <w:r w:rsidRPr="00DE46F3">
        <w:rPr>
          <w:rStyle w:val="FootnoteReference"/>
          <w:szCs w:val="17"/>
        </w:rPr>
        <w:footnoteRef/>
      </w:r>
      <w:r w:rsidRPr="00DE46F3">
        <w:rPr>
          <w:szCs w:val="17"/>
        </w:rPr>
        <w:tab/>
        <w:t>Statistics from the department of Women Empowerment in Politics, SEII, 2019.</w:t>
      </w:r>
    </w:p>
  </w:footnote>
  <w:footnote w:id="117">
    <w:p w14:paraId="00C65C17" w14:textId="77777777" w:rsidR="00E7381F" w:rsidRPr="00DE46F3" w:rsidRDefault="00E7381F" w:rsidP="0098356B">
      <w:pPr>
        <w:pStyle w:val="FootnoteText"/>
        <w:tabs>
          <w:tab w:val="clear" w:pos="418"/>
          <w:tab w:val="right" w:pos="1195"/>
          <w:tab w:val="left" w:pos="1267"/>
          <w:tab w:val="left" w:pos="1742"/>
          <w:tab w:val="left" w:pos="2218"/>
          <w:tab w:val="left" w:pos="2693"/>
        </w:tabs>
        <w:ind w:left="1267" w:right="1260" w:hanging="432"/>
        <w:jc w:val="both"/>
        <w:rPr>
          <w:szCs w:val="17"/>
        </w:rPr>
      </w:pPr>
      <w:r w:rsidRPr="00DE46F3">
        <w:rPr>
          <w:szCs w:val="17"/>
        </w:rPr>
        <w:tab/>
      </w:r>
      <w:r w:rsidRPr="00DE46F3">
        <w:rPr>
          <w:rStyle w:val="FootnoteReference"/>
          <w:szCs w:val="17"/>
        </w:rPr>
        <w:footnoteRef/>
      </w:r>
      <w:r w:rsidRPr="00DE46F3">
        <w:rPr>
          <w:szCs w:val="17"/>
        </w:rPr>
        <w:tab/>
        <w:t>Law N° 9/2016, 8th July 2016.</w:t>
      </w:r>
    </w:p>
  </w:footnote>
  <w:footnote w:id="118">
    <w:p w14:paraId="54C791E8" w14:textId="77777777" w:rsidR="00E7381F" w:rsidRPr="00DE46F3" w:rsidRDefault="00E7381F" w:rsidP="0098356B">
      <w:pPr>
        <w:pStyle w:val="FootnoteText"/>
        <w:tabs>
          <w:tab w:val="clear" w:pos="418"/>
          <w:tab w:val="right" w:pos="1195"/>
          <w:tab w:val="left" w:pos="1267"/>
          <w:tab w:val="left" w:pos="1742"/>
          <w:tab w:val="left" w:pos="2218"/>
          <w:tab w:val="left" w:pos="2693"/>
        </w:tabs>
        <w:ind w:left="1267" w:right="1260" w:hanging="432"/>
        <w:jc w:val="both"/>
        <w:rPr>
          <w:szCs w:val="17"/>
        </w:rPr>
      </w:pPr>
      <w:r w:rsidRPr="00DE46F3">
        <w:rPr>
          <w:szCs w:val="17"/>
        </w:rPr>
        <w:tab/>
      </w:r>
      <w:r w:rsidRPr="00DE46F3">
        <w:rPr>
          <w:rStyle w:val="FootnoteReference"/>
          <w:szCs w:val="17"/>
        </w:rPr>
        <w:footnoteRef/>
      </w:r>
      <w:r w:rsidRPr="00DE46F3">
        <w:rPr>
          <w:szCs w:val="17"/>
        </w:rPr>
        <w:tab/>
      </w:r>
      <w:r w:rsidRPr="00DE46F3">
        <w:rPr>
          <w:rFonts w:cs="Calibri"/>
          <w:szCs w:val="17"/>
        </w:rPr>
        <w:t>T</w:t>
      </w:r>
      <w:r w:rsidRPr="00DE46F3">
        <w:rPr>
          <w:rFonts w:cs="Avenir Medium"/>
          <w:color w:val="000000"/>
          <w:szCs w:val="17"/>
        </w:rPr>
        <w:t xml:space="preserve">he law requires that at least one woman candidate in </w:t>
      </w:r>
      <w:r w:rsidRPr="00DE46F3">
        <w:rPr>
          <w:rFonts w:cs="Avenir Medium"/>
          <w:i/>
          <w:iCs/>
          <w:color w:val="000000"/>
          <w:szCs w:val="17"/>
        </w:rPr>
        <w:t>Aldeia</w:t>
      </w:r>
      <w:r w:rsidRPr="00DE46F3">
        <w:rPr>
          <w:rFonts w:cs="Avenir Medium"/>
          <w:color w:val="000000"/>
          <w:szCs w:val="17"/>
        </w:rPr>
        <w:t xml:space="preserve"> Chief </w:t>
      </w:r>
      <w:r w:rsidRPr="00DE46F3">
        <w:rPr>
          <w:rFonts w:cs="Calibri"/>
          <w:szCs w:val="17"/>
        </w:rPr>
        <w:t>election, failing which</w:t>
      </w:r>
      <w:r w:rsidRPr="00DE46F3">
        <w:rPr>
          <w:rFonts w:cs="Avenir Medium"/>
          <w:color w:val="000000"/>
          <w:szCs w:val="17"/>
        </w:rPr>
        <w:t xml:space="preserve">, the </w:t>
      </w:r>
      <w:r w:rsidRPr="00DE46F3">
        <w:rPr>
          <w:rFonts w:cs="Avenir Medium"/>
          <w:i/>
          <w:iCs/>
          <w:color w:val="000000"/>
          <w:szCs w:val="17"/>
        </w:rPr>
        <w:t xml:space="preserve">Aldeia </w:t>
      </w:r>
      <w:r w:rsidRPr="00DE46F3">
        <w:rPr>
          <w:rFonts w:cs="Avenir Medium"/>
          <w:color w:val="000000"/>
          <w:szCs w:val="17"/>
        </w:rPr>
        <w:t>Assembly Electoral Committee can only continue the electoral process after consulting with the local women’s organization.</w:t>
      </w:r>
    </w:p>
  </w:footnote>
  <w:footnote w:id="119">
    <w:p w14:paraId="073560EC" w14:textId="77777777" w:rsidR="00E7381F" w:rsidRPr="00DE46F3" w:rsidRDefault="00E7381F" w:rsidP="0098356B">
      <w:pPr>
        <w:pStyle w:val="FootnoteText"/>
        <w:tabs>
          <w:tab w:val="clear" w:pos="418"/>
          <w:tab w:val="right" w:pos="1195"/>
          <w:tab w:val="left" w:pos="1267"/>
          <w:tab w:val="left" w:pos="1742"/>
          <w:tab w:val="left" w:pos="2218"/>
          <w:tab w:val="left" w:pos="2693"/>
        </w:tabs>
        <w:ind w:left="1267" w:right="1260" w:hanging="432"/>
        <w:jc w:val="both"/>
        <w:rPr>
          <w:szCs w:val="17"/>
        </w:rPr>
      </w:pPr>
      <w:r w:rsidRPr="00DE46F3">
        <w:rPr>
          <w:szCs w:val="17"/>
        </w:rPr>
        <w:tab/>
      </w:r>
      <w:r w:rsidRPr="00DE46F3">
        <w:rPr>
          <w:rStyle w:val="FootnoteReference"/>
          <w:szCs w:val="17"/>
        </w:rPr>
        <w:footnoteRef/>
      </w:r>
      <w:r w:rsidRPr="00DE46F3">
        <w:rPr>
          <w:szCs w:val="17"/>
        </w:rPr>
        <w:tab/>
        <w:t>FINAL 100 per cent Hau Prontu List of Potential Female Candidates for 2016 Community Leaders’ Election, UN Women data, 13</w:t>
      </w:r>
      <w:r w:rsidRPr="007D0872">
        <w:rPr>
          <w:szCs w:val="17"/>
        </w:rPr>
        <w:t>th</w:t>
      </w:r>
      <w:r w:rsidRPr="00DE46F3">
        <w:rPr>
          <w:szCs w:val="17"/>
        </w:rPr>
        <w:t xml:space="preserve"> Sept. 2016.</w:t>
      </w:r>
    </w:p>
  </w:footnote>
  <w:footnote w:id="120">
    <w:p w14:paraId="25D3F6D5" w14:textId="77777777" w:rsidR="00E7381F" w:rsidRPr="00DE46F3" w:rsidRDefault="00E7381F" w:rsidP="0098356B">
      <w:pPr>
        <w:pStyle w:val="FootnoteText"/>
        <w:tabs>
          <w:tab w:val="clear" w:pos="418"/>
          <w:tab w:val="right" w:pos="1195"/>
          <w:tab w:val="left" w:pos="1267"/>
          <w:tab w:val="left" w:pos="1742"/>
          <w:tab w:val="left" w:pos="2218"/>
          <w:tab w:val="left" w:pos="2693"/>
        </w:tabs>
        <w:ind w:left="1267" w:right="1260" w:hanging="432"/>
        <w:jc w:val="both"/>
        <w:rPr>
          <w:szCs w:val="17"/>
        </w:rPr>
      </w:pPr>
      <w:r w:rsidRPr="00DE46F3">
        <w:rPr>
          <w:szCs w:val="17"/>
        </w:rPr>
        <w:tab/>
      </w:r>
      <w:r w:rsidRPr="00DE46F3">
        <w:rPr>
          <w:rStyle w:val="FootnoteReference"/>
          <w:szCs w:val="17"/>
        </w:rPr>
        <w:footnoteRef/>
      </w:r>
      <w:r w:rsidRPr="00DE46F3">
        <w:rPr>
          <w:szCs w:val="17"/>
        </w:rPr>
        <w:tab/>
        <w:t>Financial and technical support was provided by the Government to CSOs to implement leadership training for potential women candidates in 3 municipalities. - Report on the Implementation of the Sustainable Development Goals: From ashes to reconciliation, reconstruction and sustainable development, Voluntary National Review of Timor-Leste 2019, Government of Timor-Leste, Dili, Timor-Leste, 2019, pp.74-75.</w:t>
      </w:r>
    </w:p>
  </w:footnote>
  <w:footnote w:id="121">
    <w:p w14:paraId="4FB10C97" w14:textId="77777777" w:rsidR="00E7381F" w:rsidRPr="00DE46F3" w:rsidRDefault="00E7381F" w:rsidP="0098356B">
      <w:pPr>
        <w:pStyle w:val="FootnoteText"/>
        <w:tabs>
          <w:tab w:val="clear" w:pos="418"/>
          <w:tab w:val="right" w:pos="1195"/>
          <w:tab w:val="left" w:pos="1267"/>
          <w:tab w:val="left" w:pos="1742"/>
          <w:tab w:val="left" w:pos="2218"/>
          <w:tab w:val="left" w:pos="2693"/>
        </w:tabs>
        <w:ind w:left="1267" w:right="1260" w:hanging="432"/>
        <w:jc w:val="both"/>
        <w:rPr>
          <w:bCs/>
          <w:szCs w:val="17"/>
        </w:rPr>
      </w:pPr>
      <w:r w:rsidRPr="00DE46F3">
        <w:rPr>
          <w:szCs w:val="17"/>
        </w:rPr>
        <w:tab/>
      </w:r>
      <w:r w:rsidRPr="00DE46F3">
        <w:rPr>
          <w:rStyle w:val="FootnoteReference"/>
          <w:szCs w:val="17"/>
        </w:rPr>
        <w:footnoteRef/>
      </w:r>
      <w:r w:rsidRPr="00DE46F3">
        <w:rPr>
          <w:szCs w:val="17"/>
        </w:rPr>
        <w:tab/>
      </w:r>
      <w:r w:rsidRPr="00DE46F3">
        <w:rPr>
          <w:bCs/>
          <w:szCs w:val="17"/>
        </w:rPr>
        <w:t>Informasaun liga ho emvolvimentu feto potensial iha nivel politika, policy brief, SEII, 2017.</w:t>
      </w:r>
    </w:p>
  </w:footnote>
  <w:footnote w:id="122">
    <w:p w14:paraId="563CD412" w14:textId="4E4043D5" w:rsidR="00E7381F" w:rsidRPr="00DE46F3" w:rsidRDefault="00E7381F" w:rsidP="0098356B">
      <w:pPr>
        <w:pStyle w:val="FootnoteText"/>
        <w:tabs>
          <w:tab w:val="clear" w:pos="418"/>
          <w:tab w:val="right" w:pos="1195"/>
          <w:tab w:val="left" w:pos="1267"/>
          <w:tab w:val="left" w:pos="1742"/>
          <w:tab w:val="left" w:pos="2218"/>
          <w:tab w:val="left" w:pos="2693"/>
        </w:tabs>
        <w:ind w:left="1267" w:right="1260" w:hanging="432"/>
        <w:jc w:val="both"/>
        <w:rPr>
          <w:szCs w:val="17"/>
        </w:rPr>
      </w:pPr>
      <w:r w:rsidRPr="00DE46F3">
        <w:rPr>
          <w:szCs w:val="17"/>
        </w:rPr>
        <w:tab/>
      </w:r>
      <w:r w:rsidRPr="00DE46F3">
        <w:rPr>
          <w:rStyle w:val="FootnoteReference"/>
          <w:szCs w:val="17"/>
        </w:rPr>
        <w:footnoteRef/>
      </w:r>
      <w:r w:rsidRPr="00DE46F3">
        <w:rPr>
          <w:szCs w:val="17"/>
        </w:rPr>
        <w:tab/>
        <w:t>National Action Plan on United Nations Security Council Resolution 1325 (2000) on Women, Peace and Security (2016</w:t>
      </w:r>
      <w:r w:rsidR="00715887" w:rsidRPr="00DE46F3">
        <w:rPr>
          <w:szCs w:val="17"/>
        </w:rPr>
        <w:t>–</w:t>
      </w:r>
      <w:r w:rsidRPr="00DE46F3">
        <w:rPr>
          <w:szCs w:val="17"/>
        </w:rPr>
        <w:t>2020), Ministry of Interior - Democratic Republic of Timor-Leste / UN Women, October 2016, pp. 5</w:t>
      </w:r>
      <w:r w:rsidR="00715887" w:rsidRPr="00DE46F3">
        <w:rPr>
          <w:szCs w:val="17"/>
        </w:rPr>
        <w:t>–</w:t>
      </w:r>
      <w:r w:rsidRPr="00DE46F3">
        <w:rPr>
          <w:szCs w:val="17"/>
        </w:rPr>
        <w:t>6.</w:t>
      </w:r>
    </w:p>
  </w:footnote>
  <w:footnote w:id="123">
    <w:p w14:paraId="76A0A0DC" w14:textId="019E9E32" w:rsidR="00E7381F" w:rsidRPr="00DE46F3" w:rsidRDefault="00E7381F" w:rsidP="0098356B">
      <w:pPr>
        <w:pStyle w:val="FootnoteText"/>
        <w:tabs>
          <w:tab w:val="clear" w:pos="418"/>
          <w:tab w:val="right" w:pos="1195"/>
          <w:tab w:val="left" w:pos="1267"/>
          <w:tab w:val="left" w:pos="1742"/>
          <w:tab w:val="left" w:pos="2218"/>
          <w:tab w:val="left" w:pos="2693"/>
        </w:tabs>
        <w:ind w:left="1267" w:right="1260" w:hanging="432"/>
        <w:jc w:val="both"/>
        <w:rPr>
          <w:szCs w:val="17"/>
        </w:rPr>
      </w:pPr>
      <w:r w:rsidRPr="00DE46F3">
        <w:rPr>
          <w:szCs w:val="17"/>
        </w:rPr>
        <w:tab/>
      </w:r>
      <w:r w:rsidRPr="00DE46F3">
        <w:rPr>
          <w:rStyle w:val="FootnoteReference"/>
          <w:szCs w:val="17"/>
        </w:rPr>
        <w:footnoteRef/>
      </w:r>
      <w:r w:rsidRPr="00DE46F3">
        <w:rPr>
          <w:szCs w:val="17"/>
        </w:rPr>
        <w:tab/>
        <w:t>2019 National Contribution to the UN Secretary-General’s 2019 Report to the Security Council on Women and Peace and Security, Ministry of Interior, Timor-Leste, 2019, pp.</w:t>
      </w:r>
      <w:r w:rsidR="00C169FA" w:rsidRPr="00DE46F3">
        <w:rPr>
          <w:szCs w:val="17"/>
        </w:rPr>
        <w:t xml:space="preserve"> </w:t>
      </w:r>
      <w:r w:rsidRPr="00DE46F3">
        <w:rPr>
          <w:szCs w:val="17"/>
        </w:rPr>
        <w:t>1</w:t>
      </w:r>
      <w:r w:rsidR="00715887" w:rsidRPr="00DE46F3">
        <w:rPr>
          <w:szCs w:val="17"/>
        </w:rPr>
        <w:t>–</w:t>
      </w:r>
      <w:r w:rsidRPr="00DE46F3">
        <w:rPr>
          <w:szCs w:val="17"/>
        </w:rPr>
        <w:t>3.</w:t>
      </w:r>
    </w:p>
  </w:footnote>
  <w:footnote w:id="124">
    <w:p w14:paraId="0B480E76" w14:textId="77777777" w:rsidR="00E7381F" w:rsidRPr="00DE46F3" w:rsidRDefault="00E7381F" w:rsidP="0098356B">
      <w:pPr>
        <w:pStyle w:val="FootnoteText"/>
        <w:tabs>
          <w:tab w:val="clear" w:pos="418"/>
          <w:tab w:val="right" w:pos="1195"/>
          <w:tab w:val="left" w:pos="1267"/>
          <w:tab w:val="left" w:pos="1742"/>
          <w:tab w:val="left" w:pos="2218"/>
          <w:tab w:val="left" w:pos="2693"/>
        </w:tabs>
        <w:ind w:left="1267" w:right="1260" w:hanging="432"/>
        <w:rPr>
          <w:szCs w:val="17"/>
        </w:rPr>
      </w:pPr>
      <w:r w:rsidRPr="00DE46F3">
        <w:rPr>
          <w:szCs w:val="17"/>
        </w:rPr>
        <w:tab/>
      </w:r>
      <w:r w:rsidRPr="00DE46F3">
        <w:rPr>
          <w:rStyle w:val="FootnoteReference"/>
          <w:szCs w:val="17"/>
        </w:rPr>
        <w:footnoteRef/>
      </w:r>
      <w:r w:rsidRPr="00DE46F3">
        <w:rPr>
          <w:szCs w:val="17"/>
        </w:rPr>
        <w:tab/>
        <w:t>Monitoring report of the implementation of the 2016 – 2018 National Action Plan on the UN Security Council Resolution N° 1325 on Women, Peace and Security, Ministry of Interior – National Directorate on Community Conflict Prevention, 2018.</w:t>
      </w:r>
    </w:p>
  </w:footnote>
  <w:footnote w:id="125">
    <w:p w14:paraId="665F8621" w14:textId="77777777" w:rsidR="00E7381F" w:rsidRPr="00DE46F3" w:rsidRDefault="00E7381F" w:rsidP="0098356B">
      <w:pPr>
        <w:pStyle w:val="FootnoteText"/>
        <w:tabs>
          <w:tab w:val="clear" w:pos="418"/>
          <w:tab w:val="right" w:pos="1195"/>
          <w:tab w:val="left" w:pos="1267"/>
          <w:tab w:val="left" w:pos="1742"/>
          <w:tab w:val="left" w:pos="2218"/>
          <w:tab w:val="left" w:pos="2693"/>
        </w:tabs>
        <w:ind w:left="1267" w:right="1260" w:hanging="432"/>
        <w:jc w:val="both"/>
        <w:rPr>
          <w:szCs w:val="17"/>
        </w:rPr>
      </w:pPr>
      <w:r w:rsidRPr="00DE46F3">
        <w:rPr>
          <w:szCs w:val="17"/>
        </w:rPr>
        <w:tab/>
      </w:r>
      <w:r w:rsidRPr="00DE46F3">
        <w:rPr>
          <w:rStyle w:val="FootnoteReference"/>
          <w:szCs w:val="17"/>
        </w:rPr>
        <w:footnoteRef/>
      </w:r>
      <w:r w:rsidRPr="00DE46F3">
        <w:rPr>
          <w:szCs w:val="17"/>
        </w:rPr>
        <w:tab/>
        <w:t>See Article 3.</w:t>
      </w:r>
    </w:p>
  </w:footnote>
  <w:footnote w:id="126">
    <w:p w14:paraId="79A981D7" w14:textId="344750DD" w:rsidR="00E7381F" w:rsidRPr="00DE46F3" w:rsidRDefault="00E7381F" w:rsidP="0098356B">
      <w:pPr>
        <w:pStyle w:val="FootnoteText"/>
        <w:tabs>
          <w:tab w:val="clear" w:pos="418"/>
          <w:tab w:val="right" w:pos="1195"/>
          <w:tab w:val="left" w:pos="1267"/>
          <w:tab w:val="left" w:pos="1742"/>
          <w:tab w:val="left" w:pos="2218"/>
          <w:tab w:val="left" w:pos="2693"/>
        </w:tabs>
        <w:ind w:left="1267" w:right="1260" w:hanging="432"/>
        <w:jc w:val="both"/>
        <w:rPr>
          <w:szCs w:val="17"/>
        </w:rPr>
      </w:pPr>
      <w:r w:rsidRPr="00DE46F3">
        <w:rPr>
          <w:szCs w:val="17"/>
        </w:rPr>
        <w:tab/>
      </w:r>
      <w:r w:rsidRPr="00DE46F3">
        <w:rPr>
          <w:rStyle w:val="FootnoteReference"/>
          <w:szCs w:val="17"/>
        </w:rPr>
        <w:footnoteRef/>
      </w:r>
      <w:r w:rsidRPr="00DE46F3">
        <w:rPr>
          <w:szCs w:val="17"/>
        </w:rPr>
        <w:tab/>
        <w:t>2019 National Contribution to the UN Secretary-General’s 2019 Report to the Security Council on Women and Peace and Security, Ministry of Interior, Timor-Leste, 2019, pp.</w:t>
      </w:r>
      <w:r w:rsidR="00C169FA" w:rsidRPr="00DE46F3">
        <w:rPr>
          <w:szCs w:val="17"/>
        </w:rPr>
        <w:t xml:space="preserve"> </w:t>
      </w:r>
      <w:r w:rsidRPr="00DE46F3">
        <w:rPr>
          <w:szCs w:val="17"/>
        </w:rPr>
        <w:t>1</w:t>
      </w:r>
      <w:r w:rsidR="00715887" w:rsidRPr="00DE46F3">
        <w:rPr>
          <w:szCs w:val="17"/>
        </w:rPr>
        <w:t>–</w:t>
      </w:r>
      <w:r w:rsidRPr="00DE46F3">
        <w:rPr>
          <w:szCs w:val="17"/>
        </w:rPr>
        <w:t>3.</w:t>
      </w:r>
    </w:p>
  </w:footnote>
  <w:footnote w:id="127">
    <w:p w14:paraId="76E71DD9" w14:textId="77777777" w:rsidR="00E7381F" w:rsidRPr="00DE46F3" w:rsidRDefault="00E7381F" w:rsidP="0098356B">
      <w:pPr>
        <w:pStyle w:val="FootnoteText"/>
        <w:tabs>
          <w:tab w:val="clear" w:pos="418"/>
          <w:tab w:val="right" w:pos="1195"/>
          <w:tab w:val="left" w:pos="1267"/>
          <w:tab w:val="left" w:pos="1742"/>
          <w:tab w:val="left" w:pos="2218"/>
          <w:tab w:val="left" w:pos="2693"/>
        </w:tabs>
        <w:ind w:left="1267" w:right="1260" w:hanging="432"/>
        <w:jc w:val="both"/>
        <w:rPr>
          <w:szCs w:val="17"/>
        </w:rPr>
      </w:pPr>
      <w:r w:rsidRPr="00DE46F3">
        <w:rPr>
          <w:szCs w:val="17"/>
        </w:rPr>
        <w:tab/>
      </w:r>
      <w:r w:rsidRPr="00DE46F3">
        <w:rPr>
          <w:rStyle w:val="FootnoteReference"/>
          <w:szCs w:val="17"/>
        </w:rPr>
        <w:footnoteRef/>
      </w:r>
      <w:r w:rsidRPr="00DE46F3">
        <w:rPr>
          <w:szCs w:val="17"/>
        </w:rPr>
        <w:tab/>
        <w:t>Monitoring report of the implementation of the 2016 – 2018 National Action Plan on the UN Security Council Resolution N° 1325 on Women, Peace and Security, Ministry of Interior – National Directorate on Community Conflict Prevention, 2018.</w:t>
      </w:r>
    </w:p>
  </w:footnote>
  <w:footnote w:id="128">
    <w:p w14:paraId="1B70FAB5" w14:textId="77777777" w:rsidR="00E7381F" w:rsidRPr="00DE46F3" w:rsidRDefault="00E7381F" w:rsidP="0098356B">
      <w:pPr>
        <w:pStyle w:val="FootnoteText"/>
        <w:tabs>
          <w:tab w:val="clear" w:pos="418"/>
          <w:tab w:val="right" w:pos="1195"/>
          <w:tab w:val="left" w:pos="1267"/>
          <w:tab w:val="left" w:pos="1742"/>
          <w:tab w:val="left" w:pos="2218"/>
          <w:tab w:val="left" w:pos="2693"/>
        </w:tabs>
        <w:ind w:left="1267" w:right="1260" w:hanging="432"/>
        <w:jc w:val="both"/>
        <w:rPr>
          <w:szCs w:val="17"/>
        </w:rPr>
      </w:pPr>
      <w:r w:rsidRPr="00DE46F3">
        <w:rPr>
          <w:szCs w:val="17"/>
        </w:rPr>
        <w:tab/>
      </w:r>
      <w:r w:rsidRPr="00DE46F3">
        <w:rPr>
          <w:rStyle w:val="FootnoteReference"/>
          <w:szCs w:val="17"/>
        </w:rPr>
        <w:footnoteRef/>
      </w:r>
      <w:r w:rsidRPr="00DE46F3">
        <w:rPr>
          <w:szCs w:val="17"/>
        </w:rPr>
        <w:tab/>
        <w:t>2019 National Contribution to the UN Secretary-General’s 2019 Report to the Security Council on Women and Peace and Security, Ministry of Interior, Timor-Leste, 2019, p.4.</w:t>
      </w:r>
    </w:p>
  </w:footnote>
  <w:footnote w:id="129">
    <w:p w14:paraId="584EA262" w14:textId="7750B066" w:rsidR="00E7381F" w:rsidRPr="00DE46F3" w:rsidRDefault="00E7381F" w:rsidP="0098356B">
      <w:pPr>
        <w:pStyle w:val="FootnoteText"/>
        <w:tabs>
          <w:tab w:val="clear" w:pos="418"/>
          <w:tab w:val="right" w:pos="1195"/>
          <w:tab w:val="left" w:pos="1267"/>
          <w:tab w:val="left" w:pos="1742"/>
          <w:tab w:val="left" w:pos="2218"/>
          <w:tab w:val="left" w:pos="2693"/>
        </w:tabs>
        <w:ind w:left="1267" w:right="1260" w:hanging="432"/>
        <w:jc w:val="both"/>
        <w:rPr>
          <w:szCs w:val="17"/>
        </w:rPr>
      </w:pPr>
      <w:r w:rsidRPr="00DE46F3">
        <w:rPr>
          <w:szCs w:val="17"/>
        </w:rPr>
        <w:tab/>
      </w:r>
      <w:r w:rsidRPr="00DE46F3">
        <w:rPr>
          <w:rStyle w:val="FootnoteReference"/>
          <w:szCs w:val="17"/>
        </w:rPr>
        <w:footnoteRef/>
      </w:r>
      <w:r w:rsidRPr="00DE46F3">
        <w:rPr>
          <w:szCs w:val="17"/>
        </w:rPr>
        <w:tab/>
      </w:r>
      <w:r w:rsidR="00715887" w:rsidRPr="00DE46F3">
        <w:rPr>
          <w:szCs w:val="17"/>
        </w:rPr>
        <w:t>See ‘Violence Against Women During Conflict Situations and their Access to Justice’ under Article 5.</w:t>
      </w:r>
    </w:p>
  </w:footnote>
  <w:footnote w:id="130">
    <w:p w14:paraId="5BB85F05" w14:textId="5EB56A02" w:rsidR="00E7381F" w:rsidRPr="00DE46F3" w:rsidRDefault="00E7381F" w:rsidP="0098356B">
      <w:pPr>
        <w:pStyle w:val="FootnoteText"/>
        <w:tabs>
          <w:tab w:val="clear" w:pos="418"/>
          <w:tab w:val="right" w:pos="1195"/>
          <w:tab w:val="left" w:pos="1267"/>
          <w:tab w:val="left" w:pos="1742"/>
          <w:tab w:val="left" w:pos="2218"/>
          <w:tab w:val="left" w:pos="2693"/>
        </w:tabs>
        <w:ind w:left="1267" w:right="1260" w:hanging="432"/>
        <w:jc w:val="both"/>
        <w:rPr>
          <w:szCs w:val="17"/>
        </w:rPr>
      </w:pPr>
      <w:r w:rsidRPr="00DE46F3">
        <w:rPr>
          <w:szCs w:val="17"/>
        </w:rPr>
        <w:tab/>
      </w:r>
      <w:r w:rsidRPr="00DE46F3">
        <w:rPr>
          <w:rStyle w:val="FootnoteReference"/>
          <w:szCs w:val="17"/>
        </w:rPr>
        <w:footnoteRef/>
      </w:r>
      <w:bookmarkStart w:id="42" w:name="_Hlk21915957"/>
      <w:r w:rsidRPr="00DE46F3">
        <w:rPr>
          <w:szCs w:val="17"/>
        </w:rPr>
        <w:tab/>
      </w:r>
      <w:bookmarkEnd w:id="42"/>
      <w:r w:rsidR="00715887" w:rsidRPr="00DE46F3">
        <w:rPr>
          <w:szCs w:val="17"/>
        </w:rPr>
        <w:t>See ‘Violence Against Women’ under Article 5.</w:t>
      </w:r>
    </w:p>
  </w:footnote>
  <w:footnote w:id="131">
    <w:p w14:paraId="4B221F5A" w14:textId="77777777" w:rsidR="00E7381F" w:rsidRPr="00DE46F3" w:rsidRDefault="00E7381F" w:rsidP="0098356B">
      <w:pPr>
        <w:pStyle w:val="FootnoteText"/>
        <w:tabs>
          <w:tab w:val="clear" w:pos="418"/>
          <w:tab w:val="right" w:pos="1195"/>
          <w:tab w:val="left" w:pos="1267"/>
          <w:tab w:val="left" w:pos="1742"/>
          <w:tab w:val="left" w:pos="2218"/>
          <w:tab w:val="left" w:pos="2693"/>
        </w:tabs>
        <w:ind w:left="1267" w:right="1260" w:hanging="432"/>
        <w:jc w:val="both"/>
        <w:rPr>
          <w:szCs w:val="17"/>
        </w:rPr>
      </w:pPr>
      <w:r w:rsidRPr="00DE46F3">
        <w:rPr>
          <w:szCs w:val="17"/>
        </w:rPr>
        <w:tab/>
      </w:r>
      <w:r w:rsidRPr="00DE46F3">
        <w:rPr>
          <w:rStyle w:val="FootnoteReference"/>
          <w:szCs w:val="17"/>
        </w:rPr>
        <w:footnoteRef/>
      </w:r>
      <w:r w:rsidRPr="00DE46F3">
        <w:rPr>
          <w:szCs w:val="17"/>
        </w:rPr>
        <w:tab/>
        <w:t>2018 PNTL statistics.</w:t>
      </w:r>
    </w:p>
  </w:footnote>
  <w:footnote w:id="132">
    <w:p w14:paraId="7719A60B" w14:textId="3EB064B3" w:rsidR="00E7381F" w:rsidRPr="00DE46F3" w:rsidRDefault="00E7381F" w:rsidP="0098356B">
      <w:pPr>
        <w:pStyle w:val="FootnoteText"/>
        <w:tabs>
          <w:tab w:val="clear" w:pos="418"/>
          <w:tab w:val="right" w:pos="1195"/>
          <w:tab w:val="left" w:pos="1267"/>
          <w:tab w:val="left" w:pos="1742"/>
          <w:tab w:val="left" w:pos="2218"/>
          <w:tab w:val="left" w:pos="2693"/>
        </w:tabs>
        <w:ind w:left="1267" w:right="1260" w:hanging="432"/>
        <w:jc w:val="both"/>
        <w:rPr>
          <w:szCs w:val="17"/>
        </w:rPr>
      </w:pPr>
      <w:r w:rsidRPr="00DE46F3">
        <w:rPr>
          <w:szCs w:val="17"/>
        </w:rPr>
        <w:tab/>
      </w:r>
      <w:r w:rsidRPr="00DE46F3">
        <w:rPr>
          <w:rStyle w:val="FootnoteReference"/>
          <w:szCs w:val="17"/>
        </w:rPr>
        <w:footnoteRef/>
      </w:r>
      <w:r w:rsidRPr="00DE46F3">
        <w:rPr>
          <w:szCs w:val="17"/>
        </w:rPr>
        <w:tab/>
        <w:t>Analytical Report on Education – 2015 Timor-Leste Population and Housing Census, General Directorate of Statistics (GDS) – Ministry of Finance / United Nations Children’s Fund (UNICEF)</w:t>
      </w:r>
      <w:r w:rsidR="00F156F1">
        <w:rPr>
          <w:szCs w:val="17"/>
        </w:rPr>
        <w:t> </w:t>
      </w:r>
      <w:r w:rsidRPr="00DE46F3">
        <w:rPr>
          <w:szCs w:val="17"/>
        </w:rPr>
        <w:t>/ United Nations Population Fund (UNFPA), 2017.</w:t>
      </w:r>
    </w:p>
  </w:footnote>
  <w:footnote w:id="133">
    <w:p w14:paraId="2E03F8D8" w14:textId="649785AF" w:rsidR="00E7381F" w:rsidRPr="00DE46F3" w:rsidRDefault="00E7381F" w:rsidP="0098356B">
      <w:pPr>
        <w:pStyle w:val="FootnoteText"/>
        <w:tabs>
          <w:tab w:val="clear" w:pos="418"/>
          <w:tab w:val="right" w:pos="1195"/>
          <w:tab w:val="left" w:pos="1267"/>
          <w:tab w:val="left" w:pos="1742"/>
          <w:tab w:val="left" w:pos="2218"/>
          <w:tab w:val="left" w:pos="2693"/>
        </w:tabs>
        <w:ind w:left="1267" w:right="1260" w:hanging="432"/>
        <w:jc w:val="both"/>
        <w:rPr>
          <w:szCs w:val="17"/>
        </w:rPr>
      </w:pPr>
      <w:r w:rsidRPr="00DE46F3">
        <w:rPr>
          <w:szCs w:val="17"/>
        </w:rPr>
        <w:tab/>
      </w:r>
      <w:r w:rsidRPr="00DE46F3">
        <w:rPr>
          <w:rStyle w:val="FootnoteReference"/>
          <w:szCs w:val="17"/>
        </w:rPr>
        <w:footnoteRef/>
      </w:r>
      <w:r w:rsidRPr="00DE46F3">
        <w:rPr>
          <w:szCs w:val="17"/>
        </w:rPr>
        <w:tab/>
        <w:t>EMIS Ministry of Education – Through ‘2017 Timor-Leste in Figures’, General Directorate of Statistics – Ministry of Finance, Dili, Timor-Leste, 2017, p.</w:t>
      </w:r>
      <w:r w:rsidR="005B5FE3" w:rsidRPr="00DE46F3">
        <w:rPr>
          <w:szCs w:val="17"/>
        </w:rPr>
        <w:t xml:space="preserve"> </w:t>
      </w:r>
      <w:r w:rsidRPr="00DE46F3">
        <w:rPr>
          <w:szCs w:val="17"/>
        </w:rPr>
        <w:t>29.</w:t>
      </w:r>
    </w:p>
  </w:footnote>
  <w:footnote w:id="134">
    <w:p w14:paraId="696E5241" w14:textId="23F08010" w:rsidR="00E7381F" w:rsidRPr="00DE46F3" w:rsidRDefault="00E7381F" w:rsidP="0098356B">
      <w:pPr>
        <w:pStyle w:val="FootnoteText"/>
        <w:tabs>
          <w:tab w:val="clear" w:pos="418"/>
          <w:tab w:val="right" w:pos="1195"/>
          <w:tab w:val="left" w:pos="1267"/>
          <w:tab w:val="left" w:pos="1742"/>
          <w:tab w:val="left" w:pos="2218"/>
          <w:tab w:val="left" w:pos="2693"/>
        </w:tabs>
        <w:ind w:left="1267" w:right="1260" w:hanging="432"/>
        <w:jc w:val="both"/>
        <w:rPr>
          <w:szCs w:val="17"/>
        </w:rPr>
      </w:pPr>
      <w:r w:rsidRPr="00DE46F3">
        <w:rPr>
          <w:szCs w:val="17"/>
        </w:rPr>
        <w:tab/>
      </w:r>
      <w:r w:rsidRPr="00DE46F3">
        <w:rPr>
          <w:rStyle w:val="FootnoteReference"/>
          <w:szCs w:val="17"/>
        </w:rPr>
        <w:footnoteRef/>
      </w:r>
      <w:r w:rsidRPr="00DE46F3">
        <w:rPr>
          <w:szCs w:val="17"/>
        </w:rPr>
        <w:tab/>
        <w:t>EMIS Ministry of Education – Through ‘2017 Timor-Leste in Figures’, General Directorate of Statistics – Ministry of Finance, Dili, Timor-Leste, 2017, p.</w:t>
      </w:r>
      <w:r w:rsidR="005B5FE3" w:rsidRPr="00DE46F3">
        <w:rPr>
          <w:szCs w:val="17"/>
        </w:rPr>
        <w:t xml:space="preserve"> </w:t>
      </w:r>
      <w:r w:rsidRPr="00DE46F3">
        <w:rPr>
          <w:szCs w:val="17"/>
        </w:rPr>
        <w:t>34.</w:t>
      </w:r>
    </w:p>
  </w:footnote>
  <w:footnote w:id="135">
    <w:p w14:paraId="48567502" w14:textId="77777777" w:rsidR="00E7381F" w:rsidRPr="00DE46F3" w:rsidRDefault="00E7381F" w:rsidP="0098356B">
      <w:pPr>
        <w:pStyle w:val="FootnoteText"/>
        <w:tabs>
          <w:tab w:val="clear" w:pos="418"/>
          <w:tab w:val="right" w:pos="1195"/>
          <w:tab w:val="left" w:pos="1267"/>
          <w:tab w:val="left" w:pos="1742"/>
          <w:tab w:val="left" w:pos="2218"/>
          <w:tab w:val="left" w:pos="2693"/>
        </w:tabs>
        <w:ind w:left="1267" w:right="1260" w:hanging="432"/>
        <w:jc w:val="both"/>
        <w:rPr>
          <w:szCs w:val="17"/>
        </w:rPr>
      </w:pPr>
      <w:r w:rsidRPr="00DE46F3">
        <w:rPr>
          <w:szCs w:val="17"/>
        </w:rPr>
        <w:tab/>
      </w:r>
      <w:r w:rsidRPr="00DE46F3">
        <w:rPr>
          <w:rStyle w:val="FootnoteReference"/>
          <w:szCs w:val="17"/>
        </w:rPr>
        <w:footnoteRef/>
      </w:r>
      <w:r w:rsidRPr="00DE46F3">
        <w:rPr>
          <w:szCs w:val="17"/>
        </w:rPr>
        <w:tab/>
        <w:t>Ministry of Education, Youth and Sports, Education and Management Information System (EMIS), 2016 – through: Report on the Implementation of the Sustainable Development Goals: From ashes to reconciliation, reconstruction and sustainable development, Voluntary National Review of Timor-Leste 2019, Government of Timor-Leste, Dili, Timor-Leste, 2019, p.64.</w:t>
      </w:r>
    </w:p>
  </w:footnote>
  <w:footnote w:id="136">
    <w:p w14:paraId="37D3AF0F" w14:textId="77777777" w:rsidR="00E7381F" w:rsidRPr="00DE46F3" w:rsidRDefault="00E7381F" w:rsidP="0098356B">
      <w:pPr>
        <w:pStyle w:val="FootnoteText"/>
        <w:tabs>
          <w:tab w:val="clear" w:pos="418"/>
          <w:tab w:val="right" w:pos="1195"/>
          <w:tab w:val="left" w:pos="1267"/>
          <w:tab w:val="left" w:pos="1742"/>
          <w:tab w:val="left" w:pos="2218"/>
          <w:tab w:val="left" w:pos="2693"/>
        </w:tabs>
        <w:ind w:left="1267" w:right="1260" w:hanging="432"/>
        <w:jc w:val="both"/>
        <w:rPr>
          <w:szCs w:val="17"/>
        </w:rPr>
      </w:pPr>
      <w:r w:rsidRPr="00DE46F3">
        <w:rPr>
          <w:szCs w:val="17"/>
        </w:rPr>
        <w:tab/>
      </w:r>
      <w:r w:rsidRPr="00DE46F3">
        <w:rPr>
          <w:rStyle w:val="FootnoteReference"/>
          <w:szCs w:val="17"/>
        </w:rPr>
        <w:footnoteRef/>
      </w:r>
      <w:r w:rsidRPr="00DE46F3">
        <w:rPr>
          <w:szCs w:val="17"/>
        </w:rPr>
        <w:tab/>
        <w:t xml:space="preserve">Now </w:t>
      </w:r>
      <w:r w:rsidRPr="00DE46F3">
        <w:rPr>
          <w:rFonts w:cs="Calibri"/>
          <w:szCs w:val="17"/>
        </w:rPr>
        <w:t>Ministry of Education, Youth and Sports (MEJD)</w:t>
      </w:r>
    </w:p>
  </w:footnote>
  <w:footnote w:id="137">
    <w:p w14:paraId="4EEFAA6A" w14:textId="77777777" w:rsidR="00E7381F" w:rsidRPr="00DE46F3" w:rsidRDefault="00E7381F" w:rsidP="0098356B">
      <w:pPr>
        <w:pStyle w:val="FootnoteText"/>
        <w:tabs>
          <w:tab w:val="clear" w:pos="418"/>
          <w:tab w:val="right" w:pos="1195"/>
          <w:tab w:val="left" w:pos="1267"/>
          <w:tab w:val="left" w:pos="1742"/>
          <w:tab w:val="left" w:pos="2218"/>
          <w:tab w:val="left" w:pos="2693"/>
        </w:tabs>
        <w:ind w:left="1267" w:right="1260" w:hanging="432"/>
        <w:jc w:val="both"/>
        <w:rPr>
          <w:szCs w:val="17"/>
        </w:rPr>
      </w:pPr>
      <w:r w:rsidRPr="00DE46F3">
        <w:rPr>
          <w:szCs w:val="17"/>
        </w:rPr>
        <w:tab/>
      </w:r>
      <w:r w:rsidRPr="00DE46F3">
        <w:rPr>
          <w:rStyle w:val="FootnoteReference"/>
          <w:szCs w:val="17"/>
        </w:rPr>
        <w:footnoteRef/>
      </w:r>
      <w:r w:rsidRPr="00DE46F3">
        <w:rPr>
          <w:szCs w:val="17"/>
        </w:rPr>
        <w:tab/>
      </w:r>
      <w:r w:rsidRPr="00DE46F3">
        <w:rPr>
          <w:rFonts w:cs="Calibri"/>
          <w:szCs w:val="17"/>
        </w:rPr>
        <w:t>“</w:t>
      </w:r>
      <w:r w:rsidRPr="00DE46F3">
        <w:rPr>
          <w:rFonts w:cs="Calibri"/>
          <w:i/>
          <w:iCs/>
          <w:szCs w:val="17"/>
        </w:rPr>
        <w:t>GBV in and out of school, as well as the early pregnancy of adolescent students, continue to pose real obstacles to the completion of basic education by female students</w:t>
      </w:r>
      <w:r w:rsidRPr="00DE46F3">
        <w:rPr>
          <w:rFonts w:cs="Calibri"/>
          <w:szCs w:val="17"/>
        </w:rPr>
        <w:t>”.</w:t>
      </w:r>
    </w:p>
  </w:footnote>
  <w:footnote w:id="138">
    <w:p w14:paraId="5B6987C9" w14:textId="77777777" w:rsidR="00E7381F" w:rsidRPr="00DE46F3" w:rsidRDefault="00E7381F" w:rsidP="0098356B">
      <w:pPr>
        <w:pStyle w:val="FootnoteText"/>
        <w:tabs>
          <w:tab w:val="clear" w:pos="418"/>
          <w:tab w:val="right" w:pos="1195"/>
          <w:tab w:val="left" w:pos="1267"/>
          <w:tab w:val="left" w:pos="1742"/>
          <w:tab w:val="left" w:pos="2218"/>
          <w:tab w:val="left" w:pos="2693"/>
        </w:tabs>
        <w:ind w:left="1267" w:right="1260" w:hanging="432"/>
        <w:jc w:val="both"/>
        <w:rPr>
          <w:szCs w:val="17"/>
        </w:rPr>
      </w:pPr>
      <w:r w:rsidRPr="00DE46F3">
        <w:rPr>
          <w:szCs w:val="17"/>
        </w:rPr>
        <w:tab/>
      </w:r>
      <w:r w:rsidRPr="00DE46F3">
        <w:rPr>
          <w:rStyle w:val="FootnoteReference"/>
          <w:szCs w:val="17"/>
        </w:rPr>
        <w:footnoteRef/>
      </w:r>
      <w:r w:rsidRPr="00DE46F3">
        <w:rPr>
          <w:szCs w:val="17"/>
        </w:rPr>
        <w:tab/>
        <w:t>MSSI Response to CEDAW Questionnaire, Aug. 2019; 2017 Journal of Change in Timor-Leste, UNICEF, Oct. 2018, pp. 8-9; 2018 Journal of Change in Timor-Leste, UNICEF, June 2019, p. 12.</w:t>
      </w:r>
    </w:p>
  </w:footnote>
  <w:footnote w:id="139">
    <w:p w14:paraId="7A8B1DB5" w14:textId="77777777" w:rsidR="00E7381F" w:rsidRPr="00DE46F3" w:rsidRDefault="00E7381F" w:rsidP="0098356B">
      <w:pPr>
        <w:pStyle w:val="FootnoteText"/>
        <w:tabs>
          <w:tab w:val="clear" w:pos="418"/>
          <w:tab w:val="right" w:pos="1195"/>
          <w:tab w:val="left" w:pos="1267"/>
          <w:tab w:val="left" w:pos="1742"/>
          <w:tab w:val="left" w:pos="2218"/>
          <w:tab w:val="left" w:pos="2693"/>
        </w:tabs>
        <w:ind w:left="1267" w:right="1260" w:hanging="432"/>
        <w:jc w:val="both"/>
        <w:rPr>
          <w:szCs w:val="17"/>
        </w:rPr>
      </w:pPr>
      <w:r w:rsidRPr="00DE46F3">
        <w:rPr>
          <w:szCs w:val="17"/>
        </w:rPr>
        <w:tab/>
      </w:r>
      <w:r w:rsidRPr="00DE46F3">
        <w:rPr>
          <w:rStyle w:val="FootnoteReference"/>
          <w:szCs w:val="17"/>
        </w:rPr>
        <w:footnoteRef/>
      </w:r>
      <w:r w:rsidRPr="00DE46F3">
        <w:rPr>
          <w:szCs w:val="17"/>
        </w:rPr>
        <w:tab/>
        <w:t>Ibid.</w:t>
      </w:r>
    </w:p>
  </w:footnote>
  <w:footnote w:id="140">
    <w:p w14:paraId="45FF93FA" w14:textId="18928D9B" w:rsidR="00E7381F" w:rsidRPr="00DE46F3" w:rsidRDefault="00E7381F" w:rsidP="0098356B">
      <w:pPr>
        <w:pStyle w:val="FootnoteText"/>
        <w:tabs>
          <w:tab w:val="clear" w:pos="418"/>
          <w:tab w:val="right" w:pos="1195"/>
          <w:tab w:val="left" w:pos="1267"/>
          <w:tab w:val="left" w:pos="1742"/>
          <w:tab w:val="left" w:pos="2218"/>
          <w:tab w:val="left" w:pos="2693"/>
        </w:tabs>
        <w:ind w:left="1267" w:right="1260" w:hanging="432"/>
        <w:jc w:val="both"/>
        <w:rPr>
          <w:szCs w:val="17"/>
        </w:rPr>
      </w:pPr>
      <w:r w:rsidRPr="00DE46F3">
        <w:rPr>
          <w:szCs w:val="17"/>
        </w:rPr>
        <w:tab/>
      </w:r>
      <w:r w:rsidRPr="00DE46F3">
        <w:rPr>
          <w:rStyle w:val="FootnoteReference"/>
          <w:szCs w:val="17"/>
        </w:rPr>
        <w:footnoteRef/>
      </w:r>
      <w:r w:rsidRPr="00DE46F3">
        <w:rPr>
          <w:szCs w:val="17"/>
        </w:rPr>
        <w:tab/>
        <w:t>2017 Journal of Change in Timor-Leste, UNICEF, Oct. 2018, p.</w:t>
      </w:r>
      <w:r w:rsidR="005B5FE3" w:rsidRPr="00DE46F3">
        <w:rPr>
          <w:szCs w:val="17"/>
        </w:rPr>
        <w:t xml:space="preserve"> </w:t>
      </w:r>
      <w:r w:rsidRPr="00DE46F3">
        <w:rPr>
          <w:szCs w:val="17"/>
        </w:rPr>
        <w:t>3.</w:t>
      </w:r>
    </w:p>
  </w:footnote>
  <w:footnote w:id="141">
    <w:p w14:paraId="78DCB4F5" w14:textId="77777777" w:rsidR="00E7381F" w:rsidRPr="00DE46F3" w:rsidRDefault="00E7381F" w:rsidP="0098356B">
      <w:pPr>
        <w:pStyle w:val="FootnoteText"/>
        <w:tabs>
          <w:tab w:val="clear" w:pos="418"/>
          <w:tab w:val="right" w:pos="1195"/>
          <w:tab w:val="left" w:pos="1267"/>
          <w:tab w:val="left" w:pos="1742"/>
          <w:tab w:val="left" w:pos="2218"/>
          <w:tab w:val="left" w:pos="2693"/>
        </w:tabs>
        <w:ind w:left="1267" w:right="1260" w:hanging="432"/>
        <w:jc w:val="both"/>
        <w:rPr>
          <w:szCs w:val="17"/>
        </w:rPr>
      </w:pPr>
      <w:r w:rsidRPr="00DE46F3">
        <w:rPr>
          <w:szCs w:val="17"/>
        </w:rPr>
        <w:tab/>
      </w:r>
      <w:r w:rsidRPr="00DE46F3">
        <w:rPr>
          <w:rStyle w:val="FootnoteReference"/>
          <w:szCs w:val="17"/>
        </w:rPr>
        <w:footnoteRef/>
      </w:r>
      <w:r w:rsidRPr="00DE46F3">
        <w:rPr>
          <w:szCs w:val="17"/>
        </w:rPr>
        <w:tab/>
        <w:t>Gender thematic report – Timor-Leste Population &amp; Housing Census 2015, General Directorate of Statistics – Ministry of Finance / UNFPA /UN Women, 2018.</w:t>
      </w:r>
    </w:p>
  </w:footnote>
  <w:footnote w:id="142">
    <w:p w14:paraId="461724B9" w14:textId="77777777" w:rsidR="00E7381F" w:rsidRPr="00DE46F3" w:rsidRDefault="00E7381F" w:rsidP="0098356B">
      <w:pPr>
        <w:pStyle w:val="FootnoteText"/>
        <w:tabs>
          <w:tab w:val="clear" w:pos="418"/>
          <w:tab w:val="right" w:pos="1195"/>
          <w:tab w:val="left" w:pos="1267"/>
          <w:tab w:val="left" w:pos="1742"/>
          <w:tab w:val="left" w:pos="2218"/>
          <w:tab w:val="left" w:pos="2693"/>
        </w:tabs>
        <w:ind w:left="1267" w:right="1260" w:hanging="432"/>
        <w:jc w:val="both"/>
        <w:rPr>
          <w:szCs w:val="17"/>
        </w:rPr>
      </w:pPr>
      <w:r w:rsidRPr="00DE46F3">
        <w:rPr>
          <w:szCs w:val="17"/>
        </w:rPr>
        <w:tab/>
      </w:r>
      <w:r w:rsidRPr="00DE46F3">
        <w:rPr>
          <w:rStyle w:val="FootnoteReference"/>
          <w:szCs w:val="17"/>
        </w:rPr>
        <w:footnoteRef/>
      </w:r>
      <w:r w:rsidRPr="00DE46F3">
        <w:rPr>
          <w:szCs w:val="17"/>
        </w:rPr>
        <w:tab/>
        <w:t xml:space="preserve">As well as </w:t>
      </w:r>
      <w:r w:rsidRPr="00DE46F3">
        <w:rPr>
          <w:rFonts w:cs="Calibri"/>
          <w:szCs w:val="17"/>
        </w:rPr>
        <w:t>a cubicle for girls for menstrual hygiene management, and a cubicle for students with physical disabilities in all schools.</w:t>
      </w:r>
    </w:p>
  </w:footnote>
  <w:footnote w:id="143">
    <w:p w14:paraId="00E8A1A8" w14:textId="77777777" w:rsidR="00E7381F" w:rsidRPr="00DE46F3" w:rsidRDefault="00E7381F" w:rsidP="0098356B">
      <w:pPr>
        <w:pStyle w:val="FootnoteText"/>
        <w:tabs>
          <w:tab w:val="clear" w:pos="418"/>
          <w:tab w:val="right" w:pos="1195"/>
          <w:tab w:val="left" w:pos="1267"/>
          <w:tab w:val="left" w:pos="1742"/>
          <w:tab w:val="left" w:pos="2218"/>
          <w:tab w:val="left" w:pos="2693"/>
        </w:tabs>
        <w:ind w:left="1267" w:right="1260" w:hanging="432"/>
        <w:jc w:val="both"/>
        <w:rPr>
          <w:szCs w:val="17"/>
        </w:rPr>
      </w:pPr>
      <w:r w:rsidRPr="00DE46F3">
        <w:rPr>
          <w:szCs w:val="17"/>
        </w:rPr>
        <w:tab/>
      </w:r>
      <w:r w:rsidRPr="00DE46F3">
        <w:rPr>
          <w:rStyle w:val="FootnoteReference"/>
          <w:szCs w:val="17"/>
        </w:rPr>
        <w:footnoteRef/>
      </w:r>
      <w:r w:rsidRPr="00DE46F3">
        <w:rPr>
          <w:szCs w:val="17"/>
        </w:rPr>
        <w:tab/>
        <w:t>Ministry of Education, Youth and Sports, Strategy for WASH in Pre-Schools and Basic Education Schools, Dili: Timor-Leste, 2018b.</w:t>
      </w:r>
    </w:p>
  </w:footnote>
  <w:footnote w:id="144">
    <w:p w14:paraId="778E5257" w14:textId="21E7D490" w:rsidR="00E7381F" w:rsidRPr="00DE46F3" w:rsidRDefault="00E7381F" w:rsidP="0098356B">
      <w:pPr>
        <w:pStyle w:val="FootnoteText"/>
        <w:tabs>
          <w:tab w:val="clear" w:pos="418"/>
          <w:tab w:val="right" w:pos="1195"/>
          <w:tab w:val="left" w:pos="1267"/>
          <w:tab w:val="left" w:pos="1742"/>
          <w:tab w:val="left" w:pos="2218"/>
          <w:tab w:val="left" w:pos="2693"/>
        </w:tabs>
        <w:ind w:left="1267" w:right="1260" w:hanging="432"/>
        <w:jc w:val="both"/>
        <w:rPr>
          <w:szCs w:val="17"/>
        </w:rPr>
      </w:pPr>
      <w:r w:rsidRPr="00DE46F3">
        <w:rPr>
          <w:szCs w:val="17"/>
        </w:rPr>
        <w:tab/>
      </w:r>
      <w:r w:rsidRPr="00DE46F3">
        <w:rPr>
          <w:rStyle w:val="FootnoteReference"/>
          <w:szCs w:val="17"/>
        </w:rPr>
        <w:footnoteRef/>
      </w:r>
      <w:r w:rsidRPr="00DE46F3">
        <w:rPr>
          <w:szCs w:val="17"/>
        </w:rPr>
        <w:tab/>
        <w:t>Ministry of Education, Youth and Sports, Education and Management Information System (EMIS), 2016 – Through: Report on the Implementation of the Sustainable Development Goals: From ashes to reconciliation, reconstruction and sustainable development, Voluntary National Review of Timor-Leste 2019, Government of Timor-Leste, Dili, Timor-Leste, 2019, p.</w:t>
      </w:r>
      <w:r w:rsidR="00AD03F7" w:rsidRPr="00DE46F3">
        <w:rPr>
          <w:szCs w:val="17"/>
        </w:rPr>
        <w:t xml:space="preserve"> </w:t>
      </w:r>
      <w:r w:rsidRPr="00DE46F3">
        <w:rPr>
          <w:szCs w:val="17"/>
        </w:rPr>
        <w:t>85.</w:t>
      </w:r>
    </w:p>
  </w:footnote>
  <w:footnote w:id="145">
    <w:p w14:paraId="29F9C92C" w14:textId="77777777" w:rsidR="00E7381F" w:rsidRPr="00DE46F3" w:rsidRDefault="00E7381F" w:rsidP="0098356B">
      <w:pPr>
        <w:pStyle w:val="FootnoteText"/>
        <w:tabs>
          <w:tab w:val="clear" w:pos="418"/>
          <w:tab w:val="right" w:pos="1195"/>
          <w:tab w:val="left" w:pos="1267"/>
          <w:tab w:val="left" w:pos="1742"/>
          <w:tab w:val="left" w:pos="2218"/>
          <w:tab w:val="left" w:pos="2693"/>
        </w:tabs>
        <w:ind w:left="1267" w:right="1260" w:hanging="432"/>
        <w:jc w:val="both"/>
        <w:rPr>
          <w:szCs w:val="17"/>
        </w:rPr>
      </w:pPr>
      <w:r w:rsidRPr="00DE46F3">
        <w:rPr>
          <w:szCs w:val="17"/>
        </w:rPr>
        <w:tab/>
      </w:r>
      <w:r w:rsidRPr="00DE46F3">
        <w:rPr>
          <w:rStyle w:val="FootnoteReference"/>
          <w:szCs w:val="17"/>
        </w:rPr>
        <w:footnoteRef/>
      </w:r>
      <w:r w:rsidRPr="00DE46F3">
        <w:rPr>
          <w:szCs w:val="17"/>
        </w:rPr>
        <w:tab/>
        <w:t>Ministry of Education’s response to CEDAW questionnaire, Aug. 2019.</w:t>
      </w:r>
    </w:p>
  </w:footnote>
  <w:footnote w:id="146">
    <w:p w14:paraId="6EA75BD9" w14:textId="294F183C" w:rsidR="00E7381F" w:rsidRPr="00DE46F3" w:rsidRDefault="00E7381F" w:rsidP="0098356B">
      <w:pPr>
        <w:pStyle w:val="FootnoteText"/>
        <w:tabs>
          <w:tab w:val="clear" w:pos="418"/>
          <w:tab w:val="right" w:pos="1195"/>
          <w:tab w:val="left" w:pos="1267"/>
          <w:tab w:val="left" w:pos="1742"/>
          <w:tab w:val="left" w:pos="2218"/>
          <w:tab w:val="left" w:pos="2693"/>
        </w:tabs>
        <w:ind w:left="1267" w:right="1260" w:hanging="432"/>
        <w:jc w:val="both"/>
        <w:rPr>
          <w:szCs w:val="17"/>
        </w:rPr>
      </w:pPr>
      <w:r w:rsidRPr="00DE46F3">
        <w:rPr>
          <w:szCs w:val="17"/>
        </w:rPr>
        <w:tab/>
      </w:r>
      <w:r w:rsidRPr="00DE46F3">
        <w:rPr>
          <w:rStyle w:val="FootnoteReference"/>
          <w:szCs w:val="17"/>
        </w:rPr>
        <w:footnoteRef/>
      </w:r>
      <w:r w:rsidRPr="00DE46F3">
        <w:rPr>
          <w:szCs w:val="17"/>
        </w:rPr>
        <w:tab/>
        <w:t xml:space="preserve">Water, Sanitation and Hygiene in Schools: Bringing communities together in Timor-Leste, </w:t>
      </w:r>
      <w:r w:rsidRPr="00DE46F3">
        <w:rPr>
          <w:i/>
          <w:iCs/>
          <w:szCs w:val="17"/>
        </w:rPr>
        <w:t xml:space="preserve">Water, Sanitation and Hygiene in Schools, </w:t>
      </w:r>
      <w:r w:rsidRPr="00DE46F3">
        <w:rPr>
          <w:szCs w:val="17"/>
        </w:rPr>
        <w:t xml:space="preserve">UNICEF Timor-Leste, June 2018 – </w:t>
      </w:r>
      <w:hyperlink r:id="rId7" w:history="1">
        <w:r w:rsidRPr="00DE46F3">
          <w:rPr>
            <w:rStyle w:val="Hyperlink"/>
            <w:szCs w:val="17"/>
          </w:rPr>
          <w:t>https://www.unicef.org/timorleste/stories/water-sanitation-and-hygiene-schools-bringing-communities-together-timor-leste</w:t>
        </w:r>
      </w:hyperlink>
      <w:r w:rsidRPr="00DE46F3">
        <w:rPr>
          <w:szCs w:val="17"/>
        </w:rPr>
        <w:t xml:space="preserve"> [accessed 09/09/19].</w:t>
      </w:r>
    </w:p>
  </w:footnote>
  <w:footnote w:id="147">
    <w:p w14:paraId="257B7CE2" w14:textId="77777777" w:rsidR="00E7381F" w:rsidRPr="00DE46F3" w:rsidRDefault="00E7381F" w:rsidP="0098356B">
      <w:pPr>
        <w:pStyle w:val="FootnoteText"/>
        <w:tabs>
          <w:tab w:val="clear" w:pos="418"/>
          <w:tab w:val="right" w:pos="1195"/>
          <w:tab w:val="left" w:pos="1267"/>
          <w:tab w:val="left" w:pos="1742"/>
          <w:tab w:val="left" w:pos="2218"/>
          <w:tab w:val="left" w:pos="2693"/>
        </w:tabs>
        <w:ind w:left="1267" w:right="1260" w:hanging="432"/>
        <w:jc w:val="both"/>
        <w:rPr>
          <w:szCs w:val="17"/>
        </w:rPr>
      </w:pPr>
      <w:r w:rsidRPr="00DE46F3">
        <w:rPr>
          <w:szCs w:val="17"/>
        </w:rPr>
        <w:tab/>
      </w:r>
      <w:r w:rsidRPr="00DE46F3">
        <w:rPr>
          <w:rStyle w:val="FootnoteReference"/>
          <w:szCs w:val="17"/>
        </w:rPr>
        <w:footnoteRef/>
      </w:r>
      <w:r w:rsidRPr="00DE46F3">
        <w:rPr>
          <w:szCs w:val="17"/>
        </w:rPr>
        <w:tab/>
      </w:r>
      <w:r w:rsidRPr="00DE46F3">
        <w:rPr>
          <w:rFonts w:cs="Calibri"/>
          <w:szCs w:val="17"/>
        </w:rPr>
        <w:t>Including being hit (with hand or object), slapped, kicked, pinched or pulled by a teacher.</w:t>
      </w:r>
    </w:p>
  </w:footnote>
  <w:footnote w:id="148">
    <w:p w14:paraId="0D72B70E" w14:textId="46E9F27C" w:rsidR="00E7381F" w:rsidRPr="00DE46F3" w:rsidRDefault="00E7381F" w:rsidP="0098356B">
      <w:pPr>
        <w:pStyle w:val="FootnoteText"/>
        <w:tabs>
          <w:tab w:val="clear" w:pos="418"/>
          <w:tab w:val="right" w:pos="1195"/>
          <w:tab w:val="left" w:pos="1267"/>
          <w:tab w:val="left" w:pos="1742"/>
          <w:tab w:val="left" w:pos="2218"/>
          <w:tab w:val="left" w:pos="2693"/>
        </w:tabs>
        <w:ind w:left="1267" w:right="1260" w:hanging="432"/>
        <w:jc w:val="both"/>
        <w:rPr>
          <w:szCs w:val="17"/>
        </w:rPr>
      </w:pPr>
      <w:r w:rsidRPr="00DE46F3">
        <w:rPr>
          <w:szCs w:val="17"/>
        </w:rPr>
        <w:tab/>
      </w:r>
      <w:r w:rsidRPr="00DE46F3">
        <w:rPr>
          <w:rStyle w:val="FootnoteReference"/>
          <w:szCs w:val="17"/>
        </w:rPr>
        <w:footnoteRef/>
      </w:r>
      <w:r w:rsidRPr="00DE46F3">
        <w:rPr>
          <w:szCs w:val="17"/>
        </w:rPr>
        <w:tab/>
        <w:t>Study on Violence Against Children In and Around Educational Settings in Timor-Leste, Ministry of Education/UNICEF, 2016, pp.</w:t>
      </w:r>
      <w:r w:rsidR="00AD03F7" w:rsidRPr="00DE46F3">
        <w:rPr>
          <w:szCs w:val="17"/>
        </w:rPr>
        <w:t xml:space="preserve"> </w:t>
      </w:r>
      <w:r w:rsidRPr="00DE46F3">
        <w:rPr>
          <w:szCs w:val="17"/>
        </w:rPr>
        <w:t>40</w:t>
      </w:r>
      <w:r w:rsidR="00AD03F7" w:rsidRPr="00DE46F3">
        <w:rPr>
          <w:szCs w:val="17"/>
        </w:rPr>
        <w:t>–</w:t>
      </w:r>
      <w:r w:rsidRPr="00DE46F3">
        <w:rPr>
          <w:szCs w:val="17"/>
        </w:rPr>
        <w:t>41 / 68.</w:t>
      </w:r>
    </w:p>
  </w:footnote>
  <w:footnote w:id="149">
    <w:p w14:paraId="04E55C78" w14:textId="77777777" w:rsidR="00E7381F" w:rsidRPr="00DE46F3" w:rsidRDefault="00E7381F" w:rsidP="0098356B">
      <w:pPr>
        <w:pStyle w:val="FootnoteText"/>
        <w:tabs>
          <w:tab w:val="clear" w:pos="418"/>
          <w:tab w:val="right" w:pos="1195"/>
          <w:tab w:val="left" w:pos="1267"/>
          <w:tab w:val="left" w:pos="1742"/>
          <w:tab w:val="left" w:pos="2218"/>
          <w:tab w:val="left" w:pos="2693"/>
        </w:tabs>
        <w:ind w:left="1267" w:right="1260" w:hanging="432"/>
        <w:jc w:val="both"/>
        <w:rPr>
          <w:szCs w:val="17"/>
        </w:rPr>
      </w:pPr>
      <w:r w:rsidRPr="00DE46F3">
        <w:rPr>
          <w:szCs w:val="17"/>
        </w:rPr>
        <w:tab/>
      </w:r>
      <w:r w:rsidRPr="00DE46F3">
        <w:rPr>
          <w:rStyle w:val="FootnoteReference"/>
          <w:szCs w:val="17"/>
        </w:rPr>
        <w:footnoteRef/>
      </w:r>
      <w:r w:rsidRPr="00DE46F3">
        <w:rPr>
          <w:szCs w:val="17"/>
        </w:rPr>
        <w:tab/>
        <w:t>National Policy for Inclusive Education, Ministry of Education, 2017.</w:t>
      </w:r>
    </w:p>
  </w:footnote>
  <w:footnote w:id="150">
    <w:p w14:paraId="6E192CE6" w14:textId="77777777" w:rsidR="00E7381F" w:rsidRPr="00DE46F3" w:rsidRDefault="00E7381F" w:rsidP="0098356B">
      <w:pPr>
        <w:pStyle w:val="FootnoteText"/>
        <w:tabs>
          <w:tab w:val="clear" w:pos="418"/>
          <w:tab w:val="right" w:pos="1195"/>
          <w:tab w:val="left" w:pos="1267"/>
          <w:tab w:val="left" w:pos="1742"/>
          <w:tab w:val="left" w:pos="2218"/>
          <w:tab w:val="left" w:pos="2693"/>
        </w:tabs>
        <w:ind w:left="1267" w:right="1260" w:hanging="432"/>
        <w:jc w:val="both"/>
        <w:rPr>
          <w:szCs w:val="17"/>
        </w:rPr>
      </w:pPr>
      <w:r w:rsidRPr="00DE46F3">
        <w:rPr>
          <w:szCs w:val="17"/>
        </w:rPr>
        <w:tab/>
      </w:r>
      <w:r w:rsidRPr="00DE46F3">
        <w:rPr>
          <w:rStyle w:val="FootnoteReference"/>
          <w:szCs w:val="17"/>
        </w:rPr>
        <w:footnoteRef/>
      </w:r>
      <w:r w:rsidRPr="00DE46F3">
        <w:rPr>
          <w:szCs w:val="17"/>
        </w:rPr>
        <w:tab/>
        <w:t>MEJD’s Response to CEDAW Questionnaire, Aug. 2019.</w:t>
      </w:r>
    </w:p>
  </w:footnote>
  <w:footnote w:id="151">
    <w:p w14:paraId="56DC746E" w14:textId="77777777" w:rsidR="00E7381F" w:rsidRPr="00DE46F3" w:rsidRDefault="00E7381F" w:rsidP="0098356B">
      <w:pPr>
        <w:pStyle w:val="FootnoteText"/>
        <w:tabs>
          <w:tab w:val="clear" w:pos="418"/>
          <w:tab w:val="right" w:pos="1195"/>
          <w:tab w:val="left" w:pos="1267"/>
          <w:tab w:val="left" w:pos="1742"/>
          <w:tab w:val="left" w:pos="2218"/>
          <w:tab w:val="left" w:pos="2693"/>
        </w:tabs>
        <w:ind w:left="1267" w:right="1260" w:hanging="432"/>
        <w:jc w:val="both"/>
        <w:rPr>
          <w:szCs w:val="17"/>
        </w:rPr>
      </w:pPr>
      <w:r w:rsidRPr="00DE46F3">
        <w:rPr>
          <w:szCs w:val="17"/>
        </w:rPr>
        <w:tab/>
      </w:r>
      <w:r w:rsidRPr="00DE46F3">
        <w:rPr>
          <w:rStyle w:val="FootnoteReference"/>
          <w:szCs w:val="17"/>
        </w:rPr>
        <w:footnoteRef/>
      </w:r>
      <w:r w:rsidRPr="00DE46F3">
        <w:rPr>
          <w:szCs w:val="17"/>
        </w:rPr>
        <w:tab/>
        <w:t>Safe Cities Scoping Study, UN Women, Dec. 2018.</w:t>
      </w:r>
    </w:p>
  </w:footnote>
  <w:footnote w:id="152">
    <w:p w14:paraId="626B89FC" w14:textId="77777777" w:rsidR="00E7381F" w:rsidRPr="00DE46F3" w:rsidRDefault="00E7381F" w:rsidP="0098356B">
      <w:pPr>
        <w:pStyle w:val="FootnoteText"/>
        <w:tabs>
          <w:tab w:val="clear" w:pos="418"/>
          <w:tab w:val="right" w:pos="1195"/>
          <w:tab w:val="left" w:pos="1267"/>
          <w:tab w:val="left" w:pos="1742"/>
          <w:tab w:val="left" w:pos="2218"/>
          <w:tab w:val="left" w:pos="2693"/>
        </w:tabs>
        <w:ind w:left="1267" w:right="1260" w:hanging="432"/>
        <w:jc w:val="both"/>
        <w:rPr>
          <w:szCs w:val="17"/>
        </w:rPr>
      </w:pPr>
      <w:r w:rsidRPr="00DE46F3">
        <w:rPr>
          <w:szCs w:val="17"/>
        </w:rPr>
        <w:tab/>
      </w:r>
      <w:r w:rsidRPr="00DE46F3">
        <w:rPr>
          <w:rStyle w:val="FootnoteReference"/>
          <w:szCs w:val="17"/>
        </w:rPr>
        <w:footnoteRef/>
      </w:r>
      <w:r w:rsidRPr="00DE46F3">
        <w:rPr>
          <w:szCs w:val="17"/>
        </w:rPr>
        <w:tab/>
      </w:r>
      <w:r w:rsidRPr="00DE46F3">
        <w:rPr>
          <w:rFonts w:cs="Calibri"/>
          <w:szCs w:val="17"/>
        </w:rPr>
        <w:t>Most of these cases were reported by specialized services staff, rather than children, suggesting that cases of rape may be more prevalent than the actual data.</w:t>
      </w:r>
    </w:p>
  </w:footnote>
  <w:footnote w:id="153">
    <w:p w14:paraId="52996336" w14:textId="77777777" w:rsidR="00E7381F" w:rsidRPr="00DE46F3" w:rsidRDefault="00E7381F" w:rsidP="0098356B">
      <w:pPr>
        <w:pStyle w:val="FootnoteText"/>
        <w:tabs>
          <w:tab w:val="clear" w:pos="418"/>
          <w:tab w:val="right" w:pos="1195"/>
          <w:tab w:val="left" w:pos="1267"/>
          <w:tab w:val="left" w:pos="1742"/>
          <w:tab w:val="left" w:pos="2218"/>
          <w:tab w:val="left" w:pos="2693"/>
        </w:tabs>
        <w:ind w:left="1267" w:right="1260" w:hanging="432"/>
        <w:jc w:val="both"/>
        <w:rPr>
          <w:szCs w:val="17"/>
        </w:rPr>
      </w:pPr>
      <w:r w:rsidRPr="00DE46F3">
        <w:rPr>
          <w:szCs w:val="17"/>
        </w:rPr>
        <w:tab/>
      </w:r>
      <w:r w:rsidRPr="00DE46F3">
        <w:rPr>
          <w:rStyle w:val="FootnoteReference"/>
          <w:szCs w:val="17"/>
        </w:rPr>
        <w:footnoteRef/>
      </w:r>
      <w:r w:rsidRPr="00DE46F3">
        <w:rPr>
          <w:szCs w:val="17"/>
        </w:rPr>
        <w:tab/>
      </w:r>
      <w:r w:rsidRPr="00DE46F3">
        <w:rPr>
          <w:rFonts w:cs="Calibri"/>
          <w:szCs w:val="17"/>
        </w:rPr>
        <w:t>More than half (56 per cent) of children who said they had been subject to sexual violence at school, said that they had never told anyone about what had happened.</w:t>
      </w:r>
    </w:p>
  </w:footnote>
  <w:footnote w:id="154">
    <w:p w14:paraId="617FE036" w14:textId="5F601327" w:rsidR="00E7381F" w:rsidRPr="00DE46F3" w:rsidRDefault="00E7381F" w:rsidP="0098356B">
      <w:pPr>
        <w:pStyle w:val="FootnoteText"/>
        <w:tabs>
          <w:tab w:val="clear" w:pos="418"/>
          <w:tab w:val="right" w:pos="1195"/>
          <w:tab w:val="left" w:pos="1267"/>
          <w:tab w:val="left" w:pos="1742"/>
          <w:tab w:val="left" w:pos="2218"/>
          <w:tab w:val="left" w:pos="2693"/>
        </w:tabs>
        <w:ind w:left="1267" w:right="1260" w:hanging="432"/>
        <w:jc w:val="both"/>
        <w:rPr>
          <w:szCs w:val="17"/>
        </w:rPr>
      </w:pPr>
      <w:r w:rsidRPr="00DE46F3">
        <w:rPr>
          <w:szCs w:val="17"/>
        </w:rPr>
        <w:tab/>
      </w:r>
      <w:r w:rsidRPr="00DE46F3">
        <w:rPr>
          <w:rStyle w:val="FootnoteReference"/>
          <w:szCs w:val="17"/>
        </w:rPr>
        <w:footnoteRef/>
      </w:r>
      <w:r w:rsidRPr="00DE46F3">
        <w:rPr>
          <w:szCs w:val="17"/>
        </w:rPr>
        <w:tab/>
        <w:t>Study on Violence Against Children In and Around Educational Settings in Timor-Leste, Ministry of Education/UNICEF, 2016, pp.</w:t>
      </w:r>
      <w:r w:rsidR="00A2287E" w:rsidRPr="00DE46F3">
        <w:rPr>
          <w:szCs w:val="17"/>
        </w:rPr>
        <w:t xml:space="preserve"> </w:t>
      </w:r>
      <w:r w:rsidRPr="00DE46F3">
        <w:rPr>
          <w:szCs w:val="17"/>
        </w:rPr>
        <w:t>57</w:t>
      </w:r>
      <w:r w:rsidR="00A2287E" w:rsidRPr="00DE46F3">
        <w:rPr>
          <w:szCs w:val="17"/>
        </w:rPr>
        <w:t>–</w:t>
      </w:r>
      <w:r w:rsidRPr="00DE46F3">
        <w:rPr>
          <w:szCs w:val="17"/>
        </w:rPr>
        <w:t>58.</w:t>
      </w:r>
    </w:p>
  </w:footnote>
  <w:footnote w:id="155">
    <w:p w14:paraId="01C97068" w14:textId="77777777" w:rsidR="00E7381F" w:rsidRPr="00DE46F3" w:rsidRDefault="00E7381F" w:rsidP="0098356B">
      <w:pPr>
        <w:pStyle w:val="FootnoteText"/>
        <w:tabs>
          <w:tab w:val="clear" w:pos="418"/>
          <w:tab w:val="right" w:pos="1195"/>
          <w:tab w:val="left" w:pos="1267"/>
          <w:tab w:val="left" w:pos="1742"/>
          <w:tab w:val="left" w:pos="2218"/>
          <w:tab w:val="left" w:pos="2693"/>
        </w:tabs>
        <w:ind w:left="1267" w:right="1260" w:hanging="432"/>
        <w:jc w:val="both"/>
        <w:rPr>
          <w:szCs w:val="17"/>
        </w:rPr>
      </w:pPr>
      <w:r w:rsidRPr="00DE46F3">
        <w:rPr>
          <w:szCs w:val="17"/>
        </w:rPr>
        <w:tab/>
      </w:r>
      <w:r w:rsidRPr="00DE46F3">
        <w:rPr>
          <w:rStyle w:val="FootnoteReference"/>
          <w:szCs w:val="17"/>
        </w:rPr>
        <w:footnoteRef/>
      </w:r>
      <w:r w:rsidRPr="00DE46F3">
        <w:rPr>
          <w:szCs w:val="17"/>
        </w:rPr>
        <w:tab/>
      </w:r>
      <w:r w:rsidRPr="00DE46F3">
        <w:rPr>
          <w:rFonts w:cs="Calibri"/>
          <w:szCs w:val="17"/>
        </w:rPr>
        <w:t>Cases may be resolved through an apology by the perpetrator, or the payment of compensation to the victim’s family, or through arranging the marriage of the perpetrator with the victim.</w:t>
      </w:r>
    </w:p>
  </w:footnote>
  <w:footnote w:id="156">
    <w:p w14:paraId="27E9F1C4" w14:textId="77777777" w:rsidR="00E7381F" w:rsidRPr="00DE46F3" w:rsidRDefault="00E7381F" w:rsidP="0098356B">
      <w:pPr>
        <w:pStyle w:val="FootnoteText"/>
        <w:tabs>
          <w:tab w:val="clear" w:pos="418"/>
          <w:tab w:val="right" w:pos="1195"/>
          <w:tab w:val="left" w:pos="1267"/>
          <w:tab w:val="left" w:pos="1742"/>
          <w:tab w:val="left" w:pos="2218"/>
          <w:tab w:val="left" w:pos="2693"/>
        </w:tabs>
        <w:ind w:left="1267" w:right="1260" w:hanging="432"/>
        <w:jc w:val="both"/>
        <w:rPr>
          <w:szCs w:val="17"/>
        </w:rPr>
      </w:pPr>
      <w:r w:rsidRPr="00DE46F3">
        <w:rPr>
          <w:szCs w:val="17"/>
        </w:rPr>
        <w:tab/>
      </w:r>
      <w:r w:rsidRPr="00DE46F3">
        <w:rPr>
          <w:rStyle w:val="FootnoteReference"/>
          <w:szCs w:val="17"/>
        </w:rPr>
        <w:footnoteRef/>
      </w:r>
      <w:r w:rsidRPr="00DE46F3">
        <w:rPr>
          <w:szCs w:val="17"/>
        </w:rPr>
        <w:tab/>
        <w:t>Ibid., pp.64-66.</w:t>
      </w:r>
    </w:p>
  </w:footnote>
  <w:footnote w:id="157">
    <w:p w14:paraId="54ECB795" w14:textId="77777777" w:rsidR="00E7381F" w:rsidRPr="00DE46F3" w:rsidRDefault="00E7381F" w:rsidP="0098356B">
      <w:pPr>
        <w:pStyle w:val="FootnoteText"/>
        <w:tabs>
          <w:tab w:val="clear" w:pos="418"/>
          <w:tab w:val="right" w:pos="1195"/>
          <w:tab w:val="left" w:pos="1267"/>
          <w:tab w:val="left" w:pos="1742"/>
          <w:tab w:val="left" w:pos="2218"/>
          <w:tab w:val="left" w:pos="2693"/>
        </w:tabs>
        <w:ind w:left="1267" w:right="1260" w:hanging="432"/>
        <w:jc w:val="both"/>
        <w:rPr>
          <w:szCs w:val="17"/>
        </w:rPr>
      </w:pPr>
      <w:r w:rsidRPr="00DE46F3">
        <w:rPr>
          <w:szCs w:val="17"/>
        </w:rPr>
        <w:tab/>
      </w:r>
      <w:r w:rsidRPr="00DE46F3">
        <w:rPr>
          <w:rStyle w:val="FootnoteReference"/>
          <w:szCs w:val="17"/>
        </w:rPr>
        <w:footnoteRef/>
      </w:r>
      <w:r w:rsidRPr="00DE46F3">
        <w:rPr>
          <w:szCs w:val="17"/>
        </w:rPr>
        <w:tab/>
        <w:t>MEJD’s Response to CEDAW Questionnaire, Aug. 2019.</w:t>
      </w:r>
    </w:p>
  </w:footnote>
  <w:footnote w:id="158">
    <w:p w14:paraId="184BB5A2" w14:textId="77777777" w:rsidR="00E7381F" w:rsidRPr="00DE46F3" w:rsidRDefault="00E7381F" w:rsidP="0098356B">
      <w:pPr>
        <w:pStyle w:val="FootnoteText"/>
        <w:tabs>
          <w:tab w:val="clear" w:pos="418"/>
          <w:tab w:val="right" w:pos="1195"/>
          <w:tab w:val="left" w:pos="1267"/>
          <w:tab w:val="left" w:pos="1742"/>
          <w:tab w:val="left" w:pos="2218"/>
          <w:tab w:val="left" w:pos="2693"/>
        </w:tabs>
        <w:ind w:left="1267" w:right="1260" w:hanging="432"/>
        <w:jc w:val="both"/>
        <w:rPr>
          <w:szCs w:val="17"/>
        </w:rPr>
      </w:pPr>
      <w:r w:rsidRPr="00DE46F3">
        <w:rPr>
          <w:szCs w:val="17"/>
        </w:rPr>
        <w:tab/>
      </w:r>
      <w:r w:rsidRPr="00DE46F3">
        <w:rPr>
          <w:rStyle w:val="FootnoteReference"/>
          <w:szCs w:val="17"/>
        </w:rPr>
        <w:footnoteRef/>
      </w:r>
      <w:r w:rsidRPr="00DE46F3">
        <w:rPr>
          <w:szCs w:val="17"/>
        </w:rPr>
        <w:tab/>
        <w:t>2018 and 2019 General Inspectorate of Education data, Ministry of Education, Youth and Sport, 2019.</w:t>
      </w:r>
    </w:p>
  </w:footnote>
  <w:footnote w:id="159">
    <w:p w14:paraId="2B83CDE9" w14:textId="77777777" w:rsidR="00E7381F" w:rsidRPr="00DE46F3" w:rsidRDefault="00E7381F" w:rsidP="0098356B">
      <w:pPr>
        <w:pStyle w:val="FootnoteText"/>
        <w:tabs>
          <w:tab w:val="clear" w:pos="418"/>
          <w:tab w:val="right" w:pos="1195"/>
          <w:tab w:val="left" w:pos="1267"/>
          <w:tab w:val="left" w:pos="1742"/>
          <w:tab w:val="left" w:pos="2218"/>
          <w:tab w:val="left" w:pos="2693"/>
        </w:tabs>
        <w:ind w:left="1267" w:right="1260" w:hanging="432"/>
        <w:jc w:val="both"/>
        <w:rPr>
          <w:szCs w:val="17"/>
        </w:rPr>
      </w:pPr>
      <w:r w:rsidRPr="00DE46F3">
        <w:rPr>
          <w:szCs w:val="17"/>
        </w:rPr>
        <w:tab/>
      </w:r>
      <w:r w:rsidRPr="00DE46F3">
        <w:rPr>
          <w:rStyle w:val="FootnoteReference"/>
          <w:szCs w:val="17"/>
        </w:rPr>
        <w:footnoteRef/>
      </w:r>
      <w:r w:rsidRPr="00DE46F3">
        <w:rPr>
          <w:szCs w:val="17"/>
        </w:rPr>
        <w:tab/>
        <w:t>National Policy for Inclusive Education, Ministry of Education, April 2017.</w:t>
      </w:r>
    </w:p>
  </w:footnote>
  <w:footnote w:id="160">
    <w:p w14:paraId="7A7F371D" w14:textId="77777777" w:rsidR="00E7381F" w:rsidRPr="00DE46F3" w:rsidRDefault="00E7381F" w:rsidP="0098356B">
      <w:pPr>
        <w:pStyle w:val="FootnoteText"/>
        <w:tabs>
          <w:tab w:val="clear" w:pos="418"/>
          <w:tab w:val="right" w:pos="1195"/>
          <w:tab w:val="left" w:pos="1267"/>
          <w:tab w:val="left" w:pos="1742"/>
          <w:tab w:val="left" w:pos="2218"/>
          <w:tab w:val="left" w:pos="2693"/>
        </w:tabs>
        <w:ind w:left="1267" w:right="1260" w:hanging="432"/>
        <w:jc w:val="both"/>
        <w:rPr>
          <w:szCs w:val="17"/>
        </w:rPr>
      </w:pPr>
      <w:r w:rsidRPr="00DE46F3">
        <w:rPr>
          <w:szCs w:val="17"/>
        </w:rPr>
        <w:tab/>
      </w:r>
      <w:r w:rsidRPr="00DE46F3">
        <w:rPr>
          <w:rStyle w:val="FootnoteReference"/>
          <w:szCs w:val="17"/>
        </w:rPr>
        <w:footnoteRef/>
      </w:r>
      <w:r w:rsidRPr="00DE46F3">
        <w:rPr>
          <w:szCs w:val="17"/>
        </w:rPr>
        <w:tab/>
        <w:t>MEJD’s response to CEDAW Questionnaire, Aug. 2019.</w:t>
      </w:r>
    </w:p>
  </w:footnote>
  <w:footnote w:id="161">
    <w:p w14:paraId="7D723AB5" w14:textId="67C56071" w:rsidR="00E7381F" w:rsidRPr="00DE46F3" w:rsidRDefault="00E7381F" w:rsidP="0098356B">
      <w:pPr>
        <w:pStyle w:val="FootnoteText"/>
        <w:tabs>
          <w:tab w:val="clear" w:pos="418"/>
          <w:tab w:val="right" w:pos="1195"/>
          <w:tab w:val="left" w:pos="1267"/>
          <w:tab w:val="left" w:pos="1742"/>
          <w:tab w:val="left" w:pos="2218"/>
          <w:tab w:val="left" w:pos="2693"/>
        </w:tabs>
        <w:ind w:left="1267" w:right="1260" w:hanging="432"/>
        <w:jc w:val="both"/>
        <w:rPr>
          <w:szCs w:val="17"/>
        </w:rPr>
      </w:pPr>
      <w:r w:rsidRPr="00DE46F3">
        <w:rPr>
          <w:szCs w:val="17"/>
        </w:rPr>
        <w:tab/>
      </w:r>
      <w:r w:rsidRPr="00DE46F3">
        <w:rPr>
          <w:rStyle w:val="FootnoteReference"/>
          <w:szCs w:val="17"/>
        </w:rPr>
        <w:footnoteRef/>
      </w:r>
      <w:r w:rsidRPr="00DE46F3">
        <w:rPr>
          <w:szCs w:val="17"/>
        </w:rPr>
        <w:tab/>
        <w:t>‘</w:t>
      </w:r>
      <w:hyperlink r:id="rId8" w:history="1">
        <w:r w:rsidRPr="00DE46F3">
          <w:rPr>
            <w:rStyle w:val="Hyperlink"/>
            <w:szCs w:val="17"/>
          </w:rPr>
          <w:t>MEJD Fasilita Estudante Feto Fila Hikas Ba Eskola</w:t>
        </w:r>
      </w:hyperlink>
      <w:r w:rsidRPr="00DE46F3">
        <w:rPr>
          <w:szCs w:val="17"/>
        </w:rPr>
        <w:t xml:space="preserve">’, The Dili Weekly, 30 July 2019 </w:t>
      </w:r>
      <w:r w:rsidR="00A2287E" w:rsidRPr="00DE46F3">
        <w:rPr>
          <w:szCs w:val="17"/>
        </w:rPr>
        <w:t>–</w:t>
      </w:r>
      <w:r w:rsidRPr="00DE46F3">
        <w:rPr>
          <w:szCs w:val="17"/>
        </w:rPr>
        <w:t xml:space="preserve"> </w:t>
      </w:r>
      <w:hyperlink r:id="rId9" w:history="1">
        <w:r w:rsidRPr="00DE46F3">
          <w:rPr>
            <w:rStyle w:val="Hyperlink"/>
            <w:szCs w:val="17"/>
          </w:rPr>
          <w:t>https://www.thediliweekly.com/tl/notisias/17238-mejd-fasilita-estudante-feto-fila-hikas-ba-eskola</w:t>
        </w:r>
      </w:hyperlink>
      <w:r w:rsidRPr="00DE46F3">
        <w:rPr>
          <w:szCs w:val="17"/>
        </w:rPr>
        <w:t xml:space="preserve"> [accessed on the 10/09/2019].</w:t>
      </w:r>
    </w:p>
  </w:footnote>
  <w:footnote w:id="162">
    <w:p w14:paraId="2243369B" w14:textId="77777777" w:rsidR="00E7381F" w:rsidRPr="00DE46F3" w:rsidRDefault="00E7381F" w:rsidP="0098356B">
      <w:pPr>
        <w:pStyle w:val="FootnoteText"/>
        <w:tabs>
          <w:tab w:val="clear" w:pos="418"/>
          <w:tab w:val="right" w:pos="1195"/>
          <w:tab w:val="left" w:pos="1267"/>
          <w:tab w:val="left" w:pos="1742"/>
          <w:tab w:val="left" w:pos="2218"/>
          <w:tab w:val="left" w:pos="2693"/>
        </w:tabs>
        <w:ind w:left="1267" w:right="1260" w:hanging="432"/>
        <w:jc w:val="both"/>
        <w:rPr>
          <w:szCs w:val="17"/>
        </w:rPr>
      </w:pPr>
      <w:r w:rsidRPr="00DE46F3">
        <w:rPr>
          <w:szCs w:val="17"/>
        </w:rPr>
        <w:tab/>
      </w:r>
      <w:r w:rsidRPr="00DE46F3">
        <w:rPr>
          <w:rStyle w:val="FootnoteReference"/>
          <w:szCs w:val="17"/>
        </w:rPr>
        <w:footnoteRef/>
      </w:r>
      <w:r w:rsidRPr="00DE46F3">
        <w:rPr>
          <w:szCs w:val="17"/>
        </w:rPr>
        <w:tab/>
        <w:t>Inputs from the Consultative Workshop, 17</w:t>
      </w:r>
      <w:r w:rsidRPr="00A453DF">
        <w:rPr>
          <w:szCs w:val="17"/>
        </w:rPr>
        <w:t>th</w:t>
      </w:r>
      <w:r w:rsidRPr="00DE46F3">
        <w:rPr>
          <w:szCs w:val="17"/>
        </w:rPr>
        <w:t>/18</w:t>
      </w:r>
      <w:r w:rsidRPr="00A453DF">
        <w:rPr>
          <w:szCs w:val="17"/>
        </w:rPr>
        <w:t>th</w:t>
      </w:r>
      <w:r w:rsidRPr="00DE46F3">
        <w:rPr>
          <w:szCs w:val="17"/>
        </w:rPr>
        <w:t xml:space="preserve"> October 2019.</w:t>
      </w:r>
    </w:p>
  </w:footnote>
  <w:footnote w:id="163">
    <w:p w14:paraId="07928DBC" w14:textId="77777777" w:rsidR="00E7381F" w:rsidRPr="00DE46F3" w:rsidRDefault="00E7381F" w:rsidP="0098356B">
      <w:pPr>
        <w:pStyle w:val="FootnoteText"/>
        <w:tabs>
          <w:tab w:val="clear" w:pos="418"/>
          <w:tab w:val="right" w:pos="1195"/>
          <w:tab w:val="left" w:pos="1267"/>
          <w:tab w:val="left" w:pos="1742"/>
          <w:tab w:val="left" w:pos="2218"/>
          <w:tab w:val="left" w:pos="2693"/>
        </w:tabs>
        <w:ind w:left="1267" w:right="1260" w:hanging="432"/>
        <w:jc w:val="both"/>
        <w:rPr>
          <w:szCs w:val="17"/>
        </w:rPr>
      </w:pPr>
      <w:r w:rsidRPr="00DE46F3">
        <w:rPr>
          <w:szCs w:val="17"/>
        </w:rPr>
        <w:tab/>
      </w:r>
      <w:r w:rsidRPr="00DE46F3">
        <w:rPr>
          <w:rStyle w:val="FootnoteReference"/>
          <w:szCs w:val="17"/>
        </w:rPr>
        <w:footnoteRef/>
      </w:r>
      <w:r w:rsidRPr="00DE46F3">
        <w:rPr>
          <w:szCs w:val="17"/>
        </w:rPr>
        <w:tab/>
        <w:t>Report on the Implementation of the Sustainable Development Goals: From ashes to reconciliation, reconstruction and sustainable development, Voluntary National Review of Timor-Leste 2019, Government of Timor-Leste, Dili, Timor-Leste, 2019, p.54.</w:t>
      </w:r>
    </w:p>
  </w:footnote>
  <w:footnote w:id="164">
    <w:p w14:paraId="1C542C55" w14:textId="45DDD24C" w:rsidR="00E7381F" w:rsidRPr="00DE46F3" w:rsidRDefault="00E7381F" w:rsidP="0098356B">
      <w:pPr>
        <w:pStyle w:val="FootnoteText"/>
        <w:tabs>
          <w:tab w:val="clear" w:pos="418"/>
          <w:tab w:val="right" w:pos="1195"/>
          <w:tab w:val="left" w:pos="1267"/>
          <w:tab w:val="left" w:pos="1742"/>
          <w:tab w:val="left" w:pos="2218"/>
          <w:tab w:val="left" w:pos="2693"/>
        </w:tabs>
        <w:ind w:left="1267" w:right="1260" w:hanging="432"/>
        <w:jc w:val="both"/>
        <w:rPr>
          <w:szCs w:val="17"/>
        </w:rPr>
      </w:pPr>
      <w:r w:rsidRPr="00DE46F3">
        <w:rPr>
          <w:szCs w:val="17"/>
        </w:rPr>
        <w:tab/>
      </w:r>
      <w:r w:rsidRPr="00DE46F3">
        <w:rPr>
          <w:rStyle w:val="FootnoteReference"/>
          <w:szCs w:val="17"/>
        </w:rPr>
        <w:footnoteRef/>
      </w:r>
      <w:r w:rsidRPr="00DE46F3">
        <w:rPr>
          <w:szCs w:val="17"/>
        </w:rPr>
        <w:tab/>
      </w:r>
      <w:r w:rsidRPr="00DE46F3">
        <w:rPr>
          <w:szCs w:val="17"/>
          <w:lang w:eastAsia="fr-FR"/>
        </w:rPr>
        <w:t>Timor-Leste’s Beijing Declaration and Platform for Action (Bpfa) National Review and Appraisal Report (2014</w:t>
      </w:r>
      <w:r w:rsidR="00A2287E" w:rsidRPr="00DE46F3">
        <w:rPr>
          <w:szCs w:val="17"/>
        </w:rPr>
        <w:t>–</w:t>
      </w:r>
      <w:r w:rsidRPr="00DE46F3">
        <w:rPr>
          <w:szCs w:val="17"/>
          <w:lang w:eastAsia="fr-FR"/>
        </w:rPr>
        <w:t>2018), Democratic Republic of Timor-Leste, Secretariat of State of Equality and Inclusion (SEII), 2019, p.</w:t>
      </w:r>
      <w:r w:rsidR="005B5FE3" w:rsidRPr="00DE46F3">
        <w:rPr>
          <w:szCs w:val="17"/>
          <w:lang w:eastAsia="fr-FR"/>
        </w:rPr>
        <w:t xml:space="preserve"> </w:t>
      </w:r>
      <w:r w:rsidRPr="00DE46F3">
        <w:rPr>
          <w:szCs w:val="17"/>
          <w:lang w:eastAsia="fr-FR"/>
        </w:rPr>
        <w:t xml:space="preserve">22; </w:t>
      </w:r>
      <w:r w:rsidRPr="00DE46F3">
        <w:rPr>
          <w:szCs w:val="17"/>
        </w:rPr>
        <w:t xml:space="preserve">Report on the Implementation of the Sustainable Development Goals: From ashes to reconciliation, reconstruction and sustainable development, Voluntary National Review of Timor-Leste 2019, Government of Timor-Leste, Dili, Timor-Leste, 2019, </w:t>
      </w:r>
      <w:r w:rsidRPr="00DE46F3">
        <w:rPr>
          <w:szCs w:val="17"/>
          <w:lang w:eastAsia="fr-FR"/>
        </w:rPr>
        <w:t>p.</w:t>
      </w:r>
      <w:r w:rsidR="00A2287E" w:rsidRPr="00DE46F3">
        <w:rPr>
          <w:szCs w:val="17"/>
          <w:lang w:eastAsia="fr-FR"/>
        </w:rPr>
        <w:t> </w:t>
      </w:r>
      <w:r w:rsidRPr="00DE46F3">
        <w:rPr>
          <w:szCs w:val="17"/>
          <w:lang w:eastAsia="fr-FR"/>
        </w:rPr>
        <w:t>56.</w:t>
      </w:r>
    </w:p>
  </w:footnote>
  <w:footnote w:id="165">
    <w:p w14:paraId="643573D8" w14:textId="21BFC3A2" w:rsidR="00E7381F" w:rsidRPr="00DE46F3" w:rsidRDefault="00E7381F" w:rsidP="0098356B">
      <w:pPr>
        <w:pStyle w:val="FootnoteText"/>
        <w:tabs>
          <w:tab w:val="clear" w:pos="418"/>
          <w:tab w:val="right" w:pos="1195"/>
          <w:tab w:val="left" w:pos="1267"/>
          <w:tab w:val="left" w:pos="1742"/>
          <w:tab w:val="left" w:pos="2218"/>
          <w:tab w:val="left" w:pos="2693"/>
        </w:tabs>
        <w:ind w:left="1267" w:right="1260" w:hanging="432"/>
        <w:jc w:val="both"/>
        <w:rPr>
          <w:szCs w:val="17"/>
        </w:rPr>
      </w:pPr>
      <w:r w:rsidRPr="00DE46F3">
        <w:rPr>
          <w:szCs w:val="17"/>
        </w:rPr>
        <w:tab/>
      </w:r>
      <w:r w:rsidRPr="00DE46F3">
        <w:rPr>
          <w:rStyle w:val="FootnoteReference"/>
          <w:szCs w:val="17"/>
        </w:rPr>
        <w:footnoteRef/>
      </w:r>
      <w:r w:rsidRPr="00DE46F3">
        <w:rPr>
          <w:szCs w:val="17"/>
        </w:rPr>
        <w:tab/>
        <w:t>2017 Country Assessment on Sexual Reproductive Health Rights (SRHR) in Timor-Leste, Provedoria dos Direitos Humanos e Justiça (PDHJ), 2017, pp.</w:t>
      </w:r>
      <w:r w:rsidR="00C169FA" w:rsidRPr="00DE46F3">
        <w:rPr>
          <w:szCs w:val="17"/>
        </w:rPr>
        <w:t xml:space="preserve"> </w:t>
      </w:r>
      <w:r w:rsidRPr="00DE46F3">
        <w:rPr>
          <w:szCs w:val="17"/>
        </w:rPr>
        <w:t>18</w:t>
      </w:r>
      <w:r w:rsidR="00C169FA" w:rsidRPr="00DE46F3">
        <w:rPr>
          <w:szCs w:val="17"/>
        </w:rPr>
        <w:t>–</w:t>
      </w:r>
      <w:r w:rsidRPr="00DE46F3">
        <w:rPr>
          <w:szCs w:val="17"/>
        </w:rPr>
        <w:t>19.</w:t>
      </w:r>
    </w:p>
  </w:footnote>
  <w:footnote w:id="166">
    <w:p w14:paraId="71AA23CC" w14:textId="365498CA" w:rsidR="00E7381F" w:rsidRPr="00DE46F3" w:rsidRDefault="00E7381F" w:rsidP="0098356B">
      <w:pPr>
        <w:pStyle w:val="FootnoteText"/>
        <w:tabs>
          <w:tab w:val="clear" w:pos="418"/>
          <w:tab w:val="right" w:pos="1195"/>
          <w:tab w:val="left" w:pos="1267"/>
          <w:tab w:val="left" w:pos="1742"/>
          <w:tab w:val="left" w:pos="2218"/>
          <w:tab w:val="left" w:pos="2693"/>
        </w:tabs>
        <w:ind w:left="1267" w:right="1260" w:hanging="432"/>
        <w:jc w:val="both"/>
        <w:rPr>
          <w:szCs w:val="17"/>
        </w:rPr>
      </w:pPr>
      <w:r w:rsidRPr="00DE46F3">
        <w:rPr>
          <w:szCs w:val="17"/>
        </w:rPr>
        <w:tab/>
      </w:r>
      <w:r w:rsidRPr="00DE46F3">
        <w:rPr>
          <w:rStyle w:val="FootnoteReference"/>
          <w:szCs w:val="17"/>
        </w:rPr>
        <w:footnoteRef/>
      </w:r>
      <w:r w:rsidRPr="00DE46F3">
        <w:rPr>
          <w:szCs w:val="17"/>
        </w:rPr>
        <w:tab/>
        <w:t xml:space="preserve">See for instance: Dr. D. Cummins and Ms. Z. Fonseca, Teenage Pregnancy and Early Marriage </w:t>
      </w:r>
      <w:r w:rsidR="00A2287E" w:rsidRPr="00DE46F3">
        <w:rPr>
          <w:szCs w:val="17"/>
        </w:rPr>
        <w:t>–</w:t>
      </w:r>
      <w:r w:rsidRPr="00DE46F3">
        <w:rPr>
          <w:szCs w:val="17"/>
        </w:rPr>
        <w:t xml:space="preserve"> </w:t>
      </w:r>
      <w:r w:rsidRPr="00DE46F3">
        <w:rPr>
          <w:i/>
          <w:iCs/>
          <w:szCs w:val="17"/>
        </w:rPr>
        <w:t xml:space="preserve">Research on the Decision-Making Pathways of Young Women in the Municipalities of Covalima, Aileu and Dili, </w:t>
      </w:r>
      <w:r w:rsidRPr="00DE46F3">
        <w:rPr>
          <w:szCs w:val="17"/>
        </w:rPr>
        <w:t>UNFPA Timor-Leste, May 2017, p.</w:t>
      </w:r>
      <w:r w:rsidR="00C169FA" w:rsidRPr="00DE46F3">
        <w:rPr>
          <w:szCs w:val="17"/>
        </w:rPr>
        <w:t xml:space="preserve"> </w:t>
      </w:r>
      <w:r w:rsidRPr="00DE46F3">
        <w:rPr>
          <w:szCs w:val="17"/>
        </w:rPr>
        <w:t>16.; ‘</w:t>
      </w:r>
      <w:hyperlink r:id="rId10" w:history="1">
        <w:r w:rsidRPr="00DE46F3">
          <w:rPr>
            <w:rStyle w:val="Hyperlink"/>
            <w:szCs w:val="17"/>
          </w:rPr>
          <w:t>Fifity students receive TOT training on reproductive and sexual health</w:t>
        </w:r>
      </w:hyperlink>
      <w:r w:rsidRPr="00DE46F3">
        <w:rPr>
          <w:szCs w:val="17"/>
        </w:rPr>
        <w:t xml:space="preserve">’, The Dili Weekly, 27 Oct. 2017 </w:t>
      </w:r>
      <w:r w:rsidR="00A2287E" w:rsidRPr="00DE46F3">
        <w:rPr>
          <w:szCs w:val="17"/>
        </w:rPr>
        <w:t>–</w:t>
      </w:r>
      <w:r w:rsidRPr="00DE46F3">
        <w:rPr>
          <w:szCs w:val="17"/>
        </w:rPr>
        <w:t xml:space="preserve"> </w:t>
      </w:r>
      <w:hyperlink r:id="rId11" w:history="1">
        <w:r w:rsidRPr="00DE46F3">
          <w:rPr>
            <w:rStyle w:val="Hyperlink"/>
            <w:szCs w:val="17"/>
          </w:rPr>
          <w:t>https://www.thediliweekly.com/en/news/education/14842-fifity-students-receive-tot-training-on-reproductive-and-sexual-health</w:t>
        </w:r>
      </w:hyperlink>
      <w:r w:rsidRPr="00DE46F3">
        <w:rPr>
          <w:rStyle w:val="Hyperlink"/>
          <w:szCs w:val="17"/>
        </w:rPr>
        <w:t xml:space="preserve"> </w:t>
      </w:r>
      <w:r w:rsidRPr="00DE46F3">
        <w:rPr>
          <w:szCs w:val="17"/>
        </w:rPr>
        <w:t>[accessed on the 10/09/19].</w:t>
      </w:r>
    </w:p>
  </w:footnote>
  <w:footnote w:id="167">
    <w:p w14:paraId="272C2C64" w14:textId="63258C96" w:rsidR="00E7381F" w:rsidRPr="00DE46F3" w:rsidRDefault="00E7381F" w:rsidP="0098356B">
      <w:pPr>
        <w:pStyle w:val="FootnoteText"/>
        <w:tabs>
          <w:tab w:val="clear" w:pos="418"/>
          <w:tab w:val="right" w:pos="1195"/>
          <w:tab w:val="left" w:pos="1267"/>
          <w:tab w:val="left" w:pos="1742"/>
          <w:tab w:val="left" w:pos="2218"/>
          <w:tab w:val="left" w:pos="2693"/>
        </w:tabs>
        <w:ind w:left="1267" w:right="1260" w:hanging="432"/>
        <w:jc w:val="both"/>
        <w:rPr>
          <w:szCs w:val="17"/>
        </w:rPr>
      </w:pPr>
      <w:r w:rsidRPr="00DE46F3">
        <w:rPr>
          <w:szCs w:val="17"/>
        </w:rPr>
        <w:tab/>
      </w:r>
      <w:r w:rsidRPr="00DE46F3">
        <w:rPr>
          <w:rStyle w:val="FootnoteReference"/>
          <w:szCs w:val="17"/>
        </w:rPr>
        <w:footnoteRef/>
      </w:r>
      <w:r w:rsidRPr="00DE46F3">
        <w:rPr>
          <w:szCs w:val="17"/>
        </w:rPr>
        <w:tab/>
        <w:t xml:space="preserve">Draft manual on Healthy Relationships field tested, UNFPA, 27 October 2017 </w:t>
      </w:r>
      <w:r w:rsidR="00A2287E" w:rsidRPr="00DE46F3">
        <w:rPr>
          <w:szCs w:val="17"/>
        </w:rPr>
        <w:t>–</w:t>
      </w:r>
      <w:r w:rsidRPr="00DE46F3">
        <w:rPr>
          <w:szCs w:val="17"/>
        </w:rPr>
        <w:t xml:space="preserve"> </w:t>
      </w:r>
      <w:hyperlink r:id="rId12" w:history="1">
        <w:r w:rsidRPr="00DE46F3">
          <w:rPr>
            <w:rStyle w:val="Hyperlink"/>
            <w:szCs w:val="17"/>
          </w:rPr>
          <w:t>https://timor-leste.unfpa.org/en/news/draft-manual-healthy-relationships-field-tested</w:t>
        </w:r>
      </w:hyperlink>
      <w:r w:rsidRPr="00DE46F3">
        <w:rPr>
          <w:szCs w:val="17"/>
        </w:rPr>
        <w:t xml:space="preserve"> [accessed on the 10/09/2019]; Official Opening of Training of Trainers at the National Institute for Training of Teachers and Education Professionals (INFORDEPE), UNFPA, 22 April 2019 </w:t>
      </w:r>
      <w:r w:rsidR="00A2287E" w:rsidRPr="00DE46F3">
        <w:rPr>
          <w:szCs w:val="17"/>
        </w:rPr>
        <w:t>–</w:t>
      </w:r>
      <w:r w:rsidRPr="00DE46F3">
        <w:rPr>
          <w:szCs w:val="17"/>
          <w:shd w:val="clear" w:color="auto" w:fill="FFFFFF"/>
        </w:rPr>
        <w:t xml:space="preserve"> </w:t>
      </w:r>
      <w:hyperlink r:id="rId13" w:history="1">
        <w:r w:rsidRPr="00DE46F3">
          <w:rPr>
            <w:rStyle w:val="Hyperlink"/>
            <w:szCs w:val="17"/>
          </w:rPr>
          <w:t>https://timor-leste.unfpa.org/en/news/official-opening-training-trainers-national-institute-training-teachers-and-education</w:t>
        </w:r>
      </w:hyperlink>
      <w:r w:rsidRPr="00DE46F3">
        <w:rPr>
          <w:szCs w:val="17"/>
        </w:rPr>
        <w:t xml:space="preserve"> [accessed on the 10/09/2019].</w:t>
      </w:r>
    </w:p>
  </w:footnote>
  <w:footnote w:id="168">
    <w:p w14:paraId="64AFC5BA" w14:textId="77777777" w:rsidR="00E7381F" w:rsidRPr="00DE46F3" w:rsidRDefault="00E7381F" w:rsidP="0098356B">
      <w:pPr>
        <w:pStyle w:val="FootnoteText"/>
        <w:tabs>
          <w:tab w:val="clear" w:pos="418"/>
          <w:tab w:val="right" w:pos="1195"/>
          <w:tab w:val="left" w:pos="1267"/>
          <w:tab w:val="left" w:pos="1742"/>
          <w:tab w:val="left" w:pos="2218"/>
          <w:tab w:val="left" w:pos="2693"/>
        </w:tabs>
        <w:ind w:left="1267" w:right="1260" w:hanging="432"/>
        <w:jc w:val="both"/>
        <w:rPr>
          <w:szCs w:val="17"/>
        </w:rPr>
      </w:pPr>
      <w:r w:rsidRPr="00DE46F3">
        <w:rPr>
          <w:szCs w:val="17"/>
        </w:rPr>
        <w:tab/>
      </w:r>
      <w:r w:rsidRPr="00DE46F3">
        <w:rPr>
          <w:rStyle w:val="FootnoteReference"/>
          <w:szCs w:val="17"/>
        </w:rPr>
        <w:footnoteRef/>
      </w:r>
      <w:r w:rsidRPr="00DE46F3">
        <w:rPr>
          <w:szCs w:val="17"/>
        </w:rPr>
        <w:tab/>
        <w:t>Inputs from the Consultative Workshop, 17th/18th October 2019.</w:t>
      </w:r>
    </w:p>
  </w:footnote>
  <w:footnote w:id="169">
    <w:p w14:paraId="464162C3" w14:textId="77777777" w:rsidR="00E7381F" w:rsidRPr="00DE46F3" w:rsidRDefault="00E7381F" w:rsidP="0098356B">
      <w:pPr>
        <w:pStyle w:val="FootnoteText"/>
        <w:tabs>
          <w:tab w:val="clear" w:pos="418"/>
          <w:tab w:val="right" w:pos="1195"/>
          <w:tab w:val="left" w:pos="1267"/>
          <w:tab w:val="left" w:pos="1742"/>
          <w:tab w:val="left" w:pos="2218"/>
          <w:tab w:val="left" w:pos="2693"/>
        </w:tabs>
        <w:ind w:left="1267" w:right="1260" w:hanging="432"/>
        <w:jc w:val="both"/>
        <w:rPr>
          <w:szCs w:val="17"/>
        </w:rPr>
      </w:pPr>
      <w:r w:rsidRPr="00DE46F3">
        <w:rPr>
          <w:szCs w:val="17"/>
        </w:rPr>
        <w:tab/>
      </w:r>
      <w:r w:rsidRPr="00DE46F3">
        <w:rPr>
          <w:rStyle w:val="FootnoteReference"/>
          <w:szCs w:val="17"/>
        </w:rPr>
        <w:footnoteRef/>
      </w:r>
      <w:r w:rsidRPr="00DE46F3">
        <w:rPr>
          <w:szCs w:val="17"/>
        </w:rPr>
        <w:tab/>
        <w:t>Gender thematic report – Timor-Leste Population &amp; Housing Census 2015, General Directorate of Statistics – Ministry of Finance / UNFPA /UN Women, 2018, p. 34.</w:t>
      </w:r>
    </w:p>
  </w:footnote>
  <w:footnote w:id="170">
    <w:p w14:paraId="5576A5C9" w14:textId="77777777" w:rsidR="00E7381F" w:rsidRPr="00DE46F3" w:rsidRDefault="00E7381F" w:rsidP="0098356B">
      <w:pPr>
        <w:pStyle w:val="FootnoteText"/>
        <w:tabs>
          <w:tab w:val="clear" w:pos="418"/>
          <w:tab w:val="right" w:pos="1195"/>
          <w:tab w:val="left" w:pos="1267"/>
          <w:tab w:val="left" w:pos="1742"/>
          <w:tab w:val="left" w:pos="2218"/>
          <w:tab w:val="left" w:pos="2693"/>
        </w:tabs>
        <w:ind w:left="1267" w:right="1260" w:hanging="432"/>
        <w:jc w:val="both"/>
        <w:rPr>
          <w:szCs w:val="17"/>
        </w:rPr>
      </w:pPr>
      <w:r w:rsidRPr="00DE46F3">
        <w:rPr>
          <w:szCs w:val="17"/>
        </w:rPr>
        <w:tab/>
      </w:r>
      <w:r w:rsidRPr="00DE46F3">
        <w:rPr>
          <w:rStyle w:val="FootnoteReference"/>
          <w:szCs w:val="17"/>
        </w:rPr>
        <w:footnoteRef/>
      </w:r>
      <w:r w:rsidRPr="00DE46F3">
        <w:rPr>
          <w:szCs w:val="17"/>
        </w:rPr>
        <w:tab/>
      </w:r>
      <w:r w:rsidRPr="00DE46F3">
        <w:rPr>
          <w:rFonts w:asciiTheme="majorBidi" w:hAnsiTheme="majorBidi" w:cstheme="majorBidi"/>
          <w:szCs w:val="17"/>
        </w:rPr>
        <w:t>Which is the most widely spoken official language. 66 per cent of children speak a different language at home from the language they use at school.</w:t>
      </w:r>
    </w:p>
  </w:footnote>
  <w:footnote w:id="171">
    <w:p w14:paraId="43C2ECC8" w14:textId="77777777" w:rsidR="00E7381F" w:rsidRPr="00DE46F3" w:rsidRDefault="00E7381F" w:rsidP="0098356B">
      <w:pPr>
        <w:pStyle w:val="FootnoteText"/>
        <w:tabs>
          <w:tab w:val="clear" w:pos="418"/>
          <w:tab w:val="right" w:pos="1195"/>
          <w:tab w:val="left" w:pos="1267"/>
          <w:tab w:val="left" w:pos="1742"/>
          <w:tab w:val="left" w:pos="2218"/>
          <w:tab w:val="left" w:pos="2693"/>
        </w:tabs>
        <w:ind w:left="1267" w:right="1260" w:hanging="432"/>
        <w:jc w:val="both"/>
        <w:rPr>
          <w:szCs w:val="17"/>
        </w:rPr>
      </w:pPr>
      <w:r w:rsidRPr="00DE46F3">
        <w:rPr>
          <w:szCs w:val="17"/>
        </w:rPr>
        <w:tab/>
      </w:r>
      <w:r w:rsidRPr="00DE46F3">
        <w:rPr>
          <w:rStyle w:val="FootnoteReference"/>
          <w:szCs w:val="17"/>
        </w:rPr>
        <w:footnoteRef/>
      </w:r>
      <w:r w:rsidRPr="00DE46F3">
        <w:rPr>
          <w:szCs w:val="17"/>
        </w:rPr>
        <w:tab/>
        <w:t>Analysis of the Education Sector in Timor-Leste, Ministry of Education, Youth and Sports and World Bank, 2019.</w:t>
      </w:r>
    </w:p>
  </w:footnote>
  <w:footnote w:id="172">
    <w:p w14:paraId="2802898D" w14:textId="494F2AE8" w:rsidR="00E7381F" w:rsidRPr="00DE46F3" w:rsidRDefault="00E7381F" w:rsidP="0098356B">
      <w:pPr>
        <w:pStyle w:val="FootnoteText"/>
        <w:tabs>
          <w:tab w:val="clear" w:pos="418"/>
          <w:tab w:val="right" w:pos="1195"/>
          <w:tab w:val="left" w:pos="1267"/>
          <w:tab w:val="left" w:pos="1742"/>
          <w:tab w:val="left" w:pos="2218"/>
          <w:tab w:val="left" w:pos="2693"/>
        </w:tabs>
        <w:ind w:left="1267" w:right="1260" w:hanging="432"/>
        <w:jc w:val="both"/>
        <w:rPr>
          <w:szCs w:val="17"/>
        </w:rPr>
      </w:pPr>
      <w:r w:rsidRPr="00DE46F3">
        <w:rPr>
          <w:szCs w:val="17"/>
        </w:rPr>
        <w:tab/>
      </w:r>
      <w:r w:rsidRPr="00DE46F3">
        <w:rPr>
          <w:rStyle w:val="FootnoteReference"/>
          <w:szCs w:val="17"/>
        </w:rPr>
        <w:footnoteRef/>
      </w:r>
      <w:r w:rsidRPr="00DE46F3">
        <w:rPr>
          <w:szCs w:val="17"/>
        </w:rPr>
        <w:tab/>
        <w:t>Walter, S.L., The Mother Tongue-Based Multilingual Education (EMBLI) Endline Evaluation Study, Graduate Institute of Applied Linguistics, 2016, p.</w:t>
      </w:r>
      <w:r w:rsidR="005B5FE3" w:rsidRPr="00DE46F3">
        <w:rPr>
          <w:szCs w:val="17"/>
        </w:rPr>
        <w:t xml:space="preserve"> </w:t>
      </w:r>
      <w:r w:rsidRPr="00DE46F3">
        <w:rPr>
          <w:szCs w:val="17"/>
        </w:rPr>
        <w:t>38; Report on the Implementation of the Sustainable Development Goals: From ashes to reconciliation, reconstruction and sustainable development, Voluntary National Review of Timor-Leste 2019, Government of Timor-Leste, Dili, Timor-Leste, 2019, p.66.</w:t>
      </w:r>
    </w:p>
  </w:footnote>
  <w:footnote w:id="173">
    <w:p w14:paraId="0463B859" w14:textId="77777777" w:rsidR="00E7381F" w:rsidRPr="00DE46F3" w:rsidRDefault="00E7381F" w:rsidP="0098356B">
      <w:pPr>
        <w:pStyle w:val="FootnoteText"/>
        <w:tabs>
          <w:tab w:val="clear" w:pos="418"/>
          <w:tab w:val="right" w:pos="1195"/>
          <w:tab w:val="left" w:pos="1267"/>
          <w:tab w:val="left" w:pos="1742"/>
          <w:tab w:val="left" w:pos="2218"/>
          <w:tab w:val="left" w:pos="2693"/>
        </w:tabs>
        <w:ind w:left="1267" w:right="1260" w:hanging="432"/>
        <w:jc w:val="both"/>
        <w:rPr>
          <w:szCs w:val="17"/>
        </w:rPr>
      </w:pPr>
      <w:r w:rsidRPr="00DE46F3">
        <w:rPr>
          <w:szCs w:val="17"/>
        </w:rPr>
        <w:tab/>
      </w:r>
      <w:r w:rsidRPr="00DE46F3">
        <w:rPr>
          <w:rStyle w:val="FootnoteReference"/>
          <w:szCs w:val="17"/>
        </w:rPr>
        <w:footnoteRef/>
      </w:r>
      <w:r w:rsidRPr="00DE46F3">
        <w:rPr>
          <w:szCs w:val="17"/>
        </w:rPr>
        <w:tab/>
      </w:r>
      <w:r w:rsidRPr="00DE46F3">
        <w:rPr>
          <w:rFonts w:cs="Calibri"/>
          <w:szCs w:val="17"/>
        </w:rPr>
        <w:t>A combination of face-to-face learning and distance learning.</w:t>
      </w:r>
    </w:p>
  </w:footnote>
  <w:footnote w:id="174">
    <w:p w14:paraId="00A3E4CF" w14:textId="32993DAA" w:rsidR="00E7381F" w:rsidRPr="00DE46F3" w:rsidRDefault="00E7381F" w:rsidP="0098356B">
      <w:pPr>
        <w:pStyle w:val="FootnoteText"/>
        <w:tabs>
          <w:tab w:val="clear" w:pos="418"/>
          <w:tab w:val="right" w:pos="1195"/>
          <w:tab w:val="left" w:pos="1267"/>
          <w:tab w:val="left" w:pos="1742"/>
          <w:tab w:val="left" w:pos="2218"/>
          <w:tab w:val="left" w:pos="2693"/>
        </w:tabs>
        <w:ind w:left="1267" w:right="1260" w:hanging="432"/>
        <w:jc w:val="both"/>
        <w:rPr>
          <w:szCs w:val="17"/>
        </w:rPr>
      </w:pPr>
      <w:r w:rsidRPr="00DE46F3">
        <w:rPr>
          <w:szCs w:val="17"/>
        </w:rPr>
        <w:tab/>
      </w:r>
      <w:r w:rsidRPr="00DE46F3">
        <w:rPr>
          <w:rStyle w:val="FootnoteReference"/>
          <w:szCs w:val="17"/>
        </w:rPr>
        <w:footnoteRef/>
      </w:r>
      <w:r w:rsidRPr="00DE46F3">
        <w:rPr>
          <w:szCs w:val="17"/>
        </w:rPr>
        <w:tab/>
        <w:t xml:space="preserve">Second Chance Education Project </w:t>
      </w:r>
      <w:r w:rsidR="00A2287E" w:rsidRPr="00DE46F3">
        <w:rPr>
          <w:szCs w:val="17"/>
        </w:rPr>
        <w:t>–</w:t>
      </w:r>
      <w:r w:rsidRPr="00DE46F3">
        <w:rPr>
          <w:szCs w:val="17"/>
        </w:rPr>
        <w:t xml:space="preserve"> Implementation Completion and Results Report, The World Bank, June 27, 2017.</w:t>
      </w:r>
    </w:p>
  </w:footnote>
  <w:footnote w:id="175">
    <w:p w14:paraId="2A8D8EB3" w14:textId="77777777" w:rsidR="00E7381F" w:rsidRPr="00DE46F3" w:rsidRDefault="00E7381F" w:rsidP="0098356B">
      <w:pPr>
        <w:pStyle w:val="FootnoteText"/>
        <w:tabs>
          <w:tab w:val="clear" w:pos="418"/>
          <w:tab w:val="right" w:pos="1195"/>
          <w:tab w:val="left" w:pos="1267"/>
          <w:tab w:val="left" w:pos="1742"/>
          <w:tab w:val="left" w:pos="2218"/>
          <w:tab w:val="left" w:pos="2693"/>
        </w:tabs>
        <w:ind w:left="1267" w:right="1260" w:hanging="432"/>
        <w:rPr>
          <w:szCs w:val="17"/>
        </w:rPr>
      </w:pPr>
      <w:r w:rsidRPr="00DE46F3">
        <w:rPr>
          <w:szCs w:val="17"/>
        </w:rPr>
        <w:tab/>
      </w:r>
      <w:r w:rsidRPr="00DE46F3">
        <w:rPr>
          <w:rStyle w:val="FootnoteReference"/>
          <w:szCs w:val="17"/>
        </w:rPr>
        <w:footnoteRef/>
      </w:r>
      <w:r w:rsidRPr="00DE46F3">
        <w:rPr>
          <w:szCs w:val="17"/>
        </w:rPr>
        <w:tab/>
      </w:r>
      <w:r w:rsidRPr="00DE46F3">
        <w:rPr>
          <w:rFonts w:cs="Calibri"/>
          <w:szCs w:val="17"/>
        </w:rPr>
        <w:t>Subsistence foodstuff producers are not counted among the labour force in the 2013 LFS as these workers were not engaged in work for pay or profit in line with the new international standards on statistics of work, employment and labour underutilization.</w:t>
      </w:r>
    </w:p>
  </w:footnote>
  <w:footnote w:id="176">
    <w:p w14:paraId="13A83708" w14:textId="77777777" w:rsidR="00E7381F" w:rsidRPr="00DE46F3" w:rsidRDefault="00E7381F" w:rsidP="0098356B">
      <w:pPr>
        <w:pStyle w:val="FootnoteText"/>
        <w:tabs>
          <w:tab w:val="clear" w:pos="418"/>
          <w:tab w:val="right" w:pos="1195"/>
          <w:tab w:val="left" w:pos="1267"/>
          <w:tab w:val="left" w:pos="1742"/>
          <w:tab w:val="left" w:pos="2218"/>
          <w:tab w:val="left" w:pos="2693"/>
        </w:tabs>
        <w:ind w:left="1267" w:right="1260" w:hanging="432"/>
        <w:jc w:val="both"/>
        <w:rPr>
          <w:szCs w:val="17"/>
        </w:rPr>
      </w:pPr>
      <w:r w:rsidRPr="00DE46F3">
        <w:rPr>
          <w:szCs w:val="17"/>
        </w:rPr>
        <w:tab/>
      </w:r>
      <w:r w:rsidRPr="00DE46F3">
        <w:rPr>
          <w:rStyle w:val="FootnoteReference"/>
          <w:szCs w:val="17"/>
        </w:rPr>
        <w:footnoteRef/>
      </w:r>
      <w:r w:rsidRPr="00DE46F3">
        <w:rPr>
          <w:szCs w:val="17"/>
        </w:rPr>
        <w:tab/>
        <w:t xml:space="preserve">Vulnerable employment is </w:t>
      </w:r>
      <w:r w:rsidRPr="00DE46F3">
        <w:rPr>
          <w:rFonts w:cs="Calibri"/>
          <w:szCs w:val="17"/>
        </w:rPr>
        <w:t>defined as the sum of the employment status groups of own-account workers and contributing family workers.</w:t>
      </w:r>
    </w:p>
  </w:footnote>
  <w:footnote w:id="177">
    <w:p w14:paraId="3753F042" w14:textId="77777777" w:rsidR="00E7381F" w:rsidRPr="00DE46F3" w:rsidRDefault="00E7381F" w:rsidP="0098356B">
      <w:pPr>
        <w:pStyle w:val="FootnoteText"/>
        <w:tabs>
          <w:tab w:val="clear" w:pos="418"/>
          <w:tab w:val="right" w:pos="1195"/>
          <w:tab w:val="left" w:pos="1267"/>
          <w:tab w:val="left" w:pos="1742"/>
          <w:tab w:val="left" w:pos="2218"/>
          <w:tab w:val="left" w:pos="2693"/>
        </w:tabs>
        <w:ind w:left="1267" w:right="1260" w:hanging="432"/>
        <w:jc w:val="both"/>
        <w:rPr>
          <w:szCs w:val="17"/>
        </w:rPr>
      </w:pPr>
      <w:r w:rsidRPr="00DE46F3">
        <w:rPr>
          <w:szCs w:val="17"/>
        </w:rPr>
        <w:tab/>
      </w:r>
      <w:r w:rsidRPr="00DE46F3">
        <w:rPr>
          <w:rStyle w:val="FootnoteReference"/>
          <w:szCs w:val="17"/>
        </w:rPr>
        <w:footnoteRef/>
      </w:r>
      <w:r w:rsidRPr="00DE46F3">
        <w:rPr>
          <w:szCs w:val="17"/>
        </w:rPr>
        <w:tab/>
        <w:t>Timor-Leste Labour Force Surveys 2010-2013-2016 – Main trends based on Harmonized Data, General Directorate for Statistics – Ministry of finance/SEPFOPE/ILO, 2019.</w:t>
      </w:r>
    </w:p>
  </w:footnote>
  <w:footnote w:id="178">
    <w:p w14:paraId="2A34D49B" w14:textId="77777777" w:rsidR="00E7381F" w:rsidRPr="00DE46F3" w:rsidRDefault="00E7381F" w:rsidP="0098356B">
      <w:pPr>
        <w:pStyle w:val="FootnoteText"/>
        <w:tabs>
          <w:tab w:val="clear" w:pos="418"/>
          <w:tab w:val="right" w:pos="1195"/>
          <w:tab w:val="left" w:pos="1267"/>
          <w:tab w:val="left" w:pos="1742"/>
          <w:tab w:val="left" w:pos="2218"/>
          <w:tab w:val="left" w:pos="2693"/>
        </w:tabs>
        <w:ind w:left="1267" w:right="1260" w:hanging="432"/>
        <w:jc w:val="both"/>
        <w:rPr>
          <w:szCs w:val="17"/>
        </w:rPr>
      </w:pPr>
      <w:r w:rsidRPr="00DE46F3">
        <w:rPr>
          <w:szCs w:val="17"/>
        </w:rPr>
        <w:tab/>
      </w:r>
      <w:r w:rsidRPr="00DE46F3">
        <w:rPr>
          <w:rStyle w:val="FootnoteReference"/>
          <w:szCs w:val="17"/>
        </w:rPr>
        <w:footnoteRef/>
      </w:r>
      <w:r w:rsidRPr="00DE46F3">
        <w:rPr>
          <w:szCs w:val="17"/>
        </w:rPr>
        <w:tab/>
      </w:r>
      <w:r w:rsidRPr="00DE46F3">
        <w:rPr>
          <w:rFonts w:cs="Calibri"/>
          <w:szCs w:val="17"/>
        </w:rPr>
        <w:t>49 per cent of employed men in secure wage jobs compared to 28 per cent of employed women in 2013.</w:t>
      </w:r>
    </w:p>
  </w:footnote>
  <w:footnote w:id="179">
    <w:p w14:paraId="47CCF827" w14:textId="77777777" w:rsidR="00E7381F" w:rsidRPr="00DE46F3" w:rsidRDefault="00E7381F" w:rsidP="0098356B">
      <w:pPr>
        <w:pStyle w:val="FootnoteText"/>
        <w:tabs>
          <w:tab w:val="clear" w:pos="418"/>
          <w:tab w:val="right" w:pos="1195"/>
          <w:tab w:val="left" w:pos="1267"/>
          <w:tab w:val="left" w:pos="1742"/>
          <w:tab w:val="left" w:pos="2218"/>
          <w:tab w:val="left" w:pos="2693"/>
        </w:tabs>
        <w:ind w:left="1267" w:right="1260" w:hanging="432"/>
        <w:jc w:val="both"/>
        <w:rPr>
          <w:szCs w:val="17"/>
        </w:rPr>
      </w:pPr>
      <w:r w:rsidRPr="00DE46F3">
        <w:rPr>
          <w:szCs w:val="17"/>
        </w:rPr>
        <w:tab/>
      </w:r>
      <w:r w:rsidRPr="00DE46F3">
        <w:rPr>
          <w:rStyle w:val="FootnoteReference"/>
          <w:szCs w:val="17"/>
        </w:rPr>
        <w:footnoteRef/>
      </w:r>
      <w:r w:rsidRPr="00DE46F3">
        <w:rPr>
          <w:szCs w:val="17"/>
        </w:rPr>
        <w:tab/>
      </w:r>
      <w:r w:rsidRPr="00DE46F3">
        <w:rPr>
          <w:rFonts w:cs="Calibri"/>
          <w:szCs w:val="17"/>
        </w:rPr>
        <w:t>This data was not collected in the “mini” 2016 Labour Force Survey as the scope of the data was limited to the basic items of a Labour Force Survey.</w:t>
      </w:r>
    </w:p>
  </w:footnote>
  <w:footnote w:id="180">
    <w:p w14:paraId="1D58D2B3" w14:textId="77777777" w:rsidR="00E7381F" w:rsidRPr="00DE46F3" w:rsidRDefault="00E7381F" w:rsidP="0098356B">
      <w:pPr>
        <w:pStyle w:val="FootnoteText"/>
        <w:tabs>
          <w:tab w:val="clear" w:pos="418"/>
          <w:tab w:val="right" w:pos="1195"/>
          <w:tab w:val="left" w:pos="1267"/>
          <w:tab w:val="left" w:pos="1742"/>
          <w:tab w:val="left" w:pos="2218"/>
          <w:tab w:val="left" w:pos="2693"/>
        </w:tabs>
        <w:ind w:left="1267" w:right="1260" w:hanging="432"/>
        <w:jc w:val="both"/>
        <w:rPr>
          <w:szCs w:val="17"/>
        </w:rPr>
      </w:pPr>
      <w:r w:rsidRPr="00DE46F3">
        <w:rPr>
          <w:szCs w:val="17"/>
        </w:rPr>
        <w:tab/>
      </w:r>
      <w:r w:rsidRPr="00DE46F3">
        <w:rPr>
          <w:rStyle w:val="FootnoteReference"/>
          <w:szCs w:val="17"/>
        </w:rPr>
        <w:footnoteRef/>
      </w:r>
      <w:r w:rsidRPr="00DE46F3">
        <w:rPr>
          <w:szCs w:val="17"/>
        </w:rPr>
        <w:tab/>
        <w:t>Half of women (50 per cent) out of labour force bringing up this form of work as the main reason for staying out of the labour force (compared to 32 per cent men)</w:t>
      </w:r>
      <w:r w:rsidRPr="00DE46F3">
        <w:rPr>
          <w:rFonts w:cs="Calibri"/>
          <w:szCs w:val="17"/>
        </w:rPr>
        <w:t>.</w:t>
      </w:r>
    </w:p>
  </w:footnote>
  <w:footnote w:id="181">
    <w:p w14:paraId="7397F165" w14:textId="77777777" w:rsidR="00E7381F" w:rsidRPr="00DE46F3" w:rsidRDefault="00E7381F" w:rsidP="0098356B">
      <w:pPr>
        <w:pStyle w:val="FootnoteText"/>
        <w:tabs>
          <w:tab w:val="clear" w:pos="418"/>
          <w:tab w:val="right" w:pos="1195"/>
          <w:tab w:val="left" w:pos="1267"/>
          <w:tab w:val="left" w:pos="1742"/>
          <w:tab w:val="left" w:pos="2218"/>
          <w:tab w:val="left" w:pos="2693"/>
        </w:tabs>
        <w:ind w:left="1267" w:right="1260" w:hanging="432"/>
        <w:jc w:val="both"/>
        <w:rPr>
          <w:szCs w:val="17"/>
        </w:rPr>
      </w:pPr>
      <w:r w:rsidRPr="00DE46F3">
        <w:rPr>
          <w:szCs w:val="17"/>
        </w:rPr>
        <w:tab/>
      </w:r>
      <w:r w:rsidRPr="00DE46F3">
        <w:rPr>
          <w:rStyle w:val="FootnoteReference"/>
          <w:szCs w:val="17"/>
        </w:rPr>
        <w:footnoteRef/>
      </w:r>
      <w:r w:rsidRPr="00DE46F3">
        <w:rPr>
          <w:szCs w:val="17"/>
        </w:rPr>
        <w:tab/>
        <w:t>J. Gardner, Gender analysis of the 2013 Timor-Leste Labour Force Survey - A statistical summary of women and men at work in Timor-Leste, SEPFOPE/SEM/ILO/UN Women, 2017, pp. 19-20 / 34.</w:t>
      </w:r>
    </w:p>
  </w:footnote>
  <w:footnote w:id="182">
    <w:p w14:paraId="27149DC3" w14:textId="784A47C1" w:rsidR="00E7381F" w:rsidRPr="00DE46F3" w:rsidRDefault="00E7381F" w:rsidP="0098356B">
      <w:pPr>
        <w:pStyle w:val="FootnoteText"/>
        <w:tabs>
          <w:tab w:val="clear" w:pos="418"/>
          <w:tab w:val="right" w:pos="1195"/>
          <w:tab w:val="left" w:pos="1267"/>
          <w:tab w:val="left" w:pos="1742"/>
          <w:tab w:val="left" w:pos="2218"/>
          <w:tab w:val="left" w:pos="2693"/>
        </w:tabs>
        <w:ind w:left="1267" w:right="1260" w:hanging="432"/>
        <w:jc w:val="both"/>
        <w:rPr>
          <w:szCs w:val="17"/>
        </w:rPr>
      </w:pPr>
      <w:r w:rsidRPr="00DE46F3">
        <w:rPr>
          <w:szCs w:val="17"/>
        </w:rPr>
        <w:tab/>
      </w:r>
      <w:r w:rsidRPr="00DE46F3">
        <w:rPr>
          <w:rStyle w:val="FootnoteReference"/>
          <w:szCs w:val="17"/>
        </w:rPr>
        <w:footnoteRef/>
      </w:r>
      <w:r w:rsidRPr="00DE46F3">
        <w:rPr>
          <w:szCs w:val="17"/>
        </w:rPr>
        <w:tab/>
        <w:t>Timor-Leste Labour Force Surveys 2010-2013-2016 – Main trends based on Harmonized Data, General Directorate for Statistics – Ministry of finance/SEPFOPE/ILO, 2019, p. 58; J. Gardner, Gender analysis of the 2013 Timor-Leste Labour Force Survey - A statistical summary of women and men at work in Timor-Leste, SEPFOPE/SEM/ILO/UN Women, 2017, p.</w:t>
      </w:r>
      <w:r w:rsidR="00C169FA" w:rsidRPr="00DE46F3">
        <w:rPr>
          <w:szCs w:val="17"/>
        </w:rPr>
        <w:t xml:space="preserve"> </w:t>
      </w:r>
      <w:r w:rsidRPr="00DE46F3">
        <w:rPr>
          <w:szCs w:val="17"/>
        </w:rPr>
        <w:t>11 / p.</w:t>
      </w:r>
      <w:r w:rsidR="005B5FE3" w:rsidRPr="00DE46F3">
        <w:rPr>
          <w:szCs w:val="17"/>
        </w:rPr>
        <w:t xml:space="preserve"> </w:t>
      </w:r>
      <w:r w:rsidRPr="00DE46F3">
        <w:rPr>
          <w:szCs w:val="17"/>
        </w:rPr>
        <w:t>27.</w:t>
      </w:r>
    </w:p>
  </w:footnote>
  <w:footnote w:id="183">
    <w:p w14:paraId="5CF5153C" w14:textId="429952A5" w:rsidR="00E7381F" w:rsidRPr="00DE46F3" w:rsidRDefault="00E7381F" w:rsidP="0098356B">
      <w:pPr>
        <w:pStyle w:val="FootnoteText"/>
        <w:tabs>
          <w:tab w:val="clear" w:pos="418"/>
          <w:tab w:val="right" w:pos="1195"/>
          <w:tab w:val="left" w:pos="1267"/>
          <w:tab w:val="left" w:pos="1742"/>
          <w:tab w:val="left" w:pos="2218"/>
          <w:tab w:val="left" w:pos="2693"/>
        </w:tabs>
        <w:ind w:left="1267" w:right="1260" w:hanging="432"/>
        <w:jc w:val="both"/>
        <w:rPr>
          <w:szCs w:val="17"/>
        </w:rPr>
      </w:pPr>
      <w:r w:rsidRPr="00DE46F3">
        <w:rPr>
          <w:szCs w:val="17"/>
        </w:rPr>
        <w:tab/>
      </w:r>
      <w:r w:rsidRPr="00DE46F3">
        <w:rPr>
          <w:rStyle w:val="FootnoteReference"/>
          <w:szCs w:val="17"/>
        </w:rPr>
        <w:footnoteRef/>
      </w:r>
      <w:r w:rsidRPr="00DE46F3">
        <w:rPr>
          <w:szCs w:val="17"/>
        </w:rPr>
        <w:tab/>
        <w:t xml:space="preserve">National Employment Strategy 2017 – 2030, Democratic Republic of Timor-Leste </w:t>
      </w:r>
      <w:r w:rsidR="00A2287E" w:rsidRPr="00DE46F3">
        <w:rPr>
          <w:szCs w:val="17"/>
        </w:rPr>
        <w:t>–</w:t>
      </w:r>
      <w:r w:rsidRPr="00DE46F3">
        <w:rPr>
          <w:szCs w:val="17"/>
        </w:rPr>
        <w:t xml:space="preserve"> VI Constitutional Government, June 2017, p.</w:t>
      </w:r>
      <w:r w:rsidR="00A2287E" w:rsidRPr="00DE46F3">
        <w:rPr>
          <w:szCs w:val="17"/>
        </w:rPr>
        <w:t xml:space="preserve"> </w:t>
      </w:r>
      <w:r w:rsidRPr="00DE46F3">
        <w:rPr>
          <w:szCs w:val="17"/>
        </w:rPr>
        <w:t>6.</w:t>
      </w:r>
    </w:p>
  </w:footnote>
  <w:footnote w:id="184">
    <w:p w14:paraId="413C7F01" w14:textId="033B1F1E" w:rsidR="00E7381F" w:rsidRPr="00DE46F3" w:rsidRDefault="00E7381F" w:rsidP="0098356B">
      <w:pPr>
        <w:pStyle w:val="FootnoteText"/>
        <w:tabs>
          <w:tab w:val="clear" w:pos="418"/>
          <w:tab w:val="right" w:pos="1195"/>
          <w:tab w:val="left" w:pos="1267"/>
          <w:tab w:val="left" w:pos="1742"/>
          <w:tab w:val="left" w:pos="2218"/>
          <w:tab w:val="left" w:pos="2693"/>
        </w:tabs>
        <w:ind w:left="1267" w:right="1260" w:hanging="432"/>
        <w:jc w:val="both"/>
        <w:rPr>
          <w:szCs w:val="17"/>
        </w:rPr>
      </w:pPr>
      <w:r w:rsidRPr="00DE46F3">
        <w:rPr>
          <w:szCs w:val="17"/>
        </w:rPr>
        <w:tab/>
      </w:r>
      <w:r w:rsidRPr="00DE46F3">
        <w:rPr>
          <w:rStyle w:val="FootnoteReference"/>
          <w:szCs w:val="17"/>
        </w:rPr>
        <w:footnoteRef/>
      </w:r>
      <w:r w:rsidRPr="00DE46F3">
        <w:rPr>
          <w:szCs w:val="17"/>
        </w:rPr>
        <w:tab/>
        <w:t>2016</w:t>
      </w:r>
      <w:r w:rsidR="00C169FA" w:rsidRPr="00DE46F3">
        <w:rPr>
          <w:szCs w:val="17"/>
        </w:rPr>
        <w:t>–</w:t>
      </w:r>
      <w:r w:rsidRPr="00DE46F3">
        <w:rPr>
          <w:szCs w:val="17"/>
        </w:rPr>
        <w:t>2020 Decent Work Country Programme (DWCP) Timor-Leste, SEPFOPE/Chamber of Commerce and Industry of Timor-Leste/ Timor-Leste Trade Union Confederation/ILO, 2016, p.</w:t>
      </w:r>
      <w:r w:rsidR="00A2287E" w:rsidRPr="00DE46F3">
        <w:rPr>
          <w:szCs w:val="17"/>
        </w:rPr>
        <w:t> </w:t>
      </w:r>
      <w:r w:rsidRPr="00DE46F3">
        <w:rPr>
          <w:szCs w:val="17"/>
        </w:rPr>
        <w:t>18.</w:t>
      </w:r>
    </w:p>
  </w:footnote>
  <w:footnote w:id="185">
    <w:p w14:paraId="48E12BE5" w14:textId="77777777" w:rsidR="00E7381F" w:rsidRPr="00DE46F3" w:rsidRDefault="00E7381F" w:rsidP="0098356B">
      <w:pPr>
        <w:pStyle w:val="FootnoteText"/>
        <w:tabs>
          <w:tab w:val="clear" w:pos="418"/>
          <w:tab w:val="right" w:pos="1195"/>
          <w:tab w:val="left" w:pos="1267"/>
          <w:tab w:val="left" w:pos="1742"/>
          <w:tab w:val="left" w:pos="2218"/>
          <w:tab w:val="left" w:pos="2693"/>
        </w:tabs>
        <w:ind w:left="1267" w:right="1260" w:hanging="432"/>
        <w:jc w:val="both"/>
        <w:rPr>
          <w:szCs w:val="17"/>
        </w:rPr>
      </w:pPr>
      <w:r w:rsidRPr="00DE46F3">
        <w:rPr>
          <w:szCs w:val="17"/>
        </w:rPr>
        <w:tab/>
      </w:r>
      <w:r w:rsidRPr="00DE46F3">
        <w:rPr>
          <w:rStyle w:val="FootnoteReference"/>
          <w:szCs w:val="17"/>
        </w:rPr>
        <w:footnoteRef/>
      </w:r>
      <w:r w:rsidRPr="00DE46F3">
        <w:rPr>
          <w:szCs w:val="17"/>
        </w:rPr>
        <w:tab/>
      </w:r>
      <w:r w:rsidRPr="00DE46F3">
        <w:rPr>
          <w:rFonts w:cs="Calibri"/>
          <w:szCs w:val="17"/>
        </w:rPr>
        <w:t>The SEII programme benefited to 194 groups and 10 NGOs received Public Transfer Funds from 2014 to 2017 reaching a total amount close to 400,000 USD.</w:t>
      </w:r>
    </w:p>
  </w:footnote>
  <w:footnote w:id="186">
    <w:p w14:paraId="015DC491" w14:textId="2CE3C905" w:rsidR="00E7381F" w:rsidRPr="00DE46F3" w:rsidRDefault="00E7381F" w:rsidP="0098356B">
      <w:pPr>
        <w:pStyle w:val="FootnoteText"/>
        <w:tabs>
          <w:tab w:val="clear" w:pos="418"/>
          <w:tab w:val="right" w:pos="1195"/>
          <w:tab w:val="left" w:pos="1267"/>
          <w:tab w:val="left" w:pos="1742"/>
          <w:tab w:val="left" w:pos="2218"/>
          <w:tab w:val="left" w:pos="2693"/>
        </w:tabs>
        <w:ind w:left="1267" w:right="1260" w:hanging="432"/>
        <w:jc w:val="both"/>
        <w:rPr>
          <w:szCs w:val="17"/>
        </w:rPr>
      </w:pPr>
      <w:r w:rsidRPr="00DE46F3">
        <w:rPr>
          <w:szCs w:val="17"/>
        </w:rPr>
        <w:tab/>
      </w:r>
      <w:r w:rsidRPr="00DE46F3">
        <w:rPr>
          <w:rStyle w:val="FootnoteReference"/>
          <w:szCs w:val="17"/>
        </w:rPr>
        <w:footnoteRef/>
      </w:r>
      <w:r w:rsidRPr="00DE46F3">
        <w:rPr>
          <w:szCs w:val="17"/>
        </w:rPr>
        <w:tab/>
      </w:r>
      <w:r w:rsidRPr="00DE46F3">
        <w:rPr>
          <w:szCs w:val="17"/>
          <w:lang w:eastAsia="fr-FR"/>
        </w:rPr>
        <w:t>Timor-Leste’s Beijing Declaration and Platform for Action (Bpfa) National Review and Appraisal Report (2014</w:t>
      </w:r>
      <w:r w:rsidR="00C169FA" w:rsidRPr="00DE46F3">
        <w:rPr>
          <w:szCs w:val="17"/>
        </w:rPr>
        <w:t>–</w:t>
      </w:r>
      <w:r w:rsidRPr="00DE46F3">
        <w:rPr>
          <w:szCs w:val="17"/>
          <w:lang w:eastAsia="fr-FR"/>
        </w:rPr>
        <w:t xml:space="preserve">2018), Democratic Republic of Timor-Leste, Secretariat of State of Equality and Inclusion (SEII), 2019, </w:t>
      </w:r>
      <w:r w:rsidRPr="00DE46F3">
        <w:rPr>
          <w:szCs w:val="17"/>
        </w:rPr>
        <w:t>pp. 37–40.</w:t>
      </w:r>
    </w:p>
  </w:footnote>
  <w:footnote w:id="187">
    <w:p w14:paraId="35C46B49" w14:textId="77777777" w:rsidR="00E7381F" w:rsidRPr="00DE46F3" w:rsidRDefault="00E7381F" w:rsidP="0098356B">
      <w:pPr>
        <w:pStyle w:val="FootnoteText"/>
        <w:tabs>
          <w:tab w:val="clear" w:pos="418"/>
          <w:tab w:val="right" w:pos="1195"/>
          <w:tab w:val="left" w:pos="1267"/>
          <w:tab w:val="left" w:pos="1742"/>
          <w:tab w:val="left" w:pos="2218"/>
          <w:tab w:val="left" w:pos="2693"/>
        </w:tabs>
        <w:ind w:left="1267" w:right="1260" w:hanging="432"/>
        <w:jc w:val="both"/>
        <w:rPr>
          <w:szCs w:val="17"/>
        </w:rPr>
      </w:pPr>
      <w:r w:rsidRPr="00DE46F3">
        <w:rPr>
          <w:szCs w:val="17"/>
        </w:rPr>
        <w:tab/>
      </w:r>
      <w:r w:rsidRPr="00DE46F3">
        <w:rPr>
          <w:rStyle w:val="FootnoteReference"/>
          <w:szCs w:val="17"/>
        </w:rPr>
        <w:footnoteRef/>
      </w:r>
      <w:r w:rsidRPr="00DE46F3">
        <w:rPr>
          <w:szCs w:val="17"/>
        </w:rPr>
        <w:tab/>
        <w:t>Law N° 15/2017, 23rd August 2017 (‘Private Investment Law’), art. 4.c.</w:t>
      </w:r>
    </w:p>
  </w:footnote>
  <w:footnote w:id="188">
    <w:p w14:paraId="4B549B0C" w14:textId="77777777" w:rsidR="00E7381F" w:rsidRPr="00DE46F3" w:rsidRDefault="00E7381F" w:rsidP="0098356B">
      <w:pPr>
        <w:pStyle w:val="FootnoteText"/>
        <w:tabs>
          <w:tab w:val="clear" w:pos="418"/>
          <w:tab w:val="right" w:pos="1195"/>
          <w:tab w:val="left" w:pos="1267"/>
          <w:tab w:val="left" w:pos="1742"/>
          <w:tab w:val="left" w:pos="2218"/>
          <w:tab w:val="left" w:pos="2693"/>
        </w:tabs>
        <w:ind w:left="1267" w:right="1260" w:hanging="432"/>
        <w:jc w:val="both"/>
        <w:rPr>
          <w:szCs w:val="17"/>
        </w:rPr>
      </w:pPr>
      <w:r w:rsidRPr="00DE46F3">
        <w:rPr>
          <w:szCs w:val="17"/>
        </w:rPr>
        <w:tab/>
      </w:r>
      <w:r w:rsidRPr="00DE46F3">
        <w:rPr>
          <w:rStyle w:val="FootnoteReference"/>
          <w:szCs w:val="17"/>
        </w:rPr>
        <w:footnoteRef/>
      </w:r>
      <w:r w:rsidRPr="00DE46F3">
        <w:rPr>
          <w:szCs w:val="17"/>
        </w:rPr>
        <w:tab/>
        <w:t>National Strategy for Financial Inclusion (2017-2022), Central Bank of Timor-Leste, Democratic Republic of Timor-Leste, 2017.</w:t>
      </w:r>
    </w:p>
  </w:footnote>
  <w:footnote w:id="189">
    <w:p w14:paraId="07CCF8CC" w14:textId="39A39E95" w:rsidR="00E7381F" w:rsidRPr="00DE46F3" w:rsidRDefault="00E7381F" w:rsidP="0098356B">
      <w:pPr>
        <w:pStyle w:val="FootnoteText"/>
        <w:tabs>
          <w:tab w:val="clear" w:pos="418"/>
          <w:tab w:val="right" w:pos="1195"/>
          <w:tab w:val="left" w:pos="1267"/>
          <w:tab w:val="left" w:pos="1742"/>
          <w:tab w:val="left" w:pos="2218"/>
          <w:tab w:val="left" w:pos="2693"/>
        </w:tabs>
        <w:ind w:left="1267" w:right="1260" w:hanging="432"/>
        <w:jc w:val="both"/>
        <w:rPr>
          <w:szCs w:val="17"/>
        </w:rPr>
      </w:pPr>
      <w:r w:rsidRPr="00DE46F3">
        <w:rPr>
          <w:szCs w:val="17"/>
        </w:rPr>
        <w:tab/>
      </w:r>
      <w:r w:rsidRPr="00DE46F3">
        <w:rPr>
          <w:rStyle w:val="FootnoteReference"/>
          <w:szCs w:val="17"/>
        </w:rPr>
        <w:footnoteRef/>
      </w:r>
      <w:r w:rsidRPr="00DE46F3">
        <w:rPr>
          <w:szCs w:val="17"/>
        </w:rPr>
        <w:tab/>
        <w:t>National Strategy for Financial Inclusion (2017-2022), Central Bank of Timor-Leste, Democratic Republic of Timor-Leste, 2017, p.</w:t>
      </w:r>
      <w:r w:rsidR="00C169FA" w:rsidRPr="00DE46F3">
        <w:rPr>
          <w:szCs w:val="17"/>
        </w:rPr>
        <w:t xml:space="preserve"> </w:t>
      </w:r>
      <w:r w:rsidRPr="00DE46F3">
        <w:rPr>
          <w:szCs w:val="17"/>
        </w:rPr>
        <w:t>128.</w:t>
      </w:r>
    </w:p>
  </w:footnote>
  <w:footnote w:id="190">
    <w:p w14:paraId="5D7170FD" w14:textId="51EF022F" w:rsidR="00E7381F" w:rsidRPr="00DE46F3" w:rsidRDefault="00E7381F" w:rsidP="0098356B">
      <w:pPr>
        <w:pStyle w:val="FootnoteText"/>
        <w:tabs>
          <w:tab w:val="clear" w:pos="418"/>
          <w:tab w:val="right" w:pos="1195"/>
          <w:tab w:val="left" w:pos="1267"/>
          <w:tab w:val="left" w:pos="1742"/>
          <w:tab w:val="left" w:pos="2218"/>
          <w:tab w:val="left" w:pos="2693"/>
        </w:tabs>
        <w:ind w:left="1267" w:right="1260" w:hanging="432"/>
        <w:jc w:val="both"/>
        <w:rPr>
          <w:szCs w:val="17"/>
        </w:rPr>
      </w:pPr>
      <w:r w:rsidRPr="00DE46F3">
        <w:rPr>
          <w:szCs w:val="17"/>
        </w:rPr>
        <w:tab/>
      </w:r>
      <w:r w:rsidRPr="00DE46F3">
        <w:rPr>
          <w:rStyle w:val="FootnoteReference"/>
          <w:szCs w:val="17"/>
        </w:rPr>
        <w:footnoteRef/>
      </w:r>
      <w:r w:rsidRPr="00DE46F3">
        <w:rPr>
          <w:szCs w:val="17"/>
        </w:rPr>
        <w:tab/>
      </w:r>
      <w:r w:rsidR="00A2287E" w:rsidRPr="00DE46F3">
        <w:rPr>
          <w:szCs w:val="17"/>
        </w:rPr>
        <w:t>For more information on financial inclusion, see ‘Strategy on women’s economic empowerment and financial inclusion’ under Article 13.</w:t>
      </w:r>
    </w:p>
  </w:footnote>
  <w:footnote w:id="191">
    <w:p w14:paraId="640893AB" w14:textId="328F478F" w:rsidR="00E7381F" w:rsidRPr="00DE46F3" w:rsidRDefault="00E7381F" w:rsidP="0098356B">
      <w:pPr>
        <w:pStyle w:val="FootnoteText"/>
        <w:tabs>
          <w:tab w:val="clear" w:pos="418"/>
          <w:tab w:val="right" w:pos="1195"/>
          <w:tab w:val="left" w:pos="1267"/>
          <w:tab w:val="left" w:pos="1742"/>
          <w:tab w:val="left" w:pos="2218"/>
          <w:tab w:val="left" w:pos="2693"/>
        </w:tabs>
        <w:ind w:left="1267" w:right="1260" w:hanging="432"/>
        <w:jc w:val="both"/>
        <w:rPr>
          <w:szCs w:val="17"/>
        </w:rPr>
      </w:pPr>
      <w:r w:rsidRPr="00DE46F3">
        <w:rPr>
          <w:szCs w:val="17"/>
        </w:rPr>
        <w:tab/>
      </w:r>
      <w:r w:rsidRPr="00DE46F3">
        <w:rPr>
          <w:rStyle w:val="FootnoteReference"/>
          <w:szCs w:val="17"/>
        </w:rPr>
        <w:footnoteRef/>
      </w:r>
      <w:r w:rsidRPr="00DE46F3">
        <w:rPr>
          <w:szCs w:val="17"/>
        </w:rPr>
        <w:tab/>
        <w:t xml:space="preserve">2016-2017 Decent Work Results – Timor-Leste, ILO – </w:t>
      </w:r>
      <w:hyperlink r:id="rId14" w:anchor="aee7mjg" w:history="1">
        <w:r w:rsidRPr="00DE46F3">
          <w:rPr>
            <w:rStyle w:val="Hyperlink"/>
            <w:szCs w:val="17"/>
          </w:rPr>
          <w:t>https://www.ilo.org/IRDashboard/#aee7mjg</w:t>
        </w:r>
      </w:hyperlink>
      <w:r w:rsidRPr="00DE46F3">
        <w:rPr>
          <w:szCs w:val="17"/>
        </w:rPr>
        <w:t xml:space="preserve"> [accessed 12/09/2019].</w:t>
      </w:r>
    </w:p>
  </w:footnote>
  <w:footnote w:id="192">
    <w:p w14:paraId="3815E754" w14:textId="77777777" w:rsidR="00E7381F" w:rsidRPr="00DE46F3" w:rsidRDefault="00E7381F" w:rsidP="0098356B">
      <w:pPr>
        <w:pStyle w:val="FootnoteText"/>
        <w:tabs>
          <w:tab w:val="clear" w:pos="418"/>
          <w:tab w:val="right" w:pos="1195"/>
          <w:tab w:val="left" w:pos="1267"/>
          <w:tab w:val="left" w:pos="1742"/>
          <w:tab w:val="left" w:pos="2218"/>
          <w:tab w:val="left" w:pos="2693"/>
        </w:tabs>
        <w:ind w:left="1267" w:right="1260" w:hanging="432"/>
        <w:jc w:val="both"/>
        <w:rPr>
          <w:szCs w:val="17"/>
        </w:rPr>
      </w:pPr>
      <w:r w:rsidRPr="00DE46F3">
        <w:rPr>
          <w:szCs w:val="17"/>
        </w:rPr>
        <w:tab/>
      </w:r>
      <w:r w:rsidRPr="00DE46F3">
        <w:rPr>
          <w:rStyle w:val="FootnoteReference"/>
          <w:szCs w:val="17"/>
        </w:rPr>
        <w:footnoteRef/>
      </w:r>
      <w:bookmarkStart w:id="60" w:name="_Hlk24530781"/>
      <w:r w:rsidRPr="00DE46F3">
        <w:rPr>
          <w:szCs w:val="17"/>
        </w:rPr>
        <w:tab/>
        <w:t>Response of the National Directorate of Professional Training – SEPFOPE to the CEDAW Questionnaire, Nov. 2019</w:t>
      </w:r>
      <w:bookmarkEnd w:id="60"/>
      <w:r w:rsidRPr="00DE46F3">
        <w:rPr>
          <w:szCs w:val="17"/>
        </w:rPr>
        <w:t>.</w:t>
      </w:r>
    </w:p>
  </w:footnote>
  <w:footnote w:id="193">
    <w:p w14:paraId="3B58640C" w14:textId="7D2DD793" w:rsidR="00E7381F" w:rsidRPr="00DE46F3" w:rsidRDefault="00E7381F" w:rsidP="0098356B">
      <w:pPr>
        <w:pStyle w:val="FootnoteText"/>
        <w:tabs>
          <w:tab w:val="clear" w:pos="418"/>
          <w:tab w:val="right" w:pos="1195"/>
          <w:tab w:val="left" w:pos="1267"/>
          <w:tab w:val="left" w:pos="1742"/>
          <w:tab w:val="left" w:pos="2218"/>
          <w:tab w:val="left" w:pos="2693"/>
        </w:tabs>
        <w:ind w:left="1267" w:right="1260" w:hanging="432"/>
        <w:jc w:val="both"/>
        <w:rPr>
          <w:szCs w:val="17"/>
        </w:rPr>
      </w:pPr>
      <w:r w:rsidRPr="00DE46F3">
        <w:rPr>
          <w:szCs w:val="17"/>
        </w:rPr>
        <w:tab/>
      </w:r>
      <w:r w:rsidRPr="00DE46F3">
        <w:rPr>
          <w:rStyle w:val="FootnoteReference"/>
          <w:szCs w:val="17"/>
        </w:rPr>
        <w:footnoteRef/>
      </w:r>
      <w:r w:rsidRPr="00DE46F3">
        <w:rPr>
          <w:szCs w:val="17"/>
        </w:rPr>
        <w:tab/>
      </w:r>
      <w:r w:rsidRPr="00DE46F3">
        <w:rPr>
          <w:szCs w:val="17"/>
          <w:lang w:eastAsia="fr-FR"/>
        </w:rPr>
        <w:t xml:space="preserve">Timor-Leste’s Beijing Declaration and Platform for Action (Bpfa) National Review and Appraisal Report (2014-2018), Democratic Republic of Timor-Leste, Secretariat of State of Equality and Inclusion (SEII), 2019, </w:t>
      </w:r>
      <w:r w:rsidRPr="00DE46F3">
        <w:rPr>
          <w:szCs w:val="17"/>
        </w:rPr>
        <w:t>p.</w:t>
      </w:r>
      <w:r w:rsidR="005B5FE3" w:rsidRPr="00DE46F3">
        <w:rPr>
          <w:szCs w:val="17"/>
        </w:rPr>
        <w:t xml:space="preserve"> </w:t>
      </w:r>
      <w:r w:rsidRPr="00DE46F3">
        <w:rPr>
          <w:szCs w:val="17"/>
        </w:rPr>
        <w:t>40.</w:t>
      </w:r>
    </w:p>
  </w:footnote>
  <w:footnote w:id="194">
    <w:p w14:paraId="4902F4BA" w14:textId="77777777" w:rsidR="00E7381F" w:rsidRPr="00DE46F3" w:rsidRDefault="00E7381F" w:rsidP="0098356B">
      <w:pPr>
        <w:pStyle w:val="FootnoteText"/>
        <w:tabs>
          <w:tab w:val="clear" w:pos="418"/>
          <w:tab w:val="right" w:pos="1195"/>
          <w:tab w:val="left" w:pos="1267"/>
          <w:tab w:val="left" w:pos="1742"/>
          <w:tab w:val="left" w:pos="2218"/>
          <w:tab w:val="left" w:pos="2693"/>
        </w:tabs>
        <w:ind w:left="1267" w:right="1260" w:hanging="432"/>
        <w:jc w:val="both"/>
        <w:rPr>
          <w:szCs w:val="17"/>
        </w:rPr>
      </w:pPr>
      <w:r w:rsidRPr="00DE46F3">
        <w:rPr>
          <w:szCs w:val="17"/>
        </w:rPr>
        <w:tab/>
      </w:r>
      <w:r w:rsidRPr="00DE46F3">
        <w:rPr>
          <w:rStyle w:val="FootnoteReference"/>
          <w:szCs w:val="17"/>
        </w:rPr>
        <w:footnoteRef/>
      </w:r>
      <w:r w:rsidRPr="00DE46F3">
        <w:rPr>
          <w:szCs w:val="17"/>
        </w:rPr>
        <w:tab/>
        <w:t>Response of the National Directorate of Professional Training – SEPFOPE to the CEDAW Questionnaire, Nov. 2019.</w:t>
      </w:r>
    </w:p>
  </w:footnote>
  <w:footnote w:id="195">
    <w:p w14:paraId="117371A5" w14:textId="62B425AD" w:rsidR="00E7381F" w:rsidRPr="00DE46F3" w:rsidRDefault="00E7381F" w:rsidP="0098356B">
      <w:pPr>
        <w:pStyle w:val="FootnoteText"/>
        <w:tabs>
          <w:tab w:val="clear" w:pos="418"/>
          <w:tab w:val="right" w:pos="1195"/>
          <w:tab w:val="left" w:pos="1267"/>
          <w:tab w:val="left" w:pos="1742"/>
          <w:tab w:val="left" w:pos="2218"/>
          <w:tab w:val="left" w:pos="2693"/>
        </w:tabs>
        <w:ind w:left="1267" w:right="1260" w:hanging="432"/>
        <w:jc w:val="both"/>
        <w:rPr>
          <w:szCs w:val="17"/>
        </w:rPr>
      </w:pPr>
      <w:r w:rsidRPr="00DE46F3">
        <w:rPr>
          <w:szCs w:val="17"/>
        </w:rPr>
        <w:tab/>
      </w:r>
      <w:r w:rsidRPr="00DE46F3">
        <w:rPr>
          <w:rStyle w:val="FootnoteReference"/>
          <w:szCs w:val="17"/>
        </w:rPr>
        <w:footnoteRef/>
      </w:r>
      <w:r w:rsidRPr="00DE46F3">
        <w:rPr>
          <w:szCs w:val="17"/>
        </w:rPr>
        <w:tab/>
      </w:r>
      <w:r w:rsidRPr="00DE46F3">
        <w:rPr>
          <w:szCs w:val="17"/>
          <w:lang w:eastAsia="fr-FR"/>
        </w:rPr>
        <w:t xml:space="preserve">Ibid., </w:t>
      </w:r>
      <w:r w:rsidRPr="00DE46F3">
        <w:rPr>
          <w:szCs w:val="17"/>
        </w:rPr>
        <w:t>p.</w:t>
      </w:r>
      <w:r w:rsidR="005B5FE3" w:rsidRPr="00DE46F3">
        <w:rPr>
          <w:szCs w:val="17"/>
        </w:rPr>
        <w:t xml:space="preserve"> </w:t>
      </w:r>
      <w:r w:rsidRPr="00DE46F3">
        <w:rPr>
          <w:szCs w:val="17"/>
        </w:rPr>
        <w:t>41; Inputs from the Consultative Workshop, 17th/18th October 2019.</w:t>
      </w:r>
    </w:p>
  </w:footnote>
  <w:footnote w:id="196">
    <w:p w14:paraId="14DB73E7" w14:textId="3A060254" w:rsidR="00E7381F" w:rsidRPr="00DE46F3" w:rsidRDefault="00E7381F" w:rsidP="0098356B">
      <w:pPr>
        <w:pStyle w:val="FootnoteText"/>
        <w:tabs>
          <w:tab w:val="clear" w:pos="418"/>
          <w:tab w:val="right" w:pos="1195"/>
          <w:tab w:val="left" w:pos="1267"/>
          <w:tab w:val="left" w:pos="1742"/>
          <w:tab w:val="left" w:pos="2218"/>
          <w:tab w:val="left" w:pos="2693"/>
        </w:tabs>
        <w:ind w:left="1267" w:right="1260" w:hanging="432"/>
        <w:jc w:val="both"/>
        <w:rPr>
          <w:szCs w:val="17"/>
        </w:rPr>
      </w:pPr>
      <w:r w:rsidRPr="00DE46F3">
        <w:rPr>
          <w:szCs w:val="17"/>
        </w:rPr>
        <w:tab/>
      </w:r>
      <w:r w:rsidRPr="00DE46F3">
        <w:rPr>
          <w:rStyle w:val="FootnoteReference"/>
          <w:szCs w:val="17"/>
        </w:rPr>
        <w:footnoteRef/>
      </w:r>
      <w:r w:rsidRPr="00DE46F3">
        <w:rPr>
          <w:szCs w:val="17"/>
        </w:rPr>
        <w:tab/>
      </w:r>
      <w:r w:rsidRPr="00DE46F3">
        <w:rPr>
          <w:szCs w:val="17"/>
          <w:shd w:val="clear" w:color="auto" w:fill="FFFFFF"/>
        </w:rPr>
        <w:t>2016</w:t>
      </w:r>
      <w:r w:rsidR="00A2287E" w:rsidRPr="00DE46F3">
        <w:rPr>
          <w:szCs w:val="17"/>
        </w:rPr>
        <w:t>–</w:t>
      </w:r>
      <w:r w:rsidRPr="00DE46F3">
        <w:rPr>
          <w:szCs w:val="17"/>
          <w:shd w:val="clear" w:color="auto" w:fill="FFFFFF"/>
        </w:rPr>
        <w:t xml:space="preserve">2019 statistics, Instituto Nacional de Segurança Social, </w:t>
      </w:r>
      <w:r w:rsidRPr="00DE46F3">
        <w:rPr>
          <w:bCs/>
          <w:szCs w:val="17"/>
        </w:rPr>
        <w:t>Rep</w:t>
      </w:r>
      <w:r w:rsidRPr="00DE46F3">
        <w:rPr>
          <w:rFonts w:eastAsia="MS PGothic"/>
          <w:bCs/>
          <w:szCs w:val="17"/>
        </w:rPr>
        <w:t>ú</w:t>
      </w:r>
      <w:r w:rsidRPr="00DE46F3">
        <w:rPr>
          <w:bCs/>
          <w:szCs w:val="17"/>
        </w:rPr>
        <w:t>blica Democrática de Timor-Leste, Nov. 2019.</w:t>
      </w:r>
    </w:p>
  </w:footnote>
  <w:footnote w:id="197">
    <w:p w14:paraId="41FA17CB" w14:textId="54AF9C7E" w:rsidR="00E7381F" w:rsidRPr="00DE46F3" w:rsidRDefault="00E7381F" w:rsidP="0098356B">
      <w:pPr>
        <w:pStyle w:val="FootnoteText"/>
        <w:tabs>
          <w:tab w:val="clear" w:pos="418"/>
          <w:tab w:val="right" w:pos="1195"/>
          <w:tab w:val="left" w:pos="1267"/>
          <w:tab w:val="left" w:pos="1742"/>
          <w:tab w:val="left" w:pos="2218"/>
          <w:tab w:val="left" w:pos="2693"/>
        </w:tabs>
        <w:ind w:left="1267" w:right="1260" w:hanging="432"/>
        <w:jc w:val="both"/>
        <w:rPr>
          <w:szCs w:val="17"/>
        </w:rPr>
      </w:pPr>
      <w:r w:rsidRPr="00DE46F3">
        <w:rPr>
          <w:szCs w:val="17"/>
        </w:rPr>
        <w:tab/>
      </w:r>
      <w:r w:rsidRPr="00DE46F3">
        <w:rPr>
          <w:rStyle w:val="FootnoteReference"/>
          <w:szCs w:val="17"/>
        </w:rPr>
        <w:footnoteRef/>
      </w:r>
      <w:r w:rsidRPr="00DE46F3">
        <w:rPr>
          <w:szCs w:val="17"/>
        </w:rPr>
        <w:tab/>
        <w:t>J. Gardner, Gender analysis of the 2013 Timor-Leste Labour Force Survey - A statistical summary of women and men at work in Timor-Leste, SEPFOPE/SEM/ILO/UN Women, 2017, p.</w:t>
      </w:r>
      <w:r w:rsidR="005B5FE3" w:rsidRPr="00DE46F3">
        <w:rPr>
          <w:szCs w:val="17"/>
        </w:rPr>
        <w:t xml:space="preserve"> </w:t>
      </w:r>
      <w:r w:rsidRPr="00DE46F3">
        <w:rPr>
          <w:szCs w:val="17"/>
        </w:rPr>
        <w:t>25.</w:t>
      </w:r>
    </w:p>
  </w:footnote>
  <w:footnote w:id="198">
    <w:p w14:paraId="326FAD66" w14:textId="77777777" w:rsidR="00E7381F" w:rsidRPr="00DE46F3" w:rsidRDefault="00E7381F" w:rsidP="0098356B">
      <w:pPr>
        <w:pStyle w:val="FootnoteText"/>
        <w:tabs>
          <w:tab w:val="clear" w:pos="418"/>
          <w:tab w:val="right" w:pos="1195"/>
          <w:tab w:val="left" w:pos="1267"/>
          <w:tab w:val="left" w:pos="1742"/>
          <w:tab w:val="left" w:pos="2218"/>
          <w:tab w:val="left" w:pos="2693"/>
        </w:tabs>
        <w:ind w:left="1267" w:right="1260" w:hanging="432"/>
        <w:jc w:val="both"/>
        <w:rPr>
          <w:szCs w:val="17"/>
        </w:rPr>
      </w:pPr>
      <w:r w:rsidRPr="00DE46F3">
        <w:rPr>
          <w:szCs w:val="17"/>
        </w:rPr>
        <w:tab/>
      </w:r>
      <w:r w:rsidRPr="00DE46F3">
        <w:rPr>
          <w:rStyle w:val="FootnoteReference"/>
          <w:szCs w:val="17"/>
        </w:rPr>
        <w:footnoteRef/>
      </w:r>
      <w:r w:rsidRPr="00DE46F3">
        <w:rPr>
          <w:szCs w:val="17"/>
        </w:rPr>
        <w:tab/>
        <w:t>Inspection visits are related to working conditions monitoring, but also occupational safety and health monitoring, the employment of foreign workers and social security related issues.</w:t>
      </w:r>
    </w:p>
  </w:footnote>
  <w:footnote w:id="199">
    <w:p w14:paraId="015BF60E" w14:textId="77777777" w:rsidR="00E7381F" w:rsidRPr="00DE46F3" w:rsidRDefault="00E7381F" w:rsidP="0098356B">
      <w:pPr>
        <w:pStyle w:val="FootnoteText"/>
        <w:tabs>
          <w:tab w:val="clear" w:pos="418"/>
          <w:tab w:val="right" w:pos="1195"/>
          <w:tab w:val="left" w:pos="1267"/>
          <w:tab w:val="left" w:pos="1742"/>
          <w:tab w:val="left" w:pos="2218"/>
          <w:tab w:val="left" w:pos="2693"/>
        </w:tabs>
        <w:ind w:left="1267" w:right="1260" w:hanging="432"/>
        <w:jc w:val="both"/>
        <w:rPr>
          <w:szCs w:val="17"/>
        </w:rPr>
      </w:pPr>
      <w:r w:rsidRPr="00DE46F3">
        <w:rPr>
          <w:szCs w:val="17"/>
        </w:rPr>
        <w:tab/>
      </w:r>
      <w:r w:rsidRPr="00DE46F3">
        <w:rPr>
          <w:rStyle w:val="FootnoteReference"/>
          <w:szCs w:val="17"/>
        </w:rPr>
        <w:footnoteRef/>
      </w:r>
      <w:r w:rsidRPr="00DE46F3">
        <w:rPr>
          <w:szCs w:val="17"/>
        </w:rPr>
        <w:tab/>
        <w:t>2012-2017 data from the General Inspectorate of Labour, Secretary of State for Vocational Training and Employment (SEPFOPE), Timor-Leste, 23rd Sept. 2019; Complementary response of the General Inspectorate of Labour (SEPFOPE) to CEDAW Questionnaire, 28th Oct. 2019.</w:t>
      </w:r>
    </w:p>
  </w:footnote>
  <w:footnote w:id="200">
    <w:p w14:paraId="3FFB1BF3" w14:textId="77777777" w:rsidR="00E7381F" w:rsidRPr="00DE46F3" w:rsidRDefault="00E7381F" w:rsidP="0098356B">
      <w:pPr>
        <w:pStyle w:val="FootnoteText"/>
        <w:tabs>
          <w:tab w:val="clear" w:pos="418"/>
          <w:tab w:val="right" w:pos="1195"/>
          <w:tab w:val="left" w:pos="1267"/>
          <w:tab w:val="left" w:pos="1742"/>
          <w:tab w:val="left" w:pos="2218"/>
          <w:tab w:val="left" w:pos="2693"/>
        </w:tabs>
        <w:ind w:left="1267" w:right="1260" w:hanging="432"/>
        <w:jc w:val="both"/>
        <w:rPr>
          <w:szCs w:val="17"/>
        </w:rPr>
      </w:pPr>
      <w:r w:rsidRPr="00DE46F3">
        <w:rPr>
          <w:szCs w:val="17"/>
        </w:rPr>
        <w:tab/>
      </w:r>
      <w:r w:rsidRPr="00DE46F3">
        <w:rPr>
          <w:rStyle w:val="FootnoteReference"/>
          <w:szCs w:val="17"/>
        </w:rPr>
        <w:footnoteRef/>
      </w:r>
      <w:r w:rsidRPr="00DE46F3">
        <w:rPr>
          <w:szCs w:val="17"/>
        </w:rPr>
        <w:tab/>
        <w:t>Response of the General Inspectorate of Labour (Secretary of State for Vocational Training and Employment SEPFOPE) to the CEDAW Questionnaire, 23rd Sept. 2019.</w:t>
      </w:r>
    </w:p>
  </w:footnote>
  <w:footnote w:id="201">
    <w:p w14:paraId="1F6C2135" w14:textId="77777777" w:rsidR="00E7381F" w:rsidRPr="00DE46F3" w:rsidRDefault="00E7381F" w:rsidP="0098356B">
      <w:pPr>
        <w:pStyle w:val="FootnoteText"/>
        <w:tabs>
          <w:tab w:val="clear" w:pos="418"/>
          <w:tab w:val="right" w:pos="1195"/>
          <w:tab w:val="left" w:pos="1267"/>
          <w:tab w:val="left" w:pos="1742"/>
          <w:tab w:val="left" w:pos="2218"/>
          <w:tab w:val="left" w:pos="2693"/>
        </w:tabs>
        <w:ind w:left="1267" w:right="1260" w:hanging="432"/>
        <w:jc w:val="both"/>
        <w:rPr>
          <w:szCs w:val="17"/>
        </w:rPr>
      </w:pPr>
      <w:r w:rsidRPr="00DE46F3">
        <w:rPr>
          <w:szCs w:val="17"/>
        </w:rPr>
        <w:tab/>
      </w:r>
      <w:r w:rsidRPr="00DE46F3">
        <w:rPr>
          <w:rStyle w:val="FootnoteReference"/>
          <w:szCs w:val="17"/>
        </w:rPr>
        <w:footnoteRef/>
      </w:r>
      <w:r w:rsidRPr="00DE46F3">
        <w:rPr>
          <w:szCs w:val="17"/>
        </w:rPr>
        <w:tab/>
        <w:t>The number of cases treated by the IGT overcome the number of claimants as some cases may cover various types of issues.</w:t>
      </w:r>
    </w:p>
  </w:footnote>
  <w:footnote w:id="202">
    <w:p w14:paraId="1242AAB9" w14:textId="77777777" w:rsidR="00E7381F" w:rsidRPr="00DE46F3" w:rsidRDefault="00E7381F" w:rsidP="0098356B">
      <w:pPr>
        <w:pStyle w:val="FootnoteText"/>
        <w:tabs>
          <w:tab w:val="clear" w:pos="418"/>
          <w:tab w:val="right" w:pos="1195"/>
          <w:tab w:val="left" w:pos="1267"/>
          <w:tab w:val="left" w:pos="1742"/>
          <w:tab w:val="left" w:pos="2218"/>
          <w:tab w:val="left" w:pos="2693"/>
        </w:tabs>
        <w:ind w:left="1267" w:right="1260" w:hanging="432"/>
        <w:jc w:val="both"/>
        <w:rPr>
          <w:szCs w:val="17"/>
        </w:rPr>
      </w:pPr>
      <w:r w:rsidRPr="00DE46F3">
        <w:rPr>
          <w:szCs w:val="17"/>
        </w:rPr>
        <w:tab/>
      </w:r>
      <w:r w:rsidRPr="00DE46F3">
        <w:rPr>
          <w:rStyle w:val="FootnoteReference"/>
          <w:szCs w:val="17"/>
        </w:rPr>
        <w:footnoteRef/>
      </w:r>
      <w:r w:rsidRPr="00DE46F3">
        <w:rPr>
          <w:szCs w:val="17"/>
        </w:rPr>
        <w:tab/>
        <w:t>Response of the General Inspectorate of Labour (Secretary of State for Vocational Training and Employment SEPFOPE) to the CEDAW Questionnaire, 23rd Sept. 2019; Complementary response of the General Inspectorate of Labour (SEPFOPE) to CEDAW Questionnaire, 28th Oct. 2019.</w:t>
      </w:r>
    </w:p>
  </w:footnote>
  <w:footnote w:id="203">
    <w:p w14:paraId="229C4517" w14:textId="77777777" w:rsidR="00E7381F" w:rsidRPr="00DE46F3" w:rsidRDefault="00E7381F" w:rsidP="0098356B">
      <w:pPr>
        <w:pStyle w:val="FootnoteText"/>
        <w:tabs>
          <w:tab w:val="clear" w:pos="418"/>
          <w:tab w:val="right" w:pos="1195"/>
          <w:tab w:val="left" w:pos="1267"/>
          <w:tab w:val="left" w:pos="1742"/>
          <w:tab w:val="left" w:pos="2218"/>
          <w:tab w:val="left" w:pos="2693"/>
        </w:tabs>
        <w:ind w:left="1267" w:right="1260" w:hanging="432"/>
        <w:jc w:val="both"/>
        <w:rPr>
          <w:szCs w:val="17"/>
        </w:rPr>
      </w:pPr>
      <w:r w:rsidRPr="00DE46F3">
        <w:rPr>
          <w:szCs w:val="17"/>
        </w:rPr>
        <w:tab/>
      </w:r>
      <w:r w:rsidRPr="00DE46F3">
        <w:rPr>
          <w:rStyle w:val="FootnoteReference"/>
          <w:szCs w:val="17"/>
        </w:rPr>
        <w:footnoteRef/>
      </w:r>
      <w:r w:rsidRPr="00DE46F3">
        <w:rPr>
          <w:szCs w:val="17"/>
        </w:rPr>
        <w:tab/>
        <w:t>From a total amount of 113,850.00 USD in 2016 up to 482,062.00 USD up to Oct. 2019.</w:t>
      </w:r>
    </w:p>
  </w:footnote>
  <w:footnote w:id="204">
    <w:p w14:paraId="60133A93" w14:textId="77777777" w:rsidR="00E7381F" w:rsidRPr="00DE46F3" w:rsidRDefault="00E7381F" w:rsidP="0098356B">
      <w:pPr>
        <w:pStyle w:val="FootnoteText"/>
        <w:tabs>
          <w:tab w:val="clear" w:pos="418"/>
          <w:tab w:val="right" w:pos="1195"/>
          <w:tab w:val="left" w:pos="1267"/>
          <w:tab w:val="left" w:pos="1742"/>
          <w:tab w:val="left" w:pos="2218"/>
          <w:tab w:val="left" w:pos="2693"/>
        </w:tabs>
        <w:ind w:left="1267" w:right="1260" w:hanging="432"/>
        <w:jc w:val="both"/>
        <w:rPr>
          <w:szCs w:val="17"/>
        </w:rPr>
      </w:pPr>
      <w:r w:rsidRPr="00DE46F3">
        <w:rPr>
          <w:szCs w:val="17"/>
        </w:rPr>
        <w:tab/>
      </w:r>
      <w:r w:rsidRPr="00DE46F3">
        <w:rPr>
          <w:rStyle w:val="FootnoteReference"/>
          <w:szCs w:val="17"/>
        </w:rPr>
        <w:footnoteRef/>
      </w:r>
      <w:r w:rsidRPr="00DE46F3">
        <w:rPr>
          <w:szCs w:val="17"/>
        </w:rPr>
        <w:tab/>
        <w:t>Complementary response of the General Inspectorate of Labour (SEPFOPE) to CEDAW Questionnaire, 28th Oct. 2019.</w:t>
      </w:r>
    </w:p>
  </w:footnote>
  <w:footnote w:id="205">
    <w:p w14:paraId="5CBB1495" w14:textId="77777777" w:rsidR="00E7381F" w:rsidRPr="00DE46F3" w:rsidRDefault="00E7381F" w:rsidP="0098356B">
      <w:pPr>
        <w:pStyle w:val="FootnoteText"/>
        <w:tabs>
          <w:tab w:val="clear" w:pos="418"/>
          <w:tab w:val="right" w:pos="1195"/>
          <w:tab w:val="left" w:pos="1267"/>
          <w:tab w:val="left" w:pos="1742"/>
          <w:tab w:val="left" w:pos="2218"/>
          <w:tab w:val="left" w:pos="2693"/>
        </w:tabs>
        <w:ind w:left="1267" w:right="1260" w:hanging="432"/>
        <w:jc w:val="both"/>
        <w:rPr>
          <w:szCs w:val="17"/>
        </w:rPr>
      </w:pPr>
      <w:r w:rsidRPr="00DE46F3">
        <w:rPr>
          <w:szCs w:val="17"/>
        </w:rPr>
        <w:tab/>
      </w:r>
      <w:r w:rsidRPr="00DE46F3">
        <w:rPr>
          <w:rStyle w:val="FootnoteReference"/>
          <w:szCs w:val="17"/>
        </w:rPr>
        <w:footnoteRef/>
      </w:r>
      <w:r w:rsidRPr="00DE46F3">
        <w:rPr>
          <w:szCs w:val="17"/>
        </w:rPr>
        <w:tab/>
        <w:t>Timor-Leste Labour Force Surveys 2010-2013-2016 – Main trends based on Harmonized Data, General Directorate for Statistics – Ministry of finance/SEPFOPE/ILO, 2019, p.72.</w:t>
      </w:r>
    </w:p>
  </w:footnote>
  <w:footnote w:id="206">
    <w:p w14:paraId="101189A6" w14:textId="15AC965E" w:rsidR="00E7381F" w:rsidRPr="00DE46F3" w:rsidRDefault="00E7381F" w:rsidP="0098356B">
      <w:pPr>
        <w:pStyle w:val="FootnoteText"/>
        <w:tabs>
          <w:tab w:val="clear" w:pos="418"/>
          <w:tab w:val="right" w:pos="1195"/>
          <w:tab w:val="left" w:pos="1267"/>
          <w:tab w:val="left" w:pos="1742"/>
          <w:tab w:val="left" w:pos="2218"/>
          <w:tab w:val="left" w:pos="2693"/>
        </w:tabs>
        <w:ind w:left="1267" w:right="1260" w:hanging="432"/>
        <w:jc w:val="both"/>
        <w:rPr>
          <w:szCs w:val="17"/>
        </w:rPr>
      </w:pPr>
      <w:r w:rsidRPr="00DE46F3">
        <w:rPr>
          <w:szCs w:val="17"/>
        </w:rPr>
        <w:tab/>
      </w:r>
      <w:r w:rsidRPr="00DE46F3">
        <w:rPr>
          <w:rStyle w:val="FootnoteReference"/>
          <w:szCs w:val="17"/>
        </w:rPr>
        <w:footnoteRef/>
      </w:r>
      <w:r w:rsidRPr="00DE46F3">
        <w:rPr>
          <w:szCs w:val="17"/>
        </w:rPr>
        <w:tab/>
        <w:t xml:space="preserve">J. Gardner, Gender analysis of the 2013 Timor-Leste Labour Force Survey </w:t>
      </w:r>
      <w:r w:rsidR="00A2287E" w:rsidRPr="00DE46F3">
        <w:rPr>
          <w:szCs w:val="17"/>
        </w:rPr>
        <w:t>–</w:t>
      </w:r>
      <w:r w:rsidRPr="00DE46F3">
        <w:rPr>
          <w:szCs w:val="17"/>
        </w:rPr>
        <w:t xml:space="preserve"> A statistical summary of women and men at work in Timor-Leste, SEPFOPE/SEM/ILO/UN Women, 2017, p. 28.</w:t>
      </w:r>
    </w:p>
  </w:footnote>
  <w:footnote w:id="207">
    <w:p w14:paraId="0BDA5FE7" w14:textId="361B5761" w:rsidR="00E7381F" w:rsidRPr="00DE46F3" w:rsidRDefault="00E7381F" w:rsidP="0098356B">
      <w:pPr>
        <w:pStyle w:val="FootnoteText"/>
        <w:tabs>
          <w:tab w:val="clear" w:pos="418"/>
          <w:tab w:val="right" w:pos="1195"/>
          <w:tab w:val="left" w:pos="1267"/>
          <w:tab w:val="left" w:pos="1742"/>
          <w:tab w:val="left" w:pos="2218"/>
          <w:tab w:val="left" w:pos="2693"/>
        </w:tabs>
        <w:ind w:left="1267" w:right="1260" w:hanging="432"/>
        <w:jc w:val="both"/>
        <w:rPr>
          <w:szCs w:val="17"/>
        </w:rPr>
      </w:pPr>
      <w:r w:rsidRPr="00DE46F3">
        <w:rPr>
          <w:szCs w:val="17"/>
        </w:rPr>
        <w:tab/>
      </w:r>
      <w:r w:rsidRPr="00DE46F3">
        <w:rPr>
          <w:rStyle w:val="FootnoteReference"/>
          <w:szCs w:val="17"/>
        </w:rPr>
        <w:footnoteRef/>
      </w:r>
      <w:r w:rsidRPr="00DE46F3">
        <w:rPr>
          <w:szCs w:val="17"/>
        </w:rPr>
        <w:tab/>
        <w:t xml:space="preserve">2016 Timor-Leste Demographic and Health Survey, General Directorate of Statistics (GDS) – Ministry of Finance / ICF, 2018; 2009-10 Timor-Leste Demographic and Health Survey, National Statistics Directorate (NSD) </w:t>
      </w:r>
      <w:r w:rsidR="00A2287E" w:rsidRPr="00DE46F3">
        <w:rPr>
          <w:szCs w:val="17"/>
        </w:rPr>
        <w:t>–</w:t>
      </w:r>
      <w:r w:rsidRPr="00DE46F3">
        <w:rPr>
          <w:szCs w:val="17"/>
        </w:rPr>
        <w:t xml:space="preserve"> Ministry of Finance / ICF Macro, 2010.</w:t>
      </w:r>
    </w:p>
  </w:footnote>
  <w:footnote w:id="208">
    <w:p w14:paraId="539DD60B" w14:textId="77777777" w:rsidR="00E7381F" w:rsidRPr="00DE46F3" w:rsidRDefault="00E7381F" w:rsidP="0098356B">
      <w:pPr>
        <w:pStyle w:val="FootnoteText"/>
        <w:tabs>
          <w:tab w:val="clear" w:pos="418"/>
          <w:tab w:val="right" w:pos="1195"/>
          <w:tab w:val="left" w:pos="1267"/>
          <w:tab w:val="left" w:pos="1742"/>
          <w:tab w:val="left" w:pos="2218"/>
          <w:tab w:val="left" w:pos="2693"/>
        </w:tabs>
        <w:ind w:left="1267" w:right="1260" w:hanging="432"/>
        <w:jc w:val="both"/>
        <w:rPr>
          <w:szCs w:val="17"/>
        </w:rPr>
      </w:pPr>
      <w:r w:rsidRPr="00DE46F3">
        <w:rPr>
          <w:szCs w:val="17"/>
        </w:rPr>
        <w:tab/>
      </w:r>
      <w:r w:rsidRPr="00DE46F3">
        <w:rPr>
          <w:rStyle w:val="FootnoteReference"/>
          <w:szCs w:val="17"/>
        </w:rPr>
        <w:footnoteRef/>
      </w:r>
      <w:r w:rsidRPr="00DE46F3">
        <w:rPr>
          <w:szCs w:val="17"/>
        </w:rPr>
        <w:tab/>
        <w:t>Ibid.</w:t>
      </w:r>
    </w:p>
  </w:footnote>
  <w:footnote w:id="209">
    <w:p w14:paraId="69293584" w14:textId="77777777" w:rsidR="00E7381F" w:rsidRPr="00DE46F3" w:rsidRDefault="00E7381F" w:rsidP="0098356B">
      <w:pPr>
        <w:pStyle w:val="FootnoteText"/>
        <w:tabs>
          <w:tab w:val="clear" w:pos="418"/>
          <w:tab w:val="right" w:pos="1195"/>
          <w:tab w:val="left" w:pos="1267"/>
          <w:tab w:val="left" w:pos="1742"/>
          <w:tab w:val="left" w:pos="2218"/>
          <w:tab w:val="left" w:pos="2693"/>
        </w:tabs>
        <w:ind w:left="1267" w:right="1260" w:hanging="432"/>
        <w:jc w:val="both"/>
        <w:rPr>
          <w:szCs w:val="17"/>
        </w:rPr>
      </w:pPr>
      <w:r w:rsidRPr="00DE46F3">
        <w:rPr>
          <w:szCs w:val="17"/>
        </w:rPr>
        <w:tab/>
      </w:r>
      <w:r w:rsidRPr="00DE46F3">
        <w:rPr>
          <w:rStyle w:val="FootnoteReference"/>
          <w:szCs w:val="17"/>
        </w:rPr>
        <w:footnoteRef/>
      </w:r>
      <w:r w:rsidRPr="00DE46F3">
        <w:rPr>
          <w:szCs w:val="17"/>
        </w:rPr>
        <w:tab/>
        <w:t>According to 2015 Census: MMR - 426/100,000; IMR – 56/100,000; Under 5 Mortality Ratio – 72/1,000.</w:t>
      </w:r>
    </w:p>
  </w:footnote>
  <w:footnote w:id="210">
    <w:p w14:paraId="6CF6FAC4" w14:textId="77777777" w:rsidR="00E7381F" w:rsidRPr="00DE46F3" w:rsidRDefault="00E7381F" w:rsidP="0098356B">
      <w:pPr>
        <w:pStyle w:val="FootnoteText"/>
        <w:tabs>
          <w:tab w:val="clear" w:pos="418"/>
          <w:tab w:val="right" w:pos="1195"/>
          <w:tab w:val="left" w:pos="1267"/>
          <w:tab w:val="left" w:pos="1742"/>
          <w:tab w:val="left" w:pos="2218"/>
          <w:tab w:val="left" w:pos="2693"/>
        </w:tabs>
        <w:ind w:left="1267" w:right="1260" w:hanging="432"/>
        <w:jc w:val="both"/>
        <w:rPr>
          <w:szCs w:val="17"/>
        </w:rPr>
      </w:pPr>
      <w:r w:rsidRPr="00DE46F3">
        <w:rPr>
          <w:szCs w:val="17"/>
        </w:rPr>
        <w:tab/>
      </w:r>
      <w:r w:rsidRPr="00DE46F3">
        <w:rPr>
          <w:rStyle w:val="FootnoteReference"/>
          <w:szCs w:val="17"/>
        </w:rPr>
        <w:footnoteRef/>
      </w:r>
      <w:r w:rsidRPr="00DE46F3">
        <w:rPr>
          <w:szCs w:val="17"/>
        </w:rPr>
        <w:tab/>
        <w:t>2015 Population and Housing Census – Analytical Report on Mortality (Vol. 6), General Directorate of Statistics (GDS) and United Nations Population Fund (UNFPA), Timor-Leste, 2018.</w:t>
      </w:r>
    </w:p>
  </w:footnote>
  <w:footnote w:id="211">
    <w:p w14:paraId="59FF2E08" w14:textId="341640AE" w:rsidR="00E7381F" w:rsidRPr="00DE46F3" w:rsidRDefault="00E7381F" w:rsidP="0098356B">
      <w:pPr>
        <w:pStyle w:val="FootnoteText"/>
        <w:tabs>
          <w:tab w:val="clear" w:pos="418"/>
          <w:tab w:val="right" w:pos="1195"/>
          <w:tab w:val="left" w:pos="1267"/>
          <w:tab w:val="left" w:pos="1742"/>
          <w:tab w:val="left" w:pos="2218"/>
          <w:tab w:val="left" w:pos="2693"/>
        </w:tabs>
        <w:ind w:left="1267" w:right="1260" w:hanging="432"/>
        <w:jc w:val="both"/>
        <w:rPr>
          <w:szCs w:val="17"/>
        </w:rPr>
      </w:pPr>
      <w:r w:rsidRPr="00DE46F3">
        <w:rPr>
          <w:szCs w:val="17"/>
        </w:rPr>
        <w:tab/>
      </w:r>
      <w:r w:rsidRPr="00DE46F3">
        <w:rPr>
          <w:rStyle w:val="FootnoteReference"/>
          <w:szCs w:val="17"/>
        </w:rPr>
        <w:footnoteRef/>
      </w:r>
      <w:r w:rsidRPr="00DE46F3">
        <w:rPr>
          <w:szCs w:val="17"/>
        </w:rPr>
        <w:tab/>
        <w:t>HIMS, Ministry of Health, 2017 - Through ‘Timor-Leste in Figures’, General Directorate of Statistics – Ministry of Finance, 2017, p.</w:t>
      </w:r>
      <w:r w:rsidR="005B5FE3" w:rsidRPr="00DE46F3">
        <w:rPr>
          <w:szCs w:val="17"/>
        </w:rPr>
        <w:t xml:space="preserve"> </w:t>
      </w:r>
      <w:r w:rsidRPr="00DE46F3">
        <w:rPr>
          <w:szCs w:val="17"/>
        </w:rPr>
        <w:t>40.</w:t>
      </w:r>
    </w:p>
  </w:footnote>
  <w:footnote w:id="212">
    <w:p w14:paraId="2D95DA6D" w14:textId="1822F3C8" w:rsidR="00E7381F" w:rsidRPr="00DE46F3" w:rsidRDefault="00E7381F" w:rsidP="0098356B">
      <w:pPr>
        <w:pStyle w:val="FootnoteText"/>
        <w:tabs>
          <w:tab w:val="clear" w:pos="418"/>
          <w:tab w:val="right" w:pos="1195"/>
          <w:tab w:val="left" w:pos="1267"/>
          <w:tab w:val="left" w:pos="1742"/>
          <w:tab w:val="left" w:pos="2218"/>
          <w:tab w:val="left" w:pos="2693"/>
        </w:tabs>
        <w:ind w:left="1267" w:right="1260" w:hanging="432"/>
        <w:jc w:val="both"/>
        <w:rPr>
          <w:szCs w:val="17"/>
        </w:rPr>
      </w:pPr>
      <w:r w:rsidRPr="00DE46F3">
        <w:rPr>
          <w:szCs w:val="17"/>
        </w:rPr>
        <w:tab/>
      </w:r>
      <w:r w:rsidRPr="00DE46F3">
        <w:rPr>
          <w:rStyle w:val="FootnoteReference"/>
          <w:szCs w:val="17"/>
        </w:rPr>
        <w:footnoteRef/>
      </w:r>
      <w:r w:rsidRPr="00DE46F3">
        <w:rPr>
          <w:szCs w:val="17"/>
        </w:rPr>
        <w:tab/>
        <w:t>National Strategy for Heath Sector (2011-2030), Ministry of Health, Democratic Republic of Timor-Leste, 2011, p</w:t>
      </w:r>
      <w:r w:rsidR="00C169FA" w:rsidRPr="00DE46F3">
        <w:rPr>
          <w:szCs w:val="17"/>
        </w:rPr>
        <w:t xml:space="preserve">. </w:t>
      </w:r>
      <w:r w:rsidRPr="00DE46F3">
        <w:rPr>
          <w:szCs w:val="17"/>
        </w:rPr>
        <w:t>13.</w:t>
      </w:r>
    </w:p>
  </w:footnote>
  <w:footnote w:id="213">
    <w:p w14:paraId="68E94230" w14:textId="77777777" w:rsidR="00E7381F" w:rsidRPr="00DE46F3" w:rsidRDefault="00E7381F" w:rsidP="0098356B">
      <w:pPr>
        <w:pStyle w:val="FootnoteText"/>
        <w:tabs>
          <w:tab w:val="clear" w:pos="418"/>
          <w:tab w:val="right" w:pos="1195"/>
          <w:tab w:val="left" w:pos="1267"/>
          <w:tab w:val="left" w:pos="1742"/>
          <w:tab w:val="left" w:pos="2218"/>
          <w:tab w:val="left" w:pos="2693"/>
        </w:tabs>
        <w:ind w:left="1267" w:right="1260" w:hanging="432"/>
        <w:jc w:val="both"/>
        <w:rPr>
          <w:szCs w:val="17"/>
        </w:rPr>
      </w:pPr>
      <w:r w:rsidRPr="00DE46F3">
        <w:rPr>
          <w:szCs w:val="17"/>
        </w:rPr>
        <w:tab/>
      </w:r>
      <w:r w:rsidRPr="00DE46F3">
        <w:rPr>
          <w:rStyle w:val="FootnoteReference"/>
          <w:szCs w:val="17"/>
        </w:rPr>
        <w:footnoteRef/>
      </w:r>
      <w:r w:rsidRPr="00DE46F3">
        <w:rPr>
          <w:szCs w:val="17"/>
        </w:rPr>
        <w:tab/>
        <w:t>2016 Timor-Leste Demographic and Health Survey, General Directorate of Statistics (GDS) – Ministry of Finance / ICF, 2018, p. 153.</w:t>
      </w:r>
    </w:p>
  </w:footnote>
  <w:footnote w:id="214">
    <w:p w14:paraId="579D2D4A" w14:textId="77777777" w:rsidR="00E7381F" w:rsidRPr="00DE46F3" w:rsidRDefault="00E7381F" w:rsidP="0098356B">
      <w:pPr>
        <w:pStyle w:val="FootnoteText"/>
        <w:tabs>
          <w:tab w:val="clear" w:pos="418"/>
          <w:tab w:val="right" w:pos="1195"/>
          <w:tab w:val="left" w:pos="1267"/>
          <w:tab w:val="left" w:pos="1742"/>
          <w:tab w:val="left" w:pos="2218"/>
          <w:tab w:val="left" w:pos="2693"/>
        </w:tabs>
        <w:ind w:left="1267" w:right="1260" w:hanging="432"/>
        <w:jc w:val="both"/>
        <w:rPr>
          <w:szCs w:val="17"/>
        </w:rPr>
      </w:pPr>
      <w:r w:rsidRPr="00DE46F3">
        <w:rPr>
          <w:szCs w:val="17"/>
        </w:rPr>
        <w:tab/>
      </w:r>
      <w:r w:rsidRPr="00DE46F3">
        <w:rPr>
          <w:rStyle w:val="FootnoteReference"/>
          <w:szCs w:val="17"/>
        </w:rPr>
        <w:footnoteRef/>
      </w:r>
      <w:r w:rsidRPr="00DE46F3">
        <w:rPr>
          <w:szCs w:val="17"/>
        </w:rPr>
        <w:tab/>
        <w:t>627 physicians, 438 midwives, 561 nurses, 136 nursing assistants, 115 analyst and 130 pharmacists.</w:t>
      </w:r>
    </w:p>
  </w:footnote>
  <w:footnote w:id="215">
    <w:p w14:paraId="43DF4168" w14:textId="54BC1D17" w:rsidR="00E7381F" w:rsidRPr="00DE46F3" w:rsidRDefault="00E7381F" w:rsidP="0098356B">
      <w:pPr>
        <w:pStyle w:val="FootnoteText"/>
        <w:tabs>
          <w:tab w:val="clear" w:pos="418"/>
          <w:tab w:val="right" w:pos="1195"/>
          <w:tab w:val="left" w:pos="1267"/>
          <w:tab w:val="left" w:pos="1742"/>
          <w:tab w:val="left" w:pos="2218"/>
          <w:tab w:val="left" w:pos="2693"/>
        </w:tabs>
        <w:ind w:left="1267" w:right="1260" w:hanging="432"/>
        <w:jc w:val="both"/>
        <w:rPr>
          <w:szCs w:val="17"/>
        </w:rPr>
      </w:pPr>
      <w:r w:rsidRPr="00DE46F3">
        <w:rPr>
          <w:szCs w:val="17"/>
        </w:rPr>
        <w:tab/>
      </w:r>
      <w:r w:rsidRPr="00DE46F3">
        <w:rPr>
          <w:rStyle w:val="FootnoteReference"/>
          <w:szCs w:val="17"/>
        </w:rPr>
        <w:footnoteRef/>
      </w:r>
      <w:r w:rsidRPr="00DE46F3">
        <w:rPr>
          <w:szCs w:val="17"/>
        </w:rPr>
        <w:tab/>
        <w:t>HIMS, Ministry of Health, 2017 - Through ‘Timor-Leste in Figures’, General Directorate of Statistics – Ministry of Finance, 2017, p.</w:t>
      </w:r>
      <w:r w:rsidR="005B5FE3" w:rsidRPr="00DE46F3">
        <w:rPr>
          <w:szCs w:val="17"/>
        </w:rPr>
        <w:t xml:space="preserve"> </w:t>
      </w:r>
      <w:r w:rsidRPr="00DE46F3">
        <w:rPr>
          <w:szCs w:val="17"/>
        </w:rPr>
        <w:t>41.</w:t>
      </w:r>
    </w:p>
  </w:footnote>
  <w:footnote w:id="216">
    <w:p w14:paraId="66DCFE3B" w14:textId="0FEF063E" w:rsidR="00E7381F" w:rsidRPr="00DE46F3" w:rsidRDefault="00E7381F" w:rsidP="0098356B">
      <w:pPr>
        <w:pStyle w:val="FootnoteText"/>
        <w:tabs>
          <w:tab w:val="clear" w:pos="418"/>
          <w:tab w:val="right" w:pos="1195"/>
          <w:tab w:val="left" w:pos="1267"/>
          <w:tab w:val="left" w:pos="1742"/>
          <w:tab w:val="left" w:pos="2218"/>
          <w:tab w:val="left" w:pos="2693"/>
        </w:tabs>
        <w:ind w:left="1267" w:right="1260" w:hanging="432"/>
        <w:jc w:val="both"/>
        <w:rPr>
          <w:szCs w:val="17"/>
        </w:rPr>
      </w:pPr>
      <w:r w:rsidRPr="00DE46F3">
        <w:rPr>
          <w:szCs w:val="17"/>
        </w:rPr>
        <w:tab/>
      </w:r>
      <w:r w:rsidRPr="00DE46F3">
        <w:rPr>
          <w:rStyle w:val="FootnoteReference"/>
          <w:szCs w:val="17"/>
        </w:rPr>
        <w:footnoteRef/>
      </w:r>
      <w:r w:rsidRPr="00DE46F3">
        <w:rPr>
          <w:szCs w:val="17"/>
        </w:rPr>
        <w:tab/>
        <w:t>National Strategy for Heath Sector (2011-2030), Ministry of Health, Democratic Republic of Timor-Leste, 2011, p.</w:t>
      </w:r>
      <w:r w:rsidR="00C169FA" w:rsidRPr="00DE46F3">
        <w:rPr>
          <w:szCs w:val="17"/>
        </w:rPr>
        <w:t xml:space="preserve"> </w:t>
      </w:r>
      <w:r w:rsidRPr="00DE46F3">
        <w:rPr>
          <w:szCs w:val="17"/>
        </w:rPr>
        <w:t>12.</w:t>
      </w:r>
    </w:p>
  </w:footnote>
  <w:footnote w:id="217">
    <w:p w14:paraId="47121A44" w14:textId="77777777" w:rsidR="00E7381F" w:rsidRPr="00DE46F3" w:rsidRDefault="00E7381F" w:rsidP="0098356B">
      <w:pPr>
        <w:pStyle w:val="FootnoteText"/>
        <w:tabs>
          <w:tab w:val="clear" w:pos="418"/>
          <w:tab w:val="right" w:pos="1195"/>
          <w:tab w:val="left" w:pos="1267"/>
          <w:tab w:val="left" w:pos="1742"/>
          <w:tab w:val="left" w:pos="2218"/>
          <w:tab w:val="left" w:pos="2693"/>
        </w:tabs>
        <w:ind w:left="1267" w:right="1260" w:hanging="432"/>
        <w:rPr>
          <w:rFonts w:cs="Calibri"/>
          <w:szCs w:val="17"/>
        </w:rPr>
      </w:pPr>
      <w:r w:rsidRPr="00DE46F3">
        <w:rPr>
          <w:rFonts w:cs="Calibri"/>
          <w:szCs w:val="17"/>
        </w:rPr>
        <w:tab/>
      </w:r>
      <w:r w:rsidRPr="00DE46F3">
        <w:rPr>
          <w:rStyle w:val="FootnoteReference"/>
          <w:rFonts w:cs="Calibri"/>
          <w:szCs w:val="17"/>
        </w:rPr>
        <w:footnoteRef/>
      </w:r>
      <w:r w:rsidRPr="00DE46F3">
        <w:rPr>
          <w:rFonts w:cs="Calibri"/>
          <w:szCs w:val="17"/>
        </w:rPr>
        <w:tab/>
        <w:t>Nurses, assistant nurses, and midwives.</w:t>
      </w:r>
    </w:p>
  </w:footnote>
  <w:footnote w:id="218">
    <w:p w14:paraId="1C866DB5" w14:textId="77777777" w:rsidR="00E7381F" w:rsidRPr="00DE46F3" w:rsidRDefault="00E7381F" w:rsidP="0098356B">
      <w:pPr>
        <w:pStyle w:val="FootnoteText"/>
        <w:tabs>
          <w:tab w:val="clear" w:pos="418"/>
          <w:tab w:val="right" w:pos="1195"/>
          <w:tab w:val="left" w:pos="1267"/>
          <w:tab w:val="left" w:pos="1742"/>
          <w:tab w:val="left" w:pos="2218"/>
          <w:tab w:val="left" w:pos="2693"/>
        </w:tabs>
        <w:ind w:left="1267" w:right="1260" w:hanging="432"/>
        <w:jc w:val="both"/>
        <w:rPr>
          <w:szCs w:val="17"/>
        </w:rPr>
      </w:pPr>
      <w:r w:rsidRPr="00DE46F3">
        <w:rPr>
          <w:szCs w:val="17"/>
        </w:rPr>
        <w:tab/>
      </w:r>
      <w:r w:rsidRPr="00DE46F3">
        <w:rPr>
          <w:rStyle w:val="FootnoteReference"/>
          <w:szCs w:val="17"/>
        </w:rPr>
        <w:footnoteRef/>
      </w:r>
      <w:r w:rsidRPr="00DE46F3">
        <w:rPr>
          <w:szCs w:val="17"/>
        </w:rPr>
        <w:tab/>
        <w:t>WHO recommends a doctor density of 0.55 doctors per 1,000 people and non-doctor service delivery staff of 1.73 per 1000 people.</w:t>
      </w:r>
    </w:p>
  </w:footnote>
  <w:footnote w:id="219">
    <w:p w14:paraId="6C2B8BC6" w14:textId="77777777" w:rsidR="00E7381F" w:rsidRPr="00DE46F3" w:rsidRDefault="00E7381F" w:rsidP="0098356B">
      <w:pPr>
        <w:pStyle w:val="FootnoteText"/>
        <w:tabs>
          <w:tab w:val="clear" w:pos="418"/>
          <w:tab w:val="right" w:pos="1195"/>
          <w:tab w:val="left" w:pos="1267"/>
          <w:tab w:val="left" w:pos="1742"/>
          <w:tab w:val="left" w:pos="2218"/>
          <w:tab w:val="left" w:pos="2693"/>
        </w:tabs>
        <w:ind w:left="1267" w:right="1260" w:hanging="432"/>
        <w:jc w:val="both"/>
        <w:rPr>
          <w:szCs w:val="17"/>
        </w:rPr>
      </w:pPr>
      <w:r w:rsidRPr="00DE46F3">
        <w:rPr>
          <w:szCs w:val="17"/>
        </w:rPr>
        <w:tab/>
      </w:r>
      <w:r w:rsidRPr="00DE46F3">
        <w:rPr>
          <w:rStyle w:val="FootnoteReference"/>
          <w:szCs w:val="17"/>
        </w:rPr>
        <w:footnoteRef/>
      </w:r>
      <w:r w:rsidRPr="00DE46F3">
        <w:rPr>
          <w:szCs w:val="17"/>
        </w:rPr>
        <w:tab/>
        <w:t>C</w:t>
      </w:r>
      <w:r w:rsidRPr="00DE46F3">
        <w:rPr>
          <w:rFonts w:cs="Calibri"/>
          <w:szCs w:val="17"/>
        </w:rPr>
        <w:t>ited by 34.5 per cent of women at national level (20 per cent for urban women to 42 per cent for rural women).</w:t>
      </w:r>
    </w:p>
  </w:footnote>
  <w:footnote w:id="220">
    <w:p w14:paraId="5D9E0EA8" w14:textId="77777777" w:rsidR="00E7381F" w:rsidRPr="00DE46F3" w:rsidRDefault="00E7381F" w:rsidP="0098356B">
      <w:pPr>
        <w:pStyle w:val="FootnoteText"/>
        <w:tabs>
          <w:tab w:val="clear" w:pos="418"/>
          <w:tab w:val="right" w:pos="1195"/>
          <w:tab w:val="left" w:pos="1267"/>
          <w:tab w:val="left" w:pos="1742"/>
          <w:tab w:val="left" w:pos="2218"/>
          <w:tab w:val="left" w:pos="2693"/>
        </w:tabs>
        <w:ind w:left="1267" w:right="1260" w:hanging="432"/>
        <w:jc w:val="both"/>
        <w:rPr>
          <w:szCs w:val="17"/>
        </w:rPr>
      </w:pPr>
      <w:r w:rsidRPr="00DE46F3">
        <w:rPr>
          <w:szCs w:val="17"/>
        </w:rPr>
        <w:tab/>
      </w:r>
      <w:r w:rsidRPr="00DE46F3">
        <w:rPr>
          <w:rStyle w:val="FootnoteReference"/>
          <w:szCs w:val="17"/>
        </w:rPr>
        <w:footnoteRef/>
      </w:r>
      <w:r w:rsidRPr="00DE46F3">
        <w:rPr>
          <w:szCs w:val="17"/>
        </w:rPr>
        <w:tab/>
      </w:r>
      <w:r w:rsidRPr="00DE46F3">
        <w:rPr>
          <w:rFonts w:cs="Calibri"/>
          <w:szCs w:val="17"/>
        </w:rPr>
        <w:t>From 18.2 per cent for women with secondary education or higher to 47.3 per cent for women with no education.</w:t>
      </w:r>
    </w:p>
  </w:footnote>
  <w:footnote w:id="221">
    <w:p w14:paraId="13A53A3F" w14:textId="77777777" w:rsidR="00E7381F" w:rsidRPr="00DE46F3" w:rsidRDefault="00E7381F" w:rsidP="0098356B">
      <w:pPr>
        <w:pStyle w:val="FootnoteText"/>
        <w:tabs>
          <w:tab w:val="clear" w:pos="418"/>
          <w:tab w:val="right" w:pos="1195"/>
          <w:tab w:val="left" w:pos="1267"/>
          <w:tab w:val="left" w:pos="1742"/>
          <w:tab w:val="left" w:pos="2218"/>
          <w:tab w:val="left" w:pos="2693"/>
        </w:tabs>
        <w:ind w:left="1267" w:right="1260" w:hanging="432"/>
        <w:jc w:val="both"/>
        <w:rPr>
          <w:szCs w:val="17"/>
        </w:rPr>
      </w:pPr>
      <w:r w:rsidRPr="00DE46F3">
        <w:rPr>
          <w:szCs w:val="17"/>
        </w:rPr>
        <w:tab/>
      </w:r>
      <w:r w:rsidRPr="00DE46F3">
        <w:rPr>
          <w:rStyle w:val="FootnoteReference"/>
          <w:szCs w:val="17"/>
        </w:rPr>
        <w:footnoteRef/>
      </w:r>
      <w:r w:rsidRPr="00DE46F3">
        <w:rPr>
          <w:szCs w:val="17"/>
        </w:rPr>
        <w:tab/>
        <w:t>F</w:t>
      </w:r>
      <w:r w:rsidRPr="00DE46F3">
        <w:rPr>
          <w:rFonts w:cs="Calibri"/>
          <w:szCs w:val="17"/>
        </w:rPr>
        <w:t>rom 20 per cent for women from the highest wealth quintile to 50 per cent of the lowest quintile.</w:t>
      </w:r>
    </w:p>
  </w:footnote>
  <w:footnote w:id="222">
    <w:p w14:paraId="44B835FD" w14:textId="77777777" w:rsidR="00E7381F" w:rsidRPr="00DE46F3" w:rsidRDefault="00E7381F" w:rsidP="0098356B">
      <w:pPr>
        <w:pStyle w:val="FootnoteText"/>
        <w:tabs>
          <w:tab w:val="clear" w:pos="418"/>
          <w:tab w:val="right" w:pos="1195"/>
          <w:tab w:val="left" w:pos="1267"/>
          <w:tab w:val="left" w:pos="1742"/>
          <w:tab w:val="left" w:pos="2218"/>
          <w:tab w:val="left" w:pos="2693"/>
        </w:tabs>
        <w:ind w:left="1267" w:right="1260" w:hanging="432"/>
        <w:jc w:val="both"/>
        <w:rPr>
          <w:szCs w:val="17"/>
        </w:rPr>
      </w:pPr>
      <w:r w:rsidRPr="00DE46F3">
        <w:rPr>
          <w:szCs w:val="17"/>
        </w:rPr>
        <w:tab/>
      </w:r>
      <w:r w:rsidRPr="00DE46F3">
        <w:rPr>
          <w:rStyle w:val="FootnoteReference"/>
          <w:szCs w:val="17"/>
        </w:rPr>
        <w:footnoteRef/>
      </w:r>
      <w:r w:rsidRPr="00DE46F3">
        <w:rPr>
          <w:szCs w:val="17"/>
        </w:rPr>
        <w:tab/>
        <w:t>2016 Timor-Leste Demographic and Health Survey, General Directorate of Statistics (GDS) – Ministry of Finance / ICF, 2018, p. 153.</w:t>
      </w:r>
    </w:p>
  </w:footnote>
  <w:footnote w:id="223">
    <w:p w14:paraId="69FC001A" w14:textId="775B5B41" w:rsidR="00E7381F" w:rsidRPr="00DE46F3" w:rsidRDefault="00E7381F" w:rsidP="0098356B">
      <w:pPr>
        <w:pStyle w:val="FootnoteText"/>
        <w:tabs>
          <w:tab w:val="clear" w:pos="418"/>
          <w:tab w:val="right" w:pos="1195"/>
          <w:tab w:val="left" w:pos="1267"/>
          <w:tab w:val="left" w:pos="1742"/>
          <w:tab w:val="left" w:pos="2218"/>
          <w:tab w:val="left" w:pos="2693"/>
        </w:tabs>
        <w:ind w:left="1267" w:right="1260" w:hanging="432"/>
        <w:jc w:val="both"/>
        <w:rPr>
          <w:szCs w:val="17"/>
        </w:rPr>
      </w:pPr>
      <w:r w:rsidRPr="00DE46F3">
        <w:rPr>
          <w:szCs w:val="17"/>
        </w:rPr>
        <w:tab/>
      </w:r>
      <w:r w:rsidRPr="00DE46F3">
        <w:rPr>
          <w:rStyle w:val="FootnoteReference"/>
          <w:szCs w:val="17"/>
        </w:rPr>
        <w:footnoteRef/>
      </w:r>
      <w:r w:rsidRPr="00DE46F3">
        <w:rPr>
          <w:szCs w:val="17"/>
        </w:rPr>
        <w:tab/>
        <w:t xml:space="preserve">‘Saúde Na Família’ </w:t>
      </w:r>
      <w:r w:rsidR="00A2287E" w:rsidRPr="00DE46F3">
        <w:rPr>
          <w:szCs w:val="17"/>
        </w:rPr>
        <w:t>–</w:t>
      </w:r>
      <w:r w:rsidRPr="00DE46F3">
        <w:rPr>
          <w:szCs w:val="17"/>
        </w:rPr>
        <w:t xml:space="preserve"> Part of Comprehensive Primary Healthcare Package: Success Stories from the field, Ministry of Health/WHO/UNICEF, [no date].</w:t>
      </w:r>
    </w:p>
  </w:footnote>
  <w:footnote w:id="224">
    <w:p w14:paraId="039CD372" w14:textId="477CB0B8" w:rsidR="00E7381F" w:rsidRPr="00DE46F3" w:rsidRDefault="00E7381F" w:rsidP="0098356B">
      <w:pPr>
        <w:pStyle w:val="FootnoteText"/>
        <w:tabs>
          <w:tab w:val="clear" w:pos="418"/>
          <w:tab w:val="right" w:pos="1195"/>
          <w:tab w:val="left" w:pos="1267"/>
          <w:tab w:val="left" w:pos="1742"/>
          <w:tab w:val="left" w:pos="2218"/>
          <w:tab w:val="left" w:pos="2693"/>
        </w:tabs>
        <w:ind w:left="1267" w:right="1260" w:hanging="432"/>
        <w:jc w:val="both"/>
        <w:rPr>
          <w:szCs w:val="17"/>
        </w:rPr>
      </w:pPr>
      <w:r w:rsidRPr="00DE46F3">
        <w:rPr>
          <w:szCs w:val="17"/>
        </w:rPr>
        <w:tab/>
      </w:r>
      <w:r w:rsidRPr="00DE46F3">
        <w:rPr>
          <w:rStyle w:val="FootnoteReference"/>
          <w:szCs w:val="17"/>
        </w:rPr>
        <w:footnoteRef/>
      </w:r>
      <w:r w:rsidRPr="00DE46F3">
        <w:rPr>
          <w:szCs w:val="17"/>
        </w:rPr>
        <w:tab/>
      </w:r>
      <w:r w:rsidRPr="00DE46F3">
        <w:rPr>
          <w:szCs w:val="17"/>
          <w:lang w:eastAsia="fr-FR"/>
        </w:rPr>
        <w:t>Timor-Leste’s Beijing Declaration and Platform for Action (Bpfa) National Review and Appraisal Report (2014</w:t>
      </w:r>
      <w:r w:rsidR="00A2287E" w:rsidRPr="00DE46F3">
        <w:rPr>
          <w:szCs w:val="17"/>
        </w:rPr>
        <w:t>–</w:t>
      </w:r>
      <w:r w:rsidRPr="00DE46F3">
        <w:rPr>
          <w:szCs w:val="17"/>
          <w:lang w:eastAsia="fr-FR"/>
        </w:rPr>
        <w:t xml:space="preserve">2018), Democratic Republic of Timor-Leste, Secretariat of State of Equality and Inclusion (SEII), 2019, </w:t>
      </w:r>
      <w:r w:rsidRPr="00DE46F3">
        <w:rPr>
          <w:szCs w:val="17"/>
        </w:rPr>
        <w:t>p.</w:t>
      </w:r>
      <w:r w:rsidR="00DE74FD" w:rsidRPr="00DE46F3">
        <w:rPr>
          <w:szCs w:val="17"/>
        </w:rPr>
        <w:t xml:space="preserve"> </w:t>
      </w:r>
      <w:r w:rsidRPr="00DE46F3">
        <w:rPr>
          <w:szCs w:val="17"/>
        </w:rPr>
        <w:t>26.</w:t>
      </w:r>
    </w:p>
  </w:footnote>
  <w:footnote w:id="225">
    <w:p w14:paraId="32686267" w14:textId="77777777" w:rsidR="00E7381F" w:rsidRPr="00DE46F3" w:rsidRDefault="00E7381F" w:rsidP="0098356B">
      <w:pPr>
        <w:pStyle w:val="FootnoteText"/>
        <w:tabs>
          <w:tab w:val="clear" w:pos="418"/>
          <w:tab w:val="right" w:pos="1195"/>
          <w:tab w:val="left" w:pos="1267"/>
          <w:tab w:val="left" w:pos="1742"/>
          <w:tab w:val="left" w:pos="2218"/>
          <w:tab w:val="left" w:pos="2693"/>
        </w:tabs>
        <w:ind w:left="1267" w:right="1260" w:hanging="432"/>
        <w:jc w:val="both"/>
        <w:rPr>
          <w:szCs w:val="17"/>
        </w:rPr>
      </w:pPr>
      <w:r w:rsidRPr="00DE46F3">
        <w:rPr>
          <w:szCs w:val="17"/>
        </w:rPr>
        <w:tab/>
      </w:r>
      <w:r w:rsidRPr="00DE46F3">
        <w:rPr>
          <w:rStyle w:val="FootnoteReference"/>
          <w:szCs w:val="17"/>
        </w:rPr>
        <w:footnoteRef/>
      </w:r>
      <w:r w:rsidRPr="00DE46F3">
        <w:rPr>
          <w:szCs w:val="17"/>
        </w:rPr>
        <w:tab/>
        <w:t xml:space="preserve">In 2015, </w:t>
      </w:r>
      <w:r w:rsidRPr="00DE46F3">
        <w:rPr>
          <w:rFonts w:cs="Calibri"/>
          <w:color w:val="000000"/>
          <w:szCs w:val="17"/>
        </w:rPr>
        <w:t xml:space="preserve">the six hospitals of the country were already classified as Comprehensive </w:t>
      </w:r>
      <w:bookmarkStart w:id="66" w:name="_Hlk20735165"/>
      <w:r w:rsidRPr="00DE46F3">
        <w:rPr>
          <w:rFonts w:cs="Calibri"/>
          <w:szCs w:val="17"/>
        </w:rPr>
        <w:t>EmONC (Emergency Obstetric and Newborn Care)</w:t>
      </w:r>
      <w:r w:rsidRPr="00DE46F3">
        <w:rPr>
          <w:rFonts w:cs="Calibri"/>
          <w:color w:val="000000"/>
          <w:szCs w:val="17"/>
        </w:rPr>
        <w:t xml:space="preserve"> facilities</w:t>
      </w:r>
      <w:bookmarkEnd w:id="66"/>
      <w:r w:rsidRPr="00DE46F3">
        <w:rPr>
          <w:rFonts w:cs="Calibri"/>
          <w:color w:val="000000"/>
          <w:szCs w:val="17"/>
        </w:rPr>
        <w:t>.</w:t>
      </w:r>
    </w:p>
  </w:footnote>
  <w:footnote w:id="226">
    <w:p w14:paraId="6993E6C7" w14:textId="77777777" w:rsidR="00E7381F" w:rsidRPr="00DE46F3" w:rsidRDefault="00E7381F" w:rsidP="0098356B">
      <w:pPr>
        <w:pStyle w:val="FootnoteText"/>
        <w:tabs>
          <w:tab w:val="clear" w:pos="418"/>
          <w:tab w:val="right" w:pos="1195"/>
          <w:tab w:val="left" w:pos="1267"/>
          <w:tab w:val="left" w:pos="1742"/>
          <w:tab w:val="left" w:pos="2218"/>
          <w:tab w:val="left" w:pos="2693"/>
        </w:tabs>
        <w:ind w:left="1267" w:right="1260" w:hanging="432"/>
        <w:jc w:val="both"/>
        <w:rPr>
          <w:szCs w:val="17"/>
        </w:rPr>
      </w:pPr>
      <w:r w:rsidRPr="00DE46F3">
        <w:rPr>
          <w:szCs w:val="17"/>
        </w:rPr>
        <w:tab/>
      </w:r>
      <w:r w:rsidRPr="00DE46F3">
        <w:rPr>
          <w:rStyle w:val="FootnoteReference"/>
          <w:szCs w:val="17"/>
        </w:rPr>
        <w:footnoteRef/>
      </w:r>
      <w:r w:rsidRPr="00DE46F3">
        <w:rPr>
          <w:szCs w:val="17"/>
        </w:rPr>
        <w:tab/>
      </w:r>
      <w:r w:rsidRPr="00DE46F3">
        <w:rPr>
          <w:rFonts w:cs="Calibri"/>
          <w:color w:val="000000"/>
          <w:szCs w:val="17"/>
        </w:rPr>
        <w:t xml:space="preserve">Recommended level is at least 5 EmONC facilities (including at least 1 CEmONC facility) </w:t>
      </w:r>
      <w:bookmarkStart w:id="67" w:name="_Hlk20735226"/>
      <w:r w:rsidRPr="00DE46F3">
        <w:rPr>
          <w:rFonts w:cs="Calibri"/>
          <w:color w:val="000000"/>
          <w:szCs w:val="17"/>
        </w:rPr>
        <w:t>per 500,000 of population</w:t>
      </w:r>
      <w:bookmarkEnd w:id="67"/>
      <w:r w:rsidRPr="00DE46F3">
        <w:rPr>
          <w:rFonts w:cs="Calibri"/>
          <w:color w:val="000000"/>
          <w:szCs w:val="17"/>
        </w:rPr>
        <w:t>.</w:t>
      </w:r>
    </w:p>
  </w:footnote>
  <w:footnote w:id="227">
    <w:p w14:paraId="6A094691" w14:textId="70135E78" w:rsidR="00E7381F" w:rsidRPr="00DE46F3" w:rsidRDefault="00E7381F" w:rsidP="0098356B">
      <w:pPr>
        <w:pStyle w:val="FootnoteText"/>
        <w:tabs>
          <w:tab w:val="clear" w:pos="418"/>
          <w:tab w:val="right" w:pos="1195"/>
          <w:tab w:val="left" w:pos="1267"/>
          <w:tab w:val="left" w:pos="1742"/>
          <w:tab w:val="left" w:pos="2218"/>
          <w:tab w:val="left" w:pos="2693"/>
        </w:tabs>
        <w:ind w:left="1267" w:right="1260" w:hanging="432"/>
        <w:jc w:val="both"/>
        <w:rPr>
          <w:szCs w:val="17"/>
        </w:rPr>
      </w:pPr>
      <w:r w:rsidRPr="00DE46F3">
        <w:rPr>
          <w:szCs w:val="17"/>
        </w:rPr>
        <w:tab/>
      </w:r>
      <w:r w:rsidRPr="00DE46F3">
        <w:rPr>
          <w:rStyle w:val="FootnoteReference"/>
          <w:szCs w:val="17"/>
        </w:rPr>
        <w:footnoteRef/>
      </w:r>
      <w:r w:rsidRPr="00DE46F3">
        <w:rPr>
          <w:szCs w:val="17"/>
        </w:rPr>
        <w:tab/>
        <w:t>Emergency Obstetric and Newborn Care Needs Assessment Timor-Leste, Ministry of Health, 2015, p.</w:t>
      </w:r>
      <w:r w:rsidR="005B5FE3" w:rsidRPr="00DE46F3">
        <w:rPr>
          <w:szCs w:val="17"/>
        </w:rPr>
        <w:t xml:space="preserve"> </w:t>
      </w:r>
      <w:r w:rsidRPr="00DE46F3">
        <w:rPr>
          <w:szCs w:val="17"/>
        </w:rPr>
        <w:t>28.</w:t>
      </w:r>
    </w:p>
  </w:footnote>
  <w:footnote w:id="228">
    <w:p w14:paraId="00E5268F" w14:textId="77777777" w:rsidR="00E7381F" w:rsidRPr="00DE46F3" w:rsidRDefault="00E7381F" w:rsidP="0098356B">
      <w:pPr>
        <w:pStyle w:val="FootnoteText"/>
        <w:tabs>
          <w:tab w:val="clear" w:pos="418"/>
          <w:tab w:val="right" w:pos="1195"/>
          <w:tab w:val="left" w:pos="1267"/>
          <w:tab w:val="left" w:pos="1742"/>
          <w:tab w:val="left" w:pos="2218"/>
          <w:tab w:val="left" w:pos="2693"/>
        </w:tabs>
        <w:ind w:left="1267" w:right="1260" w:hanging="432"/>
        <w:jc w:val="both"/>
        <w:rPr>
          <w:szCs w:val="17"/>
        </w:rPr>
      </w:pPr>
      <w:r w:rsidRPr="00DE46F3">
        <w:rPr>
          <w:szCs w:val="17"/>
        </w:rPr>
        <w:tab/>
      </w:r>
      <w:r w:rsidRPr="00DE46F3">
        <w:rPr>
          <w:rStyle w:val="FootnoteReference"/>
          <w:szCs w:val="17"/>
        </w:rPr>
        <w:footnoteRef/>
      </w:r>
      <w:r w:rsidRPr="00DE46F3">
        <w:rPr>
          <w:szCs w:val="17"/>
        </w:rPr>
        <w:tab/>
      </w:r>
      <w:r w:rsidRPr="00DE46F3">
        <w:rPr>
          <w:rFonts w:cs="Calibri"/>
          <w:color w:val="000000"/>
          <w:szCs w:val="17"/>
        </w:rPr>
        <w:t xml:space="preserve">9 </w:t>
      </w:r>
      <w:r w:rsidRPr="00DE46F3">
        <w:rPr>
          <w:rFonts w:cs="Calibri"/>
          <w:szCs w:val="17"/>
        </w:rPr>
        <w:t>Community Health Centers with beds (CSI) has been upgraded as BEmONC centers in the reporting period.</w:t>
      </w:r>
    </w:p>
  </w:footnote>
  <w:footnote w:id="229">
    <w:p w14:paraId="7204F56B" w14:textId="77777777" w:rsidR="00E7381F" w:rsidRPr="00DE46F3" w:rsidRDefault="00E7381F" w:rsidP="0098356B">
      <w:pPr>
        <w:pStyle w:val="FootnoteText"/>
        <w:tabs>
          <w:tab w:val="clear" w:pos="418"/>
          <w:tab w:val="right" w:pos="1195"/>
          <w:tab w:val="left" w:pos="1267"/>
          <w:tab w:val="left" w:pos="1742"/>
          <w:tab w:val="left" w:pos="2218"/>
          <w:tab w:val="left" w:pos="2693"/>
        </w:tabs>
        <w:ind w:left="1267" w:right="1260" w:hanging="432"/>
        <w:jc w:val="both"/>
        <w:rPr>
          <w:szCs w:val="17"/>
        </w:rPr>
      </w:pPr>
      <w:r w:rsidRPr="00DE46F3">
        <w:rPr>
          <w:szCs w:val="17"/>
        </w:rPr>
        <w:tab/>
      </w:r>
      <w:r w:rsidRPr="00DE46F3">
        <w:rPr>
          <w:rStyle w:val="FootnoteReference"/>
          <w:szCs w:val="17"/>
        </w:rPr>
        <w:footnoteRef/>
      </w:r>
      <w:r w:rsidRPr="00DE46F3">
        <w:rPr>
          <w:szCs w:val="17"/>
        </w:rPr>
        <w:tab/>
        <w:t>Interview of Dr. Domingas Bernardo, UNFPA Assistant Representative, 09/10/2019.</w:t>
      </w:r>
    </w:p>
  </w:footnote>
  <w:footnote w:id="230">
    <w:p w14:paraId="4347EFED" w14:textId="77777777" w:rsidR="00E7381F" w:rsidRPr="00DE46F3" w:rsidRDefault="00E7381F" w:rsidP="0098356B">
      <w:pPr>
        <w:pStyle w:val="FootnoteText"/>
        <w:tabs>
          <w:tab w:val="clear" w:pos="418"/>
          <w:tab w:val="right" w:pos="1195"/>
          <w:tab w:val="left" w:pos="1267"/>
          <w:tab w:val="left" w:pos="1742"/>
          <w:tab w:val="left" w:pos="2218"/>
          <w:tab w:val="left" w:pos="2693"/>
        </w:tabs>
        <w:ind w:left="1267" w:right="1260" w:hanging="432"/>
        <w:jc w:val="both"/>
        <w:rPr>
          <w:szCs w:val="17"/>
        </w:rPr>
      </w:pPr>
      <w:r w:rsidRPr="00DE46F3">
        <w:rPr>
          <w:szCs w:val="17"/>
        </w:rPr>
        <w:tab/>
      </w:r>
      <w:r w:rsidRPr="00DE46F3">
        <w:rPr>
          <w:rStyle w:val="FootnoteReference"/>
          <w:szCs w:val="17"/>
        </w:rPr>
        <w:footnoteRef/>
      </w:r>
      <w:r w:rsidRPr="00DE46F3">
        <w:rPr>
          <w:szCs w:val="17"/>
        </w:rPr>
        <w:tab/>
        <w:t>Interview of Dr. Domingas Bernardo, UNFPA Assistant Representative, 09/10/2019.</w:t>
      </w:r>
    </w:p>
  </w:footnote>
  <w:footnote w:id="231">
    <w:p w14:paraId="39CC2540" w14:textId="77777777" w:rsidR="00E7381F" w:rsidRPr="00DE46F3" w:rsidRDefault="00E7381F" w:rsidP="0098356B">
      <w:pPr>
        <w:pStyle w:val="FootnoteText"/>
        <w:tabs>
          <w:tab w:val="clear" w:pos="418"/>
          <w:tab w:val="right" w:pos="1195"/>
          <w:tab w:val="left" w:pos="1267"/>
          <w:tab w:val="left" w:pos="1742"/>
          <w:tab w:val="left" w:pos="2218"/>
          <w:tab w:val="left" w:pos="2693"/>
        </w:tabs>
        <w:ind w:left="1267" w:right="1260" w:hanging="432"/>
        <w:jc w:val="both"/>
        <w:rPr>
          <w:szCs w:val="17"/>
        </w:rPr>
      </w:pPr>
      <w:r w:rsidRPr="00DE46F3">
        <w:rPr>
          <w:szCs w:val="17"/>
        </w:rPr>
        <w:tab/>
      </w:r>
      <w:r w:rsidRPr="00DE46F3">
        <w:rPr>
          <w:rStyle w:val="FootnoteReference"/>
          <w:szCs w:val="17"/>
        </w:rPr>
        <w:footnoteRef/>
      </w:r>
      <w:r w:rsidRPr="00DE46F3">
        <w:rPr>
          <w:szCs w:val="17"/>
        </w:rPr>
        <w:tab/>
        <w:t>In 2019, the implementing partners Health Alliance International and Catalpa International have begun the handover process of the program to the MoH.</w:t>
      </w:r>
    </w:p>
  </w:footnote>
  <w:footnote w:id="232">
    <w:p w14:paraId="67BDCD08" w14:textId="77777777" w:rsidR="00E7381F" w:rsidRPr="00DE46F3" w:rsidRDefault="00E7381F" w:rsidP="0098356B">
      <w:pPr>
        <w:pStyle w:val="FootnoteText"/>
        <w:tabs>
          <w:tab w:val="clear" w:pos="418"/>
          <w:tab w:val="right" w:pos="1195"/>
          <w:tab w:val="left" w:pos="1267"/>
          <w:tab w:val="left" w:pos="1742"/>
          <w:tab w:val="left" w:pos="2218"/>
          <w:tab w:val="left" w:pos="2693"/>
        </w:tabs>
        <w:ind w:left="1267" w:right="1260" w:hanging="432"/>
        <w:jc w:val="both"/>
        <w:rPr>
          <w:szCs w:val="17"/>
        </w:rPr>
      </w:pPr>
      <w:r w:rsidRPr="00DE46F3">
        <w:rPr>
          <w:szCs w:val="17"/>
        </w:rPr>
        <w:tab/>
      </w:r>
      <w:r w:rsidRPr="00DE46F3">
        <w:rPr>
          <w:rStyle w:val="FootnoteReference"/>
          <w:szCs w:val="17"/>
        </w:rPr>
        <w:footnoteRef/>
      </w:r>
      <w:r w:rsidRPr="00DE46F3">
        <w:rPr>
          <w:szCs w:val="17"/>
        </w:rPr>
        <w:tab/>
      </w:r>
      <w:r w:rsidRPr="00DE46F3">
        <w:rPr>
          <w:rFonts w:cs="Calibri"/>
          <w:szCs w:val="17"/>
        </w:rPr>
        <w:t>Text messages are regularly sent to women during and after pregnancy promoting healthy behaviours for a 6 months post-partum period.</w:t>
      </w:r>
    </w:p>
  </w:footnote>
  <w:footnote w:id="233">
    <w:p w14:paraId="776FA25D" w14:textId="77777777" w:rsidR="00E7381F" w:rsidRPr="00DE46F3" w:rsidRDefault="00E7381F" w:rsidP="0098356B">
      <w:pPr>
        <w:pStyle w:val="FootnoteText"/>
        <w:tabs>
          <w:tab w:val="clear" w:pos="418"/>
          <w:tab w:val="right" w:pos="1195"/>
          <w:tab w:val="left" w:pos="1267"/>
          <w:tab w:val="left" w:pos="1742"/>
          <w:tab w:val="left" w:pos="2218"/>
          <w:tab w:val="left" w:pos="2693"/>
        </w:tabs>
        <w:ind w:left="1267" w:right="1260" w:hanging="432"/>
        <w:rPr>
          <w:szCs w:val="17"/>
        </w:rPr>
      </w:pPr>
      <w:r w:rsidRPr="00DE46F3">
        <w:rPr>
          <w:szCs w:val="17"/>
        </w:rPr>
        <w:tab/>
      </w:r>
      <w:r w:rsidRPr="00DE46F3">
        <w:rPr>
          <w:rStyle w:val="FootnoteReference"/>
          <w:szCs w:val="17"/>
        </w:rPr>
        <w:footnoteRef/>
      </w:r>
      <w:r w:rsidRPr="00DE46F3">
        <w:rPr>
          <w:szCs w:val="17"/>
        </w:rPr>
        <w:tab/>
        <w:t>Among women enrolled in Liga Inan who were called 3 weeks prior to delivery, 53 per cent had a facility delivery compared to only 32 per cent of women who had a facility delivery and were not called.</w:t>
      </w:r>
    </w:p>
  </w:footnote>
  <w:footnote w:id="234">
    <w:p w14:paraId="10B4D0A9" w14:textId="77777777" w:rsidR="00E7381F" w:rsidRPr="00DE46F3" w:rsidRDefault="00E7381F" w:rsidP="0098356B">
      <w:pPr>
        <w:pStyle w:val="FootnoteText"/>
        <w:tabs>
          <w:tab w:val="clear" w:pos="418"/>
          <w:tab w:val="right" w:pos="1195"/>
          <w:tab w:val="left" w:pos="1267"/>
          <w:tab w:val="left" w:pos="1742"/>
          <w:tab w:val="left" w:pos="2218"/>
          <w:tab w:val="left" w:pos="2693"/>
        </w:tabs>
        <w:ind w:left="1267" w:right="1260" w:hanging="432"/>
        <w:jc w:val="both"/>
        <w:rPr>
          <w:szCs w:val="17"/>
        </w:rPr>
      </w:pPr>
      <w:r w:rsidRPr="00DE46F3">
        <w:rPr>
          <w:szCs w:val="17"/>
        </w:rPr>
        <w:tab/>
      </w:r>
      <w:r w:rsidRPr="00DE46F3">
        <w:rPr>
          <w:rStyle w:val="FootnoteReference"/>
          <w:szCs w:val="17"/>
        </w:rPr>
        <w:footnoteRef/>
      </w:r>
      <w:r w:rsidRPr="00DE46F3">
        <w:rPr>
          <w:szCs w:val="17"/>
        </w:rPr>
        <w:tab/>
        <w:t>Liga Inan mHealth Program: Impact Evaluation, Health Alliance International (HAI) / Catalpa International, July 2016; Liga Inan Progress Report, Catalpa International, March 2015.</w:t>
      </w:r>
    </w:p>
  </w:footnote>
  <w:footnote w:id="235">
    <w:p w14:paraId="03B59513" w14:textId="3DB91676" w:rsidR="00E7381F" w:rsidRPr="00DE46F3" w:rsidRDefault="00E7381F" w:rsidP="0098356B">
      <w:pPr>
        <w:pStyle w:val="FootnoteText"/>
        <w:tabs>
          <w:tab w:val="clear" w:pos="418"/>
          <w:tab w:val="right" w:pos="1195"/>
          <w:tab w:val="left" w:pos="1267"/>
          <w:tab w:val="left" w:pos="1742"/>
          <w:tab w:val="left" w:pos="2218"/>
          <w:tab w:val="left" w:pos="2693"/>
        </w:tabs>
        <w:ind w:left="1267" w:right="1260" w:hanging="432"/>
        <w:jc w:val="both"/>
        <w:rPr>
          <w:szCs w:val="17"/>
        </w:rPr>
      </w:pPr>
      <w:r w:rsidRPr="00DE46F3">
        <w:rPr>
          <w:szCs w:val="17"/>
        </w:rPr>
        <w:tab/>
      </w:r>
      <w:r w:rsidRPr="00DE46F3">
        <w:rPr>
          <w:rStyle w:val="FootnoteReference"/>
          <w:szCs w:val="17"/>
        </w:rPr>
        <w:footnoteRef/>
      </w:r>
      <w:r w:rsidRPr="00DE46F3">
        <w:rPr>
          <w:szCs w:val="17"/>
        </w:rPr>
        <w:tab/>
      </w:r>
      <w:r w:rsidRPr="00DE46F3">
        <w:rPr>
          <w:szCs w:val="17"/>
          <w:lang w:eastAsia="fr-FR"/>
        </w:rPr>
        <w:t xml:space="preserve">Timor-Leste’s Beijing Declaration and Platform for Action (Bpfa) National Review and Appraisal Report (2014-2018), Democratic Republic of Timor-Leste, Secretariat of State of Equality and Inclusion (SEII), 2019, </w:t>
      </w:r>
      <w:r w:rsidRPr="00DE46F3">
        <w:rPr>
          <w:szCs w:val="17"/>
        </w:rPr>
        <w:t>p. 28; ‘</w:t>
      </w:r>
      <w:r w:rsidRPr="00DE46F3">
        <w:rPr>
          <w:szCs w:val="17"/>
          <w:shd w:val="clear" w:color="auto" w:fill="FFFFFF"/>
        </w:rPr>
        <w:t xml:space="preserve">Verbal Autopsy reaching across Timor-Leste’, UNFPA Timor-Leste, Sept. 2017 </w:t>
      </w:r>
      <w:r w:rsidR="00A2287E" w:rsidRPr="00DE46F3">
        <w:rPr>
          <w:szCs w:val="17"/>
        </w:rPr>
        <w:t>–</w:t>
      </w:r>
      <w:r w:rsidRPr="00DE46F3">
        <w:rPr>
          <w:szCs w:val="17"/>
          <w:shd w:val="clear" w:color="auto" w:fill="FFFFFF"/>
        </w:rPr>
        <w:t xml:space="preserve"> </w:t>
      </w:r>
      <w:hyperlink r:id="rId15" w:history="1">
        <w:r w:rsidRPr="00DE46F3">
          <w:rPr>
            <w:rStyle w:val="Hyperlink"/>
            <w:szCs w:val="17"/>
          </w:rPr>
          <w:t>https://timor-leste.unfpa.org/en/news/verbal-autopsy-reaching-across-timor-leste</w:t>
        </w:r>
      </w:hyperlink>
      <w:r w:rsidRPr="00DE46F3">
        <w:rPr>
          <w:rStyle w:val="Hyperlink"/>
          <w:color w:val="2F5496"/>
          <w:szCs w:val="17"/>
        </w:rPr>
        <w:t xml:space="preserve"> </w:t>
      </w:r>
      <w:r w:rsidRPr="00DE46F3">
        <w:rPr>
          <w:rStyle w:val="Hyperlink"/>
          <w:szCs w:val="17"/>
        </w:rPr>
        <w:t>[Accessed on 16/09/2019].</w:t>
      </w:r>
    </w:p>
  </w:footnote>
  <w:footnote w:id="236">
    <w:p w14:paraId="6824BDC9" w14:textId="77777777" w:rsidR="00E7381F" w:rsidRPr="00DE46F3" w:rsidRDefault="00E7381F" w:rsidP="0098356B">
      <w:pPr>
        <w:pStyle w:val="FootnoteText"/>
        <w:tabs>
          <w:tab w:val="clear" w:pos="418"/>
          <w:tab w:val="right" w:pos="1195"/>
          <w:tab w:val="left" w:pos="1267"/>
          <w:tab w:val="left" w:pos="1742"/>
          <w:tab w:val="left" w:pos="2218"/>
          <w:tab w:val="left" w:pos="2693"/>
        </w:tabs>
        <w:ind w:left="1267" w:right="1260" w:hanging="432"/>
        <w:jc w:val="both"/>
        <w:rPr>
          <w:szCs w:val="17"/>
        </w:rPr>
      </w:pPr>
      <w:r w:rsidRPr="00DE46F3">
        <w:rPr>
          <w:szCs w:val="17"/>
        </w:rPr>
        <w:tab/>
      </w:r>
      <w:r w:rsidRPr="00DE46F3">
        <w:rPr>
          <w:rStyle w:val="FootnoteReference"/>
          <w:szCs w:val="17"/>
        </w:rPr>
        <w:footnoteRef/>
      </w:r>
      <w:r w:rsidRPr="00DE46F3">
        <w:rPr>
          <w:szCs w:val="17"/>
        </w:rPr>
        <w:tab/>
      </w:r>
      <w:r w:rsidRPr="00DE46F3">
        <w:rPr>
          <w:rFonts w:cs="Calibri"/>
          <w:szCs w:val="17"/>
        </w:rPr>
        <w:t>Injectables, used by 12 per cent of married women, are the most common method of contraception.</w:t>
      </w:r>
    </w:p>
  </w:footnote>
  <w:footnote w:id="237">
    <w:p w14:paraId="6491B796" w14:textId="6E9E59F5" w:rsidR="00E7381F" w:rsidRPr="00DE46F3" w:rsidRDefault="00E7381F" w:rsidP="0098356B">
      <w:pPr>
        <w:pStyle w:val="FootnoteText"/>
        <w:tabs>
          <w:tab w:val="clear" w:pos="418"/>
          <w:tab w:val="right" w:pos="1195"/>
          <w:tab w:val="left" w:pos="1267"/>
          <w:tab w:val="left" w:pos="1742"/>
          <w:tab w:val="left" w:pos="2218"/>
          <w:tab w:val="left" w:pos="2693"/>
        </w:tabs>
        <w:ind w:left="1267" w:right="1260" w:hanging="432"/>
        <w:jc w:val="both"/>
        <w:rPr>
          <w:szCs w:val="17"/>
        </w:rPr>
      </w:pPr>
      <w:r w:rsidRPr="00DE46F3">
        <w:rPr>
          <w:szCs w:val="17"/>
        </w:rPr>
        <w:tab/>
      </w:r>
      <w:r w:rsidRPr="00DE46F3">
        <w:rPr>
          <w:rStyle w:val="FootnoteReference"/>
          <w:szCs w:val="17"/>
        </w:rPr>
        <w:footnoteRef/>
      </w:r>
      <w:r w:rsidRPr="00DE46F3">
        <w:rPr>
          <w:szCs w:val="17"/>
        </w:rPr>
        <w:tab/>
        <w:t>2016 Timor-Leste Demographic and Health Survey, General Directorate of Statistics (GDS) – Ministry of Finance / ICF, 2018; 2009</w:t>
      </w:r>
      <w:r w:rsidR="00A2287E" w:rsidRPr="00DE46F3">
        <w:rPr>
          <w:szCs w:val="17"/>
        </w:rPr>
        <w:t>–</w:t>
      </w:r>
      <w:r w:rsidRPr="00DE46F3">
        <w:rPr>
          <w:szCs w:val="17"/>
        </w:rPr>
        <w:t>10 Timor-Leste Demographic and Health Survey, National Statistics Directorate (NSD) - Ministry of Finance / ICF Macro, 2010.</w:t>
      </w:r>
    </w:p>
  </w:footnote>
  <w:footnote w:id="238">
    <w:p w14:paraId="453CE117" w14:textId="03A023C5" w:rsidR="00E7381F" w:rsidRPr="00DE46F3" w:rsidRDefault="00E7381F" w:rsidP="0098356B">
      <w:pPr>
        <w:pStyle w:val="FootnoteText"/>
        <w:tabs>
          <w:tab w:val="clear" w:pos="418"/>
          <w:tab w:val="right" w:pos="1195"/>
          <w:tab w:val="left" w:pos="1267"/>
          <w:tab w:val="left" w:pos="1742"/>
          <w:tab w:val="left" w:pos="2218"/>
          <w:tab w:val="left" w:pos="2693"/>
        </w:tabs>
        <w:ind w:left="1267" w:right="1260" w:hanging="432"/>
        <w:jc w:val="both"/>
        <w:rPr>
          <w:szCs w:val="17"/>
        </w:rPr>
      </w:pPr>
      <w:r w:rsidRPr="00DE46F3">
        <w:rPr>
          <w:szCs w:val="17"/>
        </w:rPr>
        <w:tab/>
      </w:r>
      <w:r w:rsidRPr="00DE46F3">
        <w:rPr>
          <w:rStyle w:val="FootnoteReference"/>
          <w:szCs w:val="17"/>
        </w:rPr>
        <w:footnoteRef/>
      </w:r>
      <w:r w:rsidRPr="00DE46F3">
        <w:rPr>
          <w:szCs w:val="17"/>
        </w:rPr>
        <w:tab/>
        <w:t>2016 Timor-Leste Demographic and Health Survey, General Directorate of Statistics (GDS) – Ministry of Finance / ICF, 2018, pp.93</w:t>
      </w:r>
      <w:r w:rsidR="00A2287E" w:rsidRPr="00DE46F3">
        <w:rPr>
          <w:szCs w:val="17"/>
        </w:rPr>
        <w:t>–</w:t>
      </w:r>
      <w:r w:rsidRPr="00DE46F3">
        <w:rPr>
          <w:szCs w:val="17"/>
        </w:rPr>
        <w:t>97.</w:t>
      </w:r>
    </w:p>
  </w:footnote>
  <w:footnote w:id="239">
    <w:p w14:paraId="4B9402E6" w14:textId="77777777" w:rsidR="00E7381F" w:rsidRPr="00DE46F3" w:rsidRDefault="00E7381F" w:rsidP="0098356B">
      <w:pPr>
        <w:pStyle w:val="FootnoteText"/>
        <w:tabs>
          <w:tab w:val="clear" w:pos="418"/>
          <w:tab w:val="right" w:pos="1195"/>
          <w:tab w:val="left" w:pos="1267"/>
          <w:tab w:val="left" w:pos="1742"/>
          <w:tab w:val="left" w:pos="2218"/>
          <w:tab w:val="left" w:pos="2693"/>
        </w:tabs>
        <w:ind w:left="1267" w:right="1260" w:hanging="432"/>
        <w:jc w:val="both"/>
        <w:rPr>
          <w:szCs w:val="17"/>
        </w:rPr>
      </w:pPr>
      <w:r w:rsidRPr="00DE46F3">
        <w:rPr>
          <w:szCs w:val="17"/>
        </w:rPr>
        <w:tab/>
      </w:r>
      <w:r w:rsidRPr="00DE46F3">
        <w:rPr>
          <w:rStyle w:val="FootnoteReference"/>
          <w:szCs w:val="17"/>
        </w:rPr>
        <w:footnoteRef/>
      </w:r>
      <w:r w:rsidRPr="00DE46F3">
        <w:rPr>
          <w:szCs w:val="17"/>
        </w:rPr>
        <w:tab/>
        <w:t xml:space="preserve">The </w:t>
      </w:r>
      <w:r w:rsidRPr="00DE46F3">
        <w:rPr>
          <w:rFonts w:eastAsia="ArialMT" w:cs="Calibri"/>
          <w:szCs w:val="17"/>
        </w:rPr>
        <w:t>sample of sexually active unmarried women considered in the DHS is small (43 women).</w:t>
      </w:r>
    </w:p>
  </w:footnote>
  <w:footnote w:id="240">
    <w:p w14:paraId="08401FB4" w14:textId="35A9D6B6" w:rsidR="00E7381F" w:rsidRPr="00DE46F3" w:rsidRDefault="00E7381F" w:rsidP="0098356B">
      <w:pPr>
        <w:pStyle w:val="FootnoteText"/>
        <w:tabs>
          <w:tab w:val="clear" w:pos="418"/>
          <w:tab w:val="right" w:pos="1195"/>
          <w:tab w:val="left" w:pos="1267"/>
          <w:tab w:val="left" w:pos="1742"/>
          <w:tab w:val="left" w:pos="2218"/>
          <w:tab w:val="left" w:pos="2693"/>
        </w:tabs>
        <w:ind w:left="1267" w:right="1260" w:hanging="432"/>
        <w:jc w:val="both"/>
        <w:rPr>
          <w:szCs w:val="17"/>
        </w:rPr>
      </w:pPr>
      <w:r w:rsidRPr="00DE46F3">
        <w:rPr>
          <w:szCs w:val="17"/>
        </w:rPr>
        <w:tab/>
      </w:r>
      <w:r w:rsidRPr="00DE46F3">
        <w:rPr>
          <w:rStyle w:val="FootnoteReference"/>
          <w:szCs w:val="17"/>
        </w:rPr>
        <w:footnoteRef/>
      </w:r>
      <w:r w:rsidRPr="00DE46F3">
        <w:rPr>
          <w:szCs w:val="17"/>
        </w:rPr>
        <w:tab/>
        <w:t>2016 Timor-Leste Demographic and Health Survey, General Directorate of Statistics (GDS) – Ministry of Finance / ICF, 2018, pp.</w:t>
      </w:r>
      <w:r w:rsidR="00C169FA" w:rsidRPr="00DE46F3">
        <w:rPr>
          <w:szCs w:val="17"/>
        </w:rPr>
        <w:t xml:space="preserve"> </w:t>
      </w:r>
      <w:r w:rsidRPr="00DE46F3">
        <w:rPr>
          <w:szCs w:val="17"/>
        </w:rPr>
        <w:t>110</w:t>
      </w:r>
      <w:r w:rsidR="00A2287E" w:rsidRPr="00DE46F3">
        <w:rPr>
          <w:szCs w:val="17"/>
        </w:rPr>
        <w:t>–</w:t>
      </w:r>
      <w:r w:rsidRPr="00DE46F3">
        <w:rPr>
          <w:szCs w:val="17"/>
        </w:rPr>
        <w:t>111.</w:t>
      </w:r>
    </w:p>
  </w:footnote>
  <w:footnote w:id="241">
    <w:p w14:paraId="1F0CF051" w14:textId="77777777" w:rsidR="00E7381F" w:rsidRPr="00DE46F3" w:rsidRDefault="00E7381F" w:rsidP="0098356B">
      <w:pPr>
        <w:pStyle w:val="FootnoteText"/>
        <w:tabs>
          <w:tab w:val="clear" w:pos="418"/>
          <w:tab w:val="right" w:pos="1195"/>
          <w:tab w:val="left" w:pos="1267"/>
          <w:tab w:val="left" w:pos="1742"/>
          <w:tab w:val="left" w:pos="2218"/>
          <w:tab w:val="left" w:pos="2693"/>
        </w:tabs>
        <w:ind w:left="1267" w:right="1260" w:hanging="432"/>
        <w:jc w:val="both"/>
        <w:rPr>
          <w:szCs w:val="17"/>
        </w:rPr>
      </w:pPr>
      <w:r w:rsidRPr="00DE46F3">
        <w:rPr>
          <w:szCs w:val="17"/>
        </w:rPr>
        <w:tab/>
      </w:r>
      <w:r w:rsidRPr="00DE46F3">
        <w:rPr>
          <w:rStyle w:val="FootnoteReference"/>
          <w:szCs w:val="17"/>
        </w:rPr>
        <w:footnoteRef/>
      </w:r>
      <w:r w:rsidRPr="00DE46F3">
        <w:rPr>
          <w:szCs w:val="17"/>
        </w:rPr>
        <w:tab/>
      </w:r>
      <w:r w:rsidRPr="00DE46F3">
        <w:rPr>
          <w:rFonts w:cs="Calibri"/>
          <w:szCs w:val="17"/>
        </w:rPr>
        <w:t>Urban and rural fertility have both fallen by 1.4 children since the 2009-10 TLDHS.</w:t>
      </w:r>
    </w:p>
  </w:footnote>
  <w:footnote w:id="242">
    <w:p w14:paraId="4E6C288B" w14:textId="77777777" w:rsidR="00E7381F" w:rsidRPr="00DE46F3" w:rsidRDefault="00E7381F" w:rsidP="0098356B">
      <w:pPr>
        <w:pStyle w:val="FootnoteText"/>
        <w:tabs>
          <w:tab w:val="clear" w:pos="418"/>
          <w:tab w:val="right" w:pos="1195"/>
          <w:tab w:val="left" w:pos="1267"/>
          <w:tab w:val="left" w:pos="1742"/>
          <w:tab w:val="left" w:pos="2218"/>
          <w:tab w:val="left" w:pos="2693"/>
        </w:tabs>
        <w:ind w:left="1267" w:right="1260" w:hanging="432"/>
        <w:jc w:val="both"/>
        <w:rPr>
          <w:szCs w:val="17"/>
        </w:rPr>
      </w:pPr>
      <w:r w:rsidRPr="00DE46F3">
        <w:rPr>
          <w:szCs w:val="17"/>
        </w:rPr>
        <w:tab/>
      </w:r>
      <w:r w:rsidRPr="00DE46F3">
        <w:rPr>
          <w:rStyle w:val="FootnoteReference"/>
          <w:szCs w:val="17"/>
        </w:rPr>
        <w:footnoteRef/>
      </w:r>
      <w:r w:rsidRPr="00DE46F3">
        <w:rPr>
          <w:szCs w:val="17"/>
        </w:rPr>
        <w:tab/>
        <w:t>Inputs from the Consultative Workshop, 17th/18th October 2019.</w:t>
      </w:r>
    </w:p>
  </w:footnote>
  <w:footnote w:id="243">
    <w:p w14:paraId="265C4386" w14:textId="2A7306B1" w:rsidR="00E7381F" w:rsidRPr="00DE46F3" w:rsidRDefault="00E7381F" w:rsidP="0098356B">
      <w:pPr>
        <w:pStyle w:val="FootnoteText"/>
        <w:tabs>
          <w:tab w:val="clear" w:pos="418"/>
          <w:tab w:val="right" w:pos="1195"/>
          <w:tab w:val="left" w:pos="1267"/>
          <w:tab w:val="left" w:pos="1742"/>
          <w:tab w:val="left" w:pos="2218"/>
          <w:tab w:val="left" w:pos="2693"/>
        </w:tabs>
        <w:ind w:left="1267" w:right="1260" w:hanging="432"/>
        <w:jc w:val="both"/>
        <w:rPr>
          <w:szCs w:val="17"/>
        </w:rPr>
      </w:pPr>
      <w:r w:rsidRPr="00DE46F3">
        <w:rPr>
          <w:szCs w:val="17"/>
        </w:rPr>
        <w:tab/>
      </w:r>
      <w:r w:rsidRPr="00DE46F3">
        <w:rPr>
          <w:rStyle w:val="FootnoteReference"/>
          <w:szCs w:val="17"/>
        </w:rPr>
        <w:footnoteRef/>
      </w:r>
      <w:r w:rsidRPr="00DE46F3">
        <w:rPr>
          <w:szCs w:val="17"/>
        </w:rPr>
        <w:tab/>
        <w:t xml:space="preserve">Dr. D. Cummins and Ms. Z. Fonseca, Teenage Pregnancy and Early Marriage - </w:t>
      </w:r>
      <w:r w:rsidRPr="00DE46F3">
        <w:rPr>
          <w:i/>
          <w:iCs/>
          <w:szCs w:val="17"/>
        </w:rPr>
        <w:t xml:space="preserve">Research on the Decision-Making Pathways of Young Women in the Municipalities of Covalima, Aileu and Dili, </w:t>
      </w:r>
      <w:r w:rsidRPr="00DE46F3">
        <w:rPr>
          <w:rFonts w:eastAsia="ArialMT"/>
          <w:szCs w:val="17"/>
        </w:rPr>
        <w:t xml:space="preserve">Secretariat of State for Youth and Sports – Democratic Republic of Timor-Leste/ </w:t>
      </w:r>
      <w:r w:rsidRPr="00DE46F3">
        <w:rPr>
          <w:szCs w:val="17"/>
        </w:rPr>
        <w:t>UNFPA Timor-Leste / Plan International, May 2017, p.</w:t>
      </w:r>
      <w:r w:rsidR="00C169FA" w:rsidRPr="00DE46F3">
        <w:rPr>
          <w:szCs w:val="17"/>
        </w:rPr>
        <w:t xml:space="preserve"> </w:t>
      </w:r>
      <w:r w:rsidRPr="00DE46F3">
        <w:rPr>
          <w:szCs w:val="17"/>
        </w:rPr>
        <w:t>19.</w:t>
      </w:r>
    </w:p>
  </w:footnote>
  <w:footnote w:id="244">
    <w:p w14:paraId="3C973C27" w14:textId="77777777" w:rsidR="00E7381F" w:rsidRPr="00DE46F3" w:rsidRDefault="00E7381F" w:rsidP="0098356B">
      <w:pPr>
        <w:pStyle w:val="FootnoteText"/>
        <w:tabs>
          <w:tab w:val="clear" w:pos="418"/>
          <w:tab w:val="right" w:pos="1195"/>
          <w:tab w:val="left" w:pos="1267"/>
          <w:tab w:val="left" w:pos="1742"/>
          <w:tab w:val="left" w:pos="2218"/>
          <w:tab w:val="left" w:pos="2693"/>
        </w:tabs>
        <w:ind w:left="1267" w:right="1260" w:hanging="432"/>
        <w:jc w:val="both"/>
        <w:rPr>
          <w:szCs w:val="17"/>
        </w:rPr>
      </w:pPr>
      <w:r w:rsidRPr="00DE46F3">
        <w:rPr>
          <w:szCs w:val="17"/>
        </w:rPr>
        <w:tab/>
      </w:r>
      <w:r w:rsidRPr="00DE46F3">
        <w:rPr>
          <w:rStyle w:val="FootnoteReference"/>
          <w:szCs w:val="17"/>
        </w:rPr>
        <w:footnoteRef/>
      </w:r>
      <w:r w:rsidRPr="00DE46F3">
        <w:rPr>
          <w:szCs w:val="17"/>
        </w:rPr>
        <w:tab/>
      </w:r>
      <w:r w:rsidRPr="00DE46F3">
        <w:rPr>
          <w:rFonts w:cs="Calibri"/>
          <w:szCs w:val="17"/>
        </w:rPr>
        <w:t>This teenage childbearing rate is similar to the level found in the 2009-10 DHS.</w:t>
      </w:r>
    </w:p>
  </w:footnote>
  <w:footnote w:id="245">
    <w:p w14:paraId="10EB8128" w14:textId="77777777" w:rsidR="00E7381F" w:rsidRPr="00DE46F3" w:rsidRDefault="00E7381F" w:rsidP="0098356B">
      <w:pPr>
        <w:pStyle w:val="FootnoteText"/>
        <w:tabs>
          <w:tab w:val="clear" w:pos="418"/>
          <w:tab w:val="right" w:pos="1195"/>
          <w:tab w:val="left" w:pos="1267"/>
          <w:tab w:val="left" w:pos="1742"/>
          <w:tab w:val="left" w:pos="2218"/>
          <w:tab w:val="left" w:pos="2693"/>
        </w:tabs>
        <w:ind w:left="1267" w:right="1260" w:hanging="432"/>
        <w:jc w:val="both"/>
        <w:rPr>
          <w:szCs w:val="17"/>
        </w:rPr>
      </w:pPr>
      <w:r w:rsidRPr="00DE46F3">
        <w:rPr>
          <w:szCs w:val="17"/>
        </w:rPr>
        <w:tab/>
      </w:r>
      <w:r w:rsidRPr="00DE46F3">
        <w:rPr>
          <w:rStyle w:val="FootnoteReference"/>
          <w:szCs w:val="17"/>
        </w:rPr>
        <w:footnoteRef/>
      </w:r>
      <w:r w:rsidRPr="00DE46F3">
        <w:rPr>
          <w:szCs w:val="17"/>
        </w:rPr>
        <w:tab/>
        <w:t>2016 Timor-Leste Demographic and Health Survey, General Directorate of Statistics (GDS) – Ministry of Finance / ICF, 2018, pp.69-70.</w:t>
      </w:r>
    </w:p>
  </w:footnote>
  <w:footnote w:id="246">
    <w:p w14:paraId="35C69EF8" w14:textId="77777777" w:rsidR="00E7381F" w:rsidRPr="00DE46F3" w:rsidRDefault="00E7381F" w:rsidP="0098356B">
      <w:pPr>
        <w:pStyle w:val="FootnoteText"/>
        <w:tabs>
          <w:tab w:val="clear" w:pos="418"/>
          <w:tab w:val="right" w:pos="1195"/>
          <w:tab w:val="left" w:pos="1267"/>
          <w:tab w:val="left" w:pos="1742"/>
          <w:tab w:val="left" w:pos="2218"/>
          <w:tab w:val="left" w:pos="2693"/>
        </w:tabs>
        <w:ind w:left="1267" w:right="1260" w:hanging="432"/>
        <w:jc w:val="both"/>
        <w:rPr>
          <w:szCs w:val="17"/>
        </w:rPr>
      </w:pPr>
      <w:r w:rsidRPr="00DE46F3">
        <w:rPr>
          <w:szCs w:val="17"/>
        </w:rPr>
        <w:tab/>
      </w:r>
      <w:r w:rsidRPr="00DE46F3">
        <w:rPr>
          <w:rStyle w:val="FootnoteReference"/>
          <w:szCs w:val="17"/>
        </w:rPr>
        <w:footnoteRef/>
      </w:r>
      <w:r w:rsidRPr="00DE46F3">
        <w:rPr>
          <w:szCs w:val="17"/>
        </w:rPr>
        <w:tab/>
        <w:t>See Article 5.</w:t>
      </w:r>
    </w:p>
  </w:footnote>
  <w:footnote w:id="247">
    <w:p w14:paraId="1FCD55DB" w14:textId="0C7B8366" w:rsidR="00E7381F" w:rsidRPr="00DE46F3" w:rsidRDefault="00E7381F" w:rsidP="0098356B">
      <w:pPr>
        <w:pStyle w:val="FootnoteText"/>
        <w:tabs>
          <w:tab w:val="clear" w:pos="418"/>
          <w:tab w:val="right" w:pos="1195"/>
          <w:tab w:val="left" w:pos="1267"/>
          <w:tab w:val="left" w:pos="1742"/>
          <w:tab w:val="left" w:pos="2218"/>
          <w:tab w:val="left" w:pos="2693"/>
        </w:tabs>
        <w:ind w:left="1267" w:right="1260" w:hanging="432"/>
        <w:jc w:val="both"/>
        <w:rPr>
          <w:szCs w:val="17"/>
        </w:rPr>
      </w:pPr>
      <w:r w:rsidRPr="00DE46F3">
        <w:rPr>
          <w:szCs w:val="17"/>
        </w:rPr>
        <w:tab/>
      </w:r>
      <w:r w:rsidRPr="00DE46F3">
        <w:rPr>
          <w:rStyle w:val="FootnoteReference"/>
          <w:szCs w:val="17"/>
        </w:rPr>
        <w:footnoteRef/>
      </w:r>
      <w:r w:rsidRPr="00DE46F3">
        <w:rPr>
          <w:szCs w:val="17"/>
        </w:rPr>
        <w:tab/>
        <w:t xml:space="preserve">Dr. D. Cummins and Ms. Z. Fonseca, Teenage Pregnancy and Early Marriage - </w:t>
      </w:r>
      <w:r w:rsidRPr="00DE46F3">
        <w:rPr>
          <w:i/>
          <w:iCs/>
          <w:szCs w:val="17"/>
        </w:rPr>
        <w:t xml:space="preserve">Research on the Decision-Making Pathways of Young Women in the Municipalities of Covalima, Aileu and Dili, </w:t>
      </w:r>
      <w:r w:rsidRPr="00DE46F3">
        <w:rPr>
          <w:rFonts w:eastAsia="ArialMT"/>
          <w:szCs w:val="17"/>
        </w:rPr>
        <w:t xml:space="preserve">Secretariat of State for Youth and Sports – Democratic Republic of Timor-Leste/ </w:t>
      </w:r>
      <w:r w:rsidRPr="00DE46F3">
        <w:rPr>
          <w:szCs w:val="17"/>
        </w:rPr>
        <w:t>UNFPA Timor-Leste / Plan International, May 2017, p.</w:t>
      </w:r>
      <w:r w:rsidR="00A2287E" w:rsidRPr="00DE46F3">
        <w:rPr>
          <w:szCs w:val="17"/>
        </w:rPr>
        <w:t xml:space="preserve"> </w:t>
      </w:r>
      <w:r w:rsidRPr="00DE46F3">
        <w:rPr>
          <w:szCs w:val="17"/>
        </w:rPr>
        <w:t>5.</w:t>
      </w:r>
    </w:p>
  </w:footnote>
  <w:footnote w:id="248">
    <w:p w14:paraId="23636A28" w14:textId="6A67D30B" w:rsidR="00E7381F" w:rsidRPr="00DE46F3" w:rsidRDefault="00E7381F" w:rsidP="0098356B">
      <w:pPr>
        <w:pStyle w:val="FootnoteText"/>
        <w:tabs>
          <w:tab w:val="clear" w:pos="418"/>
          <w:tab w:val="right" w:pos="1195"/>
          <w:tab w:val="left" w:pos="1267"/>
          <w:tab w:val="left" w:pos="1742"/>
          <w:tab w:val="left" w:pos="2218"/>
          <w:tab w:val="left" w:pos="2693"/>
        </w:tabs>
        <w:ind w:left="1267" w:right="1260" w:hanging="432"/>
        <w:rPr>
          <w:szCs w:val="17"/>
        </w:rPr>
      </w:pPr>
      <w:r w:rsidRPr="00DE46F3">
        <w:rPr>
          <w:szCs w:val="17"/>
        </w:rPr>
        <w:tab/>
      </w:r>
      <w:r w:rsidRPr="00DE46F3">
        <w:rPr>
          <w:rStyle w:val="FootnoteReference"/>
          <w:szCs w:val="17"/>
        </w:rPr>
        <w:footnoteRef/>
      </w:r>
      <w:r w:rsidRPr="00DE46F3">
        <w:rPr>
          <w:szCs w:val="17"/>
        </w:rPr>
        <w:tab/>
      </w:r>
      <w:r w:rsidRPr="00DE46F3">
        <w:rPr>
          <w:rFonts w:cs="Calibri"/>
          <w:szCs w:val="17"/>
        </w:rPr>
        <w:t>Overall, only 8 per cent of women correctly identify the time when a woman is most likely to conceive. By age, knowledge of the fertile period is lowest among women age 15-19 (4 per cent) and highest among women age 25</w:t>
      </w:r>
      <w:r w:rsidR="00A2287E" w:rsidRPr="00DE46F3">
        <w:rPr>
          <w:rFonts w:eastAsia="ArialMT"/>
          <w:szCs w:val="17"/>
        </w:rPr>
        <w:t>–</w:t>
      </w:r>
      <w:r w:rsidRPr="00DE46F3">
        <w:rPr>
          <w:rFonts w:cs="Calibri"/>
          <w:szCs w:val="17"/>
        </w:rPr>
        <w:t>39 (11 per cent).</w:t>
      </w:r>
    </w:p>
  </w:footnote>
  <w:footnote w:id="249">
    <w:p w14:paraId="37EC51D4" w14:textId="77777777" w:rsidR="00E7381F" w:rsidRPr="00DE46F3" w:rsidRDefault="00E7381F" w:rsidP="0098356B">
      <w:pPr>
        <w:pStyle w:val="FootnoteText"/>
        <w:tabs>
          <w:tab w:val="clear" w:pos="418"/>
          <w:tab w:val="right" w:pos="1195"/>
          <w:tab w:val="left" w:pos="1267"/>
          <w:tab w:val="left" w:pos="1742"/>
          <w:tab w:val="left" w:pos="2218"/>
          <w:tab w:val="left" w:pos="2693"/>
        </w:tabs>
        <w:ind w:left="1267" w:right="1260" w:hanging="432"/>
        <w:jc w:val="both"/>
        <w:rPr>
          <w:szCs w:val="17"/>
        </w:rPr>
      </w:pPr>
      <w:r w:rsidRPr="00DE46F3">
        <w:rPr>
          <w:szCs w:val="17"/>
        </w:rPr>
        <w:tab/>
      </w:r>
      <w:r w:rsidRPr="00DE46F3">
        <w:rPr>
          <w:rStyle w:val="FootnoteReference"/>
          <w:szCs w:val="17"/>
        </w:rPr>
        <w:footnoteRef/>
      </w:r>
      <w:r w:rsidRPr="00DE46F3">
        <w:rPr>
          <w:szCs w:val="17"/>
        </w:rPr>
        <w:tab/>
        <w:t>2016 Timor-Leste Demographic and Health Survey, General Directorate of Statistics (GDS) – Ministry of Finance / ICF, 2018, p. 95.</w:t>
      </w:r>
    </w:p>
  </w:footnote>
  <w:footnote w:id="250">
    <w:p w14:paraId="000C0EEE" w14:textId="77777777" w:rsidR="00E7381F" w:rsidRPr="00DE46F3" w:rsidRDefault="00E7381F" w:rsidP="0098356B">
      <w:pPr>
        <w:pStyle w:val="FootnoteText"/>
        <w:tabs>
          <w:tab w:val="clear" w:pos="418"/>
          <w:tab w:val="right" w:pos="1195"/>
          <w:tab w:val="left" w:pos="1267"/>
          <w:tab w:val="left" w:pos="1742"/>
          <w:tab w:val="left" w:pos="2218"/>
          <w:tab w:val="left" w:pos="2693"/>
        </w:tabs>
        <w:ind w:left="1267" w:right="1260" w:hanging="432"/>
        <w:jc w:val="both"/>
        <w:rPr>
          <w:szCs w:val="17"/>
        </w:rPr>
      </w:pPr>
      <w:r w:rsidRPr="00DE46F3">
        <w:rPr>
          <w:szCs w:val="17"/>
        </w:rPr>
        <w:tab/>
      </w:r>
      <w:r w:rsidRPr="00DE46F3">
        <w:rPr>
          <w:rStyle w:val="FootnoteReference"/>
          <w:szCs w:val="17"/>
        </w:rPr>
        <w:footnoteRef/>
      </w:r>
      <w:r w:rsidRPr="00DE46F3">
        <w:rPr>
          <w:szCs w:val="17"/>
        </w:rPr>
        <w:tab/>
        <w:t>See Article 10.</w:t>
      </w:r>
    </w:p>
  </w:footnote>
  <w:footnote w:id="251">
    <w:p w14:paraId="69A57CED" w14:textId="77777777" w:rsidR="00E7381F" w:rsidRPr="00DE46F3" w:rsidRDefault="00E7381F" w:rsidP="0098356B">
      <w:pPr>
        <w:pStyle w:val="FootnoteText"/>
        <w:tabs>
          <w:tab w:val="clear" w:pos="418"/>
          <w:tab w:val="right" w:pos="1195"/>
          <w:tab w:val="left" w:pos="1267"/>
          <w:tab w:val="left" w:pos="1742"/>
          <w:tab w:val="left" w:pos="2218"/>
          <w:tab w:val="left" w:pos="2693"/>
        </w:tabs>
        <w:ind w:left="1267" w:right="1260" w:hanging="432"/>
        <w:jc w:val="both"/>
        <w:rPr>
          <w:szCs w:val="17"/>
        </w:rPr>
      </w:pPr>
      <w:r w:rsidRPr="00DE46F3">
        <w:rPr>
          <w:szCs w:val="17"/>
        </w:rPr>
        <w:tab/>
      </w:r>
      <w:r w:rsidRPr="00DE46F3">
        <w:rPr>
          <w:rStyle w:val="FootnoteReference"/>
          <w:szCs w:val="17"/>
        </w:rPr>
        <w:footnoteRef/>
      </w:r>
      <w:r w:rsidRPr="00DE46F3">
        <w:rPr>
          <w:szCs w:val="17"/>
        </w:rPr>
        <w:tab/>
        <w:t>Inputs from the Consultative Workshop, 17th/18th October 2019.</w:t>
      </w:r>
    </w:p>
  </w:footnote>
  <w:footnote w:id="252">
    <w:p w14:paraId="0CB68058" w14:textId="19D46EF9" w:rsidR="00E7381F" w:rsidRPr="00DE46F3" w:rsidRDefault="00E7381F" w:rsidP="0098356B">
      <w:pPr>
        <w:pStyle w:val="FootnoteText"/>
        <w:tabs>
          <w:tab w:val="clear" w:pos="418"/>
          <w:tab w:val="right" w:pos="1195"/>
          <w:tab w:val="left" w:pos="1267"/>
          <w:tab w:val="left" w:pos="1742"/>
          <w:tab w:val="left" w:pos="2218"/>
          <w:tab w:val="left" w:pos="2693"/>
        </w:tabs>
        <w:ind w:left="1267" w:right="1260" w:hanging="432"/>
        <w:jc w:val="both"/>
        <w:rPr>
          <w:szCs w:val="17"/>
        </w:rPr>
      </w:pPr>
      <w:r w:rsidRPr="00DE46F3">
        <w:rPr>
          <w:szCs w:val="17"/>
        </w:rPr>
        <w:tab/>
      </w:r>
      <w:r w:rsidRPr="00DE46F3">
        <w:rPr>
          <w:rStyle w:val="FootnoteReference"/>
          <w:szCs w:val="17"/>
        </w:rPr>
        <w:footnoteRef/>
      </w:r>
      <w:r w:rsidRPr="00DE46F3">
        <w:rPr>
          <w:szCs w:val="17"/>
        </w:rPr>
        <w:tab/>
        <w:t>2016 Timor-Leste Demographic and Health Survey, General Directorate of Statistics (GDS) – Ministry of Finance / ICF, 2018, p.</w:t>
      </w:r>
      <w:r w:rsidR="00C169FA" w:rsidRPr="00DE46F3">
        <w:rPr>
          <w:szCs w:val="17"/>
        </w:rPr>
        <w:t xml:space="preserve"> </w:t>
      </w:r>
      <w:r w:rsidRPr="00DE46F3">
        <w:rPr>
          <w:szCs w:val="17"/>
        </w:rPr>
        <w:t>181.</w:t>
      </w:r>
    </w:p>
  </w:footnote>
  <w:footnote w:id="253">
    <w:p w14:paraId="506674D4" w14:textId="06DC0DDE" w:rsidR="00E7381F" w:rsidRPr="00DE46F3" w:rsidRDefault="00E7381F" w:rsidP="0098356B">
      <w:pPr>
        <w:pStyle w:val="FootnoteText"/>
        <w:tabs>
          <w:tab w:val="clear" w:pos="418"/>
          <w:tab w:val="right" w:pos="1195"/>
          <w:tab w:val="left" w:pos="1267"/>
          <w:tab w:val="left" w:pos="1742"/>
          <w:tab w:val="left" w:pos="2218"/>
          <w:tab w:val="left" w:pos="2693"/>
        </w:tabs>
        <w:ind w:left="1267" w:right="1260" w:hanging="432"/>
        <w:jc w:val="both"/>
        <w:rPr>
          <w:szCs w:val="17"/>
        </w:rPr>
      </w:pPr>
      <w:r w:rsidRPr="00DE46F3">
        <w:rPr>
          <w:szCs w:val="17"/>
        </w:rPr>
        <w:tab/>
      </w:r>
      <w:r w:rsidRPr="00DE46F3">
        <w:rPr>
          <w:rStyle w:val="FootnoteReference"/>
          <w:szCs w:val="17"/>
        </w:rPr>
        <w:footnoteRef/>
      </w:r>
      <w:r w:rsidRPr="00DE46F3">
        <w:rPr>
          <w:szCs w:val="17"/>
        </w:rPr>
        <w:tab/>
        <w:t>Timor-Leste National Nutrition Strategy 2014-2019, Ministry of Health, Timor-Leste, 2014, pp.</w:t>
      </w:r>
      <w:r w:rsidR="00DF508B">
        <w:rPr>
          <w:szCs w:val="17"/>
        </w:rPr>
        <w:t> </w:t>
      </w:r>
      <w:r w:rsidRPr="00DE46F3">
        <w:rPr>
          <w:szCs w:val="17"/>
        </w:rPr>
        <w:t>7/40.</w:t>
      </w:r>
    </w:p>
  </w:footnote>
  <w:footnote w:id="254">
    <w:p w14:paraId="059CC016" w14:textId="009F7AB9" w:rsidR="00E7381F" w:rsidRPr="00DE46F3" w:rsidRDefault="00E7381F" w:rsidP="0098356B">
      <w:pPr>
        <w:pStyle w:val="FootnoteText"/>
        <w:tabs>
          <w:tab w:val="clear" w:pos="418"/>
          <w:tab w:val="right" w:pos="1195"/>
          <w:tab w:val="left" w:pos="1267"/>
          <w:tab w:val="left" w:pos="1742"/>
          <w:tab w:val="left" w:pos="2218"/>
          <w:tab w:val="left" w:pos="2693"/>
        </w:tabs>
        <w:ind w:left="1267" w:right="1260" w:hanging="432"/>
        <w:jc w:val="both"/>
        <w:rPr>
          <w:szCs w:val="17"/>
        </w:rPr>
      </w:pPr>
      <w:r w:rsidRPr="00DE46F3">
        <w:rPr>
          <w:szCs w:val="17"/>
        </w:rPr>
        <w:tab/>
      </w:r>
      <w:r w:rsidRPr="00DE46F3">
        <w:rPr>
          <w:rStyle w:val="FootnoteReference"/>
          <w:szCs w:val="17"/>
        </w:rPr>
        <w:footnoteRef/>
      </w:r>
      <w:r w:rsidRPr="00DE46F3">
        <w:rPr>
          <w:szCs w:val="17"/>
        </w:rPr>
        <w:tab/>
      </w:r>
      <w:hyperlink r:id="rId16" w:history="1">
        <w:r w:rsidRPr="00DE46F3">
          <w:rPr>
            <w:rStyle w:val="Hyperlink"/>
            <w:szCs w:val="17"/>
          </w:rPr>
          <w:t>https://hamutuk.tl/en/</w:t>
        </w:r>
      </w:hyperlink>
      <w:r w:rsidRPr="00DE46F3">
        <w:rPr>
          <w:rStyle w:val="Hyperlink"/>
          <w:szCs w:val="17"/>
        </w:rPr>
        <w:t>.</w:t>
      </w:r>
    </w:p>
  </w:footnote>
  <w:footnote w:id="255">
    <w:p w14:paraId="6981C203" w14:textId="77777777" w:rsidR="00E7381F" w:rsidRPr="00DE46F3" w:rsidRDefault="00E7381F" w:rsidP="0098356B">
      <w:pPr>
        <w:pStyle w:val="FootnoteText"/>
        <w:tabs>
          <w:tab w:val="clear" w:pos="418"/>
          <w:tab w:val="right" w:pos="1195"/>
          <w:tab w:val="left" w:pos="1267"/>
          <w:tab w:val="left" w:pos="1742"/>
          <w:tab w:val="left" w:pos="2218"/>
          <w:tab w:val="left" w:pos="2693"/>
        </w:tabs>
        <w:ind w:left="1267" w:right="1260" w:hanging="432"/>
        <w:jc w:val="both"/>
        <w:rPr>
          <w:szCs w:val="17"/>
        </w:rPr>
      </w:pPr>
      <w:r w:rsidRPr="00DE46F3">
        <w:rPr>
          <w:szCs w:val="17"/>
        </w:rPr>
        <w:tab/>
      </w:r>
      <w:r w:rsidRPr="00DE46F3">
        <w:rPr>
          <w:rStyle w:val="FootnoteReference"/>
          <w:szCs w:val="17"/>
        </w:rPr>
        <w:footnoteRef/>
      </w:r>
      <w:r w:rsidRPr="00DE46F3">
        <w:rPr>
          <w:szCs w:val="17"/>
        </w:rPr>
        <w:tab/>
        <w:t>Country Policy Effectiveness Analysis, European Union (EU), Food and Agriculture Organization (FAO), and National Council for Food Security Sovereignty and Nutrition (CONSSAN-TL), Timor-Leste, Feb. 2019.</w:t>
      </w:r>
    </w:p>
  </w:footnote>
  <w:footnote w:id="256">
    <w:p w14:paraId="31FCEBDF" w14:textId="2C1834A0" w:rsidR="00E7381F" w:rsidRPr="00DE46F3" w:rsidRDefault="00E7381F" w:rsidP="0098356B">
      <w:pPr>
        <w:pStyle w:val="FootnoteText"/>
        <w:tabs>
          <w:tab w:val="clear" w:pos="418"/>
          <w:tab w:val="right" w:pos="1195"/>
          <w:tab w:val="left" w:pos="1267"/>
          <w:tab w:val="left" w:pos="1742"/>
          <w:tab w:val="left" w:pos="2218"/>
          <w:tab w:val="left" w:pos="2693"/>
        </w:tabs>
        <w:ind w:left="1267" w:right="1260" w:hanging="432"/>
        <w:jc w:val="both"/>
        <w:rPr>
          <w:szCs w:val="17"/>
        </w:rPr>
      </w:pPr>
      <w:r w:rsidRPr="00DE46F3">
        <w:rPr>
          <w:szCs w:val="17"/>
        </w:rPr>
        <w:tab/>
      </w:r>
      <w:r w:rsidRPr="00DE46F3">
        <w:rPr>
          <w:rStyle w:val="FootnoteReference"/>
          <w:szCs w:val="17"/>
        </w:rPr>
        <w:footnoteRef/>
      </w:r>
      <w:r w:rsidRPr="00DE46F3">
        <w:rPr>
          <w:szCs w:val="17"/>
        </w:rPr>
        <w:tab/>
      </w:r>
      <w:r w:rsidRPr="00DE46F3">
        <w:rPr>
          <w:szCs w:val="17"/>
          <w:lang w:eastAsia="fr-FR"/>
        </w:rPr>
        <w:t xml:space="preserve">Timor-Leste’s Beijing Declaration and Platform for Action (Bpfa) National Review and Appraisal Report (2014-2018), Democratic Republic of Timor-Leste, Secretariat of State of Equality and Inclusion (SEII), 2019, </w:t>
      </w:r>
      <w:r w:rsidRPr="00DE46F3">
        <w:rPr>
          <w:szCs w:val="17"/>
        </w:rPr>
        <w:t>p.</w:t>
      </w:r>
      <w:r w:rsidR="005B5FE3" w:rsidRPr="00DE46F3">
        <w:rPr>
          <w:szCs w:val="17"/>
        </w:rPr>
        <w:t xml:space="preserve"> </w:t>
      </w:r>
      <w:r w:rsidRPr="00DE46F3">
        <w:rPr>
          <w:szCs w:val="17"/>
        </w:rPr>
        <w:t>26; 2017 Journal of Change in Timor-Leste, UNICEF, Oct. 2018, p.</w:t>
      </w:r>
      <w:r w:rsidR="00A2287E" w:rsidRPr="00DE46F3">
        <w:rPr>
          <w:szCs w:val="17"/>
        </w:rPr>
        <w:t xml:space="preserve"> </w:t>
      </w:r>
      <w:r w:rsidRPr="00DE46F3">
        <w:rPr>
          <w:szCs w:val="17"/>
        </w:rPr>
        <w:t>7.</w:t>
      </w:r>
    </w:p>
  </w:footnote>
  <w:footnote w:id="257">
    <w:p w14:paraId="4EF18A60" w14:textId="77777777" w:rsidR="00E7381F" w:rsidRPr="00DE46F3" w:rsidRDefault="00E7381F" w:rsidP="0098356B">
      <w:pPr>
        <w:pStyle w:val="FootnoteText"/>
        <w:tabs>
          <w:tab w:val="clear" w:pos="418"/>
          <w:tab w:val="right" w:pos="1195"/>
          <w:tab w:val="left" w:pos="1267"/>
          <w:tab w:val="left" w:pos="1742"/>
          <w:tab w:val="left" w:pos="2218"/>
          <w:tab w:val="left" w:pos="2693"/>
        </w:tabs>
        <w:ind w:left="1267" w:right="1260" w:hanging="432"/>
        <w:jc w:val="both"/>
        <w:rPr>
          <w:szCs w:val="17"/>
        </w:rPr>
      </w:pPr>
      <w:r w:rsidRPr="00DE46F3">
        <w:rPr>
          <w:szCs w:val="17"/>
        </w:rPr>
        <w:tab/>
      </w:r>
      <w:r w:rsidRPr="00DE46F3">
        <w:rPr>
          <w:rStyle w:val="FootnoteReference"/>
          <w:szCs w:val="17"/>
        </w:rPr>
        <w:footnoteRef/>
      </w:r>
      <w:r w:rsidRPr="00DE46F3">
        <w:rPr>
          <w:szCs w:val="17"/>
        </w:rPr>
        <w:tab/>
        <w:t>Law N° 12/2016, 14th November 2016.</w:t>
      </w:r>
    </w:p>
  </w:footnote>
  <w:footnote w:id="258">
    <w:p w14:paraId="23565FD7" w14:textId="3601E37A" w:rsidR="00E7381F" w:rsidRPr="00DE46F3" w:rsidRDefault="00E7381F" w:rsidP="0098356B">
      <w:pPr>
        <w:pStyle w:val="FootnoteText"/>
        <w:tabs>
          <w:tab w:val="clear" w:pos="418"/>
          <w:tab w:val="right" w:pos="1195"/>
          <w:tab w:val="left" w:pos="1267"/>
          <w:tab w:val="left" w:pos="1742"/>
          <w:tab w:val="left" w:pos="2218"/>
          <w:tab w:val="left" w:pos="2693"/>
        </w:tabs>
        <w:ind w:left="1267" w:right="1260" w:hanging="432"/>
        <w:jc w:val="both"/>
        <w:rPr>
          <w:szCs w:val="17"/>
        </w:rPr>
      </w:pPr>
      <w:r w:rsidRPr="00DE46F3">
        <w:rPr>
          <w:szCs w:val="17"/>
        </w:rPr>
        <w:tab/>
      </w:r>
      <w:r w:rsidRPr="00DE46F3">
        <w:rPr>
          <w:rStyle w:val="FootnoteReference"/>
          <w:szCs w:val="17"/>
        </w:rPr>
        <w:footnoteRef/>
      </w:r>
      <w:r w:rsidRPr="00DE46F3">
        <w:rPr>
          <w:szCs w:val="17"/>
        </w:rPr>
        <w:tab/>
        <w:t xml:space="preserve">2012 </w:t>
      </w:r>
      <w:r w:rsidRPr="00DE46F3">
        <w:rPr>
          <w:rFonts w:cs="Calibri"/>
          <w:szCs w:val="17"/>
        </w:rPr>
        <w:t>Transitional Social Security Scheme to the benefit exclusive of public servants (</w:t>
      </w:r>
      <w:r w:rsidRPr="00DE46F3">
        <w:rPr>
          <w:szCs w:val="17"/>
        </w:rPr>
        <w:t>Law N°</w:t>
      </w:r>
      <w:r w:rsidR="00DF508B">
        <w:rPr>
          <w:szCs w:val="17"/>
        </w:rPr>
        <w:t> </w:t>
      </w:r>
      <w:r w:rsidRPr="00DE46F3">
        <w:rPr>
          <w:szCs w:val="17"/>
        </w:rPr>
        <w:t>6/2012)</w:t>
      </w:r>
      <w:r w:rsidRPr="00DE46F3">
        <w:rPr>
          <w:rFonts w:cs="Calibri"/>
          <w:szCs w:val="17"/>
        </w:rPr>
        <w:t xml:space="preserve">. </w:t>
      </w:r>
    </w:p>
  </w:footnote>
  <w:footnote w:id="259">
    <w:p w14:paraId="43A78236" w14:textId="77777777" w:rsidR="00E7381F" w:rsidRPr="00DE46F3" w:rsidRDefault="00E7381F" w:rsidP="0098356B">
      <w:pPr>
        <w:pStyle w:val="FootnoteText"/>
        <w:tabs>
          <w:tab w:val="clear" w:pos="418"/>
          <w:tab w:val="right" w:pos="1195"/>
          <w:tab w:val="left" w:pos="1267"/>
          <w:tab w:val="left" w:pos="1742"/>
          <w:tab w:val="left" w:pos="2218"/>
          <w:tab w:val="left" w:pos="2693"/>
        </w:tabs>
        <w:ind w:left="1267" w:right="1260" w:hanging="432"/>
        <w:jc w:val="both"/>
        <w:rPr>
          <w:szCs w:val="17"/>
        </w:rPr>
      </w:pPr>
      <w:r w:rsidRPr="00DE46F3">
        <w:rPr>
          <w:szCs w:val="17"/>
        </w:rPr>
        <w:tab/>
      </w:r>
      <w:r w:rsidRPr="00DE46F3">
        <w:rPr>
          <w:rStyle w:val="FootnoteReference"/>
          <w:szCs w:val="17"/>
        </w:rPr>
        <w:footnoteRef/>
      </w:r>
      <w:r w:rsidRPr="00DE46F3">
        <w:rPr>
          <w:szCs w:val="17"/>
        </w:rPr>
        <w:tab/>
        <w:t>See Article 11.</w:t>
      </w:r>
    </w:p>
  </w:footnote>
  <w:footnote w:id="260">
    <w:p w14:paraId="0C3B39EC" w14:textId="77777777" w:rsidR="00E7381F" w:rsidRPr="00DE46F3" w:rsidRDefault="00E7381F" w:rsidP="0098356B">
      <w:pPr>
        <w:pStyle w:val="FootnoteText"/>
        <w:tabs>
          <w:tab w:val="clear" w:pos="418"/>
          <w:tab w:val="right" w:pos="1195"/>
          <w:tab w:val="left" w:pos="1267"/>
          <w:tab w:val="left" w:pos="1742"/>
          <w:tab w:val="left" w:pos="2218"/>
          <w:tab w:val="left" w:pos="2693"/>
        </w:tabs>
        <w:ind w:left="1267" w:right="1260" w:hanging="432"/>
        <w:rPr>
          <w:szCs w:val="17"/>
        </w:rPr>
      </w:pPr>
      <w:r w:rsidRPr="00DE46F3">
        <w:rPr>
          <w:szCs w:val="17"/>
        </w:rPr>
        <w:tab/>
      </w:r>
      <w:r w:rsidRPr="00DE46F3">
        <w:rPr>
          <w:rStyle w:val="FootnoteReference"/>
          <w:szCs w:val="17"/>
        </w:rPr>
        <w:footnoteRef/>
      </w:r>
      <w:r w:rsidRPr="00DE46F3">
        <w:rPr>
          <w:szCs w:val="17"/>
        </w:rPr>
        <w:tab/>
      </w:r>
      <w:r w:rsidRPr="00DE46F3">
        <w:rPr>
          <w:rFonts w:cs="Calibri"/>
          <w:szCs w:val="17"/>
        </w:rPr>
        <w:t>Pensions provided (for old age, invalidity and survivors) aim at a replacement rate of 100 per cent of the average wage of the best ten years of contribution for workers who have a full contributory career (30 years) while the minimum standards established by ILO prescribe between 40 and 45 per cent replacement rates.</w:t>
      </w:r>
    </w:p>
  </w:footnote>
  <w:footnote w:id="261">
    <w:p w14:paraId="5729C037" w14:textId="321C137C" w:rsidR="00E7381F" w:rsidRPr="00DE46F3" w:rsidRDefault="00E7381F" w:rsidP="0098356B">
      <w:pPr>
        <w:pStyle w:val="FootnoteText"/>
        <w:tabs>
          <w:tab w:val="clear" w:pos="418"/>
          <w:tab w:val="right" w:pos="1195"/>
          <w:tab w:val="left" w:pos="1267"/>
          <w:tab w:val="left" w:pos="1742"/>
          <w:tab w:val="left" w:pos="2218"/>
          <w:tab w:val="left" w:pos="2693"/>
        </w:tabs>
        <w:ind w:left="1267" w:right="1260" w:hanging="432"/>
        <w:jc w:val="both"/>
        <w:rPr>
          <w:szCs w:val="17"/>
        </w:rPr>
      </w:pPr>
      <w:r w:rsidRPr="00DE46F3">
        <w:rPr>
          <w:szCs w:val="17"/>
        </w:rPr>
        <w:tab/>
      </w:r>
      <w:r w:rsidRPr="00DE46F3">
        <w:rPr>
          <w:rStyle w:val="FootnoteReference"/>
          <w:szCs w:val="17"/>
        </w:rPr>
        <w:footnoteRef/>
      </w:r>
      <w:r w:rsidRPr="00DE46F3">
        <w:rPr>
          <w:szCs w:val="17"/>
        </w:rPr>
        <w:tab/>
        <w:t>Challenges and Ways Forward to Extend Social Protection to All in Timor-Leste: Assessment-Based National Dialogue report, United Nations - International Labour Organization Indonesia and Timor-Leste/ Ministry of Social Solidarity of Timor-Leste, Dili, 2018, p.</w:t>
      </w:r>
      <w:r w:rsidR="005B5FE3" w:rsidRPr="00DE46F3">
        <w:rPr>
          <w:szCs w:val="17"/>
        </w:rPr>
        <w:t xml:space="preserve"> </w:t>
      </w:r>
      <w:r w:rsidRPr="00DE46F3">
        <w:rPr>
          <w:szCs w:val="17"/>
        </w:rPr>
        <w:t>21.</w:t>
      </w:r>
    </w:p>
  </w:footnote>
  <w:footnote w:id="262">
    <w:p w14:paraId="77BFE1A2" w14:textId="77777777" w:rsidR="00E7381F" w:rsidRPr="00DE46F3" w:rsidRDefault="00E7381F" w:rsidP="0098356B">
      <w:pPr>
        <w:pStyle w:val="FootnoteText"/>
        <w:tabs>
          <w:tab w:val="clear" w:pos="418"/>
          <w:tab w:val="right" w:pos="1195"/>
          <w:tab w:val="left" w:pos="1267"/>
          <w:tab w:val="left" w:pos="1742"/>
          <w:tab w:val="left" w:pos="2218"/>
          <w:tab w:val="left" w:pos="2693"/>
        </w:tabs>
        <w:ind w:left="1267" w:right="1260" w:hanging="432"/>
        <w:jc w:val="both"/>
        <w:rPr>
          <w:szCs w:val="17"/>
        </w:rPr>
      </w:pPr>
      <w:r w:rsidRPr="00DE46F3">
        <w:rPr>
          <w:szCs w:val="17"/>
        </w:rPr>
        <w:tab/>
      </w:r>
      <w:r w:rsidRPr="00DE46F3">
        <w:rPr>
          <w:rStyle w:val="FootnoteReference"/>
          <w:szCs w:val="17"/>
        </w:rPr>
        <w:footnoteRef/>
      </w:r>
      <w:r w:rsidRPr="00DE46F3">
        <w:rPr>
          <w:szCs w:val="17"/>
        </w:rPr>
        <w:tab/>
        <w:t>See Article 11.</w:t>
      </w:r>
    </w:p>
  </w:footnote>
  <w:footnote w:id="263">
    <w:p w14:paraId="173FF406" w14:textId="77777777" w:rsidR="00E7381F" w:rsidRPr="00DE46F3" w:rsidRDefault="00E7381F" w:rsidP="0098356B">
      <w:pPr>
        <w:pStyle w:val="FootnoteText"/>
        <w:tabs>
          <w:tab w:val="clear" w:pos="418"/>
          <w:tab w:val="right" w:pos="1195"/>
          <w:tab w:val="left" w:pos="1267"/>
          <w:tab w:val="left" w:pos="1742"/>
          <w:tab w:val="left" w:pos="2218"/>
          <w:tab w:val="left" w:pos="2693"/>
        </w:tabs>
        <w:ind w:left="1267" w:right="1260" w:hanging="432"/>
        <w:jc w:val="both"/>
        <w:rPr>
          <w:szCs w:val="17"/>
        </w:rPr>
      </w:pPr>
      <w:r w:rsidRPr="00DE46F3">
        <w:rPr>
          <w:szCs w:val="17"/>
        </w:rPr>
        <w:tab/>
      </w:r>
      <w:r w:rsidRPr="00DE46F3">
        <w:rPr>
          <w:rStyle w:val="FootnoteReference"/>
          <w:szCs w:val="17"/>
        </w:rPr>
        <w:footnoteRef/>
      </w:r>
      <w:r w:rsidRPr="00DE46F3">
        <w:rPr>
          <w:szCs w:val="17"/>
        </w:rPr>
        <w:tab/>
        <w:t>Equivalent to one third of the minimum wage for public servant.</w:t>
      </w:r>
    </w:p>
  </w:footnote>
  <w:footnote w:id="264">
    <w:p w14:paraId="0B813A83" w14:textId="77777777" w:rsidR="00E7381F" w:rsidRPr="00DE46F3" w:rsidRDefault="00E7381F" w:rsidP="0098356B">
      <w:pPr>
        <w:pStyle w:val="FootnoteText"/>
        <w:tabs>
          <w:tab w:val="clear" w:pos="418"/>
          <w:tab w:val="right" w:pos="1195"/>
          <w:tab w:val="left" w:pos="1267"/>
          <w:tab w:val="left" w:pos="1742"/>
          <w:tab w:val="left" w:pos="2218"/>
          <w:tab w:val="left" w:pos="2693"/>
        </w:tabs>
        <w:ind w:left="1267" w:right="1260" w:hanging="432"/>
        <w:jc w:val="both"/>
        <w:rPr>
          <w:szCs w:val="17"/>
        </w:rPr>
      </w:pPr>
      <w:r w:rsidRPr="00DE46F3">
        <w:rPr>
          <w:szCs w:val="17"/>
        </w:rPr>
        <w:tab/>
      </w:r>
      <w:r w:rsidRPr="00DE46F3">
        <w:rPr>
          <w:rStyle w:val="FootnoteReference"/>
          <w:szCs w:val="17"/>
        </w:rPr>
        <w:footnoteRef/>
      </w:r>
      <w:r w:rsidRPr="00DE46F3">
        <w:rPr>
          <w:szCs w:val="17"/>
        </w:rPr>
        <w:tab/>
        <w:t>Representing a total of 353,280 beneficiaries.</w:t>
      </w:r>
    </w:p>
  </w:footnote>
  <w:footnote w:id="265">
    <w:p w14:paraId="77AE6D22" w14:textId="77777777" w:rsidR="00E7381F" w:rsidRPr="00DE46F3" w:rsidRDefault="00E7381F" w:rsidP="0098356B">
      <w:pPr>
        <w:pStyle w:val="FootnoteText"/>
        <w:tabs>
          <w:tab w:val="clear" w:pos="418"/>
          <w:tab w:val="right" w:pos="1195"/>
          <w:tab w:val="left" w:pos="1267"/>
          <w:tab w:val="left" w:pos="1742"/>
          <w:tab w:val="left" w:pos="2218"/>
          <w:tab w:val="left" w:pos="2693"/>
        </w:tabs>
        <w:ind w:left="1267" w:right="1260" w:hanging="432"/>
        <w:jc w:val="both"/>
        <w:rPr>
          <w:szCs w:val="17"/>
        </w:rPr>
      </w:pPr>
      <w:r w:rsidRPr="00DE46F3">
        <w:rPr>
          <w:szCs w:val="17"/>
        </w:rPr>
        <w:tab/>
      </w:r>
      <w:r w:rsidRPr="00DE46F3">
        <w:rPr>
          <w:rStyle w:val="FootnoteReference"/>
          <w:szCs w:val="17"/>
        </w:rPr>
        <w:footnoteRef/>
      </w:r>
      <w:r w:rsidRPr="00DE46F3">
        <w:rPr>
          <w:szCs w:val="17"/>
        </w:rPr>
        <w:tab/>
        <w:t xml:space="preserve">Representing a total of </w:t>
      </w:r>
      <w:r w:rsidRPr="00DE46F3">
        <w:rPr>
          <w:rFonts w:cs="Calibri"/>
          <w:szCs w:val="17"/>
          <w:shd w:val="clear" w:color="auto" w:fill="FFFFFF"/>
        </w:rPr>
        <w:t xml:space="preserve">32,250 </w:t>
      </w:r>
      <w:r w:rsidRPr="00DE46F3">
        <w:rPr>
          <w:szCs w:val="17"/>
        </w:rPr>
        <w:t>beneficiaries</w:t>
      </w:r>
      <w:r w:rsidRPr="00DE46F3">
        <w:rPr>
          <w:rFonts w:cs="Calibri"/>
          <w:szCs w:val="17"/>
          <w:shd w:val="clear" w:color="auto" w:fill="FFFFFF"/>
        </w:rPr>
        <w:t>.</w:t>
      </w:r>
    </w:p>
  </w:footnote>
  <w:footnote w:id="266">
    <w:p w14:paraId="799D9E5E" w14:textId="7106E94D" w:rsidR="00E7381F" w:rsidRPr="00DE46F3" w:rsidRDefault="00E7381F" w:rsidP="0098356B">
      <w:pPr>
        <w:pStyle w:val="FootnoteText"/>
        <w:tabs>
          <w:tab w:val="clear" w:pos="418"/>
          <w:tab w:val="right" w:pos="1195"/>
          <w:tab w:val="left" w:pos="1267"/>
          <w:tab w:val="left" w:pos="1742"/>
          <w:tab w:val="left" w:pos="2218"/>
          <w:tab w:val="left" w:pos="2693"/>
        </w:tabs>
        <w:ind w:left="1267" w:right="1260" w:hanging="432"/>
        <w:jc w:val="both"/>
        <w:rPr>
          <w:szCs w:val="17"/>
        </w:rPr>
      </w:pPr>
      <w:r w:rsidRPr="00DE46F3">
        <w:rPr>
          <w:szCs w:val="17"/>
        </w:rPr>
        <w:tab/>
      </w:r>
      <w:r w:rsidRPr="00DE46F3">
        <w:rPr>
          <w:rStyle w:val="FootnoteReference"/>
          <w:szCs w:val="17"/>
        </w:rPr>
        <w:footnoteRef/>
      </w:r>
      <w:r w:rsidRPr="00DE46F3">
        <w:rPr>
          <w:szCs w:val="17"/>
        </w:rPr>
        <w:tab/>
        <w:t>2016</w:t>
      </w:r>
      <w:r w:rsidR="00A2287E" w:rsidRPr="00DE46F3">
        <w:rPr>
          <w:rFonts w:eastAsia="ArialMT"/>
          <w:szCs w:val="17"/>
        </w:rPr>
        <w:t>–</w:t>
      </w:r>
      <w:r w:rsidRPr="00DE46F3">
        <w:rPr>
          <w:szCs w:val="17"/>
        </w:rPr>
        <w:t xml:space="preserve">2019 statistics, Instituto Nacional de Segurança Social, </w:t>
      </w:r>
      <w:r w:rsidRPr="00DE46F3">
        <w:rPr>
          <w:bCs/>
          <w:szCs w:val="17"/>
        </w:rPr>
        <w:t>Rep</w:t>
      </w:r>
      <w:r w:rsidRPr="00DE46F3">
        <w:rPr>
          <w:rFonts w:eastAsia="MS PGothic"/>
          <w:bCs/>
          <w:szCs w:val="17"/>
        </w:rPr>
        <w:t>ú</w:t>
      </w:r>
      <w:r w:rsidRPr="00DE46F3">
        <w:rPr>
          <w:bCs/>
          <w:szCs w:val="17"/>
        </w:rPr>
        <w:t>blica Democrática de Timor-Leste, Nov. 2019.</w:t>
      </w:r>
    </w:p>
  </w:footnote>
  <w:footnote w:id="267">
    <w:p w14:paraId="2ED18771" w14:textId="77777777" w:rsidR="00E7381F" w:rsidRPr="00DE46F3" w:rsidRDefault="00E7381F" w:rsidP="0098356B">
      <w:pPr>
        <w:pStyle w:val="FootnoteText"/>
        <w:tabs>
          <w:tab w:val="clear" w:pos="418"/>
          <w:tab w:val="right" w:pos="1195"/>
          <w:tab w:val="left" w:pos="1267"/>
          <w:tab w:val="left" w:pos="1742"/>
          <w:tab w:val="left" w:pos="2218"/>
          <w:tab w:val="left" w:pos="2693"/>
        </w:tabs>
        <w:ind w:left="1267" w:right="1260" w:hanging="432"/>
        <w:jc w:val="both"/>
        <w:rPr>
          <w:szCs w:val="17"/>
        </w:rPr>
      </w:pPr>
      <w:r w:rsidRPr="00DE46F3">
        <w:rPr>
          <w:szCs w:val="17"/>
        </w:rPr>
        <w:tab/>
      </w:r>
      <w:r w:rsidRPr="00DE46F3">
        <w:rPr>
          <w:rStyle w:val="FootnoteReference"/>
          <w:szCs w:val="17"/>
        </w:rPr>
        <w:footnoteRef/>
      </w:r>
      <w:r w:rsidRPr="00DE46F3">
        <w:rPr>
          <w:szCs w:val="17"/>
        </w:rPr>
        <w:tab/>
        <w:t>Challenges and Ways Forward to Extend Social Protection to All in Timor-Leste: Assessment-Based National Dialogue report, United Nations - International Labour Organization Indonesia and Timor-Leste/ Ministry of Social Solidarity of Timor-Leste, Dili, 2018, pp. 56-65.</w:t>
      </w:r>
    </w:p>
  </w:footnote>
  <w:footnote w:id="268">
    <w:p w14:paraId="3745C74D" w14:textId="39E2F536" w:rsidR="00E7381F" w:rsidRPr="00DE46F3" w:rsidRDefault="00E7381F" w:rsidP="0098356B">
      <w:pPr>
        <w:pStyle w:val="FootnoteText"/>
        <w:tabs>
          <w:tab w:val="clear" w:pos="418"/>
          <w:tab w:val="right" w:pos="1195"/>
          <w:tab w:val="left" w:pos="1267"/>
          <w:tab w:val="left" w:pos="1742"/>
          <w:tab w:val="left" w:pos="2218"/>
          <w:tab w:val="left" w:pos="2693"/>
        </w:tabs>
        <w:ind w:left="1267" w:right="1260" w:hanging="432"/>
        <w:jc w:val="both"/>
        <w:rPr>
          <w:szCs w:val="17"/>
        </w:rPr>
      </w:pPr>
      <w:r w:rsidRPr="00DE46F3">
        <w:rPr>
          <w:szCs w:val="17"/>
        </w:rPr>
        <w:tab/>
      </w:r>
      <w:r w:rsidRPr="00DE46F3">
        <w:rPr>
          <w:rStyle w:val="FootnoteReference"/>
          <w:szCs w:val="17"/>
        </w:rPr>
        <w:footnoteRef/>
      </w:r>
      <w:r w:rsidRPr="00DE46F3">
        <w:rPr>
          <w:szCs w:val="17"/>
        </w:rPr>
        <w:tab/>
        <w:t>Decree-Law N°47/2016, 14</w:t>
      </w:r>
      <w:r w:rsidRPr="007D0872">
        <w:rPr>
          <w:szCs w:val="17"/>
        </w:rPr>
        <w:t>th</w:t>
      </w:r>
      <w:r w:rsidRPr="00DE46F3">
        <w:rPr>
          <w:szCs w:val="17"/>
        </w:rPr>
        <w:t xml:space="preserve"> Dec. 2016 - Statutes of the National Institute of Social Security (Art.</w:t>
      </w:r>
      <w:r w:rsidR="00DF508B">
        <w:rPr>
          <w:szCs w:val="17"/>
        </w:rPr>
        <w:t> </w:t>
      </w:r>
      <w:r w:rsidRPr="00DE46F3">
        <w:rPr>
          <w:szCs w:val="17"/>
        </w:rPr>
        <w:t>4.2.a).</w:t>
      </w:r>
    </w:p>
  </w:footnote>
  <w:footnote w:id="269">
    <w:p w14:paraId="0AFBB93B" w14:textId="0133B41F" w:rsidR="00E7381F" w:rsidRPr="00DE46F3" w:rsidRDefault="00E7381F" w:rsidP="0098356B">
      <w:pPr>
        <w:pStyle w:val="FootnoteText"/>
        <w:tabs>
          <w:tab w:val="clear" w:pos="418"/>
          <w:tab w:val="right" w:pos="1195"/>
          <w:tab w:val="left" w:pos="1267"/>
          <w:tab w:val="left" w:pos="1742"/>
          <w:tab w:val="left" w:pos="2218"/>
          <w:tab w:val="left" w:pos="2693"/>
        </w:tabs>
        <w:ind w:left="1267" w:right="1260" w:hanging="432"/>
        <w:jc w:val="both"/>
        <w:rPr>
          <w:szCs w:val="17"/>
        </w:rPr>
      </w:pPr>
      <w:r w:rsidRPr="00DE46F3">
        <w:rPr>
          <w:szCs w:val="17"/>
        </w:rPr>
        <w:tab/>
      </w:r>
      <w:r w:rsidRPr="00DE46F3">
        <w:rPr>
          <w:rStyle w:val="FootnoteReference"/>
          <w:szCs w:val="17"/>
        </w:rPr>
        <w:footnoteRef/>
      </w:r>
      <w:r w:rsidRPr="00DE46F3">
        <w:rPr>
          <w:szCs w:val="17"/>
        </w:rPr>
        <w:tab/>
        <w:t xml:space="preserve">‘Social Security: A Right for All’, Government of Timor-Leste portal, 16 April 2019 - </w:t>
      </w:r>
      <w:hyperlink r:id="rId17" w:history="1">
        <w:r w:rsidRPr="00DE46F3">
          <w:rPr>
            <w:rStyle w:val="Hyperlink"/>
            <w:szCs w:val="17"/>
          </w:rPr>
          <w:t>http://timor-leste.gov.tl/?p=21650&amp;lang=en&amp;n=1</w:t>
        </w:r>
      </w:hyperlink>
      <w:r w:rsidRPr="00DE46F3">
        <w:rPr>
          <w:szCs w:val="17"/>
        </w:rPr>
        <w:t xml:space="preserve"> [accessed 17/09/2019].</w:t>
      </w:r>
    </w:p>
  </w:footnote>
  <w:footnote w:id="270">
    <w:p w14:paraId="75FDC141" w14:textId="77777777" w:rsidR="00E7381F" w:rsidRPr="00DE46F3" w:rsidRDefault="00E7381F" w:rsidP="0098356B">
      <w:pPr>
        <w:pStyle w:val="FootnoteText"/>
        <w:tabs>
          <w:tab w:val="clear" w:pos="418"/>
          <w:tab w:val="right" w:pos="1195"/>
          <w:tab w:val="left" w:pos="1267"/>
          <w:tab w:val="left" w:pos="1742"/>
          <w:tab w:val="left" w:pos="2218"/>
          <w:tab w:val="left" w:pos="2693"/>
        </w:tabs>
        <w:ind w:left="1267" w:right="1260" w:hanging="432"/>
        <w:jc w:val="both"/>
        <w:rPr>
          <w:szCs w:val="17"/>
        </w:rPr>
      </w:pPr>
      <w:r w:rsidRPr="00DE46F3">
        <w:rPr>
          <w:szCs w:val="17"/>
        </w:rPr>
        <w:tab/>
      </w:r>
      <w:r w:rsidRPr="00DE46F3">
        <w:rPr>
          <w:rStyle w:val="FootnoteReference"/>
          <w:szCs w:val="17"/>
        </w:rPr>
        <w:footnoteRef/>
      </w:r>
      <w:r w:rsidRPr="00DE46F3">
        <w:rPr>
          <w:szCs w:val="17"/>
        </w:rPr>
        <w:tab/>
        <w:t>Dr. D. Jendrissek, Analytical report on Housing Characteristics and Amenities – 2015 TL Population and Housing Census, General Directorate of Statistics (GDS) / United Nations Population Fund (UNFPA), 2018, p.9.</w:t>
      </w:r>
    </w:p>
  </w:footnote>
  <w:footnote w:id="271">
    <w:p w14:paraId="22EBDCFE" w14:textId="77777777" w:rsidR="00E7381F" w:rsidRPr="00DE46F3" w:rsidRDefault="00E7381F" w:rsidP="0098356B">
      <w:pPr>
        <w:pStyle w:val="FootnoteText"/>
        <w:tabs>
          <w:tab w:val="clear" w:pos="418"/>
          <w:tab w:val="right" w:pos="1195"/>
          <w:tab w:val="left" w:pos="1267"/>
          <w:tab w:val="left" w:pos="1742"/>
          <w:tab w:val="left" w:pos="2218"/>
          <w:tab w:val="left" w:pos="2693"/>
        </w:tabs>
        <w:ind w:left="1267" w:right="1260" w:hanging="432"/>
        <w:jc w:val="both"/>
        <w:rPr>
          <w:szCs w:val="17"/>
        </w:rPr>
      </w:pPr>
      <w:r w:rsidRPr="00DE46F3">
        <w:rPr>
          <w:szCs w:val="17"/>
        </w:rPr>
        <w:tab/>
      </w:r>
      <w:r w:rsidRPr="00DE46F3">
        <w:rPr>
          <w:rStyle w:val="FootnoteReference"/>
          <w:szCs w:val="17"/>
        </w:rPr>
        <w:footnoteRef/>
      </w:r>
      <w:r w:rsidRPr="00DE46F3">
        <w:rPr>
          <w:szCs w:val="17"/>
        </w:rPr>
        <w:tab/>
        <w:t>See Timor-Leste Combined 2</w:t>
      </w:r>
      <w:r w:rsidRPr="007D0872">
        <w:rPr>
          <w:szCs w:val="17"/>
        </w:rPr>
        <w:t>nd</w:t>
      </w:r>
      <w:r w:rsidRPr="00DE46F3">
        <w:rPr>
          <w:szCs w:val="17"/>
        </w:rPr>
        <w:t xml:space="preserve"> and 3</w:t>
      </w:r>
      <w:r w:rsidRPr="007D0872">
        <w:rPr>
          <w:szCs w:val="17"/>
        </w:rPr>
        <w:t>rd</w:t>
      </w:r>
      <w:r w:rsidRPr="00DE46F3">
        <w:rPr>
          <w:szCs w:val="17"/>
        </w:rPr>
        <w:t xml:space="preserve"> Periodic CEDAW Report, 2013.</w:t>
      </w:r>
    </w:p>
  </w:footnote>
  <w:footnote w:id="272">
    <w:p w14:paraId="4D89B1D9" w14:textId="1918A8A0" w:rsidR="00E7381F" w:rsidRPr="00DE46F3" w:rsidRDefault="00E7381F" w:rsidP="0098356B">
      <w:pPr>
        <w:pStyle w:val="FootnoteText"/>
        <w:tabs>
          <w:tab w:val="clear" w:pos="418"/>
          <w:tab w:val="right" w:pos="1195"/>
          <w:tab w:val="left" w:pos="1267"/>
          <w:tab w:val="left" w:pos="1742"/>
          <w:tab w:val="left" w:pos="2218"/>
          <w:tab w:val="left" w:pos="2693"/>
        </w:tabs>
        <w:ind w:left="1267" w:right="1260" w:hanging="432"/>
        <w:jc w:val="both"/>
        <w:rPr>
          <w:szCs w:val="17"/>
        </w:rPr>
      </w:pPr>
      <w:r w:rsidRPr="00DE46F3">
        <w:rPr>
          <w:szCs w:val="17"/>
        </w:rPr>
        <w:tab/>
      </w:r>
      <w:r w:rsidRPr="00DE46F3">
        <w:rPr>
          <w:rStyle w:val="FootnoteReference"/>
          <w:szCs w:val="17"/>
        </w:rPr>
        <w:footnoteRef/>
      </w:r>
      <w:r w:rsidRPr="00DE46F3">
        <w:rPr>
          <w:szCs w:val="17"/>
        </w:rPr>
        <w:tab/>
        <w:t>MSSI Response to CEDAW Questionnaire, Aug. 2019; Challenges and Ways Forward to Extend Social Protection to All in Timor-Leste: Assessment-Based National Dialogue report, United Nations - International Labour Organization Indonesia and Timor-Leste/ Ministry of Social Solidarity of Timor-Leste, Dili, 2018, p.</w:t>
      </w:r>
      <w:r w:rsidR="00C169FA" w:rsidRPr="00DE46F3">
        <w:rPr>
          <w:szCs w:val="17"/>
        </w:rPr>
        <w:t xml:space="preserve"> </w:t>
      </w:r>
      <w:r w:rsidRPr="00DE46F3">
        <w:rPr>
          <w:szCs w:val="17"/>
        </w:rPr>
        <w:t>45.</w:t>
      </w:r>
    </w:p>
  </w:footnote>
  <w:footnote w:id="273">
    <w:p w14:paraId="3678A6CD" w14:textId="77777777" w:rsidR="00E7381F" w:rsidRPr="00DE46F3" w:rsidRDefault="00E7381F" w:rsidP="0098356B">
      <w:pPr>
        <w:pStyle w:val="FootnoteText"/>
        <w:tabs>
          <w:tab w:val="clear" w:pos="418"/>
          <w:tab w:val="right" w:pos="1195"/>
          <w:tab w:val="left" w:pos="1267"/>
          <w:tab w:val="left" w:pos="1742"/>
          <w:tab w:val="left" w:pos="2218"/>
          <w:tab w:val="left" w:pos="2693"/>
        </w:tabs>
        <w:ind w:left="1267" w:right="1260" w:hanging="432"/>
        <w:rPr>
          <w:szCs w:val="17"/>
        </w:rPr>
      </w:pPr>
      <w:r w:rsidRPr="00DE46F3">
        <w:rPr>
          <w:szCs w:val="17"/>
        </w:rPr>
        <w:tab/>
      </w:r>
      <w:r w:rsidRPr="00DE46F3">
        <w:rPr>
          <w:rStyle w:val="FootnoteReference"/>
          <w:szCs w:val="17"/>
        </w:rPr>
        <w:footnoteRef/>
      </w:r>
      <w:r w:rsidRPr="00DE46F3">
        <w:rPr>
          <w:szCs w:val="17"/>
        </w:rPr>
        <w:tab/>
        <w:t>Poverty headcount for male-headed households reduced by 14.2 per cent between 2007 and 2014 as compared to 36.5 per cent for women-headed households</w:t>
      </w:r>
      <w:r w:rsidRPr="00DE46F3">
        <w:rPr>
          <w:rFonts w:cs="Calibri"/>
          <w:szCs w:val="17"/>
        </w:rPr>
        <w:t>.</w:t>
      </w:r>
    </w:p>
  </w:footnote>
  <w:footnote w:id="274">
    <w:p w14:paraId="4DA3DF90" w14:textId="5F89B0ED" w:rsidR="00E7381F" w:rsidRPr="00DE46F3" w:rsidRDefault="00E7381F" w:rsidP="0098356B">
      <w:pPr>
        <w:pStyle w:val="FootnoteText"/>
        <w:tabs>
          <w:tab w:val="clear" w:pos="418"/>
          <w:tab w:val="right" w:pos="1195"/>
          <w:tab w:val="left" w:pos="1267"/>
          <w:tab w:val="left" w:pos="1742"/>
          <w:tab w:val="left" w:pos="2218"/>
          <w:tab w:val="left" w:pos="2693"/>
        </w:tabs>
        <w:ind w:left="1267" w:right="1260" w:hanging="432"/>
        <w:rPr>
          <w:szCs w:val="17"/>
        </w:rPr>
      </w:pPr>
      <w:r w:rsidRPr="00DE46F3">
        <w:rPr>
          <w:szCs w:val="17"/>
        </w:rPr>
        <w:tab/>
      </w:r>
      <w:r w:rsidRPr="00DE46F3">
        <w:rPr>
          <w:rStyle w:val="FootnoteReference"/>
          <w:szCs w:val="17"/>
        </w:rPr>
        <w:footnoteRef/>
      </w:r>
      <w:r w:rsidRPr="00DE46F3">
        <w:rPr>
          <w:szCs w:val="17"/>
        </w:rPr>
        <w:tab/>
        <w:t>Challenges and Ways Forward to Extend Social Protection to All in Timor-Leste: Assessment-Based National Dialogue report, United Nations - International Labour Organization Indonesia and Timor-Leste/ Ministry of Social Solidarity of Timor-Leste, Dili, 2018, p.</w:t>
      </w:r>
      <w:r w:rsidR="00C169FA" w:rsidRPr="00DE46F3">
        <w:rPr>
          <w:szCs w:val="17"/>
        </w:rPr>
        <w:t xml:space="preserve"> </w:t>
      </w:r>
      <w:r w:rsidRPr="00DE46F3">
        <w:rPr>
          <w:szCs w:val="17"/>
        </w:rPr>
        <w:t>15</w:t>
      </w:r>
      <w:r w:rsidR="005B5FE3" w:rsidRPr="00DE46F3">
        <w:rPr>
          <w:szCs w:val="17"/>
        </w:rPr>
        <w:t>.</w:t>
      </w:r>
    </w:p>
  </w:footnote>
  <w:footnote w:id="275">
    <w:p w14:paraId="22C47008" w14:textId="0721F785" w:rsidR="00E7381F" w:rsidRPr="00DE46F3" w:rsidRDefault="00E7381F" w:rsidP="0098356B">
      <w:pPr>
        <w:pStyle w:val="FootnoteText"/>
        <w:tabs>
          <w:tab w:val="clear" w:pos="418"/>
          <w:tab w:val="right" w:pos="1195"/>
          <w:tab w:val="left" w:pos="1267"/>
          <w:tab w:val="left" w:pos="1742"/>
          <w:tab w:val="left" w:pos="2218"/>
          <w:tab w:val="left" w:pos="2693"/>
        </w:tabs>
        <w:ind w:left="1267" w:right="1260" w:hanging="432"/>
        <w:jc w:val="both"/>
        <w:rPr>
          <w:szCs w:val="17"/>
        </w:rPr>
      </w:pPr>
      <w:r w:rsidRPr="00DE46F3">
        <w:rPr>
          <w:szCs w:val="17"/>
        </w:rPr>
        <w:tab/>
      </w:r>
      <w:r w:rsidRPr="00DE46F3">
        <w:rPr>
          <w:rStyle w:val="FootnoteReference"/>
          <w:szCs w:val="17"/>
        </w:rPr>
        <w:footnoteRef/>
      </w:r>
      <w:r w:rsidRPr="00DE46F3">
        <w:rPr>
          <w:szCs w:val="17"/>
        </w:rPr>
        <w:tab/>
        <w:t>Ibid. p.</w:t>
      </w:r>
      <w:r w:rsidR="005B5FE3" w:rsidRPr="00DE46F3">
        <w:rPr>
          <w:szCs w:val="17"/>
        </w:rPr>
        <w:t xml:space="preserve"> </w:t>
      </w:r>
      <w:r w:rsidRPr="00DE46F3">
        <w:rPr>
          <w:szCs w:val="17"/>
        </w:rPr>
        <w:t>22.</w:t>
      </w:r>
    </w:p>
  </w:footnote>
  <w:footnote w:id="276">
    <w:p w14:paraId="650A98C7" w14:textId="77777777" w:rsidR="00E7381F" w:rsidRPr="00DE46F3" w:rsidRDefault="00E7381F" w:rsidP="0098356B">
      <w:pPr>
        <w:pStyle w:val="FootnoteText"/>
        <w:tabs>
          <w:tab w:val="clear" w:pos="418"/>
          <w:tab w:val="right" w:pos="1195"/>
          <w:tab w:val="left" w:pos="1267"/>
          <w:tab w:val="left" w:pos="1742"/>
          <w:tab w:val="left" w:pos="2218"/>
          <w:tab w:val="left" w:pos="2693"/>
        </w:tabs>
        <w:ind w:left="1267" w:right="1260" w:hanging="432"/>
        <w:jc w:val="both"/>
        <w:rPr>
          <w:szCs w:val="17"/>
        </w:rPr>
      </w:pPr>
      <w:r w:rsidRPr="00DE46F3">
        <w:rPr>
          <w:szCs w:val="17"/>
        </w:rPr>
        <w:tab/>
      </w:r>
      <w:r w:rsidRPr="00DE46F3">
        <w:rPr>
          <w:rStyle w:val="FootnoteReference"/>
          <w:szCs w:val="17"/>
        </w:rPr>
        <w:footnoteRef/>
      </w:r>
      <w:r w:rsidRPr="00DE46F3">
        <w:rPr>
          <w:szCs w:val="17"/>
        </w:rPr>
        <w:tab/>
        <w:t>See Article 14.</w:t>
      </w:r>
    </w:p>
  </w:footnote>
  <w:footnote w:id="277">
    <w:p w14:paraId="6293FB22" w14:textId="77777777" w:rsidR="00E7381F" w:rsidRPr="00DE46F3" w:rsidRDefault="00E7381F" w:rsidP="0098356B">
      <w:pPr>
        <w:pStyle w:val="FootnoteText"/>
        <w:tabs>
          <w:tab w:val="clear" w:pos="418"/>
          <w:tab w:val="right" w:pos="1195"/>
          <w:tab w:val="left" w:pos="1267"/>
          <w:tab w:val="left" w:pos="1742"/>
          <w:tab w:val="left" w:pos="2218"/>
          <w:tab w:val="left" w:pos="2693"/>
        </w:tabs>
        <w:ind w:left="1267" w:right="1260" w:hanging="432"/>
        <w:jc w:val="both"/>
        <w:rPr>
          <w:szCs w:val="17"/>
        </w:rPr>
      </w:pPr>
      <w:r w:rsidRPr="00DE46F3">
        <w:rPr>
          <w:szCs w:val="17"/>
        </w:rPr>
        <w:tab/>
      </w:r>
      <w:r w:rsidRPr="00DE46F3">
        <w:rPr>
          <w:rStyle w:val="FootnoteReference"/>
          <w:szCs w:val="17"/>
        </w:rPr>
        <w:footnoteRef/>
      </w:r>
      <w:r w:rsidRPr="00DE46F3">
        <w:rPr>
          <w:szCs w:val="17"/>
        </w:rPr>
        <w:tab/>
        <w:t>See Article 3.</w:t>
      </w:r>
    </w:p>
  </w:footnote>
  <w:footnote w:id="278">
    <w:p w14:paraId="62163652" w14:textId="77777777" w:rsidR="00E7381F" w:rsidRPr="00DE46F3" w:rsidRDefault="00E7381F" w:rsidP="0098356B">
      <w:pPr>
        <w:pStyle w:val="FootnoteText"/>
        <w:tabs>
          <w:tab w:val="clear" w:pos="418"/>
          <w:tab w:val="right" w:pos="1195"/>
          <w:tab w:val="left" w:pos="1267"/>
          <w:tab w:val="left" w:pos="1742"/>
          <w:tab w:val="left" w:pos="2218"/>
          <w:tab w:val="left" w:pos="2693"/>
        </w:tabs>
        <w:ind w:left="1267" w:right="1260" w:hanging="432"/>
        <w:jc w:val="both"/>
        <w:rPr>
          <w:szCs w:val="17"/>
        </w:rPr>
      </w:pPr>
      <w:r w:rsidRPr="00DE46F3">
        <w:rPr>
          <w:szCs w:val="17"/>
        </w:rPr>
        <w:tab/>
      </w:r>
      <w:r w:rsidRPr="00DE46F3">
        <w:rPr>
          <w:rStyle w:val="FootnoteReference"/>
          <w:szCs w:val="17"/>
        </w:rPr>
        <w:footnoteRef/>
      </w:r>
      <w:r w:rsidRPr="00DE46F3">
        <w:rPr>
          <w:szCs w:val="17"/>
        </w:rPr>
        <w:tab/>
        <w:t>Such as the creation of</w:t>
      </w:r>
      <w:r w:rsidRPr="00DE46F3">
        <w:rPr>
          <w:rFonts w:cs="Calibri"/>
          <w:szCs w:val="17"/>
        </w:rPr>
        <w:t xml:space="preserve"> the </w:t>
      </w:r>
      <w:r w:rsidRPr="00DE46F3">
        <w:rPr>
          <w:rFonts w:cs="Calibri"/>
          <w:color w:val="222222"/>
          <w:szCs w:val="17"/>
        </w:rPr>
        <w:t>Small and Medium Business Credit Guarantee System. See Article 11.</w:t>
      </w:r>
    </w:p>
  </w:footnote>
  <w:footnote w:id="279">
    <w:p w14:paraId="092EC202" w14:textId="6209CDF3" w:rsidR="00E7381F" w:rsidRPr="00DE46F3" w:rsidRDefault="00E7381F" w:rsidP="0098356B">
      <w:pPr>
        <w:pStyle w:val="FootnoteText"/>
        <w:tabs>
          <w:tab w:val="clear" w:pos="418"/>
          <w:tab w:val="right" w:pos="1195"/>
          <w:tab w:val="left" w:pos="1267"/>
          <w:tab w:val="left" w:pos="1742"/>
          <w:tab w:val="left" w:pos="2218"/>
          <w:tab w:val="left" w:pos="2693"/>
        </w:tabs>
        <w:ind w:left="1267" w:right="1260" w:hanging="432"/>
        <w:jc w:val="both"/>
        <w:rPr>
          <w:szCs w:val="17"/>
        </w:rPr>
      </w:pPr>
      <w:r w:rsidRPr="00DE46F3">
        <w:rPr>
          <w:szCs w:val="17"/>
        </w:rPr>
        <w:tab/>
      </w:r>
      <w:r w:rsidRPr="00DE46F3">
        <w:rPr>
          <w:rStyle w:val="FootnoteReference"/>
          <w:szCs w:val="17"/>
        </w:rPr>
        <w:footnoteRef/>
      </w:r>
      <w:bookmarkStart w:id="77" w:name="_Hlk24617211"/>
      <w:r w:rsidRPr="00DE46F3">
        <w:rPr>
          <w:szCs w:val="17"/>
        </w:rPr>
        <w:tab/>
        <w:t>National Strategy for Financial Inclusion (2017-2022), Central Bank of Timor-Leste, Democratic Republic of Timor-Leste, 2017</w:t>
      </w:r>
      <w:bookmarkEnd w:id="77"/>
      <w:r w:rsidRPr="00DE46F3">
        <w:rPr>
          <w:szCs w:val="17"/>
        </w:rPr>
        <w:t>, p.</w:t>
      </w:r>
      <w:r w:rsidR="00C169FA" w:rsidRPr="00DE46F3">
        <w:rPr>
          <w:szCs w:val="17"/>
        </w:rPr>
        <w:t xml:space="preserve"> </w:t>
      </w:r>
      <w:r w:rsidRPr="00DE46F3">
        <w:rPr>
          <w:szCs w:val="17"/>
        </w:rPr>
        <w:t>104.</w:t>
      </w:r>
    </w:p>
  </w:footnote>
  <w:footnote w:id="280">
    <w:p w14:paraId="61D56E83" w14:textId="5FF6B783" w:rsidR="00E7381F" w:rsidRPr="00DE46F3" w:rsidRDefault="00E7381F" w:rsidP="0098356B">
      <w:pPr>
        <w:pStyle w:val="FootnoteText"/>
        <w:tabs>
          <w:tab w:val="clear" w:pos="418"/>
          <w:tab w:val="right" w:pos="1195"/>
          <w:tab w:val="left" w:pos="1267"/>
          <w:tab w:val="left" w:pos="1742"/>
          <w:tab w:val="left" w:pos="2218"/>
          <w:tab w:val="left" w:pos="2693"/>
        </w:tabs>
        <w:ind w:left="1267" w:right="1260" w:hanging="432"/>
        <w:jc w:val="both"/>
        <w:rPr>
          <w:szCs w:val="17"/>
        </w:rPr>
      </w:pPr>
      <w:r w:rsidRPr="00DE46F3">
        <w:rPr>
          <w:szCs w:val="17"/>
        </w:rPr>
        <w:tab/>
      </w:r>
      <w:r w:rsidRPr="00DE46F3">
        <w:rPr>
          <w:rStyle w:val="FootnoteReference"/>
          <w:szCs w:val="17"/>
        </w:rPr>
        <w:footnoteRef/>
      </w:r>
      <w:r w:rsidRPr="00DE46F3">
        <w:rPr>
          <w:szCs w:val="17"/>
        </w:rPr>
        <w:tab/>
        <w:t>Financial Inclusion Report 2018, Central Bank of Timor-Leste, Democratic Republic of Timor-Leste, 2018, pp.65</w:t>
      </w:r>
      <w:r w:rsidR="00A2287E" w:rsidRPr="00DE46F3">
        <w:rPr>
          <w:rFonts w:eastAsia="ArialMT"/>
          <w:szCs w:val="17"/>
        </w:rPr>
        <w:t>–</w:t>
      </w:r>
      <w:r w:rsidRPr="00DE46F3">
        <w:rPr>
          <w:szCs w:val="17"/>
        </w:rPr>
        <w:t>72.</w:t>
      </w:r>
    </w:p>
  </w:footnote>
  <w:footnote w:id="281">
    <w:p w14:paraId="53FD82BD" w14:textId="77777777" w:rsidR="00E7381F" w:rsidRPr="00DE46F3" w:rsidRDefault="00E7381F" w:rsidP="0098356B">
      <w:pPr>
        <w:pStyle w:val="FootnoteText"/>
        <w:tabs>
          <w:tab w:val="clear" w:pos="418"/>
          <w:tab w:val="right" w:pos="1195"/>
          <w:tab w:val="left" w:pos="1267"/>
          <w:tab w:val="left" w:pos="1742"/>
          <w:tab w:val="left" w:pos="2218"/>
          <w:tab w:val="left" w:pos="2693"/>
        </w:tabs>
        <w:ind w:left="1267" w:right="1260" w:hanging="432"/>
        <w:jc w:val="both"/>
        <w:rPr>
          <w:szCs w:val="17"/>
        </w:rPr>
      </w:pPr>
      <w:r w:rsidRPr="00DE46F3">
        <w:rPr>
          <w:szCs w:val="17"/>
        </w:rPr>
        <w:tab/>
      </w:r>
      <w:r w:rsidRPr="00DE46F3">
        <w:rPr>
          <w:rStyle w:val="FootnoteReference"/>
          <w:szCs w:val="17"/>
        </w:rPr>
        <w:footnoteRef/>
      </w:r>
      <w:r w:rsidRPr="00DE46F3">
        <w:rPr>
          <w:szCs w:val="17"/>
        </w:rPr>
        <w:tab/>
        <w:t>2014-2018 National Action Plan for People with Disabilities, Ministry of Social Solidarity, Timor-Leste, 2013, p. 23.</w:t>
      </w:r>
    </w:p>
  </w:footnote>
  <w:footnote w:id="282">
    <w:p w14:paraId="3F8D5CC2" w14:textId="1FDD060C" w:rsidR="00E7381F" w:rsidRPr="00DE46F3" w:rsidRDefault="00E7381F" w:rsidP="0098356B">
      <w:pPr>
        <w:pStyle w:val="FootnoteText"/>
        <w:tabs>
          <w:tab w:val="clear" w:pos="418"/>
          <w:tab w:val="right" w:pos="1195"/>
          <w:tab w:val="left" w:pos="1267"/>
          <w:tab w:val="left" w:pos="1742"/>
          <w:tab w:val="left" w:pos="2218"/>
          <w:tab w:val="left" w:pos="2693"/>
        </w:tabs>
        <w:ind w:left="1267" w:right="1260" w:hanging="432"/>
        <w:jc w:val="both"/>
        <w:rPr>
          <w:szCs w:val="17"/>
        </w:rPr>
      </w:pPr>
      <w:r w:rsidRPr="00DE46F3">
        <w:rPr>
          <w:szCs w:val="17"/>
        </w:rPr>
        <w:tab/>
      </w:r>
      <w:r w:rsidRPr="00DE46F3">
        <w:rPr>
          <w:rStyle w:val="FootnoteReference"/>
          <w:szCs w:val="17"/>
        </w:rPr>
        <w:footnoteRef/>
      </w:r>
      <w:r w:rsidRPr="00DE46F3">
        <w:rPr>
          <w:szCs w:val="17"/>
        </w:rPr>
        <w:tab/>
        <w:t>Progress Report Volume II – January</w:t>
      </w:r>
      <w:r w:rsidR="000E62D7" w:rsidRPr="00DE46F3">
        <w:rPr>
          <w:rFonts w:eastAsia="ArialMT"/>
          <w:szCs w:val="17"/>
        </w:rPr>
        <w:t>–</w:t>
      </w:r>
      <w:r w:rsidRPr="00DE46F3">
        <w:rPr>
          <w:szCs w:val="17"/>
        </w:rPr>
        <w:t>June 2017, Partnership for Human Development Australia Timor-Leste, July 2017, p.50.</w:t>
      </w:r>
    </w:p>
  </w:footnote>
  <w:footnote w:id="283">
    <w:p w14:paraId="2D2C5EFC" w14:textId="77777777" w:rsidR="00E7381F" w:rsidRPr="00DE46F3" w:rsidRDefault="00E7381F" w:rsidP="0098356B">
      <w:pPr>
        <w:pStyle w:val="FootnoteText"/>
        <w:tabs>
          <w:tab w:val="clear" w:pos="418"/>
          <w:tab w:val="right" w:pos="1195"/>
          <w:tab w:val="left" w:pos="1267"/>
          <w:tab w:val="left" w:pos="1742"/>
          <w:tab w:val="left" w:pos="2218"/>
          <w:tab w:val="left" w:pos="2693"/>
        </w:tabs>
        <w:ind w:left="1267" w:right="1260" w:hanging="432"/>
        <w:jc w:val="both"/>
        <w:rPr>
          <w:szCs w:val="17"/>
        </w:rPr>
      </w:pPr>
      <w:r w:rsidRPr="00DE46F3">
        <w:rPr>
          <w:szCs w:val="17"/>
        </w:rPr>
        <w:tab/>
      </w:r>
      <w:r w:rsidRPr="00DE46F3">
        <w:rPr>
          <w:rStyle w:val="FootnoteReference"/>
          <w:szCs w:val="17"/>
        </w:rPr>
        <w:footnoteRef/>
      </w:r>
      <w:r w:rsidRPr="00DE46F3">
        <w:rPr>
          <w:szCs w:val="17"/>
        </w:rPr>
        <w:tab/>
        <w:t>Interview with Director Mateus da Silva, National directorate for the Support of Persons with Disabilities, MSSI, 23/09/2019.</w:t>
      </w:r>
    </w:p>
  </w:footnote>
  <w:footnote w:id="284">
    <w:p w14:paraId="1A44C197" w14:textId="46CEE809" w:rsidR="00E7381F" w:rsidRPr="00DE46F3" w:rsidRDefault="00E7381F" w:rsidP="0098356B">
      <w:pPr>
        <w:pStyle w:val="FootnoteText"/>
        <w:tabs>
          <w:tab w:val="clear" w:pos="418"/>
          <w:tab w:val="right" w:pos="1195"/>
          <w:tab w:val="left" w:pos="1267"/>
          <w:tab w:val="left" w:pos="1742"/>
          <w:tab w:val="left" w:pos="2218"/>
          <w:tab w:val="left" w:pos="2693"/>
        </w:tabs>
        <w:ind w:left="1267" w:right="1260" w:hanging="432"/>
        <w:jc w:val="both"/>
        <w:rPr>
          <w:szCs w:val="17"/>
        </w:rPr>
      </w:pPr>
      <w:r w:rsidRPr="00DE46F3">
        <w:rPr>
          <w:szCs w:val="17"/>
        </w:rPr>
        <w:tab/>
      </w:r>
      <w:r w:rsidRPr="00DE46F3">
        <w:rPr>
          <w:rStyle w:val="FootnoteReference"/>
          <w:szCs w:val="17"/>
        </w:rPr>
        <w:footnoteRef/>
      </w:r>
      <w:r w:rsidRPr="00DE46F3">
        <w:rPr>
          <w:szCs w:val="17"/>
        </w:rPr>
        <w:tab/>
        <w:t>Progress Report Volume I – July</w:t>
      </w:r>
      <w:r w:rsidR="000E62D7" w:rsidRPr="00DE46F3">
        <w:rPr>
          <w:rFonts w:eastAsia="ArialMT"/>
          <w:szCs w:val="17"/>
        </w:rPr>
        <w:t>–</w:t>
      </w:r>
      <w:r w:rsidRPr="00DE46F3">
        <w:rPr>
          <w:szCs w:val="17"/>
        </w:rPr>
        <w:t>December 2016, Partnership for Human Development Australia Timor-Leste, March 2017, p.</w:t>
      </w:r>
      <w:r w:rsidR="005B5FE3" w:rsidRPr="00DE46F3">
        <w:rPr>
          <w:szCs w:val="17"/>
        </w:rPr>
        <w:t xml:space="preserve"> </w:t>
      </w:r>
      <w:r w:rsidRPr="00DE46F3">
        <w:rPr>
          <w:szCs w:val="17"/>
        </w:rPr>
        <w:t>30.</w:t>
      </w:r>
    </w:p>
  </w:footnote>
  <w:footnote w:id="285">
    <w:p w14:paraId="5AC381BD" w14:textId="77DC3B65" w:rsidR="00E7381F" w:rsidRPr="00DE46F3" w:rsidRDefault="00E7381F" w:rsidP="0098356B">
      <w:pPr>
        <w:pStyle w:val="FootnoteText"/>
        <w:tabs>
          <w:tab w:val="clear" w:pos="418"/>
          <w:tab w:val="right" w:pos="1195"/>
          <w:tab w:val="left" w:pos="1267"/>
          <w:tab w:val="left" w:pos="1742"/>
          <w:tab w:val="left" w:pos="2218"/>
          <w:tab w:val="left" w:pos="2693"/>
        </w:tabs>
        <w:ind w:left="1267" w:right="1260" w:hanging="432"/>
        <w:jc w:val="both"/>
        <w:rPr>
          <w:szCs w:val="17"/>
        </w:rPr>
      </w:pPr>
      <w:r w:rsidRPr="00DE46F3">
        <w:rPr>
          <w:szCs w:val="17"/>
        </w:rPr>
        <w:tab/>
      </w:r>
      <w:r w:rsidRPr="00DE46F3">
        <w:rPr>
          <w:rStyle w:val="FootnoteReference"/>
          <w:szCs w:val="17"/>
        </w:rPr>
        <w:footnoteRef/>
      </w:r>
      <w:r w:rsidRPr="00DE46F3">
        <w:rPr>
          <w:szCs w:val="17"/>
        </w:rPr>
        <w:tab/>
        <w:t>‘</w:t>
      </w:r>
      <w:hyperlink r:id="rId18" w:tooltip="Permanent Link: SEMINÁRIU NASIONÁL BA ASUNTUS DEFISIÉNTES" w:history="1">
        <w:r w:rsidRPr="00DE46F3">
          <w:rPr>
            <w:szCs w:val="17"/>
          </w:rPr>
          <w:t xml:space="preserve">Semináriu Nasionál ba Asuntus Defisiéntes’, Ministry of Social Solidarity and Inclusion website, Timor-Leste, 13th June 2019 - </w:t>
        </w:r>
      </w:hyperlink>
      <w:hyperlink r:id="rId19" w:history="1">
        <w:r w:rsidRPr="00DE46F3">
          <w:rPr>
            <w:rStyle w:val="Hyperlink"/>
            <w:szCs w:val="17"/>
          </w:rPr>
          <w:t>http://mss.gov.tl/portal/seminariu-nasional-ba-asuntus-defisientes/</w:t>
        </w:r>
      </w:hyperlink>
      <w:r w:rsidRPr="00DE46F3">
        <w:rPr>
          <w:rStyle w:val="Hyperlink"/>
          <w:szCs w:val="17"/>
        </w:rPr>
        <w:t xml:space="preserve"> [Accessed 19/09/2019]; ‘</w:t>
      </w:r>
      <w:hyperlink r:id="rId20" w:tooltip="Link permanente: SEMINÁRIU NASIONÁL KONA-BA DIREITU EMA HO" w:history="1">
        <w:r w:rsidRPr="00DE46F3">
          <w:rPr>
            <w:szCs w:val="17"/>
          </w:rPr>
          <w:t xml:space="preserve">Semináriu Nasionál Kona-Ba Direitu Ema Ho Defisiénsia’, </w:t>
        </w:r>
      </w:hyperlink>
      <w:r w:rsidRPr="00DE46F3">
        <w:rPr>
          <w:szCs w:val="17"/>
        </w:rPr>
        <w:t xml:space="preserve">Ministry of Social Solidarity and Inclusion website, Timor-Leste, 13th September 2018 </w:t>
      </w:r>
      <w:r w:rsidR="000E62D7" w:rsidRPr="00DE46F3">
        <w:rPr>
          <w:rFonts w:eastAsia="ArialMT"/>
          <w:szCs w:val="17"/>
        </w:rPr>
        <w:t>–</w:t>
      </w:r>
      <w:hyperlink r:id="rId21" w:history="1">
        <w:r w:rsidR="000E62D7" w:rsidRPr="00DE46F3">
          <w:rPr>
            <w:rStyle w:val="Hyperlink"/>
            <w:szCs w:val="17"/>
          </w:rPr>
          <w:t>http://mss.gov.tl/portal/seminariu-nasional-kona-ba-direitu-ema-ho/</w:t>
        </w:r>
      </w:hyperlink>
      <w:r w:rsidRPr="00DE46F3">
        <w:rPr>
          <w:rStyle w:val="Hyperlink"/>
          <w:szCs w:val="17"/>
        </w:rPr>
        <w:t xml:space="preserve"> [Accessed 19/09/2019].</w:t>
      </w:r>
    </w:p>
  </w:footnote>
  <w:footnote w:id="286">
    <w:p w14:paraId="19551F3B" w14:textId="77777777" w:rsidR="00E7381F" w:rsidRPr="00DE46F3" w:rsidRDefault="00E7381F" w:rsidP="0098356B">
      <w:pPr>
        <w:pStyle w:val="FootnoteText"/>
        <w:tabs>
          <w:tab w:val="clear" w:pos="418"/>
          <w:tab w:val="right" w:pos="1195"/>
          <w:tab w:val="left" w:pos="1267"/>
          <w:tab w:val="left" w:pos="1742"/>
          <w:tab w:val="left" w:pos="2218"/>
          <w:tab w:val="left" w:pos="2693"/>
        </w:tabs>
        <w:ind w:left="1267" w:right="1260" w:hanging="432"/>
        <w:jc w:val="both"/>
        <w:rPr>
          <w:szCs w:val="17"/>
        </w:rPr>
      </w:pPr>
      <w:r w:rsidRPr="00DE46F3">
        <w:rPr>
          <w:szCs w:val="17"/>
        </w:rPr>
        <w:tab/>
      </w:r>
      <w:r w:rsidRPr="00DE46F3">
        <w:rPr>
          <w:rStyle w:val="FootnoteReference"/>
          <w:szCs w:val="17"/>
        </w:rPr>
        <w:footnoteRef/>
      </w:r>
      <w:r w:rsidRPr="00DE46F3">
        <w:rPr>
          <w:szCs w:val="17"/>
        </w:rPr>
        <w:tab/>
      </w:r>
      <w:r w:rsidRPr="00DE46F3">
        <w:rPr>
          <w:rFonts w:cs="Calibri"/>
          <w:szCs w:val="17"/>
        </w:rPr>
        <w:t>Integrated Rehabilitation Service in the Rural Areas Communities.</w:t>
      </w:r>
    </w:p>
  </w:footnote>
  <w:footnote w:id="287">
    <w:p w14:paraId="719BDFAA" w14:textId="47DBE6CA" w:rsidR="00E7381F" w:rsidRPr="00DE46F3" w:rsidRDefault="00E7381F" w:rsidP="0098356B">
      <w:pPr>
        <w:pStyle w:val="FootnoteText"/>
        <w:tabs>
          <w:tab w:val="clear" w:pos="418"/>
          <w:tab w:val="right" w:pos="1195"/>
          <w:tab w:val="left" w:pos="1267"/>
          <w:tab w:val="left" w:pos="1742"/>
          <w:tab w:val="left" w:pos="2218"/>
          <w:tab w:val="left" w:pos="2693"/>
        </w:tabs>
        <w:ind w:left="1267" w:right="1260" w:hanging="432"/>
        <w:jc w:val="both"/>
        <w:rPr>
          <w:szCs w:val="17"/>
        </w:rPr>
      </w:pPr>
      <w:r w:rsidRPr="00DE46F3">
        <w:rPr>
          <w:szCs w:val="17"/>
        </w:rPr>
        <w:tab/>
      </w:r>
      <w:r w:rsidRPr="00DE46F3">
        <w:rPr>
          <w:rStyle w:val="FootnoteReference"/>
          <w:szCs w:val="17"/>
        </w:rPr>
        <w:footnoteRef/>
      </w:r>
      <w:r w:rsidRPr="00DE46F3">
        <w:rPr>
          <w:szCs w:val="17"/>
        </w:rPr>
        <w:tab/>
        <w:t>Relatório do Centro Nacional de Reabilitação (CNR) 2015</w:t>
      </w:r>
      <w:r w:rsidR="00C169FA" w:rsidRPr="00DE46F3">
        <w:rPr>
          <w:szCs w:val="17"/>
        </w:rPr>
        <w:t>–</w:t>
      </w:r>
      <w:r w:rsidRPr="00DE46F3">
        <w:rPr>
          <w:szCs w:val="17"/>
        </w:rPr>
        <w:t>2017, CNR – República Democrática de Timor-Leste, 2017, pp.</w:t>
      </w:r>
      <w:r w:rsidR="005B5FE3" w:rsidRPr="00DE46F3">
        <w:rPr>
          <w:szCs w:val="17"/>
        </w:rPr>
        <w:t xml:space="preserve"> </w:t>
      </w:r>
      <w:r w:rsidRPr="00DE46F3">
        <w:rPr>
          <w:szCs w:val="17"/>
        </w:rPr>
        <w:t>30</w:t>
      </w:r>
      <w:r w:rsidR="005B5FE3" w:rsidRPr="00DE46F3">
        <w:rPr>
          <w:szCs w:val="17"/>
        </w:rPr>
        <w:t>–</w:t>
      </w:r>
      <w:r w:rsidRPr="00DE46F3">
        <w:rPr>
          <w:szCs w:val="17"/>
        </w:rPr>
        <w:t>31.</w:t>
      </w:r>
    </w:p>
  </w:footnote>
  <w:footnote w:id="288">
    <w:p w14:paraId="03E076AC" w14:textId="77777777" w:rsidR="00E7381F" w:rsidRPr="00DE46F3" w:rsidRDefault="00E7381F" w:rsidP="0098356B">
      <w:pPr>
        <w:pStyle w:val="FootnoteText"/>
        <w:tabs>
          <w:tab w:val="clear" w:pos="418"/>
          <w:tab w:val="right" w:pos="1195"/>
          <w:tab w:val="left" w:pos="1267"/>
          <w:tab w:val="left" w:pos="1742"/>
          <w:tab w:val="left" w:pos="2218"/>
          <w:tab w:val="left" w:pos="2693"/>
        </w:tabs>
        <w:ind w:left="1267" w:right="1260" w:hanging="432"/>
        <w:jc w:val="both"/>
        <w:rPr>
          <w:szCs w:val="17"/>
        </w:rPr>
      </w:pPr>
      <w:r w:rsidRPr="00DE46F3">
        <w:rPr>
          <w:szCs w:val="17"/>
        </w:rPr>
        <w:tab/>
      </w:r>
      <w:r w:rsidRPr="00DE46F3">
        <w:rPr>
          <w:rStyle w:val="FootnoteReference"/>
          <w:szCs w:val="17"/>
        </w:rPr>
        <w:footnoteRef/>
      </w:r>
      <w:r w:rsidRPr="00DE46F3">
        <w:rPr>
          <w:szCs w:val="17"/>
        </w:rPr>
        <w:tab/>
      </w:r>
      <w:r w:rsidRPr="00DE46F3">
        <w:rPr>
          <w:rFonts w:cs="Calibri"/>
          <w:szCs w:val="17"/>
          <w:shd w:val="clear" w:color="auto" w:fill="FFFFFF"/>
        </w:rPr>
        <w:t>The Partnership for Human Development (PHD), an integrated programme of Australia and Timor-Leste Governments,</w:t>
      </w:r>
      <w:r w:rsidRPr="00DE46F3">
        <w:rPr>
          <w:rFonts w:cs="Calibri"/>
          <w:szCs w:val="17"/>
        </w:rPr>
        <w:t xml:space="preserve"> is particularly active on disability issues, especially by supporting PwD Organizations such as ADTL, RHTO, and more.</w:t>
      </w:r>
    </w:p>
  </w:footnote>
  <w:footnote w:id="289">
    <w:p w14:paraId="553545FA" w14:textId="1CE2F278" w:rsidR="00E7381F" w:rsidRPr="00DE46F3" w:rsidRDefault="00E7381F" w:rsidP="0098356B">
      <w:pPr>
        <w:pStyle w:val="FootnoteText"/>
        <w:tabs>
          <w:tab w:val="clear" w:pos="418"/>
          <w:tab w:val="right" w:pos="1195"/>
          <w:tab w:val="left" w:pos="1267"/>
          <w:tab w:val="left" w:pos="1742"/>
          <w:tab w:val="left" w:pos="2218"/>
          <w:tab w:val="left" w:pos="2693"/>
        </w:tabs>
        <w:ind w:left="1267" w:right="1260" w:hanging="432"/>
        <w:jc w:val="both"/>
        <w:rPr>
          <w:szCs w:val="17"/>
        </w:rPr>
      </w:pPr>
      <w:r w:rsidRPr="00DE46F3">
        <w:rPr>
          <w:szCs w:val="17"/>
        </w:rPr>
        <w:tab/>
      </w:r>
      <w:r w:rsidRPr="00DE46F3">
        <w:rPr>
          <w:rStyle w:val="FootnoteReference"/>
          <w:szCs w:val="17"/>
        </w:rPr>
        <w:footnoteRef/>
      </w:r>
      <w:r w:rsidRPr="00DE46F3">
        <w:rPr>
          <w:szCs w:val="17"/>
        </w:rPr>
        <w:tab/>
        <w:t>Relatório do Centro Nacional de Reabilitação (CNR) 2015</w:t>
      </w:r>
      <w:r w:rsidR="00C169FA" w:rsidRPr="00DE46F3">
        <w:rPr>
          <w:szCs w:val="17"/>
        </w:rPr>
        <w:t>–</w:t>
      </w:r>
      <w:r w:rsidRPr="00DE46F3">
        <w:rPr>
          <w:szCs w:val="17"/>
        </w:rPr>
        <w:t>2017, CNR – República Democrática de Timor-Leste, 2017, pp.</w:t>
      </w:r>
      <w:r w:rsidR="00C169FA" w:rsidRPr="00DE46F3">
        <w:rPr>
          <w:szCs w:val="17"/>
        </w:rPr>
        <w:t xml:space="preserve"> </w:t>
      </w:r>
      <w:r w:rsidRPr="00DE46F3">
        <w:rPr>
          <w:szCs w:val="17"/>
        </w:rPr>
        <w:t>11</w:t>
      </w:r>
      <w:r w:rsidR="00C169FA" w:rsidRPr="00DE46F3">
        <w:rPr>
          <w:szCs w:val="17"/>
        </w:rPr>
        <w:t>–</w:t>
      </w:r>
      <w:r w:rsidRPr="00DE46F3">
        <w:rPr>
          <w:szCs w:val="17"/>
        </w:rPr>
        <w:t>12.</w:t>
      </w:r>
    </w:p>
  </w:footnote>
  <w:footnote w:id="290">
    <w:p w14:paraId="77CA6913" w14:textId="760D3808" w:rsidR="00E7381F" w:rsidRPr="00DE46F3" w:rsidRDefault="00E7381F" w:rsidP="0098356B">
      <w:pPr>
        <w:pStyle w:val="FootnoteText"/>
        <w:tabs>
          <w:tab w:val="clear" w:pos="418"/>
          <w:tab w:val="right" w:pos="1195"/>
          <w:tab w:val="left" w:pos="1267"/>
          <w:tab w:val="left" w:pos="1742"/>
          <w:tab w:val="left" w:pos="2218"/>
          <w:tab w:val="left" w:pos="2693"/>
        </w:tabs>
        <w:ind w:left="1267" w:right="1260" w:hanging="432"/>
        <w:jc w:val="both"/>
        <w:rPr>
          <w:szCs w:val="17"/>
        </w:rPr>
      </w:pPr>
      <w:r w:rsidRPr="00DE46F3">
        <w:rPr>
          <w:szCs w:val="17"/>
        </w:rPr>
        <w:tab/>
      </w:r>
      <w:r w:rsidRPr="00DE46F3">
        <w:rPr>
          <w:rStyle w:val="FootnoteReference"/>
          <w:szCs w:val="17"/>
        </w:rPr>
        <w:footnoteRef/>
      </w:r>
      <w:r w:rsidRPr="00DE46F3">
        <w:rPr>
          <w:szCs w:val="17"/>
        </w:rPr>
        <w:tab/>
        <w:t>Progress Report Volume II – January</w:t>
      </w:r>
      <w:r w:rsidR="00C169FA" w:rsidRPr="00DE46F3">
        <w:rPr>
          <w:szCs w:val="17"/>
        </w:rPr>
        <w:t>–</w:t>
      </w:r>
      <w:r w:rsidRPr="00DE46F3">
        <w:rPr>
          <w:szCs w:val="17"/>
        </w:rPr>
        <w:t>June 2017, Partnership for Human Development Australia Timor-Leste, July 2017, p.50.</w:t>
      </w:r>
    </w:p>
  </w:footnote>
  <w:footnote w:id="291">
    <w:p w14:paraId="2B2DF544" w14:textId="77777777" w:rsidR="00E7381F" w:rsidRPr="00DE46F3" w:rsidRDefault="00E7381F" w:rsidP="0098356B">
      <w:pPr>
        <w:pStyle w:val="FootnoteText"/>
        <w:tabs>
          <w:tab w:val="clear" w:pos="418"/>
          <w:tab w:val="right" w:pos="1195"/>
          <w:tab w:val="left" w:pos="1267"/>
          <w:tab w:val="left" w:pos="1742"/>
          <w:tab w:val="left" w:pos="2218"/>
          <w:tab w:val="left" w:pos="2693"/>
        </w:tabs>
        <w:ind w:left="1267" w:right="1260" w:hanging="432"/>
        <w:jc w:val="both"/>
        <w:rPr>
          <w:szCs w:val="17"/>
        </w:rPr>
      </w:pPr>
      <w:r w:rsidRPr="00DE46F3">
        <w:rPr>
          <w:szCs w:val="17"/>
        </w:rPr>
        <w:tab/>
      </w:r>
      <w:r w:rsidRPr="00DE46F3">
        <w:rPr>
          <w:rStyle w:val="FootnoteReference"/>
          <w:szCs w:val="17"/>
        </w:rPr>
        <w:footnoteRef/>
      </w:r>
      <w:r w:rsidRPr="00DE46F3">
        <w:rPr>
          <w:szCs w:val="17"/>
        </w:rPr>
        <w:tab/>
        <w:t>See Article 14.</w:t>
      </w:r>
    </w:p>
  </w:footnote>
  <w:footnote w:id="292">
    <w:p w14:paraId="1D26F2D1" w14:textId="7DFBF737" w:rsidR="00E7381F" w:rsidRPr="00DE46F3" w:rsidRDefault="00E7381F" w:rsidP="0098356B">
      <w:pPr>
        <w:pStyle w:val="FootnoteText"/>
        <w:tabs>
          <w:tab w:val="clear" w:pos="418"/>
          <w:tab w:val="right" w:pos="1195"/>
          <w:tab w:val="left" w:pos="1267"/>
          <w:tab w:val="left" w:pos="1742"/>
          <w:tab w:val="left" w:pos="2218"/>
          <w:tab w:val="left" w:pos="2693"/>
        </w:tabs>
        <w:ind w:left="1267" w:right="1260" w:hanging="432"/>
        <w:jc w:val="both"/>
        <w:rPr>
          <w:szCs w:val="17"/>
        </w:rPr>
      </w:pPr>
      <w:r w:rsidRPr="00DE46F3">
        <w:rPr>
          <w:szCs w:val="17"/>
        </w:rPr>
        <w:tab/>
      </w:r>
      <w:r w:rsidRPr="00DE46F3">
        <w:rPr>
          <w:rStyle w:val="FootnoteReference"/>
          <w:szCs w:val="17"/>
        </w:rPr>
        <w:footnoteRef/>
      </w:r>
      <w:r w:rsidRPr="00DE46F3">
        <w:rPr>
          <w:szCs w:val="17"/>
        </w:rPr>
        <w:tab/>
        <w:t>Programa Nasional Dezenvolvimentu Suku (PNDS) Support Program – Mid-term Review Final Report, Dili, Timor-Leste, Feb. 2017, p.</w:t>
      </w:r>
      <w:r w:rsidR="005B5FE3" w:rsidRPr="00DE46F3">
        <w:rPr>
          <w:szCs w:val="17"/>
        </w:rPr>
        <w:t xml:space="preserve"> </w:t>
      </w:r>
      <w:r w:rsidRPr="00DE46F3">
        <w:rPr>
          <w:szCs w:val="17"/>
        </w:rPr>
        <w:t>10.</w:t>
      </w:r>
    </w:p>
  </w:footnote>
  <w:footnote w:id="293">
    <w:p w14:paraId="7A3E0FD8" w14:textId="20B9FA93" w:rsidR="00E7381F" w:rsidRPr="00DE46F3" w:rsidRDefault="00E7381F" w:rsidP="0098356B">
      <w:pPr>
        <w:pStyle w:val="FootnoteText"/>
        <w:tabs>
          <w:tab w:val="clear" w:pos="418"/>
          <w:tab w:val="right" w:pos="1195"/>
          <w:tab w:val="left" w:pos="1267"/>
          <w:tab w:val="left" w:pos="1742"/>
          <w:tab w:val="left" w:pos="2218"/>
          <w:tab w:val="left" w:pos="2693"/>
        </w:tabs>
        <w:ind w:left="1267" w:right="1260" w:hanging="432"/>
        <w:jc w:val="both"/>
        <w:rPr>
          <w:szCs w:val="17"/>
        </w:rPr>
      </w:pPr>
      <w:r w:rsidRPr="00DE46F3">
        <w:rPr>
          <w:szCs w:val="17"/>
        </w:rPr>
        <w:tab/>
      </w:r>
      <w:r w:rsidRPr="00DE46F3">
        <w:rPr>
          <w:rStyle w:val="FootnoteReference"/>
          <w:szCs w:val="17"/>
        </w:rPr>
        <w:footnoteRef/>
      </w:r>
      <w:r w:rsidRPr="00DE46F3">
        <w:rPr>
          <w:szCs w:val="17"/>
        </w:rPr>
        <w:tab/>
        <w:t>Analytical Report on Education – 2015 Timor-Leste Population and Housing Census, General Directorate of Statistics (GDS) – Ministry of Finance / United Nations Children’s Fund (UNICEF)</w:t>
      </w:r>
      <w:r w:rsidR="007D0872">
        <w:rPr>
          <w:szCs w:val="17"/>
        </w:rPr>
        <w:t> </w:t>
      </w:r>
      <w:r w:rsidRPr="00DE46F3">
        <w:rPr>
          <w:szCs w:val="17"/>
        </w:rPr>
        <w:t>/ United Nations Population Fund (UNFPA), 2017, p.</w:t>
      </w:r>
      <w:r w:rsidR="00C169FA" w:rsidRPr="00DE46F3">
        <w:rPr>
          <w:szCs w:val="17"/>
        </w:rPr>
        <w:t xml:space="preserve"> </w:t>
      </w:r>
      <w:r w:rsidRPr="00DE46F3">
        <w:rPr>
          <w:szCs w:val="17"/>
        </w:rPr>
        <w:t>71.</w:t>
      </w:r>
    </w:p>
  </w:footnote>
  <w:footnote w:id="294">
    <w:p w14:paraId="39F2BC18" w14:textId="0E238556" w:rsidR="00E7381F" w:rsidRPr="00DE46F3" w:rsidRDefault="00E7381F" w:rsidP="0098356B">
      <w:pPr>
        <w:pStyle w:val="FootnoteText"/>
        <w:tabs>
          <w:tab w:val="clear" w:pos="418"/>
          <w:tab w:val="right" w:pos="1195"/>
          <w:tab w:val="left" w:pos="1267"/>
          <w:tab w:val="left" w:pos="1742"/>
          <w:tab w:val="left" w:pos="2218"/>
          <w:tab w:val="left" w:pos="2693"/>
        </w:tabs>
        <w:ind w:left="1267" w:right="1260" w:hanging="432"/>
        <w:jc w:val="both"/>
        <w:rPr>
          <w:szCs w:val="17"/>
        </w:rPr>
      </w:pPr>
      <w:r w:rsidRPr="00DE46F3">
        <w:rPr>
          <w:szCs w:val="17"/>
        </w:rPr>
        <w:tab/>
      </w:r>
      <w:r w:rsidRPr="00DE46F3">
        <w:rPr>
          <w:rStyle w:val="FootnoteReference"/>
          <w:szCs w:val="17"/>
        </w:rPr>
        <w:footnoteRef/>
      </w:r>
      <w:r w:rsidRPr="00DE46F3">
        <w:rPr>
          <w:szCs w:val="17"/>
        </w:rPr>
        <w:tab/>
        <w:t>2016 National Youth Policy,</w:t>
      </w:r>
      <w:r w:rsidRPr="00DE46F3">
        <w:rPr>
          <w:b/>
          <w:bCs/>
          <w:szCs w:val="17"/>
        </w:rPr>
        <w:t xml:space="preserve"> </w:t>
      </w:r>
      <w:r w:rsidRPr="00DE46F3">
        <w:rPr>
          <w:szCs w:val="17"/>
        </w:rPr>
        <w:t>Secretary of State for Youth and Sport, Democratic Republic of Timor-Leste, pp.</w:t>
      </w:r>
      <w:r w:rsidR="00C169FA" w:rsidRPr="00DE46F3">
        <w:rPr>
          <w:szCs w:val="17"/>
        </w:rPr>
        <w:t xml:space="preserve"> </w:t>
      </w:r>
      <w:r w:rsidRPr="00DE46F3">
        <w:rPr>
          <w:szCs w:val="17"/>
        </w:rPr>
        <w:t>15</w:t>
      </w:r>
      <w:r w:rsidR="00C169FA" w:rsidRPr="00DE46F3">
        <w:rPr>
          <w:szCs w:val="17"/>
        </w:rPr>
        <w:t>–</w:t>
      </w:r>
      <w:r w:rsidRPr="00DE46F3">
        <w:rPr>
          <w:szCs w:val="17"/>
        </w:rPr>
        <w:t>16.</w:t>
      </w:r>
    </w:p>
  </w:footnote>
  <w:footnote w:id="295">
    <w:p w14:paraId="3026AA7A" w14:textId="77777777" w:rsidR="00E7381F" w:rsidRPr="00DE46F3" w:rsidRDefault="00E7381F" w:rsidP="0098356B">
      <w:pPr>
        <w:pStyle w:val="FootnoteText"/>
        <w:tabs>
          <w:tab w:val="clear" w:pos="418"/>
          <w:tab w:val="right" w:pos="1195"/>
          <w:tab w:val="left" w:pos="1267"/>
          <w:tab w:val="left" w:pos="1742"/>
          <w:tab w:val="left" w:pos="2218"/>
          <w:tab w:val="left" w:pos="2693"/>
        </w:tabs>
        <w:ind w:left="1267" w:right="1260" w:hanging="432"/>
        <w:jc w:val="both"/>
        <w:rPr>
          <w:szCs w:val="17"/>
        </w:rPr>
      </w:pPr>
      <w:r w:rsidRPr="00DE46F3">
        <w:rPr>
          <w:szCs w:val="17"/>
        </w:rPr>
        <w:tab/>
      </w:r>
      <w:r w:rsidRPr="00DE46F3">
        <w:rPr>
          <w:rStyle w:val="FootnoteReference"/>
          <w:szCs w:val="17"/>
        </w:rPr>
        <w:footnoteRef/>
      </w:r>
      <w:r w:rsidRPr="00DE46F3">
        <w:rPr>
          <w:szCs w:val="17"/>
        </w:rPr>
        <w:tab/>
        <w:t xml:space="preserve">2018 </w:t>
      </w:r>
      <w:r w:rsidRPr="00DE46F3">
        <w:rPr>
          <w:color w:val="252525"/>
          <w:szCs w:val="17"/>
        </w:rPr>
        <w:t>Annual progress report on Empower for Change project to reduce violence and discrimination against women and children with disabilities</w:t>
      </w:r>
      <w:r w:rsidRPr="00DE46F3">
        <w:rPr>
          <w:szCs w:val="17"/>
        </w:rPr>
        <w:t>, UN Partnership on the Rights of Persons with Disabilities, 2019.</w:t>
      </w:r>
    </w:p>
  </w:footnote>
  <w:footnote w:id="296">
    <w:p w14:paraId="5666E848" w14:textId="004489AB" w:rsidR="00E7381F" w:rsidRPr="00DE46F3" w:rsidRDefault="00E7381F" w:rsidP="0098356B">
      <w:pPr>
        <w:pStyle w:val="FootnoteText"/>
        <w:tabs>
          <w:tab w:val="clear" w:pos="418"/>
          <w:tab w:val="right" w:pos="1195"/>
          <w:tab w:val="left" w:pos="1267"/>
          <w:tab w:val="left" w:pos="1742"/>
          <w:tab w:val="left" w:pos="2218"/>
          <w:tab w:val="left" w:pos="2693"/>
        </w:tabs>
        <w:ind w:left="1267" w:right="1260" w:hanging="432"/>
        <w:jc w:val="both"/>
        <w:rPr>
          <w:szCs w:val="17"/>
        </w:rPr>
      </w:pPr>
      <w:r w:rsidRPr="00DE46F3">
        <w:rPr>
          <w:szCs w:val="17"/>
        </w:rPr>
        <w:tab/>
      </w:r>
      <w:r w:rsidRPr="00DE46F3">
        <w:rPr>
          <w:rStyle w:val="FootnoteReference"/>
          <w:szCs w:val="17"/>
        </w:rPr>
        <w:footnoteRef/>
      </w:r>
      <w:r w:rsidRPr="00DE46F3">
        <w:rPr>
          <w:szCs w:val="17"/>
        </w:rPr>
        <w:tab/>
        <w:t>Progress Report Volume II – January-June 2017, Partnership for Human Development Australia Timor-Leste, July 2017, pp.</w:t>
      </w:r>
      <w:r w:rsidR="005B5FE3" w:rsidRPr="00DE46F3">
        <w:rPr>
          <w:szCs w:val="17"/>
        </w:rPr>
        <w:t xml:space="preserve"> </w:t>
      </w:r>
      <w:r w:rsidRPr="00DE46F3">
        <w:rPr>
          <w:szCs w:val="17"/>
        </w:rPr>
        <w:t>46</w:t>
      </w:r>
      <w:r w:rsidR="005B5FE3" w:rsidRPr="00DE46F3">
        <w:rPr>
          <w:szCs w:val="17"/>
        </w:rPr>
        <w:t>–</w:t>
      </w:r>
      <w:r w:rsidRPr="00DE46F3">
        <w:rPr>
          <w:szCs w:val="17"/>
        </w:rPr>
        <w:t>47.</w:t>
      </w:r>
    </w:p>
  </w:footnote>
  <w:footnote w:id="297">
    <w:p w14:paraId="44E9E374" w14:textId="77777777" w:rsidR="00E7381F" w:rsidRPr="00DE46F3" w:rsidRDefault="00E7381F" w:rsidP="0098356B">
      <w:pPr>
        <w:pStyle w:val="FootnoteText"/>
        <w:tabs>
          <w:tab w:val="clear" w:pos="418"/>
          <w:tab w:val="right" w:pos="1195"/>
          <w:tab w:val="left" w:pos="1267"/>
          <w:tab w:val="left" w:pos="1742"/>
          <w:tab w:val="left" w:pos="2218"/>
          <w:tab w:val="left" w:pos="2693"/>
        </w:tabs>
        <w:ind w:left="1267" w:right="1260" w:hanging="432"/>
        <w:jc w:val="both"/>
        <w:rPr>
          <w:szCs w:val="17"/>
        </w:rPr>
      </w:pPr>
      <w:r w:rsidRPr="00DE46F3">
        <w:rPr>
          <w:szCs w:val="17"/>
        </w:rPr>
        <w:tab/>
      </w:r>
      <w:r w:rsidRPr="00DE46F3">
        <w:rPr>
          <w:rStyle w:val="FootnoteReference"/>
          <w:szCs w:val="17"/>
        </w:rPr>
        <w:footnoteRef/>
      </w:r>
      <w:r w:rsidRPr="00DE46F3">
        <w:rPr>
          <w:szCs w:val="17"/>
        </w:rPr>
        <w:tab/>
        <w:t>See Article 10.</w:t>
      </w:r>
    </w:p>
  </w:footnote>
  <w:footnote w:id="298">
    <w:p w14:paraId="5BC7B60D" w14:textId="48A28949" w:rsidR="00E7381F" w:rsidRPr="00DE46F3" w:rsidRDefault="00E7381F" w:rsidP="0098356B">
      <w:pPr>
        <w:pStyle w:val="FootnoteText"/>
        <w:tabs>
          <w:tab w:val="clear" w:pos="418"/>
          <w:tab w:val="right" w:pos="1195"/>
          <w:tab w:val="left" w:pos="1267"/>
          <w:tab w:val="left" w:pos="1742"/>
          <w:tab w:val="left" w:pos="2218"/>
          <w:tab w:val="left" w:pos="2693"/>
        </w:tabs>
        <w:ind w:left="1267" w:right="1260" w:hanging="432"/>
        <w:jc w:val="both"/>
        <w:rPr>
          <w:szCs w:val="17"/>
        </w:rPr>
      </w:pPr>
      <w:r w:rsidRPr="00DE46F3">
        <w:rPr>
          <w:szCs w:val="17"/>
        </w:rPr>
        <w:tab/>
      </w:r>
      <w:r w:rsidRPr="00DE46F3">
        <w:rPr>
          <w:rStyle w:val="FootnoteReference"/>
          <w:szCs w:val="17"/>
        </w:rPr>
        <w:footnoteRef/>
      </w:r>
      <w:r w:rsidRPr="00DE46F3">
        <w:rPr>
          <w:szCs w:val="17"/>
        </w:rPr>
        <w:tab/>
        <w:t>Report on the Implementation of the Sustainable Development Goals: From ashes to reconciliation, reconstruction and sustainable development, Voluntary National Review of Timor-Leste 2019, Government of Timor-Leste, Dili, Timor-Leste, 2019, p.</w:t>
      </w:r>
      <w:r w:rsidR="000E62D7" w:rsidRPr="00DE46F3">
        <w:rPr>
          <w:szCs w:val="17"/>
        </w:rPr>
        <w:t xml:space="preserve"> </w:t>
      </w:r>
      <w:r w:rsidRPr="00DE46F3">
        <w:rPr>
          <w:szCs w:val="17"/>
        </w:rPr>
        <w:t>67.</w:t>
      </w:r>
    </w:p>
  </w:footnote>
  <w:footnote w:id="299">
    <w:p w14:paraId="179FF38E" w14:textId="37E25514" w:rsidR="00E7381F" w:rsidRPr="00DE46F3" w:rsidRDefault="00E7381F" w:rsidP="0098356B">
      <w:pPr>
        <w:pStyle w:val="FootnoteText"/>
        <w:tabs>
          <w:tab w:val="clear" w:pos="418"/>
          <w:tab w:val="right" w:pos="1195"/>
          <w:tab w:val="left" w:pos="1267"/>
          <w:tab w:val="left" w:pos="1742"/>
          <w:tab w:val="left" w:pos="2218"/>
          <w:tab w:val="left" w:pos="2693"/>
        </w:tabs>
        <w:ind w:left="1267" w:right="1260" w:hanging="432"/>
        <w:jc w:val="both"/>
        <w:rPr>
          <w:szCs w:val="17"/>
        </w:rPr>
      </w:pPr>
      <w:r w:rsidRPr="00DE46F3">
        <w:rPr>
          <w:szCs w:val="17"/>
        </w:rPr>
        <w:tab/>
      </w:r>
      <w:r w:rsidRPr="00DE46F3">
        <w:rPr>
          <w:rStyle w:val="FootnoteReference"/>
          <w:szCs w:val="17"/>
        </w:rPr>
        <w:footnoteRef/>
      </w:r>
      <w:r w:rsidRPr="00DE46F3">
        <w:rPr>
          <w:szCs w:val="17"/>
        </w:rPr>
        <w:tab/>
        <w:t>Relatório do Centro Nacional de Reabilitação (CNR) 2015-2017, CNR – República Democrática de Timor-Leste, 2017, pp.</w:t>
      </w:r>
      <w:r w:rsidR="005B5FE3" w:rsidRPr="00DE46F3">
        <w:rPr>
          <w:szCs w:val="17"/>
        </w:rPr>
        <w:t xml:space="preserve"> </w:t>
      </w:r>
      <w:r w:rsidRPr="00DE46F3">
        <w:rPr>
          <w:szCs w:val="17"/>
        </w:rPr>
        <w:t>32</w:t>
      </w:r>
      <w:r w:rsidR="000E62D7" w:rsidRPr="00DE46F3">
        <w:rPr>
          <w:rFonts w:eastAsia="ArialMT"/>
          <w:szCs w:val="17"/>
        </w:rPr>
        <w:t>–</w:t>
      </w:r>
      <w:r w:rsidRPr="00DE46F3">
        <w:rPr>
          <w:szCs w:val="17"/>
        </w:rPr>
        <w:t>34.</w:t>
      </w:r>
    </w:p>
  </w:footnote>
  <w:footnote w:id="300">
    <w:p w14:paraId="6E4F5876" w14:textId="413379D5" w:rsidR="00E7381F" w:rsidRPr="00DE46F3" w:rsidRDefault="00E7381F" w:rsidP="0098356B">
      <w:pPr>
        <w:pStyle w:val="FootnoteText"/>
        <w:tabs>
          <w:tab w:val="clear" w:pos="418"/>
          <w:tab w:val="right" w:pos="1195"/>
          <w:tab w:val="left" w:pos="1267"/>
          <w:tab w:val="left" w:pos="1742"/>
          <w:tab w:val="left" w:pos="2218"/>
          <w:tab w:val="left" w:pos="2693"/>
        </w:tabs>
        <w:ind w:left="1267" w:right="1260" w:hanging="432"/>
        <w:jc w:val="both"/>
        <w:rPr>
          <w:szCs w:val="17"/>
        </w:rPr>
      </w:pPr>
      <w:r w:rsidRPr="00DE46F3">
        <w:rPr>
          <w:szCs w:val="17"/>
        </w:rPr>
        <w:tab/>
      </w:r>
      <w:r w:rsidRPr="00DE46F3">
        <w:rPr>
          <w:rStyle w:val="FootnoteReference"/>
          <w:szCs w:val="17"/>
        </w:rPr>
        <w:footnoteRef/>
      </w:r>
      <w:r w:rsidRPr="00DE46F3">
        <w:rPr>
          <w:szCs w:val="17"/>
        </w:rPr>
        <w:tab/>
        <w:t>Progress Report Volume II – January-June 2017, Partnership for Human Development Australia Timor-Leste, July 2017, p.</w:t>
      </w:r>
      <w:r w:rsidR="005B5FE3" w:rsidRPr="00DE46F3">
        <w:rPr>
          <w:szCs w:val="17"/>
        </w:rPr>
        <w:t xml:space="preserve"> </w:t>
      </w:r>
      <w:r w:rsidRPr="00DE46F3">
        <w:rPr>
          <w:szCs w:val="17"/>
        </w:rPr>
        <w:t>46.</w:t>
      </w:r>
    </w:p>
  </w:footnote>
  <w:footnote w:id="301">
    <w:p w14:paraId="7501AAD0" w14:textId="77777777" w:rsidR="00E7381F" w:rsidRPr="00DE46F3" w:rsidRDefault="00E7381F" w:rsidP="0098356B">
      <w:pPr>
        <w:pStyle w:val="FootnoteText"/>
        <w:tabs>
          <w:tab w:val="clear" w:pos="418"/>
          <w:tab w:val="right" w:pos="1195"/>
          <w:tab w:val="left" w:pos="1267"/>
          <w:tab w:val="left" w:pos="1742"/>
          <w:tab w:val="left" w:pos="2218"/>
          <w:tab w:val="left" w:pos="2693"/>
        </w:tabs>
        <w:ind w:left="1267" w:right="1260" w:hanging="432"/>
        <w:rPr>
          <w:szCs w:val="17"/>
        </w:rPr>
      </w:pPr>
      <w:r w:rsidRPr="00DE46F3">
        <w:rPr>
          <w:szCs w:val="17"/>
        </w:rPr>
        <w:tab/>
      </w:r>
      <w:r w:rsidRPr="00DE46F3">
        <w:rPr>
          <w:rStyle w:val="FootnoteReference"/>
          <w:szCs w:val="17"/>
        </w:rPr>
        <w:footnoteRef/>
      </w:r>
      <w:r w:rsidRPr="00DE46F3">
        <w:rPr>
          <w:szCs w:val="17"/>
        </w:rPr>
        <w:tab/>
        <w:t>See Article 14.</w:t>
      </w:r>
    </w:p>
  </w:footnote>
  <w:footnote w:id="302">
    <w:p w14:paraId="5C02E8D1" w14:textId="77777777" w:rsidR="00E7381F" w:rsidRPr="00DE46F3" w:rsidRDefault="00E7381F" w:rsidP="0098356B">
      <w:pPr>
        <w:pStyle w:val="FootnoteText"/>
        <w:tabs>
          <w:tab w:val="clear" w:pos="418"/>
          <w:tab w:val="right" w:pos="1195"/>
          <w:tab w:val="left" w:pos="1267"/>
          <w:tab w:val="left" w:pos="1742"/>
          <w:tab w:val="left" w:pos="2218"/>
          <w:tab w:val="left" w:pos="2693"/>
        </w:tabs>
        <w:ind w:left="1267" w:right="1260" w:hanging="432"/>
        <w:rPr>
          <w:szCs w:val="17"/>
        </w:rPr>
      </w:pPr>
      <w:r w:rsidRPr="00DE46F3">
        <w:rPr>
          <w:szCs w:val="17"/>
        </w:rPr>
        <w:tab/>
      </w:r>
      <w:r w:rsidRPr="00DE46F3">
        <w:rPr>
          <w:rStyle w:val="FootnoteReference"/>
          <w:szCs w:val="17"/>
        </w:rPr>
        <w:footnoteRef/>
      </w:r>
      <w:r w:rsidRPr="00DE46F3">
        <w:rPr>
          <w:szCs w:val="17"/>
        </w:rPr>
        <w:tab/>
        <w:t>37 households with a PwD interviewed.</w:t>
      </w:r>
    </w:p>
  </w:footnote>
  <w:footnote w:id="303">
    <w:p w14:paraId="76AA927B" w14:textId="03BEFFEC" w:rsidR="00E7381F" w:rsidRPr="00DE46F3" w:rsidRDefault="00E7381F" w:rsidP="0098356B">
      <w:pPr>
        <w:pStyle w:val="FootnoteText"/>
        <w:tabs>
          <w:tab w:val="clear" w:pos="418"/>
          <w:tab w:val="right" w:pos="1195"/>
          <w:tab w:val="left" w:pos="1267"/>
          <w:tab w:val="left" w:pos="1742"/>
          <w:tab w:val="left" w:pos="2218"/>
          <w:tab w:val="left" w:pos="2693"/>
        </w:tabs>
        <w:ind w:left="1267" w:right="1260" w:hanging="432"/>
        <w:jc w:val="both"/>
        <w:rPr>
          <w:szCs w:val="17"/>
        </w:rPr>
      </w:pPr>
      <w:r w:rsidRPr="00DE46F3">
        <w:rPr>
          <w:szCs w:val="17"/>
        </w:rPr>
        <w:tab/>
      </w:r>
      <w:r w:rsidRPr="00DE46F3">
        <w:rPr>
          <w:rStyle w:val="FootnoteReference"/>
          <w:szCs w:val="17"/>
        </w:rPr>
        <w:footnoteRef/>
      </w:r>
      <w:r w:rsidRPr="00DE46F3">
        <w:rPr>
          <w:szCs w:val="17"/>
        </w:rPr>
        <w:tab/>
        <w:t>Pomeroy J.L., Economic Impacts of PNDS Infrastructure Projects, Ministry of State Administration – PNDS Technical Secretariat, Government of Timor-Leste, July 2018, p.</w:t>
      </w:r>
      <w:r w:rsidR="00C169FA" w:rsidRPr="00DE46F3">
        <w:rPr>
          <w:szCs w:val="17"/>
        </w:rPr>
        <w:t xml:space="preserve"> </w:t>
      </w:r>
      <w:r w:rsidRPr="00DE46F3">
        <w:rPr>
          <w:szCs w:val="17"/>
        </w:rPr>
        <w:t>10.</w:t>
      </w:r>
    </w:p>
  </w:footnote>
  <w:footnote w:id="304">
    <w:p w14:paraId="08C282DB" w14:textId="77777777" w:rsidR="00E7381F" w:rsidRPr="00DE46F3" w:rsidRDefault="00E7381F" w:rsidP="0098356B">
      <w:pPr>
        <w:pStyle w:val="FootnoteText"/>
        <w:tabs>
          <w:tab w:val="clear" w:pos="418"/>
          <w:tab w:val="right" w:pos="1195"/>
          <w:tab w:val="left" w:pos="1267"/>
          <w:tab w:val="left" w:pos="1742"/>
          <w:tab w:val="left" w:pos="2218"/>
          <w:tab w:val="left" w:pos="2693"/>
        </w:tabs>
        <w:ind w:left="1267" w:right="1260" w:hanging="432"/>
        <w:jc w:val="both"/>
        <w:rPr>
          <w:szCs w:val="17"/>
        </w:rPr>
      </w:pPr>
      <w:r w:rsidRPr="00DE46F3">
        <w:rPr>
          <w:szCs w:val="17"/>
        </w:rPr>
        <w:tab/>
      </w:r>
      <w:r w:rsidRPr="00DE46F3">
        <w:rPr>
          <w:rStyle w:val="FootnoteReference"/>
          <w:szCs w:val="17"/>
        </w:rPr>
        <w:footnoteRef/>
      </w:r>
      <w:r w:rsidRPr="00DE46F3">
        <w:rPr>
          <w:szCs w:val="17"/>
        </w:rPr>
        <w:tab/>
        <w:t>Inputs from the Consultative Workshop, 17th/18th October 2019.</w:t>
      </w:r>
    </w:p>
  </w:footnote>
  <w:footnote w:id="305">
    <w:p w14:paraId="2922BCF0" w14:textId="77777777" w:rsidR="00E7381F" w:rsidRPr="00DE46F3" w:rsidRDefault="00E7381F" w:rsidP="0098356B">
      <w:pPr>
        <w:pStyle w:val="FootnoteText"/>
        <w:tabs>
          <w:tab w:val="clear" w:pos="418"/>
          <w:tab w:val="right" w:pos="1195"/>
          <w:tab w:val="left" w:pos="1267"/>
          <w:tab w:val="left" w:pos="1742"/>
          <w:tab w:val="left" w:pos="2218"/>
          <w:tab w:val="left" w:pos="2693"/>
        </w:tabs>
        <w:ind w:left="1267" w:right="1260" w:hanging="432"/>
        <w:jc w:val="both"/>
        <w:rPr>
          <w:szCs w:val="17"/>
        </w:rPr>
      </w:pPr>
      <w:r w:rsidRPr="00DE46F3">
        <w:rPr>
          <w:szCs w:val="17"/>
        </w:rPr>
        <w:tab/>
      </w:r>
      <w:r w:rsidRPr="00DE46F3">
        <w:rPr>
          <w:rStyle w:val="FootnoteReference"/>
          <w:szCs w:val="17"/>
        </w:rPr>
        <w:footnoteRef/>
      </w:r>
      <w:r w:rsidRPr="00DE46F3">
        <w:rPr>
          <w:szCs w:val="17"/>
        </w:rPr>
        <w:tab/>
        <w:t xml:space="preserve">2018 </w:t>
      </w:r>
      <w:r w:rsidRPr="00DE46F3">
        <w:rPr>
          <w:color w:val="252525"/>
          <w:szCs w:val="17"/>
        </w:rPr>
        <w:t>Annual progress report on Empower for Change project to reduce violence and discrimination against women and children with disabilities</w:t>
      </w:r>
      <w:r w:rsidRPr="00DE46F3">
        <w:rPr>
          <w:szCs w:val="17"/>
        </w:rPr>
        <w:t>, UN Partnership on the Rights of Persons with Disabilities, 2019.</w:t>
      </w:r>
    </w:p>
  </w:footnote>
  <w:footnote w:id="306">
    <w:p w14:paraId="34B71190" w14:textId="2D47FD73" w:rsidR="00E7381F" w:rsidRPr="00DE46F3" w:rsidRDefault="00E7381F" w:rsidP="0098356B">
      <w:pPr>
        <w:pStyle w:val="FootnoteText"/>
        <w:tabs>
          <w:tab w:val="clear" w:pos="418"/>
          <w:tab w:val="right" w:pos="1195"/>
          <w:tab w:val="left" w:pos="1267"/>
          <w:tab w:val="left" w:pos="1742"/>
          <w:tab w:val="left" w:pos="2218"/>
          <w:tab w:val="left" w:pos="2693"/>
        </w:tabs>
        <w:ind w:left="1267" w:right="1260" w:hanging="432"/>
        <w:jc w:val="both"/>
        <w:rPr>
          <w:szCs w:val="17"/>
        </w:rPr>
      </w:pPr>
      <w:r w:rsidRPr="00DE46F3">
        <w:rPr>
          <w:szCs w:val="17"/>
        </w:rPr>
        <w:tab/>
      </w:r>
      <w:r w:rsidRPr="00DE46F3">
        <w:rPr>
          <w:rStyle w:val="FootnoteReference"/>
          <w:szCs w:val="17"/>
        </w:rPr>
        <w:footnoteRef/>
      </w:r>
      <w:r w:rsidRPr="00DE46F3">
        <w:rPr>
          <w:szCs w:val="17"/>
        </w:rPr>
        <w:tab/>
        <w:t>Almeida B. and Wassel, Survey on Access to Land, Tenure Security and Land Conflicts in Timor-Leste, The Asia Foundation / Van Vollenhoven Institute for Law, Governance and Society, Dec.</w:t>
      </w:r>
      <w:r w:rsidR="000E62D7" w:rsidRPr="00DE46F3">
        <w:rPr>
          <w:szCs w:val="17"/>
        </w:rPr>
        <w:t> </w:t>
      </w:r>
      <w:r w:rsidRPr="00DE46F3">
        <w:rPr>
          <w:szCs w:val="17"/>
        </w:rPr>
        <w:t>2016, p.</w:t>
      </w:r>
      <w:r w:rsidR="00C169FA" w:rsidRPr="00DE46F3">
        <w:rPr>
          <w:szCs w:val="17"/>
        </w:rPr>
        <w:t xml:space="preserve"> </w:t>
      </w:r>
      <w:r w:rsidRPr="00DE46F3">
        <w:rPr>
          <w:szCs w:val="17"/>
        </w:rPr>
        <w:t>17; Gender Equality and Social Inclusion Analysis – Technical Report 8, TOMAK, Dec. 2016, p. 33; Asia Foundation Timor-Leste, Beyond Fragility and Inequity, Women’s Experiences of the Economic Dimensions of Domestic Violence in Timor-Leste, 2015.</w:t>
      </w:r>
    </w:p>
  </w:footnote>
  <w:footnote w:id="307">
    <w:p w14:paraId="6E299B00" w14:textId="77777777" w:rsidR="00E7381F" w:rsidRPr="00DE46F3" w:rsidRDefault="00E7381F" w:rsidP="0098356B">
      <w:pPr>
        <w:pStyle w:val="FootnoteText"/>
        <w:tabs>
          <w:tab w:val="clear" w:pos="418"/>
          <w:tab w:val="right" w:pos="1195"/>
          <w:tab w:val="left" w:pos="1267"/>
          <w:tab w:val="left" w:pos="1742"/>
          <w:tab w:val="left" w:pos="2218"/>
          <w:tab w:val="left" w:pos="2693"/>
        </w:tabs>
        <w:ind w:left="1267" w:right="1260" w:hanging="432"/>
        <w:jc w:val="both"/>
        <w:rPr>
          <w:szCs w:val="17"/>
        </w:rPr>
      </w:pPr>
      <w:r w:rsidRPr="00DE46F3">
        <w:rPr>
          <w:szCs w:val="17"/>
        </w:rPr>
        <w:tab/>
      </w:r>
      <w:r w:rsidRPr="00DE46F3">
        <w:rPr>
          <w:rStyle w:val="FootnoteReference"/>
          <w:szCs w:val="17"/>
        </w:rPr>
        <w:footnoteRef/>
      </w:r>
      <w:r w:rsidRPr="00DE46F3">
        <w:rPr>
          <w:szCs w:val="17"/>
        </w:rPr>
        <w:tab/>
      </w:r>
      <w:r w:rsidRPr="00DE46F3">
        <w:rPr>
          <w:rFonts w:cs="Calibri"/>
          <w:szCs w:val="17"/>
        </w:rPr>
        <w:t>Originally considered to be established in a separate piece of legislation.</w:t>
      </w:r>
    </w:p>
  </w:footnote>
  <w:footnote w:id="308">
    <w:p w14:paraId="4D2C3919" w14:textId="74359363" w:rsidR="00E7381F" w:rsidRPr="00DE46F3" w:rsidRDefault="00E7381F" w:rsidP="0098356B">
      <w:pPr>
        <w:pStyle w:val="FootnoteText"/>
        <w:tabs>
          <w:tab w:val="clear" w:pos="418"/>
          <w:tab w:val="right" w:pos="1195"/>
          <w:tab w:val="left" w:pos="1267"/>
          <w:tab w:val="left" w:pos="1742"/>
          <w:tab w:val="left" w:pos="2218"/>
          <w:tab w:val="left" w:pos="2693"/>
        </w:tabs>
        <w:ind w:left="1267" w:right="1260" w:hanging="432"/>
        <w:jc w:val="both"/>
        <w:rPr>
          <w:szCs w:val="17"/>
        </w:rPr>
      </w:pPr>
      <w:r w:rsidRPr="00DE46F3">
        <w:rPr>
          <w:szCs w:val="17"/>
        </w:rPr>
        <w:tab/>
      </w:r>
      <w:r w:rsidRPr="00DE46F3">
        <w:rPr>
          <w:rStyle w:val="FootnoteReference"/>
          <w:szCs w:val="17"/>
        </w:rPr>
        <w:footnoteRef/>
      </w:r>
      <w:r w:rsidRPr="00DE46F3">
        <w:rPr>
          <w:szCs w:val="17"/>
        </w:rPr>
        <w:tab/>
        <w:t>Report on the Implementation of the Sustainable Development Goals: From ashes to reconciliation, reconstruction and sustainable development, Voluntary National Review of Timor-Leste 2019, Government of Timor-Leste, Dili, Timor-Leste, 2019, p.</w:t>
      </w:r>
      <w:r w:rsidR="00C169FA" w:rsidRPr="00DE46F3">
        <w:rPr>
          <w:szCs w:val="17"/>
        </w:rPr>
        <w:t xml:space="preserve"> </w:t>
      </w:r>
      <w:r w:rsidRPr="00DE46F3">
        <w:rPr>
          <w:szCs w:val="17"/>
        </w:rPr>
        <w:t>77.</w:t>
      </w:r>
    </w:p>
  </w:footnote>
  <w:footnote w:id="309">
    <w:p w14:paraId="0029BDD7" w14:textId="77777777" w:rsidR="00D47751" w:rsidRPr="00DE46F3" w:rsidRDefault="00D47751" w:rsidP="0098356B">
      <w:pPr>
        <w:pStyle w:val="FootnoteText"/>
        <w:tabs>
          <w:tab w:val="clear" w:pos="418"/>
          <w:tab w:val="right" w:pos="1195"/>
          <w:tab w:val="left" w:pos="1267"/>
          <w:tab w:val="left" w:pos="1742"/>
          <w:tab w:val="left" w:pos="2218"/>
          <w:tab w:val="left" w:pos="2693"/>
        </w:tabs>
        <w:ind w:left="1267" w:right="1260" w:hanging="432"/>
        <w:jc w:val="both"/>
        <w:rPr>
          <w:szCs w:val="17"/>
        </w:rPr>
      </w:pPr>
      <w:r w:rsidRPr="00DE46F3">
        <w:rPr>
          <w:szCs w:val="17"/>
        </w:rPr>
        <w:tab/>
      </w:r>
      <w:r w:rsidRPr="00DE46F3">
        <w:rPr>
          <w:rStyle w:val="FootnoteReference"/>
          <w:szCs w:val="17"/>
        </w:rPr>
        <w:footnoteRef/>
      </w:r>
      <w:r w:rsidRPr="00DE46F3">
        <w:rPr>
          <w:szCs w:val="17"/>
        </w:rPr>
        <w:tab/>
        <w:t>Decree-Law N°5/2011, 9th Feb. 2011.</w:t>
      </w:r>
    </w:p>
  </w:footnote>
  <w:footnote w:id="310">
    <w:p w14:paraId="5C64945B" w14:textId="77777777" w:rsidR="00D47751" w:rsidRPr="00DE46F3" w:rsidRDefault="00D47751" w:rsidP="0098356B">
      <w:pPr>
        <w:pStyle w:val="FootnoteText"/>
        <w:tabs>
          <w:tab w:val="clear" w:pos="418"/>
          <w:tab w:val="right" w:pos="1195"/>
          <w:tab w:val="left" w:pos="1267"/>
          <w:tab w:val="left" w:pos="1742"/>
          <w:tab w:val="left" w:pos="2218"/>
          <w:tab w:val="left" w:pos="2693"/>
        </w:tabs>
        <w:ind w:left="1267" w:right="1260" w:hanging="432"/>
        <w:jc w:val="both"/>
        <w:rPr>
          <w:szCs w:val="17"/>
        </w:rPr>
      </w:pPr>
      <w:r w:rsidRPr="00DE46F3">
        <w:rPr>
          <w:szCs w:val="17"/>
        </w:rPr>
        <w:tab/>
      </w:r>
      <w:r w:rsidRPr="00DE46F3">
        <w:rPr>
          <w:rStyle w:val="FootnoteReference"/>
          <w:szCs w:val="17"/>
        </w:rPr>
        <w:footnoteRef/>
      </w:r>
      <w:r w:rsidRPr="00DE46F3">
        <w:rPr>
          <w:szCs w:val="17"/>
        </w:rPr>
        <w:tab/>
      </w:r>
      <w:r w:rsidRPr="00DE46F3">
        <w:rPr>
          <w:rFonts w:cs="Calibri"/>
          <w:szCs w:val="17"/>
        </w:rPr>
        <w:t>The major national petroleum sector project on the south coast.</w:t>
      </w:r>
    </w:p>
  </w:footnote>
  <w:footnote w:id="311">
    <w:p w14:paraId="199C4A31" w14:textId="77777777" w:rsidR="00D47751" w:rsidRPr="00DE46F3" w:rsidRDefault="00D47751" w:rsidP="0098356B">
      <w:pPr>
        <w:pStyle w:val="FootnoteText"/>
        <w:tabs>
          <w:tab w:val="clear" w:pos="418"/>
          <w:tab w:val="right" w:pos="1195"/>
          <w:tab w:val="left" w:pos="1267"/>
          <w:tab w:val="left" w:pos="1742"/>
          <w:tab w:val="left" w:pos="2218"/>
          <w:tab w:val="left" w:pos="2693"/>
        </w:tabs>
        <w:ind w:left="1267" w:right="1260" w:hanging="432"/>
        <w:jc w:val="both"/>
        <w:rPr>
          <w:szCs w:val="17"/>
        </w:rPr>
      </w:pPr>
      <w:r w:rsidRPr="00DE46F3">
        <w:rPr>
          <w:szCs w:val="17"/>
        </w:rPr>
        <w:tab/>
      </w:r>
      <w:r w:rsidRPr="00DE46F3">
        <w:rPr>
          <w:rStyle w:val="FootnoteReference"/>
          <w:szCs w:val="17"/>
        </w:rPr>
        <w:footnoteRef/>
      </w:r>
      <w:r w:rsidRPr="00DE46F3">
        <w:rPr>
          <w:szCs w:val="17"/>
        </w:rPr>
        <w:tab/>
        <w:t>Tasi Mane Project – Suai Supply Base – Environmental Impact Assessment, TimorGap/Worley Parsons Resources and Energy, June 2012; Tasi Mane Project – Betano Petroleum Refinery and Beaço LNG Plant – Strategic Environmental Impact Assessment, TimorGap/Worley Parsons Resources and Energy, June 2012.</w:t>
      </w:r>
    </w:p>
  </w:footnote>
  <w:footnote w:id="312">
    <w:p w14:paraId="1BD70794" w14:textId="17183A20" w:rsidR="00D47751" w:rsidRPr="00DE46F3" w:rsidRDefault="00D47751" w:rsidP="0098356B">
      <w:pPr>
        <w:tabs>
          <w:tab w:val="right" w:pos="1195"/>
          <w:tab w:val="left" w:pos="1267"/>
          <w:tab w:val="left" w:pos="1742"/>
          <w:tab w:val="left" w:pos="2218"/>
          <w:tab w:val="left" w:pos="2693"/>
        </w:tabs>
        <w:autoSpaceDE w:val="0"/>
        <w:autoSpaceDN w:val="0"/>
        <w:adjustRightInd w:val="0"/>
        <w:spacing w:line="240" w:lineRule="auto"/>
        <w:ind w:left="1267" w:right="1260" w:hanging="432"/>
        <w:jc w:val="both"/>
        <w:rPr>
          <w:rFonts w:cs="Calibri"/>
          <w:sz w:val="17"/>
          <w:szCs w:val="17"/>
        </w:rPr>
      </w:pPr>
      <w:r w:rsidRPr="00DE46F3">
        <w:rPr>
          <w:rFonts w:cs="Calibri"/>
          <w:sz w:val="17"/>
          <w:szCs w:val="17"/>
        </w:rPr>
        <w:tab/>
      </w:r>
      <w:r w:rsidRPr="00DE46F3">
        <w:rPr>
          <w:rStyle w:val="FootnoteReference"/>
          <w:rFonts w:cs="Calibri"/>
          <w:sz w:val="17"/>
          <w:szCs w:val="17"/>
        </w:rPr>
        <w:footnoteRef/>
      </w:r>
      <w:r w:rsidRPr="00DE46F3">
        <w:rPr>
          <w:rFonts w:cs="Calibri"/>
          <w:sz w:val="17"/>
          <w:szCs w:val="17"/>
        </w:rPr>
        <w:tab/>
        <w:t>Either 10 per cent of the supply base profits or 3 USD per square meter for an outright sale of their land.</w:t>
      </w:r>
    </w:p>
  </w:footnote>
  <w:footnote w:id="313">
    <w:p w14:paraId="234A8113" w14:textId="77777777" w:rsidR="00D47751" w:rsidRPr="00DE46F3" w:rsidRDefault="00D47751" w:rsidP="0098356B">
      <w:pPr>
        <w:pStyle w:val="FootnoteText"/>
        <w:tabs>
          <w:tab w:val="clear" w:pos="418"/>
          <w:tab w:val="right" w:pos="1195"/>
          <w:tab w:val="left" w:pos="1267"/>
          <w:tab w:val="left" w:pos="1742"/>
          <w:tab w:val="left" w:pos="2218"/>
          <w:tab w:val="left" w:pos="2693"/>
        </w:tabs>
        <w:ind w:left="1267" w:right="1260" w:hanging="432"/>
        <w:jc w:val="both"/>
        <w:rPr>
          <w:szCs w:val="17"/>
        </w:rPr>
      </w:pPr>
      <w:r w:rsidRPr="00DE46F3">
        <w:rPr>
          <w:szCs w:val="17"/>
        </w:rPr>
        <w:tab/>
      </w:r>
      <w:r w:rsidRPr="00DE46F3">
        <w:rPr>
          <w:rStyle w:val="FootnoteReference"/>
          <w:szCs w:val="17"/>
        </w:rPr>
        <w:footnoteRef/>
      </w:r>
      <w:r w:rsidRPr="00DE46F3">
        <w:rPr>
          <w:szCs w:val="17"/>
        </w:rPr>
        <w:tab/>
        <w:t>Report &amp; Accounts 2018, TimorGap, Dili, Timor-Leste, 2019.</w:t>
      </w:r>
    </w:p>
  </w:footnote>
  <w:footnote w:id="314">
    <w:p w14:paraId="7C46743D" w14:textId="77777777" w:rsidR="00D47751" w:rsidRPr="00DE46F3" w:rsidRDefault="00D47751" w:rsidP="0098356B">
      <w:pPr>
        <w:pStyle w:val="FootnoteText"/>
        <w:tabs>
          <w:tab w:val="clear" w:pos="418"/>
          <w:tab w:val="right" w:pos="1195"/>
          <w:tab w:val="left" w:pos="1267"/>
          <w:tab w:val="left" w:pos="1742"/>
          <w:tab w:val="left" w:pos="2218"/>
          <w:tab w:val="left" w:pos="2693"/>
        </w:tabs>
        <w:ind w:left="1267" w:right="1260" w:hanging="432"/>
        <w:jc w:val="both"/>
        <w:rPr>
          <w:szCs w:val="17"/>
        </w:rPr>
      </w:pPr>
      <w:r w:rsidRPr="00DE46F3">
        <w:rPr>
          <w:szCs w:val="17"/>
        </w:rPr>
        <w:tab/>
      </w:r>
      <w:r w:rsidRPr="00DE46F3">
        <w:rPr>
          <w:rStyle w:val="FootnoteReference"/>
          <w:szCs w:val="17"/>
        </w:rPr>
        <w:footnoteRef/>
      </w:r>
      <w:r w:rsidRPr="00DE46F3">
        <w:rPr>
          <w:szCs w:val="17"/>
        </w:rPr>
        <w:tab/>
        <w:t>Maubisse Declaration (2015-2017), 6</w:t>
      </w:r>
      <w:r w:rsidRPr="00DF508B">
        <w:rPr>
          <w:szCs w:val="17"/>
        </w:rPr>
        <w:t>th</w:t>
      </w:r>
      <w:r w:rsidRPr="00DE46F3">
        <w:rPr>
          <w:szCs w:val="17"/>
        </w:rPr>
        <w:t xml:space="preserve"> Constitutional Government, Democratic Republic of Timor-Leste, 15</w:t>
      </w:r>
      <w:r w:rsidRPr="007D0872">
        <w:rPr>
          <w:szCs w:val="17"/>
        </w:rPr>
        <w:t>th</w:t>
      </w:r>
      <w:r w:rsidRPr="00DE46F3">
        <w:rPr>
          <w:szCs w:val="17"/>
        </w:rPr>
        <w:t xml:space="preserve"> October 2015.</w:t>
      </w:r>
    </w:p>
  </w:footnote>
  <w:footnote w:id="315">
    <w:p w14:paraId="35E64D29" w14:textId="77777777" w:rsidR="00D47751" w:rsidRPr="00DE46F3" w:rsidRDefault="00D47751" w:rsidP="0098356B">
      <w:pPr>
        <w:pStyle w:val="FootnoteText"/>
        <w:tabs>
          <w:tab w:val="clear" w:pos="418"/>
          <w:tab w:val="right" w:pos="1195"/>
          <w:tab w:val="left" w:pos="1267"/>
          <w:tab w:val="left" w:pos="1742"/>
          <w:tab w:val="left" w:pos="2218"/>
          <w:tab w:val="left" w:pos="2693"/>
        </w:tabs>
        <w:ind w:left="1267" w:right="1260" w:hanging="432"/>
        <w:jc w:val="both"/>
        <w:rPr>
          <w:szCs w:val="17"/>
        </w:rPr>
      </w:pPr>
      <w:r w:rsidRPr="00DE46F3">
        <w:rPr>
          <w:szCs w:val="17"/>
        </w:rPr>
        <w:tab/>
      </w:r>
      <w:r w:rsidRPr="00DE46F3">
        <w:rPr>
          <w:rStyle w:val="FootnoteReference"/>
          <w:szCs w:val="17"/>
        </w:rPr>
        <w:footnoteRef/>
      </w:r>
      <w:r w:rsidRPr="00DE46F3">
        <w:rPr>
          <w:szCs w:val="17"/>
        </w:rPr>
        <w:tab/>
        <w:t>Maubisse Declaration - Phase II (2018-2023), 8</w:t>
      </w:r>
      <w:r w:rsidRPr="00DF508B">
        <w:rPr>
          <w:szCs w:val="17"/>
        </w:rPr>
        <w:t>th</w:t>
      </w:r>
      <w:r w:rsidRPr="00DE46F3">
        <w:rPr>
          <w:szCs w:val="17"/>
        </w:rPr>
        <w:t xml:space="preserve"> Constitutional Government, Democratic Republic of Timor-Leste, 12</w:t>
      </w:r>
      <w:r w:rsidRPr="00DF508B">
        <w:rPr>
          <w:szCs w:val="17"/>
        </w:rPr>
        <w:t>th</w:t>
      </w:r>
      <w:r w:rsidRPr="00DE46F3">
        <w:rPr>
          <w:szCs w:val="17"/>
        </w:rPr>
        <w:t xml:space="preserve"> October 2018.</w:t>
      </w:r>
    </w:p>
  </w:footnote>
  <w:footnote w:id="316">
    <w:p w14:paraId="5F2AE141" w14:textId="4FC4C30A" w:rsidR="00D47751" w:rsidRPr="00DE46F3" w:rsidRDefault="00D47751" w:rsidP="0098356B">
      <w:pPr>
        <w:pStyle w:val="FootnoteText"/>
        <w:tabs>
          <w:tab w:val="clear" w:pos="418"/>
          <w:tab w:val="right" w:pos="1195"/>
          <w:tab w:val="left" w:pos="1267"/>
          <w:tab w:val="left" w:pos="1742"/>
          <w:tab w:val="left" w:pos="2218"/>
          <w:tab w:val="left" w:pos="2693"/>
        </w:tabs>
        <w:ind w:left="1267" w:right="1260" w:hanging="432"/>
        <w:jc w:val="both"/>
        <w:rPr>
          <w:szCs w:val="17"/>
        </w:rPr>
      </w:pPr>
      <w:r w:rsidRPr="00DE46F3">
        <w:rPr>
          <w:szCs w:val="17"/>
        </w:rPr>
        <w:tab/>
      </w:r>
      <w:r w:rsidRPr="00DE46F3">
        <w:rPr>
          <w:rStyle w:val="FootnoteReference"/>
          <w:szCs w:val="17"/>
        </w:rPr>
        <w:footnoteRef/>
      </w:r>
      <w:r w:rsidRPr="00DE46F3">
        <w:rPr>
          <w:szCs w:val="17"/>
        </w:rPr>
        <w:tab/>
      </w:r>
      <w:r w:rsidRPr="00DE46F3">
        <w:rPr>
          <w:rFonts w:cs="Calibri"/>
          <w:szCs w:val="17"/>
          <w:shd w:val="clear" w:color="auto" w:fill="FFFFFF"/>
        </w:rPr>
        <w:t>PNDS (National Program for</w:t>
      </w:r>
      <w:r w:rsidR="004355E5">
        <w:rPr>
          <w:rFonts w:cs="Calibri"/>
          <w:szCs w:val="17"/>
          <w:shd w:val="clear" w:color="auto" w:fill="FFFFFF"/>
        </w:rPr>
        <w:t xml:space="preserve"> </w:t>
      </w:r>
      <w:r w:rsidRPr="00DE46F3">
        <w:rPr>
          <w:rFonts w:cs="Calibri"/>
          <w:szCs w:val="17"/>
          <w:shd w:val="clear" w:color="auto" w:fill="FFFFFF"/>
        </w:rPr>
        <w:t>Village Development) is a Government initiative that enables communities to choose, design and build small scale infrastructure projects in their village.</w:t>
      </w:r>
    </w:p>
  </w:footnote>
  <w:footnote w:id="317">
    <w:p w14:paraId="0B105FC5" w14:textId="77777777" w:rsidR="00D47751" w:rsidRPr="00DE46F3" w:rsidRDefault="00D47751" w:rsidP="0098356B">
      <w:pPr>
        <w:pStyle w:val="FootnoteText"/>
        <w:tabs>
          <w:tab w:val="clear" w:pos="418"/>
          <w:tab w:val="right" w:pos="1195"/>
          <w:tab w:val="left" w:pos="1267"/>
          <w:tab w:val="left" w:pos="1742"/>
          <w:tab w:val="left" w:pos="2218"/>
          <w:tab w:val="left" w:pos="2693"/>
        </w:tabs>
        <w:ind w:left="1267" w:right="1260" w:hanging="432"/>
        <w:jc w:val="both"/>
        <w:rPr>
          <w:szCs w:val="17"/>
        </w:rPr>
      </w:pPr>
      <w:r w:rsidRPr="00DE46F3">
        <w:rPr>
          <w:szCs w:val="17"/>
        </w:rPr>
        <w:tab/>
      </w:r>
      <w:r w:rsidRPr="00DE46F3">
        <w:rPr>
          <w:rStyle w:val="FootnoteReference"/>
          <w:szCs w:val="17"/>
        </w:rPr>
        <w:footnoteRef/>
      </w:r>
      <w:r w:rsidRPr="00DE46F3">
        <w:rPr>
          <w:szCs w:val="17"/>
        </w:rPr>
        <w:tab/>
        <w:t>Programa Nasional Dezenvolvimentu Suku (PNDS) Support Program – Mid-term Review Final Report, Dili, Timor-Leste, Feb. 2017, p.10.</w:t>
      </w:r>
    </w:p>
  </w:footnote>
  <w:footnote w:id="318">
    <w:p w14:paraId="0E36C44A" w14:textId="77777777" w:rsidR="00D47751" w:rsidRPr="00DE46F3" w:rsidRDefault="00D47751" w:rsidP="0098356B">
      <w:pPr>
        <w:pStyle w:val="FootnoteText"/>
        <w:tabs>
          <w:tab w:val="clear" w:pos="418"/>
          <w:tab w:val="right" w:pos="1195"/>
          <w:tab w:val="left" w:pos="1267"/>
          <w:tab w:val="left" w:pos="1742"/>
          <w:tab w:val="left" w:pos="2218"/>
          <w:tab w:val="left" w:pos="2693"/>
        </w:tabs>
        <w:ind w:left="1267" w:right="1260" w:hanging="432"/>
        <w:jc w:val="both"/>
        <w:rPr>
          <w:szCs w:val="17"/>
        </w:rPr>
      </w:pPr>
      <w:r w:rsidRPr="00DE46F3">
        <w:rPr>
          <w:szCs w:val="17"/>
        </w:rPr>
        <w:tab/>
      </w:r>
      <w:r w:rsidRPr="00DE46F3">
        <w:rPr>
          <w:rStyle w:val="FootnoteReference"/>
          <w:szCs w:val="17"/>
        </w:rPr>
        <w:footnoteRef/>
      </w:r>
      <w:r w:rsidRPr="00DE46F3">
        <w:rPr>
          <w:szCs w:val="17"/>
        </w:rPr>
        <w:tab/>
        <w:t>Annual Progress Report 2017/2018, National Program for Village Development Support Program, Australian Embassy, Timor-Leste, 2018 – Through July-December 2018 Progress Report – PNDS Development Support Program, Feb. 2019.</w:t>
      </w:r>
    </w:p>
  </w:footnote>
  <w:footnote w:id="319">
    <w:p w14:paraId="6614F571" w14:textId="56DF76D8" w:rsidR="00D47751" w:rsidRPr="00DE46F3" w:rsidRDefault="00D47751" w:rsidP="0098356B">
      <w:pPr>
        <w:pStyle w:val="FootnoteText"/>
        <w:tabs>
          <w:tab w:val="clear" w:pos="418"/>
          <w:tab w:val="right" w:pos="1195"/>
          <w:tab w:val="left" w:pos="1267"/>
          <w:tab w:val="left" w:pos="1742"/>
          <w:tab w:val="left" w:pos="2218"/>
          <w:tab w:val="left" w:pos="2693"/>
        </w:tabs>
        <w:ind w:left="1267" w:right="1260" w:hanging="432"/>
        <w:jc w:val="both"/>
        <w:rPr>
          <w:szCs w:val="17"/>
        </w:rPr>
      </w:pPr>
      <w:r w:rsidRPr="00DE46F3">
        <w:rPr>
          <w:szCs w:val="17"/>
        </w:rPr>
        <w:tab/>
      </w:r>
      <w:r w:rsidRPr="00DE46F3">
        <w:rPr>
          <w:rStyle w:val="FootnoteReference"/>
          <w:szCs w:val="17"/>
        </w:rPr>
        <w:footnoteRef/>
      </w:r>
      <w:r w:rsidRPr="00DE46F3">
        <w:rPr>
          <w:szCs w:val="17"/>
        </w:rPr>
        <w:tab/>
        <w:t xml:space="preserve">MoJ response to the CEDAW Questionnaire, Sept. 2019; ‘Government analyses Marriage and Family Laws’, Government of Timor-Leste’s website, 23rd Feb. 2017 - </w:t>
      </w:r>
      <w:hyperlink r:id="rId22" w:history="1">
        <w:r w:rsidRPr="00DE46F3">
          <w:rPr>
            <w:rStyle w:val="Hyperlink"/>
            <w:szCs w:val="17"/>
          </w:rPr>
          <w:t>http://timor-leste.gov.tl/?p=17474&amp;lang=en</w:t>
        </w:r>
      </w:hyperlink>
      <w:r w:rsidRPr="00DE46F3">
        <w:rPr>
          <w:szCs w:val="17"/>
        </w:rPr>
        <w:t xml:space="preserve"> [accessed 24/09/2019].</w:t>
      </w:r>
    </w:p>
  </w:footnote>
  <w:footnote w:id="320">
    <w:p w14:paraId="4D18D07C" w14:textId="77777777" w:rsidR="00D47751" w:rsidRPr="00DE46F3" w:rsidRDefault="00D47751" w:rsidP="0098356B">
      <w:pPr>
        <w:pStyle w:val="FootnoteText"/>
        <w:tabs>
          <w:tab w:val="clear" w:pos="418"/>
          <w:tab w:val="right" w:pos="1195"/>
          <w:tab w:val="left" w:pos="1267"/>
          <w:tab w:val="left" w:pos="1742"/>
          <w:tab w:val="left" w:pos="2218"/>
          <w:tab w:val="left" w:pos="2693"/>
        </w:tabs>
        <w:ind w:left="1267" w:right="1260" w:hanging="432"/>
        <w:jc w:val="both"/>
        <w:rPr>
          <w:szCs w:val="17"/>
        </w:rPr>
      </w:pPr>
      <w:r w:rsidRPr="00DE46F3">
        <w:rPr>
          <w:szCs w:val="17"/>
        </w:rPr>
        <w:tab/>
      </w:r>
      <w:r w:rsidRPr="00DE46F3">
        <w:rPr>
          <w:rStyle w:val="FootnoteReference"/>
          <w:szCs w:val="17"/>
        </w:rPr>
        <w:footnoteRef/>
      </w:r>
      <w:r w:rsidRPr="00DE46F3">
        <w:rPr>
          <w:szCs w:val="17"/>
        </w:rPr>
        <w:tab/>
        <w:t>MoJ response to the CEDAW Questionnaire, Sept. 2019; Inputs from the Consultative Workshop, 17th/18th October 2019.</w:t>
      </w:r>
    </w:p>
  </w:footnote>
  <w:footnote w:id="321">
    <w:p w14:paraId="4C02F61E" w14:textId="77777777" w:rsidR="00D47751" w:rsidRPr="00DE46F3" w:rsidRDefault="00D47751" w:rsidP="0098356B">
      <w:pPr>
        <w:pStyle w:val="FootnoteText"/>
        <w:tabs>
          <w:tab w:val="clear" w:pos="418"/>
          <w:tab w:val="right" w:pos="1195"/>
          <w:tab w:val="left" w:pos="1267"/>
          <w:tab w:val="left" w:pos="1742"/>
          <w:tab w:val="left" w:pos="2218"/>
          <w:tab w:val="left" w:pos="2693"/>
        </w:tabs>
        <w:ind w:left="1267" w:right="1260" w:hanging="432"/>
        <w:jc w:val="both"/>
        <w:rPr>
          <w:szCs w:val="17"/>
        </w:rPr>
      </w:pPr>
      <w:r w:rsidRPr="00DE46F3">
        <w:rPr>
          <w:szCs w:val="17"/>
        </w:rPr>
        <w:tab/>
      </w:r>
      <w:r w:rsidRPr="00DE46F3">
        <w:rPr>
          <w:rStyle w:val="FootnoteReference"/>
          <w:szCs w:val="17"/>
        </w:rPr>
        <w:footnoteRef/>
      </w:r>
      <w:r w:rsidRPr="00DE46F3">
        <w:rPr>
          <w:szCs w:val="17"/>
        </w:rPr>
        <w:tab/>
        <w:t>MoJ response to the CEDAW Questionnaire, Sept. 2019.</w:t>
      </w:r>
    </w:p>
  </w:footnote>
  <w:footnote w:id="322">
    <w:p w14:paraId="28A8CB45" w14:textId="77777777" w:rsidR="00D47751" w:rsidRPr="00DE46F3" w:rsidRDefault="00D47751" w:rsidP="0098356B">
      <w:pPr>
        <w:pStyle w:val="FootnoteText"/>
        <w:tabs>
          <w:tab w:val="clear" w:pos="418"/>
          <w:tab w:val="right" w:pos="1195"/>
          <w:tab w:val="left" w:pos="1267"/>
          <w:tab w:val="left" w:pos="1742"/>
          <w:tab w:val="left" w:pos="2218"/>
          <w:tab w:val="left" w:pos="2693"/>
        </w:tabs>
        <w:ind w:left="1267" w:right="1260" w:hanging="432"/>
        <w:jc w:val="both"/>
        <w:rPr>
          <w:szCs w:val="17"/>
        </w:rPr>
      </w:pPr>
      <w:r w:rsidRPr="00DE46F3">
        <w:rPr>
          <w:szCs w:val="17"/>
        </w:rPr>
        <w:tab/>
      </w:r>
      <w:r w:rsidRPr="00DE46F3">
        <w:rPr>
          <w:rStyle w:val="FootnoteReference"/>
          <w:szCs w:val="17"/>
        </w:rPr>
        <w:footnoteRef/>
      </w:r>
      <w:r w:rsidRPr="00DE46F3">
        <w:rPr>
          <w:szCs w:val="17"/>
        </w:rPr>
        <w:tab/>
        <w:t>MoJ response to the CEDAW Questionnaire, Sept. 2019.</w:t>
      </w:r>
    </w:p>
  </w:footnote>
  <w:footnote w:id="323">
    <w:p w14:paraId="6E8ADEE5" w14:textId="77777777" w:rsidR="00D47751" w:rsidRPr="00DE46F3" w:rsidRDefault="00D47751" w:rsidP="0098356B">
      <w:pPr>
        <w:pStyle w:val="FootnoteText"/>
        <w:tabs>
          <w:tab w:val="clear" w:pos="418"/>
          <w:tab w:val="right" w:pos="1195"/>
          <w:tab w:val="left" w:pos="1267"/>
          <w:tab w:val="left" w:pos="1742"/>
          <w:tab w:val="left" w:pos="2218"/>
          <w:tab w:val="left" w:pos="2693"/>
        </w:tabs>
        <w:ind w:left="1267" w:right="1260" w:hanging="432"/>
        <w:jc w:val="both"/>
        <w:rPr>
          <w:szCs w:val="17"/>
        </w:rPr>
      </w:pPr>
      <w:r w:rsidRPr="00DE46F3">
        <w:rPr>
          <w:szCs w:val="17"/>
        </w:rPr>
        <w:tab/>
      </w:r>
      <w:r w:rsidRPr="00DE46F3">
        <w:rPr>
          <w:rStyle w:val="FootnoteReference"/>
          <w:szCs w:val="17"/>
        </w:rPr>
        <w:footnoteRef/>
      </w:r>
      <w:r w:rsidRPr="00DE46F3">
        <w:rPr>
          <w:szCs w:val="17"/>
        </w:rPr>
        <w:tab/>
        <w:t>See Article 14.</w:t>
      </w:r>
    </w:p>
  </w:footnote>
  <w:footnote w:id="324">
    <w:p w14:paraId="71B14CEC" w14:textId="3AB91A6C" w:rsidR="00D47751" w:rsidRPr="00DE46F3" w:rsidRDefault="00D47751" w:rsidP="0066307F">
      <w:pPr>
        <w:pStyle w:val="FootnoteText"/>
        <w:tabs>
          <w:tab w:val="clear" w:pos="418"/>
          <w:tab w:val="right" w:pos="1195"/>
          <w:tab w:val="left" w:pos="1267"/>
          <w:tab w:val="left" w:pos="1742"/>
          <w:tab w:val="left" w:pos="2218"/>
          <w:tab w:val="left" w:pos="2693"/>
        </w:tabs>
        <w:ind w:left="1267" w:right="1260" w:hanging="432"/>
        <w:jc w:val="both"/>
        <w:rPr>
          <w:szCs w:val="17"/>
        </w:rPr>
      </w:pPr>
      <w:r w:rsidRPr="00DE46F3">
        <w:rPr>
          <w:szCs w:val="17"/>
        </w:rPr>
        <w:tab/>
      </w:r>
      <w:r w:rsidRPr="00DE46F3">
        <w:rPr>
          <w:rStyle w:val="FootnoteReference"/>
          <w:szCs w:val="17"/>
        </w:rPr>
        <w:footnoteRef/>
      </w:r>
      <w:r w:rsidRPr="00DE46F3">
        <w:rPr>
          <w:szCs w:val="17"/>
        </w:rPr>
        <w:tab/>
        <w:t>MoJ response to the CEDAW Questionnaire, Sept. 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E7381F" w14:paraId="234B33E1" w14:textId="77777777" w:rsidTr="00F13127">
      <w:trPr>
        <w:trHeight w:hRule="exact" w:val="864"/>
      </w:trPr>
      <w:tc>
        <w:tcPr>
          <w:tcW w:w="4920" w:type="dxa"/>
          <w:shd w:val="clear" w:color="auto" w:fill="auto"/>
          <w:vAlign w:val="bottom"/>
        </w:tcPr>
        <w:p w14:paraId="03A478DF" w14:textId="78BBE85E" w:rsidR="00E7381F" w:rsidRPr="00F13127" w:rsidRDefault="00E7381F" w:rsidP="00F13127">
          <w:pPr>
            <w:pStyle w:val="Header"/>
            <w:spacing w:after="80"/>
            <w:rPr>
              <w:b/>
            </w:rPr>
          </w:pPr>
          <w:r>
            <w:rPr>
              <w:b/>
            </w:rPr>
            <w:fldChar w:fldCharType="begin"/>
          </w:r>
          <w:r>
            <w:rPr>
              <w:b/>
            </w:rPr>
            <w:instrText xml:space="preserve"> DOCVARIABLE "sss1" \* MERGEFORMAT </w:instrText>
          </w:r>
          <w:r>
            <w:rPr>
              <w:b/>
            </w:rPr>
            <w:fldChar w:fldCharType="separate"/>
          </w:r>
          <w:r w:rsidR="00DE08D2">
            <w:rPr>
              <w:b/>
            </w:rPr>
            <w:t>CEDAW/C/TLS/4</w:t>
          </w:r>
          <w:r>
            <w:rPr>
              <w:b/>
            </w:rPr>
            <w:fldChar w:fldCharType="end"/>
          </w:r>
        </w:p>
      </w:tc>
      <w:tc>
        <w:tcPr>
          <w:tcW w:w="4920" w:type="dxa"/>
          <w:shd w:val="clear" w:color="auto" w:fill="auto"/>
          <w:vAlign w:val="bottom"/>
        </w:tcPr>
        <w:p w14:paraId="57BDB164" w14:textId="77777777" w:rsidR="00E7381F" w:rsidRDefault="00E7381F" w:rsidP="00F13127">
          <w:pPr>
            <w:pStyle w:val="Header"/>
          </w:pPr>
        </w:p>
      </w:tc>
    </w:tr>
  </w:tbl>
  <w:p w14:paraId="1711FD75" w14:textId="77777777" w:rsidR="00E7381F" w:rsidRPr="00F13127" w:rsidRDefault="00E7381F" w:rsidP="00F131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E7381F" w14:paraId="1B0D5FF4" w14:textId="77777777" w:rsidTr="00F13127">
      <w:trPr>
        <w:trHeight w:hRule="exact" w:val="864"/>
      </w:trPr>
      <w:tc>
        <w:tcPr>
          <w:tcW w:w="4920" w:type="dxa"/>
          <w:shd w:val="clear" w:color="auto" w:fill="auto"/>
          <w:vAlign w:val="bottom"/>
        </w:tcPr>
        <w:p w14:paraId="1A0960A9" w14:textId="77777777" w:rsidR="00E7381F" w:rsidRDefault="00E7381F" w:rsidP="00F13127">
          <w:pPr>
            <w:pStyle w:val="Header"/>
          </w:pPr>
        </w:p>
      </w:tc>
      <w:tc>
        <w:tcPr>
          <w:tcW w:w="4920" w:type="dxa"/>
          <w:shd w:val="clear" w:color="auto" w:fill="auto"/>
          <w:vAlign w:val="bottom"/>
        </w:tcPr>
        <w:p w14:paraId="74CDED16" w14:textId="15AD83F7" w:rsidR="00E7381F" w:rsidRPr="00F13127" w:rsidRDefault="00E7381F" w:rsidP="00F13127">
          <w:pPr>
            <w:pStyle w:val="Header"/>
            <w:spacing w:after="80"/>
            <w:jc w:val="right"/>
            <w:rPr>
              <w:b/>
            </w:rPr>
          </w:pPr>
          <w:r>
            <w:rPr>
              <w:b/>
            </w:rPr>
            <w:fldChar w:fldCharType="begin"/>
          </w:r>
          <w:r>
            <w:rPr>
              <w:b/>
            </w:rPr>
            <w:instrText xml:space="preserve"> DOCVARIABLE "sss1" \* MERGEFORMAT </w:instrText>
          </w:r>
          <w:r>
            <w:rPr>
              <w:b/>
            </w:rPr>
            <w:fldChar w:fldCharType="separate"/>
          </w:r>
          <w:r w:rsidR="00DE08D2">
            <w:rPr>
              <w:b/>
            </w:rPr>
            <w:t>CEDAW/C/TLS/4</w:t>
          </w:r>
          <w:r>
            <w:rPr>
              <w:b/>
            </w:rPr>
            <w:fldChar w:fldCharType="end"/>
          </w:r>
        </w:p>
      </w:tc>
    </w:tr>
  </w:tbl>
  <w:p w14:paraId="6B26C9F6" w14:textId="77777777" w:rsidR="00E7381F" w:rsidRPr="00F13127" w:rsidRDefault="00E7381F" w:rsidP="00F1312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0"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096"/>
      <w:gridCol w:w="15"/>
    </w:tblGrid>
    <w:tr w:rsidR="00E7381F" w14:paraId="777AE666" w14:textId="77777777" w:rsidTr="00F13127">
      <w:trPr>
        <w:trHeight w:hRule="exact" w:val="864"/>
      </w:trPr>
      <w:tc>
        <w:tcPr>
          <w:tcW w:w="1267" w:type="dxa"/>
          <w:tcBorders>
            <w:bottom w:val="single" w:sz="4" w:space="0" w:color="auto"/>
          </w:tcBorders>
          <w:shd w:val="clear" w:color="auto" w:fill="auto"/>
          <w:vAlign w:val="bottom"/>
        </w:tcPr>
        <w:p w14:paraId="1DF27F4E" w14:textId="77777777" w:rsidR="00E7381F" w:rsidRDefault="00E7381F" w:rsidP="00F13127">
          <w:pPr>
            <w:pStyle w:val="Header"/>
            <w:spacing w:after="120"/>
          </w:pPr>
        </w:p>
      </w:tc>
      <w:tc>
        <w:tcPr>
          <w:tcW w:w="1872" w:type="dxa"/>
          <w:tcBorders>
            <w:bottom w:val="single" w:sz="4" w:space="0" w:color="auto"/>
          </w:tcBorders>
          <w:shd w:val="clear" w:color="auto" w:fill="auto"/>
          <w:vAlign w:val="bottom"/>
        </w:tcPr>
        <w:p w14:paraId="7B0AA1C8" w14:textId="77777777" w:rsidR="00E7381F" w:rsidRPr="00F13127" w:rsidRDefault="00E7381F" w:rsidP="00F13127">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14:paraId="61ED7CAD" w14:textId="77777777" w:rsidR="00E7381F" w:rsidRDefault="00E7381F" w:rsidP="00F13127">
          <w:pPr>
            <w:pStyle w:val="Header"/>
            <w:spacing w:after="120"/>
          </w:pPr>
        </w:p>
      </w:tc>
      <w:tc>
        <w:tcPr>
          <w:tcW w:w="6466" w:type="dxa"/>
          <w:gridSpan w:val="4"/>
          <w:tcBorders>
            <w:bottom w:val="single" w:sz="4" w:space="0" w:color="auto"/>
          </w:tcBorders>
          <w:shd w:val="clear" w:color="auto" w:fill="auto"/>
          <w:vAlign w:val="bottom"/>
        </w:tcPr>
        <w:p w14:paraId="6ED4DEF9" w14:textId="77777777" w:rsidR="00E7381F" w:rsidRPr="00F13127" w:rsidRDefault="00E7381F" w:rsidP="00F13127">
          <w:pPr>
            <w:spacing w:after="80" w:line="240" w:lineRule="auto"/>
            <w:jc w:val="right"/>
            <w:rPr>
              <w:position w:val="-4"/>
            </w:rPr>
          </w:pPr>
          <w:r>
            <w:rPr>
              <w:position w:val="-4"/>
              <w:sz w:val="40"/>
            </w:rPr>
            <w:t>CEDAW</w:t>
          </w:r>
          <w:r>
            <w:rPr>
              <w:position w:val="-4"/>
            </w:rPr>
            <w:t>/C/TLS/4</w:t>
          </w:r>
        </w:p>
      </w:tc>
    </w:tr>
    <w:tr w:rsidR="00E7381F" w:rsidRPr="00F13127" w14:paraId="74B4CC94" w14:textId="77777777" w:rsidTr="00F13127">
      <w:trPr>
        <w:gridAfter w:val="1"/>
        <w:wAfter w:w="15" w:type="dxa"/>
        <w:trHeight w:hRule="exact" w:val="2880"/>
      </w:trPr>
      <w:tc>
        <w:tcPr>
          <w:tcW w:w="1267" w:type="dxa"/>
          <w:tcBorders>
            <w:top w:val="single" w:sz="4" w:space="0" w:color="auto"/>
            <w:bottom w:val="single" w:sz="12" w:space="0" w:color="auto"/>
          </w:tcBorders>
          <w:shd w:val="clear" w:color="auto" w:fill="auto"/>
        </w:tcPr>
        <w:p w14:paraId="40E5BF48" w14:textId="77777777" w:rsidR="00E7381F" w:rsidRPr="00F13127" w:rsidRDefault="00E7381F" w:rsidP="00F13127">
          <w:pPr>
            <w:pStyle w:val="Header"/>
            <w:spacing w:before="120"/>
            <w:jc w:val="center"/>
          </w:pPr>
          <w:r>
            <w:t xml:space="preserve"> </w:t>
          </w:r>
          <w:r>
            <w:drawing>
              <wp:inline distT="0" distB="0" distL="0" distR="0" wp14:anchorId="2E628BB5" wp14:editId="15967333">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48E7FA1B" w14:textId="77777777" w:rsidR="00E7381F" w:rsidRPr="00F13127" w:rsidRDefault="00E7381F" w:rsidP="00F13127">
          <w:pPr>
            <w:pStyle w:val="XLarge"/>
            <w:spacing w:before="109"/>
          </w:pPr>
          <w:r>
            <w:t>Convention on the Elimination</w:t>
          </w:r>
          <w:r>
            <w:br/>
            <w:t>of All Forms of Discrimination against Women</w:t>
          </w:r>
        </w:p>
      </w:tc>
      <w:tc>
        <w:tcPr>
          <w:tcW w:w="245" w:type="dxa"/>
          <w:tcBorders>
            <w:top w:val="single" w:sz="4" w:space="0" w:color="auto"/>
            <w:bottom w:val="single" w:sz="12" w:space="0" w:color="auto"/>
          </w:tcBorders>
          <w:shd w:val="clear" w:color="auto" w:fill="auto"/>
        </w:tcPr>
        <w:p w14:paraId="0672CC8E" w14:textId="77777777" w:rsidR="00E7381F" w:rsidRPr="00F13127" w:rsidRDefault="00E7381F" w:rsidP="00F13127">
          <w:pPr>
            <w:pStyle w:val="Header"/>
            <w:spacing w:before="109"/>
          </w:pPr>
        </w:p>
      </w:tc>
      <w:tc>
        <w:tcPr>
          <w:tcW w:w="3096" w:type="dxa"/>
          <w:tcBorders>
            <w:top w:val="single" w:sz="4" w:space="0" w:color="auto"/>
            <w:bottom w:val="single" w:sz="12" w:space="0" w:color="auto"/>
          </w:tcBorders>
          <w:shd w:val="clear" w:color="auto" w:fill="auto"/>
        </w:tcPr>
        <w:p w14:paraId="7D1E28E4" w14:textId="77777777" w:rsidR="00E7381F" w:rsidRDefault="00E7381F" w:rsidP="00F13127">
          <w:pPr>
            <w:pStyle w:val="Publication"/>
            <w:spacing w:before="240"/>
            <w:rPr>
              <w:color w:val="010000"/>
            </w:rPr>
          </w:pPr>
          <w:r>
            <w:rPr>
              <w:color w:val="010000"/>
            </w:rPr>
            <w:t>Distr.: General</w:t>
          </w:r>
        </w:p>
        <w:p w14:paraId="53E1EA6A" w14:textId="48CB1C54" w:rsidR="00E7381F" w:rsidRDefault="00E7381F" w:rsidP="00F13127">
          <w:r w:rsidRPr="00BF61AB">
            <w:t>29 December 2021</w:t>
          </w:r>
        </w:p>
        <w:p w14:paraId="330AA067" w14:textId="77777777" w:rsidR="00E7381F" w:rsidRDefault="00E7381F" w:rsidP="00F13127"/>
        <w:p w14:paraId="3B61F6C3" w14:textId="77777777" w:rsidR="00E7381F" w:rsidRDefault="00E7381F" w:rsidP="00F13127">
          <w:r>
            <w:t>Original: English</w:t>
          </w:r>
        </w:p>
        <w:p w14:paraId="1CEABF2C" w14:textId="5DB32203" w:rsidR="00E7381F" w:rsidRPr="00F13127" w:rsidRDefault="00E7381F" w:rsidP="00F13127">
          <w:r w:rsidRPr="00BF61AB">
            <w:t>English, French and Spanish only</w:t>
          </w:r>
        </w:p>
      </w:tc>
    </w:tr>
  </w:tbl>
  <w:p w14:paraId="5719428D" w14:textId="77777777" w:rsidR="00E7381F" w:rsidRPr="00F13127" w:rsidRDefault="00E7381F" w:rsidP="00F13127">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C11E41"/>
    <w:multiLevelType w:val="hybridMultilevel"/>
    <w:tmpl w:val="A79CA1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0330AD0"/>
    <w:multiLevelType w:val="hybridMultilevel"/>
    <w:tmpl w:val="B13E15D6"/>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2"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3" w15:restartNumberingAfterBreak="0">
    <w:nsid w:val="4CE669A5"/>
    <w:multiLevelType w:val="multilevel"/>
    <w:tmpl w:val="2B7A5FDC"/>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4"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5" w15:restartNumberingAfterBreak="0">
    <w:nsid w:val="71CE2B6D"/>
    <w:multiLevelType w:val="multilevel"/>
    <w:tmpl w:val="9258CDC6"/>
    <w:name w:val="TOC"/>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hint="default"/>
      </w:r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num w:numId="1">
    <w:abstractNumId w:val="1"/>
  </w:num>
  <w:num w:numId="2">
    <w:abstractNumId w:val="3"/>
  </w:num>
  <w:num w:numId="3">
    <w:abstractNumId w:val="4"/>
  </w:num>
  <w:num w:numId="4">
    <w:abstractNumId w:val="2"/>
  </w:num>
  <w:num w:numId="5">
    <w:abstractNumId w:val="4"/>
  </w:num>
  <w:num w:numId="6">
    <w:abstractNumId w:val="2"/>
  </w:num>
  <w:num w:numId="7">
    <w:abstractNumId w:val="4"/>
  </w:num>
  <w:num w:numId="8">
    <w:abstractNumId w:val="2"/>
  </w:num>
  <w:num w:numId="9">
    <w:abstractNumId w:val="4"/>
  </w:num>
  <w:num w:numId="10">
    <w:abstractNumId w:val="2"/>
  </w:num>
  <w:num w:numId="11">
    <w:abstractNumId w:val="4"/>
  </w:num>
  <w:num w:numId="12">
    <w:abstractNumId w:val="1"/>
  </w:num>
  <w:num w:numId="13">
    <w:abstractNumId w:val="2"/>
  </w:num>
  <w:num w:numId="14">
    <w:abstractNumId w:val="3"/>
  </w:num>
  <w:num w:numId="15">
    <w:abstractNumId w:val="4"/>
  </w:num>
  <w:num w:numId="16">
    <w:abstractNumId w:val="1"/>
  </w:num>
  <w:num w:numId="17">
    <w:abstractNumId w:val="2"/>
  </w:num>
  <w:num w:numId="18">
    <w:abstractNumId w:val="3"/>
  </w:num>
  <w:num w:numId="19">
    <w:abstractNumId w:val="4"/>
  </w:num>
  <w:num w:numId="20">
    <w:abstractNumId w:val="2"/>
  </w:num>
  <w:num w:numId="21">
    <w:abstractNumId w:val="4"/>
  </w:num>
  <w:num w:numId="22">
    <w:abstractNumId w:val="2"/>
  </w:num>
  <w:num w:numId="23">
    <w:abstractNumId w:val="4"/>
  </w:num>
  <w:num w:numId="24">
    <w:abstractNumId w:val="2"/>
  </w:num>
  <w:num w:numId="25">
    <w:abstractNumId w:val="5"/>
  </w:num>
  <w:num w:numId="26">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475"/>
  <w:hyphenationZone w:val="20"/>
  <w:doNotHyphenateCaps/>
  <w:evenAndOddHeaders/>
  <w:characterSpacingControl w:val="doNotCompress"/>
  <w:hdrShapeDefaults>
    <o:shapedefaults v:ext="edit" spidmax="4097"/>
  </w:hdrShapeDefaults>
  <w:footnotePr>
    <w:numRestart w:val="eachSect"/>
    <w:footnote w:id="-1"/>
    <w:footnote w:id="0"/>
  </w:footnotePr>
  <w:endnotePr>
    <w:pos w:val="sectEnd"/>
    <w:numFmt w:val="decimal"/>
    <w:endnote w:id="-1"/>
    <w:endnote w:id="0"/>
  </w:endnotePr>
  <w:compat>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2119807*"/>
    <w:docVar w:name="CreationDt" w:val="07/01/2022 12:36 PM"/>
    <w:docVar w:name="DocCategory" w:val="Doc"/>
    <w:docVar w:name="DocType" w:val="Final"/>
    <w:docVar w:name="DutyStation" w:val="New York"/>
    <w:docVar w:name="FooterJN" w:val="21-19807"/>
    <w:docVar w:name="jobn" w:val="21-19807 (E)"/>
    <w:docVar w:name="jobnDT" w:val="21-19807 (E)   070122"/>
    <w:docVar w:name="jobnDTDT" w:val="21-19807 (E)   070122   070122"/>
    <w:docVar w:name="JobNo" w:val="2119807E"/>
    <w:docVar w:name="JobNo2" w:val="2142238E"/>
    <w:docVar w:name="LocalDrive" w:val="-1"/>
    <w:docVar w:name="OandT" w:val=" "/>
    <w:docVar w:name="sss1" w:val="CEDAW/C/TLS/4"/>
    <w:docVar w:name="sss2" w:val="-"/>
    <w:docVar w:name="Symbol1" w:val="CEDAW/C/TLS/4"/>
    <w:docVar w:name="Symbol2" w:val="-"/>
    <w:docVar w:name="Title1" w:val="_x0009__x0009_Fourth periodic report submitted by Timor-Leste under article 18 of the Convention, due in 2021*_x000d_"/>
  </w:docVars>
  <w:rsids>
    <w:rsidRoot w:val="00734EF6"/>
    <w:rsid w:val="00004C97"/>
    <w:rsid w:val="00012805"/>
    <w:rsid w:val="0001325F"/>
    <w:rsid w:val="00017FCF"/>
    <w:rsid w:val="00024D1E"/>
    <w:rsid w:val="000408AB"/>
    <w:rsid w:val="000B3288"/>
    <w:rsid w:val="000B5AFB"/>
    <w:rsid w:val="000C4C9C"/>
    <w:rsid w:val="000E62D7"/>
    <w:rsid w:val="000F7CD8"/>
    <w:rsid w:val="001014AB"/>
    <w:rsid w:val="0011766D"/>
    <w:rsid w:val="001411FE"/>
    <w:rsid w:val="00142DE8"/>
    <w:rsid w:val="00146B97"/>
    <w:rsid w:val="00173D6F"/>
    <w:rsid w:val="001A207A"/>
    <w:rsid w:val="001C22A4"/>
    <w:rsid w:val="001C66B8"/>
    <w:rsid w:val="001D79B0"/>
    <w:rsid w:val="001F6F9E"/>
    <w:rsid w:val="002007C7"/>
    <w:rsid w:val="00200F9C"/>
    <w:rsid w:val="00201732"/>
    <w:rsid w:val="00214645"/>
    <w:rsid w:val="00217271"/>
    <w:rsid w:val="002706A2"/>
    <w:rsid w:val="002834D6"/>
    <w:rsid w:val="002C633D"/>
    <w:rsid w:val="002D5AB8"/>
    <w:rsid w:val="002E09A8"/>
    <w:rsid w:val="00300B6A"/>
    <w:rsid w:val="00332A68"/>
    <w:rsid w:val="0033389B"/>
    <w:rsid w:val="00346E64"/>
    <w:rsid w:val="00371A3B"/>
    <w:rsid w:val="003A0A16"/>
    <w:rsid w:val="003B0770"/>
    <w:rsid w:val="003D159A"/>
    <w:rsid w:val="003D357F"/>
    <w:rsid w:val="003E3B08"/>
    <w:rsid w:val="003E723B"/>
    <w:rsid w:val="003F25BA"/>
    <w:rsid w:val="003F277C"/>
    <w:rsid w:val="004105D6"/>
    <w:rsid w:val="0042555B"/>
    <w:rsid w:val="004355E5"/>
    <w:rsid w:val="0044073F"/>
    <w:rsid w:val="0044179B"/>
    <w:rsid w:val="004856CD"/>
    <w:rsid w:val="00492ED8"/>
    <w:rsid w:val="004A199E"/>
    <w:rsid w:val="004A6554"/>
    <w:rsid w:val="004B0B18"/>
    <w:rsid w:val="004B4C46"/>
    <w:rsid w:val="004C441D"/>
    <w:rsid w:val="004C5DCA"/>
    <w:rsid w:val="004C60A4"/>
    <w:rsid w:val="004D17DB"/>
    <w:rsid w:val="00502661"/>
    <w:rsid w:val="00525648"/>
    <w:rsid w:val="005259CC"/>
    <w:rsid w:val="00531966"/>
    <w:rsid w:val="00535F0E"/>
    <w:rsid w:val="00537806"/>
    <w:rsid w:val="0054091E"/>
    <w:rsid w:val="00552DCF"/>
    <w:rsid w:val="00556720"/>
    <w:rsid w:val="00564E7E"/>
    <w:rsid w:val="00591821"/>
    <w:rsid w:val="005B5FE3"/>
    <w:rsid w:val="005C49C8"/>
    <w:rsid w:val="005F2F1C"/>
    <w:rsid w:val="00612565"/>
    <w:rsid w:val="006137E4"/>
    <w:rsid w:val="00636929"/>
    <w:rsid w:val="0064252E"/>
    <w:rsid w:val="00651750"/>
    <w:rsid w:val="0066307F"/>
    <w:rsid w:val="00674235"/>
    <w:rsid w:val="006D6278"/>
    <w:rsid w:val="006E19F3"/>
    <w:rsid w:val="006E2530"/>
    <w:rsid w:val="006E2FA3"/>
    <w:rsid w:val="00707CAD"/>
    <w:rsid w:val="00715887"/>
    <w:rsid w:val="00734EF6"/>
    <w:rsid w:val="00747697"/>
    <w:rsid w:val="007500E0"/>
    <w:rsid w:val="00764DD9"/>
    <w:rsid w:val="00777887"/>
    <w:rsid w:val="007A4C14"/>
    <w:rsid w:val="007A620C"/>
    <w:rsid w:val="007D0872"/>
    <w:rsid w:val="007E2B13"/>
    <w:rsid w:val="007F1EE6"/>
    <w:rsid w:val="00811400"/>
    <w:rsid w:val="008134C1"/>
    <w:rsid w:val="0084525F"/>
    <w:rsid w:val="00846D29"/>
    <w:rsid w:val="00851726"/>
    <w:rsid w:val="00855FFA"/>
    <w:rsid w:val="008723C3"/>
    <w:rsid w:val="00890662"/>
    <w:rsid w:val="0089085F"/>
    <w:rsid w:val="008A156F"/>
    <w:rsid w:val="008C5496"/>
    <w:rsid w:val="008D635C"/>
    <w:rsid w:val="008E325B"/>
    <w:rsid w:val="008F1C5D"/>
    <w:rsid w:val="009437B0"/>
    <w:rsid w:val="00947922"/>
    <w:rsid w:val="009517EC"/>
    <w:rsid w:val="0098356B"/>
    <w:rsid w:val="009C2F01"/>
    <w:rsid w:val="009E1969"/>
    <w:rsid w:val="009F466A"/>
    <w:rsid w:val="00A20AC0"/>
    <w:rsid w:val="00A2287E"/>
    <w:rsid w:val="00A30DCB"/>
    <w:rsid w:val="00A453DF"/>
    <w:rsid w:val="00A67B69"/>
    <w:rsid w:val="00A73452"/>
    <w:rsid w:val="00A81678"/>
    <w:rsid w:val="00A8314B"/>
    <w:rsid w:val="00A91ACC"/>
    <w:rsid w:val="00A93A73"/>
    <w:rsid w:val="00AA2E74"/>
    <w:rsid w:val="00AA31F4"/>
    <w:rsid w:val="00AB2BAB"/>
    <w:rsid w:val="00AB6633"/>
    <w:rsid w:val="00AC617F"/>
    <w:rsid w:val="00AD03F7"/>
    <w:rsid w:val="00AE72A3"/>
    <w:rsid w:val="00B25C40"/>
    <w:rsid w:val="00B27E2C"/>
    <w:rsid w:val="00B37E53"/>
    <w:rsid w:val="00B40842"/>
    <w:rsid w:val="00B80E9C"/>
    <w:rsid w:val="00BA666B"/>
    <w:rsid w:val="00BB5C7D"/>
    <w:rsid w:val="00BC7C6D"/>
    <w:rsid w:val="00BE196B"/>
    <w:rsid w:val="00BF5B27"/>
    <w:rsid w:val="00BF6BE0"/>
    <w:rsid w:val="00C169FA"/>
    <w:rsid w:val="00C27653"/>
    <w:rsid w:val="00C65246"/>
    <w:rsid w:val="00C779E4"/>
    <w:rsid w:val="00C9004E"/>
    <w:rsid w:val="00CA3BCB"/>
    <w:rsid w:val="00CA3C9F"/>
    <w:rsid w:val="00CD4AC4"/>
    <w:rsid w:val="00D47751"/>
    <w:rsid w:val="00D526E8"/>
    <w:rsid w:val="00D912EB"/>
    <w:rsid w:val="00D94A42"/>
    <w:rsid w:val="00D94CF2"/>
    <w:rsid w:val="00DC7B16"/>
    <w:rsid w:val="00DD42F7"/>
    <w:rsid w:val="00DE08D2"/>
    <w:rsid w:val="00DE46F3"/>
    <w:rsid w:val="00DE74FD"/>
    <w:rsid w:val="00DF508B"/>
    <w:rsid w:val="00E038A4"/>
    <w:rsid w:val="00E7381F"/>
    <w:rsid w:val="00E81BC8"/>
    <w:rsid w:val="00E870C2"/>
    <w:rsid w:val="00ED42F5"/>
    <w:rsid w:val="00ED5AA7"/>
    <w:rsid w:val="00F13127"/>
    <w:rsid w:val="00F156F1"/>
    <w:rsid w:val="00F2501B"/>
    <w:rsid w:val="00F27BF6"/>
    <w:rsid w:val="00F30184"/>
    <w:rsid w:val="00F5593E"/>
    <w:rsid w:val="00F7600D"/>
    <w:rsid w:val="00F8600E"/>
    <w:rsid w:val="00F94BC6"/>
    <w:rsid w:val="00FC062A"/>
    <w:rsid w:val="00FC49F5"/>
    <w:rsid w:val="00FE289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CC66877"/>
  <w15:chartTrackingRefBased/>
  <w15:docId w15:val="{99146DD8-E23F-4641-8BE8-7EF6DF2FB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05D6"/>
    <w:pPr>
      <w:suppressAutoHyphens/>
      <w:spacing w:after="0" w:line="240" w:lineRule="exact"/>
    </w:pPr>
    <w:rPr>
      <w:rFonts w:ascii="Times New Roman" w:eastAsiaTheme="minorHAnsi" w:hAnsi="Times New Roman" w:cs="Times New Roman"/>
      <w:spacing w:val="4"/>
      <w:w w:val="103"/>
      <w:kern w:val="14"/>
      <w:sz w:val="20"/>
      <w:szCs w:val="20"/>
      <w:lang w:eastAsia="en-US"/>
    </w:rPr>
  </w:style>
  <w:style w:type="paragraph" w:styleId="Heading1">
    <w:name w:val="heading 1"/>
    <w:basedOn w:val="Normal"/>
    <w:next w:val="Normal"/>
    <w:link w:val="Heading1Char"/>
    <w:uiPriority w:val="9"/>
    <w:qFormat/>
    <w:rsid w:val="003A0A16"/>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3A0A16"/>
    <w:pPr>
      <w:keepNext/>
      <w:spacing w:before="240" w:after="60"/>
      <w:outlineLvl w:val="1"/>
    </w:pPr>
    <w:rPr>
      <w:rFonts w:ascii="Arial" w:eastAsia="Times New Roman" w:hAnsi="Arial"/>
      <w:b/>
      <w:bCs/>
      <w:i/>
      <w:sz w:val="28"/>
      <w:szCs w:val="26"/>
    </w:rPr>
  </w:style>
  <w:style w:type="paragraph" w:styleId="Heading3">
    <w:name w:val="heading 3"/>
    <w:basedOn w:val="Normal"/>
    <w:next w:val="Normal"/>
    <w:link w:val="Heading3Char"/>
    <w:uiPriority w:val="9"/>
    <w:qFormat/>
    <w:rsid w:val="003A0A16"/>
    <w:pPr>
      <w:keepNext/>
      <w:spacing w:before="240" w:after="60"/>
      <w:outlineLvl w:val="2"/>
    </w:pPr>
    <w:rPr>
      <w:rFonts w:ascii="Arial" w:eastAsia="Times New Roman" w:hAnsi="Arial"/>
      <w:b/>
      <w:bCs/>
      <w:sz w:val="26"/>
    </w:rPr>
  </w:style>
  <w:style w:type="paragraph" w:styleId="Heading4">
    <w:name w:val="heading 4"/>
    <w:basedOn w:val="Normal"/>
    <w:next w:val="Normal"/>
    <w:link w:val="Heading4Char"/>
    <w:uiPriority w:val="9"/>
    <w:semiHidden/>
    <w:unhideWhenUsed/>
    <w:qFormat/>
    <w:rsid w:val="003A0A16"/>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3A0A16"/>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3A0A16"/>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3A0A16"/>
    <w:pPr>
      <w:numPr>
        <w:ilvl w:val="6"/>
        <w:numId w:val="25"/>
      </w:num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3A0A16"/>
    <w:pPr>
      <w:numPr>
        <w:ilvl w:val="7"/>
        <w:numId w:val="25"/>
      </w:numPr>
      <w:outlineLvl w:val="7"/>
    </w:pPr>
    <w:rPr>
      <w:rFonts w:ascii="Cambria" w:eastAsia="Times New Roman" w:hAnsi="Cambria"/>
    </w:rPr>
  </w:style>
  <w:style w:type="paragraph" w:styleId="Heading9">
    <w:name w:val="heading 9"/>
    <w:basedOn w:val="Normal"/>
    <w:next w:val="Normal"/>
    <w:link w:val="Heading9Char"/>
    <w:uiPriority w:val="9"/>
    <w:semiHidden/>
    <w:unhideWhenUsed/>
    <w:qFormat/>
    <w:rsid w:val="003A0A16"/>
    <w:pPr>
      <w:numPr>
        <w:ilvl w:val="8"/>
        <w:numId w:val="25"/>
      </w:numPr>
      <w:outlineLvl w:val="8"/>
    </w:pPr>
    <w:rPr>
      <w:rFonts w:ascii="Cambria" w:eastAsia="Times New Roman" w:hAnsi="Cambria"/>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3A0A16"/>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sz w:val="14"/>
      <w:szCs w:val="24"/>
    </w:rPr>
  </w:style>
  <w:style w:type="paragraph" w:customStyle="1" w:styleId="H1">
    <w:name w:val="_ H_1"/>
    <w:basedOn w:val="Normal"/>
    <w:next w:val="Normal"/>
    <w:rsid w:val="004105D6"/>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Normal"/>
    <w:rsid w:val="004105D6"/>
    <w:pPr>
      <w:spacing w:line="300" w:lineRule="exact"/>
      <w:ind w:left="0" w:right="0" w:firstLine="0"/>
    </w:pPr>
    <w:rPr>
      <w:spacing w:val="-2"/>
      <w:sz w:val="28"/>
    </w:rPr>
  </w:style>
  <w:style w:type="paragraph" w:customStyle="1" w:styleId="HM">
    <w:name w:val="_ H __M"/>
    <w:basedOn w:val="HCh"/>
    <w:next w:val="Normal"/>
    <w:rsid w:val="004105D6"/>
    <w:pPr>
      <w:spacing w:line="360" w:lineRule="exact"/>
    </w:pPr>
    <w:rPr>
      <w:spacing w:val="-3"/>
      <w:w w:val="99"/>
      <w:sz w:val="34"/>
    </w:rPr>
  </w:style>
  <w:style w:type="paragraph" w:customStyle="1" w:styleId="H23">
    <w:name w:val="_ H_2/3"/>
    <w:basedOn w:val="Normal"/>
    <w:next w:val="Normal"/>
    <w:rsid w:val="004105D6"/>
    <w:pPr>
      <w:outlineLvl w:val="1"/>
    </w:pPr>
    <w:rPr>
      <w:b/>
      <w:lang w:val="en-US"/>
    </w:rPr>
  </w:style>
  <w:style w:type="paragraph" w:customStyle="1" w:styleId="H4">
    <w:name w:val="_ H_4"/>
    <w:basedOn w:val="Normal"/>
    <w:next w:val="Normal"/>
    <w:rsid w:val="004105D6"/>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4105D6"/>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4105D6"/>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4105D6"/>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4105D6"/>
    <w:pPr>
      <w:spacing w:line="540" w:lineRule="exact"/>
    </w:pPr>
    <w:rPr>
      <w:spacing w:val="-8"/>
      <w:w w:val="96"/>
      <w:sz w:val="57"/>
    </w:rPr>
  </w:style>
  <w:style w:type="paragraph" w:customStyle="1" w:styleId="SS">
    <w:name w:val="__S_S"/>
    <w:basedOn w:val="HCh"/>
    <w:next w:val="Normal"/>
    <w:rsid w:val="004105D6"/>
    <w:pPr>
      <w:ind w:left="1267" w:right="1267"/>
    </w:pPr>
  </w:style>
  <w:style w:type="paragraph" w:customStyle="1" w:styleId="SingleTxt">
    <w:name w:val="__Single Txt"/>
    <w:basedOn w:val="Normal"/>
    <w:rsid w:val="004105D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4105D6"/>
    <w:pPr>
      <w:spacing w:after="0" w:line="240" w:lineRule="exact"/>
    </w:pPr>
    <w:rPr>
      <w:rFonts w:ascii="Times New Roman" w:eastAsiaTheme="minorHAnsi" w:hAnsi="Times New Roman" w:cs="Times New Roman"/>
      <w:spacing w:val="4"/>
      <w:w w:val="103"/>
      <w:kern w:val="14"/>
      <w:sz w:val="20"/>
      <w:szCs w:val="20"/>
      <w:lang w:eastAsia="en-US"/>
    </w:rPr>
  </w:style>
  <w:style w:type="paragraph" w:customStyle="1" w:styleId="TitleH1">
    <w:name w:val="Title_H1"/>
    <w:basedOn w:val="Normal"/>
    <w:next w:val="Normal"/>
    <w:qFormat/>
    <w:rsid w:val="004105D6"/>
    <w:pPr>
      <w:keepNext/>
      <w:keepLines/>
      <w:spacing w:line="270" w:lineRule="exact"/>
      <w:ind w:left="1267" w:right="1267" w:hanging="1267"/>
      <w:outlineLvl w:val="0"/>
    </w:pPr>
    <w:rPr>
      <w:b/>
      <w:sz w:val="24"/>
    </w:rPr>
  </w:style>
  <w:style w:type="paragraph" w:customStyle="1" w:styleId="AgendaTitleH2">
    <w:name w:val="Agenda_Title_H2"/>
    <w:basedOn w:val="TitleH1"/>
    <w:next w:val="Normal"/>
    <w:qFormat/>
    <w:rsid w:val="004105D6"/>
    <w:pPr>
      <w:spacing w:line="240" w:lineRule="exact"/>
      <w:ind w:left="0" w:right="5040" w:firstLine="0"/>
      <w:outlineLvl w:val="1"/>
    </w:pPr>
    <w:rPr>
      <w:sz w:val="20"/>
    </w:rPr>
  </w:style>
  <w:style w:type="paragraph" w:styleId="BalloonText">
    <w:name w:val="Balloon Text"/>
    <w:basedOn w:val="Normal"/>
    <w:link w:val="BalloonTextChar"/>
    <w:semiHidden/>
    <w:rsid w:val="004105D6"/>
    <w:rPr>
      <w:rFonts w:ascii="Tahoma" w:hAnsi="Tahoma" w:cs="Tahoma"/>
      <w:sz w:val="16"/>
      <w:szCs w:val="16"/>
    </w:rPr>
  </w:style>
  <w:style w:type="character" w:customStyle="1" w:styleId="BalloonTextChar">
    <w:name w:val="Balloon Text Char"/>
    <w:basedOn w:val="DefaultParagraphFont"/>
    <w:link w:val="BalloonText"/>
    <w:semiHidden/>
    <w:rsid w:val="004105D6"/>
    <w:rPr>
      <w:rFonts w:ascii="Tahoma" w:eastAsiaTheme="minorHAnsi" w:hAnsi="Tahoma" w:cs="Tahoma"/>
      <w:spacing w:val="4"/>
      <w:w w:val="103"/>
      <w:kern w:val="14"/>
      <w:sz w:val="16"/>
      <w:szCs w:val="16"/>
      <w:lang w:eastAsia="en-US"/>
    </w:rPr>
  </w:style>
  <w:style w:type="paragraph" w:customStyle="1" w:styleId="Bullet1">
    <w:name w:val="Bullet 1"/>
    <w:basedOn w:val="Normal"/>
    <w:qFormat/>
    <w:rsid w:val="004105D6"/>
    <w:pPr>
      <w:numPr>
        <w:numId w:val="23"/>
      </w:numPr>
      <w:spacing w:after="120" w:line="240" w:lineRule="atLeast"/>
      <w:ind w:right="1267"/>
      <w:jc w:val="both"/>
    </w:pPr>
  </w:style>
  <w:style w:type="paragraph" w:customStyle="1" w:styleId="Bullet2">
    <w:name w:val="Bullet 2"/>
    <w:basedOn w:val="Normal"/>
    <w:qFormat/>
    <w:rsid w:val="003A0A16"/>
    <w:pPr>
      <w:numPr>
        <w:numId w:val="16"/>
      </w:numPr>
      <w:spacing w:after="120"/>
      <w:ind w:right="1264"/>
      <w:jc w:val="both"/>
    </w:pPr>
  </w:style>
  <w:style w:type="paragraph" w:customStyle="1" w:styleId="Bullet3">
    <w:name w:val="Bullet 3"/>
    <w:basedOn w:val="SingleTxt"/>
    <w:qFormat/>
    <w:rsid w:val="004105D6"/>
    <w:pPr>
      <w:numPr>
        <w:numId w:val="24"/>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3A0A16"/>
    <w:pPr>
      <w:spacing w:line="240" w:lineRule="auto"/>
    </w:pPr>
    <w:rPr>
      <w:b/>
      <w:bCs/>
      <w:color w:val="4F81BD"/>
      <w:sz w:val="18"/>
      <w:szCs w:val="18"/>
    </w:rPr>
  </w:style>
  <w:style w:type="character" w:styleId="CommentReference">
    <w:name w:val="annotation reference"/>
    <w:semiHidden/>
    <w:rsid w:val="004105D6"/>
    <w:rPr>
      <w:sz w:val="6"/>
    </w:rPr>
  </w:style>
  <w:style w:type="paragraph" w:customStyle="1" w:styleId="Distribution">
    <w:name w:val="Distribution"/>
    <w:next w:val="Normal"/>
    <w:rsid w:val="004105D6"/>
    <w:pPr>
      <w:spacing w:before="240" w:after="0" w:line="240" w:lineRule="auto"/>
    </w:pPr>
    <w:rPr>
      <w:rFonts w:ascii="Times New Roman" w:eastAsiaTheme="minorHAnsi" w:hAnsi="Times New Roman" w:cs="Times New Roman"/>
      <w:spacing w:val="4"/>
      <w:w w:val="103"/>
      <w:kern w:val="14"/>
      <w:sz w:val="20"/>
      <w:szCs w:val="20"/>
      <w:lang w:eastAsia="en-US"/>
    </w:rPr>
  </w:style>
  <w:style w:type="character" w:styleId="EndnoteReference">
    <w:name w:val="endnote reference"/>
    <w:semiHidden/>
    <w:rsid w:val="004105D6"/>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aliases w:val="5_G"/>
    <w:basedOn w:val="Normal"/>
    <w:link w:val="FootnoteTextChar"/>
    <w:uiPriority w:val="99"/>
    <w:qFormat/>
    <w:rsid w:val="004105D6"/>
    <w:pPr>
      <w:widowControl w:val="0"/>
      <w:tabs>
        <w:tab w:val="right" w:pos="418"/>
      </w:tabs>
      <w:spacing w:line="210" w:lineRule="exact"/>
      <w:ind w:left="475" w:hanging="475"/>
    </w:pPr>
    <w:rPr>
      <w:spacing w:val="5"/>
      <w:sz w:val="17"/>
    </w:rPr>
  </w:style>
  <w:style w:type="character" w:customStyle="1" w:styleId="FootnoteTextChar">
    <w:name w:val="Footnote Text Char"/>
    <w:aliases w:val="5_G Char"/>
    <w:basedOn w:val="DefaultParagraphFont"/>
    <w:link w:val="FootnoteText"/>
    <w:uiPriority w:val="99"/>
    <w:rsid w:val="004105D6"/>
    <w:rPr>
      <w:rFonts w:ascii="Times New Roman" w:eastAsiaTheme="minorHAnsi" w:hAnsi="Times New Roman" w:cs="Times New Roman"/>
      <w:spacing w:val="5"/>
      <w:w w:val="103"/>
      <w:kern w:val="14"/>
      <w:sz w:val="17"/>
      <w:szCs w:val="20"/>
      <w:lang w:eastAsia="en-US"/>
    </w:rPr>
  </w:style>
  <w:style w:type="paragraph" w:styleId="EndnoteText">
    <w:name w:val="endnote text"/>
    <w:basedOn w:val="FootnoteText"/>
    <w:link w:val="EndnoteTextChar"/>
    <w:semiHidden/>
    <w:rsid w:val="004105D6"/>
  </w:style>
  <w:style w:type="character" w:customStyle="1" w:styleId="EndnoteTextChar">
    <w:name w:val="Endnote Text Char"/>
    <w:basedOn w:val="DefaultParagraphFont"/>
    <w:link w:val="EndnoteText"/>
    <w:semiHidden/>
    <w:rsid w:val="004105D6"/>
    <w:rPr>
      <w:rFonts w:ascii="Times New Roman" w:eastAsiaTheme="minorHAnsi" w:hAnsi="Times New Roman" w:cs="Times New Roman"/>
      <w:spacing w:val="5"/>
      <w:w w:val="103"/>
      <w:kern w:val="14"/>
      <w:sz w:val="17"/>
      <w:szCs w:val="20"/>
      <w:lang w:eastAsia="en-US"/>
    </w:rPr>
  </w:style>
  <w:style w:type="paragraph" w:styleId="Footer">
    <w:name w:val="footer"/>
    <w:link w:val="FooterChar"/>
    <w:rsid w:val="004105D6"/>
    <w:pPr>
      <w:tabs>
        <w:tab w:val="center" w:pos="4320"/>
        <w:tab w:val="right" w:pos="8640"/>
      </w:tabs>
      <w:spacing w:after="0" w:line="240" w:lineRule="auto"/>
    </w:pPr>
    <w:rPr>
      <w:rFonts w:ascii="Times New Roman" w:eastAsiaTheme="minorHAnsi" w:hAnsi="Times New Roman" w:cs="Times New Roman"/>
      <w:b/>
      <w:noProof/>
      <w:sz w:val="17"/>
      <w:szCs w:val="20"/>
      <w:lang w:val="en-US" w:eastAsia="en-US"/>
    </w:rPr>
  </w:style>
  <w:style w:type="character" w:customStyle="1" w:styleId="FooterChar">
    <w:name w:val="Footer Char"/>
    <w:basedOn w:val="DefaultParagraphFont"/>
    <w:link w:val="Footer"/>
    <w:rsid w:val="004105D6"/>
    <w:rPr>
      <w:rFonts w:ascii="Times New Roman" w:eastAsiaTheme="minorHAnsi" w:hAnsi="Times New Roman" w:cs="Times New Roman"/>
      <w:b/>
      <w:noProof/>
      <w:sz w:val="17"/>
      <w:szCs w:val="20"/>
      <w:lang w:val="en-US" w:eastAsia="en-US"/>
    </w:rPr>
  </w:style>
  <w:style w:type="character" w:styleId="FootnoteReference">
    <w:name w:val="footnote reference"/>
    <w:aliases w:val="4_G"/>
    <w:uiPriority w:val="99"/>
    <w:qFormat/>
    <w:rsid w:val="004105D6"/>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3A0A16"/>
    <w:pPr>
      <w:keepLines/>
      <w:shd w:val="pct10" w:color="auto" w:fill="FFFFFF"/>
      <w:tabs>
        <w:tab w:val="left" w:pos="2218"/>
      </w:tabs>
      <w:spacing w:line="360" w:lineRule="exact"/>
    </w:pPr>
    <w:rPr>
      <w:b/>
      <w:spacing w:val="1"/>
      <w:position w:val="6"/>
      <w:sz w:val="24"/>
      <w:szCs w:val="24"/>
    </w:rPr>
  </w:style>
  <w:style w:type="paragraph" w:customStyle="1" w:styleId="HdChapterLt">
    <w:name w:val="Hd Chapter Lt"/>
    <w:basedOn w:val="Normal"/>
    <w:next w:val="Normal"/>
    <w:qFormat/>
    <w:rsid w:val="003A0A16"/>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3A0A16"/>
    <w:pPr>
      <w:spacing w:before="240"/>
    </w:pPr>
    <w:rPr>
      <w:b/>
      <w:spacing w:val="-2"/>
      <w:w w:val="100"/>
    </w:rPr>
  </w:style>
  <w:style w:type="paragraph" w:customStyle="1" w:styleId="HdChapterBdLg">
    <w:name w:val="Hd Chapter Bd Lg"/>
    <w:basedOn w:val="HdChapterBD"/>
    <w:next w:val="Normal"/>
    <w:qFormat/>
    <w:rsid w:val="003A0A16"/>
    <w:rPr>
      <w:spacing w:val="-3"/>
      <w:w w:val="99"/>
      <w:kern w:val="14"/>
      <w:sz w:val="34"/>
      <w:szCs w:val="34"/>
    </w:rPr>
  </w:style>
  <w:style w:type="paragraph" w:styleId="Header">
    <w:name w:val="header"/>
    <w:link w:val="HeaderChar"/>
    <w:rsid w:val="004105D6"/>
    <w:pPr>
      <w:tabs>
        <w:tab w:val="center" w:pos="4320"/>
        <w:tab w:val="right" w:pos="8640"/>
      </w:tabs>
      <w:spacing w:after="0" w:line="240" w:lineRule="auto"/>
    </w:pPr>
    <w:rPr>
      <w:rFonts w:ascii="Times New Roman" w:eastAsiaTheme="minorHAnsi" w:hAnsi="Times New Roman" w:cs="Times New Roman"/>
      <w:noProof/>
      <w:sz w:val="17"/>
      <w:szCs w:val="20"/>
      <w:lang w:val="en-US" w:eastAsia="en-US"/>
    </w:rPr>
  </w:style>
  <w:style w:type="character" w:customStyle="1" w:styleId="HeaderChar">
    <w:name w:val="Header Char"/>
    <w:basedOn w:val="DefaultParagraphFont"/>
    <w:link w:val="Header"/>
    <w:rsid w:val="004105D6"/>
    <w:rPr>
      <w:rFonts w:ascii="Times New Roman" w:eastAsiaTheme="minorHAnsi" w:hAnsi="Times New Roman" w:cs="Times New Roman"/>
      <w:noProof/>
      <w:sz w:val="17"/>
      <w:szCs w:val="20"/>
      <w:lang w:val="en-US" w:eastAsia="en-US"/>
    </w:rPr>
  </w:style>
  <w:style w:type="character" w:customStyle="1" w:styleId="Heading1Char">
    <w:name w:val="Heading 1 Char"/>
    <w:link w:val="Heading1"/>
    <w:uiPriority w:val="9"/>
    <w:rsid w:val="003A0A16"/>
    <w:rPr>
      <w:rFonts w:ascii="Arial" w:eastAsia="Times New Roman" w:hAnsi="Arial" w:cs="Times New Roman"/>
      <w:b/>
      <w:bCs/>
      <w:spacing w:val="4"/>
      <w:w w:val="103"/>
      <w:kern w:val="32"/>
      <w:sz w:val="32"/>
      <w:szCs w:val="28"/>
      <w:lang w:eastAsia="en-US"/>
    </w:rPr>
  </w:style>
  <w:style w:type="character" w:customStyle="1" w:styleId="Heading2Char">
    <w:name w:val="Heading 2 Char"/>
    <w:link w:val="Heading2"/>
    <w:uiPriority w:val="9"/>
    <w:rsid w:val="003A0A16"/>
    <w:rPr>
      <w:rFonts w:ascii="Arial" w:eastAsia="Times New Roman" w:hAnsi="Arial" w:cs="Times New Roman"/>
      <w:b/>
      <w:bCs/>
      <w:i/>
      <w:spacing w:val="4"/>
      <w:w w:val="103"/>
      <w:kern w:val="14"/>
      <w:sz w:val="28"/>
      <w:szCs w:val="26"/>
      <w:lang w:eastAsia="en-US"/>
    </w:rPr>
  </w:style>
  <w:style w:type="character" w:customStyle="1" w:styleId="Heading3Char">
    <w:name w:val="Heading 3 Char"/>
    <w:link w:val="Heading3"/>
    <w:uiPriority w:val="9"/>
    <w:rsid w:val="003A0A16"/>
    <w:rPr>
      <w:rFonts w:ascii="Arial" w:eastAsia="Times New Roman" w:hAnsi="Arial" w:cs="Times New Roman"/>
      <w:b/>
      <w:bCs/>
      <w:spacing w:val="4"/>
      <w:w w:val="103"/>
      <w:kern w:val="14"/>
      <w:sz w:val="26"/>
      <w:szCs w:val="20"/>
      <w:lang w:eastAsia="en-US"/>
    </w:rPr>
  </w:style>
  <w:style w:type="character" w:customStyle="1" w:styleId="Heading4Char">
    <w:name w:val="Heading 4 Char"/>
    <w:link w:val="Heading4"/>
    <w:uiPriority w:val="9"/>
    <w:semiHidden/>
    <w:rsid w:val="003A0A16"/>
    <w:rPr>
      <w:rFonts w:ascii="Cambria" w:eastAsia="Times New Roman" w:hAnsi="Cambria" w:cs="Times New Roman"/>
      <w:b/>
      <w:bCs/>
      <w:i/>
      <w:iCs/>
      <w:spacing w:val="4"/>
      <w:w w:val="103"/>
      <w:kern w:val="14"/>
      <w:sz w:val="20"/>
      <w:szCs w:val="20"/>
      <w:lang w:eastAsia="en-US"/>
    </w:rPr>
  </w:style>
  <w:style w:type="character" w:customStyle="1" w:styleId="Heading5Char">
    <w:name w:val="Heading 5 Char"/>
    <w:link w:val="Heading5"/>
    <w:uiPriority w:val="9"/>
    <w:semiHidden/>
    <w:rsid w:val="003A0A16"/>
    <w:rPr>
      <w:rFonts w:ascii="Cambria" w:eastAsia="Times New Roman" w:hAnsi="Cambria" w:cs="Times New Roman"/>
      <w:b/>
      <w:bCs/>
      <w:color w:val="7F7F7F"/>
      <w:spacing w:val="4"/>
      <w:w w:val="103"/>
      <w:kern w:val="14"/>
      <w:sz w:val="20"/>
      <w:szCs w:val="20"/>
      <w:lang w:eastAsia="en-US"/>
    </w:rPr>
  </w:style>
  <w:style w:type="character" w:customStyle="1" w:styleId="Heading6Char">
    <w:name w:val="Heading 6 Char"/>
    <w:link w:val="Heading6"/>
    <w:uiPriority w:val="9"/>
    <w:semiHidden/>
    <w:rsid w:val="003A0A16"/>
    <w:rPr>
      <w:rFonts w:ascii="Cambria" w:eastAsia="Times New Roman" w:hAnsi="Cambria" w:cs="Times New Roman"/>
      <w:b/>
      <w:bCs/>
      <w:i/>
      <w:iCs/>
      <w:color w:val="7F7F7F"/>
      <w:spacing w:val="4"/>
      <w:w w:val="103"/>
      <w:kern w:val="14"/>
      <w:sz w:val="20"/>
      <w:szCs w:val="20"/>
      <w:lang w:eastAsia="en-US"/>
    </w:rPr>
  </w:style>
  <w:style w:type="character" w:customStyle="1" w:styleId="Heading7Char">
    <w:name w:val="Heading 7 Char"/>
    <w:link w:val="Heading7"/>
    <w:uiPriority w:val="9"/>
    <w:semiHidden/>
    <w:rsid w:val="003A0A16"/>
    <w:rPr>
      <w:rFonts w:ascii="Cambria" w:eastAsia="Times New Roman" w:hAnsi="Cambria" w:cs="Times New Roman"/>
      <w:i/>
      <w:iCs/>
      <w:spacing w:val="4"/>
      <w:w w:val="103"/>
      <w:kern w:val="14"/>
      <w:sz w:val="20"/>
      <w:szCs w:val="20"/>
      <w:lang w:eastAsia="en-US"/>
    </w:rPr>
  </w:style>
  <w:style w:type="character" w:customStyle="1" w:styleId="Heading8Char">
    <w:name w:val="Heading 8 Char"/>
    <w:link w:val="Heading8"/>
    <w:uiPriority w:val="9"/>
    <w:semiHidden/>
    <w:rsid w:val="003A0A16"/>
    <w:rPr>
      <w:rFonts w:ascii="Cambria" w:eastAsia="Times New Roman" w:hAnsi="Cambria" w:cs="Times New Roman"/>
      <w:spacing w:val="4"/>
      <w:w w:val="103"/>
      <w:kern w:val="14"/>
      <w:sz w:val="20"/>
      <w:szCs w:val="20"/>
      <w:lang w:eastAsia="en-US"/>
    </w:rPr>
  </w:style>
  <w:style w:type="character" w:customStyle="1" w:styleId="Heading9Char">
    <w:name w:val="Heading 9 Char"/>
    <w:link w:val="Heading9"/>
    <w:uiPriority w:val="9"/>
    <w:semiHidden/>
    <w:rsid w:val="003A0A16"/>
    <w:rPr>
      <w:rFonts w:ascii="Cambria" w:eastAsia="Times New Roman" w:hAnsi="Cambria" w:cs="Times New Roman"/>
      <w:i/>
      <w:iCs/>
      <w:spacing w:val="5"/>
      <w:w w:val="103"/>
      <w:kern w:val="14"/>
      <w:sz w:val="20"/>
      <w:szCs w:val="20"/>
      <w:lang w:eastAsia="en-US"/>
    </w:rPr>
  </w:style>
  <w:style w:type="paragraph" w:customStyle="1" w:styleId="JournalHeading1">
    <w:name w:val="Journal_Heading1"/>
    <w:basedOn w:val="Normal"/>
    <w:next w:val="Normal"/>
    <w:qFormat/>
    <w:rsid w:val="003A0A16"/>
    <w:pPr>
      <w:keepNext/>
      <w:spacing w:before="190" w:line="270" w:lineRule="exact"/>
    </w:pPr>
    <w:rPr>
      <w:b/>
      <w:sz w:val="24"/>
    </w:rPr>
  </w:style>
  <w:style w:type="paragraph" w:customStyle="1" w:styleId="JournalHeading2">
    <w:name w:val="Journal_Heading2"/>
    <w:basedOn w:val="Normal"/>
    <w:next w:val="Normal"/>
    <w:qFormat/>
    <w:rsid w:val="003A0A16"/>
    <w:pPr>
      <w:keepNext/>
      <w:keepLines/>
      <w:spacing w:before="240"/>
      <w:outlineLvl w:val="1"/>
    </w:pPr>
    <w:rPr>
      <w:b/>
      <w:spacing w:val="2"/>
    </w:rPr>
  </w:style>
  <w:style w:type="paragraph" w:customStyle="1" w:styleId="JournalHeading4">
    <w:name w:val="Journal_Heading4"/>
    <w:basedOn w:val="Normal"/>
    <w:next w:val="Normal"/>
    <w:qFormat/>
    <w:rsid w:val="003A0A16"/>
    <w:pPr>
      <w:keepNext/>
      <w:keepLines/>
      <w:spacing w:before="240"/>
      <w:outlineLvl w:val="3"/>
    </w:pPr>
    <w:rPr>
      <w:i/>
    </w:rPr>
  </w:style>
  <w:style w:type="character" w:styleId="LineNumber">
    <w:name w:val="line number"/>
    <w:rsid w:val="004105D6"/>
    <w:rPr>
      <w:sz w:val="14"/>
    </w:rPr>
  </w:style>
  <w:style w:type="paragraph" w:styleId="NoSpacing">
    <w:name w:val="No Spacing"/>
    <w:basedOn w:val="Normal"/>
    <w:uiPriority w:val="1"/>
    <w:rsid w:val="003A0A16"/>
    <w:pPr>
      <w:spacing w:line="240" w:lineRule="auto"/>
    </w:pPr>
  </w:style>
  <w:style w:type="paragraph" w:customStyle="1" w:styleId="NormalBullet">
    <w:name w:val="Normal Bullet"/>
    <w:basedOn w:val="Normal"/>
    <w:next w:val="Normal"/>
    <w:qFormat/>
    <w:rsid w:val="003A0A16"/>
    <w:pPr>
      <w:keepLines/>
      <w:numPr>
        <w:numId w:val="18"/>
      </w:numPr>
      <w:tabs>
        <w:tab w:val="left" w:pos="2218"/>
      </w:tabs>
      <w:spacing w:before="40" w:after="80"/>
      <w:ind w:right="302"/>
    </w:pPr>
  </w:style>
  <w:style w:type="paragraph" w:customStyle="1" w:styleId="NormalSchedule">
    <w:name w:val="Normal Schedule"/>
    <w:basedOn w:val="Normal"/>
    <w:next w:val="Normal"/>
    <w:qFormat/>
    <w:rsid w:val="003A0A16"/>
    <w:pPr>
      <w:tabs>
        <w:tab w:val="left" w:leader="dot" w:pos="2218"/>
        <w:tab w:val="left" w:pos="2707"/>
        <w:tab w:val="right" w:leader="dot" w:pos="9835"/>
      </w:tabs>
    </w:pPr>
  </w:style>
  <w:style w:type="paragraph" w:customStyle="1" w:styleId="Original">
    <w:name w:val="Original"/>
    <w:next w:val="Normal"/>
    <w:rsid w:val="004105D6"/>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Publication">
    <w:name w:val="Publication"/>
    <w:next w:val="Normal"/>
    <w:rsid w:val="004105D6"/>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ReleaseDate">
    <w:name w:val="ReleaseDate"/>
    <w:next w:val="Footer"/>
    <w:autoRedefine/>
    <w:qFormat/>
    <w:rsid w:val="003A0A16"/>
    <w:pPr>
      <w:spacing w:after="0" w:line="240" w:lineRule="auto"/>
    </w:pPr>
    <w:rPr>
      <w:rFonts w:ascii="Times New Roman" w:eastAsiaTheme="minorHAnsi" w:hAnsi="Times New Roman" w:cs="Times New Roman"/>
      <w:spacing w:val="4"/>
      <w:w w:val="103"/>
      <w:sz w:val="20"/>
      <w:lang w:val="es-ES" w:eastAsia="en-US"/>
    </w:rPr>
  </w:style>
  <w:style w:type="paragraph" w:customStyle="1" w:styleId="Small">
    <w:name w:val="Small"/>
    <w:basedOn w:val="Normal"/>
    <w:next w:val="Normal"/>
    <w:rsid w:val="004105D6"/>
    <w:pPr>
      <w:tabs>
        <w:tab w:val="right" w:pos="9965"/>
      </w:tabs>
      <w:spacing w:line="210" w:lineRule="exact"/>
    </w:pPr>
    <w:rPr>
      <w:spacing w:val="5"/>
      <w:w w:val="104"/>
      <w:sz w:val="17"/>
    </w:rPr>
  </w:style>
  <w:style w:type="paragraph" w:customStyle="1" w:styleId="SmallX">
    <w:name w:val="SmallX"/>
    <w:basedOn w:val="Small"/>
    <w:next w:val="Normal"/>
    <w:rsid w:val="004105D6"/>
    <w:pPr>
      <w:spacing w:line="180" w:lineRule="exact"/>
      <w:jc w:val="right"/>
    </w:pPr>
    <w:rPr>
      <w:spacing w:val="6"/>
      <w:w w:val="106"/>
      <w:sz w:val="14"/>
    </w:rPr>
  </w:style>
  <w:style w:type="paragraph" w:customStyle="1" w:styleId="TitleHCH">
    <w:name w:val="Title_H_CH"/>
    <w:basedOn w:val="H1"/>
    <w:next w:val="Normal"/>
    <w:qFormat/>
    <w:rsid w:val="004105D6"/>
    <w:pPr>
      <w:spacing w:line="300" w:lineRule="exact"/>
      <w:ind w:left="0" w:right="0" w:firstLine="0"/>
    </w:pPr>
    <w:rPr>
      <w:spacing w:val="-2"/>
      <w:sz w:val="28"/>
    </w:rPr>
  </w:style>
  <w:style w:type="paragraph" w:customStyle="1" w:styleId="TitleH2">
    <w:name w:val="Title_H2"/>
    <w:basedOn w:val="Normal"/>
    <w:next w:val="Normal"/>
    <w:qFormat/>
    <w:rsid w:val="004105D6"/>
    <w:pPr>
      <w:outlineLvl w:val="1"/>
    </w:pPr>
    <w:rPr>
      <w:b/>
    </w:rPr>
  </w:style>
  <w:style w:type="paragraph" w:styleId="TOCHeading">
    <w:name w:val="TOC Heading"/>
    <w:basedOn w:val="Heading1"/>
    <w:next w:val="Normal"/>
    <w:uiPriority w:val="39"/>
    <w:semiHidden/>
    <w:unhideWhenUsed/>
    <w:qFormat/>
    <w:rsid w:val="003A0A16"/>
    <w:pPr>
      <w:outlineLvl w:val="9"/>
    </w:pPr>
    <w:rPr>
      <w:rFonts w:eastAsiaTheme="majorEastAsia" w:cstheme="majorBidi"/>
      <w:lang w:bidi="en-US"/>
    </w:rPr>
  </w:style>
  <w:style w:type="paragraph" w:customStyle="1" w:styleId="XLarge">
    <w:name w:val="XLarge"/>
    <w:basedOn w:val="HM"/>
    <w:rsid w:val="004105D6"/>
    <w:pPr>
      <w:spacing w:line="390" w:lineRule="exact"/>
    </w:pPr>
    <w:rPr>
      <w:spacing w:val="-4"/>
      <w:w w:val="98"/>
      <w:sz w:val="40"/>
    </w:rPr>
  </w:style>
  <w:style w:type="character" w:styleId="Hyperlink">
    <w:name w:val="Hyperlink"/>
    <w:basedOn w:val="DefaultParagraphFont"/>
    <w:uiPriority w:val="99"/>
    <w:rsid w:val="004105D6"/>
    <w:rPr>
      <w:color w:val="0000FF"/>
      <w:u w:val="none"/>
    </w:rPr>
  </w:style>
  <w:style w:type="paragraph" w:styleId="PlainText">
    <w:name w:val="Plain Text"/>
    <w:basedOn w:val="Normal"/>
    <w:link w:val="PlainTextChar"/>
    <w:rsid w:val="004105D6"/>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4105D6"/>
    <w:rPr>
      <w:rFonts w:ascii="Courier New" w:eastAsia="Times New Roman" w:hAnsi="Courier New" w:cs="Times New Roman"/>
      <w:sz w:val="20"/>
      <w:szCs w:val="20"/>
      <w:lang w:val="en-US" w:eastAsia="en-GB"/>
    </w:rPr>
  </w:style>
  <w:style w:type="paragraph" w:customStyle="1" w:styleId="ReleaseDate0">
    <w:name w:val="Release Date"/>
    <w:next w:val="Footer"/>
    <w:rsid w:val="004105D6"/>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Session">
    <w:name w:val="Session"/>
    <w:basedOn w:val="H23"/>
    <w:rsid w:val="004105D6"/>
  </w:style>
  <w:style w:type="table" w:styleId="TableGrid">
    <w:name w:val="Table Grid"/>
    <w:basedOn w:val="TableNormal"/>
    <w:rsid w:val="004105D6"/>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onsors">
    <w:name w:val="Sponsors"/>
    <w:basedOn w:val="Normal"/>
    <w:next w:val="Normal"/>
    <w:qFormat/>
    <w:rsid w:val="006E2FA3"/>
    <w:pPr>
      <w:ind w:left="1267" w:right="1267" w:hanging="1267"/>
      <w:outlineLvl w:val="1"/>
    </w:pPr>
    <w:rPr>
      <w:b/>
    </w:rPr>
  </w:style>
  <w:style w:type="paragraph" w:customStyle="1" w:styleId="STitleM">
    <w:name w:val="S_Title_M"/>
    <w:basedOn w:val="Normal"/>
    <w:next w:val="Normal"/>
    <w:qFormat/>
    <w:rsid w:val="003A0A16"/>
    <w:pPr>
      <w:keepNext/>
      <w:keepLines/>
      <w:tabs>
        <w:tab w:val="right" w:leader="dot" w:pos="357"/>
      </w:tabs>
      <w:spacing w:line="390" w:lineRule="exact"/>
      <w:ind w:left="1264" w:right="1264"/>
      <w:outlineLvl w:val="0"/>
    </w:pPr>
    <w:rPr>
      <w:b/>
      <w:spacing w:val="-4"/>
      <w:w w:val="98"/>
      <w:sz w:val="40"/>
    </w:rPr>
  </w:style>
  <w:style w:type="paragraph" w:customStyle="1" w:styleId="STitleS">
    <w:name w:val="S_Title_S"/>
    <w:basedOn w:val="HCh"/>
    <w:next w:val="Normal"/>
    <w:qFormat/>
    <w:rsid w:val="003A0A16"/>
    <w:pPr>
      <w:ind w:left="1264" w:right="1264"/>
    </w:pPr>
  </w:style>
  <w:style w:type="paragraph" w:customStyle="1" w:styleId="STitleL">
    <w:name w:val="S_Title_L"/>
    <w:basedOn w:val="SM"/>
    <w:next w:val="Normal"/>
    <w:qFormat/>
    <w:rsid w:val="003A0A16"/>
    <w:pPr>
      <w:spacing w:line="540" w:lineRule="exact"/>
    </w:pPr>
    <w:rPr>
      <w:rFonts w:eastAsiaTheme="minorEastAsia"/>
      <w:spacing w:val="-8"/>
      <w:w w:val="96"/>
      <w:sz w:val="57"/>
      <w:lang w:eastAsia="zh-CN"/>
    </w:rPr>
  </w:style>
  <w:style w:type="paragraph" w:customStyle="1" w:styleId="SummaryRecord">
    <w:name w:val="SummaryRecord"/>
    <w:basedOn w:val="H23"/>
    <w:next w:val="Session"/>
    <w:qFormat/>
    <w:rsid w:val="003A0A16"/>
  </w:style>
  <w:style w:type="paragraph" w:customStyle="1" w:styleId="SRMeetingInfo">
    <w:name w:val="SR_Meeting_Info"/>
    <w:next w:val="Normal"/>
    <w:qFormat/>
    <w:rsid w:val="003A0A16"/>
    <w:pPr>
      <w:spacing w:after="0" w:line="240" w:lineRule="exact"/>
    </w:pPr>
    <w:rPr>
      <w:rFonts w:ascii="Times New Roman" w:eastAsiaTheme="minorHAnsi" w:hAnsi="Times New Roman" w:cs="Times New Roman"/>
      <w:spacing w:val="4"/>
      <w:w w:val="103"/>
      <w:kern w:val="14"/>
      <w:sz w:val="20"/>
      <w:szCs w:val="20"/>
      <w:lang w:val="en-US" w:eastAsia="en-US"/>
    </w:rPr>
  </w:style>
  <w:style w:type="character" w:styleId="FollowedHyperlink">
    <w:name w:val="FollowedHyperlink"/>
    <w:basedOn w:val="DefaultParagraphFont"/>
    <w:uiPriority w:val="99"/>
    <w:semiHidden/>
    <w:unhideWhenUsed/>
    <w:rsid w:val="003A0A16"/>
    <w:rPr>
      <w:color w:val="0000FF"/>
      <w:u w:val="single"/>
    </w:rPr>
  </w:style>
  <w:style w:type="paragraph" w:styleId="NormalWeb">
    <w:name w:val="Normal (Web)"/>
    <w:basedOn w:val="Normal"/>
    <w:uiPriority w:val="99"/>
    <w:semiHidden/>
    <w:unhideWhenUsed/>
    <w:rsid w:val="003A0A16"/>
    <w:rPr>
      <w:sz w:val="24"/>
      <w:szCs w:val="24"/>
    </w:rPr>
  </w:style>
  <w:style w:type="paragraph" w:customStyle="1" w:styleId="SRContents">
    <w:name w:val="SR_Contents"/>
    <w:basedOn w:val="Normal"/>
    <w:qFormat/>
    <w:rsid w:val="003A0A1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pPr>
  </w:style>
  <w:style w:type="paragraph" w:customStyle="1" w:styleId="AgendaItemNumber">
    <w:name w:val="Agenda_Item_Number"/>
    <w:next w:val="Normal"/>
    <w:qFormat/>
    <w:rsid w:val="003A0A16"/>
    <w:pPr>
      <w:spacing w:after="0" w:line="240" w:lineRule="exact"/>
    </w:pPr>
    <w:rPr>
      <w:rFonts w:ascii="Times New Roman" w:eastAsiaTheme="minorHAnsi" w:hAnsi="Times New Roman" w:cs="Times New Roman"/>
      <w:spacing w:val="2"/>
      <w:w w:val="103"/>
      <w:kern w:val="14"/>
      <w:sz w:val="20"/>
      <w:szCs w:val="20"/>
      <w:lang w:eastAsia="en-US"/>
    </w:rPr>
  </w:style>
  <w:style w:type="paragraph" w:customStyle="1" w:styleId="AgendaItemTitle">
    <w:name w:val="Agenda_Item_Title"/>
    <w:basedOn w:val="TitleH1"/>
    <w:next w:val="Normal"/>
    <w:qFormat/>
    <w:rsid w:val="003A0A16"/>
    <w:pPr>
      <w:spacing w:line="240" w:lineRule="exact"/>
      <w:ind w:left="0" w:right="5040" w:firstLine="0"/>
      <w:outlineLvl w:val="1"/>
    </w:pPr>
    <w:rPr>
      <w:sz w:val="20"/>
    </w:rPr>
  </w:style>
  <w:style w:type="paragraph" w:customStyle="1" w:styleId="DecisionNumber">
    <w:name w:val="DecisionNumber"/>
    <w:basedOn w:val="TitleH1"/>
    <w:next w:val="Normal"/>
    <w:qFormat/>
    <w:rsid w:val="003A0A16"/>
    <w:pPr>
      <w:spacing w:line="240" w:lineRule="exact"/>
      <w:ind w:left="0" w:right="5040" w:firstLine="0"/>
      <w:outlineLvl w:val="1"/>
    </w:pPr>
    <w:rPr>
      <w:sz w:val="20"/>
    </w:rPr>
  </w:style>
  <w:style w:type="paragraph" w:customStyle="1" w:styleId="DecisionTitle">
    <w:name w:val="DecisionTitle"/>
    <w:basedOn w:val="TitleH1"/>
    <w:next w:val="Normal"/>
    <w:qFormat/>
    <w:rsid w:val="003A0A16"/>
    <w:pPr>
      <w:spacing w:line="240" w:lineRule="exact"/>
      <w:ind w:left="0" w:right="5040" w:firstLine="0"/>
      <w:outlineLvl w:val="1"/>
    </w:pPr>
    <w:rPr>
      <w:sz w:val="20"/>
    </w:rPr>
  </w:style>
  <w:style w:type="paragraph" w:customStyle="1" w:styleId="MeetingNumber">
    <w:name w:val="MeetingNumber"/>
    <w:basedOn w:val="TitleH1"/>
    <w:next w:val="Normal"/>
    <w:qFormat/>
    <w:rsid w:val="003A0A16"/>
    <w:pPr>
      <w:spacing w:line="240" w:lineRule="exact"/>
      <w:ind w:left="0" w:right="5040" w:firstLine="0"/>
      <w:outlineLvl w:val="1"/>
    </w:pPr>
    <w:rPr>
      <w:sz w:val="20"/>
    </w:rPr>
  </w:style>
  <w:style w:type="paragraph" w:styleId="CommentText">
    <w:name w:val="annotation text"/>
    <w:basedOn w:val="Normal"/>
    <w:link w:val="CommentTextChar"/>
    <w:uiPriority w:val="99"/>
    <w:semiHidden/>
    <w:unhideWhenUsed/>
    <w:rsid w:val="00F13127"/>
    <w:pPr>
      <w:spacing w:line="240" w:lineRule="auto"/>
    </w:pPr>
  </w:style>
  <w:style w:type="character" w:customStyle="1" w:styleId="CommentTextChar">
    <w:name w:val="Comment Text Char"/>
    <w:basedOn w:val="DefaultParagraphFont"/>
    <w:link w:val="CommentText"/>
    <w:uiPriority w:val="99"/>
    <w:semiHidden/>
    <w:rsid w:val="00F13127"/>
    <w:rPr>
      <w:rFonts w:ascii="Times New Roman" w:eastAsiaTheme="minorHAnsi" w:hAnsi="Times New Roman" w:cs="Times New Roman"/>
      <w:spacing w:val="4"/>
      <w:w w:val="103"/>
      <w:kern w:val="14"/>
      <w:sz w:val="20"/>
      <w:szCs w:val="20"/>
      <w:lang w:eastAsia="en-US"/>
    </w:rPr>
  </w:style>
  <w:style w:type="paragraph" w:styleId="CommentSubject">
    <w:name w:val="annotation subject"/>
    <w:basedOn w:val="CommentText"/>
    <w:next w:val="CommentText"/>
    <w:link w:val="CommentSubjectChar"/>
    <w:uiPriority w:val="99"/>
    <w:semiHidden/>
    <w:unhideWhenUsed/>
    <w:rsid w:val="00F13127"/>
    <w:rPr>
      <w:b/>
      <w:bCs/>
    </w:rPr>
  </w:style>
  <w:style w:type="character" w:customStyle="1" w:styleId="CommentSubjectChar">
    <w:name w:val="Comment Subject Char"/>
    <w:basedOn w:val="CommentTextChar"/>
    <w:link w:val="CommentSubject"/>
    <w:uiPriority w:val="99"/>
    <w:semiHidden/>
    <w:rsid w:val="00F13127"/>
    <w:rPr>
      <w:rFonts w:ascii="Times New Roman" w:eastAsiaTheme="minorHAnsi" w:hAnsi="Times New Roman" w:cs="Times New Roman"/>
      <w:b/>
      <w:bCs/>
      <w:spacing w:val="4"/>
      <w:w w:val="103"/>
      <w:kern w:val="14"/>
      <w:sz w:val="20"/>
      <w:szCs w:val="20"/>
      <w:lang w:eastAsia="en-US"/>
    </w:rPr>
  </w:style>
  <w:style w:type="paragraph" w:styleId="ListParagraph">
    <w:name w:val="List Paragraph"/>
    <w:basedOn w:val="Normal"/>
    <w:uiPriority w:val="34"/>
    <w:qFormat/>
    <w:rsid w:val="00B37E53"/>
    <w:pPr>
      <w:ind w:left="720"/>
      <w:contextualSpacing/>
    </w:pPr>
  </w:style>
  <w:style w:type="paragraph" w:styleId="Revision">
    <w:name w:val="Revision"/>
    <w:hidden/>
    <w:uiPriority w:val="99"/>
    <w:semiHidden/>
    <w:rsid w:val="00537806"/>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HChG">
    <w:name w:val="_ H _Ch_G"/>
    <w:basedOn w:val="Normal"/>
    <w:next w:val="Normal"/>
    <w:qFormat/>
    <w:rsid w:val="00502661"/>
    <w:pPr>
      <w:keepNext/>
      <w:keepLines/>
      <w:tabs>
        <w:tab w:val="right" w:pos="851"/>
      </w:tabs>
      <w:kinsoku w:val="0"/>
      <w:overflowPunct w:val="0"/>
      <w:autoSpaceDE w:val="0"/>
      <w:autoSpaceDN w:val="0"/>
      <w:adjustRightInd w:val="0"/>
      <w:snapToGrid w:val="0"/>
      <w:spacing w:before="360" w:after="240" w:line="300" w:lineRule="exact"/>
      <w:ind w:left="1134" w:right="1134" w:hanging="1134"/>
      <w:outlineLvl w:val="1"/>
    </w:pPr>
    <w:rPr>
      <w:b/>
      <w:spacing w:val="0"/>
      <w:w w:val="100"/>
      <w:kern w:val="0"/>
      <w:sz w:val="28"/>
    </w:rPr>
  </w:style>
  <w:style w:type="paragraph" w:customStyle="1" w:styleId="SingleTxtG">
    <w:name w:val="_ Single Txt_G"/>
    <w:basedOn w:val="Normal"/>
    <w:link w:val="SingleTxtGChar"/>
    <w:qFormat/>
    <w:rsid w:val="00502661"/>
    <w:pPr>
      <w:tabs>
        <w:tab w:val="left" w:pos="1701"/>
        <w:tab w:val="left" w:pos="2268"/>
        <w:tab w:val="left" w:pos="2835"/>
      </w:tabs>
      <w:kinsoku w:val="0"/>
      <w:overflowPunct w:val="0"/>
      <w:autoSpaceDE w:val="0"/>
      <w:autoSpaceDN w:val="0"/>
      <w:adjustRightInd w:val="0"/>
      <w:snapToGrid w:val="0"/>
      <w:spacing w:after="120" w:line="240" w:lineRule="atLeast"/>
      <w:ind w:left="1134" w:right="1134"/>
      <w:jc w:val="both"/>
    </w:pPr>
    <w:rPr>
      <w:spacing w:val="0"/>
      <w:w w:val="100"/>
      <w:kern w:val="0"/>
    </w:rPr>
  </w:style>
  <w:style w:type="paragraph" w:customStyle="1" w:styleId="SLG">
    <w:name w:val="__S_L_G"/>
    <w:basedOn w:val="Normal"/>
    <w:next w:val="Normal"/>
    <w:rsid w:val="00502661"/>
    <w:pPr>
      <w:keepNext/>
      <w:keepLines/>
      <w:spacing w:before="240" w:after="240" w:line="580" w:lineRule="exact"/>
      <w:ind w:left="1134" w:right="1134"/>
    </w:pPr>
    <w:rPr>
      <w:rFonts w:eastAsia="Times New Roman"/>
      <w:b/>
      <w:spacing w:val="0"/>
      <w:w w:val="100"/>
      <w:kern w:val="0"/>
      <w:sz w:val="56"/>
    </w:rPr>
  </w:style>
  <w:style w:type="character" w:customStyle="1" w:styleId="SingleTxtGChar">
    <w:name w:val="_ Single Txt_G Char"/>
    <w:link w:val="SingleTxtG"/>
    <w:locked/>
    <w:rsid w:val="00502661"/>
    <w:rPr>
      <w:rFonts w:ascii="Times New Roman" w:eastAsiaTheme="minorHAnsi" w:hAnsi="Times New Roman" w:cs="Times New Roman"/>
      <w:sz w:val="20"/>
      <w:szCs w:val="20"/>
      <w:lang w:eastAsia="en-US"/>
    </w:rPr>
  </w:style>
  <w:style w:type="character" w:styleId="UnresolvedMention">
    <w:name w:val="Unresolved Mention"/>
    <w:basedOn w:val="DefaultParagraphFont"/>
    <w:uiPriority w:val="99"/>
    <w:semiHidden/>
    <w:unhideWhenUsed/>
    <w:rsid w:val="008E325B"/>
    <w:rPr>
      <w:color w:val="605E5C"/>
      <w:shd w:val="clear" w:color="auto" w:fill="E1DFDD"/>
    </w:rPr>
  </w:style>
  <w:style w:type="paragraph" w:customStyle="1" w:styleId="H1G">
    <w:name w:val="_ H_1_G"/>
    <w:basedOn w:val="Normal"/>
    <w:next w:val="Normal"/>
    <w:qFormat/>
    <w:rsid w:val="00332A68"/>
    <w:pPr>
      <w:keepNext/>
      <w:keepLines/>
      <w:tabs>
        <w:tab w:val="right" w:pos="851"/>
      </w:tabs>
      <w:kinsoku w:val="0"/>
      <w:overflowPunct w:val="0"/>
      <w:autoSpaceDE w:val="0"/>
      <w:autoSpaceDN w:val="0"/>
      <w:adjustRightInd w:val="0"/>
      <w:snapToGrid w:val="0"/>
      <w:spacing w:before="360" w:after="240" w:line="270" w:lineRule="exact"/>
      <w:ind w:left="1134" w:right="1134" w:hanging="1134"/>
      <w:outlineLvl w:val="2"/>
    </w:pPr>
    <w:rPr>
      <w:b/>
      <w:spacing w:val="0"/>
      <w:w w:val="100"/>
      <w:kern w:val="0"/>
      <w:sz w:val="24"/>
    </w:rPr>
  </w:style>
  <w:style w:type="paragraph" w:customStyle="1" w:styleId="H23G">
    <w:name w:val="_ H_2/3_G"/>
    <w:basedOn w:val="Normal"/>
    <w:next w:val="Normal"/>
    <w:qFormat/>
    <w:rsid w:val="00332A68"/>
    <w:pPr>
      <w:keepNext/>
      <w:keepLines/>
      <w:tabs>
        <w:tab w:val="right" w:pos="851"/>
      </w:tabs>
      <w:kinsoku w:val="0"/>
      <w:overflowPunct w:val="0"/>
      <w:autoSpaceDE w:val="0"/>
      <w:autoSpaceDN w:val="0"/>
      <w:adjustRightInd w:val="0"/>
      <w:snapToGrid w:val="0"/>
      <w:spacing w:before="240" w:after="120"/>
      <w:ind w:left="1134" w:right="1134" w:hanging="1134"/>
      <w:outlineLvl w:val="3"/>
    </w:pPr>
    <w:rPr>
      <w:b/>
      <w:spacing w:val="0"/>
      <w:w w:val="1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microsoft.com/office/2018/08/relationships/commentsExtensible" Target="commentsExtensible.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8" Type="http://schemas.openxmlformats.org/officeDocument/2006/relationships/hyperlink" Target="https://www.thediliweekly.com/tl/notisias/17238-mejd-fasilita-estudante-feto-fila-hikas-ba-eskola" TargetMode="External"/><Relationship Id="rId13" Type="http://schemas.openxmlformats.org/officeDocument/2006/relationships/hyperlink" Target="https://timor-leste.unfpa.org/en/news/official-opening-training-trainers-national-institute-training-teachers-and-education" TargetMode="External"/><Relationship Id="rId18" Type="http://schemas.openxmlformats.org/officeDocument/2006/relationships/hyperlink" Target="http://mss.gov.tl/portal/seminariu-nasional-ba-asuntus-defisientes/" TargetMode="External"/><Relationship Id="rId3" Type="http://schemas.openxmlformats.org/officeDocument/2006/relationships/hyperlink" Target="http://jsmp.tl/wp-content/uploads/2015/01/PrTribunalDILIKondenatinan10fulan6CEDAW_ENGLISH.pdf" TargetMode="External"/><Relationship Id="rId21" Type="http://schemas.openxmlformats.org/officeDocument/2006/relationships/hyperlink" Target="http://mss.gov.tl/portal/seminariu-nasional-kona-ba-direitu-ema-ho/" TargetMode="External"/><Relationship Id="rId7" Type="http://schemas.openxmlformats.org/officeDocument/2006/relationships/hyperlink" Target="https://www.unicef.org/timorleste/stories/water-sanitation-and-hygiene-schools-bringing-communities-together-timor-leste" TargetMode="External"/><Relationship Id="rId12" Type="http://schemas.openxmlformats.org/officeDocument/2006/relationships/hyperlink" Target="https://timor-leste.unfpa.org/en/news/draft-manual-healthy-relationships-field-tested" TargetMode="External"/><Relationship Id="rId17" Type="http://schemas.openxmlformats.org/officeDocument/2006/relationships/hyperlink" Target="http://timor-leste.gov.tl/?p=21650&amp;lang=en&amp;n=1" TargetMode="External"/><Relationship Id="rId2" Type="http://schemas.openxmlformats.org/officeDocument/2006/relationships/hyperlink" Target="http://jsmp.tl/wp-content/uploads/2015/01/JSMPJSMPkongratula-tribunal-tanba-aplika-instrumentu-CEDAW-iha-kazu-violensia-domestika_ENGLISH.pdf" TargetMode="External"/><Relationship Id="rId16" Type="http://schemas.openxmlformats.org/officeDocument/2006/relationships/hyperlink" Target="https://hamutuk.tl/en/" TargetMode="External"/><Relationship Id="rId20" Type="http://schemas.openxmlformats.org/officeDocument/2006/relationships/hyperlink" Target="http://mss.gov.tl/portal/seminariu-nasional-kona-ba-direitu-ema-ho/?lang=pt-br" TargetMode="External"/><Relationship Id="rId1" Type="http://schemas.openxmlformats.org/officeDocument/2006/relationships/hyperlink" Target="http://timor-leste.gov.tl/?p=21614&amp;n=1&amp;lang=en" TargetMode="External"/><Relationship Id="rId6" Type="http://schemas.openxmlformats.org/officeDocument/2006/relationships/hyperlink" Target="http://timor-leste.gov.tl/?p=20608&amp;lang=en&amp;lang=en" TargetMode="External"/><Relationship Id="rId11" Type="http://schemas.openxmlformats.org/officeDocument/2006/relationships/hyperlink" Target="https://www.thediliweekly.com/en/news/education/14842-fifity-students-receive-tot-training-on-reproductive-and-sexual-health" TargetMode="External"/><Relationship Id="rId5" Type="http://schemas.openxmlformats.org/officeDocument/2006/relationships/hyperlink" Target="http://timor-leste.gov.tl/?p=20694&amp;lang=en&amp;lang=en" TargetMode="External"/><Relationship Id="rId15" Type="http://schemas.openxmlformats.org/officeDocument/2006/relationships/hyperlink" Target="https://timor-leste.unfpa.org/en/news/verbal-autopsy-reaching-across-timor-leste" TargetMode="External"/><Relationship Id="rId10" Type="http://schemas.openxmlformats.org/officeDocument/2006/relationships/hyperlink" Target="https://www.thediliweekly.com/en/news/education/14842-fifity-students-receive-tot-training-on-reproductive-and-sexual-health" TargetMode="External"/><Relationship Id="rId19" Type="http://schemas.openxmlformats.org/officeDocument/2006/relationships/hyperlink" Target="http://mss.gov.tl/portal/seminariu-nasional-ba-asuntus-defisientes/" TargetMode="External"/><Relationship Id="rId4" Type="http://schemas.openxmlformats.org/officeDocument/2006/relationships/hyperlink" Target="http://jsmp.tl/wp-content/uploads/2016/01/PrWCJUdesizaun-kazu-VD-referebaCEDAW_TETUM.pdf" TargetMode="External"/><Relationship Id="rId9" Type="http://schemas.openxmlformats.org/officeDocument/2006/relationships/hyperlink" Target="https://www.thediliweekly.com/tl/notisias/17238-mejd-fasilita-estudante-feto-fila-hikas-ba-eskola" TargetMode="External"/><Relationship Id="rId14" Type="http://schemas.openxmlformats.org/officeDocument/2006/relationships/hyperlink" Target="https://www.ilo.org/IRDashboard/" TargetMode="External"/><Relationship Id="rId22" Type="http://schemas.openxmlformats.org/officeDocument/2006/relationships/hyperlink" Target="http://timor-leste.gov.tl/?p=17474&amp;lang=en"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1F73C3-50BD-4896-A56E-102E44846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46</Pages>
  <Words>14516</Words>
  <Characters>82746</Characters>
  <Application>Microsoft Office Word</Application>
  <DocSecurity>0</DocSecurity>
  <Lines>689</Lines>
  <Paragraphs>194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Haken</dc:creator>
  <cp:keywords/>
  <dc:description/>
  <cp:lastModifiedBy>Esther Kimani</cp:lastModifiedBy>
  <cp:revision>3</cp:revision>
  <cp:lastPrinted>2022-01-12T22:30:00Z</cp:lastPrinted>
  <dcterms:created xsi:type="dcterms:W3CDTF">2022-01-12T22:30:00Z</dcterms:created>
  <dcterms:modified xsi:type="dcterms:W3CDTF">2022-01-12T22:30:00Z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2119807</vt:lpwstr>
  </property>
  <property fmtid="{D5CDD505-2E9C-101B-9397-08002B2CF9AE}" pid="3" name="ODSRefJobNo">
    <vt:lpwstr>2142238E</vt:lpwstr>
  </property>
  <property fmtid="{D5CDD505-2E9C-101B-9397-08002B2CF9AE}" pid="4" name="Symbol1">
    <vt:lpwstr>CEDAW/C/TLS/4</vt:lpwstr>
  </property>
  <property fmtid="{D5CDD505-2E9C-101B-9397-08002B2CF9AE}" pid="5" name="Symbol2">
    <vt:lpwstr/>
  </property>
  <property fmtid="{D5CDD505-2E9C-101B-9397-08002B2CF9AE}" pid="6" name="Translator">
    <vt:lpwstr/>
  </property>
  <property fmtid="{D5CDD505-2E9C-101B-9397-08002B2CF9AE}" pid="7" name="Operator">
    <vt:lpwstr/>
  </property>
  <property fmtid="{D5CDD505-2E9C-101B-9397-08002B2CF9AE}" pid="8" name="DraftPages">
    <vt:lpwstr> </vt:lpwstr>
  </property>
  <property fmtid="{D5CDD505-2E9C-101B-9397-08002B2CF9AE}" pid="9" name="Comment">
    <vt:lpwstr/>
  </property>
  <property fmtid="{D5CDD505-2E9C-101B-9397-08002B2CF9AE}" pid="10" name="DocType">
    <vt:lpwstr>S</vt:lpwstr>
  </property>
  <property fmtid="{D5CDD505-2E9C-101B-9397-08002B2CF9AE}" pid="11" name="Category">
    <vt:lpwstr>Document</vt:lpwstr>
  </property>
  <property fmtid="{D5CDD505-2E9C-101B-9397-08002B2CF9AE}" pid="12" name="Language">
    <vt:lpwstr>English</vt:lpwstr>
  </property>
  <property fmtid="{D5CDD505-2E9C-101B-9397-08002B2CF9AE}" pid="13" name="Title1">
    <vt:lpwstr>		Fourth periodic report submitted by Timor-Leste under article 18 of the Convention, due in 2021*_x000d_</vt:lpwstr>
  </property>
</Properties>
</file>